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74E0E" w14:textId="738A2CE3" w:rsidR="00573A63" w:rsidRPr="0001127D" w:rsidRDefault="0091427E" w:rsidP="0091427E">
      <w:pPr>
        <w:pStyle w:val="Pagedecouverture"/>
        <w:rPr>
          <w:noProof/>
        </w:rPr>
      </w:pPr>
      <w:r>
        <w:rPr>
          <w:noProof/>
        </w:rPr>
        <w:pict w14:anchorId="7140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42F7826A-60F4-4182-A4B7-31DB9889C322" style="width:455.25pt;height:441pt">
            <v:imagedata r:id="rId8" o:title=""/>
          </v:shape>
        </w:pict>
      </w:r>
    </w:p>
    <w:p w14:paraId="2C7A506B" w14:textId="77777777" w:rsidR="00573A63" w:rsidRPr="0001127D" w:rsidRDefault="00573A63" w:rsidP="00573A63">
      <w:pPr>
        <w:rPr>
          <w:noProof/>
        </w:rPr>
        <w:sectPr w:rsidR="00573A63" w:rsidRPr="0001127D" w:rsidSect="0091427E">
          <w:footerReference w:type="default" r:id="rId9"/>
          <w:pgSz w:w="11907" w:h="16839"/>
          <w:pgMar w:top="1134" w:right="1417" w:bottom="1134" w:left="1417" w:header="709" w:footer="709" w:gutter="0"/>
          <w:pgNumType w:start="0"/>
          <w:cols w:space="720"/>
          <w:docGrid w:linePitch="360"/>
        </w:sectPr>
      </w:pPr>
    </w:p>
    <w:p w14:paraId="6B6BF0E9" w14:textId="77777777" w:rsidR="00573A63" w:rsidRPr="0001127D" w:rsidRDefault="00573A63" w:rsidP="00660ED3">
      <w:pPr>
        <w:pStyle w:val="Exposdesmotifstitre"/>
        <w:rPr>
          <w:noProof/>
        </w:rPr>
      </w:pPr>
      <w:bookmarkStart w:id="0" w:name="_GoBack"/>
      <w:bookmarkEnd w:id="0"/>
      <w:r w:rsidRPr="0001127D">
        <w:rPr>
          <w:noProof/>
        </w:rPr>
        <w:lastRenderedPageBreak/>
        <w:t>RELAZIONE</w:t>
      </w:r>
    </w:p>
    <w:p w14:paraId="270604E5" w14:textId="77777777" w:rsidR="00573A63" w:rsidRPr="0001127D" w:rsidRDefault="00573A63" w:rsidP="00CD09AF">
      <w:pPr>
        <w:pStyle w:val="ManualHeading1"/>
        <w:widowControl w:val="0"/>
        <w:shd w:val="clear" w:color="auto" w:fill="FFFFFF" w:themeFill="background1"/>
        <w:spacing w:before="230" w:after="0" w:line="269" w:lineRule="exact"/>
        <w:ind w:right="86"/>
        <w:rPr>
          <w:noProof/>
        </w:rPr>
      </w:pPr>
      <w:bookmarkStart w:id="1" w:name="_Toc126762654"/>
      <w:bookmarkStart w:id="2" w:name="_Toc126826566"/>
      <w:bookmarkStart w:id="3" w:name="_Toc132359386"/>
      <w:bookmarkStart w:id="4" w:name="_Toc132359444"/>
      <w:bookmarkStart w:id="5" w:name="_Toc132359579"/>
      <w:r w:rsidRPr="0001127D">
        <w:rPr>
          <w:noProof/>
        </w:rPr>
        <w:t>CONTESTO DELLA PROPOSTA</w:t>
      </w:r>
      <w:bookmarkEnd w:id="1"/>
      <w:bookmarkEnd w:id="2"/>
      <w:bookmarkEnd w:id="3"/>
      <w:bookmarkEnd w:id="4"/>
      <w:bookmarkEnd w:id="5"/>
    </w:p>
    <w:p w14:paraId="2CF68E8C" w14:textId="77777777" w:rsidR="00573A63" w:rsidRPr="0001127D" w:rsidRDefault="00573A63" w:rsidP="00660ED3">
      <w:pPr>
        <w:pStyle w:val="ManualHeading2"/>
        <w:rPr>
          <w:rFonts w:eastAsia="Arial Unicode MS"/>
          <w:noProof/>
        </w:rPr>
      </w:pPr>
      <w:bookmarkStart w:id="6" w:name="_Toc126762655"/>
      <w:bookmarkStart w:id="7" w:name="_Toc126826567"/>
      <w:bookmarkStart w:id="8" w:name="_Toc132359387"/>
      <w:bookmarkStart w:id="9" w:name="_Toc132359445"/>
      <w:bookmarkStart w:id="10" w:name="_Toc132359580"/>
      <w:r w:rsidRPr="0001127D">
        <w:rPr>
          <w:noProof/>
          <w:color w:val="000000"/>
          <w:u w:color="000000"/>
          <w:bdr w:val="nil"/>
        </w:rPr>
        <w:t>•</w:t>
      </w:r>
      <w:r w:rsidRPr="0001127D">
        <w:rPr>
          <w:noProof/>
        </w:rPr>
        <w:tab/>
        <w:t>Motivi e obiettivi della proposta</w:t>
      </w:r>
      <w:bookmarkEnd w:id="6"/>
      <w:bookmarkEnd w:id="7"/>
      <w:bookmarkEnd w:id="8"/>
      <w:bookmarkEnd w:id="9"/>
      <w:bookmarkEnd w:id="10"/>
    </w:p>
    <w:p w14:paraId="09C76409" w14:textId="1AB0026F" w:rsidR="00AD4379" w:rsidRPr="0001127D" w:rsidRDefault="00AD4379" w:rsidP="00AD4379">
      <w:pPr>
        <w:rPr>
          <w:noProof/>
          <w:szCs w:val="24"/>
        </w:rPr>
      </w:pPr>
      <w:r w:rsidRPr="0001127D">
        <w:rPr>
          <w:noProof/>
        </w:rPr>
        <w:t>Le società sono al centro del mercato unico. Grazie alle loro attività imprenditoriali e ai loro investimenti, anche su base transfrontaliera, esse svolgono un ruolo di primo piano nel contribuire alla prosperità economica e alla competitività dell</w:t>
      </w:r>
      <w:r w:rsidR="00E64452" w:rsidRPr="0001127D">
        <w:rPr>
          <w:noProof/>
        </w:rPr>
        <w:t>'</w:t>
      </w:r>
      <w:r w:rsidRPr="0001127D">
        <w:rPr>
          <w:noProof/>
        </w:rPr>
        <w:t>UE e nel portare avanti la duplice transizione dell</w:t>
      </w:r>
      <w:r w:rsidR="00E64452" w:rsidRPr="0001127D">
        <w:rPr>
          <w:noProof/>
        </w:rPr>
        <w:t>'</w:t>
      </w:r>
      <w:r w:rsidRPr="0001127D">
        <w:rPr>
          <w:noProof/>
        </w:rPr>
        <w:t>UE verso un</w:t>
      </w:r>
      <w:r w:rsidR="00E64452" w:rsidRPr="0001127D">
        <w:rPr>
          <w:noProof/>
        </w:rPr>
        <w:t>'</w:t>
      </w:r>
      <w:r w:rsidRPr="0001127D">
        <w:rPr>
          <w:noProof/>
        </w:rPr>
        <w:t xml:space="preserve">economia sostenibile e digitale. A tal fine le società necessitano di un quadro giuridico prevedibile propizio alla crescita e idoneo a far fronte alle nuove sfide economiche e sociali in un mondo sempre più digitale. Se è vero che le società </w:t>
      </w:r>
      <w:r w:rsidRPr="0001127D">
        <w:rPr>
          <w:noProof/>
          <w:color w:val="000000"/>
          <w:shd w:val="clear" w:color="auto" w:fill="FFFFFF"/>
        </w:rPr>
        <w:t>sono costituite a norma del diritto nazionale, il diritto societario dell</w:t>
      </w:r>
      <w:r w:rsidR="00E64452" w:rsidRPr="0001127D">
        <w:rPr>
          <w:noProof/>
          <w:color w:val="000000"/>
          <w:shd w:val="clear" w:color="auto" w:fill="FFFFFF"/>
        </w:rPr>
        <w:t>'</w:t>
      </w:r>
      <w:r w:rsidRPr="0001127D">
        <w:rPr>
          <w:noProof/>
          <w:color w:val="000000"/>
          <w:shd w:val="clear" w:color="auto" w:fill="FFFFFF"/>
        </w:rPr>
        <w:t xml:space="preserve">UE stabilisce un </w:t>
      </w:r>
      <w:r w:rsidRPr="0001127D">
        <w:rPr>
          <w:noProof/>
        </w:rPr>
        <w:t>quadro giuridico che rafforza la certezza del diritto in tutto il mercato unico e la prevedibilità per le società stesse. Tale quadro in materia di diritto societario, che comprende i ruoli e le responsabilità dei registri delle imprese, deve tenersi al passo con i nuovi sviluppi e le nuove sfide. È in quest</w:t>
      </w:r>
      <w:r w:rsidR="00E64452" w:rsidRPr="0001127D">
        <w:rPr>
          <w:noProof/>
        </w:rPr>
        <w:t>'</w:t>
      </w:r>
      <w:r w:rsidRPr="0001127D">
        <w:rPr>
          <w:noProof/>
        </w:rPr>
        <w:t xml:space="preserve">ottica che la Commissione sottopone la presente proposta. </w:t>
      </w:r>
    </w:p>
    <w:p w14:paraId="41555236" w14:textId="17196D59" w:rsidR="00AD4379" w:rsidRPr="0001127D" w:rsidRDefault="00AD4379" w:rsidP="00AD4379">
      <w:pPr>
        <w:rPr>
          <w:rFonts w:eastAsia="Calibri"/>
          <w:noProof/>
          <w:color w:val="000000" w:themeColor="text1"/>
          <w:szCs w:val="24"/>
        </w:rPr>
      </w:pPr>
      <w:r w:rsidRPr="0001127D">
        <w:rPr>
          <w:noProof/>
        </w:rPr>
        <w:t>In linea con gli obiettivi dell</w:t>
      </w:r>
      <w:r w:rsidR="00E64452" w:rsidRPr="0001127D">
        <w:rPr>
          <w:noProof/>
        </w:rPr>
        <w:t>'</w:t>
      </w:r>
      <w:r w:rsidRPr="0001127D">
        <w:rPr>
          <w:noProof/>
        </w:rPr>
        <w:t>UE in materia di digitalizzazione stabiliti, in particolare, nella</w:t>
      </w:r>
      <w:r w:rsidRPr="0001127D">
        <w:rPr>
          <w:noProof/>
          <w:color w:val="000000" w:themeColor="text1"/>
        </w:rPr>
        <w:t xml:space="preserve"> comunicazione della Commissione </w:t>
      </w:r>
      <w:r w:rsidRPr="0001127D">
        <w:rPr>
          <w:i/>
          <w:noProof/>
          <w:color w:val="000000" w:themeColor="text1"/>
        </w:rPr>
        <w:t>Bussola per il digitale 2030: il modello europeo per il decennio digitale</w:t>
      </w:r>
      <w:r w:rsidRPr="0001127D">
        <w:rPr>
          <w:rStyle w:val="FootnoteReference"/>
          <w:noProof/>
        </w:rPr>
        <w:footnoteReference w:id="2"/>
      </w:r>
      <w:r w:rsidRPr="0001127D">
        <w:rPr>
          <w:noProof/>
          <w:color w:val="000000" w:themeColor="text1"/>
        </w:rPr>
        <w:t>, l</w:t>
      </w:r>
      <w:r w:rsidRPr="0001127D">
        <w:rPr>
          <w:noProof/>
        </w:rPr>
        <w:t>a presente proposta mira ad affrontare gli sviluppi della digitalizzazione e delle tecnologie che hanno modificato in modo sostanziale le modalità di funzionamento dei registri delle imprese e il modo in cui i registri delle imprese, le società e le autorità pubbliche interagiscono tra loro per quanto riguarda le questioni relative al diritto societario. La pandemia di COVID-19 ha dimostrato con chiarezza la centralità del ruolo degli strumenti digitali nel garantire la continuità delle interazioni delle società con i registri delle imprese e le autorità. La presente proposta mira inoltre a introdurre misure di diritto societario per superare gli ostacoli all</w:t>
      </w:r>
      <w:r w:rsidR="00E64452" w:rsidRPr="0001127D">
        <w:rPr>
          <w:noProof/>
        </w:rPr>
        <w:t>'</w:t>
      </w:r>
      <w:r w:rsidRPr="0001127D">
        <w:rPr>
          <w:noProof/>
        </w:rPr>
        <w:t xml:space="preserve">espansione transfrontaliera che le piccole e medie imprese (PMI) si trovano attualmente ad affrontare nel mercato unico, in linea con le comunicazioni della Commissione </w:t>
      </w:r>
      <w:r w:rsidRPr="0001127D">
        <w:rPr>
          <w:i/>
          <w:noProof/>
        </w:rPr>
        <w:t>Aggiornamento della nuova strategia industriale 2020</w:t>
      </w:r>
      <w:r w:rsidRPr="0001127D">
        <w:rPr>
          <w:rStyle w:val="FootnoteReference"/>
          <w:noProof/>
        </w:rPr>
        <w:footnoteReference w:id="3"/>
      </w:r>
      <w:r w:rsidRPr="0001127D">
        <w:rPr>
          <w:noProof/>
        </w:rPr>
        <w:t xml:space="preserve"> e </w:t>
      </w:r>
      <w:r w:rsidRPr="0001127D">
        <w:rPr>
          <w:i/>
          <w:noProof/>
        </w:rPr>
        <w:t>Una strategia per le PMI per un</w:t>
      </w:r>
      <w:r w:rsidR="00E64452" w:rsidRPr="0001127D">
        <w:rPr>
          <w:i/>
          <w:noProof/>
        </w:rPr>
        <w:t>'</w:t>
      </w:r>
      <w:r w:rsidRPr="0001127D">
        <w:rPr>
          <w:i/>
          <w:noProof/>
        </w:rPr>
        <w:t>Europa sostenibile e digitale</w:t>
      </w:r>
      <w:r w:rsidRPr="0001127D">
        <w:rPr>
          <w:rStyle w:val="FootnoteReference"/>
          <w:noProof/>
        </w:rPr>
        <w:footnoteReference w:id="4"/>
      </w:r>
      <w:r w:rsidRPr="0001127D">
        <w:rPr>
          <w:noProof/>
        </w:rPr>
        <w:t>.</w:t>
      </w:r>
      <w:r w:rsidRPr="0001127D">
        <w:rPr>
          <w:noProof/>
          <w:color w:val="000000" w:themeColor="text1"/>
        </w:rPr>
        <w:t xml:space="preserve"> </w:t>
      </w:r>
    </w:p>
    <w:p w14:paraId="013FAA27" w14:textId="10BF1ED3" w:rsidR="00AD4379" w:rsidRPr="0001127D" w:rsidRDefault="00AD4379" w:rsidP="00AD4379">
      <w:pPr>
        <w:rPr>
          <w:rFonts w:eastAsia="Calibri"/>
          <w:noProof/>
          <w:color w:val="000000" w:themeColor="text1"/>
          <w:szCs w:val="24"/>
        </w:rPr>
      </w:pPr>
      <w:r w:rsidRPr="0001127D">
        <w:rPr>
          <w:noProof/>
        </w:rPr>
        <w:t>La presente proposta contribuirà alla creazione di un mercato unico più integrato e digitalizzato e comporterà una riduzione degli oneri amministrativi gravanti sulle società stimata a circa 437 milioni di EUR all</w:t>
      </w:r>
      <w:r w:rsidR="00E64452" w:rsidRPr="0001127D">
        <w:rPr>
          <w:noProof/>
        </w:rPr>
        <w:t>'</w:t>
      </w:r>
      <w:r w:rsidRPr="0001127D">
        <w:rPr>
          <w:noProof/>
        </w:rPr>
        <w:t>anno. Essa limiterà inoltre, per quanto possibile, i nuovi oneri basandosi sui registri nazionali delle imprese e sulla loro interconnessione attraverso il sistema di interconnessione dei registri delle imprese (BRIS)</w:t>
      </w:r>
      <w:r w:rsidRPr="0001127D">
        <w:rPr>
          <w:rStyle w:val="FootnoteReference"/>
          <w:noProof/>
        </w:rPr>
        <w:footnoteReference w:id="5"/>
      </w:r>
      <w:r w:rsidRPr="0001127D">
        <w:rPr>
          <w:noProof/>
        </w:rPr>
        <w:t xml:space="preserve">, tenendo conto nel contempo dei diversi ordinamenti giuridici nazionali e delle relative tradizioni giuridiche. </w:t>
      </w:r>
    </w:p>
    <w:p w14:paraId="026F470E" w14:textId="2A61FEE1" w:rsidR="00AD4379" w:rsidRPr="0001127D" w:rsidRDefault="00AD4379" w:rsidP="00AD4379">
      <w:pPr>
        <w:rPr>
          <w:rFonts w:eastAsia="Calibri"/>
          <w:noProof/>
        </w:rPr>
      </w:pPr>
      <w:r w:rsidRPr="0001127D">
        <w:rPr>
          <w:noProof/>
          <w:color w:val="000000" w:themeColor="text1"/>
        </w:rPr>
        <w:t>In particolare la proposta</w:t>
      </w:r>
      <w:r w:rsidRPr="0001127D">
        <w:rPr>
          <w:noProof/>
        </w:rPr>
        <w:t xml:space="preserve"> </w:t>
      </w:r>
      <w:r w:rsidRPr="0001127D">
        <w:rPr>
          <w:noProof/>
          <w:color w:val="000000" w:themeColor="text1"/>
        </w:rPr>
        <w:t>mira ad</w:t>
      </w:r>
      <w:r w:rsidRPr="0001127D">
        <w:rPr>
          <w:noProof/>
        </w:rPr>
        <w:t xml:space="preserve"> accrescere la trasparenza sulle società nel mercato unico attraverso l</w:t>
      </w:r>
      <w:r w:rsidR="00E64452" w:rsidRPr="0001127D">
        <w:rPr>
          <w:noProof/>
        </w:rPr>
        <w:t>'</w:t>
      </w:r>
      <w:r w:rsidRPr="0001127D">
        <w:rPr>
          <w:noProof/>
        </w:rPr>
        <w:t>uso di strumenti digitali come il BRIS, a migliorare l</w:t>
      </w:r>
      <w:r w:rsidR="00E64452" w:rsidRPr="0001127D">
        <w:rPr>
          <w:noProof/>
        </w:rPr>
        <w:t>'</w:t>
      </w:r>
      <w:r w:rsidRPr="0001127D">
        <w:rPr>
          <w:noProof/>
        </w:rPr>
        <w:t>attendibilità dei dati sulle società e a instaurare un clima di fiducia tra i registri e le autorità degli Stati membri, anche rafforzando il collegamento tra le autorità pubbliche. Essa mira inoltre ad abolire e a ridurre le formalità relative all</w:t>
      </w:r>
      <w:r w:rsidR="00E64452" w:rsidRPr="0001127D">
        <w:rPr>
          <w:noProof/>
        </w:rPr>
        <w:t>'</w:t>
      </w:r>
      <w:r w:rsidRPr="0001127D">
        <w:rPr>
          <w:noProof/>
        </w:rPr>
        <w:t xml:space="preserve">uso delle informazioni sulle società in situazioni transfrontaliere e a rendere la creazione di controllate e succursali in altri Stati membri meno dispendiosa in termini di tempo e di costi, anche applicando il principio </w:t>
      </w:r>
      <w:r w:rsidR="00E64452" w:rsidRPr="0001127D">
        <w:rPr>
          <w:noProof/>
        </w:rPr>
        <w:t>"</w:t>
      </w:r>
      <w:r w:rsidRPr="0001127D">
        <w:rPr>
          <w:noProof/>
        </w:rPr>
        <w:t>una tantum</w:t>
      </w:r>
      <w:r w:rsidR="00E64452" w:rsidRPr="0001127D">
        <w:rPr>
          <w:noProof/>
        </w:rPr>
        <w:t>"</w:t>
      </w:r>
      <w:r w:rsidRPr="0001127D">
        <w:rPr>
          <w:noProof/>
        </w:rPr>
        <w:t xml:space="preserve"> (che prevede che le società non debbano presentare più volte le stesse informazioni ai registri delle imprese). In tal modo, essa mira a ridurre gli oneri amministrativi complessivi gravanti sulle società e gli altri portatori di interessi in situazioni transfrontaliere e a facilitare l</w:t>
      </w:r>
      <w:r w:rsidR="00E64452" w:rsidRPr="0001127D">
        <w:rPr>
          <w:noProof/>
        </w:rPr>
        <w:t>'</w:t>
      </w:r>
      <w:r w:rsidRPr="0001127D">
        <w:rPr>
          <w:noProof/>
        </w:rPr>
        <w:t>espansione delle PMI in tutta l</w:t>
      </w:r>
      <w:r w:rsidR="00E64452" w:rsidRPr="0001127D">
        <w:rPr>
          <w:noProof/>
        </w:rPr>
        <w:t>'</w:t>
      </w:r>
      <w:r w:rsidRPr="0001127D">
        <w:rPr>
          <w:noProof/>
        </w:rPr>
        <w:t xml:space="preserve">UE. </w:t>
      </w:r>
    </w:p>
    <w:p w14:paraId="02059000" w14:textId="7538E56E" w:rsidR="00AD4379" w:rsidRPr="0001127D" w:rsidRDefault="00B579E2" w:rsidP="00AD4379">
      <w:pPr>
        <w:rPr>
          <w:noProof/>
          <w:szCs w:val="24"/>
        </w:rPr>
      </w:pPr>
      <w:r w:rsidRPr="0001127D">
        <w:rPr>
          <w:rStyle w:val="normaltextrun"/>
          <w:noProof/>
          <w:color w:val="000000"/>
          <w:shd w:val="clear" w:color="auto" w:fill="FFFFFF"/>
        </w:rPr>
        <w:t>Al fine di rafforzare il funzionamento del mercato interno, è essenziale garantire che l</w:t>
      </w:r>
      <w:r w:rsidR="00E64452" w:rsidRPr="0001127D">
        <w:rPr>
          <w:rStyle w:val="normaltextrun"/>
          <w:noProof/>
          <w:color w:val="000000"/>
          <w:shd w:val="clear" w:color="auto" w:fill="FFFFFF"/>
        </w:rPr>
        <w:t>'</w:t>
      </w:r>
      <w:r w:rsidRPr="0001127D">
        <w:rPr>
          <w:rStyle w:val="normaltextrun"/>
          <w:noProof/>
          <w:color w:val="000000"/>
          <w:shd w:val="clear" w:color="auto" w:fill="FFFFFF"/>
        </w:rPr>
        <w:t>accesso ai dati sulle società a livello transfrontaliero e il loro utilizzo possano essere effettuati facilmente e senza oneri amministrativi, sostenendo in tal modo l</w:t>
      </w:r>
      <w:r w:rsidR="00E64452" w:rsidRPr="0001127D">
        <w:rPr>
          <w:rStyle w:val="normaltextrun"/>
          <w:noProof/>
          <w:color w:val="000000"/>
          <w:shd w:val="clear" w:color="auto" w:fill="FFFFFF"/>
        </w:rPr>
        <w:t>'</w:t>
      </w:r>
      <w:r w:rsidRPr="0001127D">
        <w:rPr>
          <w:rStyle w:val="normaltextrun"/>
          <w:noProof/>
          <w:color w:val="000000"/>
          <w:shd w:val="clear" w:color="auto" w:fill="FFFFFF"/>
        </w:rPr>
        <w:t xml:space="preserve">attività economica e creando un contesto economico più sicuro e più favorevole per le società, i consumatori e gli altri portatori di interessi (investitori, creditori, dipendenti). </w:t>
      </w:r>
      <w:r w:rsidRPr="0001127D">
        <w:rPr>
          <w:noProof/>
        </w:rPr>
        <w:t>Tali condizioni sono a loro volta fondamentali per agevolare le attività delle società, in particolare delle PMI, e aiutarle a trovare modi per esplorare ed espandersi verso altri mercati dell</w:t>
      </w:r>
      <w:r w:rsidR="00E64452" w:rsidRPr="0001127D">
        <w:rPr>
          <w:noProof/>
        </w:rPr>
        <w:t>'</w:t>
      </w:r>
      <w:r w:rsidRPr="0001127D">
        <w:rPr>
          <w:noProof/>
        </w:rPr>
        <w:t xml:space="preserve">UE, contribuendo così alla crescita economica. </w:t>
      </w:r>
    </w:p>
    <w:p w14:paraId="2A71F98C" w14:textId="657FD55E" w:rsidR="00AD4379" w:rsidRPr="0001127D" w:rsidRDefault="00AD4379" w:rsidP="00AD4379">
      <w:pPr>
        <w:rPr>
          <w:noProof/>
          <w:szCs w:val="24"/>
        </w:rPr>
      </w:pPr>
      <w:r w:rsidRPr="0001127D">
        <w:rPr>
          <w:noProof/>
        </w:rPr>
        <w:t>Sebbene in un mondo sempre più digitalizzato vi siano maggiori richieste di trasparenza da parte di investitori, creditori, consumatori, nonché da parte delle società stesse, l</w:t>
      </w:r>
      <w:r w:rsidR="00E64452" w:rsidRPr="0001127D">
        <w:rPr>
          <w:noProof/>
        </w:rPr>
        <w:t>'</w:t>
      </w:r>
      <w:r w:rsidRPr="0001127D">
        <w:rPr>
          <w:noProof/>
        </w:rPr>
        <w:t>accesso alle informazioni sulle società contenute nei registri delle imprese in situazioni transfrontaliere è ancora ostacolato da barriere. Le informazioni sulle società di cui i portatori di interessi necessitano non sono ancora disponibili in misura sufficiente nei registri nazionali delle imprese e/o a livello transfrontaliero attraverso il BRIS, e i portatori di interessi incontrano difficoltà nel reperirle. Il diritto societario dell</w:t>
      </w:r>
      <w:r w:rsidR="00E64452" w:rsidRPr="0001127D">
        <w:rPr>
          <w:noProof/>
        </w:rPr>
        <w:t>'</w:t>
      </w:r>
      <w:r w:rsidRPr="0001127D">
        <w:rPr>
          <w:noProof/>
        </w:rPr>
        <w:t>UE prevede già obblighi di pubblicità armonizzati relativamente alle società di capitali, ma alcuni dati importanti (ad es. l</w:t>
      </w:r>
      <w:r w:rsidR="00E64452" w:rsidRPr="0001127D">
        <w:rPr>
          <w:noProof/>
        </w:rPr>
        <w:t>'</w:t>
      </w:r>
      <w:r w:rsidRPr="0001127D">
        <w:rPr>
          <w:noProof/>
        </w:rPr>
        <w:t>amministrazione centrale delle società e il centro di attività principale o i gruppi societari) non sono ancora disponibili a livello dell</w:t>
      </w:r>
      <w:r w:rsidR="00E64452" w:rsidRPr="0001127D">
        <w:rPr>
          <w:noProof/>
        </w:rPr>
        <w:t>'</w:t>
      </w:r>
      <w:r w:rsidRPr="0001127D">
        <w:rPr>
          <w:noProof/>
        </w:rPr>
        <w:t>UE e lo sono solo raramente nei registri degli Stati membri. Inoltre a livello dell</w:t>
      </w:r>
      <w:r w:rsidR="00E64452" w:rsidRPr="0001127D">
        <w:rPr>
          <w:noProof/>
        </w:rPr>
        <w:t>'</w:t>
      </w:r>
      <w:r w:rsidRPr="0001127D">
        <w:rPr>
          <w:noProof/>
        </w:rPr>
        <w:t>UE non sono disponibili informazioni su altri soggetti, come le società di persone, che svolgono un ruolo importante nelle economie di molti Stati membri.</w:t>
      </w:r>
    </w:p>
    <w:p w14:paraId="717F3B22" w14:textId="731728EB" w:rsidR="00AD4379" w:rsidRPr="0001127D" w:rsidRDefault="00AD4379" w:rsidP="00AD4379">
      <w:pPr>
        <w:rPr>
          <w:noProof/>
          <w:szCs w:val="24"/>
        </w:rPr>
      </w:pPr>
      <w:r w:rsidRPr="0001127D">
        <w:rPr>
          <w:noProof/>
        </w:rPr>
        <w:t>Le richieste a favore di una maggiore trasparenza implicano altresì che le informazioni sulle società debbano essere affidabili. I portatori di interessi, le autorità e il pubblico devono poter confidare nel fatto che le informazioni sulle società sono esatte, aggiornate e affidabili, in modo da poterle utilizzare a fini commerciali, nonché in sede amministrativa o giudiziale. Il diritto societario dell</w:t>
      </w:r>
      <w:r w:rsidR="00E64452" w:rsidRPr="0001127D">
        <w:rPr>
          <w:noProof/>
        </w:rPr>
        <w:t>'</w:t>
      </w:r>
      <w:r w:rsidRPr="0001127D">
        <w:rPr>
          <w:noProof/>
        </w:rPr>
        <w:t xml:space="preserve">UE prevede solo norme minime parziali per i controlli ex ante. Sebbene tutti gli Stati membri effettuino, in una certa misura, un controllo ex ante dei documenti e delle informazioni sulle società, le procedure nazionali differiscono tra loro. Ciò spesso determina una fiducia insufficiente nelle informazioni sulle società registrate fornite da altri Stati membri. </w:t>
      </w:r>
    </w:p>
    <w:p w14:paraId="390C6ED4" w14:textId="05491314" w:rsidR="00AD4379" w:rsidRPr="0001127D" w:rsidRDefault="00AD4379" w:rsidP="00AD4379">
      <w:pPr>
        <w:rPr>
          <w:noProof/>
        </w:rPr>
      </w:pPr>
      <w:r w:rsidRPr="0001127D">
        <w:rPr>
          <w:noProof/>
        </w:rPr>
        <w:t>L</w:t>
      </w:r>
      <w:r w:rsidR="00E64452" w:rsidRPr="0001127D">
        <w:rPr>
          <w:noProof/>
        </w:rPr>
        <w:t>'</w:t>
      </w:r>
      <w:r w:rsidRPr="0001127D">
        <w:rPr>
          <w:noProof/>
        </w:rPr>
        <w:t xml:space="preserve">utilizzo diretto delle informazioni sulle società è spesso difficoltoso o impossibile in situazioni transfrontaliere anche a causa di frequenti ostacoli amministrativi. Tali ostacoli comportano oneri per le società e rischiano persino di produrre un effetto deterrente, in particolare per le PMI. Ad esempio, in caso di costituzione di una controllata o una succursale in un altro Stato membro, le società non possono ancora basarsi sul principio </w:t>
      </w:r>
      <w:r w:rsidR="00E64452" w:rsidRPr="0001127D">
        <w:rPr>
          <w:noProof/>
        </w:rPr>
        <w:t>"</w:t>
      </w:r>
      <w:r w:rsidRPr="0001127D">
        <w:rPr>
          <w:noProof/>
        </w:rPr>
        <w:t>una tantum</w:t>
      </w:r>
      <w:r w:rsidR="00E64452" w:rsidRPr="0001127D">
        <w:rPr>
          <w:noProof/>
        </w:rPr>
        <w:t>"</w:t>
      </w:r>
      <w:r w:rsidRPr="0001127D">
        <w:rPr>
          <w:noProof/>
        </w:rPr>
        <w:t xml:space="preserve"> e devono ripresentare i propri dati, già contenuti nei rispettivi registri nazionali delle imprese, ai registri degli altri Stati membri. Tali documenti devono spesso essere legalizzati (mediante apostilla). Le società incontrano spesso difficoltà analoghe anche quando desiderano utilizzare le loro informazioni contenute nel registro nazionale delle imprese, ad esempio nelle interazioni con le autorità competenti o nei procedimenti giudiziari in un altro Stato membro. Inoltre gli estratti della società, spesso utilizzati da società e operatori del diritto per confermare le informazioni e identificare le società per diversi scopi, variano e </w:t>
      </w:r>
      <w:r w:rsidRPr="0001127D">
        <w:rPr>
          <w:noProof/>
          <w:color w:val="000000"/>
        </w:rPr>
        <w:t>non possono</w:t>
      </w:r>
      <w:r w:rsidRPr="0001127D">
        <w:rPr>
          <w:noProof/>
        </w:rPr>
        <w:t xml:space="preserve"> essere utilizzati in situazioni transfrontaliere senza incorrere in formalità onerose e costose.</w:t>
      </w:r>
    </w:p>
    <w:p w14:paraId="2D048F03" w14:textId="47F8D099" w:rsidR="009C790E" w:rsidRPr="0001127D" w:rsidRDefault="009C790E" w:rsidP="00AD4379">
      <w:pPr>
        <w:rPr>
          <w:b/>
          <w:noProof/>
        </w:rPr>
      </w:pPr>
      <w:r w:rsidRPr="0001127D">
        <w:rPr>
          <w:noProof/>
        </w:rPr>
        <w:t>Nel complesso la presente proposta mira a migliorare la trasparenza e la fiducia nel contesto imprenditoriale, sviluppare servizi pubblici transfrontalieri più digitalizzati e connessi per le società e agevolare l</w:t>
      </w:r>
      <w:r w:rsidR="00E64452" w:rsidRPr="0001127D">
        <w:rPr>
          <w:noProof/>
        </w:rPr>
        <w:t>'</w:t>
      </w:r>
      <w:r w:rsidRPr="0001127D">
        <w:rPr>
          <w:noProof/>
        </w:rPr>
        <w:t>espansione transfrontaliera per le PMI, il che a sua volta determinerà una maggiore integrazione e digitalizzazione del mercato unico.</w:t>
      </w:r>
    </w:p>
    <w:p w14:paraId="22EF3152" w14:textId="77777777" w:rsidR="009C790E" w:rsidRPr="0001127D" w:rsidRDefault="009C790E" w:rsidP="00EC6C35">
      <w:pPr>
        <w:rPr>
          <w:rFonts w:eastAsia="Calibri"/>
          <w:noProof/>
        </w:rPr>
      </w:pPr>
      <w:r w:rsidRPr="0001127D">
        <w:rPr>
          <w:noProof/>
        </w:rPr>
        <w:t xml:space="preserve">Al fine di conseguire tali obiettivi la presente proposta: </w:t>
      </w:r>
    </w:p>
    <w:p w14:paraId="4D43D85A" w14:textId="2D351D84" w:rsidR="00785B78" w:rsidRPr="0001127D" w:rsidRDefault="00785B78" w:rsidP="00432A4D">
      <w:pPr>
        <w:pStyle w:val="Bullet0"/>
        <w:numPr>
          <w:ilvl w:val="0"/>
          <w:numId w:val="18"/>
        </w:numPr>
        <w:rPr>
          <w:noProof/>
        </w:rPr>
      </w:pPr>
      <w:r w:rsidRPr="0001127D">
        <w:rPr>
          <w:noProof/>
        </w:rPr>
        <w:t>aumenterà la quantità di dati sulle società disponibili nei registri delle imprese e/o nel BRIS e ne migliorerà l</w:t>
      </w:r>
      <w:r w:rsidR="00E64452" w:rsidRPr="0001127D">
        <w:rPr>
          <w:noProof/>
        </w:rPr>
        <w:t>'</w:t>
      </w:r>
      <w:r w:rsidRPr="0001127D">
        <w:rPr>
          <w:noProof/>
        </w:rPr>
        <w:t>affidabilità;</w:t>
      </w:r>
    </w:p>
    <w:p w14:paraId="3ECFCC10" w14:textId="71829F00" w:rsidR="00785B78" w:rsidRPr="0001127D" w:rsidRDefault="00785B78" w:rsidP="00FF5472">
      <w:pPr>
        <w:pStyle w:val="Bullet0"/>
        <w:rPr>
          <w:noProof/>
        </w:rPr>
      </w:pPr>
      <w:r w:rsidRPr="0001127D">
        <w:rPr>
          <w:noProof/>
        </w:rPr>
        <w:t>consentirà l</w:t>
      </w:r>
      <w:r w:rsidR="00E64452" w:rsidRPr="0001127D">
        <w:rPr>
          <w:noProof/>
        </w:rPr>
        <w:t>'</w:t>
      </w:r>
      <w:r w:rsidRPr="0001127D">
        <w:rPr>
          <w:noProof/>
        </w:rPr>
        <w:t>utilizzo diretto dei dati sulle società disponibili nei registri delle imprese al momento della costituzione di succursali e controllate transfrontaliere e nell</w:t>
      </w:r>
      <w:r w:rsidR="00E64452" w:rsidRPr="0001127D">
        <w:rPr>
          <w:noProof/>
        </w:rPr>
        <w:t>'</w:t>
      </w:r>
      <w:r w:rsidRPr="0001127D">
        <w:rPr>
          <w:noProof/>
        </w:rPr>
        <w:t xml:space="preserve">ambito di altre attività e situazioni transfrontaliere. </w:t>
      </w:r>
    </w:p>
    <w:p w14:paraId="44D453B6" w14:textId="1A703615" w:rsidR="00AD4379" w:rsidRPr="0001127D" w:rsidRDefault="00AD4379" w:rsidP="00ED523D">
      <w:pPr>
        <w:pBdr>
          <w:top w:val="nil"/>
          <w:left w:val="nil"/>
          <w:bottom w:val="nil"/>
          <w:right w:val="nil"/>
          <w:between w:val="nil"/>
          <w:bar w:val="nil"/>
        </w:pBdr>
        <w:spacing w:before="0" w:after="240"/>
        <w:rPr>
          <w:noProof/>
        </w:rPr>
      </w:pPr>
      <w:r w:rsidRPr="0001127D">
        <w:rPr>
          <w:noProof/>
        </w:rPr>
        <w:t>La presente proposta fa parte del programma di lavoro della Commissione per il 2023 e costituisce una delle azioni principali nell</w:t>
      </w:r>
      <w:r w:rsidR="00E64452" w:rsidRPr="0001127D">
        <w:rPr>
          <w:noProof/>
        </w:rPr>
        <w:t>'</w:t>
      </w:r>
      <w:r w:rsidRPr="0001127D">
        <w:rPr>
          <w:noProof/>
        </w:rPr>
        <w:t>ambito dell</w:t>
      </w:r>
      <w:r w:rsidR="00E64452" w:rsidRPr="0001127D">
        <w:rPr>
          <w:noProof/>
        </w:rPr>
        <w:t>'</w:t>
      </w:r>
      <w:r w:rsidRPr="0001127D">
        <w:rPr>
          <w:noProof/>
        </w:rPr>
        <w:t xml:space="preserve">obiettivo prioritario della Commissione </w:t>
      </w:r>
      <w:r w:rsidR="00E64452" w:rsidRPr="0001127D">
        <w:rPr>
          <w:noProof/>
        </w:rPr>
        <w:t>"</w:t>
      </w:r>
      <w:r w:rsidRPr="0001127D">
        <w:rPr>
          <w:noProof/>
        </w:rPr>
        <w:t>Un</w:t>
      </w:r>
      <w:r w:rsidR="00E64452" w:rsidRPr="0001127D">
        <w:rPr>
          <w:noProof/>
        </w:rPr>
        <w:t>'</w:t>
      </w:r>
      <w:r w:rsidRPr="0001127D">
        <w:rPr>
          <w:noProof/>
        </w:rPr>
        <w:t>Europa pronta per l</w:t>
      </w:r>
      <w:r w:rsidR="00E64452" w:rsidRPr="0001127D">
        <w:rPr>
          <w:noProof/>
        </w:rPr>
        <w:t>'</w:t>
      </w:r>
      <w:r w:rsidRPr="0001127D">
        <w:rPr>
          <w:noProof/>
        </w:rPr>
        <w:t>era digitale</w:t>
      </w:r>
      <w:r w:rsidR="00E64452" w:rsidRPr="0001127D">
        <w:rPr>
          <w:noProof/>
        </w:rPr>
        <w:t>"</w:t>
      </w:r>
      <w:r w:rsidRPr="0001127D">
        <w:rPr>
          <w:rStyle w:val="FootnoteReference"/>
          <w:noProof/>
        </w:rPr>
        <w:footnoteReference w:id="6"/>
      </w:r>
      <w:r w:rsidRPr="0001127D">
        <w:rPr>
          <w:noProof/>
        </w:rPr>
        <w:t>.</w:t>
      </w:r>
    </w:p>
    <w:p w14:paraId="23ABF596" w14:textId="77777777" w:rsidR="00573A63" w:rsidRPr="0001127D" w:rsidRDefault="00573A63" w:rsidP="00660ED3">
      <w:pPr>
        <w:pStyle w:val="ManualHeading2"/>
        <w:rPr>
          <w:rFonts w:eastAsia="Arial Unicode MS"/>
          <w:noProof/>
          <w:color w:val="000000"/>
          <w:u w:color="000000"/>
          <w:bdr w:val="nil"/>
        </w:rPr>
      </w:pPr>
      <w:bookmarkStart w:id="11" w:name="_Toc126762656"/>
      <w:bookmarkStart w:id="12" w:name="_Toc126826568"/>
      <w:bookmarkStart w:id="13" w:name="_Toc132359388"/>
      <w:bookmarkStart w:id="14" w:name="_Toc132359446"/>
      <w:bookmarkStart w:id="15" w:name="_Toc132359581"/>
      <w:r w:rsidRPr="0001127D">
        <w:rPr>
          <w:noProof/>
          <w:color w:val="000000"/>
          <w:u w:color="000000"/>
          <w:bdr w:val="nil"/>
        </w:rPr>
        <w:t>•</w:t>
      </w:r>
      <w:r w:rsidRPr="0001127D">
        <w:rPr>
          <w:noProof/>
        </w:rPr>
        <w:tab/>
        <w:t>Coerenza con le disposizioni vigenti nel settore normativo interessato</w:t>
      </w:r>
      <w:bookmarkEnd w:id="11"/>
      <w:bookmarkEnd w:id="12"/>
      <w:bookmarkEnd w:id="13"/>
      <w:bookmarkEnd w:id="14"/>
      <w:bookmarkEnd w:id="15"/>
    </w:p>
    <w:p w14:paraId="16F9485F" w14:textId="3E6C4FEE" w:rsidR="00052DA1" w:rsidRPr="0001127D" w:rsidRDefault="000929C5" w:rsidP="00052DA1">
      <w:pPr>
        <w:pBdr>
          <w:top w:val="nil"/>
          <w:left w:val="nil"/>
          <w:bottom w:val="nil"/>
          <w:right w:val="nil"/>
          <w:between w:val="nil"/>
          <w:bar w:val="nil"/>
        </w:pBdr>
        <w:spacing w:before="0" w:after="240"/>
        <w:rPr>
          <w:noProof/>
        </w:rPr>
      </w:pPr>
      <w:r w:rsidRPr="0001127D">
        <w:rPr>
          <w:noProof/>
        </w:rPr>
        <w:t>La presente proposta mira a integrare le norme vigenti in materia di diritto societario dell</w:t>
      </w:r>
      <w:r w:rsidR="00E64452" w:rsidRPr="0001127D">
        <w:rPr>
          <w:noProof/>
        </w:rPr>
        <w:t>'</w:t>
      </w:r>
      <w:r w:rsidRPr="0001127D">
        <w:rPr>
          <w:noProof/>
        </w:rPr>
        <w:t>UE codificate nella direttiva (UE) 2017/1132 (direttiva codificata sul diritto societario). La proposta mira ad aumentare la quantità di dati sulle società accessibili al pubblico disponibili nei registri delle imprese e/o attraverso il BRIS, a migliorare l</w:t>
      </w:r>
      <w:r w:rsidR="00E64452" w:rsidRPr="0001127D">
        <w:rPr>
          <w:noProof/>
        </w:rPr>
        <w:t>'</w:t>
      </w:r>
      <w:r w:rsidRPr="0001127D">
        <w:rPr>
          <w:noProof/>
        </w:rPr>
        <w:t xml:space="preserve">affidabilità dei dati sulle società contenuti nei registri delle imprese e ad </w:t>
      </w:r>
      <w:bookmarkStart w:id="16" w:name="_Toc113904542"/>
      <w:r w:rsidRPr="0001127D">
        <w:rPr>
          <w:noProof/>
        </w:rPr>
        <w:t>agevolare l</w:t>
      </w:r>
      <w:r w:rsidR="00E64452" w:rsidRPr="0001127D">
        <w:rPr>
          <w:noProof/>
        </w:rPr>
        <w:t>'</w:t>
      </w:r>
      <w:r w:rsidRPr="0001127D">
        <w:rPr>
          <w:noProof/>
        </w:rPr>
        <w:t>utilizzo di tali dati in caso di costituzione di succursali e controllate transfrontaliere, nonché nell</w:t>
      </w:r>
      <w:r w:rsidR="00E64452" w:rsidRPr="0001127D">
        <w:rPr>
          <w:noProof/>
        </w:rPr>
        <w:t>'</w:t>
      </w:r>
      <w:r w:rsidRPr="0001127D">
        <w:rPr>
          <w:noProof/>
        </w:rPr>
        <w:t>ambito di altre attività e situazioni transfrontaliere</w:t>
      </w:r>
      <w:bookmarkEnd w:id="16"/>
      <w:r w:rsidRPr="0001127D">
        <w:rPr>
          <w:noProof/>
        </w:rPr>
        <w:t>. In tale contesto la proposta si baserà sulle disposizioni vigenti della direttiva codificata sul diritto societario, ampliandone la portata.</w:t>
      </w:r>
      <w:r w:rsidR="00E64452" w:rsidRPr="0001127D">
        <w:rPr>
          <w:noProof/>
        </w:rPr>
        <w:t xml:space="preserve"> </w:t>
      </w:r>
    </w:p>
    <w:p w14:paraId="745A25EC" w14:textId="7093A67D" w:rsidR="00B9068C" w:rsidRPr="0001127D" w:rsidRDefault="37A9E93B" w:rsidP="00B9068C">
      <w:pPr>
        <w:pBdr>
          <w:top w:val="nil"/>
          <w:left w:val="nil"/>
          <w:bottom w:val="nil"/>
          <w:right w:val="nil"/>
          <w:between w:val="nil"/>
          <w:bar w:val="nil"/>
        </w:pBdr>
        <w:spacing w:before="0" w:after="240"/>
        <w:rPr>
          <w:rFonts w:eastAsia="Calibri"/>
          <w:noProof/>
          <w:szCs w:val="24"/>
        </w:rPr>
      </w:pPr>
      <w:r w:rsidRPr="0001127D">
        <w:rPr>
          <w:noProof/>
        </w:rPr>
        <w:t>La direttiva (UE) 2019/1151 (direttiva sulla digitalizzazione) si è incentrata sulla necessità di rendere le procedure di diritto societario interamente disponibili online e ha stabilito norme per la costituzione interamente online di società di capitali, la registrazione delle succursali e la presentazione interamente online di documenti ai registri delle imprese</w:t>
      </w:r>
      <w:r w:rsidRPr="0001127D">
        <w:rPr>
          <w:rStyle w:val="FootnoteReference"/>
          <w:noProof/>
        </w:rPr>
        <w:footnoteReference w:id="7"/>
      </w:r>
      <w:r w:rsidRPr="0001127D">
        <w:rPr>
          <w:noProof/>
        </w:rPr>
        <w:t>. La presente proposta integra tale direttiva, ma si concentra su altre questioni in cui la digitalizzazione è necessaria nel diritto societario dell</w:t>
      </w:r>
      <w:r w:rsidR="00E64452" w:rsidRPr="0001127D">
        <w:rPr>
          <w:noProof/>
        </w:rPr>
        <w:t>'</w:t>
      </w:r>
      <w:r w:rsidRPr="0001127D">
        <w:rPr>
          <w:noProof/>
        </w:rPr>
        <w:t>UE, in particolare affrontando la questione della disponibilità e dell</w:t>
      </w:r>
      <w:r w:rsidR="00E64452" w:rsidRPr="0001127D">
        <w:rPr>
          <w:noProof/>
        </w:rPr>
        <w:t>'</w:t>
      </w:r>
      <w:r w:rsidRPr="0001127D">
        <w:rPr>
          <w:noProof/>
        </w:rPr>
        <w:t>affidabilità delle informazioni sulle società nei registri delle imprese e nel BRIS e il loro utilizzo in situazioni transfrontaliere.</w:t>
      </w:r>
      <w:r w:rsidR="00E64452" w:rsidRPr="0001127D">
        <w:rPr>
          <w:noProof/>
        </w:rPr>
        <w:t xml:space="preserve"> </w:t>
      </w:r>
    </w:p>
    <w:p w14:paraId="416DBE87" w14:textId="33FC9227" w:rsidR="00052DA1" w:rsidRPr="0001127D" w:rsidRDefault="00B9068C" w:rsidP="00660ED3">
      <w:pPr>
        <w:pBdr>
          <w:top w:val="nil"/>
          <w:left w:val="nil"/>
          <w:bottom w:val="nil"/>
          <w:right w:val="nil"/>
          <w:between w:val="nil"/>
          <w:bar w:val="nil"/>
        </w:pBdr>
        <w:spacing w:before="0" w:after="240"/>
        <w:rPr>
          <w:noProof/>
        </w:rPr>
      </w:pPr>
      <w:r w:rsidRPr="0001127D">
        <w:rPr>
          <w:noProof/>
        </w:rPr>
        <w:t>La proposta sviluppa ed estende l</w:t>
      </w:r>
      <w:r w:rsidR="00E64452" w:rsidRPr="0001127D">
        <w:rPr>
          <w:noProof/>
        </w:rPr>
        <w:t>'</w:t>
      </w:r>
      <w:r w:rsidRPr="0001127D">
        <w:rPr>
          <w:noProof/>
        </w:rPr>
        <w:t>utilizzo del BRIS senza alterarne il funzionamento o l</w:t>
      </w:r>
      <w:r w:rsidR="00E64452" w:rsidRPr="0001127D">
        <w:rPr>
          <w:noProof/>
        </w:rPr>
        <w:t>'</w:t>
      </w:r>
      <w:r w:rsidRPr="0001127D">
        <w:rPr>
          <w:noProof/>
        </w:rPr>
        <w:t>infrastruttura. Il BRIS si basa sugli obblighi giuridici stabiliti dalla direttiva 2012/17/UE e dal regolamento di esecuzione (UE) 2021/1042 della Commissione. La proposta renderà disponibile un maggior numero di informazioni sulle società attraverso il BRIS e introdurrà più scambi di informazioni tra i registri delle imprese (per l</w:t>
      </w:r>
      <w:r w:rsidR="00E64452" w:rsidRPr="0001127D">
        <w:rPr>
          <w:noProof/>
        </w:rPr>
        <w:t>'</w:t>
      </w:r>
      <w:r w:rsidRPr="0001127D">
        <w:rPr>
          <w:noProof/>
        </w:rPr>
        <w:t xml:space="preserve">applicazione del principio </w:t>
      </w:r>
      <w:r w:rsidR="00E64452" w:rsidRPr="0001127D">
        <w:rPr>
          <w:noProof/>
        </w:rPr>
        <w:t>"</w:t>
      </w:r>
      <w:r w:rsidRPr="0001127D">
        <w:rPr>
          <w:noProof/>
        </w:rPr>
        <w:t>una tantum</w:t>
      </w:r>
      <w:r w:rsidR="00E64452" w:rsidRPr="0001127D">
        <w:rPr>
          <w:noProof/>
        </w:rPr>
        <w:t>"</w:t>
      </w:r>
      <w:r w:rsidRPr="0001127D">
        <w:rPr>
          <w:noProof/>
        </w:rPr>
        <w:t>) attraverso il BRIS. Essa consentirà inoltre di collegare il BRIS agli altri sistemi di interconnessione dei registri a livello dell</w:t>
      </w:r>
      <w:r w:rsidR="00E64452" w:rsidRPr="0001127D">
        <w:rPr>
          <w:noProof/>
        </w:rPr>
        <w:t>'</w:t>
      </w:r>
      <w:r w:rsidRPr="0001127D">
        <w:rPr>
          <w:noProof/>
        </w:rPr>
        <w:t>UE.</w:t>
      </w:r>
    </w:p>
    <w:p w14:paraId="2A331B2F" w14:textId="2596B1B9" w:rsidR="00573A63" w:rsidRPr="0001127D" w:rsidRDefault="00573A63" w:rsidP="00660ED3">
      <w:pPr>
        <w:pStyle w:val="ManualHeading2"/>
        <w:rPr>
          <w:rFonts w:eastAsia="Arial Unicode MS"/>
          <w:noProof/>
        </w:rPr>
      </w:pPr>
      <w:bookmarkStart w:id="17" w:name="_Toc126762657"/>
      <w:bookmarkStart w:id="18" w:name="_Toc126826569"/>
      <w:bookmarkStart w:id="19" w:name="_Toc132359389"/>
      <w:bookmarkStart w:id="20" w:name="_Toc132359447"/>
      <w:bookmarkStart w:id="21" w:name="_Toc132359582"/>
      <w:r w:rsidRPr="0001127D">
        <w:rPr>
          <w:noProof/>
          <w:color w:val="000000"/>
          <w:u w:color="000000"/>
          <w:bdr w:val="nil"/>
        </w:rPr>
        <w:t>•</w:t>
      </w:r>
      <w:r w:rsidRPr="0001127D">
        <w:rPr>
          <w:noProof/>
        </w:rPr>
        <w:tab/>
      </w:r>
      <w:bookmarkStart w:id="22" w:name="_Hlk129363902"/>
      <w:r w:rsidRPr="0001127D">
        <w:rPr>
          <w:noProof/>
        </w:rPr>
        <w:t>Coerenza con le altre normative dell</w:t>
      </w:r>
      <w:r w:rsidR="00E64452" w:rsidRPr="0001127D">
        <w:rPr>
          <w:noProof/>
        </w:rPr>
        <w:t>'</w:t>
      </w:r>
      <w:r w:rsidRPr="0001127D">
        <w:rPr>
          <w:noProof/>
        </w:rPr>
        <w:t>Unione</w:t>
      </w:r>
      <w:bookmarkEnd w:id="17"/>
      <w:bookmarkEnd w:id="18"/>
      <w:bookmarkEnd w:id="22"/>
      <w:bookmarkEnd w:id="19"/>
      <w:bookmarkEnd w:id="20"/>
      <w:bookmarkEnd w:id="21"/>
    </w:p>
    <w:p w14:paraId="05A6A143" w14:textId="6786353E" w:rsidR="00377F78" w:rsidRPr="0001127D" w:rsidRDefault="00377F78" w:rsidP="00377F78">
      <w:pPr>
        <w:rPr>
          <w:noProof/>
        </w:rPr>
      </w:pPr>
      <w:r w:rsidRPr="0001127D">
        <w:rPr>
          <w:noProof/>
        </w:rPr>
        <w:t>Le misure proposte contribuiranno direttamente agli obiettivi di digitalizzazione stabiliti nella</w:t>
      </w:r>
      <w:r w:rsidRPr="0001127D">
        <w:rPr>
          <w:noProof/>
          <w:color w:val="000000" w:themeColor="text1"/>
        </w:rPr>
        <w:t xml:space="preserve"> comunicazione </w:t>
      </w:r>
      <w:r w:rsidRPr="0001127D">
        <w:rPr>
          <w:i/>
          <w:noProof/>
          <w:color w:val="000000" w:themeColor="text1"/>
        </w:rPr>
        <w:t>Bussola per il digitale 2030</w:t>
      </w:r>
      <w:r w:rsidRPr="0001127D">
        <w:rPr>
          <w:rStyle w:val="FootnoteReference"/>
          <w:noProof/>
        </w:rPr>
        <w:footnoteReference w:id="8"/>
      </w:r>
      <w:r w:rsidRPr="0001127D">
        <w:rPr>
          <w:noProof/>
          <w:color w:val="000000" w:themeColor="text1"/>
        </w:rPr>
        <w:t>, in particolare per avvicinarsi all</w:t>
      </w:r>
      <w:r w:rsidR="00E64452" w:rsidRPr="0001127D">
        <w:rPr>
          <w:noProof/>
          <w:color w:val="000000" w:themeColor="text1"/>
        </w:rPr>
        <w:t>'</w:t>
      </w:r>
      <w:r w:rsidRPr="0001127D">
        <w:rPr>
          <w:noProof/>
          <w:color w:val="000000" w:themeColor="text1"/>
        </w:rPr>
        <w:t xml:space="preserve">obiettivo di rendere disponibile online il 100 % dei servizi pubblici fondamentali per i cittadini e le imprese europei entro il 2030 e creare amministrazioni pubbliche connesse, anche attraverso il ricorso al principio </w:t>
      </w:r>
      <w:r w:rsidR="00E64452" w:rsidRPr="0001127D">
        <w:rPr>
          <w:noProof/>
          <w:color w:val="000000" w:themeColor="text1"/>
        </w:rPr>
        <w:t>"</w:t>
      </w:r>
      <w:r w:rsidRPr="0001127D">
        <w:rPr>
          <w:noProof/>
          <w:color w:val="000000" w:themeColor="text1"/>
        </w:rPr>
        <w:t>una tantum</w:t>
      </w:r>
      <w:r w:rsidR="00E64452" w:rsidRPr="0001127D">
        <w:rPr>
          <w:noProof/>
          <w:color w:val="000000" w:themeColor="text1"/>
        </w:rPr>
        <w:t>"</w:t>
      </w:r>
      <w:r w:rsidRPr="0001127D">
        <w:rPr>
          <w:noProof/>
          <w:color w:val="000000" w:themeColor="text1"/>
        </w:rPr>
        <w:t>. La proposta sarà inoltre in linea con l</w:t>
      </w:r>
      <w:r w:rsidR="00E64452" w:rsidRPr="0001127D">
        <w:rPr>
          <w:noProof/>
          <w:color w:val="000000" w:themeColor="text1"/>
        </w:rPr>
        <w:t>'</w:t>
      </w:r>
      <w:r w:rsidRPr="0001127D">
        <w:rPr>
          <w:noProof/>
          <w:color w:val="000000" w:themeColor="text1"/>
        </w:rPr>
        <w:t>approccio definito n</w:t>
      </w:r>
      <w:r w:rsidRPr="0001127D">
        <w:rPr>
          <w:noProof/>
        </w:rPr>
        <w:t xml:space="preserve">ella comunicazione </w:t>
      </w:r>
      <w:r w:rsidRPr="0001127D">
        <w:rPr>
          <w:i/>
          <w:noProof/>
        </w:rPr>
        <w:t>Digitalizzazione della giustizia nell</w:t>
      </w:r>
      <w:r w:rsidR="00E64452" w:rsidRPr="0001127D">
        <w:rPr>
          <w:i/>
          <w:noProof/>
        </w:rPr>
        <w:t>'</w:t>
      </w:r>
      <w:r w:rsidRPr="0001127D">
        <w:rPr>
          <w:i/>
          <w:noProof/>
        </w:rPr>
        <w:t>Unione europea</w:t>
      </w:r>
      <w:r w:rsidRPr="0001127D">
        <w:rPr>
          <w:rStyle w:val="FootnoteReference"/>
          <w:noProof/>
        </w:rPr>
        <w:footnoteReference w:id="9"/>
      </w:r>
      <w:r w:rsidRPr="0001127D">
        <w:rPr>
          <w:noProof/>
        </w:rPr>
        <w:t>, che ha sottolineato l</w:t>
      </w:r>
      <w:r w:rsidR="00E64452" w:rsidRPr="0001127D">
        <w:rPr>
          <w:noProof/>
        </w:rPr>
        <w:t>'</w:t>
      </w:r>
      <w:r w:rsidRPr="0001127D">
        <w:rPr>
          <w:noProof/>
        </w:rPr>
        <w:t>importanza degli strumenti digitali per consentire alle imprese di accedere a informazioni, interagire con le autorità nazionali e beneficiare di un accesso effettivo alla giustizia.</w:t>
      </w:r>
    </w:p>
    <w:p w14:paraId="648529E1" w14:textId="67A73A02" w:rsidR="00377F78" w:rsidRPr="0001127D" w:rsidRDefault="00377F78" w:rsidP="00615EFE">
      <w:pPr>
        <w:rPr>
          <w:noProof/>
        </w:rPr>
      </w:pPr>
      <w:r w:rsidRPr="0001127D">
        <w:rPr>
          <w:noProof/>
        </w:rPr>
        <w:t>Le misure proposte mirano a facilitare l</w:t>
      </w:r>
      <w:r w:rsidR="00E64452" w:rsidRPr="0001127D">
        <w:rPr>
          <w:noProof/>
        </w:rPr>
        <w:t>'</w:t>
      </w:r>
      <w:r w:rsidRPr="0001127D">
        <w:rPr>
          <w:noProof/>
        </w:rPr>
        <w:t xml:space="preserve">espansione transfrontaliera delle PMI, in particolare abolendo o riducendo le formalità necessarie per utilizzare le informazioni sulle società in situazioni transfrontaliere e per la costituzione di controllate e succursali in altri Stati membri. Esse rispondono inoltre direttamente alle comunicazioni </w:t>
      </w:r>
      <w:r w:rsidRPr="0001127D">
        <w:rPr>
          <w:i/>
          <w:noProof/>
        </w:rPr>
        <w:t>Aggiornamento della nuova strategia industriale 2020</w:t>
      </w:r>
      <w:r w:rsidRPr="0001127D">
        <w:rPr>
          <w:rStyle w:val="FootnoteReference"/>
          <w:noProof/>
        </w:rPr>
        <w:footnoteReference w:id="10"/>
      </w:r>
      <w:r w:rsidRPr="0001127D">
        <w:rPr>
          <w:noProof/>
        </w:rPr>
        <w:t xml:space="preserve"> e </w:t>
      </w:r>
      <w:r w:rsidRPr="0001127D">
        <w:rPr>
          <w:i/>
          <w:noProof/>
        </w:rPr>
        <w:t>Una strategia per le PMI per un</w:t>
      </w:r>
      <w:r w:rsidR="00E64452" w:rsidRPr="0001127D">
        <w:rPr>
          <w:i/>
          <w:noProof/>
        </w:rPr>
        <w:t>'</w:t>
      </w:r>
      <w:r w:rsidRPr="0001127D">
        <w:rPr>
          <w:i/>
          <w:noProof/>
        </w:rPr>
        <w:t>Europa sostenibile e digitale</w:t>
      </w:r>
      <w:r w:rsidRPr="0001127D">
        <w:rPr>
          <w:rStyle w:val="FootnoteReference"/>
          <w:noProof/>
        </w:rPr>
        <w:footnoteReference w:id="11"/>
      </w:r>
      <w:r w:rsidRPr="0001127D">
        <w:rPr>
          <w:noProof/>
        </w:rPr>
        <w:t xml:space="preserve">. La strategia per le PMI menzionava in particolare </w:t>
      </w:r>
      <w:r w:rsidR="00E64452" w:rsidRPr="0001127D">
        <w:rPr>
          <w:noProof/>
        </w:rPr>
        <w:t>"</w:t>
      </w:r>
      <w:r w:rsidRPr="0001127D">
        <w:rPr>
          <w:noProof/>
        </w:rPr>
        <w:t>la Commissione approfondirà e valuterà la necessità di ulteriori misure di diritto societario per facilitare la crescita e l</w:t>
      </w:r>
      <w:r w:rsidR="00E64452" w:rsidRPr="0001127D">
        <w:rPr>
          <w:noProof/>
        </w:rPr>
        <w:t>'</w:t>
      </w:r>
      <w:r w:rsidRPr="0001127D">
        <w:rPr>
          <w:noProof/>
        </w:rPr>
        <w:t>espansione transfrontaliera delle PMI</w:t>
      </w:r>
      <w:r w:rsidR="00E64452" w:rsidRPr="0001127D">
        <w:rPr>
          <w:noProof/>
        </w:rPr>
        <w:t>"</w:t>
      </w:r>
      <w:r w:rsidRPr="0001127D">
        <w:rPr>
          <w:noProof/>
        </w:rPr>
        <w:t>.</w:t>
      </w:r>
    </w:p>
    <w:p w14:paraId="63A492D3" w14:textId="2AA19C02" w:rsidR="00377F78" w:rsidRPr="0001127D" w:rsidRDefault="00CC37DC" w:rsidP="00615EFE">
      <w:pPr>
        <w:rPr>
          <w:noProof/>
        </w:rPr>
      </w:pPr>
      <w:r w:rsidRPr="0001127D">
        <w:rPr>
          <w:noProof/>
        </w:rPr>
        <w:t>Nel complesso, la proposta sarà pertinente in risposta all</w:t>
      </w:r>
      <w:r w:rsidR="00E64452" w:rsidRPr="0001127D">
        <w:rPr>
          <w:noProof/>
        </w:rPr>
        <w:t>'</w:t>
      </w:r>
      <w:r w:rsidRPr="0001127D">
        <w:rPr>
          <w:noProof/>
        </w:rPr>
        <w:t xml:space="preserve">invito formulato dal Consiglio europeo, nelle sue conclusioni del 24 e 25 marzo 2022, a </w:t>
      </w:r>
      <w:r w:rsidR="00E64452" w:rsidRPr="0001127D">
        <w:rPr>
          <w:noProof/>
        </w:rPr>
        <w:t>"</w:t>
      </w:r>
      <w:r w:rsidRPr="0001127D">
        <w:rPr>
          <w:noProof/>
        </w:rPr>
        <w:t>completare il mercato unico, in particolare per quanto riguarda il digitale e i servizi</w:t>
      </w:r>
      <w:r w:rsidR="00E64452" w:rsidRPr="0001127D">
        <w:rPr>
          <w:noProof/>
        </w:rPr>
        <w:t>"</w:t>
      </w:r>
      <w:r w:rsidRPr="0001127D">
        <w:rPr>
          <w:noProof/>
        </w:rPr>
        <w:t xml:space="preserve"> e </w:t>
      </w:r>
      <w:r w:rsidR="00E64452" w:rsidRPr="0001127D">
        <w:rPr>
          <w:noProof/>
        </w:rPr>
        <w:t>"</w:t>
      </w:r>
      <w:r w:rsidRPr="0001127D">
        <w:rPr>
          <w:noProof/>
        </w:rPr>
        <w:t>monitorare attentamente e prevenire le strozzature nonché eliminare gli oneri amministrativi e gli ostacoli ingiustificati rimanenti, evitandone di nuovi</w:t>
      </w:r>
      <w:r w:rsidR="00E64452" w:rsidRPr="0001127D">
        <w:rPr>
          <w:noProof/>
        </w:rPr>
        <w:t>"</w:t>
      </w:r>
      <w:r w:rsidRPr="0001127D">
        <w:rPr>
          <w:rStyle w:val="FootnoteReference"/>
          <w:noProof/>
        </w:rPr>
        <w:footnoteReference w:id="12"/>
      </w:r>
      <w:r w:rsidRPr="0001127D">
        <w:rPr>
          <w:noProof/>
        </w:rPr>
        <w:t>.</w:t>
      </w:r>
    </w:p>
    <w:p w14:paraId="3BA18CAF" w14:textId="7745481F" w:rsidR="00A345B7" w:rsidRPr="0001127D" w:rsidRDefault="00542EB2" w:rsidP="009F7184">
      <w:pPr>
        <w:rPr>
          <w:rFonts w:eastAsia="Calibri"/>
          <w:noProof/>
          <w:szCs w:val="24"/>
        </w:rPr>
      </w:pPr>
      <w:r w:rsidRPr="0001127D">
        <w:rPr>
          <w:noProof/>
        </w:rPr>
        <w:t>La proposta, in particolare attraverso misure volte a migliorare i controlli ex ante dei dati sulle società e ad accrescere la trasparenza, contribuirà anche alla lotta contro gli abusi delle strutture del diritto societario e all</w:t>
      </w:r>
      <w:r w:rsidR="00E64452" w:rsidRPr="0001127D">
        <w:rPr>
          <w:noProof/>
        </w:rPr>
        <w:t>'</w:t>
      </w:r>
      <w:r w:rsidRPr="0001127D">
        <w:rPr>
          <w:noProof/>
        </w:rPr>
        <w:t>imposizione efficace di sanzioni dell</w:t>
      </w:r>
      <w:r w:rsidR="00E64452" w:rsidRPr="0001127D">
        <w:rPr>
          <w:noProof/>
        </w:rPr>
        <w:t>'</w:t>
      </w:r>
      <w:r w:rsidRPr="0001127D">
        <w:rPr>
          <w:noProof/>
        </w:rPr>
        <w:t>UE nei confronti delle società che compiono tali abusi.</w:t>
      </w:r>
      <w:r w:rsidR="00E64452" w:rsidRPr="0001127D">
        <w:rPr>
          <w:noProof/>
        </w:rPr>
        <w:t xml:space="preserve"> </w:t>
      </w:r>
    </w:p>
    <w:p w14:paraId="3F9EDBDB" w14:textId="79443865" w:rsidR="00CE763C" w:rsidRPr="0001127D" w:rsidRDefault="73394A3C" w:rsidP="009F7184">
      <w:pPr>
        <w:rPr>
          <w:noProof/>
        </w:rPr>
      </w:pPr>
      <w:r w:rsidRPr="0001127D">
        <w:rPr>
          <w:noProof/>
        </w:rPr>
        <w:t>La proposta è complementare e coerente con altre iniziative in corso in materia di digitalizzazione. Ad esempio, essa presenta uno stretto legame con il regolamento eIDAS</w:t>
      </w:r>
      <w:r w:rsidRPr="0001127D">
        <w:rPr>
          <w:rStyle w:val="FootnoteReference"/>
          <w:noProof/>
        </w:rPr>
        <w:footnoteReference w:id="13"/>
      </w:r>
      <w:r w:rsidRPr="0001127D">
        <w:rPr>
          <w:noProof/>
        </w:rPr>
        <w:t xml:space="preserve"> e con la proposta del 2021 di modifica di tale regolamento per quanto riguarda l</w:t>
      </w:r>
      <w:r w:rsidR="00E64452" w:rsidRPr="0001127D">
        <w:rPr>
          <w:noProof/>
        </w:rPr>
        <w:t>'</w:t>
      </w:r>
      <w:r w:rsidRPr="0001127D">
        <w:rPr>
          <w:noProof/>
        </w:rPr>
        <w:t>istituzione di un quadro per un</w:t>
      </w:r>
      <w:r w:rsidR="00E64452" w:rsidRPr="0001127D">
        <w:rPr>
          <w:noProof/>
        </w:rPr>
        <w:t>'</w:t>
      </w:r>
      <w:r w:rsidRPr="0001127D">
        <w:rPr>
          <w:noProof/>
        </w:rPr>
        <w:t>identità digitale europea</w:t>
      </w:r>
      <w:r w:rsidRPr="0001127D">
        <w:rPr>
          <w:rStyle w:val="FootnoteReference"/>
          <w:noProof/>
        </w:rPr>
        <w:footnoteReference w:id="14"/>
      </w:r>
      <w:r w:rsidRPr="0001127D">
        <w:rPr>
          <w:noProof/>
        </w:rPr>
        <w:t>. La direttiva sulla digitalizzazione del 2019 prevedeva già l</w:t>
      </w:r>
      <w:r w:rsidR="00E64452" w:rsidRPr="0001127D">
        <w:rPr>
          <w:noProof/>
        </w:rPr>
        <w:t>'</w:t>
      </w:r>
      <w:r w:rsidRPr="0001127D">
        <w:rPr>
          <w:noProof/>
        </w:rPr>
        <w:t>uso dell</w:t>
      </w:r>
      <w:r w:rsidR="00E64452" w:rsidRPr="0001127D">
        <w:rPr>
          <w:noProof/>
        </w:rPr>
        <w:t>'</w:t>
      </w:r>
      <w:r w:rsidRPr="0001127D">
        <w:rPr>
          <w:noProof/>
        </w:rPr>
        <w:t>identificazione elettronica e dei servizi fiduciari attraverso il regolamento eIDAS per l</w:t>
      </w:r>
      <w:r w:rsidR="00E64452" w:rsidRPr="0001127D">
        <w:rPr>
          <w:noProof/>
        </w:rPr>
        <w:t>'</w:t>
      </w:r>
      <w:r w:rsidRPr="0001127D">
        <w:rPr>
          <w:noProof/>
        </w:rPr>
        <w:t>identificazione elettronica nelle procedure di diritto societario. L</w:t>
      </w:r>
      <w:r w:rsidR="00E64452" w:rsidRPr="0001127D">
        <w:rPr>
          <w:noProof/>
        </w:rPr>
        <w:t>'</w:t>
      </w:r>
      <w:r w:rsidRPr="0001127D">
        <w:rPr>
          <w:noProof/>
        </w:rPr>
        <w:t>attuale proposta si basa inoltre sull</w:t>
      </w:r>
      <w:r w:rsidR="00E64452" w:rsidRPr="0001127D">
        <w:rPr>
          <w:noProof/>
        </w:rPr>
        <w:t>'</w:t>
      </w:r>
      <w:r w:rsidRPr="0001127D">
        <w:rPr>
          <w:noProof/>
        </w:rPr>
        <w:t>uso di servizi fiduciari (ad es. per garantire che il certificato delle società UE e la procura digitale dell</w:t>
      </w:r>
      <w:r w:rsidR="00E64452" w:rsidRPr="0001127D">
        <w:rPr>
          <w:noProof/>
        </w:rPr>
        <w:t>'</w:t>
      </w:r>
      <w:r w:rsidRPr="0001127D">
        <w:rPr>
          <w:noProof/>
        </w:rPr>
        <w:t>UE proposti siano riconosciuti in misura tale da poter fare affidamento su di essi in situazioni transfrontaliere) e sarà allineata ai nuovi strumenti digitali, ad es. al portafoglio europeo di identità digitale, introdotto nell</w:t>
      </w:r>
      <w:r w:rsidR="00E64452" w:rsidRPr="0001127D">
        <w:rPr>
          <w:noProof/>
        </w:rPr>
        <w:t>'</w:t>
      </w:r>
      <w:r w:rsidRPr="0001127D">
        <w:rPr>
          <w:noProof/>
        </w:rPr>
        <w:t>ambito della revisione in corso del quadro eIDAS.</w:t>
      </w:r>
    </w:p>
    <w:p w14:paraId="4C6548EF" w14:textId="42179881" w:rsidR="00321FD2" w:rsidRPr="0001127D" w:rsidRDefault="47E7CBFA" w:rsidP="00CE763C">
      <w:pPr>
        <w:rPr>
          <w:rFonts w:cstheme="minorHAnsi"/>
          <w:noProof/>
        </w:rPr>
      </w:pPr>
      <w:bookmarkStart w:id="23" w:name="_Hlk129363878"/>
      <w:r w:rsidRPr="0001127D">
        <w:rPr>
          <w:noProof/>
        </w:rPr>
        <w:t>La proposta è inoltre complementare ad altre norme e iniziative dell</w:t>
      </w:r>
      <w:r w:rsidR="00E64452" w:rsidRPr="0001127D">
        <w:rPr>
          <w:noProof/>
        </w:rPr>
        <w:t>'</w:t>
      </w:r>
      <w:r w:rsidRPr="0001127D">
        <w:rPr>
          <w:noProof/>
        </w:rPr>
        <w:t>UE volte ad accrescere la trasparenza sulle società. Queste comprendono la direttiva antiriciclaggio</w:t>
      </w:r>
      <w:r w:rsidRPr="0001127D">
        <w:rPr>
          <w:rStyle w:val="FootnoteReference"/>
          <w:noProof/>
        </w:rPr>
        <w:footnoteReference w:id="15"/>
      </w:r>
      <w:r w:rsidRPr="0001127D">
        <w:rPr>
          <w:noProof/>
        </w:rPr>
        <w:t>, che si concentra sulle informazioni sulla titolarità effettiva, o il regolamento relativo alle procedure di insolvenza</w:t>
      </w:r>
      <w:r w:rsidRPr="0001127D">
        <w:rPr>
          <w:rStyle w:val="FootnoteReference"/>
          <w:noProof/>
        </w:rPr>
        <w:footnoteReference w:id="16"/>
      </w:r>
      <w:r w:rsidRPr="0001127D">
        <w:rPr>
          <w:noProof/>
        </w:rPr>
        <w:t>, che riguarda le informazioni sulle entità insolventi disponibili nei registri fallimentari. In particolare, la proposta mira a collegare il BRIS al sistema di interconnessione dei registri dei titolari effettivi (BORIS)</w:t>
      </w:r>
      <w:r w:rsidRPr="0001127D">
        <w:rPr>
          <w:rStyle w:val="FootnoteReference"/>
          <w:noProof/>
        </w:rPr>
        <w:footnoteReference w:id="17"/>
      </w:r>
      <w:r w:rsidRPr="0001127D">
        <w:rPr>
          <w:noProof/>
        </w:rPr>
        <w:t xml:space="preserve"> e al sistema di interconnessione dei registri fallimentari (IRI)</w:t>
      </w:r>
      <w:r w:rsidRPr="0001127D">
        <w:rPr>
          <w:rStyle w:val="FootnoteReference"/>
          <w:noProof/>
        </w:rPr>
        <w:footnoteReference w:id="18"/>
      </w:r>
      <w:r w:rsidRPr="0001127D">
        <w:rPr>
          <w:noProof/>
        </w:rPr>
        <w:t>, senza modificare o eludere le norme e i limiti all</w:t>
      </w:r>
      <w:r w:rsidR="00E64452" w:rsidRPr="0001127D">
        <w:rPr>
          <w:noProof/>
        </w:rPr>
        <w:t>'</w:t>
      </w:r>
      <w:r w:rsidRPr="0001127D">
        <w:rPr>
          <w:noProof/>
        </w:rPr>
        <w:t>accesso alle informazioni disponibili in tali sistemi di interconnessione. La presente proposta è pertinente per le recenti iniziative in materia fiscale, ad esempio la proposta volta a prevenire l</w:t>
      </w:r>
      <w:r w:rsidR="00E64452" w:rsidRPr="0001127D">
        <w:rPr>
          <w:noProof/>
        </w:rPr>
        <w:t>'</w:t>
      </w:r>
      <w:r w:rsidRPr="0001127D">
        <w:rPr>
          <w:noProof/>
        </w:rPr>
        <w:t>uso improprio di entità di comodo a fini fiscali</w:t>
      </w:r>
      <w:r w:rsidRPr="0001127D">
        <w:rPr>
          <w:rStyle w:val="FootnoteReference"/>
          <w:noProof/>
        </w:rPr>
        <w:footnoteReference w:id="19"/>
      </w:r>
      <w:r w:rsidRPr="0001127D">
        <w:rPr>
          <w:noProof/>
        </w:rPr>
        <w:t>, in quanto una maggiore trasparenza e dati sulle società più affidabili aiuteranno le autorità fiscali anche nell</w:t>
      </w:r>
      <w:r w:rsidR="00E64452" w:rsidRPr="0001127D">
        <w:rPr>
          <w:noProof/>
        </w:rPr>
        <w:t>'</w:t>
      </w:r>
      <w:r w:rsidRPr="0001127D">
        <w:rPr>
          <w:noProof/>
        </w:rPr>
        <w:t>ambito di tali iniziative.</w:t>
      </w:r>
      <w:bookmarkEnd w:id="23"/>
    </w:p>
    <w:p w14:paraId="64ABD3A3" w14:textId="6A107ACB" w:rsidR="00841932" w:rsidRPr="0001127D" w:rsidRDefault="00E10029" w:rsidP="00F101D4">
      <w:pPr>
        <w:rPr>
          <w:noProof/>
        </w:rPr>
      </w:pPr>
      <w:r w:rsidRPr="0001127D">
        <w:rPr>
          <w:noProof/>
        </w:rPr>
        <w:t>La proposta è inoltre complementare ad altre iniziative dell</w:t>
      </w:r>
      <w:r w:rsidR="00E64452" w:rsidRPr="0001127D">
        <w:rPr>
          <w:noProof/>
        </w:rPr>
        <w:t>'</w:t>
      </w:r>
      <w:r w:rsidRPr="0001127D">
        <w:rPr>
          <w:noProof/>
        </w:rPr>
        <w:t>UE volte a semplificare le informazioni o le procedure transfrontaliere, come il regolamento sullo sportello digitale unico</w:t>
      </w:r>
      <w:r w:rsidRPr="0001127D">
        <w:rPr>
          <w:rStyle w:val="FootnoteReference"/>
          <w:noProof/>
        </w:rPr>
        <w:footnoteReference w:id="20"/>
      </w:r>
      <w:r w:rsidRPr="0001127D">
        <w:rPr>
          <w:noProof/>
          <w:vertAlign w:val="superscript"/>
        </w:rPr>
        <w:t xml:space="preserve"> </w:t>
      </w:r>
      <w:r w:rsidRPr="0001127D">
        <w:rPr>
          <w:noProof/>
        </w:rPr>
        <w:t>o la proposta relativa a un punto di accesso unico europeo</w:t>
      </w:r>
      <w:r w:rsidRPr="0001127D">
        <w:rPr>
          <w:rStyle w:val="FootnoteReference"/>
          <w:noProof/>
        </w:rPr>
        <w:footnoteReference w:id="21"/>
      </w:r>
      <w:r w:rsidRPr="0001127D">
        <w:rPr>
          <w:noProof/>
        </w:rPr>
        <w:t>. Mentre la presente proposta stabilisce la procedura di diritto societario e le norme specifiche relative alle informazioni sulle società disponibili nei registri delle imprese e/o attraverso il BRIS consentendone l</w:t>
      </w:r>
      <w:r w:rsidR="00E64452" w:rsidRPr="0001127D">
        <w:rPr>
          <w:noProof/>
        </w:rPr>
        <w:t>'</w:t>
      </w:r>
      <w:r w:rsidRPr="0001127D">
        <w:rPr>
          <w:noProof/>
        </w:rPr>
        <w:t xml:space="preserve">utilizzo diretto su base transfrontaliera, il regolamento sullo sportello unico prevede norme generali per la messa a disposizione online di informazioni, procedure e servizi di assistenza relativi al funzionamento del mercato interno. Tale regolamento esclude esplicitamente dal suo ambito di applicazione le procedure relative alla </w:t>
      </w:r>
      <w:r w:rsidRPr="0001127D">
        <w:rPr>
          <w:noProof/>
          <w:shd w:val="clear" w:color="auto" w:fill="FFFFFF"/>
        </w:rPr>
        <w:t>registrazione iniziale di un</w:t>
      </w:r>
      <w:r w:rsidR="00E64452" w:rsidRPr="0001127D">
        <w:rPr>
          <w:noProof/>
          <w:shd w:val="clear" w:color="auto" w:fill="FFFFFF"/>
        </w:rPr>
        <w:t>'</w:t>
      </w:r>
      <w:r w:rsidRPr="0001127D">
        <w:rPr>
          <w:noProof/>
          <w:shd w:val="clear" w:color="auto" w:fill="FFFFFF"/>
        </w:rPr>
        <w:t>attività commerciale nel registro delle imprese e le procedure relative alla</w:t>
      </w:r>
      <w:r w:rsidRPr="0001127D">
        <w:rPr>
          <w:b/>
          <w:noProof/>
          <w:shd w:val="clear" w:color="auto" w:fill="FFFFFF"/>
        </w:rPr>
        <w:t xml:space="preserve"> </w:t>
      </w:r>
      <w:r w:rsidRPr="0001127D">
        <w:rPr>
          <w:noProof/>
          <w:shd w:val="clear" w:color="auto" w:fill="FFFFFF"/>
        </w:rPr>
        <w:t>costituzione di imprese o società ai sensi dell</w:t>
      </w:r>
      <w:r w:rsidR="00E64452" w:rsidRPr="0001127D">
        <w:rPr>
          <w:noProof/>
          <w:shd w:val="clear" w:color="auto" w:fill="FFFFFF"/>
        </w:rPr>
        <w:t>'</w:t>
      </w:r>
      <w:r w:rsidRPr="0001127D">
        <w:rPr>
          <w:noProof/>
          <w:shd w:val="clear" w:color="auto" w:fill="FFFFFF"/>
        </w:rPr>
        <w:t>articolo</w:t>
      </w:r>
      <w:r w:rsidR="00ED523D" w:rsidRPr="0001127D">
        <w:rPr>
          <w:noProof/>
          <w:shd w:val="clear" w:color="auto" w:fill="FFFFFF"/>
        </w:rPr>
        <w:t> </w:t>
      </w:r>
      <w:r w:rsidRPr="0001127D">
        <w:rPr>
          <w:noProof/>
          <w:shd w:val="clear" w:color="auto" w:fill="FFFFFF"/>
        </w:rPr>
        <w:t>54, secondo comma, del trattato sul funzionamento dell</w:t>
      </w:r>
      <w:r w:rsidR="00E64452" w:rsidRPr="0001127D">
        <w:rPr>
          <w:noProof/>
          <w:shd w:val="clear" w:color="auto" w:fill="FFFFFF"/>
        </w:rPr>
        <w:t>'</w:t>
      </w:r>
      <w:r w:rsidRPr="0001127D">
        <w:rPr>
          <w:noProof/>
          <w:shd w:val="clear" w:color="auto" w:fill="FFFFFF"/>
        </w:rPr>
        <w:t>Unione europea (TFUE)</w:t>
      </w:r>
      <w:r w:rsidRPr="0001127D">
        <w:rPr>
          <w:noProof/>
        </w:rPr>
        <w:t>, o a qualsiasi fascicolo presentato successivamente da queste ultime poiché tali procedure richiedono un approccio globale volto a facilitare soluzioni digitali durante l</w:t>
      </w:r>
      <w:r w:rsidR="00E64452" w:rsidRPr="0001127D">
        <w:rPr>
          <w:noProof/>
        </w:rPr>
        <w:t>'</w:t>
      </w:r>
      <w:r w:rsidRPr="0001127D">
        <w:rPr>
          <w:noProof/>
        </w:rPr>
        <w:t>intero ciclo di vita di un</w:t>
      </w:r>
      <w:r w:rsidR="00E64452" w:rsidRPr="0001127D">
        <w:rPr>
          <w:noProof/>
        </w:rPr>
        <w:t>'</w:t>
      </w:r>
      <w:r w:rsidRPr="0001127D">
        <w:rPr>
          <w:noProof/>
        </w:rPr>
        <w:t>impresa</w:t>
      </w:r>
      <w:r w:rsidRPr="0001127D">
        <w:rPr>
          <w:rStyle w:val="FootnoteReference"/>
          <w:noProof/>
        </w:rPr>
        <w:footnoteReference w:id="22"/>
      </w:r>
      <w:r w:rsidRPr="0001127D">
        <w:rPr>
          <w:noProof/>
        </w:rPr>
        <w:t>. Tuttavia, al fine di garantire sinergie con lo sportello digitale unico, gli Stati membri metteranno a disposizione le informazioni circa le procedure online previste dalla presente proposta su siti web accessibili mediante lo sportello digitale unico</w:t>
      </w:r>
      <w:r w:rsidRPr="0001127D">
        <w:rPr>
          <w:rStyle w:val="FootnoteReference"/>
          <w:noProof/>
        </w:rPr>
        <w:footnoteReference w:id="23"/>
      </w:r>
      <w:r w:rsidRPr="0001127D">
        <w:rPr>
          <w:noProof/>
        </w:rPr>
        <w:t>. Il punto di accesso unico europeo, che</w:t>
      </w:r>
      <w:r w:rsidRPr="0001127D">
        <w:rPr>
          <w:b/>
          <w:noProof/>
        </w:rPr>
        <w:t xml:space="preserve"> </w:t>
      </w:r>
      <w:r w:rsidRPr="0001127D">
        <w:rPr>
          <w:noProof/>
        </w:rPr>
        <w:t xml:space="preserve">si concentra principalmente su informazioni sui mercati finanziari relative a entità e prodotti e destinate agli investitori e mira a soddisfare le esigenze del mercato, si rivolgerà a diversi utenti previsti, con informazioni e relative modalità di accesso e utilizzo diverse rispetto al BRIS, sul quale si basa la presente proposta. </w:t>
      </w:r>
    </w:p>
    <w:p w14:paraId="2EE2F3C0" w14:textId="51582E2F" w:rsidR="00F101D4" w:rsidRPr="0001127D" w:rsidRDefault="03110A91" w:rsidP="00F101D4">
      <w:pPr>
        <w:rPr>
          <w:rFonts w:eastAsia="Calibri"/>
          <w:noProof/>
        </w:rPr>
      </w:pPr>
      <w:r w:rsidRPr="0001127D">
        <w:rPr>
          <w:noProof/>
        </w:rPr>
        <w:t>La presente proposta si concentra sulle esigenze degli utenti diretti, quali le società, gli altri portatori di interessi e le autorità pubbliche, di accedere e utilizzare, nel contesto transfrontaliero, dati ufficiali affidabili e aggiornati sulle imprese provenienti dai registri delle imprese sulla base di obblighi giuridici. Pertanto essa non riguarda il riutilizzo delle informazioni sulle società contenute nei registri delle imprese a fini commerciali e non commerciali, il quale è disciplinato dalla direttiva sull</w:t>
      </w:r>
      <w:r w:rsidR="00E64452" w:rsidRPr="0001127D">
        <w:rPr>
          <w:noProof/>
        </w:rPr>
        <w:t>'</w:t>
      </w:r>
      <w:r w:rsidRPr="0001127D">
        <w:rPr>
          <w:noProof/>
        </w:rPr>
        <w:t>apertura dei dati</w:t>
      </w:r>
      <w:r w:rsidRPr="0001127D">
        <w:rPr>
          <w:rStyle w:val="FootnoteReference"/>
          <w:noProof/>
        </w:rPr>
        <w:footnoteReference w:id="24"/>
      </w:r>
      <w:r w:rsidRPr="0001127D">
        <w:rPr>
          <w:noProof/>
        </w:rPr>
        <w:t>. La proposta non contempla nemmeno l</w:t>
      </w:r>
      <w:r w:rsidR="00E64452" w:rsidRPr="0001127D">
        <w:rPr>
          <w:noProof/>
        </w:rPr>
        <w:t>'</w:t>
      </w:r>
      <w:r w:rsidRPr="0001127D">
        <w:rPr>
          <w:noProof/>
        </w:rPr>
        <w:t>obbligo previsto per i registri di imprese in qualità di registri di imprese a fini statistici, che è disciplinato dal regolamento relativo alle statistiche europee sulle imprese</w:t>
      </w:r>
      <w:r w:rsidRPr="0001127D">
        <w:rPr>
          <w:rStyle w:val="FootnoteReference"/>
          <w:noProof/>
        </w:rPr>
        <w:footnoteReference w:id="25"/>
      </w:r>
      <w:r w:rsidRPr="0001127D">
        <w:rPr>
          <w:noProof/>
        </w:rPr>
        <w:t>.</w:t>
      </w:r>
    </w:p>
    <w:p w14:paraId="53ADD6EE" w14:textId="01CFA1A0" w:rsidR="00A42D58" w:rsidRPr="0001127D" w:rsidRDefault="00A42D58" w:rsidP="00A42D58">
      <w:pPr>
        <w:pBdr>
          <w:top w:val="nil"/>
          <w:left w:val="nil"/>
          <w:bottom w:val="nil"/>
          <w:right w:val="nil"/>
          <w:between w:val="nil"/>
          <w:bar w:val="nil"/>
        </w:pBdr>
        <w:spacing w:before="0" w:after="240"/>
        <w:rPr>
          <w:noProof/>
        </w:rPr>
      </w:pPr>
      <w:bookmarkStart w:id="24" w:name="_Toc126762658"/>
      <w:bookmarkStart w:id="25" w:name="_Toc126826570"/>
      <w:r w:rsidRPr="0001127D">
        <w:rPr>
          <w:noProof/>
        </w:rPr>
        <w:t>Inoltre le disposizioni volte ad abolire la legalizzazione o formalità analoghe, come l</w:t>
      </w:r>
      <w:r w:rsidR="00E64452" w:rsidRPr="0001127D">
        <w:rPr>
          <w:noProof/>
        </w:rPr>
        <w:t>'</w:t>
      </w:r>
      <w:r w:rsidRPr="0001127D">
        <w:rPr>
          <w:noProof/>
        </w:rPr>
        <w:t>apostilla per le informazioni certificate sulle società ottenute dai registri delle imprese, sono complementari al regolamento relativo ai documenti pubblici</w:t>
      </w:r>
      <w:r w:rsidRPr="0001127D">
        <w:rPr>
          <w:rStyle w:val="FootnoteReference"/>
          <w:noProof/>
        </w:rPr>
        <w:footnoteReference w:id="26"/>
      </w:r>
      <w:r w:rsidRPr="0001127D">
        <w:rPr>
          <w:noProof/>
        </w:rPr>
        <w:t>. Ciò comprende i documenti pubblici per i cittadini (quali certificati di nascita, atti notarili di matrimonio e sentenze) e prevede che le relative copie autentiche rilasciate dalle autorità di uno Stato membro dell</w:t>
      </w:r>
      <w:r w:rsidR="00E64452" w:rsidRPr="0001127D">
        <w:rPr>
          <w:noProof/>
        </w:rPr>
        <w:t>'</w:t>
      </w:r>
      <w:r w:rsidRPr="0001127D">
        <w:rPr>
          <w:noProof/>
        </w:rPr>
        <w:t>UE debbano essere accettate come autentiche dalle autorità di un altro Stato membro dell</w:t>
      </w:r>
      <w:r w:rsidR="00E64452" w:rsidRPr="0001127D">
        <w:rPr>
          <w:noProof/>
        </w:rPr>
        <w:t>'</w:t>
      </w:r>
      <w:r w:rsidRPr="0001127D">
        <w:rPr>
          <w:noProof/>
        </w:rPr>
        <w:t>UE senza che sia necessario un timbro di autenticità (ossia l</w:t>
      </w:r>
      <w:r w:rsidR="00E64452" w:rsidRPr="0001127D">
        <w:rPr>
          <w:noProof/>
        </w:rPr>
        <w:t>'</w:t>
      </w:r>
      <w:r w:rsidRPr="0001127D">
        <w:rPr>
          <w:noProof/>
        </w:rPr>
        <w:t xml:space="preserve">apostilla). </w:t>
      </w:r>
    </w:p>
    <w:p w14:paraId="4F1B3B8E" w14:textId="77777777" w:rsidR="00573A63" w:rsidRPr="0001127D" w:rsidRDefault="00573A63" w:rsidP="00660ED3">
      <w:pPr>
        <w:pStyle w:val="ManualHeading1"/>
        <w:rPr>
          <w:noProof/>
        </w:rPr>
      </w:pPr>
      <w:bookmarkStart w:id="26" w:name="_Toc132359390"/>
      <w:bookmarkStart w:id="27" w:name="_Toc132359448"/>
      <w:bookmarkStart w:id="28" w:name="_Toc132359583"/>
      <w:r w:rsidRPr="0001127D">
        <w:rPr>
          <w:noProof/>
        </w:rPr>
        <w:t>2.</w:t>
      </w:r>
      <w:r w:rsidRPr="0001127D">
        <w:rPr>
          <w:noProof/>
        </w:rPr>
        <w:tab/>
        <w:t>BASE GIURIDICA, SUSSIDIARIETÀ E PROPORZIONALITÀ</w:t>
      </w:r>
      <w:bookmarkEnd w:id="24"/>
      <w:bookmarkEnd w:id="25"/>
      <w:bookmarkEnd w:id="26"/>
      <w:bookmarkEnd w:id="27"/>
      <w:bookmarkEnd w:id="28"/>
    </w:p>
    <w:p w14:paraId="62C8A148" w14:textId="77777777" w:rsidR="00573A63" w:rsidRPr="0001127D" w:rsidRDefault="00573A63" w:rsidP="00660ED3">
      <w:pPr>
        <w:pStyle w:val="ManualHeading2"/>
        <w:rPr>
          <w:rFonts w:eastAsia="Arial Unicode MS"/>
          <w:noProof/>
          <w:u w:color="000000"/>
          <w:bdr w:val="nil"/>
        </w:rPr>
      </w:pPr>
      <w:bookmarkStart w:id="29" w:name="_Toc126762659"/>
      <w:bookmarkStart w:id="30" w:name="_Toc126826571"/>
      <w:bookmarkStart w:id="31" w:name="_Toc132359391"/>
      <w:bookmarkStart w:id="32" w:name="_Toc132359449"/>
      <w:bookmarkStart w:id="33" w:name="_Toc132359584"/>
      <w:r w:rsidRPr="0001127D">
        <w:rPr>
          <w:noProof/>
          <w:u w:color="000000"/>
          <w:bdr w:val="nil"/>
        </w:rPr>
        <w:t>•</w:t>
      </w:r>
      <w:r w:rsidRPr="0001127D">
        <w:rPr>
          <w:noProof/>
        </w:rPr>
        <w:tab/>
      </w:r>
      <w:r w:rsidRPr="0001127D">
        <w:rPr>
          <w:noProof/>
          <w:u w:color="000000"/>
          <w:bdr w:val="nil"/>
        </w:rPr>
        <w:t>Base giuridica</w:t>
      </w:r>
      <w:bookmarkEnd w:id="29"/>
      <w:bookmarkEnd w:id="30"/>
      <w:bookmarkEnd w:id="31"/>
      <w:bookmarkEnd w:id="32"/>
      <w:bookmarkEnd w:id="33"/>
    </w:p>
    <w:p w14:paraId="45E03A2C" w14:textId="6B5BC9F7" w:rsidR="00095927" w:rsidRPr="0001127D" w:rsidRDefault="00095927" w:rsidP="00095927">
      <w:pPr>
        <w:pBdr>
          <w:top w:val="nil"/>
          <w:left w:val="nil"/>
          <w:bottom w:val="nil"/>
          <w:right w:val="nil"/>
          <w:between w:val="nil"/>
          <w:bar w:val="nil"/>
        </w:pBdr>
        <w:spacing w:before="0" w:after="240"/>
        <w:rPr>
          <w:noProof/>
        </w:rPr>
      </w:pPr>
      <w:r w:rsidRPr="0001127D">
        <w:rPr>
          <w:noProof/>
        </w:rPr>
        <w:t>La proposta si basa sull</w:t>
      </w:r>
      <w:r w:rsidR="00E64452" w:rsidRPr="0001127D">
        <w:rPr>
          <w:noProof/>
        </w:rPr>
        <w:t>'</w:t>
      </w:r>
      <w:r w:rsidRPr="0001127D">
        <w:rPr>
          <w:noProof/>
        </w:rPr>
        <w:t>articolo</w:t>
      </w:r>
      <w:r w:rsidR="00ED523D" w:rsidRPr="0001127D">
        <w:rPr>
          <w:noProof/>
        </w:rPr>
        <w:t> </w:t>
      </w:r>
      <w:r w:rsidRPr="0001127D">
        <w:rPr>
          <w:noProof/>
        </w:rPr>
        <w:t xml:space="preserve">50, paragrafi 1 e 2, TFUE, che conferisce al Parlamento europeo e al Consiglio il potere di adottare disposizioni </w:t>
      </w:r>
      <w:r w:rsidRPr="0001127D">
        <w:rPr>
          <w:noProof/>
          <w:color w:val="000000"/>
        </w:rPr>
        <w:t>per realizzare la libertà di stabilimento</w:t>
      </w:r>
      <w:r w:rsidRPr="0001127D">
        <w:rPr>
          <w:noProof/>
        </w:rPr>
        <w:t>.</w:t>
      </w:r>
      <w:r w:rsidRPr="0001127D">
        <w:rPr>
          <w:noProof/>
          <w:color w:val="000000"/>
        </w:rPr>
        <w:t xml:space="preserve"> Questa base giuridica è già stata utilizzata dal legislatore dell</w:t>
      </w:r>
      <w:r w:rsidR="00E64452" w:rsidRPr="0001127D">
        <w:rPr>
          <w:noProof/>
          <w:color w:val="000000"/>
        </w:rPr>
        <w:t>'</w:t>
      </w:r>
      <w:r w:rsidRPr="0001127D">
        <w:rPr>
          <w:noProof/>
          <w:color w:val="000000"/>
        </w:rPr>
        <w:t>UE per agire</w:t>
      </w:r>
      <w:r w:rsidRPr="0001127D">
        <w:rPr>
          <w:noProof/>
        </w:rPr>
        <w:t xml:space="preserve"> nel settore del diritto societario. In particolare, l</w:t>
      </w:r>
      <w:r w:rsidR="00E64452" w:rsidRPr="0001127D">
        <w:rPr>
          <w:noProof/>
        </w:rPr>
        <w:t>'</w:t>
      </w:r>
      <w:r w:rsidRPr="0001127D">
        <w:rPr>
          <w:noProof/>
        </w:rPr>
        <w:t>articolo</w:t>
      </w:r>
      <w:r w:rsidR="00ED523D" w:rsidRPr="0001127D">
        <w:rPr>
          <w:noProof/>
        </w:rPr>
        <w:t> </w:t>
      </w:r>
      <w:r w:rsidRPr="0001127D">
        <w:rPr>
          <w:noProof/>
        </w:rPr>
        <w:t>50, paragrafo</w:t>
      </w:r>
      <w:r w:rsidR="00ED523D" w:rsidRPr="0001127D">
        <w:rPr>
          <w:noProof/>
        </w:rPr>
        <w:t> </w:t>
      </w:r>
      <w:r w:rsidRPr="0001127D">
        <w:rPr>
          <w:noProof/>
        </w:rPr>
        <w:t>2, lettera</w:t>
      </w:r>
      <w:r w:rsidR="00ED523D" w:rsidRPr="0001127D">
        <w:rPr>
          <w:noProof/>
        </w:rPr>
        <w:t> </w:t>
      </w:r>
      <w:r w:rsidRPr="0001127D">
        <w:rPr>
          <w:noProof/>
        </w:rPr>
        <w:t xml:space="preserve">b), mira ad assicurare </w:t>
      </w:r>
      <w:r w:rsidR="00E64452" w:rsidRPr="0001127D">
        <w:rPr>
          <w:noProof/>
        </w:rPr>
        <w:t>"</w:t>
      </w:r>
      <w:r w:rsidRPr="0001127D">
        <w:rPr>
          <w:noProof/>
          <w:color w:val="000000"/>
        </w:rPr>
        <w:t>una stretta collaborazione tra le amministrazioni nazionali competenti al fine di conoscere le situazioni particolari all</w:t>
      </w:r>
      <w:r w:rsidR="00E64452" w:rsidRPr="0001127D">
        <w:rPr>
          <w:noProof/>
          <w:color w:val="000000"/>
        </w:rPr>
        <w:t>'</w:t>
      </w:r>
      <w:r w:rsidRPr="0001127D">
        <w:rPr>
          <w:noProof/>
          <w:color w:val="000000"/>
        </w:rPr>
        <w:t>interno dell</w:t>
      </w:r>
      <w:r w:rsidR="00E64452" w:rsidRPr="0001127D">
        <w:rPr>
          <w:noProof/>
          <w:color w:val="000000"/>
        </w:rPr>
        <w:t>'</w:t>
      </w:r>
      <w:r w:rsidRPr="0001127D">
        <w:rPr>
          <w:noProof/>
          <w:color w:val="000000"/>
        </w:rPr>
        <w:t>Unione delle diverse attività interessate</w:t>
      </w:r>
      <w:r w:rsidR="00E64452" w:rsidRPr="0001127D">
        <w:rPr>
          <w:noProof/>
          <w:color w:val="000000"/>
        </w:rPr>
        <w:t>"</w:t>
      </w:r>
      <w:r w:rsidRPr="0001127D">
        <w:rPr>
          <w:noProof/>
          <w:color w:val="000000"/>
        </w:rPr>
        <w:t xml:space="preserve">. </w:t>
      </w:r>
      <w:r w:rsidRPr="0001127D">
        <w:rPr>
          <w:noProof/>
        </w:rPr>
        <w:t>L</w:t>
      </w:r>
      <w:r w:rsidR="00E64452" w:rsidRPr="0001127D">
        <w:rPr>
          <w:noProof/>
        </w:rPr>
        <w:t>'</w:t>
      </w:r>
      <w:r w:rsidRPr="0001127D">
        <w:rPr>
          <w:noProof/>
        </w:rPr>
        <w:t>articolo</w:t>
      </w:r>
      <w:r w:rsidR="00ED523D" w:rsidRPr="0001127D">
        <w:rPr>
          <w:noProof/>
        </w:rPr>
        <w:t> </w:t>
      </w:r>
      <w:r w:rsidRPr="0001127D">
        <w:rPr>
          <w:noProof/>
        </w:rPr>
        <w:t>50, paragrafo</w:t>
      </w:r>
      <w:r w:rsidR="00ED523D" w:rsidRPr="0001127D">
        <w:rPr>
          <w:noProof/>
        </w:rPr>
        <w:t> </w:t>
      </w:r>
      <w:r w:rsidRPr="0001127D">
        <w:rPr>
          <w:noProof/>
        </w:rPr>
        <w:t>2</w:t>
      </w:r>
      <w:r w:rsidR="00ED523D" w:rsidRPr="0001127D">
        <w:rPr>
          <w:noProof/>
        </w:rPr>
        <w:t>, lettera </w:t>
      </w:r>
      <w:r w:rsidRPr="0001127D">
        <w:rPr>
          <w:noProof/>
        </w:rPr>
        <w:t>c), consente la soppressione delle procedure e pratiche amministrative che sono di ostacolo alla libertà di stabilimento. L</w:t>
      </w:r>
      <w:r w:rsidR="00E64452" w:rsidRPr="0001127D">
        <w:rPr>
          <w:noProof/>
        </w:rPr>
        <w:t>'</w:t>
      </w:r>
      <w:r w:rsidRPr="0001127D">
        <w:rPr>
          <w:noProof/>
        </w:rPr>
        <w:t>articolo</w:t>
      </w:r>
      <w:r w:rsidR="00ED523D" w:rsidRPr="0001127D">
        <w:rPr>
          <w:noProof/>
        </w:rPr>
        <w:t> </w:t>
      </w:r>
      <w:r w:rsidRPr="0001127D">
        <w:rPr>
          <w:noProof/>
        </w:rPr>
        <w:t>50, paragrafo</w:t>
      </w:r>
      <w:r w:rsidR="00ED523D" w:rsidRPr="0001127D">
        <w:rPr>
          <w:noProof/>
        </w:rPr>
        <w:t> </w:t>
      </w:r>
      <w:r w:rsidRPr="0001127D">
        <w:rPr>
          <w:noProof/>
        </w:rPr>
        <w:t>2, lettera</w:t>
      </w:r>
      <w:r w:rsidR="00ED523D" w:rsidRPr="0001127D">
        <w:rPr>
          <w:noProof/>
        </w:rPr>
        <w:t> </w:t>
      </w:r>
      <w:r w:rsidRPr="0001127D">
        <w:rPr>
          <w:noProof/>
        </w:rPr>
        <w:t xml:space="preserve">f), consente </w:t>
      </w:r>
      <w:r w:rsidR="00E64452" w:rsidRPr="0001127D">
        <w:rPr>
          <w:noProof/>
        </w:rPr>
        <w:t>"</w:t>
      </w:r>
      <w:r w:rsidRPr="0001127D">
        <w:rPr>
          <w:noProof/>
        </w:rPr>
        <w:t>la graduale soppressione delle restrizioni relative alla libertà di stabilimento</w:t>
      </w:r>
      <w:r w:rsidR="00E64452" w:rsidRPr="0001127D">
        <w:rPr>
          <w:noProof/>
        </w:rPr>
        <w:t>"</w:t>
      </w:r>
      <w:r w:rsidRPr="0001127D">
        <w:rPr>
          <w:noProof/>
          <w:color w:val="000000"/>
        </w:rPr>
        <w:t>, per quanto riguarda la costituzione sia di succursali che di filiali.</w:t>
      </w:r>
      <w:r w:rsidRPr="0001127D">
        <w:rPr>
          <w:noProof/>
        </w:rPr>
        <w:t xml:space="preserve"> L</w:t>
      </w:r>
      <w:r w:rsidR="00E64452" w:rsidRPr="0001127D">
        <w:rPr>
          <w:noProof/>
        </w:rPr>
        <w:t>'</w:t>
      </w:r>
      <w:r w:rsidRPr="0001127D">
        <w:rPr>
          <w:noProof/>
        </w:rPr>
        <w:t>articolo</w:t>
      </w:r>
      <w:r w:rsidR="00ED523D" w:rsidRPr="0001127D">
        <w:rPr>
          <w:noProof/>
        </w:rPr>
        <w:t> </w:t>
      </w:r>
      <w:r w:rsidRPr="0001127D">
        <w:rPr>
          <w:noProof/>
        </w:rPr>
        <w:t>50, paragrafo</w:t>
      </w:r>
      <w:r w:rsidR="00ED523D" w:rsidRPr="0001127D">
        <w:rPr>
          <w:noProof/>
        </w:rPr>
        <w:t> </w:t>
      </w:r>
      <w:r w:rsidRPr="0001127D">
        <w:rPr>
          <w:noProof/>
        </w:rPr>
        <w:t>2, lettera</w:t>
      </w:r>
      <w:r w:rsidR="00ED523D" w:rsidRPr="0001127D">
        <w:rPr>
          <w:noProof/>
        </w:rPr>
        <w:t> </w:t>
      </w:r>
      <w:r w:rsidRPr="0001127D">
        <w:rPr>
          <w:noProof/>
        </w:rPr>
        <w:t>g) consente di ricorrere a misure di coordinamento per proteggere gli interessi dei soci e di altri portatori di interessi. Migliorando la cooperazione tra le autorità degli Stati membri attraverso il sistema di interconnessione dei registri, eliminando gli ostacoli amministrativi alla libertà di stabilimento, anche per quanto riguarda la costituzione di controllate e succursali transfrontaliere, e prevedendo nuovi obblighi di pubblicità armonizzati, la presente proposta contribuirà alla realizzazione della libertà di stabilimento sancita dall</w:t>
      </w:r>
      <w:r w:rsidR="00E64452" w:rsidRPr="0001127D">
        <w:rPr>
          <w:noProof/>
        </w:rPr>
        <w:t>'</w:t>
      </w:r>
      <w:r w:rsidRPr="0001127D">
        <w:rPr>
          <w:noProof/>
        </w:rPr>
        <w:t xml:space="preserve">articolo 50 TFUE. </w:t>
      </w:r>
    </w:p>
    <w:p w14:paraId="46247CDB" w14:textId="26B2A3CE" w:rsidR="003B5E84" w:rsidRPr="0001127D" w:rsidRDefault="003B5E84" w:rsidP="004A564D">
      <w:pPr>
        <w:spacing w:after="160" w:line="259" w:lineRule="auto"/>
        <w:rPr>
          <w:rFonts w:eastAsia="Arial Unicode MS"/>
          <w:noProof/>
        </w:rPr>
      </w:pPr>
      <w:r w:rsidRPr="0001127D">
        <w:rPr>
          <w:noProof/>
        </w:rPr>
        <w:t>L</w:t>
      </w:r>
      <w:r w:rsidR="00E64452" w:rsidRPr="0001127D">
        <w:rPr>
          <w:noProof/>
        </w:rPr>
        <w:t>'</w:t>
      </w:r>
      <w:r w:rsidRPr="0001127D">
        <w:rPr>
          <w:noProof/>
        </w:rPr>
        <w:t>articolo</w:t>
      </w:r>
      <w:r w:rsidR="00ED523D" w:rsidRPr="0001127D">
        <w:rPr>
          <w:noProof/>
        </w:rPr>
        <w:t> </w:t>
      </w:r>
      <w:r w:rsidRPr="0001127D">
        <w:rPr>
          <w:noProof/>
        </w:rPr>
        <w:t>50 TFUE, in combinato disposto con l</w:t>
      </w:r>
      <w:r w:rsidR="00E64452" w:rsidRPr="0001127D">
        <w:rPr>
          <w:noProof/>
        </w:rPr>
        <w:t>'</w:t>
      </w:r>
      <w:r w:rsidRPr="0001127D">
        <w:rPr>
          <w:noProof/>
        </w:rPr>
        <w:t>articolo 114, paragrafo 1, TFUE, consente di adottare misure relative al ravvicinamento delle disposizioni legislative, regolamentari ed amministrative degli Stati membri che hanno per oggetto l</w:t>
      </w:r>
      <w:r w:rsidR="00E64452" w:rsidRPr="0001127D">
        <w:rPr>
          <w:noProof/>
        </w:rPr>
        <w:t>'</w:t>
      </w:r>
      <w:r w:rsidRPr="0001127D">
        <w:rPr>
          <w:noProof/>
        </w:rPr>
        <w:t>instaurazione ed il funzionamento del mercato interno. La presente proposta mira altresì ad affrontare la frammentazione degli approcci normativi nazionali all</w:t>
      </w:r>
      <w:r w:rsidR="00E64452" w:rsidRPr="0001127D">
        <w:rPr>
          <w:noProof/>
        </w:rPr>
        <w:t>'</w:t>
      </w:r>
      <w:r w:rsidRPr="0001127D">
        <w:rPr>
          <w:noProof/>
        </w:rPr>
        <w:t>utilizzo e all</w:t>
      </w:r>
      <w:r w:rsidR="00E64452" w:rsidRPr="0001127D">
        <w:rPr>
          <w:noProof/>
        </w:rPr>
        <w:t>'</w:t>
      </w:r>
      <w:r w:rsidRPr="0001127D">
        <w:rPr>
          <w:noProof/>
        </w:rPr>
        <w:t>accettazione transfrontalieri delle informazioni sulle società contenute nei registri delle imprese, nonché degli atti notarili o amministrativi nel contesto delle procedure previste dalla direttiva codificata sul diritto societario. La presente proposta contribuirà al funzionamento del mercato interno sancito dall</w:t>
      </w:r>
      <w:r w:rsidR="00E64452" w:rsidRPr="0001127D">
        <w:rPr>
          <w:noProof/>
        </w:rPr>
        <w:t>'</w:t>
      </w:r>
      <w:r w:rsidRPr="0001127D">
        <w:rPr>
          <w:noProof/>
        </w:rPr>
        <w:t>articolo</w:t>
      </w:r>
      <w:r w:rsidR="00ED523D" w:rsidRPr="0001127D">
        <w:rPr>
          <w:noProof/>
        </w:rPr>
        <w:t> </w:t>
      </w:r>
      <w:r w:rsidRPr="0001127D">
        <w:rPr>
          <w:noProof/>
        </w:rPr>
        <w:t>114 TFUE tramite l</w:t>
      </w:r>
      <w:r w:rsidR="00E64452" w:rsidRPr="0001127D">
        <w:rPr>
          <w:noProof/>
        </w:rPr>
        <w:t>'</w:t>
      </w:r>
      <w:r w:rsidRPr="0001127D">
        <w:rPr>
          <w:noProof/>
        </w:rPr>
        <w:t>introduzione di controlli uniformi delle informazioni sulle società prima della loro iscrizione nei registri delle imprese al fine di migliorarne l</w:t>
      </w:r>
      <w:r w:rsidR="00E64452" w:rsidRPr="0001127D">
        <w:rPr>
          <w:noProof/>
        </w:rPr>
        <w:t>'</w:t>
      </w:r>
      <w:r w:rsidRPr="0001127D">
        <w:rPr>
          <w:noProof/>
        </w:rPr>
        <w:t>affidabilità, l</w:t>
      </w:r>
      <w:r w:rsidR="00E64452" w:rsidRPr="0001127D">
        <w:rPr>
          <w:noProof/>
        </w:rPr>
        <w:t>'</w:t>
      </w:r>
      <w:r w:rsidRPr="0001127D">
        <w:rPr>
          <w:noProof/>
        </w:rPr>
        <w:t>eliminazione degli ostacoli amministrativi all</w:t>
      </w:r>
      <w:r w:rsidR="00E64452" w:rsidRPr="0001127D">
        <w:rPr>
          <w:noProof/>
        </w:rPr>
        <w:t>'</w:t>
      </w:r>
      <w:r w:rsidRPr="0001127D">
        <w:rPr>
          <w:noProof/>
        </w:rPr>
        <w:t>utilizzo di tali informazioni in situazioni transfrontaliere, anche in sede giudiziale o amministrativa, e l</w:t>
      </w:r>
      <w:r w:rsidR="00E64452" w:rsidRPr="0001127D">
        <w:rPr>
          <w:noProof/>
        </w:rPr>
        <w:t>'</w:t>
      </w:r>
      <w:r w:rsidRPr="0001127D">
        <w:rPr>
          <w:noProof/>
        </w:rPr>
        <w:t>introduzione di un certificato delle società UE armonizzato.</w:t>
      </w:r>
    </w:p>
    <w:p w14:paraId="00D6B35B" w14:textId="77777777" w:rsidR="00573A63" w:rsidRPr="0001127D" w:rsidRDefault="00573A63" w:rsidP="00660ED3">
      <w:pPr>
        <w:pStyle w:val="ManualHeading2"/>
        <w:rPr>
          <w:rFonts w:eastAsia="Arial Unicode MS"/>
          <w:noProof/>
          <w:u w:color="000000"/>
          <w:bdr w:val="nil"/>
        </w:rPr>
      </w:pPr>
      <w:bookmarkStart w:id="34" w:name="_Toc126762660"/>
      <w:bookmarkStart w:id="35" w:name="_Toc126826572"/>
      <w:bookmarkStart w:id="36" w:name="_Toc132359392"/>
      <w:bookmarkStart w:id="37" w:name="_Toc132359450"/>
      <w:bookmarkStart w:id="38" w:name="_Toc132359585"/>
      <w:r w:rsidRPr="0001127D">
        <w:rPr>
          <w:noProof/>
          <w:u w:color="000000"/>
          <w:bdr w:val="nil"/>
        </w:rPr>
        <w:t>•</w:t>
      </w:r>
      <w:r w:rsidRPr="0001127D">
        <w:rPr>
          <w:noProof/>
        </w:rPr>
        <w:tab/>
      </w:r>
      <w:r w:rsidRPr="0001127D">
        <w:rPr>
          <w:noProof/>
          <w:u w:color="000000"/>
          <w:bdr w:val="nil"/>
        </w:rPr>
        <w:t>Sussidiarietà (per la competenza non esclusiva)</w:t>
      </w:r>
      <w:bookmarkEnd w:id="34"/>
      <w:bookmarkEnd w:id="35"/>
      <w:bookmarkEnd w:id="36"/>
      <w:bookmarkEnd w:id="37"/>
      <w:bookmarkEnd w:id="38"/>
      <w:r w:rsidRPr="0001127D">
        <w:rPr>
          <w:noProof/>
          <w:u w:color="000000"/>
          <w:bdr w:val="nil"/>
        </w:rPr>
        <w:t xml:space="preserve"> </w:t>
      </w:r>
    </w:p>
    <w:p w14:paraId="47AB5CB6" w14:textId="13D4623E" w:rsidR="00377A98" w:rsidRPr="0001127D" w:rsidRDefault="1BBDA31C" w:rsidP="00535E64">
      <w:pPr>
        <w:rPr>
          <w:noProof/>
        </w:rPr>
      </w:pPr>
      <w:r w:rsidRPr="0001127D">
        <w:rPr>
          <w:noProof/>
          <w:color w:val="000000" w:themeColor="text1"/>
        </w:rPr>
        <w:t>Nel complesso la presente proposta legislativa si propone di garantire il buon funzionamento del mercato unico dell</w:t>
      </w:r>
      <w:r w:rsidR="00E64452" w:rsidRPr="0001127D">
        <w:rPr>
          <w:noProof/>
          <w:color w:val="000000" w:themeColor="text1"/>
        </w:rPr>
        <w:t>'</w:t>
      </w:r>
      <w:r w:rsidRPr="0001127D">
        <w:rPr>
          <w:noProof/>
          <w:color w:val="000000" w:themeColor="text1"/>
        </w:rPr>
        <w:t>UE agevolando l</w:t>
      </w:r>
      <w:r w:rsidR="00E64452" w:rsidRPr="0001127D">
        <w:rPr>
          <w:noProof/>
          <w:color w:val="000000" w:themeColor="text1"/>
        </w:rPr>
        <w:t>'</w:t>
      </w:r>
      <w:r w:rsidRPr="0001127D">
        <w:rPr>
          <w:noProof/>
          <w:color w:val="000000" w:themeColor="text1"/>
        </w:rPr>
        <w:t>accesso e l</w:t>
      </w:r>
      <w:r w:rsidR="00E64452" w:rsidRPr="0001127D">
        <w:rPr>
          <w:noProof/>
          <w:color w:val="000000" w:themeColor="text1"/>
        </w:rPr>
        <w:t>'</w:t>
      </w:r>
      <w:r w:rsidRPr="0001127D">
        <w:rPr>
          <w:noProof/>
          <w:color w:val="000000" w:themeColor="text1"/>
        </w:rPr>
        <w:t xml:space="preserve">utilizzo transfrontalieri delle informazioni sulle società in situazioni transfrontaliere. </w:t>
      </w:r>
      <w:r w:rsidRPr="0001127D">
        <w:rPr>
          <w:noProof/>
        </w:rPr>
        <w:t>L</w:t>
      </w:r>
      <w:r w:rsidR="00E64452" w:rsidRPr="0001127D">
        <w:rPr>
          <w:noProof/>
        </w:rPr>
        <w:t>'</w:t>
      </w:r>
      <w:r w:rsidRPr="0001127D">
        <w:rPr>
          <w:noProof/>
        </w:rPr>
        <w:t>intervento a livello dell</w:t>
      </w:r>
      <w:r w:rsidR="00E64452" w:rsidRPr="0001127D">
        <w:rPr>
          <w:noProof/>
        </w:rPr>
        <w:t>'</w:t>
      </w:r>
      <w:r w:rsidRPr="0001127D">
        <w:rPr>
          <w:noProof/>
        </w:rPr>
        <w:t xml:space="preserve">UE presenta un forte valore aggiunto, in quanto i problemi affrontati dalla presente proposta </w:t>
      </w:r>
      <w:r w:rsidRPr="0001127D">
        <w:rPr>
          <w:noProof/>
          <w:color w:val="000000" w:themeColor="text1"/>
        </w:rPr>
        <w:t>non sono limitati al territorio di uno Stato membro, ma sono di natura transfrontaliera, in particolare a causa delle discrepanze tra le legislazioni nazionali.</w:t>
      </w:r>
      <w:r w:rsidRPr="0001127D">
        <w:rPr>
          <w:noProof/>
        </w:rPr>
        <w:t xml:space="preserve"> Gli Stati membri non sono in grado di apportare da soli miglioramenti sufficienti per la risoluzione di tali problemi.</w:t>
      </w:r>
      <w:r w:rsidR="00E64452" w:rsidRPr="0001127D">
        <w:rPr>
          <w:noProof/>
        </w:rPr>
        <w:t xml:space="preserve"> </w:t>
      </w:r>
    </w:p>
    <w:p w14:paraId="141083DE" w14:textId="67441AA9" w:rsidR="00FF1213" w:rsidRPr="0001127D" w:rsidRDefault="00FF1213" w:rsidP="00FF1213">
      <w:pPr>
        <w:rPr>
          <w:noProof/>
        </w:rPr>
      </w:pPr>
      <w:r w:rsidRPr="0001127D">
        <w:rPr>
          <w:noProof/>
        </w:rPr>
        <w:t>Al fine di ampliare la portata dei dati sulle società disponibili a livello dell</w:t>
      </w:r>
      <w:r w:rsidR="00E64452" w:rsidRPr="0001127D">
        <w:rPr>
          <w:noProof/>
        </w:rPr>
        <w:t>'</w:t>
      </w:r>
      <w:r w:rsidRPr="0001127D">
        <w:rPr>
          <w:noProof/>
        </w:rPr>
        <w:t>UE attraverso il BRIS, è necessaria un</w:t>
      </w:r>
      <w:r w:rsidR="00E64452" w:rsidRPr="0001127D">
        <w:rPr>
          <w:noProof/>
        </w:rPr>
        <w:t>'</w:t>
      </w:r>
      <w:r w:rsidRPr="0001127D">
        <w:rPr>
          <w:noProof/>
        </w:rPr>
        <w:t>azione coordinata per garantire che tutti gli Stati membri dispongano dei dati nei rispettivi registri delle imprese e che i dati siano accessibili in un formato comparabile e multilingue in modo centralizzato a livello dell</w:t>
      </w:r>
      <w:r w:rsidR="00E64452" w:rsidRPr="0001127D">
        <w:rPr>
          <w:noProof/>
        </w:rPr>
        <w:t>'</w:t>
      </w:r>
      <w:r w:rsidRPr="0001127D">
        <w:rPr>
          <w:noProof/>
        </w:rPr>
        <w:t>UE attraverso il sistema di interconnessione dei registri. Tale sistema è già esistente e operativo a livello dell</w:t>
      </w:r>
      <w:r w:rsidR="00E64452" w:rsidRPr="0001127D">
        <w:rPr>
          <w:noProof/>
        </w:rPr>
        <w:t>'</w:t>
      </w:r>
      <w:r w:rsidRPr="0001127D">
        <w:rPr>
          <w:noProof/>
        </w:rPr>
        <w:t>UE. Analogamente, è necessaria un</w:t>
      </w:r>
      <w:r w:rsidR="00E64452" w:rsidRPr="0001127D">
        <w:rPr>
          <w:noProof/>
        </w:rPr>
        <w:t>'</w:t>
      </w:r>
      <w:r w:rsidRPr="0001127D">
        <w:rPr>
          <w:noProof/>
        </w:rPr>
        <w:t>azione coordinata per garantire che i dati sulle società siano oggetto di controlli comuni prima della loro iscrizione nei registri nazionali delle imprese, al fine di migliorarne l</w:t>
      </w:r>
      <w:r w:rsidR="00E64452" w:rsidRPr="0001127D">
        <w:rPr>
          <w:noProof/>
        </w:rPr>
        <w:t>'</w:t>
      </w:r>
      <w:r w:rsidRPr="0001127D">
        <w:rPr>
          <w:noProof/>
        </w:rPr>
        <w:t>affidabilità e agevolarne l</w:t>
      </w:r>
      <w:r w:rsidR="00E64452" w:rsidRPr="0001127D">
        <w:rPr>
          <w:noProof/>
        </w:rPr>
        <w:t>'</w:t>
      </w:r>
      <w:r w:rsidRPr="0001127D">
        <w:rPr>
          <w:noProof/>
        </w:rPr>
        <w:t>utilizzo in situazioni transfrontaliere. Inoltre, al fine di consentire l</w:t>
      </w:r>
      <w:r w:rsidR="00E64452" w:rsidRPr="0001127D">
        <w:rPr>
          <w:noProof/>
        </w:rPr>
        <w:t>'</w:t>
      </w:r>
      <w:r w:rsidRPr="0001127D">
        <w:rPr>
          <w:noProof/>
        </w:rPr>
        <w:t>utilizzo transfrontaliero dei dati sulle società, compresa l</w:t>
      </w:r>
      <w:r w:rsidR="00E64452" w:rsidRPr="0001127D">
        <w:rPr>
          <w:noProof/>
        </w:rPr>
        <w:t>'</w:t>
      </w:r>
      <w:r w:rsidRPr="0001127D">
        <w:rPr>
          <w:noProof/>
        </w:rPr>
        <w:t xml:space="preserve">applicazione del principio </w:t>
      </w:r>
      <w:r w:rsidR="00E64452" w:rsidRPr="0001127D">
        <w:rPr>
          <w:noProof/>
        </w:rPr>
        <w:t>"</w:t>
      </w:r>
      <w:r w:rsidRPr="0001127D">
        <w:rPr>
          <w:noProof/>
        </w:rPr>
        <w:t>una tantum</w:t>
      </w:r>
      <w:r w:rsidR="00E64452" w:rsidRPr="0001127D">
        <w:rPr>
          <w:noProof/>
        </w:rPr>
        <w:t>"</w:t>
      </w:r>
      <w:r w:rsidRPr="0001127D">
        <w:rPr>
          <w:noProof/>
        </w:rPr>
        <w:t>, è necessario eliminare gli ostacoli nelle situazioni transfrontaliere. Analogamente, il valore aggiunto derivante dal collegamento dei sistemi di interconnessione dei registri a livello dell</w:t>
      </w:r>
      <w:r w:rsidR="00E64452" w:rsidRPr="0001127D">
        <w:rPr>
          <w:noProof/>
        </w:rPr>
        <w:t>'</w:t>
      </w:r>
      <w:r w:rsidRPr="0001127D">
        <w:rPr>
          <w:noProof/>
        </w:rPr>
        <w:t>UE può essere ottenuto solo intervenendo a livello dell</w:t>
      </w:r>
      <w:r w:rsidR="00E64452" w:rsidRPr="0001127D">
        <w:rPr>
          <w:noProof/>
        </w:rPr>
        <w:t>'</w:t>
      </w:r>
      <w:r w:rsidRPr="0001127D">
        <w:rPr>
          <w:noProof/>
        </w:rPr>
        <w:t xml:space="preserve">Unione. </w:t>
      </w:r>
    </w:p>
    <w:p w14:paraId="589FA11B" w14:textId="49AE3F9C" w:rsidR="1BBDA31C" w:rsidRPr="0001127D" w:rsidRDefault="006B7BE1" w:rsidP="079501EF">
      <w:pPr>
        <w:pBdr>
          <w:top w:val="nil"/>
          <w:left w:val="nil"/>
          <w:bottom w:val="nil"/>
          <w:right w:val="nil"/>
          <w:between w:val="nil"/>
          <w:bar w:val="nil"/>
        </w:pBdr>
        <w:spacing w:before="0" w:after="240"/>
        <w:rPr>
          <w:rFonts w:eastAsia="Times New Roman"/>
          <w:noProof/>
          <w:color w:val="000000" w:themeColor="text1"/>
          <w:szCs w:val="24"/>
        </w:rPr>
      </w:pPr>
      <w:r w:rsidRPr="0001127D">
        <w:rPr>
          <w:noProof/>
          <w:color w:val="000000" w:themeColor="text1"/>
        </w:rPr>
        <w:t>Agendo individualmente, gli Stati membri continuerebbero ad applicare le loro norme al riguardo e, con esse, avrebbero poche possibilità di risolvere i casi transfrontalieri in modo compatibile. È perciò evidente che, in assenza di un intervento a livello dell</w:t>
      </w:r>
      <w:r w:rsidR="00E64452" w:rsidRPr="0001127D">
        <w:rPr>
          <w:noProof/>
          <w:color w:val="000000" w:themeColor="text1"/>
        </w:rPr>
        <w:t>'</w:t>
      </w:r>
      <w:r w:rsidRPr="0001127D">
        <w:rPr>
          <w:noProof/>
          <w:color w:val="000000" w:themeColor="text1"/>
        </w:rPr>
        <w:t>UE, le diverse misure adottate a livello nazionale condurrebbero probabilmente a soluzioni nazionali divergenti. Le PMI continuerebbero a trovarsi di fronte ad ostacoli che renderebbero più difficile l</w:t>
      </w:r>
      <w:r w:rsidR="00E64452" w:rsidRPr="0001127D">
        <w:rPr>
          <w:noProof/>
          <w:color w:val="000000" w:themeColor="text1"/>
        </w:rPr>
        <w:t>'</w:t>
      </w:r>
      <w:r w:rsidRPr="0001127D">
        <w:rPr>
          <w:noProof/>
          <w:color w:val="000000" w:themeColor="text1"/>
        </w:rPr>
        <w:t>esercizio effettivo della libertà di stabilimento e i costi supplementari andrebbero a penalizzare in particolare le stesse società. In tale contesto l</w:t>
      </w:r>
      <w:r w:rsidR="00E64452" w:rsidRPr="0001127D">
        <w:rPr>
          <w:noProof/>
          <w:color w:val="000000" w:themeColor="text1"/>
        </w:rPr>
        <w:t>'</w:t>
      </w:r>
      <w:r w:rsidRPr="0001127D">
        <w:rPr>
          <w:noProof/>
          <w:color w:val="000000" w:themeColor="text1"/>
        </w:rPr>
        <w:t>intervento mirato dell</w:t>
      </w:r>
      <w:r w:rsidR="00E64452" w:rsidRPr="0001127D">
        <w:rPr>
          <w:noProof/>
          <w:color w:val="000000" w:themeColor="text1"/>
        </w:rPr>
        <w:t>'</w:t>
      </w:r>
      <w:r w:rsidRPr="0001127D">
        <w:rPr>
          <w:noProof/>
          <w:color w:val="000000" w:themeColor="text1"/>
        </w:rPr>
        <w:t>UE sotto forma della presente proposta è conforme al principio di sussidiarietà.</w:t>
      </w:r>
    </w:p>
    <w:p w14:paraId="7EF47141" w14:textId="77777777" w:rsidR="00573A63" w:rsidRPr="0001127D" w:rsidRDefault="00573A63" w:rsidP="00660ED3">
      <w:pPr>
        <w:pStyle w:val="ManualHeading2"/>
        <w:rPr>
          <w:rFonts w:eastAsia="Arial Unicode MS"/>
          <w:noProof/>
          <w:u w:color="000000"/>
          <w:bdr w:val="nil"/>
        </w:rPr>
      </w:pPr>
      <w:bookmarkStart w:id="39" w:name="_Toc126762661"/>
      <w:bookmarkStart w:id="40" w:name="_Toc126826573"/>
      <w:bookmarkStart w:id="41" w:name="_Toc132359393"/>
      <w:bookmarkStart w:id="42" w:name="_Toc132359451"/>
      <w:bookmarkStart w:id="43" w:name="_Toc132359586"/>
      <w:r w:rsidRPr="0001127D">
        <w:rPr>
          <w:noProof/>
          <w:u w:color="000000"/>
          <w:bdr w:val="nil"/>
        </w:rPr>
        <w:t>•</w:t>
      </w:r>
      <w:r w:rsidRPr="0001127D">
        <w:rPr>
          <w:noProof/>
        </w:rPr>
        <w:tab/>
      </w:r>
      <w:r w:rsidRPr="0001127D">
        <w:rPr>
          <w:noProof/>
          <w:u w:color="000000"/>
          <w:bdr w:val="nil"/>
        </w:rPr>
        <w:t>Proporzionalità</w:t>
      </w:r>
      <w:bookmarkEnd w:id="39"/>
      <w:bookmarkEnd w:id="40"/>
      <w:bookmarkEnd w:id="41"/>
      <w:bookmarkEnd w:id="42"/>
      <w:bookmarkEnd w:id="43"/>
    </w:p>
    <w:p w14:paraId="02A9D2C3" w14:textId="7DB85050" w:rsidR="00E76E1F" w:rsidRPr="0001127D" w:rsidRDefault="00B044DB" w:rsidP="00E76E1F">
      <w:pPr>
        <w:rPr>
          <w:noProof/>
        </w:rPr>
      </w:pPr>
      <w:r w:rsidRPr="0001127D">
        <w:rPr>
          <w:noProof/>
        </w:rPr>
        <w:t>Le misure introdotte dalla presente proposta sono proporzionate all</w:t>
      </w:r>
      <w:r w:rsidR="00E64452" w:rsidRPr="0001127D">
        <w:rPr>
          <w:noProof/>
        </w:rPr>
        <w:t>'</w:t>
      </w:r>
      <w:r w:rsidRPr="0001127D">
        <w:rPr>
          <w:noProof/>
        </w:rPr>
        <w:t>obiettivo di aumentare la quantità e l</w:t>
      </w:r>
      <w:r w:rsidR="00E64452" w:rsidRPr="0001127D">
        <w:rPr>
          <w:noProof/>
        </w:rPr>
        <w:t>'</w:t>
      </w:r>
      <w:r w:rsidRPr="0001127D">
        <w:rPr>
          <w:noProof/>
        </w:rPr>
        <w:t>affidabilità dei dati sulle società disponibili nei registri delle imprese e/o attraverso il BRIS e di consentirne l</w:t>
      </w:r>
      <w:r w:rsidR="00E64452" w:rsidRPr="0001127D">
        <w:rPr>
          <w:noProof/>
        </w:rPr>
        <w:t>'</w:t>
      </w:r>
      <w:r w:rsidRPr="0001127D">
        <w:rPr>
          <w:noProof/>
        </w:rPr>
        <w:t>utilizzo diretto in situazioni transfrontaliere. Le disposizioni proposte sono adeguatamente mirate in quanto si concentrano sulle esigenze degli utenti diretti (ad es. imprese, altri portatori di interessi e autorità pubbliche) di utilizzare dati ufficiali affidabili e aggiornati sulle imprese disponibili nei registri delle imprese nel contesto transfrontaliero (cfr. il punto 1.3 della valutazione d</w:t>
      </w:r>
      <w:r w:rsidR="00E64452" w:rsidRPr="0001127D">
        <w:rPr>
          <w:noProof/>
        </w:rPr>
        <w:t>'</w:t>
      </w:r>
      <w:r w:rsidRPr="0001127D">
        <w:rPr>
          <w:noProof/>
        </w:rPr>
        <w:t>impatto). La proposta si concentra sugli aspetti transfrontalieri e introduce soluzioni alle quali gli Stati membri non potrebbero pervenire da soli. Gli elementi di armonizzazione sono limitati a quanto necessario e proporzionato per conseguire gli obiettivi prefissati, rispettando nel contempo le tradizioni giuridiche nazionali, comprese quelle che prevedono, nell</w:t>
      </w:r>
      <w:r w:rsidR="00E64452" w:rsidRPr="0001127D">
        <w:rPr>
          <w:noProof/>
        </w:rPr>
        <w:t>'</w:t>
      </w:r>
      <w:r w:rsidRPr="0001127D">
        <w:rPr>
          <w:noProof/>
        </w:rPr>
        <w:t>ambito delle procedure di diritto societario, l</w:t>
      </w:r>
      <w:r w:rsidR="00E64452" w:rsidRPr="0001127D">
        <w:rPr>
          <w:noProof/>
        </w:rPr>
        <w:t>'</w:t>
      </w:r>
      <w:r w:rsidRPr="0001127D">
        <w:rPr>
          <w:noProof/>
        </w:rPr>
        <w:t>intervento di un notaio e, ove possibile, offrendo agli Stati membri la flessibilità necessaria per soddisfare i requisiti in linea con i loro ordinamenti e sistemi nazionali. Inoltre, la proposta non introduce nuovi sistemi, ma si basa sull</w:t>
      </w:r>
      <w:r w:rsidR="00E64452" w:rsidRPr="0001127D">
        <w:rPr>
          <w:noProof/>
        </w:rPr>
        <w:t>'</w:t>
      </w:r>
      <w:r w:rsidRPr="0001127D">
        <w:rPr>
          <w:noProof/>
        </w:rPr>
        <w:t>uso del sistema di interconnessione dei registri, già esistente e operativo, nonché sul regolamento eIDAS</w:t>
      </w:r>
      <w:r w:rsidRPr="0001127D">
        <w:rPr>
          <w:rStyle w:val="FootnoteReference"/>
          <w:noProof/>
        </w:rPr>
        <w:footnoteReference w:id="27"/>
      </w:r>
      <w:r w:rsidR="00ED523D" w:rsidRPr="0001127D">
        <w:rPr>
          <w:noProof/>
        </w:rPr>
        <w:t xml:space="preserve"> e sulla proposta del </w:t>
      </w:r>
      <w:r w:rsidRPr="0001127D">
        <w:rPr>
          <w:noProof/>
        </w:rPr>
        <w:t>2021 di modifica di tale regolamento per quanto riguarda l</w:t>
      </w:r>
      <w:r w:rsidR="00E64452" w:rsidRPr="0001127D">
        <w:rPr>
          <w:noProof/>
        </w:rPr>
        <w:t>'</w:t>
      </w:r>
      <w:r w:rsidRPr="0001127D">
        <w:rPr>
          <w:noProof/>
        </w:rPr>
        <w:t>istituzione di un quadro per un</w:t>
      </w:r>
      <w:r w:rsidR="00E64452" w:rsidRPr="0001127D">
        <w:rPr>
          <w:noProof/>
        </w:rPr>
        <w:t>'</w:t>
      </w:r>
      <w:r w:rsidRPr="0001127D">
        <w:rPr>
          <w:noProof/>
        </w:rPr>
        <w:t>identità digitale europea</w:t>
      </w:r>
      <w:r w:rsidRPr="0001127D">
        <w:rPr>
          <w:rStyle w:val="FootnoteReference"/>
          <w:noProof/>
        </w:rPr>
        <w:footnoteReference w:id="28"/>
      </w:r>
      <w:r w:rsidRPr="0001127D">
        <w:rPr>
          <w:noProof/>
        </w:rPr>
        <w:t>.</w:t>
      </w:r>
    </w:p>
    <w:p w14:paraId="480737F7" w14:textId="4DD8204E" w:rsidR="00CF19B3" w:rsidRPr="0001127D" w:rsidRDefault="00CF19B3" w:rsidP="00DA261F">
      <w:pPr>
        <w:rPr>
          <w:rFonts w:cstheme="minorHAnsi"/>
          <w:noProof/>
          <w:szCs w:val="20"/>
        </w:rPr>
      </w:pPr>
      <w:r w:rsidRPr="0001127D">
        <w:rPr>
          <w:noProof/>
        </w:rPr>
        <w:t>Il pacchetto di misure prescelte consente di affrontare nel modo più efficace gli obiettivi in quanto farà sì che la maggior parte delle informazioni sia disponibile a livello transfrontaliero e collegherà il BRIS ad altri due sistemi di interconnessione dei registri dell</w:t>
      </w:r>
      <w:r w:rsidR="00E64452" w:rsidRPr="0001127D">
        <w:rPr>
          <w:noProof/>
        </w:rPr>
        <w:t>'</w:t>
      </w:r>
      <w:r w:rsidRPr="0001127D">
        <w:rPr>
          <w:noProof/>
        </w:rPr>
        <w:t>UE. Ciò accrescerà notevolmente la trasparenza sulle società dell</w:t>
      </w:r>
      <w:r w:rsidR="00E64452" w:rsidRPr="0001127D">
        <w:rPr>
          <w:noProof/>
        </w:rPr>
        <w:t>'</w:t>
      </w:r>
      <w:r w:rsidRPr="0001127D">
        <w:rPr>
          <w:noProof/>
        </w:rPr>
        <w:t xml:space="preserve">UE nel mercato unico. Il pacchetto apporterà inoltre notevoli vantaggi in termini di maggiore certezza del diritto, in quanto stabilirà controlli ex ante e introdurrà, nel contempo, ulteriori requisiti procedurali comuni per mantenere aggiornate le informazioni sulle società. Inoltre esso avrà il massimo impatto positivo sulla possibilità di utilizzare direttamente i dati sulle società in situazioni transfrontaliere, in quanto non solo applicherà il principio </w:t>
      </w:r>
      <w:r w:rsidR="00E64452" w:rsidRPr="0001127D">
        <w:rPr>
          <w:noProof/>
        </w:rPr>
        <w:t>"</w:t>
      </w:r>
      <w:r w:rsidRPr="0001127D">
        <w:rPr>
          <w:noProof/>
        </w:rPr>
        <w:t>una tantum</w:t>
      </w:r>
      <w:r w:rsidR="00E64452" w:rsidRPr="0001127D">
        <w:rPr>
          <w:noProof/>
        </w:rPr>
        <w:t>"</w:t>
      </w:r>
      <w:r w:rsidRPr="0001127D">
        <w:rPr>
          <w:noProof/>
        </w:rPr>
        <w:t xml:space="preserve"> alla costituzione di controllate e succursali transfrontaliere, ma introdurrà anche il certificato delle società UE e abolirà formalità quali l</w:t>
      </w:r>
      <w:r w:rsidR="00E64452" w:rsidRPr="0001127D">
        <w:rPr>
          <w:noProof/>
        </w:rPr>
        <w:t>'</w:t>
      </w:r>
      <w:r w:rsidRPr="0001127D">
        <w:rPr>
          <w:noProof/>
        </w:rPr>
        <w:t>apostilla (cfr. il punto 7.2 della valutazione d</w:t>
      </w:r>
      <w:r w:rsidR="00E64452" w:rsidRPr="0001127D">
        <w:rPr>
          <w:noProof/>
        </w:rPr>
        <w:t>'</w:t>
      </w:r>
      <w:r w:rsidRPr="0001127D">
        <w:rPr>
          <w:noProof/>
        </w:rPr>
        <w:t xml:space="preserve">impatto). </w:t>
      </w:r>
    </w:p>
    <w:p w14:paraId="57FAD041" w14:textId="46E303AE" w:rsidR="00CF19B3" w:rsidRPr="0001127D" w:rsidRDefault="00DA261F" w:rsidP="00CF19B3">
      <w:pPr>
        <w:rPr>
          <w:noProof/>
        </w:rPr>
      </w:pPr>
      <w:r w:rsidRPr="0001127D">
        <w:rPr>
          <w:noProof/>
        </w:rPr>
        <w:t>Il pacchetto si limita a quanto è necessario per attuare le misure selezionate. Dall</w:t>
      </w:r>
      <w:r w:rsidR="00E64452" w:rsidRPr="0001127D">
        <w:rPr>
          <w:noProof/>
        </w:rPr>
        <w:t>'</w:t>
      </w:r>
      <w:r w:rsidRPr="0001127D">
        <w:rPr>
          <w:noProof/>
        </w:rPr>
        <w:t>analisi basata su più criteri effettuata per tutte le opzioni strategiche, che ha tenuto conto dell</w:t>
      </w:r>
      <w:r w:rsidR="00E64452" w:rsidRPr="0001127D">
        <w:rPr>
          <w:noProof/>
        </w:rPr>
        <w:t>'</w:t>
      </w:r>
      <w:r w:rsidRPr="0001127D">
        <w:rPr>
          <w:noProof/>
        </w:rPr>
        <w:t>efficacia, efficienza, coerenza e proporzionalità di tali opzioni, è emerso che tutte le opzioni presentavano un impatto positivo netto e le misure prescelte hanno ottenuto il punteggio più elevato nell</w:t>
      </w:r>
      <w:r w:rsidR="00E64452" w:rsidRPr="0001127D">
        <w:rPr>
          <w:noProof/>
        </w:rPr>
        <w:t>'</w:t>
      </w:r>
      <w:r w:rsidRPr="0001127D">
        <w:rPr>
          <w:noProof/>
        </w:rPr>
        <w:t>analisi (cfr. il punto 6.5 della valutazione d</w:t>
      </w:r>
      <w:r w:rsidR="00E64452" w:rsidRPr="0001127D">
        <w:rPr>
          <w:noProof/>
        </w:rPr>
        <w:t>'</w:t>
      </w:r>
      <w:r w:rsidRPr="0001127D">
        <w:rPr>
          <w:noProof/>
        </w:rPr>
        <w:t>impatto e l</w:t>
      </w:r>
      <w:r w:rsidR="00E64452" w:rsidRPr="0001127D">
        <w:rPr>
          <w:noProof/>
        </w:rPr>
        <w:t>'</w:t>
      </w:r>
      <w:r w:rsidRPr="0001127D">
        <w:rPr>
          <w:noProof/>
        </w:rPr>
        <w:t>allegato</w:t>
      </w:r>
      <w:r w:rsidR="00ED523D" w:rsidRPr="0001127D">
        <w:rPr>
          <w:noProof/>
        </w:rPr>
        <w:t> </w:t>
      </w:r>
      <w:r w:rsidRPr="0001127D">
        <w:rPr>
          <w:noProof/>
        </w:rPr>
        <w:t xml:space="preserve">4 sulla metodologia). </w:t>
      </w:r>
    </w:p>
    <w:p w14:paraId="4C143012" w14:textId="49F79658" w:rsidR="00C74D45" w:rsidRPr="0001127D" w:rsidRDefault="00E76E1F" w:rsidP="00293086">
      <w:pPr>
        <w:rPr>
          <w:noProof/>
        </w:rPr>
      </w:pPr>
      <w:r w:rsidRPr="0001127D">
        <w:rPr>
          <w:noProof/>
        </w:rPr>
        <w:t>In linea con il principio di proporzionalità, l</w:t>
      </w:r>
      <w:r w:rsidR="00E64452" w:rsidRPr="0001127D">
        <w:rPr>
          <w:noProof/>
        </w:rPr>
        <w:t>'</w:t>
      </w:r>
      <w:r w:rsidRPr="0001127D">
        <w:rPr>
          <w:noProof/>
        </w:rPr>
        <w:t>iniziativa prevista si limiterà a quanto necessario per il conseguimento dei suoi obiettivi affrontando questioni transfrontaliere specifiche (ossia le esigenze degli utenti diretti in termini di accesso e utilizzo dei dati ufficiali transfrontalieri sulle imprese</w:t>
      </w:r>
      <w:r w:rsidRPr="0001127D">
        <w:rPr>
          <w:b/>
          <w:noProof/>
        </w:rPr>
        <w:t xml:space="preserve"> </w:t>
      </w:r>
      <w:r w:rsidRPr="0001127D">
        <w:rPr>
          <w:noProof/>
        </w:rPr>
        <w:t xml:space="preserve">disponibili nei registri delle imprese). Tale obiettivo non potrebbe essere conseguito dagli Stati membri da soli. </w:t>
      </w:r>
    </w:p>
    <w:p w14:paraId="3D84EFF1" w14:textId="1AF12127" w:rsidR="00573A63" w:rsidRPr="0001127D" w:rsidRDefault="00573A63" w:rsidP="00660ED3">
      <w:pPr>
        <w:pStyle w:val="ManualHeading2"/>
        <w:rPr>
          <w:rFonts w:eastAsia="Arial Unicode MS"/>
          <w:noProof/>
          <w:u w:color="000000"/>
          <w:bdr w:val="nil"/>
        </w:rPr>
      </w:pPr>
      <w:bookmarkStart w:id="44" w:name="_Toc126762662"/>
      <w:bookmarkStart w:id="45" w:name="_Toc126826574"/>
      <w:bookmarkStart w:id="46" w:name="_Toc132359394"/>
      <w:bookmarkStart w:id="47" w:name="_Toc132359452"/>
      <w:bookmarkStart w:id="48" w:name="_Toc132359587"/>
      <w:r w:rsidRPr="0001127D">
        <w:rPr>
          <w:noProof/>
          <w:u w:color="000000"/>
          <w:bdr w:val="nil"/>
        </w:rPr>
        <w:t>•</w:t>
      </w:r>
      <w:r w:rsidRPr="0001127D">
        <w:rPr>
          <w:noProof/>
        </w:rPr>
        <w:tab/>
      </w:r>
      <w:r w:rsidRPr="0001127D">
        <w:rPr>
          <w:noProof/>
          <w:u w:color="000000"/>
          <w:bdr w:val="nil"/>
        </w:rPr>
        <w:t>Scelta dell</w:t>
      </w:r>
      <w:r w:rsidR="00E64452" w:rsidRPr="0001127D">
        <w:rPr>
          <w:noProof/>
          <w:u w:color="000000"/>
          <w:bdr w:val="nil"/>
        </w:rPr>
        <w:t>'</w:t>
      </w:r>
      <w:r w:rsidRPr="0001127D">
        <w:rPr>
          <w:noProof/>
          <w:u w:color="000000"/>
          <w:bdr w:val="nil"/>
        </w:rPr>
        <w:t>atto giuridico</w:t>
      </w:r>
      <w:bookmarkEnd w:id="44"/>
      <w:bookmarkEnd w:id="45"/>
      <w:bookmarkEnd w:id="46"/>
      <w:bookmarkEnd w:id="47"/>
      <w:bookmarkEnd w:id="48"/>
    </w:p>
    <w:p w14:paraId="2FF5BC61" w14:textId="2BE91233" w:rsidR="002E7C90" w:rsidRPr="0001127D" w:rsidRDefault="002B1E77" w:rsidP="00660ED3">
      <w:pPr>
        <w:pBdr>
          <w:top w:val="nil"/>
          <w:left w:val="nil"/>
          <w:bottom w:val="nil"/>
          <w:right w:val="nil"/>
          <w:between w:val="nil"/>
          <w:bar w:val="nil"/>
        </w:pBdr>
        <w:spacing w:before="0" w:after="240"/>
        <w:rPr>
          <w:rFonts w:eastAsia="Arial Unicode MS"/>
          <w:noProof/>
        </w:rPr>
      </w:pPr>
      <w:r w:rsidRPr="0001127D">
        <w:rPr>
          <w:noProof/>
        </w:rPr>
        <w:t>La presente proposta è presentata in forma di direttiva che modifica la direttiva (UE) 2017/1132 e la direttiva 2009/102/CE. La direttiva (UE) 2017/1132 disciplina il diritto societario a livello dell</w:t>
      </w:r>
      <w:r w:rsidR="00E64452" w:rsidRPr="0001127D">
        <w:rPr>
          <w:noProof/>
        </w:rPr>
        <w:t>'</w:t>
      </w:r>
      <w:r w:rsidRPr="0001127D">
        <w:rPr>
          <w:noProof/>
        </w:rPr>
        <w:t xml:space="preserve">UE e la direttiva 2009/102/CE la integra con disposizioni specifiche per le società unipersonali. </w:t>
      </w:r>
    </w:p>
    <w:p w14:paraId="0148A830" w14:textId="75EBB6EE" w:rsidR="00573A63" w:rsidRPr="0001127D" w:rsidRDefault="00573A63" w:rsidP="00660ED3">
      <w:pPr>
        <w:pStyle w:val="ManualHeading1"/>
        <w:rPr>
          <w:noProof/>
        </w:rPr>
      </w:pPr>
      <w:bookmarkStart w:id="49" w:name="_Toc126762663"/>
      <w:bookmarkStart w:id="50" w:name="_Toc126826575"/>
      <w:bookmarkStart w:id="51" w:name="_Toc132359395"/>
      <w:bookmarkStart w:id="52" w:name="_Toc132359453"/>
      <w:bookmarkStart w:id="53" w:name="_Toc132359588"/>
      <w:r w:rsidRPr="0001127D">
        <w:rPr>
          <w:noProof/>
        </w:rPr>
        <w:t>3.</w:t>
      </w:r>
      <w:r w:rsidRPr="0001127D">
        <w:rPr>
          <w:noProof/>
        </w:rPr>
        <w:tab/>
        <w:t>RISULTATI DELLE VALUTAZIONI EX POST, DELLE CONSULTAZIONI DEI PORTATORI DI INTERESSI E DELLE VALUTAZIONI D</w:t>
      </w:r>
      <w:r w:rsidR="00E64452" w:rsidRPr="0001127D">
        <w:rPr>
          <w:noProof/>
        </w:rPr>
        <w:t>'</w:t>
      </w:r>
      <w:r w:rsidRPr="0001127D">
        <w:rPr>
          <w:noProof/>
        </w:rPr>
        <w:t>IMPATTO</w:t>
      </w:r>
      <w:bookmarkEnd w:id="49"/>
      <w:bookmarkEnd w:id="50"/>
      <w:bookmarkEnd w:id="51"/>
      <w:bookmarkEnd w:id="52"/>
      <w:bookmarkEnd w:id="53"/>
    </w:p>
    <w:p w14:paraId="5B68EFD6" w14:textId="77777777" w:rsidR="00573A63" w:rsidRPr="0001127D" w:rsidRDefault="00573A63" w:rsidP="00660ED3">
      <w:pPr>
        <w:pStyle w:val="ManualHeading2"/>
        <w:rPr>
          <w:rFonts w:eastAsia="Arial Unicode MS"/>
          <w:noProof/>
          <w:u w:color="000000"/>
          <w:bdr w:val="nil"/>
        </w:rPr>
      </w:pPr>
      <w:bookmarkStart w:id="54" w:name="_Toc126762664"/>
      <w:bookmarkStart w:id="55" w:name="_Toc126826576"/>
      <w:bookmarkStart w:id="56" w:name="_Toc132359396"/>
      <w:bookmarkStart w:id="57" w:name="_Toc132359454"/>
      <w:bookmarkStart w:id="58" w:name="_Toc132359589"/>
      <w:r w:rsidRPr="0001127D">
        <w:rPr>
          <w:noProof/>
          <w:u w:color="000000"/>
          <w:bdr w:val="nil"/>
        </w:rPr>
        <w:t>•</w:t>
      </w:r>
      <w:r w:rsidRPr="0001127D">
        <w:rPr>
          <w:noProof/>
        </w:rPr>
        <w:tab/>
      </w:r>
      <w:r w:rsidRPr="0001127D">
        <w:rPr>
          <w:noProof/>
          <w:u w:color="000000"/>
          <w:bdr w:val="nil"/>
        </w:rPr>
        <w:t>Valutazioni ex post / Vaglio di adeguatezza della legislazione vigente</w:t>
      </w:r>
      <w:bookmarkEnd w:id="54"/>
      <w:bookmarkEnd w:id="55"/>
      <w:bookmarkEnd w:id="56"/>
      <w:bookmarkEnd w:id="57"/>
      <w:bookmarkEnd w:id="58"/>
    </w:p>
    <w:p w14:paraId="63C5B9A3" w14:textId="0551F889" w:rsidR="00127E6A" w:rsidRPr="0001127D" w:rsidRDefault="00127E6A" w:rsidP="00127E6A">
      <w:pPr>
        <w:pBdr>
          <w:top w:val="nil"/>
          <w:left w:val="nil"/>
          <w:bottom w:val="nil"/>
          <w:right w:val="nil"/>
          <w:between w:val="nil"/>
          <w:bar w:val="nil"/>
        </w:pBdr>
        <w:spacing w:before="0" w:after="240"/>
        <w:rPr>
          <w:rFonts w:eastAsia="Arial Unicode MS"/>
          <w:noProof/>
        </w:rPr>
      </w:pPr>
      <w:r w:rsidRPr="0001127D">
        <w:rPr>
          <w:noProof/>
        </w:rPr>
        <w:t xml:space="preserve">La proposta mira a introdurre nuove disposizioni, e nella misura necessaria, a integrare quelle esistenti, al fine di </w:t>
      </w:r>
      <w:bookmarkStart w:id="59" w:name="_Toc113029436"/>
      <w:bookmarkStart w:id="60" w:name="_Toc113311917"/>
      <w:bookmarkStart w:id="61" w:name="_Toc113313962"/>
      <w:bookmarkStart w:id="62" w:name="_Toc113314990"/>
      <w:bookmarkStart w:id="63" w:name="_Toc113656926"/>
      <w:bookmarkStart w:id="64" w:name="_Toc113904541"/>
      <w:bookmarkStart w:id="65" w:name="_Toc113915459"/>
      <w:bookmarkStart w:id="66" w:name="_Toc113915526"/>
      <w:bookmarkStart w:id="67" w:name="_Toc113915608"/>
      <w:bookmarkStart w:id="68" w:name="_Toc114137174"/>
      <w:r w:rsidRPr="0001127D">
        <w:rPr>
          <w:noProof/>
        </w:rPr>
        <w:t>aumentare la quantità di dati sulle società disponibili nei registri delle imprese e/o attraverso il BRIS e migliorarne l</w:t>
      </w:r>
      <w:r w:rsidR="00E64452" w:rsidRPr="0001127D">
        <w:rPr>
          <w:noProof/>
        </w:rPr>
        <w:t>'</w:t>
      </w:r>
      <w:r w:rsidRPr="0001127D">
        <w:rPr>
          <w:noProof/>
        </w:rPr>
        <w:t>affidabilità. Essa mira inoltre</w:t>
      </w:r>
      <w:bookmarkEnd w:id="59"/>
      <w:bookmarkEnd w:id="60"/>
      <w:bookmarkEnd w:id="61"/>
      <w:bookmarkEnd w:id="62"/>
      <w:bookmarkEnd w:id="63"/>
      <w:bookmarkEnd w:id="64"/>
      <w:bookmarkEnd w:id="65"/>
      <w:bookmarkEnd w:id="66"/>
      <w:bookmarkEnd w:id="67"/>
      <w:bookmarkEnd w:id="68"/>
      <w:r w:rsidRPr="0001127D">
        <w:rPr>
          <w:noProof/>
        </w:rPr>
        <w:t xml:space="preserve"> a </w:t>
      </w:r>
      <w:bookmarkStart w:id="69" w:name="_Toc113029437"/>
      <w:bookmarkStart w:id="70" w:name="_Toc113029525"/>
      <w:bookmarkStart w:id="71" w:name="_Toc113915460"/>
      <w:bookmarkStart w:id="72" w:name="_Toc113915527"/>
      <w:bookmarkStart w:id="73" w:name="_Toc113915609"/>
      <w:bookmarkStart w:id="74" w:name="_Toc114137175"/>
      <w:r w:rsidRPr="0001127D">
        <w:rPr>
          <w:noProof/>
        </w:rPr>
        <w:t>consentire l</w:t>
      </w:r>
      <w:r w:rsidR="00E64452" w:rsidRPr="0001127D">
        <w:rPr>
          <w:noProof/>
        </w:rPr>
        <w:t>'</w:t>
      </w:r>
      <w:r w:rsidRPr="0001127D">
        <w:rPr>
          <w:noProof/>
        </w:rPr>
        <w:t>utilizzo diretto dei dati sulle società disponibili nei registri delle imprese al momento della costituzione di succursali e controllate transfrontaliere e nell</w:t>
      </w:r>
      <w:r w:rsidR="00E64452" w:rsidRPr="0001127D">
        <w:rPr>
          <w:noProof/>
        </w:rPr>
        <w:t>'</w:t>
      </w:r>
      <w:r w:rsidRPr="0001127D">
        <w:rPr>
          <w:noProof/>
        </w:rPr>
        <w:t>ambito di altre attività e situazioni transfrontaliere</w:t>
      </w:r>
      <w:bookmarkEnd w:id="69"/>
      <w:bookmarkEnd w:id="70"/>
      <w:bookmarkEnd w:id="71"/>
      <w:bookmarkEnd w:id="72"/>
      <w:bookmarkEnd w:id="73"/>
      <w:bookmarkEnd w:id="74"/>
      <w:r w:rsidRPr="0001127D">
        <w:rPr>
          <w:noProof/>
        </w:rPr>
        <w:t>. Pertanto non è stata effettuata alcuna valutazione delle norme vigenti.</w:t>
      </w:r>
    </w:p>
    <w:p w14:paraId="336F7FCD" w14:textId="77777777" w:rsidR="00573A63" w:rsidRPr="0001127D" w:rsidRDefault="00573A63" w:rsidP="00660ED3">
      <w:pPr>
        <w:pStyle w:val="ManualHeading2"/>
        <w:rPr>
          <w:rFonts w:eastAsia="Arial Unicode MS"/>
          <w:noProof/>
          <w:u w:color="000000"/>
          <w:bdr w:val="nil"/>
        </w:rPr>
      </w:pPr>
      <w:bookmarkStart w:id="75" w:name="_Toc126762665"/>
      <w:bookmarkStart w:id="76" w:name="_Toc126826577"/>
      <w:bookmarkStart w:id="77" w:name="_Toc132359397"/>
      <w:bookmarkStart w:id="78" w:name="_Toc132359455"/>
      <w:bookmarkStart w:id="79" w:name="_Toc132359590"/>
      <w:r w:rsidRPr="0001127D">
        <w:rPr>
          <w:noProof/>
          <w:u w:color="000000"/>
          <w:bdr w:val="nil"/>
        </w:rPr>
        <w:t>•</w:t>
      </w:r>
      <w:r w:rsidRPr="0001127D">
        <w:rPr>
          <w:noProof/>
        </w:rPr>
        <w:tab/>
      </w:r>
      <w:r w:rsidRPr="0001127D">
        <w:rPr>
          <w:noProof/>
          <w:u w:color="000000"/>
          <w:bdr w:val="nil"/>
        </w:rPr>
        <w:t>Consultazioni dei portatori di interessi</w:t>
      </w:r>
      <w:bookmarkEnd w:id="75"/>
      <w:bookmarkEnd w:id="76"/>
      <w:bookmarkEnd w:id="77"/>
      <w:bookmarkEnd w:id="78"/>
      <w:bookmarkEnd w:id="79"/>
    </w:p>
    <w:p w14:paraId="5786B04A" w14:textId="19D538EC" w:rsidR="00CE4E00" w:rsidRPr="0001127D" w:rsidRDefault="00C11365" w:rsidP="00660ED3">
      <w:pPr>
        <w:pBdr>
          <w:top w:val="nil"/>
          <w:left w:val="nil"/>
          <w:bottom w:val="nil"/>
          <w:right w:val="nil"/>
          <w:between w:val="nil"/>
          <w:bar w:val="nil"/>
        </w:pBdr>
        <w:spacing w:before="0" w:after="240"/>
        <w:rPr>
          <w:noProof/>
        </w:rPr>
      </w:pPr>
      <w:r w:rsidRPr="0001127D">
        <w:rPr>
          <w:noProof/>
        </w:rPr>
        <w:t>La Commissione ha svolto ampie attività di consultazione nell</w:t>
      </w:r>
      <w:r w:rsidR="00E64452" w:rsidRPr="0001127D">
        <w:rPr>
          <w:noProof/>
        </w:rPr>
        <w:t>'</w:t>
      </w:r>
      <w:r w:rsidRPr="0001127D">
        <w:rPr>
          <w:noProof/>
        </w:rPr>
        <w:t>ambito della presente iniziativa al fine di raccogliere i pareri dei pertinenti gruppi di portatori di interessi. Questi hanno compreso i registri delle imprese, le autorità nazionali quali le autorità fiscali e quelle competenti in materia di diritto del lavoro, le imprese, comprese le PMI e le associazioni di imprese, gli operatori del diritto coinvolti nelle procedure di diritto societario, i sindacati, nonché gli investitori, i creditori, i cittadini e gli esperti accademici. Le attività di consultazione hanno compreso</w:t>
      </w:r>
      <w:r w:rsidRPr="0001127D">
        <w:rPr>
          <w:noProof/>
          <w:color w:val="000000"/>
        </w:rPr>
        <w:t xml:space="preserve"> una valutazione d</w:t>
      </w:r>
      <w:r w:rsidR="00E64452" w:rsidRPr="0001127D">
        <w:rPr>
          <w:noProof/>
          <w:color w:val="000000"/>
        </w:rPr>
        <w:t>'</w:t>
      </w:r>
      <w:r w:rsidRPr="0001127D">
        <w:rPr>
          <w:noProof/>
          <w:color w:val="000000"/>
        </w:rPr>
        <w:t xml:space="preserve">impatto iniziale, una consultazione </w:t>
      </w:r>
      <w:r w:rsidRPr="0001127D">
        <w:rPr>
          <w:noProof/>
        </w:rPr>
        <w:t>pubblica,</w:t>
      </w:r>
      <w:r w:rsidRPr="0001127D">
        <w:rPr>
          <w:noProof/>
          <w:color w:val="000000"/>
        </w:rPr>
        <w:t xml:space="preserve"> una consultazione specifica delle PMI, colloqui mirati con i principali portatori di interessi, colloqui con operatori del diritto specializzati nel diritto societario, nonché discussioni con esperti di diritto societario dei ministeri degli Stati membri e registri delle imprese in seno al gruppo di esperti di diritto societario. </w:t>
      </w:r>
      <w:r w:rsidRPr="0001127D">
        <w:rPr>
          <w:noProof/>
        </w:rPr>
        <w:t>Le informazioni raccolte sono confluite nella presente proposta.</w:t>
      </w:r>
    </w:p>
    <w:p w14:paraId="6525F866" w14:textId="0C54F59E" w:rsidR="00CE50CA" w:rsidRPr="0001127D" w:rsidRDefault="00C11365" w:rsidP="004A3951">
      <w:pPr>
        <w:spacing w:before="0" w:after="0"/>
        <w:rPr>
          <w:noProof/>
        </w:rPr>
      </w:pPr>
      <w:r w:rsidRPr="0001127D">
        <w:rPr>
          <w:noProof/>
        </w:rPr>
        <w:t>Nell</w:t>
      </w:r>
      <w:r w:rsidR="00E64452" w:rsidRPr="0001127D">
        <w:rPr>
          <w:noProof/>
        </w:rPr>
        <w:t>'</w:t>
      </w:r>
      <w:r w:rsidRPr="0001127D">
        <w:rPr>
          <w:noProof/>
        </w:rPr>
        <w:t>estate del 2021 la Commissione ha raccolto i riscontri sulla valutazione d</w:t>
      </w:r>
      <w:r w:rsidR="00E64452" w:rsidRPr="0001127D">
        <w:rPr>
          <w:noProof/>
        </w:rPr>
        <w:t>'</w:t>
      </w:r>
      <w:r w:rsidRPr="0001127D">
        <w:rPr>
          <w:noProof/>
        </w:rPr>
        <w:t xml:space="preserve">impatto iniziale forniti da vari portatori di interessi (tra cui autorità pubbliche (registri delle imprese), associazioni di imprese, imprese, cittadini e operatori del diritto). La consultazione pubblica su </w:t>
      </w:r>
      <w:r w:rsidR="00E64452" w:rsidRPr="0001127D">
        <w:rPr>
          <w:noProof/>
        </w:rPr>
        <w:t>"</w:t>
      </w:r>
      <w:r w:rsidRPr="0001127D">
        <w:rPr>
          <w:noProof/>
        </w:rPr>
        <w:t>Perfezionare il diritto societario digitale</w:t>
      </w:r>
      <w:r w:rsidR="00E64452" w:rsidRPr="0001127D">
        <w:rPr>
          <w:noProof/>
        </w:rPr>
        <w:t>"</w:t>
      </w:r>
      <w:r w:rsidRPr="0001127D">
        <w:rPr>
          <w:noProof/>
        </w:rPr>
        <w:t xml:space="preserve"> si è svolta dal 21 dicembre 2021 all</w:t>
      </w:r>
      <w:r w:rsidR="00E64452" w:rsidRPr="0001127D">
        <w:rPr>
          <w:noProof/>
        </w:rPr>
        <w:t>'</w:t>
      </w:r>
      <w:r w:rsidRPr="0001127D">
        <w:rPr>
          <w:noProof/>
        </w:rPr>
        <w:t>8 aprile 2022</w:t>
      </w:r>
      <w:r w:rsidRPr="0001127D">
        <w:rPr>
          <w:rStyle w:val="FootnoteReference"/>
          <w:noProof/>
        </w:rPr>
        <w:footnoteReference w:id="29"/>
      </w:r>
      <w:r w:rsidRPr="0001127D">
        <w:rPr>
          <w:noProof/>
        </w:rPr>
        <w:t>. La Commissione ha ricevuto 83 risposte da associazioni di imprese, cittadini dell</w:t>
      </w:r>
      <w:r w:rsidR="00E64452" w:rsidRPr="0001127D">
        <w:rPr>
          <w:noProof/>
        </w:rPr>
        <w:t>'</w:t>
      </w:r>
      <w:r w:rsidRPr="0001127D">
        <w:rPr>
          <w:noProof/>
        </w:rPr>
        <w:t xml:space="preserve">UE, autorità pubbliche, imprese, operatori del diritto e notai, istituzioni accademiche/di ricerca, organizzazioni non governative e sindacati. La consultazione specifica delle PMI, avvenuta attraverso un </w:t>
      </w:r>
      <w:r w:rsidR="00E64452" w:rsidRPr="0001127D">
        <w:rPr>
          <w:noProof/>
        </w:rPr>
        <w:t>"</w:t>
      </w:r>
      <w:r w:rsidRPr="0001127D">
        <w:rPr>
          <w:noProof/>
        </w:rPr>
        <w:t>gruppo PMI</w:t>
      </w:r>
      <w:r w:rsidR="00E64452" w:rsidRPr="0001127D">
        <w:rPr>
          <w:noProof/>
        </w:rPr>
        <w:t>"</w:t>
      </w:r>
      <w:r w:rsidRPr="0001127D">
        <w:rPr>
          <w:rStyle w:val="FootnoteReference"/>
          <w:noProof/>
        </w:rPr>
        <w:footnoteReference w:id="30"/>
      </w:r>
      <w:r w:rsidRPr="0001127D">
        <w:rPr>
          <w:noProof/>
        </w:rPr>
        <w:t>, si è svolta tra il 2 maggio e il 10 giugno 2022. Hanno risposto 158 portatori di interessi e la maggior parte delle risposte sono state presentate da PMI costituite sotto forma di società di capitali. Inoltre sono stati organizzati sondaggi mirati online (ai quali hanno partecipato registri delle imprese, autorità pubbliche, giuristi, organizzazioni di imprese e finanziarie, nonché singole imprese) e due seminari virtuali con imprese e registri delle imprese, che si sono tenuti nel quadro di uno studio realizzato da un contraente esterno</w:t>
      </w:r>
      <w:r w:rsidRPr="0001127D">
        <w:rPr>
          <w:rStyle w:val="FootnoteReference"/>
          <w:noProof/>
        </w:rPr>
        <w:footnoteReference w:id="31"/>
      </w:r>
      <w:r w:rsidRPr="0001127D">
        <w:rPr>
          <w:noProof/>
        </w:rPr>
        <w:t xml:space="preserve"> per conto della Commissione nell</w:t>
      </w:r>
      <w:r w:rsidR="00E64452" w:rsidRPr="0001127D">
        <w:rPr>
          <w:noProof/>
        </w:rPr>
        <w:t>'</w:t>
      </w:r>
      <w:r w:rsidRPr="0001127D">
        <w:rPr>
          <w:noProof/>
        </w:rPr>
        <w:t xml:space="preserve">ambito della presente iniziativa. </w:t>
      </w:r>
    </w:p>
    <w:p w14:paraId="7CB74202" w14:textId="741057F3" w:rsidR="00DF2E9F" w:rsidRPr="0001127D" w:rsidRDefault="00DF2E9F" w:rsidP="00DF2E9F">
      <w:pPr>
        <w:rPr>
          <w:noProof/>
          <w:szCs w:val="20"/>
        </w:rPr>
      </w:pPr>
      <w:r w:rsidRPr="0001127D">
        <w:rPr>
          <w:noProof/>
        </w:rPr>
        <w:t>Nell</w:t>
      </w:r>
      <w:r w:rsidR="00E64452" w:rsidRPr="0001127D">
        <w:rPr>
          <w:noProof/>
        </w:rPr>
        <w:t>'</w:t>
      </w:r>
      <w:r w:rsidRPr="0001127D">
        <w:rPr>
          <w:noProof/>
        </w:rPr>
        <w:t>ambito di tali attività di consultazione, un</w:t>
      </w:r>
      <w:r w:rsidR="00E64452" w:rsidRPr="0001127D">
        <w:rPr>
          <w:noProof/>
        </w:rPr>
        <w:t>'</w:t>
      </w:r>
      <w:r w:rsidRPr="0001127D">
        <w:rPr>
          <w:noProof/>
        </w:rPr>
        <w:t>ampia maggioranza dei portatori di interessi, tra cui PMI, ha confermato di aver incontrato difficoltà nel reperire informazioni sulle imprese. Tali difficoltà comprendevano il fatto che le informazioni sulle imprese in diversi Stati membri non erano comparabili e che non fosse possibile reperire informazioni pertinenti sulle società a livello dell</w:t>
      </w:r>
      <w:r w:rsidR="00E64452" w:rsidRPr="0001127D">
        <w:rPr>
          <w:noProof/>
        </w:rPr>
        <w:t>'</w:t>
      </w:r>
      <w:r w:rsidRPr="0001127D">
        <w:rPr>
          <w:noProof/>
        </w:rPr>
        <w:t>UE, ma solo nei registri nazionali delle imprese, nonché la presenza di difficoltà linguistiche. Tutti i gruppi di portatori di interessi consultati (imprese, autorità, organizzazioni di imprese, registri delle imprese, sindacati, operatori del diritto, cittadini) hanno espresso il loro sostegno a favore di una maggiore armonizzazione delle informazioni sulle società a livello dell</w:t>
      </w:r>
      <w:r w:rsidR="00E64452" w:rsidRPr="0001127D">
        <w:rPr>
          <w:noProof/>
        </w:rPr>
        <w:t>'</w:t>
      </w:r>
      <w:r w:rsidRPr="0001127D">
        <w:rPr>
          <w:noProof/>
        </w:rPr>
        <w:t>UE, mentre le associazioni di imprese hanno sottolineato che non dovrebbero essere imposti costi aggiuntivi alle imprese. La maggioranza dei portatori di interessi (in particolare le autorità, i registri delle imprese e gli operatori del diritto) ha notato</w:t>
      </w:r>
      <w:r w:rsidRPr="0001127D">
        <w:rPr>
          <w:b/>
          <w:noProof/>
        </w:rPr>
        <w:t xml:space="preserve"> </w:t>
      </w:r>
      <w:r w:rsidRPr="0001127D">
        <w:rPr>
          <w:noProof/>
        </w:rPr>
        <w:t>inoltre che sarebbe utile collegare il BRIS ai sistemi di interconnessione dell</w:t>
      </w:r>
      <w:r w:rsidR="00E64452" w:rsidRPr="0001127D">
        <w:rPr>
          <w:noProof/>
        </w:rPr>
        <w:t>'</w:t>
      </w:r>
      <w:r w:rsidRPr="0001127D">
        <w:rPr>
          <w:noProof/>
        </w:rPr>
        <w:t>UE dei registri dei titolari effettivi e dei registri fallimentari.</w:t>
      </w:r>
    </w:p>
    <w:p w14:paraId="1D6C4894" w14:textId="20E52DF4" w:rsidR="00052F9F" w:rsidRPr="0001127D" w:rsidRDefault="00D12619" w:rsidP="00615EFE">
      <w:pPr>
        <w:rPr>
          <w:noProof/>
        </w:rPr>
      </w:pPr>
      <w:r w:rsidRPr="0001127D">
        <w:rPr>
          <w:noProof/>
        </w:rPr>
        <w:t>Nell</w:t>
      </w:r>
      <w:r w:rsidR="00E64452" w:rsidRPr="0001127D">
        <w:rPr>
          <w:noProof/>
        </w:rPr>
        <w:t>'</w:t>
      </w:r>
      <w:r w:rsidRPr="0001127D">
        <w:rPr>
          <w:noProof/>
        </w:rPr>
        <w:t>ambito delle attività di consultazione, molti portatori di interessi hanno sottolineato l</w:t>
      </w:r>
      <w:r w:rsidR="00E64452" w:rsidRPr="0001127D">
        <w:rPr>
          <w:noProof/>
        </w:rPr>
        <w:t>'</w:t>
      </w:r>
      <w:r w:rsidRPr="0001127D">
        <w:rPr>
          <w:noProof/>
        </w:rPr>
        <w:t>importanza di disporre di dati affidabili sulle imprese. L</w:t>
      </w:r>
      <w:r w:rsidR="00E64452" w:rsidRPr="0001127D">
        <w:rPr>
          <w:noProof/>
        </w:rPr>
        <w:t>'</w:t>
      </w:r>
      <w:r w:rsidRPr="0001127D">
        <w:rPr>
          <w:noProof/>
        </w:rPr>
        <w:t>importanza di controlli adeguati volti a garantire l</w:t>
      </w:r>
      <w:r w:rsidR="00E64452" w:rsidRPr="0001127D">
        <w:rPr>
          <w:noProof/>
        </w:rPr>
        <w:t>'</w:t>
      </w:r>
      <w:r w:rsidRPr="0001127D">
        <w:rPr>
          <w:noProof/>
        </w:rPr>
        <w:t>affidabilità dei dati sulle società contenuti nei registri delle imprese è stata sottolineata in particolare dagli operatori del diritto, compresi i notai. Le attività di consultazione hanno inoltre confermato che le imprese, comprese le PMI, incontrano difficoltà nell</w:t>
      </w:r>
      <w:r w:rsidR="00E64452" w:rsidRPr="0001127D">
        <w:rPr>
          <w:noProof/>
        </w:rPr>
        <w:t>'</w:t>
      </w:r>
      <w:r w:rsidRPr="0001127D">
        <w:rPr>
          <w:noProof/>
        </w:rPr>
        <w:t>utilizzare le informazioni già presenti nel rispettivo registro nazionale delle imprese, nelle interazioni con le autorità competenti, nei procedimenti giudiziari o nella costituzione di controllate o succursali in un altro Stato membro, in particolare a causa della necessità di fornire una traduzione certificata dei documenti societari e di ottenere la legalizzazione di questi ultimi (apostilla). In generale i portatori di interessi si sono espressi a favore delle misure previste per facilitare l</w:t>
      </w:r>
      <w:r w:rsidR="00E64452" w:rsidRPr="0001127D">
        <w:rPr>
          <w:noProof/>
        </w:rPr>
        <w:t>'</w:t>
      </w:r>
      <w:r w:rsidRPr="0001127D">
        <w:rPr>
          <w:noProof/>
        </w:rPr>
        <w:t>utilizzo transfrontaliero dei dati sulle società. Ad esempio, molti rispondenti, in particolare le PMI, hanno ritenuto che il fatto di non dover ripresentare le informazioni al momento della costituzione di controllate/succursali in un altro Stato membro o di disporre di un estratto comune della società ridurrebbe i costi amministrativi. Le consultazioni con gli avvocati specializzati in materia di diritto societario hanno inoltre confermato che l</w:t>
      </w:r>
      <w:r w:rsidR="00E64452" w:rsidRPr="0001127D">
        <w:rPr>
          <w:noProof/>
        </w:rPr>
        <w:t>'</w:t>
      </w:r>
      <w:r w:rsidRPr="0001127D">
        <w:rPr>
          <w:noProof/>
        </w:rPr>
        <w:t xml:space="preserve">applicazione del principio </w:t>
      </w:r>
      <w:r w:rsidR="00E64452" w:rsidRPr="0001127D">
        <w:rPr>
          <w:noProof/>
        </w:rPr>
        <w:t>"</w:t>
      </w:r>
      <w:r w:rsidRPr="0001127D">
        <w:rPr>
          <w:noProof/>
        </w:rPr>
        <w:t>una tantum</w:t>
      </w:r>
      <w:r w:rsidR="00E64452" w:rsidRPr="0001127D">
        <w:rPr>
          <w:noProof/>
        </w:rPr>
        <w:t>"</w:t>
      </w:r>
      <w:r w:rsidRPr="0001127D">
        <w:rPr>
          <w:noProof/>
        </w:rPr>
        <w:t xml:space="preserve"> e l</w:t>
      </w:r>
      <w:r w:rsidR="00E64452" w:rsidRPr="0001127D">
        <w:rPr>
          <w:noProof/>
        </w:rPr>
        <w:t>'</w:t>
      </w:r>
      <w:r w:rsidRPr="0001127D">
        <w:rPr>
          <w:noProof/>
        </w:rPr>
        <w:t>abolizione delle formalità ridurrebbero i costi e i tempi necessari per le procedure. Gli operatori del diritto, compresi i notai, hanno accolto con favore l</w:t>
      </w:r>
      <w:r w:rsidR="00E64452" w:rsidRPr="0001127D">
        <w:rPr>
          <w:noProof/>
        </w:rPr>
        <w:t>'</w:t>
      </w:r>
      <w:r w:rsidRPr="0001127D">
        <w:rPr>
          <w:noProof/>
        </w:rPr>
        <w:t>idea di un estratto comune della società.</w:t>
      </w:r>
    </w:p>
    <w:p w14:paraId="5E29275C" w14:textId="77777777" w:rsidR="00AB631B" w:rsidRPr="0001127D" w:rsidRDefault="00AB631B" w:rsidP="00AB631B">
      <w:pPr>
        <w:rPr>
          <w:noProof/>
        </w:rPr>
      </w:pPr>
      <w:r w:rsidRPr="0001127D">
        <w:rPr>
          <w:noProof/>
        </w:rPr>
        <w:t xml:space="preserve">La Commissione ha inoltre organizzato una serie di incontri bilaterali con i principali portatori di interessi nel settore del diritto societario che rappresentano le imprese, gli operatori del diritto e i lavoratori per discutere le questioni di maggiore rilevanza per loro. La Commissione ha inoltre organizzato una serie di colloqui con gli operatori del diritto che operano nel settore del diritto societario, i quali hanno presentato esempi concreti di oneri amministrativi, costi e tempi necessari per le procedure, nonché esigenze pratiche di miglioramento. </w:t>
      </w:r>
    </w:p>
    <w:p w14:paraId="6BD7ED34" w14:textId="40DEC229" w:rsidR="00E76795" w:rsidRPr="0001127D" w:rsidRDefault="22252CF5" w:rsidP="00615EFE">
      <w:pPr>
        <w:rPr>
          <w:noProof/>
        </w:rPr>
      </w:pPr>
      <w:r w:rsidRPr="0001127D">
        <w:rPr>
          <w:noProof/>
        </w:rPr>
        <w:t>Nel 2021-2022 si sono tenute tre riunioni del gruppo di esperti di diritto societario (CLEG)</w:t>
      </w:r>
      <w:r w:rsidRPr="0001127D">
        <w:rPr>
          <w:rStyle w:val="FootnoteReference"/>
          <w:noProof/>
        </w:rPr>
        <w:footnoteReference w:id="32"/>
      </w:r>
      <w:r w:rsidRPr="0001127D">
        <w:rPr>
          <w:noProof/>
        </w:rPr>
        <w:t>, alle quali hanno partecipato i rappresentanti dei ministeri competenti in materia di diritto societario degli Stati membri al fine di discutere le principali questioni strategiche relative all</w:t>
      </w:r>
      <w:r w:rsidR="00E64452" w:rsidRPr="0001127D">
        <w:rPr>
          <w:noProof/>
        </w:rPr>
        <w:t>'</w:t>
      </w:r>
      <w:r w:rsidRPr="0001127D">
        <w:rPr>
          <w:noProof/>
        </w:rPr>
        <w:t xml:space="preserve">iniziativa </w:t>
      </w:r>
      <w:r w:rsidR="00E64452" w:rsidRPr="0001127D">
        <w:rPr>
          <w:noProof/>
        </w:rPr>
        <w:t>"</w:t>
      </w:r>
      <w:r w:rsidRPr="0001127D">
        <w:rPr>
          <w:noProof/>
        </w:rPr>
        <w:t>Perfezionare il diritto societario digitale</w:t>
      </w:r>
      <w:r w:rsidR="00E64452" w:rsidRPr="0001127D">
        <w:rPr>
          <w:noProof/>
        </w:rPr>
        <w:t>"</w:t>
      </w:r>
      <w:r w:rsidRPr="0001127D">
        <w:rPr>
          <w:rStyle w:val="FootnoteReference"/>
          <w:noProof/>
        </w:rPr>
        <w:footnoteReference w:id="33"/>
      </w:r>
      <w:r w:rsidRPr="0001127D">
        <w:rPr>
          <w:noProof/>
        </w:rPr>
        <w:t>. In generale gli esperti degli Stati membri si sono dimostrati aperti e hanno espresso sostegno alle misure previste dalla presente proposta. Gli Stati membri in generale hanno riconosciuto l</w:t>
      </w:r>
      <w:r w:rsidR="00E64452" w:rsidRPr="0001127D">
        <w:rPr>
          <w:noProof/>
        </w:rPr>
        <w:t>'</w:t>
      </w:r>
      <w:r w:rsidRPr="0001127D">
        <w:rPr>
          <w:noProof/>
        </w:rPr>
        <w:t>importanza di migliorare la trasparenza dei dati sulle società e hanno espresso sostegno alla proposta di ampliare i dati sulle società disponibili nel BRIS. Il collegamento dei diversi sistemi di interconnessione dei registri con il BRIS è stato ritenuto utile. Nel corso delle discussioni gli Stati membri hanno sollevato interrogativi circa il potenziale impatto sui registri nazionali delle imprese e hanno riscontrato alcune sfide in tale contesto, chiedendo inoltre informazioni sul rapporto tra le misure proposte e le norme vigenti a livello nazionale e dell</w:t>
      </w:r>
      <w:r w:rsidR="00E64452" w:rsidRPr="0001127D">
        <w:rPr>
          <w:noProof/>
        </w:rPr>
        <w:t>'</w:t>
      </w:r>
      <w:r w:rsidRPr="0001127D">
        <w:rPr>
          <w:noProof/>
        </w:rPr>
        <w:t>UE. In generale, gli Stati membri hanno anche riconosciuto l</w:t>
      </w:r>
      <w:r w:rsidR="00E64452" w:rsidRPr="0001127D">
        <w:rPr>
          <w:noProof/>
        </w:rPr>
        <w:t>'</w:t>
      </w:r>
      <w:r w:rsidRPr="0001127D">
        <w:rPr>
          <w:noProof/>
        </w:rPr>
        <w:t>importanza di disporre di dati affidabili sulle imprese e hanno espresso le loro opinioni sul modo in cui i controlli ex ante delle informazioni sulle società dovrebbero tenere conto dei controlli nazionali già in atto. Molti Stati membri hanno espresso il loro sostengo a favore delle misure volte a facilitare l</w:t>
      </w:r>
      <w:r w:rsidR="00E64452" w:rsidRPr="0001127D">
        <w:rPr>
          <w:noProof/>
        </w:rPr>
        <w:t>'</w:t>
      </w:r>
      <w:r w:rsidRPr="0001127D">
        <w:rPr>
          <w:noProof/>
        </w:rPr>
        <w:t>utilizzo transfrontaliero delle informazioni sulle società (ad es. l</w:t>
      </w:r>
      <w:r w:rsidR="00E64452" w:rsidRPr="0001127D">
        <w:rPr>
          <w:noProof/>
        </w:rPr>
        <w:t>'</w:t>
      </w:r>
      <w:r w:rsidRPr="0001127D">
        <w:rPr>
          <w:noProof/>
        </w:rPr>
        <w:t xml:space="preserve">introduzione del principio </w:t>
      </w:r>
      <w:r w:rsidR="00E64452" w:rsidRPr="0001127D">
        <w:rPr>
          <w:noProof/>
        </w:rPr>
        <w:t>"</w:t>
      </w:r>
      <w:r w:rsidRPr="0001127D">
        <w:rPr>
          <w:noProof/>
        </w:rPr>
        <w:t>una tantum</w:t>
      </w:r>
      <w:r w:rsidR="00E64452" w:rsidRPr="0001127D">
        <w:rPr>
          <w:noProof/>
        </w:rPr>
        <w:t>"</w:t>
      </w:r>
      <w:r w:rsidRPr="0001127D">
        <w:rPr>
          <w:noProof/>
        </w:rPr>
        <w:t xml:space="preserve"> per la costituzione di controllate e succursali transfrontaliere, l</w:t>
      </w:r>
      <w:r w:rsidR="00E64452" w:rsidRPr="0001127D">
        <w:rPr>
          <w:noProof/>
        </w:rPr>
        <w:t>'</w:t>
      </w:r>
      <w:r w:rsidRPr="0001127D">
        <w:rPr>
          <w:noProof/>
        </w:rPr>
        <w:t>estratto comune della società e l</w:t>
      </w:r>
      <w:r w:rsidR="00E64452" w:rsidRPr="0001127D">
        <w:rPr>
          <w:noProof/>
        </w:rPr>
        <w:t>'</w:t>
      </w:r>
      <w:r w:rsidRPr="0001127D">
        <w:rPr>
          <w:noProof/>
        </w:rPr>
        <w:t>abolizione delle formalità relative alla legalizzazione). Gli Stati membri hanno inoltre formulato osservazioni su tali questioni, ad esempio sulle informazioni da includere nell</w:t>
      </w:r>
      <w:r w:rsidR="00E64452" w:rsidRPr="0001127D">
        <w:rPr>
          <w:noProof/>
        </w:rPr>
        <w:t>'</w:t>
      </w:r>
      <w:r w:rsidRPr="0001127D">
        <w:rPr>
          <w:noProof/>
        </w:rPr>
        <w:t>estratto comune della società o sull</w:t>
      </w:r>
      <w:r w:rsidR="00E64452" w:rsidRPr="0001127D">
        <w:rPr>
          <w:noProof/>
        </w:rPr>
        <w:t>'</w:t>
      </w:r>
      <w:r w:rsidRPr="0001127D">
        <w:rPr>
          <w:noProof/>
        </w:rPr>
        <w:t>importanza della certificazione dei documenti societari da parte dei registri.</w:t>
      </w:r>
      <w:r w:rsidR="00E64452" w:rsidRPr="0001127D">
        <w:rPr>
          <w:noProof/>
        </w:rPr>
        <w:t xml:space="preserve"> </w:t>
      </w:r>
    </w:p>
    <w:p w14:paraId="55B3DC99" w14:textId="77777777" w:rsidR="00573A63" w:rsidRPr="0001127D" w:rsidRDefault="00573A63" w:rsidP="00660ED3">
      <w:pPr>
        <w:pStyle w:val="ManualHeading2"/>
        <w:rPr>
          <w:rFonts w:eastAsia="Arial Unicode MS"/>
          <w:noProof/>
          <w:u w:color="000000"/>
          <w:bdr w:val="nil"/>
        </w:rPr>
      </w:pPr>
      <w:bookmarkStart w:id="80" w:name="_Toc126762666"/>
      <w:bookmarkStart w:id="81" w:name="_Toc126826578"/>
      <w:bookmarkStart w:id="82" w:name="_Toc132359398"/>
      <w:bookmarkStart w:id="83" w:name="_Toc132359456"/>
      <w:bookmarkStart w:id="84" w:name="_Toc132359591"/>
      <w:r w:rsidRPr="0001127D">
        <w:rPr>
          <w:noProof/>
          <w:u w:color="000000"/>
          <w:bdr w:val="nil"/>
        </w:rPr>
        <w:t>•</w:t>
      </w:r>
      <w:r w:rsidRPr="0001127D">
        <w:rPr>
          <w:noProof/>
        </w:rPr>
        <w:tab/>
      </w:r>
      <w:r w:rsidRPr="0001127D">
        <w:rPr>
          <w:noProof/>
          <w:u w:color="000000"/>
          <w:bdr w:val="nil"/>
        </w:rPr>
        <w:t>Assunzione e uso di perizie</w:t>
      </w:r>
      <w:bookmarkEnd w:id="80"/>
      <w:bookmarkEnd w:id="81"/>
      <w:bookmarkEnd w:id="82"/>
      <w:bookmarkEnd w:id="83"/>
      <w:bookmarkEnd w:id="84"/>
    </w:p>
    <w:p w14:paraId="7022CB65" w14:textId="6ECF2509" w:rsidR="00110F80" w:rsidRPr="0001127D" w:rsidRDefault="6E101F34" w:rsidP="00110F80">
      <w:pPr>
        <w:rPr>
          <w:noProof/>
        </w:rPr>
      </w:pPr>
      <w:r w:rsidRPr="0001127D">
        <w:rPr>
          <w:noProof/>
        </w:rPr>
        <w:t xml:space="preserve">La </w:t>
      </w:r>
      <w:bookmarkStart w:id="85" w:name="_Toc126762667"/>
      <w:bookmarkStart w:id="86" w:name="_Toc126826579"/>
      <w:r w:rsidRPr="0001127D">
        <w:rPr>
          <w:noProof/>
        </w:rPr>
        <w:t>Commissione si è inoltre avvalsa dei risultati di uno studio realizzato da un contraente esterno</w:t>
      </w:r>
      <w:r w:rsidRPr="0001127D">
        <w:rPr>
          <w:rStyle w:val="FootnoteReference"/>
          <w:noProof/>
        </w:rPr>
        <w:footnoteReference w:id="34"/>
      </w:r>
      <w:r w:rsidRPr="0001127D">
        <w:rPr>
          <w:noProof/>
        </w:rPr>
        <w:t xml:space="preserve"> per contribuire a raccogliere elementi di prova per la presente iniziativa. Tale studio comprendeva una mappatura giuridica dei sistemi nazionali di diritto societario di tutti gli Stati membri, sondaggi mirati online, inclusi due seminari virtuali, e una valutazione qualitativa e quantitativa dell</w:t>
      </w:r>
      <w:r w:rsidR="00E64452" w:rsidRPr="0001127D">
        <w:rPr>
          <w:noProof/>
        </w:rPr>
        <w:t>'</w:t>
      </w:r>
      <w:r w:rsidRPr="0001127D">
        <w:rPr>
          <w:noProof/>
        </w:rPr>
        <w:t xml:space="preserve">impatto delle potenziali misure. </w:t>
      </w:r>
    </w:p>
    <w:p w14:paraId="01E1DE87" w14:textId="08A3F0ED" w:rsidR="00110F80" w:rsidRPr="0001127D" w:rsidRDefault="00110F80" w:rsidP="00110F80">
      <w:pPr>
        <w:rPr>
          <w:noProof/>
        </w:rPr>
      </w:pPr>
      <w:r w:rsidRPr="0001127D">
        <w:rPr>
          <w:noProof/>
        </w:rPr>
        <w:t>Il gruppo informale di esperti di diritto societario, composto da 17 accademici e professionisti legali specializzati in diritto societario provenienti da 12 Stati membri e paesi dell</w:t>
      </w:r>
      <w:r w:rsidR="00E64452" w:rsidRPr="0001127D">
        <w:rPr>
          <w:noProof/>
        </w:rPr>
        <w:t>'</w:t>
      </w:r>
      <w:r w:rsidRPr="0001127D">
        <w:rPr>
          <w:noProof/>
        </w:rPr>
        <w:t>Associazione europea di libero scambio, ha redatto due relazioni su questioni pertinenti alla presente iniziativa, sulla trasparenza dei dati in materia di diritto societario e sull</w:t>
      </w:r>
      <w:r w:rsidR="00E64452" w:rsidRPr="0001127D">
        <w:rPr>
          <w:noProof/>
        </w:rPr>
        <w:t>'</w:t>
      </w:r>
      <w:r w:rsidRPr="0001127D">
        <w:rPr>
          <w:noProof/>
        </w:rPr>
        <w:t>utilizzo transfrontaliero dei dati sulle società</w:t>
      </w:r>
      <w:r w:rsidRPr="0001127D">
        <w:rPr>
          <w:rStyle w:val="FootnoteReference"/>
          <w:noProof/>
        </w:rPr>
        <w:footnoteReference w:id="35"/>
      </w:r>
      <w:r w:rsidRPr="0001127D">
        <w:rPr>
          <w:noProof/>
        </w:rPr>
        <w:t xml:space="preserve">. </w:t>
      </w:r>
    </w:p>
    <w:p w14:paraId="512285D5" w14:textId="07BD814A" w:rsidR="00573A63" w:rsidRPr="0001127D" w:rsidRDefault="00573A63" w:rsidP="00110F80">
      <w:pPr>
        <w:rPr>
          <w:rFonts w:eastAsia="Arial Unicode MS"/>
          <w:noProof/>
          <w:u w:color="000000"/>
          <w:bdr w:val="nil"/>
        </w:rPr>
      </w:pPr>
      <w:r w:rsidRPr="0001127D">
        <w:rPr>
          <w:noProof/>
          <w:u w:color="000000"/>
          <w:bdr w:val="nil"/>
        </w:rPr>
        <w:t>•</w:t>
      </w:r>
      <w:r w:rsidRPr="0001127D">
        <w:rPr>
          <w:noProof/>
        </w:rPr>
        <w:tab/>
      </w:r>
      <w:r w:rsidRPr="0001127D">
        <w:rPr>
          <w:b/>
          <w:noProof/>
          <w:u w:color="000000"/>
          <w:bdr w:val="nil"/>
        </w:rPr>
        <w:t>Valutazione d</w:t>
      </w:r>
      <w:r w:rsidR="00E64452" w:rsidRPr="0001127D">
        <w:rPr>
          <w:b/>
          <w:noProof/>
          <w:u w:color="000000"/>
          <w:bdr w:val="nil"/>
        </w:rPr>
        <w:t>'</w:t>
      </w:r>
      <w:r w:rsidRPr="0001127D">
        <w:rPr>
          <w:b/>
          <w:noProof/>
          <w:u w:color="000000"/>
          <w:bdr w:val="nil"/>
        </w:rPr>
        <w:t>impatto</w:t>
      </w:r>
      <w:bookmarkEnd w:id="85"/>
      <w:bookmarkEnd w:id="86"/>
    </w:p>
    <w:p w14:paraId="34751D57" w14:textId="7D04D19F" w:rsidR="004617E8" w:rsidRPr="0001127D" w:rsidRDefault="5C12CE08" w:rsidP="002648F8">
      <w:pPr>
        <w:spacing w:after="80"/>
        <w:rPr>
          <w:noProof/>
        </w:rPr>
      </w:pPr>
      <w:r w:rsidRPr="0001127D">
        <w:rPr>
          <w:noProof/>
        </w:rPr>
        <w:t>La valutazione d</w:t>
      </w:r>
      <w:r w:rsidR="00E64452" w:rsidRPr="0001127D">
        <w:rPr>
          <w:noProof/>
        </w:rPr>
        <w:t>'</w:t>
      </w:r>
      <w:r w:rsidRPr="0001127D">
        <w:rPr>
          <w:noProof/>
        </w:rPr>
        <w:t>impatto della presente proposta è stata esaminata dal comitato per il controllo normativo il 12 ottobre 2022. Il 14 ottobre il comitato ha emesso un parere positivo con riserve</w:t>
      </w:r>
      <w:r w:rsidRPr="0001127D">
        <w:rPr>
          <w:rStyle w:val="FootnoteReference"/>
          <w:noProof/>
        </w:rPr>
        <w:footnoteReference w:id="36"/>
      </w:r>
      <w:r w:rsidRPr="0001127D">
        <w:rPr>
          <w:noProof/>
        </w:rPr>
        <w:t xml:space="preserve"> e nella versione finale della valutazione d</w:t>
      </w:r>
      <w:r w:rsidR="00E64452" w:rsidRPr="0001127D">
        <w:rPr>
          <w:noProof/>
        </w:rPr>
        <w:t>'</w:t>
      </w:r>
      <w:r w:rsidRPr="0001127D">
        <w:rPr>
          <w:noProof/>
        </w:rPr>
        <w:t xml:space="preserve">impatto si è tenuto debitamente conto delle raccomandazioni del comitato. </w:t>
      </w:r>
    </w:p>
    <w:p w14:paraId="0BF35EBC" w14:textId="3F97AAB4" w:rsidR="0013239F" w:rsidRPr="0001127D" w:rsidRDefault="001C43F9" w:rsidP="00C05C18">
      <w:pPr>
        <w:spacing w:after="80"/>
        <w:rPr>
          <w:noProof/>
        </w:rPr>
      </w:pPr>
      <w:r w:rsidRPr="0001127D">
        <w:rPr>
          <w:noProof/>
        </w:rPr>
        <w:t>La valutazione d</w:t>
      </w:r>
      <w:r w:rsidR="00E64452" w:rsidRPr="0001127D">
        <w:rPr>
          <w:noProof/>
        </w:rPr>
        <w:t>'</w:t>
      </w:r>
      <w:r w:rsidRPr="0001127D">
        <w:rPr>
          <w:noProof/>
        </w:rPr>
        <w:t xml:space="preserve">impatto ha analizzato le opzioni strategiche in quattro settori principali pertinenti alla presente iniziativa. Sono state valutate tre opzioni strategiche per </w:t>
      </w:r>
      <w:r w:rsidRPr="0001127D">
        <w:rPr>
          <w:b/>
          <w:noProof/>
        </w:rPr>
        <w:t>rendere disponibile un maggior numero di dati sulle società nei registri delle imprese e/o nel BRIS</w:t>
      </w:r>
      <w:r w:rsidRPr="0001127D">
        <w:rPr>
          <w:noProof/>
        </w:rPr>
        <w:t>. Tali opzioni consistono in diversi raggruppamenti di dati sulle società e variano in termini di disponibilità o meno di dati nei registri delle imprese, nonché in termini di portata, ossia numero di imprese interessate. L</w:t>
      </w:r>
      <w:r w:rsidR="00E64452" w:rsidRPr="0001127D">
        <w:rPr>
          <w:noProof/>
        </w:rPr>
        <w:t>'</w:t>
      </w:r>
      <w:r w:rsidRPr="0001127D">
        <w:rPr>
          <w:noProof/>
        </w:rPr>
        <w:t>opzione prescelta è stata quella di rendere disponibili nei registri nazionali/nel BRIS le informazioni su società di persone, succursali di società di paesi terzi, strutture di gruppo e assetto proprietario dei gruppi transfrontalieri, nonché sede di direzione e sede dell</w:t>
      </w:r>
      <w:r w:rsidR="00E64452" w:rsidRPr="0001127D">
        <w:rPr>
          <w:noProof/>
        </w:rPr>
        <w:t>'</w:t>
      </w:r>
      <w:r w:rsidRPr="0001127D">
        <w:rPr>
          <w:noProof/>
        </w:rPr>
        <w:t xml:space="preserve">attività economica principale. Sono state valutate due opzioni per </w:t>
      </w:r>
      <w:r w:rsidRPr="0001127D">
        <w:rPr>
          <w:b/>
          <w:noProof/>
        </w:rPr>
        <w:t>interconnettere il BRIS con altri sistemi di interconnessione dei registri a livello dell</w:t>
      </w:r>
      <w:r w:rsidR="00E64452" w:rsidRPr="0001127D">
        <w:rPr>
          <w:b/>
          <w:noProof/>
        </w:rPr>
        <w:t>'</w:t>
      </w:r>
      <w:r w:rsidRPr="0001127D">
        <w:rPr>
          <w:b/>
          <w:noProof/>
        </w:rPr>
        <w:t xml:space="preserve">UE e consentire ricerche più efficaci. </w:t>
      </w:r>
      <w:r w:rsidRPr="0001127D">
        <w:rPr>
          <w:noProof/>
        </w:rPr>
        <w:t>L</w:t>
      </w:r>
      <w:r w:rsidR="00E64452" w:rsidRPr="0001127D">
        <w:rPr>
          <w:noProof/>
        </w:rPr>
        <w:t>'</w:t>
      </w:r>
      <w:r w:rsidRPr="0001127D">
        <w:rPr>
          <w:noProof/>
        </w:rPr>
        <w:t>opzione prescelta prevede</w:t>
      </w:r>
      <w:r w:rsidRPr="0001127D">
        <w:rPr>
          <w:b/>
          <w:noProof/>
        </w:rPr>
        <w:t xml:space="preserve"> </w:t>
      </w:r>
      <w:r w:rsidRPr="0001127D">
        <w:rPr>
          <w:noProof/>
        </w:rPr>
        <w:t>il collegamento del BRIS ai sistemi BORIS e IRI, l</w:t>
      </w:r>
      <w:r w:rsidR="00E64452" w:rsidRPr="0001127D">
        <w:rPr>
          <w:noProof/>
        </w:rPr>
        <w:t>'</w:t>
      </w:r>
      <w:r w:rsidRPr="0001127D">
        <w:rPr>
          <w:noProof/>
        </w:rPr>
        <w:t>impiego dell</w:t>
      </w:r>
      <w:r w:rsidR="00E64452" w:rsidRPr="0001127D">
        <w:rPr>
          <w:noProof/>
        </w:rPr>
        <w:t>'</w:t>
      </w:r>
      <w:r w:rsidRPr="0001127D">
        <w:rPr>
          <w:noProof/>
        </w:rPr>
        <w:t>identificativo unico europeo della società e l</w:t>
      </w:r>
      <w:r w:rsidR="00E64452" w:rsidRPr="0001127D">
        <w:rPr>
          <w:noProof/>
        </w:rPr>
        <w:t>'</w:t>
      </w:r>
      <w:r w:rsidRPr="0001127D">
        <w:rPr>
          <w:noProof/>
        </w:rPr>
        <w:t xml:space="preserve">introduzione di nuove funzionalità di ricerca nel BRIS. Sono state valutate due opzioni per </w:t>
      </w:r>
      <w:r w:rsidRPr="0001127D">
        <w:rPr>
          <w:b/>
          <w:noProof/>
        </w:rPr>
        <w:t>garantire un</w:t>
      </w:r>
      <w:r w:rsidR="00E64452" w:rsidRPr="0001127D">
        <w:rPr>
          <w:b/>
          <w:noProof/>
        </w:rPr>
        <w:t>'</w:t>
      </w:r>
      <w:r w:rsidRPr="0001127D">
        <w:rPr>
          <w:b/>
          <w:noProof/>
        </w:rPr>
        <w:t>adeguata verifica dei dati sulle società prima della loro iscrizione nel registro delle imprese</w:t>
      </w:r>
      <w:r w:rsidRPr="0001127D">
        <w:rPr>
          <w:noProof/>
        </w:rPr>
        <w:t>. L</w:t>
      </w:r>
      <w:r w:rsidR="00E64452" w:rsidRPr="0001127D">
        <w:rPr>
          <w:noProof/>
        </w:rPr>
        <w:t>'</w:t>
      </w:r>
      <w:r w:rsidRPr="0001127D">
        <w:rPr>
          <w:noProof/>
        </w:rPr>
        <w:t>opzione prescelta consiste nell</w:t>
      </w:r>
      <w:r w:rsidR="00E64452" w:rsidRPr="0001127D">
        <w:rPr>
          <w:noProof/>
        </w:rPr>
        <w:t>'</w:t>
      </w:r>
      <w:r w:rsidRPr="0001127D">
        <w:rPr>
          <w:noProof/>
        </w:rPr>
        <w:t>introdurre l</w:t>
      </w:r>
      <w:r w:rsidR="00E64452" w:rsidRPr="0001127D">
        <w:rPr>
          <w:noProof/>
        </w:rPr>
        <w:t>'</w:t>
      </w:r>
      <w:r w:rsidRPr="0001127D">
        <w:rPr>
          <w:noProof/>
        </w:rPr>
        <w:t xml:space="preserve">obbligo di verificare un elenco armonizzato di elementi e alcuni requisiti procedurali di base comuni al fine di garantire che i dati sulle società siano affidabili e aggiornati. Inoltre sono state valutate tre opzioni per </w:t>
      </w:r>
      <w:r w:rsidRPr="0001127D">
        <w:rPr>
          <w:b/>
          <w:noProof/>
        </w:rPr>
        <w:t>consentire l</w:t>
      </w:r>
      <w:r w:rsidR="00E64452" w:rsidRPr="0001127D">
        <w:rPr>
          <w:b/>
          <w:noProof/>
        </w:rPr>
        <w:t>'</w:t>
      </w:r>
      <w:r w:rsidRPr="0001127D">
        <w:rPr>
          <w:b/>
          <w:noProof/>
        </w:rPr>
        <w:t>utilizzo transfrontaliero diretto dei dati sulle società disponibili nei registri delle imprese in situazioni transfrontaliere</w:t>
      </w:r>
      <w:r w:rsidRPr="0001127D">
        <w:rPr>
          <w:noProof/>
        </w:rPr>
        <w:t>. L</w:t>
      </w:r>
      <w:r w:rsidR="00E64452" w:rsidRPr="0001127D">
        <w:rPr>
          <w:noProof/>
        </w:rPr>
        <w:t>'</w:t>
      </w:r>
      <w:r w:rsidRPr="0001127D">
        <w:rPr>
          <w:noProof/>
        </w:rPr>
        <w:t>opzione prescelta prevede l</w:t>
      </w:r>
      <w:r w:rsidR="00E64452" w:rsidRPr="0001127D">
        <w:rPr>
          <w:noProof/>
        </w:rPr>
        <w:t>'</w:t>
      </w:r>
      <w:r w:rsidRPr="0001127D">
        <w:rPr>
          <w:noProof/>
        </w:rPr>
        <w:t xml:space="preserve">introduzione del principio </w:t>
      </w:r>
      <w:r w:rsidR="00E64452" w:rsidRPr="0001127D">
        <w:rPr>
          <w:noProof/>
        </w:rPr>
        <w:t>"</w:t>
      </w:r>
      <w:r w:rsidRPr="0001127D">
        <w:rPr>
          <w:noProof/>
        </w:rPr>
        <w:t>una tantum</w:t>
      </w:r>
      <w:r w:rsidR="00E64452" w:rsidRPr="0001127D">
        <w:rPr>
          <w:noProof/>
        </w:rPr>
        <w:t>"</w:t>
      </w:r>
      <w:r w:rsidRPr="0001127D">
        <w:rPr>
          <w:noProof/>
        </w:rPr>
        <w:t xml:space="preserve"> per la costituzione di controllate o succursali in un altro Stato membro, la fornitura di un estratto armonizzato comune della società nell</w:t>
      </w:r>
      <w:r w:rsidR="00E64452" w:rsidRPr="0001127D">
        <w:rPr>
          <w:noProof/>
        </w:rPr>
        <w:t>'</w:t>
      </w:r>
      <w:r w:rsidRPr="0001127D">
        <w:rPr>
          <w:noProof/>
        </w:rPr>
        <w:t>UE, la garanzia del riconoscimento reciproco di taluni dati sulle società e l</w:t>
      </w:r>
      <w:r w:rsidR="00E64452" w:rsidRPr="0001127D">
        <w:rPr>
          <w:noProof/>
        </w:rPr>
        <w:t>'</w:t>
      </w:r>
      <w:r w:rsidRPr="0001127D">
        <w:rPr>
          <w:noProof/>
        </w:rPr>
        <w:t>abolizione delle formalità (apostilla). L</w:t>
      </w:r>
      <w:r w:rsidR="00E64452" w:rsidRPr="0001127D">
        <w:rPr>
          <w:noProof/>
        </w:rPr>
        <w:t>'</w:t>
      </w:r>
      <w:r w:rsidRPr="0001127D">
        <w:rPr>
          <w:b/>
          <w:noProof/>
        </w:rPr>
        <w:t>opzione strategica prescelta in generale</w:t>
      </w:r>
      <w:r w:rsidRPr="0001127D">
        <w:rPr>
          <w:noProof/>
        </w:rPr>
        <w:t xml:space="preserve"> consiste in un pacchetto di misure selezionate nell</w:t>
      </w:r>
      <w:r w:rsidR="00E64452" w:rsidRPr="0001127D">
        <w:rPr>
          <w:noProof/>
        </w:rPr>
        <w:t>'</w:t>
      </w:r>
      <w:r w:rsidRPr="0001127D">
        <w:rPr>
          <w:noProof/>
        </w:rPr>
        <w:t>ambito di ciascuna delle quattro questioni principali. Le misure sono state considerate sinergiche e, come tali, tutte necessarie per affrontare nel modo più efficace gli obiettivi della presente proposta. Ad esempio, il pacchetto non solo renderebbe disponibile e più facilmente accessibile in tutta l</w:t>
      </w:r>
      <w:r w:rsidR="00E64452" w:rsidRPr="0001127D">
        <w:rPr>
          <w:noProof/>
        </w:rPr>
        <w:t>'</w:t>
      </w:r>
      <w:r w:rsidRPr="0001127D">
        <w:rPr>
          <w:noProof/>
        </w:rPr>
        <w:t>UE un maggior numero di dati sulle società, ma garantirebbe anche una maggiore affidabilità di tali dati. Ciò rappresenterebbe a sua volta il presupposto per consentire l</w:t>
      </w:r>
      <w:r w:rsidR="00E64452" w:rsidRPr="0001127D">
        <w:rPr>
          <w:noProof/>
        </w:rPr>
        <w:t>'</w:t>
      </w:r>
      <w:r w:rsidRPr="0001127D">
        <w:rPr>
          <w:noProof/>
        </w:rPr>
        <w:t>utilizzo diretto di tali dati in tutto il mercato unico.</w:t>
      </w:r>
    </w:p>
    <w:p w14:paraId="12861AC1" w14:textId="3C8A25AA" w:rsidR="00BD7050" w:rsidRPr="0001127D" w:rsidRDefault="00BD7050" w:rsidP="00BD7050">
      <w:pPr>
        <w:spacing w:after="80"/>
        <w:rPr>
          <w:noProof/>
        </w:rPr>
      </w:pPr>
      <w:r w:rsidRPr="0001127D">
        <w:rPr>
          <w:noProof/>
        </w:rPr>
        <w:t>Mettendo a disposizione del pubblico un maggior numero di dati sulle società nei registri delle imprese e a livello dell</w:t>
      </w:r>
      <w:r w:rsidR="00E64452" w:rsidRPr="0001127D">
        <w:rPr>
          <w:noProof/>
        </w:rPr>
        <w:t>'</w:t>
      </w:r>
      <w:r w:rsidRPr="0001127D">
        <w:rPr>
          <w:noProof/>
        </w:rPr>
        <w:t>UE attraverso il BRIS e migliorando l</w:t>
      </w:r>
      <w:r w:rsidR="00E64452" w:rsidRPr="0001127D">
        <w:rPr>
          <w:noProof/>
        </w:rPr>
        <w:t>'</w:t>
      </w:r>
      <w:r w:rsidRPr="0001127D">
        <w:rPr>
          <w:noProof/>
        </w:rPr>
        <w:t xml:space="preserve">affidabilità di tali dati, il pacchetto di misure prescelte dovrebbe ridurre gli oneri amministrativi delle </w:t>
      </w:r>
      <w:r w:rsidRPr="0001127D">
        <w:rPr>
          <w:b/>
          <w:noProof/>
        </w:rPr>
        <w:t>società</w:t>
      </w:r>
      <w:r w:rsidRPr="0001127D">
        <w:rPr>
          <w:noProof/>
        </w:rPr>
        <w:t xml:space="preserve"> nel complesso, il che, a sua volta, agevolerà l</w:t>
      </w:r>
      <w:r w:rsidR="00E64452" w:rsidRPr="0001127D">
        <w:rPr>
          <w:noProof/>
        </w:rPr>
        <w:t>'</w:t>
      </w:r>
      <w:r w:rsidRPr="0001127D">
        <w:rPr>
          <w:noProof/>
        </w:rPr>
        <w:t>accesso ai finanziamenti e la costituzione di imprese. Inoltre l</w:t>
      </w:r>
      <w:r w:rsidR="00E64452" w:rsidRPr="0001127D">
        <w:rPr>
          <w:noProof/>
        </w:rPr>
        <w:t>'</w:t>
      </w:r>
      <w:r w:rsidRPr="0001127D">
        <w:rPr>
          <w:noProof/>
        </w:rPr>
        <w:t>agevolazione dell</w:t>
      </w:r>
      <w:r w:rsidR="00E64452" w:rsidRPr="0001127D">
        <w:rPr>
          <w:noProof/>
        </w:rPr>
        <w:t>'</w:t>
      </w:r>
      <w:r w:rsidRPr="0001127D">
        <w:rPr>
          <w:noProof/>
        </w:rPr>
        <w:t>utilizzo transfrontaliero di tali dati in caso di costituzione di nuove controllate o succursali in un altro Stato membro o in altre situazioni transfrontaliere, anche in sede giudiziale o amministrativa, dovrebbe tradursi in notevoli risparmi sui costi ricorrenti. Di conseguenza, ciò dovrebbe semplificare notevolmente lo svolgimento delle attività imprenditoriali transfrontaliere e facilitare l</w:t>
      </w:r>
      <w:r w:rsidR="00E64452" w:rsidRPr="0001127D">
        <w:rPr>
          <w:noProof/>
        </w:rPr>
        <w:t>'</w:t>
      </w:r>
      <w:r w:rsidRPr="0001127D">
        <w:rPr>
          <w:noProof/>
        </w:rPr>
        <w:t xml:space="preserve">accesso ai mercati di altri Stati membri. </w:t>
      </w:r>
    </w:p>
    <w:p w14:paraId="3DBD2A64" w14:textId="39D2C9EE" w:rsidR="00412343" w:rsidRPr="0001127D" w:rsidRDefault="00412343" w:rsidP="00412343">
      <w:pPr>
        <w:spacing w:after="80"/>
        <w:rPr>
          <w:noProof/>
        </w:rPr>
      </w:pPr>
      <w:r w:rsidRPr="0001127D">
        <w:rPr>
          <w:noProof/>
        </w:rPr>
        <w:t>I risparmi sui costi ricorrenti (riduzione degli oneri amministrativi) per le società che costituiscono nuove controllate o succursali transfrontaliere e per tutte le società che svolgono attività imprenditoriali transfrontaliere sono stimati a circa 437 milioni di EUR all</w:t>
      </w:r>
      <w:r w:rsidR="00E64452" w:rsidRPr="0001127D">
        <w:rPr>
          <w:noProof/>
        </w:rPr>
        <w:t>'</w:t>
      </w:r>
      <w:r w:rsidRPr="0001127D">
        <w:rPr>
          <w:noProof/>
        </w:rPr>
        <w:t>anno. Nel contempo il pacchetto comporterà spese una tantum per talune società (ossia quelle che attualmente non presentano informazioni specifiche ad alcun registro) stimate a circa 311</w:t>
      </w:r>
      <w:r w:rsidR="00D72BD3" w:rsidRPr="0001127D">
        <w:rPr>
          <w:noProof/>
        </w:rPr>
        <w:t> </w:t>
      </w:r>
      <w:r w:rsidRPr="0001127D">
        <w:rPr>
          <w:noProof/>
        </w:rPr>
        <w:t>milioni di EUR. Tali spese saranno limitate dal fatto che gli Stati membri non dovrebbero, ad esempio, applicare oneri separatamente per ciascuna nuova registrazione dei dati sulle società. I benefici ricorrenti attesi per le imprese sarebbero pertanto di gran lunga superiori alle spese una tantum e l</w:t>
      </w:r>
      <w:r w:rsidR="00E64452" w:rsidRPr="0001127D">
        <w:rPr>
          <w:noProof/>
        </w:rPr>
        <w:t>'</w:t>
      </w:r>
      <w:r w:rsidRPr="0001127D">
        <w:rPr>
          <w:noProof/>
        </w:rPr>
        <w:t xml:space="preserve">iniziativa ridurrà notevolmente gli oneri amministrativi a carico delle società nel mercato unico. </w:t>
      </w:r>
    </w:p>
    <w:p w14:paraId="1D1014B9" w14:textId="431BAA40" w:rsidR="00C75799" w:rsidRPr="0001127D" w:rsidRDefault="00336BE1" w:rsidP="00C75799">
      <w:pPr>
        <w:rPr>
          <w:rFonts w:cstheme="minorHAnsi"/>
          <w:noProof/>
        </w:rPr>
      </w:pPr>
      <w:r w:rsidRPr="0001127D">
        <w:rPr>
          <w:noProof/>
        </w:rPr>
        <w:t>Il presente pacchetto rappresenta un proseguimento degli sviluppi relativi alla digitalizzazione realizzati fino ad oggi nel settore del diritto societario. L</w:t>
      </w:r>
      <w:r w:rsidR="00E64452" w:rsidRPr="0001127D">
        <w:rPr>
          <w:noProof/>
        </w:rPr>
        <w:t>'</w:t>
      </w:r>
      <w:r w:rsidRPr="0001127D">
        <w:rPr>
          <w:noProof/>
        </w:rPr>
        <w:t>aumento dell</w:t>
      </w:r>
      <w:r w:rsidR="00E64452" w:rsidRPr="0001127D">
        <w:rPr>
          <w:noProof/>
        </w:rPr>
        <w:t>'</w:t>
      </w:r>
      <w:r w:rsidRPr="0001127D">
        <w:rPr>
          <w:noProof/>
        </w:rPr>
        <w:t>accessibilità e dell</w:t>
      </w:r>
      <w:r w:rsidR="00E64452" w:rsidRPr="0001127D">
        <w:rPr>
          <w:noProof/>
        </w:rPr>
        <w:t>'</w:t>
      </w:r>
      <w:r w:rsidRPr="0001127D">
        <w:rPr>
          <w:noProof/>
        </w:rPr>
        <w:t xml:space="preserve">affidabilità dei dati sulle società e il miglioramento dei collegamenti tra i </w:t>
      </w:r>
      <w:r w:rsidRPr="0001127D">
        <w:rPr>
          <w:b/>
          <w:noProof/>
        </w:rPr>
        <w:t>registri delle imprese</w:t>
      </w:r>
      <w:r w:rsidRPr="0001127D">
        <w:rPr>
          <w:noProof/>
        </w:rPr>
        <w:t>, sia grazie all</w:t>
      </w:r>
      <w:r w:rsidR="00E64452" w:rsidRPr="0001127D">
        <w:rPr>
          <w:noProof/>
        </w:rPr>
        <w:t>'</w:t>
      </w:r>
      <w:r w:rsidRPr="0001127D">
        <w:rPr>
          <w:noProof/>
        </w:rPr>
        <w:t xml:space="preserve">applicazione del principio </w:t>
      </w:r>
      <w:r w:rsidR="00E64452" w:rsidRPr="0001127D">
        <w:rPr>
          <w:noProof/>
        </w:rPr>
        <w:t>"</w:t>
      </w:r>
      <w:r w:rsidRPr="0001127D">
        <w:rPr>
          <w:noProof/>
        </w:rPr>
        <w:t>una tantum</w:t>
      </w:r>
      <w:r w:rsidR="00E64452" w:rsidRPr="0001127D">
        <w:rPr>
          <w:noProof/>
        </w:rPr>
        <w:t>"</w:t>
      </w:r>
      <w:r w:rsidRPr="0001127D">
        <w:rPr>
          <w:noProof/>
        </w:rPr>
        <w:t xml:space="preserve"> che attraverso il collegamento di altri sistemi/registri a livello dell</w:t>
      </w:r>
      <w:r w:rsidR="00E64452" w:rsidRPr="0001127D">
        <w:rPr>
          <w:noProof/>
        </w:rPr>
        <w:t>'</w:t>
      </w:r>
      <w:r w:rsidRPr="0001127D">
        <w:rPr>
          <w:noProof/>
        </w:rPr>
        <w:t>UE al BRIS, dovrebbero agevolare il lavoro dei registri a causa della semplificazione delle modalità di ricerca dei dati sulle società forniti da altri Stati membri e della minore necessità di richiedere documenti alle società. Considerata la necessità che i registri delle imprese adeguino i sistemi informatici, le spese una tantum del pacchetto sono stimate a circa 5,4 milioni di EUR per tutti i registri delle imprese complessivamente. I costi ricorrenti, ad es. quelli relativi all</w:t>
      </w:r>
      <w:r w:rsidR="00E64452" w:rsidRPr="0001127D">
        <w:rPr>
          <w:noProof/>
        </w:rPr>
        <w:t>'</w:t>
      </w:r>
      <w:r w:rsidRPr="0001127D">
        <w:rPr>
          <w:noProof/>
        </w:rPr>
        <w:t>effettuazione della verifica ex ante dei dati sulle società, sono stimati a circa 4 milioni di EUR all</w:t>
      </w:r>
      <w:r w:rsidR="00E64452" w:rsidRPr="0001127D">
        <w:rPr>
          <w:noProof/>
        </w:rPr>
        <w:t>'</w:t>
      </w:r>
      <w:r w:rsidRPr="0001127D">
        <w:rPr>
          <w:noProof/>
        </w:rPr>
        <w:t>anno per tutti i registri. Tuttavia gli Stati membri potrebbero basarsi sugli investimenti in ambito informatico già effettuati per il BRIS negli ultimi anni e i costi di adeguamento relativi alla verifica dovrebbero essere limitati, dati i controlli ex ante già predisposti in molti Stati membri. È inoltre probabile che vi sarà una perdita di entrate per i registri che richiedono il pagamento di oneri per gli estratti comuni della società ai fini dell</w:t>
      </w:r>
      <w:r w:rsidR="00E64452" w:rsidRPr="0001127D">
        <w:rPr>
          <w:noProof/>
        </w:rPr>
        <w:t>'</w:t>
      </w:r>
      <w:r w:rsidRPr="0001127D">
        <w:rPr>
          <w:noProof/>
        </w:rPr>
        <w:t xml:space="preserve">utilizzo transfrontaliero, stimata a circa 7,9 milioni di EUR per tutti i registri. </w:t>
      </w:r>
    </w:p>
    <w:p w14:paraId="0CF7C13F" w14:textId="0471092A" w:rsidR="000740C4" w:rsidRPr="0001127D" w:rsidRDefault="000740C4" w:rsidP="000740C4">
      <w:pPr>
        <w:spacing w:after="80"/>
        <w:rPr>
          <w:rFonts w:cstheme="minorHAnsi"/>
          <w:noProof/>
        </w:rPr>
      </w:pPr>
      <w:r w:rsidRPr="0001127D">
        <w:rPr>
          <w:noProof/>
        </w:rPr>
        <w:t xml:space="preserve">Per quanto riguarda le altre </w:t>
      </w:r>
      <w:r w:rsidRPr="0001127D">
        <w:rPr>
          <w:b/>
          <w:noProof/>
        </w:rPr>
        <w:t>autorità</w:t>
      </w:r>
      <w:r w:rsidRPr="0001127D">
        <w:rPr>
          <w:noProof/>
        </w:rPr>
        <w:t>, un accesso più agevole a un maggior numero di dati affidabili sulle imprese faciliterebbe il loro lavoro, in quanto esse potrebbero consultare i dati sulle società direttamente nei registri delle imprese e nel BRIS e quindi richiedere meno documenti alle società, con conseguenti risparmi. Sebbene le autorità incaricate dell</w:t>
      </w:r>
      <w:r w:rsidR="00E64452" w:rsidRPr="0001127D">
        <w:rPr>
          <w:noProof/>
        </w:rPr>
        <w:t>'</w:t>
      </w:r>
      <w:r w:rsidRPr="0001127D">
        <w:rPr>
          <w:noProof/>
        </w:rPr>
        <w:t>emissione delle apostille perderanno entrate per un valore stimato a 9,5 milioni di EUR all</w:t>
      </w:r>
      <w:r w:rsidR="00E64452" w:rsidRPr="0001127D">
        <w:rPr>
          <w:noProof/>
        </w:rPr>
        <w:t>'</w:t>
      </w:r>
      <w:r w:rsidRPr="0001127D">
        <w:rPr>
          <w:noProof/>
        </w:rPr>
        <w:t>anno, l</w:t>
      </w:r>
      <w:r w:rsidR="00E64452" w:rsidRPr="0001127D">
        <w:rPr>
          <w:noProof/>
        </w:rPr>
        <w:t>'</w:t>
      </w:r>
      <w:r w:rsidRPr="0001127D">
        <w:rPr>
          <w:noProof/>
        </w:rPr>
        <w:t>abolizione dell</w:t>
      </w:r>
      <w:r w:rsidR="00E64452" w:rsidRPr="0001127D">
        <w:rPr>
          <w:noProof/>
        </w:rPr>
        <w:t>'</w:t>
      </w:r>
      <w:r w:rsidRPr="0001127D">
        <w:rPr>
          <w:noProof/>
        </w:rPr>
        <w:t>apostilla dovrebbe comportare una riduzione degli oneri amministrativi complessivi, se si considerano l</w:t>
      </w:r>
      <w:r w:rsidR="00E64452" w:rsidRPr="0001127D">
        <w:rPr>
          <w:noProof/>
        </w:rPr>
        <w:t>'</w:t>
      </w:r>
      <w:r w:rsidRPr="0001127D">
        <w:rPr>
          <w:noProof/>
        </w:rPr>
        <w:t>attuale incertezza giuridica nonché le risorse umane e la tempistica necessarie per l</w:t>
      </w:r>
      <w:r w:rsidR="00E64452" w:rsidRPr="0001127D">
        <w:rPr>
          <w:noProof/>
        </w:rPr>
        <w:t>'</w:t>
      </w:r>
      <w:r w:rsidRPr="0001127D">
        <w:rPr>
          <w:noProof/>
        </w:rPr>
        <w:t>emissione dell</w:t>
      </w:r>
      <w:r w:rsidR="00E64452" w:rsidRPr="0001127D">
        <w:rPr>
          <w:noProof/>
        </w:rPr>
        <w:t>'</w:t>
      </w:r>
      <w:r w:rsidRPr="0001127D">
        <w:rPr>
          <w:noProof/>
        </w:rPr>
        <w:t>apostilla.</w:t>
      </w:r>
    </w:p>
    <w:p w14:paraId="17BD3EAB" w14:textId="57025EF3" w:rsidR="000740C4" w:rsidRPr="0001127D" w:rsidRDefault="000740C4" w:rsidP="000740C4">
      <w:pPr>
        <w:spacing w:after="80"/>
        <w:rPr>
          <w:noProof/>
        </w:rPr>
      </w:pPr>
      <w:bookmarkStart w:id="87" w:name="_Toc126762668"/>
      <w:bookmarkStart w:id="88" w:name="_Toc126826580"/>
      <w:r w:rsidRPr="0001127D">
        <w:rPr>
          <w:noProof/>
        </w:rPr>
        <w:t xml:space="preserve">Il pacchetto dovrebbe inoltre essere molto vantaggioso per la </w:t>
      </w:r>
      <w:r w:rsidRPr="0001127D">
        <w:rPr>
          <w:b/>
          <w:noProof/>
        </w:rPr>
        <w:t>società in generale</w:t>
      </w:r>
      <w:r w:rsidRPr="0001127D">
        <w:rPr>
          <w:noProof/>
        </w:rPr>
        <w:t>, compresi i consumatori, considerato l</w:t>
      </w:r>
      <w:r w:rsidR="00E64452" w:rsidRPr="0001127D">
        <w:rPr>
          <w:noProof/>
        </w:rPr>
        <w:t>'</w:t>
      </w:r>
      <w:r w:rsidRPr="0001127D">
        <w:rPr>
          <w:noProof/>
        </w:rPr>
        <w:t>impatto positivo che si prevede in termini di fornitura di dati più accessibili e affidabili sulle imprese in tutta l</w:t>
      </w:r>
      <w:r w:rsidR="00E64452" w:rsidRPr="0001127D">
        <w:rPr>
          <w:noProof/>
        </w:rPr>
        <w:t>'</w:t>
      </w:r>
      <w:r w:rsidRPr="0001127D">
        <w:rPr>
          <w:noProof/>
        </w:rPr>
        <w:t>UE. Esso consentirà pertanto ai consumatori di compiere scelte più informate in caso di acquisti o stipulazione di contratti con società di altri Stati membri. L</w:t>
      </w:r>
      <w:r w:rsidR="00E64452" w:rsidRPr="0001127D">
        <w:rPr>
          <w:noProof/>
        </w:rPr>
        <w:t>'</w:t>
      </w:r>
      <w:r w:rsidRPr="0001127D">
        <w:rPr>
          <w:noProof/>
        </w:rPr>
        <w:t>aumento della disponibilità, dell</w:t>
      </w:r>
      <w:r w:rsidR="00E64452" w:rsidRPr="0001127D">
        <w:rPr>
          <w:noProof/>
        </w:rPr>
        <w:t>'</w:t>
      </w:r>
      <w:r w:rsidRPr="0001127D">
        <w:rPr>
          <w:noProof/>
        </w:rPr>
        <w:t>accessibilità e dell</w:t>
      </w:r>
      <w:r w:rsidR="00E64452" w:rsidRPr="0001127D">
        <w:rPr>
          <w:noProof/>
        </w:rPr>
        <w:t>'</w:t>
      </w:r>
      <w:r w:rsidRPr="0001127D">
        <w:rPr>
          <w:noProof/>
        </w:rPr>
        <w:t>affidabilità dei dati sulle società a livello transfrontaliero favorirà la lotta contro gli abusi e le frodi. La presente iniziativa contribuirà pertanto a creare un mercato unico più equo.</w:t>
      </w:r>
    </w:p>
    <w:p w14:paraId="5219E31D" w14:textId="77777777" w:rsidR="00573A63" w:rsidRPr="0001127D" w:rsidRDefault="00573A63" w:rsidP="00660ED3">
      <w:pPr>
        <w:pStyle w:val="ManualHeading2"/>
        <w:rPr>
          <w:rFonts w:eastAsia="Arial Unicode MS"/>
          <w:noProof/>
          <w:u w:color="000000"/>
          <w:bdr w:val="nil"/>
        </w:rPr>
      </w:pPr>
      <w:bookmarkStart w:id="89" w:name="_Toc132359399"/>
      <w:bookmarkStart w:id="90" w:name="_Toc132359457"/>
      <w:bookmarkStart w:id="91" w:name="_Toc132359592"/>
      <w:r w:rsidRPr="0001127D">
        <w:rPr>
          <w:noProof/>
          <w:u w:color="000000"/>
          <w:bdr w:val="nil"/>
        </w:rPr>
        <w:t>•</w:t>
      </w:r>
      <w:r w:rsidRPr="0001127D">
        <w:rPr>
          <w:noProof/>
        </w:rPr>
        <w:tab/>
      </w:r>
      <w:r w:rsidRPr="0001127D">
        <w:rPr>
          <w:noProof/>
          <w:u w:color="000000"/>
          <w:bdr w:val="nil"/>
        </w:rPr>
        <w:t>Efficienza normativa e semplificazione</w:t>
      </w:r>
      <w:bookmarkEnd w:id="87"/>
      <w:bookmarkEnd w:id="88"/>
      <w:bookmarkEnd w:id="89"/>
      <w:bookmarkEnd w:id="90"/>
      <w:bookmarkEnd w:id="91"/>
    </w:p>
    <w:p w14:paraId="462AA3D4" w14:textId="4DA56653" w:rsidR="000D4032" w:rsidRPr="0001127D" w:rsidRDefault="009B5F10" w:rsidP="0016589C">
      <w:pPr>
        <w:pBdr>
          <w:top w:val="nil"/>
          <w:left w:val="nil"/>
          <w:bottom w:val="nil"/>
          <w:right w:val="nil"/>
          <w:between w:val="nil"/>
          <w:bar w:val="nil"/>
        </w:pBdr>
        <w:spacing w:before="0" w:after="240"/>
        <w:rPr>
          <w:noProof/>
          <w:szCs w:val="24"/>
        </w:rPr>
      </w:pPr>
      <w:r w:rsidRPr="0001127D">
        <w:rPr>
          <w:noProof/>
        </w:rPr>
        <w:t xml:space="preserve">La proposta dovrebbe apportare </w:t>
      </w:r>
      <w:r w:rsidRPr="0001127D">
        <w:rPr>
          <w:b/>
          <w:noProof/>
        </w:rPr>
        <w:t>alle imprese, in particolare alle PMI</w:t>
      </w:r>
      <w:r w:rsidRPr="0001127D">
        <w:rPr>
          <w:noProof/>
        </w:rPr>
        <w:t xml:space="preserve"> </w:t>
      </w:r>
      <w:r w:rsidRPr="0001127D">
        <w:rPr>
          <w:b/>
          <w:noProof/>
        </w:rPr>
        <w:t>notevoli vantaggi in termini di semplificazione</w:t>
      </w:r>
      <w:r w:rsidRPr="0001127D">
        <w:rPr>
          <w:noProof/>
        </w:rPr>
        <w:t>. Un accesso più agevole ai dati delle imprese e l</w:t>
      </w:r>
      <w:r w:rsidR="00E64452" w:rsidRPr="0001127D">
        <w:rPr>
          <w:noProof/>
        </w:rPr>
        <w:t>'</w:t>
      </w:r>
      <w:r w:rsidRPr="0001127D">
        <w:rPr>
          <w:noProof/>
        </w:rPr>
        <w:t>eliminazione degli ostacoli amministrativi e finanziari</w:t>
      </w:r>
      <w:r w:rsidRPr="0001127D">
        <w:rPr>
          <w:noProof/>
          <w:sz w:val="28"/>
        </w:rPr>
        <w:t xml:space="preserve"> </w:t>
      </w:r>
      <w:r w:rsidRPr="0001127D">
        <w:rPr>
          <w:noProof/>
        </w:rPr>
        <w:t>al loro utilizzo transfrontaliero andranno a vantaggio delle PMI, in particolare poiché queste non dispongono delle risorse finanziarie e amministrative delle grandi imprese. Inoltre le PMI beneficeranno notevolmente di una maggiore certezza del diritto, in quanto sono maggiormente interessate da norme poco chiare e complesse rispetto alle imprese più grandi. L</w:t>
      </w:r>
      <w:r w:rsidR="00E64452" w:rsidRPr="0001127D">
        <w:rPr>
          <w:noProof/>
        </w:rPr>
        <w:t>'</w:t>
      </w:r>
      <w:r w:rsidRPr="0001127D">
        <w:rPr>
          <w:noProof/>
        </w:rPr>
        <w:t>iniziativa andrà anche a vantaggio delle start-up, in quanto risponde agli inviti a facilitare l</w:t>
      </w:r>
      <w:r w:rsidR="00E64452" w:rsidRPr="0001127D">
        <w:rPr>
          <w:noProof/>
        </w:rPr>
        <w:t>'</w:t>
      </w:r>
      <w:r w:rsidRPr="0001127D">
        <w:rPr>
          <w:noProof/>
        </w:rPr>
        <w:t>espansione delle start-up in base allo standard per nazioni favorevoli alle start-up</w:t>
      </w:r>
      <w:r w:rsidRPr="0001127D">
        <w:rPr>
          <w:rStyle w:val="FootnoteReference"/>
          <w:noProof/>
        </w:rPr>
        <w:footnoteReference w:id="37"/>
      </w:r>
      <w:r w:rsidRPr="0001127D">
        <w:rPr>
          <w:noProof/>
        </w:rPr>
        <w:t xml:space="preserve">. </w:t>
      </w:r>
    </w:p>
    <w:p w14:paraId="6CDBE31D" w14:textId="5FA8D0DC" w:rsidR="0016589C" w:rsidRPr="0001127D" w:rsidRDefault="00694695" w:rsidP="0016589C">
      <w:pPr>
        <w:pBdr>
          <w:top w:val="nil"/>
          <w:left w:val="nil"/>
          <w:bottom w:val="nil"/>
          <w:right w:val="nil"/>
          <w:between w:val="nil"/>
          <w:bar w:val="nil"/>
        </w:pBdr>
        <w:spacing w:before="0" w:after="240"/>
        <w:rPr>
          <w:noProof/>
        </w:rPr>
      </w:pPr>
      <w:r w:rsidRPr="0001127D">
        <w:rPr>
          <w:noProof/>
        </w:rPr>
        <w:t>Accrescendo la trasparenza e la fiducia nel mercato, facilitando la costituzione di imprese in un altro Stato membro ed esercitando un impatto positivo sulle attività transfrontaliere, la proposta dovrebbe stimolare gli scambi, i servizi e i flussi di investimenti transfrontalieri e contribuire così alla competitività e alla crescita nel mercato unico. Le misure in questione si applicheranno a circa 16 milioni di società di capitali e 2 milioni di società di persone nell</w:t>
      </w:r>
      <w:r w:rsidR="00E64452" w:rsidRPr="0001127D">
        <w:rPr>
          <w:noProof/>
        </w:rPr>
        <w:t>'</w:t>
      </w:r>
      <w:r w:rsidRPr="0001127D">
        <w:rPr>
          <w:noProof/>
        </w:rPr>
        <w:t>UE.</w:t>
      </w:r>
    </w:p>
    <w:p w14:paraId="4AA4CD57" w14:textId="37FE2456" w:rsidR="001E54BF" w:rsidRPr="0001127D" w:rsidRDefault="008E11BE" w:rsidP="001E54BF">
      <w:pPr>
        <w:pBdr>
          <w:top w:val="nil"/>
          <w:left w:val="nil"/>
          <w:bottom w:val="nil"/>
          <w:right w:val="nil"/>
          <w:between w:val="nil"/>
          <w:bar w:val="nil"/>
        </w:pBdr>
        <w:spacing w:before="0" w:after="240"/>
        <w:rPr>
          <w:rFonts w:eastAsia="Calibri"/>
          <w:noProof/>
        </w:rPr>
      </w:pPr>
      <w:r w:rsidRPr="0001127D">
        <w:rPr>
          <w:noProof/>
        </w:rPr>
        <w:t>La proposta dovrebbe comportare per le società un notevole risparmio sui costi amministrativi ricorrenti, pari a circa 437 milioni di EUR all</w:t>
      </w:r>
      <w:r w:rsidR="00E64452" w:rsidRPr="0001127D">
        <w:rPr>
          <w:noProof/>
        </w:rPr>
        <w:t>'</w:t>
      </w:r>
      <w:r w:rsidRPr="0001127D">
        <w:rPr>
          <w:noProof/>
        </w:rPr>
        <w:t>anno. Allo stesso tempo, ciò potrebbe comportare nuove spese una tantum per le società per la presentazione di informazioni al registro, stimate a circa 311 milioni di EUR. Nel complesso, i risparmi ricorrenti per le imprese dovrebbero superare di gran lunga le spese una tantum connesse alla presentazione di dati supplementari sulle imprese.</w:t>
      </w:r>
    </w:p>
    <w:p w14:paraId="2F665B8C" w14:textId="3F53B86D" w:rsidR="001E54BF" w:rsidRPr="0001127D" w:rsidRDefault="001E54BF" w:rsidP="001E54BF">
      <w:pPr>
        <w:pBdr>
          <w:top w:val="nil"/>
          <w:left w:val="nil"/>
          <w:bottom w:val="nil"/>
          <w:right w:val="nil"/>
          <w:between w:val="nil"/>
          <w:bar w:val="nil"/>
        </w:pBdr>
        <w:spacing w:before="0" w:after="240"/>
        <w:rPr>
          <w:rFonts w:eastAsia="Calibri"/>
          <w:noProof/>
        </w:rPr>
      </w:pPr>
      <w:r w:rsidRPr="0001127D">
        <w:rPr>
          <w:noProof/>
        </w:rPr>
        <w:t>La presente proposta perfeziona ulteriormente il diritto societario digitale dell</w:t>
      </w:r>
      <w:r w:rsidR="00E64452" w:rsidRPr="0001127D">
        <w:rPr>
          <w:noProof/>
        </w:rPr>
        <w:t>'</w:t>
      </w:r>
      <w:r w:rsidRPr="0001127D">
        <w:rPr>
          <w:noProof/>
        </w:rPr>
        <w:t xml:space="preserve">UE </w:t>
      </w:r>
      <w:r w:rsidRPr="0001127D">
        <w:rPr>
          <w:b/>
          <w:noProof/>
        </w:rPr>
        <w:t>attraverso l</w:t>
      </w:r>
      <w:r w:rsidR="00E64452" w:rsidRPr="0001127D">
        <w:rPr>
          <w:b/>
          <w:noProof/>
        </w:rPr>
        <w:t>'</w:t>
      </w:r>
      <w:r w:rsidRPr="0001127D">
        <w:rPr>
          <w:b/>
          <w:noProof/>
        </w:rPr>
        <w:t>uso di strumenti e processi digitali</w:t>
      </w:r>
      <w:r w:rsidRPr="0001127D">
        <w:rPr>
          <w:noProof/>
        </w:rPr>
        <w:t>. Essa mira, ad esempio, ad aumentare la disponibilità delle informazioni sulle società, in particolare a livello transfrontaliero, mettendo a disposizione un maggior numero di dati sulle società online attraverso il BRIS sul portale della giustizia elettronica. Al fine di accrescere ulteriormente la trasparenza, essa prevede il collegamento del BRIS ad altri sistemi di interconnessione dei registri a livello dell</w:t>
      </w:r>
      <w:r w:rsidR="00E64452" w:rsidRPr="0001127D">
        <w:rPr>
          <w:noProof/>
        </w:rPr>
        <w:t>'</w:t>
      </w:r>
      <w:r w:rsidRPr="0001127D">
        <w:rPr>
          <w:noProof/>
        </w:rPr>
        <w:t>UE, tutti disponibili attraverso il portale della giustizia elettronica. Ciò contribuirà notevolmente, a sua volta, a creare amministrazioni pubbliche più connesse a livello dell</w:t>
      </w:r>
      <w:r w:rsidR="00E64452" w:rsidRPr="0001127D">
        <w:rPr>
          <w:noProof/>
        </w:rPr>
        <w:t>'</w:t>
      </w:r>
      <w:r w:rsidRPr="0001127D">
        <w:rPr>
          <w:noProof/>
        </w:rPr>
        <w:t>UE. Per eliminare gli oneri amministrativi in caso di utilizzo, da parte delle società e delle autorità pubbliche, delle informazioni sulle società in tutta l</w:t>
      </w:r>
      <w:r w:rsidR="00E64452" w:rsidRPr="0001127D">
        <w:rPr>
          <w:noProof/>
        </w:rPr>
        <w:t>'</w:t>
      </w:r>
      <w:r w:rsidRPr="0001127D">
        <w:rPr>
          <w:noProof/>
        </w:rPr>
        <w:t>UE, la proposta introduce il certificato delle società UE e la procura digitale dell</w:t>
      </w:r>
      <w:r w:rsidR="00E64452" w:rsidRPr="0001127D">
        <w:rPr>
          <w:noProof/>
        </w:rPr>
        <w:t>'</w:t>
      </w:r>
      <w:r w:rsidRPr="0001127D">
        <w:rPr>
          <w:noProof/>
        </w:rPr>
        <w:t xml:space="preserve">UE e applica il principio </w:t>
      </w:r>
      <w:r w:rsidR="00E64452" w:rsidRPr="0001127D">
        <w:rPr>
          <w:noProof/>
        </w:rPr>
        <w:t>"</w:t>
      </w:r>
      <w:r w:rsidRPr="0001127D">
        <w:rPr>
          <w:noProof/>
        </w:rPr>
        <w:t>una tantum</w:t>
      </w:r>
      <w:r w:rsidR="00E64452" w:rsidRPr="0001127D">
        <w:rPr>
          <w:noProof/>
        </w:rPr>
        <w:t>"</w:t>
      </w:r>
      <w:r w:rsidRPr="0001127D">
        <w:rPr>
          <w:noProof/>
        </w:rPr>
        <w:t xml:space="preserve"> in caso di costituzione di controllate e succursali transfrontaliere grazie all</w:t>
      </w:r>
      <w:r w:rsidR="00E64452" w:rsidRPr="0001127D">
        <w:rPr>
          <w:noProof/>
        </w:rPr>
        <w:t>'</w:t>
      </w:r>
      <w:r w:rsidRPr="0001127D">
        <w:rPr>
          <w:noProof/>
        </w:rPr>
        <w:t>efficacia e alla sicurezza dello scambio elettronico delle informazioni tra i registri attraverso il BRIS. La proposta si concentra sulle copie in formato elettronico e sugli estratti di documenti o informazioni sulle società e sottolinea l</w:t>
      </w:r>
      <w:r w:rsidR="00E64452" w:rsidRPr="0001127D">
        <w:rPr>
          <w:noProof/>
        </w:rPr>
        <w:t>'</w:t>
      </w:r>
      <w:r w:rsidRPr="0001127D">
        <w:rPr>
          <w:noProof/>
        </w:rPr>
        <w:t>importanza della loro certificazione in linea con il regolamento eIDAS. Essa è pertanto pronta per il digitale, in quanto dipende fortemente dall</w:t>
      </w:r>
      <w:r w:rsidR="00E64452" w:rsidRPr="0001127D">
        <w:rPr>
          <w:noProof/>
        </w:rPr>
        <w:t>'</w:t>
      </w:r>
      <w:r w:rsidRPr="0001127D">
        <w:rPr>
          <w:noProof/>
        </w:rPr>
        <w:t xml:space="preserve">uso delle tecnologie e dei dati digitali. La proposta fornisce inoltre soluzioni </w:t>
      </w:r>
      <w:r w:rsidR="00E64452" w:rsidRPr="0001127D">
        <w:rPr>
          <w:noProof/>
        </w:rPr>
        <w:t>"</w:t>
      </w:r>
      <w:r w:rsidRPr="0001127D">
        <w:rPr>
          <w:noProof/>
        </w:rPr>
        <w:t>digitali per definizione</w:t>
      </w:r>
      <w:r w:rsidR="00E64452" w:rsidRPr="0001127D">
        <w:rPr>
          <w:noProof/>
        </w:rPr>
        <w:t>"</w:t>
      </w:r>
      <w:r w:rsidRPr="0001127D">
        <w:rPr>
          <w:noProof/>
        </w:rPr>
        <w:t xml:space="preserve"> per accrescere la trasparenza sulle imprese dell</w:t>
      </w:r>
      <w:r w:rsidR="00E64452" w:rsidRPr="0001127D">
        <w:rPr>
          <w:noProof/>
        </w:rPr>
        <w:t>'</w:t>
      </w:r>
      <w:r w:rsidRPr="0001127D">
        <w:rPr>
          <w:noProof/>
        </w:rPr>
        <w:t xml:space="preserve">UE e procedure di diritto societario </w:t>
      </w:r>
      <w:r w:rsidR="00E64452" w:rsidRPr="0001127D">
        <w:rPr>
          <w:noProof/>
        </w:rPr>
        <w:t>"</w:t>
      </w:r>
      <w:r w:rsidRPr="0001127D">
        <w:rPr>
          <w:noProof/>
        </w:rPr>
        <w:t>digitali per definizione</w:t>
      </w:r>
      <w:r w:rsidR="00E64452" w:rsidRPr="0001127D">
        <w:rPr>
          <w:noProof/>
        </w:rPr>
        <w:t>"</w:t>
      </w:r>
      <w:r w:rsidRPr="0001127D">
        <w:rPr>
          <w:noProof/>
        </w:rPr>
        <w:t xml:space="preserve"> per agevolare l</w:t>
      </w:r>
      <w:r w:rsidR="00E64452" w:rsidRPr="0001127D">
        <w:rPr>
          <w:noProof/>
        </w:rPr>
        <w:t>'</w:t>
      </w:r>
      <w:r w:rsidRPr="0001127D">
        <w:rPr>
          <w:noProof/>
        </w:rPr>
        <w:t xml:space="preserve">uso dei dati sulle società in tutto il mercato unico. </w:t>
      </w:r>
    </w:p>
    <w:p w14:paraId="04D2D4A4" w14:textId="3F6A5CC8" w:rsidR="00517463" w:rsidRPr="0001127D" w:rsidRDefault="00D0243D" w:rsidP="0016589C">
      <w:pPr>
        <w:pBdr>
          <w:top w:val="nil"/>
          <w:left w:val="nil"/>
          <w:bottom w:val="nil"/>
          <w:right w:val="nil"/>
          <w:between w:val="nil"/>
          <w:bar w:val="nil"/>
        </w:pBdr>
        <w:spacing w:before="0" w:after="240"/>
        <w:rPr>
          <w:rFonts w:eastAsia="Times New Roman"/>
          <w:noProof/>
          <w:szCs w:val="24"/>
        </w:rPr>
      </w:pPr>
      <w:r w:rsidRPr="0001127D">
        <w:rPr>
          <w:noProof/>
        </w:rPr>
        <w:t>Sebbene la proposta si concentri principalmente sulle procedure online, nonché sulle copie e gli estratti in formato elettronico di documenti o informazioni sulle società, le disposizioni ivi contenute tengono conto sia dell</w:t>
      </w:r>
      <w:r w:rsidR="00E64452" w:rsidRPr="0001127D">
        <w:rPr>
          <w:noProof/>
        </w:rPr>
        <w:t>'</w:t>
      </w:r>
      <w:r w:rsidRPr="0001127D">
        <w:rPr>
          <w:noProof/>
        </w:rPr>
        <w:t xml:space="preserve">ambiente digitale che di quello fisico e riguardano anche le procedure fisiche, ad esempio qualsiasi altra forma di costituzione di società che non sia interamente online, nonché copie ed estratti cartacei. </w:t>
      </w:r>
    </w:p>
    <w:p w14:paraId="273455B2" w14:textId="1F4B4FD6" w:rsidR="00B20EB7" w:rsidRPr="0001127D" w:rsidRDefault="0007416B" w:rsidP="0007416B">
      <w:pPr>
        <w:rPr>
          <w:rFonts w:cstheme="minorHAnsi"/>
          <w:noProof/>
        </w:rPr>
      </w:pPr>
      <w:r w:rsidRPr="0001127D">
        <w:rPr>
          <w:noProof/>
        </w:rPr>
        <w:t xml:space="preserve">Grazie alla maggiore possibilità di utilizzare procedure e strumenti digitali tra i registri delle imprese e le società, nonché tra i vari registri delle imprese, e a una maggiore applicazione del principio </w:t>
      </w:r>
      <w:r w:rsidR="00E64452" w:rsidRPr="0001127D">
        <w:rPr>
          <w:noProof/>
        </w:rPr>
        <w:t>"</w:t>
      </w:r>
      <w:r w:rsidRPr="0001127D">
        <w:rPr>
          <w:noProof/>
        </w:rPr>
        <w:t>una tantum</w:t>
      </w:r>
      <w:r w:rsidR="00E64452" w:rsidRPr="0001127D">
        <w:rPr>
          <w:noProof/>
        </w:rPr>
        <w:t>"</w:t>
      </w:r>
      <w:r w:rsidRPr="0001127D">
        <w:rPr>
          <w:noProof/>
        </w:rPr>
        <w:t>, la presente proposta avrà anche alcuni impatti positivi sull</w:t>
      </w:r>
      <w:r w:rsidR="00E64452" w:rsidRPr="0001127D">
        <w:rPr>
          <w:noProof/>
        </w:rPr>
        <w:t>'</w:t>
      </w:r>
      <w:r w:rsidRPr="0001127D">
        <w:rPr>
          <w:noProof/>
        </w:rPr>
        <w:t xml:space="preserve">ambiente. Essa è pertanto considerata coerente con il principio </w:t>
      </w:r>
      <w:r w:rsidR="00E64452" w:rsidRPr="0001127D">
        <w:rPr>
          <w:noProof/>
        </w:rPr>
        <w:t>"</w:t>
      </w:r>
      <w:r w:rsidRPr="0001127D">
        <w:rPr>
          <w:noProof/>
        </w:rPr>
        <w:t>non arrecare un danno significativo</w:t>
      </w:r>
      <w:r w:rsidR="00E64452" w:rsidRPr="0001127D">
        <w:rPr>
          <w:noProof/>
        </w:rPr>
        <w:t>"</w:t>
      </w:r>
      <w:r w:rsidRPr="0001127D">
        <w:rPr>
          <w:noProof/>
        </w:rPr>
        <w:t>, con l</w:t>
      </w:r>
      <w:r w:rsidR="00E64452" w:rsidRPr="0001127D">
        <w:rPr>
          <w:noProof/>
        </w:rPr>
        <w:t>'</w:t>
      </w:r>
      <w:r w:rsidRPr="0001127D">
        <w:rPr>
          <w:noProof/>
        </w:rPr>
        <w:t>obiettivo della neutralità climatica di cui all</w:t>
      </w:r>
      <w:r w:rsidR="00E64452" w:rsidRPr="0001127D">
        <w:rPr>
          <w:noProof/>
        </w:rPr>
        <w:t>'</w:t>
      </w:r>
      <w:r w:rsidRPr="0001127D">
        <w:rPr>
          <w:noProof/>
        </w:rPr>
        <w:t>articolo</w:t>
      </w:r>
      <w:r w:rsidR="00D72BD3" w:rsidRPr="0001127D">
        <w:rPr>
          <w:noProof/>
        </w:rPr>
        <w:t> </w:t>
      </w:r>
      <w:r w:rsidRPr="0001127D">
        <w:rPr>
          <w:noProof/>
        </w:rPr>
        <w:t>2, paragrafo</w:t>
      </w:r>
      <w:r w:rsidR="00D72BD3" w:rsidRPr="0001127D">
        <w:rPr>
          <w:noProof/>
        </w:rPr>
        <w:t> </w:t>
      </w:r>
      <w:r w:rsidRPr="0001127D">
        <w:rPr>
          <w:noProof/>
        </w:rPr>
        <w:t>1, della Normativa europea sul clima</w:t>
      </w:r>
      <w:r w:rsidRPr="0001127D">
        <w:rPr>
          <w:rStyle w:val="FootnoteReference"/>
          <w:noProof/>
        </w:rPr>
        <w:footnoteReference w:id="38"/>
      </w:r>
      <w:r w:rsidRPr="0001127D">
        <w:rPr>
          <w:noProof/>
        </w:rPr>
        <w:t xml:space="preserve"> e con gli obiettivi per il 2030 e il 2040. La presente proposta contribuirà inoltre indirettamente al conseguimento dell</w:t>
      </w:r>
      <w:r w:rsidR="00E64452" w:rsidRPr="0001127D">
        <w:rPr>
          <w:noProof/>
        </w:rPr>
        <w:t>'</w:t>
      </w:r>
      <w:r w:rsidRPr="0001127D">
        <w:rPr>
          <w:noProof/>
        </w:rPr>
        <w:t>obiettivo di sviluppo sostenibile n.</w:t>
      </w:r>
      <w:r w:rsidR="00D72BD3" w:rsidRPr="0001127D">
        <w:rPr>
          <w:noProof/>
        </w:rPr>
        <w:t> </w:t>
      </w:r>
      <w:r w:rsidRPr="0001127D">
        <w:rPr>
          <w:noProof/>
        </w:rPr>
        <w:t xml:space="preserve">8 sul lavoro dignitoso e alla crescita economica, in quanto migliorerà il clima imprenditoriale nel mercato unico. </w:t>
      </w:r>
    </w:p>
    <w:p w14:paraId="1DC85765" w14:textId="77777777" w:rsidR="00573A63" w:rsidRPr="0001127D" w:rsidRDefault="00573A63" w:rsidP="00660ED3">
      <w:pPr>
        <w:pStyle w:val="ManualHeading2"/>
        <w:rPr>
          <w:rFonts w:eastAsia="Arial Unicode MS"/>
          <w:noProof/>
          <w:u w:color="000000"/>
          <w:bdr w:val="nil"/>
        </w:rPr>
      </w:pPr>
      <w:bookmarkStart w:id="92" w:name="_Toc126762669"/>
      <w:bookmarkStart w:id="93" w:name="_Toc126826581"/>
      <w:bookmarkStart w:id="94" w:name="_Toc132359400"/>
      <w:bookmarkStart w:id="95" w:name="_Toc132359458"/>
      <w:bookmarkStart w:id="96" w:name="_Toc132359593"/>
      <w:r w:rsidRPr="0001127D">
        <w:rPr>
          <w:noProof/>
          <w:u w:color="000000"/>
          <w:bdr w:val="nil"/>
        </w:rPr>
        <w:t>•</w:t>
      </w:r>
      <w:r w:rsidRPr="0001127D">
        <w:rPr>
          <w:noProof/>
        </w:rPr>
        <w:tab/>
      </w:r>
      <w:r w:rsidRPr="0001127D">
        <w:rPr>
          <w:noProof/>
          <w:u w:color="000000"/>
          <w:bdr w:val="nil"/>
        </w:rPr>
        <w:t>Diritti fondamentali</w:t>
      </w:r>
      <w:bookmarkEnd w:id="92"/>
      <w:bookmarkEnd w:id="93"/>
      <w:bookmarkEnd w:id="94"/>
      <w:bookmarkEnd w:id="95"/>
      <w:bookmarkEnd w:id="96"/>
    </w:p>
    <w:p w14:paraId="29CD8D58" w14:textId="020BBE47" w:rsidR="0033154D" w:rsidRPr="0001127D" w:rsidRDefault="005901CC" w:rsidP="008B39C4">
      <w:pPr>
        <w:pBdr>
          <w:top w:val="nil"/>
          <w:left w:val="nil"/>
          <w:bottom w:val="nil"/>
          <w:right w:val="nil"/>
          <w:between w:val="nil"/>
          <w:bar w:val="nil"/>
        </w:pBdr>
        <w:spacing w:before="0" w:after="240"/>
        <w:rPr>
          <w:noProof/>
        </w:rPr>
      </w:pPr>
      <w:r w:rsidRPr="0001127D">
        <w:rPr>
          <w:noProof/>
        </w:rPr>
        <w:t>La proposta agevolerà l</w:t>
      </w:r>
      <w:r w:rsidR="00E64452" w:rsidRPr="0001127D">
        <w:rPr>
          <w:noProof/>
        </w:rPr>
        <w:t>'</w:t>
      </w:r>
      <w:r w:rsidRPr="0001127D">
        <w:rPr>
          <w:noProof/>
        </w:rPr>
        <w:t>attuazione del diritto di stabilimento in tutti gli Stati membri, come previsto dall</w:t>
      </w:r>
      <w:r w:rsidR="00E64452" w:rsidRPr="0001127D">
        <w:rPr>
          <w:noProof/>
        </w:rPr>
        <w:t>'</w:t>
      </w:r>
      <w:r w:rsidRPr="0001127D">
        <w:rPr>
          <w:noProof/>
        </w:rPr>
        <w:t>articolo 15, paragrafo 2, della Carta dei diritti fondamentali dell</w:t>
      </w:r>
      <w:r w:rsidR="00E64452" w:rsidRPr="0001127D">
        <w:rPr>
          <w:noProof/>
        </w:rPr>
        <w:t>'</w:t>
      </w:r>
      <w:r w:rsidRPr="0001127D">
        <w:rPr>
          <w:noProof/>
        </w:rPr>
        <w:t>Unione europea. Ci si attende un impatto positivo sulle imprese in termini di sfruttamento delle opportunità offerte dal mercato unico, in particolare per quanto riguarda la libertà d</w:t>
      </w:r>
      <w:r w:rsidR="00E64452" w:rsidRPr="0001127D">
        <w:rPr>
          <w:noProof/>
        </w:rPr>
        <w:t>'</w:t>
      </w:r>
      <w:r w:rsidRPr="0001127D">
        <w:rPr>
          <w:noProof/>
        </w:rPr>
        <w:t>impresa di cui all</w:t>
      </w:r>
      <w:r w:rsidR="00E64452" w:rsidRPr="0001127D">
        <w:rPr>
          <w:noProof/>
        </w:rPr>
        <w:t>'</w:t>
      </w:r>
      <w:r w:rsidRPr="0001127D">
        <w:rPr>
          <w:noProof/>
        </w:rPr>
        <w:t>articolo 16 della Carta. La proposta richiederà l</w:t>
      </w:r>
      <w:r w:rsidR="00E64452" w:rsidRPr="0001127D">
        <w:rPr>
          <w:noProof/>
        </w:rPr>
        <w:t>'</w:t>
      </w:r>
      <w:r w:rsidRPr="0001127D">
        <w:rPr>
          <w:noProof/>
        </w:rPr>
        <w:t>effettuazione di determinate operazioni di trattamento dei dati, compresa la divulgazione di dati personali che interferirà con il diritto alla protezione della vita personale di cui all</w:t>
      </w:r>
      <w:r w:rsidR="00E64452" w:rsidRPr="0001127D">
        <w:rPr>
          <w:noProof/>
        </w:rPr>
        <w:t>'</w:t>
      </w:r>
      <w:r w:rsidRPr="0001127D">
        <w:rPr>
          <w:noProof/>
        </w:rPr>
        <w:t>articolo</w:t>
      </w:r>
      <w:r w:rsidR="00D72BD3" w:rsidRPr="0001127D">
        <w:rPr>
          <w:noProof/>
        </w:rPr>
        <w:t> </w:t>
      </w:r>
      <w:r w:rsidRPr="0001127D">
        <w:rPr>
          <w:noProof/>
        </w:rPr>
        <w:t>7 e con il diritto alla protezione dei dati di carattere personale di cui all</w:t>
      </w:r>
      <w:r w:rsidR="00E64452" w:rsidRPr="0001127D">
        <w:rPr>
          <w:noProof/>
        </w:rPr>
        <w:t>'</w:t>
      </w:r>
      <w:r w:rsidRPr="0001127D">
        <w:rPr>
          <w:noProof/>
        </w:rPr>
        <w:t>articolo</w:t>
      </w:r>
      <w:r w:rsidR="00D72BD3" w:rsidRPr="0001127D">
        <w:rPr>
          <w:noProof/>
        </w:rPr>
        <w:t> </w:t>
      </w:r>
      <w:r w:rsidRPr="0001127D">
        <w:rPr>
          <w:noProof/>
        </w:rPr>
        <w:t>8 della Carta dei diritti fondamentali dell</w:t>
      </w:r>
      <w:r w:rsidR="00E64452" w:rsidRPr="0001127D">
        <w:rPr>
          <w:noProof/>
        </w:rPr>
        <w:t>'</w:t>
      </w:r>
      <w:r w:rsidRPr="0001127D">
        <w:rPr>
          <w:noProof/>
        </w:rPr>
        <w:t>Unione europea. In particolare, la proposta richiederà la divulgazione e l</w:t>
      </w:r>
      <w:r w:rsidR="00E64452" w:rsidRPr="0001127D">
        <w:rPr>
          <w:noProof/>
        </w:rPr>
        <w:t>'</w:t>
      </w:r>
      <w:r w:rsidRPr="0001127D">
        <w:rPr>
          <w:noProof/>
        </w:rPr>
        <w:t>accesso transfrontaliero a determinate informazioni in relazione ai soggetti giuridici (ad es. le società di persone), compresi alcuni dati personali come le informazioni sui partner commerciali e sugli azionisti con un unico socio. Tali dati sono solitamente già pubblici negli Stati membri e la presente proposta li rende disponibili a livello transfrontaliero attraverso il BRIS. Gli Stati membri possono anche trattare alcuni dati personali per verificare i dati sulle società, come già avviene negli Stati membri. Il collegamento del BRIS con altri sistemi di interconnessione dell</w:t>
      </w:r>
      <w:r w:rsidR="00E64452" w:rsidRPr="0001127D">
        <w:rPr>
          <w:noProof/>
        </w:rPr>
        <w:t>'</w:t>
      </w:r>
      <w:r w:rsidRPr="0001127D">
        <w:rPr>
          <w:noProof/>
        </w:rPr>
        <w:t>UE non inciderà sulla protezione dei dati personali, in quanto ciascun sistema manterrà le proprie norme e requisiti in materia di accesso. Le soluzioni proposte sono necessarie e proporzionate per migliorare la trasparenza, instaurare un clima di fiducia tra gli Stati membri e garantire la certezza del diritto e la tutela dei terzi nell</w:t>
      </w:r>
      <w:r w:rsidR="00E64452" w:rsidRPr="0001127D">
        <w:rPr>
          <w:noProof/>
        </w:rPr>
        <w:t>'</w:t>
      </w:r>
      <w:r w:rsidRPr="0001127D">
        <w:rPr>
          <w:noProof/>
        </w:rPr>
        <w:t>utilizzo transfrontaliero delle informazioni sulle società, nonché per promuovere la lotta contro le frodi e gli abusi, contribuendo in tal modo al buon funzionamento del mercato unico. Gli Stati membri garantiranno inoltre la protezione dei dati personali in linea con l</w:t>
      </w:r>
      <w:r w:rsidR="00E64452" w:rsidRPr="0001127D">
        <w:rPr>
          <w:noProof/>
        </w:rPr>
        <w:t>'</w:t>
      </w:r>
      <w:r w:rsidRPr="0001127D">
        <w:rPr>
          <w:noProof/>
        </w:rPr>
        <w:t>articolo</w:t>
      </w:r>
      <w:r w:rsidR="00D72BD3" w:rsidRPr="0001127D">
        <w:rPr>
          <w:noProof/>
        </w:rPr>
        <w:t> </w:t>
      </w:r>
      <w:r w:rsidRPr="0001127D">
        <w:rPr>
          <w:noProof/>
        </w:rPr>
        <w:t>8 della Carta e il diritto dell</w:t>
      </w:r>
      <w:r w:rsidR="00E64452" w:rsidRPr="0001127D">
        <w:rPr>
          <w:noProof/>
        </w:rPr>
        <w:t>'</w:t>
      </w:r>
      <w:r w:rsidRPr="0001127D">
        <w:rPr>
          <w:noProof/>
        </w:rPr>
        <w:t>UE in materia di protezione dei dati, compresa la giurisprudenza pertinente</w:t>
      </w:r>
      <w:r w:rsidRPr="0001127D">
        <w:rPr>
          <w:rStyle w:val="FootnoteReference"/>
          <w:noProof/>
        </w:rPr>
        <w:footnoteReference w:id="39"/>
      </w:r>
      <w:r w:rsidRPr="0001127D">
        <w:rPr>
          <w:noProof/>
        </w:rPr>
        <w:t xml:space="preserve">. </w:t>
      </w:r>
    </w:p>
    <w:p w14:paraId="4DB41FAA" w14:textId="3B42B69E" w:rsidR="00ED172D" w:rsidRPr="0001127D" w:rsidDel="00A12F1E" w:rsidRDefault="00ED172D" w:rsidP="008B39C4">
      <w:pPr>
        <w:pBdr>
          <w:top w:val="nil"/>
          <w:left w:val="nil"/>
          <w:bottom w:val="nil"/>
          <w:right w:val="nil"/>
          <w:between w:val="nil"/>
          <w:bar w:val="nil"/>
        </w:pBdr>
        <w:spacing w:before="0" w:after="240"/>
        <w:rPr>
          <w:noProof/>
        </w:rPr>
      </w:pPr>
      <w:r w:rsidRPr="0001127D">
        <w:rPr>
          <w:noProof/>
        </w:rPr>
        <w:t>La presente proposta aumenterà la disponibilità delle informazioni sulle società nei registri delle imprese, in particolare a livello transfrontaliero. In tale contesto occorre prestare particolare attenzione all</w:t>
      </w:r>
      <w:r w:rsidR="00E64452" w:rsidRPr="0001127D">
        <w:rPr>
          <w:noProof/>
        </w:rPr>
        <w:t>'</w:t>
      </w:r>
      <w:r w:rsidRPr="0001127D">
        <w:rPr>
          <w:noProof/>
        </w:rPr>
        <w:t>accessibilità da parte delle persone con disabilità, visti gli ostacoli supplementari che queste devono affrontare. Le politiche dell</w:t>
      </w:r>
      <w:r w:rsidR="00E64452" w:rsidRPr="0001127D">
        <w:rPr>
          <w:noProof/>
        </w:rPr>
        <w:t>'</w:t>
      </w:r>
      <w:r w:rsidRPr="0001127D">
        <w:rPr>
          <w:noProof/>
        </w:rPr>
        <w:t>Unione nei confronti delle persone con disabilità si fondano sul diritto primario dell</w:t>
      </w:r>
      <w:r w:rsidR="00E64452" w:rsidRPr="0001127D">
        <w:rPr>
          <w:noProof/>
        </w:rPr>
        <w:t>'</w:t>
      </w:r>
      <w:r w:rsidRPr="0001127D">
        <w:rPr>
          <w:noProof/>
        </w:rPr>
        <w:t>UE, compreso l</w:t>
      </w:r>
      <w:r w:rsidR="00E64452" w:rsidRPr="0001127D">
        <w:rPr>
          <w:noProof/>
        </w:rPr>
        <w:t>'</w:t>
      </w:r>
      <w:r w:rsidRPr="0001127D">
        <w:rPr>
          <w:noProof/>
        </w:rPr>
        <w:t>articolo</w:t>
      </w:r>
      <w:r w:rsidR="00D72BD3" w:rsidRPr="0001127D">
        <w:rPr>
          <w:noProof/>
        </w:rPr>
        <w:t> </w:t>
      </w:r>
      <w:r w:rsidRPr="0001127D">
        <w:rPr>
          <w:noProof/>
        </w:rPr>
        <w:t>26 della Carta dei diritti fondamentali dell</w:t>
      </w:r>
      <w:r w:rsidR="00E64452" w:rsidRPr="0001127D">
        <w:rPr>
          <w:noProof/>
        </w:rPr>
        <w:t>'</w:t>
      </w:r>
      <w:r w:rsidRPr="0001127D">
        <w:rPr>
          <w:noProof/>
        </w:rPr>
        <w:t>Unione europea (sul diritto delle persone con disabilità di beneficiare di misure intese a garantirne l</w:t>
      </w:r>
      <w:r w:rsidR="00E64452" w:rsidRPr="0001127D">
        <w:rPr>
          <w:noProof/>
        </w:rPr>
        <w:t>'</w:t>
      </w:r>
      <w:r w:rsidRPr="0001127D">
        <w:rPr>
          <w:noProof/>
        </w:rPr>
        <w:t>autonomia, l</w:t>
      </w:r>
      <w:r w:rsidR="00E64452" w:rsidRPr="0001127D">
        <w:rPr>
          <w:noProof/>
        </w:rPr>
        <w:t>'</w:t>
      </w:r>
      <w:r w:rsidRPr="0001127D">
        <w:rPr>
          <w:noProof/>
        </w:rPr>
        <w:t>inserimento sociale e professionale e la partecipazione alla vita della comunità) e la Convenzione delle Nazioni Unite sui diritti delle persone con disabilità (UNCRPD). In particolare l</w:t>
      </w:r>
      <w:r w:rsidR="00E64452" w:rsidRPr="0001127D">
        <w:rPr>
          <w:noProof/>
        </w:rPr>
        <w:t>'</w:t>
      </w:r>
      <w:r w:rsidRPr="0001127D">
        <w:rPr>
          <w:noProof/>
        </w:rPr>
        <w:t>UNCRPD, di cui l</w:t>
      </w:r>
      <w:r w:rsidR="00E64452" w:rsidRPr="0001127D">
        <w:rPr>
          <w:noProof/>
        </w:rPr>
        <w:t>'</w:t>
      </w:r>
      <w:r w:rsidRPr="0001127D">
        <w:rPr>
          <w:noProof/>
        </w:rPr>
        <w:t>Unione e i suoi Stati membri sono parti, impone agli Stati firmatari di adottare misure adeguate per garantire che le persone con disabilità abbiano accesso, su un piano di parità con gli altri, all</w:t>
      </w:r>
      <w:r w:rsidR="00E64452" w:rsidRPr="0001127D">
        <w:rPr>
          <w:noProof/>
        </w:rPr>
        <w:t>'</w:t>
      </w:r>
      <w:r w:rsidRPr="0001127D">
        <w:rPr>
          <w:noProof/>
        </w:rPr>
        <w:t>informazione e alle comunicazioni, compresi i sistemi e le tecnologie di informazione e comunicazione, e ad altre attrezzature e servizi aperti o forniti al pubblico. In linea con quanto precede, la strategia per i diritti delle persone con disabilità 2021-2030 sottolinea che l</w:t>
      </w:r>
      <w:r w:rsidR="00E64452" w:rsidRPr="0001127D">
        <w:rPr>
          <w:noProof/>
        </w:rPr>
        <w:t>'</w:t>
      </w:r>
      <w:r w:rsidRPr="0001127D">
        <w:rPr>
          <w:noProof/>
        </w:rPr>
        <w:t>accessibilità agli ambienti fisici e virtuali, alle tecnologie dell</w:t>
      </w:r>
      <w:r w:rsidR="00E64452" w:rsidRPr="0001127D">
        <w:rPr>
          <w:noProof/>
        </w:rPr>
        <w:t>'</w:t>
      </w:r>
      <w:r w:rsidRPr="0001127D">
        <w:rPr>
          <w:noProof/>
        </w:rPr>
        <w:t>informazione e della comunicazione (TIC), ai beni e ai servizi, compresi i trasporti e le infrastrutture, è un fattore abilitante dei diritti e un prerequisito per la piena partecipazione delle persone con disabilità su un piano di parità con gli altri. Di conseguenza, l</w:t>
      </w:r>
      <w:r w:rsidR="00E64452" w:rsidRPr="0001127D">
        <w:rPr>
          <w:noProof/>
        </w:rPr>
        <w:t>'</w:t>
      </w:r>
      <w:r w:rsidRPr="0001127D">
        <w:rPr>
          <w:noProof/>
        </w:rPr>
        <w:t>accesso alle informazioni sulle società contenute nei registri delle imprese dovrebbe essere concesso conformemente ai requisiti di accessibilità per le persone con disabilità previsti dal diritto dell</w:t>
      </w:r>
      <w:r w:rsidR="00E64452" w:rsidRPr="0001127D">
        <w:rPr>
          <w:noProof/>
        </w:rPr>
        <w:t>'</w:t>
      </w:r>
      <w:r w:rsidRPr="0001127D">
        <w:rPr>
          <w:noProof/>
        </w:rPr>
        <w:t>Unione e nazionale applicabile. Inoltre, al fine di garantire l</w:t>
      </w:r>
      <w:r w:rsidR="00E64452" w:rsidRPr="0001127D">
        <w:rPr>
          <w:noProof/>
        </w:rPr>
        <w:t>'</w:t>
      </w:r>
      <w:r w:rsidRPr="0001127D">
        <w:rPr>
          <w:noProof/>
        </w:rPr>
        <w:t>accesso alle informazioni sulle imprese fornite dai registri delle imprese in tutti gli Stati membri su un piano di parità con gli altri utenti, il riesame dovrebbe comprendere una valutazione della possibilità di adottare misure supplementari per rispondere pienamente alle esigenze delle persone con disabilità.</w:t>
      </w:r>
    </w:p>
    <w:p w14:paraId="122FAD87" w14:textId="77777777" w:rsidR="00573A63" w:rsidRPr="0001127D" w:rsidRDefault="00573A63" w:rsidP="00660ED3">
      <w:pPr>
        <w:pStyle w:val="ManualHeading1"/>
        <w:rPr>
          <w:noProof/>
        </w:rPr>
      </w:pPr>
      <w:bookmarkStart w:id="97" w:name="_Toc126762670"/>
      <w:bookmarkStart w:id="98" w:name="_Toc126826582"/>
      <w:bookmarkStart w:id="99" w:name="_Toc132359401"/>
      <w:bookmarkStart w:id="100" w:name="_Toc132359459"/>
      <w:bookmarkStart w:id="101" w:name="_Toc132359594"/>
      <w:r w:rsidRPr="0001127D">
        <w:rPr>
          <w:noProof/>
        </w:rPr>
        <w:t>4.</w:t>
      </w:r>
      <w:r w:rsidRPr="0001127D">
        <w:rPr>
          <w:noProof/>
        </w:rPr>
        <w:tab/>
        <w:t>INCIDENZA SUL BILANCIO</w:t>
      </w:r>
      <w:bookmarkEnd w:id="97"/>
      <w:bookmarkEnd w:id="98"/>
      <w:bookmarkEnd w:id="99"/>
      <w:bookmarkEnd w:id="100"/>
      <w:bookmarkEnd w:id="101"/>
    </w:p>
    <w:p w14:paraId="4A20D5AE" w14:textId="37071172" w:rsidR="0065274F" w:rsidRPr="0001127D" w:rsidRDefault="0065274F" w:rsidP="0065274F">
      <w:pPr>
        <w:pBdr>
          <w:top w:val="nil"/>
          <w:left w:val="nil"/>
          <w:bottom w:val="nil"/>
          <w:right w:val="nil"/>
          <w:between w:val="nil"/>
          <w:bar w:val="nil"/>
        </w:pBdr>
        <w:spacing w:before="0" w:after="240"/>
        <w:rPr>
          <w:noProof/>
        </w:rPr>
      </w:pPr>
      <w:r w:rsidRPr="0001127D">
        <w:rPr>
          <w:noProof/>
        </w:rPr>
        <w:t>La proposta dovrebbe avere una certa incidenza sul bilancio degli Stati membri, che è stata stimata nella valutazione d</w:t>
      </w:r>
      <w:r w:rsidR="00E64452" w:rsidRPr="0001127D">
        <w:rPr>
          <w:noProof/>
        </w:rPr>
        <w:t>'</w:t>
      </w:r>
      <w:r w:rsidRPr="0001127D">
        <w:rPr>
          <w:noProof/>
        </w:rPr>
        <w:t>impatto della presente proposta ed è descritta nella sezione precedente relativa alla valutazione d</w:t>
      </w:r>
      <w:r w:rsidR="00E64452" w:rsidRPr="0001127D">
        <w:rPr>
          <w:noProof/>
        </w:rPr>
        <w:t>'</w:t>
      </w:r>
      <w:r w:rsidRPr="0001127D">
        <w:rPr>
          <w:noProof/>
        </w:rPr>
        <w:t xml:space="preserve">impatto. </w:t>
      </w:r>
    </w:p>
    <w:p w14:paraId="68B2528B" w14:textId="795E3073" w:rsidR="0065274F" w:rsidRPr="0001127D" w:rsidRDefault="0065274F" w:rsidP="0065274F">
      <w:pPr>
        <w:pBdr>
          <w:top w:val="nil"/>
          <w:left w:val="nil"/>
          <w:bottom w:val="nil"/>
          <w:right w:val="nil"/>
          <w:between w:val="nil"/>
          <w:bar w:val="nil"/>
        </w:pBdr>
        <w:spacing w:before="0" w:after="240"/>
        <w:rPr>
          <w:noProof/>
        </w:rPr>
      </w:pPr>
      <w:bookmarkStart w:id="102" w:name="_Toc126762671"/>
      <w:bookmarkStart w:id="103" w:name="_Toc126826583"/>
      <w:r w:rsidRPr="0001127D">
        <w:rPr>
          <w:noProof/>
        </w:rPr>
        <w:t>Per quanto riguarda l</w:t>
      </w:r>
      <w:r w:rsidR="00E64452" w:rsidRPr="0001127D">
        <w:rPr>
          <w:noProof/>
        </w:rPr>
        <w:t>'</w:t>
      </w:r>
      <w:r w:rsidRPr="0001127D">
        <w:rPr>
          <w:noProof/>
        </w:rPr>
        <w:t>incidenza sul bilancio dell</w:t>
      </w:r>
      <w:r w:rsidR="00E64452" w:rsidRPr="0001127D">
        <w:rPr>
          <w:noProof/>
        </w:rPr>
        <w:t>'</w:t>
      </w:r>
      <w:r w:rsidRPr="0001127D">
        <w:rPr>
          <w:noProof/>
        </w:rPr>
        <w:t>UE, la presente proposta amplia la portata del sistema BRIS. A tal fine occorrerà sviluppare ulteriormente le specifiche tecniche e le norme già esistenti, sviluppare ulteriormente il sistema e coordinare le attività intraprese dalle autorità nazionali per attuare i necessari sviluppi informatici a livello nazionale. Lo svolgimento di tali compiti non richiederà l</w:t>
      </w:r>
      <w:r w:rsidR="00E64452" w:rsidRPr="0001127D">
        <w:rPr>
          <w:noProof/>
        </w:rPr>
        <w:t>'</w:t>
      </w:r>
      <w:r w:rsidRPr="0001127D">
        <w:rPr>
          <w:noProof/>
        </w:rPr>
        <w:t>aumento del personale della Commissione incaricato della gestione aziendale (1 equivalente a tempo pieno/ETP) e della gestione dei progetti (1,25 ETP) del BRIS. Inoltre anche i fondi stanziati per la manutenzione periodica del sistema BRIS (attualmente pari a circa 2 milioni di EUR all</w:t>
      </w:r>
      <w:r w:rsidR="00E64452" w:rsidRPr="0001127D">
        <w:rPr>
          <w:noProof/>
        </w:rPr>
        <w:t>'</w:t>
      </w:r>
      <w:r w:rsidRPr="0001127D">
        <w:rPr>
          <w:noProof/>
        </w:rPr>
        <w:t xml:space="preserve">anno, forniti nel quadro del programma Europa digitale) saranno sufficienti per svolgere i compiti previsti dalla presente proposta. </w:t>
      </w:r>
    </w:p>
    <w:p w14:paraId="1C1592A3" w14:textId="77777777" w:rsidR="00573A63" w:rsidRPr="0001127D" w:rsidRDefault="00573A63" w:rsidP="00660ED3">
      <w:pPr>
        <w:pStyle w:val="ManualHeading1"/>
        <w:rPr>
          <w:noProof/>
        </w:rPr>
      </w:pPr>
      <w:bookmarkStart w:id="104" w:name="_Toc132359402"/>
      <w:bookmarkStart w:id="105" w:name="_Toc132359460"/>
      <w:bookmarkStart w:id="106" w:name="_Toc132359595"/>
      <w:r w:rsidRPr="0001127D">
        <w:rPr>
          <w:noProof/>
        </w:rPr>
        <w:t>5.</w:t>
      </w:r>
      <w:r w:rsidRPr="0001127D">
        <w:rPr>
          <w:noProof/>
        </w:rPr>
        <w:tab/>
        <w:t>ALTRI ELEMENTI</w:t>
      </w:r>
      <w:bookmarkEnd w:id="102"/>
      <w:bookmarkEnd w:id="103"/>
      <w:bookmarkEnd w:id="104"/>
      <w:bookmarkEnd w:id="105"/>
      <w:bookmarkEnd w:id="106"/>
    </w:p>
    <w:p w14:paraId="02A73F86" w14:textId="77777777" w:rsidR="00573A63" w:rsidRPr="0001127D" w:rsidRDefault="00573A63" w:rsidP="00660ED3">
      <w:pPr>
        <w:pStyle w:val="ManualHeading2"/>
        <w:rPr>
          <w:rFonts w:eastAsia="Arial Unicode MS"/>
          <w:noProof/>
          <w:u w:color="000000"/>
          <w:bdr w:val="nil"/>
        </w:rPr>
      </w:pPr>
      <w:bookmarkStart w:id="107" w:name="_Toc126762672"/>
      <w:bookmarkStart w:id="108" w:name="_Toc126826584"/>
      <w:bookmarkStart w:id="109" w:name="_Toc132359403"/>
      <w:bookmarkStart w:id="110" w:name="_Toc132359461"/>
      <w:bookmarkStart w:id="111" w:name="_Toc132359596"/>
      <w:r w:rsidRPr="0001127D">
        <w:rPr>
          <w:noProof/>
          <w:u w:color="000000"/>
          <w:bdr w:val="nil"/>
        </w:rPr>
        <w:t>•</w:t>
      </w:r>
      <w:r w:rsidRPr="0001127D">
        <w:rPr>
          <w:noProof/>
        </w:rPr>
        <w:tab/>
      </w:r>
      <w:r w:rsidRPr="0001127D">
        <w:rPr>
          <w:noProof/>
          <w:u w:color="000000"/>
          <w:bdr w:val="nil"/>
        </w:rPr>
        <w:t>Piani attuativi e modalità di monitoraggio, valutazione e informazione</w:t>
      </w:r>
      <w:bookmarkEnd w:id="107"/>
      <w:bookmarkEnd w:id="108"/>
      <w:bookmarkEnd w:id="109"/>
      <w:bookmarkEnd w:id="110"/>
      <w:bookmarkEnd w:id="111"/>
    </w:p>
    <w:p w14:paraId="653CB605" w14:textId="32FB717B" w:rsidR="00210CE6" w:rsidRPr="0001127D" w:rsidRDefault="00F63337" w:rsidP="00660ED3">
      <w:pPr>
        <w:pBdr>
          <w:top w:val="nil"/>
          <w:left w:val="nil"/>
          <w:bottom w:val="nil"/>
          <w:right w:val="nil"/>
          <w:between w:val="nil"/>
          <w:bar w:val="nil"/>
        </w:pBdr>
        <w:spacing w:before="0" w:after="240"/>
        <w:rPr>
          <w:noProof/>
        </w:rPr>
      </w:pPr>
      <w:r w:rsidRPr="0001127D">
        <w:rPr>
          <w:noProof/>
        </w:rPr>
        <w:t>La Commissione aiuterà gli Stati membri a recepire le disposizioni della presente proposta attraverso una stretta cooperazione con gli esperti nazionali di diritto societario all</w:t>
      </w:r>
      <w:r w:rsidR="00E64452" w:rsidRPr="0001127D">
        <w:rPr>
          <w:noProof/>
        </w:rPr>
        <w:t>'</w:t>
      </w:r>
      <w:r w:rsidRPr="0001127D">
        <w:rPr>
          <w:noProof/>
        </w:rPr>
        <w:t>interno del gruppo CLEG e fornendo, se necessario, orientamenti (ad es. organizzando seminari riguardanti l</w:t>
      </w:r>
      <w:r w:rsidR="00E64452" w:rsidRPr="0001127D">
        <w:rPr>
          <w:noProof/>
        </w:rPr>
        <w:t>'</w:t>
      </w:r>
      <w:r w:rsidRPr="0001127D">
        <w:rPr>
          <w:noProof/>
        </w:rPr>
        <w:t>attuazione o fornendo consulenza su base bilaterale)</w:t>
      </w:r>
      <w:r w:rsidRPr="0001127D">
        <w:rPr>
          <w:rStyle w:val="FootnoteReference"/>
          <w:noProof/>
        </w:rPr>
        <w:footnoteReference w:id="40"/>
      </w:r>
      <w:r w:rsidRPr="0001127D">
        <w:rPr>
          <w:noProof/>
        </w:rPr>
        <w:t>. Inoltre la Commissione monitorerà l</w:t>
      </w:r>
      <w:r w:rsidR="00E64452" w:rsidRPr="0001127D">
        <w:rPr>
          <w:noProof/>
        </w:rPr>
        <w:t>'</w:t>
      </w:r>
      <w:r w:rsidRPr="0001127D">
        <w:rPr>
          <w:noProof/>
        </w:rPr>
        <w:t>attuazione delle misure proposte e garantirà che essa sia in linea con la proposta di normativa su un</w:t>
      </w:r>
      <w:r w:rsidR="00E64452" w:rsidRPr="0001127D">
        <w:rPr>
          <w:noProof/>
        </w:rPr>
        <w:t>'</w:t>
      </w:r>
      <w:r w:rsidRPr="0001127D">
        <w:rPr>
          <w:noProof/>
        </w:rPr>
        <w:t>Europa interoperabile</w:t>
      </w:r>
      <w:r w:rsidRPr="0001127D">
        <w:rPr>
          <w:rStyle w:val="FootnoteReference"/>
          <w:noProof/>
        </w:rPr>
        <w:footnoteReference w:id="41"/>
      </w:r>
      <w:r w:rsidRPr="0001127D">
        <w:rPr>
          <w:noProof/>
        </w:rPr>
        <w:t xml:space="preserve"> e il quadro europeo di interoperabilità</w:t>
      </w:r>
      <w:r w:rsidRPr="0001127D">
        <w:rPr>
          <w:rStyle w:val="FootnoteReference"/>
          <w:noProof/>
        </w:rPr>
        <w:footnoteReference w:id="42"/>
      </w:r>
      <w:r w:rsidRPr="0001127D">
        <w:rPr>
          <w:noProof/>
        </w:rPr>
        <w:t>, incoraggiando in tal modo l</w:t>
      </w:r>
      <w:r w:rsidR="00E64452" w:rsidRPr="0001127D">
        <w:rPr>
          <w:noProof/>
        </w:rPr>
        <w:t>'</w:t>
      </w:r>
      <w:r w:rsidRPr="0001127D">
        <w:rPr>
          <w:noProof/>
        </w:rPr>
        <w:t>interoperabilità transfrontaliera e intersettoriale in Europa. Il monitoraggio consisterà nell</w:t>
      </w:r>
      <w:r w:rsidR="00E64452" w:rsidRPr="0001127D">
        <w:rPr>
          <w:noProof/>
        </w:rPr>
        <w:t>'</w:t>
      </w:r>
      <w:r w:rsidRPr="0001127D">
        <w:rPr>
          <w:noProof/>
        </w:rPr>
        <w:t>analizzare l</w:t>
      </w:r>
      <w:r w:rsidR="00E64452" w:rsidRPr="0001127D">
        <w:rPr>
          <w:noProof/>
        </w:rPr>
        <w:t>'</w:t>
      </w:r>
      <w:r w:rsidRPr="0001127D">
        <w:rPr>
          <w:noProof/>
        </w:rPr>
        <w:t>impatto della proposta sull</w:t>
      </w:r>
      <w:r w:rsidR="00E64452" w:rsidRPr="0001127D">
        <w:rPr>
          <w:noProof/>
        </w:rPr>
        <w:t>'</w:t>
      </w:r>
      <w:r w:rsidRPr="0001127D">
        <w:rPr>
          <w:noProof/>
        </w:rPr>
        <w:t>accessibilità e l</w:t>
      </w:r>
      <w:r w:rsidR="00E64452" w:rsidRPr="0001127D">
        <w:rPr>
          <w:noProof/>
        </w:rPr>
        <w:t>'</w:t>
      </w:r>
      <w:r w:rsidRPr="0001127D">
        <w:rPr>
          <w:noProof/>
        </w:rPr>
        <w:t>affidabilità dei dati sulle società ottenuti dai registri delle imprese e attraverso il BRIS tramite contatti mirati con i portatori di interessi, discussioni con i registri delle imprese all</w:t>
      </w:r>
      <w:r w:rsidR="00E64452" w:rsidRPr="0001127D">
        <w:rPr>
          <w:noProof/>
        </w:rPr>
        <w:t>'</w:t>
      </w:r>
      <w:r w:rsidRPr="0001127D">
        <w:rPr>
          <w:noProof/>
        </w:rPr>
        <w:t>interno del gruppo CLEG e sulla base delle informazioni raccolte attraverso il BRIS o altri sistemi di interconnessione dei registri dell</w:t>
      </w:r>
      <w:r w:rsidR="00E64452" w:rsidRPr="0001127D">
        <w:rPr>
          <w:noProof/>
        </w:rPr>
        <w:t>'</w:t>
      </w:r>
      <w:r w:rsidRPr="0001127D">
        <w:rPr>
          <w:noProof/>
        </w:rPr>
        <w:t>UE quali il BORIS e l</w:t>
      </w:r>
      <w:r w:rsidR="00E64452" w:rsidRPr="0001127D">
        <w:rPr>
          <w:noProof/>
        </w:rPr>
        <w:t>'</w:t>
      </w:r>
      <w:r w:rsidRPr="0001127D">
        <w:rPr>
          <w:noProof/>
        </w:rPr>
        <w:t>IRI. Il monitoraggio comprenderebbe anche l</w:t>
      </w:r>
      <w:r w:rsidR="00E64452" w:rsidRPr="0001127D">
        <w:rPr>
          <w:noProof/>
        </w:rPr>
        <w:t>'</w:t>
      </w:r>
      <w:r w:rsidRPr="0001127D">
        <w:rPr>
          <w:noProof/>
        </w:rPr>
        <w:t>analisi della misura in cui è stato agevolato l</w:t>
      </w:r>
      <w:r w:rsidR="00E64452" w:rsidRPr="0001127D">
        <w:rPr>
          <w:noProof/>
        </w:rPr>
        <w:t>'</w:t>
      </w:r>
      <w:r w:rsidRPr="0001127D">
        <w:rPr>
          <w:noProof/>
        </w:rPr>
        <w:t>utilizzo diretto dei dati sulle società a livello transfrontaliero e della misura in cui i portatori di interessi ricorrono alle misure introdotte dalla presente proposta, ad es. esaminando le tendenze relative alla costituzione di controllate e succursali transfrontaliere in tutta l</w:t>
      </w:r>
      <w:r w:rsidR="00E64452" w:rsidRPr="0001127D">
        <w:rPr>
          <w:noProof/>
        </w:rPr>
        <w:t>'</w:t>
      </w:r>
      <w:r w:rsidRPr="0001127D">
        <w:rPr>
          <w:noProof/>
        </w:rPr>
        <w:t>UE o verificando il numero di certificati delle società UE rilasciati. Alcune delle informazioni pertinenti potrebbero essere ottenute dal BRIS e la Commissione potrebbe raccogliere altre informazioni attraverso contatti mirati con le parti interessate, sondaggi e, ove necessario, studi mirati. Quando sarà stata maturata un</w:t>
      </w:r>
      <w:r w:rsidR="00E64452" w:rsidRPr="0001127D">
        <w:rPr>
          <w:noProof/>
        </w:rPr>
        <w:t>'</w:t>
      </w:r>
      <w:r w:rsidRPr="0001127D">
        <w:rPr>
          <w:noProof/>
        </w:rPr>
        <w:t>esperienza sufficiente a livello di applicazione delle disposizioni proposte, sarà opportuno redigere una relazione di valutazione per valutare l</w:t>
      </w:r>
      <w:r w:rsidR="00E64452" w:rsidRPr="0001127D">
        <w:rPr>
          <w:noProof/>
        </w:rPr>
        <w:t>'</w:t>
      </w:r>
      <w:r w:rsidRPr="0001127D">
        <w:rPr>
          <w:noProof/>
        </w:rPr>
        <w:t xml:space="preserve">impatto della presente proposta. Tale monitoraggio consentirebbe inoltre di analizzare il potenziale in termini di </w:t>
      </w:r>
      <w:r w:rsidRPr="0001127D">
        <w:rPr>
          <w:noProof/>
          <w:color w:val="000000"/>
          <w:shd w:val="clear" w:color="auto" w:fill="FFFFFF"/>
        </w:rPr>
        <w:t>interoperabilità intersettoriale con altri sistemi a livello dell</w:t>
      </w:r>
      <w:r w:rsidR="00E64452" w:rsidRPr="0001127D">
        <w:rPr>
          <w:noProof/>
          <w:color w:val="000000"/>
          <w:shd w:val="clear" w:color="auto" w:fill="FFFFFF"/>
        </w:rPr>
        <w:t>'</w:t>
      </w:r>
      <w:r w:rsidRPr="0001127D">
        <w:rPr>
          <w:noProof/>
          <w:color w:val="000000"/>
          <w:shd w:val="clear" w:color="auto" w:fill="FFFFFF"/>
        </w:rPr>
        <w:t xml:space="preserve">UE che forniscono meccanismi di cooperazione tra le autorità competenti, ad esempio nel settore fiscale o in quello della sicurezza sociale o </w:t>
      </w:r>
      <w:r w:rsidRPr="0001127D">
        <w:rPr>
          <w:noProof/>
        </w:rPr>
        <w:t xml:space="preserve">del sistema tecnico </w:t>
      </w:r>
      <w:r w:rsidR="00E64452" w:rsidRPr="0001127D">
        <w:rPr>
          <w:noProof/>
        </w:rPr>
        <w:t>"</w:t>
      </w:r>
      <w:r w:rsidRPr="0001127D">
        <w:rPr>
          <w:noProof/>
        </w:rPr>
        <w:t>una tantum</w:t>
      </w:r>
      <w:r w:rsidR="00E64452" w:rsidRPr="0001127D">
        <w:rPr>
          <w:noProof/>
        </w:rPr>
        <w:t>"</w:t>
      </w:r>
      <w:r w:rsidRPr="0001127D">
        <w:rPr>
          <w:noProof/>
        </w:rPr>
        <w:t xml:space="preserve"> istituito a norma del regolamento sullo sportello digitale unico, per</w:t>
      </w:r>
      <w:r w:rsidRPr="0001127D">
        <w:rPr>
          <w:noProof/>
          <w:color w:val="1F497D"/>
        </w:rPr>
        <w:t xml:space="preserve"> </w:t>
      </w:r>
      <w:r w:rsidRPr="0001127D">
        <w:rPr>
          <w:noProof/>
        </w:rPr>
        <w:t xml:space="preserve">basarsi sulle informazioni </w:t>
      </w:r>
      <w:r w:rsidR="00E64452" w:rsidRPr="0001127D">
        <w:rPr>
          <w:noProof/>
        </w:rPr>
        <w:t>"</w:t>
      </w:r>
      <w:r w:rsidRPr="0001127D">
        <w:rPr>
          <w:noProof/>
        </w:rPr>
        <w:t>di prima mano</w:t>
      </w:r>
      <w:r w:rsidR="00E64452" w:rsidRPr="0001127D">
        <w:rPr>
          <w:noProof/>
        </w:rPr>
        <w:t>"</w:t>
      </w:r>
      <w:r w:rsidRPr="0001127D">
        <w:rPr>
          <w:noProof/>
        </w:rPr>
        <w:t xml:space="preserve"> sulle società contenute nei registri delle imprese, sulla loro interconnessione a livello dell</w:t>
      </w:r>
      <w:r w:rsidR="00E64452" w:rsidRPr="0001127D">
        <w:rPr>
          <w:noProof/>
        </w:rPr>
        <w:t>'</w:t>
      </w:r>
      <w:r w:rsidRPr="0001127D">
        <w:rPr>
          <w:noProof/>
        </w:rPr>
        <w:t>UE e sull</w:t>
      </w:r>
      <w:r w:rsidR="00E64452" w:rsidRPr="0001127D">
        <w:rPr>
          <w:noProof/>
        </w:rPr>
        <w:t>'</w:t>
      </w:r>
      <w:r w:rsidRPr="0001127D">
        <w:rPr>
          <w:noProof/>
        </w:rPr>
        <w:t>uso dell</w:t>
      </w:r>
      <w:r w:rsidR="00E64452" w:rsidRPr="0001127D">
        <w:rPr>
          <w:noProof/>
        </w:rPr>
        <w:t>'</w:t>
      </w:r>
      <w:r w:rsidRPr="0001127D">
        <w:rPr>
          <w:noProof/>
        </w:rPr>
        <w:t>EUID per collegare le informazioni disponibili su una determinata società in diversi sistemi dell</w:t>
      </w:r>
      <w:r w:rsidR="00E64452" w:rsidRPr="0001127D">
        <w:rPr>
          <w:noProof/>
        </w:rPr>
        <w:t>'</w:t>
      </w:r>
      <w:r w:rsidRPr="0001127D">
        <w:rPr>
          <w:noProof/>
        </w:rPr>
        <w:t>UE, nonché per evitare duplicazioni e contribuire a creare amministrazioni pubbliche più connesse a livello transfrontaliero nel mercato unico</w:t>
      </w:r>
      <w:r w:rsidRPr="0001127D">
        <w:rPr>
          <w:noProof/>
          <w:color w:val="000000"/>
          <w:shd w:val="clear" w:color="auto" w:fill="FFFFFF"/>
        </w:rPr>
        <w:t>.</w:t>
      </w:r>
      <w:r w:rsidRPr="0001127D">
        <w:rPr>
          <w:noProof/>
        </w:rPr>
        <w:t xml:space="preserve"> Il fatto di mettere a disposizione informazioni per il monitoraggio e la valutazione non dovrebbe imporre oneri amministrativi inutili alle parti interessate. </w:t>
      </w:r>
    </w:p>
    <w:p w14:paraId="651FBC74" w14:textId="77777777" w:rsidR="00573A63" w:rsidRPr="0001127D" w:rsidRDefault="00573A63" w:rsidP="00660ED3">
      <w:pPr>
        <w:pStyle w:val="ManualHeading2"/>
        <w:rPr>
          <w:rFonts w:eastAsia="Arial Unicode MS"/>
          <w:noProof/>
          <w:u w:color="000000"/>
          <w:bdr w:val="nil"/>
        </w:rPr>
      </w:pPr>
      <w:bookmarkStart w:id="112" w:name="_Toc126762673"/>
      <w:bookmarkStart w:id="113" w:name="_Toc126826585"/>
      <w:bookmarkStart w:id="114" w:name="_Toc132359404"/>
      <w:bookmarkStart w:id="115" w:name="_Toc132359462"/>
      <w:bookmarkStart w:id="116" w:name="_Toc132359597"/>
      <w:r w:rsidRPr="0001127D">
        <w:rPr>
          <w:noProof/>
          <w:u w:color="000000"/>
          <w:bdr w:val="nil"/>
        </w:rPr>
        <w:t>•</w:t>
      </w:r>
      <w:r w:rsidRPr="0001127D">
        <w:rPr>
          <w:noProof/>
        </w:rPr>
        <w:tab/>
      </w:r>
      <w:r w:rsidRPr="0001127D">
        <w:rPr>
          <w:noProof/>
          <w:u w:color="000000"/>
          <w:bdr w:val="nil"/>
        </w:rPr>
        <w:t>Documenti esplicativi (per le direttive)</w:t>
      </w:r>
      <w:bookmarkEnd w:id="112"/>
      <w:bookmarkEnd w:id="113"/>
      <w:bookmarkEnd w:id="114"/>
      <w:bookmarkEnd w:id="115"/>
      <w:bookmarkEnd w:id="116"/>
    </w:p>
    <w:p w14:paraId="0D8D886F" w14:textId="77777777" w:rsidR="0065274F" w:rsidRPr="0001127D" w:rsidRDefault="0065274F" w:rsidP="0065274F">
      <w:pPr>
        <w:pBdr>
          <w:top w:val="nil"/>
          <w:left w:val="nil"/>
          <w:bottom w:val="nil"/>
          <w:right w:val="nil"/>
          <w:between w:val="nil"/>
          <w:bar w:val="nil"/>
        </w:pBdr>
        <w:spacing w:before="0" w:after="240"/>
        <w:rPr>
          <w:rFonts w:eastAsia="Arial Unicode MS"/>
          <w:noProof/>
        </w:rPr>
      </w:pPr>
      <w:bookmarkStart w:id="117" w:name="_Toc126762674"/>
      <w:bookmarkStart w:id="118" w:name="_Toc126826586"/>
      <w:r w:rsidRPr="0001127D">
        <w:rPr>
          <w:noProof/>
        </w:rPr>
        <w:t xml:space="preserve">La proposta consiste nella modifica della direttiva 2009/102/CE </w:t>
      </w:r>
      <w:r w:rsidRPr="0001127D">
        <w:rPr>
          <w:noProof/>
          <w:shd w:val="clear" w:color="auto" w:fill="FFFFFF"/>
        </w:rPr>
        <w:t xml:space="preserve">relativa alle società a responsabilità limitata con un unico socio e della </w:t>
      </w:r>
      <w:r w:rsidRPr="0001127D">
        <w:rPr>
          <w:noProof/>
        </w:rPr>
        <w:t>direttiva (UE) 2017/1132 relativa ad alcuni aspetti di diritto societario. Per garantire la corretta attuazione di questa direttiva complessa, sarebbe necessario un documento esplicativo, ad esempio sotto forma di tavole di concordanza.</w:t>
      </w:r>
    </w:p>
    <w:p w14:paraId="09B7B915" w14:textId="77777777" w:rsidR="00573A63" w:rsidRPr="0001127D" w:rsidRDefault="00573A63" w:rsidP="00660ED3">
      <w:pPr>
        <w:pStyle w:val="ManualHeading2"/>
        <w:rPr>
          <w:rFonts w:eastAsia="Arial Unicode MS"/>
          <w:noProof/>
          <w:u w:color="000000"/>
          <w:bdr w:val="nil"/>
        </w:rPr>
      </w:pPr>
      <w:bookmarkStart w:id="119" w:name="_Toc132359405"/>
      <w:bookmarkStart w:id="120" w:name="_Toc132359463"/>
      <w:bookmarkStart w:id="121" w:name="_Toc132359598"/>
      <w:r w:rsidRPr="0001127D">
        <w:rPr>
          <w:noProof/>
          <w:u w:color="000000"/>
          <w:bdr w:val="nil"/>
        </w:rPr>
        <w:t>•</w:t>
      </w:r>
      <w:r w:rsidRPr="0001127D">
        <w:rPr>
          <w:noProof/>
        </w:rPr>
        <w:tab/>
      </w:r>
      <w:r w:rsidRPr="0001127D">
        <w:rPr>
          <w:noProof/>
          <w:u w:color="000000"/>
          <w:bdr w:val="nil"/>
        </w:rPr>
        <w:t>Illustrazione dettagliata delle singole disposizioni della proposta</w:t>
      </w:r>
      <w:bookmarkEnd w:id="117"/>
      <w:bookmarkEnd w:id="118"/>
      <w:bookmarkEnd w:id="119"/>
      <w:bookmarkEnd w:id="120"/>
      <w:bookmarkEnd w:id="121"/>
    </w:p>
    <w:p w14:paraId="68441B4A" w14:textId="77777777" w:rsidR="00F174F8" w:rsidRPr="0001127D" w:rsidRDefault="000A4CB4" w:rsidP="00F174F8">
      <w:pPr>
        <w:shd w:val="clear" w:color="auto" w:fill="FFFFFF"/>
        <w:spacing w:before="0" w:after="0"/>
        <w:textAlignment w:val="baseline"/>
        <w:rPr>
          <w:rFonts w:eastAsia="Times New Roman"/>
          <w:i/>
          <w:noProof/>
          <w:szCs w:val="24"/>
          <w:bdr w:val="none" w:sz="0" w:space="0" w:color="auto" w:frame="1"/>
        </w:rPr>
      </w:pPr>
      <w:r w:rsidRPr="0001127D">
        <w:rPr>
          <w:i/>
          <w:noProof/>
          <w:bdr w:val="none" w:sz="0" w:space="0" w:color="auto" w:frame="1"/>
        </w:rPr>
        <w:t xml:space="preserve">Modifica della </w:t>
      </w:r>
      <w:r w:rsidRPr="0001127D">
        <w:rPr>
          <w:i/>
          <w:noProof/>
        </w:rPr>
        <w:t xml:space="preserve">direttiva 2009/102/CE </w:t>
      </w:r>
    </w:p>
    <w:p w14:paraId="17D7DCB9" w14:textId="77777777" w:rsidR="000A4CB4" w:rsidRPr="0001127D" w:rsidRDefault="000A4CB4" w:rsidP="00F174F8">
      <w:pPr>
        <w:shd w:val="clear" w:color="auto" w:fill="FFFFFF"/>
        <w:spacing w:before="0" w:after="0"/>
        <w:textAlignment w:val="baseline"/>
        <w:rPr>
          <w:rFonts w:eastAsia="Times New Roman"/>
          <w:noProof/>
          <w:szCs w:val="24"/>
          <w:bdr w:val="none" w:sz="0" w:space="0" w:color="auto" w:frame="1"/>
        </w:rPr>
      </w:pPr>
    </w:p>
    <w:p w14:paraId="4F3B5BD4" w14:textId="7FCD5D05" w:rsidR="00B86718" w:rsidRPr="0001127D" w:rsidRDefault="00B86718" w:rsidP="00B86718">
      <w:pPr>
        <w:shd w:val="clear" w:color="auto" w:fill="FFFFFF"/>
        <w:spacing w:before="0" w:after="0"/>
        <w:textAlignment w:val="baseline"/>
        <w:rPr>
          <w:rFonts w:eastAsia="Calibri"/>
          <w:noProof/>
          <w:szCs w:val="24"/>
        </w:rPr>
      </w:pPr>
      <w:r w:rsidRPr="0001127D">
        <w:rPr>
          <w:noProof/>
        </w:rPr>
        <w:t>L</w:t>
      </w:r>
      <w:r w:rsidR="00E64452" w:rsidRPr="0001127D">
        <w:rPr>
          <w:noProof/>
        </w:rPr>
        <w:t>'</w:t>
      </w:r>
      <w:r w:rsidRPr="0001127D">
        <w:rPr>
          <w:noProof/>
          <w:u w:val="single"/>
        </w:rPr>
        <w:t>articolo</w:t>
      </w:r>
      <w:r w:rsidR="00D72BD3" w:rsidRPr="0001127D">
        <w:rPr>
          <w:noProof/>
          <w:u w:val="single"/>
        </w:rPr>
        <w:t> </w:t>
      </w:r>
      <w:r w:rsidRPr="0001127D">
        <w:rPr>
          <w:noProof/>
          <w:u w:val="single"/>
        </w:rPr>
        <w:t>3</w:t>
      </w:r>
      <w:r w:rsidRPr="0001127D">
        <w:rPr>
          <w:noProof/>
        </w:rPr>
        <w:t xml:space="preserve"> della direttiva 2009/102/CE è sostituito. La nuova disposizione mira a garantire che l</w:t>
      </w:r>
      <w:r w:rsidR="00E64452" w:rsidRPr="0001127D">
        <w:rPr>
          <w:noProof/>
        </w:rPr>
        <w:t>'</w:t>
      </w:r>
      <w:r w:rsidRPr="0001127D">
        <w:rPr>
          <w:noProof/>
        </w:rPr>
        <w:t xml:space="preserve">identità del socio unico sia sempre pubblicata nei registri nazionali delle imprese e resa accessibile attraverso il sistema di interconnessione dei registri. </w:t>
      </w:r>
    </w:p>
    <w:p w14:paraId="333EBDD1" w14:textId="77777777" w:rsidR="008A5F8D" w:rsidRPr="0001127D" w:rsidRDefault="008A5F8D" w:rsidP="00B86718">
      <w:pPr>
        <w:shd w:val="clear" w:color="auto" w:fill="FFFFFF"/>
        <w:spacing w:before="0" w:after="0"/>
        <w:textAlignment w:val="baseline"/>
        <w:rPr>
          <w:rFonts w:eastAsia="Calibri"/>
          <w:noProof/>
          <w:color w:val="00B050"/>
          <w:szCs w:val="24"/>
        </w:rPr>
      </w:pPr>
    </w:p>
    <w:p w14:paraId="0904C0B0" w14:textId="77777777" w:rsidR="008A5F8D" w:rsidRPr="0001127D" w:rsidRDefault="000A4CB4" w:rsidP="00B86718">
      <w:pPr>
        <w:shd w:val="clear" w:color="auto" w:fill="FFFFFF"/>
        <w:spacing w:before="0" w:after="0"/>
        <w:textAlignment w:val="baseline"/>
        <w:rPr>
          <w:rFonts w:eastAsia="Times New Roman"/>
          <w:i/>
          <w:noProof/>
          <w:color w:val="000000"/>
          <w:szCs w:val="24"/>
        </w:rPr>
      </w:pPr>
      <w:r w:rsidRPr="0001127D">
        <w:rPr>
          <w:i/>
          <w:noProof/>
          <w:color w:val="000000"/>
        </w:rPr>
        <w:t xml:space="preserve">Modifiche della direttiva </w:t>
      </w:r>
      <w:r w:rsidRPr="0001127D">
        <w:rPr>
          <w:i/>
          <w:noProof/>
          <w:color w:val="000000"/>
          <w:shd w:val="clear" w:color="auto" w:fill="FFFFFF"/>
        </w:rPr>
        <w:t>(UE) 2017/1132</w:t>
      </w:r>
    </w:p>
    <w:p w14:paraId="1660D78A" w14:textId="77777777" w:rsidR="00B86718" w:rsidRPr="0001127D" w:rsidRDefault="00B86718" w:rsidP="00F174F8">
      <w:pPr>
        <w:shd w:val="clear" w:color="auto" w:fill="FFFFFF"/>
        <w:spacing w:before="0" w:after="0"/>
        <w:textAlignment w:val="baseline"/>
        <w:rPr>
          <w:rFonts w:eastAsia="Times New Roman"/>
          <w:noProof/>
          <w:color w:val="000000"/>
          <w:szCs w:val="24"/>
          <w:bdr w:val="none" w:sz="0" w:space="0" w:color="auto" w:frame="1"/>
        </w:rPr>
      </w:pPr>
    </w:p>
    <w:p w14:paraId="1C397412" w14:textId="638CA3EC" w:rsidR="00F174F8" w:rsidRPr="0001127D" w:rsidRDefault="0065274F" w:rsidP="00A65DBA">
      <w:pPr>
        <w:shd w:val="clear" w:color="auto" w:fill="FFFFFF"/>
        <w:spacing w:before="0" w:after="0"/>
        <w:textAlignment w:val="baseline"/>
        <w:rPr>
          <w:rFonts w:eastAsia="Times New Roman"/>
          <w:noProof/>
          <w:color w:val="000000"/>
          <w:szCs w:val="24"/>
          <w:bdr w:val="none" w:sz="0" w:space="0" w:color="auto" w:frame="1"/>
        </w:rPr>
      </w:pPr>
      <w:r w:rsidRPr="0001127D">
        <w:rPr>
          <w:noProof/>
          <w:color w:val="000000"/>
          <w:bdr w:val="none" w:sz="0" w:space="0" w:color="auto" w:frame="1"/>
        </w:rPr>
        <w:t>L</w:t>
      </w:r>
      <w:r w:rsidR="00E64452" w:rsidRPr="0001127D">
        <w:rPr>
          <w:noProof/>
          <w:color w:val="000000"/>
          <w:bdr w:val="none" w:sz="0" w:space="0" w:color="auto" w:frame="1"/>
        </w:rPr>
        <w:t>'</w:t>
      </w:r>
      <w:r w:rsidRPr="0001127D">
        <w:rPr>
          <w:noProof/>
          <w:color w:val="000000"/>
          <w:u w:val="single"/>
          <w:bdr w:val="none" w:sz="0" w:space="0" w:color="auto" w:frame="1"/>
        </w:rPr>
        <w:t>articolo</w:t>
      </w:r>
      <w:r w:rsidR="00D72BD3" w:rsidRPr="0001127D">
        <w:rPr>
          <w:noProof/>
          <w:color w:val="000000"/>
          <w:u w:val="single"/>
          <w:bdr w:val="none" w:sz="0" w:space="0" w:color="auto" w:frame="1"/>
        </w:rPr>
        <w:t> </w:t>
      </w:r>
      <w:r w:rsidRPr="0001127D">
        <w:rPr>
          <w:noProof/>
          <w:color w:val="000000"/>
          <w:u w:val="single"/>
          <w:bdr w:val="none" w:sz="0" w:space="0" w:color="auto" w:frame="1"/>
        </w:rPr>
        <w:t>1</w:t>
      </w:r>
      <w:r w:rsidRPr="0001127D">
        <w:rPr>
          <w:noProof/>
          <w:color w:val="000000"/>
          <w:bdr w:val="none" w:sz="0" w:space="0" w:color="auto" w:frame="1"/>
        </w:rPr>
        <w:t xml:space="preserve"> estende l</w:t>
      </w:r>
      <w:r w:rsidR="00E64452" w:rsidRPr="0001127D">
        <w:rPr>
          <w:noProof/>
          <w:color w:val="000000"/>
          <w:bdr w:val="none" w:sz="0" w:space="0" w:color="auto" w:frame="1"/>
        </w:rPr>
        <w:t>'</w:t>
      </w:r>
      <w:r w:rsidRPr="0001127D">
        <w:rPr>
          <w:noProof/>
          <w:color w:val="000000"/>
          <w:bdr w:val="none" w:sz="0" w:space="0" w:color="auto" w:frame="1"/>
        </w:rPr>
        <w:t xml:space="preserve">oggetto della direttiva (UE) 2017/1132 ai nuovi settori per i quali la presente </w:t>
      </w:r>
      <w:r w:rsidRPr="0001127D">
        <w:rPr>
          <w:noProof/>
          <w:color w:val="000000"/>
          <w:szCs w:val="24"/>
          <w:bdr w:val="none" w:sz="0" w:space="0" w:color="auto" w:frame="1"/>
        </w:rPr>
        <w:t>proposta introduce nuove misure.</w:t>
      </w:r>
    </w:p>
    <w:p w14:paraId="63268D16" w14:textId="77777777" w:rsidR="0065274F" w:rsidRPr="0001127D" w:rsidRDefault="0065274F" w:rsidP="00A65DBA">
      <w:pPr>
        <w:shd w:val="clear" w:color="auto" w:fill="FFFFFF"/>
        <w:spacing w:before="0" w:after="0"/>
        <w:textAlignment w:val="baseline"/>
        <w:rPr>
          <w:rFonts w:eastAsia="Times New Roman"/>
          <w:noProof/>
          <w:color w:val="000000"/>
          <w:szCs w:val="24"/>
          <w:bdr w:val="none" w:sz="0" w:space="0" w:color="auto" w:frame="1"/>
        </w:rPr>
      </w:pPr>
    </w:p>
    <w:p w14:paraId="58FF67D2" w14:textId="02ADA278" w:rsidR="00F174F8" w:rsidRPr="0001127D" w:rsidRDefault="00F174F8" w:rsidP="00A65DBA">
      <w:pPr>
        <w:spacing w:before="0" w:after="0"/>
        <w:textAlignment w:val="baseline"/>
        <w:rPr>
          <w:rFonts w:eastAsia="Times New Roman"/>
          <w:noProof/>
          <w:color w:val="000000"/>
          <w:szCs w:val="24"/>
          <w:bdr w:val="none" w:sz="0" w:space="0" w:color="auto" w:frame="1"/>
        </w:rPr>
      </w:pPr>
      <w:r w:rsidRPr="0001127D">
        <w:rPr>
          <w:noProof/>
          <w:color w:val="000000"/>
          <w:szCs w:val="24"/>
          <w:bdr w:val="none" w:sz="0" w:space="0" w:color="auto" w:frame="1"/>
        </w:rPr>
        <w:t>L</w:t>
      </w:r>
      <w:r w:rsidR="00E64452" w:rsidRPr="0001127D">
        <w:rPr>
          <w:noProof/>
          <w:color w:val="000000"/>
          <w:szCs w:val="24"/>
          <w:bdr w:val="none" w:sz="0" w:space="0" w:color="auto" w:frame="1"/>
        </w:rPr>
        <w:t>'</w:t>
      </w:r>
      <w:r w:rsidRPr="0001127D">
        <w:rPr>
          <w:noProof/>
          <w:color w:val="000000"/>
          <w:szCs w:val="24"/>
          <w:u w:val="single"/>
          <w:bdr w:val="none" w:sz="0" w:space="0" w:color="auto" w:frame="1"/>
        </w:rPr>
        <w:t>articolo</w:t>
      </w:r>
      <w:r w:rsidR="00D72BD3" w:rsidRPr="0001127D">
        <w:rPr>
          <w:noProof/>
          <w:color w:val="000000"/>
          <w:szCs w:val="24"/>
          <w:u w:val="single"/>
          <w:bdr w:val="none" w:sz="0" w:space="0" w:color="auto" w:frame="1"/>
        </w:rPr>
        <w:t> </w:t>
      </w:r>
      <w:r w:rsidRPr="0001127D">
        <w:rPr>
          <w:noProof/>
          <w:color w:val="000000"/>
          <w:szCs w:val="24"/>
          <w:u w:val="single"/>
          <w:bdr w:val="none" w:sz="0" w:space="0" w:color="auto" w:frame="1"/>
        </w:rPr>
        <w:t>7</w:t>
      </w:r>
      <w:r w:rsidRPr="0001127D">
        <w:rPr>
          <w:noProof/>
          <w:color w:val="000000"/>
          <w:szCs w:val="24"/>
          <w:bdr w:val="none" w:sz="0" w:space="0" w:color="auto" w:frame="1"/>
        </w:rPr>
        <w:t xml:space="preserve"> è esteso alle società di persone in linea con l</w:t>
      </w:r>
      <w:r w:rsidR="00E64452" w:rsidRPr="0001127D">
        <w:rPr>
          <w:noProof/>
          <w:color w:val="000000"/>
          <w:szCs w:val="24"/>
          <w:bdr w:val="none" w:sz="0" w:space="0" w:color="auto" w:frame="1"/>
        </w:rPr>
        <w:t>'</w:t>
      </w:r>
      <w:r w:rsidRPr="0001127D">
        <w:rPr>
          <w:noProof/>
          <w:color w:val="000000"/>
          <w:szCs w:val="24"/>
          <w:bdr w:val="none" w:sz="0" w:space="0" w:color="auto" w:frame="1"/>
        </w:rPr>
        <w:t>articolo 10.</w:t>
      </w:r>
    </w:p>
    <w:p w14:paraId="593ED388" w14:textId="77777777" w:rsidR="00F174F8" w:rsidRPr="0001127D" w:rsidRDefault="00F174F8" w:rsidP="00A65DBA">
      <w:pPr>
        <w:spacing w:before="0" w:after="0"/>
        <w:textAlignment w:val="baseline"/>
        <w:rPr>
          <w:rFonts w:eastAsia="Times New Roman"/>
          <w:noProof/>
          <w:color w:val="000000"/>
          <w:szCs w:val="24"/>
          <w:bdr w:val="none" w:sz="0" w:space="0" w:color="auto" w:frame="1"/>
        </w:rPr>
      </w:pPr>
    </w:p>
    <w:p w14:paraId="5A45E5FE" w14:textId="31CCB570" w:rsidR="00F174F8" w:rsidRPr="0001127D" w:rsidRDefault="00F174F8" w:rsidP="00A65DBA">
      <w:pPr>
        <w:spacing w:before="0" w:after="0"/>
        <w:textAlignment w:val="baseline"/>
        <w:rPr>
          <w:rFonts w:eastAsia="Times New Roman"/>
          <w:noProof/>
          <w:color w:val="000000"/>
          <w:szCs w:val="24"/>
          <w:bdr w:val="none" w:sz="0" w:space="0" w:color="auto" w:frame="1"/>
          <w:shd w:val="clear" w:color="auto" w:fill="FFFFFF"/>
        </w:rPr>
      </w:pPr>
      <w:r w:rsidRPr="0001127D">
        <w:rPr>
          <w:noProof/>
          <w:color w:val="000000"/>
          <w:szCs w:val="24"/>
          <w:bdr w:val="none" w:sz="0" w:space="0" w:color="auto" w:frame="1"/>
        </w:rPr>
        <w:t>L</w:t>
      </w:r>
      <w:r w:rsidR="00E64452" w:rsidRPr="0001127D">
        <w:rPr>
          <w:noProof/>
          <w:color w:val="000000"/>
          <w:szCs w:val="24"/>
          <w:bdr w:val="none" w:sz="0" w:space="0" w:color="auto" w:frame="1"/>
        </w:rPr>
        <w:t>'</w:t>
      </w:r>
      <w:r w:rsidRPr="0001127D">
        <w:rPr>
          <w:noProof/>
          <w:color w:val="000000"/>
          <w:szCs w:val="24"/>
          <w:u w:val="single"/>
          <w:bdr w:val="none" w:sz="0" w:space="0" w:color="auto" w:frame="1"/>
        </w:rPr>
        <w:t>articolo</w:t>
      </w:r>
      <w:r w:rsidR="00D72BD3" w:rsidRPr="0001127D">
        <w:rPr>
          <w:noProof/>
          <w:color w:val="000000"/>
          <w:szCs w:val="24"/>
          <w:u w:val="single"/>
          <w:bdr w:val="none" w:sz="0" w:space="0" w:color="auto" w:frame="1"/>
        </w:rPr>
        <w:t> </w:t>
      </w:r>
      <w:r w:rsidRPr="0001127D">
        <w:rPr>
          <w:noProof/>
          <w:color w:val="000000"/>
          <w:szCs w:val="24"/>
          <w:u w:val="single"/>
          <w:bdr w:val="none" w:sz="0" w:space="0" w:color="auto" w:frame="1"/>
        </w:rPr>
        <w:t>10</w:t>
      </w:r>
      <w:r w:rsidRPr="0001127D">
        <w:rPr>
          <w:noProof/>
          <w:color w:val="000000"/>
          <w:szCs w:val="24"/>
          <w:bdr w:val="none" w:sz="0" w:space="0" w:color="auto" w:frame="1"/>
          <w:shd w:val="clear" w:color="auto" w:fill="FFFFFF"/>
        </w:rPr>
        <w:t xml:space="preserve"> è sostituito da una nuova disposizione che introduce l</w:t>
      </w:r>
      <w:r w:rsidR="00E64452" w:rsidRPr="0001127D">
        <w:rPr>
          <w:noProof/>
          <w:color w:val="000000"/>
          <w:szCs w:val="24"/>
          <w:bdr w:val="none" w:sz="0" w:space="0" w:color="auto" w:frame="1"/>
          <w:shd w:val="clear" w:color="auto" w:fill="FFFFFF"/>
        </w:rPr>
        <w:t>'</w:t>
      </w:r>
      <w:r w:rsidRPr="0001127D">
        <w:rPr>
          <w:noProof/>
          <w:color w:val="000000"/>
          <w:szCs w:val="24"/>
          <w:bdr w:val="none" w:sz="0" w:space="0" w:color="auto" w:frame="1"/>
          <w:shd w:val="clear" w:color="auto" w:fill="FFFFFF"/>
        </w:rPr>
        <w:t>obbligo di un controllo preventivo amministrativo o giudiziario e una procedura per il controllo di legalità dell</w:t>
      </w:r>
      <w:r w:rsidR="00E64452" w:rsidRPr="0001127D">
        <w:rPr>
          <w:noProof/>
          <w:color w:val="000000"/>
          <w:szCs w:val="24"/>
          <w:bdr w:val="none" w:sz="0" w:space="0" w:color="auto" w:frame="1"/>
          <w:shd w:val="clear" w:color="auto" w:fill="FFFFFF"/>
        </w:rPr>
        <w:t>'</w:t>
      </w:r>
      <w:r w:rsidRPr="0001127D">
        <w:rPr>
          <w:noProof/>
          <w:color w:val="000000"/>
          <w:szCs w:val="24"/>
          <w:bdr w:val="none" w:sz="0" w:space="0" w:color="auto" w:frame="1"/>
          <w:shd w:val="clear" w:color="auto" w:fill="FFFFFF"/>
        </w:rPr>
        <w:t>atto costitutivo delle società di capitali e delle società di persone in una modalità di costituzione interamente online, ibrida o offline. Se una società di persone non dispone di un atto costitutivo, il controllo di legalità si applica a qualsiasi documento che fornisca le stesse informazioni dell</w:t>
      </w:r>
      <w:r w:rsidR="00E64452" w:rsidRPr="0001127D">
        <w:rPr>
          <w:noProof/>
          <w:color w:val="000000"/>
          <w:szCs w:val="24"/>
          <w:bdr w:val="none" w:sz="0" w:space="0" w:color="auto" w:frame="1"/>
          <w:shd w:val="clear" w:color="auto" w:fill="FFFFFF"/>
        </w:rPr>
        <w:t>'</w:t>
      </w:r>
      <w:r w:rsidRPr="0001127D">
        <w:rPr>
          <w:noProof/>
          <w:color w:val="000000"/>
          <w:szCs w:val="24"/>
          <w:bdr w:val="none" w:sz="0" w:space="0" w:color="auto" w:frame="1"/>
          <w:shd w:val="clear" w:color="auto" w:fill="FFFFFF"/>
        </w:rPr>
        <w:t xml:space="preserve">atto costitutivo. </w:t>
      </w:r>
    </w:p>
    <w:p w14:paraId="46951618" w14:textId="77777777" w:rsidR="00F174F8" w:rsidRPr="0001127D" w:rsidRDefault="00F174F8" w:rsidP="00A65DBA">
      <w:pPr>
        <w:spacing w:before="0" w:after="0"/>
        <w:textAlignment w:val="baseline"/>
        <w:rPr>
          <w:rFonts w:eastAsia="Times New Roman"/>
          <w:noProof/>
          <w:color w:val="000000"/>
          <w:szCs w:val="24"/>
          <w:bdr w:val="none" w:sz="0" w:space="0" w:color="auto" w:frame="1"/>
          <w:shd w:val="clear" w:color="auto" w:fill="FFFFFF"/>
        </w:rPr>
      </w:pPr>
    </w:p>
    <w:p w14:paraId="607D61DF" w14:textId="6844A8C9" w:rsidR="002C4F0F" w:rsidRPr="0001127D" w:rsidRDefault="002C4F0F"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u w:val="single"/>
          <w:bdr w:val="none" w:sz="0" w:space="0" w:color="auto" w:frame="1"/>
          <w:shd w:val="clear" w:color="auto" w:fill="FFFFFF"/>
        </w:rPr>
        <w:t xml:space="preserve">articolo 13 </w:t>
      </w:r>
      <w:r w:rsidRPr="0001127D">
        <w:rPr>
          <w:noProof/>
          <w:color w:val="000000"/>
          <w:szCs w:val="24"/>
          <w:u w:val="single"/>
          <w:shd w:val="clear" w:color="auto" w:fill="FFFFFF"/>
        </w:rPr>
        <w:t>modificato</w:t>
      </w:r>
      <w:r w:rsidRPr="0001127D">
        <w:rPr>
          <w:noProof/>
          <w:color w:val="000000"/>
          <w:szCs w:val="24"/>
          <w:shd w:val="clear" w:color="auto" w:fill="FFFFFF"/>
        </w:rPr>
        <w:t xml:space="preserve"> comprende, ove specificato nelle disposizioni pertinenti, le società di persone che rientrano nell</w:t>
      </w:r>
      <w:r w:rsidR="00E64452" w:rsidRPr="0001127D">
        <w:rPr>
          <w:noProof/>
          <w:color w:val="000000"/>
          <w:szCs w:val="24"/>
          <w:shd w:val="clear" w:color="auto" w:fill="FFFFFF"/>
        </w:rPr>
        <w:t>'</w:t>
      </w:r>
      <w:r w:rsidRPr="0001127D">
        <w:rPr>
          <w:noProof/>
          <w:color w:val="000000"/>
          <w:szCs w:val="24"/>
          <w:shd w:val="clear" w:color="auto" w:fill="FFFFFF"/>
        </w:rPr>
        <w:t xml:space="preserve">ambito di applicazione delle sezioni 1 e 1 </w:t>
      </w:r>
      <w:r w:rsidRPr="0001127D">
        <w:rPr>
          <w:i/>
          <w:iCs/>
          <w:noProof/>
          <w:color w:val="000000"/>
          <w:szCs w:val="24"/>
          <w:shd w:val="clear" w:color="auto" w:fill="FFFFFF"/>
        </w:rPr>
        <w:t>bis</w:t>
      </w:r>
      <w:r w:rsidRPr="0001127D">
        <w:rPr>
          <w:noProof/>
          <w:color w:val="000000"/>
          <w:szCs w:val="24"/>
          <w:shd w:val="clear" w:color="auto" w:fill="FFFFFF"/>
        </w:rPr>
        <w:t xml:space="preserve"> della </w:t>
      </w:r>
      <w:r w:rsidRPr="0001127D">
        <w:rPr>
          <w:noProof/>
          <w:color w:val="000000"/>
          <w:szCs w:val="24"/>
        </w:rPr>
        <w:t xml:space="preserve">direttiva </w:t>
      </w:r>
      <w:r w:rsidRPr="0001127D">
        <w:rPr>
          <w:noProof/>
          <w:color w:val="000000"/>
          <w:szCs w:val="24"/>
          <w:shd w:val="clear" w:color="auto" w:fill="FFFFFF"/>
        </w:rPr>
        <w:t xml:space="preserve">(UE) 2017/1132. </w:t>
      </w:r>
    </w:p>
    <w:p w14:paraId="452088F8" w14:textId="77777777" w:rsidR="00F174F8" w:rsidRPr="0001127D" w:rsidRDefault="00F174F8" w:rsidP="00A65DBA">
      <w:pPr>
        <w:spacing w:before="0" w:after="0"/>
        <w:textAlignment w:val="baseline"/>
        <w:rPr>
          <w:rFonts w:eastAsia="Times New Roman"/>
          <w:noProof/>
          <w:color w:val="000000"/>
          <w:szCs w:val="24"/>
          <w:shd w:val="clear" w:color="auto" w:fill="FFFFFF"/>
        </w:rPr>
      </w:pPr>
    </w:p>
    <w:p w14:paraId="0C336D96" w14:textId="77296756" w:rsidR="00F174F8" w:rsidRPr="0001127D" w:rsidRDefault="00F174F8" w:rsidP="00A65DBA">
      <w:pPr>
        <w:shd w:val="clear" w:color="auto" w:fill="FFFFFF"/>
        <w:spacing w:before="0" w:after="0"/>
        <w:textAlignment w:val="baseline"/>
        <w:rPr>
          <w:rFonts w:eastAsia="Times New Roman"/>
          <w:noProof/>
          <w:color w:val="000000"/>
          <w:szCs w:val="24"/>
          <w:bdr w:val="none" w:sz="0" w:space="0" w:color="auto" w:frame="1"/>
        </w:rPr>
      </w:pPr>
      <w:r w:rsidRPr="0001127D">
        <w:rPr>
          <w:noProof/>
          <w:color w:val="000000"/>
          <w:szCs w:val="24"/>
          <w:bdr w:val="none" w:sz="0" w:space="0" w:color="auto" w:frame="1"/>
        </w:rPr>
        <w:t>L</w:t>
      </w:r>
      <w:r w:rsidR="00E64452" w:rsidRPr="0001127D">
        <w:rPr>
          <w:noProof/>
          <w:color w:val="000000"/>
          <w:szCs w:val="24"/>
          <w:bdr w:val="none" w:sz="0" w:space="0" w:color="auto" w:frame="1"/>
        </w:rPr>
        <w:t>'</w:t>
      </w:r>
      <w:r w:rsidRPr="0001127D">
        <w:rPr>
          <w:noProof/>
          <w:color w:val="000000"/>
          <w:szCs w:val="24"/>
          <w:u w:val="single"/>
          <w:bdr w:val="none" w:sz="0" w:space="0" w:color="auto" w:frame="1"/>
        </w:rPr>
        <w:t>articolo</w:t>
      </w:r>
      <w:r w:rsidR="00D72BD3" w:rsidRPr="0001127D">
        <w:rPr>
          <w:noProof/>
          <w:color w:val="000000"/>
          <w:szCs w:val="24"/>
          <w:u w:val="single"/>
          <w:bdr w:val="none" w:sz="0" w:space="0" w:color="auto" w:frame="1"/>
        </w:rPr>
        <w:t> </w:t>
      </w:r>
      <w:r w:rsidRPr="0001127D">
        <w:rPr>
          <w:noProof/>
          <w:color w:val="000000"/>
          <w:szCs w:val="24"/>
          <w:u w:val="single"/>
          <w:bdr w:val="none" w:sz="0" w:space="0" w:color="auto" w:frame="1"/>
        </w:rPr>
        <w:t>13</w:t>
      </w:r>
      <w:r w:rsidR="00D72BD3" w:rsidRPr="0001127D">
        <w:rPr>
          <w:noProof/>
          <w:color w:val="000000"/>
          <w:szCs w:val="24"/>
          <w:u w:val="single"/>
          <w:bdr w:val="none" w:sz="0" w:space="0" w:color="auto" w:frame="1"/>
        </w:rPr>
        <w:t> </w:t>
      </w:r>
      <w:r w:rsidRPr="0001127D">
        <w:rPr>
          <w:i/>
          <w:iCs/>
          <w:noProof/>
          <w:color w:val="000000"/>
          <w:szCs w:val="24"/>
          <w:u w:val="single"/>
          <w:bdr w:val="none" w:sz="0" w:space="0" w:color="auto" w:frame="1"/>
        </w:rPr>
        <w:t>bis</w:t>
      </w:r>
      <w:r w:rsidRPr="0001127D">
        <w:rPr>
          <w:noProof/>
          <w:color w:val="000000"/>
          <w:szCs w:val="24"/>
          <w:bdr w:val="none" w:sz="0" w:space="0" w:color="auto" w:frame="1"/>
        </w:rPr>
        <w:t xml:space="preserve"> contiene le definizioni relative al nuovo articolo 14 </w:t>
      </w:r>
      <w:r w:rsidRPr="0001127D">
        <w:rPr>
          <w:i/>
          <w:iCs/>
          <w:noProof/>
          <w:color w:val="000000"/>
          <w:szCs w:val="24"/>
          <w:bdr w:val="none" w:sz="0" w:space="0" w:color="auto" w:frame="1"/>
        </w:rPr>
        <w:t>ter</w:t>
      </w:r>
      <w:r w:rsidRPr="0001127D">
        <w:rPr>
          <w:noProof/>
          <w:color w:val="000000"/>
          <w:szCs w:val="24"/>
          <w:bdr w:val="none" w:sz="0" w:space="0" w:color="auto" w:frame="1"/>
        </w:rPr>
        <w:t xml:space="preserve"> sui gruppi societari e al nuovo articolo 16 </w:t>
      </w:r>
      <w:r w:rsidRPr="0001127D">
        <w:rPr>
          <w:i/>
          <w:iCs/>
          <w:noProof/>
          <w:color w:val="000000"/>
          <w:szCs w:val="24"/>
          <w:bdr w:val="none" w:sz="0" w:space="0" w:color="auto" w:frame="1"/>
        </w:rPr>
        <w:t>quinquies</w:t>
      </w:r>
      <w:r w:rsidRPr="0001127D">
        <w:rPr>
          <w:noProof/>
          <w:color w:val="000000"/>
          <w:szCs w:val="24"/>
          <w:bdr w:val="none" w:sz="0" w:space="0" w:color="auto" w:frame="1"/>
        </w:rPr>
        <w:t xml:space="preserve"> sull</w:t>
      </w:r>
      <w:r w:rsidR="00E64452" w:rsidRPr="0001127D">
        <w:rPr>
          <w:noProof/>
          <w:color w:val="000000"/>
          <w:szCs w:val="24"/>
          <w:bdr w:val="none" w:sz="0" w:space="0" w:color="auto" w:frame="1"/>
        </w:rPr>
        <w:t>'</w:t>
      </w:r>
      <w:r w:rsidRPr="0001127D">
        <w:rPr>
          <w:noProof/>
          <w:color w:val="000000"/>
          <w:szCs w:val="24"/>
          <w:bdr w:val="none" w:sz="0" w:space="0" w:color="auto" w:frame="1"/>
        </w:rPr>
        <w:t>esenzione dalla legalizzazione.</w:t>
      </w:r>
    </w:p>
    <w:p w14:paraId="2BFFBEA7" w14:textId="77777777" w:rsidR="00E57164" w:rsidRPr="0001127D" w:rsidRDefault="00E57164" w:rsidP="00A65DBA">
      <w:pPr>
        <w:shd w:val="clear" w:color="auto" w:fill="FFFFFF"/>
        <w:spacing w:before="0" w:after="0"/>
        <w:textAlignment w:val="baseline"/>
        <w:rPr>
          <w:rFonts w:eastAsia="Times New Roman"/>
          <w:noProof/>
          <w:color w:val="000000"/>
          <w:szCs w:val="24"/>
          <w:bdr w:val="none" w:sz="0" w:space="0" w:color="auto" w:frame="1"/>
        </w:rPr>
      </w:pPr>
    </w:p>
    <w:p w14:paraId="0D41D820" w14:textId="24751CCF" w:rsidR="00E57164" w:rsidRPr="0001127D" w:rsidRDefault="00E57164" w:rsidP="00A65DBA">
      <w:pPr>
        <w:shd w:val="clear" w:color="auto" w:fill="FFFFFF"/>
        <w:spacing w:before="0" w:after="0"/>
        <w:textAlignment w:val="baseline"/>
        <w:rPr>
          <w:rFonts w:eastAsia="Times New Roman"/>
          <w:noProof/>
          <w:color w:val="000000"/>
          <w:szCs w:val="24"/>
          <w:bdr w:val="none" w:sz="0" w:space="0" w:color="auto" w:frame="1"/>
        </w:rPr>
      </w:pPr>
      <w:r w:rsidRPr="0001127D">
        <w:rPr>
          <w:noProof/>
          <w:color w:val="000000"/>
          <w:szCs w:val="24"/>
        </w:rPr>
        <w:t>L</w:t>
      </w:r>
      <w:r w:rsidR="00E64452" w:rsidRPr="0001127D">
        <w:rPr>
          <w:noProof/>
          <w:color w:val="000000"/>
          <w:szCs w:val="24"/>
        </w:rPr>
        <w:t>'</w:t>
      </w:r>
      <w:r w:rsidRPr="0001127D">
        <w:rPr>
          <w:noProof/>
          <w:color w:val="000000"/>
          <w:szCs w:val="24"/>
          <w:u w:val="single"/>
          <w:bdr w:val="none" w:sz="0" w:space="0" w:color="auto" w:frame="1"/>
        </w:rPr>
        <w:t>articolo</w:t>
      </w:r>
      <w:r w:rsidR="00D72BD3" w:rsidRPr="0001127D">
        <w:rPr>
          <w:noProof/>
          <w:color w:val="000000"/>
          <w:szCs w:val="24"/>
          <w:u w:val="single"/>
          <w:bdr w:val="none" w:sz="0" w:space="0" w:color="auto" w:frame="1"/>
        </w:rPr>
        <w:t> </w:t>
      </w:r>
      <w:r w:rsidRPr="0001127D">
        <w:rPr>
          <w:noProof/>
          <w:color w:val="000000"/>
          <w:szCs w:val="24"/>
          <w:u w:val="single"/>
          <w:bdr w:val="none" w:sz="0" w:space="0" w:color="auto" w:frame="1"/>
        </w:rPr>
        <w:t>13</w:t>
      </w:r>
      <w:r w:rsidR="00D72BD3" w:rsidRPr="0001127D">
        <w:rPr>
          <w:noProof/>
          <w:color w:val="000000"/>
          <w:szCs w:val="24"/>
          <w:u w:val="single"/>
          <w:bdr w:val="none" w:sz="0" w:space="0" w:color="auto" w:frame="1"/>
        </w:rPr>
        <w:t> </w:t>
      </w:r>
      <w:r w:rsidRPr="0001127D">
        <w:rPr>
          <w:i/>
          <w:iCs/>
          <w:noProof/>
          <w:color w:val="000000"/>
          <w:szCs w:val="24"/>
          <w:u w:val="single"/>
          <w:bdr w:val="none" w:sz="0" w:space="0" w:color="auto" w:frame="1"/>
        </w:rPr>
        <w:t>ter</w:t>
      </w:r>
      <w:r w:rsidRPr="0001127D">
        <w:rPr>
          <w:noProof/>
          <w:color w:val="000000"/>
          <w:szCs w:val="24"/>
          <w:bdr w:val="none" w:sz="0" w:space="0" w:color="auto" w:frame="1"/>
        </w:rPr>
        <w:t xml:space="preserve"> è modificato per allinearlo alla revisione del regolamento eIDAS per quanto riguarda il </w:t>
      </w:r>
      <w:r w:rsidRPr="0001127D">
        <w:rPr>
          <w:noProof/>
          <w:color w:val="000000"/>
          <w:szCs w:val="24"/>
          <w:shd w:val="clear" w:color="auto" w:fill="FFFFFF"/>
        </w:rPr>
        <w:t>portafoglio europeo di identità digitale.</w:t>
      </w:r>
    </w:p>
    <w:p w14:paraId="320CF3BB"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35EF17F0" w14:textId="7F1D8A8E" w:rsidR="00F174F8" w:rsidRPr="0001127D" w:rsidRDefault="00F174F8" w:rsidP="00A65DBA">
      <w:pPr>
        <w:shd w:val="clear" w:color="auto" w:fill="FFFFFF"/>
        <w:spacing w:before="0" w:after="0"/>
        <w:textAlignment w:val="baseline"/>
        <w:rPr>
          <w:rFonts w:eastAsia="Calibri"/>
          <w:noProof/>
          <w:szCs w:val="24"/>
        </w:rPr>
      </w:pPr>
      <w:r w:rsidRPr="0001127D">
        <w:rPr>
          <w:noProof/>
          <w:szCs w:val="24"/>
        </w:rPr>
        <w:t>L</w:t>
      </w:r>
      <w:r w:rsidR="00E64452" w:rsidRPr="0001127D">
        <w:rPr>
          <w:noProof/>
          <w:szCs w:val="24"/>
        </w:rPr>
        <w:t>'</w:t>
      </w:r>
      <w:r w:rsidRPr="0001127D">
        <w:rPr>
          <w:noProof/>
          <w:color w:val="000000"/>
          <w:szCs w:val="24"/>
          <w:u w:val="single"/>
        </w:rPr>
        <w:t>articolo</w:t>
      </w:r>
      <w:r w:rsidR="00D72BD3" w:rsidRPr="0001127D">
        <w:rPr>
          <w:noProof/>
          <w:color w:val="000000"/>
          <w:szCs w:val="24"/>
          <w:u w:val="single"/>
        </w:rPr>
        <w:t> </w:t>
      </w:r>
      <w:r w:rsidRPr="0001127D">
        <w:rPr>
          <w:noProof/>
          <w:color w:val="000000"/>
          <w:szCs w:val="24"/>
          <w:u w:val="single"/>
        </w:rPr>
        <w:t>13</w:t>
      </w:r>
      <w:r w:rsidR="00D72BD3" w:rsidRPr="0001127D">
        <w:rPr>
          <w:noProof/>
          <w:color w:val="000000"/>
          <w:szCs w:val="24"/>
          <w:u w:val="single"/>
        </w:rPr>
        <w:t> </w:t>
      </w:r>
      <w:r w:rsidRPr="0001127D">
        <w:rPr>
          <w:i/>
          <w:iCs/>
          <w:noProof/>
          <w:color w:val="000000"/>
          <w:szCs w:val="24"/>
          <w:u w:val="single"/>
        </w:rPr>
        <w:t>quater</w:t>
      </w:r>
      <w:r w:rsidRPr="0001127D">
        <w:rPr>
          <w:noProof/>
          <w:color w:val="000000"/>
          <w:szCs w:val="24"/>
        </w:rPr>
        <w:t xml:space="preserve"> </w:t>
      </w:r>
      <w:r w:rsidRPr="0001127D">
        <w:rPr>
          <w:noProof/>
          <w:color w:val="000000"/>
          <w:szCs w:val="24"/>
          <w:shd w:val="clear" w:color="auto" w:fill="FFFFFF"/>
        </w:rPr>
        <w:t xml:space="preserve">è modificato per garantire che le </w:t>
      </w:r>
      <w:r w:rsidRPr="0001127D">
        <w:rPr>
          <w:noProof/>
          <w:szCs w:val="24"/>
        </w:rPr>
        <w:t>norme nazionali in materia di autenticità, accuratezza, affidabilità, attendibilità e forma giuridica appropriata dei documenti o delle informazioni non impediscano l</w:t>
      </w:r>
      <w:r w:rsidR="00E64452" w:rsidRPr="0001127D">
        <w:rPr>
          <w:noProof/>
          <w:szCs w:val="24"/>
        </w:rPr>
        <w:t>'</w:t>
      </w:r>
      <w:r w:rsidRPr="0001127D">
        <w:rPr>
          <w:noProof/>
          <w:szCs w:val="24"/>
        </w:rPr>
        <w:t>applicazione delle</w:t>
      </w:r>
      <w:r w:rsidRPr="0001127D">
        <w:rPr>
          <w:noProof/>
          <w:color w:val="333333"/>
          <w:szCs w:val="24"/>
        </w:rPr>
        <w:t xml:space="preserve"> </w:t>
      </w:r>
      <w:r w:rsidRPr="0001127D">
        <w:rPr>
          <w:noProof/>
          <w:color w:val="000000"/>
          <w:szCs w:val="24"/>
          <w:shd w:val="clear" w:color="auto" w:fill="FFFFFF"/>
        </w:rPr>
        <w:t xml:space="preserve">nuove disposizioni sul </w:t>
      </w:r>
      <w:r w:rsidRPr="0001127D">
        <w:rPr>
          <w:noProof/>
          <w:szCs w:val="24"/>
        </w:rPr>
        <w:t>certificato delle società UE, sulla procura digitale dell</w:t>
      </w:r>
      <w:r w:rsidR="00E64452" w:rsidRPr="0001127D">
        <w:rPr>
          <w:noProof/>
          <w:szCs w:val="24"/>
        </w:rPr>
        <w:t>'</w:t>
      </w:r>
      <w:r w:rsidRPr="0001127D">
        <w:rPr>
          <w:noProof/>
          <w:szCs w:val="24"/>
        </w:rPr>
        <w:t>UE, sui documenti esenti da legalizzazione/apostilla e sulla traduzione di tali documenti.</w:t>
      </w:r>
      <w:r w:rsidR="00E64452" w:rsidRPr="0001127D">
        <w:rPr>
          <w:noProof/>
          <w:szCs w:val="24"/>
        </w:rPr>
        <w:t xml:space="preserve"> </w:t>
      </w:r>
    </w:p>
    <w:p w14:paraId="30762536" w14:textId="77777777" w:rsidR="00F174F8" w:rsidRPr="0001127D" w:rsidRDefault="00F174F8" w:rsidP="00A65DBA">
      <w:pPr>
        <w:shd w:val="clear" w:color="auto" w:fill="FFFFFF"/>
        <w:spacing w:before="0" w:after="0"/>
        <w:textAlignment w:val="baseline"/>
        <w:rPr>
          <w:rFonts w:eastAsia="Calibri"/>
          <w:noProof/>
          <w:szCs w:val="24"/>
        </w:rPr>
      </w:pPr>
    </w:p>
    <w:p w14:paraId="3F7E45FC" w14:textId="4CB625BB" w:rsidR="00F174F8" w:rsidRPr="0001127D" w:rsidRDefault="00017FBE" w:rsidP="00A65DBA">
      <w:pPr>
        <w:shd w:val="clear" w:color="auto" w:fill="FFFFFF"/>
        <w:spacing w:before="0" w:after="0"/>
        <w:textAlignment w:val="baseline"/>
        <w:rPr>
          <w:rFonts w:eastAsia="Calibri"/>
          <w:noProof/>
          <w:color w:val="000000"/>
          <w:szCs w:val="24"/>
          <w:shd w:val="clear" w:color="auto" w:fill="FFFFFF"/>
        </w:rPr>
      </w:pPr>
      <w:r w:rsidRPr="0001127D">
        <w:rPr>
          <w:noProof/>
          <w:szCs w:val="24"/>
        </w:rPr>
        <w:t>L</w:t>
      </w:r>
      <w:r w:rsidR="00E64452" w:rsidRPr="0001127D">
        <w:rPr>
          <w:noProof/>
          <w:szCs w:val="24"/>
        </w:rPr>
        <w:t>'</w:t>
      </w:r>
      <w:r w:rsidRPr="0001127D">
        <w:rPr>
          <w:noProof/>
          <w:szCs w:val="24"/>
          <w:u w:val="single"/>
        </w:rPr>
        <w:t>articolo</w:t>
      </w:r>
      <w:r w:rsidR="00D72BD3" w:rsidRPr="0001127D">
        <w:rPr>
          <w:noProof/>
          <w:szCs w:val="24"/>
          <w:u w:val="single"/>
        </w:rPr>
        <w:t> </w:t>
      </w:r>
      <w:r w:rsidRPr="0001127D">
        <w:rPr>
          <w:noProof/>
          <w:szCs w:val="24"/>
          <w:u w:val="single"/>
        </w:rPr>
        <w:t>13</w:t>
      </w:r>
      <w:r w:rsidR="00D72BD3" w:rsidRPr="0001127D">
        <w:rPr>
          <w:noProof/>
          <w:szCs w:val="24"/>
          <w:u w:val="single"/>
        </w:rPr>
        <w:t> </w:t>
      </w:r>
      <w:r w:rsidRPr="0001127D">
        <w:rPr>
          <w:i/>
          <w:iCs/>
          <w:noProof/>
          <w:szCs w:val="24"/>
          <w:u w:val="single"/>
        </w:rPr>
        <w:t>septies</w:t>
      </w:r>
      <w:r w:rsidRPr="0001127D">
        <w:rPr>
          <w:noProof/>
          <w:szCs w:val="24"/>
          <w:u w:val="single"/>
        </w:rPr>
        <w:t xml:space="preserve"> modificato</w:t>
      </w:r>
      <w:r w:rsidRPr="0001127D">
        <w:rPr>
          <w:noProof/>
          <w:color w:val="000000"/>
          <w:szCs w:val="24"/>
          <w:shd w:val="clear" w:color="auto" w:fill="FFFFFF"/>
        </w:rPr>
        <w:t xml:space="preserve"> sugli obblighi in materia di informazione comprende informazioni sulle norme relative alle società di persone e informazioni sulle norme e sulle procedure relative ai termini di presentazione e altre norme sull</w:t>
      </w:r>
      <w:r w:rsidR="00E64452" w:rsidRPr="0001127D">
        <w:rPr>
          <w:noProof/>
          <w:color w:val="000000"/>
          <w:szCs w:val="24"/>
          <w:shd w:val="clear" w:color="auto" w:fill="FFFFFF"/>
        </w:rPr>
        <w:t>'</w:t>
      </w:r>
      <w:r w:rsidRPr="0001127D">
        <w:rPr>
          <w:noProof/>
          <w:color w:val="000000"/>
          <w:szCs w:val="24"/>
          <w:shd w:val="clear" w:color="auto" w:fill="FFFFFF"/>
        </w:rPr>
        <w:t>aggiornamento delle informazioni nel registro.</w:t>
      </w:r>
      <w:r w:rsidR="00E64452" w:rsidRPr="0001127D">
        <w:rPr>
          <w:noProof/>
          <w:color w:val="000000"/>
          <w:szCs w:val="24"/>
          <w:shd w:val="clear" w:color="auto" w:fill="FFFFFF"/>
        </w:rPr>
        <w:t xml:space="preserve"> </w:t>
      </w:r>
    </w:p>
    <w:p w14:paraId="6A4FA551" w14:textId="77777777" w:rsidR="00F174F8" w:rsidRPr="0001127D" w:rsidRDefault="00F174F8" w:rsidP="00A65DBA">
      <w:pPr>
        <w:shd w:val="clear" w:color="auto" w:fill="FFFFFF"/>
        <w:spacing w:before="0" w:after="0"/>
        <w:textAlignment w:val="baseline"/>
        <w:rPr>
          <w:rFonts w:eastAsia="Calibri"/>
          <w:noProof/>
          <w:color w:val="000000"/>
          <w:szCs w:val="24"/>
          <w:shd w:val="clear" w:color="auto" w:fill="FFFFFF"/>
        </w:rPr>
      </w:pPr>
    </w:p>
    <w:p w14:paraId="0C860D4A" w14:textId="0C52CFF0" w:rsidR="00F84668" w:rsidRPr="0001127D" w:rsidRDefault="00F84668"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u w:val="single"/>
        </w:rPr>
        <w:t>articolo</w:t>
      </w:r>
      <w:r w:rsidR="00D72BD3" w:rsidRPr="0001127D">
        <w:rPr>
          <w:noProof/>
          <w:color w:val="000000"/>
          <w:szCs w:val="24"/>
          <w:u w:val="single"/>
        </w:rPr>
        <w:t> </w:t>
      </w:r>
      <w:r w:rsidRPr="0001127D">
        <w:rPr>
          <w:noProof/>
          <w:color w:val="000000"/>
          <w:szCs w:val="24"/>
          <w:u w:val="single"/>
        </w:rPr>
        <w:t>13</w:t>
      </w:r>
      <w:r w:rsidR="00D72BD3" w:rsidRPr="0001127D">
        <w:rPr>
          <w:noProof/>
          <w:color w:val="000000"/>
          <w:szCs w:val="24"/>
          <w:u w:val="single"/>
        </w:rPr>
        <w:t> </w:t>
      </w:r>
      <w:r w:rsidRPr="0001127D">
        <w:rPr>
          <w:i/>
          <w:iCs/>
          <w:noProof/>
          <w:color w:val="000000"/>
          <w:szCs w:val="24"/>
          <w:u w:val="single"/>
        </w:rPr>
        <w:t>octies</w:t>
      </w:r>
      <w:r w:rsidRPr="0001127D">
        <w:rPr>
          <w:noProof/>
          <w:color w:val="000000"/>
          <w:szCs w:val="24"/>
        </w:rPr>
        <w:t xml:space="preserve"> è modificato per includere il principio </w:t>
      </w:r>
      <w:r w:rsidR="00E64452" w:rsidRPr="0001127D">
        <w:rPr>
          <w:noProof/>
          <w:color w:val="000000"/>
          <w:szCs w:val="24"/>
        </w:rPr>
        <w:t>"</w:t>
      </w:r>
      <w:r w:rsidRPr="0001127D">
        <w:rPr>
          <w:noProof/>
          <w:color w:val="000000"/>
          <w:szCs w:val="24"/>
        </w:rPr>
        <w:t>una tantum</w:t>
      </w:r>
      <w:r w:rsidR="00E64452" w:rsidRPr="0001127D">
        <w:rPr>
          <w:noProof/>
          <w:color w:val="000000"/>
          <w:szCs w:val="24"/>
        </w:rPr>
        <w:t>"</w:t>
      </w:r>
      <w:r w:rsidRPr="0001127D">
        <w:rPr>
          <w:noProof/>
          <w:color w:val="000000"/>
          <w:szCs w:val="24"/>
        </w:rPr>
        <w:t xml:space="preserve"> in base al quale una società non è tenuta a ripresentare le informazioni contenute nei propri registri al momento della costituzione di una società in un altro Stato membro. I registri si scambiano invece tali informazioni, ossia il registro in cui deve essere registrata la società da costituire recupera tali informazioni dal registro della società già costituita. </w:t>
      </w:r>
    </w:p>
    <w:p w14:paraId="0DB882D6" w14:textId="77777777" w:rsidR="008523EF" w:rsidRPr="0001127D" w:rsidRDefault="008523EF" w:rsidP="00A65DBA">
      <w:pPr>
        <w:shd w:val="clear" w:color="auto" w:fill="FFFFFF"/>
        <w:spacing w:before="0" w:after="0"/>
        <w:textAlignment w:val="baseline"/>
        <w:rPr>
          <w:rFonts w:eastAsia="Times New Roman"/>
          <w:noProof/>
          <w:color w:val="000000"/>
          <w:szCs w:val="24"/>
        </w:rPr>
      </w:pPr>
    </w:p>
    <w:p w14:paraId="7A8012FF" w14:textId="75D2C1B6" w:rsidR="00F174F8" w:rsidRPr="0001127D" w:rsidRDefault="00F174F8"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u w:val="single"/>
        </w:rPr>
        <w:t xml:space="preserve">articolo 13 </w:t>
      </w:r>
      <w:r w:rsidRPr="0001127D">
        <w:rPr>
          <w:i/>
          <w:iCs/>
          <w:noProof/>
          <w:color w:val="000000"/>
          <w:szCs w:val="24"/>
          <w:u w:val="single"/>
        </w:rPr>
        <w:t>nonies</w:t>
      </w:r>
      <w:r w:rsidRPr="0001127D">
        <w:rPr>
          <w:noProof/>
          <w:color w:val="000000"/>
          <w:szCs w:val="24"/>
        </w:rPr>
        <w:t xml:space="preserve"> è modificato per essere in linea con l</w:t>
      </w:r>
      <w:r w:rsidR="00E64452" w:rsidRPr="0001127D">
        <w:rPr>
          <w:noProof/>
          <w:color w:val="000000"/>
          <w:szCs w:val="24"/>
        </w:rPr>
        <w:t>'</w:t>
      </w:r>
      <w:r w:rsidRPr="0001127D">
        <w:rPr>
          <w:noProof/>
          <w:color w:val="000000"/>
          <w:szCs w:val="24"/>
        </w:rPr>
        <w:t>articolo 10 modificato.</w:t>
      </w:r>
    </w:p>
    <w:p w14:paraId="1E65B6E0"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3F257B21" w14:textId="0D824DA0" w:rsidR="00F174F8" w:rsidRPr="0001127D" w:rsidRDefault="00F174F8"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u w:val="single"/>
        </w:rPr>
        <w:t xml:space="preserve">articolo 13 </w:t>
      </w:r>
      <w:r w:rsidRPr="0001127D">
        <w:rPr>
          <w:i/>
          <w:iCs/>
          <w:noProof/>
          <w:color w:val="000000"/>
          <w:szCs w:val="24"/>
          <w:u w:val="single"/>
        </w:rPr>
        <w:t>undecies</w:t>
      </w:r>
      <w:r w:rsidRPr="0001127D">
        <w:rPr>
          <w:noProof/>
          <w:color w:val="000000"/>
          <w:szCs w:val="24"/>
        </w:rPr>
        <w:t xml:space="preserve"> è allineato agli articoli 10 e 15 modificati. </w:t>
      </w:r>
    </w:p>
    <w:p w14:paraId="1BF16CF8"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17EE209E" w14:textId="1B06F067" w:rsidR="00F84668" w:rsidRPr="0001127D" w:rsidRDefault="00F84668"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u w:val="single"/>
        </w:rPr>
        <w:t>articolo</w:t>
      </w:r>
      <w:r w:rsidR="00D72BD3" w:rsidRPr="0001127D">
        <w:rPr>
          <w:noProof/>
          <w:color w:val="000000"/>
          <w:szCs w:val="24"/>
          <w:u w:val="single"/>
        </w:rPr>
        <w:t> </w:t>
      </w:r>
      <w:r w:rsidRPr="0001127D">
        <w:rPr>
          <w:noProof/>
          <w:color w:val="000000"/>
          <w:szCs w:val="24"/>
          <w:u w:val="single"/>
        </w:rPr>
        <w:t>14</w:t>
      </w:r>
      <w:r w:rsidRPr="0001127D">
        <w:rPr>
          <w:noProof/>
          <w:color w:val="000000"/>
          <w:szCs w:val="24"/>
        </w:rPr>
        <w:t xml:space="preserve"> è modificato per includere nell</w:t>
      </w:r>
      <w:r w:rsidR="00E64452" w:rsidRPr="0001127D">
        <w:rPr>
          <w:noProof/>
          <w:color w:val="000000"/>
          <w:szCs w:val="24"/>
        </w:rPr>
        <w:t>'</w:t>
      </w:r>
      <w:r w:rsidRPr="0001127D">
        <w:rPr>
          <w:noProof/>
          <w:color w:val="000000"/>
          <w:szCs w:val="24"/>
        </w:rPr>
        <w:t xml:space="preserve">elenco dei documenti e </w:t>
      </w:r>
      <w:r w:rsidRPr="0001127D">
        <w:rPr>
          <w:noProof/>
          <w:szCs w:val="24"/>
        </w:rPr>
        <w:t>delle informazioni</w:t>
      </w:r>
      <w:r w:rsidRPr="0001127D">
        <w:rPr>
          <w:noProof/>
          <w:color w:val="000000"/>
          <w:szCs w:val="24"/>
        </w:rPr>
        <w:t xml:space="preserve"> da pubblicare nel registro delle imprese la sede dell</w:t>
      </w:r>
      <w:r w:rsidR="00E64452" w:rsidRPr="0001127D">
        <w:rPr>
          <w:noProof/>
          <w:color w:val="000000"/>
          <w:szCs w:val="24"/>
        </w:rPr>
        <w:t>'</w:t>
      </w:r>
      <w:r w:rsidRPr="0001127D">
        <w:rPr>
          <w:noProof/>
          <w:color w:val="000000"/>
          <w:szCs w:val="24"/>
        </w:rPr>
        <w:t xml:space="preserve">amministrazione centrale e il centro di attività principale nel caso in cui essi non siano ubicati nello stesso Stato membro della sede sociale. </w:t>
      </w:r>
    </w:p>
    <w:p w14:paraId="2565FB8E"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54704C3A" w14:textId="57F17BDC" w:rsidR="00F174F8" w:rsidRPr="0001127D" w:rsidRDefault="001A2107" w:rsidP="00A65DBA">
      <w:pPr>
        <w:shd w:val="clear" w:color="auto" w:fill="FFFFFF"/>
        <w:spacing w:before="0" w:after="0"/>
        <w:textAlignment w:val="baseline"/>
        <w:rPr>
          <w:rFonts w:eastAsia="Times New Roman"/>
          <w:noProof/>
          <w:color w:val="000000"/>
          <w:szCs w:val="24"/>
        </w:rPr>
      </w:pPr>
      <w:r w:rsidRPr="0001127D">
        <w:rPr>
          <w:noProof/>
          <w:color w:val="000000"/>
          <w:szCs w:val="24"/>
        </w:rPr>
        <w:t xml:space="preserve">Il </w:t>
      </w:r>
      <w:r w:rsidRPr="0001127D">
        <w:rPr>
          <w:noProof/>
          <w:color w:val="000000"/>
          <w:szCs w:val="24"/>
          <w:u w:val="single"/>
        </w:rPr>
        <w:t>nuovo articolo</w:t>
      </w:r>
      <w:r w:rsidR="00D72BD3" w:rsidRPr="0001127D">
        <w:rPr>
          <w:noProof/>
          <w:color w:val="000000"/>
          <w:szCs w:val="24"/>
          <w:u w:val="single"/>
        </w:rPr>
        <w:t> </w:t>
      </w:r>
      <w:r w:rsidRPr="0001127D">
        <w:rPr>
          <w:noProof/>
          <w:color w:val="000000"/>
          <w:szCs w:val="24"/>
          <w:u w:val="single"/>
        </w:rPr>
        <w:t>14</w:t>
      </w:r>
      <w:r w:rsidR="00D72BD3" w:rsidRPr="0001127D">
        <w:rPr>
          <w:noProof/>
          <w:color w:val="000000"/>
          <w:szCs w:val="24"/>
          <w:u w:val="single"/>
        </w:rPr>
        <w:t> </w:t>
      </w:r>
      <w:r w:rsidRPr="0001127D">
        <w:rPr>
          <w:i/>
          <w:iCs/>
          <w:noProof/>
          <w:color w:val="000000"/>
          <w:szCs w:val="24"/>
          <w:u w:val="single"/>
        </w:rPr>
        <w:t>bis</w:t>
      </w:r>
      <w:r w:rsidRPr="0001127D">
        <w:rPr>
          <w:noProof/>
          <w:color w:val="000000"/>
          <w:szCs w:val="24"/>
        </w:rPr>
        <w:t xml:space="preserve"> introduce un elenco di documenti e informazioni che le società di persone devono obbligatoriamente pubblicare nel registro delle imprese.</w:t>
      </w:r>
    </w:p>
    <w:p w14:paraId="73293E82"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10500195" w14:textId="2E23D338" w:rsidR="007D21A0" w:rsidRPr="0001127D" w:rsidRDefault="001A2107" w:rsidP="00A65DBA">
      <w:pPr>
        <w:shd w:val="clear" w:color="auto" w:fill="FFFFFF"/>
        <w:spacing w:before="0" w:after="0"/>
        <w:textAlignment w:val="baseline"/>
        <w:rPr>
          <w:rFonts w:eastAsia="Times New Roman"/>
          <w:noProof/>
          <w:color w:val="000000"/>
          <w:szCs w:val="24"/>
        </w:rPr>
      </w:pPr>
      <w:r w:rsidRPr="0001127D">
        <w:rPr>
          <w:noProof/>
          <w:color w:val="000000"/>
          <w:szCs w:val="24"/>
        </w:rPr>
        <w:t xml:space="preserve">Il </w:t>
      </w:r>
      <w:r w:rsidRPr="0001127D">
        <w:rPr>
          <w:noProof/>
          <w:color w:val="000000"/>
          <w:szCs w:val="24"/>
          <w:u w:val="single"/>
        </w:rPr>
        <w:t>nuovo articolo</w:t>
      </w:r>
      <w:r w:rsidR="00D72BD3" w:rsidRPr="0001127D">
        <w:rPr>
          <w:noProof/>
          <w:color w:val="000000"/>
          <w:szCs w:val="24"/>
          <w:u w:val="single"/>
        </w:rPr>
        <w:t> </w:t>
      </w:r>
      <w:r w:rsidRPr="0001127D">
        <w:rPr>
          <w:noProof/>
          <w:color w:val="000000"/>
          <w:szCs w:val="24"/>
          <w:u w:val="single"/>
        </w:rPr>
        <w:t>14</w:t>
      </w:r>
      <w:r w:rsidR="00D72BD3" w:rsidRPr="0001127D">
        <w:rPr>
          <w:noProof/>
          <w:color w:val="000000"/>
          <w:szCs w:val="24"/>
          <w:u w:val="single"/>
        </w:rPr>
        <w:t> </w:t>
      </w:r>
      <w:r w:rsidRPr="0001127D">
        <w:rPr>
          <w:i/>
          <w:iCs/>
          <w:noProof/>
          <w:color w:val="000000"/>
          <w:szCs w:val="24"/>
          <w:u w:val="single"/>
        </w:rPr>
        <w:t>ter</w:t>
      </w:r>
      <w:r w:rsidRPr="0001127D">
        <w:rPr>
          <w:noProof/>
          <w:color w:val="000000"/>
          <w:szCs w:val="24"/>
        </w:rPr>
        <w:t xml:space="preserve"> introduce un obbligo di pubblicità per le informazioni relative ai gruppi. Tale requisito dovrebbe essere soddisfatto sia dalla società capogruppo che dalla controllata. Se la società capogruppo è stabilita al di fuori dell</w:t>
      </w:r>
      <w:r w:rsidR="00E64452" w:rsidRPr="0001127D">
        <w:rPr>
          <w:noProof/>
          <w:color w:val="000000"/>
          <w:szCs w:val="24"/>
        </w:rPr>
        <w:t>'</w:t>
      </w:r>
      <w:r w:rsidRPr="0001127D">
        <w:rPr>
          <w:noProof/>
          <w:color w:val="000000"/>
          <w:szCs w:val="24"/>
        </w:rPr>
        <w:t>UE, il pertinente obbligo di pubblicità deve essere adempiuto dalla società madre intermedia nell</w:t>
      </w:r>
      <w:r w:rsidR="00E64452" w:rsidRPr="0001127D">
        <w:rPr>
          <w:noProof/>
          <w:color w:val="000000"/>
          <w:szCs w:val="24"/>
        </w:rPr>
        <w:t>'</w:t>
      </w:r>
      <w:r w:rsidRPr="0001127D">
        <w:rPr>
          <w:noProof/>
          <w:color w:val="000000"/>
          <w:szCs w:val="24"/>
        </w:rPr>
        <w:t xml:space="preserve">UE. </w:t>
      </w:r>
      <w:r w:rsidRPr="0001127D">
        <w:rPr>
          <w:noProof/>
          <w:szCs w:val="24"/>
          <w:shd w:val="clear" w:color="auto" w:fill="FFFFFF"/>
        </w:rPr>
        <w:t xml:space="preserve">Qualora nessuna società madre intermedia sia soggetta al diritto di uno Stato membro, le informazioni richieste dovrebbero essere pubblicate dalla controllata soggetta al diritto di uno Stato membro. </w:t>
      </w:r>
      <w:r w:rsidRPr="0001127D">
        <w:rPr>
          <w:noProof/>
          <w:color w:val="000000"/>
          <w:szCs w:val="24"/>
        </w:rPr>
        <w:t>Le informazioni relative alle controllate del gruppo situate nell</w:t>
      </w:r>
      <w:r w:rsidR="00E64452" w:rsidRPr="0001127D">
        <w:rPr>
          <w:noProof/>
          <w:color w:val="000000"/>
          <w:szCs w:val="24"/>
        </w:rPr>
        <w:t>'</w:t>
      </w:r>
      <w:r w:rsidRPr="0001127D">
        <w:rPr>
          <w:noProof/>
          <w:color w:val="000000"/>
          <w:szCs w:val="24"/>
        </w:rPr>
        <w:t>UE e al di fuori dell</w:t>
      </w:r>
      <w:r w:rsidR="00E64452" w:rsidRPr="0001127D">
        <w:rPr>
          <w:noProof/>
          <w:color w:val="000000"/>
          <w:szCs w:val="24"/>
        </w:rPr>
        <w:t>'</w:t>
      </w:r>
      <w:r w:rsidRPr="0001127D">
        <w:rPr>
          <w:noProof/>
          <w:color w:val="000000"/>
          <w:szCs w:val="24"/>
        </w:rPr>
        <w:t>UE devono essere pubblicate dalla società capogruppo nell</w:t>
      </w:r>
      <w:r w:rsidR="00E64452" w:rsidRPr="0001127D">
        <w:rPr>
          <w:noProof/>
          <w:color w:val="000000"/>
          <w:szCs w:val="24"/>
        </w:rPr>
        <w:t>'</w:t>
      </w:r>
      <w:r w:rsidRPr="0001127D">
        <w:rPr>
          <w:noProof/>
          <w:color w:val="000000"/>
          <w:szCs w:val="24"/>
        </w:rPr>
        <w:t>UE, dalla società madre intermedia nell</w:t>
      </w:r>
      <w:r w:rsidR="00E64452" w:rsidRPr="0001127D">
        <w:rPr>
          <w:noProof/>
          <w:color w:val="000000"/>
          <w:szCs w:val="24"/>
        </w:rPr>
        <w:t>'</w:t>
      </w:r>
      <w:r w:rsidRPr="0001127D">
        <w:rPr>
          <w:noProof/>
          <w:color w:val="000000"/>
          <w:szCs w:val="24"/>
        </w:rPr>
        <w:t xml:space="preserve">UE o dalla controllata. Tali informazioni dovrebbero essere condivise anche con i registri delle controllate. La visualizzazione del gruppo è disponibile attraverso il sistema di interconnessione dei registri. </w:t>
      </w:r>
    </w:p>
    <w:p w14:paraId="68596A72"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495595E5" w14:textId="1AAA290E"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r w:rsidRPr="0001127D">
        <w:rPr>
          <w:noProof/>
          <w:color w:val="000000"/>
          <w:szCs w:val="24"/>
        </w:rPr>
        <w:t>L</w:t>
      </w:r>
      <w:r w:rsidR="00E64452" w:rsidRPr="0001127D">
        <w:rPr>
          <w:noProof/>
          <w:color w:val="000000"/>
          <w:szCs w:val="24"/>
        </w:rPr>
        <w:t>'</w:t>
      </w:r>
      <w:r w:rsidRPr="0001127D">
        <w:rPr>
          <w:noProof/>
          <w:color w:val="000000"/>
          <w:szCs w:val="24"/>
          <w:u w:val="single"/>
        </w:rPr>
        <w:t>articolo</w:t>
      </w:r>
      <w:r w:rsidR="00D72BD3" w:rsidRPr="0001127D">
        <w:rPr>
          <w:noProof/>
          <w:color w:val="000000"/>
          <w:szCs w:val="24"/>
          <w:u w:val="single"/>
        </w:rPr>
        <w:t> </w:t>
      </w:r>
      <w:r w:rsidRPr="0001127D">
        <w:rPr>
          <w:noProof/>
          <w:color w:val="000000"/>
          <w:szCs w:val="24"/>
          <w:u w:val="single"/>
        </w:rPr>
        <w:t>15</w:t>
      </w:r>
      <w:r w:rsidRPr="0001127D">
        <w:rPr>
          <w:noProof/>
          <w:color w:val="000000"/>
          <w:szCs w:val="24"/>
        </w:rPr>
        <w:t xml:space="preserve"> </w:t>
      </w:r>
      <w:r w:rsidRPr="0001127D">
        <w:rPr>
          <w:noProof/>
          <w:color w:val="000000"/>
          <w:szCs w:val="24"/>
          <w:shd w:val="clear" w:color="auto" w:fill="FFFFFF"/>
        </w:rPr>
        <w:t xml:space="preserve">è sostituito. La nuova disposizione introduce un termine per la registrazione delle modifiche di documenti e informazioni contenuti nel registro e di quelle che devono essere rese pubblicamente disponibili dal registro. Impone inoltre agli Stati membri di predisporre procedure per mantenere aggiornate le informazioni contenute nel registro delle imprese, compreso lo stato delle società. </w:t>
      </w:r>
    </w:p>
    <w:p w14:paraId="73643D0B" w14:textId="77777777"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p>
    <w:p w14:paraId="6786BA71" w14:textId="4251413B" w:rsidR="00F84668" w:rsidRPr="0001127D" w:rsidRDefault="00F84668" w:rsidP="00A65DBA">
      <w:pPr>
        <w:shd w:val="clear" w:color="auto" w:fill="FFFFFF"/>
        <w:spacing w:before="0" w:after="0"/>
        <w:textAlignment w:val="baseline"/>
        <w:rPr>
          <w:rFonts w:eastAsia="Times New Roman"/>
          <w:noProof/>
          <w:color w:val="000000"/>
          <w:szCs w:val="24"/>
          <w:shd w:val="clear" w:color="auto" w:fill="FFFFFF"/>
        </w:rPr>
      </w:pPr>
      <w:r w:rsidRPr="0001127D">
        <w:rPr>
          <w:noProof/>
          <w:color w:val="000000"/>
          <w:szCs w:val="24"/>
          <w:shd w:val="clear" w:color="auto" w:fill="FFFFFF"/>
        </w:rPr>
        <w:t>L</w:t>
      </w:r>
      <w:r w:rsidR="00E64452" w:rsidRPr="0001127D">
        <w:rPr>
          <w:noProof/>
          <w:color w:val="000000"/>
          <w:szCs w:val="24"/>
          <w:shd w:val="clear" w:color="auto" w:fill="FFFFFF"/>
        </w:rPr>
        <w:t>'</w:t>
      </w:r>
      <w:r w:rsidRPr="0001127D">
        <w:rPr>
          <w:noProof/>
          <w:color w:val="000000"/>
          <w:szCs w:val="24"/>
          <w:u w:val="single"/>
          <w:shd w:val="clear" w:color="auto" w:fill="FFFFFF"/>
        </w:rPr>
        <w:t>articolo</w:t>
      </w:r>
      <w:r w:rsidR="00D72BD3" w:rsidRPr="0001127D">
        <w:rPr>
          <w:noProof/>
          <w:color w:val="000000"/>
          <w:szCs w:val="24"/>
          <w:u w:val="single"/>
          <w:shd w:val="clear" w:color="auto" w:fill="FFFFFF"/>
        </w:rPr>
        <w:t> </w:t>
      </w:r>
      <w:r w:rsidRPr="0001127D">
        <w:rPr>
          <w:noProof/>
          <w:color w:val="000000"/>
          <w:szCs w:val="24"/>
          <w:u w:val="single"/>
          <w:shd w:val="clear" w:color="auto" w:fill="FFFFFF"/>
        </w:rPr>
        <w:t>16</w:t>
      </w:r>
      <w:r w:rsidRPr="0001127D">
        <w:rPr>
          <w:noProof/>
          <w:color w:val="000000"/>
          <w:szCs w:val="24"/>
          <w:shd w:val="clear" w:color="auto" w:fill="FFFFFF"/>
        </w:rPr>
        <w:t xml:space="preserve"> è modificato per includere nel suo ambito di applicazione le società di persone e le informazioni pubblicate relative alle società di persone, nonché le informazioni sul gruppo di cui all</w:t>
      </w:r>
      <w:r w:rsidR="00E64452" w:rsidRPr="0001127D">
        <w:rPr>
          <w:noProof/>
          <w:color w:val="000000"/>
          <w:szCs w:val="24"/>
          <w:shd w:val="clear" w:color="auto" w:fill="FFFFFF"/>
        </w:rPr>
        <w:t>'</w:t>
      </w:r>
      <w:r w:rsidRPr="0001127D">
        <w:rPr>
          <w:noProof/>
          <w:color w:val="000000"/>
          <w:szCs w:val="24"/>
          <w:shd w:val="clear" w:color="auto" w:fill="FFFFFF"/>
        </w:rPr>
        <w:t xml:space="preserve">articolo 14 </w:t>
      </w:r>
      <w:r w:rsidRPr="0001127D">
        <w:rPr>
          <w:i/>
          <w:iCs/>
          <w:noProof/>
          <w:color w:val="000000"/>
          <w:szCs w:val="24"/>
          <w:shd w:val="clear" w:color="auto" w:fill="FFFFFF"/>
        </w:rPr>
        <w:t>ter</w:t>
      </w:r>
      <w:r w:rsidRPr="0001127D">
        <w:rPr>
          <w:noProof/>
          <w:color w:val="000000"/>
          <w:szCs w:val="24"/>
          <w:shd w:val="clear" w:color="auto" w:fill="FFFFFF"/>
        </w:rPr>
        <w:t xml:space="preserve"> da iscrivere nel registro delle imprese.</w:t>
      </w:r>
      <w:r w:rsidR="00E64452" w:rsidRPr="0001127D">
        <w:rPr>
          <w:noProof/>
          <w:color w:val="000000"/>
          <w:szCs w:val="24"/>
          <w:shd w:val="clear" w:color="auto" w:fill="FFFFFF"/>
        </w:rPr>
        <w:t xml:space="preserve"> </w:t>
      </w:r>
    </w:p>
    <w:p w14:paraId="36AB6D2C" w14:textId="77777777"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p>
    <w:p w14:paraId="69880EF1" w14:textId="5E55EA5C"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r w:rsidRPr="0001127D">
        <w:rPr>
          <w:noProof/>
          <w:color w:val="000000"/>
          <w:szCs w:val="24"/>
          <w:shd w:val="clear" w:color="auto" w:fill="FFFFFF"/>
        </w:rPr>
        <w:t>L</w:t>
      </w:r>
      <w:r w:rsidR="00E64452" w:rsidRPr="0001127D">
        <w:rPr>
          <w:noProof/>
          <w:color w:val="000000"/>
          <w:szCs w:val="24"/>
          <w:shd w:val="clear" w:color="auto" w:fill="FFFFFF"/>
        </w:rPr>
        <w:t>'</w:t>
      </w:r>
      <w:r w:rsidRPr="0001127D">
        <w:rPr>
          <w:noProof/>
          <w:color w:val="000000"/>
          <w:szCs w:val="24"/>
          <w:u w:val="single"/>
          <w:shd w:val="clear" w:color="auto" w:fill="FFFFFF"/>
        </w:rPr>
        <w:t>articolo</w:t>
      </w:r>
      <w:r w:rsidR="00D72BD3" w:rsidRPr="0001127D">
        <w:rPr>
          <w:noProof/>
          <w:color w:val="000000"/>
          <w:szCs w:val="24"/>
          <w:u w:val="single"/>
          <w:shd w:val="clear" w:color="auto" w:fill="FFFFFF"/>
        </w:rPr>
        <w:t> </w:t>
      </w:r>
      <w:r w:rsidRPr="0001127D">
        <w:rPr>
          <w:noProof/>
          <w:color w:val="000000"/>
          <w:szCs w:val="24"/>
          <w:u w:val="single"/>
          <w:shd w:val="clear" w:color="auto" w:fill="FFFFFF"/>
        </w:rPr>
        <w:t>16</w:t>
      </w:r>
      <w:r w:rsidR="00D72BD3" w:rsidRPr="0001127D">
        <w:rPr>
          <w:noProof/>
          <w:color w:val="000000"/>
          <w:szCs w:val="24"/>
          <w:u w:val="single"/>
          <w:shd w:val="clear" w:color="auto" w:fill="FFFFFF"/>
        </w:rPr>
        <w:t> </w:t>
      </w:r>
      <w:r w:rsidRPr="0001127D">
        <w:rPr>
          <w:i/>
          <w:iCs/>
          <w:noProof/>
          <w:color w:val="000000"/>
          <w:szCs w:val="24"/>
          <w:u w:val="single"/>
          <w:shd w:val="clear" w:color="auto" w:fill="FFFFFF"/>
        </w:rPr>
        <w:t>bis</w:t>
      </w:r>
      <w:r w:rsidRPr="0001127D">
        <w:rPr>
          <w:noProof/>
          <w:color w:val="000000"/>
          <w:szCs w:val="24"/>
          <w:shd w:val="clear" w:color="auto" w:fill="FFFFFF"/>
        </w:rPr>
        <w:t xml:space="preserve"> è modificato per includere nell</w:t>
      </w:r>
      <w:r w:rsidR="00E64452" w:rsidRPr="0001127D">
        <w:rPr>
          <w:noProof/>
          <w:color w:val="000000"/>
          <w:szCs w:val="24"/>
          <w:shd w:val="clear" w:color="auto" w:fill="FFFFFF"/>
        </w:rPr>
        <w:t>'</w:t>
      </w:r>
      <w:r w:rsidRPr="0001127D">
        <w:rPr>
          <w:noProof/>
          <w:color w:val="000000"/>
          <w:szCs w:val="24"/>
          <w:shd w:val="clear" w:color="auto" w:fill="FFFFFF"/>
        </w:rPr>
        <w:t>ambito di applicazione le informazioni sulle società di persone e sui gruppi e per garantire la compatibilità con la proposta xxx relativa al portafoglio europeo di identità digitale.</w:t>
      </w:r>
    </w:p>
    <w:p w14:paraId="23B22B37" w14:textId="77777777"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p>
    <w:p w14:paraId="05309388" w14:textId="77777777" w:rsidR="00F174F8" w:rsidRPr="0001127D" w:rsidRDefault="001A2107" w:rsidP="00A65DBA">
      <w:pPr>
        <w:shd w:val="clear" w:color="auto" w:fill="FFFFFF"/>
        <w:spacing w:before="0" w:after="0"/>
        <w:textAlignment w:val="baseline"/>
        <w:rPr>
          <w:rFonts w:eastAsia="Times New Roman"/>
          <w:noProof/>
          <w:color w:val="000000"/>
          <w:szCs w:val="24"/>
          <w:shd w:val="clear" w:color="auto" w:fill="FFFFFF"/>
        </w:rPr>
      </w:pPr>
      <w:r w:rsidRPr="0001127D">
        <w:rPr>
          <w:noProof/>
          <w:color w:val="000000"/>
          <w:szCs w:val="24"/>
          <w:shd w:val="clear" w:color="auto" w:fill="FFFFFF"/>
        </w:rPr>
        <w:t xml:space="preserve">Il </w:t>
      </w:r>
      <w:r w:rsidRPr="0001127D">
        <w:rPr>
          <w:noProof/>
          <w:color w:val="000000"/>
          <w:szCs w:val="24"/>
          <w:u w:val="single"/>
          <w:shd w:val="clear" w:color="auto" w:fill="FFFFFF"/>
        </w:rPr>
        <w:t xml:space="preserve">nuovo articolo 16 </w:t>
      </w:r>
      <w:r w:rsidRPr="0001127D">
        <w:rPr>
          <w:i/>
          <w:iCs/>
          <w:noProof/>
          <w:color w:val="000000"/>
          <w:szCs w:val="24"/>
          <w:u w:val="single"/>
          <w:shd w:val="clear" w:color="auto" w:fill="FFFFFF"/>
        </w:rPr>
        <w:t>ter</w:t>
      </w:r>
      <w:r w:rsidRPr="0001127D">
        <w:rPr>
          <w:noProof/>
          <w:color w:val="000000"/>
          <w:szCs w:val="24"/>
          <w:shd w:val="clear" w:color="auto" w:fill="FFFFFF"/>
        </w:rPr>
        <w:t xml:space="preserve"> introduce il certificato delle società UE armonizzato. </w:t>
      </w:r>
    </w:p>
    <w:p w14:paraId="339884E0" w14:textId="77777777"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p>
    <w:p w14:paraId="7D2E4F40" w14:textId="5DE95876" w:rsidR="00F174F8" w:rsidRPr="0001127D" w:rsidRDefault="001A2107" w:rsidP="00A65DBA">
      <w:pPr>
        <w:shd w:val="clear" w:color="auto" w:fill="FFFFFF"/>
        <w:spacing w:before="0" w:after="0"/>
        <w:textAlignment w:val="baseline"/>
        <w:rPr>
          <w:rFonts w:eastAsia="Times New Roman"/>
          <w:noProof/>
          <w:color w:val="000000"/>
          <w:szCs w:val="24"/>
          <w:shd w:val="clear" w:color="auto" w:fill="FFFFFF"/>
        </w:rPr>
      </w:pPr>
      <w:r w:rsidRPr="0001127D">
        <w:rPr>
          <w:noProof/>
          <w:color w:val="000000"/>
          <w:szCs w:val="24"/>
          <w:shd w:val="clear" w:color="auto" w:fill="FFFFFF"/>
        </w:rPr>
        <w:t xml:space="preserve">Il </w:t>
      </w:r>
      <w:r w:rsidRPr="0001127D">
        <w:rPr>
          <w:noProof/>
          <w:color w:val="000000"/>
          <w:szCs w:val="24"/>
          <w:u w:val="single"/>
          <w:shd w:val="clear" w:color="auto" w:fill="FFFFFF"/>
        </w:rPr>
        <w:t>nuovo articolo</w:t>
      </w:r>
      <w:r w:rsidR="00D72BD3" w:rsidRPr="0001127D">
        <w:rPr>
          <w:noProof/>
          <w:color w:val="000000"/>
          <w:szCs w:val="24"/>
          <w:u w:val="single"/>
          <w:shd w:val="clear" w:color="auto" w:fill="FFFFFF"/>
        </w:rPr>
        <w:t> </w:t>
      </w:r>
      <w:r w:rsidRPr="0001127D">
        <w:rPr>
          <w:noProof/>
          <w:color w:val="000000"/>
          <w:szCs w:val="24"/>
          <w:u w:val="single"/>
          <w:shd w:val="clear" w:color="auto" w:fill="FFFFFF"/>
        </w:rPr>
        <w:t>16</w:t>
      </w:r>
      <w:r w:rsidR="00D72BD3" w:rsidRPr="0001127D">
        <w:rPr>
          <w:i/>
          <w:iCs/>
          <w:noProof/>
          <w:color w:val="000000"/>
          <w:szCs w:val="24"/>
          <w:u w:val="single"/>
          <w:shd w:val="clear" w:color="auto" w:fill="FFFFFF"/>
        </w:rPr>
        <w:t> </w:t>
      </w:r>
      <w:r w:rsidRPr="0001127D">
        <w:rPr>
          <w:i/>
          <w:iCs/>
          <w:noProof/>
          <w:color w:val="000000"/>
          <w:szCs w:val="24"/>
          <w:u w:val="single"/>
          <w:shd w:val="clear" w:color="auto" w:fill="FFFFFF"/>
        </w:rPr>
        <w:t>quater</w:t>
      </w:r>
      <w:r w:rsidRPr="0001127D">
        <w:rPr>
          <w:noProof/>
          <w:color w:val="000000"/>
          <w:szCs w:val="24"/>
          <w:shd w:val="clear" w:color="auto" w:fill="FFFFFF"/>
        </w:rPr>
        <w:t xml:space="preserve"> fornisce un modello standard di procura digitale dell</w:t>
      </w:r>
      <w:r w:rsidR="00E64452" w:rsidRPr="0001127D">
        <w:rPr>
          <w:noProof/>
          <w:color w:val="000000"/>
          <w:szCs w:val="24"/>
          <w:shd w:val="clear" w:color="auto" w:fill="FFFFFF"/>
        </w:rPr>
        <w:t>'</w:t>
      </w:r>
      <w:r w:rsidRPr="0001127D">
        <w:rPr>
          <w:noProof/>
          <w:color w:val="000000"/>
          <w:szCs w:val="24"/>
          <w:shd w:val="clear" w:color="auto" w:fill="FFFFFF"/>
        </w:rPr>
        <w:t>UE che può essere utilizzato nelle procedure transfrontaliere nel contesto della direttiva 2017/1132. Sebbene la procura debba essere redatta e revocata conformemente al diritto nazionale, la disposizione introduce alcune verifiche obbligatorie relative alla sua redazione. La procura dovrebbe essere iscritta nel registro delle imprese della società e i terzi aventi un interesse legittimo dovrebbero avervi accesso.</w:t>
      </w:r>
    </w:p>
    <w:p w14:paraId="74A34E32" w14:textId="77777777"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p>
    <w:p w14:paraId="37FBCF6C" w14:textId="107A671E" w:rsidR="00F174F8" w:rsidRPr="0001127D" w:rsidRDefault="001A2107" w:rsidP="00A65DBA">
      <w:pPr>
        <w:shd w:val="clear" w:color="auto" w:fill="FFFFFF"/>
        <w:spacing w:before="0" w:after="0"/>
        <w:textAlignment w:val="baseline"/>
        <w:rPr>
          <w:rFonts w:eastAsia="Times New Roman"/>
          <w:noProof/>
          <w:color w:val="000000"/>
          <w:szCs w:val="24"/>
        </w:rPr>
      </w:pPr>
      <w:r w:rsidRPr="0001127D">
        <w:rPr>
          <w:noProof/>
          <w:color w:val="000000"/>
          <w:szCs w:val="24"/>
        </w:rPr>
        <w:t xml:space="preserve">Il </w:t>
      </w:r>
      <w:r w:rsidRPr="0001127D">
        <w:rPr>
          <w:noProof/>
          <w:color w:val="000000"/>
          <w:szCs w:val="24"/>
          <w:u w:val="single"/>
        </w:rPr>
        <w:t>nuovo articolo</w:t>
      </w:r>
      <w:r w:rsidR="00A65DBA" w:rsidRPr="0001127D">
        <w:rPr>
          <w:noProof/>
          <w:color w:val="000000"/>
          <w:szCs w:val="24"/>
          <w:u w:val="single"/>
        </w:rPr>
        <w:t> </w:t>
      </w:r>
      <w:r w:rsidRPr="0001127D">
        <w:rPr>
          <w:noProof/>
          <w:color w:val="000000"/>
          <w:szCs w:val="24"/>
          <w:u w:val="single"/>
        </w:rPr>
        <w:t>16</w:t>
      </w:r>
      <w:r w:rsidR="00A65DBA" w:rsidRPr="0001127D">
        <w:rPr>
          <w:noProof/>
          <w:color w:val="000000"/>
          <w:szCs w:val="24"/>
          <w:u w:val="single"/>
        </w:rPr>
        <w:t> </w:t>
      </w:r>
      <w:r w:rsidRPr="0001127D">
        <w:rPr>
          <w:i/>
          <w:iCs/>
          <w:noProof/>
          <w:color w:val="000000"/>
          <w:szCs w:val="24"/>
          <w:u w:val="single"/>
        </w:rPr>
        <w:t>quinquies</w:t>
      </w:r>
      <w:r w:rsidRPr="0001127D">
        <w:rPr>
          <w:noProof/>
          <w:color w:val="000000"/>
          <w:szCs w:val="24"/>
        </w:rPr>
        <w:t xml:space="preserve"> impone agli Stati membri di garantire che le copie e gli estratti dei documenti o delle informazioni forniti e le copie autentiche conformi dai registri delle imprese, nonché gli atti notarili e i documenti amministrativi e le relative copie autentiche, nonché le traduzioni certificate, siano esentati da qualsiasi forma di legalizzazione o formalità analoga purché soddisfino determinati requisiti minimi relativi all</w:t>
      </w:r>
      <w:r w:rsidR="00E64452" w:rsidRPr="0001127D">
        <w:rPr>
          <w:noProof/>
          <w:color w:val="000000"/>
          <w:szCs w:val="24"/>
        </w:rPr>
        <w:t>'</w:t>
      </w:r>
      <w:r w:rsidRPr="0001127D">
        <w:rPr>
          <w:noProof/>
          <w:color w:val="000000"/>
          <w:szCs w:val="24"/>
        </w:rPr>
        <w:t>origine del documento.</w:t>
      </w:r>
    </w:p>
    <w:p w14:paraId="5251346E" w14:textId="77777777"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p>
    <w:p w14:paraId="105543C5" w14:textId="50E356DF" w:rsidR="00E41D06" w:rsidRPr="0001127D" w:rsidRDefault="00E41D06" w:rsidP="00A65DBA">
      <w:pPr>
        <w:shd w:val="clear" w:color="auto" w:fill="FFFFFF"/>
        <w:spacing w:before="0" w:after="0"/>
        <w:textAlignment w:val="baseline"/>
        <w:rPr>
          <w:rFonts w:eastAsia="Times New Roman"/>
          <w:noProof/>
          <w:color w:val="000000"/>
          <w:szCs w:val="24"/>
        </w:rPr>
      </w:pPr>
      <w:r w:rsidRPr="0001127D">
        <w:rPr>
          <w:noProof/>
          <w:color w:val="000000"/>
          <w:szCs w:val="24"/>
        </w:rPr>
        <w:t xml:space="preserve">Il </w:t>
      </w:r>
      <w:r w:rsidRPr="0001127D">
        <w:rPr>
          <w:noProof/>
          <w:color w:val="000000"/>
          <w:szCs w:val="24"/>
          <w:u w:val="single"/>
        </w:rPr>
        <w:t>nuovo articolo</w:t>
      </w:r>
      <w:r w:rsidR="00A65DBA" w:rsidRPr="0001127D">
        <w:rPr>
          <w:noProof/>
          <w:color w:val="000000"/>
          <w:szCs w:val="24"/>
          <w:u w:val="single"/>
        </w:rPr>
        <w:t> </w:t>
      </w:r>
      <w:r w:rsidRPr="0001127D">
        <w:rPr>
          <w:noProof/>
          <w:color w:val="000000"/>
          <w:szCs w:val="24"/>
          <w:u w:val="single"/>
        </w:rPr>
        <w:t>16</w:t>
      </w:r>
      <w:r w:rsidR="00A65DBA" w:rsidRPr="0001127D">
        <w:rPr>
          <w:noProof/>
          <w:color w:val="000000"/>
          <w:szCs w:val="24"/>
          <w:u w:val="single"/>
        </w:rPr>
        <w:t> </w:t>
      </w:r>
      <w:r w:rsidRPr="0001127D">
        <w:rPr>
          <w:i/>
          <w:iCs/>
          <w:noProof/>
          <w:color w:val="000000"/>
          <w:szCs w:val="24"/>
          <w:u w:val="single"/>
        </w:rPr>
        <w:t>sexies</w:t>
      </w:r>
      <w:r w:rsidRPr="0001127D">
        <w:rPr>
          <w:noProof/>
          <w:color w:val="000000"/>
          <w:szCs w:val="24"/>
        </w:rPr>
        <w:t xml:space="preserve"> prevede garanzie nel caso in cui le autorità alle quali sono presentate le copie e gli estratti dei documenti o delle informazioni forniti e le copie certificate conformi dai registri delle imprese nutrano dubbi circa l</w:t>
      </w:r>
      <w:r w:rsidR="00E64452" w:rsidRPr="0001127D">
        <w:rPr>
          <w:noProof/>
          <w:color w:val="000000"/>
          <w:szCs w:val="24"/>
        </w:rPr>
        <w:t>'</w:t>
      </w:r>
      <w:r w:rsidRPr="0001127D">
        <w:rPr>
          <w:noProof/>
          <w:color w:val="000000"/>
          <w:szCs w:val="24"/>
        </w:rPr>
        <w:t>origine e l</w:t>
      </w:r>
      <w:r w:rsidR="00E64452" w:rsidRPr="0001127D">
        <w:rPr>
          <w:noProof/>
          <w:color w:val="000000"/>
          <w:szCs w:val="24"/>
        </w:rPr>
        <w:t>'</w:t>
      </w:r>
      <w:r w:rsidRPr="0001127D">
        <w:rPr>
          <w:noProof/>
          <w:color w:val="000000"/>
          <w:szCs w:val="24"/>
        </w:rPr>
        <w:t>autenticità dei documenti. In caso di dubbi, è introdotta una procedura per verificare l</w:t>
      </w:r>
      <w:r w:rsidR="00E64452" w:rsidRPr="0001127D">
        <w:rPr>
          <w:noProof/>
          <w:color w:val="000000"/>
          <w:szCs w:val="24"/>
        </w:rPr>
        <w:t>'</w:t>
      </w:r>
      <w:r w:rsidRPr="0001127D">
        <w:rPr>
          <w:noProof/>
          <w:color w:val="000000"/>
          <w:szCs w:val="24"/>
        </w:rPr>
        <w:t xml:space="preserve">origine dei documenti attraverso i registri. </w:t>
      </w:r>
    </w:p>
    <w:p w14:paraId="32158DF2" w14:textId="77777777"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p>
    <w:p w14:paraId="7FF34B49" w14:textId="2CAF7E06" w:rsidR="00F174F8" w:rsidRPr="0001127D" w:rsidRDefault="001A2107" w:rsidP="00A65DBA">
      <w:pPr>
        <w:shd w:val="clear" w:color="auto" w:fill="FFFFFF"/>
        <w:spacing w:before="0" w:after="0"/>
        <w:textAlignment w:val="baseline"/>
        <w:rPr>
          <w:rFonts w:eastAsia="Times New Roman"/>
          <w:noProof/>
          <w:color w:val="00B050"/>
          <w:szCs w:val="24"/>
        </w:rPr>
      </w:pPr>
      <w:r w:rsidRPr="0001127D">
        <w:rPr>
          <w:noProof/>
          <w:szCs w:val="24"/>
        </w:rPr>
        <w:t xml:space="preserve">Il </w:t>
      </w:r>
      <w:r w:rsidRPr="0001127D">
        <w:rPr>
          <w:noProof/>
          <w:color w:val="000000"/>
          <w:szCs w:val="24"/>
          <w:u w:val="single"/>
        </w:rPr>
        <w:t>nuovo articolo</w:t>
      </w:r>
      <w:r w:rsidR="00A65DBA" w:rsidRPr="0001127D">
        <w:rPr>
          <w:noProof/>
          <w:color w:val="000000"/>
          <w:szCs w:val="24"/>
          <w:u w:val="single"/>
        </w:rPr>
        <w:t> </w:t>
      </w:r>
      <w:r w:rsidRPr="0001127D">
        <w:rPr>
          <w:noProof/>
          <w:color w:val="000000"/>
          <w:szCs w:val="24"/>
          <w:u w:val="single"/>
        </w:rPr>
        <w:t>16</w:t>
      </w:r>
      <w:r w:rsidR="00A65DBA" w:rsidRPr="0001127D">
        <w:rPr>
          <w:noProof/>
          <w:color w:val="000000"/>
          <w:szCs w:val="24"/>
          <w:u w:val="single"/>
        </w:rPr>
        <w:t> </w:t>
      </w:r>
      <w:r w:rsidRPr="0001127D">
        <w:rPr>
          <w:i/>
          <w:iCs/>
          <w:noProof/>
          <w:color w:val="000000"/>
          <w:szCs w:val="24"/>
          <w:u w:val="single"/>
        </w:rPr>
        <w:t>septies</w:t>
      </w:r>
      <w:r w:rsidRPr="0001127D">
        <w:rPr>
          <w:noProof/>
          <w:color w:val="000000"/>
          <w:szCs w:val="24"/>
        </w:rPr>
        <w:t xml:space="preserve"> impone agli Stati membri di esentare dalla traduzione le copie</w:t>
      </w:r>
      <w:r w:rsidRPr="0001127D">
        <w:rPr>
          <w:noProof/>
          <w:szCs w:val="24"/>
        </w:rPr>
        <w:t xml:space="preserve"> dei documenti e delle informazioni fornite dai registri delle imprese e utilizzate in situazioni transfrontaliere laddove le informazioni sono accessibili attraverso il sistema di interconnessione dei registri tramite le note esplicative di cui all</w:t>
      </w:r>
      <w:r w:rsidR="00E64452" w:rsidRPr="0001127D">
        <w:rPr>
          <w:noProof/>
          <w:szCs w:val="24"/>
        </w:rPr>
        <w:t>'</w:t>
      </w:r>
      <w:r w:rsidRPr="0001127D">
        <w:rPr>
          <w:noProof/>
          <w:szCs w:val="24"/>
        </w:rPr>
        <w:t>articolo</w:t>
      </w:r>
      <w:r w:rsidR="00A65DBA" w:rsidRPr="0001127D">
        <w:rPr>
          <w:noProof/>
          <w:szCs w:val="24"/>
        </w:rPr>
        <w:t> </w:t>
      </w:r>
      <w:r w:rsidRPr="0001127D">
        <w:rPr>
          <w:noProof/>
          <w:szCs w:val="24"/>
        </w:rPr>
        <w:t>18 o laddove le informazioni specifiche sono incluse nel certificato delle società UE di cui all</w:t>
      </w:r>
      <w:r w:rsidR="00E64452" w:rsidRPr="0001127D">
        <w:rPr>
          <w:noProof/>
          <w:szCs w:val="24"/>
        </w:rPr>
        <w:t>'</w:t>
      </w:r>
      <w:r w:rsidRPr="0001127D">
        <w:rPr>
          <w:noProof/>
          <w:szCs w:val="24"/>
        </w:rPr>
        <w:t>articolo</w:t>
      </w:r>
      <w:r w:rsidR="00A65DBA" w:rsidRPr="0001127D">
        <w:rPr>
          <w:noProof/>
          <w:szCs w:val="24"/>
        </w:rPr>
        <w:t> </w:t>
      </w:r>
      <w:r w:rsidRPr="0001127D">
        <w:rPr>
          <w:noProof/>
          <w:szCs w:val="24"/>
        </w:rPr>
        <w:t>16</w:t>
      </w:r>
      <w:r w:rsidR="00A65DBA" w:rsidRPr="0001127D">
        <w:rPr>
          <w:noProof/>
          <w:szCs w:val="24"/>
        </w:rPr>
        <w:t> </w:t>
      </w:r>
      <w:r w:rsidRPr="0001127D">
        <w:rPr>
          <w:i/>
          <w:iCs/>
          <w:noProof/>
          <w:szCs w:val="24"/>
        </w:rPr>
        <w:t>ter</w:t>
      </w:r>
      <w:r w:rsidRPr="0001127D">
        <w:rPr>
          <w:noProof/>
          <w:szCs w:val="24"/>
        </w:rPr>
        <w:t>. La disposizione limita inoltre allo stretto necessario le traduzioni certificate dell</w:t>
      </w:r>
      <w:r w:rsidR="00E64452" w:rsidRPr="0001127D">
        <w:rPr>
          <w:noProof/>
          <w:szCs w:val="24"/>
        </w:rPr>
        <w:t>'</w:t>
      </w:r>
      <w:r w:rsidRPr="0001127D">
        <w:rPr>
          <w:noProof/>
          <w:szCs w:val="24"/>
        </w:rPr>
        <w:t xml:space="preserve">atto </w:t>
      </w:r>
      <w:r w:rsidRPr="0001127D">
        <w:rPr>
          <w:noProof/>
          <w:color w:val="000000"/>
          <w:szCs w:val="24"/>
        </w:rPr>
        <w:t>costitutivo e dello statuto o di altri documenti forniti dai registri delle imprese.</w:t>
      </w:r>
      <w:r w:rsidR="00E64452" w:rsidRPr="0001127D">
        <w:rPr>
          <w:noProof/>
          <w:color w:val="000000"/>
          <w:szCs w:val="24"/>
        </w:rPr>
        <w:t xml:space="preserve"> </w:t>
      </w:r>
    </w:p>
    <w:p w14:paraId="339C2F93" w14:textId="77777777" w:rsidR="00FC68DC" w:rsidRPr="0001127D" w:rsidRDefault="00FC68DC" w:rsidP="00A65DBA">
      <w:pPr>
        <w:shd w:val="clear" w:color="auto" w:fill="FFFFFF"/>
        <w:spacing w:before="0" w:after="0"/>
        <w:textAlignment w:val="baseline"/>
        <w:rPr>
          <w:rFonts w:eastAsia="Times New Roman"/>
          <w:noProof/>
          <w:color w:val="000000"/>
          <w:szCs w:val="24"/>
          <w:shd w:val="clear" w:color="auto" w:fill="FFFFFF"/>
        </w:rPr>
      </w:pPr>
    </w:p>
    <w:p w14:paraId="09D9DE37" w14:textId="303E4C3F" w:rsidR="00F174F8" w:rsidRPr="0001127D" w:rsidRDefault="00F174F8"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u w:val="single"/>
        </w:rPr>
        <w:t>articolo</w:t>
      </w:r>
      <w:r w:rsidR="00A65DBA" w:rsidRPr="0001127D">
        <w:rPr>
          <w:noProof/>
          <w:color w:val="000000"/>
          <w:szCs w:val="24"/>
          <w:u w:val="single"/>
        </w:rPr>
        <w:t> </w:t>
      </w:r>
      <w:r w:rsidRPr="0001127D">
        <w:rPr>
          <w:noProof/>
          <w:color w:val="000000"/>
          <w:szCs w:val="24"/>
          <w:u w:val="single"/>
        </w:rPr>
        <w:t>17</w:t>
      </w:r>
      <w:r w:rsidRPr="0001127D">
        <w:rPr>
          <w:noProof/>
          <w:color w:val="000000"/>
          <w:szCs w:val="24"/>
        </w:rPr>
        <w:t xml:space="preserve"> è esteso alle informazioni sulle società di persone soggette all</w:t>
      </w:r>
      <w:r w:rsidR="00E64452" w:rsidRPr="0001127D">
        <w:rPr>
          <w:noProof/>
          <w:color w:val="000000"/>
          <w:szCs w:val="24"/>
        </w:rPr>
        <w:t>'</w:t>
      </w:r>
      <w:r w:rsidRPr="0001127D">
        <w:rPr>
          <w:noProof/>
          <w:color w:val="000000"/>
          <w:szCs w:val="24"/>
        </w:rPr>
        <w:t xml:space="preserve">obbligo di pubblicità. </w:t>
      </w:r>
    </w:p>
    <w:p w14:paraId="062EA639" w14:textId="77777777" w:rsidR="003F4597" w:rsidRPr="0001127D" w:rsidRDefault="003F4597" w:rsidP="00A65DBA">
      <w:pPr>
        <w:shd w:val="clear" w:color="auto" w:fill="FFFFFF"/>
        <w:spacing w:before="0" w:after="0"/>
        <w:textAlignment w:val="baseline"/>
        <w:rPr>
          <w:rFonts w:eastAsia="Times New Roman"/>
          <w:noProof/>
          <w:color w:val="000000"/>
          <w:szCs w:val="24"/>
          <w:shd w:val="clear" w:color="auto" w:fill="FFFFFF"/>
        </w:rPr>
      </w:pPr>
    </w:p>
    <w:p w14:paraId="46AB7BB3" w14:textId="38AE861E" w:rsidR="000B414B" w:rsidRPr="0001127D" w:rsidRDefault="003F4597" w:rsidP="00A65DBA">
      <w:pPr>
        <w:shd w:val="clear" w:color="auto" w:fill="FFFFFF"/>
        <w:spacing w:before="0" w:after="0"/>
        <w:textAlignment w:val="baseline"/>
        <w:rPr>
          <w:noProof/>
          <w:szCs w:val="24"/>
        </w:rPr>
      </w:pPr>
      <w:r w:rsidRPr="0001127D">
        <w:rPr>
          <w:noProof/>
          <w:color w:val="000000"/>
          <w:szCs w:val="24"/>
        </w:rPr>
        <w:t>L</w:t>
      </w:r>
      <w:r w:rsidR="00E64452" w:rsidRPr="0001127D">
        <w:rPr>
          <w:noProof/>
          <w:color w:val="000000"/>
          <w:szCs w:val="24"/>
        </w:rPr>
        <w:t>'</w:t>
      </w:r>
      <w:r w:rsidRPr="0001127D">
        <w:rPr>
          <w:noProof/>
          <w:color w:val="000000"/>
          <w:szCs w:val="24"/>
          <w:u w:val="single"/>
        </w:rPr>
        <w:t>articolo</w:t>
      </w:r>
      <w:r w:rsidR="00A65DBA" w:rsidRPr="0001127D">
        <w:rPr>
          <w:noProof/>
          <w:color w:val="000000"/>
          <w:szCs w:val="24"/>
          <w:u w:val="single"/>
        </w:rPr>
        <w:t> </w:t>
      </w:r>
      <w:r w:rsidRPr="0001127D">
        <w:rPr>
          <w:noProof/>
          <w:color w:val="000000"/>
          <w:szCs w:val="24"/>
          <w:u w:val="single"/>
        </w:rPr>
        <w:t>18</w:t>
      </w:r>
      <w:r w:rsidRPr="0001127D">
        <w:rPr>
          <w:noProof/>
          <w:color w:val="000000"/>
          <w:szCs w:val="24"/>
        </w:rPr>
        <w:t xml:space="preserve"> è esteso alle informazioni sulle società di persone e sui gruppi. Inoltre l</w:t>
      </w:r>
      <w:r w:rsidR="00E64452" w:rsidRPr="0001127D">
        <w:rPr>
          <w:noProof/>
          <w:color w:val="000000"/>
          <w:szCs w:val="24"/>
        </w:rPr>
        <w:t>'</w:t>
      </w:r>
      <w:r w:rsidR="00A65DBA" w:rsidRPr="0001127D">
        <w:rPr>
          <w:noProof/>
          <w:color w:val="000000"/>
          <w:szCs w:val="24"/>
        </w:rPr>
        <w:t>articolo </w:t>
      </w:r>
      <w:r w:rsidRPr="0001127D">
        <w:rPr>
          <w:noProof/>
          <w:color w:val="000000"/>
          <w:szCs w:val="24"/>
        </w:rPr>
        <w:t xml:space="preserve">18 modificato specifica quali dati personali dovrebbero essere resi disponibili attraverso il sistema di </w:t>
      </w:r>
      <w:r w:rsidRPr="0001127D">
        <w:rPr>
          <w:noProof/>
          <w:szCs w:val="24"/>
        </w:rPr>
        <w:t>interconnessione dei registri. Esso chiarisce inoltre che gli Stati membri non dovrebbero conservare i dati personali trasmessi attraverso il sistema di interconnessione dei registri per fini specifici, salvo se diversamente previsto dal diritto dell</w:t>
      </w:r>
      <w:r w:rsidR="00E64452" w:rsidRPr="0001127D">
        <w:rPr>
          <w:noProof/>
          <w:szCs w:val="24"/>
        </w:rPr>
        <w:t>'</w:t>
      </w:r>
      <w:r w:rsidRPr="0001127D">
        <w:rPr>
          <w:noProof/>
          <w:szCs w:val="24"/>
        </w:rPr>
        <w:t>Unione o nazionale.</w:t>
      </w:r>
    </w:p>
    <w:p w14:paraId="3BB55533" w14:textId="77777777"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p>
    <w:p w14:paraId="369250D5" w14:textId="21944769" w:rsidR="00F174F8" w:rsidRPr="0001127D" w:rsidRDefault="001A2107" w:rsidP="00A65DBA">
      <w:pPr>
        <w:shd w:val="clear" w:color="auto" w:fill="FFFFFF"/>
        <w:spacing w:before="0" w:after="0"/>
        <w:textAlignment w:val="baseline"/>
        <w:rPr>
          <w:rFonts w:eastAsia="Times New Roman"/>
          <w:noProof/>
          <w:color w:val="000000"/>
          <w:szCs w:val="24"/>
        </w:rPr>
      </w:pPr>
      <w:r w:rsidRPr="0001127D">
        <w:rPr>
          <w:noProof/>
          <w:color w:val="000000"/>
          <w:szCs w:val="24"/>
        </w:rPr>
        <w:t xml:space="preserve">Il </w:t>
      </w:r>
      <w:r w:rsidRPr="0001127D">
        <w:rPr>
          <w:noProof/>
          <w:color w:val="000000"/>
          <w:szCs w:val="24"/>
          <w:u w:val="single"/>
        </w:rPr>
        <w:t>nuovo articolo</w:t>
      </w:r>
      <w:r w:rsidR="00A65DBA" w:rsidRPr="0001127D">
        <w:rPr>
          <w:noProof/>
          <w:color w:val="000000"/>
          <w:szCs w:val="24"/>
          <w:u w:val="single"/>
        </w:rPr>
        <w:t> </w:t>
      </w:r>
      <w:r w:rsidRPr="0001127D">
        <w:rPr>
          <w:noProof/>
          <w:color w:val="000000"/>
          <w:szCs w:val="24"/>
          <w:u w:val="single"/>
        </w:rPr>
        <w:t>19</w:t>
      </w:r>
      <w:r w:rsidR="00A65DBA" w:rsidRPr="0001127D">
        <w:rPr>
          <w:noProof/>
          <w:color w:val="000000"/>
          <w:szCs w:val="24"/>
          <w:u w:val="single"/>
        </w:rPr>
        <w:t> </w:t>
      </w:r>
      <w:r w:rsidRPr="0001127D">
        <w:rPr>
          <w:i/>
          <w:iCs/>
          <w:noProof/>
          <w:color w:val="000000"/>
          <w:szCs w:val="24"/>
          <w:u w:val="single"/>
        </w:rPr>
        <w:t>bis</w:t>
      </w:r>
      <w:r w:rsidRPr="0001127D">
        <w:rPr>
          <w:noProof/>
          <w:color w:val="000000"/>
          <w:szCs w:val="24"/>
        </w:rPr>
        <w:t xml:space="preserve"> introduce norme sugli oneri da riscuotere per le informazioni sulle società di persone disponibili attraverso il sistema di interconnessione dei registri, analogamente alle norme vigenti in materia di informazioni sulle società di capitali (ossia l</w:t>
      </w:r>
      <w:r w:rsidR="00E64452" w:rsidRPr="0001127D">
        <w:rPr>
          <w:noProof/>
          <w:color w:val="000000"/>
          <w:szCs w:val="24"/>
        </w:rPr>
        <w:t>'</w:t>
      </w:r>
      <w:r w:rsidRPr="0001127D">
        <w:rPr>
          <w:noProof/>
          <w:color w:val="000000"/>
          <w:szCs w:val="24"/>
        </w:rPr>
        <w:t>attuale articolo 19).</w:t>
      </w:r>
      <w:r w:rsidR="00E64452" w:rsidRPr="0001127D">
        <w:rPr>
          <w:noProof/>
          <w:color w:val="000000"/>
          <w:szCs w:val="24"/>
        </w:rPr>
        <w:t xml:space="preserve"> </w:t>
      </w:r>
    </w:p>
    <w:p w14:paraId="2633C3E9" w14:textId="77777777"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p>
    <w:p w14:paraId="2AEF94E4" w14:textId="7DAB7EC1" w:rsidR="00F174F8" w:rsidRPr="0001127D" w:rsidRDefault="000B414B"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u w:val="single"/>
        </w:rPr>
        <w:t>articolo</w:t>
      </w:r>
      <w:r w:rsidR="00A65DBA" w:rsidRPr="0001127D">
        <w:rPr>
          <w:noProof/>
          <w:color w:val="000000"/>
          <w:szCs w:val="24"/>
          <w:u w:val="single"/>
        </w:rPr>
        <w:t> </w:t>
      </w:r>
      <w:r w:rsidRPr="0001127D">
        <w:rPr>
          <w:noProof/>
          <w:color w:val="000000"/>
          <w:szCs w:val="24"/>
          <w:u w:val="single"/>
        </w:rPr>
        <w:t>21 modificato</w:t>
      </w:r>
      <w:r w:rsidRPr="0001127D">
        <w:rPr>
          <w:noProof/>
          <w:color w:val="000000"/>
          <w:szCs w:val="24"/>
        </w:rPr>
        <w:t xml:space="preserve"> si applica anche alle informazioni soggette all</w:t>
      </w:r>
      <w:r w:rsidR="00E64452" w:rsidRPr="0001127D">
        <w:rPr>
          <w:noProof/>
          <w:color w:val="000000"/>
          <w:szCs w:val="24"/>
        </w:rPr>
        <w:t>'</w:t>
      </w:r>
      <w:r w:rsidRPr="0001127D">
        <w:rPr>
          <w:noProof/>
          <w:color w:val="000000"/>
          <w:szCs w:val="24"/>
        </w:rPr>
        <w:t xml:space="preserve">obbligo di pubblicità sulle società di persone e sui gruppi. </w:t>
      </w:r>
    </w:p>
    <w:p w14:paraId="442FC119" w14:textId="77777777" w:rsidR="00F174F8" w:rsidRPr="0001127D" w:rsidRDefault="00F174F8" w:rsidP="00A65DBA">
      <w:pPr>
        <w:shd w:val="clear" w:color="auto" w:fill="FFFFFF"/>
        <w:spacing w:before="0" w:after="0"/>
        <w:textAlignment w:val="baseline"/>
        <w:rPr>
          <w:rFonts w:eastAsia="Times New Roman"/>
          <w:noProof/>
          <w:color w:val="000000"/>
          <w:szCs w:val="24"/>
          <w:shd w:val="clear" w:color="auto" w:fill="FFFFFF"/>
        </w:rPr>
      </w:pPr>
    </w:p>
    <w:p w14:paraId="770FC6DA" w14:textId="715A1342" w:rsidR="000B414B" w:rsidRPr="0001127D" w:rsidRDefault="00F174F8" w:rsidP="00A65DBA">
      <w:pPr>
        <w:spacing w:before="0" w:after="0"/>
        <w:rPr>
          <w:noProof/>
          <w:szCs w:val="24"/>
        </w:rPr>
      </w:pPr>
      <w:r w:rsidRPr="0001127D">
        <w:rPr>
          <w:noProof/>
          <w:szCs w:val="24"/>
        </w:rPr>
        <w:t>L</w:t>
      </w:r>
      <w:r w:rsidR="00E64452" w:rsidRPr="0001127D">
        <w:rPr>
          <w:noProof/>
          <w:szCs w:val="24"/>
        </w:rPr>
        <w:t>'</w:t>
      </w:r>
      <w:r w:rsidRPr="0001127D">
        <w:rPr>
          <w:noProof/>
          <w:szCs w:val="24"/>
          <w:u w:val="single"/>
        </w:rPr>
        <w:t>articolo</w:t>
      </w:r>
      <w:r w:rsidR="00A65DBA" w:rsidRPr="0001127D">
        <w:rPr>
          <w:noProof/>
          <w:szCs w:val="24"/>
          <w:u w:val="single"/>
        </w:rPr>
        <w:t> </w:t>
      </w:r>
      <w:r w:rsidRPr="0001127D">
        <w:rPr>
          <w:noProof/>
          <w:szCs w:val="24"/>
          <w:u w:val="single"/>
        </w:rPr>
        <w:t>22</w:t>
      </w:r>
      <w:r w:rsidRPr="0001127D">
        <w:rPr>
          <w:noProof/>
          <w:szCs w:val="24"/>
        </w:rPr>
        <w:t xml:space="preserve"> è modificato per prevedere i collegamenti di accesso tra il sistema di interconnessione dei registri, l</w:t>
      </w:r>
      <w:r w:rsidR="00E64452" w:rsidRPr="0001127D">
        <w:rPr>
          <w:noProof/>
          <w:szCs w:val="24"/>
        </w:rPr>
        <w:t>'</w:t>
      </w:r>
      <w:r w:rsidRPr="0001127D">
        <w:rPr>
          <w:noProof/>
          <w:szCs w:val="24"/>
        </w:rPr>
        <w:t>interconnessione dei registri dei titolari effettivi</w:t>
      </w:r>
      <w:r w:rsidRPr="0001127D">
        <w:rPr>
          <w:rStyle w:val="FootnoteReference"/>
          <w:noProof/>
          <w:szCs w:val="24"/>
        </w:rPr>
        <w:footnoteReference w:id="43"/>
      </w:r>
      <w:r w:rsidRPr="0001127D">
        <w:rPr>
          <w:noProof/>
          <w:szCs w:val="24"/>
        </w:rPr>
        <w:t xml:space="preserve"> e il sistema di interconnessione dei registri fallimentari</w:t>
      </w:r>
      <w:r w:rsidRPr="0001127D">
        <w:rPr>
          <w:rStyle w:val="FootnoteReference"/>
          <w:noProof/>
          <w:szCs w:val="24"/>
        </w:rPr>
        <w:footnoteReference w:id="44"/>
      </w:r>
      <w:r w:rsidRPr="0001127D">
        <w:rPr>
          <w:noProof/>
          <w:szCs w:val="24"/>
        </w:rPr>
        <w:t>.</w:t>
      </w:r>
    </w:p>
    <w:p w14:paraId="334C932E"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1BB71A77" w14:textId="13DB7EDC" w:rsidR="00F174F8" w:rsidRPr="0001127D" w:rsidRDefault="000B414B"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u w:val="single"/>
        </w:rPr>
        <w:t>articolo</w:t>
      </w:r>
      <w:r w:rsidR="00A65DBA" w:rsidRPr="0001127D">
        <w:rPr>
          <w:noProof/>
          <w:color w:val="000000"/>
          <w:szCs w:val="24"/>
          <w:u w:val="single"/>
        </w:rPr>
        <w:t> </w:t>
      </w:r>
      <w:r w:rsidRPr="0001127D">
        <w:rPr>
          <w:noProof/>
          <w:color w:val="000000"/>
          <w:szCs w:val="24"/>
          <w:u w:val="single"/>
        </w:rPr>
        <w:t>24 modificato</w:t>
      </w:r>
      <w:r w:rsidRPr="0001127D">
        <w:rPr>
          <w:noProof/>
          <w:color w:val="000000"/>
          <w:szCs w:val="24"/>
        </w:rPr>
        <w:t xml:space="preserve"> comprende i nuovi atti di esecuzione necessari per attuare le disposizioni specifiche.</w:t>
      </w:r>
    </w:p>
    <w:p w14:paraId="5A7EF709"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53D7E9C3" w14:textId="01EA9C85" w:rsidR="00F174F8" w:rsidRPr="0001127D" w:rsidRDefault="00F174F8"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u w:val="single"/>
        </w:rPr>
        <w:t>articolo 26</w:t>
      </w:r>
      <w:r w:rsidRPr="0001127D">
        <w:rPr>
          <w:noProof/>
          <w:color w:val="000000"/>
          <w:szCs w:val="24"/>
        </w:rPr>
        <w:t xml:space="preserve"> è modificato per consentire la sua applicazione alle società di persone.</w:t>
      </w:r>
    </w:p>
    <w:p w14:paraId="1D2FC159"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4C192F33" w14:textId="6A1541DB" w:rsidR="00877F13" w:rsidRPr="0001127D" w:rsidRDefault="00877F13" w:rsidP="00A65DBA">
      <w:pPr>
        <w:shd w:val="clear" w:color="auto" w:fill="FFFFFF"/>
        <w:spacing w:before="0" w:after="0"/>
        <w:textAlignment w:val="baseline"/>
        <w:rPr>
          <w:rFonts w:eastAsia="Times New Roman"/>
          <w:noProof/>
          <w:szCs w:val="24"/>
        </w:rPr>
      </w:pPr>
      <w:r w:rsidRPr="0001127D">
        <w:rPr>
          <w:noProof/>
          <w:szCs w:val="24"/>
        </w:rPr>
        <w:t>L</w:t>
      </w:r>
      <w:r w:rsidR="00E64452" w:rsidRPr="0001127D">
        <w:rPr>
          <w:noProof/>
          <w:szCs w:val="24"/>
        </w:rPr>
        <w:t>'</w:t>
      </w:r>
      <w:r w:rsidRPr="0001127D">
        <w:rPr>
          <w:noProof/>
          <w:szCs w:val="24"/>
          <w:u w:val="single"/>
        </w:rPr>
        <w:t>articolo 28 modificato</w:t>
      </w:r>
      <w:r w:rsidRPr="0001127D">
        <w:rPr>
          <w:noProof/>
          <w:szCs w:val="24"/>
        </w:rPr>
        <w:t xml:space="preserve"> specifica che le sanzioni dovrebbero essere </w:t>
      </w:r>
      <w:r w:rsidRPr="0001127D">
        <w:rPr>
          <w:noProof/>
          <w:szCs w:val="24"/>
          <w:shd w:val="clear" w:color="auto" w:fill="FFFFFF"/>
        </w:rPr>
        <w:t>effettive, proporzionate e dissuasive</w:t>
      </w:r>
      <w:r w:rsidRPr="0001127D">
        <w:rPr>
          <w:noProof/>
          <w:szCs w:val="24"/>
        </w:rPr>
        <w:t xml:space="preserve"> ed elenca i casi in cui le sanzioni devono essere obbligatoriamente applicate. </w:t>
      </w:r>
    </w:p>
    <w:p w14:paraId="7D349662"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657A2C27" w14:textId="29F8A16E" w:rsidR="00F174F8" w:rsidRPr="0001127D" w:rsidRDefault="00F174F8" w:rsidP="00A65DBA">
      <w:pPr>
        <w:shd w:val="clear" w:color="auto" w:fill="FFFFFF"/>
        <w:spacing w:before="0" w:after="0"/>
        <w:textAlignment w:val="baseline"/>
        <w:rPr>
          <w:rFonts w:eastAsia="Times New Roman"/>
          <w:noProof/>
          <w:szCs w:val="24"/>
        </w:rPr>
      </w:pPr>
      <w:r w:rsidRPr="0001127D">
        <w:rPr>
          <w:noProof/>
          <w:szCs w:val="24"/>
        </w:rPr>
        <w:t>L</w:t>
      </w:r>
      <w:r w:rsidR="00E64452" w:rsidRPr="0001127D">
        <w:rPr>
          <w:noProof/>
          <w:szCs w:val="24"/>
        </w:rPr>
        <w:t>'</w:t>
      </w:r>
      <w:r w:rsidRPr="0001127D">
        <w:rPr>
          <w:noProof/>
          <w:szCs w:val="24"/>
          <w:u w:val="single"/>
        </w:rPr>
        <w:t>articolo</w:t>
      </w:r>
      <w:r w:rsidR="00A65DBA" w:rsidRPr="0001127D">
        <w:rPr>
          <w:noProof/>
          <w:szCs w:val="24"/>
          <w:u w:val="single"/>
        </w:rPr>
        <w:t> </w:t>
      </w:r>
      <w:r w:rsidRPr="0001127D">
        <w:rPr>
          <w:noProof/>
          <w:szCs w:val="24"/>
          <w:u w:val="single"/>
        </w:rPr>
        <w:t>28</w:t>
      </w:r>
      <w:r w:rsidR="00A65DBA" w:rsidRPr="0001127D">
        <w:rPr>
          <w:noProof/>
          <w:szCs w:val="24"/>
          <w:u w:val="single"/>
        </w:rPr>
        <w:t> </w:t>
      </w:r>
      <w:r w:rsidRPr="0001127D">
        <w:rPr>
          <w:i/>
          <w:iCs/>
          <w:noProof/>
          <w:szCs w:val="24"/>
          <w:u w:val="single"/>
        </w:rPr>
        <w:t>bis</w:t>
      </w:r>
      <w:r w:rsidRPr="0001127D">
        <w:rPr>
          <w:noProof/>
          <w:szCs w:val="24"/>
        </w:rPr>
        <w:t xml:space="preserve"> è modificato per specificare i dettagli relativi all</w:t>
      </w:r>
      <w:r w:rsidR="00E64452" w:rsidRPr="0001127D">
        <w:rPr>
          <w:noProof/>
          <w:szCs w:val="24"/>
        </w:rPr>
        <w:t>'</w:t>
      </w:r>
      <w:r w:rsidRPr="0001127D">
        <w:rPr>
          <w:noProof/>
          <w:szCs w:val="24"/>
        </w:rPr>
        <w:t xml:space="preserve">applicazione del principio </w:t>
      </w:r>
      <w:r w:rsidR="00E64452" w:rsidRPr="0001127D">
        <w:rPr>
          <w:noProof/>
          <w:szCs w:val="24"/>
        </w:rPr>
        <w:t>"</w:t>
      </w:r>
      <w:r w:rsidRPr="0001127D">
        <w:rPr>
          <w:noProof/>
          <w:szCs w:val="24"/>
        </w:rPr>
        <w:t>una tantum</w:t>
      </w:r>
      <w:r w:rsidR="00E64452" w:rsidRPr="0001127D">
        <w:rPr>
          <w:noProof/>
          <w:szCs w:val="24"/>
        </w:rPr>
        <w:t>"</w:t>
      </w:r>
      <w:r w:rsidRPr="0001127D">
        <w:rPr>
          <w:noProof/>
          <w:szCs w:val="24"/>
        </w:rPr>
        <w:t xml:space="preserve"> per la registrazione delle succursali (per allinearlo alle norme di cui all</w:t>
      </w:r>
      <w:r w:rsidR="00E64452" w:rsidRPr="0001127D">
        <w:rPr>
          <w:noProof/>
          <w:szCs w:val="24"/>
        </w:rPr>
        <w:t>'</w:t>
      </w:r>
      <w:r w:rsidR="00A65DBA" w:rsidRPr="0001127D">
        <w:rPr>
          <w:noProof/>
          <w:szCs w:val="24"/>
        </w:rPr>
        <w:t>articolo </w:t>
      </w:r>
      <w:r w:rsidRPr="0001127D">
        <w:rPr>
          <w:noProof/>
          <w:szCs w:val="24"/>
        </w:rPr>
        <w:t>13</w:t>
      </w:r>
      <w:r w:rsidR="00A65DBA" w:rsidRPr="0001127D">
        <w:rPr>
          <w:noProof/>
          <w:szCs w:val="24"/>
        </w:rPr>
        <w:t> </w:t>
      </w:r>
      <w:r w:rsidRPr="0001127D">
        <w:rPr>
          <w:i/>
          <w:iCs/>
          <w:noProof/>
          <w:szCs w:val="24"/>
        </w:rPr>
        <w:t>octies</w:t>
      </w:r>
      <w:r w:rsidRPr="0001127D">
        <w:rPr>
          <w:noProof/>
          <w:szCs w:val="24"/>
        </w:rPr>
        <w:t xml:space="preserve"> (come modificato) per la costituzione di succursali transfrontaliere) laddove una società registra una succursale in un altro Stato membro. </w:t>
      </w:r>
    </w:p>
    <w:p w14:paraId="1AFCCC6E" w14:textId="77777777" w:rsidR="00877F13" w:rsidRPr="0001127D" w:rsidRDefault="00877F13" w:rsidP="00A65DBA">
      <w:pPr>
        <w:shd w:val="clear" w:color="auto" w:fill="FFFFFF"/>
        <w:spacing w:before="0" w:after="0"/>
        <w:textAlignment w:val="baseline"/>
        <w:rPr>
          <w:rFonts w:eastAsia="Times New Roman"/>
          <w:noProof/>
          <w:szCs w:val="24"/>
        </w:rPr>
      </w:pPr>
    </w:p>
    <w:p w14:paraId="6F3B5FE4" w14:textId="569A3085" w:rsidR="00877F13" w:rsidRPr="0001127D" w:rsidRDefault="00877F13" w:rsidP="00A65DBA">
      <w:pPr>
        <w:shd w:val="clear" w:color="auto" w:fill="FFFFFF"/>
        <w:spacing w:before="0" w:after="0"/>
        <w:textAlignment w:val="baseline"/>
        <w:rPr>
          <w:rFonts w:eastAsia="Times New Roman"/>
          <w:noProof/>
          <w:szCs w:val="24"/>
          <w:u w:val="single"/>
        </w:rPr>
      </w:pPr>
      <w:r w:rsidRPr="0001127D">
        <w:rPr>
          <w:noProof/>
          <w:szCs w:val="24"/>
        </w:rPr>
        <w:t>L</w:t>
      </w:r>
      <w:r w:rsidR="00E64452" w:rsidRPr="0001127D">
        <w:rPr>
          <w:noProof/>
          <w:szCs w:val="24"/>
        </w:rPr>
        <w:t>'</w:t>
      </w:r>
      <w:r w:rsidRPr="0001127D">
        <w:rPr>
          <w:noProof/>
          <w:szCs w:val="24"/>
          <w:u w:val="single"/>
        </w:rPr>
        <w:t xml:space="preserve">articolo 28 </w:t>
      </w:r>
      <w:r w:rsidRPr="0001127D">
        <w:rPr>
          <w:i/>
          <w:iCs/>
          <w:noProof/>
          <w:szCs w:val="24"/>
          <w:u w:val="single"/>
        </w:rPr>
        <w:t>ter</w:t>
      </w:r>
      <w:r w:rsidRPr="0001127D">
        <w:rPr>
          <w:noProof/>
          <w:szCs w:val="24"/>
          <w:u w:val="single"/>
        </w:rPr>
        <w:t xml:space="preserve"> </w:t>
      </w:r>
      <w:r w:rsidRPr="0001127D">
        <w:rPr>
          <w:noProof/>
          <w:szCs w:val="24"/>
        </w:rPr>
        <w:t>è modificato per essere in linea con l</w:t>
      </w:r>
      <w:r w:rsidR="00E64452" w:rsidRPr="0001127D">
        <w:rPr>
          <w:noProof/>
          <w:szCs w:val="24"/>
        </w:rPr>
        <w:t>'</w:t>
      </w:r>
      <w:r w:rsidRPr="0001127D">
        <w:rPr>
          <w:noProof/>
          <w:szCs w:val="24"/>
        </w:rPr>
        <w:t>articolo 15 modificato.</w:t>
      </w:r>
      <w:r w:rsidRPr="0001127D">
        <w:rPr>
          <w:noProof/>
          <w:szCs w:val="24"/>
          <w:u w:val="single"/>
        </w:rPr>
        <w:t xml:space="preserve"> </w:t>
      </w:r>
    </w:p>
    <w:p w14:paraId="53DA960D" w14:textId="77777777" w:rsidR="00F174F8" w:rsidRPr="0001127D" w:rsidRDefault="00F174F8" w:rsidP="00A65DBA">
      <w:pPr>
        <w:shd w:val="clear" w:color="auto" w:fill="FFFFFF"/>
        <w:spacing w:before="0" w:after="0"/>
        <w:textAlignment w:val="baseline"/>
        <w:rPr>
          <w:rFonts w:eastAsia="Times New Roman"/>
          <w:noProof/>
          <w:color w:val="000000"/>
          <w:szCs w:val="24"/>
        </w:rPr>
      </w:pPr>
    </w:p>
    <w:p w14:paraId="03BB640B" w14:textId="7BE5C067" w:rsidR="002D5E19" w:rsidRPr="0001127D" w:rsidRDefault="00F174F8"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u w:val="single"/>
        </w:rPr>
        <w:t>articolo</w:t>
      </w:r>
      <w:r w:rsidR="00A65DBA" w:rsidRPr="0001127D">
        <w:rPr>
          <w:noProof/>
          <w:color w:val="000000"/>
          <w:szCs w:val="24"/>
          <w:u w:val="single"/>
        </w:rPr>
        <w:t> </w:t>
      </w:r>
      <w:r w:rsidRPr="0001127D">
        <w:rPr>
          <w:noProof/>
          <w:color w:val="000000"/>
          <w:szCs w:val="24"/>
          <w:u w:val="single"/>
        </w:rPr>
        <w:t>30</w:t>
      </w:r>
      <w:r w:rsidRPr="0001127D">
        <w:rPr>
          <w:noProof/>
          <w:color w:val="000000"/>
          <w:szCs w:val="24"/>
          <w:shd w:val="clear" w:color="auto" w:fill="FFFFFF"/>
        </w:rPr>
        <w:t xml:space="preserve"> </w:t>
      </w:r>
      <w:r w:rsidRPr="0001127D">
        <w:rPr>
          <w:noProof/>
          <w:color w:val="000000"/>
          <w:szCs w:val="24"/>
        </w:rPr>
        <w:t>è modificato sopprimendo la lettera</w:t>
      </w:r>
      <w:r w:rsidR="00A65DBA" w:rsidRPr="0001127D">
        <w:rPr>
          <w:noProof/>
          <w:color w:val="000000"/>
          <w:szCs w:val="24"/>
        </w:rPr>
        <w:t> </w:t>
      </w:r>
      <w:r w:rsidRPr="0001127D">
        <w:rPr>
          <w:noProof/>
          <w:color w:val="000000"/>
          <w:szCs w:val="24"/>
        </w:rPr>
        <w:t>b) del paragrafo</w:t>
      </w:r>
      <w:r w:rsidR="00A65DBA" w:rsidRPr="0001127D">
        <w:rPr>
          <w:noProof/>
          <w:color w:val="000000"/>
          <w:szCs w:val="24"/>
        </w:rPr>
        <w:t> </w:t>
      </w:r>
      <w:r w:rsidRPr="0001127D">
        <w:rPr>
          <w:noProof/>
          <w:color w:val="000000"/>
          <w:szCs w:val="24"/>
        </w:rPr>
        <w:t>2, in quanto essa è ora contemplata dall</w:t>
      </w:r>
      <w:r w:rsidR="00E64452" w:rsidRPr="0001127D">
        <w:rPr>
          <w:noProof/>
          <w:color w:val="000000"/>
          <w:szCs w:val="24"/>
        </w:rPr>
        <w:t>'</w:t>
      </w:r>
      <w:r w:rsidRPr="0001127D">
        <w:rPr>
          <w:noProof/>
          <w:color w:val="000000"/>
          <w:szCs w:val="24"/>
        </w:rPr>
        <w:t xml:space="preserve">articolo 16 </w:t>
      </w:r>
      <w:r w:rsidRPr="0001127D">
        <w:rPr>
          <w:i/>
          <w:iCs/>
          <w:noProof/>
          <w:color w:val="000000"/>
          <w:szCs w:val="24"/>
        </w:rPr>
        <w:t>ter</w:t>
      </w:r>
      <w:r w:rsidRPr="0001127D">
        <w:rPr>
          <w:noProof/>
          <w:color w:val="000000"/>
          <w:szCs w:val="24"/>
        </w:rPr>
        <w:t xml:space="preserve"> sul certificato delle società UE. </w:t>
      </w:r>
    </w:p>
    <w:p w14:paraId="46F99C03" w14:textId="77777777" w:rsidR="00615EFE" w:rsidRPr="0001127D" w:rsidRDefault="00615EFE" w:rsidP="00A65DBA">
      <w:pPr>
        <w:shd w:val="clear" w:color="auto" w:fill="FFFFFF"/>
        <w:spacing w:before="0" w:after="0"/>
        <w:textAlignment w:val="baseline"/>
        <w:rPr>
          <w:rFonts w:eastAsia="Times New Roman"/>
          <w:noProof/>
          <w:color w:val="000000"/>
          <w:szCs w:val="24"/>
        </w:rPr>
      </w:pPr>
    </w:p>
    <w:p w14:paraId="70E30AC2" w14:textId="04A6F4D0" w:rsidR="002D5E19" w:rsidRPr="0001127D" w:rsidRDefault="00877F13" w:rsidP="00A65DBA">
      <w:pPr>
        <w:spacing w:before="0" w:after="0"/>
        <w:rPr>
          <w:noProof/>
          <w:szCs w:val="24"/>
          <w:bdr w:val="none" w:sz="0" w:space="0" w:color="auto" w:frame="1"/>
        </w:rPr>
      </w:pPr>
      <w:r w:rsidRPr="0001127D">
        <w:rPr>
          <w:noProof/>
          <w:szCs w:val="24"/>
          <w:bdr w:val="none" w:sz="0" w:space="0" w:color="auto" w:frame="1"/>
        </w:rPr>
        <w:t>L</w:t>
      </w:r>
      <w:r w:rsidR="00E64452" w:rsidRPr="0001127D">
        <w:rPr>
          <w:noProof/>
          <w:szCs w:val="24"/>
          <w:bdr w:val="none" w:sz="0" w:space="0" w:color="auto" w:frame="1"/>
        </w:rPr>
        <w:t>'</w:t>
      </w:r>
      <w:r w:rsidRPr="0001127D">
        <w:rPr>
          <w:noProof/>
          <w:color w:val="000000"/>
          <w:szCs w:val="24"/>
          <w:u w:val="single"/>
          <w:bdr w:val="none" w:sz="0" w:space="0" w:color="auto" w:frame="1"/>
        </w:rPr>
        <w:t>articolo</w:t>
      </w:r>
      <w:r w:rsidR="00A65DBA" w:rsidRPr="0001127D">
        <w:rPr>
          <w:noProof/>
          <w:color w:val="000000"/>
          <w:szCs w:val="24"/>
          <w:u w:val="single"/>
          <w:bdr w:val="none" w:sz="0" w:space="0" w:color="auto" w:frame="1"/>
        </w:rPr>
        <w:t> </w:t>
      </w:r>
      <w:r w:rsidRPr="0001127D">
        <w:rPr>
          <w:noProof/>
          <w:color w:val="000000"/>
          <w:szCs w:val="24"/>
          <w:u w:val="single"/>
          <w:bdr w:val="none" w:sz="0" w:space="0" w:color="auto" w:frame="1"/>
        </w:rPr>
        <w:t xml:space="preserve">36 </w:t>
      </w:r>
      <w:r w:rsidRPr="0001127D">
        <w:rPr>
          <w:noProof/>
          <w:szCs w:val="24"/>
          <w:u w:val="single"/>
          <w:bdr w:val="none" w:sz="0" w:space="0" w:color="auto" w:frame="1"/>
        </w:rPr>
        <w:t>modificato</w:t>
      </w:r>
      <w:r w:rsidRPr="0001127D">
        <w:rPr>
          <w:noProof/>
          <w:szCs w:val="24"/>
          <w:bdr w:val="none" w:sz="0" w:space="0" w:color="auto" w:frame="1"/>
        </w:rPr>
        <w:t xml:space="preserve"> prevede che le informazioni sulle succursali di paesi terzi siano rese pubblicamente disponibili attraverso il sistema di interconnessione dei registri e specifica quali informazioni dovrebbero essere accessibili gratuitamente. </w:t>
      </w:r>
    </w:p>
    <w:p w14:paraId="5120B55A" w14:textId="77777777" w:rsidR="00615EFE" w:rsidRPr="0001127D" w:rsidRDefault="00615EFE" w:rsidP="00A65DBA">
      <w:pPr>
        <w:shd w:val="clear" w:color="auto" w:fill="FFFFFF"/>
        <w:spacing w:before="0" w:after="0"/>
        <w:textAlignment w:val="baseline"/>
        <w:rPr>
          <w:rFonts w:eastAsia="Times New Roman"/>
          <w:noProof/>
          <w:color w:val="000000"/>
          <w:szCs w:val="24"/>
          <w:shd w:val="clear" w:color="auto" w:fill="FFFFFF"/>
        </w:rPr>
      </w:pPr>
    </w:p>
    <w:p w14:paraId="6EDA27B7" w14:textId="461366FD" w:rsidR="009B3B29" w:rsidRPr="0001127D" w:rsidRDefault="009B3B29" w:rsidP="00A65DBA">
      <w:pPr>
        <w:shd w:val="clear" w:color="auto" w:fill="FFFFFF"/>
        <w:spacing w:before="0" w:after="0"/>
        <w:textAlignment w:val="baseline"/>
        <w:rPr>
          <w:rFonts w:eastAsia="Times New Roman"/>
          <w:noProof/>
          <w:color w:val="000000"/>
          <w:szCs w:val="24"/>
        </w:rPr>
      </w:pPr>
      <w:r w:rsidRPr="0001127D">
        <w:rPr>
          <w:noProof/>
          <w:szCs w:val="24"/>
        </w:rPr>
        <w:t>L</w:t>
      </w:r>
      <w:r w:rsidR="00E64452" w:rsidRPr="0001127D">
        <w:rPr>
          <w:noProof/>
          <w:szCs w:val="24"/>
        </w:rPr>
        <w:t>'</w:t>
      </w:r>
      <w:r w:rsidRPr="0001127D">
        <w:rPr>
          <w:noProof/>
          <w:szCs w:val="24"/>
          <w:u w:val="single"/>
        </w:rPr>
        <w:t>articolo</w:t>
      </w:r>
      <w:r w:rsidR="00A65DBA" w:rsidRPr="0001127D">
        <w:rPr>
          <w:noProof/>
          <w:szCs w:val="24"/>
          <w:u w:val="single"/>
        </w:rPr>
        <w:t> </w:t>
      </w:r>
      <w:r w:rsidRPr="0001127D">
        <w:rPr>
          <w:noProof/>
          <w:szCs w:val="24"/>
          <w:u w:val="single"/>
        </w:rPr>
        <w:t>40</w:t>
      </w:r>
      <w:r w:rsidRPr="0001127D">
        <w:rPr>
          <w:noProof/>
          <w:color w:val="000000"/>
          <w:szCs w:val="24"/>
          <w:shd w:val="clear" w:color="auto" w:fill="FFFFFF"/>
        </w:rPr>
        <w:t xml:space="preserve"> </w:t>
      </w:r>
      <w:r w:rsidRPr="0001127D">
        <w:rPr>
          <w:noProof/>
          <w:szCs w:val="24"/>
        </w:rPr>
        <w:t xml:space="preserve">è modificato </w:t>
      </w:r>
      <w:r w:rsidRPr="0001127D">
        <w:rPr>
          <w:noProof/>
          <w:color w:val="000000"/>
          <w:szCs w:val="24"/>
        </w:rPr>
        <w:t>per disporre che</w:t>
      </w:r>
      <w:r w:rsidRPr="0001127D">
        <w:rPr>
          <w:noProof/>
          <w:szCs w:val="24"/>
        </w:rPr>
        <w:t xml:space="preserve">le sanzioni siano </w:t>
      </w:r>
      <w:r w:rsidRPr="0001127D">
        <w:rPr>
          <w:noProof/>
          <w:szCs w:val="24"/>
          <w:shd w:val="clear" w:color="auto" w:fill="FFFFFF"/>
        </w:rPr>
        <w:t>effettive, proporzionate e dissuasive</w:t>
      </w:r>
      <w:r w:rsidRPr="0001127D">
        <w:rPr>
          <w:noProof/>
          <w:color w:val="000000"/>
          <w:szCs w:val="24"/>
        </w:rPr>
        <w:t>.</w:t>
      </w:r>
    </w:p>
    <w:p w14:paraId="42329882" w14:textId="77777777" w:rsidR="00097DFE" w:rsidRPr="0001127D" w:rsidRDefault="00097DFE" w:rsidP="00A65DBA">
      <w:pPr>
        <w:shd w:val="clear" w:color="auto" w:fill="FFFFFF"/>
        <w:spacing w:before="0" w:after="0"/>
        <w:textAlignment w:val="baseline"/>
        <w:rPr>
          <w:rFonts w:eastAsia="Times New Roman"/>
          <w:noProof/>
          <w:color w:val="000000"/>
          <w:szCs w:val="24"/>
        </w:rPr>
      </w:pPr>
    </w:p>
    <w:p w14:paraId="7D2724D0" w14:textId="76A02392" w:rsidR="009B3B29" w:rsidRPr="0001127D" w:rsidRDefault="00097DFE" w:rsidP="00A65DBA">
      <w:pPr>
        <w:shd w:val="clear" w:color="auto" w:fill="FFFFFF"/>
        <w:spacing w:before="0" w:after="0"/>
        <w:textAlignment w:val="baseline"/>
        <w:rPr>
          <w:rFonts w:eastAsia="Times New Roman"/>
          <w:noProof/>
          <w:color w:val="000000"/>
          <w:szCs w:val="24"/>
        </w:rPr>
      </w:pPr>
      <w:r w:rsidRPr="0001127D">
        <w:rPr>
          <w:noProof/>
          <w:color w:val="000000"/>
          <w:szCs w:val="24"/>
        </w:rPr>
        <w:t>L</w:t>
      </w:r>
      <w:r w:rsidR="00E64452" w:rsidRPr="0001127D">
        <w:rPr>
          <w:noProof/>
          <w:color w:val="000000"/>
          <w:szCs w:val="24"/>
        </w:rPr>
        <w:t>'</w:t>
      </w:r>
      <w:r w:rsidRPr="0001127D">
        <w:rPr>
          <w:noProof/>
          <w:color w:val="000000"/>
          <w:szCs w:val="24"/>
        </w:rPr>
        <w:t xml:space="preserve">allegato II </w:t>
      </w:r>
      <w:r w:rsidRPr="0001127D">
        <w:rPr>
          <w:i/>
          <w:iCs/>
          <w:noProof/>
          <w:color w:val="000000"/>
          <w:szCs w:val="24"/>
        </w:rPr>
        <w:t>ter</w:t>
      </w:r>
      <w:r w:rsidRPr="0001127D">
        <w:rPr>
          <w:noProof/>
          <w:color w:val="000000"/>
          <w:szCs w:val="24"/>
        </w:rPr>
        <w:t xml:space="preserve"> introduce l</w:t>
      </w:r>
      <w:r w:rsidR="00E64452" w:rsidRPr="0001127D">
        <w:rPr>
          <w:noProof/>
          <w:color w:val="000000"/>
          <w:szCs w:val="24"/>
        </w:rPr>
        <w:t>'</w:t>
      </w:r>
      <w:r w:rsidRPr="0001127D">
        <w:rPr>
          <w:noProof/>
          <w:color w:val="000000"/>
          <w:szCs w:val="24"/>
        </w:rPr>
        <w:t>elenco delle società di persone negli Stati membri contemplate dalla dir</w:t>
      </w:r>
      <w:r w:rsidRPr="0001127D">
        <w:rPr>
          <w:noProof/>
          <w:color w:val="000000"/>
        </w:rPr>
        <w:t>ettiva.</w:t>
      </w:r>
    </w:p>
    <w:p w14:paraId="61BC3007" w14:textId="77777777" w:rsidR="00573A63" w:rsidRPr="0001127D" w:rsidRDefault="00573A63" w:rsidP="00660ED3">
      <w:pPr>
        <w:spacing w:before="0" w:after="0"/>
        <w:jc w:val="left"/>
        <w:rPr>
          <w:noProof/>
        </w:rPr>
        <w:sectPr w:rsidR="00573A63" w:rsidRPr="0001127D" w:rsidSect="0091427E">
          <w:footerReference w:type="default" r:id="rId10"/>
          <w:footerReference w:type="first" r:id="rId11"/>
          <w:pgSz w:w="11907" w:h="16839"/>
          <w:pgMar w:top="1134" w:right="1417" w:bottom="1134" w:left="1417" w:header="709" w:footer="709" w:gutter="0"/>
          <w:cols w:space="708"/>
          <w:docGrid w:linePitch="360"/>
        </w:sectPr>
      </w:pPr>
    </w:p>
    <w:p w14:paraId="7DEE52BF" w14:textId="1AB6E9B0" w:rsidR="00531BA1" w:rsidRPr="0001127D" w:rsidRDefault="00CF7E55" w:rsidP="00CF7E55">
      <w:pPr>
        <w:pStyle w:val="Rfrenceinterinstitutionnelle"/>
        <w:rPr>
          <w:noProof/>
        </w:rPr>
      </w:pPr>
      <w:r w:rsidRPr="00CF7E55">
        <w:t>2023/0089 (COD)</w:t>
      </w:r>
    </w:p>
    <w:p w14:paraId="0B8B6F1D" w14:textId="7405056F" w:rsidR="00573A63" w:rsidRPr="0001127D" w:rsidRDefault="005926B3" w:rsidP="005926B3">
      <w:pPr>
        <w:pStyle w:val="Statut"/>
        <w:rPr>
          <w:noProof/>
        </w:rPr>
      </w:pPr>
      <w:r w:rsidRPr="0001127D">
        <w:rPr>
          <w:noProof/>
        </w:rPr>
        <w:t>Proposta di</w:t>
      </w:r>
    </w:p>
    <w:p w14:paraId="7F325498" w14:textId="1F1BF44E" w:rsidR="00573A63" w:rsidRPr="0001127D" w:rsidRDefault="005926B3" w:rsidP="005926B3">
      <w:pPr>
        <w:pStyle w:val="Typedudocument"/>
        <w:rPr>
          <w:noProof/>
        </w:rPr>
      </w:pPr>
      <w:r w:rsidRPr="0001127D">
        <w:rPr>
          <w:noProof/>
        </w:rPr>
        <w:t>DIRETTIVA DEL PARLAMENTO EUROPEO E DEL CONSIGLIO</w:t>
      </w:r>
    </w:p>
    <w:p w14:paraId="48E439BD" w14:textId="1F60DA3C" w:rsidR="00FD087E" w:rsidRPr="0001127D" w:rsidRDefault="005926B3" w:rsidP="005926B3">
      <w:pPr>
        <w:pStyle w:val="Titreobjet"/>
        <w:rPr>
          <w:noProof/>
        </w:rPr>
      </w:pPr>
      <w:r w:rsidRPr="0001127D">
        <w:rPr>
          <w:noProof/>
        </w:rPr>
        <w:t xml:space="preserve">recante modifica delle direttive 2009/102/CE e (UE) 2017/1132 per quanto concerne l'ulteriore ampliamento e miglioramento dell'uso di strumenti e processi digitali </w:t>
      </w:r>
      <w:r w:rsidRPr="0001127D">
        <w:rPr>
          <w:noProof/>
        </w:rPr>
        <w:br/>
        <w:t>nel diritto societario</w:t>
      </w:r>
    </w:p>
    <w:p w14:paraId="7687DE80" w14:textId="171916AE" w:rsidR="00D3484A" w:rsidRPr="0001127D" w:rsidRDefault="005926B3" w:rsidP="005926B3">
      <w:pPr>
        <w:pStyle w:val="IntrtEEE"/>
        <w:rPr>
          <w:noProof/>
        </w:rPr>
      </w:pPr>
      <w:r w:rsidRPr="0001127D">
        <w:rPr>
          <w:noProof/>
        </w:rPr>
        <w:t>(Testo rilevante ai fini del SEE)</w:t>
      </w:r>
    </w:p>
    <w:p w14:paraId="556FC258" w14:textId="78E34A84" w:rsidR="00FD087E" w:rsidRPr="0001127D" w:rsidRDefault="00FD087E" w:rsidP="00FD087E">
      <w:pPr>
        <w:pStyle w:val="Institutionquiagit"/>
        <w:rPr>
          <w:noProof/>
          <w:color w:val="000000" w:themeColor="text1"/>
          <w:szCs w:val="24"/>
        </w:rPr>
      </w:pPr>
      <w:r w:rsidRPr="0001127D">
        <w:rPr>
          <w:noProof/>
          <w:color w:val="000000" w:themeColor="text1"/>
        </w:rPr>
        <w:t>IL PARLAMENTO EUROPEO E IL CONSIGLIO DELL</w:t>
      </w:r>
      <w:r w:rsidR="00E64452" w:rsidRPr="0001127D">
        <w:rPr>
          <w:noProof/>
          <w:color w:val="000000" w:themeColor="text1"/>
        </w:rPr>
        <w:t>'</w:t>
      </w:r>
      <w:r w:rsidRPr="0001127D">
        <w:rPr>
          <w:noProof/>
          <w:color w:val="000000" w:themeColor="text1"/>
        </w:rPr>
        <w:t>UNIONE EUROPEA,</w:t>
      </w:r>
    </w:p>
    <w:p w14:paraId="3B7F8EE6" w14:textId="7A487DC2" w:rsidR="00FD087E" w:rsidRPr="0001127D" w:rsidRDefault="00FD087E" w:rsidP="00FD087E">
      <w:pPr>
        <w:rPr>
          <w:noProof/>
          <w:color w:val="000000" w:themeColor="text1"/>
          <w:szCs w:val="24"/>
        </w:rPr>
      </w:pPr>
      <w:r w:rsidRPr="0001127D">
        <w:rPr>
          <w:noProof/>
          <w:color w:val="000000" w:themeColor="text1"/>
        </w:rPr>
        <w:t>visto il trattato sul funzionamento dell</w:t>
      </w:r>
      <w:r w:rsidR="00E64452" w:rsidRPr="0001127D">
        <w:rPr>
          <w:noProof/>
          <w:color w:val="000000" w:themeColor="text1"/>
        </w:rPr>
        <w:t>'</w:t>
      </w:r>
      <w:r w:rsidRPr="0001127D">
        <w:rPr>
          <w:noProof/>
          <w:color w:val="000000" w:themeColor="text1"/>
        </w:rPr>
        <w:t>Unione europea, in particolare l</w:t>
      </w:r>
      <w:r w:rsidR="00E64452" w:rsidRPr="0001127D">
        <w:rPr>
          <w:noProof/>
          <w:color w:val="000000" w:themeColor="text1"/>
        </w:rPr>
        <w:t>'</w:t>
      </w:r>
      <w:r w:rsidRPr="0001127D">
        <w:rPr>
          <w:noProof/>
          <w:color w:val="000000" w:themeColor="text1"/>
        </w:rPr>
        <w:t>articolo</w:t>
      </w:r>
      <w:r w:rsidR="00780A7F" w:rsidRPr="0001127D">
        <w:rPr>
          <w:noProof/>
          <w:color w:val="000000" w:themeColor="text1"/>
        </w:rPr>
        <w:t> </w:t>
      </w:r>
      <w:r w:rsidRPr="0001127D">
        <w:rPr>
          <w:noProof/>
          <w:color w:val="000000" w:themeColor="text1"/>
        </w:rPr>
        <w:t>50</w:t>
      </w:r>
      <w:r w:rsidR="00780A7F" w:rsidRPr="0001127D">
        <w:rPr>
          <w:noProof/>
          <w:color w:val="000000" w:themeColor="text1"/>
        </w:rPr>
        <w:t>, paragrafo </w:t>
      </w:r>
      <w:r w:rsidRPr="0001127D">
        <w:rPr>
          <w:noProof/>
          <w:color w:val="000000" w:themeColor="text1"/>
        </w:rPr>
        <w:t>1, l</w:t>
      </w:r>
      <w:r w:rsidR="00E64452" w:rsidRPr="0001127D">
        <w:rPr>
          <w:noProof/>
          <w:color w:val="000000" w:themeColor="text1"/>
        </w:rPr>
        <w:t>'</w:t>
      </w:r>
      <w:r w:rsidRPr="0001127D">
        <w:rPr>
          <w:noProof/>
          <w:color w:val="000000" w:themeColor="text1"/>
        </w:rPr>
        <w:t>articolo 50, paragrafo 2, e l</w:t>
      </w:r>
      <w:r w:rsidR="00E64452" w:rsidRPr="0001127D">
        <w:rPr>
          <w:noProof/>
          <w:color w:val="000000" w:themeColor="text1"/>
        </w:rPr>
        <w:t>'</w:t>
      </w:r>
      <w:r w:rsidRPr="0001127D">
        <w:rPr>
          <w:noProof/>
          <w:color w:val="000000" w:themeColor="text1"/>
        </w:rPr>
        <w:t>articolo 114,</w:t>
      </w:r>
    </w:p>
    <w:p w14:paraId="2799DABC" w14:textId="77777777" w:rsidR="00FD087E" w:rsidRPr="0001127D" w:rsidRDefault="00FD087E" w:rsidP="00FD087E">
      <w:pPr>
        <w:rPr>
          <w:noProof/>
          <w:color w:val="000000" w:themeColor="text1"/>
          <w:szCs w:val="24"/>
        </w:rPr>
      </w:pPr>
      <w:r w:rsidRPr="0001127D">
        <w:rPr>
          <w:noProof/>
          <w:color w:val="000000" w:themeColor="text1"/>
        </w:rPr>
        <w:t>vista la proposta della Commissione europea,</w:t>
      </w:r>
    </w:p>
    <w:p w14:paraId="54691538" w14:textId="77777777" w:rsidR="00FD087E" w:rsidRPr="0001127D" w:rsidRDefault="00FD087E" w:rsidP="00FD087E">
      <w:pPr>
        <w:rPr>
          <w:noProof/>
          <w:color w:val="000000" w:themeColor="text1"/>
          <w:szCs w:val="24"/>
        </w:rPr>
      </w:pPr>
      <w:r w:rsidRPr="0001127D">
        <w:rPr>
          <w:noProof/>
          <w:color w:val="000000" w:themeColor="text1"/>
        </w:rPr>
        <w:t>previa trasmissione del progetto di atto legislativo ai parlamenti nazionali,</w:t>
      </w:r>
    </w:p>
    <w:p w14:paraId="5E5FE4A7" w14:textId="77777777" w:rsidR="00FD087E" w:rsidRPr="0001127D" w:rsidRDefault="00FD087E" w:rsidP="00FD087E">
      <w:pPr>
        <w:rPr>
          <w:noProof/>
          <w:color w:val="000000" w:themeColor="text1"/>
          <w:szCs w:val="24"/>
        </w:rPr>
      </w:pPr>
      <w:r w:rsidRPr="0001127D">
        <w:rPr>
          <w:noProof/>
          <w:color w:val="000000" w:themeColor="text1"/>
        </w:rPr>
        <w:t>visto il parere del Comitato economico e sociale europeo</w:t>
      </w:r>
      <w:r w:rsidRPr="0001127D">
        <w:rPr>
          <w:rStyle w:val="FootnoteReference"/>
          <w:noProof/>
        </w:rPr>
        <w:footnoteReference w:id="45"/>
      </w:r>
      <w:r w:rsidRPr="0001127D">
        <w:rPr>
          <w:noProof/>
          <w:color w:val="000000" w:themeColor="text1"/>
        </w:rPr>
        <w:t xml:space="preserve">, </w:t>
      </w:r>
    </w:p>
    <w:p w14:paraId="1FD3B64F" w14:textId="77777777" w:rsidR="00FD087E" w:rsidRPr="0001127D" w:rsidRDefault="00FD087E" w:rsidP="00FD087E">
      <w:pPr>
        <w:rPr>
          <w:noProof/>
          <w:color w:val="000000" w:themeColor="text1"/>
          <w:szCs w:val="24"/>
        </w:rPr>
      </w:pPr>
      <w:r w:rsidRPr="0001127D">
        <w:rPr>
          <w:noProof/>
          <w:color w:val="000000" w:themeColor="text1"/>
        </w:rPr>
        <w:t>visto il parere del Comitato delle regioni</w:t>
      </w:r>
      <w:r w:rsidRPr="0001127D">
        <w:rPr>
          <w:rStyle w:val="FootnoteReference"/>
          <w:noProof/>
        </w:rPr>
        <w:footnoteReference w:id="46"/>
      </w:r>
      <w:r w:rsidRPr="0001127D">
        <w:rPr>
          <w:noProof/>
          <w:color w:val="000000" w:themeColor="text1"/>
        </w:rPr>
        <w:t xml:space="preserve">, </w:t>
      </w:r>
    </w:p>
    <w:p w14:paraId="1805ADCC" w14:textId="77777777" w:rsidR="00FD087E" w:rsidRPr="0001127D" w:rsidRDefault="00FD087E" w:rsidP="00FD087E">
      <w:pPr>
        <w:rPr>
          <w:noProof/>
          <w:color w:val="000000" w:themeColor="text1"/>
          <w:szCs w:val="24"/>
        </w:rPr>
      </w:pPr>
      <w:r w:rsidRPr="0001127D">
        <w:rPr>
          <w:noProof/>
          <w:color w:val="000000" w:themeColor="text1"/>
        </w:rPr>
        <w:t>deliberando secondo la procedura legislativa ordinaria,</w:t>
      </w:r>
    </w:p>
    <w:p w14:paraId="2CE92E52" w14:textId="77777777" w:rsidR="00FD087E" w:rsidRPr="0001127D" w:rsidRDefault="00FD087E" w:rsidP="00FD087E">
      <w:pPr>
        <w:rPr>
          <w:rFonts w:eastAsia="Times New Roman"/>
          <w:b/>
          <w:i/>
          <w:iCs/>
          <w:noProof/>
          <w:color w:val="000000" w:themeColor="text1"/>
          <w:szCs w:val="24"/>
        </w:rPr>
      </w:pPr>
      <w:r w:rsidRPr="0001127D">
        <w:rPr>
          <w:noProof/>
          <w:color w:val="000000" w:themeColor="text1"/>
        </w:rPr>
        <w:t>considerando quanto segue:</w:t>
      </w:r>
    </w:p>
    <w:p w14:paraId="08A2D702" w14:textId="5E374EC6" w:rsidR="00FD087E" w:rsidRPr="0001127D" w:rsidRDefault="001969F8" w:rsidP="001969F8">
      <w:pPr>
        <w:pStyle w:val="Point0"/>
        <w:rPr>
          <w:noProof/>
        </w:rPr>
      </w:pPr>
      <w:r w:rsidRPr="0001127D">
        <w:rPr>
          <w:noProof/>
        </w:rPr>
        <w:t>(1)</w:t>
      </w:r>
      <w:r w:rsidRPr="0001127D">
        <w:rPr>
          <w:noProof/>
        </w:rPr>
        <w:tab/>
        <w:t>La direttiva (UE) 2017/1132 del Parlamento europeo e del Consiglio</w:t>
      </w:r>
      <w:r w:rsidRPr="0001127D">
        <w:rPr>
          <w:rStyle w:val="FootnoteReference"/>
          <w:noProof/>
        </w:rPr>
        <w:footnoteReference w:id="47"/>
      </w:r>
      <w:r w:rsidRPr="0001127D">
        <w:rPr>
          <w:noProof/>
        </w:rPr>
        <w:t xml:space="preserve"> stabilisce, tra l</w:t>
      </w:r>
      <w:r w:rsidR="00E64452" w:rsidRPr="0001127D">
        <w:rPr>
          <w:noProof/>
        </w:rPr>
        <w:t>'</w:t>
      </w:r>
      <w:r w:rsidRPr="0001127D">
        <w:rPr>
          <w:noProof/>
        </w:rPr>
        <w:t>altro, le norme in materia di pubblicità delle informazioni di una società nei registri delle imprese degli Stati membri e un sistema di interconnessione dei registri. Tale sistema è operativo dal giugno 2017 e attualmente collega i registri di tutti gli Stati membri. In risposta agli sviluppi digitali, la direttiva (UE) 2017/1132 è stata modificata dalla direttiva (UE) 2019/1151 del Parlamento europeo e del Consiglio</w:t>
      </w:r>
      <w:r w:rsidRPr="0001127D">
        <w:rPr>
          <w:rStyle w:val="FootnoteReference"/>
          <w:noProof/>
        </w:rPr>
        <w:footnoteReference w:id="48"/>
      </w:r>
      <w:r w:rsidRPr="0001127D">
        <w:rPr>
          <w:noProof/>
        </w:rPr>
        <w:t xml:space="preserve"> per stabilire norme per la costituzione interamente online di società di capitali, la registrazione delle succursali transfrontaliere e la presentazione di documenti ai registri delle imprese.</w:t>
      </w:r>
    </w:p>
    <w:p w14:paraId="6A1F2BAF" w14:textId="6AC655BE" w:rsidR="00FD087E" w:rsidRPr="0001127D" w:rsidRDefault="001969F8" w:rsidP="001969F8">
      <w:pPr>
        <w:pStyle w:val="Point0"/>
        <w:rPr>
          <w:noProof/>
        </w:rPr>
      </w:pPr>
      <w:r w:rsidRPr="0001127D">
        <w:rPr>
          <w:noProof/>
        </w:rPr>
        <w:t>(2)</w:t>
      </w:r>
      <w:r w:rsidRPr="0001127D">
        <w:rPr>
          <w:noProof/>
        </w:rPr>
        <w:tab/>
        <w:t>In un mondo sempre più digitalizzato, gli strumenti digitali sono essenziali per garantire la continuità delle operazioni commerciali e delle interazioni delle società con i registri e le autorità. Al fine di accrescere la fiducia e la trasparenza nel contesto imprenditoriale e agevolare le operazioni e le attività delle società nel mercato unico, in particolare in relazione alle microimprese e alle piccole e medie imprese (</w:t>
      </w:r>
      <w:r w:rsidR="00E64452" w:rsidRPr="0001127D">
        <w:rPr>
          <w:noProof/>
        </w:rPr>
        <w:t>"</w:t>
      </w:r>
      <w:r w:rsidRPr="0001127D">
        <w:rPr>
          <w:noProof/>
        </w:rPr>
        <w:t>PMI</w:t>
      </w:r>
      <w:r w:rsidR="00E64452" w:rsidRPr="0001127D">
        <w:rPr>
          <w:noProof/>
        </w:rPr>
        <w:t>"</w:t>
      </w:r>
      <w:r w:rsidRPr="0001127D">
        <w:rPr>
          <w:noProof/>
        </w:rPr>
        <w:t>), come specificato nella raccomandazione 2003/361/CE della Commissione</w:t>
      </w:r>
      <w:r w:rsidRPr="0001127D">
        <w:rPr>
          <w:rStyle w:val="FootnoteReference"/>
          <w:noProof/>
        </w:rPr>
        <w:footnoteReference w:id="49"/>
      </w:r>
      <w:r w:rsidRPr="0001127D">
        <w:rPr>
          <w:noProof/>
        </w:rPr>
        <w:t xml:space="preserve">, è fondamentale che le società, le autorità e gli altri portatori di interessi abbiano accesso a informazioni affidabili sulle imprese che possano essere utilizzate senza formalità onerose in un contesto transfrontaliero. </w:t>
      </w:r>
    </w:p>
    <w:p w14:paraId="48DBCF1C" w14:textId="21D0BEE2" w:rsidR="00FD087E" w:rsidRPr="0001127D" w:rsidRDefault="001969F8" w:rsidP="001969F8">
      <w:pPr>
        <w:pStyle w:val="Point0"/>
        <w:rPr>
          <w:noProof/>
        </w:rPr>
      </w:pPr>
      <w:r w:rsidRPr="0001127D">
        <w:rPr>
          <w:noProof/>
        </w:rPr>
        <w:t>(3)</w:t>
      </w:r>
      <w:r w:rsidRPr="0001127D">
        <w:rPr>
          <w:noProof/>
        </w:rPr>
        <w:tab/>
        <w:t xml:space="preserve">La presente direttiva risponde agli obiettivi di digitalizzazione stabiliti nelle comunicazioni </w:t>
      </w:r>
      <w:r w:rsidR="00E64452" w:rsidRPr="0001127D">
        <w:rPr>
          <w:noProof/>
        </w:rPr>
        <w:t>"</w:t>
      </w:r>
      <w:r w:rsidRPr="0001127D">
        <w:rPr>
          <w:noProof/>
        </w:rPr>
        <w:t>Bussola per il digitale 2030</w:t>
      </w:r>
      <w:r w:rsidR="00E64452" w:rsidRPr="0001127D">
        <w:rPr>
          <w:noProof/>
        </w:rPr>
        <w:t>"</w:t>
      </w:r>
      <w:r w:rsidRPr="0001127D">
        <w:rPr>
          <w:rStyle w:val="FootnoteReference"/>
          <w:noProof/>
        </w:rPr>
        <w:footnoteReference w:id="50"/>
      </w:r>
      <w:r w:rsidRPr="0001127D">
        <w:rPr>
          <w:noProof/>
        </w:rPr>
        <w:t xml:space="preserve"> e </w:t>
      </w:r>
      <w:r w:rsidR="00E64452" w:rsidRPr="0001127D">
        <w:rPr>
          <w:noProof/>
        </w:rPr>
        <w:t>"</w:t>
      </w:r>
      <w:r w:rsidRPr="0001127D">
        <w:rPr>
          <w:noProof/>
        </w:rPr>
        <w:t>Digitalizzazione della giustizia nell</w:t>
      </w:r>
      <w:r w:rsidR="00E64452" w:rsidRPr="0001127D">
        <w:rPr>
          <w:noProof/>
        </w:rPr>
        <w:t>'</w:t>
      </w:r>
      <w:r w:rsidRPr="0001127D">
        <w:rPr>
          <w:noProof/>
        </w:rPr>
        <w:t>Unione europea</w:t>
      </w:r>
      <w:r w:rsidR="00E64452" w:rsidRPr="0001127D">
        <w:rPr>
          <w:noProof/>
        </w:rPr>
        <w:t>"</w:t>
      </w:r>
      <w:r w:rsidRPr="0001127D">
        <w:rPr>
          <w:rStyle w:val="FootnoteReference"/>
          <w:noProof/>
        </w:rPr>
        <w:footnoteReference w:id="51"/>
      </w:r>
      <w:r w:rsidRPr="0001127D">
        <w:rPr>
          <w:noProof/>
        </w:rPr>
        <w:t>, nonché alla necessità di agevolare l</w:t>
      </w:r>
      <w:r w:rsidR="00E64452" w:rsidRPr="0001127D">
        <w:rPr>
          <w:noProof/>
        </w:rPr>
        <w:t>'</w:t>
      </w:r>
      <w:r w:rsidRPr="0001127D">
        <w:rPr>
          <w:noProof/>
        </w:rPr>
        <w:t xml:space="preserve">espansione transfrontaliera delle PMI sottolineata nelle comunicazioni </w:t>
      </w:r>
      <w:r w:rsidR="00E64452" w:rsidRPr="0001127D">
        <w:rPr>
          <w:noProof/>
        </w:rPr>
        <w:t>"</w:t>
      </w:r>
      <w:r w:rsidRPr="0001127D">
        <w:rPr>
          <w:noProof/>
        </w:rPr>
        <w:t>Aggiornamento della nuova strategia industriale 2020</w:t>
      </w:r>
      <w:r w:rsidR="00E64452" w:rsidRPr="0001127D">
        <w:rPr>
          <w:noProof/>
        </w:rPr>
        <w:t>"</w:t>
      </w:r>
      <w:r w:rsidRPr="0001127D">
        <w:rPr>
          <w:rStyle w:val="FootnoteReference"/>
          <w:noProof/>
        </w:rPr>
        <w:footnoteReference w:id="52"/>
      </w:r>
      <w:r w:rsidRPr="0001127D">
        <w:rPr>
          <w:noProof/>
        </w:rPr>
        <w:t xml:space="preserve"> e </w:t>
      </w:r>
      <w:r w:rsidR="00E64452" w:rsidRPr="0001127D">
        <w:rPr>
          <w:noProof/>
        </w:rPr>
        <w:t>"</w:t>
      </w:r>
      <w:r w:rsidRPr="0001127D">
        <w:rPr>
          <w:noProof/>
        </w:rPr>
        <w:t>Una strategia per le PMI per un</w:t>
      </w:r>
      <w:r w:rsidR="00E64452" w:rsidRPr="0001127D">
        <w:rPr>
          <w:noProof/>
        </w:rPr>
        <w:t>'</w:t>
      </w:r>
      <w:r w:rsidRPr="0001127D">
        <w:rPr>
          <w:noProof/>
        </w:rPr>
        <w:t>Europa sostenibile e digitale</w:t>
      </w:r>
      <w:r w:rsidR="00E64452" w:rsidRPr="0001127D">
        <w:rPr>
          <w:noProof/>
        </w:rPr>
        <w:t>"</w:t>
      </w:r>
      <w:r w:rsidRPr="0001127D">
        <w:rPr>
          <w:rStyle w:val="FootnoteReference"/>
          <w:noProof/>
        </w:rPr>
        <w:footnoteReference w:id="53"/>
      </w:r>
      <w:r w:rsidRPr="0001127D">
        <w:rPr>
          <w:noProof/>
        </w:rPr>
        <w:t xml:space="preserve">. </w:t>
      </w:r>
    </w:p>
    <w:p w14:paraId="33A54CA6" w14:textId="2209A7F1" w:rsidR="00FD087E" w:rsidRPr="0001127D" w:rsidRDefault="001969F8" w:rsidP="001969F8">
      <w:pPr>
        <w:pStyle w:val="Point0"/>
        <w:rPr>
          <w:noProof/>
        </w:rPr>
      </w:pPr>
      <w:r w:rsidRPr="0001127D">
        <w:rPr>
          <w:noProof/>
        </w:rPr>
        <w:t>(4)</w:t>
      </w:r>
      <w:r w:rsidRPr="0001127D">
        <w:rPr>
          <w:noProof/>
        </w:rPr>
        <w:tab/>
        <w:t>L</w:t>
      </w:r>
      <w:r w:rsidR="00E64452" w:rsidRPr="0001127D">
        <w:rPr>
          <w:noProof/>
        </w:rPr>
        <w:t>'</w:t>
      </w:r>
      <w:r w:rsidRPr="0001127D">
        <w:rPr>
          <w:noProof/>
        </w:rPr>
        <w:t>accesso a informazioni affidabili sulle società disponibili nei registri e il loro utilizzo sono tuttora ostacolati da barriere in situazioni transfrontaliere. In primo luogo, le informazioni sulle società che gli utenti, comprese le società e le autorità, cercano non sono ancora disponibili in misura sufficiente nei registri nazionali e/o a livello transfrontaliero attraverso il sistema di interconnessione dei registri. In secondo luogo, l</w:t>
      </w:r>
      <w:r w:rsidR="00E64452" w:rsidRPr="0001127D">
        <w:rPr>
          <w:noProof/>
        </w:rPr>
        <w:t>'</w:t>
      </w:r>
      <w:r w:rsidRPr="0001127D">
        <w:rPr>
          <w:noProof/>
        </w:rPr>
        <w:t>utilizzo di tali informazioni sulle società in situazioni transfrontaliere, anche in sede amministrativa dinanzi alle autorità nazionali o alle istituzioni e agli organi dell</w:t>
      </w:r>
      <w:r w:rsidR="00E64452" w:rsidRPr="0001127D">
        <w:rPr>
          <w:noProof/>
        </w:rPr>
        <w:t>'</w:t>
      </w:r>
      <w:r w:rsidRPr="0001127D">
        <w:rPr>
          <w:noProof/>
        </w:rPr>
        <w:t>UE, in sede giudiziaria o in caso di costituzione di controllate o succursali transfrontaliere, è ancora ostacolato da procedure e requisiti dispendiosi in termini di tempo e di costi, compresa la necessità di ottenere un</w:t>
      </w:r>
      <w:r w:rsidR="00E64452" w:rsidRPr="0001127D">
        <w:rPr>
          <w:noProof/>
        </w:rPr>
        <w:t>'</w:t>
      </w:r>
      <w:r w:rsidRPr="0001127D">
        <w:rPr>
          <w:noProof/>
        </w:rPr>
        <w:t>apostilla o fornire una traduzione dei documenti della società.</w:t>
      </w:r>
      <w:r w:rsidR="00E64452" w:rsidRPr="0001127D">
        <w:rPr>
          <w:noProof/>
        </w:rPr>
        <w:t xml:space="preserve"> </w:t>
      </w:r>
    </w:p>
    <w:p w14:paraId="677A5039" w14:textId="12EA5475" w:rsidR="00FD087E" w:rsidRPr="0001127D" w:rsidRDefault="001969F8" w:rsidP="001969F8">
      <w:pPr>
        <w:pStyle w:val="Point0"/>
        <w:rPr>
          <w:noProof/>
        </w:rPr>
      </w:pPr>
      <w:r w:rsidRPr="0001127D">
        <w:rPr>
          <w:noProof/>
        </w:rPr>
        <w:t>(5)</w:t>
      </w:r>
      <w:r w:rsidRPr="0001127D">
        <w:rPr>
          <w:noProof/>
        </w:rPr>
        <w:tab/>
        <w:t xml:space="preserve">Tutti i portatori di interessi, comprese le società stesse, le autorità e il pubblico in generale, devono poter fare affidamento sulle informazioni sulle imprese per i loro fini commerciali, nonché in sede amministrativa o giudiziale. È pertanto necessario che i dati sulle società inseriti nei registri delle imprese e accessibili attraverso il sistema di interconnessione dei registri siano accurati, aggiornati e affidabili. </w:t>
      </w:r>
    </w:p>
    <w:p w14:paraId="5A648554" w14:textId="17F87F26" w:rsidR="00FD087E" w:rsidRPr="0001127D" w:rsidRDefault="001969F8" w:rsidP="001969F8">
      <w:pPr>
        <w:pStyle w:val="Point0"/>
        <w:rPr>
          <w:noProof/>
        </w:rPr>
      </w:pPr>
      <w:r w:rsidRPr="0001127D">
        <w:rPr>
          <w:noProof/>
        </w:rPr>
        <w:t>(6)</w:t>
      </w:r>
      <w:r w:rsidRPr="0001127D">
        <w:rPr>
          <w:noProof/>
        </w:rPr>
        <w:tab/>
        <w:t>L</w:t>
      </w:r>
      <w:r w:rsidR="00E64452" w:rsidRPr="0001127D">
        <w:rPr>
          <w:noProof/>
        </w:rPr>
        <w:t>'</w:t>
      </w:r>
      <w:r w:rsidRPr="0001127D">
        <w:rPr>
          <w:noProof/>
        </w:rPr>
        <w:t>introduzione, mediante la direttiva (UE) 2019/1151, di norme relative ai controlli dell</w:t>
      </w:r>
      <w:r w:rsidR="00E64452" w:rsidRPr="0001127D">
        <w:rPr>
          <w:noProof/>
        </w:rPr>
        <w:t>'</w:t>
      </w:r>
      <w:r w:rsidRPr="0001127D">
        <w:rPr>
          <w:noProof/>
        </w:rPr>
        <w:t>identità e della capacità giuridica delle persone che costituiscono una società, registrano una succursale o presentano documenti o informazioni online ha rappresentano un importante primo passo. È ora essenziale adottare ulteriori misure per migliorare l</w:t>
      </w:r>
      <w:r w:rsidR="00E64452" w:rsidRPr="0001127D">
        <w:rPr>
          <w:noProof/>
        </w:rPr>
        <w:t>'</w:t>
      </w:r>
      <w:r w:rsidRPr="0001127D">
        <w:rPr>
          <w:noProof/>
        </w:rPr>
        <w:t>affidabilità e l</w:t>
      </w:r>
      <w:r w:rsidR="00E64452" w:rsidRPr="0001127D">
        <w:rPr>
          <w:noProof/>
        </w:rPr>
        <w:t>'</w:t>
      </w:r>
      <w:r w:rsidRPr="0001127D">
        <w:rPr>
          <w:noProof/>
        </w:rPr>
        <w:t>attendibilità delle informazioni sulle società contenute nei registri al fine di agevolarne l</w:t>
      </w:r>
      <w:r w:rsidR="00E64452" w:rsidRPr="0001127D">
        <w:rPr>
          <w:noProof/>
        </w:rPr>
        <w:t>'</w:t>
      </w:r>
      <w:r w:rsidRPr="0001127D">
        <w:rPr>
          <w:noProof/>
        </w:rPr>
        <w:t xml:space="preserve">utilizzo a livello transfrontaliero in sede amministrativa e giudiziale. </w:t>
      </w:r>
    </w:p>
    <w:p w14:paraId="5D5BD390" w14:textId="3A9FCFFA" w:rsidR="00FD087E" w:rsidRPr="0001127D" w:rsidRDefault="001969F8" w:rsidP="001969F8">
      <w:pPr>
        <w:pStyle w:val="Point0"/>
        <w:rPr>
          <w:noProof/>
        </w:rPr>
      </w:pPr>
      <w:r w:rsidRPr="0001127D">
        <w:rPr>
          <w:noProof/>
        </w:rPr>
        <w:t>(7)</w:t>
      </w:r>
      <w:r w:rsidRPr="0001127D">
        <w:rPr>
          <w:noProof/>
        </w:rPr>
        <w:tab/>
        <w:t>Sebbene tutti gli Stati membri effettuino, in una certa misura, un controllo ex ante dei documenti e informazioni sulle società prima della loro iscrizione nel registro delle imprese, negli Stati membri esistono approcci diversi per quanto riguarda l</w:t>
      </w:r>
      <w:r w:rsidR="00E64452" w:rsidRPr="0001127D">
        <w:rPr>
          <w:noProof/>
        </w:rPr>
        <w:t>'</w:t>
      </w:r>
      <w:r w:rsidRPr="0001127D">
        <w:rPr>
          <w:noProof/>
        </w:rPr>
        <w:t>intensità dei controlli, le procedure applicabili o anche la persona o l</w:t>
      </w:r>
      <w:r w:rsidR="00E64452" w:rsidRPr="0001127D">
        <w:rPr>
          <w:noProof/>
        </w:rPr>
        <w:t>'</w:t>
      </w:r>
      <w:r w:rsidRPr="0001127D">
        <w:rPr>
          <w:noProof/>
        </w:rPr>
        <w:t>organismo incaricato di verificare le informazioni. Ciò si traduce in una fiducia insufficiente nelle informazioni o documenti societari su base transfrontaliera e in situazioni in cui le informazioni o documenti societari contenuti in un registro delle imprese in uno Stato membro talvolta non sono accettati come prova in un altro Stato membro.</w:t>
      </w:r>
    </w:p>
    <w:p w14:paraId="26D0124E" w14:textId="13C22EC4" w:rsidR="00FD087E" w:rsidRPr="0001127D" w:rsidRDefault="001969F8" w:rsidP="001969F8">
      <w:pPr>
        <w:pStyle w:val="Point0"/>
        <w:rPr>
          <w:noProof/>
        </w:rPr>
      </w:pPr>
      <w:r w:rsidRPr="0001127D">
        <w:rPr>
          <w:noProof/>
        </w:rPr>
        <w:t>(8)</w:t>
      </w:r>
      <w:r w:rsidRPr="0001127D">
        <w:rPr>
          <w:noProof/>
        </w:rPr>
        <w:tab/>
        <w:t>Pertanto, pur nel rispetto delle tradizioni degli Stati membri, è importante garantire che alcuni controlli siano effettuati in tutti gli Stati membri secondo norme identiche che garantiscano un elevato livello di accuratezza e affidabilità delle informazioni. A tal fine è necessario estendere le norme attuali rendendole obbligatorie in generale, non solo per la costituzione interamente online di società, ma anche per qualsiasi altra forma di costituzione di società. Analogamente, qualora gli Stati membri consentano ancora il ricorso ad altri metodi di presentazione oltre alla presentazione online, dovrebbero essere applicate le stesse norme, in modo tale da sottoporre tutte le informazioni iscritte nel registro alla stessa norma.</w:t>
      </w:r>
      <w:r w:rsidR="00E64452" w:rsidRPr="0001127D">
        <w:rPr>
          <w:noProof/>
        </w:rPr>
        <w:t xml:space="preserve"> </w:t>
      </w:r>
    </w:p>
    <w:p w14:paraId="175B0FC2" w14:textId="2E8DDCF4" w:rsidR="0074419A" w:rsidRPr="0001127D" w:rsidRDefault="001969F8" w:rsidP="001969F8">
      <w:pPr>
        <w:pStyle w:val="Point0"/>
        <w:rPr>
          <w:noProof/>
        </w:rPr>
      </w:pPr>
      <w:r w:rsidRPr="0001127D">
        <w:rPr>
          <w:noProof/>
        </w:rPr>
        <w:t>(9)</w:t>
      </w:r>
      <w:r w:rsidRPr="0001127D">
        <w:rPr>
          <w:noProof/>
        </w:rPr>
        <w:tab/>
        <w:t>È opportuno garantire in tutti gli Stati membri un controllo preventivo amministrativo o giudiziario, nel rispetto delle tradizioni degli Stati membri, compresa l</w:t>
      </w:r>
      <w:r w:rsidR="00E64452" w:rsidRPr="0001127D">
        <w:rPr>
          <w:noProof/>
        </w:rPr>
        <w:t>'</w:t>
      </w:r>
      <w:r w:rsidRPr="0001127D">
        <w:rPr>
          <w:noProof/>
        </w:rPr>
        <w:t>eventuale partecipazione dei notai, al fine di garantire l</w:t>
      </w:r>
      <w:r w:rsidR="00E64452" w:rsidRPr="0001127D">
        <w:rPr>
          <w:noProof/>
        </w:rPr>
        <w:t>'</w:t>
      </w:r>
      <w:r w:rsidRPr="0001127D">
        <w:rPr>
          <w:noProof/>
        </w:rPr>
        <w:t>affidabilità dei dati transfrontalieri sulle imprese. È opportuno effettuare un controllo di legalità dell</w:t>
      </w:r>
      <w:r w:rsidR="00E64452" w:rsidRPr="0001127D">
        <w:rPr>
          <w:noProof/>
        </w:rPr>
        <w:t>'</w:t>
      </w:r>
      <w:r w:rsidRPr="0001127D">
        <w:rPr>
          <w:noProof/>
        </w:rPr>
        <w:t>atto costitutivo della società, dello statuto della società, se quest</w:t>
      </w:r>
      <w:r w:rsidR="00E64452" w:rsidRPr="0001127D">
        <w:rPr>
          <w:noProof/>
        </w:rPr>
        <w:t>'</w:t>
      </w:r>
      <w:r w:rsidRPr="0001127D">
        <w:rPr>
          <w:noProof/>
        </w:rPr>
        <w:t xml:space="preserve">ultimo forma oggetto di atto separato, e di qualsiasi modifica di tali atti e statuti, dato che si tratta dei documenti più importanti riguardanti la società. </w:t>
      </w:r>
    </w:p>
    <w:p w14:paraId="1B783BA7" w14:textId="59032D7B" w:rsidR="00BA6365" w:rsidRPr="0001127D" w:rsidRDefault="001969F8" w:rsidP="001969F8">
      <w:pPr>
        <w:pStyle w:val="Point0"/>
        <w:rPr>
          <w:noProof/>
        </w:rPr>
      </w:pPr>
      <w:r w:rsidRPr="0001127D">
        <w:rPr>
          <w:noProof/>
        </w:rPr>
        <w:t>(10)</w:t>
      </w:r>
      <w:r w:rsidRPr="0001127D">
        <w:rPr>
          <w:noProof/>
        </w:rPr>
        <w:tab/>
        <w:t>Al fine di ridurre ulteriormente i costi e gli oneri amministrativi connessi alla costituzione di società, compresa la durata delle procedure, e di favorire l</w:t>
      </w:r>
      <w:r w:rsidR="00E64452" w:rsidRPr="0001127D">
        <w:rPr>
          <w:noProof/>
        </w:rPr>
        <w:t>'</w:t>
      </w:r>
      <w:r w:rsidRPr="0001127D">
        <w:rPr>
          <w:noProof/>
        </w:rPr>
        <w:t xml:space="preserve">espansione delle imprese nel mercato unico, in particolare delle PMI, è opportuno estendere il ricorso al principio </w:t>
      </w:r>
      <w:r w:rsidR="00E64452" w:rsidRPr="0001127D">
        <w:rPr>
          <w:noProof/>
        </w:rPr>
        <w:t>"</w:t>
      </w:r>
      <w:r w:rsidRPr="0001127D">
        <w:rPr>
          <w:noProof/>
        </w:rPr>
        <w:t>una tantum</w:t>
      </w:r>
      <w:r w:rsidR="00E64452" w:rsidRPr="0001127D">
        <w:rPr>
          <w:noProof/>
        </w:rPr>
        <w:t>"</w:t>
      </w:r>
      <w:r w:rsidRPr="0001127D">
        <w:rPr>
          <w:noProof/>
        </w:rPr>
        <w:t xml:space="preserve"> nel settore del diritto societario. Tale principio è già ampiamente riconosciuto nell</w:t>
      </w:r>
      <w:r w:rsidR="00E64452" w:rsidRPr="0001127D">
        <w:rPr>
          <w:noProof/>
        </w:rPr>
        <w:t>'</w:t>
      </w:r>
      <w:r w:rsidRPr="0001127D">
        <w:rPr>
          <w:noProof/>
        </w:rPr>
        <w:t>Unione, anche nell</w:t>
      </w:r>
      <w:r w:rsidR="00E64452" w:rsidRPr="0001127D">
        <w:rPr>
          <w:noProof/>
        </w:rPr>
        <w:t>'</w:t>
      </w:r>
      <w:r w:rsidRPr="0001127D">
        <w:rPr>
          <w:noProof/>
        </w:rPr>
        <w:t xml:space="preserve">ambito della comunicazione sulla bussola per il digitale 2030, come mezzo per consentire alle pubbliche amministrazioni di scambiare dati e prove a livello transfrontaliero, ed è utilizzato in diversi settori, come ad esempio il sistema tecnico </w:t>
      </w:r>
      <w:r w:rsidR="00E64452" w:rsidRPr="0001127D">
        <w:rPr>
          <w:noProof/>
        </w:rPr>
        <w:t>"</w:t>
      </w:r>
      <w:r w:rsidRPr="0001127D">
        <w:rPr>
          <w:noProof/>
        </w:rPr>
        <w:t>una tantum</w:t>
      </w:r>
      <w:r w:rsidR="00E64452" w:rsidRPr="0001127D">
        <w:rPr>
          <w:noProof/>
        </w:rPr>
        <w:t>"</w:t>
      </w:r>
      <w:r w:rsidRPr="0001127D">
        <w:rPr>
          <w:noProof/>
        </w:rPr>
        <w:t xml:space="preserve"> per lo </w:t>
      </w:r>
      <w:r w:rsidRPr="0001127D">
        <w:rPr>
          <w:noProof/>
          <w:color w:val="000000" w:themeColor="text1"/>
        </w:rPr>
        <w:t>scambio transfrontaliero automatizzato di prove nel contesto dello sportello digitale unico</w:t>
      </w:r>
      <w:r w:rsidRPr="0001127D">
        <w:rPr>
          <w:rStyle w:val="FootnoteReference"/>
          <w:noProof/>
        </w:rPr>
        <w:footnoteReference w:id="54"/>
      </w:r>
      <w:r w:rsidRPr="0001127D">
        <w:rPr>
          <w:noProof/>
          <w:color w:val="000000" w:themeColor="text1"/>
        </w:rPr>
        <w:t>.</w:t>
      </w:r>
    </w:p>
    <w:p w14:paraId="6E9535A7" w14:textId="78DBCBEA" w:rsidR="00FD087E" w:rsidRPr="0001127D" w:rsidRDefault="001969F8" w:rsidP="001969F8">
      <w:pPr>
        <w:pStyle w:val="Point0"/>
        <w:rPr>
          <w:noProof/>
        </w:rPr>
      </w:pPr>
      <w:r w:rsidRPr="0001127D">
        <w:rPr>
          <w:noProof/>
        </w:rPr>
        <w:t>(11)</w:t>
      </w:r>
      <w:r w:rsidRPr="0001127D">
        <w:rPr>
          <w:noProof/>
        </w:rPr>
        <w:tab/>
        <w:t>L</w:t>
      </w:r>
      <w:r w:rsidR="00E64452" w:rsidRPr="0001127D">
        <w:rPr>
          <w:noProof/>
        </w:rPr>
        <w:t>'</w:t>
      </w:r>
      <w:r w:rsidRPr="0001127D">
        <w:rPr>
          <w:noProof/>
        </w:rPr>
        <w:t xml:space="preserve">applicazione del principio </w:t>
      </w:r>
      <w:r w:rsidR="00E64452" w:rsidRPr="0001127D">
        <w:rPr>
          <w:noProof/>
        </w:rPr>
        <w:t>"</w:t>
      </w:r>
      <w:r w:rsidRPr="0001127D">
        <w:rPr>
          <w:noProof/>
        </w:rPr>
        <w:t>una tantum</w:t>
      </w:r>
      <w:r w:rsidR="00E64452" w:rsidRPr="0001127D">
        <w:rPr>
          <w:noProof/>
        </w:rPr>
        <w:t>"</w:t>
      </w:r>
      <w:r w:rsidRPr="0001127D">
        <w:rPr>
          <w:noProof/>
        </w:rPr>
        <w:t xml:space="preserve"> comporta che le società non debbano presentare più volte le stesse informazioni alle autorità pubbliche. Ad esempio, all</w:t>
      </w:r>
      <w:r w:rsidR="00E64452" w:rsidRPr="0001127D">
        <w:rPr>
          <w:noProof/>
        </w:rPr>
        <w:t>'</w:t>
      </w:r>
      <w:r w:rsidRPr="0001127D">
        <w:rPr>
          <w:noProof/>
        </w:rPr>
        <w:t xml:space="preserve">atto della costituzione di una controllata in un altro Stato membro, è opportuno che le società non siano tenute a ripresentare i documenti o le informazioni già presentati al registro in cui la società è iscritta. Le informazioni sulla società dovrebbero invece essere scambiate elettronicamente tra il registro in cui è registrata la società e il registro in cui è registrata una controllata attraverso il sistema di interconnessione dei registri. </w:t>
      </w:r>
      <w:r w:rsidRPr="0001127D">
        <w:rPr>
          <w:noProof/>
          <w:color w:val="000000" w:themeColor="text1"/>
        </w:rPr>
        <w:t>Il registro delle imprese dovrebbe mettere tali informazioni a disposizione di qualsiasi autorità o qualsiasi persona od organismo incaricato a norma del diritto nazionale di occuparsi di qualsiasi aspetto della costituzione di una società.</w:t>
      </w:r>
    </w:p>
    <w:p w14:paraId="6D384C83" w14:textId="625ABEF2" w:rsidR="00FD087E" w:rsidRPr="0001127D" w:rsidRDefault="001969F8" w:rsidP="001969F8">
      <w:pPr>
        <w:pStyle w:val="Point0"/>
        <w:rPr>
          <w:noProof/>
        </w:rPr>
      </w:pPr>
      <w:r w:rsidRPr="0001127D">
        <w:rPr>
          <w:noProof/>
        </w:rPr>
        <w:t>(12)</w:t>
      </w:r>
      <w:r w:rsidRPr="0001127D">
        <w:rPr>
          <w:noProof/>
        </w:rPr>
        <w:tab/>
        <w:t>Al fine di accrescere la trasparenza e la fiducia nei confronti delle società nel mercato unico e di agevolare le operazioni e le attività transfrontaliere delle società, è essenziale rendere disponibili più informazioni sulle società in tutta l</w:t>
      </w:r>
      <w:r w:rsidR="00E64452" w:rsidRPr="0001127D">
        <w:rPr>
          <w:noProof/>
        </w:rPr>
        <w:t>'</w:t>
      </w:r>
      <w:r w:rsidRPr="0001127D">
        <w:rPr>
          <w:noProof/>
        </w:rPr>
        <w:t>Unione e garantire che tali informazioni siano comparabili e più facilmente accessibili. A tal fine è opportuno basarsi sulle informazioni sulle società già presenti nei registri nazionali, rendere tali informazioni disponibili a livello dell</w:t>
      </w:r>
      <w:r w:rsidR="00E64452" w:rsidRPr="0001127D">
        <w:rPr>
          <w:noProof/>
        </w:rPr>
        <w:t>'</w:t>
      </w:r>
      <w:r w:rsidRPr="0001127D">
        <w:rPr>
          <w:noProof/>
        </w:rPr>
        <w:t xml:space="preserve">Unione attraverso il sistema di interconnessione dei registri, nonché fornire accesso a più informazioni sia nei registri nazionali che attraverso il sistema di interconnessione dei registri. </w:t>
      </w:r>
    </w:p>
    <w:p w14:paraId="23DC3FBE" w14:textId="6E790CCF" w:rsidR="00FD087E" w:rsidRPr="0001127D" w:rsidRDefault="001969F8" w:rsidP="001969F8">
      <w:pPr>
        <w:pStyle w:val="Point0"/>
        <w:rPr>
          <w:noProof/>
        </w:rPr>
      </w:pPr>
      <w:r w:rsidRPr="0001127D">
        <w:rPr>
          <w:noProof/>
        </w:rPr>
        <w:t>(13)</w:t>
      </w:r>
      <w:r w:rsidRPr="0001127D">
        <w:rPr>
          <w:noProof/>
        </w:rPr>
        <w:tab/>
        <w:t>Le informazioni sulla sede dell</w:t>
      </w:r>
      <w:r w:rsidR="00E64452" w:rsidRPr="0001127D">
        <w:rPr>
          <w:noProof/>
        </w:rPr>
        <w:t>'</w:t>
      </w:r>
      <w:r w:rsidRPr="0001127D">
        <w:rPr>
          <w:noProof/>
        </w:rPr>
        <w:t>amministrazione centrale e sul centro di attività principale sono importanti per accrescere la trasparenza e quindi rafforzare la certezza del diritto relativamente ai rapporti d</w:t>
      </w:r>
      <w:r w:rsidR="00E64452" w:rsidRPr="0001127D">
        <w:rPr>
          <w:noProof/>
        </w:rPr>
        <w:t>'</w:t>
      </w:r>
      <w:r w:rsidRPr="0001127D">
        <w:rPr>
          <w:noProof/>
        </w:rPr>
        <w:t>affari delle società dell</w:t>
      </w:r>
      <w:r w:rsidR="00E64452" w:rsidRPr="0001127D">
        <w:rPr>
          <w:noProof/>
        </w:rPr>
        <w:t>'</w:t>
      </w:r>
      <w:r w:rsidRPr="0001127D">
        <w:rPr>
          <w:noProof/>
        </w:rPr>
        <w:t>Unione, anche quando si tratta di investire in tali società. Tali informazioni sono pertinenti anche in altri contesti, ad esempio in caso di insolvenza o ristrutturazione, nel diritto della concorrenza, a fini fiscali o di sicurezza sociale, o per le autorità nella lotta contro le frodi o gli abusi, in quanto possono contribuire all</w:t>
      </w:r>
      <w:r w:rsidR="00E64452" w:rsidRPr="0001127D">
        <w:rPr>
          <w:noProof/>
        </w:rPr>
        <w:t>'</w:t>
      </w:r>
      <w:r w:rsidRPr="0001127D">
        <w:rPr>
          <w:noProof/>
        </w:rPr>
        <w:t>identificazione di società di comodo fraudolente o abusive. Tali elementi possono fornire informazioni utili sul modo in cui le società svolgono le loro attività e sulla misura in cui esse sono collegate all</w:t>
      </w:r>
      <w:r w:rsidR="00E64452" w:rsidRPr="0001127D">
        <w:rPr>
          <w:noProof/>
        </w:rPr>
        <w:t>'</w:t>
      </w:r>
      <w:r w:rsidRPr="0001127D">
        <w:rPr>
          <w:noProof/>
        </w:rPr>
        <w:t>Unione.</w:t>
      </w:r>
      <w:r w:rsidR="00E64452" w:rsidRPr="0001127D">
        <w:rPr>
          <w:noProof/>
        </w:rPr>
        <w:t xml:space="preserve"> </w:t>
      </w:r>
    </w:p>
    <w:p w14:paraId="53862321" w14:textId="2032CA04" w:rsidR="00FD087E" w:rsidRPr="0001127D" w:rsidRDefault="001969F8" w:rsidP="001969F8">
      <w:pPr>
        <w:pStyle w:val="Point0"/>
        <w:rPr>
          <w:noProof/>
        </w:rPr>
      </w:pPr>
      <w:r w:rsidRPr="0001127D">
        <w:rPr>
          <w:noProof/>
        </w:rPr>
        <w:t>(14)</w:t>
      </w:r>
      <w:r w:rsidRPr="0001127D">
        <w:rPr>
          <w:noProof/>
        </w:rPr>
        <w:tab/>
        <w:t>L</w:t>
      </w:r>
      <w:r w:rsidR="00E64452" w:rsidRPr="0001127D">
        <w:rPr>
          <w:noProof/>
        </w:rPr>
        <w:t>'</w:t>
      </w:r>
      <w:r w:rsidRPr="0001127D">
        <w:rPr>
          <w:noProof/>
        </w:rPr>
        <w:t>articolo</w:t>
      </w:r>
      <w:r w:rsidR="00780A7F" w:rsidRPr="0001127D">
        <w:rPr>
          <w:noProof/>
        </w:rPr>
        <w:t> </w:t>
      </w:r>
      <w:r w:rsidRPr="0001127D">
        <w:rPr>
          <w:noProof/>
        </w:rPr>
        <w:t>54 del trattato sul funzionamento dell</w:t>
      </w:r>
      <w:r w:rsidR="00E64452" w:rsidRPr="0001127D">
        <w:rPr>
          <w:noProof/>
        </w:rPr>
        <w:t>'</w:t>
      </w:r>
      <w:r w:rsidRPr="0001127D">
        <w:rPr>
          <w:noProof/>
        </w:rPr>
        <w:t>Unione europea fa riferimento all</w:t>
      </w:r>
      <w:r w:rsidR="00E64452" w:rsidRPr="0001127D">
        <w:rPr>
          <w:noProof/>
        </w:rPr>
        <w:t>'</w:t>
      </w:r>
      <w:r w:rsidRPr="0001127D">
        <w:rPr>
          <w:noProof/>
        </w:rPr>
        <w:t>amministrazione centrale, al centro di attività principale e alla sede sociale quali collegamenti decisivi con l</w:t>
      </w:r>
      <w:r w:rsidR="00E64452" w:rsidRPr="0001127D">
        <w:rPr>
          <w:noProof/>
        </w:rPr>
        <w:t>'</w:t>
      </w:r>
      <w:r w:rsidRPr="0001127D">
        <w:rPr>
          <w:noProof/>
        </w:rPr>
        <w:t>Unione e non di rado essi sono situati nello stesso Stato membro. Tuttavia la libertà di stabilimento, come chiarito dalla Corte di giustizia dell</w:t>
      </w:r>
      <w:r w:rsidR="00E64452" w:rsidRPr="0001127D">
        <w:rPr>
          <w:noProof/>
        </w:rPr>
        <w:t>'</w:t>
      </w:r>
      <w:r w:rsidRPr="0001127D">
        <w:rPr>
          <w:noProof/>
        </w:rPr>
        <w:t>Unione europea, implica il diritto di una società di avere l</w:t>
      </w:r>
      <w:r w:rsidR="00E64452" w:rsidRPr="0001127D">
        <w:rPr>
          <w:noProof/>
        </w:rPr>
        <w:t>'</w:t>
      </w:r>
      <w:r w:rsidRPr="0001127D">
        <w:rPr>
          <w:noProof/>
        </w:rPr>
        <w:t>amministrazione centrale o il centro di attività principale in uno Stato membro diverso da quello in cui è situata la sua sede sociale. In tal caso è opportuno che le parti abbiano accesso a dette informazioni in modo tale da poter adottare decisioni informate e tutelare i loro interessi. Pertanto, al fine di agevolare l</w:t>
      </w:r>
      <w:r w:rsidR="00E64452" w:rsidRPr="0001127D">
        <w:rPr>
          <w:noProof/>
        </w:rPr>
        <w:t>'</w:t>
      </w:r>
      <w:r w:rsidRPr="0001127D">
        <w:rPr>
          <w:noProof/>
        </w:rPr>
        <w:t>accesso a tali informazioni e ridurre gli oneri amministrativi per le società e le autorità, è auspicabile che le informazioni sullo Stato membro o sul paese terzo in cui si trova l</w:t>
      </w:r>
      <w:r w:rsidR="00E64452" w:rsidRPr="0001127D">
        <w:rPr>
          <w:noProof/>
        </w:rPr>
        <w:t>'</w:t>
      </w:r>
      <w:r w:rsidRPr="0001127D">
        <w:rPr>
          <w:noProof/>
        </w:rPr>
        <w:t xml:space="preserve">amministrazione centrale o il centro di attività principale (laddove non è situata nello Stato membro della sede sociale) siano pubblicate nei registri nazionali delle imprese e rese pubbliche attraverso il sistema di interconnessione dei registri. </w:t>
      </w:r>
    </w:p>
    <w:p w14:paraId="5BFE9149" w14:textId="4CD5EE52" w:rsidR="00FD087E" w:rsidRPr="0001127D" w:rsidRDefault="001969F8" w:rsidP="001969F8">
      <w:pPr>
        <w:pStyle w:val="Point0"/>
        <w:rPr>
          <w:noProof/>
        </w:rPr>
      </w:pPr>
      <w:r w:rsidRPr="0001127D">
        <w:rPr>
          <w:noProof/>
        </w:rPr>
        <w:t>(15)</w:t>
      </w:r>
      <w:r w:rsidRPr="0001127D">
        <w:rPr>
          <w:noProof/>
        </w:rPr>
        <w:tab/>
        <w:t>Al fine di tutelare gli interessi dei terzi e rafforzare la fiducia nelle transazioni commerciali con diversi tipi di società nel mercato unico, è importante migliorare la trasparenza e agevolare l</w:t>
      </w:r>
      <w:r w:rsidR="00E64452" w:rsidRPr="0001127D">
        <w:rPr>
          <w:noProof/>
        </w:rPr>
        <w:t>'</w:t>
      </w:r>
      <w:r w:rsidRPr="0001127D">
        <w:rPr>
          <w:noProof/>
        </w:rPr>
        <w:t xml:space="preserve">accesso su base transfrontaliera alle informazioni sulle cosiddette </w:t>
      </w:r>
      <w:r w:rsidR="00E64452" w:rsidRPr="0001127D">
        <w:rPr>
          <w:noProof/>
        </w:rPr>
        <w:t>"</w:t>
      </w:r>
      <w:r w:rsidRPr="0001127D">
        <w:rPr>
          <w:noProof/>
        </w:rPr>
        <w:t>società commerciali di persone</w:t>
      </w:r>
      <w:r w:rsidR="00E64452" w:rsidRPr="0001127D">
        <w:rPr>
          <w:noProof/>
        </w:rPr>
        <w:t>"</w:t>
      </w:r>
      <w:r w:rsidRPr="0001127D">
        <w:rPr>
          <w:noProof/>
        </w:rPr>
        <w:t>. Queste ultime svolgono un ruolo importante nell</w:t>
      </w:r>
      <w:r w:rsidR="00E64452" w:rsidRPr="0001127D">
        <w:rPr>
          <w:noProof/>
        </w:rPr>
        <w:t>'</w:t>
      </w:r>
      <w:r w:rsidRPr="0001127D">
        <w:rPr>
          <w:noProof/>
        </w:rPr>
        <w:t>economia degli Stati membri e sono iscritte in tutti i registri nazionali delle imprese, ma vi sono differenze tra i vari tipi di società di persone e i relativi tipi di informazioni disponibili in tutta l</w:t>
      </w:r>
      <w:r w:rsidR="00E64452" w:rsidRPr="0001127D">
        <w:rPr>
          <w:noProof/>
        </w:rPr>
        <w:t>'</w:t>
      </w:r>
      <w:r w:rsidRPr="0001127D">
        <w:rPr>
          <w:noProof/>
        </w:rPr>
        <w:t>Unione, il che comporta difficoltà nell</w:t>
      </w:r>
      <w:r w:rsidR="00E64452" w:rsidRPr="0001127D">
        <w:rPr>
          <w:noProof/>
        </w:rPr>
        <w:t>'</w:t>
      </w:r>
      <w:r w:rsidRPr="0001127D">
        <w:rPr>
          <w:noProof/>
        </w:rPr>
        <w:t xml:space="preserve">accesso transfrontaliero a tali informazioni. A tal fine, è opportuno che in tutti gli Stati membri siano pubblicate le stesse informazioni di base sulle </w:t>
      </w:r>
      <w:r w:rsidR="00E64452" w:rsidRPr="0001127D">
        <w:rPr>
          <w:noProof/>
        </w:rPr>
        <w:t>"</w:t>
      </w:r>
      <w:r w:rsidRPr="0001127D">
        <w:rPr>
          <w:noProof/>
        </w:rPr>
        <w:t>società commerciali di persone</w:t>
      </w:r>
      <w:r w:rsidR="00E64452" w:rsidRPr="0001127D">
        <w:rPr>
          <w:noProof/>
        </w:rPr>
        <w:t>"</w:t>
      </w:r>
      <w:r w:rsidRPr="0001127D">
        <w:rPr>
          <w:noProof/>
        </w:rPr>
        <w:t>. Gli obblighi di pubblicità per le società di persone dovrebbero rispecchiare gli obblighi di pubblicità ai quali sono soggette le società di capitali, ma dovrebbero essere adattati alle caratteristiche specifiche delle società di persone. Ad esempio, gli obblighi di pubblicità dovrebbero riguardare anche le informazioni sui soci, compresi quelli autorizzati a rappresentare la società di persone. Come nel caso delle società di capitali, gli Stati membri dovrebbero essere autorizzati a imporre alle società di persone l</w:t>
      </w:r>
      <w:r w:rsidR="00E64452" w:rsidRPr="0001127D">
        <w:rPr>
          <w:noProof/>
        </w:rPr>
        <w:t>'</w:t>
      </w:r>
      <w:r w:rsidRPr="0001127D">
        <w:rPr>
          <w:noProof/>
        </w:rPr>
        <w:t>obbligo di pubblicare documenti o informazioni ulteriori rispetto a quanto disposto dalla presente direttiva. Qualora tali documenti o informazioni aggiuntivi contengano dati personali, gli Stati membri dovrebbero trattarli in conformità del regolamento (UE) 2016/679 del Parlamento europeo e del Consiglio</w:t>
      </w:r>
      <w:r w:rsidRPr="0001127D">
        <w:rPr>
          <w:rStyle w:val="FootnoteReference"/>
          <w:noProof/>
        </w:rPr>
        <w:footnoteReference w:id="55"/>
      </w:r>
      <w:r w:rsidRPr="0001127D">
        <w:rPr>
          <w:noProof/>
        </w:rPr>
        <w:t xml:space="preserve">. </w:t>
      </w:r>
    </w:p>
    <w:p w14:paraId="501897BA" w14:textId="7DE2A9A8" w:rsidR="00FD087E" w:rsidRPr="0001127D" w:rsidRDefault="001969F8" w:rsidP="001969F8">
      <w:pPr>
        <w:pStyle w:val="Point0"/>
        <w:rPr>
          <w:noProof/>
        </w:rPr>
      </w:pPr>
      <w:r w:rsidRPr="0001127D">
        <w:rPr>
          <w:noProof/>
        </w:rPr>
        <w:t>(16)</w:t>
      </w:r>
      <w:r w:rsidRPr="0001127D">
        <w:rPr>
          <w:noProof/>
        </w:rPr>
        <w:tab/>
        <w:t xml:space="preserve">È opportuno che le informazioni sulle </w:t>
      </w:r>
      <w:r w:rsidR="00E64452" w:rsidRPr="0001127D">
        <w:rPr>
          <w:noProof/>
        </w:rPr>
        <w:t>"</w:t>
      </w:r>
      <w:r w:rsidRPr="0001127D">
        <w:rPr>
          <w:noProof/>
        </w:rPr>
        <w:t>società commerciali di persone</w:t>
      </w:r>
      <w:r w:rsidR="00E64452" w:rsidRPr="0001127D">
        <w:rPr>
          <w:noProof/>
        </w:rPr>
        <w:t>"</w:t>
      </w:r>
      <w:r w:rsidRPr="0001127D">
        <w:rPr>
          <w:noProof/>
        </w:rPr>
        <w:t xml:space="preserve"> siano accessibili anche a livello dell</w:t>
      </w:r>
      <w:r w:rsidR="00E64452" w:rsidRPr="0001127D">
        <w:rPr>
          <w:noProof/>
        </w:rPr>
        <w:t>'</w:t>
      </w:r>
      <w:r w:rsidRPr="0001127D">
        <w:rPr>
          <w:noProof/>
        </w:rPr>
        <w:t>Unione attraverso il sistema di interconnessione dei registri, analogamente a quanto avviene per le società di capitali, con determinate informazioni rese disponibili gratuitamente, e che siano identificate inequivocabilmente mediante l</w:t>
      </w:r>
      <w:r w:rsidR="00E64452" w:rsidRPr="0001127D">
        <w:rPr>
          <w:noProof/>
        </w:rPr>
        <w:t>'</w:t>
      </w:r>
      <w:r w:rsidRPr="0001127D">
        <w:rPr>
          <w:noProof/>
        </w:rPr>
        <w:t>identificativo unico europeo (</w:t>
      </w:r>
      <w:r w:rsidR="00E64452" w:rsidRPr="0001127D">
        <w:rPr>
          <w:noProof/>
        </w:rPr>
        <w:t>"</w:t>
      </w:r>
      <w:r w:rsidRPr="0001127D">
        <w:rPr>
          <w:noProof/>
        </w:rPr>
        <w:t>EUID</w:t>
      </w:r>
      <w:r w:rsidR="00E64452" w:rsidRPr="0001127D">
        <w:rPr>
          <w:noProof/>
        </w:rPr>
        <w:t>"</w:t>
      </w:r>
      <w:r w:rsidRPr="0001127D">
        <w:rPr>
          <w:noProof/>
        </w:rPr>
        <w:t>).</w:t>
      </w:r>
      <w:r w:rsidR="00E64452" w:rsidRPr="0001127D">
        <w:rPr>
          <w:noProof/>
        </w:rPr>
        <w:t xml:space="preserve"> </w:t>
      </w:r>
    </w:p>
    <w:p w14:paraId="5A819E39" w14:textId="5BE2E7FC" w:rsidR="00E627A6" w:rsidRPr="0001127D" w:rsidRDefault="001969F8" w:rsidP="001969F8">
      <w:pPr>
        <w:pStyle w:val="Point0"/>
        <w:rPr>
          <w:noProof/>
        </w:rPr>
      </w:pPr>
      <w:r w:rsidRPr="0001127D">
        <w:rPr>
          <w:noProof/>
        </w:rPr>
        <w:t>(17)</w:t>
      </w:r>
      <w:r w:rsidRPr="0001127D">
        <w:rPr>
          <w:noProof/>
        </w:rPr>
        <w:tab/>
        <w:t>Gli azionisti, i potenziali investitori, i creditori, le autorità, i dipendenti e le associazioni della società civile hanno un interesse legittimo ad avere accesso alle informazioni relative alla struttura del gruppo al quale appartiene una società. Le informazioni sui gruppi societari sono importanti per promuovere la trasparenza e rafforzare la fiducia nel contesto imprenditoriale, nonché per contribuire all</w:t>
      </w:r>
      <w:r w:rsidR="00E64452" w:rsidRPr="0001127D">
        <w:rPr>
          <w:noProof/>
        </w:rPr>
        <w:t>'</w:t>
      </w:r>
      <w:r w:rsidRPr="0001127D">
        <w:rPr>
          <w:noProof/>
        </w:rPr>
        <w:t>individuazione efficace di meccanismi fraudolenti o abusivi che potrebbero incidere sulle entrate pubbliche e sulla credibilità del mercato unico. È pertanto auspicabile che le informazioni sulle strutture di gruppo siano pubblicate nei registri delle imprese e attraverso il sistema di interconnessione dei registri sia per i gruppi nazionali che per quelli transfrontalieri.</w:t>
      </w:r>
    </w:p>
    <w:p w14:paraId="399FE0E0" w14:textId="49326ED9" w:rsidR="00D9615B" w:rsidRPr="0001127D" w:rsidRDefault="001969F8" w:rsidP="001969F8">
      <w:pPr>
        <w:pStyle w:val="Point0"/>
        <w:rPr>
          <w:noProof/>
        </w:rPr>
      </w:pPr>
      <w:r w:rsidRPr="0001127D">
        <w:rPr>
          <w:noProof/>
        </w:rPr>
        <w:t>(18)</w:t>
      </w:r>
      <w:r w:rsidRPr="0001127D">
        <w:rPr>
          <w:noProof/>
        </w:rPr>
        <w:tab/>
        <w:t>È opportuno che le società capogruppo soggette al diritto di uno Stato membro pubblichino nei rispettivi registri nazionali le informazioni di base su tutte le loro controllate, in quanto si trovano nella posizione migliore per fornire tali informazioni. Se la società capogruppo è soggetta al diritto di un paese terzo, tale obbligo di pubblicità dovrebbe essere assolto dalla controllata più vicina alla società capogruppo nella catena di controllo, purché stabilita nell</w:t>
      </w:r>
      <w:r w:rsidR="00E64452" w:rsidRPr="0001127D">
        <w:rPr>
          <w:noProof/>
        </w:rPr>
        <w:t>'</w:t>
      </w:r>
      <w:r w:rsidRPr="0001127D">
        <w:rPr>
          <w:noProof/>
        </w:rPr>
        <w:t>Unione e soggetta al diritto di uno Stato membro. Se tale controllata è una società madre intermedia, essa dovrebbe fornire informazioni sull</w:t>
      </w:r>
      <w:r w:rsidR="00E64452" w:rsidRPr="0001127D">
        <w:rPr>
          <w:noProof/>
        </w:rPr>
        <w:t>'</w:t>
      </w:r>
      <w:r w:rsidRPr="0001127D">
        <w:rPr>
          <w:noProof/>
        </w:rPr>
        <w:t>intero gruppo, ossia sulla società capogruppo e tutte le sue controllate. Se il gruppo comprende più società madri intermedie stabilite nell</w:t>
      </w:r>
      <w:r w:rsidR="00E64452" w:rsidRPr="0001127D">
        <w:rPr>
          <w:noProof/>
        </w:rPr>
        <w:t>'</w:t>
      </w:r>
      <w:r w:rsidRPr="0001127D">
        <w:rPr>
          <w:noProof/>
        </w:rPr>
        <w:t>Unione, il gruppo dovrebbe scegliere quale società madre intermedia è tenuta ad assolvere l</w:t>
      </w:r>
      <w:r w:rsidR="00E64452" w:rsidRPr="0001127D">
        <w:rPr>
          <w:noProof/>
        </w:rPr>
        <w:t>'</w:t>
      </w:r>
      <w:r w:rsidRPr="0001127D">
        <w:rPr>
          <w:noProof/>
        </w:rPr>
        <w:t>obbligo di pubblicità. Laddove nessuna società madre intermedia è soggetta al diritto di uno Stato membro, tale obbligo di pubblicità dovrebbe essere assolto da una controllata soggetta al diritto di uno Stato membro selezionata dal gruppo.</w:t>
      </w:r>
    </w:p>
    <w:p w14:paraId="4582C7FE" w14:textId="7971E637" w:rsidR="00D9615B" w:rsidRPr="0001127D" w:rsidRDefault="001969F8" w:rsidP="001969F8">
      <w:pPr>
        <w:pStyle w:val="Point0"/>
        <w:rPr>
          <w:noProof/>
        </w:rPr>
      </w:pPr>
      <w:r w:rsidRPr="0001127D">
        <w:rPr>
          <w:noProof/>
        </w:rPr>
        <w:t>(19)</w:t>
      </w:r>
      <w:r w:rsidRPr="0001127D">
        <w:rPr>
          <w:noProof/>
        </w:rPr>
        <w:tab/>
        <w:t xml:space="preserve">Al fine di garantire una maggiore trasparenza in merito alle controllate appartenenti a un gruppo, è opportuno che i registri delle controllate contengano anche informazioni sul gruppo e, in particolare, informazioni sulla società capogruppo e su qualsiasi società madre intermedia soggetta al diritto di uno Stato membro e, a tal fine, tali informazioni dovrebbero essere condivise con i registri delle controllate attraverso il sistema di interconnessione dei registri. Inoltre gli Stati membri i cui registri delle imprese si basano su una struttura decentralizzata possono anche decidere di trasferire le informazioni necessarie tra i registri nazionali attraverso il sistema di interconnessione dei registri. </w:t>
      </w:r>
    </w:p>
    <w:p w14:paraId="453F3437" w14:textId="663BB537" w:rsidR="00D9615B" w:rsidRPr="0001127D" w:rsidRDefault="001969F8" w:rsidP="001969F8">
      <w:pPr>
        <w:pStyle w:val="Point0"/>
        <w:rPr>
          <w:noProof/>
        </w:rPr>
      </w:pPr>
      <w:r w:rsidRPr="0001127D">
        <w:rPr>
          <w:noProof/>
        </w:rPr>
        <w:t>(20)</w:t>
      </w:r>
      <w:r w:rsidRPr="0001127D">
        <w:rPr>
          <w:noProof/>
        </w:rPr>
        <w:tab/>
        <w:t>Al fine di evitare oneri inutili, è opportuno che l</w:t>
      </w:r>
      <w:r w:rsidR="00E64452" w:rsidRPr="0001127D">
        <w:rPr>
          <w:noProof/>
        </w:rPr>
        <w:t>'</w:t>
      </w:r>
      <w:r w:rsidRPr="0001127D">
        <w:rPr>
          <w:noProof/>
        </w:rPr>
        <w:t>obbligo di aggiornare le informazioni del gruppo almeno una volta all</w:t>
      </w:r>
      <w:r w:rsidR="00E64452" w:rsidRPr="0001127D">
        <w:rPr>
          <w:noProof/>
        </w:rPr>
        <w:t>'</w:t>
      </w:r>
      <w:r w:rsidRPr="0001127D">
        <w:rPr>
          <w:noProof/>
        </w:rPr>
        <w:t>anno ricada sulla società capogruppo o, laddove applicabile, sulla società madre intermedia o sulla controllata soggetta al diritto di uno Stato membro. Se entro un anno non si sono verificati cambiamenti, tale società madre o controllata dovrebbe confermare l</w:t>
      </w:r>
      <w:r w:rsidR="00E64452" w:rsidRPr="0001127D">
        <w:rPr>
          <w:noProof/>
        </w:rPr>
        <w:t>'</w:t>
      </w:r>
      <w:r w:rsidRPr="0001127D">
        <w:rPr>
          <w:noProof/>
        </w:rPr>
        <w:t>assenza di cambiamenti al proprio registro, il quale dovrebbe registrare e rendere pubbliche le informazioni in questione. Inoltre è auspicabile che ogni società abbia la responsabilità di tenere aggiornate nel proprio registro le informazioni relative al suo collegamento con il gruppo. A tale riguardo, la società capogruppo o, laddove applicabile, la società madre intermedia o la controllata soggetta al diritto di uno Stato membro dovrebbe comunicare senza indugio eventuali modifiche delle informazioni sul gruppo alle (altre) controllate affinché queste possano adempiere in tempo utile all</w:t>
      </w:r>
      <w:r w:rsidR="00E64452" w:rsidRPr="0001127D">
        <w:rPr>
          <w:noProof/>
        </w:rPr>
        <w:t>'</w:t>
      </w:r>
      <w:r w:rsidRPr="0001127D">
        <w:rPr>
          <w:noProof/>
        </w:rPr>
        <w:t xml:space="preserve">obbligo di tenere aggiornate nel loro registro le informazioni relative al gruppo. </w:t>
      </w:r>
    </w:p>
    <w:p w14:paraId="24C2ECC3" w14:textId="4E564A36" w:rsidR="00D9615B" w:rsidRPr="0001127D" w:rsidRDefault="001969F8" w:rsidP="001969F8">
      <w:pPr>
        <w:pStyle w:val="Point0"/>
        <w:rPr>
          <w:noProof/>
        </w:rPr>
      </w:pPr>
      <w:r w:rsidRPr="0001127D">
        <w:rPr>
          <w:noProof/>
        </w:rPr>
        <w:t>(21)</w:t>
      </w:r>
      <w:r w:rsidRPr="0001127D">
        <w:rPr>
          <w:noProof/>
        </w:rPr>
        <w:tab/>
        <w:t xml:space="preserve">I gruppi societari possono avere strutture complesse. Pertanto è opportuno che una visualizzazione della struttura di gruppo basata sulla catena di controllo sia resa disponibile attraverso il sistema di interconnessione dei registri, in modo tale da fornire una panoramica completa del gruppo e consentire una migliore comprensione delle modalità di funzionamento del gruppo stesso. Tale visualizzazione sarebbe redatta sulla base delle informazioni sulla posizione di ciascuna controllata nella struttura di gruppo presentate dalla capogruppo o, laddove applicabile, dalla società madre intermedia o dalla controllata soggetta al diritto di uno Stato membro. </w:t>
      </w:r>
    </w:p>
    <w:p w14:paraId="6501B2F4" w14:textId="679C2CFE" w:rsidR="00026874" w:rsidRPr="0001127D" w:rsidRDefault="001969F8" w:rsidP="001969F8">
      <w:pPr>
        <w:pStyle w:val="Point0"/>
        <w:rPr>
          <w:noProof/>
        </w:rPr>
      </w:pPr>
      <w:r w:rsidRPr="0001127D">
        <w:rPr>
          <w:noProof/>
        </w:rPr>
        <w:t>(22)</w:t>
      </w:r>
      <w:r w:rsidRPr="0001127D">
        <w:rPr>
          <w:noProof/>
        </w:rPr>
        <w:tab/>
        <w:t>Oltre alle norme comuni per il controllo delle informazioni sulle società prima della loro iscrizione nel registro, è essenziale garantire che le informazioni contenute nel registro siano aggiornate. La raccomandazione 24 del gruppo di azione finanziaria internazionale sulla trasparenza e l</w:t>
      </w:r>
      <w:r w:rsidR="00E64452" w:rsidRPr="0001127D">
        <w:rPr>
          <w:noProof/>
        </w:rPr>
        <w:t>'</w:t>
      </w:r>
      <w:r w:rsidRPr="0001127D">
        <w:rPr>
          <w:noProof/>
        </w:rPr>
        <w:t>effettiva titolarità delle persone giuridiche, riveduta nel marzo 2022, prevede l</w:t>
      </w:r>
      <w:r w:rsidR="00E64452" w:rsidRPr="0001127D">
        <w:rPr>
          <w:noProof/>
        </w:rPr>
        <w:t>'</w:t>
      </w:r>
      <w:r w:rsidRPr="0001127D">
        <w:rPr>
          <w:noProof/>
        </w:rPr>
        <w:t>obbligo di mantenere accurate e aggiornate le informazioni sulle società contenute nei registri delle imprese. È inoltre nell</w:t>
      </w:r>
      <w:r w:rsidR="00E64452" w:rsidRPr="0001127D">
        <w:rPr>
          <w:noProof/>
        </w:rPr>
        <w:t>'</w:t>
      </w:r>
      <w:r w:rsidRPr="0001127D">
        <w:rPr>
          <w:noProof/>
        </w:rPr>
        <w:t>interesse delle società assicurarsi che le loro informazioni contenute nel registro siano sempre aggiornate, poiché i terzi posso valersi di tali informazioni, compreso il certificato delle società UE. È pertanto opportuno che le società siano tenute a comunicare le modifiche delle informazioni sulle società senza indebiti ritardi e che i registri registrino e rendano disponibili tali modifiche in modo tempestivo. Sebbene il termine per la pubblicazione dei documenti contabili sia disciplinato dalla direttiva 2013/34/UE del Parlamento europeo e del Consiglio</w:t>
      </w:r>
      <w:r w:rsidRPr="0001127D">
        <w:rPr>
          <w:rStyle w:val="FootnoteReference"/>
          <w:noProof/>
        </w:rPr>
        <w:footnoteReference w:id="56"/>
      </w:r>
      <w:r w:rsidRPr="0001127D">
        <w:rPr>
          <w:noProof/>
        </w:rPr>
        <w:t>, anche i registri dovrebbero metterli a disposizione del pubblico senza indebiti ritardi. Inoltre, al fine di migliorare ulteriormente l</w:t>
      </w:r>
      <w:r w:rsidR="00E64452" w:rsidRPr="0001127D">
        <w:rPr>
          <w:noProof/>
        </w:rPr>
        <w:t>'</w:t>
      </w:r>
      <w:r w:rsidRPr="0001127D">
        <w:rPr>
          <w:noProof/>
        </w:rPr>
        <w:t>affidabilità dei dati sulle società, è auspicabile che le società confermino una volta per anno civile che le loro informazioni contenute nel registro delle imprese sono aggiornate, anche laddove non si siano verificati cambiamenti. Le società possono far ciò al momento della presentazione di altre modifiche o della presentazione dei documenti contabili.</w:t>
      </w:r>
    </w:p>
    <w:p w14:paraId="0D3B2ABD" w14:textId="27DC25C9" w:rsidR="00FD087E" w:rsidRPr="0001127D" w:rsidRDefault="001969F8" w:rsidP="001969F8">
      <w:pPr>
        <w:pStyle w:val="Point0"/>
        <w:rPr>
          <w:rFonts w:eastAsia="Calibri"/>
          <w:noProof/>
        </w:rPr>
      </w:pPr>
      <w:r w:rsidRPr="0001127D">
        <w:rPr>
          <w:noProof/>
        </w:rPr>
        <w:t>(23)</w:t>
      </w:r>
      <w:r w:rsidRPr="0001127D">
        <w:rPr>
          <w:noProof/>
        </w:rPr>
        <w:tab/>
        <w:t>Al fine di mantenere aggiornate le informazioni sulle società contenute nei registri, è altresì importante individuare le società che non soddisfano più</w:t>
      </w:r>
      <w:r w:rsidRPr="0001127D">
        <w:rPr>
          <w:rFonts w:ascii="inherit" w:hAnsi="inherit"/>
          <w:noProof/>
        </w:rPr>
        <w:t xml:space="preserve"> i requisiti per continuare ad essere iscritte nel registro delle imprese</w:t>
      </w:r>
      <w:r w:rsidRPr="0001127D">
        <w:rPr>
          <w:noProof/>
        </w:rPr>
        <w:t>. È opportuno che gli Stati membri dispongano di procedure trasparenti per verificare, in caso di dubbi, lo stato di tali società. Sebbene le società possano sospendere temporaneamente la loro attività per validi motivi, è importante che il loro stato nel registro delle imprese sia aggiornato di conseguenza. Ad esempio, gli indicatori potrebbero consistere nel fatto che una società non dispone di un consiglio di amministrazione funzionante come previsto dal diritto nazionale, non ha depositato documenti contabili o da alcuni anni non esercita alcuna attività economica. Analogamente, il fatto che un gran numero di società sia registrato allo stesso indirizzo potrebbe indicare che alcune di queste società sono state costituite a fini abusivi. Tali procedure dovrebbero includere la possibilità, per le società, di spiegare la propria situazione e di fornire i dati necessari, entro termini ragionevoli, e dovrebbero garantire che lo stato della società, ad esempio se questa è chiusa, liquidata, sciolta, economicamente attiva o inattiva, sia aggiornato di conseguenza. Le procedure dovrebbero inoltre prevedere la possibilità, in ultima istanza, di cancellare una società dal registro conformemente alle procedure stabilite dal diritto nazionale. Le informazioni su tali procedure dovrebbero essere accessibili al pubblico conformemente alla presente direttiva.</w:t>
      </w:r>
      <w:r w:rsidR="00E64452" w:rsidRPr="0001127D">
        <w:rPr>
          <w:noProof/>
        </w:rPr>
        <w:t xml:space="preserve"> </w:t>
      </w:r>
    </w:p>
    <w:p w14:paraId="31E33DF2" w14:textId="10EE3360" w:rsidR="00FD087E" w:rsidRPr="0001127D" w:rsidRDefault="001969F8" w:rsidP="001969F8">
      <w:pPr>
        <w:pStyle w:val="Point0"/>
        <w:rPr>
          <w:noProof/>
        </w:rPr>
      </w:pPr>
      <w:r w:rsidRPr="0001127D">
        <w:rPr>
          <w:noProof/>
        </w:rPr>
        <w:t>(24)</w:t>
      </w:r>
      <w:r w:rsidRPr="0001127D">
        <w:rPr>
          <w:noProof/>
        </w:rPr>
        <w:tab/>
        <w:t>Nel mercato unico le società dovrebbero essere in grado di dimostrare che la società è legalmente costituita in uno Stato membro con mezzi semplici e affidabili, riconosciuti a livello transfrontaliero da altri Stati membri. È pertanto opportuno istituire un certificato delle società UE armonizzato. Le società potrebbero richiedere tale certificato delle società UE al fine di utilizzarlo per vari scopi, anche in sede amministrativa dinanzi alle autorità nazionali e in sede giudiziaria in altri Stati membri o dinanzi alle istituzioni e agli organi dell</w:t>
      </w:r>
      <w:r w:rsidR="00E64452" w:rsidRPr="0001127D">
        <w:rPr>
          <w:noProof/>
        </w:rPr>
        <w:t>'</w:t>
      </w:r>
      <w:r w:rsidRPr="0001127D">
        <w:rPr>
          <w:noProof/>
        </w:rPr>
        <w:t>UE. Tale certificato delle società UE dovrebbe essere rilasciato e autenticato dai registri nazionali delle imprese, dovrebbe includere le informazioni di base sulle società utilizzate dalle imprese in situazioni transfrontaliere, tra cui la denominazione sociale, la sede sociale e i rappresentanti legali, e dovrebbe essere disponibile in tutte le lingue ufficiali dell</w:t>
      </w:r>
      <w:r w:rsidR="00E64452" w:rsidRPr="0001127D">
        <w:rPr>
          <w:noProof/>
        </w:rPr>
        <w:t>'</w:t>
      </w:r>
      <w:r w:rsidRPr="0001127D">
        <w:rPr>
          <w:noProof/>
        </w:rPr>
        <w:t>Unione. Il certificato delle società UE rilasciato in formato elettronico dovrebbe essere autenticato utilizzando i servizi fiduciari di cui al regolamento (UE) n. 910/2014</w:t>
      </w:r>
      <w:r w:rsidRPr="0001127D">
        <w:rPr>
          <w:rStyle w:val="FootnoteReference"/>
          <w:noProof/>
        </w:rPr>
        <w:footnoteReference w:id="57"/>
      </w:r>
      <w:r w:rsidRPr="0001127D">
        <w:rPr>
          <w:noProof/>
        </w:rPr>
        <w:t>. Il certificato delle società UE sarebbe accessibile anche a terzi, comprese le autorità, che necessitano di informazioni essenziali affidabili sulle imprese. Mentre gli Stati membri dovrebbero essere autorizzati ad addebitare oneri per il rilascio di un certificato delle società UE, i registri dovrebbero essere tenuti a fornire gratuitamente, su richiesta, a ciascuna società iscritta in tale registro il rispettivo certificato delle società UE E almeno una volta all</w:t>
      </w:r>
      <w:r w:rsidR="00E64452" w:rsidRPr="0001127D">
        <w:rPr>
          <w:noProof/>
        </w:rPr>
        <w:t>'</w:t>
      </w:r>
      <w:r w:rsidRPr="0001127D">
        <w:rPr>
          <w:noProof/>
        </w:rPr>
        <w:t xml:space="preserve">anno. I registri e le autorità di altri Stati membri dovrebbero accettare il certificato delle società UE conformemente alla presente direttiva. </w:t>
      </w:r>
    </w:p>
    <w:p w14:paraId="75CC49F9" w14:textId="4E93D73D" w:rsidR="00FD087E" w:rsidRPr="0001127D" w:rsidRDefault="001969F8" w:rsidP="001969F8">
      <w:pPr>
        <w:pStyle w:val="Point0"/>
        <w:rPr>
          <w:noProof/>
        </w:rPr>
      </w:pPr>
      <w:r w:rsidRPr="0001127D">
        <w:rPr>
          <w:noProof/>
        </w:rPr>
        <w:t>(25)</w:t>
      </w:r>
      <w:r w:rsidRPr="0001127D">
        <w:rPr>
          <w:noProof/>
        </w:rPr>
        <w:tab/>
        <w:t>Al fine di agevolare ulteriormente le procedure transfrontaliere per le società e semplificare e ridurre le formalità, come l</w:t>
      </w:r>
      <w:r w:rsidR="00E64452" w:rsidRPr="0001127D">
        <w:rPr>
          <w:noProof/>
        </w:rPr>
        <w:t>'</w:t>
      </w:r>
      <w:r w:rsidRPr="0001127D">
        <w:rPr>
          <w:noProof/>
        </w:rPr>
        <w:t>apostilla o la traduzione, è opportuno istituire una procura digitale dell</w:t>
      </w:r>
      <w:r w:rsidR="00E64452" w:rsidRPr="0001127D">
        <w:rPr>
          <w:noProof/>
        </w:rPr>
        <w:t>'</w:t>
      </w:r>
      <w:r w:rsidRPr="0001127D">
        <w:rPr>
          <w:noProof/>
        </w:rPr>
        <w:t>UE. La procura digitale dell</w:t>
      </w:r>
      <w:r w:rsidR="00E64452" w:rsidRPr="0001127D">
        <w:rPr>
          <w:noProof/>
        </w:rPr>
        <w:t>'</w:t>
      </w:r>
      <w:r w:rsidRPr="0001127D">
        <w:rPr>
          <w:noProof/>
        </w:rPr>
        <w:t>UE sarà costituita da un modello standard multilingue</w:t>
      </w:r>
      <w:r w:rsidRPr="0001127D">
        <w:rPr>
          <w:noProof/>
          <w:color w:val="000000" w:themeColor="text1"/>
        </w:rPr>
        <w:t xml:space="preserve"> basato su un modello comune europeo che le società possono decidere di utilizzare in situazioni transfrontaliere. Tale procura dovrebbe avere un contenuto minimo obbligatorio</w:t>
      </w:r>
      <w:r w:rsidRPr="0001127D">
        <w:rPr>
          <w:noProof/>
        </w:rPr>
        <w:t xml:space="preserve"> e sarebbe redatta conformemente ai</w:t>
      </w:r>
      <w:r w:rsidRPr="0001127D">
        <w:rPr>
          <w:noProof/>
          <w:color w:val="000000" w:themeColor="text1"/>
        </w:rPr>
        <w:t xml:space="preserve"> requisiti giuridici e formali nazionali.</w:t>
      </w:r>
      <w:r w:rsidRPr="0001127D">
        <w:rPr>
          <w:noProof/>
        </w:rPr>
        <w:t xml:space="preserve"> La procura digitale standard dell</w:t>
      </w:r>
      <w:r w:rsidR="00E64452" w:rsidRPr="0001127D">
        <w:rPr>
          <w:noProof/>
        </w:rPr>
        <w:t>'</w:t>
      </w:r>
      <w:r w:rsidRPr="0001127D">
        <w:rPr>
          <w:noProof/>
        </w:rPr>
        <w:t>UE sarebbe disponibile solo in formato digitale e dovrebbe essere autenticata utilizzando i servizi fiduciari di cui al regolamento (UE) n. 910/2014. Inoltre, al fine di contribuire a una maggiore sicurezza delle operazioni, la procura digitale dell</w:t>
      </w:r>
      <w:r w:rsidR="00E64452" w:rsidRPr="0001127D">
        <w:rPr>
          <w:noProof/>
        </w:rPr>
        <w:t>'</w:t>
      </w:r>
      <w:r w:rsidRPr="0001127D">
        <w:rPr>
          <w:noProof/>
        </w:rPr>
        <w:t>UE dovrebbe essere iscritta nel registro della società, nel quale sarebbe consultabile da terzi che sono in grado di dimostrare un interesse legittimo. In particolare, i terzi, quali avvocati, notai, enti creditizi e istituti finanziari o autorità competenti cui è presentata la procura digitale dell</w:t>
      </w:r>
      <w:r w:rsidR="00E64452" w:rsidRPr="0001127D">
        <w:rPr>
          <w:noProof/>
        </w:rPr>
        <w:t>'</w:t>
      </w:r>
      <w:r w:rsidRPr="0001127D">
        <w:rPr>
          <w:noProof/>
        </w:rPr>
        <w:t>UE, potrebbero così verificare l</w:t>
      </w:r>
      <w:r w:rsidR="00E64452" w:rsidRPr="0001127D">
        <w:rPr>
          <w:noProof/>
        </w:rPr>
        <w:t>'</w:t>
      </w:r>
      <w:r w:rsidRPr="0001127D">
        <w:rPr>
          <w:noProof/>
        </w:rPr>
        <w:t>esistenza di tali poteri nel registro della società. Gli Stati membri possono inoltre esigere che la procura digitale dell</w:t>
      </w:r>
      <w:r w:rsidR="00E64452" w:rsidRPr="0001127D">
        <w:rPr>
          <w:noProof/>
        </w:rPr>
        <w:t>'</w:t>
      </w:r>
      <w:r w:rsidRPr="0001127D">
        <w:rPr>
          <w:noProof/>
        </w:rPr>
        <w:t>UE sia iscritta anche in un altro registro conformemente al diritto nazionale. Al fine di superare le barriere linguistiche e agevolarne l</w:t>
      </w:r>
      <w:r w:rsidR="00E64452" w:rsidRPr="0001127D">
        <w:rPr>
          <w:noProof/>
        </w:rPr>
        <w:t>'</w:t>
      </w:r>
      <w:r w:rsidRPr="0001127D">
        <w:rPr>
          <w:noProof/>
        </w:rPr>
        <w:t>uso, il modello relativo al certificato delle società UE e un modello standard di procura digitale dell</w:t>
      </w:r>
      <w:r w:rsidR="00E64452" w:rsidRPr="0001127D">
        <w:rPr>
          <w:noProof/>
        </w:rPr>
        <w:t>'</w:t>
      </w:r>
      <w:r w:rsidRPr="0001127D">
        <w:rPr>
          <w:noProof/>
        </w:rPr>
        <w:t>UE dovrebbero essere disponibili sul portale della giustizia elettronica in tutte le lingue dell</w:t>
      </w:r>
      <w:r w:rsidR="00E64452" w:rsidRPr="0001127D">
        <w:rPr>
          <w:noProof/>
        </w:rPr>
        <w:t>'</w:t>
      </w:r>
      <w:r w:rsidRPr="0001127D">
        <w:rPr>
          <w:noProof/>
        </w:rPr>
        <w:t xml:space="preserve">Unione. </w:t>
      </w:r>
    </w:p>
    <w:p w14:paraId="393EC63A" w14:textId="793148EE" w:rsidR="00FD087E" w:rsidRPr="0001127D" w:rsidRDefault="001969F8" w:rsidP="001969F8">
      <w:pPr>
        <w:pStyle w:val="Point0"/>
        <w:rPr>
          <w:noProof/>
        </w:rPr>
      </w:pPr>
      <w:r w:rsidRPr="0001127D">
        <w:rPr>
          <w:noProof/>
        </w:rPr>
        <w:t>(26)</w:t>
      </w:r>
      <w:r w:rsidRPr="0001127D">
        <w:rPr>
          <w:noProof/>
        </w:rPr>
        <w:tab/>
        <w:t>Le società incontrano spesso difficoltà e ostacoli amministrativi nel momento in cui desiderano utilizzare le informazioni sulle società, già disponibili nel loro registro nazionale delle imprese, in situazioni transfrontaliere, anche nelle interazioni con le autorità competenti o nei procedimenti giudiziari in un altro Stato membro. I dati sulle società disponibili nel registro delle imprese di uno Stato membro spesso non sono accettati in un altro Stato membro senza formalità onerose che generano costi e ritardi. Pertanto, al fine di agevolare le attività transfrontaliere nel mercato unico, è opportuno che gli Stati membri garantiscano che non siano necessarie legalizzazioni o formalità analoghe, come l</w:t>
      </w:r>
      <w:r w:rsidR="00E64452" w:rsidRPr="0001127D">
        <w:rPr>
          <w:noProof/>
        </w:rPr>
        <w:t>'</w:t>
      </w:r>
      <w:r w:rsidRPr="0001127D">
        <w:rPr>
          <w:noProof/>
        </w:rPr>
        <w:t>apostilla, per quanto riguarda le copie autentiche di documenti e informazioni relative alle società ottenute dai registri. Lo stesso approccio dovrebbe essere applicato anche ai documenti e alle informazioni scambiati attraverso il sistema di interconnessione dei registri (quali i certificati preliminari alle operazioni), nonché agli atti notarili o ai documenti amministrativi nell</w:t>
      </w:r>
      <w:r w:rsidR="00E64452" w:rsidRPr="0001127D">
        <w:rPr>
          <w:noProof/>
        </w:rPr>
        <w:t>'</w:t>
      </w:r>
      <w:r w:rsidRPr="0001127D">
        <w:rPr>
          <w:noProof/>
        </w:rPr>
        <w:t>ambito delle procedure di cui alla presente direttiva che sono utilizzati in un contesto transfrontaliero. Tali procedure comprendono la costituzione di società e la registrazione di succursali in un altro Stato membro, nonché trasformazioni, fusioni e scissioni transfrontaliere.</w:t>
      </w:r>
    </w:p>
    <w:p w14:paraId="384760C9" w14:textId="6F458933" w:rsidR="00FD087E" w:rsidRPr="0001127D" w:rsidRDefault="001969F8" w:rsidP="001969F8">
      <w:pPr>
        <w:pStyle w:val="Point0"/>
        <w:rPr>
          <w:noProof/>
        </w:rPr>
      </w:pPr>
      <w:r w:rsidRPr="0001127D">
        <w:rPr>
          <w:noProof/>
        </w:rPr>
        <w:t>(27)</w:t>
      </w:r>
      <w:r w:rsidRPr="0001127D">
        <w:rPr>
          <w:noProof/>
        </w:rPr>
        <w:tab/>
        <w:t>Nel contempo, al fine di prevenire frodi o falsificazioni, è opportuno che le autorità dello Stato membro in cui sono presentati il documento o le informazioni sulle società, qualora abbiano un ragionevole dubbio circa la relativa autenticità, possano verificare il documento o le informazioni tramite il registro che li ha rilasciati o il registro del proprio Stato membro, che potrebbe scambiare informazioni sull</w:t>
      </w:r>
      <w:r w:rsidR="00E64452" w:rsidRPr="0001127D">
        <w:rPr>
          <w:noProof/>
        </w:rPr>
        <w:t>'</w:t>
      </w:r>
      <w:r w:rsidRPr="0001127D">
        <w:rPr>
          <w:noProof/>
        </w:rPr>
        <w:t>autenticità del documento attraverso il sistema di interconnessione dei registri. Tale scambio di informazioni dovrebbe contribuire alla fiducia reciproca e alla cooperazione tra gli Stati membri all</w:t>
      </w:r>
      <w:r w:rsidR="00E64452" w:rsidRPr="0001127D">
        <w:rPr>
          <w:noProof/>
        </w:rPr>
        <w:t>'</w:t>
      </w:r>
      <w:r w:rsidRPr="0001127D">
        <w:rPr>
          <w:noProof/>
        </w:rPr>
        <w:t xml:space="preserve">interno del mercato unico. </w:t>
      </w:r>
    </w:p>
    <w:p w14:paraId="2558BDF6" w14:textId="19DA9ECD" w:rsidR="009E6E0E" w:rsidRPr="0001127D" w:rsidRDefault="001969F8" w:rsidP="001969F8">
      <w:pPr>
        <w:pStyle w:val="Point0"/>
        <w:rPr>
          <w:noProof/>
        </w:rPr>
      </w:pPr>
      <w:r w:rsidRPr="0001127D">
        <w:rPr>
          <w:noProof/>
        </w:rPr>
        <w:t>(28)</w:t>
      </w:r>
      <w:r w:rsidRPr="0001127D">
        <w:rPr>
          <w:noProof/>
        </w:rPr>
        <w:tab/>
        <w:t>Gli atti costitutivi delle società sono talvolta redatti in due o più lingue, una delle quali è spesso una lingua ufficiale dell</w:t>
      </w:r>
      <w:r w:rsidR="00E64452" w:rsidRPr="0001127D">
        <w:rPr>
          <w:noProof/>
        </w:rPr>
        <w:t>'</w:t>
      </w:r>
      <w:r w:rsidRPr="0001127D">
        <w:rPr>
          <w:noProof/>
        </w:rPr>
        <w:t>Unione ampiamente compresa dal maggior numero possibile di utenti transfrontalieri. Le società spesso pubblicano volontariamente una traduzione del loro atto costitutivo in tale lingua sui loro siti web. Inoltre una quantità crescente di informazioni sulle società contenute nell</w:t>
      </w:r>
      <w:r w:rsidR="00E64452" w:rsidRPr="0001127D">
        <w:rPr>
          <w:noProof/>
        </w:rPr>
        <w:t>'</w:t>
      </w:r>
      <w:r w:rsidRPr="0001127D">
        <w:rPr>
          <w:noProof/>
        </w:rPr>
        <w:t>atto costitutivo è disponibile separatamente e facilmente identificabile con l</w:t>
      </w:r>
      <w:r w:rsidR="00E64452" w:rsidRPr="0001127D">
        <w:rPr>
          <w:noProof/>
        </w:rPr>
        <w:t>'</w:t>
      </w:r>
      <w:r w:rsidRPr="0001127D">
        <w:rPr>
          <w:noProof/>
        </w:rPr>
        <w:t>ausilio di note multilingue attraverso il sistema di interconnessione dei registri. Le informazioni sulle società dovranno inoltre essere conservate nei registri delle imprese in un formato consultabile e leggibile da dispositivo automatico o come dati strutturati, in linea con la direttiva (UE) 2019/1151, il che faciliterà la traduzione automatica di tali dati. Questi sviluppi agevolano la consultazione e l</w:t>
      </w:r>
      <w:r w:rsidR="00E64452" w:rsidRPr="0001127D">
        <w:rPr>
          <w:noProof/>
        </w:rPr>
        <w:t>'</w:t>
      </w:r>
      <w:r w:rsidRPr="0001127D">
        <w:rPr>
          <w:noProof/>
        </w:rPr>
        <w:t>utilizzo di tali informazioni sulle società in situazioni transfrontaliere senza che vi sia bisogno di una traduzione ufficiale. Pertanto è opportuno che i requisiti giuridici per la traduzione certificata dell</w:t>
      </w:r>
      <w:r w:rsidR="00E64452" w:rsidRPr="0001127D">
        <w:rPr>
          <w:noProof/>
        </w:rPr>
        <w:t>'</w:t>
      </w:r>
      <w:r w:rsidRPr="0001127D">
        <w:rPr>
          <w:noProof/>
        </w:rPr>
        <w:t>atto costitutivo e, analogamente, di altri documenti forniti dal registro delle imprese siano limitati allo stretto necessario e che la loro imposizione sia consentita solo in casi specifici, come quello in cui la traduzione certificata dei documenti è soggetta all</w:t>
      </w:r>
      <w:r w:rsidR="00E64452" w:rsidRPr="0001127D">
        <w:rPr>
          <w:noProof/>
        </w:rPr>
        <w:t>'</w:t>
      </w:r>
      <w:r w:rsidRPr="0001127D">
        <w:rPr>
          <w:noProof/>
        </w:rPr>
        <w:t>obbligo di pubblicità o quando la traduzione certificata è richiesta in altri ambiti giuridici, ad esempio nel contesto di procedimenti giudiziari.</w:t>
      </w:r>
      <w:r w:rsidR="00E64452" w:rsidRPr="0001127D">
        <w:rPr>
          <w:noProof/>
        </w:rPr>
        <w:t xml:space="preserve"> </w:t>
      </w:r>
    </w:p>
    <w:p w14:paraId="587C5005" w14:textId="2561442F" w:rsidR="008702AA" w:rsidRPr="0001127D" w:rsidRDefault="001969F8" w:rsidP="001969F8">
      <w:pPr>
        <w:pStyle w:val="Point0"/>
        <w:rPr>
          <w:noProof/>
        </w:rPr>
      </w:pPr>
      <w:r w:rsidRPr="0001127D">
        <w:rPr>
          <w:noProof/>
        </w:rPr>
        <w:t>(29)</w:t>
      </w:r>
      <w:r w:rsidRPr="0001127D">
        <w:rPr>
          <w:noProof/>
        </w:rPr>
        <w:tab/>
        <w:t>Al fine di accrescere la trasparenza, facilitare l</w:t>
      </w:r>
      <w:r w:rsidR="00E64452" w:rsidRPr="0001127D">
        <w:rPr>
          <w:noProof/>
        </w:rPr>
        <w:t>'</w:t>
      </w:r>
      <w:r w:rsidRPr="0001127D">
        <w:rPr>
          <w:noProof/>
        </w:rPr>
        <w:t>accesso alle informazioni sulle società e creare amministrazioni pubbliche più connesse su base transfrontaliera nel mercato unico, è importante collegare i sistemi di interconnessione già funzionanti a livello dell</w:t>
      </w:r>
      <w:r w:rsidR="00E64452" w:rsidRPr="0001127D">
        <w:rPr>
          <w:noProof/>
        </w:rPr>
        <w:t>'</w:t>
      </w:r>
      <w:r w:rsidRPr="0001127D">
        <w:rPr>
          <w:noProof/>
        </w:rPr>
        <w:t>Unione che contengono informazioni importanti sulle società. È pertanto opportuno che il sistema di interconnessione dei registri delle imprese (BRIS) sia collegato al sistema di interconnessione dei registri dei titolari effettivi (BORIS) dell</w:t>
      </w:r>
      <w:r w:rsidR="00E64452" w:rsidRPr="0001127D">
        <w:rPr>
          <w:noProof/>
        </w:rPr>
        <w:t>'</w:t>
      </w:r>
      <w:r w:rsidRPr="0001127D">
        <w:rPr>
          <w:noProof/>
        </w:rPr>
        <w:t>UE, istituito dalla direttiva (UE) 2015/849</w:t>
      </w:r>
      <w:r w:rsidRPr="0001127D">
        <w:rPr>
          <w:rStyle w:val="FootnoteReference"/>
          <w:noProof/>
        </w:rPr>
        <w:footnoteReference w:id="58"/>
      </w:r>
      <w:r w:rsidRPr="0001127D">
        <w:rPr>
          <w:noProof/>
        </w:rPr>
        <w:t>, modificata dalla direttiva (UE) 2018/843</w:t>
      </w:r>
      <w:r w:rsidRPr="0001127D">
        <w:rPr>
          <w:rStyle w:val="FootnoteReference"/>
          <w:noProof/>
        </w:rPr>
        <w:footnoteReference w:id="59"/>
      </w:r>
      <w:r w:rsidRPr="0001127D">
        <w:rPr>
          <w:noProof/>
        </w:rPr>
        <w:t>, che collega i registri centrali nazionali contenenti informazioni sui titolari effettivi di società e altri soggetti giuridici, trust e altri tipi di istituti giuridici, nonché al sistema di interconnessione dei registri fallimentari (IRI) dell</w:t>
      </w:r>
      <w:r w:rsidR="00E64452" w:rsidRPr="0001127D">
        <w:rPr>
          <w:noProof/>
        </w:rPr>
        <w:t>'</w:t>
      </w:r>
      <w:r w:rsidRPr="0001127D">
        <w:rPr>
          <w:noProof/>
        </w:rPr>
        <w:t>UE, istituito a norma del regolamento (UE) 2015/848</w:t>
      </w:r>
      <w:r w:rsidRPr="0001127D">
        <w:rPr>
          <w:rStyle w:val="FootnoteReference"/>
          <w:noProof/>
        </w:rPr>
        <w:footnoteReference w:id="60"/>
      </w:r>
      <w:r w:rsidRPr="0001127D">
        <w:rPr>
          <w:noProof/>
        </w:rPr>
        <w:t>. L</w:t>
      </w:r>
      <w:r w:rsidR="00E64452" w:rsidRPr="0001127D">
        <w:rPr>
          <w:noProof/>
        </w:rPr>
        <w:t>'</w:t>
      </w:r>
      <w:r w:rsidRPr="0001127D">
        <w:rPr>
          <w:noProof/>
        </w:rPr>
        <w:t>EUID dovrebbe essere utilizzato per collegare le informazioni relative a una determinata società in tutti questi sistemi. Tuttavia tale connessione tra i sistemi non dovrebbe incidere sulle norme e sui requisiti relativi all</w:t>
      </w:r>
      <w:r w:rsidR="00E64452" w:rsidRPr="0001127D">
        <w:rPr>
          <w:noProof/>
        </w:rPr>
        <w:t>'</w:t>
      </w:r>
      <w:r w:rsidRPr="0001127D">
        <w:rPr>
          <w:noProof/>
        </w:rPr>
        <w:t>accesso alle informazioni stabiliti nell</w:t>
      </w:r>
      <w:r w:rsidR="00E64452" w:rsidRPr="0001127D">
        <w:rPr>
          <w:noProof/>
        </w:rPr>
        <w:t>'</w:t>
      </w:r>
      <w:r w:rsidRPr="0001127D">
        <w:rPr>
          <w:noProof/>
        </w:rPr>
        <w:t>ambito dei pertinenti quadri che istituiscono tali registri e interconnessioni. Ciò significa, ad esempio, che un utente del BRIS dovrebbe poter accedere al BORIS solo se ha diritto ad accedere al BORIS ai sensi delle norme e dei requisiti di quest</w:t>
      </w:r>
      <w:r w:rsidR="00E64452" w:rsidRPr="0001127D">
        <w:rPr>
          <w:noProof/>
        </w:rPr>
        <w:t>'</w:t>
      </w:r>
      <w:r w:rsidRPr="0001127D">
        <w:rPr>
          <w:noProof/>
        </w:rPr>
        <w:t xml:space="preserve">ultimo. </w:t>
      </w:r>
    </w:p>
    <w:p w14:paraId="3416BEDC" w14:textId="64D9F523" w:rsidR="00FD087E" w:rsidRPr="0001127D" w:rsidRDefault="001969F8" w:rsidP="001969F8">
      <w:pPr>
        <w:pStyle w:val="Point0"/>
        <w:rPr>
          <w:noProof/>
        </w:rPr>
      </w:pPr>
      <w:r w:rsidRPr="0001127D">
        <w:rPr>
          <w:noProof/>
        </w:rPr>
        <w:t>(30)</w:t>
      </w:r>
      <w:r w:rsidRPr="0001127D">
        <w:rPr>
          <w:noProof/>
        </w:rPr>
        <w:tab/>
        <w:t xml:space="preserve">Per consentire alle società, in particolare alle PMI, di espandere più facilmente le loro attività imprenditoriali a livello transfrontaliero, è opportuno che il ricorso al principio </w:t>
      </w:r>
      <w:r w:rsidR="00E64452" w:rsidRPr="0001127D">
        <w:rPr>
          <w:noProof/>
        </w:rPr>
        <w:t>"</w:t>
      </w:r>
      <w:r w:rsidRPr="0001127D">
        <w:rPr>
          <w:noProof/>
        </w:rPr>
        <w:t>una tantum</w:t>
      </w:r>
      <w:r w:rsidR="00E64452" w:rsidRPr="0001127D">
        <w:rPr>
          <w:noProof/>
        </w:rPr>
        <w:t>"</w:t>
      </w:r>
      <w:r w:rsidRPr="0001127D">
        <w:rPr>
          <w:noProof/>
        </w:rPr>
        <w:t xml:space="preserve"> sia ulteriormente sviluppato nei casi in cui le società registrano succursali in un altro Stato membro. Il registro della succursale dovrebbe ottenere le informazioni sulla società che registra la succursale transfrontaliera reperendole elettronicamente dal registro della società attraverso il sistema di interconnessione dei registri. Tale scambio di informazioni, come qualsiasi altro scambio di informazioni tra registri attraverso il sistema di interconnessione dei registri, sarà effettuato mediante una trasmissione sicura tra i registri nazionali, che garantisce che le informazioni siano affidabili e non debbano essere certificate o soggette a legalizzazione o formalità analoghe.</w:t>
      </w:r>
    </w:p>
    <w:p w14:paraId="67A4DF1A" w14:textId="6BEECBB9" w:rsidR="00DC2BD7" w:rsidRPr="0001127D" w:rsidRDefault="001969F8" w:rsidP="001969F8">
      <w:pPr>
        <w:pStyle w:val="Point0"/>
        <w:rPr>
          <w:noProof/>
        </w:rPr>
      </w:pPr>
      <w:r w:rsidRPr="0001127D">
        <w:rPr>
          <w:noProof/>
        </w:rPr>
        <w:t>(31)</w:t>
      </w:r>
      <w:r w:rsidRPr="0001127D">
        <w:rPr>
          <w:noProof/>
        </w:rPr>
        <w:tab/>
        <w:t>Sebbene le informazioni sulle succursali transfrontaliere delle società di capitali dell</w:t>
      </w:r>
      <w:r w:rsidR="00E64452" w:rsidRPr="0001127D">
        <w:rPr>
          <w:noProof/>
        </w:rPr>
        <w:t>'</w:t>
      </w:r>
      <w:r w:rsidRPr="0001127D">
        <w:rPr>
          <w:noProof/>
        </w:rPr>
        <w:t>UE siano già disponibili attraverso il sistema di interconnessione dei registri, le informazioni sulle succursali di società di paesi terzi non lo sono, anche se sono già pubblicate nei registri nazionali in linea con la direttiva (UE) 2017/1132. Al fine di agevolare l</w:t>
      </w:r>
      <w:r w:rsidR="00E64452" w:rsidRPr="0001127D">
        <w:rPr>
          <w:noProof/>
        </w:rPr>
        <w:t>'</w:t>
      </w:r>
      <w:r w:rsidRPr="0001127D">
        <w:rPr>
          <w:noProof/>
        </w:rPr>
        <w:t>accesso dei portatori di interessi a tali informazioni a livello dell</w:t>
      </w:r>
      <w:r w:rsidR="00E64452" w:rsidRPr="0001127D">
        <w:rPr>
          <w:noProof/>
        </w:rPr>
        <w:t>'</w:t>
      </w:r>
      <w:r w:rsidRPr="0001127D">
        <w:rPr>
          <w:noProof/>
        </w:rPr>
        <w:t>Unione, è opportuno che le informazioni su dette succursali di società di paesi terzi siano rese disponibili attraverso il sistema di interconnessione dei registri e che alcune di queste informazioni siano disponibili gratuitamente, come già avviene per le succursali transfrontaliere delle società di capitali dell</w:t>
      </w:r>
      <w:r w:rsidR="00E64452" w:rsidRPr="0001127D">
        <w:rPr>
          <w:noProof/>
        </w:rPr>
        <w:t>'</w:t>
      </w:r>
      <w:r w:rsidRPr="0001127D">
        <w:rPr>
          <w:noProof/>
        </w:rPr>
        <w:t>UE.</w:t>
      </w:r>
    </w:p>
    <w:p w14:paraId="3B0FD8D7" w14:textId="0CE04F09" w:rsidR="008702AA" w:rsidRPr="0001127D" w:rsidRDefault="001969F8" w:rsidP="001969F8">
      <w:pPr>
        <w:pStyle w:val="Point0"/>
        <w:rPr>
          <w:noProof/>
        </w:rPr>
      </w:pPr>
      <w:r w:rsidRPr="0001127D">
        <w:rPr>
          <w:noProof/>
        </w:rPr>
        <w:t>(32)</w:t>
      </w:r>
      <w:r w:rsidRPr="0001127D">
        <w:rPr>
          <w:noProof/>
        </w:rPr>
        <w:tab/>
        <w:t xml:space="preserve">È opportuno che i documenti e le informazioni sulla società, comprese le informazioni sui rappresentanti legali, i soci delle società di persone e altre persone che possono legittimamente rappresentare una società, siano resi pubblici nei registri delle imprese al fine di garantire la certezza del diritto nei rapporti tra la società e i terzi. In particolare, i terzi, come i creditori, gli investitori e i partner commerciali, ma anche le autorità e i tribunali, dovrebbero avere la piena certezza del diritto in merito alla persona </w:t>
      </w:r>
      <w:r w:rsidRPr="0001127D">
        <w:rPr>
          <w:noProof/>
          <w:color w:val="000000"/>
          <w:shd w:val="clear" w:color="auto" w:fill="FFFFFF"/>
        </w:rPr>
        <w:t xml:space="preserve">designata ad agire per conto della società e autorizzata a stipulare contratti o svolgere attività per conto della stessa. I soci di una società di persone sono spesso </w:t>
      </w:r>
      <w:r w:rsidRPr="0001127D">
        <w:rPr>
          <w:noProof/>
        </w:rPr>
        <w:t>autorizzati a rappresentare quest</w:t>
      </w:r>
      <w:r w:rsidR="00E64452" w:rsidRPr="0001127D">
        <w:rPr>
          <w:noProof/>
        </w:rPr>
        <w:t>'</w:t>
      </w:r>
      <w:r w:rsidRPr="0001127D">
        <w:rPr>
          <w:noProof/>
        </w:rPr>
        <w:t>ultima nei rapporti con terzi e nei procedimenti giudiziari. Analogamente, al fine di tutelare i terzi è essenziale che, qualora tutte le azioni di una società di capitali siano detenute da un unico azionista, l</w:t>
      </w:r>
      <w:r w:rsidR="00E64452" w:rsidRPr="0001127D">
        <w:rPr>
          <w:noProof/>
        </w:rPr>
        <w:t>'</w:t>
      </w:r>
      <w:r w:rsidRPr="0001127D">
        <w:rPr>
          <w:noProof/>
        </w:rPr>
        <w:t xml:space="preserve">identità di tale unico azionista, che può essere una persona fisica o giuridica, sia resa accessibile al pubblico nel registro delle imprese. </w:t>
      </w:r>
      <w:r w:rsidRPr="0001127D">
        <w:rPr>
          <w:noProof/>
          <w:color w:val="000000"/>
        </w:rPr>
        <w:t>Dato che un unico azionista può, ad esempio, esercitare i poteri i poteri demandati all</w:t>
      </w:r>
      <w:r w:rsidR="00E64452" w:rsidRPr="0001127D">
        <w:rPr>
          <w:noProof/>
          <w:color w:val="000000"/>
        </w:rPr>
        <w:t>'</w:t>
      </w:r>
      <w:r w:rsidRPr="0001127D">
        <w:rPr>
          <w:noProof/>
          <w:color w:val="000000"/>
        </w:rPr>
        <w:t>assemblea dei soci o concludere contratti tra lui e la società da lui rappresentata, i terzi dovrebbero essere in grado di identificare il socio unico</w:t>
      </w:r>
      <w:r w:rsidRPr="0001127D">
        <w:rPr>
          <w:noProof/>
        </w:rPr>
        <w:t xml:space="preserve"> al fine di conoscere l</w:t>
      </w:r>
      <w:r w:rsidR="00E64452" w:rsidRPr="0001127D">
        <w:rPr>
          <w:noProof/>
        </w:rPr>
        <w:t>'</w:t>
      </w:r>
      <w:r w:rsidRPr="0001127D">
        <w:rPr>
          <w:noProof/>
        </w:rPr>
        <w:t>identità della persona che esercita il controllo della società o la rappresenta.</w:t>
      </w:r>
      <w:r w:rsidR="00E64452" w:rsidRPr="0001127D">
        <w:rPr>
          <w:noProof/>
        </w:rPr>
        <w:t xml:space="preserve"> </w:t>
      </w:r>
      <w:r w:rsidRPr="0001127D">
        <w:rPr>
          <w:noProof/>
        </w:rPr>
        <w:t>Pertanto tali persone dovrebbero essere identificate in modo inequivocabile.</w:t>
      </w:r>
    </w:p>
    <w:p w14:paraId="69FE7543" w14:textId="36B91588" w:rsidR="00FD087E" w:rsidRPr="0001127D" w:rsidDel="00AD4980" w:rsidRDefault="001969F8" w:rsidP="001969F8">
      <w:pPr>
        <w:pStyle w:val="Point0"/>
        <w:rPr>
          <w:noProof/>
        </w:rPr>
      </w:pPr>
      <w:r w:rsidRPr="0001127D">
        <w:rPr>
          <w:noProof/>
        </w:rPr>
        <w:t>(33)</w:t>
      </w:r>
      <w:r w:rsidRPr="0001127D">
        <w:rPr>
          <w:noProof/>
        </w:rPr>
        <w:tab/>
        <w:t>Al fine di migliorare il funzionamento del mercato unico, i terzi non solo devono avere accesso alle informazioni sulle società del proprio Stato membro, ma anche alle informazioni sulle società di un altro Stato membro. Analogamente a quanto accade in un contesto nazionale, i terzi devono avere la certezza del diritto per quanto riguarda i rappresentanti legali, i soci delle società di persone e altre persone che possono legittimamente rappresentare una società, nonché i singoli azionisti di società di un altro Stato membro. È pertanto opportuno che tali informazioni siano messe a disposizione a livello dell</w:t>
      </w:r>
      <w:r w:rsidR="00E64452" w:rsidRPr="0001127D">
        <w:rPr>
          <w:noProof/>
        </w:rPr>
        <w:t>'</w:t>
      </w:r>
      <w:r w:rsidRPr="0001127D">
        <w:rPr>
          <w:noProof/>
        </w:rPr>
        <w:t>Unione attraverso il sistema di interconnessione dei registri, il quale dà accesso a tali informazioni in un formato multilingue e comparabile, garantendo in tal modo lo stesso livello di protezione dei terzi in situazioni transfrontaliere. Al fine di garantire la certezza del diritto per quanto riguarda l</w:t>
      </w:r>
      <w:r w:rsidR="00E64452" w:rsidRPr="0001127D">
        <w:rPr>
          <w:noProof/>
        </w:rPr>
        <w:t>'</w:t>
      </w:r>
      <w:r w:rsidRPr="0001127D">
        <w:rPr>
          <w:noProof/>
        </w:rPr>
        <w:t>identità dei rappresentanti legali, dei soci delle società di persone e di altre persone che possono legittimamente rappresentare una società, nonché dei singoli azionisti, è essenziale che tali persone possano essere identificate in modo inequivocabile. La necessità di garantire la certezza dell</w:t>
      </w:r>
      <w:r w:rsidR="00E64452" w:rsidRPr="0001127D">
        <w:rPr>
          <w:noProof/>
        </w:rPr>
        <w:t>'</w:t>
      </w:r>
      <w:r w:rsidRPr="0001127D">
        <w:rPr>
          <w:noProof/>
        </w:rPr>
        <w:t>identità esatta di tali persone è particolarmente elevata nelle situazioni transfrontaliere in cui il sistema di interconnessione dei registri consente l</w:t>
      </w:r>
      <w:r w:rsidR="00E64452" w:rsidRPr="0001127D">
        <w:rPr>
          <w:noProof/>
        </w:rPr>
        <w:t>'</w:t>
      </w:r>
      <w:r w:rsidRPr="0001127D">
        <w:rPr>
          <w:noProof/>
        </w:rPr>
        <w:t xml:space="preserve">accesso a tali informazioni su tutte le società di capitali e sulle </w:t>
      </w:r>
      <w:r w:rsidR="00E64452" w:rsidRPr="0001127D">
        <w:rPr>
          <w:noProof/>
        </w:rPr>
        <w:t>"</w:t>
      </w:r>
      <w:r w:rsidRPr="0001127D">
        <w:rPr>
          <w:noProof/>
        </w:rPr>
        <w:t>società commerciali di persone</w:t>
      </w:r>
      <w:r w:rsidR="00E64452" w:rsidRPr="0001127D">
        <w:rPr>
          <w:noProof/>
        </w:rPr>
        <w:t>"</w:t>
      </w:r>
      <w:r w:rsidRPr="0001127D">
        <w:rPr>
          <w:noProof/>
        </w:rPr>
        <w:t>. Poiché i sistemi nazionali adottano approcci diversi rispetto all</w:t>
      </w:r>
      <w:r w:rsidR="00E64452" w:rsidRPr="0001127D">
        <w:rPr>
          <w:noProof/>
        </w:rPr>
        <w:t>'</w:t>
      </w:r>
      <w:r w:rsidRPr="0001127D">
        <w:rPr>
          <w:noProof/>
        </w:rPr>
        <w:t>identificazione di tali persone, occorre armonizzare le categorie di dati personali accessibili a livello dell</w:t>
      </w:r>
      <w:r w:rsidR="00E64452" w:rsidRPr="0001127D">
        <w:rPr>
          <w:noProof/>
        </w:rPr>
        <w:t>'</w:t>
      </w:r>
      <w:r w:rsidRPr="0001127D">
        <w:rPr>
          <w:noProof/>
        </w:rPr>
        <w:t>Unione. Sebbene il nome e il cognome di tali persone costituiscano dati personali che servono a identificarle, il nome e il cognome non garantiscono un</w:t>
      </w:r>
      <w:r w:rsidR="00E64452" w:rsidRPr="0001127D">
        <w:rPr>
          <w:noProof/>
        </w:rPr>
        <w:t>'</w:t>
      </w:r>
      <w:r w:rsidRPr="0001127D">
        <w:rPr>
          <w:noProof/>
        </w:rPr>
        <w:t>identificazione univoca in tutti i casi e devono pertanto essere integrati da informazioni supplementari. In tale contesto nemmeno l</w:t>
      </w:r>
      <w:r w:rsidR="00E64452" w:rsidRPr="0001127D">
        <w:rPr>
          <w:noProof/>
        </w:rPr>
        <w:t>'</w:t>
      </w:r>
      <w:r w:rsidRPr="0001127D">
        <w:rPr>
          <w:noProof/>
        </w:rPr>
        <w:t xml:space="preserve">aggiunta del solo anno di nascita sarebbe sufficiente, data la prevalenza di alcuni nomi, sia in termini di nome e cognome che della combinazione degli stessi, negli Stati membri e il fatto che spesso i nomi popolari seguono cicli annuali, il che comporta che molte persone con nomi identici sono nate nello stesso anno. È pertanto necessario e proporzionato imporre ai registri di rendere disponibile la data di nascita completa dei rappresentanti legali, dei soci delle società di persone e delle altre persone che possono legittimamente rappresentare una società, nonché dei singoli azionisti. </w:t>
      </w:r>
    </w:p>
    <w:p w14:paraId="61E57E47" w14:textId="015CED97" w:rsidR="00012FCC" w:rsidRPr="0001127D" w:rsidRDefault="001969F8" w:rsidP="001969F8">
      <w:pPr>
        <w:pStyle w:val="Point0"/>
        <w:rPr>
          <w:noProof/>
        </w:rPr>
      </w:pPr>
      <w:r w:rsidRPr="0001127D">
        <w:rPr>
          <w:noProof/>
        </w:rPr>
        <w:t>(34)</w:t>
      </w:r>
      <w:r w:rsidRPr="0001127D">
        <w:rPr>
          <w:noProof/>
        </w:rPr>
        <w:tab/>
        <w:t>È opportuno che gli Stati membri trattino i dati personali relativi ai rappresentanti legali, ai soci delle società di persone e ad altre persone che possono legittimamente rappresentare, nonché ai singoli azionisti, compresi i dati personali che devono essere resi pubblici nei registri, conformemente al regolamento (UE) 2016/679. È auspicabile che la Commissione tratti i dati personali nel quadro della presente direttiva conformemente al regolamento (UE) 2018/1725 del Parlamento europeo e del Consiglio</w:t>
      </w:r>
      <w:r w:rsidRPr="0001127D">
        <w:rPr>
          <w:rStyle w:val="FootnoteReference"/>
          <w:noProof/>
        </w:rPr>
        <w:footnoteReference w:id="61"/>
      </w:r>
      <w:r w:rsidRPr="0001127D">
        <w:rPr>
          <w:noProof/>
        </w:rPr>
        <w:t xml:space="preserve">. </w:t>
      </w:r>
      <w:r w:rsidRPr="0001127D">
        <w:rPr>
          <w:rStyle w:val="s1"/>
          <w:noProof/>
        </w:rPr>
        <w:t>In particolare, gli Stati membri e la Commissione dovrebbero attuare adeguate garanzie in materia di protezione dei dati per garantire che il trattamento dei dati personali ai fini della presente direttiva sia limitato a quanto necessario per il conseguimento dei suoi obiettivi.</w:t>
      </w:r>
    </w:p>
    <w:p w14:paraId="3C2A5C0F" w14:textId="620D3191" w:rsidR="006A4834" w:rsidRPr="0001127D" w:rsidRDefault="001969F8" w:rsidP="001969F8">
      <w:pPr>
        <w:pStyle w:val="Point0"/>
        <w:rPr>
          <w:noProof/>
        </w:rPr>
      </w:pPr>
      <w:r w:rsidRPr="0001127D">
        <w:rPr>
          <w:noProof/>
        </w:rPr>
        <w:t>(35)</w:t>
      </w:r>
      <w:r w:rsidRPr="0001127D">
        <w:rPr>
          <w:noProof/>
        </w:rPr>
        <w:tab/>
        <w:t>Al fine di garantire che tutti i cittadini dell</w:t>
      </w:r>
      <w:r w:rsidR="00E64452" w:rsidRPr="0001127D">
        <w:rPr>
          <w:noProof/>
        </w:rPr>
        <w:t>'</w:t>
      </w:r>
      <w:r w:rsidRPr="0001127D">
        <w:rPr>
          <w:noProof/>
        </w:rPr>
        <w:t>Unione possano beneficiare dei vantaggi derivanti dalla messa a disposizione di un maggior numero di informazioni sulle società nei registri delle imprese, è essenziale che tali informazioni siano fornite alle persone con disabilità in formati accessibili. A norma dell</w:t>
      </w:r>
      <w:r w:rsidR="00E64452" w:rsidRPr="0001127D">
        <w:rPr>
          <w:noProof/>
        </w:rPr>
        <w:t>'</w:t>
      </w:r>
      <w:r w:rsidRPr="0001127D">
        <w:rPr>
          <w:noProof/>
        </w:rPr>
        <w:t>articolo</w:t>
      </w:r>
      <w:r w:rsidR="00CA4560" w:rsidRPr="0001127D">
        <w:rPr>
          <w:noProof/>
        </w:rPr>
        <w:t> </w:t>
      </w:r>
      <w:r w:rsidRPr="0001127D">
        <w:rPr>
          <w:noProof/>
        </w:rPr>
        <w:t>9 della Convenzione delle Nazioni Unite sui diritti delle persone con disabilità, gli Stati firmatari sono tenuti ad adottare misure adeguate per garantire che le persone con disabilità abbiano tra l</w:t>
      </w:r>
      <w:r w:rsidR="00E64452" w:rsidRPr="0001127D">
        <w:rPr>
          <w:noProof/>
        </w:rPr>
        <w:t>'</w:t>
      </w:r>
      <w:r w:rsidRPr="0001127D">
        <w:rPr>
          <w:noProof/>
        </w:rPr>
        <w:t>altro accesso, su un piano di parità con gli altri, all</w:t>
      </w:r>
      <w:r w:rsidR="00E64452" w:rsidRPr="0001127D">
        <w:rPr>
          <w:noProof/>
        </w:rPr>
        <w:t>'</w:t>
      </w:r>
      <w:r w:rsidRPr="0001127D">
        <w:rPr>
          <w:noProof/>
        </w:rPr>
        <w:t>informazione e alle comunicazioni, compresi i sistemi e le tecnologie di informazione e comunicazione, e ad altre attrezzature e servizi aperti o forniti al pubblico. A tale riguardo, la direttiva (UE) 2016/2102 del Parlamento europeo e del Consiglio</w:t>
      </w:r>
      <w:r w:rsidRPr="0001127D">
        <w:rPr>
          <w:rStyle w:val="FootnoteReference"/>
          <w:noProof/>
        </w:rPr>
        <w:footnoteReference w:id="62"/>
      </w:r>
      <w:r w:rsidRPr="0001127D">
        <w:rPr>
          <w:noProof/>
        </w:rPr>
        <w:t xml:space="preserve"> stabilisce requisiti generali di accessibilità per i siti web e le applicazioni mobili degli enti pubblici per rendere il loro contenuto più accessibile agli utenti, in particolare alle persone con disabilità, e di favorire l</w:t>
      </w:r>
      <w:r w:rsidR="00E64452" w:rsidRPr="0001127D">
        <w:rPr>
          <w:noProof/>
        </w:rPr>
        <w:t>'</w:t>
      </w:r>
      <w:r w:rsidRPr="0001127D">
        <w:rPr>
          <w:noProof/>
        </w:rPr>
        <w:t>interoperabilità. La direttiva (UE) 2016/2102 incoraggia gli Stati membri a estendere la sua applicazione agli enti privati che offrono strutture e servizi aperti o forniti al pubblico. In aggiunta, la direttiva (UE) 2019/882 del Parlamento europeo e del Consiglio</w:t>
      </w:r>
      <w:r w:rsidRPr="0001127D">
        <w:rPr>
          <w:rStyle w:val="FootnoteReference"/>
          <w:noProof/>
        </w:rPr>
        <w:footnoteReference w:id="63"/>
      </w:r>
      <w:r w:rsidRPr="0001127D">
        <w:rPr>
          <w:noProof/>
        </w:rPr>
        <w:t xml:space="preserve"> contiene requisiti di accessibilità per determinati prodotti e servizi, compresi i loro siti web e le relative informazioni. Data la diversità degli organismi responsabili della gestione dei registri delle imprese, che vanno dai tribunali e dalle autorità amministrative ai soggetti privati, e data la diversità delle attività svolte dai registri delle imprese, è opportuno valutare se siano necessarie misure specifiche per garantire che le persone con disabilità possano accedere alle informazioni sulle società fornite dai registri delle imprese in tutti gli Stati membri su un piano di parità con gli altri utenti. </w:t>
      </w:r>
    </w:p>
    <w:p w14:paraId="401A855D" w14:textId="29702315" w:rsidR="00FD087E" w:rsidRPr="0001127D" w:rsidRDefault="001969F8" w:rsidP="001969F8">
      <w:pPr>
        <w:pStyle w:val="Point0"/>
        <w:rPr>
          <w:noProof/>
        </w:rPr>
      </w:pPr>
      <w:r w:rsidRPr="0001127D">
        <w:rPr>
          <w:noProof/>
        </w:rPr>
        <w:t>(36)</w:t>
      </w:r>
      <w:r w:rsidRPr="0001127D">
        <w:rPr>
          <w:noProof/>
        </w:rPr>
        <w:tab/>
        <w:t>Gli obiettivi della presente direttiva, ossia aumentare la quantità e migliorare l</w:t>
      </w:r>
      <w:r w:rsidR="00E64452" w:rsidRPr="0001127D">
        <w:rPr>
          <w:noProof/>
        </w:rPr>
        <w:t>'</w:t>
      </w:r>
      <w:r w:rsidRPr="0001127D">
        <w:rPr>
          <w:noProof/>
        </w:rPr>
        <w:t>affidabilità dei dati sulle società disponibili nei registri delle imprese o attraverso il sistema di interconnessione dei registri, e consentire l</w:t>
      </w:r>
      <w:r w:rsidR="00E64452" w:rsidRPr="0001127D">
        <w:rPr>
          <w:noProof/>
        </w:rPr>
        <w:t>'</w:t>
      </w:r>
      <w:r w:rsidRPr="0001127D">
        <w:rPr>
          <w:noProof/>
        </w:rPr>
        <w:t>utilizzo diretto dei dati sulle società disponibili nei registri delle imprese al momento della costituzione di succursali e controllate transfrontaliere e nell</w:t>
      </w:r>
      <w:r w:rsidR="00E64452" w:rsidRPr="0001127D">
        <w:rPr>
          <w:noProof/>
        </w:rPr>
        <w:t>'</w:t>
      </w:r>
      <w:r w:rsidRPr="0001127D">
        <w:rPr>
          <w:noProof/>
        </w:rPr>
        <w:t>ambito di altre attività e situazioni transfrontaliere, non possono essere conseguiti in misura sufficiente dagli Stati membri ma, a motivo della loro portata e dei loro effetti, possono essere conseguiti meglio a livello di Unione. L</w:t>
      </w:r>
      <w:r w:rsidR="00E64452" w:rsidRPr="0001127D">
        <w:rPr>
          <w:noProof/>
        </w:rPr>
        <w:t>'</w:t>
      </w:r>
      <w:r w:rsidRPr="0001127D">
        <w:rPr>
          <w:noProof/>
        </w:rPr>
        <w:t>Unione può quindi intervenire in base al principio di sussidiarietà sancito dall</w:t>
      </w:r>
      <w:r w:rsidR="00E64452" w:rsidRPr="0001127D">
        <w:rPr>
          <w:noProof/>
        </w:rPr>
        <w:t>'</w:t>
      </w:r>
      <w:r w:rsidRPr="0001127D">
        <w:rPr>
          <w:noProof/>
        </w:rPr>
        <w:t>articolo</w:t>
      </w:r>
      <w:r w:rsidR="00CA4560" w:rsidRPr="0001127D">
        <w:rPr>
          <w:noProof/>
        </w:rPr>
        <w:t> </w:t>
      </w:r>
      <w:r w:rsidRPr="0001127D">
        <w:rPr>
          <w:noProof/>
        </w:rPr>
        <w:t>5 del trattato sull</w:t>
      </w:r>
      <w:r w:rsidR="00E64452" w:rsidRPr="0001127D">
        <w:rPr>
          <w:noProof/>
        </w:rPr>
        <w:t>'</w:t>
      </w:r>
      <w:r w:rsidRPr="0001127D">
        <w:rPr>
          <w:noProof/>
        </w:rPr>
        <w:t>Unione europea. La presente direttiva si limita a quanto è necessario per conseguire tali obiettivi in ottemperanza al principio di proporzionalità enunciato nello stesso articolo.</w:t>
      </w:r>
    </w:p>
    <w:p w14:paraId="547B196D" w14:textId="3F361920" w:rsidR="00FD087E" w:rsidRPr="0001127D" w:rsidRDefault="001969F8" w:rsidP="001969F8">
      <w:pPr>
        <w:pStyle w:val="Point0"/>
        <w:rPr>
          <w:noProof/>
        </w:rPr>
      </w:pPr>
      <w:r w:rsidRPr="0001127D">
        <w:rPr>
          <w:noProof/>
        </w:rPr>
        <w:t>(37)</w:t>
      </w:r>
      <w:r w:rsidRPr="0001127D">
        <w:rPr>
          <w:noProof/>
        </w:rPr>
        <w:tab/>
        <w:t>Conformemente alla dichiarazione politica comune del 28 settembre 2011 degli Stati membri e della Commissione sui documenti esplicativi</w:t>
      </w:r>
      <w:r w:rsidRPr="0001127D">
        <w:rPr>
          <w:rStyle w:val="FootnoteReference"/>
          <w:noProof/>
        </w:rPr>
        <w:footnoteReference w:id="64"/>
      </w:r>
      <w:r w:rsidRPr="0001127D">
        <w:rPr>
          <w:noProof/>
        </w:rPr>
        <w:t>, gli Stati membri si sono impegnati ad accompagnare, in casi giustificati, la notifica delle loro misure di recepimento con uno o più documenti che chiariscano il rapporto tra gli elementi costitutivi di una direttiva e le parti corrispondenti degli strumenti nazionali di recepimento. Per quanto riguarda la presente direttiva, il legislatore ritiene che la trasmissione di tali documenti sia giustificata.</w:t>
      </w:r>
    </w:p>
    <w:p w14:paraId="118B3FDF" w14:textId="1623FC13" w:rsidR="006A4834" w:rsidRPr="0001127D" w:rsidRDefault="001969F8" w:rsidP="001969F8">
      <w:pPr>
        <w:pStyle w:val="Point0"/>
        <w:rPr>
          <w:noProof/>
        </w:rPr>
      </w:pPr>
      <w:r w:rsidRPr="0001127D">
        <w:rPr>
          <w:noProof/>
        </w:rPr>
        <w:t>(38)</w:t>
      </w:r>
      <w:r w:rsidRPr="0001127D">
        <w:rPr>
          <w:noProof/>
        </w:rPr>
        <w:tab/>
        <w:t>La Commissione dovrebbe procedere alla valutazione della presente direttiva. Conformemente al paragrafo 22 dell</w:t>
      </w:r>
      <w:r w:rsidR="00E64452" w:rsidRPr="0001127D">
        <w:rPr>
          <w:noProof/>
        </w:rPr>
        <w:t>'</w:t>
      </w:r>
      <w:r w:rsidRPr="0001127D">
        <w:rPr>
          <w:noProof/>
        </w:rPr>
        <w:t>Accordo interistituzionale «Legiferare meglio» del 13</w:t>
      </w:r>
      <w:r w:rsidR="00CA4560" w:rsidRPr="0001127D">
        <w:rPr>
          <w:noProof/>
        </w:rPr>
        <w:t> </w:t>
      </w:r>
      <w:r w:rsidRPr="0001127D">
        <w:rPr>
          <w:noProof/>
        </w:rPr>
        <w:t>aprile</w:t>
      </w:r>
      <w:r w:rsidR="00CA4560" w:rsidRPr="0001127D">
        <w:rPr>
          <w:noProof/>
        </w:rPr>
        <w:t> </w:t>
      </w:r>
      <w:r w:rsidRPr="0001127D">
        <w:rPr>
          <w:noProof/>
        </w:rPr>
        <w:t>2016; tale valutazione dovrebbe essere basata sui cinque criteri di efficienza, efficacia, pertinenza, coerenza e valore aggiunto e dovrebbe fornire la base per le valutazioni d</w:t>
      </w:r>
      <w:r w:rsidR="00E64452" w:rsidRPr="0001127D">
        <w:rPr>
          <w:noProof/>
        </w:rPr>
        <w:t>'</w:t>
      </w:r>
      <w:r w:rsidRPr="0001127D">
        <w:rPr>
          <w:noProof/>
        </w:rPr>
        <w:t>impatto di possibili ulteriori misure. La valutazione dovrebbe riguardare l</w:t>
      </w:r>
      <w:r w:rsidR="00E64452" w:rsidRPr="0001127D">
        <w:rPr>
          <w:noProof/>
        </w:rPr>
        <w:t>'</w:t>
      </w:r>
      <w:r w:rsidRPr="0001127D">
        <w:rPr>
          <w:noProof/>
        </w:rPr>
        <w:t>esperienza pratica acquisita con il certificato delle società UE, la procura digitale dell</w:t>
      </w:r>
      <w:r w:rsidR="00E64452" w:rsidRPr="0001127D">
        <w:rPr>
          <w:noProof/>
        </w:rPr>
        <w:t>'</w:t>
      </w:r>
      <w:r w:rsidRPr="0001127D">
        <w:rPr>
          <w:noProof/>
        </w:rPr>
        <w:t xml:space="preserve">UE e la riduzione delle formalità in situazioni transfrontaliere per le imprese. Inoltre, la Commissione dovrebbe valutare il potenziale in termini di interoperabilità intersettoriale tra il sistema di interconnessione dei registri (BRIS) e altri sistemi che forniscono meccanismi di cooperazione tra le autorità competenti, ad esempio nel settore fiscale o in quello della sicurezza sociale o del sistema tecnico </w:t>
      </w:r>
      <w:r w:rsidR="00E64452" w:rsidRPr="0001127D">
        <w:rPr>
          <w:noProof/>
        </w:rPr>
        <w:t>"</w:t>
      </w:r>
      <w:r w:rsidRPr="0001127D">
        <w:rPr>
          <w:noProof/>
        </w:rPr>
        <w:t>una tantum</w:t>
      </w:r>
      <w:r w:rsidR="00E64452" w:rsidRPr="0001127D">
        <w:rPr>
          <w:noProof/>
        </w:rPr>
        <w:t>"</w:t>
      </w:r>
      <w:r w:rsidRPr="0001127D">
        <w:rPr>
          <w:noProof/>
        </w:rPr>
        <w:t xml:space="preserve"> istituito a norma del regolamento (UE) 2018/1724 del Parlamento europeo e del Consiglio</w:t>
      </w:r>
      <w:r w:rsidRPr="0001127D">
        <w:rPr>
          <w:rStyle w:val="FootnoteReference"/>
          <w:noProof/>
        </w:rPr>
        <w:footnoteReference w:id="65"/>
      </w:r>
      <w:r w:rsidRPr="0001127D">
        <w:rPr>
          <w:noProof/>
        </w:rPr>
        <w:t>, al fine di creare amministrazioni pubbliche più connesse a livello transfrontaliero nel mercato unico</w:t>
      </w:r>
      <w:r w:rsidRPr="0001127D">
        <w:rPr>
          <w:rStyle w:val="FootnoteReference"/>
          <w:noProof/>
        </w:rPr>
        <w:footnoteReference w:id="66"/>
      </w:r>
      <w:r w:rsidRPr="0001127D">
        <w:rPr>
          <w:noProof/>
        </w:rPr>
        <w:t xml:space="preserve">. Infine la Commissione dovrebbe altresì valutare la necessità di introdurre misure supplementari per </w:t>
      </w:r>
      <w:bookmarkStart w:id="122" w:name="_Hlk129698012"/>
      <w:r w:rsidRPr="0001127D">
        <w:rPr>
          <w:noProof/>
        </w:rPr>
        <w:t>rispondere pienamente alle esigenze delle persone con disabilità nel momento in cui queste accedono alle informazioni sulle società fornite dai registri delle imprese</w:t>
      </w:r>
      <w:bookmarkEnd w:id="122"/>
      <w:r w:rsidRPr="0001127D">
        <w:rPr>
          <w:noProof/>
        </w:rPr>
        <w:t xml:space="preserve">. </w:t>
      </w:r>
    </w:p>
    <w:p w14:paraId="261DF640" w14:textId="7617453C" w:rsidR="00CC393A" w:rsidRPr="0001127D" w:rsidRDefault="001969F8" w:rsidP="001969F8">
      <w:pPr>
        <w:pStyle w:val="Point0"/>
        <w:rPr>
          <w:noProof/>
        </w:rPr>
      </w:pPr>
      <w:r w:rsidRPr="0001127D">
        <w:rPr>
          <w:noProof/>
        </w:rPr>
        <w:t>(39)</w:t>
      </w:r>
      <w:r w:rsidRPr="0001127D">
        <w:rPr>
          <w:noProof/>
        </w:rPr>
        <w:tab/>
        <w:t>Conformemente all</w:t>
      </w:r>
      <w:r w:rsidR="00E64452" w:rsidRPr="0001127D">
        <w:rPr>
          <w:noProof/>
        </w:rPr>
        <w:t>'</w:t>
      </w:r>
      <w:r w:rsidRPr="0001127D">
        <w:rPr>
          <w:noProof/>
        </w:rPr>
        <w:t>articolo</w:t>
      </w:r>
      <w:r w:rsidR="00CA4560" w:rsidRPr="0001127D">
        <w:rPr>
          <w:noProof/>
        </w:rPr>
        <w:t> </w:t>
      </w:r>
      <w:r w:rsidRPr="0001127D">
        <w:rPr>
          <w:noProof/>
        </w:rPr>
        <w:t>42, paragrafo</w:t>
      </w:r>
      <w:r w:rsidR="00CA4560" w:rsidRPr="0001127D">
        <w:rPr>
          <w:noProof/>
        </w:rPr>
        <w:t> </w:t>
      </w:r>
      <w:r w:rsidRPr="0001127D">
        <w:rPr>
          <w:noProof/>
        </w:rPr>
        <w:t>1, del regolamento (UE) 2018/1725, il Garante europeo della protezione dei dati è stato consultato e ha formulato il suo parere il [XX XX 2022/2023]</w:t>
      </w:r>
      <w:r w:rsidRPr="0001127D">
        <w:rPr>
          <w:rStyle w:val="FootnoteReference"/>
          <w:noProof/>
        </w:rPr>
        <w:footnoteReference w:id="67"/>
      </w:r>
      <w:r w:rsidRPr="0001127D">
        <w:rPr>
          <w:noProof/>
        </w:rPr>
        <w:t>.</w:t>
      </w:r>
    </w:p>
    <w:p w14:paraId="667CBD7B" w14:textId="0A2A0F70" w:rsidR="00FD087E" w:rsidRPr="0001127D" w:rsidRDefault="001969F8" w:rsidP="001969F8">
      <w:pPr>
        <w:pStyle w:val="Point0"/>
        <w:rPr>
          <w:noProof/>
        </w:rPr>
      </w:pPr>
      <w:r w:rsidRPr="0001127D">
        <w:rPr>
          <w:noProof/>
        </w:rPr>
        <w:t>(40)</w:t>
      </w:r>
      <w:r w:rsidRPr="0001127D">
        <w:rPr>
          <w:noProof/>
        </w:rPr>
        <w:tab/>
        <w:t>È pertanto opportuno modificare di conseguenza le direttive 2009/102/CE e (UE) 2017/1132,</w:t>
      </w:r>
    </w:p>
    <w:p w14:paraId="5A7DF56B" w14:textId="77777777" w:rsidR="003C7CCF" w:rsidRPr="0001127D" w:rsidRDefault="003C7CCF" w:rsidP="00E619E2">
      <w:pPr>
        <w:pStyle w:val="Formuledadoption"/>
        <w:rPr>
          <w:noProof/>
        </w:rPr>
      </w:pPr>
    </w:p>
    <w:p w14:paraId="7B0BD4AF" w14:textId="77777777" w:rsidR="002F06CE" w:rsidRPr="0001127D" w:rsidRDefault="002F06CE" w:rsidP="002F06CE">
      <w:pPr>
        <w:rPr>
          <w:noProof/>
        </w:rPr>
      </w:pPr>
      <w:r w:rsidRPr="0001127D">
        <w:rPr>
          <w:noProof/>
        </w:rPr>
        <w:t>HANNO ADOTTATO LA PRESENTE DIRETTIVA:</w:t>
      </w:r>
    </w:p>
    <w:p w14:paraId="0FEB3DA1" w14:textId="77777777" w:rsidR="002F06CE" w:rsidRPr="0001127D" w:rsidRDefault="002F06CE" w:rsidP="002F06CE">
      <w:pPr>
        <w:pStyle w:val="Titrearticle"/>
        <w:spacing w:before="0"/>
        <w:rPr>
          <w:noProof/>
        </w:rPr>
      </w:pPr>
    </w:p>
    <w:p w14:paraId="4EA80D4C" w14:textId="4DC05DF6" w:rsidR="002F06CE" w:rsidRPr="0001127D" w:rsidRDefault="002F06CE" w:rsidP="002F06CE">
      <w:pPr>
        <w:pStyle w:val="Titrearticle"/>
        <w:spacing w:before="0"/>
        <w:rPr>
          <w:noProof/>
        </w:rPr>
      </w:pPr>
      <w:r w:rsidRPr="0001127D">
        <w:rPr>
          <w:noProof/>
        </w:rPr>
        <w:t>Articolo 1</w:t>
      </w:r>
    </w:p>
    <w:p w14:paraId="20130536" w14:textId="77777777" w:rsidR="002F06CE" w:rsidRPr="0001127D" w:rsidRDefault="002F06CE" w:rsidP="002F06CE">
      <w:pPr>
        <w:pStyle w:val="Articletitre"/>
        <w:rPr>
          <w:noProof/>
        </w:rPr>
      </w:pPr>
      <w:r w:rsidRPr="0001127D">
        <w:rPr>
          <w:noProof/>
        </w:rPr>
        <w:t xml:space="preserve">Modifiche della direttiva 2009/102/CE </w:t>
      </w:r>
    </w:p>
    <w:p w14:paraId="14BBB1FA" w14:textId="25512806" w:rsidR="002F06CE" w:rsidRPr="0001127D" w:rsidRDefault="002F06CE" w:rsidP="002F06CE">
      <w:pPr>
        <w:rPr>
          <w:noProof/>
          <w:szCs w:val="24"/>
        </w:rPr>
      </w:pPr>
      <w:r w:rsidRPr="0001127D">
        <w:rPr>
          <w:noProof/>
        </w:rPr>
        <w:t>L</w:t>
      </w:r>
      <w:r w:rsidR="00E64452" w:rsidRPr="0001127D">
        <w:rPr>
          <w:noProof/>
        </w:rPr>
        <w:t>'</w:t>
      </w:r>
      <w:r w:rsidRPr="0001127D">
        <w:rPr>
          <w:noProof/>
        </w:rPr>
        <w:t xml:space="preserve">articolo 3 della direttiva 2009/102/CE è sostituito dal seguente: </w:t>
      </w:r>
    </w:p>
    <w:p w14:paraId="7FA770A0" w14:textId="30DDF9E4" w:rsidR="002F06CE" w:rsidRPr="0001127D" w:rsidRDefault="0008353B" w:rsidP="002F06CE">
      <w:pPr>
        <w:jc w:val="center"/>
        <w:rPr>
          <w:noProof/>
          <w:szCs w:val="24"/>
        </w:rPr>
      </w:pPr>
      <w:r w:rsidRPr="0001127D">
        <w:rPr>
          <w:noProof/>
        </w:rPr>
        <w:t>"</w:t>
      </w:r>
      <w:r w:rsidR="002F06CE" w:rsidRPr="0001127D">
        <w:rPr>
          <w:noProof/>
        </w:rPr>
        <w:t>Articolo 3</w:t>
      </w:r>
    </w:p>
    <w:p w14:paraId="55989BCA" w14:textId="10924F28" w:rsidR="002F06CE" w:rsidRPr="0001127D" w:rsidRDefault="002F06CE" w:rsidP="002F06CE">
      <w:pPr>
        <w:rPr>
          <w:noProof/>
          <w:szCs w:val="24"/>
        </w:rPr>
      </w:pPr>
      <w:r w:rsidRPr="0001127D">
        <w:rPr>
          <w:noProof/>
        </w:rPr>
        <w:t>Quando la società diventa unipersonale in seguito al cumulo di tutte le sue quote in capo a un unico socio, un</w:t>
      </w:r>
      <w:r w:rsidR="00E64452" w:rsidRPr="0001127D">
        <w:rPr>
          <w:noProof/>
        </w:rPr>
        <w:t>'</w:t>
      </w:r>
      <w:r w:rsidRPr="0001127D">
        <w:rPr>
          <w:noProof/>
        </w:rPr>
        <w:t>indicazione in tal senso e l</w:t>
      </w:r>
      <w:r w:rsidR="00E64452" w:rsidRPr="0001127D">
        <w:rPr>
          <w:noProof/>
        </w:rPr>
        <w:t>'</w:t>
      </w:r>
      <w:r w:rsidRPr="0001127D">
        <w:rPr>
          <w:noProof/>
        </w:rPr>
        <w:t>identità del socio unico devono figurare nel fascicolo o essere trascritte nel registro di cui all</w:t>
      </w:r>
      <w:r w:rsidR="00E64452" w:rsidRPr="0001127D">
        <w:rPr>
          <w:noProof/>
        </w:rPr>
        <w:t>'</w:t>
      </w:r>
      <w:r w:rsidRPr="0001127D">
        <w:rPr>
          <w:noProof/>
        </w:rPr>
        <w:t>articolo</w:t>
      </w:r>
      <w:r w:rsidR="00CA4560" w:rsidRPr="0001127D">
        <w:rPr>
          <w:noProof/>
        </w:rPr>
        <w:t> </w:t>
      </w:r>
      <w:r w:rsidRPr="0001127D">
        <w:rPr>
          <w:noProof/>
        </w:rPr>
        <w:t>3, paragrafi 1 e 2, della direttiva 68/151/CEE, ed essere rese pubblicamente disponibili attraverso il sistema di interconnessione dei registri di cui all</w:t>
      </w:r>
      <w:r w:rsidR="00E64452" w:rsidRPr="0001127D">
        <w:rPr>
          <w:noProof/>
        </w:rPr>
        <w:t>'</w:t>
      </w:r>
      <w:r w:rsidRPr="0001127D">
        <w:rPr>
          <w:noProof/>
        </w:rPr>
        <w:t xml:space="preserve">articolo 16, paragrafo 1, della direttiva (UE) 2017/1132. </w:t>
      </w:r>
    </w:p>
    <w:p w14:paraId="5A9D835A" w14:textId="5DBB8843" w:rsidR="002F06CE" w:rsidRPr="0001127D" w:rsidRDefault="002F06CE" w:rsidP="002F06CE">
      <w:pPr>
        <w:rPr>
          <w:noProof/>
          <w:szCs w:val="24"/>
        </w:rPr>
      </w:pPr>
      <w:r w:rsidRPr="0001127D">
        <w:rPr>
          <w:noProof/>
        </w:rPr>
        <w:t>L</w:t>
      </w:r>
      <w:r w:rsidR="00E64452" w:rsidRPr="0001127D">
        <w:rPr>
          <w:noProof/>
        </w:rPr>
        <w:t>'</w:t>
      </w:r>
      <w:r w:rsidRPr="0001127D">
        <w:rPr>
          <w:noProof/>
        </w:rPr>
        <w:t>articolo 18 e l</w:t>
      </w:r>
      <w:r w:rsidR="00E64452" w:rsidRPr="0001127D">
        <w:rPr>
          <w:noProof/>
        </w:rPr>
        <w:t>'</w:t>
      </w:r>
      <w:r w:rsidRPr="0001127D">
        <w:rPr>
          <w:noProof/>
        </w:rPr>
        <w:t>articolo 19, paragrafo 1, della direttiva (UE) 2017/1132 si applicano</w:t>
      </w:r>
      <w:r w:rsidRPr="0001127D">
        <w:rPr>
          <w:i/>
          <w:noProof/>
        </w:rPr>
        <w:t xml:space="preserve"> mutatis mutandis</w:t>
      </w:r>
      <w:r w:rsidRPr="0001127D">
        <w:rPr>
          <w:noProof/>
        </w:rPr>
        <w:t>.</w:t>
      </w:r>
      <w:r w:rsidR="00E64452" w:rsidRPr="0001127D">
        <w:rPr>
          <w:noProof/>
        </w:rPr>
        <w:t>"</w:t>
      </w:r>
      <w:r w:rsidRPr="0001127D">
        <w:rPr>
          <w:noProof/>
        </w:rPr>
        <w:t>;</w:t>
      </w:r>
    </w:p>
    <w:p w14:paraId="67C4EDE8" w14:textId="77777777" w:rsidR="002F06CE" w:rsidRPr="0001127D" w:rsidRDefault="002F06CE" w:rsidP="002F06CE">
      <w:pPr>
        <w:pStyle w:val="Titrearticle"/>
        <w:rPr>
          <w:noProof/>
        </w:rPr>
      </w:pPr>
      <w:r w:rsidRPr="0001127D">
        <w:rPr>
          <w:noProof/>
        </w:rPr>
        <w:t>Articolo 2</w:t>
      </w:r>
    </w:p>
    <w:p w14:paraId="08E7D1CC" w14:textId="77777777" w:rsidR="002F06CE" w:rsidRPr="0001127D" w:rsidRDefault="002F06CE" w:rsidP="002F06CE">
      <w:pPr>
        <w:pStyle w:val="Articletitre"/>
        <w:rPr>
          <w:noProof/>
        </w:rPr>
      </w:pPr>
      <w:r w:rsidRPr="0001127D">
        <w:rPr>
          <w:noProof/>
        </w:rPr>
        <w:t>Modifiche della direttiva (UE) 2017/1132</w:t>
      </w:r>
    </w:p>
    <w:p w14:paraId="406843E5" w14:textId="77777777" w:rsidR="002F06CE" w:rsidRPr="0001127D" w:rsidRDefault="002F06CE" w:rsidP="002F06CE">
      <w:pPr>
        <w:rPr>
          <w:noProof/>
          <w:lang w:eastAsia="en-GB"/>
        </w:rPr>
      </w:pPr>
    </w:p>
    <w:p w14:paraId="7B017849" w14:textId="77777777" w:rsidR="002F06CE" w:rsidRPr="0001127D" w:rsidRDefault="002F06CE" w:rsidP="002F06CE">
      <w:pPr>
        <w:keepNext/>
        <w:rPr>
          <w:noProof/>
        </w:rPr>
      </w:pPr>
      <w:r w:rsidRPr="0001127D">
        <w:rPr>
          <w:noProof/>
        </w:rPr>
        <w:t>La direttiva (UE) 2017/1132 è così modificata:</w:t>
      </w:r>
    </w:p>
    <w:p w14:paraId="02708F65" w14:textId="77777777" w:rsidR="002F06CE" w:rsidRPr="0001127D" w:rsidRDefault="002F06CE" w:rsidP="002F06CE">
      <w:pPr>
        <w:keepNext/>
        <w:rPr>
          <w:noProof/>
          <w:lang w:eastAsia="en-GB"/>
        </w:rPr>
      </w:pPr>
    </w:p>
    <w:p w14:paraId="3339C75F" w14:textId="77777777" w:rsidR="002F06CE" w:rsidRPr="0001127D" w:rsidRDefault="002F06CE" w:rsidP="002F06CE">
      <w:pPr>
        <w:pStyle w:val="Point0"/>
        <w:rPr>
          <w:noProof/>
        </w:rPr>
      </w:pPr>
      <w:r w:rsidRPr="0001127D">
        <w:rPr>
          <w:noProof/>
        </w:rPr>
        <w:t>1)</w:t>
      </w:r>
      <w:r w:rsidRPr="0001127D">
        <w:rPr>
          <w:noProof/>
        </w:rPr>
        <w:tab/>
        <w:t>il titolo del titolo I è sostituito dal seguente:</w:t>
      </w:r>
    </w:p>
    <w:p w14:paraId="4AA24B66" w14:textId="3CD1A4BD" w:rsidR="002F06CE" w:rsidRPr="0001127D" w:rsidRDefault="00E64452" w:rsidP="002F06CE">
      <w:pPr>
        <w:pStyle w:val="title-division-2"/>
        <w:shd w:val="clear" w:color="auto" w:fill="FFFFFF"/>
        <w:spacing w:before="0" w:beforeAutospacing="0" w:after="120" w:afterAutospacing="0" w:line="312" w:lineRule="atLeast"/>
        <w:jc w:val="center"/>
        <w:rPr>
          <w:noProof/>
        </w:rPr>
      </w:pPr>
      <w:r w:rsidRPr="0001127D">
        <w:rPr>
          <w:noProof/>
        </w:rPr>
        <w:t>"</w:t>
      </w:r>
      <w:r w:rsidR="002F06CE" w:rsidRPr="0001127D">
        <w:rPr>
          <w:rStyle w:val="boldface"/>
          <w:b/>
          <w:noProof/>
          <w:color w:val="333333"/>
        </w:rPr>
        <w:t>NORME GENERALI SULLO STABILIMENTO E SUL FUNZIONAMENTO DELLE SOCIETÀ</w:t>
      </w:r>
      <w:r w:rsidRPr="0001127D">
        <w:rPr>
          <w:rStyle w:val="boldface"/>
          <w:b/>
          <w:noProof/>
          <w:color w:val="333333"/>
        </w:rPr>
        <w:t>"</w:t>
      </w:r>
      <w:r w:rsidR="002F06CE" w:rsidRPr="0001127D">
        <w:rPr>
          <w:noProof/>
        </w:rPr>
        <w:t>;</w:t>
      </w:r>
    </w:p>
    <w:p w14:paraId="4F336843" w14:textId="77777777" w:rsidR="002F06CE" w:rsidRPr="0001127D" w:rsidRDefault="002F06CE" w:rsidP="002F06CE">
      <w:pPr>
        <w:rPr>
          <w:noProof/>
        </w:rPr>
      </w:pPr>
    </w:p>
    <w:p w14:paraId="0233B4E0" w14:textId="379C8862" w:rsidR="002F06CE" w:rsidRPr="0001127D" w:rsidRDefault="002F06CE" w:rsidP="002F06CE">
      <w:pPr>
        <w:pStyle w:val="Point0"/>
        <w:rPr>
          <w:noProof/>
        </w:rPr>
      </w:pPr>
      <w:r w:rsidRPr="0001127D">
        <w:rPr>
          <w:noProof/>
        </w:rPr>
        <w:t>2)</w:t>
      </w:r>
      <w:r w:rsidRPr="0001127D">
        <w:rPr>
          <w:noProof/>
        </w:rPr>
        <w:tab/>
        <w:t>l</w:t>
      </w:r>
      <w:r w:rsidR="00E64452" w:rsidRPr="0001127D">
        <w:rPr>
          <w:noProof/>
        </w:rPr>
        <w:t>'</w:t>
      </w:r>
      <w:r w:rsidRPr="0001127D">
        <w:rPr>
          <w:noProof/>
        </w:rPr>
        <w:t xml:space="preserve">articolo 1 è così modificato: </w:t>
      </w:r>
    </w:p>
    <w:p w14:paraId="14AEA362" w14:textId="77777777" w:rsidR="002F06CE" w:rsidRPr="0001127D" w:rsidRDefault="002F06CE" w:rsidP="002F06CE">
      <w:pPr>
        <w:pStyle w:val="Point0"/>
        <w:rPr>
          <w:noProof/>
        </w:rPr>
      </w:pPr>
      <w:r w:rsidRPr="0001127D">
        <w:rPr>
          <w:noProof/>
        </w:rPr>
        <w:t>a)</w:t>
      </w:r>
      <w:r w:rsidRPr="0001127D">
        <w:rPr>
          <w:noProof/>
        </w:rPr>
        <w:tab/>
        <w:t xml:space="preserve">è inserito il trattino seguente dopo il secondo trattino: </w:t>
      </w:r>
    </w:p>
    <w:p w14:paraId="0ABEAE50" w14:textId="390E1678" w:rsidR="002F06CE" w:rsidRPr="0001127D" w:rsidRDefault="00E64452" w:rsidP="002F06CE">
      <w:pPr>
        <w:pStyle w:val="Text1"/>
        <w:rPr>
          <w:noProof/>
        </w:rPr>
      </w:pPr>
      <w:r w:rsidRPr="0001127D">
        <w:rPr>
          <w:noProof/>
        </w:rPr>
        <w:t>"</w:t>
      </w:r>
      <w:r w:rsidR="002F06CE" w:rsidRPr="0001127D">
        <w:rPr>
          <w:noProof/>
        </w:rPr>
        <w:t>- un insieme comune di norme relative al controllo preventivo delle informazioni sulle società,</w:t>
      </w:r>
      <w:r w:rsidRPr="0001127D">
        <w:rPr>
          <w:noProof/>
        </w:rPr>
        <w:t>"</w:t>
      </w:r>
      <w:r w:rsidR="002F06CE" w:rsidRPr="0001127D">
        <w:rPr>
          <w:noProof/>
        </w:rPr>
        <w:t>;</w:t>
      </w:r>
    </w:p>
    <w:p w14:paraId="5031F706" w14:textId="77777777" w:rsidR="002F06CE" w:rsidRPr="0001127D" w:rsidRDefault="002F06CE" w:rsidP="002F06CE">
      <w:pPr>
        <w:pStyle w:val="Text1"/>
        <w:ind w:firstLine="590"/>
        <w:rPr>
          <w:noProof/>
        </w:rPr>
      </w:pPr>
    </w:p>
    <w:p w14:paraId="27DE715B" w14:textId="77777777" w:rsidR="002F06CE" w:rsidRPr="0001127D" w:rsidRDefault="002F06CE" w:rsidP="002F06CE">
      <w:pPr>
        <w:pStyle w:val="Point0"/>
        <w:rPr>
          <w:noProof/>
        </w:rPr>
      </w:pPr>
      <w:r w:rsidRPr="0001127D">
        <w:rPr>
          <w:noProof/>
        </w:rPr>
        <w:t>b)</w:t>
      </w:r>
      <w:r w:rsidRPr="0001127D">
        <w:rPr>
          <w:noProof/>
        </w:rPr>
        <w:tab/>
        <w:t xml:space="preserve">è inserito il trattino seguente dopo il terzo trattino: </w:t>
      </w:r>
    </w:p>
    <w:p w14:paraId="1BAF712C" w14:textId="6FC130EE" w:rsidR="002F06CE" w:rsidRPr="0001127D" w:rsidRDefault="00E64452" w:rsidP="002F06CE">
      <w:pPr>
        <w:ind w:left="851"/>
        <w:rPr>
          <w:noProof/>
        </w:rPr>
      </w:pPr>
      <w:r w:rsidRPr="0001127D">
        <w:rPr>
          <w:noProof/>
        </w:rPr>
        <w:t>"</w:t>
      </w:r>
      <w:r w:rsidR="002F06CE" w:rsidRPr="0001127D">
        <w:rPr>
          <w:noProof/>
        </w:rPr>
        <w:t>-</w:t>
      </w:r>
      <w:r w:rsidRPr="0001127D">
        <w:rPr>
          <w:noProof/>
        </w:rPr>
        <w:t xml:space="preserve"> </w:t>
      </w:r>
      <w:r w:rsidR="002F06CE" w:rsidRPr="0001127D">
        <w:rPr>
          <w:noProof/>
        </w:rPr>
        <w:t>la pubblicità delle società di persone (</w:t>
      </w:r>
      <w:r w:rsidR="002F06CE" w:rsidRPr="0001127D">
        <w:rPr>
          <w:i/>
          <w:noProof/>
        </w:rPr>
        <w:t>partnership</w:t>
      </w:r>
      <w:r w:rsidR="002F06CE" w:rsidRPr="0001127D">
        <w:rPr>
          <w:noProof/>
        </w:rPr>
        <w:t>),</w:t>
      </w:r>
      <w:r w:rsidRPr="0001127D">
        <w:rPr>
          <w:noProof/>
        </w:rPr>
        <w:t>"</w:t>
      </w:r>
      <w:r w:rsidR="002F06CE" w:rsidRPr="0001127D">
        <w:rPr>
          <w:noProof/>
        </w:rPr>
        <w:t>;</w:t>
      </w:r>
    </w:p>
    <w:p w14:paraId="349578E8" w14:textId="77777777" w:rsidR="002F06CE" w:rsidRPr="0001127D" w:rsidRDefault="002F06CE" w:rsidP="002F06CE">
      <w:pPr>
        <w:pStyle w:val="Text1"/>
        <w:rPr>
          <w:noProof/>
        </w:rPr>
      </w:pPr>
    </w:p>
    <w:p w14:paraId="654C208A" w14:textId="77777777" w:rsidR="002F06CE" w:rsidRPr="0001127D" w:rsidRDefault="002F06CE" w:rsidP="002F06CE">
      <w:pPr>
        <w:pStyle w:val="Point0"/>
        <w:rPr>
          <w:noProof/>
        </w:rPr>
      </w:pPr>
      <w:r w:rsidRPr="0001127D">
        <w:rPr>
          <w:noProof/>
        </w:rPr>
        <w:t>3)</w:t>
      </w:r>
      <w:r w:rsidRPr="0001127D">
        <w:rPr>
          <w:noProof/>
        </w:rPr>
        <w:tab/>
        <w:t>al titolo I, capo II, sezione 2, il titolo è sostituito dal seguente:</w:t>
      </w:r>
    </w:p>
    <w:p w14:paraId="34893A2E" w14:textId="3B24BC80" w:rsidR="002F06CE" w:rsidRPr="0001127D" w:rsidRDefault="00E64452" w:rsidP="002F06CE">
      <w:pPr>
        <w:shd w:val="clear" w:color="auto" w:fill="FFFFFF"/>
        <w:spacing w:line="312" w:lineRule="atLeast"/>
        <w:jc w:val="center"/>
        <w:rPr>
          <w:rFonts w:eastAsia="Times New Roman"/>
          <w:b/>
          <w:bCs/>
          <w:noProof/>
          <w:color w:val="333333"/>
          <w:szCs w:val="24"/>
        </w:rPr>
      </w:pPr>
      <w:r w:rsidRPr="0001127D">
        <w:rPr>
          <w:noProof/>
        </w:rPr>
        <w:t>"</w:t>
      </w:r>
      <w:r w:rsidR="002F06CE" w:rsidRPr="0001127D">
        <w:rPr>
          <w:b/>
          <w:noProof/>
          <w:color w:val="333333"/>
        </w:rPr>
        <w:t>Nullità della società e validità dei suoi obblighi</w:t>
      </w:r>
      <w:r w:rsidRPr="0001127D">
        <w:rPr>
          <w:noProof/>
        </w:rPr>
        <w:t>"</w:t>
      </w:r>
      <w:r w:rsidR="002F06CE" w:rsidRPr="0001127D">
        <w:rPr>
          <w:noProof/>
        </w:rPr>
        <w:t>;</w:t>
      </w:r>
    </w:p>
    <w:p w14:paraId="0F89CDB5" w14:textId="77777777" w:rsidR="002F06CE" w:rsidRPr="0001127D" w:rsidRDefault="002F06CE" w:rsidP="002F06CE">
      <w:pPr>
        <w:pStyle w:val="title-division-2"/>
        <w:shd w:val="clear" w:color="auto" w:fill="FFFFFF"/>
        <w:spacing w:before="0" w:beforeAutospacing="0" w:after="120" w:afterAutospacing="0" w:line="312" w:lineRule="atLeast"/>
        <w:jc w:val="center"/>
        <w:rPr>
          <w:b/>
          <w:bCs/>
          <w:noProof/>
          <w:color w:val="333333"/>
        </w:rPr>
      </w:pPr>
    </w:p>
    <w:p w14:paraId="34A547CF" w14:textId="3D58C700" w:rsidR="002F06CE" w:rsidRPr="0001127D" w:rsidRDefault="002F06CE" w:rsidP="002F06CE">
      <w:pPr>
        <w:pStyle w:val="Point0"/>
        <w:rPr>
          <w:noProof/>
        </w:rPr>
      </w:pPr>
      <w:r w:rsidRPr="0001127D">
        <w:rPr>
          <w:noProof/>
        </w:rPr>
        <w:t>4)</w:t>
      </w:r>
      <w:r w:rsidRPr="0001127D">
        <w:rPr>
          <w:noProof/>
        </w:rPr>
        <w:tab/>
        <w:t>all</w:t>
      </w:r>
      <w:r w:rsidR="00E64452" w:rsidRPr="0001127D">
        <w:rPr>
          <w:noProof/>
        </w:rPr>
        <w:t>'</w:t>
      </w:r>
      <w:r w:rsidRPr="0001127D">
        <w:rPr>
          <w:noProof/>
        </w:rPr>
        <w:t>articolo 7, il paragrafo 1 è sostituito dal seguente:</w:t>
      </w:r>
    </w:p>
    <w:p w14:paraId="43C0ACBC" w14:textId="20DB5813" w:rsidR="002F06CE" w:rsidRPr="0001127D" w:rsidRDefault="00E64452" w:rsidP="002F06CE">
      <w:pPr>
        <w:pStyle w:val="Text1"/>
        <w:ind w:left="851"/>
        <w:rPr>
          <w:noProof/>
        </w:rPr>
      </w:pPr>
      <w:r w:rsidRPr="0001127D">
        <w:rPr>
          <w:noProof/>
        </w:rPr>
        <w:t>"</w:t>
      </w:r>
      <w:r w:rsidR="002F06CE" w:rsidRPr="0001127D">
        <w:rPr>
          <w:noProof/>
        </w:rPr>
        <w:t>1. Le misure di coordinamento prescritte dalla presente sezione si applicano alle disposizioni legislative, regolamentari e amministrative degli Stati membri riguardanti i tipi di società elencati nell</w:t>
      </w:r>
      <w:r w:rsidRPr="0001127D">
        <w:rPr>
          <w:noProof/>
        </w:rPr>
        <w:t>'</w:t>
      </w:r>
      <w:r w:rsidR="002F06CE" w:rsidRPr="0001127D">
        <w:rPr>
          <w:noProof/>
        </w:rPr>
        <w:t xml:space="preserve">allegato II </w:t>
      </w:r>
      <w:r w:rsidR="002F06CE" w:rsidRPr="0001127D">
        <w:rPr>
          <w:noProof/>
          <w:color w:val="000000" w:themeColor="text1"/>
        </w:rPr>
        <w:t>e, ove specificato, ai tipi di società elencati all</w:t>
      </w:r>
      <w:r w:rsidRPr="0001127D">
        <w:rPr>
          <w:noProof/>
          <w:color w:val="000000" w:themeColor="text1"/>
        </w:rPr>
        <w:t>'</w:t>
      </w:r>
      <w:r w:rsidR="002F06CE" w:rsidRPr="0001127D">
        <w:rPr>
          <w:noProof/>
          <w:color w:val="000000" w:themeColor="text1"/>
        </w:rPr>
        <w:t xml:space="preserve">allegato II </w:t>
      </w:r>
      <w:r w:rsidR="002F06CE" w:rsidRPr="0001127D">
        <w:rPr>
          <w:i/>
          <w:iCs/>
          <w:noProof/>
          <w:color w:val="000000" w:themeColor="text1"/>
        </w:rPr>
        <w:t>ter</w:t>
      </w:r>
      <w:r w:rsidR="002F06CE" w:rsidRPr="0001127D">
        <w:rPr>
          <w:noProof/>
          <w:color w:val="000000" w:themeColor="text1"/>
        </w:rPr>
        <w:t>.</w:t>
      </w:r>
      <w:r w:rsidRPr="0001127D">
        <w:rPr>
          <w:noProof/>
        </w:rPr>
        <w:t>"</w:t>
      </w:r>
      <w:r w:rsidR="002F06CE" w:rsidRPr="0001127D">
        <w:rPr>
          <w:noProof/>
        </w:rPr>
        <w:t>;</w:t>
      </w:r>
    </w:p>
    <w:p w14:paraId="51AF8EA6" w14:textId="77777777" w:rsidR="002F06CE" w:rsidRPr="0001127D" w:rsidRDefault="002F06CE" w:rsidP="002F06CE">
      <w:pPr>
        <w:pStyle w:val="Text1"/>
        <w:rPr>
          <w:noProof/>
        </w:rPr>
      </w:pPr>
    </w:p>
    <w:p w14:paraId="570054CA" w14:textId="7AEF16F5" w:rsidR="002F06CE" w:rsidRPr="0001127D" w:rsidRDefault="002F06CE" w:rsidP="002F06CE">
      <w:pPr>
        <w:pStyle w:val="Point0"/>
        <w:rPr>
          <w:noProof/>
        </w:rPr>
      </w:pPr>
      <w:r w:rsidRPr="0001127D">
        <w:rPr>
          <w:noProof/>
        </w:rPr>
        <w:t>5)</w:t>
      </w:r>
      <w:r w:rsidRPr="0001127D">
        <w:rPr>
          <w:noProof/>
        </w:rPr>
        <w:tab/>
        <w:t>l</w:t>
      </w:r>
      <w:r w:rsidR="00E64452" w:rsidRPr="0001127D">
        <w:rPr>
          <w:noProof/>
        </w:rPr>
        <w:t>'</w:t>
      </w:r>
      <w:r w:rsidRPr="0001127D">
        <w:rPr>
          <w:noProof/>
        </w:rPr>
        <w:t>articolo 10 è sostituito dal seguente:</w:t>
      </w:r>
    </w:p>
    <w:p w14:paraId="42C1A518" w14:textId="2C1910E5" w:rsidR="002F06CE" w:rsidRPr="0001127D" w:rsidRDefault="00E64452" w:rsidP="002F06CE">
      <w:pPr>
        <w:jc w:val="center"/>
        <w:rPr>
          <w:noProof/>
        </w:rPr>
      </w:pPr>
      <w:r w:rsidRPr="0001127D">
        <w:rPr>
          <w:noProof/>
        </w:rPr>
        <w:t>"</w:t>
      </w:r>
      <w:r w:rsidR="002F06CE" w:rsidRPr="0001127D">
        <w:rPr>
          <w:noProof/>
        </w:rPr>
        <w:t>Articolo 10</w:t>
      </w:r>
    </w:p>
    <w:p w14:paraId="19E77026" w14:textId="77777777" w:rsidR="002F06CE" w:rsidRPr="0001127D" w:rsidRDefault="002F06CE" w:rsidP="002F06CE">
      <w:pPr>
        <w:shd w:val="clear" w:color="auto" w:fill="FFFFFF"/>
        <w:spacing w:before="240" w:line="312" w:lineRule="atLeast"/>
        <w:jc w:val="center"/>
        <w:rPr>
          <w:noProof/>
        </w:rPr>
      </w:pPr>
      <w:r w:rsidRPr="0001127D">
        <w:rPr>
          <w:b/>
          <w:noProof/>
        </w:rPr>
        <w:t>Controllo preventivo</w:t>
      </w:r>
    </w:p>
    <w:p w14:paraId="5EC620E5" w14:textId="142791BD" w:rsidR="002F06CE" w:rsidRPr="0001127D" w:rsidRDefault="002F06CE" w:rsidP="002F06CE">
      <w:pPr>
        <w:pStyle w:val="ManualNumPar1"/>
        <w:rPr>
          <w:noProof/>
        </w:rPr>
      </w:pPr>
      <w:r w:rsidRPr="0001127D">
        <w:rPr>
          <w:noProof/>
        </w:rPr>
        <w:t>1.</w:t>
      </w:r>
      <w:r w:rsidRPr="0001127D">
        <w:rPr>
          <w:noProof/>
        </w:rPr>
        <w:tab/>
        <w:t>Gli Stati membri prevedono, all</w:t>
      </w:r>
      <w:r w:rsidR="00E64452" w:rsidRPr="0001127D">
        <w:rPr>
          <w:noProof/>
        </w:rPr>
        <w:t>'</w:t>
      </w:r>
      <w:r w:rsidRPr="0001127D">
        <w:rPr>
          <w:noProof/>
        </w:rPr>
        <w:t>atto della costituzione, un controllo preventivo amministrativo o giudiziario dell</w:t>
      </w:r>
      <w:r w:rsidR="00E64452" w:rsidRPr="0001127D">
        <w:rPr>
          <w:noProof/>
        </w:rPr>
        <w:t>'</w:t>
      </w:r>
      <w:r w:rsidRPr="0001127D">
        <w:rPr>
          <w:noProof/>
        </w:rPr>
        <w:t>atto costitutivo, dello statuto della società e delle loro modifiche. Gli Stati membri possono prevedere che tali documenti debbano rivestire la forma di atto pubblico.</w:t>
      </w:r>
      <w:r w:rsidR="00E64452" w:rsidRPr="0001127D">
        <w:rPr>
          <w:noProof/>
        </w:rPr>
        <w:t xml:space="preserve"> </w:t>
      </w:r>
    </w:p>
    <w:p w14:paraId="71E8C8C8" w14:textId="297EDC1A" w:rsidR="002F06CE" w:rsidRPr="0001127D" w:rsidRDefault="002F06CE" w:rsidP="002F06CE">
      <w:pPr>
        <w:pStyle w:val="ManualNumPar1"/>
        <w:rPr>
          <w:noProof/>
        </w:rPr>
      </w:pPr>
      <w:r w:rsidRPr="0001127D">
        <w:rPr>
          <w:noProof/>
        </w:rPr>
        <w:t>2.</w:t>
      </w:r>
      <w:r w:rsidRPr="0001127D">
        <w:rPr>
          <w:noProof/>
        </w:rPr>
        <w:tab/>
        <w:t xml:space="preserve">Gli Stati membri provvedono affinché la loro legislazione in materia di costituzione delle società elencate negli allegati II e II </w:t>
      </w:r>
      <w:r w:rsidRPr="0001127D">
        <w:rPr>
          <w:i/>
          <w:iCs/>
          <w:noProof/>
        </w:rPr>
        <w:t>ter</w:t>
      </w:r>
      <w:r w:rsidRPr="0001127D">
        <w:rPr>
          <w:noProof/>
        </w:rPr>
        <w:t xml:space="preserve"> preveda una procedura per il controllo di legalità dell</w:t>
      </w:r>
      <w:r w:rsidR="00E64452" w:rsidRPr="0001127D">
        <w:rPr>
          <w:noProof/>
        </w:rPr>
        <w:t>'</w:t>
      </w:r>
      <w:r w:rsidRPr="0001127D">
        <w:rPr>
          <w:noProof/>
        </w:rPr>
        <w:t>atto costitutivo e dello statuto, se quest</w:t>
      </w:r>
      <w:r w:rsidR="00E64452" w:rsidRPr="0001127D">
        <w:rPr>
          <w:noProof/>
        </w:rPr>
        <w:t>'</w:t>
      </w:r>
      <w:r w:rsidRPr="0001127D">
        <w:rPr>
          <w:noProof/>
        </w:rPr>
        <w:t xml:space="preserve">ultimo forma oggetto di atto separato. Gli Stati membri provvedono affinché tale controllo sia effettuato anche in caso di modifica di tali documenti. </w:t>
      </w:r>
    </w:p>
    <w:p w14:paraId="0A6B8776" w14:textId="77777777" w:rsidR="002F06CE" w:rsidRPr="0001127D" w:rsidRDefault="002F06CE" w:rsidP="002F06CE">
      <w:pPr>
        <w:shd w:val="clear" w:color="auto" w:fill="FFFFFF"/>
        <w:tabs>
          <w:tab w:val="num" w:pos="851"/>
        </w:tabs>
        <w:spacing w:after="0"/>
        <w:ind w:left="851"/>
        <w:rPr>
          <w:noProof/>
          <w:color w:val="000000" w:themeColor="text1"/>
          <w:szCs w:val="24"/>
        </w:rPr>
      </w:pPr>
      <w:r w:rsidRPr="0001127D">
        <w:rPr>
          <w:noProof/>
          <w:color w:val="000000" w:themeColor="text1"/>
        </w:rPr>
        <w:t xml:space="preserve">Il controllo di legalità accerta quanto meno che: </w:t>
      </w:r>
    </w:p>
    <w:p w14:paraId="5A38756F" w14:textId="3DC40CDC" w:rsidR="002F06CE" w:rsidRPr="0001127D" w:rsidRDefault="002F06CE" w:rsidP="002F06CE">
      <w:pPr>
        <w:pStyle w:val="Point2"/>
        <w:rPr>
          <w:noProof/>
        </w:rPr>
      </w:pPr>
      <w:r w:rsidRPr="0001127D">
        <w:rPr>
          <w:noProof/>
        </w:rPr>
        <w:t>a)</w:t>
      </w:r>
      <w:r w:rsidRPr="0001127D">
        <w:rPr>
          <w:noProof/>
        </w:rPr>
        <w:tab/>
        <w:t>siano soddisfatti i requisiti formali per l</w:t>
      </w:r>
      <w:r w:rsidR="00E64452" w:rsidRPr="0001127D">
        <w:rPr>
          <w:noProof/>
        </w:rPr>
        <w:t>'</w:t>
      </w:r>
      <w:r w:rsidRPr="0001127D">
        <w:rPr>
          <w:noProof/>
        </w:rPr>
        <w:t>atto costitutivo e per lo statuto, se quest</w:t>
      </w:r>
      <w:r w:rsidR="00E64452" w:rsidRPr="0001127D">
        <w:rPr>
          <w:noProof/>
        </w:rPr>
        <w:t>'</w:t>
      </w:r>
      <w:r w:rsidRPr="0001127D">
        <w:rPr>
          <w:noProof/>
        </w:rPr>
        <w:t>ultimo forma oggetto di atto separato, e che sia verificato il corretto utilizzo dei modelli di cui all</w:t>
      </w:r>
      <w:r w:rsidR="00E64452" w:rsidRPr="0001127D">
        <w:rPr>
          <w:noProof/>
        </w:rPr>
        <w:t>'</w:t>
      </w:r>
      <w:r w:rsidRPr="0001127D">
        <w:rPr>
          <w:noProof/>
        </w:rPr>
        <w:t>articolo 13 </w:t>
      </w:r>
      <w:r w:rsidRPr="0001127D">
        <w:rPr>
          <w:i/>
          <w:iCs/>
          <w:noProof/>
        </w:rPr>
        <w:t>nonies</w:t>
      </w:r>
      <w:r w:rsidRPr="0001127D">
        <w:rPr>
          <w:noProof/>
        </w:rPr>
        <w:t xml:space="preserve">; </w:t>
      </w:r>
    </w:p>
    <w:p w14:paraId="42FE0CAC" w14:textId="77777777" w:rsidR="002F06CE" w:rsidRPr="0001127D" w:rsidRDefault="002F06CE" w:rsidP="002F06CE">
      <w:pPr>
        <w:pStyle w:val="Point2"/>
        <w:rPr>
          <w:rFonts w:eastAsia="Times New Roman"/>
          <w:noProof/>
        </w:rPr>
      </w:pPr>
      <w:r w:rsidRPr="0001127D">
        <w:rPr>
          <w:noProof/>
        </w:rPr>
        <w:t>b)</w:t>
      </w:r>
      <w:r w:rsidRPr="0001127D">
        <w:rPr>
          <w:noProof/>
        </w:rPr>
        <w:tab/>
        <w:t xml:space="preserve">figuri il contenuto minimo obbligatorio; </w:t>
      </w:r>
    </w:p>
    <w:p w14:paraId="27390B29" w14:textId="77777777" w:rsidR="002F06CE" w:rsidRPr="0001127D" w:rsidRDefault="002F06CE" w:rsidP="002F06CE">
      <w:pPr>
        <w:pStyle w:val="Point2"/>
        <w:rPr>
          <w:rFonts w:eastAsia="Times New Roman"/>
          <w:noProof/>
        </w:rPr>
      </w:pPr>
      <w:r w:rsidRPr="0001127D">
        <w:rPr>
          <w:noProof/>
        </w:rPr>
        <w:t>c)</w:t>
      </w:r>
      <w:r w:rsidRPr="0001127D">
        <w:rPr>
          <w:noProof/>
        </w:rPr>
        <w:tab/>
        <w:t>non appaiano irregolarità giuridiche sostanziali, e</w:t>
      </w:r>
    </w:p>
    <w:p w14:paraId="526DF438" w14:textId="77777777" w:rsidR="002F06CE" w:rsidRPr="0001127D" w:rsidDel="00714A7C" w:rsidRDefault="002F06CE" w:rsidP="002F06CE">
      <w:pPr>
        <w:pStyle w:val="Point2"/>
        <w:rPr>
          <w:rFonts w:eastAsia="Times New Roman"/>
          <w:noProof/>
        </w:rPr>
      </w:pPr>
      <w:r w:rsidRPr="0001127D">
        <w:rPr>
          <w:noProof/>
        </w:rPr>
        <w:t>d)</w:t>
      </w:r>
      <w:r w:rsidRPr="0001127D">
        <w:rPr>
          <w:noProof/>
        </w:rPr>
        <w:tab/>
        <w:t xml:space="preserve">siano stati versati i conferimenti in denaro o in natura, conformemente al diritto nazionale. </w:t>
      </w:r>
    </w:p>
    <w:p w14:paraId="5F3ED764" w14:textId="012CEFB3" w:rsidR="002F06CE" w:rsidRPr="0001127D" w:rsidRDefault="002F06CE" w:rsidP="002F06CE">
      <w:pPr>
        <w:shd w:val="clear" w:color="auto" w:fill="FFFFFF"/>
        <w:tabs>
          <w:tab w:val="num" w:pos="851"/>
        </w:tabs>
        <w:spacing w:after="0"/>
        <w:ind w:left="851"/>
        <w:rPr>
          <w:rFonts w:eastAsia="Times New Roman"/>
          <w:noProof/>
          <w:color w:val="000000" w:themeColor="text1"/>
          <w:szCs w:val="24"/>
        </w:rPr>
      </w:pPr>
      <w:r w:rsidRPr="0001127D">
        <w:rPr>
          <w:noProof/>
          <w:color w:val="000000" w:themeColor="text1"/>
        </w:rPr>
        <w:t>Qualora, per la costituzione delle società elencate nell</w:t>
      </w:r>
      <w:r w:rsidR="00E64452" w:rsidRPr="0001127D">
        <w:rPr>
          <w:noProof/>
          <w:color w:val="000000" w:themeColor="text1"/>
        </w:rPr>
        <w:t>'</w:t>
      </w:r>
      <w:r w:rsidRPr="0001127D">
        <w:rPr>
          <w:noProof/>
          <w:color w:val="000000" w:themeColor="text1"/>
        </w:rPr>
        <w:t xml:space="preserve">allegato II </w:t>
      </w:r>
      <w:r w:rsidRPr="0001127D">
        <w:rPr>
          <w:i/>
          <w:iCs/>
          <w:noProof/>
          <w:color w:val="000000" w:themeColor="text1"/>
        </w:rPr>
        <w:t>ter</w:t>
      </w:r>
      <w:r w:rsidRPr="0001127D">
        <w:rPr>
          <w:noProof/>
          <w:color w:val="000000" w:themeColor="text1"/>
        </w:rPr>
        <w:t>, il diritto nazionale non richieda la redazione dell</w:t>
      </w:r>
      <w:r w:rsidR="00E64452" w:rsidRPr="0001127D">
        <w:rPr>
          <w:noProof/>
          <w:color w:val="000000" w:themeColor="text1"/>
        </w:rPr>
        <w:t>'</w:t>
      </w:r>
      <w:r w:rsidRPr="0001127D">
        <w:rPr>
          <w:noProof/>
          <w:color w:val="000000" w:themeColor="text1"/>
        </w:rPr>
        <w:t>atto costitutivo e dello statuto, la procedura per il controllo di legalità comprende l</w:t>
      </w:r>
      <w:r w:rsidR="00E64452" w:rsidRPr="0001127D">
        <w:rPr>
          <w:noProof/>
          <w:color w:val="000000" w:themeColor="text1"/>
        </w:rPr>
        <w:t>'</w:t>
      </w:r>
      <w:r w:rsidRPr="0001127D">
        <w:rPr>
          <w:noProof/>
          <w:color w:val="000000" w:themeColor="text1"/>
        </w:rPr>
        <w:t>esame formale e sostanziale dei documenti richiesti dal diritto nazionale per la costituzione di tali società.</w:t>
      </w:r>
      <w:r w:rsidR="00E64452" w:rsidRPr="0001127D">
        <w:rPr>
          <w:noProof/>
          <w:color w:val="000000" w:themeColor="text1"/>
        </w:rPr>
        <w:t xml:space="preserve"> </w:t>
      </w:r>
    </w:p>
    <w:p w14:paraId="08DA095F" w14:textId="41CDBDA7" w:rsidR="002F06CE" w:rsidRPr="0001127D" w:rsidRDefault="002F06CE" w:rsidP="002F06CE">
      <w:pPr>
        <w:shd w:val="clear" w:color="auto" w:fill="FFFFFF"/>
        <w:tabs>
          <w:tab w:val="num" w:pos="851"/>
        </w:tabs>
        <w:spacing w:after="0" w:line="312" w:lineRule="atLeast"/>
        <w:ind w:left="851"/>
        <w:rPr>
          <w:rFonts w:eastAsia="Times New Roman"/>
          <w:noProof/>
          <w:color w:val="000000" w:themeColor="text1"/>
          <w:szCs w:val="24"/>
        </w:rPr>
      </w:pPr>
      <w:r w:rsidRPr="0001127D">
        <w:rPr>
          <w:noProof/>
          <w:color w:val="000000" w:themeColor="text1"/>
        </w:rPr>
        <w:t xml:space="preserve">3. </w:t>
      </w:r>
      <w:r w:rsidRPr="0001127D">
        <w:rPr>
          <w:noProof/>
        </w:rPr>
        <w:tab/>
      </w:r>
      <w:r w:rsidRPr="0001127D">
        <w:rPr>
          <w:noProof/>
          <w:color w:val="000000" w:themeColor="text1"/>
        </w:rPr>
        <w:t>Gli Stati membri possono derogare all</w:t>
      </w:r>
      <w:r w:rsidR="00E64452" w:rsidRPr="0001127D">
        <w:rPr>
          <w:noProof/>
          <w:color w:val="000000" w:themeColor="text1"/>
        </w:rPr>
        <w:t>'</w:t>
      </w:r>
      <w:r w:rsidRPr="0001127D">
        <w:rPr>
          <w:noProof/>
          <w:color w:val="000000" w:themeColor="text1"/>
        </w:rPr>
        <w:t>obbligo di effettuare il controllo di legalità di cui al paragrafo 2, lettere b) e c), se i richiedenti utilizzano i modelli di cui all</w:t>
      </w:r>
      <w:r w:rsidR="00E64452" w:rsidRPr="0001127D">
        <w:rPr>
          <w:noProof/>
          <w:color w:val="000000" w:themeColor="text1"/>
        </w:rPr>
        <w:t>'</w:t>
      </w:r>
      <w:r w:rsidRPr="0001127D">
        <w:rPr>
          <w:noProof/>
          <w:color w:val="000000" w:themeColor="text1"/>
        </w:rPr>
        <w:t>articolo 13 </w:t>
      </w:r>
      <w:r w:rsidRPr="0001127D">
        <w:rPr>
          <w:i/>
          <w:iCs/>
          <w:noProof/>
          <w:color w:val="000000" w:themeColor="text1"/>
        </w:rPr>
        <w:t>nonies</w:t>
      </w:r>
      <w:r w:rsidRPr="0001127D">
        <w:rPr>
          <w:noProof/>
          <w:color w:val="000000" w:themeColor="text1"/>
        </w:rPr>
        <w:t>.</w:t>
      </w:r>
    </w:p>
    <w:p w14:paraId="2FA64686" w14:textId="2DBD3764" w:rsidR="002F06CE" w:rsidRPr="0001127D" w:rsidRDefault="002F06CE" w:rsidP="002F06CE">
      <w:pPr>
        <w:shd w:val="clear" w:color="auto" w:fill="FFFFFF"/>
        <w:tabs>
          <w:tab w:val="num" w:pos="851"/>
        </w:tabs>
        <w:spacing w:after="0" w:line="312" w:lineRule="atLeast"/>
        <w:ind w:left="851"/>
        <w:rPr>
          <w:rFonts w:eastAsia="Times New Roman"/>
          <w:noProof/>
          <w:color w:val="000000" w:themeColor="text1"/>
          <w:szCs w:val="24"/>
        </w:rPr>
      </w:pPr>
      <w:r w:rsidRPr="0001127D">
        <w:rPr>
          <w:noProof/>
          <w:color w:val="000000" w:themeColor="text1"/>
        </w:rPr>
        <w:t xml:space="preserve">4. </w:t>
      </w:r>
      <w:r w:rsidRPr="0001127D">
        <w:rPr>
          <w:noProof/>
        </w:rPr>
        <w:tab/>
      </w:r>
      <w:r w:rsidRPr="0001127D">
        <w:rPr>
          <w:noProof/>
          <w:color w:val="000000" w:themeColor="text1"/>
        </w:rPr>
        <w:t>Le norme di cui all</w:t>
      </w:r>
      <w:r w:rsidR="00E64452" w:rsidRPr="0001127D">
        <w:rPr>
          <w:noProof/>
          <w:color w:val="000000" w:themeColor="text1"/>
        </w:rPr>
        <w:t>'</w:t>
      </w:r>
      <w:r w:rsidRPr="0001127D">
        <w:rPr>
          <w:noProof/>
          <w:color w:val="000000" w:themeColor="text1"/>
        </w:rPr>
        <w:t>articolo</w:t>
      </w:r>
      <w:r w:rsidR="00CA4560" w:rsidRPr="0001127D">
        <w:rPr>
          <w:noProof/>
          <w:color w:val="000000" w:themeColor="text1"/>
        </w:rPr>
        <w:t> </w:t>
      </w:r>
      <w:r w:rsidRPr="0001127D">
        <w:rPr>
          <w:noProof/>
          <w:color w:val="000000" w:themeColor="text1"/>
        </w:rPr>
        <w:t>13, paragrafo</w:t>
      </w:r>
      <w:r w:rsidR="00CA4560" w:rsidRPr="0001127D">
        <w:rPr>
          <w:noProof/>
          <w:color w:val="000000" w:themeColor="text1"/>
        </w:rPr>
        <w:t> </w:t>
      </w:r>
      <w:r w:rsidRPr="0001127D">
        <w:rPr>
          <w:noProof/>
          <w:color w:val="000000" w:themeColor="text1"/>
        </w:rPr>
        <w:t>4, lettere</w:t>
      </w:r>
      <w:r w:rsidR="00CA4560" w:rsidRPr="0001127D">
        <w:rPr>
          <w:noProof/>
          <w:color w:val="000000" w:themeColor="text1"/>
        </w:rPr>
        <w:t xml:space="preserve"> </w:t>
      </w:r>
      <w:r w:rsidRPr="0001127D">
        <w:rPr>
          <w:noProof/>
          <w:color w:val="000000" w:themeColor="text1"/>
        </w:rPr>
        <w:t>b) e c), all</w:t>
      </w:r>
      <w:r w:rsidR="00E64452" w:rsidRPr="0001127D">
        <w:rPr>
          <w:noProof/>
          <w:color w:val="000000" w:themeColor="text1"/>
        </w:rPr>
        <w:t>'</w:t>
      </w:r>
      <w:r w:rsidRPr="0001127D">
        <w:rPr>
          <w:noProof/>
          <w:color w:val="000000" w:themeColor="text1"/>
        </w:rPr>
        <w:t>articolo</w:t>
      </w:r>
      <w:r w:rsidR="00CA4560" w:rsidRPr="0001127D">
        <w:rPr>
          <w:noProof/>
          <w:color w:val="000000" w:themeColor="text1"/>
        </w:rPr>
        <w:t> </w:t>
      </w:r>
      <w:r w:rsidRPr="0001127D">
        <w:rPr>
          <w:noProof/>
          <w:color w:val="000000" w:themeColor="text1"/>
        </w:rPr>
        <w:t>13, paragrafi 5 e 7, e all</w:t>
      </w:r>
      <w:r w:rsidR="00E64452" w:rsidRPr="0001127D">
        <w:rPr>
          <w:noProof/>
          <w:color w:val="000000" w:themeColor="text1"/>
        </w:rPr>
        <w:t>'</w:t>
      </w:r>
      <w:r w:rsidRPr="0001127D">
        <w:rPr>
          <w:noProof/>
          <w:color w:val="000000" w:themeColor="text1"/>
        </w:rPr>
        <w:t xml:space="preserve">articolo 13 </w:t>
      </w:r>
      <w:r w:rsidRPr="0001127D">
        <w:rPr>
          <w:i/>
          <w:iCs/>
          <w:noProof/>
          <w:color w:val="000000" w:themeColor="text1"/>
        </w:rPr>
        <w:t>octies</w:t>
      </w:r>
      <w:r w:rsidRPr="0001127D">
        <w:rPr>
          <w:noProof/>
          <w:color w:val="000000" w:themeColor="text1"/>
        </w:rPr>
        <w:t xml:space="preserve">, paragrafo 3, lettere a), d), e), e f), si applicano </w:t>
      </w:r>
      <w:r w:rsidRPr="0001127D">
        <w:rPr>
          <w:i/>
          <w:noProof/>
          <w:color w:val="000000" w:themeColor="text1"/>
        </w:rPr>
        <w:t>mutatis mutandis</w:t>
      </w:r>
      <w:r w:rsidRPr="0001127D">
        <w:rPr>
          <w:noProof/>
          <w:color w:val="000000" w:themeColor="text1"/>
        </w:rPr>
        <w:t xml:space="preserve"> alle altre forme di costituzione delle società </w:t>
      </w:r>
      <w:r w:rsidRPr="0001127D">
        <w:rPr>
          <w:noProof/>
        </w:rPr>
        <w:t xml:space="preserve">elencate agli allegati II e II </w:t>
      </w:r>
      <w:r w:rsidRPr="0001127D">
        <w:rPr>
          <w:i/>
          <w:iCs/>
          <w:noProof/>
        </w:rPr>
        <w:t>ter</w:t>
      </w:r>
      <w:r w:rsidRPr="0001127D">
        <w:rPr>
          <w:noProof/>
        </w:rPr>
        <w:t xml:space="preserve"> </w:t>
      </w:r>
      <w:r w:rsidRPr="0001127D">
        <w:rPr>
          <w:noProof/>
          <w:color w:val="000000" w:themeColor="text1"/>
        </w:rPr>
        <w:t xml:space="preserve">che non avvengono completamente online. </w:t>
      </w:r>
    </w:p>
    <w:p w14:paraId="18EC4153" w14:textId="4AF5F760" w:rsidR="002F06CE" w:rsidRPr="0001127D" w:rsidRDefault="002F06CE" w:rsidP="002F06CE">
      <w:pPr>
        <w:shd w:val="clear" w:color="auto" w:fill="FFFFFF"/>
        <w:tabs>
          <w:tab w:val="num" w:pos="851"/>
        </w:tabs>
        <w:spacing w:after="0"/>
        <w:ind w:left="851"/>
        <w:rPr>
          <w:rFonts w:eastAsia="Times New Roman"/>
          <w:noProof/>
          <w:color w:val="000000" w:themeColor="text1"/>
          <w:szCs w:val="24"/>
        </w:rPr>
      </w:pPr>
      <w:r w:rsidRPr="0001127D">
        <w:rPr>
          <w:noProof/>
          <w:color w:val="000000" w:themeColor="text1"/>
        </w:rPr>
        <w:t>Gli Stati membri provvedono affinché siano stabilite norme per verificare l</w:t>
      </w:r>
      <w:r w:rsidR="00E64452" w:rsidRPr="0001127D">
        <w:rPr>
          <w:noProof/>
          <w:color w:val="000000" w:themeColor="text1"/>
        </w:rPr>
        <w:t>'</w:t>
      </w:r>
      <w:r w:rsidRPr="0001127D">
        <w:rPr>
          <w:noProof/>
          <w:color w:val="000000" w:themeColor="text1"/>
        </w:rPr>
        <w:t xml:space="preserve">identità dei richiedenti nel caso di tali altre forme di costituzione delle società. </w:t>
      </w:r>
    </w:p>
    <w:p w14:paraId="3A92BAEF" w14:textId="07532A28" w:rsidR="002F06CE" w:rsidRPr="0001127D" w:rsidRDefault="002F06CE" w:rsidP="002F06CE">
      <w:pPr>
        <w:shd w:val="clear" w:color="auto" w:fill="FFFFFF"/>
        <w:tabs>
          <w:tab w:val="num" w:pos="851"/>
        </w:tabs>
        <w:spacing w:after="0"/>
        <w:ind w:left="851"/>
        <w:rPr>
          <w:rFonts w:eastAsia="Times New Roman"/>
          <w:noProof/>
          <w:color w:val="000000" w:themeColor="text1"/>
          <w:szCs w:val="24"/>
        </w:rPr>
      </w:pPr>
      <w:r w:rsidRPr="0001127D">
        <w:rPr>
          <w:noProof/>
          <w:color w:val="000000" w:themeColor="text1"/>
        </w:rPr>
        <w:t xml:space="preserve">5. </w:t>
      </w:r>
      <w:r w:rsidRPr="0001127D">
        <w:rPr>
          <w:noProof/>
        </w:rPr>
        <w:tab/>
      </w:r>
      <w:r w:rsidRPr="0001127D">
        <w:rPr>
          <w:noProof/>
          <w:color w:val="000000" w:themeColor="text1"/>
        </w:rPr>
        <w:t>I paragrafi 1, 2 e 3 si applicano sia alle procedure interamente online che ad altre procedure</w:t>
      </w:r>
      <w:r w:rsidR="00E64452" w:rsidRPr="0001127D">
        <w:rPr>
          <w:noProof/>
          <w:color w:val="000000" w:themeColor="text1"/>
        </w:rPr>
        <w:t>"</w:t>
      </w:r>
      <w:r w:rsidRPr="0001127D">
        <w:rPr>
          <w:noProof/>
          <w:color w:val="000000" w:themeColor="text1"/>
        </w:rPr>
        <w:t>.</w:t>
      </w:r>
    </w:p>
    <w:p w14:paraId="2A1A3BFE" w14:textId="77777777" w:rsidR="002F06CE" w:rsidRPr="0001127D" w:rsidRDefault="002F06CE" w:rsidP="002F06CE">
      <w:pPr>
        <w:shd w:val="clear" w:color="auto" w:fill="FFFFFF"/>
        <w:spacing w:after="0"/>
        <w:rPr>
          <w:rFonts w:eastAsia="Times New Roman"/>
          <w:noProof/>
          <w:color w:val="000000" w:themeColor="text1"/>
          <w:szCs w:val="24"/>
        </w:rPr>
      </w:pPr>
    </w:p>
    <w:p w14:paraId="4B7C3898" w14:textId="77777777" w:rsidR="002F06CE" w:rsidRPr="0001127D" w:rsidRDefault="002F06CE" w:rsidP="002F06CE">
      <w:pPr>
        <w:pStyle w:val="Point0"/>
        <w:rPr>
          <w:noProof/>
        </w:rPr>
      </w:pPr>
      <w:r w:rsidRPr="0001127D">
        <w:rPr>
          <w:noProof/>
        </w:rPr>
        <w:t>6)</w:t>
      </w:r>
      <w:r w:rsidRPr="0001127D">
        <w:rPr>
          <w:noProof/>
        </w:rPr>
        <w:tab/>
      </w:r>
      <w:r w:rsidRPr="0001127D">
        <w:rPr>
          <w:noProof/>
          <w:color w:val="000000" w:themeColor="text1"/>
        </w:rPr>
        <w:t xml:space="preserve">al titolo </w:t>
      </w:r>
      <w:r w:rsidRPr="0001127D">
        <w:rPr>
          <w:noProof/>
        </w:rPr>
        <w:t>I, capo III, il titolo è sostituito dal seguente:</w:t>
      </w:r>
    </w:p>
    <w:p w14:paraId="7793F755" w14:textId="15F0F0E5" w:rsidR="002F06CE" w:rsidRPr="0001127D" w:rsidRDefault="00E64452" w:rsidP="002F06CE">
      <w:pPr>
        <w:ind w:left="851"/>
        <w:rPr>
          <w:noProof/>
        </w:rPr>
      </w:pPr>
      <w:r w:rsidRPr="0001127D">
        <w:rPr>
          <w:noProof/>
        </w:rPr>
        <w:t>"</w:t>
      </w:r>
      <w:r w:rsidR="002F06CE" w:rsidRPr="0001127D">
        <w:rPr>
          <w:noProof/>
        </w:rPr>
        <w:t>Procedure online e di altro tipo (costituzione, registrazione e presentazione di documenti), pubblicità e registri</w:t>
      </w:r>
      <w:r w:rsidRPr="0001127D">
        <w:rPr>
          <w:noProof/>
        </w:rPr>
        <w:t>"</w:t>
      </w:r>
      <w:r w:rsidR="002F06CE" w:rsidRPr="0001127D">
        <w:rPr>
          <w:noProof/>
        </w:rPr>
        <w:t>;</w:t>
      </w:r>
    </w:p>
    <w:p w14:paraId="0284691A" w14:textId="77777777" w:rsidR="002F06CE" w:rsidRPr="0001127D" w:rsidRDefault="002F06CE" w:rsidP="002F06CE">
      <w:pPr>
        <w:shd w:val="clear" w:color="auto" w:fill="FFFFFF"/>
        <w:spacing w:after="0"/>
        <w:rPr>
          <w:rFonts w:eastAsia="Times New Roman"/>
          <w:noProof/>
          <w:color w:val="000000" w:themeColor="text1"/>
          <w:szCs w:val="24"/>
        </w:rPr>
      </w:pPr>
    </w:p>
    <w:p w14:paraId="2CC0A93E" w14:textId="3B8B8C5A" w:rsidR="002F06CE" w:rsidRPr="0001127D" w:rsidRDefault="002F06CE" w:rsidP="002F06CE">
      <w:pPr>
        <w:pStyle w:val="Point0"/>
        <w:rPr>
          <w:noProof/>
        </w:rPr>
      </w:pPr>
      <w:r w:rsidRPr="0001127D">
        <w:rPr>
          <w:noProof/>
        </w:rPr>
        <w:t>7)</w:t>
      </w:r>
      <w:r w:rsidRPr="0001127D">
        <w:rPr>
          <w:noProof/>
        </w:rPr>
        <w:tab/>
        <w:t>l</w:t>
      </w:r>
      <w:r w:rsidR="00E64452" w:rsidRPr="0001127D">
        <w:rPr>
          <w:noProof/>
        </w:rPr>
        <w:t>'</w:t>
      </w:r>
      <w:r w:rsidRPr="0001127D">
        <w:rPr>
          <w:noProof/>
        </w:rPr>
        <w:t>articolo 13 è sostituito dal seguente:</w:t>
      </w:r>
    </w:p>
    <w:p w14:paraId="76297C19" w14:textId="24822F84" w:rsidR="002F06CE" w:rsidRPr="0001127D" w:rsidRDefault="00E64452" w:rsidP="002F06CE">
      <w:pPr>
        <w:shd w:val="clear" w:color="auto" w:fill="FFFFFF"/>
        <w:tabs>
          <w:tab w:val="num" w:pos="709"/>
        </w:tabs>
        <w:spacing w:before="240" w:line="312" w:lineRule="atLeast"/>
        <w:jc w:val="center"/>
        <w:rPr>
          <w:rFonts w:eastAsia="Times New Roman"/>
          <w:iCs/>
          <w:noProof/>
          <w:color w:val="00B050"/>
          <w:szCs w:val="24"/>
        </w:rPr>
      </w:pPr>
      <w:r w:rsidRPr="0001127D">
        <w:rPr>
          <w:noProof/>
          <w:color w:val="333333"/>
        </w:rPr>
        <w:t>"</w:t>
      </w:r>
      <w:r w:rsidR="002F06CE" w:rsidRPr="0001127D">
        <w:rPr>
          <w:noProof/>
          <w:color w:val="333333"/>
        </w:rPr>
        <w:t xml:space="preserve">Articolo 13 </w:t>
      </w:r>
    </w:p>
    <w:p w14:paraId="308AD45A" w14:textId="77777777" w:rsidR="002F06CE" w:rsidRPr="0001127D" w:rsidRDefault="002F06CE" w:rsidP="002F06CE">
      <w:pPr>
        <w:shd w:val="clear" w:color="auto" w:fill="FFFFFF"/>
        <w:tabs>
          <w:tab w:val="num" w:pos="709"/>
        </w:tabs>
        <w:spacing w:before="240" w:line="312" w:lineRule="atLeast"/>
        <w:jc w:val="center"/>
        <w:rPr>
          <w:rFonts w:eastAsia="Times New Roman"/>
          <w:b/>
          <w:bCs/>
          <w:noProof/>
          <w:color w:val="333333"/>
          <w:szCs w:val="24"/>
        </w:rPr>
      </w:pPr>
      <w:r w:rsidRPr="0001127D">
        <w:rPr>
          <w:b/>
          <w:noProof/>
          <w:color w:val="333333"/>
        </w:rPr>
        <w:t>Ambito di applicazione</w:t>
      </w:r>
    </w:p>
    <w:p w14:paraId="5901518B" w14:textId="212F96F6" w:rsidR="002F06CE" w:rsidRPr="0001127D" w:rsidRDefault="002F06CE" w:rsidP="002F06CE">
      <w:pPr>
        <w:shd w:val="clear" w:color="auto" w:fill="FFFFFF"/>
        <w:tabs>
          <w:tab w:val="num" w:pos="851"/>
        </w:tabs>
        <w:spacing w:after="0" w:line="312" w:lineRule="atLeast"/>
        <w:ind w:left="851"/>
        <w:rPr>
          <w:rFonts w:eastAsia="Times New Roman"/>
          <w:noProof/>
          <w:color w:val="00B050"/>
          <w:szCs w:val="24"/>
        </w:rPr>
      </w:pPr>
      <w:r w:rsidRPr="0001127D">
        <w:rPr>
          <w:noProof/>
          <w:color w:val="333333"/>
        </w:rPr>
        <w:t xml:space="preserve">Le misure di coordinamento prescritte dalla presente sezione e dalla sezione 1 </w:t>
      </w:r>
      <w:r w:rsidRPr="0001127D">
        <w:rPr>
          <w:i/>
          <w:iCs/>
          <w:noProof/>
          <w:color w:val="333333"/>
        </w:rPr>
        <w:t>bis</w:t>
      </w:r>
      <w:r w:rsidRPr="0001127D">
        <w:rPr>
          <w:noProof/>
          <w:color w:val="333333"/>
        </w:rPr>
        <w:t xml:space="preserve"> si applicano alle disposizioni legislative, regolamentari e amministrative degli Stati membri riguardanti i tipi di società elencati nell</w:t>
      </w:r>
      <w:r w:rsidR="00E64452" w:rsidRPr="0001127D">
        <w:rPr>
          <w:noProof/>
          <w:color w:val="333333"/>
        </w:rPr>
        <w:t>'</w:t>
      </w:r>
      <w:r w:rsidRPr="0001127D">
        <w:rPr>
          <w:noProof/>
          <w:color w:val="333333"/>
        </w:rPr>
        <w:t>allegato II e, ove specificato, ai tipi di società elencati agli allegati I</w:t>
      </w:r>
      <w:r w:rsidRPr="0001127D">
        <w:rPr>
          <w:noProof/>
        </w:rPr>
        <w:t xml:space="preserve">, II </w:t>
      </w:r>
      <w:r w:rsidRPr="0001127D">
        <w:rPr>
          <w:i/>
          <w:iCs/>
          <w:noProof/>
        </w:rPr>
        <w:t>bis</w:t>
      </w:r>
      <w:r w:rsidRPr="0001127D">
        <w:rPr>
          <w:noProof/>
        </w:rPr>
        <w:t xml:space="preserve"> e II </w:t>
      </w:r>
      <w:r w:rsidRPr="0001127D">
        <w:rPr>
          <w:i/>
          <w:iCs/>
          <w:noProof/>
        </w:rPr>
        <w:t>ter</w:t>
      </w:r>
      <w:r w:rsidR="00E64452" w:rsidRPr="0001127D">
        <w:rPr>
          <w:noProof/>
        </w:rPr>
        <w:t>"</w:t>
      </w:r>
      <w:r w:rsidRPr="0001127D">
        <w:rPr>
          <w:noProof/>
        </w:rPr>
        <w:t>;</w:t>
      </w:r>
    </w:p>
    <w:p w14:paraId="22A21AF6" w14:textId="77777777" w:rsidR="002F06CE" w:rsidRPr="0001127D" w:rsidRDefault="002F06CE" w:rsidP="002F06CE">
      <w:pPr>
        <w:shd w:val="clear" w:color="auto" w:fill="FFFFFF"/>
        <w:spacing w:after="0" w:line="312" w:lineRule="atLeast"/>
        <w:rPr>
          <w:rFonts w:eastAsia="Times New Roman"/>
          <w:noProof/>
          <w:color w:val="00B050"/>
          <w:szCs w:val="24"/>
        </w:rPr>
      </w:pPr>
    </w:p>
    <w:p w14:paraId="3FF12490" w14:textId="2ECF6D08" w:rsidR="002F06CE" w:rsidRPr="0001127D" w:rsidRDefault="002F06CE" w:rsidP="002F06CE">
      <w:pPr>
        <w:pStyle w:val="Point0"/>
        <w:rPr>
          <w:noProof/>
        </w:rPr>
      </w:pPr>
      <w:r w:rsidRPr="0001127D">
        <w:rPr>
          <w:noProof/>
        </w:rPr>
        <w:t>8)</w:t>
      </w:r>
      <w:r w:rsidRPr="0001127D">
        <w:rPr>
          <w:noProof/>
        </w:rPr>
        <w:tab/>
        <w:t>all</w:t>
      </w:r>
      <w:r w:rsidR="00E64452" w:rsidRPr="0001127D">
        <w:rPr>
          <w:noProof/>
        </w:rPr>
        <w:t>'</w:t>
      </w:r>
      <w:r w:rsidRPr="0001127D">
        <w:rPr>
          <w:noProof/>
        </w:rPr>
        <w:t>articolo 13 </w:t>
      </w:r>
      <w:r w:rsidRPr="0001127D">
        <w:rPr>
          <w:i/>
          <w:iCs/>
          <w:noProof/>
        </w:rPr>
        <w:t>bis</w:t>
      </w:r>
      <w:r w:rsidRPr="0001127D">
        <w:rPr>
          <w:noProof/>
        </w:rPr>
        <w:t xml:space="preserve"> sono aggiunti i seguenti punti:</w:t>
      </w:r>
    </w:p>
    <w:p w14:paraId="21146FF2" w14:textId="744FA79E" w:rsidR="002F06CE" w:rsidRPr="0001127D" w:rsidRDefault="00E64452" w:rsidP="002F06CE">
      <w:pPr>
        <w:tabs>
          <w:tab w:val="left" w:pos="1276"/>
        </w:tabs>
        <w:ind w:left="1560" w:hanging="567"/>
        <w:rPr>
          <w:noProof/>
          <w:shd w:val="clear" w:color="auto" w:fill="FFFFFF"/>
        </w:rPr>
      </w:pPr>
      <w:r w:rsidRPr="0001127D">
        <w:rPr>
          <w:noProof/>
          <w:shd w:val="clear" w:color="auto" w:fill="FFFFFF"/>
        </w:rPr>
        <w:t>"</w:t>
      </w:r>
      <w:r w:rsidR="002F06CE" w:rsidRPr="0001127D">
        <w:rPr>
          <w:noProof/>
          <w:shd w:val="clear" w:color="auto" w:fill="FFFFFF"/>
        </w:rPr>
        <w:t xml:space="preserve">7) </w:t>
      </w:r>
      <w:r w:rsidRPr="0001127D">
        <w:rPr>
          <w:noProof/>
          <w:shd w:val="clear" w:color="auto" w:fill="FFFFFF"/>
        </w:rPr>
        <w:t>'</w:t>
      </w:r>
      <w:r w:rsidR="002F06CE" w:rsidRPr="0001127D">
        <w:rPr>
          <w:noProof/>
          <w:shd w:val="clear" w:color="auto" w:fill="FFFFFF"/>
        </w:rPr>
        <w:t>gruppo</w:t>
      </w:r>
      <w:r w:rsidRPr="0001127D">
        <w:rPr>
          <w:noProof/>
          <w:shd w:val="clear" w:color="auto" w:fill="FFFFFF"/>
        </w:rPr>
        <w:t>'</w:t>
      </w:r>
      <w:r w:rsidR="002F06CE" w:rsidRPr="0001127D">
        <w:rPr>
          <w:noProof/>
          <w:shd w:val="clear" w:color="auto" w:fill="FFFFFF"/>
        </w:rPr>
        <w:t>, una società madre e tutte le sue controllate;</w:t>
      </w:r>
    </w:p>
    <w:p w14:paraId="28176345" w14:textId="3CD870D3" w:rsidR="002F06CE" w:rsidRPr="0001127D" w:rsidRDefault="002F06CE" w:rsidP="002F06CE">
      <w:pPr>
        <w:pStyle w:val="Text1"/>
        <w:tabs>
          <w:tab w:val="left" w:pos="993"/>
          <w:tab w:val="left" w:pos="1276"/>
        </w:tabs>
        <w:ind w:left="1560" w:hanging="709"/>
        <w:rPr>
          <w:noProof/>
          <w:shd w:val="clear" w:color="auto" w:fill="FFFFFF"/>
        </w:rPr>
      </w:pPr>
      <w:r w:rsidRPr="0001127D">
        <w:rPr>
          <w:noProof/>
        </w:rPr>
        <w:tab/>
      </w:r>
      <w:r w:rsidRPr="0001127D">
        <w:rPr>
          <w:noProof/>
          <w:shd w:val="clear" w:color="auto" w:fill="FFFFFF"/>
        </w:rPr>
        <w:t xml:space="preserve">8) </w:t>
      </w:r>
      <w:r w:rsidR="00E64452" w:rsidRPr="0001127D">
        <w:rPr>
          <w:noProof/>
          <w:shd w:val="clear" w:color="auto" w:fill="FFFFFF"/>
        </w:rPr>
        <w:t>'</w:t>
      </w:r>
      <w:r w:rsidRPr="0001127D">
        <w:rPr>
          <w:noProof/>
          <w:shd w:val="clear" w:color="auto" w:fill="FFFFFF"/>
        </w:rPr>
        <w:t>controllata</w:t>
      </w:r>
      <w:r w:rsidR="00E64452" w:rsidRPr="0001127D">
        <w:rPr>
          <w:noProof/>
          <w:shd w:val="clear" w:color="auto" w:fill="FFFFFF"/>
        </w:rPr>
        <w:t>'</w:t>
      </w:r>
      <w:r w:rsidRPr="0001127D">
        <w:rPr>
          <w:noProof/>
          <w:shd w:val="clear" w:color="auto" w:fill="FFFFFF"/>
        </w:rPr>
        <w:t>, una società controllata da una società madre;</w:t>
      </w:r>
    </w:p>
    <w:p w14:paraId="24480511" w14:textId="16150121" w:rsidR="002F06CE" w:rsidRPr="0001127D" w:rsidRDefault="002F06CE" w:rsidP="002F06CE">
      <w:pPr>
        <w:pStyle w:val="Text1"/>
        <w:tabs>
          <w:tab w:val="left" w:pos="993"/>
        </w:tabs>
        <w:ind w:left="993" w:hanging="142"/>
        <w:rPr>
          <w:noProof/>
          <w:shd w:val="clear" w:color="auto" w:fill="FFFFFF"/>
        </w:rPr>
      </w:pPr>
      <w:r w:rsidRPr="0001127D">
        <w:rPr>
          <w:noProof/>
        </w:rPr>
        <w:tab/>
      </w:r>
      <w:r w:rsidRPr="0001127D">
        <w:rPr>
          <w:noProof/>
          <w:shd w:val="clear" w:color="auto" w:fill="FFFFFF"/>
        </w:rPr>
        <w:t xml:space="preserve">9) </w:t>
      </w:r>
      <w:r w:rsidR="00E64452" w:rsidRPr="0001127D">
        <w:rPr>
          <w:noProof/>
          <w:shd w:val="clear" w:color="auto" w:fill="FFFFFF"/>
        </w:rPr>
        <w:t>'</w:t>
      </w:r>
      <w:r w:rsidRPr="0001127D">
        <w:rPr>
          <w:noProof/>
          <w:shd w:val="clear" w:color="auto" w:fill="FFFFFF"/>
        </w:rPr>
        <w:t>società capogruppo</w:t>
      </w:r>
      <w:r w:rsidR="00E64452" w:rsidRPr="0001127D">
        <w:rPr>
          <w:noProof/>
          <w:shd w:val="clear" w:color="auto" w:fill="FFFFFF"/>
        </w:rPr>
        <w:t>'</w:t>
      </w:r>
      <w:r w:rsidRPr="0001127D">
        <w:rPr>
          <w:noProof/>
          <w:shd w:val="clear" w:color="auto" w:fill="FFFFFF"/>
        </w:rPr>
        <w:t>, una società madre che controlla, direttamente o indirettamente secondo i criteri di cui all</w:t>
      </w:r>
      <w:r w:rsidR="00E64452" w:rsidRPr="0001127D">
        <w:rPr>
          <w:noProof/>
          <w:shd w:val="clear" w:color="auto" w:fill="FFFFFF"/>
        </w:rPr>
        <w:t>'</w:t>
      </w:r>
      <w:r w:rsidRPr="0001127D">
        <w:rPr>
          <w:noProof/>
          <w:shd w:val="clear" w:color="auto" w:fill="FFFFFF"/>
        </w:rPr>
        <w:t>articolo 22, paragrafi da 1 a 5, della direttiva 2013/34/UE del Parlamento europeo e del Consiglio*, una o più controllate e non è controllata da un</w:t>
      </w:r>
      <w:r w:rsidR="00E64452" w:rsidRPr="0001127D">
        <w:rPr>
          <w:noProof/>
          <w:shd w:val="clear" w:color="auto" w:fill="FFFFFF"/>
        </w:rPr>
        <w:t>'</w:t>
      </w:r>
      <w:r w:rsidRPr="0001127D">
        <w:rPr>
          <w:noProof/>
          <w:shd w:val="clear" w:color="auto" w:fill="FFFFFF"/>
        </w:rPr>
        <w:t xml:space="preserve">altra società; </w:t>
      </w:r>
    </w:p>
    <w:p w14:paraId="79F71D16" w14:textId="67113AEC" w:rsidR="002F06CE" w:rsidRPr="0001127D" w:rsidRDefault="002F06CE" w:rsidP="002F06CE">
      <w:pPr>
        <w:pStyle w:val="Text1"/>
        <w:tabs>
          <w:tab w:val="left" w:pos="993"/>
        </w:tabs>
        <w:ind w:left="993" w:hanging="142"/>
        <w:rPr>
          <w:noProof/>
          <w:shd w:val="clear" w:color="auto" w:fill="FFFFFF"/>
        </w:rPr>
      </w:pPr>
      <w:r w:rsidRPr="0001127D">
        <w:rPr>
          <w:noProof/>
        </w:rPr>
        <w:tab/>
      </w:r>
      <w:r w:rsidRPr="0001127D">
        <w:rPr>
          <w:noProof/>
          <w:shd w:val="clear" w:color="auto" w:fill="FFFFFF"/>
        </w:rPr>
        <w:t xml:space="preserve">10) </w:t>
      </w:r>
      <w:r w:rsidR="00E64452" w:rsidRPr="0001127D">
        <w:rPr>
          <w:noProof/>
          <w:shd w:val="clear" w:color="auto" w:fill="FFFFFF"/>
        </w:rPr>
        <w:t>'</w:t>
      </w:r>
      <w:r w:rsidRPr="0001127D">
        <w:rPr>
          <w:noProof/>
          <w:shd w:val="clear" w:color="auto" w:fill="FFFFFF"/>
        </w:rPr>
        <w:t>società madre intermedia</w:t>
      </w:r>
      <w:r w:rsidR="00E64452" w:rsidRPr="0001127D">
        <w:rPr>
          <w:noProof/>
          <w:shd w:val="clear" w:color="auto" w:fill="FFFFFF"/>
        </w:rPr>
        <w:t>'</w:t>
      </w:r>
      <w:r w:rsidRPr="0001127D">
        <w:rPr>
          <w:noProof/>
          <w:shd w:val="clear" w:color="auto" w:fill="FFFFFF"/>
        </w:rPr>
        <w:t>, una società madre soggetta al diritto di uno Stato membro che non è controllata da un</w:t>
      </w:r>
      <w:r w:rsidR="00E64452" w:rsidRPr="0001127D">
        <w:rPr>
          <w:noProof/>
          <w:shd w:val="clear" w:color="auto" w:fill="FFFFFF"/>
        </w:rPr>
        <w:t>'</w:t>
      </w:r>
      <w:r w:rsidRPr="0001127D">
        <w:rPr>
          <w:noProof/>
          <w:shd w:val="clear" w:color="auto" w:fill="FFFFFF"/>
        </w:rPr>
        <w:t>altra società soggetta al diritto di uno Stato membro;</w:t>
      </w:r>
    </w:p>
    <w:p w14:paraId="1823D2E0" w14:textId="36C8E2DA" w:rsidR="002F06CE" w:rsidRPr="0001127D" w:rsidRDefault="002F06CE" w:rsidP="002F06CE">
      <w:pPr>
        <w:pStyle w:val="Text1"/>
        <w:tabs>
          <w:tab w:val="left" w:pos="993"/>
        </w:tabs>
        <w:ind w:left="993" w:hanging="142"/>
        <w:rPr>
          <w:noProof/>
          <w:shd w:val="clear" w:color="auto" w:fill="FFFFFF"/>
        </w:rPr>
      </w:pPr>
      <w:r w:rsidRPr="0001127D">
        <w:rPr>
          <w:noProof/>
        </w:rPr>
        <w:tab/>
      </w:r>
      <w:r w:rsidRPr="0001127D">
        <w:rPr>
          <w:noProof/>
          <w:shd w:val="clear" w:color="auto" w:fill="FFFFFF"/>
        </w:rPr>
        <w:t xml:space="preserve">11) </w:t>
      </w:r>
      <w:r w:rsidR="00E64452" w:rsidRPr="0001127D">
        <w:rPr>
          <w:noProof/>
          <w:shd w:val="clear" w:color="auto" w:fill="FFFFFF"/>
        </w:rPr>
        <w:t>'</w:t>
      </w:r>
      <w:r w:rsidRPr="0001127D">
        <w:rPr>
          <w:noProof/>
          <w:shd w:val="clear" w:color="auto" w:fill="FFFFFF"/>
        </w:rPr>
        <w:t>legalizzazione</w:t>
      </w:r>
      <w:r w:rsidR="00E64452" w:rsidRPr="0001127D">
        <w:rPr>
          <w:noProof/>
          <w:shd w:val="clear" w:color="auto" w:fill="FFFFFF"/>
        </w:rPr>
        <w:t>'</w:t>
      </w:r>
      <w:r w:rsidRPr="0001127D">
        <w:rPr>
          <w:noProof/>
          <w:shd w:val="clear" w:color="auto" w:fill="FFFFFF"/>
        </w:rPr>
        <w:t>, la formalità per certificare l</w:t>
      </w:r>
      <w:r w:rsidR="00E64452" w:rsidRPr="0001127D">
        <w:rPr>
          <w:noProof/>
          <w:shd w:val="clear" w:color="auto" w:fill="FFFFFF"/>
        </w:rPr>
        <w:t>'</w:t>
      </w:r>
      <w:r w:rsidRPr="0001127D">
        <w:rPr>
          <w:noProof/>
          <w:shd w:val="clear" w:color="auto" w:fill="FFFFFF"/>
        </w:rPr>
        <w:t>autenticità della firma di un pubblico ufficiale, la veste nella quale ha agito il firmatario del documento e, ove opportuno, l</w:t>
      </w:r>
      <w:r w:rsidR="00E64452" w:rsidRPr="0001127D">
        <w:rPr>
          <w:noProof/>
          <w:shd w:val="clear" w:color="auto" w:fill="FFFFFF"/>
        </w:rPr>
        <w:t>'</w:t>
      </w:r>
      <w:r w:rsidRPr="0001127D">
        <w:rPr>
          <w:noProof/>
          <w:shd w:val="clear" w:color="auto" w:fill="FFFFFF"/>
        </w:rPr>
        <w:t xml:space="preserve">identità del bollo o del timbro che reca; </w:t>
      </w:r>
    </w:p>
    <w:p w14:paraId="315D94D9" w14:textId="4D030699" w:rsidR="002F06CE" w:rsidRPr="0001127D" w:rsidRDefault="002F06CE" w:rsidP="002F06CE">
      <w:pPr>
        <w:pStyle w:val="Text1"/>
        <w:tabs>
          <w:tab w:val="left" w:pos="993"/>
        </w:tabs>
        <w:ind w:left="993" w:hanging="709"/>
        <w:rPr>
          <w:noProof/>
          <w:shd w:val="clear" w:color="auto" w:fill="FFFFFF"/>
        </w:rPr>
      </w:pPr>
      <w:r w:rsidRPr="0001127D">
        <w:rPr>
          <w:noProof/>
        </w:rPr>
        <w:tab/>
      </w:r>
      <w:r w:rsidRPr="0001127D">
        <w:rPr>
          <w:noProof/>
          <w:shd w:val="clear" w:color="auto" w:fill="FFFFFF"/>
        </w:rPr>
        <w:t xml:space="preserve">12) </w:t>
      </w:r>
      <w:r w:rsidR="00E64452" w:rsidRPr="0001127D">
        <w:rPr>
          <w:noProof/>
          <w:shd w:val="clear" w:color="auto" w:fill="FFFFFF"/>
        </w:rPr>
        <w:t>'</w:t>
      </w:r>
      <w:r w:rsidRPr="0001127D">
        <w:rPr>
          <w:noProof/>
          <w:shd w:val="clear" w:color="auto" w:fill="FFFFFF"/>
        </w:rPr>
        <w:t>formalità analoga</w:t>
      </w:r>
      <w:r w:rsidR="00E64452" w:rsidRPr="0001127D">
        <w:rPr>
          <w:noProof/>
          <w:shd w:val="clear" w:color="auto" w:fill="FFFFFF"/>
        </w:rPr>
        <w:t>'</w:t>
      </w:r>
      <w:r w:rsidRPr="0001127D">
        <w:rPr>
          <w:noProof/>
          <w:shd w:val="clear" w:color="auto" w:fill="FFFFFF"/>
        </w:rPr>
        <w:t>, l</w:t>
      </w:r>
      <w:r w:rsidR="00E64452" w:rsidRPr="0001127D">
        <w:rPr>
          <w:noProof/>
          <w:shd w:val="clear" w:color="auto" w:fill="FFFFFF"/>
        </w:rPr>
        <w:t>'</w:t>
      </w:r>
      <w:r w:rsidRPr="0001127D">
        <w:rPr>
          <w:noProof/>
          <w:shd w:val="clear" w:color="auto" w:fill="FFFFFF"/>
        </w:rPr>
        <w:t>aggiunta del certificato previsto dalla convenzione sulle apostille.</w:t>
      </w:r>
    </w:p>
    <w:p w14:paraId="6E240885" w14:textId="77777777" w:rsidR="002F06CE" w:rsidRPr="0001127D" w:rsidRDefault="002F06CE" w:rsidP="002F06CE">
      <w:pPr>
        <w:pStyle w:val="Text1"/>
        <w:tabs>
          <w:tab w:val="left" w:pos="993"/>
        </w:tabs>
        <w:ind w:left="993" w:hanging="709"/>
        <w:rPr>
          <w:noProof/>
          <w:shd w:val="clear" w:color="auto" w:fill="FFFFFF"/>
        </w:rPr>
      </w:pPr>
      <w:r w:rsidRPr="0001127D">
        <w:rPr>
          <w:noProof/>
          <w:shd w:val="clear" w:color="auto" w:fill="FFFFFF"/>
        </w:rPr>
        <w:t>________________________</w:t>
      </w:r>
    </w:p>
    <w:p w14:paraId="7767BF4A" w14:textId="20E335C0" w:rsidR="002F06CE" w:rsidRPr="0001127D" w:rsidRDefault="002F06CE" w:rsidP="002F06CE">
      <w:pPr>
        <w:pStyle w:val="Text1"/>
        <w:tabs>
          <w:tab w:val="left" w:pos="993"/>
        </w:tabs>
        <w:ind w:left="993" w:hanging="709"/>
        <w:rPr>
          <w:noProof/>
          <w:shd w:val="clear" w:color="auto" w:fill="FFFFFF"/>
        </w:rPr>
      </w:pPr>
      <w:r w:rsidRPr="0001127D">
        <w:rPr>
          <w:noProof/>
        </w:rPr>
        <w:t>*</w:t>
      </w:r>
      <w:r w:rsidRPr="0001127D">
        <w:rPr>
          <w:noProof/>
        </w:rPr>
        <w:tab/>
      </w:r>
      <w:r w:rsidRPr="0001127D">
        <w:rPr>
          <w:noProof/>
          <w:color w:val="000000" w:themeColor="text1"/>
        </w:rPr>
        <w:t>Direttiva 2013/34/UE del Parlamento europeo e del Consiglio, del 26 giugno 2013, relativa ai bilanci d</w:t>
      </w:r>
      <w:r w:rsidR="00E64452" w:rsidRPr="0001127D">
        <w:rPr>
          <w:noProof/>
          <w:color w:val="000000" w:themeColor="text1"/>
        </w:rPr>
        <w:t>'</w:t>
      </w:r>
      <w:r w:rsidRPr="0001127D">
        <w:rPr>
          <w:noProof/>
          <w:color w:val="000000" w:themeColor="text1"/>
        </w:rPr>
        <w:t>esercizio, ai bilanci consolidati e alle relative relazioni di talune tipologie di imprese, recante modifica della direttiva 2006/43/CE del Parlamento europeo e del Consiglio e abrogazione delle direttive 78/660/CEE e 83/349/CEE del Consiglio (</w:t>
      </w:r>
      <w:r w:rsidRPr="0001127D">
        <w:rPr>
          <w:noProof/>
        </w:rPr>
        <w:t>GU L 182 del 29.6.2013, pag. 19).</w:t>
      </w:r>
      <w:r w:rsidR="00E64452" w:rsidRPr="0001127D">
        <w:rPr>
          <w:noProof/>
          <w:shd w:val="clear" w:color="auto" w:fill="FFFFFF"/>
        </w:rPr>
        <w:t>"</w:t>
      </w:r>
      <w:r w:rsidRPr="0001127D">
        <w:rPr>
          <w:noProof/>
          <w:shd w:val="clear" w:color="auto" w:fill="FFFFFF"/>
        </w:rPr>
        <w:t>;</w:t>
      </w:r>
    </w:p>
    <w:p w14:paraId="62226627" w14:textId="77777777" w:rsidR="002F06CE" w:rsidRPr="0001127D" w:rsidRDefault="002F06CE" w:rsidP="002F06CE">
      <w:pPr>
        <w:rPr>
          <w:noProof/>
          <w:shd w:val="clear" w:color="auto" w:fill="FFFFFF"/>
        </w:rPr>
      </w:pPr>
    </w:p>
    <w:p w14:paraId="5CB5D223" w14:textId="07F57D7F" w:rsidR="002F06CE" w:rsidRPr="0001127D" w:rsidRDefault="002F06CE" w:rsidP="002F06CE">
      <w:pPr>
        <w:pStyle w:val="Point0"/>
        <w:rPr>
          <w:noProof/>
        </w:rPr>
      </w:pPr>
      <w:r w:rsidRPr="0001127D">
        <w:rPr>
          <w:noProof/>
        </w:rPr>
        <w:t>9)</w:t>
      </w:r>
      <w:r w:rsidRPr="0001127D">
        <w:rPr>
          <w:noProof/>
        </w:rPr>
        <w:tab/>
        <w:t>l</w:t>
      </w:r>
      <w:r w:rsidR="00E64452" w:rsidRPr="0001127D">
        <w:rPr>
          <w:noProof/>
        </w:rPr>
        <w:t>'</w:t>
      </w:r>
      <w:r w:rsidRPr="0001127D">
        <w:rPr>
          <w:noProof/>
        </w:rPr>
        <w:t>articolo 13</w:t>
      </w:r>
      <w:r w:rsidRPr="0001127D">
        <w:rPr>
          <w:i/>
          <w:iCs/>
          <w:noProof/>
        </w:rPr>
        <w:t xml:space="preserve"> ter</w:t>
      </w:r>
      <w:r w:rsidRPr="0001127D">
        <w:rPr>
          <w:noProof/>
        </w:rPr>
        <w:t xml:space="preserve"> è così modificato:</w:t>
      </w:r>
    </w:p>
    <w:p w14:paraId="464B7F1A" w14:textId="77777777" w:rsidR="002F06CE" w:rsidRPr="0001127D" w:rsidRDefault="002F06CE" w:rsidP="002F06CE">
      <w:pPr>
        <w:pStyle w:val="Point0"/>
        <w:rPr>
          <w:noProof/>
        </w:rPr>
      </w:pPr>
      <w:r w:rsidRPr="0001127D">
        <w:rPr>
          <w:noProof/>
        </w:rPr>
        <w:t>a)</w:t>
      </w:r>
      <w:r w:rsidRPr="0001127D">
        <w:rPr>
          <w:noProof/>
        </w:rPr>
        <w:tab/>
        <w:t>il paragrafo 1, lettera b), è sostituito dal seguente:</w:t>
      </w:r>
    </w:p>
    <w:p w14:paraId="5957E1FC" w14:textId="49454E59" w:rsidR="002F06CE" w:rsidRPr="0001127D" w:rsidRDefault="00E64452" w:rsidP="002F06CE">
      <w:pPr>
        <w:shd w:val="clear" w:color="auto" w:fill="FFFFFF"/>
        <w:spacing w:after="0"/>
        <w:ind w:left="1418"/>
        <w:rPr>
          <w:rFonts w:eastAsia="Times New Roman"/>
          <w:noProof/>
          <w:color w:val="333333"/>
          <w:szCs w:val="24"/>
        </w:rPr>
      </w:pPr>
      <w:r w:rsidRPr="0001127D">
        <w:rPr>
          <w:noProof/>
          <w:color w:val="333333"/>
        </w:rPr>
        <w:t>"</w:t>
      </w:r>
      <w:r w:rsidR="002F06CE" w:rsidRPr="0001127D">
        <w:rPr>
          <w:noProof/>
          <w:color w:val="333333"/>
        </w:rPr>
        <w:t>b) i mezzi di identificazione elettronica emessi in un altro Stato membro a norma del regolamento (UE) 910/2014</w:t>
      </w:r>
      <w:r w:rsidRPr="0001127D">
        <w:rPr>
          <w:noProof/>
          <w:color w:val="333333"/>
        </w:rPr>
        <w:t>"</w:t>
      </w:r>
      <w:r w:rsidR="002F06CE" w:rsidRPr="0001127D">
        <w:rPr>
          <w:noProof/>
          <w:color w:val="333333"/>
        </w:rPr>
        <w:t>;</w:t>
      </w:r>
    </w:p>
    <w:p w14:paraId="664275A0" w14:textId="77777777" w:rsidR="002F06CE" w:rsidRPr="0001127D" w:rsidRDefault="002F06CE" w:rsidP="002F06CE">
      <w:pPr>
        <w:pStyle w:val="Point0"/>
        <w:rPr>
          <w:rFonts w:eastAsia="Times New Roman"/>
          <w:noProof/>
          <w:color w:val="333333"/>
          <w:szCs w:val="24"/>
        </w:rPr>
      </w:pPr>
      <w:r w:rsidRPr="0001127D">
        <w:rPr>
          <w:noProof/>
        </w:rPr>
        <w:t>b)</w:t>
      </w:r>
      <w:r w:rsidRPr="0001127D">
        <w:rPr>
          <w:noProof/>
        </w:rPr>
        <w:tab/>
        <w:t>il paragrafo 2 è sostituito dal seguente:</w:t>
      </w:r>
    </w:p>
    <w:p w14:paraId="1EA76E38" w14:textId="6FA350B9" w:rsidR="002F06CE" w:rsidRPr="0001127D" w:rsidRDefault="00E64452" w:rsidP="002F06CE">
      <w:pPr>
        <w:shd w:val="clear" w:color="auto" w:fill="FFFFFF"/>
        <w:tabs>
          <w:tab w:val="left" w:pos="1843"/>
        </w:tabs>
        <w:spacing w:after="0"/>
        <w:ind w:left="1418"/>
        <w:rPr>
          <w:rFonts w:eastAsia="Times New Roman"/>
          <w:noProof/>
          <w:color w:val="000000" w:themeColor="text1"/>
          <w:szCs w:val="24"/>
        </w:rPr>
      </w:pPr>
      <w:r w:rsidRPr="0001127D">
        <w:rPr>
          <w:noProof/>
          <w:color w:val="000000" w:themeColor="text1"/>
        </w:rPr>
        <w:t>"</w:t>
      </w:r>
      <w:r w:rsidR="002F06CE" w:rsidRPr="0001127D">
        <w:rPr>
          <w:noProof/>
          <w:color w:val="000000" w:themeColor="text1"/>
        </w:rPr>
        <w:t>2. </w:t>
      </w:r>
      <w:r w:rsidR="002F06CE" w:rsidRPr="0001127D">
        <w:rPr>
          <w:noProof/>
        </w:rPr>
        <w:tab/>
      </w:r>
      <w:r w:rsidR="002F06CE" w:rsidRPr="0001127D">
        <w:rPr>
          <w:noProof/>
          <w:color w:val="000000" w:themeColor="text1"/>
        </w:rPr>
        <w:t>Gli Stati membri possono rifiutare il riconoscimento dei mezzi di identificazione elettronica se i livelli di garanzia di tali mezzi di identificazione elettronica non rispettano le condizion</w:t>
      </w:r>
      <w:r w:rsidR="00CA4560" w:rsidRPr="0001127D">
        <w:rPr>
          <w:noProof/>
          <w:color w:val="000000" w:themeColor="text1"/>
        </w:rPr>
        <w:t>i di cui al regolamento (UE) n. </w:t>
      </w:r>
      <w:r w:rsidR="002F06CE" w:rsidRPr="0001127D">
        <w:rPr>
          <w:noProof/>
          <w:color w:val="000000" w:themeColor="text1"/>
        </w:rPr>
        <w:t>910/2014</w:t>
      </w:r>
      <w:r w:rsidRPr="0001127D">
        <w:rPr>
          <w:noProof/>
          <w:color w:val="000000" w:themeColor="text1"/>
        </w:rPr>
        <w:t>"</w:t>
      </w:r>
      <w:r w:rsidR="002F06CE" w:rsidRPr="0001127D">
        <w:rPr>
          <w:noProof/>
          <w:color w:val="000000" w:themeColor="text1"/>
        </w:rPr>
        <w:t>;</w:t>
      </w:r>
    </w:p>
    <w:p w14:paraId="183C0DD2" w14:textId="77777777" w:rsidR="002F06CE" w:rsidRPr="0001127D" w:rsidRDefault="002F06CE" w:rsidP="002F06CE">
      <w:pPr>
        <w:ind w:left="1418" w:hanging="414"/>
        <w:rPr>
          <w:noProof/>
        </w:rPr>
      </w:pPr>
    </w:p>
    <w:p w14:paraId="52EB02F6" w14:textId="6E864064" w:rsidR="002F06CE" w:rsidRPr="0001127D" w:rsidRDefault="002F06CE" w:rsidP="002F06CE">
      <w:pPr>
        <w:pStyle w:val="Point0"/>
        <w:rPr>
          <w:noProof/>
        </w:rPr>
      </w:pPr>
      <w:r w:rsidRPr="0001127D">
        <w:rPr>
          <w:noProof/>
        </w:rPr>
        <w:t>10)</w:t>
      </w:r>
      <w:r w:rsidRPr="0001127D">
        <w:rPr>
          <w:noProof/>
        </w:rPr>
        <w:tab/>
        <w:t>l</w:t>
      </w:r>
      <w:r w:rsidR="00E64452" w:rsidRPr="0001127D">
        <w:rPr>
          <w:noProof/>
        </w:rPr>
        <w:t>'</w:t>
      </w:r>
      <w:r w:rsidRPr="0001127D">
        <w:rPr>
          <w:noProof/>
        </w:rPr>
        <w:t xml:space="preserve">articolo 13 </w:t>
      </w:r>
      <w:r w:rsidRPr="0001127D">
        <w:rPr>
          <w:i/>
          <w:iCs/>
          <w:noProof/>
        </w:rPr>
        <w:t>quater</w:t>
      </w:r>
      <w:r w:rsidRPr="0001127D">
        <w:rPr>
          <w:noProof/>
        </w:rPr>
        <w:t xml:space="preserve"> è così modificato:</w:t>
      </w:r>
    </w:p>
    <w:p w14:paraId="1CDD70C2" w14:textId="77777777" w:rsidR="002F06CE" w:rsidRPr="0001127D" w:rsidRDefault="002F06CE" w:rsidP="002F06CE">
      <w:pPr>
        <w:pStyle w:val="Point1"/>
        <w:rPr>
          <w:noProof/>
        </w:rPr>
      </w:pPr>
      <w:r w:rsidRPr="0001127D">
        <w:rPr>
          <w:noProof/>
        </w:rPr>
        <w:t>a)</w:t>
      </w:r>
      <w:r w:rsidRPr="0001127D">
        <w:rPr>
          <w:noProof/>
        </w:rPr>
        <w:tab/>
        <w:t>al paragrafo 2 è aggiunto il seguente comma:</w:t>
      </w:r>
    </w:p>
    <w:p w14:paraId="763B90B3" w14:textId="069472EA" w:rsidR="002F06CE" w:rsidRPr="0001127D" w:rsidRDefault="00E64452" w:rsidP="002F06CE">
      <w:pPr>
        <w:pStyle w:val="Text1"/>
        <w:ind w:left="1418"/>
        <w:rPr>
          <w:noProof/>
        </w:rPr>
      </w:pPr>
      <w:r w:rsidRPr="0001127D">
        <w:rPr>
          <w:noProof/>
        </w:rPr>
        <w:t>"</w:t>
      </w:r>
      <w:r w:rsidR="002F06CE" w:rsidRPr="0001127D">
        <w:rPr>
          <w:noProof/>
        </w:rPr>
        <w:t>Questo lascia impregiudicate le norme sul controllo preventivo di cui all</w:t>
      </w:r>
      <w:r w:rsidRPr="0001127D">
        <w:rPr>
          <w:noProof/>
        </w:rPr>
        <w:t>'</w:t>
      </w:r>
      <w:r w:rsidR="002F06CE" w:rsidRPr="0001127D">
        <w:rPr>
          <w:noProof/>
        </w:rPr>
        <w:t>articolo 10.</w:t>
      </w:r>
      <w:r w:rsidRPr="0001127D">
        <w:rPr>
          <w:noProof/>
        </w:rPr>
        <w:t>"</w:t>
      </w:r>
      <w:r w:rsidR="002F06CE" w:rsidRPr="0001127D">
        <w:rPr>
          <w:noProof/>
        </w:rPr>
        <w:t>;</w:t>
      </w:r>
    </w:p>
    <w:p w14:paraId="1DD6F87F" w14:textId="77777777" w:rsidR="002F06CE" w:rsidRPr="0001127D" w:rsidRDefault="002F06CE" w:rsidP="002F06CE">
      <w:pPr>
        <w:pStyle w:val="Point1"/>
        <w:rPr>
          <w:noProof/>
        </w:rPr>
      </w:pPr>
      <w:r w:rsidRPr="0001127D">
        <w:rPr>
          <w:noProof/>
        </w:rPr>
        <w:t>b)</w:t>
      </w:r>
      <w:r w:rsidRPr="0001127D">
        <w:rPr>
          <w:noProof/>
        </w:rPr>
        <w:tab/>
        <w:t>al paragrafo 3 è aggiunto il seguente comma:</w:t>
      </w:r>
    </w:p>
    <w:p w14:paraId="5B07E19F" w14:textId="56BD478F" w:rsidR="002F06CE" w:rsidRPr="0001127D" w:rsidRDefault="00E64452" w:rsidP="002F06CE">
      <w:pPr>
        <w:ind w:left="1418"/>
        <w:rPr>
          <w:rFonts w:eastAsia="Times New Roman"/>
          <w:noProof/>
          <w:color w:val="000000" w:themeColor="text1"/>
          <w:szCs w:val="24"/>
        </w:rPr>
      </w:pPr>
      <w:r w:rsidRPr="0001127D">
        <w:rPr>
          <w:noProof/>
          <w:color w:val="000000" w:themeColor="text1"/>
        </w:rPr>
        <w:t>"</w:t>
      </w:r>
      <w:r w:rsidR="002F06CE" w:rsidRPr="0001127D">
        <w:rPr>
          <w:noProof/>
          <w:color w:val="000000" w:themeColor="text1"/>
        </w:rPr>
        <w:t>Il presente paragrafo si applica fatti salvi gli articoli 16</w:t>
      </w:r>
      <w:r w:rsidR="00CA4560" w:rsidRPr="0001127D">
        <w:rPr>
          <w:noProof/>
          <w:color w:val="000000" w:themeColor="text1"/>
        </w:rPr>
        <w:t> </w:t>
      </w:r>
      <w:r w:rsidR="002F06CE" w:rsidRPr="0001127D">
        <w:rPr>
          <w:i/>
          <w:iCs/>
          <w:noProof/>
          <w:color w:val="000000" w:themeColor="text1"/>
        </w:rPr>
        <w:t>ter,</w:t>
      </w:r>
      <w:r w:rsidR="002F06CE" w:rsidRPr="0001127D">
        <w:rPr>
          <w:noProof/>
          <w:color w:val="000000" w:themeColor="text1"/>
        </w:rPr>
        <w:t xml:space="preserve"> 16</w:t>
      </w:r>
      <w:r w:rsidR="00CA4560" w:rsidRPr="0001127D">
        <w:rPr>
          <w:noProof/>
          <w:color w:val="000000" w:themeColor="text1"/>
        </w:rPr>
        <w:t> </w:t>
      </w:r>
      <w:r w:rsidR="002F06CE" w:rsidRPr="0001127D">
        <w:rPr>
          <w:i/>
          <w:iCs/>
          <w:noProof/>
          <w:color w:val="000000" w:themeColor="text1"/>
        </w:rPr>
        <w:t>quater</w:t>
      </w:r>
      <w:r w:rsidR="002F06CE" w:rsidRPr="0001127D">
        <w:rPr>
          <w:noProof/>
          <w:color w:val="000000" w:themeColor="text1"/>
        </w:rPr>
        <w:t>, 16</w:t>
      </w:r>
      <w:r w:rsidR="00CA4560" w:rsidRPr="0001127D">
        <w:rPr>
          <w:noProof/>
          <w:color w:val="000000" w:themeColor="text1"/>
        </w:rPr>
        <w:t> </w:t>
      </w:r>
      <w:r w:rsidR="002F06CE" w:rsidRPr="0001127D">
        <w:rPr>
          <w:i/>
          <w:iCs/>
          <w:noProof/>
          <w:color w:val="000000" w:themeColor="text1"/>
        </w:rPr>
        <w:t>quinquies</w:t>
      </w:r>
      <w:r w:rsidR="002F06CE" w:rsidRPr="0001127D">
        <w:rPr>
          <w:noProof/>
          <w:color w:val="000000" w:themeColor="text1"/>
        </w:rPr>
        <w:t xml:space="preserve"> e 16</w:t>
      </w:r>
      <w:r w:rsidR="002F06CE" w:rsidRPr="0001127D">
        <w:rPr>
          <w:i/>
          <w:iCs/>
          <w:noProof/>
          <w:color w:val="000000" w:themeColor="text1"/>
        </w:rPr>
        <w:t xml:space="preserve"> septies</w:t>
      </w:r>
      <w:r w:rsidR="002F06CE" w:rsidRPr="0001127D">
        <w:rPr>
          <w:noProof/>
          <w:color w:val="000000" w:themeColor="text1"/>
        </w:rPr>
        <w:t>.</w:t>
      </w:r>
      <w:r w:rsidRPr="0001127D">
        <w:rPr>
          <w:noProof/>
          <w:color w:val="000000" w:themeColor="text1"/>
        </w:rPr>
        <w:t>"</w:t>
      </w:r>
      <w:r w:rsidR="002F06CE" w:rsidRPr="0001127D">
        <w:rPr>
          <w:noProof/>
          <w:color w:val="000000" w:themeColor="text1"/>
        </w:rPr>
        <w:t xml:space="preserve">; </w:t>
      </w:r>
    </w:p>
    <w:p w14:paraId="58678786" w14:textId="77777777" w:rsidR="002F06CE" w:rsidRPr="0001127D" w:rsidRDefault="002F06CE" w:rsidP="002F06CE">
      <w:pPr>
        <w:rPr>
          <w:rFonts w:eastAsia="Times New Roman"/>
          <w:noProof/>
          <w:color w:val="000000" w:themeColor="text1"/>
          <w:szCs w:val="24"/>
        </w:rPr>
      </w:pPr>
    </w:p>
    <w:p w14:paraId="16C6F5B3" w14:textId="21811765" w:rsidR="002F06CE" w:rsidRPr="0001127D" w:rsidRDefault="002F06CE" w:rsidP="002F06CE">
      <w:pPr>
        <w:pStyle w:val="Point0"/>
        <w:rPr>
          <w:noProof/>
        </w:rPr>
      </w:pPr>
      <w:r w:rsidRPr="0001127D">
        <w:rPr>
          <w:noProof/>
        </w:rPr>
        <w:t>11)</w:t>
      </w:r>
      <w:r w:rsidRPr="0001127D">
        <w:rPr>
          <w:noProof/>
        </w:rPr>
        <w:tab/>
        <w:t>all</w:t>
      </w:r>
      <w:r w:rsidR="00E64452" w:rsidRPr="0001127D">
        <w:rPr>
          <w:noProof/>
        </w:rPr>
        <w:t>'</w:t>
      </w:r>
      <w:r w:rsidRPr="0001127D">
        <w:rPr>
          <w:noProof/>
        </w:rPr>
        <w:t xml:space="preserve">articolo 13 </w:t>
      </w:r>
      <w:r w:rsidRPr="0001127D">
        <w:rPr>
          <w:i/>
          <w:iCs/>
          <w:noProof/>
        </w:rPr>
        <w:t>septies</w:t>
      </w:r>
      <w:r w:rsidRPr="0001127D">
        <w:rPr>
          <w:noProof/>
        </w:rPr>
        <w:t xml:space="preserve"> sono aggiunti i seguenti paragrafi:</w:t>
      </w:r>
    </w:p>
    <w:p w14:paraId="69CC9B95" w14:textId="2C33CA70" w:rsidR="002F06CE" w:rsidRPr="0001127D" w:rsidRDefault="00E64452" w:rsidP="002F06CE">
      <w:pPr>
        <w:shd w:val="clear" w:color="auto" w:fill="FFFFFF"/>
        <w:spacing w:after="0"/>
        <w:ind w:left="851"/>
        <w:rPr>
          <w:noProof/>
          <w:szCs w:val="24"/>
        </w:rPr>
      </w:pPr>
      <w:r w:rsidRPr="0001127D">
        <w:rPr>
          <w:noProof/>
        </w:rPr>
        <w:t>"</w:t>
      </w:r>
      <w:r w:rsidR="002F06CE" w:rsidRPr="0001127D">
        <w:rPr>
          <w:noProof/>
        </w:rPr>
        <w:t>Gli Stati membri provvedono affinché quanto indicato al paragrafo 1</w:t>
      </w:r>
      <w:r w:rsidR="00CA4560" w:rsidRPr="0001127D">
        <w:rPr>
          <w:noProof/>
        </w:rPr>
        <w:t>, lettere a), c) e </w:t>
      </w:r>
      <w:r w:rsidR="002F06CE" w:rsidRPr="0001127D">
        <w:rPr>
          <w:noProof/>
        </w:rPr>
        <w:t>d), includa informazioni riguardanti anche le società elencate all</w:t>
      </w:r>
      <w:r w:rsidRPr="0001127D">
        <w:rPr>
          <w:noProof/>
        </w:rPr>
        <w:t>'</w:t>
      </w:r>
      <w:r w:rsidR="002F06CE" w:rsidRPr="0001127D">
        <w:rPr>
          <w:noProof/>
        </w:rPr>
        <w:t xml:space="preserve">allegato II </w:t>
      </w:r>
      <w:r w:rsidR="002F06CE" w:rsidRPr="0001127D">
        <w:rPr>
          <w:i/>
          <w:iCs/>
          <w:noProof/>
        </w:rPr>
        <w:t>ter</w:t>
      </w:r>
      <w:r w:rsidR="002F06CE" w:rsidRPr="0001127D">
        <w:rPr>
          <w:noProof/>
        </w:rPr>
        <w:t>.</w:t>
      </w:r>
    </w:p>
    <w:p w14:paraId="69798EE0" w14:textId="4E90BFBA" w:rsidR="002F06CE" w:rsidRPr="0001127D" w:rsidRDefault="002F06CE" w:rsidP="002F06CE">
      <w:pPr>
        <w:shd w:val="clear" w:color="auto" w:fill="FFFFFF" w:themeFill="background1"/>
        <w:spacing w:after="0"/>
        <w:ind w:left="851"/>
        <w:rPr>
          <w:rFonts w:eastAsia="Times New Roman"/>
          <w:noProof/>
          <w:szCs w:val="24"/>
        </w:rPr>
      </w:pPr>
      <w:r w:rsidRPr="0001127D">
        <w:rPr>
          <w:noProof/>
        </w:rPr>
        <w:t xml:space="preserve"> Gli Stati membri provvedono affinché gli obblighi specificati al paragrafo 1 coprano anche le norme di cui all</w:t>
      </w:r>
      <w:r w:rsidR="00E64452" w:rsidRPr="0001127D">
        <w:rPr>
          <w:noProof/>
        </w:rPr>
        <w:t>'</w:t>
      </w:r>
      <w:r w:rsidRPr="0001127D">
        <w:rPr>
          <w:noProof/>
        </w:rPr>
        <w:t>articolo 15 sui termini per la presentazione di documenti e informazioni e sull</w:t>
      </w:r>
      <w:r w:rsidR="00E64452" w:rsidRPr="0001127D">
        <w:rPr>
          <w:noProof/>
        </w:rPr>
        <w:t>'</w:t>
      </w:r>
      <w:r w:rsidRPr="0001127D">
        <w:rPr>
          <w:noProof/>
        </w:rPr>
        <w:t>aggiornamento delle informazioni contenute nei registri.</w:t>
      </w:r>
      <w:r w:rsidR="00E64452" w:rsidRPr="0001127D">
        <w:rPr>
          <w:noProof/>
        </w:rPr>
        <w:t>"</w:t>
      </w:r>
      <w:r w:rsidRPr="0001127D">
        <w:rPr>
          <w:noProof/>
        </w:rPr>
        <w:t>;</w:t>
      </w:r>
    </w:p>
    <w:p w14:paraId="776B08DB" w14:textId="77777777" w:rsidR="002F06CE" w:rsidRPr="0001127D" w:rsidRDefault="002F06CE" w:rsidP="002F06CE">
      <w:pPr>
        <w:shd w:val="clear" w:color="auto" w:fill="FFFFFF"/>
        <w:spacing w:after="0"/>
        <w:ind w:left="1418"/>
        <w:rPr>
          <w:noProof/>
        </w:rPr>
      </w:pPr>
    </w:p>
    <w:p w14:paraId="603F9F76" w14:textId="6E8745E2" w:rsidR="002F06CE" w:rsidRPr="0001127D" w:rsidRDefault="002F06CE" w:rsidP="002F06CE">
      <w:pPr>
        <w:pStyle w:val="Point0"/>
        <w:rPr>
          <w:noProof/>
        </w:rPr>
      </w:pPr>
      <w:r w:rsidRPr="0001127D">
        <w:rPr>
          <w:noProof/>
        </w:rPr>
        <w:t>12)</w:t>
      </w:r>
      <w:r w:rsidRPr="0001127D">
        <w:rPr>
          <w:noProof/>
        </w:rPr>
        <w:tab/>
        <w:t>l</w:t>
      </w:r>
      <w:r w:rsidR="00E64452" w:rsidRPr="0001127D">
        <w:rPr>
          <w:noProof/>
        </w:rPr>
        <w:t>'</w:t>
      </w:r>
      <w:r w:rsidRPr="0001127D">
        <w:rPr>
          <w:noProof/>
        </w:rPr>
        <w:t xml:space="preserve">articolo 13 </w:t>
      </w:r>
      <w:r w:rsidRPr="0001127D">
        <w:rPr>
          <w:i/>
          <w:iCs/>
          <w:noProof/>
        </w:rPr>
        <w:t>octies</w:t>
      </w:r>
      <w:r w:rsidRPr="0001127D">
        <w:rPr>
          <w:noProof/>
        </w:rPr>
        <w:t xml:space="preserve"> è così modificato:</w:t>
      </w:r>
    </w:p>
    <w:p w14:paraId="03D54CE9" w14:textId="77777777" w:rsidR="002F06CE" w:rsidRPr="0001127D" w:rsidRDefault="002F06CE" w:rsidP="002F06CE">
      <w:pPr>
        <w:pStyle w:val="Point1"/>
        <w:rPr>
          <w:noProof/>
        </w:rPr>
      </w:pPr>
      <w:r w:rsidRPr="0001127D">
        <w:rPr>
          <w:noProof/>
        </w:rPr>
        <w:t>a)</w:t>
      </w:r>
      <w:r w:rsidRPr="0001127D">
        <w:rPr>
          <w:noProof/>
        </w:rPr>
        <w:tab/>
        <w:t xml:space="preserve">è inserito il seguente paragrafo 2 </w:t>
      </w:r>
      <w:r w:rsidRPr="0001127D">
        <w:rPr>
          <w:i/>
          <w:iCs/>
          <w:noProof/>
        </w:rPr>
        <w:t>bis</w:t>
      </w:r>
      <w:r w:rsidRPr="0001127D">
        <w:rPr>
          <w:noProof/>
        </w:rPr>
        <w:t>:</w:t>
      </w:r>
    </w:p>
    <w:p w14:paraId="28F42E5C" w14:textId="03BD25FF" w:rsidR="002F06CE" w:rsidRPr="0001127D" w:rsidRDefault="00E64452" w:rsidP="00CA4560">
      <w:pPr>
        <w:shd w:val="clear" w:color="auto" w:fill="FFFFFF"/>
        <w:tabs>
          <w:tab w:val="left" w:pos="1680"/>
        </w:tabs>
        <w:spacing w:after="0" w:line="312" w:lineRule="atLeast"/>
        <w:ind w:left="851"/>
        <w:rPr>
          <w:noProof/>
          <w:szCs w:val="24"/>
        </w:rPr>
      </w:pPr>
      <w:r w:rsidRPr="0001127D">
        <w:rPr>
          <w:noProof/>
        </w:rPr>
        <w:t>"</w:t>
      </w:r>
      <w:r w:rsidR="002F06CE" w:rsidRPr="0001127D">
        <w:rPr>
          <w:noProof/>
        </w:rPr>
        <w:t xml:space="preserve">2 </w:t>
      </w:r>
      <w:r w:rsidR="002F06CE" w:rsidRPr="0001127D">
        <w:rPr>
          <w:i/>
          <w:iCs/>
          <w:noProof/>
        </w:rPr>
        <w:t>bis</w:t>
      </w:r>
      <w:r w:rsidR="002F06CE" w:rsidRPr="0001127D">
        <w:rPr>
          <w:noProof/>
        </w:rPr>
        <w:t xml:space="preserve"> </w:t>
      </w:r>
      <w:r w:rsidR="002F06CE" w:rsidRPr="0001127D">
        <w:rPr>
          <w:noProof/>
        </w:rPr>
        <w:tab/>
        <w:t>Gli Stati membri provvedono affinché, qualora una società elencata all</w:t>
      </w:r>
      <w:r w:rsidRPr="0001127D">
        <w:rPr>
          <w:noProof/>
        </w:rPr>
        <w:t>'</w:t>
      </w:r>
      <w:r w:rsidR="002F06CE" w:rsidRPr="0001127D">
        <w:rPr>
          <w:noProof/>
        </w:rPr>
        <w:t>allegato II o all</w:t>
      </w:r>
      <w:r w:rsidRPr="0001127D">
        <w:rPr>
          <w:noProof/>
        </w:rPr>
        <w:t>'</w:t>
      </w:r>
      <w:r w:rsidR="002F06CE" w:rsidRPr="0001127D">
        <w:rPr>
          <w:noProof/>
        </w:rPr>
        <w:t xml:space="preserve">allegato II </w:t>
      </w:r>
      <w:r w:rsidR="002F06CE" w:rsidRPr="0001127D">
        <w:rPr>
          <w:i/>
          <w:iCs/>
          <w:noProof/>
        </w:rPr>
        <w:t>ter</w:t>
      </w:r>
      <w:r w:rsidR="002F06CE" w:rsidRPr="0001127D">
        <w:rPr>
          <w:noProof/>
        </w:rPr>
        <w:t xml:space="preserve"> costituisca una società in un altro Stato membro, il registro dello Stato membro in cui la società viene costituita sia tenuto a recuperare, attraverso il sistema di interconnessione dei registri di cui all</w:t>
      </w:r>
      <w:r w:rsidRPr="0001127D">
        <w:rPr>
          <w:noProof/>
        </w:rPr>
        <w:t>'</w:t>
      </w:r>
      <w:r w:rsidR="002F06CE" w:rsidRPr="0001127D">
        <w:rPr>
          <w:noProof/>
        </w:rPr>
        <w:t>articolo 22, i documenti e le informazioni sulla società fondatrice che sono rilevanti ai fini della procedura di costituzione e che sono disponibili nel registro dello Stato membro in cui la società è iscritta, e non venga chiesto alla società di fornire tali informazioni o tali documenti. Il registro può anche recuperare il certificato delle società UE di cui all</w:t>
      </w:r>
      <w:r w:rsidRPr="0001127D">
        <w:rPr>
          <w:noProof/>
        </w:rPr>
        <w:t>'</w:t>
      </w:r>
      <w:r w:rsidR="002F06CE" w:rsidRPr="0001127D">
        <w:rPr>
          <w:noProof/>
        </w:rPr>
        <w:t>articolo</w:t>
      </w:r>
      <w:r w:rsidR="00CA4560" w:rsidRPr="0001127D">
        <w:rPr>
          <w:noProof/>
        </w:rPr>
        <w:t> </w:t>
      </w:r>
      <w:r w:rsidR="002F06CE" w:rsidRPr="0001127D">
        <w:rPr>
          <w:noProof/>
        </w:rPr>
        <w:t>16</w:t>
      </w:r>
      <w:r w:rsidR="00CA4560" w:rsidRPr="0001127D">
        <w:rPr>
          <w:noProof/>
        </w:rPr>
        <w:t> </w:t>
      </w:r>
      <w:r w:rsidR="002F06CE" w:rsidRPr="0001127D">
        <w:rPr>
          <w:i/>
          <w:iCs/>
          <w:noProof/>
        </w:rPr>
        <w:t>ter</w:t>
      </w:r>
      <w:r w:rsidR="002F06CE" w:rsidRPr="0001127D">
        <w:rPr>
          <w:noProof/>
        </w:rPr>
        <w:t xml:space="preserve">. </w:t>
      </w:r>
    </w:p>
    <w:p w14:paraId="3AA33D3D" w14:textId="3337EDAC" w:rsidR="002F06CE" w:rsidRPr="0001127D" w:rsidRDefault="002F06CE" w:rsidP="002F06CE">
      <w:pPr>
        <w:shd w:val="clear" w:color="auto" w:fill="FFFFFF"/>
        <w:tabs>
          <w:tab w:val="left" w:pos="1418"/>
        </w:tabs>
        <w:spacing w:line="312" w:lineRule="atLeast"/>
        <w:ind w:left="851" w:hanging="567"/>
        <w:rPr>
          <w:noProof/>
          <w:szCs w:val="24"/>
        </w:rPr>
      </w:pPr>
      <w:r w:rsidRPr="0001127D">
        <w:rPr>
          <w:noProof/>
        </w:rPr>
        <w:tab/>
        <w:t>Ove un</w:t>
      </w:r>
      <w:r w:rsidR="00E64452" w:rsidRPr="0001127D">
        <w:rPr>
          <w:noProof/>
        </w:rPr>
        <w:t>'</w:t>
      </w:r>
      <w:r w:rsidRPr="0001127D">
        <w:rPr>
          <w:noProof/>
        </w:rPr>
        <w:t>autorità o una persona od organismo siano incaricati a norma del diritto nazionale di occuparsi di qualunque aspetto della costituzione di una società, e i documenti e le informazioni di cui al primo comma siano necessari ai fini dello svolgimento dei loro compiti, il registro dello Stato membro in cui la società viene costituita fornisce a tale autorità, persona od organismo i documenti e le informazioni recuperati.</w:t>
      </w:r>
    </w:p>
    <w:p w14:paraId="23712162" w14:textId="7691EE04" w:rsidR="002F06CE" w:rsidRPr="0001127D" w:rsidRDefault="002F06CE" w:rsidP="002F06CE">
      <w:pPr>
        <w:shd w:val="clear" w:color="auto" w:fill="FFFFFF" w:themeFill="background1"/>
        <w:spacing w:line="312" w:lineRule="atLeast"/>
        <w:ind w:left="851" w:hanging="1"/>
        <w:contextualSpacing/>
        <w:rPr>
          <w:rFonts w:eastAsia="Times New Roman"/>
          <w:noProof/>
          <w:szCs w:val="24"/>
        </w:rPr>
      </w:pPr>
      <w:r w:rsidRPr="0001127D">
        <w:rPr>
          <w:noProof/>
        </w:rPr>
        <w:t>Gli Stati membri applicano il presente paragrafo a ogni altra forma di costituzione delle società che non avvenga completamente online.</w:t>
      </w:r>
      <w:r w:rsidR="00E64452" w:rsidRPr="0001127D">
        <w:rPr>
          <w:noProof/>
        </w:rPr>
        <w:t>"</w:t>
      </w:r>
      <w:r w:rsidRPr="0001127D">
        <w:rPr>
          <w:noProof/>
        </w:rPr>
        <w:t>;</w:t>
      </w:r>
    </w:p>
    <w:p w14:paraId="461A665F" w14:textId="77777777" w:rsidR="002F06CE" w:rsidRPr="0001127D" w:rsidRDefault="002F06CE" w:rsidP="002F06CE">
      <w:pPr>
        <w:contextualSpacing/>
        <w:rPr>
          <w:noProof/>
        </w:rPr>
      </w:pPr>
    </w:p>
    <w:p w14:paraId="7DD62612" w14:textId="77777777" w:rsidR="002F06CE" w:rsidRPr="0001127D" w:rsidRDefault="002F06CE" w:rsidP="002F06CE">
      <w:pPr>
        <w:pStyle w:val="Point1"/>
        <w:rPr>
          <w:noProof/>
        </w:rPr>
      </w:pPr>
      <w:r w:rsidRPr="0001127D">
        <w:rPr>
          <w:noProof/>
        </w:rPr>
        <w:t>b)</w:t>
      </w:r>
      <w:r w:rsidRPr="0001127D">
        <w:rPr>
          <w:noProof/>
        </w:rPr>
        <w:tab/>
        <w:t>il paragrafo 3 è così modificato:</w:t>
      </w:r>
    </w:p>
    <w:p w14:paraId="1B7F7F65" w14:textId="77777777" w:rsidR="002F06CE" w:rsidRPr="0001127D" w:rsidRDefault="002F06CE" w:rsidP="002F06CE">
      <w:pPr>
        <w:ind w:firstLine="1134"/>
        <w:rPr>
          <w:noProof/>
        </w:rPr>
      </w:pPr>
      <w:r w:rsidRPr="0001127D">
        <w:rPr>
          <w:noProof/>
        </w:rPr>
        <w:t>i) la lettera d) è sostituita dalla seguente:</w:t>
      </w:r>
    </w:p>
    <w:p w14:paraId="05470D1A" w14:textId="707DD76B" w:rsidR="002F06CE" w:rsidRPr="0001127D" w:rsidRDefault="002F06CE" w:rsidP="002F06CE">
      <w:pPr>
        <w:ind w:firstLine="1418"/>
        <w:contextualSpacing/>
        <w:rPr>
          <w:noProof/>
        </w:rPr>
      </w:pPr>
      <w:r w:rsidRPr="0001127D">
        <w:rPr>
          <w:noProof/>
        </w:rPr>
        <w:t xml:space="preserve"> </w:t>
      </w:r>
      <w:r w:rsidR="00E64452" w:rsidRPr="0001127D">
        <w:rPr>
          <w:noProof/>
        </w:rPr>
        <w:t>"</w:t>
      </w:r>
      <w:r w:rsidRPr="0001127D">
        <w:rPr>
          <w:noProof/>
        </w:rPr>
        <w:t>d) le procedure per verificare la legittimità dell</w:t>
      </w:r>
      <w:r w:rsidR="00E64452" w:rsidRPr="0001127D">
        <w:rPr>
          <w:noProof/>
        </w:rPr>
        <w:t>'</w:t>
      </w:r>
      <w:r w:rsidRPr="0001127D">
        <w:rPr>
          <w:noProof/>
        </w:rPr>
        <w:t>oggetto della società;</w:t>
      </w:r>
      <w:r w:rsidR="00E64452" w:rsidRPr="0001127D">
        <w:rPr>
          <w:noProof/>
        </w:rPr>
        <w:t>"</w:t>
      </w:r>
      <w:r w:rsidRPr="0001127D">
        <w:rPr>
          <w:noProof/>
        </w:rPr>
        <w:t>;</w:t>
      </w:r>
    </w:p>
    <w:p w14:paraId="11CE55E5" w14:textId="77777777" w:rsidR="002F06CE" w:rsidRPr="0001127D" w:rsidRDefault="002F06CE" w:rsidP="002F06CE">
      <w:pPr>
        <w:rPr>
          <w:noProof/>
        </w:rPr>
      </w:pPr>
    </w:p>
    <w:p w14:paraId="33C1F58E" w14:textId="77777777" w:rsidR="002F06CE" w:rsidRPr="0001127D" w:rsidRDefault="002F06CE" w:rsidP="002F06CE">
      <w:pPr>
        <w:ind w:firstLine="1134"/>
        <w:rPr>
          <w:noProof/>
        </w:rPr>
      </w:pPr>
      <w:r w:rsidRPr="0001127D">
        <w:rPr>
          <w:noProof/>
        </w:rPr>
        <w:t>ii) la lettera e) è sostituita dalla seguente:</w:t>
      </w:r>
    </w:p>
    <w:p w14:paraId="32F60761" w14:textId="7B73B42F" w:rsidR="002F06CE" w:rsidRPr="0001127D" w:rsidRDefault="00E64452" w:rsidP="009C1CEF">
      <w:pPr>
        <w:tabs>
          <w:tab w:val="left" w:pos="1920"/>
        </w:tabs>
        <w:ind w:left="1417" w:firstLine="1"/>
        <w:contextualSpacing/>
        <w:rPr>
          <w:noProof/>
        </w:rPr>
      </w:pPr>
      <w:r w:rsidRPr="0001127D">
        <w:rPr>
          <w:noProof/>
        </w:rPr>
        <w:t>"</w:t>
      </w:r>
      <w:r w:rsidR="002F06CE" w:rsidRPr="0001127D">
        <w:rPr>
          <w:noProof/>
        </w:rPr>
        <w:t>e) le procedure per verificare la legittimità della denominazione della società;</w:t>
      </w:r>
      <w:r w:rsidRPr="0001127D">
        <w:rPr>
          <w:noProof/>
        </w:rPr>
        <w:t>"</w:t>
      </w:r>
      <w:r w:rsidR="002F06CE" w:rsidRPr="0001127D">
        <w:rPr>
          <w:noProof/>
        </w:rPr>
        <w:t>;</w:t>
      </w:r>
    </w:p>
    <w:p w14:paraId="2385CFF5" w14:textId="77777777" w:rsidR="002F06CE" w:rsidRPr="0001127D" w:rsidRDefault="002F06CE" w:rsidP="002F06CE">
      <w:pPr>
        <w:contextualSpacing/>
        <w:rPr>
          <w:noProof/>
        </w:rPr>
      </w:pPr>
    </w:p>
    <w:p w14:paraId="5F87BAED" w14:textId="77777777" w:rsidR="002F06CE" w:rsidRPr="0001127D" w:rsidRDefault="002F06CE" w:rsidP="002F06CE">
      <w:pPr>
        <w:pStyle w:val="Point1"/>
        <w:rPr>
          <w:noProof/>
        </w:rPr>
      </w:pPr>
      <w:r w:rsidRPr="0001127D">
        <w:rPr>
          <w:noProof/>
        </w:rPr>
        <w:t>c)</w:t>
      </w:r>
      <w:r w:rsidRPr="0001127D">
        <w:rPr>
          <w:noProof/>
        </w:rPr>
        <w:tab/>
      </w:r>
      <w:r w:rsidRPr="0001127D">
        <w:rPr>
          <w:noProof/>
        </w:rPr>
        <w:tab/>
        <w:t>al paragrafo 4, la lettera a) è soppressa;</w:t>
      </w:r>
    </w:p>
    <w:p w14:paraId="751AF687" w14:textId="77777777" w:rsidR="002F06CE" w:rsidRPr="0001127D" w:rsidRDefault="002F06CE" w:rsidP="002F06CE">
      <w:pPr>
        <w:contextualSpacing/>
        <w:rPr>
          <w:noProof/>
        </w:rPr>
      </w:pPr>
    </w:p>
    <w:p w14:paraId="2670907B" w14:textId="674351B9" w:rsidR="002F06CE" w:rsidRPr="0001127D" w:rsidRDefault="002F06CE" w:rsidP="002F06CE">
      <w:pPr>
        <w:pStyle w:val="Point0"/>
        <w:rPr>
          <w:noProof/>
        </w:rPr>
      </w:pPr>
      <w:r w:rsidRPr="0001127D">
        <w:rPr>
          <w:noProof/>
        </w:rPr>
        <w:t>13)</w:t>
      </w:r>
      <w:r w:rsidRPr="0001127D">
        <w:rPr>
          <w:noProof/>
        </w:rPr>
        <w:tab/>
        <w:t>all</w:t>
      </w:r>
      <w:r w:rsidR="00E64452" w:rsidRPr="0001127D">
        <w:rPr>
          <w:noProof/>
        </w:rPr>
        <w:t>'</w:t>
      </w:r>
      <w:r w:rsidRPr="0001127D">
        <w:rPr>
          <w:noProof/>
        </w:rPr>
        <w:t xml:space="preserve">articolo 13 </w:t>
      </w:r>
      <w:r w:rsidRPr="0001127D">
        <w:rPr>
          <w:i/>
          <w:iCs/>
          <w:noProof/>
        </w:rPr>
        <w:t>nonies</w:t>
      </w:r>
      <w:r w:rsidRPr="0001127D">
        <w:rPr>
          <w:noProof/>
        </w:rPr>
        <w:t>, paragrafo 2, primo comma, la seconda frase è soppressa;</w:t>
      </w:r>
    </w:p>
    <w:p w14:paraId="476386D7" w14:textId="77777777" w:rsidR="002F06CE" w:rsidRPr="0001127D" w:rsidRDefault="002F06CE" w:rsidP="002F06CE">
      <w:pPr>
        <w:rPr>
          <w:noProof/>
        </w:rPr>
      </w:pPr>
    </w:p>
    <w:p w14:paraId="5038BCDF" w14:textId="38283149" w:rsidR="002F06CE" w:rsidRPr="0001127D" w:rsidRDefault="002F06CE" w:rsidP="002F06CE">
      <w:pPr>
        <w:pStyle w:val="Point0"/>
        <w:rPr>
          <w:noProof/>
        </w:rPr>
      </w:pPr>
      <w:r w:rsidRPr="0001127D">
        <w:rPr>
          <w:noProof/>
        </w:rPr>
        <w:t>14)</w:t>
      </w:r>
      <w:r w:rsidRPr="0001127D">
        <w:rPr>
          <w:noProof/>
        </w:rPr>
        <w:tab/>
        <w:t>l</w:t>
      </w:r>
      <w:r w:rsidR="00E64452" w:rsidRPr="0001127D">
        <w:rPr>
          <w:noProof/>
        </w:rPr>
        <w:t>'</w:t>
      </w:r>
      <w:r w:rsidRPr="0001127D">
        <w:rPr>
          <w:noProof/>
        </w:rPr>
        <w:t xml:space="preserve">articolo 13 </w:t>
      </w:r>
      <w:r w:rsidRPr="0001127D">
        <w:rPr>
          <w:i/>
          <w:iCs/>
          <w:noProof/>
        </w:rPr>
        <w:t>undecies</w:t>
      </w:r>
      <w:r w:rsidRPr="0001127D">
        <w:rPr>
          <w:noProof/>
        </w:rPr>
        <w:t xml:space="preserve"> è così modificato:</w:t>
      </w:r>
    </w:p>
    <w:p w14:paraId="2BB29DE4" w14:textId="77777777" w:rsidR="002F06CE" w:rsidRPr="0001127D" w:rsidRDefault="002F06CE" w:rsidP="002F06CE">
      <w:pPr>
        <w:pStyle w:val="Point1"/>
        <w:rPr>
          <w:noProof/>
        </w:rPr>
      </w:pPr>
      <w:r w:rsidRPr="0001127D">
        <w:rPr>
          <w:noProof/>
        </w:rPr>
        <w:t>a)</w:t>
      </w:r>
      <w:r w:rsidRPr="0001127D">
        <w:rPr>
          <w:noProof/>
        </w:rPr>
        <w:tab/>
        <w:t>al paragrafo 1, la prima frase è sostituita dalla seguente:</w:t>
      </w:r>
    </w:p>
    <w:p w14:paraId="7E5FF65C" w14:textId="4808FF87" w:rsidR="002F06CE" w:rsidRPr="0001127D" w:rsidRDefault="00E64452" w:rsidP="002F06CE">
      <w:pPr>
        <w:pStyle w:val="Text1"/>
        <w:rPr>
          <w:noProof/>
        </w:rPr>
      </w:pPr>
      <w:r w:rsidRPr="0001127D">
        <w:rPr>
          <w:noProof/>
        </w:rPr>
        <w:t>"</w:t>
      </w:r>
      <w:r w:rsidR="002F06CE" w:rsidRPr="0001127D">
        <w:rPr>
          <w:noProof/>
        </w:rPr>
        <w:t>Gli Stati membri assicurano che documenti e informazioni, comprese eventuali modifiche degli stessi, possano essere presentati online presso il registro in cui la società è iscritta.</w:t>
      </w:r>
      <w:r w:rsidRPr="0001127D">
        <w:rPr>
          <w:noProof/>
        </w:rPr>
        <w:t>"</w:t>
      </w:r>
      <w:r w:rsidR="002F06CE" w:rsidRPr="0001127D">
        <w:rPr>
          <w:noProof/>
        </w:rPr>
        <w:t>;</w:t>
      </w:r>
    </w:p>
    <w:p w14:paraId="427B3303" w14:textId="77777777" w:rsidR="002F06CE" w:rsidRPr="0001127D" w:rsidRDefault="002F06CE" w:rsidP="002F06CE">
      <w:pPr>
        <w:rPr>
          <w:noProof/>
        </w:rPr>
      </w:pPr>
    </w:p>
    <w:p w14:paraId="0B60E338" w14:textId="77777777" w:rsidR="002F06CE" w:rsidRPr="0001127D" w:rsidRDefault="002F06CE" w:rsidP="002F06CE">
      <w:pPr>
        <w:pStyle w:val="Point1"/>
        <w:rPr>
          <w:noProof/>
        </w:rPr>
      </w:pPr>
      <w:r w:rsidRPr="0001127D">
        <w:rPr>
          <w:noProof/>
        </w:rPr>
        <w:t>b)</w:t>
      </w:r>
      <w:r w:rsidRPr="0001127D">
        <w:rPr>
          <w:noProof/>
        </w:rPr>
        <w:tab/>
        <w:t>il paragrafo 4 è sostituito dal seguente:</w:t>
      </w:r>
    </w:p>
    <w:p w14:paraId="1EF988C1" w14:textId="47AA01D6" w:rsidR="002F06CE" w:rsidRPr="0001127D" w:rsidRDefault="00E64452" w:rsidP="002F06CE">
      <w:pPr>
        <w:shd w:val="clear" w:color="auto" w:fill="FFFFFF"/>
        <w:spacing w:after="0"/>
        <w:ind w:left="851"/>
        <w:rPr>
          <w:rFonts w:eastAsia="Times New Roman"/>
          <w:noProof/>
          <w:szCs w:val="24"/>
        </w:rPr>
      </w:pPr>
      <w:r w:rsidRPr="0001127D">
        <w:rPr>
          <w:noProof/>
        </w:rPr>
        <w:t>"</w:t>
      </w:r>
      <w:r w:rsidR="002F06CE" w:rsidRPr="0001127D">
        <w:rPr>
          <w:noProof/>
        </w:rPr>
        <w:t>4. </w:t>
      </w:r>
      <w:r w:rsidR="002F06CE" w:rsidRPr="0001127D">
        <w:rPr>
          <w:noProof/>
        </w:rPr>
        <w:tab/>
        <w:t>l</w:t>
      </w:r>
      <w:r w:rsidRPr="0001127D">
        <w:rPr>
          <w:noProof/>
        </w:rPr>
        <w:t>'</w:t>
      </w:r>
      <w:r w:rsidR="002F06CE" w:rsidRPr="0001127D">
        <w:rPr>
          <w:noProof/>
        </w:rPr>
        <w:t>articolo 10, paragrafi 1 e 2, e l</w:t>
      </w:r>
      <w:r w:rsidRPr="0001127D">
        <w:rPr>
          <w:noProof/>
        </w:rPr>
        <w:t>'</w:t>
      </w:r>
      <w:r w:rsidR="002F06CE" w:rsidRPr="0001127D">
        <w:rPr>
          <w:noProof/>
        </w:rPr>
        <w:t xml:space="preserve">articolo 13 </w:t>
      </w:r>
      <w:r w:rsidR="002F06CE" w:rsidRPr="0001127D">
        <w:rPr>
          <w:i/>
          <w:iCs/>
          <w:noProof/>
        </w:rPr>
        <w:t>octies</w:t>
      </w:r>
      <w:r w:rsidR="002F06CE" w:rsidRPr="0001127D">
        <w:rPr>
          <w:noProof/>
        </w:rPr>
        <w:t xml:space="preserve">, paragrafi 2, 3, 4 e 5, si applicano </w:t>
      </w:r>
      <w:r w:rsidR="002F06CE" w:rsidRPr="0001127D">
        <w:rPr>
          <w:i/>
          <w:noProof/>
        </w:rPr>
        <w:t>mutatis mutandis</w:t>
      </w:r>
      <w:r w:rsidR="002F06CE" w:rsidRPr="0001127D">
        <w:rPr>
          <w:noProof/>
        </w:rPr>
        <w:t xml:space="preserve"> alla presentazione online di documenti e informazioni.</w:t>
      </w:r>
      <w:r w:rsidRPr="0001127D">
        <w:rPr>
          <w:noProof/>
        </w:rPr>
        <w:t>"</w:t>
      </w:r>
      <w:r w:rsidR="002F06CE" w:rsidRPr="0001127D">
        <w:rPr>
          <w:noProof/>
        </w:rPr>
        <w:t>;</w:t>
      </w:r>
    </w:p>
    <w:p w14:paraId="66000A6F" w14:textId="77777777" w:rsidR="002F06CE" w:rsidRPr="0001127D" w:rsidRDefault="002F06CE" w:rsidP="002F06CE">
      <w:pPr>
        <w:shd w:val="clear" w:color="auto" w:fill="FFFFFF"/>
        <w:spacing w:after="0"/>
        <w:ind w:left="1276" w:hanging="425"/>
        <w:rPr>
          <w:rFonts w:eastAsia="Times New Roman"/>
          <w:noProof/>
          <w:szCs w:val="24"/>
        </w:rPr>
      </w:pPr>
    </w:p>
    <w:p w14:paraId="2A9D389D" w14:textId="77777777" w:rsidR="002F06CE" w:rsidRPr="0001127D" w:rsidRDefault="002F06CE" w:rsidP="002F06CE">
      <w:pPr>
        <w:pStyle w:val="Point1"/>
        <w:rPr>
          <w:noProof/>
        </w:rPr>
      </w:pPr>
      <w:r w:rsidRPr="0001127D">
        <w:rPr>
          <w:noProof/>
        </w:rPr>
        <w:t>c)</w:t>
      </w:r>
      <w:r w:rsidRPr="0001127D">
        <w:rPr>
          <w:noProof/>
        </w:rPr>
        <w:tab/>
        <w:t>è aggiunto il seguente paragrafo:</w:t>
      </w:r>
    </w:p>
    <w:p w14:paraId="6C91B546" w14:textId="0937AD43" w:rsidR="002F06CE" w:rsidRPr="0001127D" w:rsidRDefault="00E64452" w:rsidP="002F06CE">
      <w:pPr>
        <w:shd w:val="clear" w:color="auto" w:fill="FFFFFF"/>
        <w:spacing w:after="0"/>
        <w:ind w:left="851"/>
        <w:rPr>
          <w:rFonts w:eastAsia="Times New Roman"/>
          <w:noProof/>
          <w:szCs w:val="24"/>
        </w:rPr>
      </w:pPr>
      <w:r w:rsidRPr="0001127D">
        <w:rPr>
          <w:noProof/>
        </w:rPr>
        <w:t>"</w:t>
      </w:r>
      <w:r w:rsidR="002F06CE" w:rsidRPr="0001127D">
        <w:rPr>
          <w:noProof/>
        </w:rPr>
        <w:t xml:space="preserve">6. </w:t>
      </w:r>
      <w:r w:rsidR="002F06CE" w:rsidRPr="0001127D">
        <w:rPr>
          <w:noProof/>
        </w:rPr>
        <w:tab/>
        <w:t>l</w:t>
      </w:r>
      <w:r w:rsidRPr="0001127D">
        <w:rPr>
          <w:noProof/>
        </w:rPr>
        <w:t>'</w:t>
      </w:r>
      <w:r w:rsidR="002F06CE" w:rsidRPr="0001127D">
        <w:rPr>
          <w:noProof/>
        </w:rPr>
        <w:t>articolo 10, paragrafi 1 e 2, e l</w:t>
      </w:r>
      <w:r w:rsidRPr="0001127D">
        <w:rPr>
          <w:noProof/>
        </w:rPr>
        <w:t>'</w:t>
      </w:r>
      <w:r w:rsidR="002F06CE" w:rsidRPr="0001127D">
        <w:rPr>
          <w:noProof/>
        </w:rPr>
        <w:t xml:space="preserve">articolo 13 </w:t>
      </w:r>
      <w:r w:rsidR="002F06CE" w:rsidRPr="0001127D">
        <w:rPr>
          <w:i/>
          <w:iCs/>
          <w:noProof/>
        </w:rPr>
        <w:t>octies</w:t>
      </w:r>
      <w:r w:rsidR="002F06CE" w:rsidRPr="0001127D">
        <w:rPr>
          <w:noProof/>
        </w:rPr>
        <w:t xml:space="preserve">, paragrafi 2, 3, 4 e 5, si applicano </w:t>
      </w:r>
      <w:r w:rsidR="002F06CE" w:rsidRPr="0001127D">
        <w:rPr>
          <w:i/>
          <w:noProof/>
        </w:rPr>
        <w:t>mutatis mutandis</w:t>
      </w:r>
      <w:r w:rsidR="002F06CE" w:rsidRPr="0001127D">
        <w:rPr>
          <w:noProof/>
        </w:rPr>
        <w:t xml:space="preserve"> a ogni altra forma di presentazione di documenti e informazioni da parte delle società elencate agli allegati II e II </w:t>
      </w:r>
      <w:r w:rsidR="002F06CE" w:rsidRPr="0001127D">
        <w:rPr>
          <w:i/>
          <w:iCs/>
          <w:noProof/>
        </w:rPr>
        <w:t>ter</w:t>
      </w:r>
      <w:r w:rsidR="002F06CE" w:rsidRPr="0001127D">
        <w:rPr>
          <w:noProof/>
        </w:rPr>
        <w:t xml:space="preserve"> che non avvenga completamente online.</w:t>
      </w:r>
      <w:r w:rsidRPr="0001127D">
        <w:rPr>
          <w:noProof/>
        </w:rPr>
        <w:t>"</w:t>
      </w:r>
      <w:r w:rsidR="002F06CE" w:rsidRPr="0001127D">
        <w:rPr>
          <w:noProof/>
        </w:rPr>
        <w:t>;</w:t>
      </w:r>
    </w:p>
    <w:p w14:paraId="2CE44142" w14:textId="77777777" w:rsidR="002F06CE" w:rsidRPr="0001127D" w:rsidRDefault="002F06CE" w:rsidP="002F06CE">
      <w:pPr>
        <w:pStyle w:val="ListParagraph"/>
        <w:ind w:left="850"/>
        <w:rPr>
          <w:noProof/>
          <w:lang w:eastAsia="en-GB"/>
        </w:rPr>
      </w:pPr>
    </w:p>
    <w:p w14:paraId="4BA83A25" w14:textId="470B9C9B" w:rsidR="002F06CE" w:rsidRPr="0001127D" w:rsidRDefault="002F06CE" w:rsidP="002F06CE">
      <w:pPr>
        <w:pStyle w:val="Point0"/>
        <w:rPr>
          <w:noProof/>
        </w:rPr>
      </w:pPr>
      <w:r w:rsidRPr="0001127D">
        <w:rPr>
          <w:noProof/>
        </w:rPr>
        <w:t>15)</w:t>
      </w:r>
      <w:r w:rsidRPr="0001127D">
        <w:rPr>
          <w:noProof/>
        </w:rPr>
        <w:tab/>
        <w:t>l</w:t>
      </w:r>
      <w:r w:rsidR="00E64452" w:rsidRPr="0001127D">
        <w:rPr>
          <w:noProof/>
        </w:rPr>
        <w:t>'</w:t>
      </w:r>
      <w:r w:rsidRPr="0001127D">
        <w:rPr>
          <w:noProof/>
        </w:rPr>
        <w:t>articolo 14 è così modificato:</w:t>
      </w:r>
    </w:p>
    <w:p w14:paraId="0FCB8DFD" w14:textId="134962A1" w:rsidR="002F06CE" w:rsidRPr="0001127D" w:rsidRDefault="002F06CE" w:rsidP="002F06CE">
      <w:pPr>
        <w:pStyle w:val="Point1"/>
        <w:rPr>
          <w:noProof/>
        </w:rPr>
      </w:pPr>
      <w:r w:rsidRPr="0001127D">
        <w:rPr>
          <w:noProof/>
        </w:rPr>
        <w:t>a)</w:t>
      </w:r>
      <w:r w:rsidRPr="0001127D">
        <w:rPr>
          <w:noProof/>
        </w:rPr>
        <w:tab/>
        <w:t>il titolo dell</w:t>
      </w:r>
      <w:r w:rsidR="00E64452" w:rsidRPr="0001127D">
        <w:rPr>
          <w:noProof/>
        </w:rPr>
        <w:t>'</w:t>
      </w:r>
      <w:r w:rsidRPr="0001127D">
        <w:rPr>
          <w:noProof/>
        </w:rPr>
        <w:t>articolo 14 è sostituito dal seguente:</w:t>
      </w:r>
    </w:p>
    <w:p w14:paraId="0F12CFA5" w14:textId="3B20B64A" w:rsidR="002F06CE" w:rsidRPr="0001127D" w:rsidRDefault="00E64452" w:rsidP="002F06CE">
      <w:pPr>
        <w:shd w:val="clear" w:color="auto" w:fill="FFFFFF"/>
        <w:spacing w:before="240" w:line="312" w:lineRule="atLeast"/>
        <w:jc w:val="center"/>
        <w:rPr>
          <w:noProof/>
        </w:rPr>
      </w:pPr>
      <w:r w:rsidRPr="0001127D">
        <w:rPr>
          <w:noProof/>
        </w:rPr>
        <w:t>"</w:t>
      </w:r>
      <w:r w:rsidR="002F06CE" w:rsidRPr="0001127D">
        <w:rPr>
          <w:noProof/>
        </w:rPr>
        <w:t>Articolo 14</w:t>
      </w:r>
    </w:p>
    <w:p w14:paraId="5FB4B146" w14:textId="5E8A553D" w:rsidR="002F06CE" w:rsidRPr="0001127D" w:rsidRDefault="002F06CE" w:rsidP="002F06CE">
      <w:pPr>
        <w:shd w:val="clear" w:color="auto" w:fill="FFFFFF"/>
        <w:spacing w:before="240" w:line="312" w:lineRule="atLeast"/>
        <w:jc w:val="center"/>
        <w:rPr>
          <w:rFonts w:eastAsia="Times New Roman"/>
          <w:b/>
          <w:bCs/>
          <w:noProof/>
          <w:color w:val="00B050"/>
          <w:szCs w:val="24"/>
        </w:rPr>
      </w:pPr>
      <w:r w:rsidRPr="0001127D">
        <w:rPr>
          <w:b/>
          <w:noProof/>
          <w:color w:val="333333"/>
        </w:rPr>
        <w:t>Atti e informazioni soggetti all</w:t>
      </w:r>
      <w:r w:rsidR="00E64452" w:rsidRPr="0001127D">
        <w:rPr>
          <w:b/>
          <w:noProof/>
          <w:color w:val="333333"/>
        </w:rPr>
        <w:t>'</w:t>
      </w:r>
      <w:r w:rsidRPr="0001127D">
        <w:rPr>
          <w:b/>
          <w:noProof/>
          <w:color w:val="333333"/>
        </w:rPr>
        <w:t xml:space="preserve">obbligo di pubblicità per le </w:t>
      </w:r>
      <w:r w:rsidRPr="0001127D">
        <w:rPr>
          <w:b/>
          <w:noProof/>
        </w:rPr>
        <w:t xml:space="preserve">società </w:t>
      </w:r>
      <w:r w:rsidRPr="0001127D">
        <w:rPr>
          <w:b/>
          <w:noProof/>
          <w:color w:val="333333"/>
        </w:rPr>
        <w:t>di capitali</w:t>
      </w:r>
      <w:r w:rsidR="00E64452" w:rsidRPr="0001127D">
        <w:rPr>
          <w:b/>
          <w:noProof/>
          <w:color w:val="333333"/>
        </w:rPr>
        <w:t>"</w:t>
      </w:r>
      <w:r w:rsidRPr="0001127D">
        <w:rPr>
          <w:b/>
          <w:noProof/>
          <w:color w:val="333333"/>
        </w:rPr>
        <w:t xml:space="preserve">; </w:t>
      </w:r>
    </w:p>
    <w:p w14:paraId="3201BD72" w14:textId="77777777" w:rsidR="002F06CE" w:rsidRPr="0001127D" w:rsidRDefault="002F06CE" w:rsidP="002F06CE">
      <w:pPr>
        <w:rPr>
          <w:noProof/>
        </w:rPr>
      </w:pPr>
    </w:p>
    <w:p w14:paraId="07CD914A" w14:textId="77777777" w:rsidR="002F06CE" w:rsidRPr="0001127D" w:rsidRDefault="002F06CE" w:rsidP="002F06CE">
      <w:pPr>
        <w:pStyle w:val="Point1"/>
        <w:rPr>
          <w:noProof/>
        </w:rPr>
      </w:pPr>
      <w:r w:rsidRPr="0001127D">
        <w:rPr>
          <w:noProof/>
        </w:rPr>
        <w:t>b)</w:t>
      </w:r>
      <w:r w:rsidRPr="0001127D">
        <w:rPr>
          <w:noProof/>
        </w:rPr>
        <w:tab/>
        <w:t>sono aggiunte le seguenti lettere:</w:t>
      </w:r>
    </w:p>
    <w:p w14:paraId="744B734F" w14:textId="7DF33F75" w:rsidR="002F06CE" w:rsidRPr="0001127D" w:rsidRDefault="00E64452" w:rsidP="002F06CE">
      <w:pPr>
        <w:shd w:val="clear" w:color="auto" w:fill="FFFFFF"/>
        <w:spacing w:after="0"/>
        <w:ind w:left="1276"/>
        <w:rPr>
          <w:noProof/>
          <w:szCs w:val="24"/>
          <w:shd w:val="clear" w:color="auto" w:fill="FFFFFF"/>
        </w:rPr>
      </w:pPr>
      <w:r w:rsidRPr="0001127D">
        <w:rPr>
          <w:noProof/>
        </w:rPr>
        <w:t>"</w:t>
      </w:r>
      <w:r w:rsidR="002F06CE" w:rsidRPr="0001127D">
        <w:rPr>
          <w:noProof/>
        </w:rPr>
        <w:t xml:space="preserve">l) </w:t>
      </w:r>
      <w:r w:rsidR="002F06CE" w:rsidRPr="0001127D">
        <w:rPr>
          <w:noProof/>
          <w:shd w:val="clear" w:color="auto" w:fill="FFFFFF"/>
        </w:rPr>
        <w:t>la sede dell</w:t>
      </w:r>
      <w:r w:rsidRPr="0001127D">
        <w:rPr>
          <w:noProof/>
          <w:shd w:val="clear" w:color="auto" w:fill="FFFFFF"/>
        </w:rPr>
        <w:t>'</w:t>
      </w:r>
      <w:r w:rsidR="002F06CE" w:rsidRPr="0001127D">
        <w:rPr>
          <w:noProof/>
          <w:shd w:val="clear" w:color="auto" w:fill="FFFFFF"/>
        </w:rPr>
        <w:t xml:space="preserve">amministrazione centrale nel caso in cui non si trovi nello Stato membro della sede sociale; </w:t>
      </w:r>
    </w:p>
    <w:p w14:paraId="0D939D15" w14:textId="7A16B7AB" w:rsidR="002F06CE" w:rsidRPr="0001127D" w:rsidRDefault="002F06CE" w:rsidP="002F06CE">
      <w:pPr>
        <w:shd w:val="clear" w:color="auto" w:fill="FFFFFF"/>
        <w:spacing w:after="0"/>
        <w:ind w:left="1276"/>
        <w:rPr>
          <w:noProof/>
          <w:szCs w:val="24"/>
          <w:shd w:val="clear" w:color="auto" w:fill="FFFFFF"/>
        </w:rPr>
      </w:pPr>
      <w:r w:rsidRPr="0001127D">
        <w:rPr>
          <w:noProof/>
          <w:shd w:val="clear" w:color="auto" w:fill="FFFFFF"/>
        </w:rPr>
        <w:t>m) il centro di attività principale nel caso in cui non si trovi nello Stato membro della sede sociale.</w:t>
      </w:r>
      <w:r w:rsidR="00E64452" w:rsidRPr="0001127D">
        <w:rPr>
          <w:noProof/>
          <w:shd w:val="clear" w:color="auto" w:fill="FFFFFF"/>
        </w:rPr>
        <w:t>"</w:t>
      </w:r>
      <w:r w:rsidRPr="0001127D">
        <w:rPr>
          <w:noProof/>
          <w:shd w:val="clear" w:color="auto" w:fill="FFFFFF"/>
        </w:rPr>
        <w:t xml:space="preserve">; </w:t>
      </w:r>
    </w:p>
    <w:p w14:paraId="72FDDA02" w14:textId="77777777" w:rsidR="002F06CE" w:rsidRPr="0001127D" w:rsidRDefault="002F06CE" w:rsidP="002F06CE">
      <w:pPr>
        <w:rPr>
          <w:noProof/>
        </w:rPr>
      </w:pPr>
    </w:p>
    <w:p w14:paraId="0FA18573" w14:textId="77777777" w:rsidR="002F06CE" w:rsidRPr="0001127D" w:rsidRDefault="002F06CE" w:rsidP="002F06CE">
      <w:pPr>
        <w:pStyle w:val="Point0"/>
        <w:rPr>
          <w:noProof/>
        </w:rPr>
      </w:pPr>
      <w:r w:rsidRPr="0001127D">
        <w:rPr>
          <w:noProof/>
        </w:rPr>
        <w:t>16)</w:t>
      </w:r>
      <w:r w:rsidRPr="0001127D">
        <w:rPr>
          <w:noProof/>
        </w:rPr>
        <w:tab/>
        <w:t>sono inseriti i seguenti articoli:</w:t>
      </w:r>
    </w:p>
    <w:p w14:paraId="42895708" w14:textId="5B372EE7" w:rsidR="002F06CE" w:rsidRPr="0001127D" w:rsidRDefault="00E64452" w:rsidP="002F06CE">
      <w:pPr>
        <w:pStyle w:val="title-article-norm"/>
        <w:shd w:val="clear" w:color="auto" w:fill="FFFFFF"/>
        <w:spacing w:before="240" w:beforeAutospacing="0" w:after="120" w:afterAutospacing="0" w:line="312" w:lineRule="atLeast"/>
        <w:jc w:val="center"/>
        <w:rPr>
          <w:i/>
          <w:iCs/>
          <w:noProof/>
        </w:rPr>
      </w:pPr>
      <w:r w:rsidRPr="0001127D">
        <w:rPr>
          <w:i/>
          <w:noProof/>
        </w:rPr>
        <w:t>"</w:t>
      </w:r>
      <w:r w:rsidR="002F06CE" w:rsidRPr="0001127D">
        <w:rPr>
          <w:noProof/>
        </w:rPr>
        <w:t xml:space="preserve">Articolo 14 </w:t>
      </w:r>
      <w:r w:rsidR="002F06CE" w:rsidRPr="0001127D">
        <w:rPr>
          <w:i/>
          <w:iCs/>
          <w:noProof/>
        </w:rPr>
        <w:t>bis</w:t>
      </w:r>
    </w:p>
    <w:p w14:paraId="29DCA7F9" w14:textId="76AD8642" w:rsidR="002F06CE" w:rsidRPr="0001127D" w:rsidRDefault="002F06CE" w:rsidP="002F06CE">
      <w:pPr>
        <w:pStyle w:val="stitle-article-norm"/>
        <w:shd w:val="clear" w:color="auto" w:fill="FFFFFF"/>
        <w:spacing w:before="240" w:after="120" w:line="312" w:lineRule="atLeast"/>
        <w:jc w:val="center"/>
        <w:rPr>
          <w:b/>
          <w:bCs/>
          <w:noProof/>
        </w:rPr>
      </w:pPr>
      <w:r w:rsidRPr="0001127D">
        <w:rPr>
          <w:b/>
          <w:noProof/>
        </w:rPr>
        <w:t>Atti e informazioni soggetti all</w:t>
      </w:r>
      <w:r w:rsidR="00E64452" w:rsidRPr="0001127D">
        <w:rPr>
          <w:b/>
          <w:noProof/>
        </w:rPr>
        <w:t>'</w:t>
      </w:r>
      <w:r w:rsidRPr="0001127D">
        <w:rPr>
          <w:b/>
          <w:noProof/>
        </w:rPr>
        <w:t>obbligo di pubblicità per le società di persone (</w:t>
      </w:r>
      <w:r w:rsidRPr="0001127D">
        <w:rPr>
          <w:b/>
          <w:i/>
          <w:noProof/>
        </w:rPr>
        <w:t>partnership</w:t>
      </w:r>
      <w:r w:rsidRPr="0001127D">
        <w:rPr>
          <w:b/>
          <w:noProof/>
        </w:rPr>
        <w:t>)</w:t>
      </w:r>
    </w:p>
    <w:p w14:paraId="1124BBAC" w14:textId="1004AB07" w:rsidR="002F06CE" w:rsidRPr="0001127D" w:rsidRDefault="002F06CE" w:rsidP="002F06CE">
      <w:pPr>
        <w:ind w:left="709"/>
        <w:rPr>
          <w:noProof/>
        </w:rPr>
      </w:pPr>
      <w:r w:rsidRPr="0001127D">
        <w:rPr>
          <w:noProof/>
        </w:rPr>
        <w:t>Gli Stati membri provvedono affinché l</w:t>
      </w:r>
      <w:r w:rsidR="00E64452" w:rsidRPr="0001127D">
        <w:rPr>
          <w:noProof/>
        </w:rPr>
        <w:t>'</w:t>
      </w:r>
      <w:r w:rsidRPr="0001127D">
        <w:rPr>
          <w:noProof/>
        </w:rPr>
        <w:t>obbligo della pubblicità per i tipi di società elencati all</w:t>
      </w:r>
      <w:r w:rsidR="00E64452" w:rsidRPr="0001127D">
        <w:rPr>
          <w:noProof/>
        </w:rPr>
        <w:t>'</w:t>
      </w:r>
      <w:r w:rsidRPr="0001127D">
        <w:rPr>
          <w:noProof/>
        </w:rPr>
        <w:t xml:space="preserve">allegato II </w:t>
      </w:r>
      <w:r w:rsidRPr="0001127D">
        <w:rPr>
          <w:i/>
          <w:iCs/>
          <w:noProof/>
        </w:rPr>
        <w:t>ter</w:t>
      </w:r>
      <w:r w:rsidRPr="0001127D">
        <w:rPr>
          <w:noProof/>
        </w:rPr>
        <w:t xml:space="preserve"> concerna almeno gli atti e le informazioni seguenti: </w:t>
      </w:r>
    </w:p>
    <w:p w14:paraId="49408283" w14:textId="77777777" w:rsidR="002F06CE" w:rsidRPr="0001127D" w:rsidRDefault="002F06CE" w:rsidP="002F06CE">
      <w:pPr>
        <w:pStyle w:val="Point0"/>
        <w:rPr>
          <w:noProof/>
        </w:rPr>
      </w:pPr>
      <w:r w:rsidRPr="0001127D">
        <w:rPr>
          <w:noProof/>
        </w:rPr>
        <w:t>a)</w:t>
      </w:r>
      <w:r w:rsidRPr="0001127D">
        <w:rPr>
          <w:noProof/>
        </w:rPr>
        <w:tab/>
        <w:t>la denominazione della società di persone;</w:t>
      </w:r>
    </w:p>
    <w:p w14:paraId="4ADBAAF0" w14:textId="77777777" w:rsidR="002F06CE" w:rsidRPr="0001127D" w:rsidRDefault="002F06CE" w:rsidP="002F06CE">
      <w:pPr>
        <w:pStyle w:val="Point0"/>
        <w:rPr>
          <w:noProof/>
        </w:rPr>
      </w:pPr>
      <w:r w:rsidRPr="0001127D">
        <w:rPr>
          <w:noProof/>
        </w:rPr>
        <w:t>b)</w:t>
      </w:r>
      <w:r w:rsidRPr="0001127D">
        <w:rPr>
          <w:noProof/>
        </w:rPr>
        <w:tab/>
        <w:t>la forma giuridica della società di persone;</w:t>
      </w:r>
    </w:p>
    <w:p w14:paraId="6839A0BC" w14:textId="77777777" w:rsidR="002F06CE" w:rsidRPr="0001127D" w:rsidRDefault="002F06CE" w:rsidP="002F06CE">
      <w:pPr>
        <w:pStyle w:val="Point0"/>
        <w:rPr>
          <w:noProof/>
        </w:rPr>
      </w:pPr>
      <w:r w:rsidRPr="0001127D">
        <w:rPr>
          <w:noProof/>
        </w:rPr>
        <w:t>c)</w:t>
      </w:r>
      <w:r w:rsidRPr="0001127D">
        <w:rPr>
          <w:noProof/>
        </w:rPr>
        <w:tab/>
        <w:t>la sede sociale della società di persone e lo Stato membro in cui essa è registrata;</w:t>
      </w:r>
    </w:p>
    <w:p w14:paraId="05D84D8D" w14:textId="77777777" w:rsidR="002F06CE" w:rsidRPr="0001127D" w:rsidRDefault="002F06CE" w:rsidP="002F06CE">
      <w:pPr>
        <w:pStyle w:val="Point0"/>
        <w:rPr>
          <w:noProof/>
        </w:rPr>
      </w:pPr>
      <w:r w:rsidRPr="0001127D">
        <w:rPr>
          <w:noProof/>
        </w:rPr>
        <w:t>d)</w:t>
      </w:r>
      <w:r w:rsidRPr="0001127D">
        <w:rPr>
          <w:noProof/>
        </w:rPr>
        <w:tab/>
        <w:t>la modifica della sede sociale della società di persone;</w:t>
      </w:r>
    </w:p>
    <w:p w14:paraId="5623DA5C" w14:textId="77777777" w:rsidR="002F06CE" w:rsidRPr="0001127D" w:rsidRDefault="002F06CE" w:rsidP="002F06CE">
      <w:pPr>
        <w:pStyle w:val="Point0"/>
        <w:rPr>
          <w:noProof/>
        </w:rPr>
      </w:pPr>
      <w:r w:rsidRPr="0001127D">
        <w:rPr>
          <w:noProof/>
        </w:rPr>
        <w:t>e)</w:t>
      </w:r>
      <w:r w:rsidRPr="0001127D">
        <w:rPr>
          <w:noProof/>
        </w:rPr>
        <w:tab/>
        <w:t>il numero di registrazione della società di persone;</w:t>
      </w:r>
    </w:p>
    <w:p w14:paraId="387CE7D8" w14:textId="16DCB8D1" w:rsidR="002F06CE" w:rsidRPr="0001127D" w:rsidRDefault="002F06CE" w:rsidP="002F06CE">
      <w:pPr>
        <w:pStyle w:val="Point0"/>
        <w:rPr>
          <w:noProof/>
        </w:rPr>
      </w:pPr>
      <w:r w:rsidRPr="0001127D">
        <w:rPr>
          <w:noProof/>
        </w:rPr>
        <w:t>f)</w:t>
      </w:r>
      <w:r w:rsidRPr="0001127D">
        <w:rPr>
          <w:noProof/>
        </w:rPr>
        <w:tab/>
        <w:t>l</w:t>
      </w:r>
      <w:r w:rsidR="00E64452" w:rsidRPr="0001127D">
        <w:rPr>
          <w:noProof/>
        </w:rPr>
        <w:t>'</w:t>
      </w:r>
      <w:r w:rsidRPr="0001127D">
        <w:rPr>
          <w:noProof/>
        </w:rPr>
        <w:t>importo totale dei conferimenti dei soci (</w:t>
      </w:r>
      <w:r w:rsidRPr="0001127D">
        <w:rPr>
          <w:i/>
          <w:noProof/>
        </w:rPr>
        <w:t>partner</w:t>
      </w:r>
      <w:r w:rsidRPr="0001127D">
        <w:rPr>
          <w:noProof/>
        </w:rPr>
        <w:t>);</w:t>
      </w:r>
    </w:p>
    <w:p w14:paraId="2AD71CF1" w14:textId="0261069E" w:rsidR="002F06CE" w:rsidRPr="0001127D" w:rsidRDefault="002F06CE" w:rsidP="002F06CE">
      <w:pPr>
        <w:pStyle w:val="Point0"/>
        <w:rPr>
          <w:noProof/>
        </w:rPr>
      </w:pPr>
      <w:r w:rsidRPr="0001127D">
        <w:rPr>
          <w:noProof/>
        </w:rPr>
        <w:t>g)</w:t>
      </w:r>
      <w:r w:rsidRPr="0001127D">
        <w:rPr>
          <w:noProof/>
        </w:rPr>
        <w:tab/>
        <w:t>l</w:t>
      </w:r>
      <w:r w:rsidR="00E64452" w:rsidRPr="0001127D">
        <w:rPr>
          <w:noProof/>
        </w:rPr>
        <w:t>'</w:t>
      </w:r>
      <w:r w:rsidRPr="0001127D">
        <w:rPr>
          <w:noProof/>
        </w:rPr>
        <w:t>atto costitutivo e lo statuto se quest</w:t>
      </w:r>
      <w:r w:rsidR="00E64452" w:rsidRPr="0001127D">
        <w:rPr>
          <w:noProof/>
        </w:rPr>
        <w:t>'</w:t>
      </w:r>
      <w:r w:rsidRPr="0001127D">
        <w:rPr>
          <w:noProof/>
        </w:rPr>
        <w:t>ultimo forma oggetto di atto separato, se tali documenti sono richiesti dal diritto nazionale;</w:t>
      </w:r>
    </w:p>
    <w:p w14:paraId="197E0A5E" w14:textId="77777777" w:rsidR="002F06CE" w:rsidRPr="0001127D" w:rsidRDefault="002F06CE" w:rsidP="002F06CE">
      <w:pPr>
        <w:pStyle w:val="Point0"/>
        <w:rPr>
          <w:noProof/>
        </w:rPr>
      </w:pPr>
      <w:r w:rsidRPr="0001127D">
        <w:rPr>
          <w:noProof/>
        </w:rPr>
        <w:t>h)</w:t>
      </w:r>
      <w:r w:rsidRPr="0001127D">
        <w:rPr>
          <w:noProof/>
        </w:rPr>
        <w:tab/>
        <w:t>le modifiche degli atti di cui alla lettera g), compresa la proroga della società di persone;</w:t>
      </w:r>
    </w:p>
    <w:p w14:paraId="13607033" w14:textId="74399826" w:rsidR="002F06CE" w:rsidRPr="0001127D" w:rsidRDefault="002F06CE" w:rsidP="002F06CE">
      <w:pPr>
        <w:pStyle w:val="Point0"/>
        <w:rPr>
          <w:noProof/>
        </w:rPr>
      </w:pPr>
      <w:r w:rsidRPr="0001127D">
        <w:rPr>
          <w:noProof/>
        </w:rPr>
        <w:t>i)</w:t>
      </w:r>
      <w:r w:rsidRPr="0001127D">
        <w:rPr>
          <w:noProof/>
        </w:rPr>
        <w:tab/>
        <w:t>dopo ogni modifica dell</w:t>
      </w:r>
      <w:r w:rsidR="00E64452" w:rsidRPr="0001127D">
        <w:rPr>
          <w:noProof/>
        </w:rPr>
        <w:t>'</w:t>
      </w:r>
      <w:r w:rsidRPr="0001127D">
        <w:rPr>
          <w:noProof/>
        </w:rPr>
        <w:t>atto costitutivo o dello statuto, il testo integrale dell</w:t>
      </w:r>
      <w:r w:rsidR="00E64452" w:rsidRPr="0001127D">
        <w:rPr>
          <w:noProof/>
        </w:rPr>
        <w:t>'</w:t>
      </w:r>
      <w:r w:rsidRPr="0001127D">
        <w:rPr>
          <w:noProof/>
        </w:rPr>
        <w:t>atto modificato nella sua redazione aggiornata;</w:t>
      </w:r>
    </w:p>
    <w:p w14:paraId="75BD02E8" w14:textId="77777777" w:rsidR="002F06CE" w:rsidRPr="0001127D" w:rsidRDefault="002F06CE" w:rsidP="002F06CE">
      <w:pPr>
        <w:pStyle w:val="Point0"/>
        <w:rPr>
          <w:noProof/>
        </w:rPr>
      </w:pPr>
      <w:r w:rsidRPr="0001127D">
        <w:rPr>
          <w:noProof/>
        </w:rPr>
        <w:t>j)</w:t>
      </w:r>
      <w:r w:rsidRPr="0001127D">
        <w:rPr>
          <w:noProof/>
        </w:rPr>
        <w:tab/>
        <w:t>le generalità dei soci che sono autorizzati a rappresentare la società di persone nei rapporti con terzi e nei procedimenti giudiziari, e le informazioni che precisino se i soci che sono autorizzati a rappresentare la società di persone possono agire da soli o sono tenuti ad agire congiuntamente;</w:t>
      </w:r>
    </w:p>
    <w:p w14:paraId="6F2568D4" w14:textId="77777777" w:rsidR="002F06CE" w:rsidRPr="0001127D" w:rsidRDefault="002F06CE" w:rsidP="002F06CE">
      <w:pPr>
        <w:pStyle w:val="Point0"/>
        <w:rPr>
          <w:noProof/>
        </w:rPr>
      </w:pPr>
      <w:r w:rsidRPr="0001127D">
        <w:rPr>
          <w:noProof/>
        </w:rPr>
        <w:t>k)</w:t>
      </w:r>
      <w:r w:rsidRPr="0001127D">
        <w:rPr>
          <w:noProof/>
        </w:rPr>
        <w:tab/>
        <w:t>qualora diverse dalla lettera j), le generalità dei soci che rispondono illimitatamente e, nel caso delle società in accomandita, anche le generalità dei soci accomandanti;</w:t>
      </w:r>
    </w:p>
    <w:p w14:paraId="0933723F" w14:textId="77777777" w:rsidR="002F06CE" w:rsidRPr="0001127D" w:rsidRDefault="002F06CE" w:rsidP="002F06CE">
      <w:pPr>
        <w:pStyle w:val="Point0"/>
        <w:rPr>
          <w:noProof/>
        </w:rPr>
      </w:pPr>
      <w:r w:rsidRPr="0001127D">
        <w:rPr>
          <w:noProof/>
        </w:rPr>
        <w:t>l)</w:t>
      </w:r>
      <w:r w:rsidRPr="0001127D">
        <w:rPr>
          <w:noProof/>
        </w:rPr>
        <w:tab/>
        <w:t>i documenti contabili di ciascun esercizio finanziario la cui pubblicazione è obbligatoria in forza delle direttive del Consiglio 86/635/CEE*, 91/674/CEE*, e della direttiva 2013/34/UE del Parlamento europeo e del Consiglio;</w:t>
      </w:r>
    </w:p>
    <w:p w14:paraId="15B29DA7" w14:textId="77777777" w:rsidR="002F06CE" w:rsidRPr="0001127D" w:rsidRDefault="002F06CE" w:rsidP="002F06CE">
      <w:pPr>
        <w:pStyle w:val="Point0"/>
        <w:rPr>
          <w:noProof/>
        </w:rPr>
      </w:pPr>
      <w:r w:rsidRPr="0001127D">
        <w:rPr>
          <w:noProof/>
        </w:rPr>
        <w:t>m)</w:t>
      </w:r>
      <w:r w:rsidRPr="0001127D">
        <w:rPr>
          <w:noProof/>
        </w:rPr>
        <w:tab/>
        <w:t>lo scioglimento della società di persone;</w:t>
      </w:r>
    </w:p>
    <w:p w14:paraId="0056BD14" w14:textId="77777777" w:rsidR="002F06CE" w:rsidRPr="0001127D" w:rsidRDefault="002F06CE" w:rsidP="002F06CE">
      <w:pPr>
        <w:pStyle w:val="Point0"/>
        <w:rPr>
          <w:noProof/>
        </w:rPr>
      </w:pPr>
      <w:r w:rsidRPr="0001127D">
        <w:rPr>
          <w:noProof/>
        </w:rPr>
        <w:t>n)</w:t>
      </w:r>
      <w:r w:rsidRPr="0001127D">
        <w:rPr>
          <w:noProof/>
        </w:rPr>
        <w:tab/>
        <w:t>la sentenza che dichiara la nullità della società di persone;</w:t>
      </w:r>
    </w:p>
    <w:p w14:paraId="1AA05E97" w14:textId="77777777" w:rsidR="002F06CE" w:rsidRPr="0001127D" w:rsidRDefault="002F06CE" w:rsidP="002F06CE">
      <w:pPr>
        <w:pStyle w:val="Point0"/>
        <w:rPr>
          <w:noProof/>
        </w:rPr>
      </w:pPr>
      <w:r w:rsidRPr="0001127D">
        <w:rPr>
          <w:noProof/>
        </w:rPr>
        <w:t>o)</w:t>
      </w:r>
      <w:r w:rsidRPr="0001127D">
        <w:rPr>
          <w:noProof/>
        </w:rPr>
        <w:tab/>
        <w:t>le generalità dei liquidatori e i loro rispettivi poteri, a meno che tali poteri risultino espressamente ed esclusivamente dalla legge o dallo statuto;</w:t>
      </w:r>
    </w:p>
    <w:p w14:paraId="155994C9" w14:textId="3497FE9C" w:rsidR="002F06CE" w:rsidRPr="0001127D" w:rsidRDefault="002F06CE" w:rsidP="002F06CE">
      <w:pPr>
        <w:pStyle w:val="Point0"/>
        <w:rPr>
          <w:noProof/>
        </w:rPr>
      </w:pPr>
      <w:r w:rsidRPr="0001127D">
        <w:rPr>
          <w:noProof/>
        </w:rPr>
        <w:t>p)</w:t>
      </w:r>
      <w:r w:rsidRPr="0001127D">
        <w:rPr>
          <w:noProof/>
        </w:rPr>
        <w:tab/>
        <w:t>l</w:t>
      </w:r>
      <w:r w:rsidR="00E64452" w:rsidRPr="0001127D">
        <w:rPr>
          <w:noProof/>
        </w:rPr>
        <w:t>'</w:t>
      </w:r>
      <w:r w:rsidRPr="0001127D">
        <w:rPr>
          <w:noProof/>
        </w:rPr>
        <w:t>eventuale chiusura della liquidazione e la cancellazione dal registro negli Stati membri in cui quest</w:t>
      </w:r>
      <w:r w:rsidR="00E64452" w:rsidRPr="0001127D">
        <w:rPr>
          <w:noProof/>
        </w:rPr>
        <w:t>'</w:t>
      </w:r>
      <w:r w:rsidRPr="0001127D">
        <w:rPr>
          <w:noProof/>
        </w:rPr>
        <w:t>ultima produce effetti giuridici;</w:t>
      </w:r>
    </w:p>
    <w:p w14:paraId="28ADA145" w14:textId="6ACAC0BA" w:rsidR="002F06CE" w:rsidRPr="0001127D" w:rsidRDefault="002F06CE" w:rsidP="002F06CE">
      <w:pPr>
        <w:pStyle w:val="Point0"/>
        <w:rPr>
          <w:noProof/>
        </w:rPr>
      </w:pPr>
      <w:r w:rsidRPr="0001127D">
        <w:rPr>
          <w:noProof/>
        </w:rPr>
        <w:t>q)</w:t>
      </w:r>
      <w:r w:rsidRPr="0001127D">
        <w:rPr>
          <w:noProof/>
        </w:rPr>
        <w:tab/>
        <w:t xml:space="preserve">la sede </w:t>
      </w:r>
      <w:r w:rsidRPr="0001127D">
        <w:rPr>
          <w:noProof/>
          <w:shd w:val="clear" w:color="auto" w:fill="FFFFFF"/>
        </w:rPr>
        <w:t>dell</w:t>
      </w:r>
      <w:r w:rsidR="00E64452" w:rsidRPr="0001127D">
        <w:rPr>
          <w:noProof/>
          <w:shd w:val="clear" w:color="auto" w:fill="FFFFFF"/>
        </w:rPr>
        <w:t>'</w:t>
      </w:r>
      <w:r w:rsidRPr="0001127D">
        <w:rPr>
          <w:noProof/>
          <w:shd w:val="clear" w:color="auto" w:fill="FFFFFF"/>
        </w:rPr>
        <w:t>amministrazione centrale</w:t>
      </w:r>
      <w:r w:rsidR="00E64452" w:rsidRPr="0001127D">
        <w:rPr>
          <w:noProof/>
          <w:shd w:val="clear" w:color="auto" w:fill="FFFFFF"/>
        </w:rPr>
        <w:t xml:space="preserve"> </w:t>
      </w:r>
      <w:r w:rsidRPr="0001127D">
        <w:rPr>
          <w:noProof/>
        </w:rPr>
        <w:t xml:space="preserve">della società di persone </w:t>
      </w:r>
      <w:r w:rsidRPr="0001127D">
        <w:rPr>
          <w:noProof/>
          <w:shd w:val="clear" w:color="auto" w:fill="FFFFFF"/>
        </w:rPr>
        <w:t xml:space="preserve">nel caso in cui non si trovi nello Stato membro della sede sociale; </w:t>
      </w:r>
    </w:p>
    <w:p w14:paraId="28108D38" w14:textId="77777777" w:rsidR="002F06CE" w:rsidRPr="0001127D" w:rsidRDefault="002F06CE" w:rsidP="002F06CE">
      <w:pPr>
        <w:pStyle w:val="Point0"/>
        <w:rPr>
          <w:noProof/>
          <w:shd w:val="clear" w:color="auto" w:fill="FFFFFF"/>
        </w:rPr>
      </w:pPr>
      <w:r w:rsidRPr="0001127D">
        <w:rPr>
          <w:noProof/>
        </w:rPr>
        <w:t>r)</w:t>
      </w:r>
      <w:r w:rsidRPr="0001127D">
        <w:rPr>
          <w:noProof/>
        </w:rPr>
        <w:tab/>
        <w:t xml:space="preserve">il centro di attività principale della società di persone </w:t>
      </w:r>
      <w:r w:rsidRPr="0001127D">
        <w:rPr>
          <w:noProof/>
          <w:shd w:val="clear" w:color="auto" w:fill="FFFFFF"/>
        </w:rPr>
        <w:t>nel caso in cui non si trovi nello Stato membro della sede sociale.</w:t>
      </w:r>
    </w:p>
    <w:p w14:paraId="1E066F65" w14:textId="77777777" w:rsidR="002F06CE" w:rsidRPr="0001127D" w:rsidRDefault="002F06CE" w:rsidP="002F06CE">
      <w:pPr>
        <w:shd w:val="clear" w:color="auto" w:fill="FFFFFF"/>
        <w:spacing w:after="0"/>
        <w:rPr>
          <w:noProof/>
          <w:szCs w:val="24"/>
        </w:rPr>
      </w:pPr>
    </w:p>
    <w:p w14:paraId="77EC2531" w14:textId="77777777" w:rsidR="002F06CE" w:rsidRPr="0001127D" w:rsidRDefault="002F06CE" w:rsidP="002F06CE">
      <w:pPr>
        <w:jc w:val="center"/>
        <w:rPr>
          <w:noProof/>
          <w:szCs w:val="24"/>
          <w:shd w:val="clear" w:color="auto" w:fill="FFFFFF"/>
        </w:rPr>
      </w:pPr>
      <w:r w:rsidRPr="0001127D">
        <w:rPr>
          <w:noProof/>
          <w:shd w:val="clear" w:color="auto" w:fill="FFFFFF"/>
        </w:rPr>
        <w:t xml:space="preserve">Articolo 14 </w:t>
      </w:r>
      <w:r w:rsidRPr="0001127D">
        <w:rPr>
          <w:i/>
          <w:iCs/>
          <w:noProof/>
          <w:shd w:val="clear" w:color="auto" w:fill="FFFFFF"/>
        </w:rPr>
        <w:t>ter</w:t>
      </w:r>
      <w:r w:rsidRPr="0001127D">
        <w:rPr>
          <w:noProof/>
          <w:shd w:val="clear" w:color="auto" w:fill="FFFFFF"/>
        </w:rPr>
        <w:t xml:space="preserve"> </w:t>
      </w:r>
    </w:p>
    <w:p w14:paraId="395BCF26" w14:textId="77777777" w:rsidR="002F06CE" w:rsidRPr="0001127D" w:rsidRDefault="002F06CE" w:rsidP="002F06CE">
      <w:pPr>
        <w:jc w:val="center"/>
        <w:rPr>
          <w:b/>
          <w:noProof/>
          <w:szCs w:val="24"/>
          <w:shd w:val="clear" w:color="auto" w:fill="FFFFFF"/>
        </w:rPr>
      </w:pPr>
      <w:r w:rsidRPr="0001127D">
        <w:rPr>
          <w:b/>
          <w:noProof/>
          <w:shd w:val="clear" w:color="auto" w:fill="FFFFFF"/>
        </w:rPr>
        <w:t>Informazioni relative ai gruppi di società</w:t>
      </w:r>
    </w:p>
    <w:p w14:paraId="1226B282" w14:textId="77777777" w:rsidR="002F06CE" w:rsidRPr="0001127D" w:rsidRDefault="002F06CE" w:rsidP="002F06CE">
      <w:pPr>
        <w:ind w:left="851"/>
        <w:rPr>
          <w:noProof/>
          <w:szCs w:val="24"/>
          <w:shd w:val="clear" w:color="auto" w:fill="FFFFFF"/>
        </w:rPr>
      </w:pPr>
      <w:r w:rsidRPr="0001127D">
        <w:rPr>
          <w:noProof/>
          <w:shd w:val="clear" w:color="auto" w:fill="FFFFFF"/>
        </w:rPr>
        <w:t xml:space="preserve">1. </w:t>
      </w:r>
      <w:r w:rsidRPr="0001127D">
        <w:rPr>
          <w:noProof/>
        </w:rPr>
        <w:tab/>
      </w:r>
      <w:r w:rsidRPr="0001127D">
        <w:rPr>
          <w:noProof/>
          <w:shd w:val="clear" w:color="auto" w:fill="FFFFFF"/>
        </w:rPr>
        <w:t xml:space="preserve">Gli Stati membri provvedono affinché la società capogruppo soggetta al diritto di uno Stato membro pubblichi nel registro in cui è iscritta almeno le seguenti informazioni sul suo gruppo: </w:t>
      </w:r>
    </w:p>
    <w:p w14:paraId="719AE690" w14:textId="77777777" w:rsidR="002F06CE" w:rsidRPr="0001127D" w:rsidRDefault="002F06CE" w:rsidP="002F06CE">
      <w:pPr>
        <w:pStyle w:val="Point1"/>
        <w:rPr>
          <w:noProof/>
          <w:shd w:val="clear" w:color="auto" w:fill="FFFFFF"/>
        </w:rPr>
      </w:pPr>
      <w:r w:rsidRPr="0001127D">
        <w:rPr>
          <w:noProof/>
        </w:rPr>
        <w:t>a)</w:t>
      </w:r>
      <w:r w:rsidRPr="0001127D">
        <w:rPr>
          <w:noProof/>
        </w:rPr>
        <w:tab/>
      </w:r>
      <w:r w:rsidRPr="0001127D">
        <w:rPr>
          <w:noProof/>
          <w:shd w:val="clear" w:color="auto" w:fill="FFFFFF"/>
        </w:rPr>
        <w:t>la denominazione e la forma giuridica di ciascuna controllata;</w:t>
      </w:r>
    </w:p>
    <w:p w14:paraId="5E8C0B23" w14:textId="77777777" w:rsidR="002F06CE" w:rsidRPr="0001127D" w:rsidRDefault="002F06CE" w:rsidP="002F06CE">
      <w:pPr>
        <w:pStyle w:val="Point1"/>
        <w:rPr>
          <w:noProof/>
          <w:shd w:val="clear" w:color="auto" w:fill="FFFFFF"/>
        </w:rPr>
      </w:pPr>
      <w:r w:rsidRPr="0001127D">
        <w:rPr>
          <w:noProof/>
        </w:rPr>
        <w:t>b)</w:t>
      </w:r>
      <w:r w:rsidRPr="0001127D">
        <w:rPr>
          <w:noProof/>
        </w:rPr>
        <w:tab/>
      </w:r>
      <w:r w:rsidRPr="0001127D">
        <w:rPr>
          <w:noProof/>
          <w:shd w:val="clear" w:color="auto" w:fill="FFFFFF"/>
        </w:rPr>
        <w:t>lo Stato membro o paese terzo in cui ciascuna controllata è registrata e il relativo numero di registrazione;</w:t>
      </w:r>
    </w:p>
    <w:p w14:paraId="3D941C0D" w14:textId="4743051C" w:rsidR="002F06CE" w:rsidRPr="0001127D" w:rsidRDefault="002F06CE" w:rsidP="002F06CE">
      <w:pPr>
        <w:pStyle w:val="Point1"/>
        <w:rPr>
          <w:noProof/>
          <w:shd w:val="clear" w:color="auto" w:fill="FFFFFF"/>
        </w:rPr>
      </w:pPr>
      <w:r w:rsidRPr="0001127D">
        <w:rPr>
          <w:noProof/>
        </w:rPr>
        <w:t>c)</w:t>
      </w:r>
      <w:r w:rsidRPr="0001127D">
        <w:rPr>
          <w:noProof/>
        </w:rPr>
        <w:tab/>
      </w:r>
      <w:r w:rsidRPr="0001127D">
        <w:rPr>
          <w:noProof/>
          <w:shd w:val="clear" w:color="auto" w:fill="FFFFFF"/>
        </w:rPr>
        <w:t>l</w:t>
      </w:r>
      <w:r w:rsidR="00E64452" w:rsidRPr="0001127D">
        <w:rPr>
          <w:noProof/>
          <w:shd w:val="clear" w:color="auto" w:fill="FFFFFF"/>
        </w:rPr>
        <w:t>'</w:t>
      </w:r>
      <w:r w:rsidRPr="0001127D">
        <w:rPr>
          <w:noProof/>
          <w:shd w:val="clear" w:color="auto" w:fill="FFFFFF"/>
        </w:rPr>
        <w:t>EUID di ciascuna controllata soggetta al diritto di uno Stato membro;</w:t>
      </w:r>
    </w:p>
    <w:p w14:paraId="7604EC7F" w14:textId="77777777" w:rsidR="002F06CE" w:rsidRPr="0001127D" w:rsidRDefault="002F06CE" w:rsidP="002F06CE">
      <w:pPr>
        <w:pStyle w:val="Point1"/>
        <w:rPr>
          <w:noProof/>
          <w:shd w:val="clear" w:color="auto" w:fill="FFFFFF"/>
        </w:rPr>
      </w:pPr>
      <w:r w:rsidRPr="0001127D">
        <w:rPr>
          <w:noProof/>
        </w:rPr>
        <w:t>d)</w:t>
      </w:r>
      <w:r w:rsidRPr="0001127D">
        <w:rPr>
          <w:noProof/>
        </w:rPr>
        <w:tab/>
      </w:r>
      <w:r w:rsidRPr="0001127D">
        <w:rPr>
          <w:noProof/>
          <w:shd w:val="clear" w:color="auto" w:fill="FFFFFF"/>
        </w:rPr>
        <w:t xml:space="preserve">la </w:t>
      </w:r>
      <w:bookmarkStart w:id="123" w:name="_Hlk129528971"/>
      <w:r w:rsidRPr="0001127D">
        <w:rPr>
          <w:noProof/>
          <w:shd w:val="clear" w:color="auto" w:fill="FFFFFF"/>
        </w:rPr>
        <w:t>denominazione del gruppo, se diversa da quella della società capogruppo</w:t>
      </w:r>
      <w:bookmarkEnd w:id="123"/>
      <w:r w:rsidRPr="0001127D">
        <w:rPr>
          <w:noProof/>
          <w:shd w:val="clear" w:color="auto" w:fill="FFFFFF"/>
        </w:rPr>
        <w:t>;</w:t>
      </w:r>
    </w:p>
    <w:p w14:paraId="35F1B2CF" w14:textId="77777777" w:rsidR="002F06CE" w:rsidRPr="0001127D" w:rsidRDefault="002F06CE" w:rsidP="002F06CE">
      <w:pPr>
        <w:pStyle w:val="Point1"/>
        <w:rPr>
          <w:noProof/>
          <w:shd w:val="clear" w:color="auto" w:fill="FFFFFF"/>
        </w:rPr>
      </w:pPr>
      <w:r w:rsidRPr="0001127D">
        <w:rPr>
          <w:noProof/>
        </w:rPr>
        <w:t>e)</w:t>
      </w:r>
      <w:r w:rsidRPr="0001127D">
        <w:rPr>
          <w:noProof/>
        </w:rPr>
        <w:tab/>
      </w:r>
      <w:r w:rsidRPr="0001127D">
        <w:rPr>
          <w:noProof/>
          <w:shd w:val="clear" w:color="auto" w:fill="FFFFFF"/>
        </w:rPr>
        <w:t xml:space="preserve">la posizione di ciascuna controllata nella struttura del gruppo determinata in base al controllo; </w:t>
      </w:r>
    </w:p>
    <w:p w14:paraId="14656D9E" w14:textId="27E7D09C" w:rsidR="002F06CE" w:rsidRPr="0001127D" w:rsidRDefault="002F06CE" w:rsidP="002F06CE">
      <w:pPr>
        <w:spacing w:after="0"/>
        <w:ind w:left="851"/>
        <w:rPr>
          <w:noProof/>
          <w:shd w:val="clear" w:color="auto" w:fill="FFFFFF"/>
        </w:rPr>
      </w:pPr>
      <w:r w:rsidRPr="0001127D">
        <w:rPr>
          <w:noProof/>
          <w:shd w:val="clear" w:color="auto" w:fill="FFFFFF"/>
        </w:rPr>
        <w:t>2. Nel caso in cui la società capogruppo sia soggetta al diritto di un paese terzo, è la società madre intermedia a pubblicare le informazioni di cui al paragrafo</w:t>
      </w:r>
      <w:r w:rsidR="009C1CEF" w:rsidRPr="0001127D">
        <w:rPr>
          <w:noProof/>
          <w:shd w:val="clear" w:color="auto" w:fill="FFFFFF"/>
        </w:rPr>
        <w:t> </w:t>
      </w:r>
      <w:r w:rsidRPr="0001127D">
        <w:rPr>
          <w:noProof/>
          <w:shd w:val="clear" w:color="auto" w:fill="FFFFFF"/>
        </w:rPr>
        <w:t xml:space="preserve">1. Se vi è più di una società madre intermedia, le informazioni in questione sono pubblicate solo da una di esse. La società madre intermedia pubblica anche la denominazione della società capogruppo e il paese terzo in cui la società capogruppo è registrata. </w:t>
      </w:r>
    </w:p>
    <w:p w14:paraId="122B05A4" w14:textId="79220907" w:rsidR="002F06CE" w:rsidRPr="0001127D" w:rsidRDefault="002F06CE" w:rsidP="002F06CE">
      <w:pPr>
        <w:spacing w:after="0"/>
        <w:ind w:left="851"/>
        <w:rPr>
          <w:noProof/>
          <w:shd w:val="clear" w:color="auto" w:fill="FFFFFF"/>
        </w:rPr>
      </w:pPr>
      <w:r w:rsidRPr="0001127D">
        <w:rPr>
          <w:noProof/>
          <w:shd w:val="clear" w:color="auto" w:fill="FFFFFF"/>
        </w:rPr>
        <w:t>Qualora nessuna società madre intermedia sia soggetta al diritto di uno Stato membro, le informazioni di cui al paragrafo</w:t>
      </w:r>
      <w:r w:rsidR="009C1CEF" w:rsidRPr="0001127D">
        <w:rPr>
          <w:noProof/>
          <w:shd w:val="clear" w:color="auto" w:fill="FFFFFF"/>
        </w:rPr>
        <w:t> </w:t>
      </w:r>
      <w:r w:rsidRPr="0001127D">
        <w:rPr>
          <w:noProof/>
          <w:shd w:val="clear" w:color="auto" w:fill="FFFFFF"/>
        </w:rPr>
        <w:t>1 sono pubblicate dalla controllata soggetta al diritto di uno Stato membro. Se vi è più di una controllata, le informazioni di cui al paragrafo 1 sono pubblicate solo da una di esse. La controllata pubblica anche la denominazione della società capogruppo e il paese terzo in cui la società capogruppo è registrata.</w:t>
      </w:r>
    </w:p>
    <w:p w14:paraId="178423BF" w14:textId="77777777" w:rsidR="002F06CE" w:rsidRPr="0001127D" w:rsidRDefault="002F06CE" w:rsidP="002F06CE">
      <w:pPr>
        <w:ind w:left="851"/>
        <w:rPr>
          <w:noProof/>
          <w:shd w:val="clear" w:color="auto" w:fill="FFFFFF"/>
        </w:rPr>
      </w:pPr>
      <w:r w:rsidRPr="0001127D">
        <w:rPr>
          <w:noProof/>
          <w:shd w:val="clear" w:color="auto" w:fill="FFFFFF"/>
        </w:rPr>
        <w:t xml:space="preserve">3. Gli Stati membri possono stabilire che la società capogruppo soggetta al diritto di uno Stato membro o, se del caso, la società madre intermedia o la controllata di cui al paragrafo 2, pubblichi, nel registro in cui è iscritta, la frazione del capitale detenuto rispettivamente dalla capogruppo e da tutte le controllate del gruppo. </w:t>
      </w:r>
    </w:p>
    <w:p w14:paraId="435C0E95" w14:textId="3916ADEA" w:rsidR="002F06CE" w:rsidRPr="0001127D" w:rsidRDefault="002F06CE" w:rsidP="002F06CE">
      <w:pPr>
        <w:ind w:left="851"/>
        <w:rPr>
          <w:noProof/>
          <w:szCs w:val="24"/>
          <w:shd w:val="clear" w:color="auto" w:fill="FFFFFF"/>
        </w:rPr>
      </w:pPr>
      <w:r w:rsidRPr="0001127D">
        <w:rPr>
          <w:noProof/>
          <w:shd w:val="clear" w:color="auto" w:fill="FFFFFF"/>
        </w:rPr>
        <w:t>4.</w:t>
      </w:r>
      <w:r w:rsidR="00E64452" w:rsidRPr="0001127D">
        <w:rPr>
          <w:noProof/>
          <w:shd w:val="clear" w:color="auto" w:fill="FFFFFF"/>
        </w:rPr>
        <w:t xml:space="preserve"> </w:t>
      </w:r>
      <w:r w:rsidRPr="0001127D">
        <w:rPr>
          <w:noProof/>
          <w:shd w:val="clear" w:color="auto" w:fill="FFFFFF"/>
        </w:rPr>
        <w:t xml:space="preserve">Le informazioni fornite </w:t>
      </w:r>
      <w:r w:rsidRPr="0001127D">
        <w:rPr>
          <w:noProof/>
        </w:rPr>
        <w:t>ai sensi dei paragrafi da 1 a 3</w:t>
      </w:r>
      <w:r w:rsidRPr="0001127D">
        <w:rPr>
          <w:noProof/>
          <w:shd w:val="clear" w:color="auto" w:fill="FFFFFF"/>
        </w:rPr>
        <w:t>, compresa la data della loro pubblicazione o la data del loro aggiornamento o della loro conferma ai sensi del paragrafo</w:t>
      </w:r>
      <w:r w:rsidR="009C1CEF" w:rsidRPr="0001127D">
        <w:rPr>
          <w:noProof/>
          <w:shd w:val="clear" w:color="auto" w:fill="FFFFFF"/>
        </w:rPr>
        <w:t> </w:t>
      </w:r>
      <w:r w:rsidRPr="0001127D">
        <w:rPr>
          <w:noProof/>
          <w:shd w:val="clear" w:color="auto" w:fill="FFFFFF"/>
        </w:rPr>
        <w:t>6,</w:t>
      </w:r>
      <w:r w:rsidRPr="0001127D">
        <w:rPr>
          <w:noProof/>
        </w:rPr>
        <w:t xml:space="preserve"> sono rese pubblicamente disponibili nel registro della società capogruppo soggetta al diritto di uno Stato membro o, se del caso, della società madre intermedia o della controllata di cui al paragrafo 2.</w:t>
      </w:r>
    </w:p>
    <w:p w14:paraId="3DA84CCF" w14:textId="401E03C3" w:rsidR="002F06CE" w:rsidRPr="0001127D" w:rsidRDefault="002F06CE" w:rsidP="002F06CE">
      <w:pPr>
        <w:ind w:left="851"/>
        <w:rPr>
          <w:noProof/>
          <w:szCs w:val="24"/>
          <w:shd w:val="clear" w:color="auto" w:fill="FFFFFF"/>
        </w:rPr>
      </w:pPr>
      <w:r w:rsidRPr="0001127D">
        <w:rPr>
          <w:noProof/>
          <w:shd w:val="clear" w:color="auto" w:fill="FFFFFF"/>
        </w:rPr>
        <w:t>5.</w:t>
      </w:r>
      <w:r w:rsidR="00E64452" w:rsidRPr="0001127D">
        <w:rPr>
          <w:noProof/>
          <w:shd w:val="clear" w:color="auto" w:fill="FFFFFF"/>
        </w:rPr>
        <w:t xml:space="preserve"> </w:t>
      </w:r>
      <w:r w:rsidRPr="0001127D">
        <w:rPr>
          <w:noProof/>
          <w:shd w:val="clear" w:color="auto" w:fill="FFFFFF"/>
        </w:rPr>
        <w:t>Gli Stati membri provvedono affinché, qualora la società capogruppo soggetta al diritto di uno Stato membro o, se del caso, la società madre intermedia di cui al paragrafo 2, siano registrate in uno Stato membro diverso da quello di qualsiasi controllata, il registro della società capogruppo o, se del caso, della società madre intermedia, condivida con il registro di ciascuna controllata registrata in uno Stato membro diverso, tramite il sistema di interconnessione dei registri, le seguenti informazioni:</w:t>
      </w:r>
    </w:p>
    <w:p w14:paraId="7C978380" w14:textId="77777777" w:rsidR="002F06CE" w:rsidRPr="0001127D" w:rsidRDefault="002F06CE" w:rsidP="002F06CE">
      <w:pPr>
        <w:ind w:left="1418" w:hanging="425"/>
        <w:rPr>
          <w:noProof/>
          <w:shd w:val="clear" w:color="auto" w:fill="FFFFFF"/>
        </w:rPr>
      </w:pPr>
      <w:r w:rsidRPr="0001127D">
        <w:rPr>
          <w:noProof/>
          <w:shd w:val="clear" w:color="auto" w:fill="FFFFFF"/>
        </w:rPr>
        <w:t>a)</w:t>
      </w:r>
      <w:r w:rsidRPr="0001127D">
        <w:rPr>
          <w:noProof/>
        </w:rPr>
        <w:tab/>
      </w:r>
      <w:r w:rsidRPr="0001127D">
        <w:rPr>
          <w:noProof/>
          <w:shd w:val="clear" w:color="auto" w:fill="FFFFFF"/>
        </w:rPr>
        <w:t xml:space="preserve">la denominazione della società capogruppo, il suo EUID e, se diversa dalla denominazione della società capogruppo, la denominazione del gruppo, oppure </w:t>
      </w:r>
    </w:p>
    <w:p w14:paraId="5B9CD1B1" w14:textId="569BFE10" w:rsidR="002F06CE" w:rsidRPr="0001127D" w:rsidRDefault="002F06CE" w:rsidP="002F06CE">
      <w:pPr>
        <w:ind w:left="1418" w:hanging="425"/>
        <w:rPr>
          <w:noProof/>
          <w:shd w:val="clear" w:color="auto" w:fill="FFFFFF"/>
        </w:rPr>
      </w:pPr>
      <w:r w:rsidRPr="0001127D">
        <w:rPr>
          <w:noProof/>
          <w:shd w:val="clear" w:color="auto" w:fill="FFFFFF"/>
        </w:rPr>
        <w:t xml:space="preserve">b) </w:t>
      </w:r>
      <w:r w:rsidRPr="0001127D">
        <w:rPr>
          <w:noProof/>
        </w:rPr>
        <w:tab/>
      </w:r>
      <w:r w:rsidRPr="0001127D">
        <w:rPr>
          <w:noProof/>
          <w:shd w:val="clear" w:color="auto" w:fill="FFFFFF"/>
        </w:rPr>
        <w:t>qualora la società capogruppo sia soggetta al diritto di un paese terzo, la denominazione della società madre intermedia di cui al paragrafo</w:t>
      </w:r>
      <w:r w:rsidR="009C1CEF" w:rsidRPr="0001127D">
        <w:rPr>
          <w:noProof/>
          <w:shd w:val="clear" w:color="auto" w:fill="FFFFFF"/>
        </w:rPr>
        <w:t> </w:t>
      </w:r>
      <w:r w:rsidRPr="0001127D">
        <w:rPr>
          <w:noProof/>
          <w:shd w:val="clear" w:color="auto" w:fill="FFFFFF"/>
        </w:rPr>
        <w:t>2, il s</w:t>
      </w:r>
      <w:r w:rsidR="00CB6919" w:rsidRPr="0001127D">
        <w:rPr>
          <w:noProof/>
          <w:shd w:val="clear" w:color="auto" w:fill="FFFFFF"/>
        </w:rPr>
        <w:t>u</w:t>
      </w:r>
      <w:r w:rsidRPr="0001127D">
        <w:rPr>
          <w:noProof/>
          <w:shd w:val="clear" w:color="auto" w:fill="FFFFFF"/>
        </w:rPr>
        <w:t xml:space="preserve">o EUID, la denominazione della società capogruppo e il paese terzo in cui è registrata e, se diversa dalla denominazione della società capogruppo, la denominazione del gruppo. </w:t>
      </w:r>
    </w:p>
    <w:p w14:paraId="2A254772" w14:textId="33A73708" w:rsidR="002F06CE" w:rsidRPr="0001127D" w:rsidRDefault="002F06CE" w:rsidP="002F06CE">
      <w:pPr>
        <w:ind w:left="851"/>
        <w:rPr>
          <w:noProof/>
          <w:shd w:val="clear" w:color="auto" w:fill="FFFFFF"/>
        </w:rPr>
      </w:pPr>
      <w:r w:rsidRPr="0001127D">
        <w:rPr>
          <w:noProof/>
        </w:rPr>
        <w:t>Qualora non vi sia alcuna società madre intermedia e la controllata di cui al paragrafo</w:t>
      </w:r>
      <w:r w:rsidR="009C1CEF" w:rsidRPr="0001127D">
        <w:rPr>
          <w:noProof/>
        </w:rPr>
        <w:t> </w:t>
      </w:r>
      <w:r w:rsidRPr="0001127D">
        <w:rPr>
          <w:noProof/>
        </w:rPr>
        <w:t>2 sia registrata in uno Stato membro diverso da quello delle altre controllate, il registro di detta controllata condivide con il registro di ciascuna altra controllata registrata in un altro Stato membro, tramite il sistema di interconnessione dei registri, la denominazione di tale controllata, il suo EUID, la denominazione della società capogruppo e il paese terzo in cui è registrata</w:t>
      </w:r>
      <w:r w:rsidRPr="0001127D">
        <w:rPr>
          <w:noProof/>
          <w:shd w:val="clear" w:color="auto" w:fill="FFFFFF"/>
        </w:rPr>
        <w:t xml:space="preserve"> e,</w:t>
      </w:r>
      <w:r w:rsidRPr="0001127D">
        <w:rPr>
          <w:noProof/>
        </w:rPr>
        <w:t xml:space="preserve"> </w:t>
      </w:r>
      <w:r w:rsidRPr="0001127D">
        <w:rPr>
          <w:noProof/>
          <w:shd w:val="clear" w:color="auto" w:fill="FFFFFF"/>
        </w:rPr>
        <w:t xml:space="preserve">se diversa dalla denominazione della società capogruppo, la denominazione del gruppo. </w:t>
      </w:r>
    </w:p>
    <w:p w14:paraId="7332B993" w14:textId="77777777" w:rsidR="002F06CE" w:rsidRPr="0001127D" w:rsidRDefault="002F06CE" w:rsidP="002F06CE">
      <w:pPr>
        <w:ind w:left="851"/>
        <w:rPr>
          <w:noProof/>
          <w:shd w:val="clear" w:color="auto" w:fill="FFFFFF"/>
        </w:rPr>
      </w:pPr>
      <w:r w:rsidRPr="0001127D">
        <w:rPr>
          <w:noProof/>
          <w:shd w:val="clear" w:color="auto" w:fill="FFFFFF"/>
        </w:rPr>
        <w:t xml:space="preserve">Gli Stati membri possono applicare il presente paragrafo anche in situazioni in cui la società capogruppo o, se del caso, la società madre intermedia e le controllate sono registrate nello stesso Stato membro. </w:t>
      </w:r>
    </w:p>
    <w:p w14:paraId="7C064272" w14:textId="77777777" w:rsidR="002F06CE" w:rsidRPr="0001127D" w:rsidRDefault="002F06CE" w:rsidP="002F06CE">
      <w:pPr>
        <w:ind w:left="851"/>
        <w:rPr>
          <w:noProof/>
          <w:shd w:val="clear" w:color="auto" w:fill="FFFFFF"/>
        </w:rPr>
      </w:pPr>
      <w:r w:rsidRPr="0001127D">
        <w:rPr>
          <w:noProof/>
          <w:shd w:val="clear" w:color="auto" w:fill="FFFFFF"/>
        </w:rPr>
        <w:t xml:space="preserve">Tali informazioni sono rese pubblicamente disponibili nel registro di ciascuna controllata. </w:t>
      </w:r>
    </w:p>
    <w:p w14:paraId="17300DF9" w14:textId="690A9E0E" w:rsidR="002F06CE" w:rsidRPr="0001127D" w:rsidRDefault="002F06CE" w:rsidP="002F06CE">
      <w:pPr>
        <w:ind w:left="851"/>
        <w:rPr>
          <w:noProof/>
          <w:szCs w:val="24"/>
        </w:rPr>
      </w:pPr>
      <w:r w:rsidRPr="0001127D">
        <w:rPr>
          <w:noProof/>
          <w:shd w:val="clear" w:color="auto" w:fill="FFFFFF"/>
        </w:rPr>
        <w:t>6.</w:t>
      </w:r>
      <w:r w:rsidR="00E64452" w:rsidRPr="0001127D">
        <w:rPr>
          <w:noProof/>
          <w:shd w:val="clear" w:color="auto" w:fill="FFFFFF"/>
        </w:rPr>
        <w:t xml:space="preserve"> </w:t>
      </w:r>
      <w:r w:rsidRPr="0001127D">
        <w:rPr>
          <w:noProof/>
          <w:shd w:val="clear" w:color="auto" w:fill="FFFFFF"/>
        </w:rPr>
        <w:t>La società capogruppo o, se del caso, la società madre intermedia o la controllata di cui al paragrafo 2 provvedono, almeno una volta all</w:t>
      </w:r>
      <w:r w:rsidR="00E64452" w:rsidRPr="0001127D">
        <w:rPr>
          <w:noProof/>
          <w:shd w:val="clear" w:color="auto" w:fill="FFFFFF"/>
        </w:rPr>
        <w:t>'</w:t>
      </w:r>
      <w:r w:rsidRPr="0001127D">
        <w:rPr>
          <w:noProof/>
          <w:shd w:val="clear" w:color="auto" w:fill="FFFFFF"/>
        </w:rPr>
        <w:t>anno, e in ogni caso entro la data di pubblicazione dei documenti contabili e, qualora tale pubblicazione non sia necessaria, entro la fine dell</w:t>
      </w:r>
      <w:r w:rsidR="00E64452" w:rsidRPr="0001127D">
        <w:rPr>
          <w:noProof/>
          <w:shd w:val="clear" w:color="auto" w:fill="FFFFFF"/>
        </w:rPr>
        <w:t>'</w:t>
      </w:r>
      <w:r w:rsidRPr="0001127D">
        <w:rPr>
          <w:noProof/>
          <w:shd w:val="clear" w:color="auto" w:fill="FFFFFF"/>
        </w:rPr>
        <w:t xml:space="preserve">esercizio finanziario, ad aggiornare le informazioni richieste ai paragrafi da 1 a 3, ove applicabile, o a confermare che non è intervenuta alcuna modifica nella struttura del gruppo. </w:t>
      </w:r>
    </w:p>
    <w:p w14:paraId="2994B4FE" w14:textId="5F908736" w:rsidR="002F06CE" w:rsidRPr="0001127D" w:rsidRDefault="002F06CE" w:rsidP="002F06CE">
      <w:pPr>
        <w:tabs>
          <w:tab w:val="left" w:pos="1418"/>
        </w:tabs>
        <w:ind w:left="851"/>
        <w:rPr>
          <w:noProof/>
        </w:rPr>
      </w:pPr>
      <w:r w:rsidRPr="0001127D">
        <w:rPr>
          <w:noProof/>
          <w:shd w:val="clear" w:color="auto" w:fill="FFFFFF"/>
        </w:rPr>
        <w:t>7.</w:t>
      </w:r>
      <w:r w:rsidR="00E64452" w:rsidRPr="0001127D">
        <w:rPr>
          <w:noProof/>
          <w:shd w:val="clear" w:color="auto" w:fill="FFFFFF"/>
        </w:rPr>
        <w:t xml:space="preserve"> </w:t>
      </w:r>
      <w:r w:rsidRPr="0001127D">
        <w:rPr>
          <w:noProof/>
          <w:shd w:val="clear" w:color="auto" w:fill="FFFFFF"/>
        </w:rPr>
        <w:t>Gli Stati membri provvedono affinché la società capogruppo soggetta al diritto di uno Stato membro o, se del caso, la società madre intermedia o la controllata di cui al paragrafo 2, condividano le informazioni di cui al paragrafo 5 con tutte le controllate soggette al diritto di uno Stato membro prima della pu</w:t>
      </w:r>
      <w:r w:rsidR="009C1CEF" w:rsidRPr="0001127D">
        <w:rPr>
          <w:noProof/>
          <w:shd w:val="clear" w:color="auto" w:fill="FFFFFF"/>
        </w:rPr>
        <w:t>bblicazione di cui ai paragrafi </w:t>
      </w:r>
      <w:r w:rsidRPr="0001127D">
        <w:rPr>
          <w:noProof/>
          <w:shd w:val="clear" w:color="auto" w:fill="FFFFFF"/>
        </w:rPr>
        <w:t xml:space="preserve">1 o 2. </w:t>
      </w:r>
    </w:p>
    <w:p w14:paraId="48F03C34" w14:textId="41F8C3C2" w:rsidR="002F06CE" w:rsidRPr="0001127D" w:rsidRDefault="002F06CE" w:rsidP="002F06CE">
      <w:pPr>
        <w:ind w:left="851"/>
        <w:rPr>
          <w:noProof/>
          <w:shd w:val="clear" w:color="auto" w:fill="FFFFFF"/>
        </w:rPr>
      </w:pPr>
      <w:r w:rsidRPr="0001127D">
        <w:rPr>
          <w:noProof/>
          <w:shd w:val="clear" w:color="auto" w:fill="FFFFFF"/>
        </w:rPr>
        <w:t>8.</w:t>
      </w:r>
      <w:r w:rsidR="00E64452" w:rsidRPr="0001127D">
        <w:rPr>
          <w:noProof/>
          <w:shd w:val="clear" w:color="auto" w:fill="FFFFFF"/>
        </w:rPr>
        <w:t xml:space="preserve"> </w:t>
      </w:r>
      <w:r w:rsidRPr="0001127D">
        <w:rPr>
          <w:noProof/>
          <w:shd w:val="clear" w:color="auto" w:fill="FFFFFF"/>
        </w:rPr>
        <w:t xml:space="preserve">In caso di modifiche nelle informazioni di cui al paragrafo 5, ciascuna controllata del gruppo soggetta al diritto di uno Stato membro, compresa ogni società madre </w:t>
      </w:r>
      <w:r w:rsidR="00CB6919" w:rsidRPr="0001127D">
        <w:rPr>
          <w:noProof/>
          <w:shd w:val="clear" w:color="auto" w:fill="FFFFFF"/>
        </w:rPr>
        <w:t>i</w:t>
      </w:r>
      <w:r w:rsidRPr="0001127D">
        <w:rPr>
          <w:noProof/>
          <w:shd w:val="clear" w:color="auto" w:fill="FFFFFF"/>
        </w:rPr>
        <w:t>ntermedia, pubblica tali modifiche nel proprio registro d</w:t>
      </w:r>
      <w:r w:rsidR="00E64452" w:rsidRPr="0001127D">
        <w:rPr>
          <w:noProof/>
          <w:shd w:val="clear" w:color="auto" w:fill="FFFFFF"/>
        </w:rPr>
        <w:t>'</w:t>
      </w:r>
      <w:r w:rsidRPr="0001127D">
        <w:rPr>
          <w:noProof/>
          <w:shd w:val="clear" w:color="auto" w:fill="FFFFFF"/>
        </w:rPr>
        <w:t xml:space="preserve">iscrizione entro un termine di due settimane </w:t>
      </w:r>
      <w:r w:rsidRPr="0001127D">
        <w:rPr>
          <w:noProof/>
        </w:rPr>
        <w:t>dalla da</w:t>
      </w:r>
      <w:r w:rsidR="00E64452" w:rsidRPr="0001127D">
        <w:rPr>
          <w:noProof/>
        </w:rPr>
        <w:t>ta in cui esse sono intervenute</w:t>
      </w:r>
      <w:r w:rsidRPr="0001127D">
        <w:rPr>
          <w:noProof/>
          <w:shd w:val="clear" w:color="auto" w:fill="FFFFFF"/>
        </w:rPr>
        <w:t xml:space="preserve">. </w:t>
      </w:r>
    </w:p>
    <w:p w14:paraId="43427F1E" w14:textId="15069176" w:rsidR="002F06CE" w:rsidRPr="0001127D" w:rsidRDefault="002F06CE" w:rsidP="002F06CE">
      <w:pPr>
        <w:tabs>
          <w:tab w:val="left" w:pos="1276"/>
        </w:tabs>
        <w:ind w:left="851"/>
        <w:rPr>
          <w:noProof/>
          <w:szCs w:val="24"/>
          <w:shd w:val="clear" w:color="auto" w:fill="FFFFFF"/>
        </w:rPr>
      </w:pPr>
      <w:r w:rsidRPr="0001127D">
        <w:rPr>
          <w:noProof/>
          <w:shd w:val="clear" w:color="auto" w:fill="FFFFFF"/>
        </w:rPr>
        <w:t xml:space="preserve">9. </w:t>
      </w:r>
      <w:r w:rsidRPr="0001127D">
        <w:rPr>
          <w:noProof/>
        </w:rPr>
        <w:tab/>
      </w:r>
      <w:r w:rsidRPr="0001127D">
        <w:rPr>
          <w:noProof/>
          <w:shd w:val="clear" w:color="auto" w:fill="FFFFFF"/>
        </w:rPr>
        <w:t>Gli Stati membri provvedono affinché le informazioni di cui ai paragrafi da 1</w:t>
      </w:r>
      <w:r w:rsidR="009C1CEF" w:rsidRPr="0001127D">
        <w:rPr>
          <w:noProof/>
          <w:shd w:val="clear" w:color="auto" w:fill="FFFFFF"/>
        </w:rPr>
        <w:t xml:space="preserve"> a </w:t>
      </w:r>
      <w:r w:rsidRPr="0001127D">
        <w:rPr>
          <w:noProof/>
          <w:shd w:val="clear" w:color="auto" w:fill="FFFFFF"/>
        </w:rPr>
        <w:t xml:space="preserve">3, 5, 6, e 8, se del caso, siano pubblicamente disponibili, gratuitamente, tramite il sistema di </w:t>
      </w:r>
      <w:r w:rsidR="00E64452" w:rsidRPr="0001127D">
        <w:rPr>
          <w:noProof/>
          <w:shd w:val="clear" w:color="auto" w:fill="FFFFFF"/>
        </w:rPr>
        <w:t>interconnessione dei registri.</w:t>
      </w:r>
    </w:p>
    <w:p w14:paraId="69136EC6" w14:textId="77777777" w:rsidR="002F06CE" w:rsidRPr="0001127D" w:rsidRDefault="002F06CE" w:rsidP="002F06CE">
      <w:pPr>
        <w:tabs>
          <w:tab w:val="left" w:pos="1276"/>
        </w:tabs>
        <w:ind w:left="851"/>
        <w:rPr>
          <w:noProof/>
          <w:szCs w:val="24"/>
          <w:shd w:val="clear" w:color="auto" w:fill="FFFFFF"/>
        </w:rPr>
      </w:pPr>
      <w:r w:rsidRPr="0001127D">
        <w:rPr>
          <w:noProof/>
          <w:shd w:val="clear" w:color="auto" w:fill="FFFFFF"/>
        </w:rPr>
        <w:t>10. Il sistema di interconnessione dei registri presenta, sul portale, una visualizzazione della struttura del gruppo sulla base delle informazioni di cui ai paragrafi 1 o 2 e ai paragrafi 3, 6, e 8, e trasmesse dai registri attraverso il sistema ai sensi del presente articolo.</w:t>
      </w:r>
    </w:p>
    <w:p w14:paraId="298D89B5" w14:textId="02A2AB7B" w:rsidR="002F06CE" w:rsidRPr="0001127D" w:rsidRDefault="002F06CE" w:rsidP="002F06CE">
      <w:pPr>
        <w:tabs>
          <w:tab w:val="left" w:pos="1276"/>
        </w:tabs>
        <w:ind w:left="1276" w:hanging="425"/>
        <w:rPr>
          <w:noProof/>
          <w:szCs w:val="24"/>
          <w:shd w:val="clear" w:color="auto" w:fill="FFFFFF"/>
        </w:rPr>
      </w:pPr>
      <w:r w:rsidRPr="0001127D">
        <w:rPr>
          <w:noProof/>
          <w:shd w:val="clear" w:color="auto" w:fill="FFFFFF"/>
        </w:rPr>
        <w:t>11. Il presente articolo non si applica quando il gruppo comporta solo due società, delle quali la controllata rientra nell</w:t>
      </w:r>
      <w:r w:rsidR="00E64452" w:rsidRPr="0001127D">
        <w:rPr>
          <w:noProof/>
          <w:shd w:val="clear" w:color="auto" w:fill="FFFFFF"/>
        </w:rPr>
        <w:t>'</w:t>
      </w:r>
      <w:r w:rsidRPr="0001127D">
        <w:rPr>
          <w:noProof/>
          <w:shd w:val="clear" w:color="auto" w:fill="FFFFFF"/>
        </w:rPr>
        <w:t>ambito di applicazione della direttiva 2009/102/CE.</w:t>
      </w:r>
    </w:p>
    <w:p w14:paraId="35E8AE2F" w14:textId="77777777" w:rsidR="002F06CE" w:rsidRPr="0001127D" w:rsidRDefault="002F06CE" w:rsidP="002F06CE">
      <w:pPr>
        <w:tabs>
          <w:tab w:val="left" w:pos="1276"/>
        </w:tabs>
        <w:ind w:left="1276" w:hanging="425"/>
        <w:rPr>
          <w:noProof/>
          <w:sz w:val="22"/>
          <w:shd w:val="clear" w:color="auto" w:fill="FFFFFF"/>
        </w:rPr>
      </w:pPr>
    </w:p>
    <w:p w14:paraId="3A6F1B37" w14:textId="68DDF20B" w:rsidR="002F06CE" w:rsidRPr="0001127D" w:rsidRDefault="002F06CE" w:rsidP="002F06CE">
      <w:pPr>
        <w:tabs>
          <w:tab w:val="left" w:pos="1276"/>
        </w:tabs>
        <w:ind w:left="1276" w:hanging="425"/>
        <w:rPr>
          <w:rFonts w:eastAsia="Arial Unicode MS"/>
          <w:noProof/>
          <w:color w:val="333333"/>
          <w:szCs w:val="24"/>
          <w:shd w:val="clear" w:color="auto" w:fill="FFFFFF"/>
        </w:rPr>
      </w:pPr>
      <w:r w:rsidRPr="0001127D">
        <w:rPr>
          <w:noProof/>
          <w:shd w:val="clear" w:color="auto" w:fill="FFFFFF"/>
        </w:rPr>
        <w:t xml:space="preserve"> * </w:t>
      </w:r>
      <w:r w:rsidRPr="0001127D">
        <w:rPr>
          <w:noProof/>
          <w:color w:val="333333"/>
          <w:shd w:val="clear" w:color="auto" w:fill="FFFFFF"/>
        </w:rPr>
        <w:t>Direttiva 86/635/CEE del Consiglio, dell</w:t>
      </w:r>
      <w:r w:rsidR="00E64452" w:rsidRPr="0001127D">
        <w:rPr>
          <w:noProof/>
          <w:color w:val="333333"/>
          <w:shd w:val="clear" w:color="auto" w:fill="FFFFFF"/>
        </w:rPr>
        <w:t>'</w:t>
      </w:r>
      <w:r w:rsidRPr="0001127D">
        <w:rPr>
          <w:noProof/>
          <w:color w:val="333333"/>
          <w:shd w:val="clear" w:color="auto" w:fill="FFFFFF"/>
        </w:rPr>
        <w:t>8 dicembre 1986, relativa ai conti annuali ed ai conti consolidati delle banche e degli altri istituti finanziari (GU</w:t>
      </w:r>
      <w:r w:rsidR="009C1CEF" w:rsidRPr="0001127D">
        <w:rPr>
          <w:noProof/>
          <w:color w:val="333333"/>
          <w:shd w:val="clear" w:color="auto" w:fill="FFFFFF"/>
        </w:rPr>
        <w:t> </w:t>
      </w:r>
      <w:r w:rsidRPr="0001127D">
        <w:rPr>
          <w:noProof/>
          <w:color w:val="333333"/>
          <w:shd w:val="clear" w:color="auto" w:fill="FFFFFF"/>
        </w:rPr>
        <w:t>L 372</w:t>
      </w:r>
      <w:r w:rsidR="009C1CEF" w:rsidRPr="0001127D">
        <w:rPr>
          <w:noProof/>
          <w:color w:val="333333"/>
          <w:shd w:val="clear" w:color="auto" w:fill="FFFFFF"/>
        </w:rPr>
        <w:t xml:space="preserve"> del </w:t>
      </w:r>
      <w:r w:rsidRPr="0001127D">
        <w:rPr>
          <w:noProof/>
          <w:color w:val="333333"/>
          <w:shd w:val="clear" w:color="auto" w:fill="FFFFFF"/>
        </w:rPr>
        <w:t>31.12.1986, pag. 1).</w:t>
      </w:r>
    </w:p>
    <w:p w14:paraId="5373D429" w14:textId="01B660FC" w:rsidR="002F06CE" w:rsidRPr="0001127D" w:rsidRDefault="002F06CE" w:rsidP="002F06CE">
      <w:pPr>
        <w:tabs>
          <w:tab w:val="left" w:pos="1276"/>
        </w:tabs>
        <w:ind w:left="1276" w:hanging="425"/>
        <w:rPr>
          <w:rFonts w:eastAsia="Arial Unicode MS"/>
          <w:noProof/>
          <w:color w:val="333333"/>
          <w:szCs w:val="24"/>
          <w:shd w:val="clear" w:color="auto" w:fill="FFFFFF"/>
        </w:rPr>
      </w:pPr>
      <w:r w:rsidRPr="0001127D">
        <w:rPr>
          <w:noProof/>
        </w:rPr>
        <w:t xml:space="preserve">** </w:t>
      </w:r>
      <w:r w:rsidRPr="0001127D">
        <w:rPr>
          <w:noProof/>
          <w:color w:val="333333"/>
          <w:shd w:val="clear" w:color="auto" w:fill="FFFFFF"/>
        </w:rPr>
        <w:t xml:space="preserve">Direttiva 91/674/CEE del Consiglio, del 19 dicembre 1991, relativa ai conti annuali ed ai conti consolidati delle </w:t>
      </w:r>
      <w:r w:rsidR="009C1CEF" w:rsidRPr="0001127D">
        <w:rPr>
          <w:noProof/>
          <w:color w:val="333333"/>
          <w:shd w:val="clear" w:color="auto" w:fill="FFFFFF"/>
        </w:rPr>
        <w:t>i</w:t>
      </w:r>
      <w:r w:rsidRPr="0001127D">
        <w:rPr>
          <w:noProof/>
          <w:color w:val="333333"/>
          <w:shd w:val="clear" w:color="auto" w:fill="FFFFFF"/>
        </w:rPr>
        <w:t>mprese di assicurazione (GU</w:t>
      </w:r>
      <w:r w:rsidR="009C1CEF" w:rsidRPr="0001127D">
        <w:rPr>
          <w:noProof/>
          <w:color w:val="333333"/>
          <w:shd w:val="clear" w:color="auto" w:fill="FFFFFF"/>
        </w:rPr>
        <w:t> </w:t>
      </w:r>
      <w:r w:rsidRPr="0001127D">
        <w:rPr>
          <w:noProof/>
          <w:color w:val="333333"/>
          <w:shd w:val="clear" w:color="auto" w:fill="FFFFFF"/>
        </w:rPr>
        <w:t>L 374</w:t>
      </w:r>
      <w:r w:rsidR="009C1CEF" w:rsidRPr="0001127D">
        <w:rPr>
          <w:noProof/>
          <w:color w:val="333333"/>
          <w:shd w:val="clear" w:color="auto" w:fill="FFFFFF"/>
        </w:rPr>
        <w:t xml:space="preserve"> del </w:t>
      </w:r>
      <w:r w:rsidRPr="0001127D">
        <w:rPr>
          <w:noProof/>
          <w:color w:val="333333"/>
          <w:shd w:val="clear" w:color="auto" w:fill="FFFFFF"/>
        </w:rPr>
        <w:t>31.12.1991, pag. 7)</w:t>
      </w:r>
      <w:r w:rsidR="00E64452" w:rsidRPr="0001127D">
        <w:rPr>
          <w:noProof/>
          <w:shd w:val="clear" w:color="auto" w:fill="FFFFFF"/>
        </w:rPr>
        <w:t>"</w:t>
      </w:r>
      <w:r w:rsidRPr="0001127D">
        <w:rPr>
          <w:noProof/>
          <w:shd w:val="clear" w:color="auto" w:fill="FFFFFF"/>
        </w:rPr>
        <w:t>;</w:t>
      </w:r>
    </w:p>
    <w:p w14:paraId="1D9F182A" w14:textId="77777777" w:rsidR="002F06CE" w:rsidRPr="0001127D" w:rsidRDefault="002F06CE" w:rsidP="002F06CE">
      <w:pPr>
        <w:tabs>
          <w:tab w:val="left" w:pos="1276"/>
        </w:tabs>
        <w:ind w:left="1276" w:hanging="425"/>
        <w:rPr>
          <w:noProof/>
          <w:szCs w:val="24"/>
          <w:shd w:val="clear" w:color="auto" w:fill="FFFFFF"/>
        </w:rPr>
      </w:pPr>
      <w:r w:rsidRPr="0001127D">
        <w:rPr>
          <w:noProof/>
          <w:shd w:val="clear" w:color="auto" w:fill="FFFFFF"/>
        </w:rPr>
        <w:t>_____</w:t>
      </w:r>
    </w:p>
    <w:p w14:paraId="7B6ED2FA" w14:textId="77777777" w:rsidR="002F06CE" w:rsidRPr="0001127D" w:rsidRDefault="002F06CE" w:rsidP="002F06CE">
      <w:pPr>
        <w:rPr>
          <w:noProof/>
        </w:rPr>
      </w:pPr>
    </w:p>
    <w:p w14:paraId="65A0CB36" w14:textId="401091E2" w:rsidR="002F06CE" w:rsidRPr="0001127D" w:rsidRDefault="002F06CE" w:rsidP="002F06CE">
      <w:pPr>
        <w:pStyle w:val="Point0"/>
        <w:rPr>
          <w:noProof/>
        </w:rPr>
      </w:pPr>
      <w:r w:rsidRPr="0001127D">
        <w:rPr>
          <w:noProof/>
        </w:rPr>
        <w:t>17)</w:t>
      </w:r>
      <w:r w:rsidRPr="0001127D">
        <w:rPr>
          <w:noProof/>
        </w:rPr>
        <w:tab/>
        <w:t>l</w:t>
      </w:r>
      <w:r w:rsidR="00E64452" w:rsidRPr="0001127D">
        <w:rPr>
          <w:noProof/>
        </w:rPr>
        <w:t>'</w:t>
      </w:r>
      <w:r w:rsidRPr="0001127D">
        <w:rPr>
          <w:noProof/>
        </w:rPr>
        <w:t>articolo 15 è sostituito dal seguente:</w:t>
      </w:r>
    </w:p>
    <w:p w14:paraId="64A0C356" w14:textId="472449CA" w:rsidR="002F06CE" w:rsidRPr="0001127D" w:rsidRDefault="00E64452" w:rsidP="002F06CE">
      <w:pPr>
        <w:jc w:val="center"/>
        <w:rPr>
          <w:noProof/>
        </w:rPr>
      </w:pPr>
      <w:r w:rsidRPr="0001127D">
        <w:rPr>
          <w:noProof/>
        </w:rPr>
        <w:t>"</w:t>
      </w:r>
      <w:r w:rsidR="002F06CE" w:rsidRPr="0001127D">
        <w:rPr>
          <w:noProof/>
        </w:rPr>
        <w:t>Articolo 15</w:t>
      </w:r>
    </w:p>
    <w:p w14:paraId="0672A997" w14:textId="5AC3CBF8" w:rsidR="002F06CE" w:rsidRPr="0001127D" w:rsidRDefault="002F06CE" w:rsidP="002F06CE">
      <w:pPr>
        <w:jc w:val="center"/>
        <w:rPr>
          <w:b/>
          <w:bCs/>
          <w:noProof/>
        </w:rPr>
      </w:pPr>
      <w:r w:rsidRPr="0001127D">
        <w:rPr>
          <w:b/>
          <w:noProof/>
        </w:rPr>
        <w:t>Agg</w:t>
      </w:r>
      <w:r w:rsidR="00CB6919" w:rsidRPr="0001127D">
        <w:rPr>
          <w:b/>
          <w:noProof/>
        </w:rPr>
        <w:t>i</w:t>
      </w:r>
      <w:r w:rsidRPr="0001127D">
        <w:rPr>
          <w:b/>
          <w:noProof/>
        </w:rPr>
        <w:t>ornamento dei registri</w:t>
      </w:r>
    </w:p>
    <w:p w14:paraId="77E0B62E" w14:textId="23F9B90C" w:rsidR="002F06CE" w:rsidRPr="0001127D" w:rsidRDefault="002F06CE" w:rsidP="002F06CE">
      <w:pPr>
        <w:shd w:val="clear" w:color="auto" w:fill="FFFFFF"/>
        <w:spacing w:before="240" w:line="312" w:lineRule="atLeast"/>
        <w:ind w:left="851"/>
        <w:rPr>
          <w:rFonts w:eastAsia="Times New Roman"/>
          <w:noProof/>
          <w:szCs w:val="24"/>
        </w:rPr>
      </w:pPr>
      <w:r w:rsidRPr="0001127D">
        <w:rPr>
          <w:noProof/>
        </w:rPr>
        <w:t xml:space="preserve">1. </w:t>
      </w:r>
      <w:r w:rsidRPr="0001127D">
        <w:rPr>
          <w:rFonts w:ascii="inherit" w:hAnsi="inherit"/>
          <w:noProof/>
        </w:rPr>
        <w:t>Gli Stati membri predispongono procedure intese a garantire l</w:t>
      </w:r>
      <w:r w:rsidR="00E64452" w:rsidRPr="0001127D">
        <w:rPr>
          <w:rFonts w:ascii="inherit" w:hAnsi="inherit"/>
          <w:noProof/>
        </w:rPr>
        <w:t>'</w:t>
      </w:r>
      <w:r w:rsidRPr="0001127D">
        <w:rPr>
          <w:rFonts w:ascii="inherit" w:hAnsi="inherit"/>
          <w:noProof/>
        </w:rPr>
        <w:t xml:space="preserve">aggiornamento delle informazioni sulle società elencate negli allegati II e II </w:t>
      </w:r>
      <w:r w:rsidRPr="0001127D">
        <w:rPr>
          <w:rFonts w:ascii="inherit" w:hAnsi="inherit"/>
          <w:i/>
          <w:iCs/>
          <w:noProof/>
        </w:rPr>
        <w:t>ter</w:t>
      </w:r>
      <w:r w:rsidRPr="0001127D">
        <w:rPr>
          <w:rFonts w:ascii="inherit" w:hAnsi="inherit"/>
          <w:noProof/>
        </w:rPr>
        <w:t>, e conservate nei registri di cui all</w:t>
      </w:r>
      <w:r w:rsidR="00E64452" w:rsidRPr="0001127D">
        <w:rPr>
          <w:rFonts w:ascii="inherit" w:hAnsi="inherit"/>
          <w:noProof/>
        </w:rPr>
        <w:t>'</w:t>
      </w:r>
      <w:r w:rsidRPr="0001127D">
        <w:rPr>
          <w:rFonts w:ascii="inherit" w:hAnsi="inherit"/>
          <w:noProof/>
        </w:rPr>
        <w:t xml:space="preserve">articolo 16. </w:t>
      </w:r>
    </w:p>
    <w:p w14:paraId="02BA08FD" w14:textId="77777777" w:rsidR="002F06CE" w:rsidRPr="0001127D" w:rsidRDefault="002F06CE" w:rsidP="002F06CE">
      <w:pPr>
        <w:shd w:val="clear" w:color="auto" w:fill="FFFFFF"/>
        <w:spacing w:before="240" w:line="312" w:lineRule="atLeast"/>
        <w:ind w:left="851"/>
        <w:rPr>
          <w:rFonts w:eastAsia="Times New Roman"/>
          <w:noProof/>
          <w:szCs w:val="24"/>
        </w:rPr>
      </w:pPr>
      <w:r w:rsidRPr="0001127D">
        <w:rPr>
          <w:noProof/>
        </w:rPr>
        <w:t xml:space="preserve">2. </w:t>
      </w:r>
      <w:r w:rsidRPr="0001127D">
        <w:rPr>
          <w:rFonts w:ascii="inherit" w:hAnsi="inherit"/>
          <w:noProof/>
        </w:rPr>
        <w:t>Tali procedure prevedono almeno:</w:t>
      </w:r>
    </w:p>
    <w:p w14:paraId="35F77235" w14:textId="001DD531" w:rsidR="002F06CE" w:rsidRPr="0001127D" w:rsidRDefault="002F06CE" w:rsidP="002F06CE">
      <w:pPr>
        <w:pStyle w:val="Point1"/>
        <w:rPr>
          <w:noProof/>
        </w:rPr>
      </w:pPr>
      <w:r w:rsidRPr="0001127D">
        <w:rPr>
          <w:noProof/>
        </w:rPr>
        <w:t>a)</w:t>
      </w:r>
      <w:r w:rsidRPr="0001127D">
        <w:rPr>
          <w:noProof/>
        </w:rPr>
        <w:tab/>
        <w:t xml:space="preserve">che le società elencate negli allegati II e II </w:t>
      </w:r>
      <w:r w:rsidRPr="0001127D">
        <w:rPr>
          <w:i/>
          <w:iCs/>
          <w:noProof/>
        </w:rPr>
        <w:t>ter</w:t>
      </w:r>
      <w:r w:rsidRPr="0001127D">
        <w:rPr>
          <w:noProof/>
        </w:rPr>
        <w:t xml:space="preserve"> depositino in un fascicolo nel registro le modifiche agli atti e alle informazioni entro un periodo di tempo non superiore a 15 giorni lavorativi dalla data in cui esse sono intervenute. Tale periodo di tempo non si applica alle modifiche da pubblicare ai sensi dell</w:t>
      </w:r>
      <w:r w:rsidR="00E64452" w:rsidRPr="0001127D">
        <w:rPr>
          <w:noProof/>
        </w:rPr>
        <w:t>'</w:t>
      </w:r>
      <w:r w:rsidRPr="0001127D">
        <w:rPr>
          <w:noProof/>
        </w:rPr>
        <w:t xml:space="preserve">articolo 14 </w:t>
      </w:r>
      <w:r w:rsidRPr="0001127D">
        <w:rPr>
          <w:i/>
          <w:iCs/>
          <w:noProof/>
        </w:rPr>
        <w:t>ter</w:t>
      </w:r>
      <w:r w:rsidRPr="0001127D">
        <w:rPr>
          <w:noProof/>
        </w:rPr>
        <w:t xml:space="preserve"> e ai documenti contabili di cui all</w:t>
      </w:r>
      <w:r w:rsidR="00E64452" w:rsidRPr="0001127D">
        <w:rPr>
          <w:noProof/>
        </w:rPr>
        <w:t>'</w:t>
      </w:r>
      <w:r w:rsidRPr="0001127D">
        <w:rPr>
          <w:noProof/>
        </w:rPr>
        <w:t>articolo 14, lettera f), e all</w:t>
      </w:r>
      <w:r w:rsidR="00E64452" w:rsidRPr="0001127D">
        <w:rPr>
          <w:noProof/>
        </w:rPr>
        <w:t>'</w:t>
      </w:r>
      <w:r w:rsidRPr="0001127D">
        <w:rPr>
          <w:noProof/>
        </w:rPr>
        <w:t xml:space="preserve">articolo 14 </w:t>
      </w:r>
      <w:r w:rsidRPr="0001127D">
        <w:rPr>
          <w:i/>
          <w:iCs/>
          <w:noProof/>
        </w:rPr>
        <w:t>bis</w:t>
      </w:r>
      <w:r w:rsidRPr="0001127D">
        <w:rPr>
          <w:noProof/>
        </w:rPr>
        <w:t xml:space="preserve">, lettera l); </w:t>
      </w:r>
    </w:p>
    <w:p w14:paraId="70E519BE" w14:textId="05627284" w:rsidR="002F06CE" w:rsidRPr="0001127D" w:rsidRDefault="002F06CE" w:rsidP="002F06CE">
      <w:pPr>
        <w:pStyle w:val="Point1"/>
        <w:rPr>
          <w:noProof/>
        </w:rPr>
      </w:pPr>
      <w:r w:rsidRPr="0001127D">
        <w:rPr>
          <w:noProof/>
        </w:rPr>
        <w:t>b)</w:t>
      </w:r>
      <w:r w:rsidRPr="0001127D">
        <w:rPr>
          <w:noProof/>
        </w:rPr>
        <w:tab/>
        <w:t xml:space="preserve">che le modifiche agli atti e alle informazioni riguardanti le società elencate negli allegati II e II </w:t>
      </w:r>
      <w:r w:rsidRPr="0001127D">
        <w:rPr>
          <w:i/>
          <w:iCs/>
          <w:noProof/>
        </w:rPr>
        <w:t>ter</w:t>
      </w:r>
      <w:r w:rsidRPr="0001127D">
        <w:rPr>
          <w:noProof/>
        </w:rPr>
        <w:t xml:space="preserve"> siano trascritte nel registro e siano pubblicate, conformemente all</w:t>
      </w:r>
      <w:r w:rsidR="00E64452" w:rsidRPr="0001127D">
        <w:rPr>
          <w:noProof/>
        </w:rPr>
        <w:t>'</w:t>
      </w:r>
      <w:r w:rsidRPr="0001127D">
        <w:rPr>
          <w:noProof/>
        </w:rPr>
        <w:t>articolo 16, paragrafo 3, entro 5 giorni lavorativi dalla data dell</w:t>
      </w:r>
      <w:r w:rsidR="00E64452" w:rsidRPr="0001127D">
        <w:rPr>
          <w:noProof/>
        </w:rPr>
        <w:t>'</w:t>
      </w:r>
      <w:r w:rsidRPr="0001127D">
        <w:rPr>
          <w:noProof/>
        </w:rPr>
        <w:t>adempimento di tutte le formalità richieste per il deposito nel fascicolo, compreso il ricevimento di tutti i documenti e informazioni conformi al diritto nazionale.</w:t>
      </w:r>
    </w:p>
    <w:p w14:paraId="2019919A" w14:textId="77777777" w:rsidR="002F06CE" w:rsidRPr="0001127D" w:rsidRDefault="002F06CE" w:rsidP="002F06CE">
      <w:pPr>
        <w:pStyle w:val="Point1"/>
        <w:rPr>
          <w:noProof/>
        </w:rPr>
      </w:pPr>
      <w:r w:rsidRPr="0001127D">
        <w:rPr>
          <w:noProof/>
        </w:rPr>
        <w:t>c)</w:t>
      </w:r>
      <w:r w:rsidRPr="0001127D">
        <w:rPr>
          <w:noProof/>
        </w:rPr>
        <w:tab/>
        <w:t xml:space="preserve">che le società elencate negli allegati II e II </w:t>
      </w:r>
      <w:r w:rsidRPr="0001127D">
        <w:rPr>
          <w:i/>
          <w:iCs/>
          <w:noProof/>
        </w:rPr>
        <w:t>ter</w:t>
      </w:r>
      <w:r w:rsidRPr="0001127D">
        <w:rPr>
          <w:noProof/>
        </w:rPr>
        <w:t xml:space="preserve"> confermino una volta per anno civile che le informazioni ad esse riferite e contenute nel registro sono aggiornate, e che nei registri sia pubblicamente disponibile la data in cui tale conferma è stata fornita o in cui le informazioni sono state aggiornate; </w:t>
      </w:r>
    </w:p>
    <w:p w14:paraId="0FF372ED" w14:textId="40144DF3" w:rsidR="002F06CE" w:rsidRPr="0001127D" w:rsidRDefault="002F06CE" w:rsidP="002F06CE">
      <w:pPr>
        <w:pStyle w:val="Point1"/>
        <w:rPr>
          <w:noProof/>
        </w:rPr>
      </w:pPr>
      <w:r w:rsidRPr="0001127D">
        <w:rPr>
          <w:noProof/>
        </w:rPr>
        <w:t>d)</w:t>
      </w:r>
      <w:r w:rsidRPr="0001127D">
        <w:rPr>
          <w:noProof/>
        </w:rPr>
        <w:tab/>
        <w:t>che per verificare specifiche informazioni sulle società i registri possano consultare altre autorità o registri pertinenti all</w:t>
      </w:r>
      <w:r w:rsidR="00E64452" w:rsidRPr="0001127D">
        <w:rPr>
          <w:noProof/>
        </w:rPr>
        <w:t>'</w:t>
      </w:r>
      <w:r w:rsidRPr="0001127D">
        <w:rPr>
          <w:noProof/>
        </w:rPr>
        <w:t>interno del quadro procedurale previsto dal diritto nazionale.</w:t>
      </w:r>
    </w:p>
    <w:p w14:paraId="098CA77F" w14:textId="3EC65BBB" w:rsidR="002F06CE" w:rsidRPr="0001127D" w:rsidRDefault="002F06CE" w:rsidP="002F06CE">
      <w:pPr>
        <w:pStyle w:val="Text1"/>
        <w:ind w:left="851"/>
        <w:rPr>
          <w:noProof/>
        </w:rPr>
      </w:pPr>
      <w:r w:rsidRPr="0001127D">
        <w:rPr>
          <w:noProof/>
        </w:rPr>
        <w:t>3. Gli Stati membri predispongono procedure per verificare, in caso di dubbio, se le società iscritte nei registri di cui all</w:t>
      </w:r>
      <w:r w:rsidR="00E64452" w:rsidRPr="0001127D">
        <w:rPr>
          <w:noProof/>
        </w:rPr>
        <w:t>'</w:t>
      </w:r>
      <w:r w:rsidRPr="0001127D">
        <w:rPr>
          <w:noProof/>
        </w:rPr>
        <w:t>articolo 16 soddisfano i requisiti per continuare ad essere registrate. Le norme che disciplinano tali procedure comportano la possibilità, per la società, di rettificare le informazioni entro un periodo di tempo ragionevole, garantiscono che lo stato della società sia conseguentemente aggiornato nel registro e, ove giustificato, comportano la possibilità che le società siano cancellate dal registro in linea con il diritto nazionale.</w:t>
      </w:r>
      <w:r w:rsidR="00E64452" w:rsidRPr="0001127D">
        <w:rPr>
          <w:noProof/>
        </w:rPr>
        <w:t>";</w:t>
      </w:r>
    </w:p>
    <w:p w14:paraId="74026BDB" w14:textId="77777777" w:rsidR="002F06CE" w:rsidRPr="0001127D" w:rsidRDefault="002F06CE" w:rsidP="002F06CE">
      <w:pPr>
        <w:rPr>
          <w:noProof/>
        </w:rPr>
      </w:pPr>
    </w:p>
    <w:p w14:paraId="1BF09DA8" w14:textId="609BDAC5" w:rsidR="002F06CE" w:rsidRPr="0001127D" w:rsidRDefault="002F06CE" w:rsidP="002F06CE">
      <w:pPr>
        <w:pStyle w:val="Point0"/>
        <w:rPr>
          <w:noProof/>
        </w:rPr>
      </w:pPr>
      <w:r w:rsidRPr="0001127D">
        <w:rPr>
          <w:noProof/>
        </w:rPr>
        <w:t>18)</w:t>
      </w:r>
      <w:r w:rsidRPr="0001127D">
        <w:rPr>
          <w:noProof/>
        </w:rPr>
        <w:tab/>
        <w:t>all</w:t>
      </w:r>
      <w:r w:rsidR="00E64452" w:rsidRPr="0001127D">
        <w:rPr>
          <w:noProof/>
        </w:rPr>
        <w:t>'</w:t>
      </w:r>
      <w:r w:rsidRPr="0001127D">
        <w:rPr>
          <w:noProof/>
        </w:rPr>
        <w:t>articolo 16, il paragrafo 1 è sostituito dal seguente:</w:t>
      </w:r>
    </w:p>
    <w:p w14:paraId="78DCFB7D" w14:textId="2894CEB0" w:rsidR="002F06CE" w:rsidRPr="0001127D" w:rsidRDefault="00E64452" w:rsidP="002F06CE">
      <w:pPr>
        <w:spacing w:after="0"/>
        <w:ind w:left="851"/>
        <w:rPr>
          <w:rFonts w:eastAsia="Times New Roman"/>
          <w:noProof/>
          <w:szCs w:val="24"/>
        </w:rPr>
      </w:pPr>
      <w:r w:rsidRPr="0001127D">
        <w:rPr>
          <w:noProof/>
        </w:rPr>
        <w:t>"</w:t>
      </w:r>
      <w:r w:rsidR="002F06CE" w:rsidRPr="0001127D">
        <w:rPr>
          <w:noProof/>
        </w:rPr>
        <w:t>1. In ciascuno Stato membro è costituito un fascicolo presso un registro centrale, presso il registro di commercio o presso il registro delle imprese (</w:t>
      </w:r>
      <w:r w:rsidRPr="0001127D">
        <w:rPr>
          <w:noProof/>
        </w:rPr>
        <w:t>'</w:t>
      </w:r>
      <w:r w:rsidR="002F06CE" w:rsidRPr="0001127D">
        <w:rPr>
          <w:noProof/>
        </w:rPr>
        <w:t>registro</w:t>
      </w:r>
      <w:r w:rsidRPr="0001127D">
        <w:rPr>
          <w:noProof/>
        </w:rPr>
        <w:t>'</w:t>
      </w:r>
      <w:r w:rsidR="002F06CE" w:rsidRPr="0001127D">
        <w:rPr>
          <w:noProof/>
        </w:rPr>
        <w:t xml:space="preserve">) per ogni società elencata negli allegati II e II </w:t>
      </w:r>
      <w:r w:rsidR="002F06CE" w:rsidRPr="0001127D">
        <w:rPr>
          <w:i/>
          <w:iCs/>
          <w:noProof/>
        </w:rPr>
        <w:t>ter</w:t>
      </w:r>
      <w:r w:rsidR="002F06CE" w:rsidRPr="0001127D">
        <w:rPr>
          <w:noProof/>
        </w:rPr>
        <w:t xml:space="preserve"> ivi iscritta. </w:t>
      </w:r>
    </w:p>
    <w:p w14:paraId="50A8D2DC" w14:textId="05EF69B0" w:rsidR="002F06CE" w:rsidRPr="0001127D" w:rsidRDefault="002F06CE" w:rsidP="002F06CE">
      <w:pPr>
        <w:spacing w:after="0"/>
        <w:ind w:left="851"/>
        <w:rPr>
          <w:rFonts w:eastAsia="Times New Roman"/>
          <w:noProof/>
        </w:rPr>
      </w:pPr>
      <w:r w:rsidRPr="0001127D">
        <w:rPr>
          <w:noProof/>
        </w:rPr>
        <w:t xml:space="preserve">Gli Stati membri provvedono a che le società elencate negli allegati II e II </w:t>
      </w:r>
      <w:r w:rsidRPr="0001127D">
        <w:rPr>
          <w:i/>
          <w:iCs/>
          <w:noProof/>
        </w:rPr>
        <w:t>ter</w:t>
      </w:r>
      <w:r w:rsidRPr="0001127D">
        <w:rPr>
          <w:noProof/>
        </w:rPr>
        <w:t xml:space="preserve"> dispongano di un identificativo unico europeo (</w:t>
      </w:r>
      <w:r w:rsidR="00E64452" w:rsidRPr="0001127D">
        <w:rPr>
          <w:noProof/>
        </w:rPr>
        <w:t>'</w:t>
      </w:r>
      <w:r w:rsidRPr="0001127D">
        <w:rPr>
          <w:noProof/>
        </w:rPr>
        <w:t>EUID</w:t>
      </w:r>
      <w:r w:rsidR="00E64452" w:rsidRPr="0001127D">
        <w:rPr>
          <w:noProof/>
        </w:rPr>
        <w:t>'</w:t>
      </w:r>
      <w:r w:rsidRPr="0001127D">
        <w:rPr>
          <w:noProof/>
        </w:rPr>
        <w:t>), di cui al punto 9 dell</w:t>
      </w:r>
      <w:r w:rsidR="00E64452" w:rsidRPr="0001127D">
        <w:rPr>
          <w:noProof/>
        </w:rPr>
        <w:t>'</w:t>
      </w:r>
      <w:r w:rsidRPr="0001127D">
        <w:rPr>
          <w:noProof/>
        </w:rPr>
        <w:t>allegato del regolamento di esecuzione (UE) 2021/1042 della Commissione*, che consenta di identificarle inequivocabilmente nelle comunicazioni tra registri attraverso il sistema di interconnessione dei registri istituito in conformità dell</w:t>
      </w:r>
      <w:r w:rsidR="00E64452" w:rsidRPr="0001127D">
        <w:rPr>
          <w:noProof/>
        </w:rPr>
        <w:t>'</w:t>
      </w:r>
      <w:r w:rsidRPr="0001127D">
        <w:rPr>
          <w:noProof/>
        </w:rPr>
        <w:t>articolo</w:t>
      </w:r>
      <w:r w:rsidR="009C1CEF" w:rsidRPr="0001127D">
        <w:rPr>
          <w:noProof/>
        </w:rPr>
        <w:t> </w:t>
      </w:r>
      <w:r w:rsidRPr="0001127D">
        <w:rPr>
          <w:noProof/>
        </w:rPr>
        <w:t>22 (</w:t>
      </w:r>
      <w:r w:rsidR="00E64452" w:rsidRPr="0001127D">
        <w:rPr>
          <w:noProof/>
        </w:rPr>
        <w:t>'</w:t>
      </w:r>
      <w:r w:rsidRPr="0001127D">
        <w:rPr>
          <w:noProof/>
        </w:rPr>
        <w:t>il sistema di interconnessione dei registri</w:t>
      </w:r>
      <w:r w:rsidR="00E64452" w:rsidRPr="0001127D">
        <w:rPr>
          <w:noProof/>
        </w:rPr>
        <w:t>'</w:t>
      </w:r>
      <w:r w:rsidRPr="0001127D">
        <w:rPr>
          <w:noProof/>
        </w:rPr>
        <w:t>).</w:t>
      </w:r>
      <w:r w:rsidR="00E64452" w:rsidRPr="0001127D">
        <w:rPr>
          <w:noProof/>
        </w:rPr>
        <w:t xml:space="preserve"> </w:t>
      </w:r>
      <w:r w:rsidRPr="0001127D">
        <w:rPr>
          <w:noProof/>
        </w:rPr>
        <w:t>Tale identificativo unico comprende, quanto meno, gli elementi che consentono di identificare lo Stato membro del registro, il registro nazionale d</w:t>
      </w:r>
      <w:r w:rsidR="00E64452" w:rsidRPr="0001127D">
        <w:rPr>
          <w:noProof/>
        </w:rPr>
        <w:t>'</w:t>
      </w:r>
      <w:r w:rsidRPr="0001127D">
        <w:rPr>
          <w:noProof/>
        </w:rPr>
        <w:t>origine e il numero di iscrizione della società in detto registro e, ove opportuno, elementi atti a evitare errori di identificazione.</w:t>
      </w:r>
      <w:r w:rsidR="00E64452" w:rsidRPr="0001127D">
        <w:rPr>
          <w:noProof/>
        </w:rPr>
        <w:t>"</w:t>
      </w:r>
      <w:r w:rsidRPr="0001127D">
        <w:rPr>
          <w:noProof/>
        </w:rPr>
        <w:t>;</w:t>
      </w:r>
    </w:p>
    <w:p w14:paraId="77AE23DA" w14:textId="77777777" w:rsidR="002F06CE" w:rsidRPr="0001127D" w:rsidRDefault="002F06CE" w:rsidP="002F06CE">
      <w:pPr>
        <w:spacing w:after="0"/>
        <w:ind w:left="851"/>
        <w:rPr>
          <w:rFonts w:eastAsia="Times New Roman"/>
          <w:noProof/>
          <w:lang w:eastAsia="en-IE"/>
        </w:rPr>
      </w:pPr>
    </w:p>
    <w:p w14:paraId="6EA24B8B" w14:textId="77777777" w:rsidR="002F06CE" w:rsidRPr="0001127D" w:rsidRDefault="002F06CE" w:rsidP="002F06CE">
      <w:pPr>
        <w:spacing w:after="0"/>
        <w:ind w:left="851"/>
        <w:rPr>
          <w:rFonts w:eastAsia="Times New Roman"/>
          <w:noProof/>
        </w:rPr>
      </w:pPr>
      <w:r w:rsidRPr="0001127D">
        <w:rPr>
          <w:noProof/>
        </w:rPr>
        <w:t>____________</w:t>
      </w:r>
    </w:p>
    <w:p w14:paraId="6338FC52" w14:textId="5D0C88EB" w:rsidR="002F06CE" w:rsidRPr="0001127D" w:rsidRDefault="002F06CE" w:rsidP="002F06CE">
      <w:pPr>
        <w:spacing w:after="0"/>
        <w:ind w:left="851"/>
        <w:rPr>
          <w:rFonts w:eastAsia="Times New Roman"/>
          <w:noProof/>
          <w:szCs w:val="24"/>
        </w:rPr>
      </w:pPr>
      <w:r w:rsidRPr="0001127D">
        <w:rPr>
          <w:noProof/>
        </w:rPr>
        <w:t>* Regolamento di esecuzione (UE) 2021/1042 della Commissione, del 18 giugno 2021, che reca modalità di applicazione della direttiva (UE) 2017/1132 del Parlamento europeo e del Consiglio per quanto riguarda le specifiche tecniche e le procedure necessarie per il sistema di interconnessione dei registri e che abroga il regolamento di esecuzione (UE) 2020/2244 della Commissione (GU</w:t>
      </w:r>
      <w:r w:rsidR="009C1CEF" w:rsidRPr="0001127D">
        <w:rPr>
          <w:noProof/>
        </w:rPr>
        <w:t> </w:t>
      </w:r>
      <w:r w:rsidRPr="0001127D">
        <w:rPr>
          <w:noProof/>
        </w:rPr>
        <w:t>L</w:t>
      </w:r>
      <w:r w:rsidR="009C1CEF" w:rsidRPr="0001127D">
        <w:rPr>
          <w:noProof/>
        </w:rPr>
        <w:t> </w:t>
      </w:r>
      <w:r w:rsidRPr="0001127D">
        <w:rPr>
          <w:noProof/>
        </w:rPr>
        <w:t>225</w:t>
      </w:r>
      <w:r w:rsidR="009C1CEF" w:rsidRPr="0001127D">
        <w:rPr>
          <w:noProof/>
        </w:rPr>
        <w:t xml:space="preserve"> del </w:t>
      </w:r>
      <w:r w:rsidRPr="0001127D">
        <w:rPr>
          <w:noProof/>
        </w:rPr>
        <w:t>25.6.2021, pag. 7).</w:t>
      </w:r>
    </w:p>
    <w:p w14:paraId="1C34B420" w14:textId="77777777" w:rsidR="002F06CE" w:rsidRPr="0001127D" w:rsidRDefault="002F06CE" w:rsidP="002F06CE">
      <w:pPr>
        <w:spacing w:after="0"/>
        <w:rPr>
          <w:rFonts w:eastAsia="Times New Roman"/>
          <w:noProof/>
          <w:szCs w:val="24"/>
          <w:lang w:eastAsia="en-IE"/>
        </w:rPr>
      </w:pPr>
    </w:p>
    <w:p w14:paraId="2CEEFD67" w14:textId="0DCEECD0" w:rsidR="002F06CE" w:rsidRPr="0001127D" w:rsidRDefault="002F06CE" w:rsidP="002F06CE">
      <w:pPr>
        <w:pStyle w:val="Point0"/>
        <w:rPr>
          <w:noProof/>
        </w:rPr>
      </w:pPr>
      <w:r w:rsidRPr="0001127D">
        <w:rPr>
          <w:noProof/>
        </w:rPr>
        <w:t>19)</w:t>
      </w:r>
      <w:r w:rsidRPr="0001127D">
        <w:rPr>
          <w:noProof/>
        </w:rPr>
        <w:tab/>
        <w:t>all</w:t>
      </w:r>
      <w:r w:rsidR="00E64452" w:rsidRPr="0001127D">
        <w:rPr>
          <w:noProof/>
        </w:rPr>
        <w:t>'</w:t>
      </w:r>
      <w:r w:rsidRPr="0001127D">
        <w:rPr>
          <w:noProof/>
        </w:rPr>
        <w:t>articolo 16 è aggiunto il seguente paragrafo:</w:t>
      </w:r>
    </w:p>
    <w:p w14:paraId="677C20B9" w14:textId="4A8007D2" w:rsidR="002F06CE" w:rsidRPr="0001127D" w:rsidRDefault="00E64452" w:rsidP="002F06CE">
      <w:pPr>
        <w:spacing w:after="0"/>
        <w:ind w:left="851"/>
        <w:rPr>
          <w:rFonts w:eastAsia="Times New Roman"/>
          <w:noProof/>
          <w:szCs w:val="24"/>
        </w:rPr>
      </w:pPr>
      <w:r w:rsidRPr="0001127D">
        <w:rPr>
          <w:noProof/>
        </w:rPr>
        <w:t>"</w:t>
      </w:r>
      <w:r w:rsidR="002F06CE" w:rsidRPr="0001127D">
        <w:rPr>
          <w:noProof/>
        </w:rPr>
        <w:t>7. I paragrafi 2, 3, 4, 5 e 6 si applicano a tutti gli atti e informazioni di cui all</w:t>
      </w:r>
      <w:r w:rsidRPr="0001127D">
        <w:rPr>
          <w:noProof/>
        </w:rPr>
        <w:t>'</w:t>
      </w:r>
      <w:r w:rsidR="002F06CE" w:rsidRPr="0001127D">
        <w:rPr>
          <w:noProof/>
        </w:rPr>
        <w:t>articolo 14</w:t>
      </w:r>
      <w:r w:rsidR="002F06CE" w:rsidRPr="0001127D">
        <w:rPr>
          <w:i/>
          <w:iCs/>
          <w:noProof/>
        </w:rPr>
        <w:t>bis</w:t>
      </w:r>
      <w:r w:rsidR="002F06CE" w:rsidRPr="0001127D">
        <w:rPr>
          <w:noProof/>
        </w:rPr>
        <w:t>. Il paragrafo</w:t>
      </w:r>
      <w:r w:rsidR="009C1CEF" w:rsidRPr="0001127D">
        <w:rPr>
          <w:noProof/>
        </w:rPr>
        <w:t> </w:t>
      </w:r>
      <w:r w:rsidR="002F06CE" w:rsidRPr="0001127D">
        <w:rPr>
          <w:noProof/>
        </w:rPr>
        <w:t>2 si applica alle informazioni di cui all</w:t>
      </w:r>
      <w:r w:rsidRPr="0001127D">
        <w:rPr>
          <w:noProof/>
        </w:rPr>
        <w:t>'</w:t>
      </w:r>
      <w:r w:rsidR="002F06CE" w:rsidRPr="0001127D">
        <w:rPr>
          <w:noProof/>
        </w:rPr>
        <w:t>articolo</w:t>
      </w:r>
      <w:r w:rsidR="009C1CEF" w:rsidRPr="0001127D">
        <w:rPr>
          <w:noProof/>
        </w:rPr>
        <w:t> </w:t>
      </w:r>
      <w:r w:rsidR="002F06CE" w:rsidRPr="0001127D">
        <w:rPr>
          <w:noProof/>
        </w:rPr>
        <w:t xml:space="preserve">14 </w:t>
      </w:r>
      <w:r w:rsidR="002F06CE" w:rsidRPr="0001127D">
        <w:rPr>
          <w:i/>
          <w:iCs/>
          <w:noProof/>
        </w:rPr>
        <w:t>ter</w:t>
      </w:r>
      <w:r w:rsidR="002F06CE" w:rsidRPr="0001127D">
        <w:rPr>
          <w:noProof/>
        </w:rPr>
        <w:t>.</w:t>
      </w:r>
      <w:r w:rsidRPr="0001127D">
        <w:rPr>
          <w:noProof/>
        </w:rPr>
        <w:t>"</w:t>
      </w:r>
      <w:r w:rsidR="002F06CE" w:rsidRPr="0001127D">
        <w:rPr>
          <w:noProof/>
        </w:rPr>
        <w:t>;</w:t>
      </w:r>
      <w:r w:rsidRPr="0001127D">
        <w:rPr>
          <w:noProof/>
        </w:rPr>
        <w:t xml:space="preserve"> </w:t>
      </w:r>
    </w:p>
    <w:p w14:paraId="20003DEA" w14:textId="77777777" w:rsidR="002F06CE" w:rsidRPr="0001127D" w:rsidRDefault="002F06CE" w:rsidP="002F06CE">
      <w:pPr>
        <w:spacing w:after="0"/>
        <w:rPr>
          <w:rFonts w:eastAsia="Times New Roman"/>
          <w:noProof/>
          <w:szCs w:val="24"/>
        </w:rPr>
      </w:pPr>
      <w:r w:rsidRPr="0001127D">
        <w:rPr>
          <w:noProof/>
        </w:rPr>
        <w:t xml:space="preserve"> </w:t>
      </w:r>
    </w:p>
    <w:p w14:paraId="4453F247" w14:textId="248B6115" w:rsidR="002F06CE" w:rsidRPr="0001127D" w:rsidRDefault="002F06CE" w:rsidP="002F06CE">
      <w:pPr>
        <w:pStyle w:val="Point0"/>
        <w:rPr>
          <w:noProof/>
        </w:rPr>
      </w:pPr>
      <w:r w:rsidRPr="0001127D">
        <w:rPr>
          <w:noProof/>
        </w:rPr>
        <w:t>20)</w:t>
      </w:r>
      <w:r w:rsidRPr="0001127D">
        <w:rPr>
          <w:noProof/>
        </w:rPr>
        <w:tab/>
        <w:t>all</w:t>
      </w:r>
      <w:r w:rsidR="00E64452" w:rsidRPr="0001127D">
        <w:rPr>
          <w:noProof/>
        </w:rPr>
        <w:t>'</w:t>
      </w:r>
      <w:r w:rsidRPr="0001127D">
        <w:rPr>
          <w:noProof/>
        </w:rPr>
        <w:t xml:space="preserve">articolo 16 </w:t>
      </w:r>
      <w:r w:rsidRPr="0001127D">
        <w:rPr>
          <w:i/>
          <w:iCs/>
          <w:noProof/>
        </w:rPr>
        <w:t>bis</w:t>
      </w:r>
      <w:r w:rsidRPr="0001127D">
        <w:rPr>
          <w:noProof/>
        </w:rPr>
        <w:t xml:space="preserve"> sono aggiunti i seguenti paragrafi:</w:t>
      </w:r>
    </w:p>
    <w:p w14:paraId="63827771" w14:textId="0121C2BD" w:rsidR="002F06CE" w:rsidRPr="0001127D" w:rsidRDefault="00E64452" w:rsidP="002F06CE">
      <w:pPr>
        <w:shd w:val="clear" w:color="auto" w:fill="FFFFFF"/>
        <w:spacing w:after="0"/>
        <w:ind w:left="851"/>
        <w:rPr>
          <w:noProof/>
          <w:szCs w:val="24"/>
        </w:rPr>
      </w:pPr>
      <w:r w:rsidRPr="0001127D">
        <w:rPr>
          <w:noProof/>
        </w:rPr>
        <w:t>"</w:t>
      </w:r>
      <w:r w:rsidR="002F06CE" w:rsidRPr="0001127D">
        <w:rPr>
          <w:noProof/>
        </w:rPr>
        <w:t>5.</w:t>
      </w:r>
      <w:r w:rsidRPr="0001127D">
        <w:rPr>
          <w:noProof/>
        </w:rPr>
        <w:t xml:space="preserve"> </w:t>
      </w:r>
      <w:r w:rsidR="002F06CE" w:rsidRPr="0001127D">
        <w:rPr>
          <w:noProof/>
        </w:rPr>
        <w:t>Gli Stati membri assicurano che le copie e gli estratti elettronici dei documenti e delle informazioni forniti dal registro siano compatibili con il portafoglio europeo di identità digitale di cui alla [OP: riferimento alla proposta di regolamento del Parlamento europeo e del Consiglio che modifica il regolamento (UE) n. 910/2014 per quanto riguarda l</w:t>
      </w:r>
      <w:r w:rsidRPr="0001127D">
        <w:rPr>
          <w:noProof/>
        </w:rPr>
        <w:t>'</w:t>
      </w:r>
      <w:r w:rsidR="002F06CE" w:rsidRPr="0001127D">
        <w:rPr>
          <w:noProof/>
        </w:rPr>
        <w:t>istituzione di un quadro per un</w:t>
      </w:r>
      <w:r w:rsidRPr="0001127D">
        <w:rPr>
          <w:noProof/>
        </w:rPr>
        <w:t>'</w:t>
      </w:r>
      <w:r w:rsidR="002F06CE" w:rsidRPr="0001127D">
        <w:rPr>
          <w:noProof/>
        </w:rPr>
        <w:t>identità digitale europea].</w:t>
      </w:r>
    </w:p>
    <w:p w14:paraId="1F2D083D" w14:textId="3C1BEA71" w:rsidR="002F06CE" w:rsidRPr="0001127D" w:rsidRDefault="002F06CE" w:rsidP="002F06CE">
      <w:pPr>
        <w:shd w:val="clear" w:color="auto" w:fill="FFFFFF"/>
        <w:spacing w:after="0"/>
        <w:ind w:left="851"/>
        <w:rPr>
          <w:noProof/>
          <w:szCs w:val="24"/>
        </w:rPr>
      </w:pPr>
      <w:r w:rsidRPr="0001127D">
        <w:rPr>
          <w:noProof/>
        </w:rPr>
        <w:t>6.</w:t>
      </w:r>
      <w:r w:rsidR="00E64452" w:rsidRPr="0001127D">
        <w:rPr>
          <w:noProof/>
        </w:rPr>
        <w:t xml:space="preserve"> </w:t>
      </w:r>
      <w:r w:rsidRPr="0001127D">
        <w:rPr>
          <w:noProof/>
        </w:rPr>
        <w:t xml:space="preserve">Il presente articolo si applica </w:t>
      </w:r>
      <w:r w:rsidRPr="0001127D">
        <w:rPr>
          <w:i/>
          <w:noProof/>
        </w:rPr>
        <w:t>mutatis mutandis</w:t>
      </w:r>
      <w:r w:rsidRPr="0001127D">
        <w:rPr>
          <w:noProof/>
        </w:rPr>
        <w:t xml:space="preserve"> alle copie integrali o parziali di tutti i documenti e informazioni di cui all</w:t>
      </w:r>
      <w:r w:rsidR="00E64452" w:rsidRPr="0001127D">
        <w:rPr>
          <w:noProof/>
        </w:rPr>
        <w:t>'</w:t>
      </w:r>
      <w:r w:rsidRPr="0001127D">
        <w:rPr>
          <w:noProof/>
        </w:rPr>
        <w:t xml:space="preserve">articolo 14 </w:t>
      </w:r>
      <w:r w:rsidRPr="0001127D">
        <w:rPr>
          <w:i/>
          <w:iCs/>
          <w:noProof/>
        </w:rPr>
        <w:t>bis</w:t>
      </w:r>
      <w:r w:rsidRPr="0001127D">
        <w:rPr>
          <w:noProof/>
        </w:rPr>
        <w:t xml:space="preserve"> e 14 </w:t>
      </w:r>
      <w:r w:rsidRPr="0001127D">
        <w:rPr>
          <w:i/>
          <w:iCs/>
          <w:noProof/>
        </w:rPr>
        <w:t>ter</w:t>
      </w:r>
      <w:r w:rsidRPr="0001127D">
        <w:rPr>
          <w:noProof/>
        </w:rPr>
        <w:t>.</w:t>
      </w:r>
      <w:r w:rsidR="00E64452" w:rsidRPr="0001127D">
        <w:rPr>
          <w:noProof/>
        </w:rPr>
        <w:t>'</w:t>
      </w:r>
      <w:r w:rsidRPr="0001127D">
        <w:rPr>
          <w:noProof/>
        </w:rPr>
        <w:t>;</w:t>
      </w:r>
    </w:p>
    <w:p w14:paraId="1DA1CC00" w14:textId="77777777" w:rsidR="002F06CE" w:rsidRPr="0001127D" w:rsidRDefault="002F06CE" w:rsidP="002F06CE">
      <w:pPr>
        <w:pStyle w:val="ListParagraph"/>
        <w:ind w:left="850"/>
        <w:rPr>
          <w:noProof/>
          <w:lang w:eastAsia="en-GB"/>
        </w:rPr>
      </w:pPr>
    </w:p>
    <w:p w14:paraId="631BEC8C" w14:textId="77777777" w:rsidR="002F06CE" w:rsidRPr="0001127D" w:rsidRDefault="002F06CE" w:rsidP="002F06CE">
      <w:pPr>
        <w:pStyle w:val="Point0"/>
        <w:rPr>
          <w:noProof/>
        </w:rPr>
      </w:pPr>
      <w:r w:rsidRPr="0001127D">
        <w:rPr>
          <w:noProof/>
        </w:rPr>
        <w:t>21)</w:t>
      </w:r>
      <w:r w:rsidRPr="0001127D">
        <w:rPr>
          <w:noProof/>
        </w:rPr>
        <w:tab/>
        <w:t>sono inseriti i seguenti articoli:</w:t>
      </w:r>
    </w:p>
    <w:p w14:paraId="414E9AD0" w14:textId="4605A769" w:rsidR="002F06CE" w:rsidRPr="0001127D" w:rsidRDefault="00E64452" w:rsidP="002F06CE">
      <w:pPr>
        <w:contextualSpacing/>
        <w:jc w:val="center"/>
        <w:rPr>
          <w:noProof/>
          <w:szCs w:val="24"/>
        </w:rPr>
      </w:pPr>
      <w:r w:rsidRPr="0001127D">
        <w:rPr>
          <w:noProof/>
        </w:rPr>
        <w:t>"</w:t>
      </w:r>
      <w:r w:rsidR="002F06CE" w:rsidRPr="0001127D">
        <w:rPr>
          <w:noProof/>
        </w:rPr>
        <w:t xml:space="preserve">Articolo 16 </w:t>
      </w:r>
      <w:r w:rsidR="002F06CE" w:rsidRPr="0001127D">
        <w:rPr>
          <w:i/>
          <w:iCs/>
          <w:noProof/>
        </w:rPr>
        <w:t>ter</w:t>
      </w:r>
      <w:r w:rsidR="002F06CE" w:rsidRPr="0001127D">
        <w:rPr>
          <w:noProof/>
        </w:rPr>
        <w:t xml:space="preserve"> </w:t>
      </w:r>
    </w:p>
    <w:p w14:paraId="7F96033D" w14:textId="77777777" w:rsidR="002F06CE" w:rsidRPr="0001127D" w:rsidRDefault="002F06CE" w:rsidP="002F06CE">
      <w:pPr>
        <w:contextualSpacing/>
        <w:jc w:val="center"/>
        <w:rPr>
          <w:b/>
          <w:noProof/>
          <w:szCs w:val="24"/>
        </w:rPr>
      </w:pPr>
    </w:p>
    <w:p w14:paraId="390727A8" w14:textId="77777777" w:rsidR="002F06CE" w:rsidRPr="0001127D" w:rsidRDefault="002F06CE" w:rsidP="002F06CE">
      <w:pPr>
        <w:contextualSpacing/>
        <w:jc w:val="center"/>
        <w:rPr>
          <w:b/>
          <w:noProof/>
          <w:szCs w:val="24"/>
        </w:rPr>
      </w:pPr>
      <w:r w:rsidRPr="0001127D">
        <w:rPr>
          <w:b/>
          <w:noProof/>
        </w:rPr>
        <w:t xml:space="preserve">Certificato delle società UE </w:t>
      </w:r>
    </w:p>
    <w:p w14:paraId="62893278" w14:textId="175BE4B3" w:rsidR="002F06CE" w:rsidRPr="0001127D" w:rsidRDefault="002F06CE" w:rsidP="002F06CE">
      <w:pPr>
        <w:pStyle w:val="CommentText"/>
        <w:ind w:left="851"/>
        <w:contextualSpacing/>
        <w:rPr>
          <w:noProof/>
          <w:sz w:val="24"/>
          <w:szCs w:val="24"/>
        </w:rPr>
      </w:pPr>
      <w:r w:rsidRPr="0001127D">
        <w:rPr>
          <w:noProof/>
          <w:sz w:val="24"/>
        </w:rPr>
        <w:t>1. Gli Stati membri provvedono affinché i registri di cui all</w:t>
      </w:r>
      <w:r w:rsidR="00E64452" w:rsidRPr="0001127D">
        <w:rPr>
          <w:noProof/>
          <w:sz w:val="24"/>
        </w:rPr>
        <w:t>'</w:t>
      </w:r>
      <w:r w:rsidRPr="0001127D">
        <w:rPr>
          <w:noProof/>
          <w:sz w:val="24"/>
        </w:rPr>
        <w:t xml:space="preserve">articolo 16 emettano il certificato delle società UE relativo alle società elencate negli allegati II e II </w:t>
      </w:r>
      <w:r w:rsidRPr="0001127D">
        <w:rPr>
          <w:i/>
          <w:iCs/>
          <w:noProof/>
          <w:sz w:val="24"/>
        </w:rPr>
        <w:t>ter</w:t>
      </w:r>
      <w:r w:rsidRPr="0001127D">
        <w:rPr>
          <w:noProof/>
          <w:sz w:val="24"/>
        </w:rPr>
        <w:t>. Il certificato delle società UE è accettato in tutti gli Stati membri come prova definitiva della costituzione della società e delle informazioni elencate rispettivamente ai paragrafi 2 e 3 del presente articolo, conservate dal registro in cui la società è iscritta al momento dell</w:t>
      </w:r>
      <w:r w:rsidR="00E64452" w:rsidRPr="0001127D">
        <w:rPr>
          <w:noProof/>
          <w:sz w:val="24"/>
        </w:rPr>
        <w:t>'</w:t>
      </w:r>
      <w:r w:rsidRPr="0001127D">
        <w:rPr>
          <w:noProof/>
          <w:sz w:val="24"/>
        </w:rPr>
        <w:t>emissione.</w:t>
      </w:r>
    </w:p>
    <w:p w14:paraId="446208A6" w14:textId="77777777" w:rsidR="002F06CE" w:rsidRPr="0001127D" w:rsidRDefault="002F06CE" w:rsidP="002F06CE">
      <w:pPr>
        <w:pStyle w:val="CommentText"/>
        <w:ind w:left="851"/>
        <w:contextualSpacing/>
        <w:rPr>
          <w:noProof/>
          <w:sz w:val="24"/>
          <w:szCs w:val="24"/>
        </w:rPr>
      </w:pPr>
    </w:p>
    <w:p w14:paraId="7FF2A716" w14:textId="7C8B544D" w:rsidR="002F06CE" w:rsidRPr="0001127D" w:rsidRDefault="002F06CE" w:rsidP="002F06CE">
      <w:pPr>
        <w:pStyle w:val="CommentText"/>
        <w:ind w:left="851"/>
        <w:contextualSpacing/>
        <w:rPr>
          <w:noProof/>
          <w:sz w:val="24"/>
          <w:szCs w:val="24"/>
        </w:rPr>
      </w:pPr>
      <w:r w:rsidRPr="0001127D">
        <w:rPr>
          <w:noProof/>
          <w:sz w:val="24"/>
        </w:rPr>
        <w:t>2. Il certificato delle società UE per le società di capitali elencate all</w:t>
      </w:r>
      <w:r w:rsidR="00E64452" w:rsidRPr="0001127D">
        <w:rPr>
          <w:noProof/>
          <w:sz w:val="24"/>
        </w:rPr>
        <w:t>'</w:t>
      </w:r>
      <w:r w:rsidRPr="0001127D">
        <w:rPr>
          <w:noProof/>
          <w:sz w:val="24"/>
        </w:rPr>
        <w:t>allegato II contiene le seguenti informazioni, compresa la data del loro ultimo aggiornamento ai sensi dell</w:t>
      </w:r>
      <w:r w:rsidR="00E64452" w:rsidRPr="0001127D">
        <w:rPr>
          <w:noProof/>
          <w:sz w:val="24"/>
        </w:rPr>
        <w:t>'</w:t>
      </w:r>
      <w:r w:rsidRPr="0001127D">
        <w:rPr>
          <w:noProof/>
          <w:sz w:val="24"/>
        </w:rPr>
        <w:t>articolo 15, paragrafo 2:</w:t>
      </w:r>
    </w:p>
    <w:p w14:paraId="1B00EE95" w14:textId="77777777" w:rsidR="002F06CE" w:rsidRPr="0001127D" w:rsidRDefault="002F06CE" w:rsidP="002F06CE">
      <w:pPr>
        <w:pStyle w:val="Point1"/>
        <w:rPr>
          <w:noProof/>
        </w:rPr>
      </w:pPr>
      <w:r w:rsidRPr="0001127D">
        <w:rPr>
          <w:noProof/>
        </w:rPr>
        <w:t>a)</w:t>
      </w:r>
      <w:r w:rsidRPr="0001127D">
        <w:rPr>
          <w:noProof/>
        </w:rPr>
        <w:tab/>
        <w:t xml:space="preserve">la denominazione della società; </w:t>
      </w:r>
    </w:p>
    <w:p w14:paraId="0DCD79B6" w14:textId="77777777" w:rsidR="002F06CE" w:rsidRPr="0001127D" w:rsidRDefault="002F06CE" w:rsidP="002F06CE">
      <w:pPr>
        <w:pStyle w:val="Point1"/>
        <w:rPr>
          <w:noProof/>
        </w:rPr>
      </w:pPr>
      <w:r w:rsidRPr="0001127D">
        <w:rPr>
          <w:noProof/>
        </w:rPr>
        <w:t>b)</w:t>
      </w:r>
      <w:r w:rsidRPr="0001127D">
        <w:rPr>
          <w:noProof/>
        </w:rPr>
        <w:tab/>
        <w:t>la forma giuridica della società;</w:t>
      </w:r>
    </w:p>
    <w:p w14:paraId="1EC2FBB5" w14:textId="77777777" w:rsidR="002F06CE" w:rsidRPr="0001127D" w:rsidRDefault="002F06CE" w:rsidP="002F06CE">
      <w:pPr>
        <w:pStyle w:val="Point1"/>
        <w:rPr>
          <w:noProof/>
        </w:rPr>
      </w:pPr>
      <w:r w:rsidRPr="0001127D">
        <w:rPr>
          <w:noProof/>
        </w:rPr>
        <w:t>c)</w:t>
      </w:r>
      <w:r w:rsidRPr="0001127D">
        <w:rPr>
          <w:noProof/>
        </w:rPr>
        <w:tab/>
        <w:t>il numero di registrazione della società e lo Stato membro in cui è registrata;</w:t>
      </w:r>
    </w:p>
    <w:p w14:paraId="393F1842" w14:textId="6927CE93" w:rsidR="002F06CE" w:rsidRPr="0001127D" w:rsidRDefault="002F06CE" w:rsidP="002F06CE">
      <w:pPr>
        <w:pStyle w:val="Point1"/>
        <w:rPr>
          <w:noProof/>
        </w:rPr>
      </w:pPr>
      <w:r w:rsidRPr="0001127D">
        <w:rPr>
          <w:noProof/>
        </w:rPr>
        <w:t>d)</w:t>
      </w:r>
      <w:r w:rsidRPr="0001127D">
        <w:rPr>
          <w:noProof/>
        </w:rPr>
        <w:tab/>
        <w:t>l</w:t>
      </w:r>
      <w:r w:rsidR="00E64452" w:rsidRPr="0001127D">
        <w:rPr>
          <w:noProof/>
        </w:rPr>
        <w:t>'</w:t>
      </w:r>
      <w:r w:rsidRPr="0001127D">
        <w:rPr>
          <w:noProof/>
        </w:rPr>
        <w:t xml:space="preserve">EUID della società; </w:t>
      </w:r>
    </w:p>
    <w:p w14:paraId="44927D15" w14:textId="77777777" w:rsidR="002F06CE" w:rsidRPr="0001127D" w:rsidRDefault="002F06CE" w:rsidP="002F06CE">
      <w:pPr>
        <w:pStyle w:val="Point1"/>
        <w:rPr>
          <w:noProof/>
        </w:rPr>
      </w:pPr>
      <w:r w:rsidRPr="0001127D">
        <w:rPr>
          <w:noProof/>
        </w:rPr>
        <w:t>e)</w:t>
      </w:r>
      <w:r w:rsidRPr="0001127D">
        <w:rPr>
          <w:noProof/>
        </w:rPr>
        <w:tab/>
        <w:t>la sede sociale della società;</w:t>
      </w:r>
    </w:p>
    <w:p w14:paraId="42D5780E" w14:textId="7D48D27B" w:rsidR="002F06CE" w:rsidRPr="0001127D" w:rsidRDefault="002F06CE" w:rsidP="002F06CE">
      <w:pPr>
        <w:pStyle w:val="Point1"/>
        <w:rPr>
          <w:noProof/>
        </w:rPr>
      </w:pPr>
      <w:r w:rsidRPr="0001127D">
        <w:rPr>
          <w:noProof/>
        </w:rPr>
        <w:t>f)</w:t>
      </w:r>
      <w:r w:rsidRPr="0001127D">
        <w:rPr>
          <w:noProof/>
        </w:rPr>
        <w:tab/>
        <w:t>l</w:t>
      </w:r>
      <w:r w:rsidR="00E64452" w:rsidRPr="0001127D">
        <w:rPr>
          <w:noProof/>
        </w:rPr>
        <w:t>'</w:t>
      </w:r>
      <w:r w:rsidRPr="0001127D">
        <w:rPr>
          <w:noProof/>
        </w:rPr>
        <w:t>indirizzo postale o l</w:t>
      </w:r>
      <w:r w:rsidR="00E64452" w:rsidRPr="0001127D">
        <w:rPr>
          <w:noProof/>
        </w:rPr>
        <w:t>'</w:t>
      </w:r>
      <w:r w:rsidRPr="0001127D">
        <w:rPr>
          <w:noProof/>
        </w:rPr>
        <w:t>indirizzo di contatto della società;</w:t>
      </w:r>
    </w:p>
    <w:p w14:paraId="126B7A5E" w14:textId="6EC5D28D" w:rsidR="002F06CE" w:rsidRPr="0001127D" w:rsidRDefault="002F06CE" w:rsidP="002F06CE">
      <w:pPr>
        <w:pStyle w:val="Point1"/>
        <w:rPr>
          <w:noProof/>
        </w:rPr>
      </w:pPr>
      <w:r w:rsidRPr="0001127D">
        <w:rPr>
          <w:noProof/>
        </w:rPr>
        <w:t>g)</w:t>
      </w:r>
      <w:r w:rsidRPr="0001127D">
        <w:rPr>
          <w:noProof/>
        </w:rPr>
        <w:tab/>
        <w:t>l</w:t>
      </w:r>
      <w:r w:rsidR="00E64452" w:rsidRPr="0001127D">
        <w:rPr>
          <w:noProof/>
        </w:rPr>
        <w:t>'</w:t>
      </w:r>
      <w:r w:rsidRPr="0001127D">
        <w:rPr>
          <w:noProof/>
        </w:rPr>
        <w:t>indirizzo elettronico della società;</w:t>
      </w:r>
    </w:p>
    <w:p w14:paraId="4042345A" w14:textId="77777777" w:rsidR="002F06CE" w:rsidRPr="0001127D" w:rsidRDefault="002F06CE" w:rsidP="002F06CE">
      <w:pPr>
        <w:pStyle w:val="Point1"/>
        <w:rPr>
          <w:noProof/>
        </w:rPr>
      </w:pPr>
      <w:r w:rsidRPr="0001127D">
        <w:rPr>
          <w:noProof/>
        </w:rPr>
        <w:t>h)</w:t>
      </w:r>
      <w:r w:rsidRPr="0001127D">
        <w:rPr>
          <w:noProof/>
        </w:rPr>
        <w:tab/>
        <w:t xml:space="preserve"> la data di iscrizione della società;</w:t>
      </w:r>
    </w:p>
    <w:p w14:paraId="46DF301F" w14:textId="3A2F8D12" w:rsidR="002F06CE" w:rsidRPr="0001127D" w:rsidRDefault="002F06CE" w:rsidP="002F06CE">
      <w:pPr>
        <w:pStyle w:val="Point1"/>
        <w:rPr>
          <w:noProof/>
        </w:rPr>
      </w:pPr>
      <w:r w:rsidRPr="0001127D">
        <w:rPr>
          <w:noProof/>
        </w:rPr>
        <w:t>i)</w:t>
      </w:r>
      <w:r w:rsidRPr="0001127D">
        <w:rPr>
          <w:noProof/>
        </w:rPr>
        <w:tab/>
        <w:t>l</w:t>
      </w:r>
      <w:r w:rsidR="00E64452" w:rsidRPr="0001127D">
        <w:rPr>
          <w:noProof/>
        </w:rPr>
        <w:t>'</w:t>
      </w:r>
      <w:r w:rsidRPr="0001127D">
        <w:rPr>
          <w:noProof/>
        </w:rPr>
        <w:t>ammontare del capitale sottoscritto;</w:t>
      </w:r>
    </w:p>
    <w:p w14:paraId="7B45DD6A" w14:textId="77777777" w:rsidR="002F06CE" w:rsidRPr="0001127D" w:rsidRDefault="002F06CE" w:rsidP="002F06CE">
      <w:pPr>
        <w:pStyle w:val="Point1"/>
        <w:rPr>
          <w:noProof/>
        </w:rPr>
      </w:pPr>
      <w:r w:rsidRPr="0001127D">
        <w:rPr>
          <w:noProof/>
        </w:rPr>
        <w:t>j)</w:t>
      </w:r>
      <w:r w:rsidRPr="0001127D">
        <w:rPr>
          <w:noProof/>
        </w:rPr>
        <w:tab/>
        <w:t>lo stato della società;</w:t>
      </w:r>
    </w:p>
    <w:p w14:paraId="424C28A3" w14:textId="77777777" w:rsidR="002F06CE" w:rsidRPr="0001127D" w:rsidRDefault="002F06CE" w:rsidP="002F06CE">
      <w:pPr>
        <w:pStyle w:val="Point1"/>
        <w:rPr>
          <w:noProof/>
        </w:rPr>
      </w:pPr>
      <w:r w:rsidRPr="0001127D">
        <w:rPr>
          <w:noProof/>
        </w:rPr>
        <w:t>k)</w:t>
      </w:r>
      <w:r w:rsidRPr="0001127D">
        <w:rPr>
          <w:noProof/>
        </w:rPr>
        <w:tab/>
        <w:t xml:space="preserve">le generalità delle persone che, in quanto organismo o membri di tale organismo, sono autorizzate dalla società a rappresentarla nei rapporti con terzi e nei procedimenti giudiziari, e le informazioni che precisino se le tali persone possono agire da sole o sono tenute ad agire congiuntamente; </w:t>
      </w:r>
    </w:p>
    <w:p w14:paraId="7EBFDC3D" w14:textId="3A909C14" w:rsidR="002F06CE" w:rsidRPr="0001127D" w:rsidRDefault="002F06CE" w:rsidP="002F06CE">
      <w:pPr>
        <w:pStyle w:val="Point1"/>
        <w:rPr>
          <w:noProof/>
        </w:rPr>
      </w:pPr>
      <w:r w:rsidRPr="0001127D">
        <w:rPr>
          <w:noProof/>
        </w:rPr>
        <w:t>l)</w:t>
      </w:r>
      <w:r w:rsidRPr="0001127D">
        <w:rPr>
          <w:noProof/>
        </w:rPr>
        <w:tab/>
        <w:t>l</w:t>
      </w:r>
      <w:r w:rsidR="00E64452" w:rsidRPr="0001127D">
        <w:rPr>
          <w:noProof/>
        </w:rPr>
        <w:t>'</w:t>
      </w:r>
      <w:r w:rsidRPr="0001127D">
        <w:rPr>
          <w:noProof/>
        </w:rPr>
        <w:t xml:space="preserve">oggetto della società; </w:t>
      </w:r>
    </w:p>
    <w:p w14:paraId="21710700" w14:textId="77777777" w:rsidR="002F06CE" w:rsidRPr="0001127D" w:rsidRDefault="002F06CE" w:rsidP="002F06CE">
      <w:pPr>
        <w:pStyle w:val="Point1"/>
        <w:rPr>
          <w:noProof/>
        </w:rPr>
      </w:pPr>
      <w:r w:rsidRPr="0001127D">
        <w:rPr>
          <w:noProof/>
        </w:rPr>
        <w:t>m)</w:t>
      </w:r>
      <w:r w:rsidRPr="0001127D">
        <w:rPr>
          <w:noProof/>
        </w:rPr>
        <w:tab/>
        <w:t>la durata della società;</w:t>
      </w:r>
    </w:p>
    <w:p w14:paraId="082641C7" w14:textId="77777777" w:rsidR="002F06CE" w:rsidRPr="0001127D" w:rsidRDefault="002F06CE" w:rsidP="002F06CE">
      <w:pPr>
        <w:pStyle w:val="Point1"/>
        <w:rPr>
          <w:noProof/>
        </w:rPr>
      </w:pPr>
      <w:r w:rsidRPr="0001127D">
        <w:rPr>
          <w:noProof/>
        </w:rPr>
        <w:t>n)</w:t>
      </w:r>
      <w:r w:rsidRPr="0001127D">
        <w:rPr>
          <w:noProof/>
        </w:rPr>
        <w:tab/>
        <w:t>i dettagli del sito web della società, ove tali dettagli siano registrati nel registro nazionale.</w:t>
      </w:r>
    </w:p>
    <w:p w14:paraId="3EB61A4D" w14:textId="190C4081" w:rsidR="002F06CE" w:rsidRPr="0001127D" w:rsidRDefault="002F06CE" w:rsidP="002F06CE">
      <w:pPr>
        <w:pStyle w:val="CommentText"/>
        <w:ind w:left="851"/>
        <w:contextualSpacing/>
        <w:rPr>
          <w:noProof/>
          <w:sz w:val="24"/>
          <w:szCs w:val="24"/>
        </w:rPr>
      </w:pPr>
      <w:r w:rsidRPr="0001127D">
        <w:rPr>
          <w:noProof/>
          <w:sz w:val="24"/>
        </w:rPr>
        <w:t>3. Il certificato delle società UE per le società di persone elencate all</w:t>
      </w:r>
      <w:r w:rsidR="00E64452" w:rsidRPr="0001127D">
        <w:rPr>
          <w:noProof/>
          <w:sz w:val="24"/>
        </w:rPr>
        <w:t>'</w:t>
      </w:r>
      <w:r w:rsidRPr="0001127D">
        <w:rPr>
          <w:noProof/>
          <w:sz w:val="24"/>
        </w:rPr>
        <w:t xml:space="preserve">allegato II </w:t>
      </w:r>
      <w:r w:rsidRPr="0001127D">
        <w:rPr>
          <w:i/>
          <w:iCs/>
          <w:noProof/>
          <w:sz w:val="24"/>
        </w:rPr>
        <w:t>ter</w:t>
      </w:r>
      <w:r w:rsidRPr="0001127D">
        <w:rPr>
          <w:noProof/>
          <w:sz w:val="24"/>
        </w:rPr>
        <w:t xml:space="preserve"> contiene le informazioni di cui al paragrafo 2, lettere a), b), c), d), e), f), g), h), j), k), l), m) e n), compresa la data del loro ultimo aggiornamento ai sensi dell</w:t>
      </w:r>
      <w:r w:rsidR="00E64452" w:rsidRPr="0001127D">
        <w:rPr>
          <w:noProof/>
          <w:sz w:val="24"/>
        </w:rPr>
        <w:t>'</w:t>
      </w:r>
      <w:r w:rsidRPr="0001127D">
        <w:rPr>
          <w:noProof/>
          <w:sz w:val="24"/>
        </w:rPr>
        <w:t xml:space="preserve">articolo 15, paragrafo 2. </w:t>
      </w:r>
    </w:p>
    <w:p w14:paraId="6B1BDFDA" w14:textId="77777777" w:rsidR="002F06CE" w:rsidRPr="0001127D" w:rsidRDefault="002F06CE" w:rsidP="002F06CE">
      <w:pPr>
        <w:pStyle w:val="CommentText"/>
        <w:ind w:left="360"/>
        <w:contextualSpacing/>
        <w:rPr>
          <w:noProof/>
          <w:sz w:val="24"/>
          <w:szCs w:val="24"/>
        </w:rPr>
      </w:pPr>
      <w:r w:rsidRPr="0001127D">
        <w:rPr>
          <w:noProof/>
          <w:sz w:val="24"/>
        </w:rPr>
        <w:t xml:space="preserve"> </w:t>
      </w:r>
    </w:p>
    <w:p w14:paraId="27678CE8" w14:textId="77777777" w:rsidR="002F06CE" w:rsidRPr="0001127D" w:rsidRDefault="002F06CE" w:rsidP="002F06CE">
      <w:pPr>
        <w:pStyle w:val="CommentText"/>
        <w:ind w:left="142" w:firstLine="720"/>
        <w:contextualSpacing/>
        <w:rPr>
          <w:noProof/>
          <w:sz w:val="24"/>
          <w:szCs w:val="24"/>
        </w:rPr>
      </w:pPr>
      <w:r w:rsidRPr="0001127D">
        <w:rPr>
          <w:noProof/>
          <w:sz w:val="24"/>
        </w:rPr>
        <w:t>Vi figurano inoltre le seguenti informazioni:</w:t>
      </w:r>
    </w:p>
    <w:p w14:paraId="4A956A89" w14:textId="2D40DDFA" w:rsidR="002F06CE" w:rsidRPr="0001127D" w:rsidRDefault="002F06CE" w:rsidP="002F06CE">
      <w:pPr>
        <w:shd w:val="clear" w:color="auto" w:fill="FFFFFF"/>
        <w:ind w:left="1701" w:hanging="425"/>
        <w:rPr>
          <w:noProof/>
          <w:szCs w:val="24"/>
        </w:rPr>
      </w:pPr>
      <w:r w:rsidRPr="0001127D">
        <w:rPr>
          <w:noProof/>
        </w:rPr>
        <w:t>a) l</w:t>
      </w:r>
      <w:r w:rsidR="00E64452" w:rsidRPr="0001127D">
        <w:rPr>
          <w:noProof/>
        </w:rPr>
        <w:t>'</w:t>
      </w:r>
      <w:r w:rsidRPr="0001127D">
        <w:rPr>
          <w:noProof/>
        </w:rPr>
        <w:t>importo totale dei conferimenti dei soci</w:t>
      </w:r>
    </w:p>
    <w:p w14:paraId="6124E3D5" w14:textId="77777777" w:rsidR="002F06CE" w:rsidRPr="0001127D" w:rsidRDefault="002F06CE" w:rsidP="002F06CE">
      <w:pPr>
        <w:shd w:val="clear" w:color="auto" w:fill="FFFFFF"/>
        <w:ind w:left="1701" w:hanging="425"/>
        <w:rPr>
          <w:noProof/>
          <w:szCs w:val="24"/>
        </w:rPr>
      </w:pPr>
      <w:r w:rsidRPr="0001127D">
        <w:rPr>
          <w:noProof/>
        </w:rPr>
        <w:t>b) le generalità dei soci che rispondono illimitatamente e, nel caso delle società in accomandita, anche le generalità dei soci accomandanti;</w:t>
      </w:r>
    </w:p>
    <w:p w14:paraId="5F4548F4" w14:textId="77777777" w:rsidR="002F06CE" w:rsidRPr="0001127D" w:rsidRDefault="002F06CE" w:rsidP="002F06CE">
      <w:pPr>
        <w:shd w:val="clear" w:color="auto" w:fill="FFFFFF"/>
        <w:ind w:left="1701" w:hanging="425"/>
        <w:rPr>
          <w:noProof/>
          <w:szCs w:val="24"/>
        </w:rPr>
      </w:pPr>
      <w:r w:rsidRPr="0001127D">
        <w:rPr>
          <w:noProof/>
        </w:rPr>
        <w:t>c) le generalità dei soci che sono autorizzati a rappresentare la società di persone nei rapporti con terzi e nei procedimenti giudiziari.</w:t>
      </w:r>
    </w:p>
    <w:p w14:paraId="000CAC09" w14:textId="3FFF759D" w:rsidR="002F06CE" w:rsidRPr="0001127D" w:rsidRDefault="002F06CE" w:rsidP="002F06CE">
      <w:pPr>
        <w:pStyle w:val="CommentText"/>
        <w:spacing w:after="0"/>
        <w:ind w:left="851"/>
        <w:contextualSpacing/>
        <w:rPr>
          <w:noProof/>
          <w:sz w:val="24"/>
          <w:szCs w:val="24"/>
        </w:rPr>
      </w:pPr>
      <w:r w:rsidRPr="0001127D">
        <w:rPr>
          <w:noProof/>
          <w:sz w:val="24"/>
        </w:rPr>
        <w:t>4. Gli Stati membri provvedono affinché il certificato delle società UE possa essere ottenuto dal registro di cui all</w:t>
      </w:r>
      <w:r w:rsidR="00E64452" w:rsidRPr="0001127D">
        <w:rPr>
          <w:noProof/>
          <w:sz w:val="24"/>
        </w:rPr>
        <w:t>'</w:t>
      </w:r>
      <w:r w:rsidRPr="0001127D">
        <w:rPr>
          <w:noProof/>
          <w:sz w:val="24"/>
        </w:rPr>
        <w:t xml:space="preserve">articolo 16 su richiesta presentata su supporto cartaceo o per via elettronica. </w:t>
      </w:r>
    </w:p>
    <w:p w14:paraId="01307E42" w14:textId="77777777" w:rsidR="002F06CE" w:rsidRPr="0001127D" w:rsidRDefault="002F06CE" w:rsidP="002F06CE">
      <w:pPr>
        <w:pStyle w:val="CommentText"/>
        <w:spacing w:after="0"/>
        <w:ind w:left="851"/>
        <w:contextualSpacing/>
        <w:rPr>
          <w:noProof/>
          <w:sz w:val="24"/>
          <w:szCs w:val="24"/>
        </w:rPr>
      </w:pPr>
    </w:p>
    <w:p w14:paraId="3C686B2B" w14:textId="77777777" w:rsidR="002F06CE" w:rsidRPr="0001127D" w:rsidRDefault="002F06CE" w:rsidP="002F06CE">
      <w:pPr>
        <w:pStyle w:val="CommentText"/>
        <w:spacing w:after="0"/>
        <w:ind w:left="851"/>
        <w:contextualSpacing/>
        <w:rPr>
          <w:noProof/>
          <w:sz w:val="24"/>
          <w:szCs w:val="24"/>
        </w:rPr>
      </w:pPr>
      <w:r w:rsidRPr="0001127D">
        <w:rPr>
          <w:noProof/>
          <w:sz w:val="24"/>
        </w:rPr>
        <w:t xml:space="preserve">Gli Stati membri provvedono affinché la versione elettronica del certificato delle società UE possa essere ottenute anche tramite il sistema di interconnessione dei registri. </w:t>
      </w:r>
    </w:p>
    <w:p w14:paraId="0CE412CE" w14:textId="77777777" w:rsidR="002F06CE" w:rsidRPr="0001127D" w:rsidRDefault="002F06CE" w:rsidP="002F06CE">
      <w:pPr>
        <w:pStyle w:val="CommentText"/>
        <w:spacing w:after="0"/>
        <w:ind w:left="851"/>
        <w:contextualSpacing/>
        <w:rPr>
          <w:noProof/>
          <w:sz w:val="24"/>
          <w:szCs w:val="24"/>
          <w:lang w:eastAsia="en-IE"/>
        </w:rPr>
      </w:pPr>
    </w:p>
    <w:p w14:paraId="24B217E5" w14:textId="7818959B" w:rsidR="002F06CE" w:rsidRPr="0001127D" w:rsidRDefault="002F06CE" w:rsidP="002F06CE">
      <w:pPr>
        <w:pStyle w:val="CommentText"/>
        <w:ind w:left="851"/>
        <w:contextualSpacing/>
        <w:rPr>
          <w:noProof/>
          <w:sz w:val="24"/>
          <w:szCs w:val="24"/>
        </w:rPr>
      </w:pPr>
      <w:r w:rsidRPr="0001127D">
        <w:rPr>
          <w:noProof/>
          <w:sz w:val="24"/>
        </w:rPr>
        <w:t>5. Il prezzo per il rilascio, su supporto cartaceo o per via elettronica, del certificato delle società UE, non supera il costo amministrativo, ivi compresi i costi dello</w:t>
      </w:r>
      <w:r w:rsidR="00E64452" w:rsidRPr="0001127D">
        <w:rPr>
          <w:noProof/>
          <w:sz w:val="24"/>
        </w:rPr>
        <w:t xml:space="preserve"> </w:t>
      </w:r>
      <w:r w:rsidRPr="0001127D">
        <w:rPr>
          <w:noProof/>
          <w:sz w:val="24"/>
        </w:rPr>
        <w:t xml:space="preserve">sviluppo e della manutenzione dei registri. </w:t>
      </w:r>
    </w:p>
    <w:p w14:paraId="5F4B625D" w14:textId="77777777" w:rsidR="002F06CE" w:rsidRPr="0001127D" w:rsidRDefault="002F06CE" w:rsidP="002F06CE">
      <w:pPr>
        <w:pStyle w:val="CommentText"/>
        <w:ind w:left="851"/>
        <w:contextualSpacing/>
        <w:rPr>
          <w:noProof/>
          <w:sz w:val="24"/>
          <w:szCs w:val="24"/>
        </w:rPr>
      </w:pPr>
    </w:p>
    <w:p w14:paraId="6A097023" w14:textId="77777777" w:rsidR="002F06CE" w:rsidRPr="0001127D" w:rsidRDefault="002F06CE" w:rsidP="002F06CE">
      <w:pPr>
        <w:pStyle w:val="CommentText"/>
        <w:spacing w:after="0"/>
        <w:ind w:left="851"/>
        <w:contextualSpacing/>
        <w:rPr>
          <w:noProof/>
          <w:sz w:val="24"/>
          <w:szCs w:val="24"/>
        </w:rPr>
      </w:pPr>
      <w:r w:rsidRPr="0001127D">
        <w:rPr>
          <w:noProof/>
          <w:sz w:val="24"/>
        </w:rPr>
        <w:t xml:space="preserve">Gli Stati membri provvedono affinché ciascuna società di cui agli allegati II e II </w:t>
      </w:r>
      <w:r w:rsidRPr="0001127D">
        <w:rPr>
          <w:i/>
          <w:iCs/>
          <w:noProof/>
          <w:sz w:val="24"/>
        </w:rPr>
        <w:t>ter</w:t>
      </w:r>
      <w:r w:rsidRPr="0001127D">
        <w:rPr>
          <w:noProof/>
          <w:sz w:val="24"/>
        </w:rPr>
        <w:t xml:space="preserve"> possa ottenere il proprio certificato delle società UE in formato elettronico, a titolo gratuito, almeno una volta per anno civile. </w:t>
      </w:r>
    </w:p>
    <w:p w14:paraId="071FCD34" w14:textId="4E450EDF" w:rsidR="002F06CE" w:rsidRPr="0001127D" w:rsidRDefault="002F06CE" w:rsidP="002F06CE">
      <w:pPr>
        <w:ind w:left="851"/>
        <w:rPr>
          <w:noProof/>
          <w:szCs w:val="24"/>
        </w:rPr>
      </w:pPr>
      <w:r w:rsidRPr="0001127D">
        <w:rPr>
          <w:noProof/>
        </w:rPr>
        <w:t>6. Gli Stati membri assicurano che il certificato delle società UE fornito dal registro in formato elettronico sia autenticato per mezzo dei servizi fiduciari di cui al regolamento (UE) n. 910/2014, al fine di garantire che sia stato fornito dal registro e che il suo contenuto costituisca una copia certificata conforme delle informazioni conservate dal registro o sia coerente con esse. Il certificato delle società UE è inoltre compatibile con il portafoglio europeo di identità digitale di cui alla [OP: riferimento alla proposta di regolamento del Parlamento europeo e del Consiglio che modifica il regolamento (UE) n.</w:t>
      </w:r>
      <w:r w:rsidR="009C1CEF" w:rsidRPr="0001127D">
        <w:rPr>
          <w:noProof/>
        </w:rPr>
        <w:t> </w:t>
      </w:r>
      <w:r w:rsidRPr="0001127D">
        <w:rPr>
          <w:noProof/>
        </w:rPr>
        <w:t>910/2014 per quanto riguarda l</w:t>
      </w:r>
      <w:r w:rsidR="00E64452" w:rsidRPr="0001127D">
        <w:rPr>
          <w:noProof/>
        </w:rPr>
        <w:t>'</w:t>
      </w:r>
      <w:r w:rsidRPr="0001127D">
        <w:rPr>
          <w:noProof/>
        </w:rPr>
        <w:t>istituzione di un quadro per un</w:t>
      </w:r>
      <w:r w:rsidR="00E64452" w:rsidRPr="0001127D">
        <w:rPr>
          <w:noProof/>
        </w:rPr>
        <w:t>'</w:t>
      </w:r>
      <w:r w:rsidRPr="0001127D">
        <w:rPr>
          <w:noProof/>
        </w:rPr>
        <w:t>identità digitale europea].</w:t>
      </w:r>
    </w:p>
    <w:p w14:paraId="6A0FF93D" w14:textId="617CDF00" w:rsidR="002F06CE" w:rsidRPr="0001127D" w:rsidRDefault="002F06CE" w:rsidP="002F06CE">
      <w:pPr>
        <w:pStyle w:val="CommentText"/>
        <w:ind w:left="851"/>
        <w:contextualSpacing/>
        <w:rPr>
          <w:noProof/>
          <w:sz w:val="24"/>
          <w:szCs w:val="24"/>
        </w:rPr>
      </w:pPr>
      <w:r w:rsidRPr="0001127D">
        <w:rPr>
          <w:noProof/>
          <w:sz w:val="24"/>
        </w:rPr>
        <w:t>7. Gli Stati membri provvedono affinché il certificato delle società UE fornito dal registro in formato cartaceo rechi la data di emissione come pure il bollo o il timbro del registro, allo scopo di attestare che il suo contenuto è una copia certificata conforme delle informazioni conservate dal registro o è coerente con esse. Il certificato delle società UE comporta inoltre una caratteristica tecnica che consente la verifica elettronica dell</w:t>
      </w:r>
      <w:r w:rsidR="00E64452" w:rsidRPr="0001127D">
        <w:rPr>
          <w:noProof/>
          <w:sz w:val="24"/>
        </w:rPr>
        <w:t>'</w:t>
      </w:r>
      <w:r w:rsidRPr="0001127D">
        <w:rPr>
          <w:noProof/>
          <w:sz w:val="24"/>
        </w:rPr>
        <w:t>origine e dell</w:t>
      </w:r>
      <w:r w:rsidR="00E64452" w:rsidRPr="0001127D">
        <w:rPr>
          <w:noProof/>
          <w:sz w:val="24"/>
        </w:rPr>
        <w:t>'</w:t>
      </w:r>
      <w:r w:rsidRPr="0001127D">
        <w:rPr>
          <w:noProof/>
          <w:sz w:val="24"/>
        </w:rPr>
        <w:t>autenticità del documento, come un numero unico di protocollo o di identificazione.</w:t>
      </w:r>
      <w:r w:rsidRPr="0001127D">
        <w:rPr>
          <w:noProof/>
        </w:rPr>
        <w:t xml:space="preserve"> </w:t>
      </w:r>
    </w:p>
    <w:p w14:paraId="01D97F97" w14:textId="77777777" w:rsidR="002F06CE" w:rsidRPr="0001127D" w:rsidRDefault="002F06CE" w:rsidP="002F06CE">
      <w:pPr>
        <w:pStyle w:val="CommentText"/>
        <w:ind w:left="851"/>
        <w:contextualSpacing/>
        <w:rPr>
          <w:noProof/>
          <w:sz w:val="24"/>
          <w:szCs w:val="24"/>
        </w:rPr>
      </w:pPr>
    </w:p>
    <w:p w14:paraId="100082F3" w14:textId="1622ED78" w:rsidR="002F06CE" w:rsidRPr="0001127D" w:rsidRDefault="002F06CE" w:rsidP="002F06CE">
      <w:pPr>
        <w:pStyle w:val="CommentText"/>
        <w:spacing w:before="0" w:after="0"/>
        <w:ind w:left="851"/>
        <w:contextualSpacing/>
        <w:rPr>
          <w:noProof/>
          <w:sz w:val="24"/>
          <w:szCs w:val="24"/>
        </w:rPr>
      </w:pPr>
      <w:r w:rsidRPr="0001127D">
        <w:rPr>
          <w:noProof/>
          <w:sz w:val="24"/>
        </w:rPr>
        <w:t>8. La Commissione pubblica il modello del certificato delle società UE sul portale in tutte le lingue ufficiali dell</w:t>
      </w:r>
      <w:r w:rsidR="00E64452" w:rsidRPr="0001127D">
        <w:rPr>
          <w:noProof/>
          <w:sz w:val="24"/>
        </w:rPr>
        <w:t>'</w:t>
      </w:r>
      <w:r w:rsidRPr="0001127D">
        <w:rPr>
          <w:noProof/>
          <w:sz w:val="24"/>
        </w:rPr>
        <w:t>Unione.</w:t>
      </w:r>
      <w:r w:rsidR="00E64452" w:rsidRPr="0001127D">
        <w:rPr>
          <w:noProof/>
          <w:sz w:val="24"/>
        </w:rPr>
        <w:t xml:space="preserve"> </w:t>
      </w:r>
    </w:p>
    <w:p w14:paraId="7EAC5581" w14:textId="77777777" w:rsidR="002F06CE" w:rsidRPr="0001127D" w:rsidRDefault="002F06CE" w:rsidP="002F06CE">
      <w:pPr>
        <w:pStyle w:val="ListParagraph"/>
        <w:spacing w:after="0"/>
        <w:ind w:left="851"/>
        <w:rPr>
          <w:rFonts w:ascii="Times New Roman" w:hAnsi="Times New Roman" w:cs="Times New Roman"/>
          <w:noProof/>
          <w:sz w:val="24"/>
          <w:szCs w:val="24"/>
        </w:rPr>
      </w:pPr>
    </w:p>
    <w:p w14:paraId="345933AB" w14:textId="77777777" w:rsidR="002F06CE" w:rsidRPr="0001127D" w:rsidRDefault="002F06CE" w:rsidP="002F06CE">
      <w:pPr>
        <w:pStyle w:val="CommentText"/>
        <w:spacing w:after="0"/>
        <w:contextualSpacing/>
        <w:jc w:val="center"/>
        <w:rPr>
          <w:noProof/>
          <w:sz w:val="24"/>
          <w:szCs w:val="24"/>
        </w:rPr>
      </w:pPr>
      <w:r w:rsidRPr="0001127D">
        <w:rPr>
          <w:noProof/>
          <w:sz w:val="24"/>
        </w:rPr>
        <w:t xml:space="preserve">Articolo 16 </w:t>
      </w:r>
      <w:r w:rsidRPr="0001127D">
        <w:rPr>
          <w:i/>
          <w:iCs/>
          <w:noProof/>
          <w:sz w:val="24"/>
        </w:rPr>
        <w:t>quater</w:t>
      </w:r>
    </w:p>
    <w:p w14:paraId="5D20000F" w14:textId="77777777" w:rsidR="002F06CE" w:rsidRPr="0001127D" w:rsidRDefault="002F06CE" w:rsidP="002F06CE">
      <w:pPr>
        <w:pStyle w:val="CommentText"/>
        <w:contextualSpacing/>
        <w:jc w:val="center"/>
        <w:rPr>
          <w:i/>
          <w:noProof/>
          <w:sz w:val="24"/>
          <w:szCs w:val="24"/>
        </w:rPr>
      </w:pPr>
    </w:p>
    <w:p w14:paraId="2FAF3098" w14:textId="17DFA065" w:rsidR="002F06CE" w:rsidRPr="0001127D" w:rsidRDefault="002F06CE" w:rsidP="002F06CE">
      <w:pPr>
        <w:jc w:val="center"/>
        <w:rPr>
          <w:b/>
          <w:noProof/>
          <w:szCs w:val="24"/>
        </w:rPr>
      </w:pPr>
      <w:r w:rsidRPr="0001127D">
        <w:rPr>
          <w:b/>
          <w:noProof/>
        </w:rPr>
        <w:t>Procura digitale dell</w:t>
      </w:r>
      <w:r w:rsidR="00E64452" w:rsidRPr="0001127D">
        <w:rPr>
          <w:b/>
          <w:noProof/>
        </w:rPr>
        <w:t>'</w:t>
      </w:r>
      <w:r w:rsidRPr="0001127D">
        <w:rPr>
          <w:b/>
          <w:noProof/>
        </w:rPr>
        <w:t xml:space="preserve">UE </w:t>
      </w:r>
    </w:p>
    <w:p w14:paraId="6EE7F555" w14:textId="31110ABC" w:rsidR="002F06CE" w:rsidRPr="0001127D" w:rsidRDefault="002F06CE" w:rsidP="002F06CE">
      <w:pPr>
        <w:ind w:left="851"/>
        <w:rPr>
          <w:noProof/>
        </w:rPr>
      </w:pPr>
      <w:r w:rsidRPr="0001127D">
        <w:rPr>
          <w:noProof/>
        </w:rPr>
        <w:t>1. Gli Stati membri provvedono affinché, per svolgere procedure in un altro Stato membro nell</w:t>
      </w:r>
      <w:r w:rsidR="00E64452" w:rsidRPr="0001127D">
        <w:rPr>
          <w:noProof/>
        </w:rPr>
        <w:t>'</w:t>
      </w:r>
      <w:r w:rsidRPr="0001127D">
        <w:rPr>
          <w:noProof/>
        </w:rPr>
        <w:t xml:space="preserve">ambito della presente direttiva, le società elencate agli allegati II e II </w:t>
      </w:r>
      <w:r w:rsidRPr="0001127D">
        <w:rPr>
          <w:i/>
          <w:iCs/>
          <w:noProof/>
        </w:rPr>
        <w:t>ter</w:t>
      </w:r>
      <w:r w:rsidRPr="0001127D">
        <w:rPr>
          <w:noProof/>
        </w:rPr>
        <w:t xml:space="preserve"> possano utilizzare un modello standard di procura digitale dell</w:t>
      </w:r>
      <w:r w:rsidR="00E64452" w:rsidRPr="0001127D">
        <w:rPr>
          <w:noProof/>
        </w:rPr>
        <w:t>'</w:t>
      </w:r>
      <w:r w:rsidRPr="0001127D">
        <w:rPr>
          <w:noProof/>
        </w:rPr>
        <w:t xml:space="preserve">UE conformemente al presente articolo per autorizzare una persona a rappresentarle. </w:t>
      </w:r>
    </w:p>
    <w:p w14:paraId="53BBADF9" w14:textId="3B4026B4" w:rsidR="002F06CE" w:rsidRPr="0001127D" w:rsidRDefault="002F06CE" w:rsidP="002F06CE">
      <w:pPr>
        <w:ind w:left="851"/>
        <w:rPr>
          <w:noProof/>
          <w:szCs w:val="24"/>
        </w:rPr>
      </w:pPr>
      <w:r w:rsidRPr="0001127D">
        <w:rPr>
          <w:noProof/>
        </w:rPr>
        <w:t>La procura digitale dell</w:t>
      </w:r>
      <w:r w:rsidR="00E64452" w:rsidRPr="0001127D">
        <w:rPr>
          <w:noProof/>
        </w:rPr>
        <w:t>'</w:t>
      </w:r>
      <w:r w:rsidRPr="0001127D">
        <w:rPr>
          <w:noProof/>
        </w:rPr>
        <w:t>UE è costituita e revocata conformemente ai requisiti giuridici e formali nazionali. I requisiti nazionali per la costituzione della procura digitale dell</w:t>
      </w:r>
      <w:r w:rsidR="00E64452" w:rsidRPr="0001127D">
        <w:rPr>
          <w:noProof/>
        </w:rPr>
        <w:t>'</w:t>
      </w:r>
      <w:r w:rsidRPr="0001127D">
        <w:rPr>
          <w:noProof/>
        </w:rPr>
        <w:t>UE includono almeno la verifica dell</w:t>
      </w:r>
      <w:r w:rsidR="00E64452" w:rsidRPr="0001127D">
        <w:rPr>
          <w:noProof/>
        </w:rPr>
        <w:t>'</w:t>
      </w:r>
      <w:r w:rsidRPr="0001127D">
        <w:rPr>
          <w:noProof/>
        </w:rPr>
        <w:t>identità, della capacità di agire, e dell</w:t>
      </w:r>
      <w:r w:rsidR="00E64452" w:rsidRPr="0001127D">
        <w:rPr>
          <w:noProof/>
        </w:rPr>
        <w:t>'</w:t>
      </w:r>
      <w:r w:rsidRPr="0001127D">
        <w:rPr>
          <w:noProof/>
        </w:rPr>
        <w:t xml:space="preserve">autorità a rappresentare la società, della persona che conferisce la procura. </w:t>
      </w:r>
    </w:p>
    <w:p w14:paraId="620DF91B" w14:textId="4DDECBB7" w:rsidR="002F06CE" w:rsidRPr="0001127D" w:rsidRDefault="002F06CE" w:rsidP="002F06CE">
      <w:pPr>
        <w:ind w:left="851"/>
        <w:contextualSpacing/>
        <w:rPr>
          <w:noProof/>
          <w:szCs w:val="24"/>
        </w:rPr>
      </w:pPr>
      <w:r w:rsidRPr="0001127D">
        <w:rPr>
          <w:noProof/>
        </w:rPr>
        <w:t>Gli Stati assicurano che la procura digitale dell</w:t>
      </w:r>
      <w:r w:rsidR="00E64452" w:rsidRPr="0001127D">
        <w:rPr>
          <w:noProof/>
        </w:rPr>
        <w:t>'</w:t>
      </w:r>
      <w:r w:rsidRPr="0001127D">
        <w:rPr>
          <w:noProof/>
        </w:rPr>
        <w:t>UE sia autenticata per mezzo dei servizi fiduciari di cui al regolamento (UE) n.</w:t>
      </w:r>
      <w:r w:rsidR="009C1CEF" w:rsidRPr="0001127D">
        <w:rPr>
          <w:noProof/>
        </w:rPr>
        <w:t> </w:t>
      </w:r>
      <w:r w:rsidRPr="0001127D">
        <w:rPr>
          <w:noProof/>
        </w:rPr>
        <w:t>910/2014 e sia compatibile con il portafoglio europeo di identità digitale di cui alla [OP: riferimento alla proposta di regolamento del Parlamento europeo e del Consiglio che modifica il regolamento (UE) n.</w:t>
      </w:r>
      <w:r w:rsidR="009C1CEF" w:rsidRPr="0001127D">
        <w:rPr>
          <w:noProof/>
        </w:rPr>
        <w:t> </w:t>
      </w:r>
      <w:r w:rsidRPr="0001127D">
        <w:rPr>
          <w:noProof/>
        </w:rPr>
        <w:t>910/2014 per quanto riguarda l</w:t>
      </w:r>
      <w:r w:rsidR="00E64452" w:rsidRPr="0001127D">
        <w:rPr>
          <w:noProof/>
        </w:rPr>
        <w:t>'</w:t>
      </w:r>
      <w:r w:rsidRPr="0001127D">
        <w:rPr>
          <w:noProof/>
        </w:rPr>
        <w:t>istituzione di un quadro per un</w:t>
      </w:r>
      <w:r w:rsidR="00E64452" w:rsidRPr="0001127D">
        <w:rPr>
          <w:noProof/>
        </w:rPr>
        <w:t>'</w:t>
      </w:r>
      <w:r w:rsidRPr="0001127D">
        <w:rPr>
          <w:noProof/>
        </w:rPr>
        <w:t>identità digitale europea].</w:t>
      </w:r>
    </w:p>
    <w:p w14:paraId="4D1A5DDE" w14:textId="77777777" w:rsidR="002F06CE" w:rsidRPr="0001127D" w:rsidRDefault="002F06CE" w:rsidP="002F06CE">
      <w:pPr>
        <w:ind w:left="851"/>
        <w:contextualSpacing/>
        <w:rPr>
          <w:noProof/>
          <w:szCs w:val="24"/>
        </w:rPr>
      </w:pPr>
    </w:p>
    <w:p w14:paraId="078FFE6B" w14:textId="15E55B7F" w:rsidR="002F06CE" w:rsidRPr="0001127D" w:rsidRDefault="002F06CE" w:rsidP="002F06CE">
      <w:pPr>
        <w:ind w:left="851"/>
        <w:contextualSpacing/>
        <w:rPr>
          <w:noProof/>
        </w:rPr>
      </w:pPr>
      <w:r w:rsidRPr="0001127D">
        <w:rPr>
          <w:noProof/>
        </w:rPr>
        <w:t>2. La procura digitale dell</w:t>
      </w:r>
      <w:r w:rsidR="00E64452" w:rsidRPr="0001127D">
        <w:rPr>
          <w:noProof/>
        </w:rPr>
        <w:t>'</w:t>
      </w:r>
      <w:r w:rsidRPr="0001127D">
        <w:rPr>
          <w:noProof/>
        </w:rPr>
        <w:t xml:space="preserve">UE è accettata come prova del diritto, conferito alla persona autorizzata, di rappresentare la società come specificato nel documento. </w:t>
      </w:r>
    </w:p>
    <w:p w14:paraId="3A201082" w14:textId="77777777" w:rsidR="002F06CE" w:rsidRPr="0001127D" w:rsidRDefault="002F06CE" w:rsidP="002F06CE">
      <w:pPr>
        <w:ind w:left="851"/>
        <w:contextualSpacing/>
        <w:rPr>
          <w:noProof/>
        </w:rPr>
      </w:pPr>
    </w:p>
    <w:p w14:paraId="7B26298F" w14:textId="232FD71E" w:rsidR="002F06CE" w:rsidRPr="0001127D" w:rsidRDefault="002F06CE" w:rsidP="002F06CE">
      <w:pPr>
        <w:ind w:left="851"/>
        <w:contextualSpacing/>
        <w:rPr>
          <w:noProof/>
        </w:rPr>
      </w:pPr>
      <w:r w:rsidRPr="0001127D">
        <w:rPr>
          <w:noProof/>
        </w:rPr>
        <w:t>3. Gli Stati membri provvedono affinché le società di cui al paragrafo 1 depositino la procura digitale dell</w:t>
      </w:r>
      <w:r w:rsidR="00E64452" w:rsidRPr="0001127D">
        <w:rPr>
          <w:noProof/>
        </w:rPr>
        <w:t>'</w:t>
      </w:r>
      <w:r w:rsidRPr="0001127D">
        <w:rPr>
          <w:noProof/>
        </w:rPr>
        <w:t>UE, eventuali sue modifiche, e l</w:t>
      </w:r>
      <w:r w:rsidR="00E64452" w:rsidRPr="0001127D">
        <w:rPr>
          <w:noProof/>
        </w:rPr>
        <w:t>'</w:t>
      </w:r>
      <w:r w:rsidRPr="0001127D">
        <w:rPr>
          <w:noProof/>
        </w:rPr>
        <w:t>eventuale revoca, nel registro in cui sono iscritte.</w:t>
      </w:r>
      <w:r w:rsidR="00E64452" w:rsidRPr="0001127D">
        <w:rPr>
          <w:noProof/>
        </w:rPr>
        <w:t xml:space="preserve"> </w:t>
      </w:r>
    </w:p>
    <w:p w14:paraId="02154718" w14:textId="77777777" w:rsidR="002F06CE" w:rsidRPr="0001127D" w:rsidRDefault="002F06CE" w:rsidP="002F06CE">
      <w:pPr>
        <w:ind w:left="851"/>
        <w:contextualSpacing/>
        <w:rPr>
          <w:noProof/>
        </w:rPr>
      </w:pPr>
    </w:p>
    <w:p w14:paraId="055505D1" w14:textId="3C852F0E" w:rsidR="002F06CE" w:rsidRPr="0001127D" w:rsidRDefault="002F06CE" w:rsidP="002F06CE">
      <w:pPr>
        <w:ind w:left="851"/>
        <w:contextualSpacing/>
        <w:rPr>
          <w:noProof/>
        </w:rPr>
      </w:pPr>
      <w:r w:rsidRPr="0001127D">
        <w:rPr>
          <w:noProof/>
        </w:rPr>
        <w:t>4. Le autorità competenti, i registri di cui all</w:t>
      </w:r>
      <w:r w:rsidR="00E64452" w:rsidRPr="0001127D">
        <w:rPr>
          <w:noProof/>
        </w:rPr>
        <w:t>'</w:t>
      </w:r>
      <w:r w:rsidRPr="0001127D">
        <w:rPr>
          <w:noProof/>
        </w:rPr>
        <w:t>articolo</w:t>
      </w:r>
      <w:r w:rsidR="009C1CEF" w:rsidRPr="0001127D">
        <w:rPr>
          <w:noProof/>
        </w:rPr>
        <w:t> </w:t>
      </w:r>
      <w:r w:rsidRPr="0001127D">
        <w:rPr>
          <w:noProof/>
        </w:rPr>
        <w:t>16, e i terzi che possano dimostrare un legittimo interesse, hanno accesso alla procura digitale dell</w:t>
      </w:r>
      <w:r w:rsidR="00E64452" w:rsidRPr="0001127D">
        <w:rPr>
          <w:noProof/>
        </w:rPr>
        <w:t>'</w:t>
      </w:r>
      <w:r w:rsidRPr="0001127D">
        <w:rPr>
          <w:noProof/>
        </w:rPr>
        <w:t xml:space="preserve">UE nel registro della società. </w:t>
      </w:r>
    </w:p>
    <w:p w14:paraId="29CCC8D8" w14:textId="77777777" w:rsidR="002F06CE" w:rsidRPr="0001127D" w:rsidRDefault="002F06CE" w:rsidP="002F06CE">
      <w:pPr>
        <w:ind w:left="851"/>
        <w:contextualSpacing/>
        <w:rPr>
          <w:noProof/>
        </w:rPr>
      </w:pPr>
    </w:p>
    <w:p w14:paraId="3041CD7E" w14:textId="7A8BC160" w:rsidR="002F06CE" w:rsidRPr="0001127D" w:rsidRDefault="002F06CE" w:rsidP="002F06CE">
      <w:pPr>
        <w:ind w:left="851"/>
        <w:contextualSpacing/>
        <w:rPr>
          <w:noProof/>
        </w:rPr>
      </w:pPr>
      <w:r w:rsidRPr="0001127D">
        <w:rPr>
          <w:noProof/>
        </w:rPr>
        <w:t>5. La Commissione pubblica il modello standard di procura digitale dell</w:t>
      </w:r>
      <w:r w:rsidR="00E64452" w:rsidRPr="0001127D">
        <w:rPr>
          <w:noProof/>
        </w:rPr>
        <w:t>'</w:t>
      </w:r>
      <w:r w:rsidRPr="0001127D">
        <w:rPr>
          <w:noProof/>
        </w:rPr>
        <w:t>UE sul portale in tutte le lingue ufficiali dell</w:t>
      </w:r>
      <w:r w:rsidR="00E64452" w:rsidRPr="0001127D">
        <w:rPr>
          <w:noProof/>
        </w:rPr>
        <w:t>'</w:t>
      </w:r>
      <w:r w:rsidRPr="0001127D">
        <w:rPr>
          <w:noProof/>
        </w:rPr>
        <w:t xml:space="preserve">Unione. </w:t>
      </w:r>
    </w:p>
    <w:p w14:paraId="67752CDB" w14:textId="77777777" w:rsidR="002F06CE" w:rsidRPr="0001127D" w:rsidRDefault="002F06CE" w:rsidP="002F06CE">
      <w:pPr>
        <w:rPr>
          <w:noProof/>
        </w:rPr>
      </w:pPr>
      <w:r w:rsidRPr="0001127D">
        <w:rPr>
          <w:noProof/>
        </w:rPr>
        <w:t xml:space="preserve"> </w:t>
      </w:r>
    </w:p>
    <w:p w14:paraId="1546BA18" w14:textId="77777777" w:rsidR="002F06CE" w:rsidRPr="0001127D" w:rsidRDefault="002F06CE" w:rsidP="002F06CE">
      <w:pPr>
        <w:pStyle w:val="CommentText"/>
        <w:ind w:left="360"/>
        <w:contextualSpacing/>
        <w:rPr>
          <w:noProof/>
          <w:sz w:val="24"/>
          <w:szCs w:val="24"/>
        </w:rPr>
      </w:pPr>
    </w:p>
    <w:p w14:paraId="555DF57F" w14:textId="77777777" w:rsidR="002F06CE" w:rsidRPr="0001127D" w:rsidRDefault="002F06CE" w:rsidP="008F2703">
      <w:pPr>
        <w:pStyle w:val="CommentText"/>
        <w:keepNext/>
        <w:contextualSpacing/>
        <w:jc w:val="center"/>
        <w:rPr>
          <w:noProof/>
          <w:sz w:val="24"/>
          <w:szCs w:val="24"/>
        </w:rPr>
      </w:pPr>
      <w:r w:rsidRPr="0001127D">
        <w:rPr>
          <w:noProof/>
          <w:sz w:val="24"/>
        </w:rPr>
        <w:t xml:space="preserve">Articolo 16 </w:t>
      </w:r>
      <w:r w:rsidRPr="0001127D">
        <w:rPr>
          <w:i/>
          <w:iCs/>
          <w:noProof/>
          <w:sz w:val="24"/>
        </w:rPr>
        <w:t>quinquies</w:t>
      </w:r>
    </w:p>
    <w:p w14:paraId="109FED9E" w14:textId="77777777" w:rsidR="002F06CE" w:rsidRPr="0001127D" w:rsidRDefault="002F06CE" w:rsidP="002F06CE">
      <w:pPr>
        <w:pStyle w:val="CommentText"/>
        <w:contextualSpacing/>
        <w:jc w:val="center"/>
        <w:rPr>
          <w:b/>
          <w:noProof/>
          <w:sz w:val="24"/>
          <w:szCs w:val="24"/>
        </w:rPr>
      </w:pPr>
      <w:r w:rsidRPr="0001127D">
        <w:rPr>
          <w:b/>
          <w:noProof/>
          <w:sz w:val="24"/>
        </w:rPr>
        <w:t xml:space="preserve"> </w:t>
      </w:r>
    </w:p>
    <w:p w14:paraId="626B9020" w14:textId="77777777" w:rsidR="002F06CE" w:rsidRPr="0001127D" w:rsidRDefault="002F06CE" w:rsidP="002F06CE">
      <w:pPr>
        <w:pStyle w:val="CommentText"/>
        <w:contextualSpacing/>
        <w:jc w:val="center"/>
        <w:rPr>
          <w:b/>
          <w:noProof/>
          <w:sz w:val="24"/>
          <w:szCs w:val="24"/>
        </w:rPr>
      </w:pPr>
      <w:r w:rsidRPr="0001127D">
        <w:rPr>
          <w:b/>
          <w:noProof/>
          <w:sz w:val="24"/>
        </w:rPr>
        <w:t>Esenzione dalla legalizzazione e da formalità analoga</w:t>
      </w:r>
    </w:p>
    <w:p w14:paraId="538511A3" w14:textId="77777777" w:rsidR="002F06CE" w:rsidRPr="0001127D" w:rsidRDefault="002F06CE" w:rsidP="002F06CE">
      <w:pPr>
        <w:pStyle w:val="CommentText"/>
        <w:ind w:left="1276" w:hanging="425"/>
        <w:contextualSpacing/>
        <w:rPr>
          <w:noProof/>
          <w:sz w:val="24"/>
          <w:szCs w:val="24"/>
        </w:rPr>
      </w:pPr>
    </w:p>
    <w:p w14:paraId="33027747" w14:textId="65181D2F" w:rsidR="002F06CE" w:rsidRPr="0001127D" w:rsidRDefault="002F06CE" w:rsidP="002F06CE">
      <w:pPr>
        <w:ind w:left="851"/>
        <w:rPr>
          <w:noProof/>
        </w:rPr>
      </w:pPr>
      <w:r w:rsidRPr="0001127D">
        <w:rPr>
          <w:noProof/>
        </w:rPr>
        <w:t>1. Gli Stati membri provvedono affinché le copie ed estratti di documenti ed informazioni forniti e certificati conformi da un registro di cui all</w:t>
      </w:r>
      <w:r w:rsidR="00E64452" w:rsidRPr="0001127D">
        <w:rPr>
          <w:noProof/>
        </w:rPr>
        <w:t>'</w:t>
      </w:r>
      <w:r w:rsidRPr="0001127D">
        <w:rPr>
          <w:noProof/>
        </w:rPr>
        <w:t xml:space="preserve">articolo 16, incluse le traduzioni certificate, che debbano essere presentati in un altro Stato membro, siano esentati da ogni forma di legalizzazione e da formalità analoga. </w:t>
      </w:r>
    </w:p>
    <w:p w14:paraId="00A6A933" w14:textId="253C7528" w:rsidR="002F06CE" w:rsidRPr="0001127D" w:rsidRDefault="002F06CE" w:rsidP="002F06CE">
      <w:pPr>
        <w:pStyle w:val="CommentText"/>
        <w:ind w:left="851"/>
        <w:contextualSpacing/>
        <w:rPr>
          <w:noProof/>
          <w:sz w:val="24"/>
          <w:szCs w:val="24"/>
        </w:rPr>
      </w:pPr>
      <w:r w:rsidRPr="0001127D">
        <w:rPr>
          <w:noProof/>
          <w:sz w:val="24"/>
        </w:rPr>
        <w:t>Il presente paragrafo si applica alle copie e agli estratti elettronici di documenti ed informazioni, incluse le traduzioni certificate, qualora siano stati autenticati conformemente all</w:t>
      </w:r>
      <w:r w:rsidR="00E64452" w:rsidRPr="0001127D">
        <w:rPr>
          <w:noProof/>
          <w:sz w:val="24"/>
        </w:rPr>
        <w:t>'</w:t>
      </w:r>
      <w:r w:rsidRPr="0001127D">
        <w:rPr>
          <w:noProof/>
          <w:sz w:val="24"/>
        </w:rPr>
        <w:t xml:space="preserve">articolo 16 </w:t>
      </w:r>
      <w:r w:rsidRPr="0001127D">
        <w:rPr>
          <w:i/>
          <w:iCs/>
          <w:noProof/>
          <w:sz w:val="24"/>
        </w:rPr>
        <w:t>bis</w:t>
      </w:r>
      <w:r w:rsidRPr="0001127D">
        <w:rPr>
          <w:noProof/>
          <w:sz w:val="24"/>
        </w:rPr>
        <w:t>, paragrafo 4, e a quelli in formato cartaceo qualora rechino la data di emissione come pure il bollo o il timbro del registro, e comportino una caratteristica tecnica che consente la verifica elettronica dell</w:t>
      </w:r>
      <w:r w:rsidR="00E64452" w:rsidRPr="0001127D">
        <w:rPr>
          <w:noProof/>
          <w:sz w:val="24"/>
        </w:rPr>
        <w:t>'</w:t>
      </w:r>
      <w:r w:rsidRPr="0001127D">
        <w:rPr>
          <w:noProof/>
          <w:sz w:val="24"/>
        </w:rPr>
        <w:t>origine e dell</w:t>
      </w:r>
      <w:r w:rsidR="00E64452" w:rsidRPr="0001127D">
        <w:rPr>
          <w:noProof/>
          <w:sz w:val="24"/>
        </w:rPr>
        <w:t>'</w:t>
      </w:r>
      <w:r w:rsidRPr="0001127D">
        <w:rPr>
          <w:noProof/>
          <w:sz w:val="24"/>
        </w:rPr>
        <w:t>autenticità del documento, come un numero unico di protocollo o di identificazione.</w:t>
      </w:r>
      <w:r w:rsidR="00E64452" w:rsidRPr="0001127D">
        <w:rPr>
          <w:noProof/>
          <w:sz w:val="24"/>
        </w:rPr>
        <w:t xml:space="preserve"> </w:t>
      </w:r>
    </w:p>
    <w:p w14:paraId="14B5CB2B" w14:textId="77777777" w:rsidR="002F06CE" w:rsidRPr="0001127D" w:rsidRDefault="002F06CE" w:rsidP="002F06CE">
      <w:pPr>
        <w:pStyle w:val="CommentText"/>
        <w:ind w:left="851"/>
        <w:contextualSpacing/>
        <w:rPr>
          <w:noProof/>
          <w:sz w:val="24"/>
          <w:szCs w:val="24"/>
        </w:rPr>
      </w:pPr>
    </w:p>
    <w:p w14:paraId="1D3FE899" w14:textId="057DFCBF" w:rsidR="002F06CE" w:rsidRPr="0001127D" w:rsidRDefault="002F06CE" w:rsidP="002F06CE">
      <w:pPr>
        <w:ind w:left="851"/>
        <w:contextualSpacing/>
        <w:rPr>
          <w:noProof/>
        </w:rPr>
      </w:pPr>
      <w:r w:rsidRPr="0001127D">
        <w:rPr>
          <w:noProof/>
        </w:rPr>
        <w:t>2.</w:t>
      </w:r>
      <w:r w:rsidR="00E64452" w:rsidRPr="0001127D">
        <w:rPr>
          <w:noProof/>
        </w:rPr>
        <w:t xml:space="preserve"> </w:t>
      </w:r>
      <w:r w:rsidRPr="0001127D">
        <w:rPr>
          <w:noProof/>
        </w:rPr>
        <w:t>Gli Stati membri provvedono affinché il certificato delle società UE emesso conformemente all</w:t>
      </w:r>
      <w:r w:rsidR="00E64452" w:rsidRPr="0001127D">
        <w:rPr>
          <w:noProof/>
        </w:rPr>
        <w:t>'</w:t>
      </w:r>
      <w:r w:rsidRPr="0001127D">
        <w:rPr>
          <w:noProof/>
        </w:rPr>
        <w:t xml:space="preserve">articolo 16 </w:t>
      </w:r>
      <w:r w:rsidRPr="0001127D">
        <w:rPr>
          <w:i/>
          <w:iCs/>
          <w:noProof/>
        </w:rPr>
        <w:t>ter</w:t>
      </w:r>
      <w:r w:rsidRPr="0001127D">
        <w:rPr>
          <w:noProof/>
        </w:rPr>
        <w:t>, la procura digitale dell</w:t>
      </w:r>
      <w:r w:rsidR="00E64452" w:rsidRPr="0001127D">
        <w:rPr>
          <w:noProof/>
        </w:rPr>
        <w:t>'</w:t>
      </w:r>
      <w:r w:rsidRPr="0001127D">
        <w:rPr>
          <w:noProof/>
        </w:rPr>
        <w:t>UE di cui all</w:t>
      </w:r>
      <w:r w:rsidR="00E64452" w:rsidRPr="0001127D">
        <w:rPr>
          <w:noProof/>
        </w:rPr>
        <w:t>'</w:t>
      </w:r>
      <w:r w:rsidRPr="0001127D">
        <w:rPr>
          <w:noProof/>
        </w:rPr>
        <w:t xml:space="preserve">articolo 16 </w:t>
      </w:r>
      <w:r w:rsidRPr="0001127D">
        <w:rPr>
          <w:i/>
          <w:iCs/>
          <w:noProof/>
        </w:rPr>
        <w:t>quater</w:t>
      </w:r>
      <w:r w:rsidRPr="0001127D">
        <w:rPr>
          <w:noProof/>
        </w:rPr>
        <w:t>. e i certificati preliminari alle operazioni trasmessi ai sensi degli articoli 86</w:t>
      </w:r>
      <w:r w:rsidR="00E64452" w:rsidRPr="0001127D">
        <w:rPr>
          <w:noProof/>
        </w:rPr>
        <w:t xml:space="preserve"> </w:t>
      </w:r>
      <w:r w:rsidRPr="0001127D">
        <w:rPr>
          <w:i/>
          <w:iCs/>
          <w:noProof/>
        </w:rPr>
        <w:t>quindecies</w:t>
      </w:r>
      <w:r w:rsidRPr="0001127D">
        <w:rPr>
          <w:noProof/>
        </w:rPr>
        <w:t xml:space="preserve">, 127 </w:t>
      </w:r>
      <w:r w:rsidRPr="0001127D">
        <w:rPr>
          <w:i/>
          <w:iCs/>
          <w:noProof/>
        </w:rPr>
        <w:t>bis</w:t>
      </w:r>
      <w:r w:rsidRPr="0001127D">
        <w:rPr>
          <w:noProof/>
        </w:rPr>
        <w:t xml:space="preserve"> e 160 </w:t>
      </w:r>
      <w:r w:rsidRPr="0001127D">
        <w:rPr>
          <w:i/>
          <w:iCs/>
          <w:noProof/>
        </w:rPr>
        <w:t>quindecies</w:t>
      </w:r>
      <w:r w:rsidRPr="0001127D">
        <w:rPr>
          <w:noProof/>
        </w:rPr>
        <w:t xml:space="preserve">, siano esentati da legalizzazione o da ogni formalità analoga. </w:t>
      </w:r>
    </w:p>
    <w:p w14:paraId="37CAE87F" w14:textId="77777777" w:rsidR="002F06CE" w:rsidRPr="0001127D" w:rsidRDefault="002F06CE" w:rsidP="002F06CE">
      <w:pPr>
        <w:pStyle w:val="CommentText"/>
        <w:ind w:left="851"/>
        <w:contextualSpacing/>
        <w:rPr>
          <w:noProof/>
          <w:sz w:val="24"/>
          <w:szCs w:val="24"/>
        </w:rPr>
      </w:pPr>
    </w:p>
    <w:p w14:paraId="7E462716" w14:textId="0392EC1B" w:rsidR="002F06CE" w:rsidRPr="0001127D" w:rsidRDefault="002F06CE" w:rsidP="002F06CE">
      <w:pPr>
        <w:spacing w:before="0"/>
        <w:ind w:left="851"/>
        <w:rPr>
          <w:noProof/>
        </w:rPr>
      </w:pPr>
      <w:r w:rsidRPr="0001127D">
        <w:rPr>
          <w:noProof/>
        </w:rPr>
        <w:t>3. Qualora atti notarili, documenti amministrativi, e loro traduzioni e copie certificate rilasciati in uno Stato membro nell</w:t>
      </w:r>
      <w:r w:rsidR="00E64452" w:rsidRPr="0001127D">
        <w:rPr>
          <w:noProof/>
        </w:rPr>
        <w:t>'</w:t>
      </w:r>
      <w:r w:rsidRPr="0001127D">
        <w:rPr>
          <w:noProof/>
        </w:rPr>
        <w:t>ambito delle procedure di cui alla presente direttiva debbano essere presentati in un altro Stato membro, gli Stati membri provvedono affinché siano esentati da ogni forma di legalizzazione e formalità analoga.</w:t>
      </w:r>
    </w:p>
    <w:p w14:paraId="64568282" w14:textId="5061F005" w:rsidR="002F06CE" w:rsidRPr="0001127D" w:rsidRDefault="002F06CE" w:rsidP="002F06CE">
      <w:pPr>
        <w:ind w:left="851"/>
        <w:rPr>
          <w:noProof/>
          <w:szCs w:val="24"/>
        </w:rPr>
      </w:pPr>
      <w:r w:rsidRPr="0001127D">
        <w:rPr>
          <w:noProof/>
        </w:rPr>
        <w:t>Il presente paragrafo si applica agli atti notarili, ai documenti amministrativi e loro traduzioni e copie certificate elettronici</w:t>
      </w:r>
      <w:r w:rsidR="00E64452" w:rsidRPr="0001127D">
        <w:rPr>
          <w:noProof/>
        </w:rPr>
        <w:t xml:space="preserve"> </w:t>
      </w:r>
      <w:r w:rsidRPr="0001127D">
        <w:rPr>
          <w:noProof/>
        </w:rPr>
        <w:t>qualora siano stati autenticati per mezzo dei servizi fiduciari di cui al regolamento (UE) n.</w:t>
      </w:r>
      <w:r w:rsidR="009C1CEF" w:rsidRPr="0001127D">
        <w:rPr>
          <w:noProof/>
        </w:rPr>
        <w:t> </w:t>
      </w:r>
      <w:r w:rsidRPr="0001127D">
        <w:rPr>
          <w:noProof/>
        </w:rPr>
        <w:t>910/2014, e a quelli in formato cartaceo qualora rechino una caratteristica tecnica che consente la verifica elettronica dell</w:t>
      </w:r>
      <w:r w:rsidR="00E64452" w:rsidRPr="0001127D">
        <w:rPr>
          <w:noProof/>
        </w:rPr>
        <w:t>'</w:t>
      </w:r>
      <w:r w:rsidRPr="0001127D">
        <w:rPr>
          <w:noProof/>
        </w:rPr>
        <w:t>origine e dell</w:t>
      </w:r>
      <w:r w:rsidR="00E64452" w:rsidRPr="0001127D">
        <w:rPr>
          <w:noProof/>
        </w:rPr>
        <w:t>'</w:t>
      </w:r>
      <w:r w:rsidRPr="0001127D">
        <w:rPr>
          <w:noProof/>
        </w:rPr>
        <w:t>autenticità del documento, come un numero unico di protocollo o di identificazione.</w:t>
      </w:r>
    </w:p>
    <w:p w14:paraId="65D99775" w14:textId="77777777" w:rsidR="002F06CE" w:rsidRPr="0001127D" w:rsidRDefault="002F06CE" w:rsidP="002F06CE">
      <w:pPr>
        <w:spacing w:after="0"/>
        <w:contextualSpacing/>
        <w:jc w:val="center"/>
        <w:rPr>
          <w:noProof/>
          <w:szCs w:val="24"/>
        </w:rPr>
      </w:pPr>
    </w:p>
    <w:p w14:paraId="6794425C" w14:textId="77777777" w:rsidR="002F06CE" w:rsidRPr="0001127D" w:rsidRDefault="002F06CE" w:rsidP="002F06CE">
      <w:pPr>
        <w:spacing w:after="0"/>
        <w:contextualSpacing/>
        <w:jc w:val="center"/>
        <w:rPr>
          <w:noProof/>
          <w:szCs w:val="24"/>
        </w:rPr>
      </w:pPr>
    </w:p>
    <w:p w14:paraId="3DC2C1FA" w14:textId="77777777" w:rsidR="002F06CE" w:rsidRPr="0001127D" w:rsidRDefault="002F06CE" w:rsidP="002F06CE">
      <w:pPr>
        <w:spacing w:after="0"/>
        <w:contextualSpacing/>
        <w:jc w:val="center"/>
        <w:rPr>
          <w:noProof/>
          <w:szCs w:val="24"/>
        </w:rPr>
      </w:pPr>
    </w:p>
    <w:p w14:paraId="739865A4" w14:textId="77777777" w:rsidR="002F06CE" w:rsidRPr="0001127D" w:rsidRDefault="002F06CE" w:rsidP="002F06CE">
      <w:pPr>
        <w:spacing w:after="0"/>
        <w:contextualSpacing/>
        <w:jc w:val="center"/>
        <w:rPr>
          <w:noProof/>
          <w:szCs w:val="24"/>
        </w:rPr>
      </w:pPr>
      <w:r w:rsidRPr="0001127D">
        <w:rPr>
          <w:noProof/>
        </w:rPr>
        <w:t xml:space="preserve">Articolo 16 </w:t>
      </w:r>
      <w:r w:rsidRPr="0001127D">
        <w:rPr>
          <w:i/>
          <w:iCs/>
          <w:noProof/>
        </w:rPr>
        <w:t>sexies</w:t>
      </w:r>
    </w:p>
    <w:p w14:paraId="38802BE8" w14:textId="77777777" w:rsidR="002F06CE" w:rsidRPr="0001127D" w:rsidRDefault="002F06CE" w:rsidP="002F06CE">
      <w:pPr>
        <w:contextualSpacing/>
        <w:jc w:val="center"/>
        <w:rPr>
          <w:b/>
          <w:noProof/>
          <w:szCs w:val="24"/>
        </w:rPr>
      </w:pPr>
    </w:p>
    <w:p w14:paraId="28212957" w14:textId="77777777" w:rsidR="002F06CE" w:rsidRPr="0001127D" w:rsidRDefault="002F06CE" w:rsidP="002F06CE">
      <w:pPr>
        <w:ind w:left="1276" w:hanging="425"/>
        <w:contextualSpacing/>
        <w:jc w:val="center"/>
        <w:rPr>
          <w:b/>
          <w:noProof/>
          <w:szCs w:val="24"/>
        </w:rPr>
      </w:pPr>
      <w:r w:rsidRPr="0001127D">
        <w:rPr>
          <w:b/>
          <w:noProof/>
        </w:rPr>
        <w:t>Garanzie in caso di dubbio ragionevole</w:t>
      </w:r>
    </w:p>
    <w:p w14:paraId="1B3BC214" w14:textId="77777777" w:rsidR="002F06CE" w:rsidRPr="0001127D" w:rsidRDefault="002F06CE" w:rsidP="002F06CE">
      <w:pPr>
        <w:ind w:left="1276" w:hanging="425"/>
        <w:contextualSpacing/>
        <w:rPr>
          <w:noProof/>
          <w:szCs w:val="24"/>
        </w:rPr>
      </w:pPr>
    </w:p>
    <w:p w14:paraId="5E913A14" w14:textId="7C29E3E3" w:rsidR="002F06CE" w:rsidRPr="0001127D" w:rsidRDefault="002F06CE" w:rsidP="002F06CE">
      <w:pPr>
        <w:ind w:left="851"/>
        <w:contextualSpacing/>
        <w:rPr>
          <w:noProof/>
          <w:szCs w:val="24"/>
        </w:rPr>
      </w:pPr>
      <w:r w:rsidRPr="0001127D">
        <w:rPr>
          <w:noProof/>
        </w:rPr>
        <w:t xml:space="preserve">1. </w:t>
      </w:r>
      <w:r w:rsidRPr="0001127D">
        <w:rPr>
          <w:noProof/>
        </w:rPr>
        <w:tab/>
        <w:t>Qualora le autorità di un altro Stato membro cui sono presentati le copie e gli estratti di documenti e informazioni forniti e certificati conformi da un registro conformemente all</w:t>
      </w:r>
      <w:r w:rsidR="00E64452" w:rsidRPr="0001127D">
        <w:rPr>
          <w:noProof/>
        </w:rPr>
        <w:t>'</w:t>
      </w:r>
      <w:r w:rsidRPr="0001127D">
        <w:rPr>
          <w:noProof/>
        </w:rPr>
        <w:t>articolo</w:t>
      </w:r>
      <w:r w:rsidR="009C1CEF" w:rsidRPr="0001127D">
        <w:rPr>
          <w:noProof/>
        </w:rPr>
        <w:t> </w:t>
      </w:r>
      <w:r w:rsidRPr="0001127D">
        <w:rPr>
          <w:noProof/>
        </w:rPr>
        <w:t>16</w:t>
      </w:r>
      <w:r w:rsidR="009C1CEF" w:rsidRPr="0001127D">
        <w:rPr>
          <w:noProof/>
        </w:rPr>
        <w:t> </w:t>
      </w:r>
      <w:r w:rsidRPr="0001127D">
        <w:rPr>
          <w:i/>
          <w:iCs/>
          <w:noProof/>
        </w:rPr>
        <w:t>quinquies,</w:t>
      </w:r>
      <w:r w:rsidRPr="0001127D">
        <w:rPr>
          <w:noProof/>
        </w:rPr>
        <w:t xml:space="preserve"> paragrafo</w:t>
      </w:r>
      <w:r w:rsidR="009C1CEF" w:rsidRPr="0001127D">
        <w:rPr>
          <w:noProof/>
        </w:rPr>
        <w:t> </w:t>
      </w:r>
      <w:r w:rsidRPr="0001127D">
        <w:rPr>
          <w:noProof/>
        </w:rPr>
        <w:t>1, oppure il certificato delle società UE emesso conformemente all</w:t>
      </w:r>
      <w:r w:rsidR="00E64452" w:rsidRPr="0001127D">
        <w:rPr>
          <w:noProof/>
        </w:rPr>
        <w:t>'</w:t>
      </w:r>
      <w:r w:rsidRPr="0001127D">
        <w:rPr>
          <w:noProof/>
        </w:rPr>
        <w:t xml:space="preserve">articolo 16 </w:t>
      </w:r>
      <w:r w:rsidRPr="0001127D">
        <w:rPr>
          <w:i/>
          <w:iCs/>
          <w:noProof/>
        </w:rPr>
        <w:t>ter</w:t>
      </w:r>
      <w:r w:rsidRPr="0001127D">
        <w:rPr>
          <w:noProof/>
        </w:rPr>
        <w:t>, abbiano un ragionevole dubbio sull</w:t>
      </w:r>
      <w:r w:rsidR="00E64452" w:rsidRPr="0001127D">
        <w:rPr>
          <w:noProof/>
        </w:rPr>
        <w:t>'</w:t>
      </w:r>
      <w:r w:rsidRPr="0001127D">
        <w:rPr>
          <w:noProof/>
        </w:rPr>
        <w:t>origine e l</w:t>
      </w:r>
      <w:r w:rsidR="00E64452" w:rsidRPr="0001127D">
        <w:rPr>
          <w:noProof/>
        </w:rPr>
        <w:t>'</w:t>
      </w:r>
      <w:r w:rsidRPr="0001127D">
        <w:rPr>
          <w:noProof/>
        </w:rPr>
        <w:t>autenticità, come pure sull</w:t>
      </w:r>
      <w:r w:rsidR="00E64452" w:rsidRPr="0001127D">
        <w:rPr>
          <w:noProof/>
        </w:rPr>
        <w:t>'</w:t>
      </w:r>
      <w:r w:rsidRPr="0001127D">
        <w:rPr>
          <w:noProof/>
        </w:rPr>
        <w:t>identità del bollo o del timbro, o abbiano motivo di ritenere che il documento sia stato falsificato o alterato, possono presentare una richiesta di informazioni al punto di contatto:</w:t>
      </w:r>
    </w:p>
    <w:p w14:paraId="046DEFAE" w14:textId="77777777" w:rsidR="002F06CE" w:rsidRPr="0001127D" w:rsidRDefault="002F06CE" w:rsidP="002F06CE">
      <w:pPr>
        <w:ind w:left="1276" w:hanging="425"/>
        <w:contextualSpacing/>
        <w:rPr>
          <w:noProof/>
          <w:szCs w:val="24"/>
        </w:rPr>
      </w:pPr>
      <w:r w:rsidRPr="0001127D">
        <w:rPr>
          <w:noProof/>
        </w:rPr>
        <w:tab/>
      </w:r>
    </w:p>
    <w:p w14:paraId="08909498" w14:textId="77777777" w:rsidR="002F06CE" w:rsidRPr="0001127D" w:rsidRDefault="002F06CE" w:rsidP="002F06CE">
      <w:pPr>
        <w:ind w:left="1701" w:hanging="425"/>
        <w:contextualSpacing/>
        <w:rPr>
          <w:noProof/>
          <w:szCs w:val="24"/>
        </w:rPr>
      </w:pPr>
      <w:r w:rsidRPr="0001127D">
        <w:rPr>
          <w:noProof/>
        </w:rPr>
        <w:t>a) del registro che ha fornito tali copie ed estratti di documenti e informazioni, oppure</w:t>
      </w:r>
    </w:p>
    <w:p w14:paraId="2DA14F68" w14:textId="77777777" w:rsidR="002F06CE" w:rsidRPr="0001127D" w:rsidRDefault="002F06CE" w:rsidP="002F06CE">
      <w:pPr>
        <w:ind w:left="1701" w:hanging="425"/>
        <w:contextualSpacing/>
        <w:rPr>
          <w:noProof/>
          <w:szCs w:val="24"/>
        </w:rPr>
      </w:pPr>
    </w:p>
    <w:p w14:paraId="20700780" w14:textId="7F4AF994" w:rsidR="002F06CE" w:rsidRPr="0001127D" w:rsidRDefault="002F06CE" w:rsidP="002F06CE">
      <w:pPr>
        <w:ind w:left="1701" w:hanging="425"/>
        <w:contextualSpacing/>
        <w:rPr>
          <w:noProof/>
          <w:szCs w:val="24"/>
        </w:rPr>
      </w:pPr>
      <w:r w:rsidRPr="0001127D">
        <w:rPr>
          <w:noProof/>
        </w:rPr>
        <w:t>b) del registro dello Stato membro dell</w:t>
      </w:r>
      <w:r w:rsidR="00E64452" w:rsidRPr="0001127D">
        <w:rPr>
          <w:noProof/>
        </w:rPr>
        <w:t>'</w:t>
      </w:r>
      <w:r w:rsidRPr="0001127D">
        <w:rPr>
          <w:noProof/>
        </w:rPr>
        <w:t>autorità cui sono stati presentati le copie e gli estratti dei documenti e delle informazioni.</w:t>
      </w:r>
      <w:r w:rsidR="00E64452" w:rsidRPr="0001127D">
        <w:rPr>
          <w:noProof/>
        </w:rPr>
        <w:t xml:space="preserve"> </w:t>
      </w:r>
      <w:r w:rsidRPr="0001127D">
        <w:rPr>
          <w:noProof/>
        </w:rPr>
        <w:t>Tale registro verifica, attraverso il sistema di interconnessione dei registri, l</w:t>
      </w:r>
      <w:r w:rsidR="00E64452" w:rsidRPr="0001127D">
        <w:rPr>
          <w:noProof/>
        </w:rPr>
        <w:t>'</w:t>
      </w:r>
      <w:r w:rsidRPr="0001127D">
        <w:rPr>
          <w:noProof/>
        </w:rPr>
        <w:t>autenticità di tali copie ed estratti di documenti e informazioni con il registro che li ha forniti.</w:t>
      </w:r>
      <w:r w:rsidR="00E64452" w:rsidRPr="0001127D">
        <w:rPr>
          <w:noProof/>
        </w:rPr>
        <w:t xml:space="preserve"> </w:t>
      </w:r>
    </w:p>
    <w:p w14:paraId="04DC6E41" w14:textId="77777777" w:rsidR="002F06CE" w:rsidRPr="0001127D" w:rsidRDefault="002F06CE" w:rsidP="002F06CE">
      <w:pPr>
        <w:ind w:left="1276" w:hanging="425"/>
        <w:contextualSpacing/>
        <w:rPr>
          <w:noProof/>
          <w:szCs w:val="24"/>
        </w:rPr>
      </w:pPr>
    </w:p>
    <w:p w14:paraId="177E624C" w14:textId="4568E947" w:rsidR="002F06CE" w:rsidRPr="0001127D" w:rsidRDefault="002F06CE" w:rsidP="002F06CE">
      <w:pPr>
        <w:ind w:left="851"/>
        <w:contextualSpacing/>
        <w:rPr>
          <w:noProof/>
          <w:szCs w:val="24"/>
        </w:rPr>
      </w:pPr>
      <w:r w:rsidRPr="0001127D">
        <w:rPr>
          <w:noProof/>
        </w:rPr>
        <w:t>Gli Stati membri comunicano alla Commissione il punto di contatto rilevante del loro registro di cui all</w:t>
      </w:r>
      <w:r w:rsidR="00E64452" w:rsidRPr="0001127D">
        <w:rPr>
          <w:noProof/>
        </w:rPr>
        <w:t>'</w:t>
      </w:r>
      <w:r w:rsidRPr="0001127D">
        <w:rPr>
          <w:noProof/>
        </w:rPr>
        <w:t xml:space="preserve">articolo 16. </w:t>
      </w:r>
    </w:p>
    <w:p w14:paraId="668DB74D" w14:textId="77777777" w:rsidR="002F06CE" w:rsidRPr="0001127D" w:rsidRDefault="002F06CE" w:rsidP="002F06CE">
      <w:pPr>
        <w:ind w:left="1276" w:hanging="425"/>
        <w:contextualSpacing/>
        <w:rPr>
          <w:noProof/>
          <w:szCs w:val="24"/>
        </w:rPr>
      </w:pPr>
    </w:p>
    <w:p w14:paraId="65BDFFEE" w14:textId="4ECA5328" w:rsidR="002F06CE" w:rsidRPr="0001127D" w:rsidRDefault="002F06CE" w:rsidP="002F06CE">
      <w:pPr>
        <w:ind w:left="851"/>
        <w:rPr>
          <w:noProof/>
          <w:szCs w:val="24"/>
        </w:rPr>
      </w:pPr>
      <w:r w:rsidRPr="0001127D">
        <w:rPr>
          <w:noProof/>
        </w:rPr>
        <w:t xml:space="preserve">2. </w:t>
      </w:r>
      <w:r w:rsidRPr="0001127D">
        <w:rPr>
          <w:noProof/>
        </w:rPr>
        <w:tab/>
        <w:t>Nelle richieste di informazioni di cui al paragrafo 1 sono presentate le ragioni per cui l</w:t>
      </w:r>
      <w:r w:rsidR="00E64452" w:rsidRPr="0001127D">
        <w:rPr>
          <w:noProof/>
        </w:rPr>
        <w:t>'</w:t>
      </w:r>
      <w:r w:rsidRPr="0001127D">
        <w:rPr>
          <w:noProof/>
        </w:rPr>
        <w:t>autorità dubita dell</w:t>
      </w:r>
      <w:r w:rsidR="00E64452" w:rsidRPr="0001127D">
        <w:rPr>
          <w:noProof/>
        </w:rPr>
        <w:t>'</w:t>
      </w:r>
      <w:r w:rsidRPr="0001127D">
        <w:rPr>
          <w:noProof/>
        </w:rPr>
        <w:t>autenticità del documento, inclusa quanto meno l</w:t>
      </w:r>
      <w:r w:rsidR="00E64452" w:rsidRPr="0001127D">
        <w:rPr>
          <w:noProof/>
        </w:rPr>
        <w:t>'</w:t>
      </w:r>
      <w:r w:rsidRPr="0001127D">
        <w:rPr>
          <w:noProof/>
        </w:rPr>
        <w:t>impossibilità di autenticare l</w:t>
      </w:r>
      <w:r w:rsidR="00E64452" w:rsidRPr="0001127D">
        <w:rPr>
          <w:noProof/>
        </w:rPr>
        <w:t>'</w:t>
      </w:r>
      <w:r w:rsidRPr="0001127D">
        <w:rPr>
          <w:noProof/>
        </w:rPr>
        <w:t>estratto attraverso metodi di verifica elettronica. Ogni richiesta è accompagnata dalla copia o dall</w:t>
      </w:r>
      <w:r w:rsidR="00E64452" w:rsidRPr="0001127D">
        <w:rPr>
          <w:noProof/>
        </w:rPr>
        <w:t>'</w:t>
      </w:r>
      <w:r w:rsidRPr="0001127D">
        <w:rPr>
          <w:noProof/>
        </w:rPr>
        <w:t>estratto del documento e delle informazioni interessati, trasmessi elettronicamente.</w:t>
      </w:r>
    </w:p>
    <w:p w14:paraId="45102A13" w14:textId="02E04CC5" w:rsidR="002F06CE" w:rsidRPr="0001127D" w:rsidRDefault="002F06CE" w:rsidP="002F06CE">
      <w:pPr>
        <w:ind w:left="851"/>
        <w:contextualSpacing/>
        <w:rPr>
          <w:noProof/>
          <w:szCs w:val="24"/>
        </w:rPr>
      </w:pPr>
      <w:r w:rsidRPr="0001127D">
        <w:rPr>
          <w:noProof/>
        </w:rPr>
        <w:t>Un registro respinge, senza esame, le richieste che non soddisfano i requisiti stabiliti al presente paragrafo e informa di tale rigetto l</w:t>
      </w:r>
      <w:r w:rsidR="00E64452" w:rsidRPr="0001127D">
        <w:rPr>
          <w:noProof/>
        </w:rPr>
        <w:t>'</w:t>
      </w:r>
      <w:r w:rsidRPr="0001127D">
        <w:rPr>
          <w:noProof/>
        </w:rPr>
        <w:t>autorità che ha presentato la richiesta.</w:t>
      </w:r>
      <w:r w:rsidR="00E64452" w:rsidRPr="0001127D">
        <w:rPr>
          <w:noProof/>
        </w:rPr>
        <w:t xml:space="preserve"> </w:t>
      </w:r>
    </w:p>
    <w:p w14:paraId="182AE1DD" w14:textId="77777777" w:rsidR="002F06CE" w:rsidRPr="0001127D" w:rsidRDefault="002F06CE" w:rsidP="002F06CE">
      <w:pPr>
        <w:spacing w:before="0" w:after="0"/>
        <w:ind w:left="851"/>
        <w:contextualSpacing/>
        <w:rPr>
          <w:noProof/>
          <w:szCs w:val="24"/>
        </w:rPr>
      </w:pPr>
    </w:p>
    <w:p w14:paraId="40278F49" w14:textId="738D464C" w:rsidR="002F06CE" w:rsidRPr="0001127D" w:rsidRDefault="002F06CE" w:rsidP="002F06CE">
      <w:pPr>
        <w:ind w:left="851"/>
        <w:contextualSpacing/>
        <w:rPr>
          <w:noProof/>
          <w:szCs w:val="24"/>
        </w:rPr>
      </w:pPr>
      <w:r w:rsidRPr="0001127D">
        <w:rPr>
          <w:noProof/>
        </w:rPr>
        <w:t xml:space="preserve">3. </w:t>
      </w:r>
      <w:r w:rsidRPr="0001127D">
        <w:rPr>
          <w:noProof/>
        </w:rPr>
        <w:tab/>
        <w:t>I punti di contatto rispondono alle richieste di informazioni presentate ai sensi del paragrafo 1 entro un termine di massimo 5 giorni lavorativi.</w:t>
      </w:r>
      <w:r w:rsidR="00E64452" w:rsidRPr="0001127D">
        <w:rPr>
          <w:noProof/>
        </w:rPr>
        <w:t xml:space="preserve"> </w:t>
      </w:r>
    </w:p>
    <w:p w14:paraId="48B0BF9B" w14:textId="77777777" w:rsidR="002F06CE" w:rsidRPr="0001127D" w:rsidRDefault="002F06CE" w:rsidP="002F06CE">
      <w:pPr>
        <w:ind w:left="851"/>
        <w:contextualSpacing/>
        <w:rPr>
          <w:noProof/>
          <w:szCs w:val="24"/>
        </w:rPr>
      </w:pPr>
    </w:p>
    <w:p w14:paraId="3FB38037" w14:textId="51A560EE" w:rsidR="002F06CE" w:rsidRPr="0001127D" w:rsidRDefault="002F06CE" w:rsidP="002F06CE">
      <w:pPr>
        <w:ind w:left="851"/>
        <w:contextualSpacing/>
        <w:rPr>
          <w:noProof/>
          <w:szCs w:val="24"/>
        </w:rPr>
      </w:pPr>
      <w:r w:rsidRPr="0001127D">
        <w:rPr>
          <w:noProof/>
        </w:rPr>
        <w:t xml:space="preserve">4. </w:t>
      </w:r>
      <w:r w:rsidRPr="0001127D">
        <w:rPr>
          <w:noProof/>
        </w:rPr>
        <w:tab/>
        <w:t>Se l</w:t>
      </w:r>
      <w:r w:rsidR="00E64452" w:rsidRPr="0001127D">
        <w:rPr>
          <w:noProof/>
        </w:rPr>
        <w:t>'</w:t>
      </w:r>
      <w:r w:rsidRPr="0001127D">
        <w:rPr>
          <w:noProof/>
        </w:rPr>
        <w:t>autenticità delle copie e degli estratti dei documenti e delle informazioni non è confermata, l</w:t>
      </w:r>
      <w:r w:rsidR="00E64452" w:rsidRPr="0001127D">
        <w:rPr>
          <w:noProof/>
        </w:rPr>
        <w:t>'</w:t>
      </w:r>
      <w:r w:rsidRPr="0001127D">
        <w:rPr>
          <w:noProof/>
        </w:rPr>
        <w:t>autorità richiedente può decidere di non accettarli.</w:t>
      </w:r>
    </w:p>
    <w:p w14:paraId="644A8ED4" w14:textId="77777777" w:rsidR="002F06CE" w:rsidRPr="0001127D" w:rsidRDefault="002F06CE" w:rsidP="002F06CE">
      <w:pPr>
        <w:contextualSpacing/>
        <w:jc w:val="center"/>
        <w:rPr>
          <w:b/>
          <w:noProof/>
          <w:szCs w:val="24"/>
        </w:rPr>
      </w:pPr>
    </w:p>
    <w:p w14:paraId="1B56347C" w14:textId="77777777" w:rsidR="002F06CE" w:rsidRPr="0001127D" w:rsidRDefault="002F06CE" w:rsidP="002F06CE">
      <w:pPr>
        <w:contextualSpacing/>
        <w:jc w:val="center"/>
        <w:rPr>
          <w:noProof/>
          <w:szCs w:val="24"/>
        </w:rPr>
      </w:pPr>
      <w:r w:rsidRPr="0001127D">
        <w:rPr>
          <w:noProof/>
        </w:rPr>
        <w:t xml:space="preserve">Articolo 16 </w:t>
      </w:r>
      <w:r w:rsidRPr="0001127D">
        <w:rPr>
          <w:i/>
          <w:iCs/>
          <w:noProof/>
        </w:rPr>
        <w:t>septies</w:t>
      </w:r>
      <w:r w:rsidRPr="0001127D">
        <w:rPr>
          <w:noProof/>
        </w:rPr>
        <w:t xml:space="preserve"> </w:t>
      </w:r>
    </w:p>
    <w:p w14:paraId="552827E0" w14:textId="77777777" w:rsidR="002F06CE" w:rsidRPr="0001127D" w:rsidRDefault="002F06CE" w:rsidP="002F06CE">
      <w:pPr>
        <w:contextualSpacing/>
        <w:jc w:val="center"/>
        <w:rPr>
          <w:b/>
          <w:noProof/>
          <w:szCs w:val="24"/>
        </w:rPr>
      </w:pPr>
    </w:p>
    <w:p w14:paraId="008EAA60" w14:textId="77777777" w:rsidR="002F06CE" w:rsidRPr="0001127D" w:rsidRDefault="002F06CE" w:rsidP="002F06CE">
      <w:pPr>
        <w:contextualSpacing/>
        <w:jc w:val="center"/>
        <w:rPr>
          <w:b/>
          <w:noProof/>
          <w:szCs w:val="24"/>
        </w:rPr>
      </w:pPr>
      <w:r w:rsidRPr="0001127D">
        <w:rPr>
          <w:b/>
          <w:noProof/>
        </w:rPr>
        <w:t xml:space="preserve">Esenzione dalla traduzione </w:t>
      </w:r>
    </w:p>
    <w:p w14:paraId="7C2ACADC" w14:textId="110D9ED0" w:rsidR="002F06CE" w:rsidRPr="0001127D" w:rsidRDefault="002F06CE" w:rsidP="002F06CE">
      <w:pPr>
        <w:pStyle w:val="CommentText"/>
        <w:ind w:left="851"/>
        <w:contextualSpacing/>
        <w:rPr>
          <w:noProof/>
          <w:sz w:val="24"/>
          <w:szCs w:val="24"/>
        </w:rPr>
      </w:pPr>
      <w:r w:rsidRPr="0001127D">
        <w:rPr>
          <w:noProof/>
          <w:sz w:val="24"/>
        </w:rPr>
        <w:t>1. Gli Stati membri provvedono affinché, per le copie o gli estratti di documenti e informazioni forniti dai registri di cui all</w:t>
      </w:r>
      <w:r w:rsidR="00E64452" w:rsidRPr="0001127D">
        <w:rPr>
          <w:noProof/>
          <w:sz w:val="24"/>
        </w:rPr>
        <w:t>'</w:t>
      </w:r>
      <w:r w:rsidRPr="0001127D">
        <w:rPr>
          <w:noProof/>
          <w:sz w:val="24"/>
        </w:rPr>
        <w:t>articolo</w:t>
      </w:r>
      <w:r w:rsidR="009C1CEF" w:rsidRPr="0001127D">
        <w:rPr>
          <w:noProof/>
          <w:sz w:val="24"/>
        </w:rPr>
        <w:t> </w:t>
      </w:r>
      <w:r w:rsidRPr="0001127D">
        <w:rPr>
          <w:noProof/>
          <w:sz w:val="24"/>
        </w:rPr>
        <w:t>16 e utilizzati in situazioni transfrontaliere, comprese le situazioni di cui all</w:t>
      </w:r>
      <w:r w:rsidR="00E64452" w:rsidRPr="0001127D">
        <w:rPr>
          <w:noProof/>
          <w:sz w:val="24"/>
        </w:rPr>
        <w:t>'</w:t>
      </w:r>
      <w:r w:rsidRPr="0001127D">
        <w:rPr>
          <w:noProof/>
          <w:sz w:val="24"/>
        </w:rPr>
        <w:t xml:space="preserve">articolo 13 </w:t>
      </w:r>
      <w:r w:rsidRPr="0001127D">
        <w:rPr>
          <w:i/>
          <w:iCs/>
          <w:noProof/>
          <w:sz w:val="24"/>
        </w:rPr>
        <w:t>octies</w:t>
      </w:r>
      <w:r w:rsidRPr="0001127D">
        <w:rPr>
          <w:noProof/>
          <w:sz w:val="24"/>
        </w:rPr>
        <w:t xml:space="preserve">, paragrafo 2 </w:t>
      </w:r>
      <w:r w:rsidRPr="0001127D">
        <w:rPr>
          <w:i/>
          <w:iCs/>
          <w:noProof/>
          <w:sz w:val="24"/>
        </w:rPr>
        <w:t>bis</w:t>
      </w:r>
      <w:r w:rsidRPr="0001127D">
        <w:rPr>
          <w:noProof/>
          <w:sz w:val="24"/>
        </w:rPr>
        <w:t>, e all</w:t>
      </w:r>
      <w:r w:rsidR="00E64452" w:rsidRPr="0001127D">
        <w:rPr>
          <w:noProof/>
          <w:sz w:val="24"/>
        </w:rPr>
        <w:t>'</w:t>
      </w:r>
      <w:r w:rsidRPr="0001127D">
        <w:rPr>
          <w:noProof/>
          <w:sz w:val="24"/>
        </w:rPr>
        <w:t xml:space="preserve">articolo 28 </w:t>
      </w:r>
      <w:r w:rsidRPr="0001127D">
        <w:rPr>
          <w:i/>
          <w:iCs/>
          <w:noProof/>
          <w:sz w:val="24"/>
        </w:rPr>
        <w:t>bis</w:t>
      </w:r>
      <w:r w:rsidRPr="0001127D">
        <w:rPr>
          <w:noProof/>
          <w:sz w:val="24"/>
        </w:rPr>
        <w:t>, paragrafo 5, non sia richiesta alcuna traduzione:</w:t>
      </w:r>
      <w:r w:rsidR="00E64452" w:rsidRPr="0001127D">
        <w:rPr>
          <w:noProof/>
          <w:sz w:val="24"/>
        </w:rPr>
        <w:t xml:space="preserve"> </w:t>
      </w:r>
    </w:p>
    <w:p w14:paraId="10B55DA6" w14:textId="68D865E0" w:rsidR="002F06CE" w:rsidRPr="0001127D" w:rsidRDefault="002F06CE" w:rsidP="002F06CE">
      <w:pPr>
        <w:pStyle w:val="Point0"/>
        <w:rPr>
          <w:noProof/>
        </w:rPr>
      </w:pPr>
      <w:r w:rsidRPr="0001127D">
        <w:rPr>
          <w:noProof/>
        </w:rPr>
        <w:t>a)</w:t>
      </w:r>
      <w:r w:rsidRPr="0001127D">
        <w:rPr>
          <w:noProof/>
        </w:rPr>
        <w:tab/>
        <w:t>qualora il documento o le informazioni siano nella lingua ufficiale dello Stato membro in cui sono presentati, o in una delle lingue ufficiali se tale Stato membro ha più lingue ufficiali, o in un</w:t>
      </w:r>
      <w:r w:rsidR="00E64452" w:rsidRPr="0001127D">
        <w:rPr>
          <w:noProof/>
        </w:rPr>
        <w:t>'</w:t>
      </w:r>
      <w:r w:rsidRPr="0001127D">
        <w:rPr>
          <w:noProof/>
        </w:rPr>
        <w:t>altra lingua che tale Stato membro abbia dichiarato di accettare;</w:t>
      </w:r>
      <w:r w:rsidR="00E64452" w:rsidRPr="0001127D">
        <w:rPr>
          <w:noProof/>
        </w:rPr>
        <w:t xml:space="preserve"> </w:t>
      </w:r>
    </w:p>
    <w:p w14:paraId="18D674C3" w14:textId="27642E47" w:rsidR="002F06CE" w:rsidRPr="0001127D" w:rsidRDefault="002F06CE" w:rsidP="002F06CE">
      <w:pPr>
        <w:pStyle w:val="Point0"/>
        <w:rPr>
          <w:noProof/>
        </w:rPr>
      </w:pPr>
      <w:r w:rsidRPr="0001127D">
        <w:rPr>
          <w:noProof/>
        </w:rPr>
        <w:t>b)</w:t>
      </w:r>
      <w:r w:rsidRPr="0001127D">
        <w:rPr>
          <w:noProof/>
        </w:rPr>
        <w:tab/>
        <w:t>qualora le informazioni siano accessibili attraverso il sistema di interconnessione dei registri e identificabili attraverso le note esplicative di cui all</w:t>
      </w:r>
      <w:r w:rsidR="00E64452" w:rsidRPr="0001127D">
        <w:rPr>
          <w:noProof/>
        </w:rPr>
        <w:t>'</w:t>
      </w:r>
      <w:r w:rsidRPr="0001127D">
        <w:rPr>
          <w:noProof/>
        </w:rPr>
        <w:t xml:space="preserve">articolo 18; </w:t>
      </w:r>
    </w:p>
    <w:p w14:paraId="764A0CF1" w14:textId="2283BA6D" w:rsidR="002F06CE" w:rsidRPr="0001127D" w:rsidRDefault="002F06CE" w:rsidP="002F06CE">
      <w:pPr>
        <w:pStyle w:val="Point0"/>
        <w:rPr>
          <w:rFonts w:eastAsia="Times New Roman"/>
          <w:noProof/>
        </w:rPr>
      </w:pPr>
      <w:r w:rsidRPr="0001127D">
        <w:rPr>
          <w:noProof/>
        </w:rPr>
        <w:t>c)</w:t>
      </w:r>
      <w:r w:rsidRPr="0001127D">
        <w:rPr>
          <w:noProof/>
        </w:rPr>
        <w:tab/>
        <w:t>qualora le informazioni specifiche figurino nel certificato delle società UE di cui all</w:t>
      </w:r>
      <w:r w:rsidR="00E64452" w:rsidRPr="0001127D">
        <w:rPr>
          <w:noProof/>
        </w:rPr>
        <w:t>'</w:t>
      </w:r>
      <w:r w:rsidRPr="0001127D">
        <w:rPr>
          <w:noProof/>
        </w:rPr>
        <w:t xml:space="preserve">articolo 16 </w:t>
      </w:r>
      <w:r w:rsidRPr="0001127D">
        <w:rPr>
          <w:i/>
          <w:iCs/>
          <w:noProof/>
        </w:rPr>
        <w:t>ter</w:t>
      </w:r>
      <w:r w:rsidRPr="0001127D">
        <w:rPr>
          <w:noProof/>
        </w:rPr>
        <w:t>.</w:t>
      </w:r>
    </w:p>
    <w:p w14:paraId="11DF6AEC" w14:textId="4A2D320B" w:rsidR="002F06CE" w:rsidRPr="0001127D" w:rsidRDefault="002F06CE" w:rsidP="002F06CE">
      <w:pPr>
        <w:pStyle w:val="CommentText"/>
        <w:ind w:left="851"/>
        <w:rPr>
          <w:noProof/>
          <w:sz w:val="24"/>
          <w:szCs w:val="24"/>
        </w:rPr>
      </w:pPr>
      <w:r w:rsidRPr="0001127D">
        <w:rPr>
          <w:noProof/>
          <w:sz w:val="24"/>
        </w:rPr>
        <w:t>2.</w:t>
      </w:r>
      <w:r w:rsidR="00E64452" w:rsidRPr="0001127D">
        <w:rPr>
          <w:noProof/>
          <w:sz w:val="24"/>
        </w:rPr>
        <w:t xml:space="preserve"> </w:t>
      </w:r>
      <w:r w:rsidRPr="0001127D">
        <w:rPr>
          <w:noProof/>
          <w:sz w:val="24"/>
        </w:rPr>
        <w:t>Fatto salvo il paragrafo</w:t>
      </w:r>
      <w:r w:rsidR="009C1CEF" w:rsidRPr="0001127D">
        <w:rPr>
          <w:noProof/>
          <w:sz w:val="24"/>
        </w:rPr>
        <w:t> </w:t>
      </w:r>
      <w:r w:rsidRPr="0001127D">
        <w:rPr>
          <w:noProof/>
          <w:sz w:val="24"/>
        </w:rPr>
        <w:t>1, gli Stati membri provvedono affinché, nei casi in cui l</w:t>
      </w:r>
      <w:r w:rsidR="00E64452" w:rsidRPr="0001127D">
        <w:rPr>
          <w:noProof/>
          <w:sz w:val="24"/>
        </w:rPr>
        <w:t>'</w:t>
      </w:r>
      <w:r w:rsidRPr="0001127D">
        <w:rPr>
          <w:noProof/>
          <w:sz w:val="24"/>
        </w:rPr>
        <w:t>atto costitutivo e lo statuto, se quest</w:t>
      </w:r>
      <w:r w:rsidR="00E64452" w:rsidRPr="0001127D">
        <w:rPr>
          <w:noProof/>
          <w:sz w:val="24"/>
        </w:rPr>
        <w:t>'</w:t>
      </w:r>
      <w:r w:rsidRPr="0001127D">
        <w:rPr>
          <w:noProof/>
          <w:sz w:val="24"/>
        </w:rPr>
        <w:t>ultimo forma oggetto di atto separato, e altri documenti forniti dai registri di cui all</w:t>
      </w:r>
      <w:r w:rsidR="00E64452" w:rsidRPr="0001127D">
        <w:rPr>
          <w:noProof/>
          <w:sz w:val="24"/>
        </w:rPr>
        <w:t>'</w:t>
      </w:r>
      <w:r w:rsidRPr="0001127D">
        <w:rPr>
          <w:noProof/>
          <w:sz w:val="24"/>
        </w:rPr>
        <w:t>articolo</w:t>
      </w:r>
      <w:r w:rsidR="009C1CEF" w:rsidRPr="0001127D">
        <w:rPr>
          <w:noProof/>
          <w:sz w:val="24"/>
        </w:rPr>
        <w:t> </w:t>
      </w:r>
      <w:r w:rsidRPr="0001127D">
        <w:rPr>
          <w:noProof/>
          <w:sz w:val="24"/>
        </w:rPr>
        <w:t>16, debbano essere presentati in un altro Stato membro, sia richiesta una traduzione certificata solo qualora ciò sia giustificato dalla finalità per cui il documento sarà usato, ad esempio per assolvere un requisito di comunicazione pubblica obbligatoria o ai fini della presentazione in un procedimento giudiziario, e qualora ciò sia strettamente necessario.</w:t>
      </w:r>
      <w:r w:rsidR="00E64452" w:rsidRPr="0001127D">
        <w:rPr>
          <w:noProof/>
          <w:sz w:val="24"/>
        </w:rPr>
        <w:t>"</w:t>
      </w:r>
      <w:r w:rsidRPr="0001127D">
        <w:rPr>
          <w:noProof/>
          <w:sz w:val="24"/>
        </w:rPr>
        <w:t>;</w:t>
      </w:r>
    </w:p>
    <w:p w14:paraId="43158C77" w14:textId="77777777" w:rsidR="002F06CE" w:rsidRPr="0001127D" w:rsidRDefault="002F06CE" w:rsidP="002F06CE">
      <w:pPr>
        <w:rPr>
          <w:noProof/>
        </w:rPr>
      </w:pPr>
    </w:p>
    <w:p w14:paraId="2CBA9BEE" w14:textId="79CF97E4" w:rsidR="002F06CE" w:rsidRPr="0001127D" w:rsidRDefault="002F06CE" w:rsidP="002F06CE">
      <w:pPr>
        <w:pStyle w:val="Point0"/>
        <w:rPr>
          <w:noProof/>
        </w:rPr>
      </w:pPr>
      <w:r w:rsidRPr="0001127D">
        <w:rPr>
          <w:noProof/>
        </w:rPr>
        <w:t>22)</w:t>
      </w:r>
      <w:r w:rsidRPr="0001127D">
        <w:rPr>
          <w:noProof/>
        </w:rPr>
        <w:tab/>
        <w:t>all</w:t>
      </w:r>
      <w:r w:rsidR="00E64452" w:rsidRPr="0001127D">
        <w:rPr>
          <w:noProof/>
        </w:rPr>
        <w:t>'</w:t>
      </w:r>
      <w:r w:rsidRPr="0001127D">
        <w:rPr>
          <w:noProof/>
        </w:rPr>
        <w:t>articolo 17 è aggiunto il seguente paragrafo:</w:t>
      </w:r>
    </w:p>
    <w:p w14:paraId="0DFCC61E" w14:textId="78438167" w:rsidR="002F06CE" w:rsidRPr="0001127D" w:rsidRDefault="00E64452" w:rsidP="002F06CE">
      <w:pPr>
        <w:shd w:val="clear" w:color="auto" w:fill="FFFFFF"/>
        <w:spacing w:after="0"/>
        <w:ind w:left="851"/>
        <w:rPr>
          <w:rFonts w:ascii="inherit" w:eastAsia="Times New Roman" w:hAnsi="inherit"/>
          <w:noProof/>
          <w:szCs w:val="24"/>
        </w:rPr>
      </w:pPr>
      <w:r w:rsidRPr="0001127D">
        <w:rPr>
          <w:noProof/>
        </w:rPr>
        <w:t>"</w:t>
      </w:r>
      <w:r w:rsidR="002F06CE" w:rsidRPr="0001127D">
        <w:rPr>
          <w:rFonts w:ascii="inherit" w:hAnsi="inherit"/>
          <w:noProof/>
        </w:rPr>
        <w:t>4. Il presente articolo si applica anche alle informazioni relative alle società di persone di cui all</w:t>
      </w:r>
      <w:r w:rsidRPr="0001127D">
        <w:rPr>
          <w:rFonts w:ascii="inherit" w:hAnsi="inherit"/>
          <w:noProof/>
        </w:rPr>
        <w:t>'</w:t>
      </w:r>
      <w:r w:rsidR="002F06CE" w:rsidRPr="0001127D">
        <w:rPr>
          <w:rFonts w:ascii="inherit" w:hAnsi="inherit"/>
          <w:noProof/>
        </w:rPr>
        <w:t xml:space="preserve">articolo 14 </w:t>
      </w:r>
      <w:r w:rsidR="002F06CE" w:rsidRPr="0001127D">
        <w:rPr>
          <w:rFonts w:ascii="inherit" w:hAnsi="inherit"/>
          <w:i/>
          <w:iCs/>
          <w:noProof/>
        </w:rPr>
        <w:t>bis</w:t>
      </w:r>
      <w:r w:rsidR="002F06CE" w:rsidRPr="0001127D">
        <w:rPr>
          <w:rFonts w:ascii="inherit" w:hAnsi="inherit"/>
          <w:noProof/>
        </w:rPr>
        <w:t>.</w:t>
      </w:r>
      <w:r w:rsidRPr="0001127D">
        <w:rPr>
          <w:rFonts w:ascii="inherit" w:hAnsi="inherit"/>
          <w:noProof/>
        </w:rPr>
        <w:t>"</w:t>
      </w:r>
      <w:r w:rsidR="002F06CE" w:rsidRPr="0001127D">
        <w:rPr>
          <w:rFonts w:ascii="inherit" w:hAnsi="inherit"/>
          <w:noProof/>
        </w:rPr>
        <w:t>;</w:t>
      </w:r>
    </w:p>
    <w:p w14:paraId="35491968" w14:textId="77777777" w:rsidR="002F06CE" w:rsidRPr="0001127D" w:rsidRDefault="002F06CE" w:rsidP="002F06CE">
      <w:pPr>
        <w:rPr>
          <w:noProof/>
        </w:rPr>
      </w:pPr>
    </w:p>
    <w:p w14:paraId="50608093" w14:textId="0ED90055" w:rsidR="002F06CE" w:rsidRPr="0001127D" w:rsidRDefault="002F06CE" w:rsidP="002F06CE">
      <w:pPr>
        <w:pStyle w:val="Point0"/>
        <w:rPr>
          <w:noProof/>
        </w:rPr>
      </w:pPr>
      <w:r w:rsidRPr="0001127D">
        <w:rPr>
          <w:noProof/>
        </w:rPr>
        <w:t>23)</w:t>
      </w:r>
      <w:r w:rsidRPr="0001127D">
        <w:rPr>
          <w:noProof/>
        </w:rPr>
        <w:tab/>
        <w:t>l</w:t>
      </w:r>
      <w:r w:rsidR="00E64452" w:rsidRPr="0001127D">
        <w:rPr>
          <w:noProof/>
        </w:rPr>
        <w:t>'</w:t>
      </w:r>
      <w:r w:rsidRPr="0001127D">
        <w:rPr>
          <w:noProof/>
        </w:rPr>
        <w:t>articolo 18 è sostituito dal seguente:</w:t>
      </w:r>
    </w:p>
    <w:p w14:paraId="2131606B" w14:textId="3063D3BF" w:rsidR="002F06CE" w:rsidRPr="0001127D" w:rsidRDefault="00E64452" w:rsidP="002F06CE">
      <w:pPr>
        <w:shd w:val="clear" w:color="auto" w:fill="FFFFFF"/>
        <w:jc w:val="center"/>
        <w:rPr>
          <w:noProof/>
          <w:color w:val="00B050"/>
          <w:szCs w:val="24"/>
        </w:rPr>
      </w:pPr>
      <w:r w:rsidRPr="0001127D">
        <w:rPr>
          <w:noProof/>
        </w:rPr>
        <w:t>"</w:t>
      </w:r>
      <w:r w:rsidR="002F06CE" w:rsidRPr="0001127D">
        <w:rPr>
          <w:noProof/>
        </w:rPr>
        <w:t xml:space="preserve">Articolo 18 </w:t>
      </w:r>
    </w:p>
    <w:p w14:paraId="7E4CBA9D" w14:textId="77777777" w:rsidR="002F06CE" w:rsidRPr="0001127D" w:rsidRDefault="002F06CE" w:rsidP="002F06CE">
      <w:pPr>
        <w:shd w:val="clear" w:color="auto" w:fill="FFFFFF"/>
        <w:jc w:val="center"/>
        <w:rPr>
          <w:b/>
          <w:noProof/>
          <w:szCs w:val="24"/>
        </w:rPr>
      </w:pPr>
      <w:r w:rsidRPr="0001127D">
        <w:rPr>
          <w:b/>
          <w:noProof/>
        </w:rPr>
        <w:t>Disponibilità di copie elettroniche degli atti e delle informazioni</w:t>
      </w:r>
    </w:p>
    <w:p w14:paraId="60A01FC1" w14:textId="77777777" w:rsidR="002F06CE" w:rsidRPr="0001127D" w:rsidRDefault="002F06CE" w:rsidP="002F06CE">
      <w:pPr>
        <w:shd w:val="clear" w:color="auto" w:fill="FFFFFF"/>
        <w:spacing w:after="0" w:line="312" w:lineRule="atLeast"/>
        <w:ind w:left="851"/>
        <w:rPr>
          <w:rFonts w:eastAsia="Times New Roman"/>
          <w:noProof/>
          <w:szCs w:val="24"/>
        </w:rPr>
      </w:pPr>
      <w:r w:rsidRPr="0001127D">
        <w:rPr>
          <w:noProof/>
        </w:rPr>
        <w:t>1. </w:t>
      </w:r>
      <w:r w:rsidRPr="0001127D">
        <w:rPr>
          <w:noProof/>
        </w:rPr>
        <w:tab/>
        <w:t xml:space="preserve">Le copie elettroniche dei documenti e delle informazioni di cui agli articoli 14, 14 </w:t>
      </w:r>
      <w:r w:rsidRPr="0001127D">
        <w:rPr>
          <w:i/>
          <w:iCs/>
          <w:noProof/>
        </w:rPr>
        <w:t>bis</w:t>
      </w:r>
      <w:r w:rsidRPr="0001127D">
        <w:rPr>
          <w:noProof/>
        </w:rPr>
        <w:t xml:space="preserve"> e 14 </w:t>
      </w:r>
      <w:r w:rsidRPr="0001127D">
        <w:rPr>
          <w:i/>
          <w:iCs/>
          <w:noProof/>
        </w:rPr>
        <w:t>ter</w:t>
      </w:r>
      <w:r w:rsidRPr="0001127D">
        <w:rPr>
          <w:noProof/>
        </w:rPr>
        <w:t xml:space="preserve">, sono parimenti rese pubblicamente disponibili attraverso il sistema di interconnessione dei registri. Gli Stati membri possono inoltre mettere a disposizione i documenti e le informazioni di cui agli articoli 14, 14 </w:t>
      </w:r>
      <w:r w:rsidRPr="0001127D">
        <w:rPr>
          <w:i/>
          <w:iCs/>
          <w:noProof/>
        </w:rPr>
        <w:t>bis</w:t>
      </w:r>
      <w:r w:rsidRPr="0001127D">
        <w:rPr>
          <w:noProof/>
        </w:rPr>
        <w:t xml:space="preserve"> e 14 </w:t>
      </w:r>
      <w:r w:rsidRPr="0001127D">
        <w:rPr>
          <w:i/>
          <w:iCs/>
          <w:noProof/>
        </w:rPr>
        <w:t>ter</w:t>
      </w:r>
      <w:r w:rsidRPr="0001127D">
        <w:rPr>
          <w:noProof/>
        </w:rPr>
        <w:t xml:space="preserve"> per i tipi di società diversi da quelli elencati negli allegati II e II </w:t>
      </w:r>
      <w:r w:rsidRPr="0001127D">
        <w:rPr>
          <w:i/>
          <w:iCs/>
          <w:noProof/>
        </w:rPr>
        <w:t>ter</w:t>
      </w:r>
      <w:r w:rsidRPr="0001127D">
        <w:rPr>
          <w:noProof/>
        </w:rPr>
        <w:t xml:space="preserve">. </w:t>
      </w:r>
    </w:p>
    <w:p w14:paraId="79EF1FBA" w14:textId="18087CD8" w:rsidR="002F06CE" w:rsidRPr="0001127D" w:rsidRDefault="002F06CE" w:rsidP="002F06CE">
      <w:pPr>
        <w:shd w:val="clear" w:color="auto" w:fill="FFFFFF"/>
        <w:spacing w:after="0" w:line="312" w:lineRule="atLeast"/>
        <w:ind w:left="851"/>
        <w:rPr>
          <w:rFonts w:eastAsia="Times New Roman"/>
          <w:noProof/>
          <w:szCs w:val="24"/>
        </w:rPr>
      </w:pPr>
      <w:r w:rsidRPr="0001127D">
        <w:rPr>
          <w:noProof/>
        </w:rPr>
        <w:t>L</w:t>
      </w:r>
      <w:r w:rsidR="00E64452" w:rsidRPr="0001127D">
        <w:rPr>
          <w:noProof/>
        </w:rPr>
        <w:t>'</w:t>
      </w:r>
      <w:r w:rsidRPr="0001127D">
        <w:rPr>
          <w:noProof/>
        </w:rPr>
        <w:t xml:space="preserve">articolo 16 </w:t>
      </w:r>
      <w:r w:rsidRPr="0001127D">
        <w:rPr>
          <w:i/>
          <w:iCs/>
          <w:noProof/>
        </w:rPr>
        <w:t>bis</w:t>
      </w:r>
      <w:r w:rsidRPr="0001127D">
        <w:rPr>
          <w:noProof/>
        </w:rPr>
        <w:t xml:space="preserve">, paragrafi 3, 4 e 5, si applica </w:t>
      </w:r>
      <w:r w:rsidRPr="0001127D">
        <w:rPr>
          <w:i/>
          <w:iCs/>
          <w:noProof/>
        </w:rPr>
        <w:t>mutatis mutandis</w:t>
      </w:r>
      <w:r w:rsidRPr="0001127D">
        <w:rPr>
          <w:noProof/>
        </w:rPr>
        <w:t xml:space="preserve"> anche alle copie elettroniche dei documenti e delle informazioni rese pubblicamente disponibili attraverso il sistema di interconnessione dei registri.</w:t>
      </w:r>
    </w:p>
    <w:p w14:paraId="65A122FF" w14:textId="58D8801F" w:rsidR="002F06CE" w:rsidRPr="0001127D" w:rsidRDefault="002F06CE" w:rsidP="002F06CE">
      <w:pPr>
        <w:shd w:val="clear" w:color="auto" w:fill="FFFFFF"/>
        <w:spacing w:after="0"/>
        <w:ind w:left="851"/>
        <w:rPr>
          <w:rFonts w:eastAsia="Times New Roman"/>
          <w:noProof/>
          <w:szCs w:val="24"/>
        </w:rPr>
      </w:pPr>
      <w:r w:rsidRPr="0001127D">
        <w:rPr>
          <w:noProof/>
        </w:rPr>
        <w:t>2. </w:t>
      </w:r>
      <w:r w:rsidRPr="0001127D">
        <w:rPr>
          <w:noProof/>
        </w:rPr>
        <w:tab/>
        <w:t xml:space="preserve">Gli Stati membri provvedono affinché gli atti e le informazioni di cui agli articoli 14, 14 </w:t>
      </w:r>
      <w:r w:rsidRPr="0001127D">
        <w:rPr>
          <w:i/>
          <w:iCs/>
          <w:noProof/>
        </w:rPr>
        <w:t>bis</w:t>
      </w:r>
      <w:r w:rsidRPr="0001127D">
        <w:rPr>
          <w:noProof/>
        </w:rPr>
        <w:t xml:space="preserve"> e 14 </w:t>
      </w:r>
      <w:r w:rsidRPr="0001127D">
        <w:rPr>
          <w:i/>
          <w:iCs/>
          <w:noProof/>
        </w:rPr>
        <w:t>ter</w:t>
      </w:r>
      <w:r w:rsidRPr="0001127D">
        <w:rPr>
          <w:noProof/>
        </w:rPr>
        <w:t>, all</w:t>
      </w:r>
      <w:r w:rsidR="00E64452" w:rsidRPr="0001127D">
        <w:rPr>
          <w:noProof/>
        </w:rPr>
        <w:t>'</w:t>
      </w:r>
      <w:r w:rsidRPr="0001127D">
        <w:rPr>
          <w:noProof/>
        </w:rPr>
        <w:t>articolo</w:t>
      </w:r>
      <w:r w:rsidR="009C1CEF" w:rsidRPr="0001127D">
        <w:rPr>
          <w:noProof/>
        </w:rPr>
        <w:t> </w:t>
      </w:r>
      <w:r w:rsidRPr="0001127D">
        <w:rPr>
          <w:noProof/>
        </w:rPr>
        <w:t>19, paragrafo</w:t>
      </w:r>
      <w:r w:rsidR="009C1CEF" w:rsidRPr="0001127D">
        <w:rPr>
          <w:noProof/>
        </w:rPr>
        <w:t> </w:t>
      </w:r>
      <w:r w:rsidRPr="0001127D">
        <w:rPr>
          <w:noProof/>
        </w:rPr>
        <w:t>2, e all</w:t>
      </w:r>
      <w:r w:rsidR="00E64452" w:rsidRPr="0001127D">
        <w:rPr>
          <w:noProof/>
        </w:rPr>
        <w:t>'</w:t>
      </w:r>
      <w:r w:rsidRPr="0001127D">
        <w:rPr>
          <w:noProof/>
        </w:rPr>
        <w:t>articolo</w:t>
      </w:r>
      <w:r w:rsidR="009C1CEF" w:rsidRPr="0001127D">
        <w:rPr>
          <w:noProof/>
        </w:rPr>
        <w:t> </w:t>
      </w:r>
      <w:r w:rsidRPr="0001127D">
        <w:rPr>
          <w:noProof/>
        </w:rPr>
        <w:t>19</w:t>
      </w:r>
      <w:r w:rsidR="009C1CEF" w:rsidRPr="0001127D">
        <w:rPr>
          <w:noProof/>
        </w:rPr>
        <w:t> </w:t>
      </w:r>
      <w:r w:rsidRPr="0001127D">
        <w:rPr>
          <w:i/>
          <w:iCs/>
          <w:noProof/>
        </w:rPr>
        <w:t>bis</w:t>
      </w:r>
      <w:r w:rsidR="009C1CEF" w:rsidRPr="0001127D">
        <w:rPr>
          <w:noProof/>
        </w:rPr>
        <w:t>, paragrafo </w:t>
      </w:r>
      <w:r w:rsidRPr="0001127D">
        <w:rPr>
          <w:noProof/>
        </w:rPr>
        <w:t>2, siano disponibili attraverso il sistema di interconnessione dei registri in un formato standard di messaggio nonché accessibili elettronicamente. Gli Stati membri assicurano inoltre che siano rispettate le norme minime per la sicurezza della trasmissione dei dati.</w:t>
      </w:r>
    </w:p>
    <w:p w14:paraId="71C8775C" w14:textId="7E6A8E0C" w:rsidR="002F06CE" w:rsidRPr="0001127D" w:rsidRDefault="002F06CE" w:rsidP="002F06CE">
      <w:pPr>
        <w:shd w:val="clear" w:color="auto" w:fill="FFFFFF"/>
        <w:spacing w:after="0"/>
        <w:ind w:left="851"/>
        <w:rPr>
          <w:rFonts w:eastAsia="Times New Roman"/>
          <w:noProof/>
          <w:szCs w:val="24"/>
        </w:rPr>
      </w:pPr>
      <w:r w:rsidRPr="0001127D">
        <w:rPr>
          <w:noProof/>
        </w:rPr>
        <w:t xml:space="preserve">3. </w:t>
      </w:r>
      <w:r w:rsidRPr="0001127D">
        <w:rPr>
          <w:noProof/>
        </w:rPr>
        <w:tab/>
        <w:t>La Commissione fornisce, in tutte le lingue ufficiali dell</w:t>
      </w:r>
      <w:r w:rsidR="00E64452" w:rsidRPr="0001127D">
        <w:rPr>
          <w:noProof/>
        </w:rPr>
        <w:t>'</w:t>
      </w:r>
      <w:r w:rsidRPr="0001127D">
        <w:rPr>
          <w:noProof/>
        </w:rPr>
        <w:t>Unione, un servizio di ricerca sulle società iscritte nei registri degli Stati membri al fine di rendere accessibili attraverso il portale:</w:t>
      </w:r>
    </w:p>
    <w:p w14:paraId="329805C0" w14:textId="6AECCFD8" w:rsidR="002F06CE" w:rsidRPr="0001127D" w:rsidRDefault="002F06CE" w:rsidP="002F06CE">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r w:rsidRPr="0001127D">
        <w:rPr>
          <w:rFonts w:ascii="Times New Roman" w:hAnsi="Times New Roman"/>
          <w:noProof/>
          <w:sz w:val="24"/>
        </w:rPr>
        <w:t xml:space="preserve"> a) i documenti e le informazioni di cui agli articoli 14, 14</w:t>
      </w:r>
      <w:r w:rsidR="009C1CEF" w:rsidRPr="0001127D">
        <w:rPr>
          <w:rFonts w:ascii="Times New Roman" w:hAnsi="Times New Roman"/>
          <w:noProof/>
          <w:sz w:val="24"/>
        </w:rPr>
        <w:t> </w:t>
      </w:r>
      <w:r w:rsidRPr="0001127D">
        <w:rPr>
          <w:rFonts w:ascii="Times New Roman" w:hAnsi="Times New Roman"/>
          <w:i/>
          <w:iCs/>
          <w:noProof/>
          <w:sz w:val="24"/>
        </w:rPr>
        <w:t>bis</w:t>
      </w:r>
      <w:r w:rsidRPr="0001127D">
        <w:rPr>
          <w:rFonts w:ascii="Times New Roman" w:hAnsi="Times New Roman"/>
          <w:noProof/>
          <w:sz w:val="24"/>
        </w:rPr>
        <w:t xml:space="preserve"> e 14</w:t>
      </w:r>
      <w:r w:rsidR="009C1CEF" w:rsidRPr="0001127D">
        <w:rPr>
          <w:rFonts w:ascii="Times New Roman" w:hAnsi="Times New Roman"/>
          <w:noProof/>
          <w:sz w:val="24"/>
        </w:rPr>
        <w:t> </w:t>
      </w:r>
      <w:r w:rsidRPr="0001127D">
        <w:rPr>
          <w:rFonts w:ascii="Times New Roman" w:hAnsi="Times New Roman"/>
          <w:i/>
          <w:iCs/>
          <w:noProof/>
          <w:sz w:val="24"/>
        </w:rPr>
        <w:t>ter</w:t>
      </w:r>
      <w:r w:rsidRPr="0001127D">
        <w:rPr>
          <w:rFonts w:ascii="Times New Roman" w:hAnsi="Times New Roman"/>
          <w:noProof/>
          <w:sz w:val="24"/>
        </w:rPr>
        <w:t>, all</w:t>
      </w:r>
      <w:r w:rsidR="00E64452" w:rsidRPr="0001127D">
        <w:rPr>
          <w:rFonts w:ascii="Times New Roman" w:hAnsi="Times New Roman"/>
          <w:noProof/>
          <w:sz w:val="24"/>
        </w:rPr>
        <w:t>'</w:t>
      </w:r>
      <w:r w:rsidR="009C1CEF" w:rsidRPr="0001127D">
        <w:rPr>
          <w:rFonts w:ascii="Times New Roman" w:hAnsi="Times New Roman"/>
          <w:noProof/>
          <w:sz w:val="24"/>
        </w:rPr>
        <w:t>articolo </w:t>
      </w:r>
      <w:r w:rsidRPr="0001127D">
        <w:rPr>
          <w:rFonts w:ascii="Times New Roman" w:hAnsi="Times New Roman"/>
          <w:noProof/>
          <w:sz w:val="24"/>
        </w:rPr>
        <w:t>19, paragrafo 2, e all</w:t>
      </w:r>
      <w:r w:rsidR="00E64452" w:rsidRPr="0001127D">
        <w:rPr>
          <w:rFonts w:ascii="Times New Roman" w:hAnsi="Times New Roman"/>
          <w:noProof/>
          <w:sz w:val="24"/>
        </w:rPr>
        <w:t>'</w:t>
      </w:r>
      <w:r w:rsidRPr="0001127D">
        <w:rPr>
          <w:rFonts w:ascii="Times New Roman" w:hAnsi="Times New Roman"/>
          <w:noProof/>
          <w:sz w:val="24"/>
        </w:rPr>
        <w:t xml:space="preserve">articolo 19 </w:t>
      </w:r>
      <w:r w:rsidRPr="0001127D">
        <w:rPr>
          <w:rFonts w:ascii="Times New Roman" w:hAnsi="Times New Roman"/>
          <w:i/>
          <w:iCs/>
          <w:noProof/>
          <w:sz w:val="24"/>
        </w:rPr>
        <w:t>bis</w:t>
      </w:r>
      <w:r w:rsidRPr="0001127D">
        <w:rPr>
          <w:rFonts w:ascii="Times New Roman" w:hAnsi="Times New Roman"/>
          <w:noProof/>
          <w:sz w:val="24"/>
        </w:rPr>
        <w:t xml:space="preserve">, paragrafo 2, anche per i tipi di società diversi da quelli elencati negli allegati II e II </w:t>
      </w:r>
      <w:r w:rsidRPr="0001127D">
        <w:rPr>
          <w:rFonts w:ascii="Times New Roman" w:hAnsi="Times New Roman"/>
          <w:i/>
          <w:iCs/>
          <w:noProof/>
          <w:sz w:val="24"/>
        </w:rPr>
        <w:t>ter</w:t>
      </w:r>
      <w:r w:rsidRPr="0001127D">
        <w:rPr>
          <w:rFonts w:ascii="Times New Roman" w:hAnsi="Times New Roman"/>
          <w:noProof/>
          <w:sz w:val="24"/>
        </w:rPr>
        <w:t>, se tali documenti sono resi disponibili dagli Stati membri;</w:t>
      </w:r>
    </w:p>
    <w:p w14:paraId="0D215E03" w14:textId="77777777" w:rsidR="002F06CE" w:rsidRPr="0001127D" w:rsidRDefault="002F06CE" w:rsidP="002F06CE">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p>
    <w:p w14:paraId="54204299" w14:textId="77777777" w:rsidR="002F06CE" w:rsidRPr="0001127D" w:rsidRDefault="002F06CE" w:rsidP="002F06CE">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r w:rsidRPr="0001127D">
        <w:rPr>
          <w:rFonts w:ascii="Times New Roman" w:hAnsi="Times New Roman"/>
          <w:noProof/>
          <w:sz w:val="24"/>
        </w:rPr>
        <w:t xml:space="preserve"> a </w:t>
      </w:r>
      <w:r w:rsidRPr="0001127D">
        <w:rPr>
          <w:rFonts w:ascii="Times New Roman" w:hAnsi="Times New Roman"/>
          <w:i/>
          <w:iCs/>
          <w:noProof/>
          <w:sz w:val="24"/>
        </w:rPr>
        <w:t>bis</w:t>
      </w:r>
      <w:r w:rsidRPr="0001127D">
        <w:rPr>
          <w:rFonts w:ascii="Times New Roman" w:hAnsi="Times New Roman"/>
          <w:noProof/>
          <w:sz w:val="24"/>
        </w:rPr>
        <w:t xml:space="preserve">) i documenti e le informazioni di cui agli articoli 86 </w:t>
      </w:r>
      <w:r w:rsidRPr="0001127D">
        <w:rPr>
          <w:rFonts w:ascii="Times New Roman" w:hAnsi="Times New Roman"/>
          <w:i/>
          <w:iCs/>
          <w:noProof/>
          <w:sz w:val="24"/>
        </w:rPr>
        <w:t>octies</w:t>
      </w:r>
      <w:r w:rsidRPr="0001127D">
        <w:rPr>
          <w:rFonts w:ascii="Times New Roman" w:hAnsi="Times New Roman"/>
          <w:noProof/>
          <w:sz w:val="24"/>
        </w:rPr>
        <w:t xml:space="preserve">, 86 </w:t>
      </w:r>
      <w:r w:rsidRPr="0001127D">
        <w:rPr>
          <w:rFonts w:ascii="Times New Roman" w:hAnsi="Times New Roman"/>
          <w:i/>
          <w:iCs/>
          <w:noProof/>
          <w:sz w:val="24"/>
        </w:rPr>
        <w:t>quindecies</w:t>
      </w:r>
      <w:r w:rsidRPr="0001127D">
        <w:rPr>
          <w:rFonts w:ascii="Times New Roman" w:hAnsi="Times New Roman"/>
          <w:noProof/>
          <w:sz w:val="24"/>
        </w:rPr>
        <w:t xml:space="preserve">, 86 </w:t>
      </w:r>
      <w:r w:rsidRPr="0001127D">
        <w:rPr>
          <w:rFonts w:ascii="Times New Roman" w:hAnsi="Times New Roman"/>
          <w:i/>
          <w:iCs/>
          <w:noProof/>
          <w:sz w:val="24"/>
        </w:rPr>
        <w:t>septdecies</w:t>
      </w:r>
      <w:r w:rsidRPr="0001127D">
        <w:rPr>
          <w:rFonts w:ascii="Times New Roman" w:hAnsi="Times New Roman"/>
          <w:noProof/>
          <w:sz w:val="24"/>
        </w:rPr>
        <w:t xml:space="preserve">, 123, 127 </w:t>
      </w:r>
      <w:r w:rsidRPr="0001127D">
        <w:rPr>
          <w:rFonts w:ascii="Times New Roman" w:hAnsi="Times New Roman"/>
          <w:i/>
          <w:iCs/>
          <w:noProof/>
          <w:sz w:val="24"/>
        </w:rPr>
        <w:t>bis</w:t>
      </w:r>
      <w:r w:rsidRPr="0001127D">
        <w:rPr>
          <w:rFonts w:ascii="Times New Roman" w:hAnsi="Times New Roman"/>
          <w:noProof/>
          <w:sz w:val="24"/>
        </w:rPr>
        <w:t xml:space="preserve">, 130, 160 </w:t>
      </w:r>
      <w:r w:rsidRPr="0001127D">
        <w:rPr>
          <w:rFonts w:ascii="Times New Roman" w:hAnsi="Times New Roman"/>
          <w:i/>
          <w:iCs/>
          <w:noProof/>
          <w:sz w:val="24"/>
        </w:rPr>
        <w:t>octies</w:t>
      </w:r>
      <w:r w:rsidRPr="0001127D">
        <w:rPr>
          <w:rFonts w:ascii="Times New Roman" w:hAnsi="Times New Roman"/>
          <w:noProof/>
          <w:sz w:val="24"/>
        </w:rPr>
        <w:t xml:space="preserve">, 160 </w:t>
      </w:r>
      <w:r w:rsidRPr="0001127D">
        <w:rPr>
          <w:rFonts w:ascii="Times New Roman" w:hAnsi="Times New Roman"/>
          <w:i/>
          <w:iCs/>
          <w:noProof/>
          <w:sz w:val="24"/>
        </w:rPr>
        <w:t>quindecies</w:t>
      </w:r>
      <w:r w:rsidRPr="0001127D">
        <w:rPr>
          <w:rFonts w:ascii="Times New Roman" w:hAnsi="Times New Roman"/>
          <w:noProof/>
          <w:sz w:val="24"/>
        </w:rPr>
        <w:t xml:space="preserve"> e 160 </w:t>
      </w:r>
      <w:r w:rsidRPr="0001127D">
        <w:rPr>
          <w:rFonts w:ascii="Times New Roman" w:hAnsi="Times New Roman"/>
          <w:i/>
          <w:iCs/>
          <w:noProof/>
          <w:sz w:val="24"/>
        </w:rPr>
        <w:t>septdecies</w:t>
      </w:r>
      <w:r w:rsidRPr="0001127D">
        <w:rPr>
          <w:rFonts w:ascii="Times New Roman" w:hAnsi="Times New Roman"/>
          <w:noProof/>
          <w:sz w:val="24"/>
        </w:rPr>
        <w:t>;</w:t>
      </w:r>
    </w:p>
    <w:p w14:paraId="74A7D98C" w14:textId="77777777" w:rsidR="002F06CE" w:rsidRPr="0001127D" w:rsidRDefault="002F06CE" w:rsidP="002F06CE">
      <w:pPr>
        <w:pStyle w:val="ListParagraph"/>
        <w:ind w:left="1560" w:hanging="426"/>
        <w:rPr>
          <w:rFonts w:ascii="Times New Roman" w:eastAsia="Times New Roman" w:hAnsi="Times New Roman" w:cs="Times New Roman"/>
          <w:noProof/>
          <w:sz w:val="24"/>
          <w:szCs w:val="24"/>
        </w:rPr>
      </w:pPr>
    </w:p>
    <w:p w14:paraId="6651B443" w14:textId="056F1FB5" w:rsidR="002F06CE" w:rsidRPr="0001127D" w:rsidRDefault="002F06CE" w:rsidP="002F06CE">
      <w:pPr>
        <w:pStyle w:val="ListParagraph"/>
        <w:shd w:val="clear" w:color="auto" w:fill="FFFFFF"/>
        <w:spacing w:before="120" w:after="0" w:line="312" w:lineRule="atLeast"/>
        <w:ind w:left="1560" w:hanging="426"/>
        <w:jc w:val="both"/>
        <w:rPr>
          <w:rFonts w:ascii="Times New Roman" w:eastAsia="Times New Roman" w:hAnsi="Times New Roman" w:cs="Times New Roman"/>
          <w:noProof/>
          <w:sz w:val="24"/>
          <w:szCs w:val="24"/>
        </w:rPr>
      </w:pPr>
      <w:r w:rsidRPr="0001127D">
        <w:rPr>
          <w:rFonts w:ascii="Times New Roman" w:hAnsi="Times New Roman"/>
          <w:noProof/>
          <w:sz w:val="24"/>
        </w:rPr>
        <w:t>b) le note esplicative, disponibili in tutte le lingue ufficiali dell</w:t>
      </w:r>
      <w:r w:rsidR="00E64452" w:rsidRPr="0001127D">
        <w:rPr>
          <w:rFonts w:ascii="Times New Roman" w:hAnsi="Times New Roman"/>
          <w:noProof/>
          <w:sz w:val="24"/>
        </w:rPr>
        <w:t>'</w:t>
      </w:r>
      <w:r w:rsidRPr="0001127D">
        <w:rPr>
          <w:rFonts w:ascii="Times New Roman" w:hAnsi="Times New Roman"/>
          <w:noProof/>
          <w:sz w:val="24"/>
        </w:rPr>
        <w:t>Unione, che elencano le suddette informazioni e i tipi di atti.</w:t>
      </w:r>
    </w:p>
    <w:p w14:paraId="677D5776" w14:textId="56D54DBE" w:rsidR="002F06CE" w:rsidRPr="0001127D" w:rsidRDefault="002F06CE" w:rsidP="002F06CE">
      <w:pPr>
        <w:ind w:left="851"/>
        <w:contextualSpacing/>
        <w:rPr>
          <w:noProof/>
          <w:szCs w:val="24"/>
        </w:rPr>
      </w:pPr>
      <w:r w:rsidRPr="0001127D">
        <w:rPr>
          <w:noProof/>
        </w:rPr>
        <w:t xml:space="preserve">4. </w:t>
      </w:r>
      <w:r w:rsidRPr="0001127D">
        <w:rPr>
          <w:noProof/>
        </w:rPr>
        <w:tab/>
        <w:t>Gli Stati membri provvedono affinché, attraverso il sistema di interconnessione dei registri delle imprese,</w:t>
      </w:r>
      <w:r w:rsidRPr="0001127D">
        <w:rPr>
          <w:i/>
          <w:noProof/>
        </w:rPr>
        <w:t xml:space="preserve"> </w:t>
      </w:r>
      <w:r w:rsidRPr="0001127D">
        <w:rPr>
          <w:noProof/>
        </w:rPr>
        <w:t>siano resi pubblicamente disponibili il nome, il cognome e la data di nascita delle persone di cui all</w:t>
      </w:r>
      <w:r w:rsidR="00E64452" w:rsidRPr="0001127D">
        <w:rPr>
          <w:noProof/>
        </w:rPr>
        <w:t>'</w:t>
      </w:r>
      <w:r w:rsidRPr="0001127D">
        <w:rPr>
          <w:noProof/>
        </w:rPr>
        <w:t>articolo 14, lettera d), all</w:t>
      </w:r>
      <w:r w:rsidR="00E64452" w:rsidRPr="0001127D">
        <w:rPr>
          <w:noProof/>
        </w:rPr>
        <w:t>'</w:t>
      </w:r>
      <w:r w:rsidRPr="0001127D">
        <w:rPr>
          <w:noProof/>
        </w:rPr>
        <w:t xml:space="preserve">articolo 14 </w:t>
      </w:r>
      <w:r w:rsidRPr="0001127D">
        <w:rPr>
          <w:i/>
          <w:iCs/>
          <w:noProof/>
        </w:rPr>
        <w:t>bis</w:t>
      </w:r>
      <w:r w:rsidRPr="0001127D">
        <w:rPr>
          <w:noProof/>
        </w:rPr>
        <w:t>, lettere j) e k), all</w:t>
      </w:r>
      <w:r w:rsidR="00E64452" w:rsidRPr="0001127D">
        <w:rPr>
          <w:noProof/>
        </w:rPr>
        <w:t>'</w:t>
      </w:r>
      <w:r w:rsidRPr="0001127D">
        <w:rPr>
          <w:noProof/>
        </w:rPr>
        <w:t>articolo 19, paragrafo 2, lettera g), all</w:t>
      </w:r>
      <w:r w:rsidR="00E64452" w:rsidRPr="0001127D">
        <w:rPr>
          <w:noProof/>
        </w:rPr>
        <w:t>'</w:t>
      </w:r>
      <w:r w:rsidRPr="0001127D">
        <w:rPr>
          <w:noProof/>
        </w:rPr>
        <w:t xml:space="preserve">articolo 19 </w:t>
      </w:r>
      <w:r w:rsidRPr="0001127D">
        <w:rPr>
          <w:i/>
          <w:iCs/>
          <w:noProof/>
        </w:rPr>
        <w:t>bis</w:t>
      </w:r>
      <w:r w:rsidRPr="0001127D">
        <w:rPr>
          <w:noProof/>
        </w:rPr>
        <w:t>, paragrafo 2, lettera</w:t>
      </w:r>
      <w:r w:rsidR="009C1CEF" w:rsidRPr="0001127D">
        <w:rPr>
          <w:noProof/>
        </w:rPr>
        <w:t> </w:t>
      </w:r>
      <w:r w:rsidRPr="0001127D">
        <w:rPr>
          <w:noProof/>
        </w:rPr>
        <w:t>g), all</w:t>
      </w:r>
      <w:r w:rsidR="00E64452" w:rsidRPr="0001127D">
        <w:rPr>
          <w:noProof/>
        </w:rPr>
        <w:t>'</w:t>
      </w:r>
      <w:r w:rsidRPr="0001127D">
        <w:rPr>
          <w:noProof/>
        </w:rPr>
        <w:t>articolo</w:t>
      </w:r>
      <w:r w:rsidR="009C1CEF" w:rsidRPr="0001127D">
        <w:rPr>
          <w:noProof/>
        </w:rPr>
        <w:t> </w:t>
      </w:r>
      <w:r w:rsidRPr="0001127D">
        <w:rPr>
          <w:noProof/>
        </w:rPr>
        <w:t>30, paragrafo</w:t>
      </w:r>
      <w:r w:rsidR="009C1CEF" w:rsidRPr="0001127D">
        <w:rPr>
          <w:noProof/>
        </w:rPr>
        <w:t> </w:t>
      </w:r>
      <w:r w:rsidRPr="0001127D">
        <w:rPr>
          <w:noProof/>
        </w:rPr>
        <w:t>1, lettera</w:t>
      </w:r>
      <w:r w:rsidR="009C1CEF" w:rsidRPr="0001127D">
        <w:rPr>
          <w:noProof/>
        </w:rPr>
        <w:t> </w:t>
      </w:r>
      <w:r w:rsidRPr="0001127D">
        <w:rPr>
          <w:noProof/>
        </w:rPr>
        <w:t>e), e all</w:t>
      </w:r>
      <w:r w:rsidR="00E64452" w:rsidRPr="0001127D">
        <w:rPr>
          <w:noProof/>
        </w:rPr>
        <w:t>'</w:t>
      </w:r>
      <w:r w:rsidRPr="0001127D">
        <w:rPr>
          <w:noProof/>
        </w:rPr>
        <w:t>articolo</w:t>
      </w:r>
      <w:r w:rsidR="009C1CEF" w:rsidRPr="0001127D">
        <w:rPr>
          <w:noProof/>
        </w:rPr>
        <w:t> </w:t>
      </w:r>
      <w:r w:rsidRPr="0001127D">
        <w:rPr>
          <w:noProof/>
        </w:rPr>
        <w:t>36, paragrafo</w:t>
      </w:r>
      <w:r w:rsidR="009C1CEF" w:rsidRPr="0001127D">
        <w:rPr>
          <w:noProof/>
        </w:rPr>
        <w:t> </w:t>
      </w:r>
      <w:r w:rsidRPr="0001127D">
        <w:rPr>
          <w:noProof/>
        </w:rPr>
        <w:t>3,</w:t>
      </w:r>
      <w:r w:rsidR="009C1CEF" w:rsidRPr="0001127D">
        <w:rPr>
          <w:noProof/>
        </w:rPr>
        <w:t xml:space="preserve"> lettera </w:t>
      </w:r>
      <w:r w:rsidRPr="0001127D">
        <w:rPr>
          <w:noProof/>
        </w:rPr>
        <w:t xml:space="preserve">f). </w:t>
      </w:r>
    </w:p>
    <w:p w14:paraId="4E914400" w14:textId="77777777" w:rsidR="002F06CE" w:rsidRPr="0001127D" w:rsidRDefault="002F06CE" w:rsidP="002F06CE">
      <w:pPr>
        <w:ind w:left="851"/>
        <w:contextualSpacing/>
        <w:rPr>
          <w:noProof/>
          <w:szCs w:val="24"/>
        </w:rPr>
      </w:pPr>
    </w:p>
    <w:p w14:paraId="35EA90B0" w14:textId="6C3D7D32" w:rsidR="002F06CE" w:rsidRPr="0001127D" w:rsidRDefault="002F06CE" w:rsidP="002F06CE">
      <w:pPr>
        <w:ind w:left="851"/>
        <w:contextualSpacing/>
        <w:rPr>
          <w:noProof/>
          <w:szCs w:val="24"/>
        </w:rPr>
      </w:pPr>
      <w:r w:rsidRPr="0001127D">
        <w:rPr>
          <w:noProof/>
        </w:rPr>
        <w:t xml:space="preserve">5. </w:t>
      </w:r>
      <w:r w:rsidRPr="0001127D">
        <w:rPr>
          <w:noProof/>
        </w:rPr>
        <w:tab/>
        <w:t>Gli Stati membri provvedono affinché, attraverso il sistema di interconnessione dei registri delle imprese,</w:t>
      </w:r>
      <w:r w:rsidRPr="0001127D">
        <w:rPr>
          <w:i/>
          <w:noProof/>
        </w:rPr>
        <w:t xml:space="preserve"> </w:t>
      </w:r>
      <w:r w:rsidRPr="0001127D">
        <w:rPr>
          <w:noProof/>
        </w:rPr>
        <w:t>siano resi pubblicamente disponibili il nome, il cognome e la data di nascita delle persone di cui all</w:t>
      </w:r>
      <w:r w:rsidR="00E64452" w:rsidRPr="0001127D">
        <w:rPr>
          <w:noProof/>
        </w:rPr>
        <w:t>'</w:t>
      </w:r>
      <w:r w:rsidRPr="0001127D">
        <w:rPr>
          <w:noProof/>
        </w:rPr>
        <w:t>articolo 3 della direttiva 2009/102/CE.</w:t>
      </w:r>
      <w:r w:rsidR="00E64452" w:rsidRPr="0001127D">
        <w:rPr>
          <w:noProof/>
        </w:rPr>
        <w:t xml:space="preserve"> </w:t>
      </w:r>
    </w:p>
    <w:p w14:paraId="02BD7DDE" w14:textId="77777777" w:rsidR="002F06CE" w:rsidRPr="0001127D" w:rsidRDefault="002F06CE" w:rsidP="002F06CE">
      <w:pPr>
        <w:ind w:left="851"/>
        <w:contextualSpacing/>
        <w:rPr>
          <w:noProof/>
          <w:szCs w:val="24"/>
        </w:rPr>
      </w:pPr>
    </w:p>
    <w:p w14:paraId="3A925D87" w14:textId="7F409A2D" w:rsidR="002F06CE" w:rsidRPr="0001127D" w:rsidRDefault="002F06CE" w:rsidP="002F06CE">
      <w:pPr>
        <w:ind w:left="851"/>
        <w:contextualSpacing/>
        <w:rPr>
          <w:noProof/>
        </w:rPr>
      </w:pPr>
      <w:r w:rsidRPr="0001127D">
        <w:rPr>
          <w:noProof/>
        </w:rPr>
        <w:t xml:space="preserve">6. </w:t>
      </w:r>
      <w:r w:rsidRPr="0001127D">
        <w:rPr>
          <w:noProof/>
        </w:rPr>
        <w:tab/>
        <w:t>Gli Stati membri provvedono affinché i</w:t>
      </w:r>
      <w:r w:rsidR="00E64452" w:rsidRPr="0001127D">
        <w:rPr>
          <w:noProof/>
        </w:rPr>
        <w:t xml:space="preserve"> </w:t>
      </w:r>
      <w:r w:rsidRPr="0001127D">
        <w:rPr>
          <w:noProof/>
        </w:rPr>
        <w:t xml:space="preserve">registri, le autorità o le persone od organismi incaricati a norma del diritto nazionale di occuparsi di qualunque aspetto delle procedure contemplate dalla presente direttiva non conservino i dati personali trasmessi attraverso il sistema di interconnessione dei registri ai fini degli articoli 13 </w:t>
      </w:r>
      <w:r w:rsidRPr="0001127D">
        <w:rPr>
          <w:i/>
          <w:iCs/>
          <w:noProof/>
        </w:rPr>
        <w:t>octies</w:t>
      </w:r>
      <w:r w:rsidRPr="0001127D">
        <w:rPr>
          <w:noProof/>
        </w:rPr>
        <w:t xml:space="preserve">, 28 </w:t>
      </w:r>
      <w:r w:rsidRPr="0001127D">
        <w:rPr>
          <w:i/>
          <w:iCs/>
          <w:noProof/>
        </w:rPr>
        <w:t>bis</w:t>
      </w:r>
      <w:r w:rsidRPr="0001127D">
        <w:rPr>
          <w:noProof/>
        </w:rPr>
        <w:t xml:space="preserve"> e 30 </w:t>
      </w:r>
      <w:r w:rsidRPr="0001127D">
        <w:rPr>
          <w:i/>
          <w:iCs/>
          <w:noProof/>
        </w:rPr>
        <w:t>bis</w:t>
      </w:r>
      <w:r w:rsidRPr="0001127D">
        <w:rPr>
          <w:noProof/>
        </w:rPr>
        <w:t>, a meno che diversamente previsto dal diritto dell</w:t>
      </w:r>
      <w:r w:rsidR="00E64452" w:rsidRPr="0001127D">
        <w:rPr>
          <w:noProof/>
        </w:rPr>
        <w:t>'</w:t>
      </w:r>
      <w:r w:rsidRPr="0001127D">
        <w:rPr>
          <w:noProof/>
        </w:rPr>
        <w:t>Unione o nazionale.</w:t>
      </w:r>
      <w:r w:rsidR="00E64452" w:rsidRPr="0001127D">
        <w:rPr>
          <w:noProof/>
        </w:rPr>
        <w:t>"</w:t>
      </w:r>
      <w:r w:rsidRPr="0001127D">
        <w:rPr>
          <w:noProof/>
        </w:rPr>
        <w:t>;</w:t>
      </w:r>
    </w:p>
    <w:p w14:paraId="1C1AE082" w14:textId="77777777" w:rsidR="002F06CE" w:rsidRPr="0001127D" w:rsidRDefault="002F06CE" w:rsidP="002F06CE">
      <w:pPr>
        <w:spacing w:before="0" w:after="200" w:line="276" w:lineRule="auto"/>
        <w:ind w:left="1276" w:hanging="425"/>
        <w:rPr>
          <w:noProof/>
        </w:rPr>
      </w:pPr>
    </w:p>
    <w:p w14:paraId="4E23AB40" w14:textId="77777777" w:rsidR="002F06CE" w:rsidRPr="0001127D" w:rsidRDefault="002F06CE" w:rsidP="002F06CE">
      <w:pPr>
        <w:pStyle w:val="Point0"/>
        <w:rPr>
          <w:noProof/>
        </w:rPr>
      </w:pPr>
      <w:r w:rsidRPr="0001127D">
        <w:rPr>
          <w:noProof/>
        </w:rPr>
        <w:t>24)</w:t>
      </w:r>
      <w:r w:rsidRPr="0001127D">
        <w:rPr>
          <w:noProof/>
        </w:rPr>
        <w:tab/>
        <w:t>è inserito il seguente articolo:</w:t>
      </w:r>
    </w:p>
    <w:p w14:paraId="496D8FCA" w14:textId="02215966" w:rsidR="002F06CE" w:rsidRPr="0001127D" w:rsidRDefault="00E64452" w:rsidP="002F06CE">
      <w:pPr>
        <w:jc w:val="center"/>
        <w:rPr>
          <w:noProof/>
        </w:rPr>
      </w:pPr>
      <w:r w:rsidRPr="0001127D">
        <w:rPr>
          <w:noProof/>
        </w:rPr>
        <w:t>"</w:t>
      </w:r>
      <w:r w:rsidR="002F06CE" w:rsidRPr="0001127D">
        <w:rPr>
          <w:noProof/>
        </w:rPr>
        <w:t xml:space="preserve">Articolo 19 </w:t>
      </w:r>
      <w:r w:rsidR="002F06CE" w:rsidRPr="0001127D">
        <w:rPr>
          <w:i/>
          <w:iCs/>
          <w:noProof/>
        </w:rPr>
        <w:t>bis</w:t>
      </w:r>
    </w:p>
    <w:p w14:paraId="0B32148C" w14:textId="77777777" w:rsidR="002F06CE" w:rsidRPr="0001127D" w:rsidRDefault="002F06CE" w:rsidP="002F06CE">
      <w:pPr>
        <w:jc w:val="center"/>
        <w:rPr>
          <w:b/>
          <w:bCs/>
          <w:noProof/>
        </w:rPr>
      </w:pPr>
      <w:r w:rsidRPr="0001127D">
        <w:rPr>
          <w:b/>
          <w:noProof/>
        </w:rPr>
        <w:t>Oneri per il rilascio di documenti e informazioni relativi alle società di persone</w:t>
      </w:r>
    </w:p>
    <w:p w14:paraId="1B4B025F" w14:textId="46C0640E" w:rsidR="002F06CE" w:rsidRPr="0001127D" w:rsidRDefault="002F06CE" w:rsidP="002F06CE">
      <w:pPr>
        <w:ind w:left="851"/>
        <w:rPr>
          <w:rFonts w:eastAsia="Times New Roman"/>
          <w:noProof/>
          <w:szCs w:val="24"/>
        </w:rPr>
      </w:pPr>
      <w:r w:rsidRPr="0001127D">
        <w:rPr>
          <w:noProof/>
        </w:rPr>
        <w:t>1. Gli oneri previsti per il rilascio dei documenti e delle informazioni di cui all</w:t>
      </w:r>
      <w:r w:rsidR="00E64452" w:rsidRPr="0001127D">
        <w:rPr>
          <w:noProof/>
        </w:rPr>
        <w:t>'</w:t>
      </w:r>
      <w:r w:rsidRPr="0001127D">
        <w:rPr>
          <w:noProof/>
        </w:rPr>
        <w:t>articolo</w:t>
      </w:r>
      <w:r w:rsidR="009C1CEF" w:rsidRPr="0001127D">
        <w:rPr>
          <w:noProof/>
        </w:rPr>
        <w:t> </w:t>
      </w:r>
      <w:r w:rsidRPr="0001127D">
        <w:rPr>
          <w:noProof/>
        </w:rPr>
        <w:t>14</w:t>
      </w:r>
      <w:r w:rsidR="009C1CEF" w:rsidRPr="0001127D">
        <w:rPr>
          <w:noProof/>
        </w:rPr>
        <w:t> </w:t>
      </w:r>
      <w:r w:rsidRPr="0001127D">
        <w:rPr>
          <w:i/>
          <w:iCs/>
          <w:noProof/>
        </w:rPr>
        <w:t>bis</w:t>
      </w:r>
      <w:r w:rsidRPr="0001127D">
        <w:rPr>
          <w:noProof/>
        </w:rPr>
        <w:t xml:space="preserve"> attraverso il sistema di interconnessione dei registri non sono superiori ai costi amministrativi, ivi compresi i costi dello sviluppo e della manutenzione dei registri.</w:t>
      </w:r>
    </w:p>
    <w:p w14:paraId="27A6C33D" w14:textId="77777777" w:rsidR="002F06CE" w:rsidRPr="0001127D" w:rsidRDefault="002F06CE" w:rsidP="002F06CE">
      <w:pPr>
        <w:pStyle w:val="ListParagraph"/>
        <w:ind w:left="851"/>
        <w:rPr>
          <w:rFonts w:ascii="Times New Roman" w:eastAsia="Times New Roman" w:hAnsi="Times New Roman" w:cs="Times New Roman"/>
          <w:noProof/>
          <w:sz w:val="24"/>
          <w:szCs w:val="24"/>
        </w:rPr>
      </w:pPr>
    </w:p>
    <w:p w14:paraId="439CD500" w14:textId="13DC648A" w:rsidR="002F06CE" w:rsidRPr="0001127D" w:rsidRDefault="002F06CE" w:rsidP="002F06CE">
      <w:pPr>
        <w:ind w:left="851"/>
        <w:rPr>
          <w:rFonts w:eastAsia="Times New Roman"/>
          <w:noProof/>
          <w:szCs w:val="24"/>
        </w:rPr>
      </w:pPr>
      <w:r w:rsidRPr="0001127D">
        <w:rPr>
          <w:noProof/>
        </w:rPr>
        <w:t>2. Gli Stati membri provvedono affinché i documenti e le informazioni seguenti, relativi alle società elencate all</w:t>
      </w:r>
      <w:r w:rsidR="00E64452" w:rsidRPr="0001127D">
        <w:rPr>
          <w:noProof/>
        </w:rPr>
        <w:t>'</w:t>
      </w:r>
      <w:r w:rsidRPr="0001127D">
        <w:rPr>
          <w:noProof/>
        </w:rPr>
        <w:t xml:space="preserve">allegato II </w:t>
      </w:r>
      <w:r w:rsidRPr="0001127D">
        <w:rPr>
          <w:i/>
          <w:iCs/>
          <w:noProof/>
        </w:rPr>
        <w:t>ter</w:t>
      </w:r>
      <w:r w:rsidRPr="0001127D">
        <w:rPr>
          <w:noProof/>
        </w:rPr>
        <w:t>, siano disponibili a titolo gratuito attraverso il sistema di interconnessione dei registri:</w:t>
      </w:r>
    </w:p>
    <w:p w14:paraId="72A432AB" w14:textId="53597073" w:rsidR="002F06CE" w:rsidRPr="0001127D" w:rsidRDefault="002F06CE" w:rsidP="002F06CE">
      <w:pPr>
        <w:ind w:left="851"/>
        <w:rPr>
          <w:rFonts w:eastAsia="Times New Roman"/>
          <w:noProof/>
          <w:szCs w:val="24"/>
        </w:rPr>
      </w:pPr>
      <w:r w:rsidRPr="0001127D">
        <w:rPr>
          <w:noProof/>
        </w:rPr>
        <w:t>a) la denominazione e la forma giuridica</w:t>
      </w:r>
      <w:r w:rsidR="00E64452" w:rsidRPr="0001127D">
        <w:rPr>
          <w:noProof/>
        </w:rPr>
        <w:t xml:space="preserve"> </w:t>
      </w:r>
      <w:r w:rsidRPr="0001127D">
        <w:rPr>
          <w:noProof/>
        </w:rPr>
        <w:t>della società di persone;</w:t>
      </w:r>
    </w:p>
    <w:p w14:paraId="2038C9E0" w14:textId="77777777" w:rsidR="002F06CE" w:rsidRPr="0001127D" w:rsidRDefault="002F06CE" w:rsidP="002F06CE">
      <w:pPr>
        <w:ind w:left="851"/>
        <w:rPr>
          <w:rFonts w:eastAsia="Times New Roman"/>
          <w:noProof/>
          <w:szCs w:val="24"/>
        </w:rPr>
      </w:pPr>
      <w:r w:rsidRPr="0001127D">
        <w:rPr>
          <w:noProof/>
        </w:rPr>
        <w:t>b) la sede sociale della società di persone e lo Stato membro in cui essa è registrata;</w:t>
      </w:r>
    </w:p>
    <w:p w14:paraId="3DA564AD" w14:textId="77777777" w:rsidR="002F06CE" w:rsidRPr="0001127D" w:rsidRDefault="002F06CE" w:rsidP="002F06CE">
      <w:pPr>
        <w:ind w:left="851"/>
        <w:rPr>
          <w:rFonts w:eastAsia="Times New Roman"/>
          <w:noProof/>
          <w:szCs w:val="24"/>
        </w:rPr>
      </w:pPr>
      <w:r w:rsidRPr="0001127D">
        <w:rPr>
          <w:noProof/>
        </w:rPr>
        <w:t>c) il numero di iscrizione della società nel registro e il suo EUID;</w:t>
      </w:r>
    </w:p>
    <w:p w14:paraId="0D141392" w14:textId="77777777" w:rsidR="002F06CE" w:rsidRPr="0001127D" w:rsidRDefault="002F06CE" w:rsidP="002F06CE">
      <w:pPr>
        <w:ind w:left="851"/>
        <w:rPr>
          <w:rFonts w:eastAsia="Times New Roman"/>
          <w:noProof/>
          <w:szCs w:val="24"/>
        </w:rPr>
      </w:pPr>
      <w:r w:rsidRPr="0001127D">
        <w:rPr>
          <w:noProof/>
        </w:rPr>
        <w:t>d) i dettagli del sito web della società di persone, ove tali dettagli siano registrati nel registro nazionale;</w:t>
      </w:r>
    </w:p>
    <w:p w14:paraId="563F8FE5" w14:textId="77777777" w:rsidR="002F06CE" w:rsidRPr="0001127D" w:rsidRDefault="002F06CE" w:rsidP="002F06CE">
      <w:pPr>
        <w:ind w:left="851"/>
        <w:rPr>
          <w:rFonts w:eastAsia="Times New Roman"/>
          <w:noProof/>
          <w:szCs w:val="24"/>
        </w:rPr>
      </w:pPr>
      <w:r w:rsidRPr="0001127D">
        <w:rPr>
          <w:noProof/>
        </w:rPr>
        <w:t xml:space="preserve">e) lo stato della società di persone, ad esempio quando è chiusa, cancellata dal registro, liquidata, sciolta, economicamente attiva o inattiva, così come definito dalla legislazione nazionale; </w:t>
      </w:r>
    </w:p>
    <w:p w14:paraId="5F802572" w14:textId="53D0FB9F" w:rsidR="002F06CE" w:rsidRPr="0001127D" w:rsidRDefault="002F06CE" w:rsidP="002F06CE">
      <w:pPr>
        <w:ind w:left="851"/>
        <w:rPr>
          <w:rFonts w:eastAsia="Times New Roman"/>
          <w:noProof/>
          <w:szCs w:val="24"/>
        </w:rPr>
      </w:pPr>
      <w:r w:rsidRPr="0001127D">
        <w:rPr>
          <w:noProof/>
        </w:rPr>
        <w:t>f) l</w:t>
      </w:r>
      <w:r w:rsidR="00E64452" w:rsidRPr="0001127D">
        <w:rPr>
          <w:noProof/>
        </w:rPr>
        <w:t>'</w:t>
      </w:r>
      <w:r w:rsidRPr="0001127D">
        <w:rPr>
          <w:noProof/>
        </w:rPr>
        <w:t>oggetto della società di persone;</w:t>
      </w:r>
    </w:p>
    <w:p w14:paraId="52297DC6" w14:textId="77777777" w:rsidR="002F06CE" w:rsidRPr="0001127D" w:rsidRDefault="002F06CE" w:rsidP="002F06CE">
      <w:pPr>
        <w:ind w:left="851"/>
        <w:rPr>
          <w:rFonts w:eastAsia="Times New Roman"/>
          <w:noProof/>
          <w:szCs w:val="24"/>
        </w:rPr>
      </w:pPr>
      <w:r w:rsidRPr="0001127D">
        <w:rPr>
          <w:noProof/>
        </w:rPr>
        <w:t>g) le generalità dei soci che sono autorizzati a rappresentare la società di persone nei rapporti con terzi e nei procedimenti giudiziari, e le informazioni che precisino se i soci che sono autorizzati a rappresentare la società di persone possono agire da soli o sono tenuti ad agire congiuntamente;</w:t>
      </w:r>
    </w:p>
    <w:p w14:paraId="1CCAFC55" w14:textId="4E4F97CE" w:rsidR="002F06CE" w:rsidRPr="0001127D" w:rsidRDefault="002F06CE" w:rsidP="002F06CE">
      <w:pPr>
        <w:ind w:left="851"/>
        <w:rPr>
          <w:rFonts w:eastAsia="Times New Roman"/>
          <w:noProof/>
          <w:szCs w:val="24"/>
        </w:rPr>
      </w:pPr>
      <w:r w:rsidRPr="0001127D">
        <w:rPr>
          <w:noProof/>
        </w:rPr>
        <w:t>h) le informazioni sulle succursali aperte dalla società di persone in un altro Stato membro, compreso il nome, il numero di registrazione, l</w:t>
      </w:r>
      <w:r w:rsidR="00E64452" w:rsidRPr="0001127D">
        <w:rPr>
          <w:noProof/>
        </w:rPr>
        <w:t>'</w:t>
      </w:r>
      <w:r w:rsidRPr="0001127D">
        <w:rPr>
          <w:noProof/>
        </w:rPr>
        <w:t>EUID e lo Stato membro in cui sono registrate.</w:t>
      </w:r>
      <w:r w:rsidR="00E64452" w:rsidRPr="0001127D">
        <w:rPr>
          <w:noProof/>
        </w:rPr>
        <w:t>"</w:t>
      </w:r>
      <w:r w:rsidRPr="0001127D">
        <w:rPr>
          <w:noProof/>
        </w:rPr>
        <w:t>;</w:t>
      </w:r>
    </w:p>
    <w:p w14:paraId="323F15D5" w14:textId="77777777" w:rsidR="002F06CE" w:rsidRPr="0001127D" w:rsidRDefault="002F06CE" w:rsidP="002F06CE">
      <w:pPr>
        <w:rPr>
          <w:noProof/>
        </w:rPr>
      </w:pPr>
    </w:p>
    <w:p w14:paraId="393554C3" w14:textId="4F2EEC6A" w:rsidR="002F06CE" w:rsidRPr="0001127D" w:rsidRDefault="002F06CE" w:rsidP="002F06CE">
      <w:pPr>
        <w:pStyle w:val="Point0"/>
        <w:rPr>
          <w:noProof/>
        </w:rPr>
      </w:pPr>
      <w:r w:rsidRPr="0001127D">
        <w:rPr>
          <w:noProof/>
        </w:rPr>
        <w:t>25)</w:t>
      </w:r>
      <w:r w:rsidRPr="0001127D">
        <w:rPr>
          <w:noProof/>
        </w:rPr>
        <w:tab/>
        <w:t>all</w:t>
      </w:r>
      <w:r w:rsidR="00E64452" w:rsidRPr="0001127D">
        <w:rPr>
          <w:noProof/>
        </w:rPr>
        <w:t>'</w:t>
      </w:r>
      <w:r w:rsidRPr="0001127D">
        <w:rPr>
          <w:noProof/>
        </w:rPr>
        <w:t>articolo 21 è aggiunto il seguente paragrafo:</w:t>
      </w:r>
    </w:p>
    <w:p w14:paraId="4E018226" w14:textId="48CF382C" w:rsidR="002F06CE" w:rsidRPr="0001127D" w:rsidRDefault="00E64452" w:rsidP="002F06CE">
      <w:pPr>
        <w:shd w:val="clear" w:color="auto" w:fill="FFFFFF"/>
        <w:spacing w:after="0"/>
        <w:ind w:left="851"/>
        <w:rPr>
          <w:rFonts w:eastAsia="Times New Roman"/>
          <w:noProof/>
          <w:color w:val="333333"/>
          <w:szCs w:val="24"/>
        </w:rPr>
      </w:pPr>
      <w:r w:rsidRPr="0001127D">
        <w:rPr>
          <w:noProof/>
        </w:rPr>
        <w:t>"</w:t>
      </w:r>
      <w:r w:rsidR="002F06CE" w:rsidRPr="0001127D">
        <w:rPr>
          <w:noProof/>
        </w:rPr>
        <w:t xml:space="preserve">5. Il presente articolo si applica anche agli articoli 14 </w:t>
      </w:r>
      <w:r w:rsidR="002F06CE" w:rsidRPr="0001127D">
        <w:rPr>
          <w:i/>
          <w:iCs/>
          <w:noProof/>
        </w:rPr>
        <w:t>bis</w:t>
      </w:r>
      <w:r w:rsidR="002F06CE" w:rsidRPr="0001127D">
        <w:rPr>
          <w:noProof/>
        </w:rPr>
        <w:t xml:space="preserve"> e 14 </w:t>
      </w:r>
      <w:r w:rsidR="002F06CE" w:rsidRPr="0001127D">
        <w:rPr>
          <w:i/>
          <w:iCs/>
          <w:noProof/>
        </w:rPr>
        <w:t>ter</w:t>
      </w:r>
      <w:r w:rsidR="002F06CE" w:rsidRPr="0001127D">
        <w:rPr>
          <w:noProof/>
        </w:rPr>
        <w:t>.</w:t>
      </w:r>
      <w:r w:rsidRPr="0001127D">
        <w:rPr>
          <w:noProof/>
          <w:color w:val="333333"/>
        </w:rPr>
        <w:t>"</w:t>
      </w:r>
      <w:r w:rsidR="002F06CE" w:rsidRPr="0001127D">
        <w:rPr>
          <w:noProof/>
          <w:color w:val="333333"/>
        </w:rPr>
        <w:t>;</w:t>
      </w:r>
    </w:p>
    <w:p w14:paraId="2AEAC652" w14:textId="77777777" w:rsidR="002F06CE" w:rsidRPr="0001127D" w:rsidRDefault="002F06CE" w:rsidP="002F06CE">
      <w:pPr>
        <w:shd w:val="clear" w:color="auto" w:fill="FFFFFF"/>
        <w:spacing w:after="0"/>
        <w:ind w:left="1276" w:hanging="425"/>
        <w:rPr>
          <w:rFonts w:eastAsia="Times New Roman"/>
          <w:noProof/>
          <w:color w:val="333333"/>
          <w:szCs w:val="24"/>
        </w:rPr>
      </w:pPr>
    </w:p>
    <w:p w14:paraId="0BC6FB74" w14:textId="1CDBFC20" w:rsidR="002F06CE" w:rsidRPr="0001127D" w:rsidRDefault="002F06CE" w:rsidP="002F06CE">
      <w:pPr>
        <w:pStyle w:val="Point0"/>
        <w:rPr>
          <w:noProof/>
        </w:rPr>
      </w:pPr>
      <w:r w:rsidRPr="0001127D">
        <w:rPr>
          <w:noProof/>
        </w:rPr>
        <w:t>26)</w:t>
      </w:r>
      <w:r w:rsidRPr="0001127D">
        <w:rPr>
          <w:noProof/>
        </w:rPr>
        <w:tab/>
        <w:t>all</w:t>
      </w:r>
      <w:r w:rsidR="00E64452" w:rsidRPr="0001127D">
        <w:rPr>
          <w:noProof/>
        </w:rPr>
        <w:t>'</w:t>
      </w:r>
      <w:r w:rsidRPr="0001127D">
        <w:rPr>
          <w:noProof/>
        </w:rPr>
        <w:t>articolo 22 è aggiunto il seguente paragrafo:</w:t>
      </w:r>
    </w:p>
    <w:p w14:paraId="6BA94570" w14:textId="028CAEA7" w:rsidR="002F06CE" w:rsidRPr="0001127D" w:rsidRDefault="00E64452" w:rsidP="002F06CE">
      <w:pPr>
        <w:ind w:left="851" w:hanging="142"/>
        <w:rPr>
          <w:noProof/>
          <w:szCs w:val="24"/>
        </w:rPr>
      </w:pPr>
      <w:r w:rsidRPr="0001127D">
        <w:rPr>
          <w:noProof/>
        </w:rPr>
        <w:t>"</w:t>
      </w:r>
      <w:r w:rsidR="002F06CE" w:rsidRPr="0001127D">
        <w:rPr>
          <w:noProof/>
        </w:rPr>
        <w:t>7. Sono stabiliti collegamenti fra il sistema di interconnessione dei registri, il sistema di interconnessione dei registri dei titolari effettivi ai sensi dell</w:t>
      </w:r>
      <w:r w:rsidRPr="0001127D">
        <w:rPr>
          <w:noProof/>
        </w:rPr>
        <w:t>'</w:t>
      </w:r>
      <w:r w:rsidR="002F06CE" w:rsidRPr="0001127D">
        <w:rPr>
          <w:noProof/>
        </w:rPr>
        <w:t>articolo</w:t>
      </w:r>
      <w:r w:rsidR="009C1CEF" w:rsidRPr="0001127D">
        <w:rPr>
          <w:noProof/>
        </w:rPr>
        <w:t> </w:t>
      </w:r>
      <w:r w:rsidR="002F06CE" w:rsidRPr="0001127D">
        <w:rPr>
          <w:noProof/>
        </w:rPr>
        <w:t>30</w:t>
      </w:r>
      <w:r w:rsidR="009C1CEF" w:rsidRPr="0001127D">
        <w:rPr>
          <w:noProof/>
        </w:rPr>
        <w:t>, paragrafo </w:t>
      </w:r>
      <w:r w:rsidR="002F06CE" w:rsidRPr="0001127D">
        <w:rPr>
          <w:noProof/>
        </w:rPr>
        <w:t>10, e dell</w:t>
      </w:r>
      <w:r w:rsidRPr="0001127D">
        <w:rPr>
          <w:noProof/>
        </w:rPr>
        <w:t>'</w:t>
      </w:r>
      <w:r w:rsidR="002F06CE" w:rsidRPr="0001127D">
        <w:rPr>
          <w:noProof/>
        </w:rPr>
        <w:t>articolo</w:t>
      </w:r>
      <w:r w:rsidR="009C1CEF" w:rsidRPr="0001127D">
        <w:rPr>
          <w:noProof/>
        </w:rPr>
        <w:t> </w:t>
      </w:r>
      <w:r w:rsidR="002F06CE" w:rsidRPr="0001127D">
        <w:rPr>
          <w:noProof/>
        </w:rPr>
        <w:t>31, paragrafo</w:t>
      </w:r>
      <w:r w:rsidR="009C1CEF" w:rsidRPr="0001127D">
        <w:rPr>
          <w:noProof/>
        </w:rPr>
        <w:t> </w:t>
      </w:r>
      <w:r w:rsidR="002F06CE" w:rsidRPr="0001127D">
        <w:rPr>
          <w:noProof/>
        </w:rPr>
        <w:t xml:space="preserve">9, della direttiva (UE) 2015/849 del Parlamento europeo e del Consiglio </w:t>
      </w:r>
      <w:r w:rsidR="002F06CE" w:rsidRPr="0001127D">
        <w:rPr>
          <w:noProof/>
        </w:rPr>
        <w:sym w:font="Symbol" w:char="F02A"/>
      </w:r>
      <w:r w:rsidR="002F06CE" w:rsidRPr="0001127D">
        <w:rPr>
          <w:noProof/>
        </w:rPr>
        <w:t>, e il sistema di interconnessione dei registri fallimentari ai sensi dell</w:t>
      </w:r>
      <w:r w:rsidRPr="0001127D">
        <w:rPr>
          <w:noProof/>
        </w:rPr>
        <w:t>'</w:t>
      </w:r>
      <w:r w:rsidR="002F06CE" w:rsidRPr="0001127D">
        <w:rPr>
          <w:noProof/>
        </w:rPr>
        <w:t>articolo 25, paragrafo 1, del regolamento (UE) 2015/848 del Parlamento europeo e del Consiglio</w:t>
      </w:r>
      <w:r w:rsidR="002F06CE" w:rsidRPr="0001127D">
        <w:rPr>
          <w:noProof/>
        </w:rPr>
        <w:sym w:font="Symbol" w:char="F02A"/>
      </w:r>
      <w:r w:rsidR="002F06CE" w:rsidRPr="0001127D">
        <w:rPr>
          <w:noProof/>
        </w:rPr>
        <w:sym w:font="Symbol" w:char="F02A"/>
      </w:r>
      <w:r w:rsidR="002F06CE" w:rsidRPr="0001127D">
        <w:rPr>
          <w:noProof/>
        </w:rPr>
        <w:t>.</w:t>
      </w:r>
    </w:p>
    <w:p w14:paraId="57D9D1A6" w14:textId="6DC5B21A" w:rsidR="002F06CE" w:rsidRPr="0001127D" w:rsidRDefault="002F06CE" w:rsidP="002F06CE">
      <w:pPr>
        <w:ind w:left="851"/>
        <w:rPr>
          <w:noProof/>
          <w:szCs w:val="24"/>
        </w:rPr>
      </w:pPr>
      <w:r w:rsidRPr="0001127D">
        <w:rPr>
          <w:noProof/>
        </w:rPr>
        <w:t>La creazione di collegamenti ai sensi del primo comma non modifica o elude le norme e i requisiti relativi all</w:t>
      </w:r>
      <w:r w:rsidR="00E64452" w:rsidRPr="0001127D">
        <w:rPr>
          <w:noProof/>
        </w:rPr>
        <w:t>'</w:t>
      </w:r>
      <w:r w:rsidRPr="0001127D">
        <w:rPr>
          <w:noProof/>
        </w:rPr>
        <w:t>accesso alle informazioni stabiliti dai pertinenti quadri di istituzione di tali registri e interconnessioni.</w:t>
      </w:r>
      <w:r w:rsidR="00E64452" w:rsidRPr="0001127D">
        <w:rPr>
          <w:noProof/>
        </w:rPr>
        <w:t>"</w:t>
      </w:r>
      <w:r w:rsidRPr="0001127D">
        <w:rPr>
          <w:noProof/>
        </w:rPr>
        <w:t>;</w:t>
      </w:r>
    </w:p>
    <w:p w14:paraId="5A4C9FCD" w14:textId="77777777" w:rsidR="002F06CE" w:rsidRPr="0001127D" w:rsidRDefault="002F06CE" w:rsidP="002F06CE">
      <w:pPr>
        <w:ind w:left="851"/>
        <w:rPr>
          <w:noProof/>
          <w:szCs w:val="24"/>
        </w:rPr>
      </w:pPr>
      <w:r w:rsidRPr="0001127D">
        <w:rPr>
          <w:noProof/>
        </w:rPr>
        <w:t>___</w:t>
      </w:r>
    </w:p>
    <w:p w14:paraId="489B54C9" w14:textId="4F639273" w:rsidR="002F06CE" w:rsidRPr="0001127D" w:rsidRDefault="002F06CE" w:rsidP="002F06CE">
      <w:pPr>
        <w:pStyle w:val="FootnoteText"/>
        <w:ind w:firstLine="0"/>
        <w:rPr>
          <w:noProof/>
          <w:sz w:val="24"/>
          <w:szCs w:val="24"/>
        </w:rPr>
      </w:pPr>
      <w:r w:rsidRPr="0001127D">
        <w:rPr>
          <w:noProof/>
          <w:sz w:val="24"/>
        </w:rPr>
        <w:sym w:font="Symbol" w:char="F02A"/>
      </w:r>
      <w:r w:rsidRPr="0001127D">
        <w:rPr>
          <w:noProof/>
        </w:rPr>
        <w:tab/>
      </w:r>
      <w:r w:rsidRPr="0001127D">
        <w:rPr>
          <w:noProof/>
          <w:sz w:val="24"/>
        </w:rPr>
        <w:t>Direttiva (UE) 2015/849 del Parlamento euro</w:t>
      </w:r>
      <w:r w:rsidR="009C1CEF" w:rsidRPr="0001127D">
        <w:rPr>
          <w:noProof/>
          <w:sz w:val="24"/>
        </w:rPr>
        <w:t>peo e del Consiglio, del </w:t>
      </w:r>
      <w:r w:rsidRPr="0001127D">
        <w:rPr>
          <w:noProof/>
          <w:sz w:val="24"/>
        </w:rPr>
        <w:t>20</w:t>
      </w:r>
      <w:r w:rsidR="009C1CEF" w:rsidRPr="0001127D">
        <w:rPr>
          <w:noProof/>
          <w:sz w:val="24"/>
        </w:rPr>
        <w:t> </w:t>
      </w:r>
      <w:r w:rsidRPr="0001127D">
        <w:rPr>
          <w:noProof/>
          <w:sz w:val="24"/>
        </w:rPr>
        <w:t>maggio 2015, relativa alla prevenzione dell</w:t>
      </w:r>
      <w:r w:rsidR="00E64452" w:rsidRPr="0001127D">
        <w:rPr>
          <w:noProof/>
          <w:sz w:val="24"/>
        </w:rPr>
        <w:t>'</w:t>
      </w:r>
      <w:r w:rsidRPr="0001127D">
        <w:rPr>
          <w:noProof/>
          <w:sz w:val="24"/>
        </w:rPr>
        <w:t xml:space="preserve">uso del sistema finanziario a fini di riciclaggio o finanziamento del terrorismo, che </w:t>
      </w:r>
      <w:r w:rsidR="009C1CEF" w:rsidRPr="0001127D">
        <w:rPr>
          <w:noProof/>
          <w:sz w:val="24"/>
        </w:rPr>
        <w:t>modifica il regolamento (UE) n. </w:t>
      </w:r>
      <w:r w:rsidRPr="0001127D">
        <w:rPr>
          <w:noProof/>
          <w:sz w:val="24"/>
        </w:rPr>
        <w:t>648/2012 del Parlamento europeo e del Consiglio e che abroga la direttiva 2005/60/CE del Parlamento europeo e del Consiglio e la direttiva 2006/70/CE della Commissione (GU L 141 del 5.6.2015, pag. 73).</w:t>
      </w:r>
    </w:p>
    <w:p w14:paraId="0A1090A5" w14:textId="3B68D32D" w:rsidR="002F06CE" w:rsidRPr="0001127D" w:rsidRDefault="002F06CE" w:rsidP="002F06CE">
      <w:pPr>
        <w:ind w:left="851"/>
        <w:rPr>
          <w:noProof/>
          <w:szCs w:val="24"/>
        </w:rPr>
      </w:pPr>
      <w:r w:rsidRPr="0001127D">
        <w:rPr>
          <w:noProof/>
        </w:rPr>
        <w:sym w:font="Symbol" w:char="F02A"/>
      </w:r>
      <w:r w:rsidRPr="0001127D">
        <w:rPr>
          <w:noProof/>
        </w:rPr>
        <w:sym w:font="Symbol" w:char="F02A"/>
      </w:r>
      <w:r w:rsidRPr="0001127D">
        <w:rPr>
          <w:noProof/>
        </w:rPr>
        <w:tab/>
        <w:t>Regolamento (UE) 2015/848 del Parlamen</w:t>
      </w:r>
      <w:r w:rsidR="009C1CEF" w:rsidRPr="0001127D">
        <w:rPr>
          <w:noProof/>
        </w:rPr>
        <w:t>to europeo e del Consiglio, del </w:t>
      </w:r>
      <w:r w:rsidRPr="0001127D">
        <w:rPr>
          <w:noProof/>
        </w:rPr>
        <w:t>20</w:t>
      </w:r>
      <w:r w:rsidR="009C1CEF" w:rsidRPr="0001127D">
        <w:rPr>
          <w:noProof/>
        </w:rPr>
        <w:t> </w:t>
      </w:r>
      <w:r w:rsidRPr="0001127D">
        <w:rPr>
          <w:noProof/>
        </w:rPr>
        <w:t>maggio 2015, relativo alle procedure di insolvenza (rifusione) (GU</w:t>
      </w:r>
      <w:r w:rsidR="009C1CEF" w:rsidRPr="0001127D">
        <w:rPr>
          <w:noProof/>
        </w:rPr>
        <w:t> </w:t>
      </w:r>
      <w:r w:rsidRPr="0001127D">
        <w:rPr>
          <w:noProof/>
        </w:rPr>
        <w:t>L</w:t>
      </w:r>
      <w:r w:rsidR="009C1CEF" w:rsidRPr="0001127D">
        <w:rPr>
          <w:noProof/>
        </w:rPr>
        <w:t> </w:t>
      </w:r>
      <w:r w:rsidRPr="0001127D">
        <w:rPr>
          <w:noProof/>
        </w:rPr>
        <w:t>141</w:t>
      </w:r>
      <w:r w:rsidR="009C1CEF" w:rsidRPr="0001127D">
        <w:rPr>
          <w:noProof/>
        </w:rPr>
        <w:t xml:space="preserve"> del </w:t>
      </w:r>
      <w:r w:rsidRPr="0001127D">
        <w:rPr>
          <w:noProof/>
        </w:rPr>
        <w:t>5.6.2015, pag. 19).</w:t>
      </w:r>
    </w:p>
    <w:p w14:paraId="3889B374" w14:textId="77777777" w:rsidR="002F06CE" w:rsidRPr="0001127D" w:rsidRDefault="002F06CE" w:rsidP="002F06CE">
      <w:pPr>
        <w:ind w:left="1276"/>
        <w:rPr>
          <w:noProof/>
          <w:szCs w:val="24"/>
        </w:rPr>
      </w:pPr>
    </w:p>
    <w:p w14:paraId="15B634BF" w14:textId="3C0E5D88" w:rsidR="002F06CE" w:rsidRPr="0001127D" w:rsidRDefault="002F06CE" w:rsidP="002F06CE">
      <w:pPr>
        <w:pStyle w:val="Point0"/>
        <w:rPr>
          <w:noProof/>
        </w:rPr>
      </w:pPr>
      <w:r w:rsidRPr="0001127D">
        <w:rPr>
          <w:noProof/>
        </w:rPr>
        <w:t>27)</w:t>
      </w:r>
      <w:r w:rsidRPr="0001127D">
        <w:rPr>
          <w:noProof/>
        </w:rPr>
        <w:tab/>
        <w:t>all</w:t>
      </w:r>
      <w:r w:rsidR="00E64452" w:rsidRPr="0001127D">
        <w:rPr>
          <w:noProof/>
        </w:rPr>
        <w:t>'</w:t>
      </w:r>
      <w:r w:rsidRPr="0001127D">
        <w:rPr>
          <w:noProof/>
        </w:rPr>
        <w:t>articolo 24 è aggiunto il seguente paragrafo:</w:t>
      </w:r>
    </w:p>
    <w:p w14:paraId="0A12416E" w14:textId="6277013E" w:rsidR="002F06CE" w:rsidRPr="0001127D" w:rsidRDefault="00E64452" w:rsidP="002F06CE">
      <w:pPr>
        <w:shd w:val="clear" w:color="auto" w:fill="FFFFFF"/>
        <w:spacing w:after="0" w:line="312" w:lineRule="atLeast"/>
        <w:ind w:left="851"/>
        <w:rPr>
          <w:rFonts w:eastAsia="Times New Roman"/>
          <w:noProof/>
          <w:szCs w:val="24"/>
        </w:rPr>
      </w:pPr>
      <w:r w:rsidRPr="0001127D">
        <w:rPr>
          <w:noProof/>
        </w:rPr>
        <w:t>"</w:t>
      </w:r>
      <w:r w:rsidR="002F06CE" w:rsidRPr="0001127D">
        <w:rPr>
          <w:noProof/>
        </w:rPr>
        <w:t>2. Mediante atti di esecuzione, la Commissione adotta inoltre:</w:t>
      </w:r>
    </w:p>
    <w:p w14:paraId="7964DBB8" w14:textId="7621D8D0" w:rsidR="002F06CE" w:rsidRPr="0001127D" w:rsidRDefault="002F06CE" w:rsidP="002F06CE">
      <w:pPr>
        <w:shd w:val="clear" w:color="auto" w:fill="FFFFFF"/>
        <w:tabs>
          <w:tab w:val="left" w:pos="1701"/>
        </w:tabs>
        <w:spacing w:after="0"/>
        <w:ind w:left="1560" w:hanging="426"/>
        <w:rPr>
          <w:rFonts w:eastAsia="Times New Roman"/>
          <w:noProof/>
          <w:szCs w:val="24"/>
        </w:rPr>
      </w:pPr>
      <w:r w:rsidRPr="0001127D">
        <w:rPr>
          <w:noProof/>
        </w:rPr>
        <w:t>a) l</w:t>
      </w:r>
      <w:r w:rsidR="00E64452" w:rsidRPr="0001127D">
        <w:rPr>
          <w:noProof/>
        </w:rPr>
        <w:t>'</w:t>
      </w:r>
      <w:r w:rsidRPr="0001127D">
        <w:rPr>
          <w:noProof/>
        </w:rPr>
        <w:t>elenco dettagliato dei dati e le specifiche tecniche che definiscono i metodi di recupero delle informazioni fra il registro della società fondatrice e il registro della società in corso di costituzione ai sensi dell</w:t>
      </w:r>
      <w:r w:rsidR="00E64452" w:rsidRPr="0001127D">
        <w:rPr>
          <w:noProof/>
        </w:rPr>
        <w:t>'</w:t>
      </w:r>
      <w:r w:rsidRPr="0001127D">
        <w:rPr>
          <w:noProof/>
        </w:rPr>
        <w:t>articolo</w:t>
      </w:r>
      <w:r w:rsidR="009C1CEF" w:rsidRPr="0001127D">
        <w:rPr>
          <w:noProof/>
        </w:rPr>
        <w:t> </w:t>
      </w:r>
      <w:r w:rsidRPr="0001127D">
        <w:rPr>
          <w:noProof/>
        </w:rPr>
        <w:t>13</w:t>
      </w:r>
      <w:r w:rsidR="009C1CEF" w:rsidRPr="0001127D">
        <w:rPr>
          <w:noProof/>
        </w:rPr>
        <w:t> </w:t>
      </w:r>
      <w:r w:rsidRPr="0001127D">
        <w:rPr>
          <w:i/>
          <w:iCs/>
          <w:noProof/>
        </w:rPr>
        <w:t>octies</w:t>
      </w:r>
      <w:r w:rsidR="009C1CEF" w:rsidRPr="0001127D">
        <w:rPr>
          <w:noProof/>
        </w:rPr>
        <w:t>, paragrafo </w:t>
      </w:r>
      <w:r w:rsidRPr="0001127D">
        <w:rPr>
          <w:noProof/>
        </w:rPr>
        <w:t xml:space="preserve">2 </w:t>
      </w:r>
      <w:r w:rsidRPr="0001127D">
        <w:rPr>
          <w:i/>
          <w:iCs/>
          <w:noProof/>
        </w:rPr>
        <w:t>bis</w:t>
      </w:r>
      <w:r w:rsidRPr="0001127D">
        <w:rPr>
          <w:noProof/>
        </w:rPr>
        <w:t>, e fra il registro della società e il registro della succursale ai sensi dell</w:t>
      </w:r>
      <w:r w:rsidR="00E64452" w:rsidRPr="0001127D">
        <w:rPr>
          <w:noProof/>
        </w:rPr>
        <w:t>'</w:t>
      </w:r>
      <w:r w:rsidRPr="0001127D">
        <w:rPr>
          <w:noProof/>
        </w:rPr>
        <w:t xml:space="preserve">articolo 28 </w:t>
      </w:r>
      <w:r w:rsidRPr="0001127D">
        <w:rPr>
          <w:i/>
          <w:iCs/>
          <w:noProof/>
        </w:rPr>
        <w:t>bis</w:t>
      </w:r>
      <w:r w:rsidRPr="0001127D">
        <w:rPr>
          <w:noProof/>
        </w:rPr>
        <w:t>, paragrafo 5;</w:t>
      </w:r>
    </w:p>
    <w:p w14:paraId="2D4E1BFA" w14:textId="4C761E85" w:rsidR="002F06CE" w:rsidRPr="0001127D" w:rsidRDefault="002F06CE" w:rsidP="002F06CE">
      <w:pPr>
        <w:shd w:val="clear" w:color="auto" w:fill="FFFFFF"/>
        <w:tabs>
          <w:tab w:val="left" w:pos="1701"/>
        </w:tabs>
        <w:spacing w:after="0"/>
        <w:ind w:left="1560" w:hanging="426"/>
        <w:rPr>
          <w:rFonts w:eastAsia="Times New Roman"/>
          <w:noProof/>
          <w:szCs w:val="24"/>
        </w:rPr>
      </w:pPr>
      <w:r w:rsidRPr="0001127D">
        <w:rPr>
          <w:noProof/>
        </w:rPr>
        <w:t>b) l</w:t>
      </w:r>
      <w:r w:rsidR="00E64452" w:rsidRPr="0001127D">
        <w:rPr>
          <w:noProof/>
        </w:rPr>
        <w:t>'</w:t>
      </w:r>
      <w:r w:rsidRPr="0001127D">
        <w:rPr>
          <w:noProof/>
        </w:rPr>
        <w:t>elenco dettagliato dei dati, l</w:t>
      </w:r>
      <w:r w:rsidR="00E64452" w:rsidRPr="0001127D">
        <w:rPr>
          <w:noProof/>
        </w:rPr>
        <w:t>'</w:t>
      </w:r>
      <w:r w:rsidRPr="0001127D">
        <w:rPr>
          <w:noProof/>
        </w:rPr>
        <w:t xml:space="preserve">uso delle note esplicative e le specifiche tecniche che definiscono le informazioni di cui agli articoli 14 </w:t>
      </w:r>
      <w:r w:rsidRPr="0001127D">
        <w:rPr>
          <w:i/>
          <w:iCs/>
          <w:noProof/>
        </w:rPr>
        <w:t>bis</w:t>
      </w:r>
      <w:r w:rsidRPr="0001127D">
        <w:rPr>
          <w:noProof/>
        </w:rPr>
        <w:t xml:space="preserve">, 14 </w:t>
      </w:r>
      <w:r w:rsidRPr="0001127D">
        <w:rPr>
          <w:i/>
          <w:iCs/>
          <w:noProof/>
        </w:rPr>
        <w:t>ter</w:t>
      </w:r>
      <w:r w:rsidRPr="0001127D">
        <w:rPr>
          <w:noProof/>
        </w:rPr>
        <w:t xml:space="preserve"> e 19 </w:t>
      </w:r>
      <w:r w:rsidRPr="0001127D">
        <w:rPr>
          <w:i/>
          <w:iCs/>
          <w:noProof/>
        </w:rPr>
        <w:t>bis</w:t>
      </w:r>
      <w:r w:rsidRPr="0001127D">
        <w:rPr>
          <w:noProof/>
        </w:rPr>
        <w:t>, paragrafo 2, da rendere disponibili attraverso il sistema di interconnessione dei registri;</w:t>
      </w:r>
      <w:r w:rsidR="00E64452" w:rsidRPr="0001127D">
        <w:rPr>
          <w:noProof/>
        </w:rPr>
        <w:t xml:space="preserve"> </w:t>
      </w:r>
    </w:p>
    <w:p w14:paraId="289422A9" w14:textId="498E5271" w:rsidR="002F06CE" w:rsidRPr="0001127D" w:rsidRDefault="002F06CE" w:rsidP="002F06CE">
      <w:pPr>
        <w:shd w:val="clear" w:color="auto" w:fill="FFFFFF"/>
        <w:tabs>
          <w:tab w:val="left" w:pos="1701"/>
        </w:tabs>
        <w:spacing w:after="0"/>
        <w:ind w:left="1560" w:hanging="426"/>
        <w:rPr>
          <w:rFonts w:eastAsia="Times New Roman"/>
          <w:noProof/>
          <w:szCs w:val="24"/>
        </w:rPr>
      </w:pPr>
      <w:r w:rsidRPr="0001127D">
        <w:rPr>
          <w:noProof/>
        </w:rPr>
        <w:t>c) l</w:t>
      </w:r>
      <w:r w:rsidR="00E64452" w:rsidRPr="0001127D">
        <w:rPr>
          <w:noProof/>
        </w:rPr>
        <w:t>'</w:t>
      </w:r>
      <w:r w:rsidRPr="0001127D">
        <w:rPr>
          <w:noProof/>
        </w:rPr>
        <w:t>elenco dettagliato dei dati e le specifiche tecniche ai fini dello scambio di informazioni fra registri ai sensi dell</w:t>
      </w:r>
      <w:r w:rsidR="00E64452" w:rsidRPr="0001127D">
        <w:rPr>
          <w:noProof/>
        </w:rPr>
        <w:t>'</w:t>
      </w:r>
      <w:r w:rsidRPr="0001127D">
        <w:rPr>
          <w:noProof/>
        </w:rPr>
        <w:t xml:space="preserve">articolo 14 </w:t>
      </w:r>
      <w:r w:rsidRPr="0001127D">
        <w:rPr>
          <w:i/>
          <w:iCs/>
          <w:noProof/>
        </w:rPr>
        <w:t>ter</w:t>
      </w:r>
      <w:r w:rsidRPr="0001127D">
        <w:rPr>
          <w:noProof/>
        </w:rPr>
        <w:t>, paragrafo 5;</w:t>
      </w:r>
      <w:r w:rsidR="00E64452" w:rsidRPr="0001127D">
        <w:rPr>
          <w:noProof/>
        </w:rPr>
        <w:t xml:space="preserve"> </w:t>
      </w:r>
    </w:p>
    <w:p w14:paraId="560262E4" w14:textId="1FC1EBC5" w:rsidR="002F06CE" w:rsidRPr="0001127D" w:rsidRDefault="002F06CE" w:rsidP="002F06CE">
      <w:pPr>
        <w:shd w:val="clear" w:color="auto" w:fill="FFFFFF"/>
        <w:tabs>
          <w:tab w:val="left" w:pos="1701"/>
        </w:tabs>
        <w:spacing w:after="0"/>
        <w:ind w:left="1560" w:hanging="426"/>
        <w:rPr>
          <w:noProof/>
          <w:szCs w:val="24"/>
          <w:shd w:val="clear" w:color="auto" w:fill="FFFFFF"/>
        </w:rPr>
      </w:pPr>
      <w:r w:rsidRPr="0001127D">
        <w:rPr>
          <w:noProof/>
        </w:rPr>
        <w:t xml:space="preserve">d) i </w:t>
      </w:r>
      <w:r w:rsidRPr="0001127D">
        <w:rPr>
          <w:noProof/>
          <w:shd w:val="clear" w:color="auto" w:fill="FFFFFF"/>
        </w:rPr>
        <w:t>dettagli tecnici e l</w:t>
      </w:r>
      <w:r w:rsidR="00E64452" w:rsidRPr="0001127D">
        <w:rPr>
          <w:noProof/>
          <w:shd w:val="clear" w:color="auto" w:fill="FFFFFF"/>
        </w:rPr>
        <w:t>'</w:t>
      </w:r>
      <w:r w:rsidRPr="0001127D">
        <w:rPr>
          <w:noProof/>
          <w:shd w:val="clear" w:color="auto" w:fill="FFFFFF"/>
        </w:rPr>
        <w:t>elenco dettagliato dei dati per la visualizzazione della struttura del gruppo di cui all</w:t>
      </w:r>
      <w:r w:rsidR="00E64452" w:rsidRPr="0001127D">
        <w:rPr>
          <w:noProof/>
          <w:shd w:val="clear" w:color="auto" w:fill="FFFFFF"/>
        </w:rPr>
        <w:t>'</w:t>
      </w:r>
      <w:r w:rsidRPr="0001127D">
        <w:rPr>
          <w:noProof/>
          <w:shd w:val="clear" w:color="auto" w:fill="FFFFFF"/>
        </w:rPr>
        <w:t xml:space="preserve">articolo 14 </w:t>
      </w:r>
      <w:r w:rsidRPr="0001127D">
        <w:rPr>
          <w:i/>
          <w:iCs/>
          <w:noProof/>
          <w:shd w:val="clear" w:color="auto" w:fill="FFFFFF"/>
        </w:rPr>
        <w:t>ter</w:t>
      </w:r>
      <w:r w:rsidRPr="0001127D">
        <w:rPr>
          <w:noProof/>
          <w:shd w:val="clear" w:color="auto" w:fill="FFFFFF"/>
        </w:rPr>
        <w:t>, paragrafo 10;</w:t>
      </w:r>
    </w:p>
    <w:p w14:paraId="3498B931" w14:textId="22179F99" w:rsidR="002F06CE" w:rsidRPr="0001127D" w:rsidRDefault="002F06CE" w:rsidP="002F06CE">
      <w:pPr>
        <w:pStyle w:val="norm"/>
        <w:tabs>
          <w:tab w:val="left" w:pos="1701"/>
        </w:tabs>
        <w:spacing w:before="0" w:beforeAutospacing="0" w:after="0" w:afterAutospacing="0"/>
        <w:ind w:left="1560" w:hanging="426"/>
        <w:jc w:val="both"/>
        <w:rPr>
          <w:noProof/>
        </w:rPr>
      </w:pPr>
      <w:r w:rsidRPr="0001127D">
        <w:rPr>
          <w:noProof/>
        </w:rPr>
        <w:t>e) le norme tecniche e la classificazione per i documenti e le informazioni presentati conformemente all</w:t>
      </w:r>
      <w:r w:rsidR="00E64452" w:rsidRPr="0001127D">
        <w:rPr>
          <w:noProof/>
        </w:rPr>
        <w:t>'</w:t>
      </w:r>
      <w:r w:rsidRPr="0001127D">
        <w:rPr>
          <w:noProof/>
        </w:rPr>
        <w:t>articolo</w:t>
      </w:r>
      <w:r w:rsidR="009C1CEF" w:rsidRPr="0001127D">
        <w:rPr>
          <w:noProof/>
        </w:rPr>
        <w:t> </w:t>
      </w:r>
      <w:r w:rsidRPr="0001127D">
        <w:rPr>
          <w:noProof/>
        </w:rPr>
        <w:t>16, paragrafo</w:t>
      </w:r>
      <w:r w:rsidR="009C1CEF" w:rsidRPr="0001127D">
        <w:rPr>
          <w:noProof/>
        </w:rPr>
        <w:t> </w:t>
      </w:r>
      <w:r w:rsidRPr="0001127D">
        <w:rPr>
          <w:noProof/>
        </w:rPr>
        <w:t>6, tenendo conto delle norme tecniche già in uso per i registri degli Stati membri;</w:t>
      </w:r>
    </w:p>
    <w:p w14:paraId="62056A03" w14:textId="7D1AE6E9" w:rsidR="002F06CE" w:rsidRPr="0001127D" w:rsidRDefault="002F06CE" w:rsidP="002F06CE">
      <w:pPr>
        <w:pStyle w:val="norm"/>
        <w:tabs>
          <w:tab w:val="left" w:pos="1701"/>
        </w:tabs>
        <w:spacing w:before="0" w:beforeAutospacing="0" w:after="0" w:afterAutospacing="0"/>
        <w:ind w:left="1560" w:hanging="426"/>
        <w:jc w:val="both"/>
        <w:rPr>
          <w:noProof/>
        </w:rPr>
      </w:pPr>
      <w:r w:rsidRPr="0001127D">
        <w:rPr>
          <w:noProof/>
        </w:rPr>
        <w:t>f) le specifiche tecniche, la tipologia e i modelli multilingue per il certificato delle società UE di cui all</w:t>
      </w:r>
      <w:r w:rsidR="00E64452" w:rsidRPr="0001127D">
        <w:rPr>
          <w:noProof/>
        </w:rPr>
        <w:t>'</w:t>
      </w:r>
      <w:r w:rsidRPr="0001127D">
        <w:rPr>
          <w:noProof/>
        </w:rPr>
        <w:t xml:space="preserve">articolo 16 </w:t>
      </w:r>
      <w:r w:rsidRPr="0001127D">
        <w:rPr>
          <w:i/>
          <w:iCs/>
          <w:noProof/>
        </w:rPr>
        <w:t>ter</w:t>
      </w:r>
      <w:r w:rsidRPr="0001127D">
        <w:rPr>
          <w:noProof/>
        </w:rPr>
        <w:t xml:space="preserve">; </w:t>
      </w:r>
    </w:p>
    <w:p w14:paraId="04C0CD6F" w14:textId="058C318E" w:rsidR="002F06CE" w:rsidRPr="0001127D" w:rsidRDefault="002F06CE" w:rsidP="002F06CE">
      <w:pPr>
        <w:tabs>
          <w:tab w:val="left" w:pos="1701"/>
        </w:tabs>
        <w:ind w:left="1560" w:hanging="426"/>
        <w:rPr>
          <w:noProof/>
          <w:szCs w:val="24"/>
        </w:rPr>
      </w:pPr>
      <w:r w:rsidRPr="0001127D">
        <w:rPr>
          <w:noProof/>
        </w:rPr>
        <w:t>g) le specifiche tec</w:t>
      </w:r>
      <w:r w:rsidR="00CB6919" w:rsidRPr="0001127D">
        <w:rPr>
          <w:noProof/>
        </w:rPr>
        <w:t>n</w:t>
      </w:r>
      <w:r w:rsidRPr="0001127D">
        <w:rPr>
          <w:noProof/>
        </w:rPr>
        <w:t>iche, la tipologia e il modello standard multilingue della procura digitale dell</w:t>
      </w:r>
      <w:r w:rsidR="00E64452" w:rsidRPr="0001127D">
        <w:rPr>
          <w:noProof/>
        </w:rPr>
        <w:t>'</w:t>
      </w:r>
      <w:r w:rsidRPr="0001127D">
        <w:rPr>
          <w:noProof/>
        </w:rPr>
        <w:t>UE di cui all</w:t>
      </w:r>
      <w:r w:rsidR="00E64452" w:rsidRPr="0001127D">
        <w:rPr>
          <w:noProof/>
        </w:rPr>
        <w:t>'</w:t>
      </w:r>
      <w:r w:rsidRPr="0001127D">
        <w:rPr>
          <w:noProof/>
        </w:rPr>
        <w:t xml:space="preserve">articolo 16 </w:t>
      </w:r>
      <w:r w:rsidRPr="0001127D">
        <w:rPr>
          <w:i/>
          <w:iCs/>
          <w:noProof/>
        </w:rPr>
        <w:t>quater</w:t>
      </w:r>
      <w:r w:rsidRPr="0001127D">
        <w:rPr>
          <w:noProof/>
        </w:rPr>
        <w:t xml:space="preserve">; </w:t>
      </w:r>
    </w:p>
    <w:p w14:paraId="7395D4B7" w14:textId="7BF078DB" w:rsidR="002F06CE" w:rsidRPr="0001127D" w:rsidRDefault="002F06CE" w:rsidP="002F06CE">
      <w:pPr>
        <w:shd w:val="clear" w:color="auto" w:fill="FFFFFF"/>
        <w:tabs>
          <w:tab w:val="left" w:pos="1701"/>
        </w:tabs>
        <w:spacing w:after="0"/>
        <w:ind w:left="1560" w:hanging="426"/>
        <w:rPr>
          <w:noProof/>
          <w:szCs w:val="24"/>
        </w:rPr>
      </w:pPr>
      <w:r w:rsidRPr="0001127D">
        <w:rPr>
          <w:noProof/>
        </w:rPr>
        <w:t>h) le specifiche tecniche e l</w:t>
      </w:r>
      <w:r w:rsidR="00E64452" w:rsidRPr="0001127D">
        <w:rPr>
          <w:noProof/>
        </w:rPr>
        <w:t>'</w:t>
      </w:r>
      <w:r w:rsidRPr="0001127D">
        <w:rPr>
          <w:noProof/>
        </w:rPr>
        <w:t>elenco dettagliato dei dati che definiscono la reciproca accessibilità fra le interconnessioni di cui all</w:t>
      </w:r>
      <w:r w:rsidR="00E64452" w:rsidRPr="0001127D">
        <w:rPr>
          <w:noProof/>
        </w:rPr>
        <w:t>'</w:t>
      </w:r>
      <w:r w:rsidRPr="0001127D">
        <w:rPr>
          <w:noProof/>
        </w:rPr>
        <w:t>articolo 22, paragrafo 7, cosa che comprende l</w:t>
      </w:r>
      <w:r w:rsidR="00E64452" w:rsidRPr="0001127D">
        <w:rPr>
          <w:noProof/>
        </w:rPr>
        <w:t>'</w:t>
      </w:r>
      <w:r w:rsidRPr="0001127D">
        <w:rPr>
          <w:noProof/>
        </w:rPr>
        <w:t>uso dell</w:t>
      </w:r>
      <w:r w:rsidR="00E64452" w:rsidRPr="0001127D">
        <w:rPr>
          <w:noProof/>
        </w:rPr>
        <w:t>'</w:t>
      </w:r>
      <w:r w:rsidRPr="0001127D">
        <w:rPr>
          <w:noProof/>
        </w:rPr>
        <w:t>identificativo unico delle società attribuito conformemente all</w:t>
      </w:r>
      <w:r w:rsidR="00E64452" w:rsidRPr="0001127D">
        <w:rPr>
          <w:noProof/>
        </w:rPr>
        <w:t>'</w:t>
      </w:r>
      <w:r w:rsidRPr="0001127D">
        <w:rPr>
          <w:noProof/>
        </w:rPr>
        <w:t>articolo 16;</w:t>
      </w:r>
      <w:r w:rsidR="00E64452" w:rsidRPr="0001127D">
        <w:rPr>
          <w:noProof/>
        </w:rPr>
        <w:t xml:space="preserve"> </w:t>
      </w:r>
    </w:p>
    <w:p w14:paraId="560E75ED" w14:textId="280F3BBC" w:rsidR="002F06CE" w:rsidRPr="0001127D" w:rsidRDefault="002F06CE" w:rsidP="002F06CE">
      <w:pPr>
        <w:shd w:val="clear" w:color="auto" w:fill="FFFFFF"/>
        <w:tabs>
          <w:tab w:val="left" w:pos="1701"/>
        </w:tabs>
        <w:spacing w:after="0"/>
        <w:ind w:left="1560" w:hanging="426"/>
        <w:rPr>
          <w:noProof/>
          <w:szCs w:val="24"/>
        </w:rPr>
      </w:pPr>
      <w:r w:rsidRPr="0001127D">
        <w:rPr>
          <w:noProof/>
        </w:rPr>
        <w:t>i) le specifiche tecniche e l</w:t>
      </w:r>
      <w:r w:rsidR="00E64452" w:rsidRPr="0001127D">
        <w:rPr>
          <w:noProof/>
        </w:rPr>
        <w:t>'</w:t>
      </w:r>
      <w:r w:rsidRPr="0001127D">
        <w:rPr>
          <w:noProof/>
        </w:rPr>
        <w:t>elenco dettagliato dei dati che definiscono la verifica di cui all</w:t>
      </w:r>
      <w:r w:rsidR="00E64452" w:rsidRPr="0001127D">
        <w:rPr>
          <w:noProof/>
        </w:rPr>
        <w:t>'</w:t>
      </w:r>
      <w:r w:rsidRPr="0001127D">
        <w:rPr>
          <w:noProof/>
        </w:rPr>
        <w:t xml:space="preserve">articolo 16 </w:t>
      </w:r>
      <w:r w:rsidRPr="0001127D">
        <w:rPr>
          <w:i/>
          <w:iCs/>
          <w:noProof/>
        </w:rPr>
        <w:t>sexies</w:t>
      </w:r>
      <w:r w:rsidRPr="0001127D">
        <w:rPr>
          <w:noProof/>
        </w:rPr>
        <w:t xml:space="preserve">, paragrafo 1, lettera b). </w:t>
      </w:r>
    </w:p>
    <w:p w14:paraId="03CEF246" w14:textId="4A546F28" w:rsidR="002F06CE" w:rsidRPr="0001127D" w:rsidRDefault="002F06CE" w:rsidP="002F06CE">
      <w:pPr>
        <w:shd w:val="clear" w:color="auto" w:fill="FFFFFF"/>
        <w:spacing w:after="0" w:line="312" w:lineRule="atLeast"/>
        <w:ind w:left="851"/>
        <w:rPr>
          <w:rFonts w:eastAsia="Times New Roman"/>
          <w:noProof/>
          <w:szCs w:val="24"/>
        </w:rPr>
      </w:pPr>
      <w:r w:rsidRPr="0001127D">
        <w:rPr>
          <w:noProof/>
        </w:rPr>
        <w:t>Tali atti di esecuzione sono adottati secondo la procedura d</w:t>
      </w:r>
      <w:r w:rsidR="00E64452" w:rsidRPr="0001127D">
        <w:rPr>
          <w:noProof/>
        </w:rPr>
        <w:t>'</w:t>
      </w:r>
      <w:r w:rsidRPr="0001127D">
        <w:rPr>
          <w:noProof/>
        </w:rPr>
        <w:t>esame di cui all</w:t>
      </w:r>
      <w:r w:rsidR="00E64452" w:rsidRPr="0001127D">
        <w:rPr>
          <w:noProof/>
        </w:rPr>
        <w:t>'</w:t>
      </w:r>
      <w:r w:rsidR="001D4CD6" w:rsidRPr="0001127D">
        <w:rPr>
          <w:noProof/>
        </w:rPr>
        <w:t>articolo </w:t>
      </w:r>
      <w:r w:rsidRPr="0001127D">
        <w:rPr>
          <w:noProof/>
        </w:rPr>
        <w:t>164, paragrafo 2.</w:t>
      </w:r>
      <w:r w:rsidR="00E64452" w:rsidRPr="0001127D">
        <w:rPr>
          <w:noProof/>
        </w:rPr>
        <w:t>"</w:t>
      </w:r>
      <w:r w:rsidRPr="0001127D">
        <w:rPr>
          <w:noProof/>
        </w:rPr>
        <w:t>;</w:t>
      </w:r>
    </w:p>
    <w:p w14:paraId="35310D7F" w14:textId="77777777" w:rsidR="002F06CE" w:rsidRPr="0001127D" w:rsidRDefault="002F06CE" w:rsidP="002F06CE">
      <w:pPr>
        <w:shd w:val="clear" w:color="auto" w:fill="FFFFFF"/>
        <w:spacing w:after="0" w:line="312" w:lineRule="atLeast"/>
        <w:ind w:left="1276"/>
        <w:rPr>
          <w:rFonts w:eastAsia="Times New Roman"/>
          <w:noProof/>
          <w:szCs w:val="24"/>
        </w:rPr>
      </w:pPr>
    </w:p>
    <w:p w14:paraId="35DF7F1A" w14:textId="5F11750E" w:rsidR="002F06CE" w:rsidRPr="0001127D" w:rsidRDefault="002F06CE" w:rsidP="002F06CE">
      <w:pPr>
        <w:pStyle w:val="Point0"/>
        <w:rPr>
          <w:noProof/>
        </w:rPr>
      </w:pPr>
      <w:r w:rsidRPr="0001127D">
        <w:rPr>
          <w:noProof/>
        </w:rPr>
        <w:t>28)</w:t>
      </w:r>
      <w:r w:rsidRPr="0001127D">
        <w:rPr>
          <w:noProof/>
        </w:rPr>
        <w:tab/>
        <w:t>all</w:t>
      </w:r>
      <w:r w:rsidR="00E64452" w:rsidRPr="0001127D">
        <w:rPr>
          <w:noProof/>
        </w:rPr>
        <w:t>'</w:t>
      </w:r>
      <w:r w:rsidRPr="0001127D">
        <w:rPr>
          <w:noProof/>
        </w:rPr>
        <w:t>articolo 26 è aggiunto il seguente comma:</w:t>
      </w:r>
    </w:p>
    <w:p w14:paraId="5A1BEA9A" w14:textId="7B71AEF0" w:rsidR="002F06CE" w:rsidRPr="0001127D" w:rsidRDefault="00E64452" w:rsidP="002F06CE">
      <w:pPr>
        <w:shd w:val="clear" w:color="auto" w:fill="FFFFFF"/>
        <w:spacing w:after="0"/>
        <w:ind w:left="851"/>
        <w:rPr>
          <w:rFonts w:eastAsia="Calibri"/>
          <w:noProof/>
          <w:color w:val="00B050"/>
          <w:szCs w:val="24"/>
        </w:rPr>
      </w:pPr>
      <w:r w:rsidRPr="0001127D">
        <w:rPr>
          <w:noProof/>
        </w:rPr>
        <w:t>"</w:t>
      </w:r>
      <w:r w:rsidR="002F06CE" w:rsidRPr="0001127D">
        <w:rPr>
          <w:noProof/>
        </w:rPr>
        <w:t>Il presente articolo si applica anche alle società elencate all</w:t>
      </w:r>
      <w:r w:rsidRPr="0001127D">
        <w:rPr>
          <w:noProof/>
        </w:rPr>
        <w:t>'</w:t>
      </w:r>
      <w:r w:rsidR="002F06CE" w:rsidRPr="0001127D">
        <w:rPr>
          <w:noProof/>
        </w:rPr>
        <w:t xml:space="preserve">allegato II </w:t>
      </w:r>
      <w:r w:rsidR="002F06CE" w:rsidRPr="0001127D">
        <w:rPr>
          <w:i/>
          <w:iCs/>
          <w:noProof/>
        </w:rPr>
        <w:t>ter</w:t>
      </w:r>
      <w:r w:rsidR="002F06CE" w:rsidRPr="0001127D">
        <w:rPr>
          <w:noProof/>
        </w:rPr>
        <w:t>.</w:t>
      </w:r>
      <w:r w:rsidRPr="0001127D">
        <w:rPr>
          <w:noProof/>
        </w:rPr>
        <w:t>"</w:t>
      </w:r>
      <w:r w:rsidR="002F06CE" w:rsidRPr="0001127D">
        <w:rPr>
          <w:noProof/>
        </w:rPr>
        <w:t>;</w:t>
      </w:r>
    </w:p>
    <w:p w14:paraId="7C03EDD5" w14:textId="77777777" w:rsidR="002F06CE" w:rsidRPr="0001127D" w:rsidRDefault="002F06CE" w:rsidP="002F06CE">
      <w:pPr>
        <w:pStyle w:val="ListParagraph"/>
        <w:ind w:left="850"/>
        <w:rPr>
          <w:noProof/>
          <w:lang w:eastAsia="en-GB"/>
        </w:rPr>
      </w:pPr>
    </w:p>
    <w:p w14:paraId="3DC8070E" w14:textId="1A507D48" w:rsidR="002F06CE" w:rsidRPr="0001127D" w:rsidRDefault="002F06CE" w:rsidP="002F06CE">
      <w:pPr>
        <w:pStyle w:val="Point0"/>
        <w:rPr>
          <w:noProof/>
        </w:rPr>
      </w:pPr>
      <w:r w:rsidRPr="0001127D">
        <w:rPr>
          <w:noProof/>
        </w:rPr>
        <w:t>29)</w:t>
      </w:r>
      <w:r w:rsidRPr="0001127D">
        <w:rPr>
          <w:noProof/>
        </w:rPr>
        <w:tab/>
        <w:t>l</w:t>
      </w:r>
      <w:r w:rsidR="00E64452" w:rsidRPr="0001127D">
        <w:rPr>
          <w:noProof/>
        </w:rPr>
        <w:t>'</w:t>
      </w:r>
      <w:r w:rsidRPr="0001127D">
        <w:rPr>
          <w:noProof/>
        </w:rPr>
        <w:t>articolo 28 è sostituito dal seguente:</w:t>
      </w:r>
    </w:p>
    <w:p w14:paraId="3DC37589" w14:textId="6B97CF09" w:rsidR="002F06CE" w:rsidRPr="0001127D" w:rsidRDefault="00E64452" w:rsidP="002F06CE">
      <w:pPr>
        <w:jc w:val="center"/>
        <w:rPr>
          <w:noProof/>
        </w:rPr>
      </w:pPr>
      <w:r w:rsidRPr="0001127D">
        <w:rPr>
          <w:noProof/>
        </w:rPr>
        <w:t>"</w:t>
      </w:r>
      <w:r w:rsidR="002F06CE" w:rsidRPr="0001127D">
        <w:rPr>
          <w:noProof/>
        </w:rPr>
        <w:t>Articolo 28</w:t>
      </w:r>
    </w:p>
    <w:p w14:paraId="0E80CD42" w14:textId="77777777" w:rsidR="002F06CE" w:rsidRPr="0001127D" w:rsidRDefault="002F06CE" w:rsidP="002F06CE">
      <w:pPr>
        <w:shd w:val="clear" w:color="auto" w:fill="FFFFFF"/>
        <w:spacing w:before="240" w:line="312" w:lineRule="atLeast"/>
        <w:jc w:val="center"/>
        <w:rPr>
          <w:rFonts w:eastAsia="Times New Roman"/>
          <w:b/>
          <w:bCs/>
          <w:noProof/>
          <w:color w:val="333333"/>
          <w:szCs w:val="24"/>
        </w:rPr>
      </w:pPr>
      <w:r w:rsidRPr="0001127D">
        <w:rPr>
          <w:b/>
          <w:noProof/>
          <w:color w:val="333333"/>
        </w:rPr>
        <w:t>Sanzioni</w:t>
      </w:r>
    </w:p>
    <w:p w14:paraId="7E4F1133" w14:textId="77777777" w:rsidR="002F06CE" w:rsidRPr="0001127D" w:rsidRDefault="002F06CE" w:rsidP="002F06CE">
      <w:pPr>
        <w:shd w:val="clear" w:color="auto" w:fill="FFFFFF"/>
        <w:spacing w:before="240" w:line="312" w:lineRule="atLeast"/>
        <w:ind w:left="851"/>
        <w:rPr>
          <w:rFonts w:eastAsia="Times New Roman"/>
          <w:noProof/>
          <w:szCs w:val="24"/>
        </w:rPr>
      </w:pPr>
      <w:r w:rsidRPr="0001127D">
        <w:rPr>
          <w:noProof/>
        </w:rPr>
        <w:t xml:space="preserve">Gli Stati membri stabiliscono sanzioni </w:t>
      </w:r>
      <w:r w:rsidRPr="0001127D">
        <w:rPr>
          <w:noProof/>
          <w:shd w:val="clear" w:color="auto" w:fill="FFFFFF"/>
        </w:rPr>
        <w:t>effettive, proporzionate e dissuasive</w:t>
      </w:r>
      <w:r w:rsidRPr="0001127D">
        <w:rPr>
          <w:noProof/>
        </w:rPr>
        <w:t xml:space="preserve"> almeno per i casi di:</w:t>
      </w:r>
    </w:p>
    <w:p w14:paraId="3A53C285" w14:textId="77777777" w:rsidR="002F06CE" w:rsidRPr="0001127D" w:rsidRDefault="002F06CE" w:rsidP="002F06CE">
      <w:pPr>
        <w:shd w:val="clear" w:color="auto" w:fill="FFFFFF"/>
        <w:tabs>
          <w:tab w:val="left" w:pos="1276"/>
        </w:tabs>
        <w:spacing w:before="240" w:line="312" w:lineRule="atLeast"/>
        <w:ind w:left="1560" w:hanging="283"/>
        <w:rPr>
          <w:rFonts w:eastAsia="Calibri"/>
          <w:noProof/>
          <w:szCs w:val="24"/>
        </w:rPr>
      </w:pPr>
      <w:r w:rsidRPr="0001127D">
        <w:rPr>
          <w:noProof/>
        </w:rPr>
        <w:t xml:space="preserve">a) mancata pubblicità dei documenti e delle informazioni, come prescritta dagli articoli 14, 14 </w:t>
      </w:r>
      <w:r w:rsidRPr="0001127D">
        <w:rPr>
          <w:i/>
          <w:iCs/>
          <w:noProof/>
        </w:rPr>
        <w:t>bis</w:t>
      </w:r>
      <w:r w:rsidRPr="0001127D">
        <w:rPr>
          <w:noProof/>
        </w:rPr>
        <w:t xml:space="preserve"> e 14 </w:t>
      </w:r>
      <w:r w:rsidRPr="0001127D">
        <w:rPr>
          <w:i/>
          <w:iCs/>
          <w:noProof/>
        </w:rPr>
        <w:t>ter</w:t>
      </w:r>
      <w:r w:rsidRPr="0001127D">
        <w:rPr>
          <w:noProof/>
        </w:rPr>
        <w:t>;</w:t>
      </w:r>
    </w:p>
    <w:p w14:paraId="3A5A3EDC" w14:textId="22CEC749" w:rsidR="002F06CE" w:rsidRPr="0001127D" w:rsidRDefault="002F06CE" w:rsidP="002F06CE">
      <w:pPr>
        <w:shd w:val="clear" w:color="auto" w:fill="FFFFFF" w:themeFill="background1"/>
        <w:tabs>
          <w:tab w:val="left" w:pos="1276"/>
        </w:tabs>
        <w:spacing w:after="0"/>
        <w:ind w:left="1560" w:hanging="283"/>
        <w:rPr>
          <w:rFonts w:eastAsia="Calibri"/>
          <w:noProof/>
          <w:szCs w:val="24"/>
        </w:rPr>
      </w:pPr>
      <w:r w:rsidRPr="0001127D">
        <w:rPr>
          <w:noProof/>
        </w:rPr>
        <w:t>b)</w:t>
      </w:r>
      <w:r w:rsidR="001D4CD6" w:rsidRPr="0001127D">
        <w:rPr>
          <w:noProof/>
        </w:rPr>
        <w:t> </w:t>
      </w:r>
      <w:r w:rsidRPr="0001127D">
        <w:rPr>
          <w:noProof/>
        </w:rPr>
        <w:t>mancata presentazione delle modifiche entro il termine stabilito all</w:t>
      </w:r>
      <w:r w:rsidR="00E64452" w:rsidRPr="0001127D">
        <w:rPr>
          <w:noProof/>
        </w:rPr>
        <w:t>'</w:t>
      </w:r>
      <w:r w:rsidR="001D4CD6" w:rsidRPr="0001127D">
        <w:rPr>
          <w:noProof/>
        </w:rPr>
        <w:t>articolo </w:t>
      </w:r>
      <w:r w:rsidRPr="0001127D">
        <w:rPr>
          <w:noProof/>
        </w:rPr>
        <w:t>15, paragrafo 2;</w:t>
      </w:r>
    </w:p>
    <w:p w14:paraId="332A4FE5" w14:textId="24EB119D" w:rsidR="002F06CE" w:rsidRPr="0001127D" w:rsidRDefault="002F06CE" w:rsidP="002F06CE">
      <w:pPr>
        <w:shd w:val="clear" w:color="auto" w:fill="FFFFFF"/>
        <w:tabs>
          <w:tab w:val="left" w:pos="1276"/>
        </w:tabs>
        <w:spacing w:before="240" w:line="312" w:lineRule="atLeast"/>
        <w:ind w:left="1560" w:hanging="283"/>
        <w:rPr>
          <w:rFonts w:eastAsia="Times New Roman"/>
          <w:noProof/>
          <w:szCs w:val="24"/>
        </w:rPr>
      </w:pPr>
      <w:r w:rsidRPr="0001127D">
        <w:rPr>
          <w:noProof/>
        </w:rPr>
        <w:t>c) mancanza, nei documenti commerciali o nel sito web della società, delle informazioni obbligatorie di cui all</w:t>
      </w:r>
      <w:r w:rsidR="00E64452" w:rsidRPr="0001127D">
        <w:rPr>
          <w:noProof/>
        </w:rPr>
        <w:t>'</w:t>
      </w:r>
      <w:r w:rsidRPr="0001127D">
        <w:rPr>
          <w:noProof/>
        </w:rPr>
        <w:t>articolo 26.</w:t>
      </w:r>
    </w:p>
    <w:p w14:paraId="7947D316" w14:textId="745A8242" w:rsidR="002F06CE" w:rsidRPr="0001127D" w:rsidRDefault="002F06CE" w:rsidP="002F06CE">
      <w:pPr>
        <w:shd w:val="clear" w:color="auto" w:fill="FFFFFF"/>
        <w:tabs>
          <w:tab w:val="left" w:pos="1276"/>
        </w:tabs>
        <w:spacing w:before="240" w:line="312" w:lineRule="atLeast"/>
        <w:ind w:left="851"/>
        <w:rPr>
          <w:rFonts w:eastAsia="Calibri"/>
          <w:noProof/>
          <w:szCs w:val="24"/>
          <w:shd w:val="clear" w:color="auto" w:fill="FFFFFF"/>
        </w:rPr>
      </w:pPr>
      <w:r w:rsidRPr="0001127D">
        <w:rPr>
          <w:noProof/>
          <w:shd w:val="clear" w:color="auto" w:fill="FFFFFF"/>
        </w:rPr>
        <w:t>Gli Stati membri adottano tutte le misure necessarie a garantire che tali sanzioni siano applicate.</w:t>
      </w:r>
      <w:r w:rsidR="00E64452" w:rsidRPr="0001127D">
        <w:rPr>
          <w:noProof/>
          <w:shd w:val="clear" w:color="auto" w:fill="FFFFFF"/>
        </w:rPr>
        <w:t>"</w:t>
      </w:r>
      <w:r w:rsidRPr="0001127D">
        <w:rPr>
          <w:noProof/>
          <w:shd w:val="clear" w:color="auto" w:fill="FFFFFF"/>
        </w:rPr>
        <w:t>;</w:t>
      </w:r>
      <w:r w:rsidR="00E64452" w:rsidRPr="0001127D">
        <w:rPr>
          <w:noProof/>
          <w:shd w:val="clear" w:color="auto" w:fill="FFFFFF"/>
        </w:rPr>
        <w:t xml:space="preserve"> </w:t>
      </w:r>
    </w:p>
    <w:p w14:paraId="5379FD75" w14:textId="77777777" w:rsidR="002F06CE" w:rsidRPr="0001127D" w:rsidRDefault="002F06CE" w:rsidP="002F06CE">
      <w:pPr>
        <w:rPr>
          <w:noProof/>
        </w:rPr>
      </w:pPr>
    </w:p>
    <w:p w14:paraId="09FD651F" w14:textId="12EE1121" w:rsidR="002F06CE" w:rsidRPr="0001127D" w:rsidRDefault="002F06CE" w:rsidP="002F06CE">
      <w:pPr>
        <w:pStyle w:val="Point0"/>
        <w:rPr>
          <w:noProof/>
        </w:rPr>
      </w:pPr>
      <w:r w:rsidRPr="0001127D">
        <w:rPr>
          <w:noProof/>
        </w:rPr>
        <w:t>30)</w:t>
      </w:r>
      <w:r w:rsidRPr="0001127D">
        <w:rPr>
          <w:noProof/>
        </w:rPr>
        <w:tab/>
        <w:t>all</w:t>
      </w:r>
      <w:r w:rsidR="00E64452" w:rsidRPr="0001127D">
        <w:rPr>
          <w:noProof/>
        </w:rPr>
        <w:t>'</w:t>
      </w:r>
      <w:r w:rsidRPr="0001127D">
        <w:rPr>
          <w:noProof/>
        </w:rPr>
        <w:t xml:space="preserve">articolo 28 </w:t>
      </w:r>
      <w:r w:rsidRPr="0001127D">
        <w:rPr>
          <w:i/>
          <w:iCs/>
          <w:noProof/>
        </w:rPr>
        <w:t>bis</w:t>
      </w:r>
      <w:r w:rsidRPr="0001127D">
        <w:rPr>
          <w:noProof/>
        </w:rPr>
        <w:t>, paragrafo 4, la lettera c) è sostituita dalla seguente:</w:t>
      </w:r>
    </w:p>
    <w:p w14:paraId="591D1427" w14:textId="134C9D38" w:rsidR="002F06CE" w:rsidRPr="0001127D" w:rsidRDefault="00E64452" w:rsidP="002F06CE">
      <w:pPr>
        <w:shd w:val="clear" w:color="auto" w:fill="FFFFFF"/>
        <w:spacing w:after="0"/>
        <w:ind w:left="1276" w:hanging="425"/>
        <w:rPr>
          <w:rFonts w:eastAsia="Times New Roman"/>
          <w:noProof/>
          <w:szCs w:val="24"/>
        </w:rPr>
      </w:pPr>
      <w:r w:rsidRPr="0001127D">
        <w:rPr>
          <w:noProof/>
        </w:rPr>
        <w:t>"</w:t>
      </w:r>
      <w:r w:rsidR="002F06CE" w:rsidRPr="0001127D">
        <w:rPr>
          <w:noProof/>
        </w:rPr>
        <w:t>c) verificare la legittimità dei documenti e delle informazioni presentati per la registrazione della succursale, salvo i documenti e le informazioni recuperati dal registro della società conformemente al paragrafo 5;</w:t>
      </w:r>
      <w:r w:rsidRPr="0001127D">
        <w:rPr>
          <w:noProof/>
        </w:rPr>
        <w:t>"</w:t>
      </w:r>
      <w:r w:rsidR="002F06CE" w:rsidRPr="0001127D">
        <w:rPr>
          <w:noProof/>
        </w:rPr>
        <w:t>;</w:t>
      </w:r>
    </w:p>
    <w:p w14:paraId="4B9AF75B" w14:textId="77777777" w:rsidR="002F06CE" w:rsidRPr="0001127D" w:rsidRDefault="002F06CE" w:rsidP="002F06CE">
      <w:pPr>
        <w:rPr>
          <w:noProof/>
        </w:rPr>
      </w:pPr>
    </w:p>
    <w:p w14:paraId="13103A13" w14:textId="605AEFEC" w:rsidR="002F06CE" w:rsidRPr="0001127D" w:rsidRDefault="002F06CE" w:rsidP="002F06CE">
      <w:pPr>
        <w:pStyle w:val="Point0"/>
        <w:rPr>
          <w:noProof/>
        </w:rPr>
      </w:pPr>
      <w:r w:rsidRPr="0001127D">
        <w:rPr>
          <w:noProof/>
        </w:rPr>
        <w:t>31)</w:t>
      </w:r>
      <w:r w:rsidRPr="0001127D">
        <w:rPr>
          <w:noProof/>
        </w:rPr>
        <w:tab/>
        <w:t>all</w:t>
      </w:r>
      <w:r w:rsidR="00E64452" w:rsidRPr="0001127D">
        <w:rPr>
          <w:noProof/>
        </w:rPr>
        <w:t>'</w:t>
      </w:r>
      <w:r w:rsidRPr="0001127D">
        <w:rPr>
          <w:noProof/>
        </w:rPr>
        <w:t xml:space="preserve">articolo 28 </w:t>
      </w:r>
      <w:r w:rsidRPr="0001127D">
        <w:rPr>
          <w:i/>
          <w:iCs/>
          <w:noProof/>
        </w:rPr>
        <w:t>bis</w:t>
      </w:r>
      <w:r w:rsidRPr="0001127D">
        <w:rPr>
          <w:noProof/>
        </w:rPr>
        <w:t>, paragrafo 5, il primo comma è soppresso;</w:t>
      </w:r>
    </w:p>
    <w:p w14:paraId="7090A079" w14:textId="77777777" w:rsidR="002F06CE" w:rsidRPr="0001127D" w:rsidRDefault="002F06CE" w:rsidP="002F06CE">
      <w:pPr>
        <w:rPr>
          <w:noProof/>
        </w:rPr>
      </w:pPr>
    </w:p>
    <w:p w14:paraId="77693D49" w14:textId="421633A1" w:rsidR="002F06CE" w:rsidRPr="0001127D" w:rsidRDefault="002F06CE" w:rsidP="002F06CE">
      <w:pPr>
        <w:pStyle w:val="Point0"/>
        <w:rPr>
          <w:noProof/>
        </w:rPr>
      </w:pPr>
      <w:r w:rsidRPr="0001127D">
        <w:rPr>
          <w:noProof/>
        </w:rPr>
        <w:t>32)</w:t>
      </w:r>
      <w:r w:rsidRPr="0001127D">
        <w:rPr>
          <w:noProof/>
        </w:rPr>
        <w:tab/>
        <w:t>all</w:t>
      </w:r>
      <w:r w:rsidR="00E64452" w:rsidRPr="0001127D">
        <w:rPr>
          <w:noProof/>
        </w:rPr>
        <w:t>'</w:t>
      </w:r>
      <w:r w:rsidRPr="0001127D">
        <w:rPr>
          <w:noProof/>
        </w:rPr>
        <w:t xml:space="preserve">articolo 28 </w:t>
      </w:r>
      <w:r w:rsidRPr="0001127D">
        <w:rPr>
          <w:i/>
          <w:iCs/>
          <w:noProof/>
        </w:rPr>
        <w:t>bis</w:t>
      </w:r>
      <w:r w:rsidRPr="0001127D">
        <w:rPr>
          <w:noProof/>
        </w:rPr>
        <w:t xml:space="preserve"> è aggiunto il seguente paragrafo:</w:t>
      </w:r>
    </w:p>
    <w:p w14:paraId="1B611920" w14:textId="1E3ACF5C" w:rsidR="002F06CE" w:rsidRPr="0001127D" w:rsidRDefault="00E64452" w:rsidP="00C5142C">
      <w:pPr>
        <w:pStyle w:val="ListParagraph"/>
        <w:shd w:val="clear" w:color="auto" w:fill="FFFFFF"/>
        <w:tabs>
          <w:tab w:val="left" w:pos="1680"/>
        </w:tabs>
        <w:spacing w:before="120" w:after="0" w:line="312" w:lineRule="atLeast"/>
        <w:ind w:left="851"/>
        <w:jc w:val="both"/>
        <w:rPr>
          <w:rFonts w:ascii="Times New Roman" w:eastAsia="Times New Roman" w:hAnsi="Times New Roman" w:cs="Times New Roman"/>
          <w:noProof/>
          <w:sz w:val="24"/>
          <w:szCs w:val="24"/>
        </w:rPr>
      </w:pPr>
      <w:r w:rsidRPr="0001127D">
        <w:rPr>
          <w:rFonts w:ascii="Times New Roman" w:hAnsi="Times New Roman"/>
          <w:noProof/>
          <w:sz w:val="24"/>
        </w:rPr>
        <w:t>"</w:t>
      </w:r>
      <w:r w:rsidR="002F06CE" w:rsidRPr="0001127D">
        <w:rPr>
          <w:rFonts w:ascii="Times New Roman" w:hAnsi="Times New Roman"/>
          <w:noProof/>
          <w:sz w:val="24"/>
        </w:rPr>
        <w:t xml:space="preserve">5 </w:t>
      </w:r>
      <w:r w:rsidR="002F06CE" w:rsidRPr="0001127D">
        <w:rPr>
          <w:rFonts w:ascii="Times New Roman" w:hAnsi="Times New Roman"/>
          <w:i/>
          <w:iCs/>
          <w:noProof/>
          <w:sz w:val="24"/>
        </w:rPr>
        <w:t>bis</w:t>
      </w:r>
      <w:r w:rsidR="002F06CE" w:rsidRPr="0001127D">
        <w:rPr>
          <w:rFonts w:ascii="Times New Roman" w:hAnsi="Times New Roman"/>
          <w:noProof/>
          <w:sz w:val="24"/>
        </w:rPr>
        <w:t xml:space="preserve"> </w:t>
      </w:r>
      <w:r w:rsidR="002F06CE" w:rsidRPr="0001127D">
        <w:rPr>
          <w:noProof/>
        </w:rPr>
        <w:tab/>
      </w:r>
      <w:r w:rsidR="002F06CE" w:rsidRPr="0001127D">
        <w:rPr>
          <w:rFonts w:ascii="Times New Roman" w:hAnsi="Times New Roman"/>
          <w:noProof/>
          <w:sz w:val="24"/>
        </w:rPr>
        <w:t xml:space="preserve">Gli Stati membri provvedono affinché, qualora una società elencata negli allegati II o II </w:t>
      </w:r>
      <w:r w:rsidR="002F06CE" w:rsidRPr="0001127D">
        <w:rPr>
          <w:rFonts w:ascii="Times New Roman" w:hAnsi="Times New Roman"/>
          <w:i/>
          <w:iCs/>
          <w:noProof/>
          <w:sz w:val="24"/>
        </w:rPr>
        <w:t>ter</w:t>
      </w:r>
      <w:r w:rsidR="002F06CE" w:rsidRPr="0001127D">
        <w:rPr>
          <w:rFonts w:ascii="Times New Roman" w:hAnsi="Times New Roman"/>
          <w:noProof/>
          <w:sz w:val="24"/>
        </w:rPr>
        <w:t xml:space="preserve"> registri una succursale in un altro Stato membro, il registro d</w:t>
      </w:r>
      <w:r w:rsidRPr="0001127D">
        <w:rPr>
          <w:rFonts w:ascii="Times New Roman" w:hAnsi="Times New Roman"/>
          <w:noProof/>
          <w:sz w:val="24"/>
        </w:rPr>
        <w:t>'</w:t>
      </w:r>
      <w:r w:rsidR="002F06CE" w:rsidRPr="0001127D">
        <w:rPr>
          <w:rFonts w:ascii="Times New Roman" w:hAnsi="Times New Roman"/>
          <w:noProof/>
          <w:sz w:val="24"/>
        </w:rPr>
        <w:t>iscrizione della succursale recuperi, attraverso il sistema di interconnessione dei registri, i documenti e le informazioni sulla società che sono rilevanti ai fini della procedura di registrazione e che sono disponibili nel registro dello Stato membro in cui la società è iscritta, e non venga chiesto alla società di fornire tali informazioni o tali documenti.</w:t>
      </w:r>
      <w:r w:rsidRPr="0001127D">
        <w:rPr>
          <w:rFonts w:ascii="Times New Roman" w:hAnsi="Times New Roman"/>
          <w:noProof/>
          <w:sz w:val="24"/>
        </w:rPr>
        <w:t xml:space="preserve"> </w:t>
      </w:r>
      <w:r w:rsidR="002F06CE" w:rsidRPr="0001127D">
        <w:rPr>
          <w:rFonts w:ascii="Times New Roman" w:hAnsi="Times New Roman"/>
          <w:noProof/>
          <w:sz w:val="24"/>
        </w:rPr>
        <w:t>Il registro può anche recuperare il certificato delle società UE di cui all</w:t>
      </w:r>
      <w:r w:rsidRPr="0001127D">
        <w:rPr>
          <w:rFonts w:ascii="Times New Roman" w:hAnsi="Times New Roman"/>
          <w:noProof/>
          <w:sz w:val="24"/>
        </w:rPr>
        <w:t>'</w:t>
      </w:r>
      <w:r w:rsidR="002F06CE" w:rsidRPr="0001127D">
        <w:rPr>
          <w:rFonts w:ascii="Times New Roman" w:hAnsi="Times New Roman"/>
          <w:noProof/>
          <w:sz w:val="24"/>
        </w:rPr>
        <w:t xml:space="preserve">articolo 16 </w:t>
      </w:r>
      <w:r w:rsidR="002F06CE" w:rsidRPr="0001127D">
        <w:rPr>
          <w:rFonts w:ascii="Times New Roman" w:hAnsi="Times New Roman"/>
          <w:i/>
          <w:iCs/>
          <w:noProof/>
          <w:sz w:val="24"/>
        </w:rPr>
        <w:t>ter</w:t>
      </w:r>
      <w:r w:rsidR="002F06CE" w:rsidRPr="0001127D">
        <w:rPr>
          <w:rFonts w:ascii="Times New Roman" w:hAnsi="Times New Roman"/>
          <w:noProof/>
          <w:sz w:val="24"/>
        </w:rPr>
        <w:t xml:space="preserve">. Gli Stati membri applicano il presente paragrafo anche a ogni altra forma di registrazione di succursali che non avvenga completamente online. </w:t>
      </w:r>
    </w:p>
    <w:p w14:paraId="770DA0FC" w14:textId="77777777" w:rsidR="002F06CE" w:rsidRPr="0001127D" w:rsidRDefault="002F06CE" w:rsidP="002F06CE">
      <w:pPr>
        <w:pStyle w:val="ListParagraph"/>
        <w:shd w:val="clear" w:color="auto" w:fill="FFFFFF"/>
        <w:spacing w:before="120" w:after="0" w:line="312" w:lineRule="atLeast"/>
        <w:ind w:left="851"/>
        <w:jc w:val="both"/>
        <w:rPr>
          <w:rFonts w:ascii="Times New Roman" w:hAnsi="Times New Roman" w:cs="Times New Roman"/>
          <w:noProof/>
          <w:sz w:val="24"/>
          <w:szCs w:val="24"/>
        </w:rPr>
      </w:pPr>
    </w:p>
    <w:p w14:paraId="60E5E4DF" w14:textId="0C076EC9" w:rsidR="002F06CE" w:rsidRPr="0001127D" w:rsidRDefault="002F06CE" w:rsidP="002F06CE">
      <w:pPr>
        <w:pStyle w:val="ListParagraph"/>
        <w:shd w:val="clear" w:color="auto" w:fill="FFFFFF"/>
        <w:spacing w:before="120" w:after="0" w:line="312" w:lineRule="atLeast"/>
        <w:ind w:left="851"/>
        <w:jc w:val="both"/>
        <w:rPr>
          <w:rFonts w:ascii="Times New Roman" w:hAnsi="Times New Roman" w:cs="Times New Roman"/>
          <w:noProof/>
          <w:sz w:val="24"/>
          <w:szCs w:val="24"/>
        </w:rPr>
      </w:pPr>
      <w:r w:rsidRPr="0001127D">
        <w:rPr>
          <w:rFonts w:ascii="Times New Roman" w:hAnsi="Times New Roman"/>
          <w:noProof/>
          <w:sz w:val="24"/>
        </w:rPr>
        <w:t>Ove un</w:t>
      </w:r>
      <w:r w:rsidR="00E64452" w:rsidRPr="0001127D">
        <w:rPr>
          <w:rFonts w:ascii="Times New Roman" w:hAnsi="Times New Roman"/>
          <w:noProof/>
          <w:sz w:val="24"/>
        </w:rPr>
        <w:t>'</w:t>
      </w:r>
      <w:r w:rsidRPr="0001127D">
        <w:rPr>
          <w:rFonts w:ascii="Times New Roman" w:hAnsi="Times New Roman"/>
          <w:noProof/>
          <w:sz w:val="24"/>
        </w:rPr>
        <w:t>autorità o una persona od organismo siano incaricati a norma del diritto nazionale di occuparsi di qualunque aspetto della registrazione di una succursale, e i documenti e le informazioni di cui al primo comma siano necessari ai fini dello svolgimento dei loro compiti, il registro dello Stato membro in cui la succursale viene registrata fornisce a tale autorità, persona od organismo i documenti e le informazioni recuperati.</w:t>
      </w:r>
      <w:r w:rsidR="00E64452" w:rsidRPr="0001127D">
        <w:rPr>
          <w:noProof/>
          <w:color w:val="333333"/>
        </w:rPr>
        <w:t>"</w:t>
      </w:r>
      <w:r w:rsidRPr="0001127D">
        <w:rPr>
          <w:noProof/>
          <w:color w:val="333333"/>
        </w:rPr>
        <w:t>;</w:t>
      </w:r>
    </w:p>
    <w:p w14:paraId="6E8A2CA1" w14:textId="77777777" w:rsidR="002F06CE" w:rsidRPr="0001127D" w:rsidRDefault="002F06CE" w:rsidP="002F06CE">
      <w:pPr>
        <w:pStyle w:val="ListParagraph"/>
        <w:shd w:val="clear" w:color="auto" w:fill="FFFFFF"/>
        <w:spacing w:before="120" w:after="0" w:line="312" w:lineRule="atLeast"/>
        <w:ind w:left="360"/>
        <w:jc w:val="both"/>
        <w:rPr>
          <w:noProof/>
        </w:rPr>
      </w:pPr>
    </w:p>
    <w:p w14:paraId="45DF12BA" w14:textId="59416374" w:rsidR="002F06CE" w:rsidRPr="0001127D" w:rsidRDefault="002F06CE" w:rsidP="002F06CE">
      <w:pPr>
        <w:pStyle w:val="Point0"/>
        <w:rPr>
          <w:noProof/>
        </w:rPr>
      </w:pPr>
      <w:r w:rsidRPr="0001127D">
        <w:rPr>
          <w:noProof/>
        </w:rPr>
        <w:t>33)</w:t>
      </w:r>
      <w:r w:rsidRPr="0001127D">
        <w:rPr>
          <w:noProof/>
        </w:rPr>
        <w:tab/>
        <w:t>all</w:t>
      </w:r>
      <w:r w:rsidR="00E64452" w:rsidRPr="0001127D">
        <w:rPr>
          <w:noProof/>
        </w:rPr>
        <w:t>'</w:t>
      </w:r>
      <w:r w:rsidRPr="0001127D">
        <w:rPr>
          <w:noProof/>
        </w:rPr>
        <w:t xml:space="preserve">articolo 28 </w:t>
      </w:r>
      <w:r w:rsidRPr="0001127D">
        <w:rPr>
          <w:i/>
          <w:iCs/>
          <w:noProof/>
        </w:rPr>
        <w:t>ter</w:t>
      </w:r>
      <w:r w:rsidRPr="0001127D">
        <w:rPr>
          <w:noProof/>
        </w:rPr>
        <w:t xml:space="preserve">, paragrafo 1, la prima frase è sostituita dalla seguente: </w:t>
      </w:r>
    </w:p>
    <w:p w14:paraId="19DE3553" w14:textId="0F33C9D3" w:rsidR="002F06CE" w:rsidRPr="0001127D" w:rsidRDefault="00E64452" w:rsidP="002F06CE">
      <w:pPr>
        <w:pStyle w:val="Text1"/>
        <w:ind w:left="851"/>
        <w:rPr>
          <w:noProof/>
        </w:rPr>
      </w:pPr>
      <w:r w:rsidRPr="0001127D">
        <w:rPr>
          <w:noProof/>
        </w:rPr>
        <w:t>"</w:t>
      </w:r>
      <w:r w:rsidR="002F06CE" w:rsidRPr="0001127D">
        <w:rPr>
          <w:noProof/>
        </w:rPr>
        <w:t>1. </w:t>
      </w:r>
      <w:r w:rsidR="002F06CE" w:rsidRPr="0001127D">
        <w:rPr>
          <w:noProof/>
        </w:rPr>
        <w:tab/>
        <w:t>Gli Stati membri assicurano che i documenti e le informazioni di cui all</w:t>
      </w:r>
      <w:r w:rsidRPr="0001127D">
        <w:rPr>
          <w:noProof/>
        </w:rPr>
        <w:t>'</w:t>
      </w:r>
      <w:r w:rsidR="002F06CE" w:rsidRPr="0001127D">
        <w:rPr>
          <w:noProof/>
        </w:rPr>
        <w:t>articolo 30, comprese eventuali modifiche degli stessi, possano essere presentati online conformemente all</w:t>
      </w:r>
      <w:r w:rsidRPr="0001127D">
        <w:rPr>
          <w:noProof/>
        </w:rPr>
        <w:t>'</w:t>
      </w:r>
      <w:r w:rsidR="002F06CE" w:rsidRPr="0001127D">
        <w:rPr>
          <w:noProof/>
        </w:rPr>
        <w:t>articolo 15, paragrafo 2, lettere a) e b).</w:t>
      </w:r>
      <w:r w:rsidRPr="0001127D">
        <w:rPr>
          <w:noProof/>
        </w:rPr>
        <w:t>"</w:t>
      </w:r>
      <w:r w:rsidR="002F06CE" w:rsidRPr="0001127D">
        <w:rPr>
          <w:noProof/>
        </w:rPr>
        <w:t>;</w:t>
      </w:r>
    </w:p>
    <w:p w14:paraId="7CB07D20" w14:textId="77777777" w:rsidR="002F06CE" w:rsidRPr="0001127D" w:rsidRDefault="002F06CE" w:rsidP="002F06CE">
      <w:pPr>
        <w:ind w:left="1276" w:hanging="425"/>
        <w:rPr>
          <w:noProof/>
        </w:rPr>
      </w:pPr>
    </w:p>
    <w:p w14:paraId="19BD3BE0" w14:textId="5E01CCC1" w:rsidR="002F06CE" w:rsidRPr="0001127D" w:rsidRDefault="002F06CE" w:rsidP="002F06CE">
      <w:pPr>
        <w:pStyle w:val="Point0"/>
        <w:rPr>
          <w:noProof/>
        </w:rPr>
      </w:pPr>
      <w:r w:rsidRPr="0001127D">
        <w:rPr>
          <w:noProof/>
        </w:rPr>
        <w:t>34)</w:t>
      </w:r>
      <w:r w:rsidRPr="0001127D">
        <w:rPr>
          <w:noProof/>
        </w:rPr>
        <w:tab/>
        <w:t>all</w:t>
      </w:r>
      <w:r w:rsidR="00E64452" w:rsidRPr="0001127D">
        <w:rPr>
          <w:noProof/>
        </w:rPr>
        <w:t>'</w:t>
      </w:r>
      <w:r w:rsidRPr="0001127D">
        <w:rPr>
          <w:noProof/>
        </w:rPr>
        <w:t>articolo 30, paragrafo 2, la lettera c) è soppressa;</w:t>
      </w:r>
    </w:p>
    <w:p w14:paraId="0BAEAE9C" w14:textId="77777777" w:rsidR="002F06CE" w:rsidRPr="0001127D" w:rsidRDefault="002F06CE" w:rsidP="002F06CE">
      <w:pPr>
        <w:rPr>
          <w:noProof/>
        </w:rPr>
      </w:pPr>
    </w:p>
    <w:p w14:paraId="476D4CEB" w14:textId="06CBBAD9" w:rsidR="002F06CE" w:rsidRPr="0001127D" w:rsidRDefault="002F06CE" w:rsidP="002F06CE">
      <w:pPr>
        <w:pStyle w:val="Point0"/>
        <w:rPr>
          <w:noProof/>
        </w:rPr>
      </w:pPr>
      <w:r w:rsidRPr="0001127D">
        <w:rPr>
          <w:noProof/>
        </w:rPr>
        <w:t>35)</w:t>
      </w:r>
      <w:r w:rsidRPr="0001127D">
        <w:rPr>
          <w:noProof/>
        </w:rPr>
        <w:tab/>
        <w:t>all</w:t>
      </w:r>
      <w:r w:rsidR="00E64452" w:rsidRPr="0001127D">
        <w:rPr>
          <w:noProof/>
        </w:rPr>
        <w:t>'</w:t>
      </w:r>
      <w:r w:rsidRPr="0001127D">
        <w:rPr>
          <w:noProof/>
        </w:rPr>
        <w:t>articolo 36 sono aggiunti i seguenti paragrafi:</w:t>
      </w:r>
    </w:p>
    <w:p w14:paraId="472CC0B1" w14:textId="01EAF79B" w:rsidR="002F06CE" w:rsidRPr="0001127D" w:rsidRDefault="00E64452" w:rsidP="002F06CE">
      <w:pPr>
        <w:shd w:val="clear" w:color="auto" w:fill="FFFFFF"/>
        <w:ind w:left="851"/>
        <w:rPr>
          <w:rFonts w:eastAsia="Times New Roman"/>
          <w:noProof/>
          <w:szCs w:val="24"/>
        </w:rPr>
      </w:pPr>
      <w:r w:rsidRPr="0001127D">
        <w:rPr>
          <w:noProof/>
        </w:rPr>
        <w:t>"</w:t>
      </w:r>
      <w:r w:rsidR="002F06CE" w:rsidRPr="0001127D">
        <w:rPr>
          <w:noProof/>
        </w:rPr>
        <w:t>3.</w:t>
      </w:r>
      <w:r w:rsidR="002F06CE" w:rsidRPr="0001127D">
        <w:rPr>
          <w:noProof/>
        </w:rPr>
        <w:tab/>
        <w:t>I documenti e le informazioni di cui all</w:t>
      </w:r>
      <w:r w:rsidRPr="0001127D">
        <w:rPr>
          <w:noProof/>
        </w:rPr>
        <w:t>'</w:t>
      </w:r>
      <w:r w:rsidR="002F06CE" w:rsidRPr="0001127D">
        <w:rPr>
          <w:noProof/>
        </w:rPr>
        <w:t>articolo</w:t>
      </w:r>
      <w:r w:rsidR="00C5142C" w:rsidRPr="0001127D">
        <w:rPr>
          <w:noProof/>
        </w:rPr>
        <w:t> </w:t>
      </w:r>
      <w:r w:rsidR="002F06CE" w:rsidRPr="0001127D">
        <w:rPr>
          <w:noProof/>
        </w:rPr>
        <w:t>37 sono resi pubblicamente disponibili attraverso il sistema di interconnessione dei registri. L</w:t>
      </w:r>
      <w:r w:rsidRPr="0001127D">
        <w:rPr>
          <w:noProof/>
        </w:rPr>
        <w:t>'</w:t>
      </w:r>
      <w:r w:rsidR="002F06CE" w:rsidRPr="0001127D">
        <w:rPr>
          <w:noProof/>
        </w:rPr>
        <w:t>articolo 18 e l</w:t>
      </w:r>
      <w:r w:rsidRPr="0001127D">
        <w:rPr>
          <w:noProof/>
        </w:rPr>
        <w:t>'</w:t>
      </w:r>
      <w:r w:rsidR="002F06CE" w:rsidRPr="0001127D">
        <w:rPr>
          <w:noProof/>
        </w:rPr>
        <w:t>articolo 19, paragrafo 1, si applicano</w:t>
      </w:r>
      <w:r w:rsidR="002F06CE" w:rsidRPr="0001127D">
        <w:rPr>
          <w:i/>
          <w:noProof/>
        </w:rPr>
        <w:t xml:space="preserve"> mutatis mutandis</w:t>
      </w:r>
      <w:r w:rsidR="002F06CE" w:rsidRPr="0001127D">
        <w:rPr>
          <w:noProof/>
        </w:rPr>
        <w:t>.</w:t>
      </w:r>
      <w:r w:rsidRPr="0001127D">
        <w:rPr>
          <w:noProof/>
        </w:rPr>
        <w:t>"</w:t>
      </w:r>
      <w:r w:rsidR="002F06CE" w:rsidRPr="0001127D">
        <w:rPr>
          <w:noProof/>
        </w:rPr>
        <w:t>;</w:t>
      </w:r>
    </w:p>
    <w:p w14:paraId="1AE920AB" w14:textId="77777777" w:rsidR="002F06CE" w:rsidRPr="0001127D" w:rsidRDefault="002F06CE" w:rsidP="002F06CE">
      <w:pPr>
        <w:spacing w:after="0"/>
        <w:ind w:left="851"/>
        <w:rPr>
          <w:noProof/>
          <w:szCs w:val="24"/>
        </w:rPr>
      </w:pPr>
      <w:r w:rsidRPr="0001127D">
        <w:rPr>
          <w:noProof/>
        </w:rPr>
        <w:t xml:space="preserve">4. </w:t>
      </w:r>
      <w:r w:rsidRPr="0001127D">
        <w:rPr>
          <w:noProof/>
        </w:rPr>
        <w:tab/>
        <w:t xml:space="preserve">Gli Stati membri provvedono affinché almeno i documenti e le informazioni seguenti siano disponibili a titolo gratuito attraverso il sistema di interconnessione dei registri: </w:t>
      </w:r>
    </w:p>
    <w:p w14:paraId="7C96F5D7" w14:textId="77777777" w:rsidR="002F06CE" w:rsidRPr="0001127D" w:rsidRDefault="002F06CE" w:rsidP="002F06CE">
      <w:pPr>
        <w:pStyle w:val="Point0"/>
        <w:rPr>
          <w:noProof/>
        </w:rPr>
      </w:pPr>
      <w:r w:rsidRPr="0001127D">
        <w:rPr>
          <w:noProof/>
        </w:rPr>
        <w:t>a)</w:t>
      </w:r>
      <w:r w:rsidRPr="0001127D">
        <w:rPr>
          <w:noProof/>
        </w:rPr>
        <w:tab/>
        <w:t>la denominazione della società e la denominazione della succursale se diversa da quella della società;</w:t>
      </w:r>
    </w:p>
    <w:p w14:paraId="46624260" w14:textId="77777777" w:rsidR="002F06CE" w:rsidRPr="0001127D" w:rsidRDefault="002F06CE" w:rsidP="002F06CE">
      <w:pPr>
        <w:pStyle w:val="Point0"/>
        <w:rPr>
          <w:noProof/>
        </w:rPr>
      </w:pPr>
      <w:r w:rsidRPr="0001127D">
        <w:rPr>
          <w:noProof/>
        </w:rPr>
        <w:t>b)</w:t>
      </w:r>
      <w:r w:rsidRPr="0001127D">
        <w:rPr>
          <w:noProof/>
        </w:rPr>
        <w:tab/>
        <w:t>la forma giuridica della società;</w:t>
      </w:r>
    </w:p>
    <w:p w14:paraId="42992DB9" w14:textId="77777777" w:rsidR="002F06CE" w:rsidRPr="0001127D" w:rsidRDefault="002F06CE" w:rsidP="002F06CE">
      <w:pPr>
        <w:pStyle w:val="Point0"/>
        <w:rPr>
          <w:noProof/>
        </w:rPr>
      </w:pPr>
      <w:r w:rsidRPr="0001127D">
        <w:rPr>
          <w:noProof/>
        </w:rPr>
        <w:t>c)</w:t>
      </w:r>
      <w:r w:rsidRPr="0001127D">
        <w:rPr>
          <w:noProof/>
        </w:rPr>
        <w:tab/>
        <w:t xml:space="preserve">la legislazione dello Stato cui la società è soggetta; </w:t>
      </w:r>
    </w:p>
    <w:p w14:paraId="097BEBAD" w14:textId="77777777" w:rsidR="002F06CE" w:rsidRPr="0001127D" w:rsidRDefault="002F06CE" w:rsidP="002F06CE">
      <w:pPr>
        <w:pStyle w:val="Point0"/>
        <w:rPr>
          <w:noProof/>
        </w:rPr>
      </w:pPr>
      <w:r w:rsidRPr="0001127D">
        <w:rPr>
          <w:noProof/>
        </w:rPr>
        <w:t>d)</w:t>
      </w:r>
      <w:r w:rsidRPr="0001127D">
        <w:rPr>
          <w:noProof/>
        </w:rPr>
        <w:tab/>
        <w:t xml:space="preserve">se tale legislazione lo prevede, il registro nel quale la società è iscritta ed il numero di iscrizione di questa in detto registro; </w:t>
      </w:r>
    </w:p>
    <w:p w14:paraId="720CFAAD" w14:textId="2D79C351" w:rsidR="002F06CE" w:rsidRPr="0001127D" w:rsidRDefault="002F06CE" w:rsidP="002F06CE">
      <w:pPr>
        <w:pStyle w:val="Point0"/>
        <w:rPr>
          <w:noProof/>
        </w:rPr>
      </w:pPr>
      <w:r w:rsidRPr="0001127D">
        <w:rPr>
          <w:noProof/>
        </w:rPr>
        <w:t>e)</w:t>
      </w:r>
      <w:r w:rsidRPr="0001127D">
        <w:rPr>
          <w:noProof/>
        </w:rPr>
        <w:tab/>
        <w:t>l</w:t>
      </w:r>
      <w:r w:rsidR="00E64452" w:rsidRPr="0001127D">
        <w:rPr>
          <w:noProof/>
        </w:rPr>
        <w:t>'</w:t>
      </w:r>
      <w:r w:rsidRPr="0001127D">
        <w:rPr>
          <w:noProof/>
        </w:rPr>
        <w:t>indirizzo della succursale;</w:t>
      </w:r>
    </w:p>
    <w:p w14:paraId="76F9ACD7" w14:textId="77777777" w:rsidR="002F06CE" w:rsidRPr="0001127D" w:rsidRDefault="002F06CE" w:rsidP="002F06CE">
      <w:pPr>
        <w:pStyle w:val="Point0"/>
        <w:rPr>
          <w:noProof/>
        </w:rPr>
      </w:pPr>
      <w:r w:rsidRPr="0001127D">
        <w:rPr>
          <w:noProof/>
        </w:rPr>
        <w:t>f)</w:t>
      </w:r>
      <w:r w:rsidRPr="0001127D">
        <w:rPr>
          <w:noProof/>
        </w:rPr>
        <w:tab/>
        <w:t>le generalità delle persone che sono autorizzate a rappresentare la società nei rapporti con terzi e nei procedimenti giudiziari:</w:t>
      </w:r>
    </w:p>
    <w:p w14:paraId="6368A6D2" w14:textId="77777777" w:rsidR="002F06CE" w:rsidRPr="0001127D" w:rsidRDefault="002F06CE" w:rsidP="002F06CE">
      <w:pPr>
        <w:ind w:left="1701"/>
        <w:rPr>
          <w:noProof/>
        </w:rPr>
      </w:pPr>
      <w:r w:rsidRPr="0001127D">
        <w:rPr>
          <w:noProof/>
        </w:rPr>
        <w:t xml:space="preserve">— in quanto organo della società previsto dalla legge o membri di tale organo; </w:t>
      </w:r>
    </w:p>
    <w:p w14:paraId="40D4A3BA" w14:textId="2FE5C33E" w:rsidR="002F06CE" w:rsidRPr="0001127D" w:rsidRDefault="002F06CE" w:rsidP="002F06CE">
      <w:pPr>
        <w:ind w:left="1701"/>
        <w:rPr>
          <w:noProof/>
        </w:rPr>
      </w:pPr>
      <w:r w:rsidRPr="0001127D">
        <w:rPr>
          <w:noProof/>
        </w:rPr>
        <w:t>— in quanto rappresentanti stabili della società per quanto concerne l</w:t>
      </w:r>
      <w:r w:rsidR="00E64452" w:rsidRPr="0001127D">
        <w:rPr>
          <w:noProof/>
        </w:rPr>
        <w:t>'</w:t>
      </w:r>
      <w:r w:rsidRPr="0001127D">
        <w:rPr>
          <w:noProof/>
        </w:rPr>
        <w:t>attività della succursale.</w:t>
      </w:r>
      <w:r w:rsidR="00E64452" w:rsidRPr="0001127D">
        <w:rPr>
          <w:noProof/>
        </w:rPr>
        <w:t xml:space="preserve"> </w:t>
      </w:r>
    </w:p>
    <w:p w14:paraId="3899DD74" w14:textId="77777777" w:rsidR="002F06CE" w:rsidRPr="0001127D" w:rsidRDefault="002F06CE" w:rsidP="002F06CE">
      <w:pPr>
        <w:ind w:left="1701"/>
        <w:rPr>
          <w:noProof/>
        </w:rPr>
      </w:pPr>
      <w:r w:rsidRPr="0001127D">
        <w:rPr>
          <w:noProof/>
        </w:rPr>
        <w:t>Occorre precisare la portata dei poteri delle persone che hanno il potere di rappresentare la società nonché se queste possono agire da sole o devono agire congiuntamente;</w:t>
      </w:r>
    </w:p>
    <w:p w14:paraId="01D17E8A" w14:textId="3819DFB2" w:rsidR="002F06CE" w:rsidRPr="0001127D" w:rsidRDefault="002F06CE" w:rsidP="002F06CE">
      <w:pPr>
        <w:pStyle w:val="Point0"/>
        <w:rPr>
          <w:noProof/>
        </w:rPr>
      </w:pPr>
      <w:r w:rsidRPr="0001127D">
        <w:rPr>
          <w:noProof/>
        </w:rPr>
        <w:t>g)</w:t>
      </w:r>
      <w:r w:rsidRPr="0001127D">
        <w:rPr>
          <w:noProof/>
        </w:rPr>
        <w:tab/>
        <w:t>l</w:t>
      </w:r>
      <w:r w:rsidR="00E64452" w:rsidRPr="0001127D">
        <w:rPr>
          <w:noProof/>
        </w:rPr>
        <w:t>'</w:t>
      </w:r>
      <w:r w:rsidRPr="0001127D">
        <w:rPr>
          <w:noProof/>
        </w:rPr>
        <w:t>identificativo unico della succursale conformemente al paragrafo 5.</w:t>
      </w:r>
    </w:p>
    <w:p w14:paraId="5CF02DFA" w14:textId="77777777" w:rsidR="002F06CE" w:rsidRPr="0001127D" w:rsidRDefault="002F06CE" w:rsidP="002F06CE">
      <w:pPr>
        <w:spacing w:after="0"/>
        <w:contextualSpacing/>
        <w:rPr>
          <w:noProof/>
          <w:szCs w:val="24"/>
        </w:rPr>
      </w:pPr>
    </w:p>
    <w:p w14:paraId="0520B25B" w14:textId="348C1F9D" w:rsidR="002F06CE" w:rsidRPr="0001127D" w:rsidRDefault="002F06CE" w:rsidP="002F06CE">
      <w:pPr>
        <w:ind w:left="851"/>
        <w:contextualSpacing/>
        <w:rPr>
          <w:noProof/>
          <w:szCs w:val="24"/>
        </w:rPr>
      </w:pPr>
      <w:r w:rsidRPr="0001127D">
        <w:rPr>
          <w:noProof/>
        </w:rPr>
        <w:t>5.</w:t>
      </w:r>
      <w:r w:rsidRPr="0001127D">
        <w:rPr>
          <w:noProof/>
        </w:rPr>
        <w:tab/>
        <w:t>Gli Stati membri applicano l</w:t>
      </w:r>
      <w:r w:rsidR="00E64452" w:rsidRPr="0001127D">
        <w:rPr>
          <w:noProof/>
        </w:rPr>
        <w:t>'</w:t>
      </w:r>
      <w:r w:rsidRPr="0001127D">
        <w:rPr>
          <w:noProof/>
        </w:rPr>
        <w:t xml:space="preserve">articolo 29, paragrafo 4, </w:t>
      </w:r>
      <w:r w:rsidRPr="0001127D">
        <w:rPr>
          <w:i/>
          <w:iCs/>
          <w:noProof/>
        </w:rPr>
        <w:t>mutatis mutandis</w:t>
      </w:r>
      <w:r w:rsidRPr="0001127D">
        <w:rPr>
          <w:noProof/>
        </w:rPr>
        <w:t>, alle succursali di società di paesi terzi.</w:t>
      </w:r>
      <w:r w:rsidR="00E64452" w:rsidRPr="0001127D">
        <w:rPr>
          <w:noProof/>
        </w:rPr>
        <w:t>"</w:t>
      </w:r>
      <w:r w:rsidRPr="0001127D">
        <w:rPr>
          <w:noProof/>
        </w:rPr>
        <w:t xml:space="preserve">; </w:t>
      </w:r>
    </w:p>
    <w:p w14:paraId="52671211" w14:textId="77777777" w:rsidR="002F06CE" w:rsidRPr="0001127D" w:rsidRDefault="002F06CE" w:rsidP="002F06CE">
      <w:pPr>
        <w:shd w:val="clear" w:color="auto" w:fill="FFFFFF"/>
        <w:rPr>
          <w:noProof/>
          <w:color w:val="00B050"/>
          <w:szCs w:val="24"/>
        </w:rPr>
      </w:pPr>
    </w:p>
    <w:p w14:paraId="572CFB2E" w14:textId="075878BA" w:rsidR="002F06CE" w:rsidRPr="0001127D" w:rsidRDefault="002F06CE" w:rsidP="002F06CE">
      <w:pPr>
        <w:pStyle w:val="Point0"/>
        <w:rPr>
          <w:noProof/>
        </w:rPr>
      </w:pPr>
      <w:r w:rsidRPr="0001127D">
        <w:rPr>
          <w:noProof/>
        </w:rPr>
        <w:t>36)</w:t>
      </w:r>
      <w:r w:rsidRPr="0001127D">
        <w:rPr>
          <w:noProof/>
        </w:rPr>
        <w:tab/>
        <w:t>l</w:t>
      </w:r>
      <w:r w:rsidR="00E64452" w:rsidRPr="0001127D">
        <w:rPr>
          <w:noProof/>
        </w:rPr>
        <w:t>'</w:t>
      </w:r>
      <w:r w:rsidRPr="0001127D">
        <w:rPr>
          <w:noProof/>
        </w:rPr>
        <w:t>articolo 40 è sostituito dal seguente:</w:t>
      </w:r>
    </w:p>
    <w:p w14:paraId="73ACE7DA" w14:textId="2F370BF8" w:rsidR="002F06CE" w:rsidRPr="0001127D" w:rsidRDefault="00E64452" w:rsidP="002F06CE">
      <w:pPr>
        <w:pStyle w:val="ListParagraph"/>
        <w:shd w:val="clear" w:color="auto" w:fill="FFFFFF"/>
        <w:spacing w:before="240" w:line="312" w:lineRule="atLeast"/>
        <w:ind w:left="850"/>
        <w:jc w:val="center"/>
        <w:rPr>
          <w:rFonts w:ascii="Times New Roman" w:hAnsi="Times New Roman" w:cs="Times New Roman"/>
          <w:noProof/>
          <w:sz w:val="24"/>
        </w:rPr>
      </w:pPr>
      <w:r w:rsidRPr="0001127D">
        <w:rPr>
          <w:rFonts w:ascii="Times New Roman" w:hAnsi="Times New Roman"/>
          <w:noProof/>
          <w:sz w:val="24"/>
        </w:rPr>
        <w:t>"</w:t>
      </w:r>
      <w:r w:rsidR="002F06CE" w:rsidRPr="0001127D">
        <w:rPr>
          <w:rFonts w:ascii="Times New Roman" w:hAnsi="Times New Roman"/>
          <w:noProof/>
          <w:sz w:val="24"/>
        </w:rPr>
        <w:t>Articolo 40</w:t>
      </w:r>
    </w:p>
    <w:p w14:paraId="4B4795B9" w14:textId="77777777" w:rsidR="002F06CE" w:rsidRPr="0001127D" w:rsidRDefault="002F06CE" w:rsidP="002F06CE">
      <w:pPr>
        <w:pStyle w:val="ListParagraph"/>
        <w:shd w:val="clear" w:color="auto" w:fill="FFFFFF"/>
        <w:spacing w:before="240" w:line="312" w:lineRule="atLeast"/>
        <w:ind w:left="850"/>
        <w:jc w:val="center"/>
        <w:rPr>
          <w:rFonts w:ascii="Times New Roman" w:hAnsi="Times New Roman" w:cs="Times New Roman"/>
          <w:b/>
          <w:noProof/>
          <w:sz w:val="24"/>
        </w:rPr>
      </w:pPr>
      <w:r w:rsidRPr="0001127D">
        <w:rPr>
          <w:rFonts w:ascii="Times New Roman" w:hAnsi="Times New Roman"/>
          <w:b/>
          <w:noProof/>
          <w:sz w:val="24"/>
        </w:rPr>
        <w:t>Sanzioni</w:t>
      </w:r>
    </w:p>
    <w:p w14:paraId="1447BA0B" w14:textId="1C13B861" w:rsidR="002F06CE" w:rsidRPr="0001127D" w:rsidRDefault="002F06CE" w:rsidP="002F06CE">
      <w:pPr>
        <w:pStyle w:val="ListParagraph"/>
        <w:shd w:val="clear" w:color="auto" w:fill="FFFFFF"/>
        <w:spacing w:after="0" w:line="312" w:lineRule="atLeast"/>
        <w:ind w:left="850"/>
        <w:rPr>
          <w:rFonts w:ascii="Times New Roman" w:hAnsi="Times New Roman" w:cs="Times New Roman"/>
          <w:noProof/>
          <w:sz w:val="24"/>
        </w:rPr>
      </w:pPr>
      <w:r w:rsidRPr="0001127D">
        <w:rPr>
          <w:rFonts w:ascii="Times New Roman" w:hAnsi="Times New Roman"/>
          <w:noProof/>
          <w:sz w:val="24"/>
        </w:rPr>
        <w:t>Gli Stati membri prescrivono sanzioni effettive, proporzionate e dissuasive per i casi di inottemperanza all</w:t>
      </w:r>
      <w:r w:rsidR="00E64452" w:rsidRPr="0001127D">
        <w:rPr>
          <w:rFonts w:ascii="Times New Roman" w:hAnsi="Times New Roman"/>
          <w:noProof/>
          <w:sz w:val="24"/>
        </w:rPr>
        <w:t>'</w:t>
      </w:r>
      <w:r w:rsidRPr="0001127D">
        <w:rPr>
          <w:rFonts w:ascii="Times New Roman" w:hAnsi="Times New Roman"/>
          <w:noProof/>
          <w:sz w:val="24"/>
        </w:rPr>
        <w:t>obbligo di pubblicità di cui agli articoli 29, 30, 31, 36, 37 e 38 e nei casi in cui nelle lettere e negli ordinativi non figurino le informazioni obbligatorie di cui agli articoli 35 e 39.</w:t>
      </w:r>
    </w:p>
    <w:p w14:paraId="1EB8F7B0" w14:textId="77777777" w:rsidR="002F06CE" w:rsidRPr="0001127D" w:rsidRDefault="002F06CE" w:rsidP="002F06CE">
      <w:pPr>
        <w:pStyle w:val="ListParagraph"/>
        <w:shd w:val="clear" w:color="auto" w:fill="FFFFFF"/>
        <w:spacing w:before="240"/>
        <w:ind w:left="850"/>
        <w:rPr>
          <w:rFonts w:ascii="Times New Roman" w:hAnsi="Times New Roman" w:cs="Times New Roman"/>
          <w:noProof/>
          <w:sz w:val="24"/>
        </w:rPr>
      </w:pPr>
    </w:p>
    <w:p w14:paraId="3902DD8D" w14:textId="4FFF80B5" w:rsidR="002F06CE" w:rsidRPr="0001127D" w:rsidRDefault="002F06CE" w:rsidP="002F06CE">
      <w:pPr>
        <w:pStyle w:val="ListParagraph"/>
        <w:shd w:val="clear" w:color="auto" w:fill="FFFFFF"/>
        <w:spacing w:before="240"/>
        <w:ind w:left="850"/>
        <w:rPr>
          <w:rFonts w:ascii="Times New Roman" w:hAnsi="Times New Roman" w:cs="Times New Roman"/>
          <w:noProof/>
          <w:sz w:val="24"/>
        </w:rPr>
      </w:pPr>
      <w:r w:rsidRPr="0001127D">
        <w:rPr>
          <w:rFonts w:ascii="Times New Roman" w:hAnsi="Times New Roman"/>
          <w:noProof/>
          <w:sz w:val="24"/>
        </w:rPr>
        <w:t>Gli Stati membri adottano tutte le misure necessarie a garantire che tali sanzioni siano applicate.</w:t>
      </w:r>
      <w:r w:rsidR="00E64452" w:rsidRPr="0001127D">
        <w:rPr>
          <w:rFonts w:ascii="Times New Roman" w:hAnsi="Times New Roman"/>
          <w:noProof/>
          <w:sz w:val="24"/>
        </w:rPr>
        <w:t>"</w:t>
      </w:r>
      <w:r w:rsidRPr="0001127D">
        <w:rPr>
          <w:rFonts w:ascii="Times New Roman" w:hAnsi="Times New Roman"/>
          <w:noProof/>
          <w:sz w:val="24"/>
        </w:rPr>
        <w:t xml:space="preserve"> </w:t>
      </w:r>
    </w:p>
    <w:p w14:paraId="3DFA300E" w14:textId="6B9607BE" w:rsidR="002F06CE" w:rsidRPr="0001127D" w:rsidRDefault="002F06CE" w:rsidP="002F06CE">
      <w:pPr>
        <w:shd w:val="clear" w:color="auto" w:fill="FFFFFF"/>
        <w:spacing w:before="240"/>
        <w:rPr>
          <w:noProof/>
        </w:rPr>
      </w:pPr>
      <w:r w:rsidRPr="0001127D">
        <w:rPr>
          <w:noProof/>
        </w:rPr>
        <w:t xml:space="preserve">37) </w:t>
      </w:r>
      <w:r w:rsidRPr="0001127D">
        <w:rPr>
          <w:noProof/>
        </w:rPr>
        <w:tab/>
        <w:t>è inserito l</w:t>
      </w:r>
      <w:r w:rsidR="00E64452" w:rsidRPr="0001127D">
        <w:rPr>
          <w:noProof/>
        </w:rPr>
        <w:t>'</w:t>
      </w:r>
      <w:r w:rsidRPr="0001127D">
        <w:rPr>
          <w:noProof/>
        </w:rPr>
        <w:t xml:space="preserve">allegato II </w:t>
      </w:r>
      <w:r w:rsidRPr="0001127D">
        <w:rPr>
          <w:i/>
          <w:iCs/>
          <w:noProof/>
        </w:rPr>
        <w:t>ter</w:t>
      </w:r>
      <w:r w:rsidRPr="0001127D">
        <w:rPr>
          <w:noProof/>
        </w:rPr>
        <w:t xml:space="preserve"> figurante nell</w:t>
      </w:r>
      <w:r w:rsidR="00E64452" w:rsidRPr="0001127D">
        <w:rPr>
          <w:noProof/>
        </w:rPr>
        <w:t>'</w:t>
      </w:r>
      <w:r w:rsidRPr="0001127D">
        <w:rPr>
          <w:noProof/>
        </w:rPr>
        <w:t>allegato della presente direttiva.</w:t>
      </w:r>
    </w:p>
    <w:p w14:paraId="42126E04" w14:textId="77777777" w:rsidR="002F06CE" w:rsidRPr="0001127D" w:rsidRDefault="002F06CE" w:rsidP="002F06CE">
      <w:pPr>
        <w:pStyle w:val="Titrearticle"/>
        <w:keepLines/>
        <w:rPr>
          <w:noProof/>
        </w:rPr>
      </w:pPr>
      <w:r w:rsidRPr="0001127D">
        <w:rPr>
          <w:noProof/>
        </w:rPr>
        <w:t>Articolo 3</w:t>
      </w:r>
    </w:p>
    <w:p w14:paraId="58135CA1" w14:textId="77777777" w:rsidR="002F06CE" w:rsidRPr="0001127D" w:rsidRDefault="002F06CE" w:rsidP="002F06CE">
      <w:pPr>
        <w:pStyle w:val="Articletitre"/>
        <w:rPr>
          <w:noProof/>
        </w:rPr>
      </w:pPr>
      <w:r w:rsidRPr="0001127D">
        <w:rPr>
          <w:noProof/>
        </w:rPr>
        <w:t>Recepimento</w:t>
      </w:r>
    </w:p>
    <w:p w14:paraId="79D569C5" w14:textId="7182CF6E" w:rsidR="002F06CE" w:rsidRPr="0001127D" w:rsidRDefault="002F06CE" w:rsidP="002F06CE">
      <w:pPr>
        <w:pStyle w:val="ManualNumPar1"/>
        <w:ind w:left="851" w:firstLine="0"/>
        <w:rPr>
          <w:noProof/>
        </w:rPr>
      </w:pPr>
      <w:r w:rsidRPr="0001127D">
        <w:rPr>
          <w:noProof/>
        </w:rPr>
        <w:t>1.</w:t>
      </w:r>
      <w:r w:rsidRPr="0001127D">
        <w:rPr>
          <w:noProof/>
        </w:rPr>
        <w:tab/>
        <w:t>Gli Stati membri adottano e pubblicano, entro e non oltre [OP:</w:t>
      </w:r>
      <w:r w:rsidR="00E64452" w:rsidRPr="0001127D">
        <w:rPr>
          <w:noProof/>
        </w:rPr>
        <w:t xml:space="preserve"> </w:t>
      </w:r>
      <w:r w:rsidRPr="0001127D">
        <w:rPr>
          <w:i/>
          <w:noProof/>
        </w:rPr>
        <w:t>l</w:t>
      </w:r>
      <w:r w:rsidR="00E64452" w:rsidRPr="0001127D">
        <w:rPr>
          <w:i/>
          <w:noProof/>
        </w:rPr>
        <w:t>'</w:t>
      </w:r>
      <w:r w:rsidRPr="0001127D">
        <w:rPr>
          <w:i/>
          <w:noProof/>
        </w:rPr>
        <w:t>ultimo giorno del ventiquattresimo mese dalla data di entrata in vigore della presente direttiva recante modifiche</w:t>
      </w:r>
      <w:r w:rsidRPr="0001127D">
        <w:rPr>
          <w:noProof/>
        </w:rPr>
        <w:t>] le disposizioni legislative, regolamentari e amministrative necessarie per conformarsi alla presente direttiva. Essi comunicano immediatamente alla Commissione il testo di tali disposizioni.</w:t>
      </w:r>
    </w:p>
    <w:p w14:paraId="0B47B03E" w14:textId="0524846A" w:rsidR="002F06CE" w:rsidRPr="0001127D" w:rsidRDefault="002F06CE" w:rsidP="002F06CE">
      <w:pPr>
        <w:pStyle w:val="Text1"/>
        <w:ind w:left="851"/>
        <w:rPr>
          <w:noProof/>
        </w:rPr>
      </w:pPr>
      <w:r w:rsidRPr="0001127D">
        <w:rPr>
          <w:noProof/>
        </w:rPr>
        <w:t xml:space="preserve">Gli Stati membri applicano dette norme a decorrere dal [OP: </w:t>
      </w:r>
      <w:r w:rsidRPr="0001127D">
        <w:rPr>
          <w:i/>
          <w:noProof/>
        </w:rPr>
        <w:t>l</w:t>
      </w:r>
      <w:r w:rsidR="00E64452" w:rsidRPr="0001127D">
        <w:rPr>
          <w:i/>
          <w:noProof/>
        </w:rPr>
        <w:t>'</w:t>
      </w:r>
      <w:r w:rsidRPr="0001127D">
        <w:rPr>
          <w:i/>
          <w:noProof/>
        </w:rPr>
        <w:t>ultimo giorno del trentesimo mese dalla data di entrata in vigore della presente direttiva recante modifiche</w:t>
      </w:r>
      <w:r w:rsidRPr="0001127D">
        <w:rPr>
          <w:noProof/>
        </w:rPr>
        <w:t>].</w:t>
      </w:r>
    </w:p>
    <w:p w14:paraId="5840EFCC" w14:textId="2F7BC714" w:rsidR="002F06CE" w:rsidRPr="0001127D" w:rsidRDefault="002F06CE" w:rsidP="002F06CE">
      <w:pPr>
        <w:pStyle w:val="Text1"/>
        <w:ind w:left="851"/>
        <w:contextualSpacing/>
        <w:rPr>
          <w:noProof/>
        </w:rPr>
      </w:pPr>
      <w:r w:rsidRPr="0001127D">
        <w:rPr>
          <w:noProof/>
        </w:rPr>
        <w:t>Le disposizioni adottate dagli Stati membri contengono un riferimento alla presente direttiva o sono corredate di tale riferimento all</w:t>
      </w:r>
      <w:r w:rsidR="00E64452" w:rsidRPr="0001127D">
        <w:rPr>
          <w:noProof/>
        </w:rPr>
        <w:t>'</w:t>
      </w:r>
      <w:r w:rsidRPr="0001127D">
        <w:rPr>
          <w:noProof/>
        </w:rPr>
        <w:t>atto della pubblicazione ufficiale. Le modalità del riferimento sono stabilite dagli Stati membri.</w:t>
      </w:r>
    </w:p>
    <w:p w14:paraId="4E3C4491" w14:textId="77777777" w:rsidR="002F06CE" w:rsidRPr="0001127D" w:rsidRDefault="002F06CE" w:rsidP="002F06CE">
      <w:pPr>
        <w:pStyle w:val="Text1"/>
        <w:ind w:left="851"/>
        <w:contextualSpacing/>
        <w:rPr>
          <w:noProof/>
        </w:rPr>
      </w:pPr>
    </w:p>
    <w:p w14:paraId="791F583F" w14:textId="77777777" w:rsidR="002F06CE" w:rsidRPr="0001127D" w:rsidRDefault="002F06CE" w:rsidP="002F06CE">
      <w:pPr>
        <w:pStyle w:val="ManualNumPar1"/>
        <w:ind w:left="851" w:firstLine="0"/>
        <w:contextualSpacing/>
        <w:rPr>
          <w:noProof/>
        </w:rPr>
      </w:pPr>
      <w:r w:rsidRPr="0001127D">
        <w:rPr>
          <w:noProof/>
        </w:rPr>
        <w:t>2.</w:t>
      </w:r>
      <w:r w:rsidRPr="0001127D">
        <w:rPr>
          <w:noProof/>
        </w:rPr>
        <w:tab/>
        <w:t>Gli Stati membri comunicano alla Commissione il testo delle disposizioni principali di diritto interno che adottano nel settore disciplinato dalla presente direttiva.</w:t>
      </w:r>
    </w:p>
    <w:p w14:paraId="42896677" w14:textId="77777777" w:rsidR="002F06CE" w:rsidRPr="0001127D" w:rsidRDefault="002F06CE" w:rsidP="002F06CE">
      <w:pPr>
        <w:pStyle w:val="Text1"/>
        <w:rPr>
          <w:noProof/>
        </w:rPr>
      </w:pPr>
    </w:p>
    <w:p w14:paraId="2C2CCD8E" w14:textId="77777777" w:rsidR="002F06CE" w:rsidRPr="0001127D" w:rsidRDefault="002F06CE" w:rsidP="002F06CE">
      <w:pPr>
        <w:pStyle w:val="Titrearticle"/>
        <w:spacing w:before="0"/>
        <w:rPr>
          <w:noProof/>
        </w:rPr>
      </w:pPr>
      <w:r w:rsidRPr="0001127D">
        <w:rPr>
          <w:noProof/>
        </w:rPr>
        <w:t xml:space="preserve">Articolo 4 </w:t>
      </w:r>
    </w:p>
    <w:p w14:paraId="4DD690C2" w14:textId="77777777" w:rsidR="002F06CE" w:rsidRPr="0001127D" w:rsidRDefault="002F06CE" w:rsidP="002F06CE">
      <w:pPr>
        <w:pStyle w:val="Articletitre"/>
        <w:rPr>
          <w:noProof/>
        </w:rPr>
      </w:pPr>
      <w:r w:rsidRPr="0001127D">
        <w:rPr>
          <w:noProof/>
        </w:rPr>
        <w:t xml:space="preserve">Relazione e riesame </w:t>
      </w:r>
    </w:p>
    <w:p w14:paraId="3B7C49F4" w14:textId="77777777" w:rsidR="002F06CE" w:rsidRPr="0001127D" w:rsidRDefault="002F06CE" w:rsidP="002F06CE">
      <w:pPr>
        <w:pStyle w:val="ManualNumPar1"/>
        <w:rPr>
          <w:noProof/>
        </w:rPr>
      </w:pPr>
      <w:r w:rsidRPr="0001127D">
        <w:rPr>
          <w:noProof/>
        </w:rPr>
        <w:t>1.</w:t>
      </w:r>
      <w:r w:rsidRPr="0001127D">
        <w:rPr>
          <w:noProof/>
        </w:rPr>
        <w:tab/>
        <w:t xml:space="preserve">Entro [OP: </w:t>
      </w:r>
      <w:r w:rsidRPr="0001127D">
        <w:rPr>
          <w:i/>
          <w:noProof/>
        </w:rPr>
        <w:t xml:space="preserve">la data corrispondente a cinque anni dopo </w:t>
      </w:r>
      <w:r w:rsidRPr="0001127D">
        <w:rPr>
          <w:noProof/>
        </w:rPr>
        <w:t xml:space="preserve">la </w:t>
      </w:r>
      <w:r w:rsidRPr="0001127D">
        <w:rPr>
          <w:i/>
          <w:noProof/>
        </w:rPr>
        <w:t>fine del periodo di recepimento della presente direttiva</w:t>
      </w:r>
      <w:r w:rsidRPr="0001127D">
        <w:rPr>
          <w:noProof/>
        </w:rPr>
        <w:t>], la Commissione effettua una valutazione della presente direttiva e presenta una relazione sulle risultanze al Parlamento europeo, al Consiglio e al Comitato economico e sociale europeo.</w:t>
      </w:r>
    </w:p>
    <w:p w14:paraId="2A2DE990" w14:textId="77777777" w:rsidR="002F06CE" w:rsidRPr="0001127D" w:rsidRDefault="002F06CE" w:rsidP="002F06CE">
      <w:pPr>
        <w:pStyle w:val="Text1"/>
        <w:contextualSpacing/>
        <w:rPr>
          <w:noProof/>
        </w:rPr>
      </w:pPr>
    </w:p>
    <w:p w14:paraId="3E65FD93" w14:textId="77777777" w:rsidR="002F06CE" w:rsidRPr="0001127D" w:rsidRDefault="002F06CE" w:rsidP="002F06CE">
      <w:pPr>
        <w:pStyle w:val="Text1"/>
        <w:tabs>
          <w:tab w:val="num" w:pos="851"/>
        </w:tabs>
        <w:ind w:left="851"/>
        <w:contextualSpacing/>
        <w:rPr>
          <w:noProof/>
        </w:rPr>
      </w:pPr>
      <w:r w:rsidRPr="0001127D">
        <w:rPr>
          <w:noProof/>
        </w:rPr>
        <w:t>Gli Stati membri forniscono alla Commissione le informazioni necessarie per predisporre tale relazione, in particolare fornendo i dati di cui al paragrafo 2.</w:t>
      </w:r>
    </w:p>
    <w:p w14:paraId="69BDB615" w14:textId="77777777" w:rsidR="002F06CE" w:rsidRPr="0001127D" w:rsidRDefault="002F06CE" w:rsidP="002F06CE">
      <w:pPr>
        <w:pStyle w:val="Text1"/>
        <w:tabs>
          <w:tab w:val="num" w:pos="851"/>
        </w:tabs>
        <w:ind w:left="851"/>
        <w:contextualSpacing/>
        <w:rPr>
          <w:noProof/>
        </w:rPr>
      </w:pPr>
    </w:p>
    <w:p w14:paraId="2DFF40FC" w14:textId="6DA72B87" w:rsidR="002F06CE" w:rsidRPr="0001127D" w:rsidRDefault="002F06CE" w:rsidP="002F06CE">
      <w:pPr>
        <w:pStyle w:val="ManualNumPar1"/>
        <w:rPr>
          <w:noProof/>
        </w:rPr>
      </w:pPr>
      <w:r w:rsidRPr="0001127D">
        <w:rPr>
          <w:noProof/>
        </w:rPr>
        <w:t>2.</w:t>
      </w:r>
      <w:r w:rsidRPr="0001127D">
        <w:rPr>
          <w:noProof/>
        </w:rPr>
        <w:tab/>
        <w:t>La relazione della Commissione valuta, tra l</w:t>
      </w:r>
      <w:r w:rsidR="00E64452" w:rsidRPr="0001127D">
        <w:rPr>
          <w:noProof/>
        </w:rPr>
        <w:t>'</w:t>
      </w:r>
      <w:r w:rsidRPr="0001127D">
        <w:rPr>
          <w:noProof/>
        </w:rPr>
        <w:t>altro, i seguenti aspetti:</w:t>
      </w:r>
    </w:p>
    <w:p w14:paraId="346CD8F7" w14:textId="023EA5BE" w:rsidR="002F06CE" w:rsidRPr="0001127D" w:rsidRDefault="002F06CE" w:rsidP="002F06CE">
      <w:pPr>
        <w:pStyle w:val="Point1"/>
        <w:rPr>
          <w:noProof/>
        </w:rPr>
      </w:pPr>
      <w:r w:rsidRPr="0001127D">
        <w:rPr>
          <w:noProof/>
        </w:rPr>
        <w:t>a)</w:t>
      </w:r>
      <w:r w:rsidRPr="0001127D">
        <w:rPr>
          <w:noProof/>
        </w:rPr>
        <w:tab/>
        <w:t>l</w:t>
      </w:r>
      <w:r w:rsidR="00E64452" w:rsidRPr="0001127D">
        <w:rPr>
          <w:noProof/>
        </w:rPr>
        <w:t>'</w:t>
      </w:r>
      <w:r w:rsidRPr="0001127D">
        <w:rPr>
          <w:noProof/>
        </w:rPr>
        <w:t>esperienza pratica dell</w:t>
      </w:r>
      <w:r w:rsidR="00E64452" w:rsidRPr="0001127D">
        <w:rPr>
          <w:noProof/>
        </w:rPr>
        <w:t>'</w:t>
      </w:r>
      <w:r w:rsidRPr="0001127D">
        <w:rPr>
          <w:noProof/>
        </w:rPr>
        <w:t xml:space="preserve">uso del certificato delle società UE; </w:t>
      </w:r>
    </w:p>
    <w:p w14:paraId="4ECC5844" w14:textId="39820D34" w:rsidR="002F06CE" w:rsidRPr="0001127D" w:rsidRDefault="002F06CE" w:rsidP="002F06CE">
      <w:pPr>
        <w:pStyle w:val="Point1"/>
        <w:rPr>
          <w:noProof/>
        </w:rPr>
      </w:pPr>
      <w:r w:rsidRPr="0001127D">
        <w:rPr>
          <w:noProof/>
        </w:rPr>
        <w:t>b)</w:t>
      </w:r>
      <w:r w:rsidRPr="0001127D">
        <w:rPr>
          <w:noProof/>
        </w:rPr>
        <w:tab/>
        <w:t>l</w:t>
      </w:r>
      <w:r w:rsidR="00E64452" w:rsidRPr="0001127D">
        <w:rPr>
          <w:noProof/>
        </w:rPr>
        <w:t>'</w:t>
      </w:r>
      <w:r w:rsidRPr="0001127D">
        <w:rPr>
          <w:noProof/>
        </w:rPr>
        <w:t>esperienza pratica dell</w:t>
      </w:r>
      <w:r w:rsidR="00E64452" w:rsidRPr="0001127D">
        <w:rPr>
          <w:noProof/>
        </w:rPr>
        <w:t>'</w:t>
      </w:r>
      <w:r w:rsidRPr="0001127D">
        <w:rPr>
          <w:noProof/>
        </w:rPr>
        <w:t>uso della procura digitale dell</w:t>
      </w:r>
      <w:r w:rsidR="00E64452" w:rsidRPr="0001127D">
        <w:rPr>
          <w:noProof/>
        </w:rPr>
        <w:t>'</w:t>
      </w:r>
      <w:r w:rsidRPr="0001127D">
        <w:rPr>
          <w:noProof/>
        </w:rPr>
        <w:t>UE;</w:t>
      </w:r>
    </w:p>
    <w:p w14:paraId="10630F0F" w14:textId="601D1BF3" w:rsidR="002F06CE" w:rsidRPr="0001127D" w:rsidRDefault="002F06CE" w:rsidP="002F06CE">
      <w:pPr>
        <w:pStyle w:val="Point1"/>
        <w:rPr>
          <w:noProof/>
        </w:rPr>
      </w:pPr>
      <w:r w:rsidRPr="0001127D">
        <w:rPr>
          <w:noProof/>
        </w:rPr>
        <w:t>c)</w:t>
      </w:r>
      <w:r w:rsidRPr="0001127D">
        <w:rPr>
          <w:noProof/>
        </w:rPr>
        <w:tab/>
        <w:t>l</w:t>
      </w:r>
      <w:r w:rsidR="00E64452" w:rsidRPr="0001127D">
        <w:rPr>
          <w:noProof/>
        </w:rPr>
        <w:t>'</w:t>
      </w:r>
      <w:r w:rsidRPr="0001127D">
        <w:rPr>
          <w:noProof/>
        </w:rPr>
        <w:t>esperienza pratica della riduzione delle formalità per le società nelle situazioni transfrontaliere.</w:t>
      </w:r>
    </w:p>
    <w:p w14:paraId="43456A92" w14:textId="77777777" w:rsidR="002F06CE" w:rsidRPr="0001127D" w:rsidRDefault="002F06CE" w:rsidP="002F06CE">
      <w:pPr>
        <w:rPr>
          <w:noProof/>
        </w:rPr>
      </w:pPr>
    </w:p>
    <w:p w14:paraId="59163EC0" w14:textId="77777777" w:rsidR="002F06CE" w:rsidRPr="0001127D" w:rsidRDefault="002F06CE" w:rsidP="002F06CE">
      <w:pPr>
        <w:pStyle w:val="ManualNumPar1"/>
        <w:rPr>
          <w:noProof/>
        </w:rPr>
      </w:pPr>
      <w:r w:rsidRPr="0001127D">
        <w:rPr>
          <w:noProof/>
        </w:rPr>
        <w:t>3.</w:t>
      </w:r>
      <w:r w:rsidRPr="0001127D">
        <w:rPr>
          <w:noProof/>
        </w:rPr>
        <w:tab/>
        <w:t xml:space="preserve">La Commissione valuta inoltre: </w:t>
      </w:r>
    </w:p>
    <w:p w14:paraId="4572322D" w14:textId="77777777" w:rsidR="002F06CE" w:rsidRPr="0001127D" w:rsidRDefault="002F06CE" w:rsidP="002F06CE">
      <w:pPr>
        <w:pStyle w:val="Point1"/>
        <w:rPr>
          <w:noProof/>
        </w:rPr>
      </w:pPr>
      <w:r w:rsidRPr="0001127D">
        <w:rPr>
          <w:noProof/>
        </w:rPr>
        <w:t>a)</w:t>
      </w:r>
      <w:r w:rsidRPr="0001127D">
        <w:rPr>
          <w:noProof/>
        </w:rPr>
        <w:tab/>
        <w:t xml:space="preserve">il potenziale di interoperabilità intersettoriale fra il sistema di interconnessione dei registri delle imprese e altri sistemi che offrono meccanismi di cooperazione fra le autorità competenti; </w:t>
      </w:r>
    </w:p>
    <w:p w14:paraId="48FBCDCD" w14:textId="423077C2" w:rsidR="002F06CE" w:rsidRPr="0001127D" w:rsidRDefault="002F06CE" w:rsidP="002F06CE">
      <w:pPr>
        <w:pStyle w:val="Point1"/>
        <w:rPr>
          <w:noProof/>
        </w:rPr>
      </w:pPr>
      <w:r w:rsidRPr="0001127D">
        <w:rPr>
          <w:noProof/>
        </w:rPr>
        <w:t>b)</w:t>
      </w:r>
      <w:r w:rsidRPr="0001127D">
        <w:rPr>
          <w:noProof/>
        </w:rPr>
        <w:tab/>
        <w:t>l</w:t>
      </w:r>
      <w:r w:rsidR="00E64452" w:rsidRPr="0001127D">
        <w:rPr>
          <w:noProof/>
        </w:rPr>
        <w:t>'</w:t>
      </w:r>
      <w:r w:rsidRPr="0001127D">
        <w:rPr>
          <w:noProof/>
        </w:rPr>
        <w:t>eventuale necessità di misure supplementari che rispondano appieno alle esigenze delle persone con disabilità per l</w:t>
      </w:r>
      <w:r w:rsidR="00E64452" w:rsidRPr="0001127D">
        <w:rPr>
          <w:noProof/>
        </w:rPr>
        <w:t>'</w:t>
      </w:r>
      <w:r w:rsidRPr="0001127D">
        <w:rPr>
          <w:noProof/>
        </w:rPr>
        <w:t>accesso alle informazioni sulle società fornite dai registri delle imprese.</w:t>
      </w:r>
    </w:p>
    <w:p w14:paraId="7F13090F" w14:textId="77777777" w:rsidR="002F06CE" w:rsidRPr="0001127D" w:rsidRDefault="002F06CE" w:rsidP="002F06CE">
      <w:pPr>
        <w:rPr>
          <w:noProof/>
        </w:rPr>
      </w:pPr>
    </w:p>
    <w:p w14:paraId="184F919E" w14:textId="77777777" w:rsidR="002F06CE" w:rsidRPr="0001127D" w:rsidRDefault="002F06CE" w:rsidP="002F06CE">
      <w:pPr>
        <w:pStyle w:val="ManualNumPar1"/>
        <w:rPr>
          <w:noProof/>
        </w:rPr>
      </w:pPr>
      <w:r w:rsidRPr="0001127D">
        <w:rPr>
          <w:noProof/>
        </w:rPr>
        <w:t>4.</w:t>
      </w:r>
      <w:r w:rsidRPr="0001127D">
        <w:rPr>
          <w:noProof/>
        </w:rPr>
        <w:tab/>
        <w:t xml:space="preserve">La relazione è accompagnata, se del caso, da una proposta di ulteriore modifica della direttiva (UE) 2017/1132. </w:t>
      </w:r>
    </w:p>
    <w:p w14:paraId="3F9215F7" w14:textId="77777777" w:rsidR="002F06CE" w:rsidRPr="0001127D" w:rsidRDefault="002F06CE" w:rsidP="002F06CE">
      <w:pPr>
        <w:pStyle w:val="Titrearticle"/>
        <w:rPr>
          <w:noProof/>
        </w:rPr>
      </w:pPr>
      <w:r w:rsidRPr="0001127D">
        <w:rPr>
          <w:noProof/>
        </w:rPr>
        <w:t xml:space="preserve">Articolo 5 </w:t>
      </w:r>
    </w:p>
    <w:p w14:paraId="62618E14" w14:textId="77777777" w:rsidR="002F06CE" w:rsidRPr="0001127D" w:rsidRDefault="002F06CE" w:rsidP="002F06CE">
      <w:pPr>
        <w:pStyle w:val="Articletitle"/>
        <w:numPr>
          <w:ilvl w:val="0"/>
          <w:numId w:val="14"/>
        </w:numPr>
        <w:rPr>
          <w:noProof/>
        </w:rPr>
      </w:pPr>
      <w:r w:rsidRPr="0001127D">
        <w:rPr>
          <w:noProof/>
        </w:rPr>
        <w:t>Entrata in vigore</w:t>
      </w:r>
    </w:p>
    <w:p w14:paraId="53947DF1" w14:textId="3AEDE3FA" w:rsidR="002F06CE" w:rsidRPr="0001127D" w:rsidRDefault="002F06CE" w:rsidP="002F06CE">
      <w:pPr>
        <w:ind w:left="851"/>
        <w:rPr>
          <w:noProof/>
        </w:rPr>
      </w:pPr>
      <w:r w:rsidRPr="0001127D">
        <w:rPr>
          <w:noProof/>
        </w:rPr>
        <w:t xml:space="preserve">La presente direttiva entra in vigore il ventesimo giorno successivo alla pubblicazione nella </w:t>
      </w:r>
      <w:r w:rsidRPr="0001127D">
        <w:rPr>
          <w:i/>
          <w:iCs/>
          <w:noProof/>
        </w:rPr>
        <w:t>Gazzetta ufficiale dell</w:t>
      </w:r>
      <w:r w:rsidR="00E64452" w:rsidRPr="0001127D">
        <w:rPr>
          <w:i/>
          <w:iCs/>
          <w:noProof/>
        </w:rPr>
        <w:t>'</w:t>
      </w:r>
      <w:r w:rsidRPr="0001127D">
        <w:rPr>
          <w:i/>
          <w:iCs/>
          <w:noProof/>
        </w:rPr>
        <w:t>Unione europea</w:t>
      </w:r>
      <w:r w:rsidRPr="0001127D">
        <w:rPr>
          <w:noProof/>
        </w:rPr>
        <w:t>.</w:t>
      </w:r>
    </w:p>
    <w:p w14:paraId="02B056E1" w14:textId="77777777" w:rsidR="002F06CE" w:rsidRPr="0001127D" w:rsidRDefault="002F06CE" w:rsidP="002F06CE">
      <w:pPr>
        <w:pStyle w:val="Titrearticle"/>
        <w:rPr>
          <w:noProof/>
        </w:rPr>
      </w:pPr>
      <w:r w:rsidRPr="0001127D">
        <w:rPr>
          <w:noProof/>
        </w:rPr>
        <w:t>Articolo 6</w:t>
      </w:r>
    </w:p>
    <w:p w14:paraId="42019E6D" w14:textId="77777777" w:rsidR="002F06CE" w:rsidRPr="0001127D" w:rsidRDefault="002F06CE" w:rsidP="002F06CE">
      <w:pPr>
        <w:pStyle w:val="Articletitle"/>
        <w:rPr>
          <w:noProof/>
        </w:rPr>
      </w:pPr>
      <w:r w:rsidRPr="0001127D">
        <w:rPr>
          <w:noProof/>
        </w:rPr>
        <w:t>Destinatari</w:t>
      </w:r>
    </w:p>
    <w:p w14:paraId="53278747" w14:textId="77777777" w:rsidR="002F06CE" w:rsidRPr="0001127D" w:rsidRDefault="002F06CE" w:rsidP="002F06CE">
      <w:pPr>
        <w:keepNext/>
        <w:keepLines/>
        <w:ind w:left="1276" w:hanging="425"/>
        <w:rPr>
          <w:noProof/>
        </w:rPr>
      </w:pPr>
      <w:r w:rsidRPr="0001127D">
        <w:rPr>
          <w:noProof/>
        </w:rPr>
        <w:t>Gli Stati membri sono destinatari della presente direttiva.</w:t>
      </w:r>
    </w:p>
    <w:p w14:paraId="2E7D8ACE" w14:textId="3EAC9718" w:rsidR="002F06CE" w:rsidRPr="0001127D" w:rsidRDefault="00AE6224" w:rsidP="00B543DA">
      <w:pPr>
        <w:pStyle w:val="Fait"/>
        <w:rPr>
          <w:noProof/>
        </w:rPr>
      </w:pPr>
      <w:r w:rsidRPr="00AE6224">
        <w:t>Fatto a Bruxelles, il</w:t>
      </w:r>
    </w:p>
    <w:p w14:paraId="2142DCC6" w14:textId="77777777" w:rsidR="002F06CE" w:rsidRPr="0001127D" w:rsidRDefault="002F06CE" w:rsidP="00B543DA">
      <w:pPr>
        <w:pStyle w:val="Institutionquisigne"/>
        <w:ind w:left="1276" w:hanging="425"/>
        <w:rPr>
          <w:noProof/>
        </w:rPr>
      </w:pPr>
      <w:r w:rsidRPr="0001127D">
        <w:rPr>
          <w:noProof/>
        </w:rPr>
        <w:t>Per il Parlamento europeo</w:t>
      </w:r>
      <w:r w:rsidRPr="0001127D">
        <w:rPr>
          <w:noProof/>
        </w:rPr>
        <w:tab/>
        <w:t>Per il Consiglio</w:t>
      </w:r>
    </w:p>
    <w:p w14:paraId="7FAF8AD2" w14:textId="1D1C6CE7" w:rsidR="00836BD4" w:rsidRPr="0001127D" w:rsidRDefault="002F06CE" w:rsidP="002F06CE">
      <w:pPr>
        <w:pStyle w:val="Personnequisigne"/>
        <w:ind w:left="1276" w:hanging="425"/>
        <w:rPr>
          <w:noProof/>
        </w:rPr>
      </w:pPr>
      <w:r w:rsidRPr="0001127D">
        <w:rPr>
          <w:noProof/>
        </w:rPr>
        <w:t>La presidente</w:t>
      </w:r>
      <w:r w:rsidRPr="0001127D">
        <w:rPr>
          <w:noProof/>
        </w:rPr>
        <w:tab/>
        <w:t>Il presidente</w:t>
      </w:r>
    </w:p>
    <w:p w14:paraId="0C6D8823" w14:textId="77777777" w:rsidR="00836BD4" w:rsidRPr="0001127D" w:rsidRDefault="00836BD4" w:rsidP="000935C8">
      <w:pPr>
        <w:ind w:left="1276" w:hanging="425"/>
        <w:rPr>
          <w:noProof/>
        </w:rPr>
        <w:sectPr w:rsidR="00836BD4" w:rsidRPr="0001127D" w:rsidSect="0091427E">
          <w:footnotePr>
            <w:numRestart w:val="eachSect"/>
          </w:footnotePr>
          <w:pgSz w:w="11907" w:h="16840" w:code="9"/>
          <w:pgMar w:top="1134" w:right="1418" w:bottom="1134" w:left="1418" w:header="709" w:footer="709" w:gutter="0"/>
          <w:cols w:space="708"/>
          <w:docGrid w:linePitch="360"/>
        </w:sectPr>
      </w:pPr>
    </w:p>
    <w:p w14:paraId="610C6547" w14:textId="77777777" w:rsidR="00836BD4" w:rsidRPr="0001127D" w:rsidRDefault="00836BD4" w:rsidP="00AB6191">
      <w:pPr>
        <w:pStyle w:val="Fichefinanciretitre"/>
        <w:keepNext/>
        <w:rPr>
          <w:noProof/>
        </w:rPr>
      </w:pPr>
      <w:bookmarkStart w:id="124" w:name="_TocB7751C055C4744A28A002AAF436526DF"/>
      <w:r w:rsidRPr="0001127D">
        <w:rPr>
          <w:noProof/>
        </w:rPr>
        <w:t>SCHEDA FINANZIARIA LEGISLATIVA</w:t>
      </w:r>
      <w:bookmarkEnd w:id="124"/>
    </w:p>
    <w:sdt>
      <w:sdtPr>
        <w:rPr>
          <w:b w:val="0"/>
          <w:noProof/>
          <w:sz w:val="24"/>
        </w:rPr>
        <w:id w:val="1507244822"/>
        <w:docPartObj>
          <w:docPartGallery w:val="Table of Contents"/>
          <w:docPartUnique/>
        </w:docPartObj>
      </w:sdtPr>
      <w:sdtEndPr>
        <w:rPr>
          <w:bCs/>
        </w:rPr>
      </w:sdtEndPr>
      <w:sdtContent>
        <w:p w14:paraId="5388C2D0" w14:textId="6CF0AD31" w:rsidR="000724A5" w:rsidRPr="0001127D" w:rsidRDefault="000724A5">
          <w:pPr>
            <w:pStyle w:val="TOCHeading"/>
            <w:rPr>
              <w:noProof/>
            </w:rPr>
          </w:pPr>
          <w:r w:rsidRPr="0001127D">
            <w:rPr>
              <w:noProof/>
            </w:rPr>
            <w:t>Indice</w:t>
          </w:r>
        </w:p>
        <w:p w14:paraId="6D2A1B2E" w14:textId="57885371" w:rsidR="009C0262" w:rsidRPr="0001127D" w:rsidRDefault="000724A5">
          <w:pPr>
            <w:pStyle w:val="TOC1"/>
            <w:rPr>
              <w:rFonts w:asciiTheme="minorHAnsi" w:eastAsiaTheme="minorEastAsia" w:hAnsiTheme="minorHAnsi" w:cstheme="minorBidi"/>
              <w:noProof/>
              <w:sz w:val="22"/>
            </w:rPr>
          </w:pPr>
          <w:r w:rsidRPr="0001127D">
            <w:rPr>
              <w:noProof/>
            </w:rPr>
            <w:fldChar w:fldCharType="begin"/>
          </w:r>
          <w:r w:rsidRPr="0001127D">
            <w:rPr>
              <w:noProof/>
            </w:rPr>
            <w:instrText xml:space="preserve"> TOC \o "1-3" \h \z \u </w:instrText>
          </w:r>
          <w:r w:rsidRPr="0001127D">
            <w:rPr>
              <w:noProof/>
            </w:rPr>
            <w:fldChar w:fldCharType="separate"/>
          </w:r>
          <w:hyperlink w:anchor="_Toc132359599" w:history="1">
            <w:r w:rsidR="009C0262" w:rsidRPr="0001127D">
              <w:rPr>
                <w:rStyle w:val="Hyperlink"/>
                <w:noProof/>
              </w:rPr>
              <w:t>1.</w:t>
            </w:r>
            <w:r w:rsidR="009C0262" w:rsidRPr="0001127D">
              <w:rPr>
                <w:rFonts w:asciiTheme="minorHAnsi" w:eastAsiaTheme="minorEastAsia" w:hAnsiTheme="minorHAnsi" w:cstheme="minorBidi"/>
                <w:noProof/>
                <w:sz w:val="22"/>
              </w:rPr>
              <w:tab/>
            </w:r>
            <w:r w:rsidR="009C0262" w:rsidRPr="0001127D">
              <w:rPr>
                <w:rStyle w:val="Hyperlink"/>
                <w:noProof/>
              </w:rPr>
              <w:t>CONTESTO DELLA PROPOSTA/INIZIATIVA</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_Toc132359599 \h </w:instrText>
            </w:r>
            <w:r w:rsidR="009C0262" w:rsidRPr="0001127D">
              <w:rPr>
                <w:noProof/>
                <w:webHidden/>
              </w:rPr>
            </w:r>
            <w:r w:rsidR="009C0262" w:rsidRPr="0001127D">
              <w:rPr>
                <w:noProof/>
                <w:webHidden/>
              </w:rPr>
              <w:fldChar w:fldCharType="separate"/>
            </w:r>
            <w:r w:rsidR="0001127D">
              <w:rPr>
                <w:noProof/>
                <w:webHidden/>
              </w:rPr>
              <w:t>3</w:t>
            </w:r>
            <w:r w:rsidR="009C0262" w:rsidRPr="0001127D">
              <w:rPr>
                <w:noProof/>
                <w:webHidden/>
              </w:rPr>
              <w:fldChar w:fldCharType="end"/>
            </w:r>
          </w:hyperlink>
        </w:p>
        <w:p w14:paraId="0361AB60" w14:textId="79937520" w:rsidR="009C0262" w:rsidRPr="0001127D" w:rsidRDefault="00B94930">
          <w:pPr>
            <w:pStyle w:val="TOC2"/>
            <w:rPr>
              <w:rFonts w:asciiTheme="minorHAnsi" w:eastAsiaTheme="minorEastAsia" w:hAnsiTheme="minorHAnsi" w:cstheme="minorBidi"/>
              <w:noProof/>
              <w:sz w:val="22"/>
            </w:rPr>
          </w:pPr>
          <w:hyperlink w:anchor="_Toc132359600" w:history="1">
            <w:r w:rsidR="009C0262" w:rsidRPr="0001127D">
              <w:rPr>
                <w:rStyle w:val="Hyperlink"/>
                <w:noProof/>
              </w:rPr>
              <w:t>1.1.</w:t>
            </w:r>
            <w:r w:rsidR="009C0262" w:rsidRPr="0001127D">
              <w:rPr>
                <w:rFonts w:asciiTheme="minorHAnsi" w:eastAsiaTheme="minorEastAsia" w:hAnsiTheme="minorHAnsi" w:cstheme="minorBidi"/>
                <w:noProof/>
                <w:sz w:val="22"/>
              </w:rPr>
              <w:tab/>
            </w:r>
            <w:r w:rsidR="009C0262" w:rsidRPr="0001127D">
              <w:rPr>
                <w:rStyle w:val="Hyperlink"/>
                <w:noProof/>
              </w:rPr>
              <w:t>Titolo della proposta/iniziativa</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_Toc132359600 \h </w:instrText>
            </w:r>
            <w:r w:rsidR="009C0262" w:rsidRPr="0001127D">
              <w:rPr>
                <w:noProof/>
                <w:webHidden/>
              </w:rPr>
            </w:r>
            <w:r w:rsidR="009C0262" w:rsidRPr="0001127D">
              <w:rPr>
                <w:noProof/>
                <w:webHidden/>
              </w:rPr>
              <w:fldChar w:fldCharType="separate"/>
            </w:r>
            <w:r w:rsidR="0001127D">
              <w:rPr>
                <w:noProof/>
                <w:webHidden/>
              </w:rPr>
              <w:t>3</w:t>
            </w:r>
            <w:r w:rsidR="009C0262" w:rsidRPr="0001127D">
              <w:rPr>
                <w:noProof/>
                <w:webHidden/>
              </w:rPr>
              <w:fldChar w:fldCharType="end"/>
            </w:r>
          </w:hyperlink>
        </w:p>
        <w:p w14:paraId="54F8387F" w14:textId="309CE1F8" w:rsidR="009C0262" w:rsidRPr="0001127D" w:rsidRDefault="00B94930">
          <w:pPr>
            <w:pStyle w:val="TOC2"/>
            <w:rPr>
              <w:rFonts w:asciiTheme="minorHAnsi" w:eastAsiaTheme="minorEastAsia" w:hAnsiTheme="minorHAnsi" w:cstheme="minorBidi"/>
              <w:noProof/>
              <w:sz w:val="22"/>
            </w:rPr>
          </w:pPr>
          <w:hyperlink w:anchor="_Toc132359601" w:history="1">
            <w:r w:rsidR="009C0262" w:rsidRPr="0001127D">
              <w:rPr>
                <w:rStyle w:val="Hyperlink"/>
                <w:noProof/>
              </w:rPr>
              <w:t>1.2.</w:t>
            </w:r>
            <w:r w:rsidR="009C0262" w:rsidRPr="0001127D">
              <w:rPr>
                <w:rFonts w:asciiTheme="minorHAnsi" w:eastAsiaTheme="minorEastAsia" w:hAnsiTheme="minorHAnsi" w:cstheme="minorBidi"/>
                <w:noProof/>
                <w:sz w:val="22"/>
              </w:rPr>
              <w:tab/>
            </w:r>
            <w:r w:rsidR="009C0262" w:rsidRPr="0001127D">
              <w:rPr>
                <w:rStyle w:val="Hyperlink"/>
                <w:noProof/>
              </w:rPr>
              <w:t>Settore/settori interessati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_Toc132359601 \h </w:instrText>
            </w:r>
            <w:r w:rsidR="009C0262" w:rsidRPr="0001127D">
              <w:rPr>
                <w:noProof/>
                <w:webHidden/>
              </w:rPr>
            </w:r>
            <w:r w:rsidR="009C0262" w:rsidRPr="0001127D">
              <w:rPr>
                <w:noProof/>
                <w:webHidden/>
              </w:rPr>
              <w:fldChar w:fldCharType="separate"/>
            </w:r>
            <w:r w:rsidR="0001127D">
              <w:rPr>
                <w:noProof/>
                <w:webHidden/>
              </w:rPr>
              <w:t>3</w:t>
            </w:r>
            <w:r w:rsidR="009C0262" w:rsidRPr="0001127D">
              <w:rPr>
                <w:noProof/>
                <w:webHidden/>
              </w:rPr>
              <w:fldChar w:fldCharType="end"/>
            </w:r>
          </w:hyperlink>
        </w:p>
        <w:p w14:paraId="519C49EF" w14:textId="44A187CC" w:rsidR="009C0262" w:rsidRPr="0001127D" w:rsidRDefault="00B94930">
          <w:pPr>
            <w:pStyle w:val="TOC2"/>
            <w:rPr>
              <w:rFonts w:asciiTheme="minorHAnsi" w:eastAsiaTheme="minorEastAsia" w:hAnsiTheme="minorHAnsi" w:cstheme="minorBidi"/>
              <w:noProof/>
              <w:sz w:val="22"/>
            </w:rPr>
          </w:pPr>
          <w:hyperlink w:anchor="_Toc132359602" w:history="1">
            <w:r w:rsidR="009C0262" w:rsidRPr="0001127D">
              <w:rPr>
                <w:rStyle w:val="Hyperlink"/>
                <w:noProof/>
              </w:rPr>
              <w:t>1.3.</w:t>
            </w:r>
            <w:r w:rsidR="009C0262" w:rsidRPr="0001127D">
              <w:rPr>
                <w:rFonts w:asciiTheme="minorHAnsi" w:eastAsiaTheme="minorEastAsia" w:hAnsiTheme="minorHAnsi" w:cstheme="minorBidi"/>
                <w:noProof/>
                <w:sz w:val="22"/>
              </w:rPr>
              <w:tab/>
            </w:r>
            <w:r w:rsidR="009C0262" w:rsidRPr="0001127D">
              <w:rPr>
                <w:rStyle w:val="Hyperlink"/>
                <w:noProof/>
              </w:rPr>
              <w:t>La proposta/iniziativa riguarda:</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_Toc132359602 \h </w:instrText>
            </w:r>
            <w:r w:rsidR="009C0262" w:rsidRPr="0001127D">
              <w:rPr>
                <w:noProof/>
                <w:webHidden/>
              </w:rPr>
            </w:r>
            <w:r w:rsidR="009C0262" w:rsidRPr="0001127D">
              <w:rPr>
                <w:noProof/>
                <w:webHidden/>
              </w:rPr>
              <w:fldChar w:fldCharType="separate"/>
            </w:r>
            <w:r w:rsidR="0001127D">
              <w:rPr>
                <w:noProof/>
                <w:webHidden/>
              </w:rPr>
              <w:t>3</w:t>
            </w:r>
            <w:r w:rsidR="009C0262" w:rsidRPr="0001127D">
              <w:rPr>
                <w:noProof/>
                <w:webHidden/>
              </w:rPr>
              <w:fldChar w:fldCharType="end"/>
            </w:r>
          </w:hyperlink>
        </w:p>
        <w:p w14:paraId="73CD41F1" w14:textId="4A98DFF4" w:rsidR="009C0262" w:rsidRPr="0001127D" w:rsidRDefault="00B94930">
          <w:pPr>
            <w:pStyle w:val="TOC2"/>
            <w:rPr>
              <w:rFonts w:asciiTheme="minorHAnsi" w:eastAsiaTheme="minorEastAsia" w:hAnsiTheme="minorHAnsi" w:cstheme="minorBidi"/>
              <w:noProof/>
              <w:sz w:val="22"/>
            </w:rPr>
          </w:pPr>
          <w:hyperlink w:anchor="_Toc132359603" w:history="1">
            <w:r w:rsidR="009C0262" w:rsidRPr="0001127D">
              <w:rPr>
                <w:rStyle w:val="Hyperlink"/>
                <w:noProof/>
              </w:rPr>
              <w:t>1.4.</w:t>
            </w:r>
            <w:r w:rsidR="009C0262" w:rsidRPr="0001127D">
              <w:rPr>
                <w:rFonts w:asciiTheme="minorHAnsi" w:eastAsiaTheme="minorEastAsia" w:hAnsiTheme="minorHAnsi" w:cstheme="minorBidi"/>
                <w:noProof/>
                <w:sz w:val="22"/>
              </w:rPr>
              <w:tab/>
            </w:r>
            <w:r w:rsidR="009C0262" w:rsidRPr="0001127D">
              <w:rPr>
                <w:rStyle w:val="Hyperlink"/>
                <w:noProof/>
              </w:rPr>
              <w:t>Obiettivi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_Toc132359603 \h </w:instrText>
            </w:r>
            <w:r w:rsidR="009C0262" w:rsidRPr="0001127D">
              <w:rPr>
                <w:noProof/>
                <w:webHidden/>
              </w:rPr>
            </w:r>
            <w:r w:rsidR="009C0262" w:rsidRPr="0001127D">
              <w:rPr>
                <w:noProof/>
                <w:webHidden/>
              </w:rPr>
              <w:fldChar w:fldCharType="separate"/>
            </w:r>
            <w:r w:rsidR="0001127D">
              <w:rPr>
                <w:noProof/>
                <w:webHidden/>
              </w:rPr>
              <w:t>3</w:t>
            </w:r>
            <w:r w:rsidR="009C0262" w:rsidRPr="0001127D">
              <w:rPr>
                <w:noProof/>
                <w:webHidden/>
              </w:rPr>
              <w:fldChar w:fldCharType="end"/>
            </w:r>
          </w:hyperlink>
        </w:p>
        <w:p w14:paraId="2467BEE0" w14:textId="23C05F1B" w:rsidR="009C0262" w:rsidRPr="0001127D" w:rsidRDefault="00B94930">
          <w:pPr>
            <w:pStyle w:val="TOC3"/>
            <w:rPr>
              <w:rFonts w:asciiTheme="minorHAnsi" w:eastAsiaTheme="minorEastAsia" w:hAnsiTheme="minorHAnsi" w:cstheme="minorBidi"/>
              <w:noProof/>
              <w:sz w:val="22"/>
            </w:rPr>
          </w:pPr>
          <w:hyperlink w:anchor="_Toc132359604" w:history="1">
            <w:r w:rsidR="009C0262" w:rsidRPr="0001127D">
              <w:rPr>
                <w:rStyle w:val="Hyperlink"/>
                <w:noProof/>
              </w:rPr>
              <w:t>1.4.1.</w:t>
            </w:r>
            <w:r w:rsidR="009C0262" w:rsidRPr="0001127D">
              <w:rPr>
                <w:rFonts w:asciiTheme="minorHAnsi" w:eastAsiaTheme="minorEastAsia" w:hAnsiTheme="minorHAnsi" w:cstheme="minorBidi"/>
                <w:noProof/>
                <w:sz w:val="22"/>
              </w:rPr>
              <w:tab/>
            </w:r>
            <w:r w:rsidR="009C0262" w:rsidRPr="0001127D">
              <w:rPr>
                <w:rStyle w:val="Hyperlink"/>
                <w:noProof/>
              </w:rPr>
              <w:t>Obiettivi generali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_Toc132359604 \h </w:instrText>
            </w:r>
            <w:r w:rsidR="009C0262" w:rsidRPr="0001127D">
              <w:rPr>
                <w:noProof/>
                <w:webHidden/>
              </w:rPr>
            </w:r>
            <w:r w:rsidR="009C0262" w:rsidRPr="0001127D">
              <w:rPr>
                <w:noProof/>
                <w:webHidden/>
              </w:rPr>
              <w:fldChar w:fldCharType="separate"/>
            </w:r>
            <w:r w:rsidR="0001127D">
              <w:rPr>
                <w:noProof/>
                <w:webHidden/>
              </w:rPr>
              <w:t>3</w:t>
            </w:r>
            <w:r w:rsidR="009C0262" w:rsidRPr="0001127D">
              <w:rPr>
                <w:noProof/>
                <w:webHidden/>
              </w:rPr>
              <w:fldChar w:fldCharType="end"/>
            </w:r>
          </w:hyperlink>
        </w:p>
        <w:p w14:paraId="3B1268D3" w14:textId="66C01029" w:rsidR="009C0262" w:rsidRPr="0001127D" w:rsidRDefault="00B94930">
          <w:pPr>
            <w:pStyle w:val="TOC3"/>
            <w:rPr>
              <w:rFonts w:asciiTheme="minorHAnsi" w:eastAsiaTheme="minorEastAsia" w:hAnsiTheme="minorHAnsi" w:cstheme="minorBidi"/>
              <w:noProof/>
              <w:sz w:val="22"/>
            </w:rPr>
          </w:pPr>
          <w:hyperlink w:anchor="_Toc132359605" w:history="1">
            <w:r w:rsidR="009C0262" w:rsidRPr="0001127D">
              <w:rPr>
                <w:rStyle w:val="Hyperlink"/>
                <w:noProof/>
              </w:rPr>
              <w:t>1.4.2.</w:t>
            </w:r>
            <w:r w:rsidR="009C0262" w:rsidRPr="0001127D">
              <w:rPr>
                <w:rFonts w:asciiTheme="minorHAnsi" w:eastAsiaTheme="minorEastAsia" w:hAnsiTheme="minorHAnsi" w:cstheme="minorBidi"/>
                <w:noProof/>
                <w:sz w:val="22"/>
              </w:rPr>
              <w:tab/>
            </w:r>
            <w:r w:rsidR="009C0262" w:rsidRPr="0001127D">
              <w:rPr>
                <w:rStyle w:val="Hyperlink"/>
                <w:noProof/>
              </w:rPr>
              <w:t>Obiettivi specifici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_Toc132359605 \h </w:instrText>
            </w:r>
            <w:r w:rsidR="009C0262" w:rsidRPr="0001127D">
              <w:rPr>
                <w:noProof/>
                <w:webHidden/>
              </w:rPr>
            </w:r>
            <w:r w:rsidR="009C0262" w:rsidRPr="0001127D">
              <w:rPr>
                <w:noProof/>
                <w:webHidden/>
              </w:rPr>
              <w:fldChar w:fldCharType="separate"/>
            </w:r>
            <w:r w:rsidR="0001127D">
              <w:rPr>
                <w:noProof/>
                <w:webHidden/>
              </w:rPr>
              <w:t>4</w:t>
            </w:r>
            <w:r w:rsidR="009C0262" w:rsidRPr="0001127D">
              <w:rPr>
                <w:noProof/>
                <w:webHidden/>
              </w:rPr>
              <w:fldChar w:fldCharType="end"/>
            </w:r>
          </w:hyperlink>
        </w:p>
        <w:p w14:paraId="4C4C2B23" w14:textId="311CB1E2" w:rsidR="009C0262" w:rsidRPr="0001127D" w:rsidRDefault="00B94930">
          <w:pPr>
            <w:pStyle w:val="TOC3"/>
            <w:rPr>
              <w:rFonts w:asciiTheme="minorHAnsi" w:eastAsiaTheme="minorEastAsia" w:hAnsiTheme="minorHAnsi" w:cstheme="minorBidi"/>
              <w:noProof/>
              <w:sz w:val="22"/>
            </w:rPr>
          </w:pPr>
          <w:hyperlink w:anchor="_Toc132359606" w:history="1">
            <w:r w:rsidR="009C0262" w:rsidRPr="0001127D">
              <w:rPr>
                <w:rStyle w:val="Hyperlink"/>
                <w:noProof/>
              </w:rPr>
              <w:t>1.4.3.</w:t>
            </w:r>
            <w:r w:rsidR="009C0262" w:rsidRPr="0001127D">
              <w:rPr>
                <w:rFonts w:asciiTheme="minorHAnsi" w:eastAsiaTheme="minorEastAsia" w:hAnsiTheme="minorHAnsi" w:cstheme="minorBidi"/>
                <w:noProof/>
                <w:sz w:val="22"/>
              </w:rPr>
              <w:tab/>
            </w:r>
            <w:r w:rsidR="009C0262" w:rsidRPr="0001127D">
              <w:rPr>
                <w:rStyle w:val="Hyperlink"/>
                <w:noProof/>
              </w:rPr>
              <w:t>Risultati e incidenza previsti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_Toc132359606 \h </w:instrText>
            </w:r>
            <w:r w:rsidR="009C0262" w:rsidRPr="0001127D">
              <w:rPr>
                <w:noProof/>
                <w:webHidden/>
              </w:rPr>
            </w:r>
            <w:r w:rsidR="009C0262" w:rsidRPr="0001127D">
              <w:rPr>
                <w:noProof/>
                <w:webHidden/>
              </w:rPr>
              <w:fldChar w:fldCharType="separate"/>
            </w:r>
            <w:r w:rsidR="0001127D">
              <w:rPr>
                <w:noProof/>
                <w:webHidden/>
              </w:rPr>
              <w:t>4</w:t>
            </w:r>
            <w:r w:rsidR="009C0262" w:rsidRPr="0001127D">
              <w:rPr>
                <w:noProof/>
                <w:webHidden/>
              </w:rPr>
              <w:fldChar w:fldCharType="end"/>
            </w:r>
          </w:hyperlink>
        </w:p>
        <w:p w14:paraId="211FB84E" w14:textId="38171CC2" w:rsidR="009C0262" w:rsidRPr="0001127D" w:rsidRDefault="00B94930">
          <w:pPr>
            <w:pStyle w:val="TOC3"/>
            <w:rPr>
              <w:rFonts w:asciiTheme="minorHAnsi" w:eastAsiaTheme="minorEastAsia" w:hAnsiTheme="minorHAnsi" w:cstheme="minorBidi"/>
              <w:noProof/>
              <w:sz w:val="22"/>
            </w:rPr>
          </w:pPr>
          <w:hyperlink w:anchor="_Toc132359607" w:history="1">
            <w:r w:rsidR="009C0262" w:rsidRPr="0001127D">
              <w:rPr>
                <w:rStyle w:val="Hyperlink"/>
                <w:noProof/>
              </w:rPr>
              <w:t>1.4.4.</w:t>
            </w:r>
            <w:r w:rsidR="009C0262" w:rsidRPr="0001127D">
              <w:rPr>
                <w:rFonts w:asciiTheme="minorHAnsi" w:eastAsiaTheme="minorEastAsia" w:hAnsiTheme="minorHAnsi" w:cstheme="minorBidi"/>
                <w:noProof/>
                <w:sz w:val="22"/>
              </w:rPr>
              <w:tab/>
            </w:r>
            <w:r w:rsidR="009C0262" w:rsidRPr="0001127D">
              <w:rPr>
                <w:rStyle w:val="Hyperlink"/>
                <w:noProof/>
              </w:rPr>
              <w:t>Indicatori di prestazione</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_Toc132359607 \h </w:instrText>
            </w:r>
            <w:r w:rsidR="009C0262" w:rsidRPr="0001127D">
              <w:rPr>
                <w:noProof/>
                <w:webHidden/>
              </w:rPr>
            </w:r>
            <w:r w:rsidR="009C0262" w:rsidRPr="0001127D">
              <w:rPr>
                <w:noProof/>
                <w:webHidden/>
              </w:rPr>
              <w:fldChar w:fldCharType="separate"/>
            </w:r>
            <w:r w:rsidR="0001127D">
              <w:rPr>
                <w:noProof/>
                <w:webHidden/>
              </w:rPr>
              <w:t>5</w:t>
            </w:r>
            <w:r w:rsidR="009C0262" w:rsidRPr="0001127D">
              <w:rPr>
                <w:noProof/>
                <w:webHidden/>
              </w:rPr>
              <w:fldChar w:fldCharType="end"/>
            </w:r>
          </w:hyperlink>
        </w:p>
        <w:p w14:paraId="58EE52F7" w14:textId="2DF94672" w:rsidR="009C0262" w:rsidRPr="0001127D" w:rsidRDefault="00B94930">
          <w:pPr>
            <w:pStyle w:val="TOC2"/>
            <w:rPr>
              <w:rFonts w:asciiTheme="minorHAnsi" w:eastAsiaTheme="minorEastAsia" w:hAnsiTheme="minorHAnsi" w:cstheme="minorBidi"/>
              <w:noProof/>
              <w:sz w:val="22"/>
            </w:rPr>
          </w:pPr>
          <w:hyperlink w:anchor="_Toc132359608" w:history="1">
            <w:r w:rsidR="009C0262" w:rsidRPr="0001127D">
              <w:rPr>
                <w:rStyle w:val="Hyperlink"/>
                <w:noProof/>
              </w:rPr>
              <w:t>1.5.</w:t>
            </w:r>
            <w:r w:rsidR="009C0262" w:rsidRPr="0001127D">
              <w:rPr>
                <w:rFonts w:asciiTheme="minorHAnsi" w:eastAsiaTheme="minorEastAsia" w:hAnsiTheme="minorHAnsi" w:cstheme="minorBidi"/>
                <w:noProof/>
                <w:sz w:val="22"/>
              </w:rPr>
              <w:tab/>
            </w:r>
            <w:r w:rsidR="009C0262" w:rsidRPr="0001127D">
              <w:rPr>
                <w:rStyle w:val="Hyperlink"/>
                <w:noProof/>
              </w:rPr>
              <w:t>Motivazione della proposta/iniziativa</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_Toc132359608 \h </w:instrText>
            </w:r>
            <w:r w:rsidR="009C0262" w:rsidRPr="0001127D">
              <w:rPr>
                <w:noProof/>
                <w:webHidden/>
              </w:rPr>
            </w:r>
            <w:r w:rsidR="009C0262" w:rsidRPr="0001127D">
              <w:rPr>
                <w:noProof/>
                <w:webHidden/>
              </w:rPr>
              <w:fldChar w:fldCharType="separate"/>
            </w:r>
            <w:r w:rsidR="0001127D">
              <w:rPr>
                <w:noProof/>
                <w:webHidden/>
              </w:rPr>
              <w:t>6</w:t>
            </w:r>
            <w:r w:rsidR="009C0262" w:rsidRPr="0001127D">
              <w:rPr>
                <w:noProof/>
                <w:webHidden/>
              </w:rPr>
              <w:fldChar w:fldCharType="end"/>
            </w:r>
          </w:hyperlink>
        </w:p>
        <w:p w14:paraId="49F1A446" w14:textId="42159571" w:rsidR="009C0262" w:rsidRPr="0001127D" w:rsidRDefault="00B94930">
          <w:pPr>
            <w:pStyle w:val="TOC3"/>
            <w:rPr>
              <w:rFonts w:asciiTheme="minorHAnsi" w:eastAsiaTheme="minorEastAsia" w:hAnsiTheme="minorHAnsi" w:cstheme="minorBidi"/>
              <w:noProof/>
              <w:sz w:val="22"/>
            </w:rPr>
          </w:pPr>
          <w:hyperlink w:anchor="_Toc132359609" w:history="1">
            <w:r w:rsidR="009C0262" w:rsidRPr="0001127D">
              <w:rPr>
                <w:rStyle w:val="Hyperlink"/>
                <w:noProof/>
              </w:rPr>
              <w:t>1.5.1.</w:t>
            </w:r>
            <w:r w:rsidR="009C0262" w:rsidRPr="0001127D">
              <w:rPr>
                <w:rFonts w:asciiTheme="minorHAnsi" w:eastAsiaTheme="minorEastAsia" w:hAnsiTheme="minorHAnsi" w:cstheme="minorBidi"/>
                <w:noProof/>
                <w:sz w:val="22"/>
              </w:rPr>
              <w:tab/>
            </w:r>
            <w:r w:rsidR="009C0262" w:rsidRPr="0001127D">
              <w:rPr>
                <w:rStyle w:val="Hyperlink"/>
                <w:noProof/>
              </w:rPr>
              <w:t xml:space="preserve">Necessità nel breve e lungo termine, compreso un calendario dettagliato per fasi </w:t>
            </w:r>
            <w:r w:rsidR="009C0262" w:rsidRPr="0001127D">
              <w:rPr>
                <w:rStyle w:val="Hyperlink"/>
                <w:noProof/>
              </w:rPr>
              <w:br/>
              <w:t>di attuazione dell'iniziativa</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_Toc132359609 \h </w:instrText>
            </w:r>
            <w:r w:rsidR="009C0262" w:rsidRPr="0001127D">
              <w:rPr>
                <w:noProof/>
                <w:webHidden/>
              </w:rPr>
            </w:r>
            <w:r w:rsidR="009C0262" w:rsidRPr="0001127D">
              <w:rPr>
                <w:noProof/>
                <w:webHidden/>
              </w:rPr>
              <w:fldChar w:fldCharType="separate"/>
            </w:r>
            <w:r w:rsidR="0001127D">
              <w:rPr>
                <w:noProof/>
                <w:webHidden/>
              </w:rPr>
              <w:t>6</w:t>
            </w:r>
            <w:r w:rsidR="009C0262" w:rsidRPr="0001127D">
              <w:rPr>
                <w:noProof/>
                <w:webHidden/>
              </w:rPr>
              <w:fldChar w:fldCharType="end"/>
            </w:r>
          </w:hyperlink>
        </w:p>
        <w:p w14:paraId="5637E366" w14:textId="5B7BBA54" w:rsidR="009C0262" w:rsidRPr="0001127D" w:rsidRDefault="00B94930">
          <w:pPr>
            <w:pStyle w:val="TOC3"/>
            <w:rPr>
              <w:rFonts w:asciiTheme="minorHAnsi" w:eastAsiaTheme="minorEastAsia" w:hAnsiTheme="minorHAnsi" w:cstheme="minorBidi"/>
              <w:noProof/>
              <w:sz w:val="22"/>
            </w:rPr>
          </w:pPr>
          <w:hyperlink w:anchor="_Toc132359610" w:history="1">
            <w:r w:rsidR="009C0262" w:rsidRPr="0001127D">
              <w:rPr>
                <w:rStyle w:val="Hyperlink"/>
                <w:noProof/>
              </w:rPr>
              <w:t>1.5.2.</w:t>
            </w:r>
            <w:r w:rsidR="009C0262" w:rsidRPr="0001127D">
              <w:rPr>
                <w:rFonts w:asciiTheme="minorHAnsi" w:eastAsiaTheme="minorEastAsia" w:hAnsiTheme="minorHAnsi" w:cstheme="minorBidi"/>
                <w:noProof/>
                <w:sz w:val="22"/>
              </w:rPr>
              <w:tab/>
            </w:r>
            <w:r w:rsidR="009C0262" w:rsidRPr="0001127D">
              <w:rPr>
                <w:rStyle w:val="Hyperlink"/>
                <w:noProof/>
              </w:rPr>
              <w:t>Valore aggiunto dell'intervento dell'Unione</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_Toc132359610 \h </w:instrText>
            </w:r>
            <w:r w:rsidR="009C0262" w:rsidRPr="0001127D">
              <w:rPr>
                <w:noProof/>
                <w:webHidden/>
              </w:rPr>
            </w:r>
            <w:r w:rsidR="009C0262" w:rsidRPr="0001127D">
              <w:rPr>
                <w:noProof/>
                <w:webHidden/>
              </w:rPr>
              <w:fldChar w:fldCharType="separate"/>
            </w:r>
            <w:r w:rsidR="0001127D">
              <w:rPr>
                <w:noProof/>
                <w:webHidden/>
              </w:rPr>
              <w:t>6</w:t>
            </w:r>
            <w:r w:rsidR="009C0262" w:rsidRPr="0001127D">
              <w:rPr>
                <w:noProof/>
                <w:webHidden/>
              </w:rPr>
              <w:fldChar w:fldCharType="end"/>
            </w:r>
          </w:hyperlink>
        </w:p>
        <w:p w14:paraId="391BB551" w14:textId="2FF5C620" w:rsidR="009C0262" w:rsidRPr="0001127D" w:rsidRDefault="00B94930">
          <w:pPr>
            <w:pStyle w:val="TOC3"/>
            <w:rPr>
              <w:rFonts w:asciiTheme="minorHAnsi" w:eastAsiaTheme="minorEastAsia" w:hAnsiTheme="minorHAnsi" w:cstheme="minorBidi"/>
              <w:noProof/>
              <w:sz w:val="22"/>
            </w:rPr>
          </w:pPr>
          <w:hyperlink w:anchor="_Toc132359611" w:history="1">
            <w:r w:rsidR="009C0262" w:rsidRPr="0001127D">
              <w:rPr>
                <w:rStyle w:val="Hyperlink"/>
                <w:noProof/>
              </w:rPr>
              <w:t>1.5.3.</w:t>
            </w:r>
            <w:r w:rsidR="009C0262" w:rsidRPr="0001127D">
              <w:rPr>
                <w:rFonts w:asciiTheme="minorHAnsi" w:eastAsiaTheme="minorEastAsia" w:hAnsiTheme="minorHAnsi" w:cstheme="minorBidi"/>
                <w:noProof/>
                <w:sz w:val="22"/>
              </w:rPr>
              <w:tab/>
            </w:r>
            <w:r w:rsidR="009C0262" w:rsidRPr="0001127D">
              <w:rPr>
                <w:rStyle w:val="Hyperlink"/>
                <w:noProof/>
              </w:rPr>
              <w:t>Insegnamenti tratti da esperienze analoghe</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_Toc132359611 \h </w:instrText>
            </w:r>
            <w:r w:rsidR="009C0262" w:rsidRPr="0001127D">
              <w:rPr>
                <w:noProof/>
                <w:webHidden/>
              </w:rPr>
            </w:r>
            <w:r w:rsidR="009C0262" w:rsidRPr="0001127D">
              <w:rPr>
                <w:noProof/>
                <w:webHidden/>
              </w:rPr>
              <w:fldChar w:fldCharType="separate"/>
            </w:r>
            <w:r w:rsidR="0001127D">
              <w:rPr>
                <w:noProof/>
                <w:webHidden/>
              </w:rPr>
              <w:t>7</w:t>
            </w:r>
            <w:r w:rsidR="009C0262" w:rsidRPr="0001127D">
              <w:rPr>
                <w:noProof/>
                <w:webHidden/>
              </w:rPr>
              <w:fldChar w:fldCharType="end"/>
            </w:r>
          </w:hyperlink>
        </w:p>
        <w:p w14:paraId="7707C887" w14:textId="5FE7BF0B" w:rsidR="009C0262" w:rsidRPr="0001127D" w:rsidRDefault="00B94930">
          <w:pPr>
            <w:pStyle w:val="TOC3"/>
            <w:rPr>
              <w:rFonts w:asciiTheme="minorHAnsi" w:eastAsiaTheme="minorEastAsia" w:hAnsiTheme="minorHAnsi" w:cstheme="minorBidi"/>
              <w:noProof/>
              <w:sz w:val="22"/>
            </w:rPr>
          </w:pPr>
          <w:hyperlink w:anchor="_Toc132359612" w:history="1">
            <w:r w:rsidR="009C0262" w:rsidRPr="0001127D">
              <w:rPr>
                <w:rStyle w:val="Hyperlink"/>
                <w:noProof/>
              </w:rPr>
              <w:t>1.5.4.</w:t>
            </w:r>
            <w:r w:rsidR="009C0262" w:rsidRPr="0001127D">
              <w:rPr>
                <w:rFonts w:asciiTheme="minorHAnsi" w:eastAsiaTheme="minorEastAsia" w:hAnsiTheme="minorHAnsi" w:cstheme="minorBidi"/>
                <w:noProof/>
                <w:sz w:val="22"/>
              </w:rPr>
              <w:tab/>
            </w:r>
            <w:r w:rsidR="009C0262" w:rsidRPr="0001127D">
              <w:rPr>
                <w:rStyle w:val="Hyperlink"/>
                <w:noProof/>
              </w:rPr>
              <w:t xml:space="preserve">Compatibilità con il quadro finanziario pluriennale ed eventuali sinergie </w:t>
            </w:r>
            <w:r w:rsidR="009C0262" w:rsidRPr="0001127D">
              <w:rPr>
                <w:rStyle w:val="Hyperlink"/>
                <w:noProof/>
              </w:rPr>
              <w:br/>
              <w:t>con altri strumenti pertinenti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_Toc132359612 \h </w:instrText>
            </w:r>
            <w:r w:rsidR="009C0262" w:rsidRPr="0001127D">
              <w:rPr>
                <w:noProof/>
                <w:webHidden/>
              </w:rPr>
            </w:r>
            <w:r w:rsidR="009C0262" w:rsidRPr="0001127D">
              <w:rPr>
                <w:noProof/>
                <w:webHidden/>
              </w:rPr>
              <w:fldChar w:fldCharType="separate"/>
            </w:r>
            <w:r w:rsidR="0001127D">
              <w:rPr>
                <w:noProof/>
                <w:webHidden/>
              </w:rPr>
              <w:t>7</w:t>
            </w:r>
            <w:r w:rsidR="009C0262" w:rsidRPr="0001127D">
              <w:rPr>
                <w:noProof/>
                <w:webHidden/>
              </w:rPr>
              <w:fldChar w:fldCharType="end"/>
            </w:r>
          </w:hyperlink>
        </w:p>
        <w:p w14:paraId="00A4D6A9" w14:textId="00E91EE1" w:rsidR="009C0262" w:rsidRPr="0001127D" w:rsidRDefault="00B94930">
          <w:pPr>
            <w:pStyle w:val="TOC3"/>
            <w:rPr>
              <w:rFonts w:asciiTheme="minorHAnsi" w:eastAsiaTheme="minorEastAsia" w:hAnsiTheme="minorHAnsi" w:cstheme="minorBidi"/>
              <w:noProof/>
              <w:sz w:val="22"/>
            </w:rPr>
          </w:pPr>
          <w:hyperlink w:anchor="_Toc132359613" w:history="1">
            <w:r w:rsidR="009C0262" w:rsidRPr="0001127D">
              <w:rPr>
                <w:rStyle w:val="Hyperlink"/>
                <w:noProof/>
              </w:rPr>
              <w:t>1.5.5.</w:t>
            </w:r>
            <w:r w:rsidR="009C0262" w:rsidRPr="0001127D">
              <w:rPr>
                <w:rFonts w:asciiTheme="minorHAnsi" w:eastAsiaTheme="minorEastAsia" w:hAnsiTheme="minorHAnsi" w:cstheme="minorBidi"/>
                <w:noProof/>
                <w:sz w:val="22"/>
              </w:rPr>
              <w:tab/>
            </w:r>
            <w:r w:rsidR="009C0262" w:rsidRPr="0001127D">
              <w:rPr>
                <w:rStyle w:val="Hyperlink"/>
                <w:noProof/>
              </w:rPr>
              <w:t xml:space="preserve">Valutazione delle varie opzioni di finanziamento disponibili, comprese </w:t>
            </w:r>
            <w:r w:rsidR="009C0262" w:rsidRPr="0001127D">
              <w:rPr>
                <w:rStyle w:val="Hyperlink"/>
                <w:noProof/>
              </w:rPr>
              <w:br/>
              <w:t>le possibilità di riassegnazione</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_Toc132359613 \h </w:instrText>
            </w:r>
            <w:r w:rsidR="009C0262" w:rsidRPr="0001127D">
              <w:rPr>
                <w:noProof/>
                <w:webHidden/>
              </w:rPr>
            </w:r>
            <w:r w:rsidR="009C0262" w:rsidRPr="0001127D">
              <w:rPr>
                <w:noProof/>
                <w:webHidden/>
              </w:rPr>
              <w:fldChar w:fldCharType="separate"/>
            </w:r>
            <w:r w:rsidR="0001127D">
              <w:rPr>
                <w:noProof/>
                <w:webHidden/>
              </w:rPr>
              <w:t>7</w:t>
            </w:r>
            <w:r w:rsidR="009C0262" w:rsidRPr="0001127D">
              <w:rPr>
                <w:noProof/>
                <w:webHidden/>
              </w:rPr>
              <w:fldChar w:fldCharType="end"/>
            </w:r>
          </w:hyperlink>
        </w:p>
        <w:p w14:paraId="4ECBCF5C" w14:textId="149D8A2A" w:rsidR="009C0262" w:rsidRPr="0001127D" w:rsidRDefault="00B94930">
          <w:pPr>
            <w:pStyle w:val="TOC2"/>
            <w:rPr>
              <w:rFonts w:asciiTheme="minorHAnsi" w:eastAsiaTheme="minorEastAsia" w:hAnsiTheme="minorHAnsi" w:cstheme="minorBidi"/>
              <w:noProof/>
              <w:sz w:val="22"/>
            </w:rPr>
          </w:pPr>
          <w:hyperlink w:anchor="_Toc132359614" w:history="1">
            <w:r w:rsidR="009C0262" w:rsidRPr="0001127D">
              <w:rPr>
                <w:rStyle w:val="Hyperlink"/>
                <w:noProof/>
              </w:rPr>
              <w:t>1.6.</w:t>
            </w:r>
            <w:r w:rsidR="009C0262" w:rsidRPr="0001127D">
              <w:rPr>
                <w:rFonts w:asciiTheme="minorHAnsi" w:eastAsiaTheme="minorEastAsia" w:hAnsiTheme="minorHAnsi" w:cstheme="minorBidi"/>
                <w:noProof/>
                <w:sz w:val="22"/>
              </w:rPr>
              <w:tab/>
            </w:r>
            <w:r w:rsidR="009C0262" w:rsidRPr="0001127D">
              <w:rPr>
                <w:rStyle w:val="Hyperlink"/>
                <w:noProof/>
              </w:rPr>
              <w:t>Durata e incidenza finanziaria della proposta/iniziativa</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_Toc132359614 \h </w:instrText>
            </w:r>
            <w:r w:rsidR="009C0262" w:rsidRPr="0001127D">
              <w:rPr>
                <w:noProof/>
                <w:webHidden/>
              </w:rPr>
            </w:r>
            <w:r w:rsidR="009C0262" w:rsidRPr="0001127D">
              <w:rPr>
                <w:noProof/>
                <w:webHidden/>
              </w:rPr>
              <w:fldChar w:fldCharType="separate"/>
            </w:r>
            <w:r w:rsidR="0001127D">
              <w:rPr>
                <w:noProof/>
                <w:webHidden/>
              </w:rPr>
              <w:t>8</w:t>
            </w:r>
            <w:r w:rsidR="009C0262" w:rsidRPr="0001127D">
              <w:rPr>
                <w:noProof/>
                <w:webHidden/>
              </w:rPr>
              <w:fldChar w:fldCharType="end"/>
            </w:r>
          </w:hyperlink>
        </w:p>
        <w:p w14:paraId="7BDEDE93" w14:textId="36EAD2D2" w:rsidR="009C0262" w:rsidRPr="0001127D" w:rsidRDefault="00B94930">
          <w:pPr>
            <w:pStyle w:val="TOC2"/>
            <w:rPr>
              <w:rFonts w:asciiTheme="minorHAnsi" w:eastAsiaTheme="minorEastAsia" w:hAnsiTheme="minorHAnsi" w:cstheme="minorBidi"/>
              <w:noProof/>
              <w:sz w:val="22"/>
            </w:rPr>
          </w:pPr>
          <w:hyperlink w:anchor="_Toc132359615" w:history="1">
            <w:r w:rsidR="009C0262" w:rsidRPr="0001127D">
              <w:rPr>
                <w:rStyle w:val="Hyperlink"/>
                <w:noProof/>
              </w:rPr>
              <w:t>1.7.</w:t>
            </w:r>
            <w:r w:rsidR="009C0262" w:rsidRPr="0001127D">
              <w:rPr>
                <w:rFonts w:asciiTheme="minorHAnsi" w:eastAsiaTheme="minorEastAsia" w:hAnsiTheme="minorHAnsi" w:cstheme="minorBidi"/>
                <w:noProof/>
                <w:sz w:val="22"/>
              </w:rPr>
              <w:tab/>
            </w:r>
            <w:r w:rsidR="009C0262" w:rsidRPr="0001127D">
              <w:rPr>
                <w:rStyle w:val="Hyperlink"/>
                <w:noProof/>
              </w:rPr>
              <w:t>Metodi di esecuzione del bilancio previsti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_Toc132359615 \h </w:instrText>
            </w:r>
            <w:r w:rsidR="009C0262" w:rsidRPr="0001127D">
              <w:rPr>
                <w:noProof/>
                <w:webHidden/>
              </w:rPr>
            </w:r>
            <w:r w:rsidR="009C0262" w:rsidRPr="0001127D">
              <w:rPr>
                <w:noProof/>
                <w:webHidden/>
              </w:rPr>
              <w:fldChar w:fldCharType="separate"/>
            </w:r>
            <w:r w:rsidR="0001127D">
              <w:rPr>
                <w:noProof/>
                <w:webHidden/>
              </w:rPr>
              <w:t>8</w:t>
            </w:r>
            <w:r w:rsidR="009C0262" w:rsidRPr="0001127D">
              <w:rPr>
                <w:noProof/>
                <w:webHidden/>
              </w:rPr>
              <w:fldChar w:fldCharType="end"/>
            </w:r>
          </w:hyperlink>
        </w:p>
        <w:p w14:paraId="300DB71F" w14:textId="34FD4F7A" w:rsidR="009C0262" w:rsidRPr="0001127D" w:rsidRDefault="00B94930">
          <w:pPr>
            <w:pStyle w:val="TOC1"/>
            <w:rPr>
              <w:rFonts w:asciiTheme="minorHAnsi" w:eastAsiaTheme="minorEastAsia" w:hAnsiTheme="minorHAnsi" w:cstheme="minorBidi"/>
              <w:noProof/>
              <w:sz w:val="22"/>
            </w:rPr>
          </w:pPr>
          <w:hyperlink w:anchor="_Toc132359616" w:history="1">
            <w:r w:rsidR="009C0262" w:rsidRPr="0001127D">
              <w:rPr>
                <w:rStyle w:val="Hyperlink"/>
                <w:noProof/>
              </w:rPr>
              <w:t>2.</w:t>
            </w:r>
            <w:r w:rsidR="009C0262" w:rsidRPr="0001127D">
              <w:rPr>
                <w:rFonts w:asciiTheme="minorHAnsi" w:eastAsiaTheme="minorEastAsia" w:hAnsiTheme="minorHAnsi" w:cstheme="minorBidi"/>
                <w:noProof/>
                <w:sz w:val="22"/>
              </w:rPr>
              <w:tab/>
            </w:r>
            <w:r w:rsidR="009C0262" w:rsidRPr="0001127D">
              <w:rPr>
                <w:rStyle w:val="Hyperlink"/>
                <w:noProof/>
              </w:rPr>
              <w:t>MISURE DI GESTIONE</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_Toc132359616 \h </w:instrText>
            </w:r>
            <w:r w:rsidR="009C0262" w:rsidRPr="0001127D">
              <w:rPr>
                <w:noProof/>
                <w:webHidden/>
              </w:rPr>
            </w:r>
            <w:r w:rsidR="009C0262" w:rsidRPr="0001127D">
              <w:rPr>
                <w:noProof/>
                <w:webHidden/>
              </w:rPr>
              <w:fldChar w:fldCharType="separate"/>
            </w:r>
            <w:r w:rsidR="0001127D">
              <w:rPr>
                <w:noProof/>
                <w:webHidden/>
              </w:rPr>
              <w:t>10</w:t>
            </w:r>
            <w:r w:rsidR="009C0262" w:rsidRPr="0001127D">
              <w:rPr>
                <w:noProof/>
                <w:webHidden/>
              </w:rPr>
              <w:fldChar w:fldCharType="end"/>
            </w:r>
          </w:hyperlink>
        </w:p>
        <w:p w14:paraId="1936F4B5" w14:textId="2045FE5E" w:rsidR="009C0262" w:rsidRPr="0001127D" w:rsidRDefault="00B94930">
          <w:pPr>
            <w:pStyle w:val="TOC2"/>
            <w:rPr>
              <w:rFonts w:asciiTheme="minorHAnsi" w:eastAsiaTheme="minorEastAsia" w:hAnsiTheme="minorHAnsi" w:cstheme="minorBidi"/>
              <w:noProof/>
              <w:sz w:val="22"/>
            </w:rPr>
          </w:pPr>
          <w:hyperlink w:anchor="_Toc132359617" w:history="1">
            <w:r w:rsidR="009C0262" w:rsidRPr="0001127D">
              <w:rPr>
                <w:rStyle w:val="Hyperlink"/>
                <w:noProof/>
              </w:rPr>
              <w:t>2.1.</w:t>
            </w:r>
            <w:r w:rsidR="009C0262" w:rsidRPr="0001127D">
              <w:rPr>
                <w:rFonts w:asciiTheme="minorHAnsi" w:eastAsiaTheme="minorEastAsia" w:hAnsiTheme="minorHAnsi" w:cstheme="minorBidi"/>
                <w:noProof/>
                <w:sz w:val="22"/>
              </w:rPr>
              <w:tab/>
            </w:r>
            <w:r w:rsidR="009C0262" w:rsidRPr="0001127D">
              <w:rPr>
                <w:rStyle w:val="Hyperlink"/>
                <w:noProof/>
              </w:rPr>
              <w:t>Disposizioni in materia di monitoraggio e di relazioni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_Toc132359617 \h </w:instrText>
            </w:r>
            <w:r w:rsidR="009C0262" w:rsidRPr="0001127D">
              <w:rPr>
                <w:noProof/>
                <w:webHidden/>
              </w:rPr>
            </w:r>
            <w:r w:rsidR="009C0262" w:rsidRPr="0001127D">
              <w:rPr>
                <w:noProof/>
                <w:webHidden/>
              </w:rPr>
              <w:fldChar w:fldCharType="separate"/>
            </w:r>
            <w:r w:rsidR="0001127D">
              <w:rPr>
                <w:noProof/>
                <w:webHidden/>
              </w:rPr>
              <w:t>10</w:t>
            </w:r>
            <w:r w:rsidR="009C0262" w:rsidRPr="0001127D">
              <w:rPr>
                <w:noProof/>
                <w:webHidden/>
              </w:rPr>
              <w:fldChar w:fldCharType="end"/>
            </w:r>
          </w:hyperlink>
        </w:p>
        <w:p w14:paraId="6C56926D" w14:textId="7472304F" w:rsidR="009C0262" w:rsidRPr="0001127D" w:rsidRDefault="00B94930">
          <w:pPr>
            <w:pStyle w:val="TOC2"/>
            <w:rPr>
              <w:rFonts w:asciiTheme="minorHAnsi" w:eastAsiaTheme="minorEastAsia" w:hAnsiTheme="minorHAnsi" w:cstheme="minorBidi"/>
              <w:noProof/>
              <w:sz w:val="22"/>
            </w:rPr>
          </w:pPr>
          <w:hyperlink w:anchor="_Toc132359618" w:history="1">
            <w:r w:rsidR="009C0262" w:rsidRPr="0001127D">
              <w:rPr>
                <w:rStyle w:val="Hyperlink"/>
                <w:noProof/>
              </w:rPr>
              <w:t>2.2.</w:t>
            </w:r>
            <w:r w:rsidR="009C0262" w:rsidRPr="0001127D">
              <w:rPr>
                <w:rFonts w:asciiTheme="minorHAnsi" w:eastAsiaTheme="minorEastAsia" w:hAnsiTheme="minorHAnsi" w:cstheme="minorBidi"/>
                <w:noProof/>
                <w:sz w:val="22"/>
              </w:rPr>
              <w:tab/>
            </w:r>
            <w:r w:rsidR="009C0262" w:rsidRPr="0001127D">
              <w:rPr>
                <w:rStyle w:val="Hyperlink"/>
                <w:noProof/>
              </w:rPr>
              <w:t>Sistema di gestione e di controllo</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_Toc132359618 \h </w:instrText>
            </w:r>
            <w:r w:rsidR="009C0262" w:rsidRPr="0001127D">
              <w:rPr>
                <w:noProof/>
                <w:webHidden/>
              </w:rPr>
            </w:r>
            <w:r w:rsidR="009C0262" w:rsidRPr="0001127D">
              <w:rPr>
                <w:noProof/>
                <w:webHidden/>
              </w:rPr>
              <w:fldChar w:fldCharType="separate"/>
            </w:r>
            <w:r w:rsidR="0001127D">
              <w:rPr>
                <w:noProof/>
                <w:webHidden/>
              </w:rPr>
              <w:t>10</w:t>
            </w:r>
            <w:r w:rsidR="009C0262" w:rsidRPr="0001127D">
              <w:rPr>
                <w:noProof/>
                <w:webHidden/>
              </w:rPr>
              <w:fldChar w:fldCharType="end"/>
            </w:r>
          </w:hyperlink>
        </w:p>
        <w:p w14:paraId="503C5529" w14:textId="2DD1A083" w:rsidR="009C0262" w:rsidRPr="0001127D" w:rsidRDefault="00B94930">
          <w:pPr>
            <w:pStyle w:val="TOC3"/>
            <w:rPr>
              <w:rFonts w:asciiTheme="minorHAnsi" w:eastAsiaTheme="minorEastAsia" w:hAnsiTheme="minorHAnsi" w:cstheme="minorBidi"/>
              <w:noProof/>
              <w:sz w:val="22"/>
            </w:rPr>
          </w:pPr>
          <w:hyperlink w:anchor="_Toc132359619" w:history="1">
            <w:r w:rsidR="009C0262" w:rsidRPr="0001127D">
              <w:rPr>
                <w:rStyle w:val="Hyperlink"/>
                <w:noProof/>
              </w:rPr>
              <w:t>2.2.1.</w:t>
            </w:r>
            <w:r w:rsidR="009C0262" w:rsidRPr="0001127D">
              <w:rPr>
                <w:rFonts w:asciiTheme="minorHAnsi" w:eastAsiaTheme="minorEastAsia" w:hAnsiTheme="minorHAnsi" w:cstheme="minorBidi"/>
                <w:noProof/>
                <w:sz w:val="22"/>
              </w:rPr>
              <w:tab/>
            </w:r>
            <w:r w:rsidR="009C0262" w:rsidRPr="0001127D">
              <w:rPr>
                <w:rStyle w:val="Hyperlink"/>
                <w:noProof/>
              </w:rPr>
              <w:t xml:space="preserve">Giustificazione della o delle modalità di gestione, del meccanismo o dei meccanismi di attuazione del finanziamento, delle modalità di pagamento e della strategia </w:t>
            </w:r>
            <w:r w:rsidR="009C0262" w:rsidRPr="0001127D">
              <w:rPr>
                <w:rStyle w:val="Hyperlink"/>
                <w:noProof/>
              </w:rPr>
              <w:br/>
              <w:t>di controllo proposti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_Toc132359619 \h </w:instrText>
            </w:r>
            <w:r w:rsidR="009C0262" w:rsidRPr="0001127D">
              <w:rPr>
                <w:noProof/>
                <w:webHidden/>
              </w:rPr>
            </w:r>
            <w:r w:rsidR="009C0262" w:rsidRPr="0001127D">
              <w:rPr>
                <w:noProof/>
                <w:webHidden/>
              </w:rPr>
              <w:fldChar w:fldCharType="separate"/>
            </w:r>
            <w:r w:rsidR="0001127D">
              <w:rPr>
                <w:noProof/>
                <w:webHidden/>
              </w:rPr>
              <w:t>10</w:t>
            </w:r>
            <w:r w:rsidR="009C0262" w:rsidRPr="0001127D">
              <w:rPr>
                <w:noProof/>
                <w:webHidden/>
              </w:rPr>
              <w:fldChar w:fldCharType="end"/>
            </w:r>
          </w:hyperlink>
        </w:p>
        <w:p w14:paraId="359BDF96" w14:textId="62339B8A" w:rsidR="009C0262" w:rsidRPr="0001127D" w:rsidRDefault="00B94930">
          <w:pPr>
            <w:pStyle w:val="TOC3"/>
            <w:rPr>
              <w:rFonts w:asciiTheme="minorHAnsi" w:eastAsiaTheme="minorEastAsia" w:hAnsiTheme="minorHAnsi" w:cstheme="minorBidi"/>
              <w:noProof/>
              <w:sz w:val="22"/>
            </w:rPr>
          </w:pPr>
          <w:hyperlink w:anchor="_Toc132359620" w:history="1">
            <w:r w:rsidR="009C0262" w:rsidRPr="0001127D">
              <w:rPr>
                <w:rStyle w:val="Hyperlink"/>
                <w:noProof/>
              </w:rPr>
              <w:t>2.2.2.</w:t>
            </w:r>
            <w:r w:rsidR="009C0262" w:rsidRPr="0001127D">
              <w:rPr>
                <w:rFonts w:asciiTheme="minorHAnsi" w:eastAsiaTheme="minorEastAsia" w:hAnsiTheme="minorHAnsi" w:cstheme="minorBidi"/>
                <w:noProof/>
                <w:sz w:val="22"/>
              </w:rPr>
              <w:tab/>
            </w:r>
            <w:r w:rsidR="009C0262" w:rsidRPr="0001127D">
              <w:rPr>
                <w:rStyle w:val="Hyperlink"/>
                <w:noProof/>
              </w:rPr>
              <w:t>Informazioni concernenti i rischi individuati e il sistema o i sistemi di controllo interno per ridurli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_Toc132359620 \h </w:instrText>
            </w:r>
            <w:r w:rsidR="009C0262" w:rsidRPr="0001127D">
              <w:rPr>
                <w:noProof/>
                <w:webHidden/>
              </w:rPr>
            </w:r>
            <w:r w:rsidR="009C0262" w:rsidRPr="0001127D">
              <w:rPr>
                <w:noProof/>
                <w:webHidden/>
              </w:rPr>
              <w:fldChar w:fldCharType="separate"/>
            </w:r>
            <w:r w:rsidR="0001127D">
              <w:rPr>
                <w:noProof/>
                <w:webHidden/>
              </w:rPr>
              <w:t>10</w:t>
            </w:r>
            <w:r w:rsidR="009C0262" w:rsidRPr="0001127D">
              <w:rPr>
                <w:noProof/>
                <w:webHidden/>
              </w:rPr>
              <w:fldChar w:fldCharType="end"/>
            </w:r>
          </w:hyperlink>
        </w:p>
        <w:p w14:paraId="37DD413A" w14:textId="4D2C5449" w:rsidR="009C0262" w:rsidRPr="0001127D" w:rsidRDefault="00B94930">
          <w:pPr>
            <w:pStyle w:val="TOC3"/>
            <w:rPr>
              <w:rFonts w:asciiTheme="minorHAnsi" w:eastAsiaTheme="minorEastAsia" w:hAnsiTheme="minorHAnsi" w:cstheme="minorBidi"/>
              <w:noProof/>
              <w:sz w:val="22"/>
            </w:rPr>
          </w:pPr>
          <w:hyperlink w:anchor="_Toc132359621" w:history="1">
            <w:r w:rsidR="009C0262" w:rsidRPr="0001127D">
              <w:rPr>
                <w:rStyle w:val="Hyperlink"/>
                <w:noProof/>
              </w:rPr>
              <w:t>2.2.3.</w:t>
            </w:r>
            <w:r w:rsidR="009C0262" w:rsidRPr="0001127D">
              <w:rPr>
                <w:rFonts w:asciiTheme="minorHAnsi" w:eastAsiaTheme="minorEastAsia" w:hAnsiTheme="minorHAnsi" w:cstheme="minorBidi"/>
                <w:noProof/>
                <w:sz w:val="22"/>
              </w:rPr>
              <w:tab/>
            </w:r>
            <w:r w:rsidR="009C0262" w:rsidRPr="0001127D">
              <w:rPr>
                <w:rStyle w:val="Hyperlink"/>
                <w:noProof/>
              </w:rPr>
              <w:t xml:space="preserve">Stima e giustificazione del rapporto costo/efficacia dei controlli (rapporto "costi </w:t>
            </w:r>
            <w:r w:rsidR="009C0262" w:rsidRPr="0001127D">
              <w:rPr>
                <w:rStyle w:val="Hyperlink"/>
                <w:noProof/>
              </w:rPr>
              <w:br/>
              <w:t>del controllo ÷ valore dei fondi gestiti") e valutazione dei livelli di rischio di errore previsti (al pagamento e alla chiusura)</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_Toc132359621 \h </w:instrText>
            </w:r>
            <w:r w:rsidR="009C0262" w:rsidRPr="0001127D">
              <w:rPr>
                <w:noProof/>
                <w:webHidden/>
              </w:rPr>
            </w:r>
            <w:r w:rsidR="009C0262" w:rsidRPr="0001127D">
              <w:rPr>
                <w:noProof/>
                <w:webHidden/>
              </w:rPr>
              <w:fldChar w:fldCharType="separate"/>
            </w:r>
            <w:r w:rsidR="0001127D">
              <w:rPr>
                <w:noProof/>
                <w:webHidden/>
              </w:rPr>
              <w:t>11</w:t>
            </w:r>
            <w:r w:rsidR="009C0262" w:rsidRPr="0001127D">
              <w:rPr>
                <w:noProof/>
                <w:webHidden/>
              </w:rPr>
              <w:fldChar w:fldCharType="end"/>
            </w:r>
          </w:hyperlink>
        </w:p>
        <w:p w14:paraId="3E1C2FB4" w14:textId="7BDA0B12" w:rsidR="009C0262" w:rsidRPr="0001127D" w:rsidRDefault="00B94930">
          <w:pPr>
            <w:pStyle w:val="TOC2"/>
            <w:rPr>
              <w:rFonts w:asciiTheme="minorHAnsi" w:eastAsiaTheme="minorEastAsia" w:hAnsiTheme="minorHAnsi" w:cstheme="minorBidi"/>
              <w:noProof/>
              <w:sz w:val="22"/>
            </w:rPr>
          </w:pPr>
          <w:hyperlink w:anchor="_Toc132359622" w:history="1">
            <w:r w:rsidR="009C0262" w:rsidRPr="0001127D">
              <w:rPr>
                <w:rStyle w:val="Hyperlink"/>
                <w:noProof/>
              </w:rPr>
              <w:t>2.3.</w:t>
            </w:r>
            <w:r w:rsidR="009C0262" w:rsidRPr="0001127D">
              <w:rPr>
                <w:rFonts w:asciiTheme="minorHAnsi" w:eastAsiaTheme="minorEastAsia" w:hAnsiTheme="minorHAnsi" w:cstheme="minorBidi"/>
                <w:noProof/>
                <w:sz w:val="22"/>
              </w:rPr>
              <w:tab/>
            </w:r>
            <w:r w:rsidR="009C0262" w:rsidRPr="0001127D">
              <w:rPr>
                <w:rStyle w:val="Hyperlink"/>
                <w:noProof/>
              </w:rPr>
              <w:t>Misure di prevenzione delle frodi e delle irregolarità</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_Toc132359622 \h </w:instrText>
            </w:r>
            <w:r w:rsidR="009C0262" w:rsidRPr="0001127D">
              <w:rPr>
                <w:noProof/>
                <w:webHidden/>
              </w:rPr>
            </w:r>
            <w:r w:rsidR="009C0262" w:rsidRPr="0001127D">
              <w:rPr>
                <w:noProof/>
                <w:webHidden/>
              </w:rPr>
              <w:fldChar w:fldCharType="separate"/>
            </w:r>
            <w:r w:rsidR="0001127D">
              <w:rPr>
                <w:noProof/>
                <w:webHidden/>
              </w:rPr>
              <w:t>11</w:t>
            </w:r>
            <w:r w:rsidR="009C0262" w:rsidRPr="0001127D">
              <w:rPr>
                <w:noProof/>
                <w:webHidden/>
              </w:rPr>
              <w:fldChar w:fldCharType="end"/>
            </w:r>
          </w:hyperlink>
        </w:p>
        <w:p w14:paraId="5A5ED9DD" w14:textId="2E30BF16" w:rsidR="009C0262" w:rsidRPr="0001127D" w:rsidRDefault="00B94930">
          <w:pPr>
            <w:pStyle w:val="TOC1"/>
            <w:rPr>
              <w:rFonts w:asciiTheme="minorHAnsi" w:eastAsiaTheme="minorEastAsia" w:hAnsiTheme="minorHAnsi" w:cstheme="minorBidi"/>
              <w:noProof/>
              <w:sz w:val="22"/>
            </w:rPr>
          </w:pPr>
          <w:hyperlink w:anchor="_Toc132359623" w:history="1">
            <w:r w:rsidR="009C0262" w:rsidRPr="0001127D">
              <w:rPr>
                <w:rStyle w:val="Hyperlink"/>
                <w:noProof/>
              </w:rPr>
              <w:t>3.</w:t>
            </w:r>
            <w:r w:rsidR="009C0262" w:rsidRPr="0001127D">
              <w:rPr>
                <w:rFonts w:asciiTheme="minorHAnsi" w:eastAsiaTheme="minorEastAsia" w:hAnsiTheme="minorHAnsi" w:cstheme="minorBidi"/>
                <w:noProof/>
                <w:sz w:val="22"/>
              </w:rPr>
              <w:tab/>
            </w:r>
            <w:r w:rsidR="009C0262" w:rsidRPr="0001127D">
              <w:rPr>
                <w:rStyle w:val="Hyperlink"/>
                <w:noProof/>
              </w:rPr>
              <w:t>INCIDENZA FINANZIARIA PREVISTA DELLA PROPOSTA/INIZIATIVA</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_Toc132359623 \h </w:instrText>
            </w:r>
            <w:r w:rsidR="009C0262" w:rsidRPr="0001127D">
              <w:rPr>
                <w:noProof/>
                <w:webHidden/>
              </w:rPr>
            </w:r>
            <w:r w:rsidR="009C0262" w:rsidRPr="0001127D">
              <w:rPr>
                <w:noProof/>
                <w:webHidden/>
              </w:rPr>
              <w:fldChar w:fldCharType="separate"/>
            </w:r>
            <w:r w:rsidR="0001127D">
              <w:rPr>
                <w:noProof/>
                <w:webHidden/>
              </w:rPr>
              <w:t>12</w:t>
            </w:r>
            <w:r w:rsidR="009C0262" w:rsidRPr="0001127D">
              <w:rPr>
                <w:noProof/>
                <w:webHidden/>
              </w:rPr>
              <w:fldChar w:fldCharType="end"/>
            </w:r>
          </w:hyperlink>
        </w:p>
        <w:p w14:paraId="03D8EC73" w14:textId="16D4306F" w:rsidR="009C0262" w:rsidRPr="0001127D" w:rsidRDefault="00B94930">
          <w:pPr>
            <w:pStyle w:val="TOC2"/>
            <w:rPr>
              <w:rFonts w:asciiTheme="minorHAnsi" w:eastAsiaTheme="minorEastAsia" w:hAnsiTheme="minorHAnsi" w:cstheme="minorBidi"/>
              <w:noProof/>
              <w:sz w:val="22"/>
            </w:rPr>
          </w:pPr>
          <w:hyperlink w:anchor="_Toc132359624" w:history="1">
            <w:r w:rsidR="009C0262" w:rsidRPr="0001127D">
              <w:rPr>
                <w:rStyle w:val="Hyperlink"/>
                <w:noProof/>
              </w:rPr>
              <w:t>3.1.</w:t>
            </w:r>
            <w:r w:rsidR="009C0262" w:rsidRPr="0001127D">
              <w:rPr>
                <w:rFonts w:asciiTheme="minorHAnsi" w:eastAsiaTheme="minorEastAsia" w:hAnsiTheme="minorHAnsi" w:cstheme="minorBidi"/>
                <w:noProof/>
                <w:sz w:val="22"/>
              </w:rPr>
              <w:tab/>
            </w:r>
            <w:r w:rsidR="009C0262" w:rsidRPr="0001127D">
              <w:rPr>
                <w:rStyle w:val="Hyperlink"/>
                <w:noProof/>
              </w:rPr>
              <w:t xml:space="preserve">Rubrica/rubriche del quadro finanziario pluriennale e linea/linee di bilancio </w:t>
            </w:r>
            <w:r w:rsidR="009C0262" w:rsidRPr="0001127D">
              <w:rPr>
                <w:rStyle w:val="Hyperlink"/>
                <w:noProof/>
              </w:rPr>
              <w:br/>
              <w:t>di spesa interessate</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_Toc132359624 \h </w:instrText>
            </w:r>
            <w:r w:rsidR="009C0262" w:rsidRPr="0001127D">
              <w:rPr>
                <w:noProof/>
                <w:webHidden/>
              </w:rPr>
            </w:r>
            <w:r w:rsidR="009C0262" w:rsidRPr="0001127D">
              <w:rPr>
                <w:noProof/>
                <w:webHidden/>
              </w:rPr>
              <w:fldChar w:fldCharType="separate"/>
            </w:r>
            <w:r w:rsidR="0001127D">
              <w:rPr>
                <w:noProof/>
                <w:webHidden/>
              </w:rPr>
              <w:t>12</w:t>
            </w:r>
            <w:r w:rsidR="009C0262" w:rsidRPr="0001127D">
              <w:rPr>
                <w:noProof/>
                <w:webHidden/>
              </w:rPr>
              <w:fldChar w:fldCharType="end"/>
            </w:r>
          </w:hyperlink>
        </w:p>
        <w:p w14:paraId="33F3A03D" w14:textId="3604BDEB" w:rsidR="009C0262" w:rsidRPr="0001127D" w:rsidRDefault="00B94930">
          <w:pPr>
            <w:pStyle w:val="TOC2"/>
            <w:rPr>
              <w:rFonts w:asciiTheme="minorHAnsi" w:eastAsiaTheme="minorEastAsia" w:hAnsiTheme="minorHAnsi" w:cstheme="minorBidi"/>
              <w:noProof/>
              <w:sz w:val="22"/>
            </w:rPr>
          </w:pPr>
          <w:hyperlink w:anchor="_Toc132359625" w:history="1">
            <w:r w:rsidR="009C0262" w:rsidRPr="0001127D">
              <w:rPr>
                <w:rStyle w:val="Hyperlink"/>
                <w:noProof/>
              </w:rPr>
              <w:t>3.2.</w:t>
            </w:r>
            <w:r w:rsidR="009C0262" w:rsidRPr="0001127D">
              <w:rPr>
                <w:rFonts w:asciiTheme="minorHAnsi" w:eastAsiaTheme="minorEastAsia" w:hAnsiTheme="minorHAnsi" w:cstheme="minorBidi"/>
                <w:noProof/>
                <w:sz w:val="22"/>
              </w:rPr>
              <w:tab/>
            </w:r>
            <w:r w:rsidR="009C0262" w:rsidRPr="0001127D">
              <w:rPr>
                <w:rStyle w:val="Hyperlink"/>
                <w:noProof/>
              </w:rPr>
              <w:t>Incidenza finanziaria prevista della proposta sugli stanziamenti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_Toc132359625 \h </w:instrText>
            </w:r>
            <w:r w:rsidR="009C0262" w:rsidRPr="0001127D">
              <w:rPr>
                <w:noProof/>
                <w:webHidden/>
              </w:rPr>
            </w:r>
            <w:r w:rsidR="009C0262" w:rsidRPr="0001127D">
              <w:rPr>
                <w:noProof/>
                <w:webHidden/>
              </w:rPr>
              <w:fldChar w:fldCharType="separate"/>
            </w:r>
            <w:r w:rsidR="0001127D">
              <w:rPr>
                <w:noProof/>
                <w:webHidden/>
              </w:rPr>
              <w:t>13</w:t>
            </w:r>
            <w:r w:rsidR="009C0262" w:rsidRPr="0001127D">
              <w:rPr>
                <w:noProof/>
                <w:webHidden/>
              </w:rPr>
              <w:fldChar w:fldCharType="end"/>
            </w:r>
          </w:hyperlink>
        </w:p>
        <w:p w14:paraId="2457214C" w14:textId="08A90E6F" w:rsidR="009C0262" w:rsidRPr="0001127D" w:rsidRDefault="00B94930">
          <w:pPr>
            <w:pStyle w:val="TOC3"/>
            <w:rPr>
              <w:rFonts w:asciiTheme="minorHAnsi" w:eastAsiaTheme="minorEastAsia" w:hAnsiTheme="minorHAnsi" w:cstheme="minorBidi"/>
              <w:noProof/>
              <w:sz w:val="22"/>
            </w:rPr>
          </w:pPr>
          <w:hyperlink w:anchor="_Toc132359626" w:history="1">
            <w:r w:rsidR="009C0262" w:rsidRPr="0001127D">
              <w:rPr>
                <w:rStyle w:val="Hyperlink"/>
                <w:noProof/>
              </w:rPr>
              <w:t>3.2.1.</w:t>
            </w:r>
            <w:r w:rsidR="009C0262" w:rsidRPr="0001127D">
              <w:rPr>
                <w:rFonts w:asciiTheme="minorHAnsi" w:eastAsiaTheme="minorEastAsia" w:hAnsiTheme="minorHAnsi" w:cstheme="minorBidi"/>
                <w:noProof/>
                <w:sz w:val="22"/>
              </w:rPr>
              <w:tab/>
            </w:r>
            <w:r w:rsidR="009C0262" w:rsidRPr="0001127D">
              <w:rPr>
                <w:rStyle w:val="Hyperlink"/>
                <w:noProof/>
              </w:rPr>
              <w:t>Sintesi dell'incidenza prevista sugli stanziamenti operativi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_Toc132359626 \h </w:instrText>
            </w:r>
            <w:r w:rsidR="009C0262" w:rsidRPr="0001127D">
              <w:rPr>
                <w:noProof/>
                <w:webHidden/>
              </w:rPr>
            </w:r>
            <w:r w:rsidR="009C0262" w:rsidRPr="0001127D">
              <w:rPr>
                <w:noProof/>
                <w:webHidden/>
              </w:rPr>
              <w:fldChar w:fldCharType="separate"/>
            </w:r>
            <w:r w:rsidR="0001127D">
              <w:rPr>
                <w:noProof/>
                <w:webHidden/>
              </w:rPr>
              <w:t>13</w:t>
            </w:r>
            <w:r w:rsidR="009C0262" w:rsidRPr="0001127D">
              <w:rPr>
                <w:noProof/>
                <w:webHidden/>
              </w:rPr>
              <w:fldChar w:fldCharType="end"/>
            </w:r>
          </w:hyperlink>
        </w:p>
        <w:p w14:paraId="3DA531FB" w14:textId="5CE27063" w:rsidR="009C0262" w:rsidRPr="0001127D" w:rsidRDefault="00B94930">
          <w:pPr>
            <w:pStyle w:val="TOC3"/>
            <w:rPr>
              <w:rFonts w:asciiTheme="minorHAnsi" w:eastAsiaTheme="minorEastAsia" w:hAnsiTheme="minorHAnsi" w:cstheme="minorBidi"/>
              <w:noProof/>
              <w:sz w:val="22"/>
            </w:rPr>
          </w:pPr>
          <w:hyperlink w:anchor="_Toc132359627" w:history="1">
            <w:r w:rsidR="009C0262" w:rsidRPr="0001127D">
              <w:rPr>
                <w:rStyle w:val="Hyperlink"/>
                <w:noProof/>
              </w:rPr>
              <w:t>3.2.2.</w:t>
            </w:r>
            <w:r w:rsidR="009C0262" w:rsidRPr="0001127D">
              <w:rPr>
                <w:rFonts w:asciiTheme="minorHAnsi" w:eastAsiaTheme="minorEastAsia" w:hAnsiTheme="minorHAnsi" w:cstheme="minorBidi"/>
                <w:noProof/>
                <w:sz w:val="22"/>
              </w:rPr>
              <w:tab/>
            </w:r>
            <w:r w:rsidR="009C0262" w:rsidRPr="0001127D">
              <w:rPr>
                <w:rStyle w:val="Hyperlink"/>
                <w:noProof/>
              </w:rPr>
              <w:t>Risultati previsti finanziati con gli stanziamenti operativi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_Toc132359627 \h </w:instrText>
            </w:r>
            <w:r w:rsidR="009C0262" w:rsidRPr="0001127D">
              <w:rPr>
                <w:noProof/>
                <w:webHidden/>
              </w:rPr>
            </w:r>
            <w:r w:rsidR="009C0262" w:rsidRPr="0001127D">
              <w:rPr>
                <w:noProof/>
                <w:webHidden/>
              </w:rPr>
              <w:fldChar w:fldCharType="separate"/>
            </w:r>
            <w:r w:rsidR="0001127D">
              <w:rPr>
                <w:noProof/>
                <w:webHidden/>
              </w:rPr>
              <w:t>16</w:t>
            </w:r>
            <w:r w:rsidR="009C0262" w:rsidRPr="0001127D">
              <w:rPr>
                <w:noProof/>
                <w:webHidden/>
              </w:rPr>
              <w:fldChar w:fldCharType="end"/>
            </w:r>
          </w:hyperlink>
        </w:p>
        <w:p w14:paraId="057B4E11" w14:textId="3AB3F340" w:rsidR="009C0262" w:rsidRPr="0001127D" w:rsidRDefault="00B94930">
          <w:pPr>
            <w:pStyle w:val="TOC3"/>
            <w:rPr>
              <w:rFonts w:asciiTheme="minorHAnsi" w:eastAsiaTheme="minorEastAsia" w:hAnsiTheme="minorHAnsi" w:cstheme="minorBidi"/>
              <w:noProof/>
              <w:sz w:val="22"/>
            </w:rPr>
          </w:pPr>
          <w:hyperlink w:anchor="_Toc132359628" w:history="1">
            <w:r w:rsidR="009C0262" w:rsidRPr="0001127D">
              <w:rPr>
                <w:rStyle w:val="Hyperlink"/>
                <w:noProof/>
              </w:rPr>
              <w:t>3.2.3.</w:t>
            </w:r>
            <w:r w:rsidR="009C0262" w:rsidRPr="0001127D">
              <w:rPr>
                <w:rFonts w:asciiTheme="minorHAnsi" w:eastAsiaTheme="minorEastAsia" w:hAnsiTheme="minorHAnsi" w:cstheme="minorBidi"/>
                <w:noProof/>
                <w:sz w:val="22"/>
              </w:rPr>
              <w:tab/>
            </w:r>
            <w:r w:rsidR="009C0262" w:rsidRPr="0001127D">
              <w:rPr>
                <w:rStyle w:val="Hyperlink"/>
                <w:noProof/>
              </w:rPr>
              <w:t>Sintesi dell'incidenza prevista sugli stanziamenti amministrativi</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_Toc132359628 \h </w:instrText>
            </w:r>
            <w:r w:rsidR="009C0262" w:rsidRPr="0001127D">
              <w:rPr>
                <w:noProof/>
                <w:webHidden/>
              </w:rPr>
            </w:r>
            <w:r w:rsidR="009C0262" w:rsidRPr="0001127D">
              <w:rPr>
                <w:noProof/>
                <w:webHidden/>
              </w:rPr>
              <w:fldChar w:fldCharType="separate"/>
            </w:r>
            <w:r w:rsidR="0001127D">
              <w:rPr>
                <w:noProof/>
                <w:webHidden/>
              </w:rPr>
              <w:t>17</w:t>
            </w:r>
            <w:r w:rsidR="009C0262" w:rsidRPr="0001127D">
              <w:rPr>
                <w:noProof/>
                <w:webHidden/>
              </w:rPr>
              <w:fldChar w:fldCharType="end"/>
            </w:r>
          </w:hyperlink>
        </w:p>
        <w:p w14:paraId="666E9A85" w14:textId="0460AB08" w:rsidR="009C0262" w:rsidRPr="0001127D" w:rsidRDefault="00B94930">
          <w:pPr>
            <w:pStyle w:val="TOC3"/>
            <w:rPr>
              <w:rFonts w:asciiTheme="minorHAnsi" w:eastAsiaTheme="minorEastAsia" w:hAnsiTheme="minorHAnsi" w:cstheme="minorBidi"/>
              <w:noProof/>
              <w:sz w:val="22"/>
            </w:rPr>
          </w:pPr>
          <w:hyperlink w:anchor="_Toc132359629" w:history="1">
            <w:r w:rsidR="009C0262" w:rsidRPr="0001127D">
              <w:rPr>
                <w:rStyle w:val="Hyperlink"/>
                <w:noProof/>
              </w:rPr>
              <w:t>3.2.4.</w:t>
            </w:r>
            <w:r w:rsidR="009C0262" w:rsidRPr="0001127D">
              <w:rPr>
                <w:rFonts w:asciiTheme="minorHAnsi" w:eastAsiaTheme="minorEastAsia" w:hAnsiTheme="minorHAnsi" w:cstheme="minorBidi"/>
                <w:noProof/>
                <w:sz w:val="22"/>
              </w:rPr>
              <w:tab/>
            </w:r>
            <w:r w:rsidR="009C0262" w:rsidRPr="0001127D">
              <w:rPr>
                <w:rStyle w:val="Hyperlink"/>
                <w:noProof/>
              </w:rPr>
              <w:t>Compatibilità con il quadro finanziario pluriennale attuale</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_Toc132359629 \h </w:instrText>
            </w:r>
            <w:r w:rsidR="009C0262" w:rsidRPr="0001127D">
              <w:rPr>
                <w:noProof/>
                <w:webHidden/>
              </w:rPr>
            </w:r>
            <w:r w:rsidR="009C0262" w:rsidRPr="0001127D">
              <w:rPr>
                <w:noProof/>
                <w:webHidden/>
              </w:rPr>
              <w:fldChar w:fldCharType="separate"/>
            </w:r>
            <w:r w:rsidR="0001127D">
              <w:rPr>
                <w:noProof/>
                <w:webHidden/>
              </w:rPr>
              <w:t>21</w:t>
            </w:r>
            <w:r w:rsidR="009C0262" w:rsidRPr="0001127D">
              <w:rPr>
                <w:noProof/>
                <w:webHidden/>
              </w:rPr>
              <w:fldChar w:fldCharType="end"/>
            </w:r>
          </w:hyperlink>
        </w:p>
        <w:p w14:paraId="3C2AD0EF" w14:textId="65067487" w:rsidR="009C0262" w:rsidRPr="0001127D" w:rsidRDefault="00B94930">
          <w:pPr>
            <w:pStyle w:val="TOC3"/>
            <w:rPr>
              <w:rFonts w:asciiTheme="minorHAnsi" w:eastAsiaTheme="minorEastAsia" w:hAnsiTheme="minorHAnsi" w:cstheme="minorBidi"/>
              <w:noProof/>
              <w:sz w:val="22"/>
            </w:rPr>
          </w:pPr>
          <w:hyperlink w:anchor="_Toc132359630" w:history="1">
            <w:r w:rsidR="009C0262" w:rsidRPr="0001127D">
              <w:rPr>
                <w:rStyle w:val="Hyperlink"/>
                <w:noProof/>
              </w:rPr>
              <w:t>3.2.5.</w:t>
            </w:r>
            <w:r w:rsidR="009C0262" w:rsidRPr="0001127D">
              <w:rPr>
                <w:rFonts w:asciiTheme="minorHAnsi" w:eastAsiaTheme="minorEastAsia" w:hAnsiTheme="minorHAnsi" w:cstheme="minorBidi"/>
                <w:noProof/>
                <w:sz w:val="22"/>
              </w:rPr>
              <w:tab/>
            </w:r>
            <w:r w:rsidR="009C0262" w:rsidRPr="0001127D">
              <w:rPr>
                <w:rStyle w:val="Hyperlink"/>
                <w:noProof/>
              </w:rPr>
              <w:t>Partecipazione di terzi al finanziamento</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_Toc132359630 \h </w:instrText>
            </w:r>
            <w:r w:rsidR="009C0262" w:rsidRPr="0001127D">
              <w:rPr>
                <w:noProof/>
                <w:webHidden/>
              </w:rPr>
            </w:r>
            <w:r w:rsidR="009C0262" w:rsidRPr="0001127D">
              <w:rPr>
                <w:noProof/>
                <w:webHidden/>
              </w:rPr>
              <w:fldChar w:fldCharType="separate"/>
            </w:r>
            <w:r w:rsidR="0001127D">
              <w:rPr>
                <w:noProof/>
                <w:webHidden/>
              </w:rPr>
              <w:t>21</w:t>
            </w:r>
            <w:r w:rsidR="009C0262" w:rsidRPr="0001127D">
              <w:rPr>
                <w:noProof/>
                <w:webHidden/>
              </w:rPr>
              <w:fldChar w:fldCharType="end"/>
            </w:r>
          </w:hyperlink>
        </w:p>
        <w:p w14:paraId="519E3AE3" w14:textId="027DF528" w:rsidR="009C0262" w:rsidRPr="0001127D" w:rsidRDefault="00B94930">
          <w:pPr>
            <w:pStyle w:val="TOC2"/>
            <w:rPr>
              <w:rFonts w:asciiTheme="minorHAnsi" w:eastAsiaTheme="minorEastAsia" w:hAnsiTheme="minorHAnsi" w:cstheme="minorBidi"/>
              <w:noProof/>
              <w:sz w:val="22"/>
            </w:rPr>
          </w:pPr>
          <w:hyperlink w:anchor="_Toc132359631" w:history="1">
            <w:r w:rsidR="009C0262" w:rsidRPr="0001127D">
              <w:rPr>
                <w:rStyle w:val="Hyperlink"/>
                <w:noProof/>
              </w:rPr>
              <w:t>3.3.</w:t>
            </w:r>
            <w:r w:rsidR="009C0262" w:rsidRPr="0001127D">
              <w:rPr>
                <w:rFonts w:asciiTheme="minorHAnsi" w:eastAsiaTheme="minorEastAsia" w:hAnsiTheme="minorHAnsi" w:cstheme="minorBidi"/>
                <w:noProof/>
                <w:sz w:val="22"/>
              </w:rPr>
              <w:tab/>
            </w:r>
            <w:r w:rsidR="009C0262" w:rsidRPr="0001127D">
              <w:rPr>
                <w:rStyle w:val="Hyperlink"/>
                <w:noProof/>
              </w:rPr>
              <w:t>Incidenza prevista sulle entrate</w:t>
            </w:r>
            <w:r w:rsidR="009C0262" w:rsidRPr="0001127D">
              <w:rPr>
                <w:noProof/>
                <w:webHidden/>
              </w:rPr>
              <w:tab/>
            </w:r>
            <w:r w:rsidR="009C0262" w:rsidRPr="0001127D">
              <w:rPr>
                <w:noProof/>
                <w:webHidden/>
              </w:rPr>
              <w:fldChar w:fldCharType="begin"/>
            </w:r>
            <w:r w:rsidR="009C0262" w:rsidRPr="0001127D">
              <w:rPr>
                <w:noProof/>
                <w:webHidden/>
              </w:rPr>
              <w:instrText xml:space="preserve"> PAGEREF _Toc132359631 \h </w:instrText>
            </w:r>
            <w:r w:rsidR="009C0262" w:rsidRPr="0001127D">
              <w:rPr>
                <w:noProof/>
                <w:webHidden/>
              </w:rPr>
            </w:r>
            <w:r w:rsidR="009C0262" w:rsidRPr="0001127D">
              <w:rPr>
                <w:noProof/>
                <w:webHidden/>
              </w:rPr>
              <w:fldChar w:fldCharType="separate"/>
            </w:r>
            <w:r w:rsidR="0001127D">
              <w:rPr>
                <w:noProof/>
                <w:webHidden/>
              </w:rPr>
              <w:t>22</w:t>
            </w:r>
            <w:r w:rsidR="009C0262" w:rsidRPr="0001127D">
              <w:rPr>
                <w:noProof/>
                <w:webHidden/>
              </w:rPr>
              <w:fldChar w:fldCharType="end"/>
            </w:r>
          </w:hyperlink>
        </w:p>
        <w:p w14:paraId="40A68FD0" w14:textId="0F98963A" w:rsidR="000724A5" w:rsidRPr="0001127D" w:rsidRDefault="000724A5">
          <w:pPr>
            <w:rPr>
              <w:noProof/>
            </w:rPr>
          </w:pPr>
          <w:r w:rsidRPr="0001127D">
            <w:rPr>
              <w:b/>
              <w:bCs/>
              <w:noProof/>
            </w:rPr>
            <w:fldChar w:fldCharType="end"/>
          </w:r>
        </w:p>
      </w:sdtContent>
    </w:sdt>
    <w:p w14:paraId="71D6B2B8" w14:textId="77777777" w:rsidR="00836BD4" w:rsidRPr="0001127D" w:rsidRDefault="00836BD4" w:rsidP="00AB6191">
      <w:pPr>
        <w:rPr>
          <w:noProof/>
        </w:rPr>
        <w:sectPr w:rsidR="00836BD4" w:rsidRPr="0001127D" w:rsidSect="0091427E">
          <w:pgSz w:w="11907" w:h="16840" w:code="9"/>
          <w:pgMar w:top="1134" w:right="1418" w:bottom="1134" w:left="1418" w:header="709" w:footer="709" w:gutter="0"/>
          <w:pgNumType w:start="1"/>
          <w:cols w:space="720"/>
          <w:docGrid w:linePitch="360"/>
        </w:sectPr>
      </w:pPr>
    </w:p>
    <w:p w14:paraId="54933ED8" w14:textId="77777777" w:rsidR="0045124E" w:rsidRPr="0001127D" w:rsidRDefault="0045124E" w:rsidP="0045124E">
      <w:pPr>
        <w:jc w:val="center"/>
        <w:rPr>
          <w:b/>
          <w:noProof/>
          <w:u w:val="single"/>
        </w:rPr>
      </w:pPr>
      <w:r w:rsidRPr="0001127D">
        <w:rPr>
          <w:b/>
          <w:noProof/>
          <w:u w:val="single"/>
        </w:rPr>
        <w:t>SCHEDA FINANZIARIA LEGISLATIVA</w:t>
      </w:r>
    </w:p>
    <w:p w14:paraId="2FDEC401" w14:textId="77777777" w:rsidR="00AB6191" w:rsidRPr="0001127D" w:rsidRDefault="00AB6191" w:rsidP="00AB6191">
      <w:pPr>
        <w:pStyle w:val="ManualHeading1"/>
        <w:rPr>
          <w:noProof/>
        </w:rPr>
      </w:pPr>
      <w:bookmarkStart w:id="125" w:name="_Toc514938007"/>
      <w:bookmarkStart w:id="126" w:name="_Toc520485025"/>
      <w:bookmarkStart w:id="127" w:name="_Toc132359599"/>
      <w:r w:rsidRPr="0001127D">
        <w:rPr>
          <w:noProof/>
        </w:rPr>
        <w:t>1.</w:t>
      </w:r>
      <w:r w:rsidRPr="0001127D">
        <w:rPr>
          <w:noProof/>
        </w:rPr>
        <w:tab/>
        <w:t>CONTESTO DELLA PROPOSTA/INIZIATIVA</w:t>
      </w:r>
      <w:bookmarkEnd w:id="125"/>
      <w:bookmarkEnd w:id="126"/>
      <w:bookmarkEnd w:id="127"/>
      <w:r w:rsidRPr="0001127D">
        <w:rPr>
          <w:noProof/>
        </w:rPr>
        <w:t xml:space="preserve"> </w:t>
      </w:r>
    </w:p>
    <w:p w14:paraId="1012248C" w14:textId="77777777" w:rsidR="00AB6191" w:rsidRPr="0001127D" w:rsidRDefault="00AB6191" w:rsidP="00AB6191">
      <w:pPr>
        <w:pStyle w:val="ManualHeading2"/>
        <w:rPr>
          <w:noProof/>
        </w:rPr>
      </w:pPr>
      <w:bookmarkStart w:id="128" w:name="_Toc514938008"/>
      <w:bookmarkStart w:id="129" w:name="_Toc520485026"/>
      <w:bookmarkStart w:id="130" w:name="_Toc132359600"/>
      <w:r w:rsidRPr="0001127D">
        <w:rPr>
          <w:noProof/>
        </w:rPr>
        <w:t>1.1.</w:t>
      </w:r>
      <w:r w:rsidRPr="0001127D">
        <w:rPr>
          <w:noProof/>
        </w:rPr>
        <w:tab/>
        <w:t>Titolo della proposta/iniziativa</w:t>
      </w:r>
      <w:bookmarkEnd w:id="128"/>
      <w:bookmarkEnd w:id="129"/>
      <w:bookmarkEnd w:id="130"/>
    </w:p>
    <w:p w14:paraId="2310BB98" w14:textId="2B34FFCD" w:rsidR="00AB6191" w:rsidRPr="0001127D" w:rsidRDefault="00A00216"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Proposta di direttiva del Parlamento europeo e del Consiglio recante modifica delle direttive 2009/102/CE e (UE) 2017/1132 per quanto concerne l</w:t>
      </w:r>
      <w:r w:rsidR="00E64452" w:rsidRPr="0001127D">
        <w:rPr>
          <w:noProof/>
        </w:rPr>
        <w:t>'</w:t>
      </w:r>
      <w:r w:rsidRPr="0001127D">
        <w:rPr>
          <w:noProof/>
        </w:rPr>
        <w:t>ulteriore ampliamento e miglioramento dell</w:t>
      </w:r>
      <w:r w:rsidR="00E64452" w:rsidRPr="0001127D">
        <w:rPr>
          <w:noProof/>
        </w:rPr>
        <w:t>'</w:t>
      </w:r>
      <w:r w:rsidRPr="0001127D">
        <w:rPr>
          <w:noProof/>
        </w:rPr>
        <w:t>uso di strumenti e processi digitali nel diritto societario</w:t>
      </w:r>
    </w:p>
    <w:p w14:paraId="53F97A8D" w14:textId="77777777" w:rsidR="00AB6191" w:rsidRPr="0001127D" w:rsidRDefault="00AB6191" w:rsidP="00AB6191">
      <w:pPr>
        <w:pStyle w:val="ManualHeading2"/>
        <w:rPr>
          <w:i/>
          <w:noProof/>
        </w:rPr>
      </w:pPr>
      <w:bookmarkStart w:id="131" w:name="_Toc514938011"/>
      <w:bookmarkStart w:id="132" w:name="_Toc520485027"/>
      <w:bookmarkStart w:id="133" w:name="_Toc132359601"/>
      <w:r w:rsidRPr="0001127D">
        <w:rPr>
          <w:noProof/>
        </w:rPr>
        <w:t>1.2.</w:t>
      </w:r>
      <w:r w:rsidRPr="0001127D">
        <w:rPr>
          <w:noProof/>
        </w:rPr>
        <w:tab/>
        <w:t>Settore/settori interessati</w:t>
      </w:r>
      <w:bookmarkEnd w:id="131"/>
      <w:bookmarkEnd w:id="132"/>
      <w:bookmarkEnd w:id="133"/>
      <w:r w:rsidRPr="0001127D">
        <w:rPr>
          <w:i/>
          <w:noProof/>
        </w:rPr>
        <w:t xml:space="preserve"> </w:t>
      </w:r>
    </w:p>
    <w:p w14:paraId="24DF663D" w14:textId="77777777" w:rsidR="00AB6191" w:rsidRPr="0001127D" w:rsidRDefault="0088398E"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Diritto societario/mercato unico</w:t>
      </w:r>
    </w:p>
    <w:p w14:paraId="29620508"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p>
    <w:p w14:paraId="3067D9B3" w14:textId="77777777" w:rsidR="00AB6191" w:rsidRPr="0001127D" w:rsidRDefault="00AB6191" w:rsidP="00AB6191">
      <w:pPr>
        <w:pStyle w:val="ManualHeading2"/>
        <w:rPr>
          <w:bCs/>
          <w:noProof/>
          <w:szCs w:val="24"/>
        </w:rPr>
      </w:pPr>
      <w:bookmarkStart w:id="134" w:name="_Toc514938014"/>
      <w:bookmarkStart w:id="135" w:name="_Toc520485028"/>
      <w:bookmarkStart w:id="136" w:name="_Toc132359602"/>
      <w:r w:rsidRPr="0001127D">
        <w:rPr>
          <w:noProof/>
        </w:rPr>
        <w:t>1.3.</w:t>
      </w:r>
      <w:r w:rsidRPr="0001127D">
        <w:rPr>
          <w:noProof/>
        </w:rPr>
        <w:tab/>
        <w:t>La proposta/iniziativa riguarda:</w:t>
      </w:r>
      <w:bookmarkEnd w:id="134"/>
      <w:bookmarkEnd w:id="135"/>
      <w:bookmarkEnd w:id="136"/>
      <w:r w:rsidRPr="0001127D">
        <w:rPr>
          <w:noProof/>
        </w:rPr>
        <w:t xml:space="preserve"> </w:t>
      </w:r>
    </w:p>
    <w:p w14:paraId="1B17810B" w14:textId="77777777" w:rsidR="00AB6191" w:rsidRPr="0001127D" w:rsidRDefault="00AB6191" w:rsidP="00AB6191">
      <w:pPr>
        <w:pStyle w:val="Text1"/>
        <w:rPr>
          <w:b/>
          <w:noProof/>
          <w:sz w:val="22"/>
        </w:rPr>
      </w:pPr>
      <w:r w:rsidRPr="0001127D">
        <w:rPr>
          <w:rFonts w:ascii="Segoe UI Symbol" w:hAnsi="Segoe UI Symbol"/>
          <w:noProof/>
          <w:color w:val="333333"/>
          <w:sz w:val="27"/>
          <w:shd w:val="clear" w:color="auto" w:fill="FFFFFF"/>
        </w:rPr>
        <w:t>☒</w:t>
      </w:r>
      <w:r w:rsidRPr="0001127D">
        <w:rPr>
          <w:b/>
          <w:i/>
          <w:noProof/>
          <w:sz w:val="22"/>
        </w:rPr>
        <w:t xml:space="preserve"> </w:t>
      </w:r>
      <w:r w:rsidRPr="0001127D">
        <w:rPr>
          <w:b/>
          <w:noProof/>
        </w:rPr>
        <w:t>una nuova azione</w:t>
      </w:r>
      <w:r w:rsidRPr="0001127D">
        <w:rPr>
          <w:b/>
          <w:noProof/>
          <w:sz w:val="22"/>
        </w:rPr>
        <w:t xml:space="preserve"> </w:t>
      </w:r>
    </w:p>
    <w:p w14:paraId="6FBE54BE" w14:textId="3DDA225C" w:rsidR="00AB6191" w:rsidRPr="0001127D" w:rsidRDefault="00AB6191" w:rsidP="00AB6191">
      <w:pPr>
        <w:pStyle w:val="Text1"/>
        <w:rPr>
          <w:noProof/>
          <w:sz w:val="22"/>
        </w:rPr>
      </w:pPr>
      <w:r w:rsidRPr="0001127D">
        <w:rPr>
          <w:rFonts w:ascii="Wingdings" w:hAnsi="Wingdings"/>
          <w:noProof/>
          <w:sz w:val="22"/>
        </w:rPr>
        <w:t></w:t>
      </w:r>
      <w:r w:rsidRPr="0001127D">
        <w:rPr>
          <w:i/>
          <w:noProof/>
          <w:sz w:val="22"/>
        </w:rPr>
        <w:t xml:space="preserve"> </w:t>
      </w:r>
      <w:r w:rsidRPr="0001127D">
        <w:rPr>
          <w:b/>
          <w:noProof/>
        </w:rPr>
        <w:t>una nuova azione a seguito di un progetto pilota/un</w:t>
      </w:r>
      <w:r w:rsidR="00E64452" w:rsidRPr="0001127D">
        <w:rPr>
          <w:b/>
          <w:noProof/>
        </w:rPr>
        <w:t>'</w:t>
      </w:r>
      <w:r w:rsidRPr="0001127D">
        <w:rPr>
          <w:b/>
          <w:noProof/>
        </w:rPr>
        <w:t>azione preparatoria</w:t>
      </w:r>
      <w:r w:rsidRPr="0001127D">
        <w:rPr>
          <w:rStyle w:val="FootnoteReference"/>
          <w:noProof/>
        </w:rPr>
        <w:footnoteReference w:id="68"/>
      </w:r>
      <w:r w:rsidRPr="0001127D">
        <w:rPr>
          <w:noProof/>
          <w:sz w:val="22"/>
        </w:rPr>
        <w:t xml:space="preserve"> </w:t>
      </w:r>
    </w:p>
    <w:p w14:paraId="73C5DD61" w14:textId="5E35A8F6" w:rsidR="00AB6191" w:rsidRPr="0001127D" w:rsidRDefault="00AB6191" w:rsidP="00AB6191">
      <w:pPr>
        <w:pStyle w:val="Text1"/>
        <w:rPr>
          <w:noProof/>
          <w:sz w:val="22"/>
        </w:rPr>
      </w:pPr>
      <w:r w:rsidRPr="0001127D">
        <w:rPr>
          <w:rFonts w:ascii="Wingdings" w:hAnsi="Wingdings"/>
          <w:noProof/>
          <w:sz w:val="22"/>
        </w:rPr>
        <w:t></w:t>
      </w:r>
      <w:r w:rsidRPr="0001127D">
        <w:rPr>
          <w:i/>
          <w:noProof/>
          <w:sz w:val="22"/>
        </w:rPr>
        <w:t xml:space="preserve"> </w:t>
      </w:r>
      <w:r w:rsidRPr="0001127D">
        <w:rPr>
          <w:b/>
          <w:noProof/>
        </w:rPr>
        <w:t>la proroga di un</w:t>
      </w:r>
      <w:r w:rsidR="00E64452" w:rsidRPr="0001127D">
        <w:rPr>
          <w:b/>
          <w:noProof/>
        </w:rPr>
        <w:t>'</w:t>
      </w:r>
      <w:r w:rsidRPr="0001127D">
        <w:rPr>
          <w:b/>
          <w:noProof/>
        </w:rPr>
        <w:t>azione esistente</w:t>
      </w:r>
      <w:r w:rsidRPr="0001127D">
        <w:rPr>
          <w:noProof/>
          <w:sz w:val="22"/>
        </w:rPr>
        <w:t xml:space="preserve"> </w:t>
      </w:r>
    </w:p>
    <w:p w14:paraId="08CAC2DC" w14:textId="4F5C6D8A" w:rsidR="00AB6191" w:rsidRPr="0001127D" w:rsidRDefault="00AB6191" w:rsidP="00AB6191">
      <w:pPr>
        <w:pStyle w:val="Text1"/>
        <w:rPr>
          <w:noProof/>
        </w:rPr>
      </w:pPr>
      <w:r w:rsidRPr="0001127D">
        <w:rPr>
          <w:rFonts w:ascii="Wingdings" w:hAnsi="Wingdings"/>
          <w:noProof/>
          <w:sz w:val="22"/>
        </w:rPr>
        <w:t></w:t>
      </w:r>
      <w:r w:rsidRPr="0001127D">
        <w:rPr>
          <w:i/>
          <w:noProof/>
          <w:sz w:val="22"/>
        </w:rPr>
        <w:t xml:space="preserve"> </w:t>
      </w:r>
      <w:r w:rsidRPr="0001127D">
        <w:rPr>
          <w:b/>
          <w:noProof/>
        </w:rPr>
        <w:t>la fusione o il riorientamento di una o più azioni verso un</w:t>
      </w:r>
      <w:r w:rsidR="00E64452" w:rsidRPr="0001127D">
        <w:rPr>
          <w:b/>
          <w:noProof/>
        </w:rPr>
        <w:t>'</w:t>
      </w:r>
      <w:r w:rsidRPr="0001127D">
        <w:rPr>
          <w:b/>
          <w:noProof/>
        </w:rPr>
        <w:t>altra/una nuova azione</w:t>
      </w:r>
      <w:r w:rsidRPr="0001127D">
        <w:rPr>
          <w:noProof/>
        </w:rPr>
        <w:t xml:space="preserve"> </w:t>
      </w:r>
    </w:p>
    <w:p w14:paraId="65A225B2" w14:textId="77777777" w:rsidR="00AB6191" w:rsidRPr="0001127D" w:rsidRDefault="00AB6191" w:rsidP="00AB6191">
      <w:pPr>
        <w:pStyle w:val="ManualHeading2"/>
        <w:rPr>
          <w:bCs/>
          <w:noProof/>
          <w:szCs w:val="24"/>
        </w:rPr>
      </w:pPr>
      <w:bookmarkStart w:id="137" w:name="_Toc514938015"/>
      <w:bookmarkStart w:id="138" w:name="_Toc520485029"/>
      <w:bookmarkStart w:id="139" w:name="_Toc132359603"/>
      <w:r w:rsidRPr="0001127D">
        <w:rPr>
          <w:noProof/>
        </w:rPr>
        <w:t>1.4.</w:t>
      </w:r>
      <w:r w:rsidRPr="0001127D">
        <w:rPr>
          <w:noProof/>
        </w:rPr>
        <w:tab/>
        <w:t>Obiettivi</w:t>
      </w:r>
      <w:bookmarkEnd w:id="137"/>
      <w:bookmarkEnd w:id="138"/>
      <w:bookmarkEnd w:id="139"/>
    </w:p>
    <w:p w14:paraId="188D0B36" w14:textId="77777777" w:rsidR="00AB6191" w:rsidRPr="0001127D" w:rsidRDefault="00AB6191" w:rsidP="00AB6191">
      <w:pPr>
        <w:pStyle w:val="ManualHeading3"/>
        <w:rPr>
          <w:noProof/>
        </w:rPr>
      </w:pPr>
      <w:bookmarkStart w:id="140" w:name="_Toc514938016"/>
      <w:bookmarkStart w:id="141" w:name="_Toc520485030"/>
      <w:bookmarkStart w:id="142" w:name="_Toc132359604"/>
      <w:r w:rsidRPr="0001127D">
        <w:rPr>
          <w:noProof/>
        </w:rPr>
        <w:t>1.4.1.</w:t>
      </w:r>
      <w:r w:rsidRPr="0001127D">
        <w:rPr>
          <w:noProof/>
        </w:rPr>
        <w:tab/>
        <w:t>Obiettivi generali</w:t>
      </w:r>
      <w:bookmarkEnd w:id="140"/>
      <w:bookmarkEnd w:id="141"/>
      <w:bookmarkEnd w:id="142"/>
    </w:p>
    <w:tbl>
      <w:tblPr>
        <w:tblStyle w:val="TableGrid"/>
        <w:tblW w:w="0" w:type="auto"/>
        <w:tblInd w:w="850" w:type="dxa"/>
        <w:tblLook w:val="04A0" w:firstRow="1" w:lastRow="0" w:firstColumn="1" w:lastColumn="0" w:noHBand="0" w:noVBand="1"/>
      </w:tblPr>
      <w:tblGrid>
        <w:gridCol w:w="13938"/>
      </w:tblGrid>
      <w:tr w:rsidR="00E302F1" w:rsidRPr="0001127D" w14:paraId="6F066C8A" w14:textId="77777777" w:rsidTr="00E302F1">
        <w:tc>
          <w:tcPr>
            <w:tcW w:w="14788" w:type="dxa"/>
          </w:tcPr>
          <w:p w14:paraId="75F3DF85" w14:textId="77777777" w:rsidR="00E302F1" w:rsidRPr="0001127D" w:rsidRDefault="00E302F1" w:rsidP="00E302F1">
            <w:pPr>
              <w:pStyle w:val="Text1"/>
              <w:ind w:left="142"/>
              <w:jc w:val="left"/>
              <w:rPr>
                <w:noProof/>
              </w:rPr>
            </w:pPr>
            <w:r w:rsidRPr="0001127D">
              <w:rPr>
                <w:noProof/>
              </w:rPr>
              <w:t>Gli obiettivi generali della presente proposta sono:</w:t>
            </w:r>
          </w:p>
          <w:p w14:paraId="27D2E768" w14:textId="77777777" w:rsidR="00E302F1" w:rsidRPr="0001127D" w:rsidRDefault="00E302F1" w:rsidP="00432A4D">
            <w:pPr>
              <w:pStyle w:val="Tiret1"/>
              <w:numPr>
                <w:ilvl w:val="0"/>
                <w:numId w:val="19"/>
              </w:numPr>
              <w:tabs>
                <w:tab w:val="clear" w:pos="1417"/>
                <w:tab w:val="num" w:pos="425"/>
              </w:tabs>
              <w:ind w:left="142" w:firstLine="0"/>
              <w:contextualSpacing/>
              <w:jc w:val="left"/>
              <w:rPr>
                <w:noProof/>
              </w:rPr>
            </w:pPr>
            <w:r w:rsidRPr="0001127D">
              <w:rPr>
                <w:noProof/>
              </w:rPr>
              <w:t>maggiore trasparenza e fiducia nel contesto imprenditoriale;</w:t>
            </w:r>
          </w:p>
          <w:p w14:paraId="61043E72" w14:textId="77777777" w:rsidR="00E302F1" w:rsidRPr="0001127D" w:rsidRDefault="00E302F1" w:rsidP="00E302F1">
            <w:pPr>
              <w:pStyle w:val="Tiret1"/>
              <w:tabs>
                <w:tab w:val="clear" w:pos="1417"/>
                <w:tab w:val="num" w:pos="425"/>
              </w:tabs>
              <w:ind w:left="709"/>
              <w:contextualSpacing/>
              <w:rPr>
                <w:noProof/>
              </w:rPr>
            </w:pPr>
            <w:r w:rsidRPr="0001127D">
              <w:rPr>
                <w:noProof/>
              </w:rPr>
              <w:t>servizi pubblici transfrontalieri più digitalizzati e connessi per le imprese;</w:t>
            </w:r>
          </w:p>
          <w:p w14:paraId="7ADC880F" w14:textId="5054F80A" w:rsidR="00E302F1" w:rsidRPr="0001127D" w:rsidRDefault="00E302F1" w:rsidP="00E302F1">
            <w:pPr>
              <w:pStyle w:val="Tiret1"/>
              <w:tabs>
                <w:tab w:val="clear" w:pos="1417"/>
                <w:tab w:val="num" w:pos="425"/>
              </w:tabs>
              <w:ind w:left="142" w:firstLine="0"/>
              <w:contextualSpacing/>
              <w:jc w:val="left"/>
              <w:rPr>
                <w:noProof/>
              </w:rPr>
            </w:pPr>
            <w:r w:rsidRPr="0001127D">
              <w:rPr>
                <w:noProof/>
              </w:rPr>
              <w:t>agevolazione dell</w:t>
            </w:r>
            <w:r w:rsidR="00E64452" w:rsidRPr="0001127D">
              <w:rPr>
                <w:noProof/>
              </w:rPr>
              <w:t>'</w:t>
            </w:r>
            <w:r w:rsidRPr="0001127D">
              <w:rPr>
                <w:noProof/>
              </w:rPr>
              <w:t>espansione transfrontaliera per le PMI;</w:t>
            </w:r>
          </w:p>
          <w:p w14:paraId="795C8FD2" w14:textId="483EBA3A" w:rsidR="00E302F1" w:rsidRPr="0001127D" w:rsidRDefault="00E302F1" w:rsidP="00E302F1">
            <w:pPr>
              <w:pStyle w:val="Tiret1"/>
              <w:tabs>
                <w:tab w:val="clear" w:pos="1417"/>
                <w:tab w:val="num" w:pos="425"/>
              </w:tabs>
              <w:ind w:hanging="1275"/>
              <w:contextualSpacing/>
              <w:rPr>
                <w:noProof/>
              </w:rPr>
            </w:pPr>
            <w:r w:rsidRPr="0001127D">
              <w:rPr>
                <w:noProof/>
              </w:rPr>
              <w:t>un</w:t>
            </w:r>
            <w:r w:rsidR="00E64452" w:rsidRPr="0001127D">
              <w:rPr>
                <w:noProof/>
              </w:rPr>
              <w:t>'</w:t>
            </w:r>
            <w:r w:rsidRPr="0001127D">
              <w:rPr>
                <w:noProof/>
              </w:rPr>
              <w:t>azione più efficace dell</w:t>
            </w:r>
            <w:r w:rsidR="00E64452" w:rsidRPr="0001127D">
              <w:rPr>
                <w:noProof/>
              </w:rPr>
              <w:t>'</w:t>
            </w:r>
            <w:r w:rsidRPr="0001127D">
              <w:rPr>
                <w:noProof/>
              </w:rPr>
              <w:t xml:space="preserve">UE contro gli abusi e le frodi. </w:t>
            </w:r>
          </w:p>
        </w:tc>
      </w:tr>
    </w:tbl>
    <w:p w14:paraId="647ED0B5" w14:textId="77777777" w:rsidR="00AB6191" w:rsidRPr="0001127D" w:rsidRDefault="00AB6191" w:rsidP="00AB6191">
      <w:pPr>
        <w:pStyle w:val="ManualHeading3"/>
        <w:rPr>
          <w:bCs/>
          <w:noProof/>
          <w:szCs w:val="24"/>
        </w:rPr>
      </w:pPr>
      <w:bookmarkStart w:id="143" w:name="_Toc514938018"/>
      <w:bookmarkStart w:id="144" w:name="_Toc520485031"/>
      <w:bookmarkStart w:id="145" w:name="_Toc132359605"/>
      <w:r w:rsidRPr="0001127D">
        <w:rPr>
          <w:noProof/>
        </w:rPr>
        <w:t>1.4.2.</w:t>
      </w:r>
      <w:r w:rsidRPr="0001127D">
        <w:rPr>
          <w:noProof/>
        </w:rPr>
        <w:tab/>
        <w:t>Obiettivi specifici</w:t>
      </w:r>
      <w:bookmarkEnd w:id="143"/>
      <w:bookmarkEnd w:id="144"/>
      <w:bookmarkEnd w:id="145"/>
    </w:p>
    <w:p w14:paraId="7019A337"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u w:val="single"/>
        </w:rPr>
      </w:pPr>
      <w:r w:rsidRPr="0001127D">
        <w:rPr>
          <w:noProof/>
          <w:u w:val="single"/>
        </w:rPr>
        <w:t>Obiettivo specifico 1</w:t>
      </w:r>
    </w:p>
    <w:p w14:paraId="229771AA" w14:textId="730568D5"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Aumentare la quantità e migliorare l</w:t>
      </w:r>
      <w:r w:rsidR="00E64452" w:rsidRPr="0001127D">
        <w:rPr>
          <w:noProof/>
        </w:rPr>
        <w:t>'</w:t>
      </w:r>
      <w:r w:rsidRPr="0001127D">
        <w:rPr>
          <w:noProof/>
        </w:rPr>
        <w:t>affidabilità dei dati sulle società disponibili nei registri delle imprese e/o nel sistema di interconnessione dei registri delle imprese (BRIS).</w:t>
      </w:r>
    </w:p>
    <w:p w14:paraId="26F043D4"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u w:val="single"/>
        </w:rPr>
      </w:pPr>
      <w:r w:rsidRPr="0001127D">
        <w:rPr>
          <w:noProof/>
          <w:u w:val="single"/>
        </w:rPr>
        <w:t>Obiettivo specifico 2</w:t>
      </w:r>
    </w:p>
    <w:p w14:paraId="6A66D0EA" w14:textId="499C32FA"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Consentire l</w:t>
      </w:r>
      <w:r w:rsidR="00E64452" w:rsidRPr="0001127D">
        <w:rPr>
          <w:noProof/>
        </w:rPr>
        <w:t>'</w:t>
      </w:r>
      <w:r w:rsidRPr="0001127D">
        <w:rPr>
          <w:noProof/>
        </w:rPr>
        <w:t>utilizzo diretto dei dati sulle società disponibili nei registri delle imprese al momento della costituzione di succursali e controllate transfrontaliere e nell</w:t>
      </w:r>
      <w:r w:rsidR="00E64452" w:rsidRPr="0001127D">
        <w:rPr>
          <w:noProof/>
        </w:rPr>
        <w:t>'</w:t>
      </w:r>
      <w:r w:rsidRPr="0001127D">
        <w:rPr>
          <w:noProof/>
        </w:rPr>
        <w:t>ambito di altre attività e situazioni transfrontaliere.</w:t>
      </w:r>
    </w:p>
    <w:p w14:paraId="056983FE" w14:textId="77777777" w:rsidR="00AB6191" w:rsidRPr="0001127D" w:rsidRDefault="00AB6191" w:rsidP="00AB6191">
      <w:pPr>
        <w:pStyle w:val="ManualHeading3"/>
        <w:rPr>
          <w:noProof/>
        </w:rPr>
      </w:pPr>
      <w:bookmarkStart w:id="146" w:name="_Toc514938019"/>
      <w:bookmarkStart w:id="147" w:name="_Toc520485032"/>
      <w:bookmarkStart w:id="148" w:name="_Toc132359606"/>
      <w:r w:rsidRPr="0001127D">
        <w:rPr>
          <w:noProof/>
        </w:rPr>
        <w:t>1.4.3.</w:t>
      </w:r>
      <w:r w:rsidRPr="0001127D">
        <w:rPr>
          <w:noProof/>
        </w:rPr>
        <w:tab/>
        <w:t>Risultati e incidenza previsti</w:t>
      </w:r>
      <w:bookmarkEnd w:id="146"/>
      <w:bookmarkEnd w:id="147"/>
      <w:bookmarkEnd w:id="148"/>
    </w:p>
    <w:p w14:paraId="3BF958BA" w14:textId="5ED79732" w:rsidR="00AE22B2" w:rsidRPr="0001127D"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01127D">
        <w:rPr>
          <w:noProof/>
          <w:shd w:val="clear" w:color="auto" w:fill="FFFFFF"/>
        </w:rPr>
        <w:t>I risultati e l</w:t>
      </w:r>
      <w:r w:rsidR="00E64452" w:rsidRPr="0001127D">
        <w:rPr>
          <w:noProof/>
          <w:shd w:val="clear" w:color="auto" w:fill="FFFFFF"/>
        </w:rPr>
        <w:t>'</w:t>
      </w:r>
      <w:r w:rsidRPr="0001127D">
        <w:rPr>
          <w:noProof/>
          <w:shd w:val="clear" w:color="auto" w:fill="FFFFFF"/>
        </w:rPr>
        <w:t>incidenza previsti della presente proposta sono:</w:t>
      </w:r>
    </w:p>
    <w:p w14:paraId="67CDACE9" w14:textId="33581793"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imprese: l</w:t>
      </w:r>
      <w:r w:rsidR="00E64452" w:rsidRPr="0001127D">
        <w:rPr>
          <w:noProof/>
        </w:rPr>
        <w:t>'</w:t>
      </w:r>
      <w:r w:rsidRPr="0001127D">
        <w:rPr>
          <w:noProof/>
        </w:rPr>
        <w:t>accessibilità al pubblico di dati più importanti sulle società nei registri delle imprese e a livello dell</w:t>
      </w:r>
      <w:r w:rsidR="00E64452" w:rsidRPr="0001127D">
        <w:rPr>
          <w:noProof/>
        </w:rPr>
        <w:t>'</w:t>
      </w:r>
      <w:r w:rsidRPr="0001127D">
        <w:rPr>
          <w:noProof/>
        </w:rPr>
        <w:t>UE attraverso il BRIS e il miglioramento dell</w:t>
      </w:r>
      <w:r w:rsidR="00E64452" w:rsidRPr="0001127D">
        <w:rPr>
          <w:noProof/>
        </w:rPr>
        <w:t>'</w:t>
      </w:r>
      <w:r w:rsidRPr="0001127D">
        <w:rPr>
          <w:noProof/>
        </w:rPr>
        <w:t>affidabilità di tali dati ridurranno gli oneri amministrativi complessivi delle società, il che, a sua volta, agevolerà l</w:t>
      </w:r>
      <w:r w:rsidR="00E64452" w:rsidRPr="0001127D">
        <w:rPr>
          <w:noProof/>
        </w:rPr>
        <w:t>'</w:t>
      </w:r>
      <w:r w:rsidRPr="0001127D">
        <w:rPr>
          <w:noProof/>
        </w:rPr>
        <w:t>accesso ai finanziamenti e la costituzione di imprese. L</w:t>
      </w:r>
      <w:r w:rsidR="00E64452" w:rsidRPr="0001127D">
        <w:rPr>
          <w:noProof/>
        </w:rPr>
        <w:t>'</w:t>
      </w:r>
      <w:r w:rsidRPr="0001127D">
        <w:rPr>
          <w:noProof/>
        </w:rPr>
        <w:t>agevolazione dell</w:t>
      </w:r>
      <w:r w:rsidR="00E64452" w:rsidRPr="0001127D">
        <w:rPr>
          <w:noProof/>
        </w:rPr>
        <w:t>'</w:t>
      </w:r>
      <w:r w:rsidRPr="0001127D">
        <w:rPr>
          <w:noProof/>
        </w:rPr>
        <w:t>utilizzo transfrontaliero di tali dati in caso di costituzione di nuove controllate o succursali transfrontaliere o in altre situazioni transfrontaliere si tradurrà in importanti risparmi sui costi ricorrenti e, di conseguenza, semplificherà notevolmente lo svolgimento delle attività imprenditoriali transfrontaliere e faciliterà l</w:t>
      </w:r>
      <w:r w:rsidR="00E64452" w:rsidRPr="0001127D">
        <w:rPr>
          <w:noProof/>
        </w:rPr>
        <w:t>'</w:t>
      </w:r>
      <w:r w:rsidRPr="0001127D">
        <w:rPr>
          <w:noProof/>
        </w:rPr>
        <w:t>accesso ai mercati di altri Stati membri;</w:t>
      </w:r>
    </w:p>
    <w:p w14:paraId="586F6293" w14:textId="61D23947" w:rsidR="00AB6191" w:rsidRPr="0001127D" w:rsidRDefault="006C7DB0" w:rsidP="00AB6191">
      <w:pPr>
        <w:pStyle w:val="Text1"/>
        <w:pBdr>
          <w:top w:val="single" w:sz="4" w:space="1" w:color="auto"/>
          <w:left w:val="single" w:sz="4" w:space="4" w:color="auto"/>
          <w:bottom w:val="single" w:sz="4" w:space="1" w:color="auto"/>
          <w:right w:val="single" w:sz="4" w:space="4" w:color="auto"/>
        </w:pBdr>
        <w:rPr>
          <w:rFonts w:cstheme="minorHAnsi"/>
          <w:noProof/>
        </w:rPr>
      </w:pPr>
      <w:r w:rsidRPr="0001127D">
        <w:rPr>
          <w:noProof/>
        </w:rPr>
        <w:t>- registri delle imprese: l</w:t>
      </w:r>
      <w:r w:rsidR="00E64452" w:rsidRPr="0001127D">
        <w:rPr>
          <w:noProof/>
        </w:rPr>
        <w:t>'</w:t>
      </w:r>
      <w:r w:rsidRPr="0001127D">
        <w:rPr>
          <w:noProof/>
        </w:rPr>
        <w:t>aumento dell</w:t>
      </w:r>
      <w:r w:rsidR="00E64452" w:rsidRPr="0001127D">
        <w:rPr>
          <w:noProof/>
        </w:rPr>
        <w:t>'</w:t>
      </w:r>
      <w:r w:rsidRPr="0001127D">
        <w:rPr>
          <w:noProof/>
        </w:rPr>
        <w:t>accessibilità e dell</w:t>
      </w:r>
      <w:r w:rsidR="00E64452" w:rsidRPr="0001127D">
        <w:rPr>
          <w:noProof/>
        </w:rPr>
        <w:t>'</w:t>
      </w:r>
      <w:r w:rsidRPr="0001127D">
        <w:rPr>
          <w:noProof/>
        </w:rPr>
        <w:t>affidabilità dei dati sulle società e il miglioramento dei collegamenti tra i registri, sia grazie all</w:t>
      </w:r>
      <w:r w:rsidR="00E64452" w:rsidRPr="0001127D">
        <w:rPr>
          <w:noProof/>
        </w:rPr>
        <w:t>'</w:t>
      </w:r>
      <w:r w:rsidRPr="0001127D">
        <w:rPr>
          <w:noProof/>
        </w:rPr>
        <w:t xml:space="preserve">applicazione del principio </w:t>
      </w:r>
      <w:r w:rsidR="00E64452" w:rsidRPr="0001127D">
        <w:rPr>
          <w:noProof/>
        </w:rPr>
        <w:t>"</w:t>
      </w:r>
      <w:r w:rsidRPr="0001127D">
        <w:rPr>
          <w:noProof/>
        </w:rPr>
        <w:t>una tantum</w:t>
      </w:r>
      <w:r w:rsidR="00E64452" w:rsidRPr="0001127D">
        <w:rPr>
          <w:noProof/>
        </w:rPr>
        <w:t>"</w:t>
      </w:r>
      <w:r w:rsidRPr="0001127D">
        <w:rPr>
          <w:noProof/>
        </w:rPr>
        <w:t xml:space="preserve"> che attraverso il collegamento di altri sistemi/registri a livello dell</w:t>
      </w:r>
      <w:r w:rsidR="00E64452" w:rsidRPr="0001127D">
        <w:rPr>
          <w:noProof/>
        </w:rPr>
        <w:t>'</w:t>
      </w:r>
      <w:r w:rsidRPr="0001127D">
        <w:rPr>
          <w:noProof/>
        </w:rPr>
        <w:t>UE al BRIS, dovrebbero agevolare il lavoro dei registri. Si prevedono spese una tantum relative all</w:t>
      </w:r>
      <w:r w:rsidR="00E64452" w:rsidRPr="0001127D">
        <w:rPr>
          <w:noProof/>
        </w:rPr>
        <w:t>'</w:t>
      </w:r>
      <w:r w:rsidRPr="0001127D">
        <w:rPr>
          <w:noProof/>
        </w:rPr>
        <w:t>adeguamento dei sistemi informatici da parte dei registri delle imprese e costi ricorrenti, ad esempio per la verifica ex ante dei dati sulle società;</w:t>
      </w:r>
    </w:p>
    <w:p w14:paraId="44258BE0" w14:textId="52109EBD" w:rsidR="00AB6191" w:rsidRPr="0001127D" w:rsidRDefault="006C7DB0" w:rsidP="00AB6191">
      <w:pPr>
        <w:pStyle w:val="Text1"/>
        <w:pBdr>
          <w:top w:val="single" w:sz="4" w:space="1" w:color="auto"/>
          <w:left w:val="single" w:sz="4" w:space="4" w:color="auto"/>
          <w:bottom w:val="single" w:sz="4" w:space="1" w:color="auto"/>
          <w:right w:val="single" w:sz="4" w:space="4" w:color="auto"/>
        </w:pBdr>
        <w:rPr>
          <w:rFonts w:eastAsia="Calibri"/>
          <w:noProof/>
        </w:rPr>
      </w:pPr>
      <w:r w:rsidRPr="0001127D">
        <w:rPr>
          <w:noProof/>
        </w:rPr>
        <w:t>- altre autorità pubbliche: un accesso più agevole a un maggior numero di informazioni faciliterà il lavoro delle autorità, ad esempio nella lotta contro le frodi e gli abusi. L</w:t>
      </w:r>
      <w:r w:rsidR="00E64452" w:rsidRPr="0001127D">
        <w:rPr>
          <w:noProof/>
        </w:rPr>
        <w:t>'</w:t>
      </w:r>
      <w:r w:rsidRPr="0001127D">
        <w:rPr>
          <w:noProof/>
        </w:rPr>
        <w:t xml:space="preserve">applicazione del principio </w:t>
      </w:r>
      <w:r w:rsidR="00E64452" w:rsidRPr="0001127D">
        <w:rPr>
          <w:noProof/>
        </w:rPr>
        <w:t>"</w:t>
      </w:r>
      <w:r w:rsidRPr="0001127D">
        <w:rPr>
          <w:noProof/>
        </w:rPr>
        <w:t>una tantum</w:t>
      </w:r>
      <w:r w:rsidR="00E64452" w:rsidRPr="0001127D">
        <w:rPr>
          <w:noProof/>
        </w:rPr>
        <w:t>"</w:t>
      </w:r>
      <w:r w:rsidRPr="0001127D">
        <w:rPr>
          <w:noProof/>
        </w:rPr>
        <w:t xml:space="preserve"> e la creazione di amministrazioni pubbliche più connesse attraverso la digitalizzazione comporteranno una riduzione degli oneri anche per le autorità pubbliche. Le autorità incaricate dell</w:t>
      </w:r>
      <w:r w:rsidR="00E64452" w:rsidRPr="0001127D">
        <w:rPr>
          <w:noProof/>
        </w:rPr>
        <w:t>'</w:t>
      </w:r>
      <w:r w:rsidRPr="0001127D">
        <w:rPr>
          <w:noProof/>
        </w:rPr>
        <w:t>emissione dell</w:t>
      </w:r>
      <w:r w:rsidR="00E64452" w:rsidRPr="0001127D">
        <w:rPr>
          <w:noProof/>
        </w:rPr>
        <w:t>'</w:t>
      </w:r>
      <w:r w:rsidRPr="0001127D">
        <w:rPr>
          <w:noProof/>
        </w:rPr>
        <w:t>apostilla perderanno alcune entrate derivanti dall</w:t>
      </w:r>
      <w:r w:rsidR="00E64452" w:rsidRPr="0001127D">
        <w:rPr>
          <w:noProof/>
        </w:rPr>
        <w:t>'</w:t>
      </w:r>
      <w:r w:rsidRPr="0001127D">
        <w:rPr>
          <w:noProof/>
        </w:rPr>
        <w:t>abolizione dell</w:t>
      </w:r>
      <w:r w:rsidR="00E64452" w:rsidRPr="0001127D">
        <w:rPr>
          <w:noProof/>
        </w:rPr>
        <w:t>'</w:t>
      </w:r>
      <w:r w:rsidRPr="0001127D">
        <w:rPr>
          <w:noProof/>
        </w:rPr>
        <w:t>apostilla, ma avranno meno oneri amministrativi, se si considerano l</w:t>
      </w:r>
      <w:r w:rsidR="00E64452" w:rsidRPr="0001127D">
        <w:rPr>
          <w:noProof/>
        </w:rPr>
        <w:t>'</w:t>
      </w:r>
      <w:r w:rsidRPr="0001127D">
        <w:rPr>
          <w:noProof/>
        </w:rPr>
        <w:t>attuale incertezza giuridica nonché le risorse umane e la tempistica necessarie per l</w:t>
      </w:r>
      <w:r w:rsidR="00E64452" w:rsidRPr="0001127D">
        <w:rPr>
          <w:noProof/>
        </w:rPr>
        <w:t>'</w:t>
      </w:r>
      <w:r w:rsidRPr="0001127D">
        <w:rPr>
          <w:noProof/>
        </w:rPr>
        <w:t>emissione dell</w:t>
      </w:r>
      <w:r w:rsidR="00E64452" w:rsidRPr="0001127D">
        <w:rPr>
          <w:noProof/>
        </w:rPr>
        <w:t>'</w:t>
      </w:r>
      <w:r w:rsidRPr="0001127D">
        <w:rPr>
          <w:noProof/>
        </w:rPr>
        <w:t>apostilla;</w:t>
      </w:r>
    </w:p>
    <w:p w14:paraId="6F73EE7B" w14:textId="42A2CB5E"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i cittadini e i consumatori beneficeranno di un accesso più agevole a dati affidabili sulle società. La società in generale trarrà vantaggio dall</w:t>
      </w:r>
      <w:r w:rsidR="00E64452" w:rsidRPr="0001127D">
        <w:rPr>
          <w:noProof/>
        </w:rPr>
        <w:t>'</w:t>
      </w:r>
      <w:r w:rsidRPr="0001127D">
        <w:rPr>
          <w:noProof/>
        </w:rPr>
        <w:t>iniziativa in quanto quest</w:t>
      </w:r>
      <w:r w:rsidR="00E64452" w:rsidRPr="0001127D">
        <w:rPr>
          <w:noProof/>
        </w:rPr>
        <w:t>'</w:t>
      </w:r>
      <w:r w:rsidRPr="0001127D">
        <w:rPr>
          <w:noProof/>
        </w:rPr>
        <w:t>ultima favorirà la lotta contro le frodi e gli abusi e promuoverà gli strumenti digitali;</w:t>
      </w:r>
    </w:p>
    <w:p w14:paraId="4D90EA48" w14:textId="007A6DF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xml:space="preserve">- impatto ambientale positivo, derivante principalmente da una maggiore possibilità di utilizzare procedure e strumenti digitali tra i registri delle imprese e le società, nonché tra i registri delle imprese di diversi Stati membri attraverso il BRIS, nonché da una maggiore applicazione del principio </w:t>
      </w:r>
      <w:r w:rsidR="00E64452" w:rsidRPr="0001127D">
        <w:rPr>
          <w:noProof/>
        </w:rPr>
        <w:t>"</w:t>
      </w:r>
      <w:r w:rsidRPr="0001127D">
        <w:rPr>
          <w:noProof/>
        </w:rPr>
        <w:t>una tantum</w:t>
      </w:r>
      <w:r w:rsidR="00E64452" w:rsidRPr="0001127D">
        <w:rPr>
          <w:noProof/>
        </w:rPr>
        <w:t>"</w:t>
      </w:r>
      <w:r w:rsidRPr="0001127D">
        <w:rPr>
          <w:noProof/>
        </w:rPr>
        <w:t xml:space="preserve"> (in termini, ad esempio, di ridotto utilizzo di carta, necessità di spostamenti). </w:t>
      </w:r>
    </w:p>
    <w:p w14:paraId="4B78A0E6" w14:textId="77777777" w:rsidR="00AB6191" w:rsidRPr="0001127D" w:rsidRDefault="00AB6191" w:rsidP="00AB6191">
      <w:pPr>
        <w:pStyle w:val="ManualHeading3"/>
        <w:rPr>
          <w:noProof/>
          <w:szCs w:val="24"/>
        </w:rPr>
      </w:pPr>
      <w:bookmarkStart w:id="149" w:name="_Toc514938023"/>
      <w:bookmarkStart w:id="150" w:name="_Toc520485033"/>
      <w:bookmarkStart w:id="151" w:name="_Toc132359607"/>
      <w:r w:rsidRPr="0001127D">
        <w:rPr>
          <w:noProof/>
        </w:rPr>
        <w:t>1.4.4.</w:t>
      </w:r>
      <w:r w:rsidRPr="0001127D">
        <w:rPr>
          <w:noProof/>
        </w:rPr>
        <w:tab/>
        <w:t>Indicatori di prestazione</w:t>
      </w:r>
      <w:bookmarkEnd w:id="149"/>
      <w:bookmarkEnd w:id="150"/>
      <w:bookmarkEnd w:id="151"/>
    </w:p>
    <w:p w14:paraId="6DC1821A"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Indicatore 1 (obiettivo specifico 1)</w:t>
      </w:r>
    </w:p>
    <w:p w14:paraId="33A90486"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Gli indicatori saranno i seguenti:</w:t>
      </w:r>
    </w:p>
    <w:p w14:paraId="761F63DD" w14:textId="717A97E8"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xml:space="preserve">- numero di richieste di dati sulle società trasmesse attraverso la pagina </w:t>
      </w:r>
      <w:r w:rsidR="00E64452" w:rsidRPr="0001127D">
        <w:rPr>
          <w:noProof/>
        </w:rPr>
        <w:t>"</w:t>
      </w:r>
      <w:r w:rsidRPr="0001127D">
        <w:rPr>
          <w:noProof/>
        </w:rPr>
        <w:t>Trova un</w:t>
      </w:r>
      <w:r w:rsidR="00E64452" w:rsidRPr="0001127D">
        <w:rPr>
          <w:noProof/>
        </w:rPr>
        <w:t>'</w:t>
      </w:r>
      <w:r w:rsidRPr="0001127D">
        <w:rPr>
          <w:noProof/>
        </w:rPr>
        <w:t>impresa</w:t>
      </w:r>
      <w:r w:rsidR="00E64452" w:rsidRPr="0001127D">
        <w:rPr>
          <w:noProof/>
        </w:rPr>
        <w:t>"</w:t>
      </w:r>
      <w:r w:rsidRPr="0001127D">
        <w:rPr>
          <w:noProof/>
        </w:rPr>
        <w:t xml:space="preserve"> del BRIS sul portale europeo della giustizia elettronica; </w:t>
      </w:r>
    </w:p>
    <w:p w14:paraId="2D4717A9" w14:textId="0C0398F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numero di richieste di dati sulle società dall</w:t>
      </w:r>
      <w:r w:rsidR="00E64452" w:rsidRPr="0001127D">
        <w:rPr>
          <w:noProof/>
        </w:rPr>
        <w:t>'</w:t>
      </w:r>
      <w:r w:rsidRPr="0001127D">
        <w:rPr>
          <w:noProof/>
        </w:rPr>
        <w:t>interconnessione dei registri dei titolari effettivi (BORIS) e dall</w:t>
      </w:r>
      <w:r w:rsidR="00E64452" w:rsidRPr="0001127D">
        <w:rPr>
          <w:noProof/>
        </w:rPr>
        <w:t>'</w:t>
      </w:r>
      <w:r w:rsidRPr="0001127D">
        <w:rPr>
          <w:noProof/>
        </w:rPr>
        <w:t>interconnessione dei registri fallimentari (IRI);</w:t>
      </w:r>
    </w:p>
    <w:p w14:paraId="1B638A56"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numero di soggetti giuridici aventi un numero EUID (identificativo della società automaticamente attribuito alle società le cui informazioni sono disponibili attraverso il BRIS);</w:t>
      </w:r>
    </w:p>
    <w:p w14:paraId="54BEB3D9"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pareri dei portatori di interessi (società, registri, autorità pubbliche) sulla misura in cui è possibile cercare e accedere ai dati sulle società su base transfrontaliera.</w:t>
      </w:r>
    </w:p>
    <w:p w14:paraId="330664EC" w14:textId="38383E06"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Gli indicatori saranno misurati rispetto allo scenario di base (ad es. numero di richieste prima dell</w:t>
      </w:r>
      <w:r w:rsidR="00E64452" w:rsidRPr="0001127D">
        <w:rPr>
          <w:noProof/>
        </w:rPr>
        <w:t>'</w:t>
      </w:r>
      <w:r w:rsidRPr="0001127D">
        <w:rPr>
          <w:noProof/>
        </w:rPr>
        <w:t>inizio dell</w:t>
      </w:r>
      <w:r w:rsidR="00E64452" w:rsidRPr="0001127D">
        <w:rPr>
          <w:noProof/>
        </w:rPr>
        <w:t>'</w:t>
      </w:r>
      <w:r w:rsidRPr="0001127D">
        <w:rPr>
          <w:noProof/>
        </w:rPr>
        <w:t>attuazione, principalmente sulla base di dati statistici ottenuti dal BRIS). L</w:t>
      </w:r>
      <w:r w:rsidR="00E64452" w:rsidRPr="0001127D">
        <w:rPr>
          <w:noProof/>
        </w:rPr>
        <w:t>'</w:t>
      </w:r>
      <w:r w:rsidRPr="0001127D">
        <w:rPr>
          <w:noProof/>
        </w:rPr>
        <w:t>obiettivo è un notevole aumento dei numeri. Un obiettivo più preciso non è possibile in quanto le cifre dipendono anche da molti altri fattori non correlati alla proposta (ad es. la situazione economica nel mercato unico).</w:t>
      </w:r>
    </w:p>
    <w:p w14:paraId="175A8A74" w14:textId="77777777" w:rsidR="00AB6191" w:rsidRPr="0001127D" w:rsidRDefault="00A00460"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Gli indicatori saranno monitorati su base annuale, a partire da non prima di un anno dal momento in cui le misure sono pienamente recepite e operative negli Stati membri e per una durata di 5 anni (da inserire nella relazione di valutazione della direttiva).</w:t>
      </w:r>
    </w:p>
    <w:p w14:paraId="077E3A05"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Indicatore 2 (obiettivo specifico 2)</w:t>
      </w:r>
    </w:p>
    <w:p w14:paraId="108475EF"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Gli indicatori saranno i seguenti:</w:t>
      </w:r>
    </w:p>
    <w:p w14:paraId="44AD1A6E"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costi sostenuti dalle società per la costituzione di controllate o succursali in altri Stati membri;</w:t>
      </w:r>
    </w:p>
    <w:p w14:paraId="3FDBC82D"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numero di estratti comuni della società rilasciati;</w:t>
      </w:r>
    </w:p>
    <w:p w14:paraId="6D9B347F"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pareri dei portatori di interessi (società, registri, autorità pubbliche) sulla misura in cui è possibile utilizzare direttamente i dati sulle società su base transfrontaliera.</w:t>
      </w:r>
    </w:p>
    <w:p w14:paraId="7639D748" w14:textId="42C82E9E"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Gli indicatori saranno misurati rispetto allo scenario di base (ad es. i costi prima dell</w:t>
      </w:r>
      <w:r w:rsidR="00E64452" w:rsidRPr="0001127D">
        <w:rPr>
          <w:noProof/>
        </w:rPr>
        <w:t>'</w:t>
      </w:r>
      <w:r w:rsidRPr="0001127D">
        <w:rPr>
          <w:noProof/>
        </w:rPr>
        <w:t>inizio dell</w:t>
      </w:r>
      <w:r w:rsidR="00E64452" w:rsidRPr="0001127D">
        <w:rPr>
          <w:noProof/>
        </w:rPr>
        <w:t>'</w:t>
      </w:r>
      <w:r w:rsidRPr="0001127D">
        <w:rPr>
          <w:noProof/>
        </w:rPr>
        <w:t>attuazione, principalmente sulla base di dati statistici ottenuti dal BRIS, dai registri delle imprese e dalle autorità degli Stati membri, ove siano disponibili dati). L</w:t>
      </w:r>
      <w:r w:rsidR="00E64452" w:rsidRPr="0001127D">
        <w:rPr>
          <w:noProof/>
        </w:rPr>
        <w:t>'</w:t>
      </w:r>
      <w:r w:rsidRPr="0001127D">
        <w:rPr>
          <w:noProof/>
        </w:rPr>
        <w:t>obiettivo è una notevole riduzione dei costi o un aumento del numero di estratti comuni della società. Un obiettivo più preciso non è possibile in quanto le cifre dipendono anche da molti altri fattori non correlati alla proposta (ad es. la situazione economica nel mercato unico).</w:t>
      </w:r>
    </w:p>
    <w:p w14:paraId="2404DBC5" w14:textId="77777777" w:rsidR="00AB6191" w:rsidRPr="0001127D" w:rsidRDefault="006C54AB"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Gli indicatori saranno monitorati su base annuale, a partire da non prima di un anno dal momento in cui le misure sono pienamente recepite e operative negli Stati membri e per una durata di 5 anni (da inserire nella relazione di valutazione della direttiva).</w:t>
      </w:r>
    </w:p>
    <w:p w14:paraId="696FDCB8" w14:textId="77777777" w:rsidR="00AB6191" w:rsidRPr="0001127D" w:rsidRDefault="00AB6191" w:rsidP="00AB6191">
      <w:pPr>
        <w:pStyle w:val="ManualHeading2"/>
        <w:rPr>
          <w:bCs/>
          <w:noProof/>
          <w:szCs w:val="24"/>
        </w:rPr>
      </w:pPr>
      <w:bookmarkStart w:id="152" w:name="_Toc514938025"/>
      <w:bookmarkStart w:id="153" w:name="_Toc520485034"/>
      <w:bookmarkStart w:id="154" w:name="_Toc132359608"/>
      <w:r w:rsidRPr="0001127D">
        <w:rPr>
          <w:noProof/>
        </w:rPr>
        <w:t>1.5.</w:t>
      </w:r>
      <w:r w:rsidRPr="0001127D">
        <w:rPr>
          <w:noProof/>
        </w:rPr>
        <w:tab/>
        <w:t>Motivazione della proposta/iniziativa</w:t>
      </w:r>
      <w:bookmarkEnd w:id="152"/>
      <w:bookmarkEnd w:id="153"/>
      <w:bookmarkEnd w:id="154"/>
      <w:r w:rsidRPr="0001127D">
        <w:rPr>
          <w:noProof/>
        </w:rPr>
        <w:t xml:space="preserve"> </w:t>
      </w:r>
    </w:p>
    <w:p w14:paraId="03737BFA" w14:textId="70C8E4D6" w:rsidR="00AB6191" w:rsidRPr="0001127D" w:rsidRDefault="00AB6191" w:rsidP="00AB6191">
      <w:pPr>
        <w:pStyle w:val="ManualHeading3"/>
        <w:rPr>
          <w:noProof/>
        </w:rPr>
      </w:pPr>
      <w:bookmarkStart w:id="155" w:name="_Toc514938026"/>
      <w:bookmarkStart w:id="156" w:name="_Toc520485035"/>
      <w:bookmarkStart w:id="157" w:name="_Toc132359609"/>
      <w:r w:rsidRPr="0001127D">
        <w:rPr>
          <w:noProof/>
        </w:rPr>
        <w:t>1.5.1.</w:t>
      </w:r>
      <w:r w:rsidRPr="0001127D">
        <w:rPr>
          <w:noProof/>
        </w:rPr>
        <w:tab/>
        <w:t>Necessità nel breve e lungo termine, compreso un calendario dettagliato per fasi di attuazione dell</w:t>
      </w:r>
      <w:r w:rsidR="00E64452" w:rsidRPr="0001127D">
        <w:rPr>
          <w:noProof/>
        </w:rPr>
        <w:t>'</w:t>
      </w:r>
      <w:r w:rsidRPr="0001127D">
        <w:rPr>
          <w:noProof/>
        </w:rPr>
        <w:t>iniziativa</w:t>
      </w:r>
      <w:bookmarkEnd w:id="155"/>
      <w:bookmarkEnd w:id="156"/>
      <w:bookmarkEnd w:id="157"/>
    </w:p>
    <w:p w14:paraId="0067E656" w14:textId="7CF31C11"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szCs w:val="24"/>
        </w:rPr>
      </w:pPr>
      <w:r w:rsidRPr="0001127D">
        <w:rPr>
          <w:noProof/>
          <w:color w:val="333333"/>
          <w:shd w:val="clear" w:color="auto" w:fill="FFFFFF"/>
        </w:rPr>
        <w:t>L</w:t>
      </w:r>
      <w:r w:rsidR="00E64452" w:rsidRPr="0001127D">
        <w:rPr>
          <w:noProof/>
          <w:color w:val="333333"/>
          <w:shd w:val="clear" w:color="auto" w:fill="FFFFFF"/>
        </w:rPr>
        <w:t>'</w:t>
      </w:r>
      <w:r w:rsidRPr="0001127D">
        <w:rPr>
          <w:noProof/>
          <w:color w:val="333333"/>
          <w:shd w:val="clear" w:color="auto" w:fill="FFFFFF"/>
        </w:rPr>
        <w:t>attuazione della presente proposta seguirà un approccio graduale. Con l</w:t>
      </w:r>
      <w:r w:rsidR="00E64452" w:rsidRPr="0001127D">
        <w:rPr>
          <w:noProof/>
          <w:color w:val="333333"/>
          <w:shd w:val="clear" w:color="auto" w:fill="FFFFFF"/>
        </w:rPr>
        <w:t>'</w:t>
      </w:r>
      <w:r w:rsidRPr="0001127D">
        <w:rPr>
          <w:noProof/>
          <w:color w:val="333333"/>
          <w:shd w:val="clear" w:color="auto" w:fill="FFFFFF"/>
        </w:rPr>
        <w:t>entrata in vigore della presente direttiva inizieranno i lavori per l</w:t>
      </w:r>
      <w:r w:rsidR="00E64452" w:rsidRPr="0001127D">
        <w:rPr>
          <w:noProof/>
          <w:color w:val="333333"/>
          <w:shd w:val="clear" w:color="auto" w:fill="FFFFFF"/>
        </w:rPr>
        <w:t>'</w:t>
      </w:r>
      <w:r w:rsidRPr="0001127D">
        <w:rPr>
          <w:noProof/>
          <w:color w:val="333333"/>
          <w:shd w:val="clear" w:color="auto" w:fill="FFFFFF"/>
        </w:rPr>
        <w:t xml:space="preserve">adozione di un atto di esecuzione. Parallelamente verranno realizzati sviluppi tecnici nel BRIS e negli Stati membri. </w:t>
      </w:r>
    </w:p>
    <w:p w14:paraId="2CFC33C8"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01127D">
        <w:rPr>
          <w:noProof/>
          <w:color w:val="333333"/>
          <w:shd w:val="clear" w:color="auto" w:fill="FFFFFF"/>
        </w:rPr>
        <w:t>Un calendario di attuazione provvisorio può essere illustrato come segue:</w:t>
      </w:r>
    </w:p>
    <w:p w14:paraId="625B3E85"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01127D">
        <w:rPr>
          <w:noProof/>
          <w:color w:val="333333"/>
          <w:shd w:val="clear" w:color="auto" w:fill="FFFFFF"/>
        </w:rPr>
        <w:t>- 2024: adozione della direttiva</w:t>
      </w:r>
    </w:p>
    <w:p w14:paraId="617A6BC0"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01127D">
        <w:rPr>
          <w:noProof/>
          <w:color w:val="333333"/>
          <w:shd w:val="clear" w:color="auto" w:fill="FFFFFF"/>
        </w:rPr>
        <w:t>- 2025: entrata in vigore della direttiva</w:t>
      </w:r>
    </w:p>
    <w:p w14:paraId="3084931F" w14:textId="37C5E231"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01127D">
        <w:rPr>
          <w:noProof/>
          <w:color w:val="333333"/>
          <w:shd w:val="clear" w:color="auto" w:fill="FFFFFF"/>
        </w:rPr>
        <w:t>- 2026: adozione dell</w:t>
      </w:r>
      <w:r w:rsidR="00E64452" w:rsidRPr="0001127D">
        <w:rPr>
          <w:noProof/>
          <w:color w:val="333333"/>
          <w:shd w:val="clear" w:color="auto" w:fill="FFFFFF"/>
        </w:rPr>
        <w:t>'</w:t>
      </w:r>
      <w:r w:rsidRPr="0001127D">
        <w:rPr>
          <w:noProof/>
          <w:color w:val="333333"/>
          <w:shd w:val="clear" w:color="auto" w:fill="FFFFFF"/>
        </w:rPr>
        <w:t>atto di esecuzione</w:t>
      </w:r>
    </w:p>
    <w:p w14:paraId="690CD517"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01127D">
        <w:rPr>
          <w:noProof/>
          <w:color w:val="333333"/>
          <w:shd w:val="clear" w:color="auto" w:fill="FFFFFF"/>
        </w:rPr>
        <w:t>- 2026-2027: implementazione tecnica nel BRIS e negli Stati membri</w:t>
      </w:r>
    </w:p>
    <w:p w14:paraId="2C57C27A"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01127D">
        <w:rPr>
          <w:noProof/>
          <w:color w:val="333333"/>
          <w:shd w:val="clear" w:color="auto" w:fill="FFFFFF"/>
        </w:rPr>
        <w:t>- 2027: recepimento negli Stati membri</w:t>
      </w:r>
    </w:p>
    <w:p w14:paraId="3DCC841C"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szCs w:val="24"/>
        </w:rPr>
      </w:pPr>
      <w:r w:rsidRPr="0001127D">
        <w:rPr>
          <w:noProof/>
          <w:color w:val="333333"/>
          <w:shd w:val="clear" w:color="auto" w:fill="FFFFFF"/>
        </w:rPr>
        <w:t>- 2028: attuazione e applicazione della direttiva da parte degli Stati membri</w:t>
      </w:r>
    </w:p>
    <w:p w14:paraId="69F4EC14" w14:textId="1DC8FD7E" w:rsidR="00AB6191" w:rsidRPr="0001127D" w:rsidRDefault="00AB6191" w:rsidP="00AB6191">
      <w:pPr>
        <w:pStyle w:val="ManualHeading3"/>
        <w:rPr>
          <w:bCs/>
          <w:noProof/>
          <w:szCs w:val="24"/>
        </w:rPr>
      </w:pPr>
      <w:bookmarkStart w:id="158" w:name="_Toc132359610"/>
      <w:bookmarkStart w:id="159" w:name="_Toc514938029"/>
      <w:bookmarkStart w:id="160" w:name="_Toc520485036"/>
      <w:r w:rsidRPr="0001127D">
        <w:rPr>
          <w:noProof/>
        </w:rPr>
        <w:t>1.5.2.</w:t>
      </w:r>
      <w:r w:rsidRPr="0001127D">
        <w:rPr>
          <w:noProof/>
        </w:rPr>
        <w:tab/>
        <w:t>Valore aggiunto dell</w:t>
      </w:r>
      <w:r w:rsidR="00E64452" w:rsidRPr="0001127D">
        <w:rPr>
          <w:noProof/>
        </w:rPr>
        <w:t>'</w:t>
      </w:r>
      <w:r w:rsidRPr="0001127D">
        <w:rPr>
          <w:noProof/>
        </w:rPr>
        <w:t>intervento dell</w:t>
      </w:r>
      <w:r w:rsidR="00E64452" w:rsidRPr="0001127D">
        <w:rPr>
          <w:noProof/>
        </w:rPr>
        <w:t>'</w:t>
      </w:r>
      <w:r w:rsidRPr="0001127D">
        <w:rPr>
          <w:noProof/>
        </w:rPr>
        <w:t>Unione</w:t>
      </w:r>
      <w:bookmarkEnd w:id="158"/>
      <w:r w:rsidRPr="0001127D">
        <w:rPr>
          <w:noProof/>
        </w:rPr>
        <w:t xml:space="preserve"> </w:t>
      </w:r>
      <w:bookmarkEnd w:id="159"/>
      <w:bookmarkEnd w:id="160"/>
    </w:p>
    <w:p w14:paraId="7411A729" w14:textId="4667D31A"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01127D">
        <w:rPr>
          <w:noProof/>
          <w:color w:val="333333"/>
          <w:shd w:val="clear" w:color="auto" w:fill="FFFFFF"/>
        </w:rPr>
        <w:t>Motivi dell</w:t>
      </w:r>
      <w:r w:rsidR="00E64452" w:rsidRPr="0001127D">
        <w:rPr>
          <w:noProof/>
          <w:color w:val="333333"/>
          <w:shd w:val="clear" w:color="auto" w:fill="FFFFFF"/>
        </w:rPr>
        <w:t>'</w:t>
      </w:r>
      <w:r w:rsidRPr="0001127D">
        <w:rPr>
          <w:noProof/>
          <w:color w:val="333333"/>
          <w:shd w:val="clear" w:color="auto" w:fill="FFFFFF"/>
        </w:rPr>
        <w:t xml:space="preserve">azione a livello europeo (ex ante) </w:t>
      </w:r>
    </w:p>
    <w:p w14:paraId="6446BF50" w14:textId="295E8CE9"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01127D">
        <w:rPr>
          <w:noProof/>
          <w:color w:val="333333"/>
          <w:shd w:val="clear" w:color="auto" w:fill="FFFFFF"/>
        </w:rPr>
        <w:t>L</w:t>
      </w:r>
      <w:r w:rsidR="00E64452" w:rsidRPr="0001127D">
        <w:rPr>
          <w:noProof/>
          <w:color w:val="333333"/>
          <w:shd w:val="clear" w:color="auto" w:fill="FFFFFF"/>
        </w:rPr>
        <w:t>'</w:t>
      </w:r>
      <w:r w:rsidRPr="0001127D">
        <w:rPr>
          <w:noProof/>
          <w:color w:val="333333"/>
          <w:shd w:val="clear" w:color="auto" w:fill="FFFFFF"/>
        </w:rPr>
        <w:t>iniziativa si concentra sulle questioni transfrontaliere nel settore del diritto societario. Essa migliorerà la disponibilità e l</w:t>
      </w:r>
      <w:r w:rsidR="00E64452" w:rsidRPr="0001127D">
        <w:rPr>
          <w:noProof/>
          <w:color w:val="333333"/>
          <w:shd w:val="clear" w:color="auto" w:fill="FFFFFF"/>
        </w:rPr>
        <w:t>'</w:t>
      </w:r>
      <w:r w:rsidRPr="0001127D">
        <w:rPr>
          <w:noProof/>
          <w:color w:val="333333"/>
          <w:shd w:val="clear" w:color="auto" w:fill="FFFFFF"/>
        </w:rPr>
        <w:t>affidabilità di dati comparabili e multilingui sulle società a livello dell</w:t>
      </w:r>
      <w:r w:rsidR="00E64452" w:rsidRPr="0001127D">
        <w:rPr>
          <w:noProof/>
          <w:color w:val="333333"/>
          <w:shd w:val="clear" w:color="auto" w:fill="FFFFFF"/>
        </w:rPr>
        <w:t>'</w:t>
      </w:r>
      <w:r w:rsidRPr="0001127D">
        <w:rPr>
          <w:noProof/>
          <w:color w:val="333333"/>
          <w:shd w:val="clear" w:color="auto" w:fill="FFFFFF"/>
        </w:rPr>
        <w:t>UE e agevolerà l</w:t>
      </w:r>
      <w:r w:rsidR="00E64452" w:rsidRPr="0001127D">
        <w:rPr>
          <w:noProof/>
          <w:color w:val="333333"/>
          <w:shd w:val="clear" w:color="auto" w:fill="FFFFFF"/>
        </w:rPr>
        <w:t>'</w:t>
      </w:r>
      <w:r w:rsidRPr="0001127D">
        <w:rPr>
          <w:noProof/>
          <w:color w:val="333333"/>
          <w:shd w:val="clear" w:color="auto" w:fill="FFFFFF"/>
        </w:rPr>
        <w:t>utilizzo di tali dati su base transfrontaliera. È necessaria un</w:t>
      </w:r>
      <w:r w:rsidR="00E64452" w:rsidRPr="0001127D">
        <w:rPr>
          <w:noProof/>
          <w:color w:val="333333"/>
          <w:shd w:val="clear" w:color="auto" w:fill="FFFFFF"/>
        </w:rPr>
        <w:t>'</w:t>
      </w:r>
      <w:r w:rsidRPr="0001127D">
        <w:rPr>
          <w:noProof/>
          <w:color w:val="333333"/>
          <w:shd w:val="clear" w:color="auto" w:fill="FFFFFF"/>
        </w:rPr>
        <w:t>azione coordinata per garantire che tutti gli Stati membri dispongano dei dati nei rispettivi registri delle imprese e che i dati siano resi accessibili in un formato comparabile e multilingue in modo centralizzato a livello dell</w:t>
      </w:r>
      <w:r w:rsidR="00E64452" w:rsidRPr="0001127D">
        <w:rPr>
          <w:noProof/>
          <w:color w:val="333333"/>
          <w:shd w:val="clear" w:color="auto" w:fill="FFFFFF"/>
        </w:rPr>
        <w:t>'</w:t>
      </w:r>
      <w:r w:rsidRPr="0001127D">
        <w:rPr>
          <w:noProof/>
          <w:color w:val="333333"/>
          <w:shd w:val="clear" w:color="auto" w:fill="FFFFFF"/>
        </w:rPr>
        <w:t>UE attraverso il BRIS. Un</w:t>
      </w:r>
      <w:r w:rsidR="00E64452" w:rsidRPr="0001127D">
        <w:rPr>
          <w:noProof/>
          <w:color w:val="333333"/>
          <w:shd w:val="clear" w:color="auto" w:fill="FFFFFF"/>
        </w:rPr>
        <w:t>'</w:t>
      </w:r>
      <w:r w:rsidRPr="0001127D">
        <w:rPr>
          <w:noProof/>
          <w:color w:val="333333"/>
          <w:shd w:val="clear" w:color="auto" w:fill="FFFFFF"/>
        </w:rPr>
        <w:t>azione coordinata è altresì necessaria per garantire che i dati sulle società siano oggetto di controlli comuni prima della loro iscrizione nei registri nazionali delle imprese, al fine di migliorarne l</w:t>
      </w:r>
      <w:r w:rsidR="00E64452" w:rsidRPr="0001127D">
        <w:rPr>
          <w:noProof/>
          <w:color w:val="333333"/>
          <w:shd w:val="clear" w:color="auto" w:fill="FFFFFF"/>
        </w:rPr>
        <w:t>'</w:t>
      </w:r>
      <w:r w:rsidRPr="0001127D">
        <w:rPr>
          <w:noProof/>
          <w:color w:val="333333"/>
          <w:shd w:val="clear" w:color="auto" w:fill="FFFFFF"/>
        </w:rPr>
        <w:t>affidabilità e agevolarne l</w:t>
      </w:r>
      <w:r w:rsidR="00E64452" w:rsidRPr="0001127D">
        <w:rPr>
          <w:noProof/>
          <w:color w:val="333333"/>
          <w:shd w:val="clear" w:color="auto" w:fill="FFFFFF"/>
        </w:rPr>
        <w:t>'</w:t>
      </w:r>
      <w:r w:rsidRPr="0001127D">
        <w:rPr>
          <w:noProof/>
          <w:color w:val="333333"/>
          <w:shd w:val="clear" w:color="auto" w:fill="FFFFFF"/>
        </w:rPr>
        <w:t xml:space="preserve">utilizzo in situazioni transfrontaliere. </w:t>
      </w:r>
      <w:r w:rsidRPr="0001127D">
        <w:rPr>
          <w:noProof/>
        </w:rPr>
        <w:t>Analogamente, il valore aggiunto derivante dal collegamento dei sistemi di interconnessione dei registri a livello dell</w:t>
      </w:r>
      <w:r w:rsidR="00E64452" w:rsidRPr="0001127D">
        <w:rPr>
          <w:noProof/>
        </w:rPr>
        <w:t>'</w:t>
      </w:r>
      <w:r w:rsidRPr="0001127D">
        <w:rPr>
          <w:noProof/>
        </w:rPr>
        <w:t>UE può essere ottenuto solo intervenendo a livello dell</w:t>
      </w:r>
      <w:r w:rsidR="00E64452" w:rsidRPr="0001127D">
        <w:rPr>
          <w:noProof/>
        </w:rPr>
        <w:t>'</w:t>
      </w:r>
      <w:r w:rsidRPr="0001127D">
        <w:rPr>
          <w:noProof/>
        </w:rPr>
        <w:t>Unione.</w:t>
      </w:r>
    </w:p>
    <w:p w14:paraId="09263DCD" w14:textId="0729F229"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color w:val="333333"/>
          <w:szCs w:val="24"/>
          <w:shd w:val="clear" w:color="auto" w:fill="FFFFFF"/>
        </w:rPr>
      </w:pPr>
      <w:r w:rsidRPr="0001127D">
        <w:rPr>
          <w:noProof/>
          <w:color w:val="333333"/>
          <w:shd w:val="clear" w:color="auto" w:fill="FFFFFF"/>
        </w:rPr>
        <w:t>Un quadro normativo coerente per la disponibilità transfrontaliera dei dati sulle società e per il loro utilizzo transfrontaliero può essere conseguito esclusivamente a livello dell</w:t>
      </w:r>
      <w:r w:rsidR="00E64452" w:rsidRPr="0001127D">
        <w:rPr>
          <w:noProof/>
          <w:color w:val="333333"/>
          <w:shd w:val="clear" w:color="auto" w:fill="FFFFFF"/>
        </w:rPr>
        <w:t>'</w:t>
      </w:r>
      <w:r w:rsidRPr="0001127D">
        <w:rPr>
          <w:noProof/>
          <w:color w:val="333333"/>
          <w:shd w:val="clear" w:color="auto" w:fill="FFFFFF"/>
        </w:rPr>
        <w:t xml:space="preserve">UE. </w:t>
      </w:r>
      <w:r w:rsidRPr="0001127D">
        <w:rPr>
          <w:noProof/>
        </w:rPr>
        <w:t>Gli Stati membri non sarebbero in grado di apportare da soli miglioramenti sufficienti per la risoluzione di tali problemi.</w:t>
      </w:r>
      <w:r w:rsidR="00E64452" w:rsidRPr="0001127D">
        <w:rPr>
          <w:noProof/>
        </w:rPr>
        <w:t xml:space="preserve"> </w:t>
      </w:r>
    </w:p>
    <w:p w14:paraId="1B1D9DDE" w14:textId="77777777" w:rsidR="00AB6191" w:rsidRPr="0001127D" w:rsidRDefault="00AB6191" w:rsidP="00AB6191">
      <w:pPr>
        <w:pStyle w:val="ManualHeading3"/>
        <w:rPr>
          <w:noProof/>
        </w:rPr>
      </w:pPr>
      <w:bookmarkStart w:id="161" w:name="_Toc514938030"/>
      <w:bookmarkStart w:id="162" w:name="_Toc520485037"/>
      <w:bookmarkStart w:id="163" w:name="_Toc132359611"/>
      <w:r w:rsidRPr="0001127D">
        <w:rPr>
          <w:noProof/>
        </w:rPr>
        <w:t>1.5.3.</w:t>
      </w:r>
      <w:r w:rsidRPr="0001127D">
        <w:rPr>
          <w:noProof/>
        </w:rPr>
        <w:tab/>
        <w:t>Insegnamenti tratti da esperienze analoghe</w:t>
      </w:r>
      <w:bookmarkEnd w:id="161"/>
      <w:bookmarkEnd w:id="162"/>
      <w:bookmarkEnd w:id="163"/>
    </w:p>
    <w:p w14:paraId="5A3E108F" w14:textId="3CDBD57B"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sz w:val="27"/>
          <w:szCs w:val="27"/>
          <w:shd w:val="clear" w:color="auto" w:fill="FFFFFF"/>
        </w:rPr>
      </w:pPr>
      <w:r w:rsidRPr="0001127D">
        <w:rPr>
          <w:noProof/>
          <w:shd w:val="clear" w:color="auto" w:fill="FFFFFF"/>
        </w:rPr>
        <w:t>La proposta tiene conto degli insegnamenti tratti dall</w:t>
      </w:r>
      <w:r w:rsidR="00E64452" w:rsidRPr="0001127D">
        <w:rPr>
          <w:noProof/>
          <w:shd w:val="clear" w:color="auto" w:fill="FFFFFF"/>
        </w:rPr>
        <w:t>'</w:t>
      </w:r>
      <w:r w:rsidRPr="0001127D">
        <w:rPr>
          <w:noProof/>
          <w:shd w:val="clear" w:color="auto" w:fill="FFFFFF"/>
        </w:rPr>
        <w:t>istituzione e dal funzionamento del sistema BRIS e dai negoziati, dal recepimento e dall</w:t>
      </w:r>
      <w:r w:rsidR="00E64452" w:rsidRPr="0001127D">
        <w:rPr>
          <w:noProof/>
          <w:shd w:val="clear" w:color="auto" w:fill="FFFFFF"/>
        </w:rPr>
        <w:t>'</w:t>
      </w:r>
      <w:r w:rsidRPr="0001127D">
        <w:rPr>
          <w:noProof/>
          <w:shd w:val="clear" w:color="auto" w:fill="FFFFFF"/>
        </w:rPr>
        <w:t>attuazione relativi alla direttiva sulla digitalizzazione del diritto societario (direttiva (UE) 2019/1151).</w:t>
      </w:r>
    </w:p>
    <w:p w14:paraId="1A0E1FA9" w14:textId="77777777" w:rsidR="00AB6191" w:rsidRPr="0001127D" w:rsidRDefault="00AB6191" w:rsidP="00AB6191">
      <w:pPr>
        <w:pStyle w:val="ManualHeading3"/>
        <w:rPr>
          <w:noProof/>
        </w:rPr>
      </w:pPr>
      <w:bookmarkStart w:id="164" w:name="_Toc514938033"/>
      <w:bookmarkStart w:id="165" w:name="_Toc520485038"/>
      <w:bookmarkStart w:id="166" w:name="_Toc132359612"/>
      <w:r w:rsidRPr="0001127D">
        <w:rPr>
          <w:noProof/>
        </w:rPr>
        <w:t>1.5.4.</w:t>
      </w:r>
      <w:r w:rsidRPr="0001127D">
        <w:rPr>
          <w:noProof/>
        </w:rPr>
        <w:tab/>
        <w:t>Compatibilità con il quadro finanziario pluriennale ed eventuali sinergie con altri strumenti pertinenti</w:t>
      </w:r>
      <w:bookmarkEnd w:id="164"/>
      <w:bookmarkEnd w:id="165"/>
      <w:bookmarkEnd w:id="166"/>
    </w:p>
    <w:p w14:paraId="2AE1447A" w14:textId="7A347662"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01127D">
        <w:rPr>
          <w:noProof/>
          <w:shd w:val="clear" w:color="auto" w:fill="FFFFFF"/>
        </w:rPr>
        <w:t>La proposta contribuisce all</w:t>
      </w:r>
      <w:r w:rsidR="00E64452" w:rsidRPr="0001127D">
        <w:rPr>
          <w:noProof/>
          <w:shd w:val="clear" w:color="auto" w:fill="FFFFFF"/>
        </w:rPr>
        <w:t>'</w:t>
      </w:r>
      <w:r w:rsidRPr="0001127D">
        <w:rPr>
          <w:noProof/>
          <w:shd w:val="clear" w:color="auto" w:fill="FFFFFF"/>
        </w:rPr>
        <w:t xml:space="preserve">obiettivo della comunicazione </w:t>
      </w:r>
      <w:r w:rsidRPr="0001127D">
        <w:rPr>
          <w:i/>
          <w:noProof/>
          <w:shd w:val="clear" w:color="auto" w:fill="FFFFFF"/>
        </w:rPr>
        <w:t>Bussola per il digitale 2030: il modello europeo per il decennio digitale</w:t>
      </w:r>
      <w:r w:rsidRPr="0001127D">
        <w:rPr>
          <w:noProof/>
          <w:shd w:val="clear" w:color="auto" w:fill="FFFFFF"/>
        </w:rPr>
        <w:t xml:space="preserve"> al fine di fornire servizi pubblici principali online per le imprese europee. Essa affronta </w:t>
      </w:r>
      <w:r w:rsidRPr="0001127D">
        <w:rPr>
          <w:noProof/>
        </w:rPr>
        <w:t>inoltre gli ostacoli all</w:t>
      </w:r>
      <w:r w:rsidR="00E64452" w:rsidRPr="0001127D">
        <w:rPr>
          <w:noProof/>
        </w:rPr>
        <w:t>'</w:t>
      </w:r>
      <w:r w:rsidRPr="0001127D">
        <w:rPr>
          <w:noProof/>
        </w:rPr>
        <w:t xml:space="preserve">espansione transfrontaliera che le piccole e medie imprese (PMI) si trovano ad affrontare, in linea con le comunicazioni </w:t>
      </w:r>
      <w:r w:rsidRPr="0001127D">
        <w:rPr>
          <w:i/>
          <w:noProof/>
        </w:rPr>
        <w:t>Aggiornamento della nuova strategia industriale 2020</w:t>
      </w:r>
      <w:r w:rsidR="00E64452" w:rsidRPr="0001127D">
        <w:rPr>
          <w:i/>
          <w:noProof/>
        </w:rPr>
        <w:t xml:space="preserve"> </w:t>
      </w:r>
      <w:r w:rsidRPr="0001127D">
        <w:rPr>
          <w:noProof/>
        </w:rPr>
        <w:t xml:space="preserve">e </w:t>
      </w:r>
      <w:r w:rsidRPr="0001127D">
        <w:rPr>
          <w:i/>
          <w:noProof/>
        </w:rPr>
        <w:t>Una strategia per le PMI per un</w:t>
      </w:r>
      <w:r w:rsidR="00E64452" w:rsidRPr="0001127D">
        <w:rPr>
          <w:i/>
          <w:noProof/>
        </w:rPr>
        <w:t>'</w:t>
      </w:r>
      <w:r w:rsidRPr="0001127D">
        <w:rPr>
          <w:i/>
          <w:noProof/>
        </w:rPr>
        <w:t>Europa sostenibile e digitale</w:t>
      </w:r>
      <w:r w:rsidRPr="0001127D">
        <w:rPr>
          <w:noProof/>
        </w:rPr>
        <w:t>.</w:t>
      </w:r>
      <w:r w:rsidRPr="0001127D">
        <w:rPr>
          <w:noProof/>
          <w:color w:val="000000" w:themeColor="text1"/>
        </w:rPr>
        <w:t xml:space="preserve"> </w:t>
      </w:r>
      <w:r w:rsidRPr="0001127D">
        <w:rPr>
          <w:noProof/>
          <w:shd w:val="clear" w:color="auto" w:fill="FFFFFF"/>
        </w:rPr>
        <w:t xml:space="preserve">La proposta contribuisce altresì a eliminare gli oneri amministrativi e gli ostacoli ingiustificati rimanenti nel mercato unico, come auspicato nelle Conclusioni del Consiglio europeo, 24 e 25 marzo 2022. </w:t>
      </w:r>
    </w:p>
    <w:p w14:paraId="1F0CCAFF"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01127D">
        <w:rPr>
          <w:noProof/>
          <w:shd w:val="clear" w:color="auto" w:fill="FFFFFF"/>
        </w:rPr>
        <w:t>Essa crea sinergie in particolare con:</w:t>
      </w:r>
    </w:p>
    <w:p w14:paraId="48D467D6" w14:textId="161CAC85" w:rsidR="00281D77" w:rsidRPr="0001127D" w:rsidRDefault="00AB6191" w:rsidP="00AB6191">
      <w:pPr>
        <w:pStyle w:val="Text1"/>
        <w:pBdr>
          <w:top w:val="single" w:sz="4" w:space="1" w:color="auto"/>
          <w:left w:val="single" w:sz="4" w:space="4" w:color="auto"/>
          <w:bottom w:val="single" w:sz="4" w:space="1" w:color="auto"/>
          <w:right w:val="single" w:sz="4" w:space="4" w:color="auto"/>
        </w:pBdr>
        <w:rPr>
          <w:noProof/>
          <w:szCs w:val="24"/>
          <w:shd w:val="clear" w:color="auto" w:fill="FFFFFF"/>
        </w:rPr>
      </w:pPr>
      <w:r w:rsidRPr="0001127D">
        <w:rPr>
          <w:noProof/>
          <w:shd w:val="clear" w:color="auto" w:fill="FFFFFF"/>
        </w:rPr>
        <w:t>- la direttiva (UE) 2015/849 del Parlamento europeo e del Consiglio, del 20 maggio 2015, relativa alla prevenzione dell</w:t>
      </w:r>
      <w:r w:rsidR="00E64452" w:rsidRPr="0001127D">
        <w:rPr>
          <w:noProof/>
          <w:shd w:val="clear" w:color="auto" w:fill="FFFFFF"/>
        </w:rPr>
        <w:t>'</w:t>
      </w:r>
      <w:r w:rsidRPr="0001127D">
        <w:rPr>
          <w:noProof/>
          <w:shd w:val="clear" w:color="auto" w:fill="FFFFFF"/>
        </w:rPr>
        <w:t>uso del sistema finanziario a fini di riciclaggio o finanziamento del terrorismo;</w:t>
      </w:r>
    </w:p>
    <w:p w14:paraId="17A0565C" w14:textId="032434F4"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shd w:val="clear" w:color="auto" w:fill="FFFFFF"/>
        </w:rPr>
        <w:t xml:space="preserve">- il regolamento (UE) n. 910/2014 (regolamento </w:t>
      </w:r>
      <w:r w:rsidR="00E64452" w:rsidRPr="0001127D">
        <w:rPr>
          <w:noProof/>
          <w:shd w:val="clear" w:color="auto" w:fill="FFFFFF"/>
        </w:rPr>
        <w:t>"</w:t>
      </w:r>
      <w:r w:rsidRPr="0001127D">
        <w:rPr>
          <w:noProof/>
          <w:shd w:val="clear" w:color="auto" w:fill="FFFFFF"/>
        </w:rPr>
        <w:t>eIDAS</w:t>
      </w:r>
      <w:r w:rsidR="00E64452" w:rsidRPr="0001127D">
        <w:rPr>
          <w:noProof/>
          <w:shd w:val="clear" w:color="auto" w:fill="FFFFFF"/>
        </w:rPr>
        <w:t>"</w:t>
      </w:r>
      <w:r w:rsidRPr="0001127D">
        <w:rPr>
          <w:noProof/>
          <w:shd w:val="clear" w:color="auto" w:fill="FFFFFF"/>
        </w:rPr>
        <w:t>) e la relativa revisione in corso, che si basa sul quadro tecnico previsto da tale regolamento in materia di identificazione elettronica e servizi fiduciari.</w:t>
      </w:r>
    </w:p>
    <w:p w14:paraId="7D1DC42F" w14:textId="77777777" w:rsidR="00AB6191" w:rsidRPr="0001127D" w:rsidRDefault="00AB6191" w:rsidP="00AB6191">
      <w:pPr>
        <w:pStyle w:val="ManualHeading3"/>
        <w:rPr>
          <w:noProof/>
        </w:rPr>
      </w:pPr>
      <w:bookmarkStart w:id="167" w:name="_Toc514938036"/>
      <w:bookmarkStart w:id="168" w:name="_Toc520485039"/>
      <w:bookmarkStart w:id="169" w:name="_Toc132359613"/>
      <w:r w:rsidRPr="0001127D">
        <w:rPr>
          <w:noProof/>
        </w:rPr>
        <w:t>1.5.5.</w:t>
      </w:r>
      <w:r w:rsidRPr="0001127D">
        <w:rPr>
          <w:noProof/>
        </w:rPr>
        <w:tab/>
        <w:t>Valutazione delle varie opzioni di finanziamento disponibili, comprese le possibilità di riassegnazione</w:t>
      </w:r>
      <w:bookmarkEnd w:id="167"/>
      <w:bookmarkEnd w:id="168"/>
      <w:bookmarkEnd w:id="169"/>
    </w:p>
    <w:p w14:paraId="79FC4B30" w14:textId="5E55A960"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L</w:t>
      </w:r>
      <w:r w:rsidR="00E64452" w:rsidRPr="0001127D">
        <w:rPr>
          <w:noProof/>
        </w:rPr>
        <w:t>'</w:t>
      </w:r>
      <w:r w:rsidRPr="0001127D">
        <w:rPr>
          <w:noProof/>
        </w:rPr>
        <w:t>iniziativa riutilizza l</w:t>
      </w:r>
      <w:r w:rsidR="00E64452" w:rsidRPr="0001127D">
        <w:rPr>
          <w:noProof/>
        </w:rPr>
        <w:t>'</w:t>
      </w:r>
      <w:r w:rsidRPr="0001127D">
        <w:rPr>
          <w:noProof/>
        </w:rPr>
        <w:t>elemento costitutivo eDelivery.</w:t>
      </w:r>
    </w:p>
    <w:p w14:paraId="5EDD640D"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p>
    <w:p w14:paraId="6E542B0D" w14:textId="77777777" w:rsidR="00AB6191" w:rsidRPr="0001127D" w:rsidRDefault="00AB6191" w:rsidP="00AB6191">
      <w:pPr>
        <w:pStyle w:val="Text1"/>
        <w:rPr>
          <w:noProof/>
        </w:rPr>
      </w:pPr>
    </w:p>
    <w:p w14:paraId="2E0473E1" w14:textId="77777777" w:rsidR="00AB6191" w:rsidRPr="0001127D" w:rsidRDefault="00AB6191" w:rsidP="00AB6191">
      <w:pPr>
        <w:pStyle w:val="ManualHeading2"/>
        <w:rPr>
          <w:bCs/>
          <w:noProof/>
          <w:szCs w:val="24"/>
        </w:rPr>
      </w:pPr>
      <w:r w:rsidRPr="0001127D">
        <w:rPr>
          <w:noProof/>
        </w:rPr>
        <w:br w:type="page"/>
      </w:r>
      <w:bookmarkStart w:id="170" w:name="_Toc514938039"/>
      <w:bookmarkStart w:id="171" w:name="_Toc520485040"/>
      <w:bookmarkStart w:id="172" w:name="_Toc132359614"/>
      <w:r w:rsidRPr="0001127D">
        <w:rPr>
          <w:noProof/>
        </w:rPr>
        <w:t>1.6.</w:t>
      </w:r>
      <w:r w:rsidRPr="0001127D">
        <w:rPr>
          <w:noProof/>
        </w:rPr>
        <w:tab/>
        <w:t>Durata e incidenza finanziaria della proposta/iniziativa</w:t>
      </w:r>
      <w:bookmarkEnd w:id="170"/>
      <w:bookmarkEnd w:id="171"/>
      <w:bookmarkEnd w:id="172"/>
    </w:p>
    <w:p w14:paraId="7BDE56C7" w14:textId="77777777" w:rsidR="00AB6191" w:rsidRPr="0001127D" w:rsidRDefault="00AB6191" w:rsidP="00AB6191">
      <w:pPr>
        <w:pStyle w:val="Text1"/>
        <w:rPr>
          <w:noProof/>
        </w:rPr>
      </w:pPr>
      <w:r w:rsidRPr="0001127D">
        <w:rPr>
          <w:rFonts w:ascii="Wingdings" w:hAnsi="Wingdings"/>
          <w:noProof/>
        </w:rPr>
        <w:t></w:t>
      </w:r>
      <w:r w:rsidRPr="0001127D">
        <w:rPr>
          <w:b/>
          <w:i/>
          <w:noProof/>
        </w:rPr>
        <w:t xml:space="preserve"> </w:t>
      </w:r>
      <w:r w:rsidRPr="0001127D">
        <w:rPr>
          <w:b/>
          <w:noProof/>
        </w:rPr>
        <w:t xml:space="preserve">durata limitata </w:t>
      </w:r>
    </w:p>
    <w:p w14:paraId="1BB3FA8B" w14:textId="77777777" w:rsidR="00AB6191" w:rsidRPr="0001127D" w:rsidRDefault="00AB6191" w:rsidP="00AB6191">
      <w:pPr>
        <w:pStyle w:val="ListDash2"/>
        <w:rPr>
          <w:noProof/>
        </w:rPr>
      </w:pPr>
      <w:r w:rsidRPr="0001127D">
        <w:rPr>
          <w:rFonts w:ascii="Wingdings" w:hAnsi="Wingdings"/>
          <w:noProof/>
        </w:rPr>
        <w:t></w:t>
      </w:r>
      <w:r w:rsidRPr="0001127D">
        <w:rPr>
          <w:noProof/>
        </w:rPr>
        <w:tab/>
        <w:t xml:space="preserve">in vigore a decorrere dal [GG/MM]AAAA fino al [GG/MM]AAAA </w:t>
      </w:r>
    </w:p>
    <w:p w14:paraId="629F6FD9" w14:textId="77777777" w:rsidR="00AB6191" w:rsidRPr="0001127D" w:rsidRDefault="00AB6191" w:rsidP="00AB6191">
      <w:pPr>
        <w:pStyle w:val="ListDash2"/>
        <w:rPr>
          <w:noProof/>
        </w:rPr>
      </w:pPr>
      <w:r w:rsidRPr="0001127D">
        <w:rPr>
          <w:rFonts w:ascii="Wingdings" w:hAnsi="Wingdings"/>
          <w:noProof/>
        </w:rPr>
        <w:t></w:t>
      </w:r>
      <w:r w:rsidRPr="0001127D">
        <w:rPr>
          <w:noProof/>
        </w:rPr>
        <w:tab/>
        <w:t xml:space="preserve">incidenza finanziaria dal AAAA al AAAA per gli stanziamenti di impegno e dal AAAA al AAAA per gli stanziamenti di pagamento </w:t>
      </w:r>
    </w:p>
    <w:p w14:paraId="1992D15E" w14:textId="77777777" w:rsidR="00AB6191" w:rsidRPr="0001127D" w:rsidRDefault="00AB6191" w:rsidP="00AB6191">
      <w:pPr>
        <w:pStyle w:val="Text1"/>
        <w:rPr>
          <w:noProof/>
        </w:rPr>
      </w:pPr>
      <w:r w:rsidRPr="0001127D">
        <w:rPr>
          <w:rFonts w:ascii="Segoe UI Symbol" w:hAnsi="Segoe UI Symbol"/>
          <w:noProof/>
          <w:color w:val="333333"/>
          <w:sz w:val="27"/>
          <w:shd w:val="clear" w:color="auto" w:fill="FFFFFF"/>
        </w:rPr>
        <w:t>☒</w:t>
      </w:r>
      <w:r w:rsidRPr="0001127D">
        <w:rPr>
          <w:b/>
          <w:i/>
          <w:noProof/>
        </w:rPr>
        <w:t xml:space="preserve"> </w:t>
      </w:r>
      <w:r w:rsidRPr="0001127D">
        <w:rPr>
          <w:b/>
          <w:noProof/>
        </w:rPr>
        <w:t>durata illimitata</w:t>
      </w:r>
    </w:p>
    <w:p w14:paraId="3076CE74" w14:textId="77777777" w:rsidR="00AB6191" w:rsidRPr="0001127D" w:rsidRDefault="00AB6191" w:rsidP="00AB6191">
      <w:pPr>
        <w:pStyle w:val="ListDash1"/>
        <w:rPr>
          <w:noProof/>
        </w:rPr>
      </w:pPr>
      <w:r w:rsidRPr="0001127D">
        <w:rPr>
          <w:noProof/>
        </w:rPr>
        <w:t>attuazione con un periodo di avviamento dal 2025 al 2028</w:t>
      </w:r>
    </w:p>
    <w:p w14:paraId="58DB00AC" w14:textId="77777777" w:rsidR="00AB6191" w:rsidRPr="0001127D" w:rsidRDefault="00AB6191" w:rsidP="00AB6191">
      <w:pPr>
        <w:pStyle w:val="ListDash1"/>
        <w:rPr>
          <w:noProof/>
        </w:rPr>
      </w:pPr>
      <w:r w:rsidRPr="0001127D">
        <w:rPr>
          <w:noProof/>
        </w:rPr>
        <w:t>e successivo funzionamento a pieno ritmo.</w:t>
      </w:r>
    </w:p>
    <w:p w14:paraId="64B599BA" w14:textId="77777777" w:rsidR="00AB6191" w:rsidRPr="0001127D" w:rsidRDefault="00AB6191" w:rsidP="00AB6191">
      <w:pPr>
        <w:pStyle w:val="ManualHeading2"/>
        <w:rPr>
          <w:bCs/>
          <w:noProof/>
          <w:szCs w:val="24"/>
        </w:rPr>
      </w:pPr>
      <w:bookmarkStart w:id="173" w:name="_Toc514938040"/>
      <w:bookmarkStart w:id="174" w:name="_Toc520485041"/>
      <w:bookmarkStart w:id="175" w:name="_Toc132359615"/>
      <w:r w:rsidRPr="0001127D">
        <w:rPr>
          <w:noProof/>
        </w:rPr>
        <w:t>1.7.</w:t>
      </w:r>
      <w:r w:rsidRPr="0001127D">
        <w:rPr>
          <w:noProof/>
        </w:rPr>
        <w:tab/>
        <w:t>Metodi di esecuzione del bilancio previsti</w:t>
      </w:r>
      <w:r w:rsidRPr="0001127D">
        <w:rPr>
          <w:rStyle w:val="FootnoteReference"/>
          <w:noProof/>
        </w:rPr>
        <w:footnoteReference w:id="69"/>
      </w:r>
      <w:bookmarkEnd w:id="173"/>
      <w:bookmarkEnd w:id="174"/>
      <w:bookmarkEnd w:id="175"/>
      <w:r w:rsidRPr="0001127D">
        <w:rPr>
          <w:noProof/>
        </w:rPr>
        <w:t xml:space="preserve"> </w:t>
      </w:r>
    </w:p>
    <w:p w14:paraId="25D76D35" w14:textId="77777777" w:rsidR="00AB6191" w:rsidRPr="0001127D" w:rsidRDefault="00AB6191" w:rsidP="00AB6191">
      <w:pPr>
        <w:pStyle w:val="Text1"/>
        <w:rPr>
          <w:noProof/>
        </w:rPr>
      </w:pPr>
      <w:r w:rsidRPr="0001127D">
        <w:rPr>
          <w:rFonts w:ascii="Segoe UI Symbol" w:hAnsi="Segoe UI Symbol"/>
          <w:noProof/>
          <w:color w:val="333333"/>
          <w:sz w:val="27"/>
          <w:shd w:val="clear" w:color="auto" w:fill="FFFFFF"/>
        </w:rPr>
        <w:t>☒</w:t>
      </w:r>
      <w:r w:rsidRPr="0001127D">
        <w:rPr>
          <w:i/>
          <w:noProof/>
        </w:rPr>
        <w:t xml:space="preserve"> </w:t>
      </w:r>
      <w:r w:rsidRPr="0001127D">
        <w:rPr>
          <w:b/>
          <w:noProof/>
        </w:rPr>
        <w:t>Gestione diretta</w:t>
      </w:r>
      <w:r w:rsidRPr="0001127D">
        <w:rPr>
          <w:noProof/>
        </w:rPr>
        <w:t xml:space="preserve"> a opera della Commissione</w:t>
      </w:r>
    </w:p>
    <w:p w14:paraId="54854EAA" w14:textId="6682A990" w:rsidR="00AB6191" w:rsidRPr="0001127D" w:rsidRDefault="00AB6191" w:rsidP="00AB6191">
      <w:pPr>
        <w:pStyle w:val="ListDash2"/>
        <w:rPr>
          <w:rFonts w:cs="EUAlbertina"/>
          <w:noProof/>
        </w:rPr>
      </w:pPr>
      <w:r w:rsidRPr="0001127D">
        <w:rPr>
          <w:rFonts w:ascii="Segoe UI Symbol" w:hAnsi="Segoe UI Symbol"/>
          <w:noProof/>
          <w:color w:val="333333"/>
          <w:sz w:val="27"/>
          <w:shd w:val="clear" w:color="auto" w:fill="FFFFFF"/>
        </w:rPr>
        <w:t>☒</w:t>
      </w:r>
      <w:r w:rsidRPr="0001127D">
        <w:rPr>
          <w:noProof/>
        </w:rPr>
        <w:t xml:space="preserve"> a opera dei suoi servizi, compreso il suo personale presso le delegazioni dell</w:t>
      </w:r>
      <w:r w:rsidR="00E64452" w:rsidRPr="0001127D">
        <w:rPr>
          <w:noProof/>
        </w:rPr>
        <w:t>'</w:t>
      </w:r>
      <w:r w:rsidRPr="0001127D">
        <w:rPr>
          <w:noProof/>
        </w:rPr>
        <w:t xml:space="preserve">Unione </w:t>
      </w:r>
    </w:p>
    <w:p w14:paraId="1927A361" w14:textId="77777777" w:rsidR="00AB6191" w:rsidRPr="0001127D" w:rsidRDefault="00AB6191" w:rsidP="00AB6191">
      <w:pPr>
        <w:pStyle w:val="ListDash2"/>
        <w:rPr>
          <w:noProof/>
        </w:rPr>
      </w:pPr>
      <w:r w:rsidRPr="0001127D">
        <w:rPr>
          <w:rFonts w:ascii="Wingdings" w:hAnsi="Wingdings"/>
          <w:noProof/>
        </w:rPr>
        <w:t></w:t>
      </w:r>
      <w:r w:rsidRPr="0001127D">
        <w:rPr>
          <w:noProof/>
        </w:rPr>
        <w:tab/>
        <w:t xml:space="preserve">a opera delle agenzie esecutive </w:t>
      </w:r>
    </w:p>
    <w:p w14:paraId="20B38EFD" w14:textId="77777777" w:rsidR="00AB6191" w:rsidRPr="0001127D" w:rsidRDefault="00AB6191" w:rsidP="00AB6191">
      <w:pPr>
        <w:pStyle w:val="Text1"/>
        <w:rPr>
          <w:noProof/>
        </w:rPr>
      </w:pPr>
      <w:r w:rsidRPr="0001127D">
        <w:rPr>
          <w:rFonts w:ascii="Wingdings" w:hAnsi="Wingdings"/>
          <w:noProof/>
        </w:rPr>
        <w:t></w:t>
      </w:r>
      <w:r w:rsidRPr="0001127D">
        <w:rPr>
          <w:b/>
          <w:i/>
          <w:noProof/>
        </w:rPr>
        <w:t xml:space="preserve"> </w:t>
      </w:r>
      <w:r w:rsidRPr="0001127D">
        <w:rPr>
          <w:b/>
          <w:noProof/>
        </w:rPr>
        <w:t>Gestione concorrente</w:t>
      </w:r>
      <w:r w:rsidRPr="0001127D">
        <w:rPr>
          <w:noProof/>
        </w:rPr>
        <w:t xml:space="preserve"> con gli Stati membri </w:t>
      </w:r>
    </w:p>
    <w:p w14:paraId="23815614" w14:textId="77777777" w:rsidR="00AB6191" w:rsidRPr="0001127D" w:rsidRDefault="00AB6191" w:rsidP="00AB6191">
      <w:pPr>
        <w:pStyle w:val="Text1"/>
        <w:rPr>
          <w:noProof/>
        </w:rPr>
      </w:pPr>
      <w:r w:rsidRPr="0001127D">
        <w:rPr>
          <w:rFonts w:ascii="Wingdings" w:hAnsi="Wingdings"/>
          <w:noProof/>
        </w:rPr>
        <w:t></w:t>
      </w:r>
      <w:r w:rsidRPr="0001127D">
        <w:rPr>
          <w:i/>
          <w:noProof/>
        </w:rPr>
        <w:t xml:space="preserve"> </w:t>
      </w:r>
      <w:r w:rsidRPr="0001127D">
        <w:rPr>
          <w:b/>
          <w:noProof/>
        </w:rPr>
        <w:t>Gestione indiretta</w:t>
      </w:r>
      <w:r w:rsidRPr="0001127D">
        <w:rPr>
          <w:noProof/>
        </w:rPr>
        <w:t xml:space="preserve"> affidando compiti di esecuzione del bilancio:</w:t>
      </w:r>
    </w:p>
    <w:p w14:paraId="33D012C3" w14:textId="77777777" w:rsidR="00AB6191" w:rsidRPr="0001127D" w:rsidRDefault="00AB6191" w:rsidP="00AB6191">
      <w:pPr>
        <w:pStyle w:val="ListDash2"/>
        <w:rPr>
          <w:noProof/>
        </w:rPr>
      </w:pPr>
      <w:r w:rsidRPr="0001127D">
        <w:rPr>
          <w:rFonts w:ascii="Wingdings" w:hAnsi="Wingdings"/>
          <w:noProof/>
        </w:rPr>
        <w:t></w:t>
      </w:r>
      <w:r w:rsidRPr="0001127D">
        <w:rPr>
          <w:noProof/>
        </w:rPr>
        <w:t xml:space="preserve"> a paesi terzi o organismi da questi designati;</w:t>
      </w:r>
    </w:p>
    <w:p w14:paraId="506C7FFB" w14:textId="77777777" w:rsidR="00AB6191" w:rsidRPr="0001127D" w:rsidRDefault="00AB6191" w:rsidP="00AB6191">
      <w:pPr>
        <w:pStyle w:val="ListDash2"/>
        <w:rPr>
          <w:noProof/>
        </w:rPr>
      </w:pPr>
      <w:r w:rsidRPr="0001127D">
        <w:rPr>
          <w:rFonts w:ascii="Wingdings" w:hAnsi="Wingdings"/>
          <w:noProof/>
        </w:rPr>
        <w:t></w:t>
      </w:r>
      <w:r w:rsidRPr="0001127D">
        <w:rPr>
          <w:noProof/>
        </w:rPr>
        <w:t xml:space="preserve"> a organizzazioni internazionali e loro agenzie (specificare);</w:t>
      </w:r>
    </w:p>
    <w:p w14:paraId="6D76A26A" w14:textId="77777777" w:rsidR="00AB6191" w:rsidRPr="0001127D" w:rsidRDefault="00AB6191" w:rsidP="00AB6191">
      <w:pPr>
        <w:pStyle w:val="ListDash2"/>
        <w:rPr>
          <w:noProof/>
        </w:rPr>
      </w:pPr>
      <w:r w:rsidRPr="0001127D">
        <w:rPr>
          <w:rFonts w:ascii="Wingdings" w:hAnsi="Wingdings"/>
          <w:noProof/>
        </w:rPr>
        <w:t></w:t>
      </w:r>
      <w:r w:rsidRPr="0001127D">
        <w:rPr>
          <w:noProof/>
        </w:rPr>
        <w:t xml:space="preserve"> alla BEI e al Fondo europeo per gli investimenti;</w:t>
      </w:r>
    </w:p>
    <w:p w14:paraId="7B419B5D" w14:textId="77777777" w:rsidR="00AB6191" w:rsidRPr="0001127D" w:rsidRDefault="00AB6191" w:rsidP="00AB6191">
      <w:pPr>
        <w:pStyle w:val="ListDash2"/>
        <w:rPr>
          <w:noProof/>
        </w:rPr>
      </w:pPr>
      <w:r w:rsidRPr="0001127D">
        <w:rPr>
          <w:rFonts w:ascii="Wingdings" w:hAnsi="Wingdings"/>
          <w:noProof/>
        </w:rPr>
        <w:t></w:t>
      </w:r>
      <w:r w:rsidRPr="0001127D">
        <w:rPr>
          <w:noProof/>
        </w:rPr>
        <w:t xml:space="preserve"> agli organismi di cui agli articoli 70 e 71 del regolamento finanziario;</w:t>
      </w:r>
    </w:p>
    <w:p w14:paraId="1EF23D7E" w14:textId="77777777" w:rsidR="00AB6191" w:rsidRPr="0001127D" w:rsidRDefault="00AB6191" w:rsidP="00AB6191">
      <w:pPr>
        <w:pStyle w:val="ListDash2"/>
        <w:rPr>
          <w:noProof/>
        </w:rPr>
      </w:pPr>
      <w:r w:rsidRPr="0001127D">
        <w:rPr>
          <w:rFonts w:ascii="Wingdings" w:hAnsi="Wingdings"/>
          <w:noProof/>
        </w:rPr>
        <w:t></w:t>
      </w:r>
      <w:r w:rsidRPr="0001127D">
        <w:rPr>
          <w:noProof/>
        </w:rPr>
        <w:t xml:space="preserve"> a organismi di diritto pubblico;</w:t>
      </w:r>
    </w:p>
    <w:p w14:paraId="4E2DC43E" w14:textId="77777777" w:rsidR="00AB6191" w:rsidRPr="0001127D" w:rsidRDefault="00AB6191" w:rsidP="00AB6191">
      <w:pPr>
        <w:pStyle w:val="ListDash2"/>
        <w:rPr>
          <w:noProof/>
        </w:rPr>
      </w:pPr>
      <w:r w:rsidRPr="0001127D">
        <w:rPr>
          <w:rFonts w:ascii="Wingdings" w:hAnsi="Wingdings"/>
          <w:noProof/>
        </w:rPr>
        <w:t></w:t>
      </w:r>
      <w:r w:rsidRPr="0001127D">
        <w:rPr>
          <w:noProof/>
        </w:rPr>
        <w:t xml:space="preserve"> a organismi di diritto privato investiti di attribuzioni di servizio pubblico nella misura in cui sono dotati di sufficienti garanzie finanziarie;</w:t>
      </w:r>
    </w:p>
    <w:p w14:paraId="4CCE6493" w14:textId="1F71F7C1" w:rsidR="00AB6191" w:rsidRPr="0001127D" w:rsidRDefault="00AB6191" w:rsidP="00AB6191">
      <w:pPr>
        <w:pStyle w:val="ListDash2"/>
        <w:rPr>
          <w:noProof/>
        </w:rPr>
      </w:pPr>
      <w:r w:rsidRPr="0001127D">
        <w:rPr>
          <w:rFonts w:ascii="Wingdings" w:hAnsi="Wingdings"/>
          <w:noProof/>
        </w:rPr>
        <w:t></w:t>
      </w:r>
      <w:r w:rsidRPr="0001127D">
        <w:rPr>
          <w:noProof/>
        </w:rPr>
        <w:t xml:space="preserve"> a organismi di diritto privato di uno Stato membro preposti all</w:t>
      </w:r>
      <w:r w:rsidR="00E64452" w:rsidRPr="0001127D">
        <w:rPr>
          <w:noProof/>
        </w:rPr>
        <w:t>'</w:t>
      </w:r>
      <w:r w:rsidRPr="0001127D">
        <w:rPr>
          <w:noProof/>
        </w:rPr>
        <w:t>attuazione di un partenariato pubblico-privato e che sono dotati di sufficienti garanzie finanziarie;</w:t>
      </w:r>
    </w:p>
    <w:p w14:paraId="24F54461" w14:textId="77777777" w:rsidR="00AB6191" w:rsidRPr="0001127D" w:rsidRDefault="00AB6191" w:rsidP="00AB6191">
      <w:pPr>
        <w:pStyle w:val="ListDash2"/>
        <w:rPr>
          <w:noProof/>
        </w:rPr>
      </w:pPr>
      <w:r w:rsidRPr="0001127D">
        <w:rPr>
          <w:rFonts w:ascii="Wingdings" w:hAnsi="Wingdings"/>
          <w:noProof/>
        </w:rPr>
        <w:t></w:t>
      </w:r>
      <w:r w:rsidRPr="0001127D">
        <w:rPr>
          <w:noProof/>
        </w:rPr>
        <w:t xml:space="preserve"> agli organismi o alle persone incaricati di attuare azioni specifiche della PESC a norma del titolo V del TUE e indicati nel pertinente atto di base.</w:t>
      </w:r>
    </w:p>
    <w:p w14:paraId="704D0312" w14:textId="35611F7D" w:rsidR="00AB6191" w:rsidRPr="0001127D" w:rsidRDefault="00AB6191" w:rsidP="00AB6191">
      <w:pPr>
        <w:pStyle w:val="ListDash2"/>
        <w:rPr>
          <w:i/>
          <w:noProof/>
          <w:sz w:val="18"/>
          <w:u w:val="single"/>
        </w:rPr>
      </w:pPr>
      <w:r w:rsidRPr="0001127D">
        <w:rPr>
          <w:i/>
          <w:noProof/>
          <w:sz w:val="18"/>
        </w:rPr>
        <w:t xml:space="preserve">Se è indicata più di una modalità, fornire ulteriori informazioni alla voce </w:t>
      </w:r>
      <w:r w:rsidR="00E64452" w:rsidRPr="0001127D">
        <w:rPr>
          <w:i/>
          <w:noProof/>
          <w:sz w:val="18"/>
        </w:rPr>
        <w:t>"</w:t>
      </w:r>
      <w:r w:rsidRPr="0001127D">
        <w:rPr>
          <w:i/>
          <w:noProof/>
          <w:sz w:val="18"/>
        </w:rPr>
        <w:t>Osservazioni</w:t>
      </w:r>
      <w:r w:rsidR="00E64452" w:rsidRPr="0001127D">
        <w:rPr>
          <w:i/>
          <w:noProof/>
          <w:sz w:val="18"/>
        </w:rPr>
        <w:t>"</w:t>
      </w:r>
      <w:r w:rsidRPr="0001127D">
        <w:rPr>
          <w:i/>
          <w:noProof/>
          <w:sz w:val="18"/>
        </w:rPr>
        <w:t>.</w:t>
      </w:r>
    </w:p>
    <w:p w14:paraId="557BAE77" w14:textId="77777777" w:rsidR="00AB6191" w:rsidRPr="0001127D" w:rsidRDefault="00AB6191" w:rsidP="00AB6191">
      <w:pPr>
        <w:rPr>
          <w:noProof/>
        </w:rPr>
      </w:pPr>
      <w:r w:rsidRPr="0001127D">
        <w:rPr>
          <w:noProof/>
        </w:rPr>
        <w:t xml:space="preserve">Osservazioni </w:t>
      </w:r>
    </w:p>
    <w:p w14:paraId="04E0FED9" w14:textId="0EA210C4" w:rsidR="00AB6191" w:rsidRPr="0001127D" w:rsidRDefault="00AB6191" w:rsidP="00AB6191">
      <w:pPr>
        <w:pBdr>
          <w:top w:val="single" w:sz="4" w:space="1" w:color="auto"/>
          <w:left w:val="single" w:sz="4" w:space="4" w:color="auto"/>
          <w:bottom w:val="single" w:sz="4" w:space="1" w:color="auto"/>
          <w:right w:val="single" w:sz="4" w:space="4" w:color="auto"/>
        </w:pBdr>
        <w:rPr>
          <w:noProof/>
        </w:rPr>
      </w:pPr>
      <w:r w:rsidRPr="0001127D">
        <w:rPr>
          <w:noProof/>
        </w:rPr>
        <w:t>La nuova proposta, tra l</w:t>
      </w:r>
      <w:r w:rsidR="00E64452" w:rsidRPr="0001127D">
        <w:rPr>
          <w:noProof/>
        </w:rPr>
        <w:t>'</w:t>
      </w:r>
      <w:r w:rsidRPr="0001127D">
        <w:rPr>
          <w:noProof/>
        </w:rPr>
        <w:t>altro, utilizza ed estende la portata del BRIS, il cui finanziamento tramite il bilancio dell</w:t>
      </w:r>
      <w:r w:rsidR="00E64452" w:rsidRPr="0001127D">
        <w:rPr>
          <w:noProof/>
        </w:rPr>
        <w:t>'</w:t>
      </w:r>
      <w:r w:rsidRPr="0001127D">
        <w:rPr>
          <w:noProof/>
        </w:rPr>
        <w:t>UE è obbligatorio ai sensi del diritto dell</w:t>
      </w:r>
      <w:r w:rsidR="00E64452" w:rsidRPr="0001127D">
        <w:rPr>
          <w:noProof/>
        </w:rPr>
        <w:t>'</w:t>
      </w:r>
      <w:r w:rsidRPr="0001127D">
        <w:rPr>
          <w:noProof/>
        </w:rPr>
        <w:t>UE e che è già finanziato mediante il programma Europa digitale e gestito dalla Commissione. Gli sviluppi informatici previsti da questa nuova proposta non richiedono fondi aggiuntivi rispetto a quelli già stanziati nel quadro del programma Europa digitale per la manutenzione evolutiva (nuovo sviluppo) e la manutenzione conservativa (correzione di bug) del BRIS (ossia 2 milioni di EUR all</w:t>
      </w:r>
      <w:r w:rsidR="00E64452" w:rsidRPr="0001127D">
        <w:rPr>
          <w:noProof/>
        </w:rPr>
        <w:t>'</w:t>
      </w:r>
      <w:r w:rsidRPr="0001127D">
        <w:rPr>
          <w:noProof/>
        </w:rPr>
        <w:t>anno), né risorse umane supplementari.</w:t>
      </w:r>
    </w:p>
    <w:p w14:paraId="469D88B9" w14:textId="77777777" w:rsidR="0033071B" w:rsidRPr="0001127D" w:rsidRDefault="0033071B" w:rsidP="00AB6191">
      <w:pPr>
        <w:rPr>
          <w:noProof/>
        </w:rPr>
      </w:pPr>
      <w:r w:rsidRPr="0001127D">
        <w:rPr>
          <w:noProof/>
        </w:rPr>
        <w:br w:type="page"/>
      </w:r>
    </w:p>
    <w:p w14:paraId="2492FC66" w14:textId="77777777" w:rsidR="00AB6191" w:rsidRPr="0001127D" w:rsidRDefault="00AB6191" w:rsidP="00AB6191">
      <w:pPr>
        <w:pStyle w:val="ManualHeading1"/>
        <w:rPr>
          <w:bCs/>
          <w:noProof/>
          <w:szCs w:val="24"/>
        </w:rPr>
      </w:pPr>
      <w:bookmarkStart w:id="176" w:name="_Toc514938041"/>
      <w:bookmarkStart w:id="177" w:name="_Toc520485042"/>
      <w:bookmarkStart w:id="178" w:name="_Toc132359616"/>
      <w:r w:rsidRPr="0001127D">
        <w:rPr>
          <w:noProof/>
        </w:rPr>
        <w:t>2.</w:t>
      </w:r>
      <w:r w:rsidRPr="0001127D">
        <w:rPr>
          <w:noProof/>
        </w:rPr>
        <w:tab/>
        <w:t>MISURE DI GESTIONE</w:t>
      </w:r>
      <w:bookmarkEnd w:id="176"/>
      <w:bookmarkEnd w:id="177"/>
      <w:bookmarkEnd w:id="178"/>
      <w:r w:rsidRPr="0001127D">
        <w:rPr>
          <w:noProof/>
        </w:rPr>
        <w:t xml:space="preserve"> </w:t>
      </w:r>
    </w:p>
    <w:p w14:paraId="35E98AB4" w14:textId="77777777" w:rsidR="00AB6191" w:rsidRPr="0001127D" w:rsidRDefault="00AB6191" w:rsidP="00AB6191">
      <w:pPr>
        <w:pStyle w:val="ManualHeading2"/>
        <w:rPr>
          <w:noProof/>
        </w:rPr>
      </w:pPr>
      <w:bookmarkStart w:id="179" w:name="_Toc514938042"/>
      <w:bookmarkStart w:id="180" w:name="_Toc520485043"/>
      <w:bookmarkStart w:id="181" w:name="_Toc132359617"/>
      <w:r w:rsidRPr="0001127D">
        <w:rPr>
          <w:noProof/>
        </w:rPr>
        <w:t>2.1.</w:t>
      </w:r>
      <w:r w:rsidRPr="0001127D">
        <w:rPr>
          <w:noProof/>
        </w:rPr>
        <w:tab/>
        <w:t>Disposizioni in materia di monitoraggio e di relazioni</w:t>
      </w:r>
      <w:bookmarkEnd w:id="179"/>
      <w:bookmarkEnd w:id="180"/>
      <w:bookmarkEnd w:id="181"/>
      <w:r w:rsidRPr="0001127D">
        <w:rPr>
          <w:noProof/>
        </w:rPr>
        <w:t xml:space="preserve"> </w:t>
      </w:r>
    </w:p>
    <w:p w14:paraId="5B7AF754" w14:textId="77777777" w:rsidR="00AB6191" w:rsidRPr="0001127D" w:rsidRDefault="00AB6191" w:rsidP="00AB6191">
      <w:pPr>
        <w:pStyle w:val="Text1"/>
        <w:rPr>
          <w:i/>
          <w:noProof/>
          <w:sz w:val="20"/>
        </w:rPr>
      </w:pPr>
      <w:r w:rsidRPr="0001127D">
        <w:rPr>
          <w:i/>
          <w:noProof/>
          <w:sz w:val="20"/>
        </w:rPr>
        <w:t>Precisare frequenza e condizioni.</w:t>
      </w:r>
    </w:p>
    <w:p w14:paraId="176F267D" w14:textId="4A834662"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L</w:t>
      </w:r>
      <w:r w:rsidR="00E64452" w:rsidRPr="0001127D">
        <w:rPr>
          <w:noProof/>
        </w:rPr>
        <w:t>'</w:t>
      </w:r>
      <w:r w:rsidRPr="0001127D">
        <w:rPr>
          <w:noProof/>
        </w:rPr>
        <w:t xml:space="preserve">attuazione della direttiva sarà riesaminata </w:t>
      </w:r>
      <w:r w:rsidRPr="0001127D">
        <w:rPr>
          <w:i/>
          <w:noProof/>
        </w:rPr>
        <w:t xml:space="preserve">cinque anni </w:t>
      </w:r>
      <w:r w:rsidRPr="0001127D">
        <w:rPr>
          <w:noProof/>
        </w:rPr>
        <w:t>dopo la sua piena applicazione. La Commissione riferirà i risultati della valutazione al Parlamento europeo e al Consiglio.</w:t>
      </w:r>
    </w:p>
    <w:p w14:paraId="1E243C24"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p>
    <w:p w14:paraId="6F23E36D" w14:textId="77777777" w:rsidR="00AB6191" w:rsidRPr="0001127D" w:rsidRDefault="00AB6191" w:rsidP="00AB6191">
      <w:pPr>
        <w:pStyle w:val="ManualHeading2"/>
        <w:rPr>
          <w:bCs/>
          <w:noProof/>
          <w:szCs w:val="24"/>
        </w:rPr>
      </w:pPr>
      <w:bookmarkStart w:id="182" w:name="_Toc514938045"/>
      <w:bookmarkStart w:id="183" w:name="_Toc520485044"/>
      <w:bookmarkStart w:id="184" w:name="_Toc132359618"/>
      <w:r w:rsidRPr="0001127D">
        <w:rPr>
          <w:noProof/>
        </w:rPr>
        <w:t>2.2.</w:t>
      </w:r>
      <w:r w:rsidRPr="0001127D">
        <w:rPr>
          <w:noProof/>
        </w:rPr>
        <w:tab/>
        <w:t>Sistema di gestione e di controllo</w:t>
      </w:r>
      <w:bookmarkEnd w:id="182"/>
      <w:bookmarkEnd w:id="183"/>
      <w:bookmarkEnd w:id="184"/>
      <w:r w:rsidRPr="0001127D">
        <w:rPr>
          <w:noProof/>
        </w:rPr>
        <w:t xml:space="preserve"> </w:t>
      </w:r>
    </w:p>
    <w:p w14:paraId="4ED8CF32" w14:textId="77777777" w:rsidR="00AB6191" w:rsidRPr="0001127D" w:rsidRDefault="00AB6191" w:rsidP="00AB6191">
      <w:pPr>
        <w:pStyle w:val="ManualHeading3"/>
        <w:rPr>
          <w:noProof/>
        </w:rPr>
      </w:pPr>
      <w:bookmarkStart w:id="185" w:name="_Toc514938046"/>
      <w:bookmarkStart w:id="186" w:name="_Toc520485045"/>
      <w:bookmarkStart w:id="187" w:name="_Toc132359619"/>
      <w:r w:rsidRPr="0001127D">
        <w:rPr>
          <w:noProof/>
        </w:rPr>
        <w:t>2.2.1.</w:t>
      </w:r>
      <w:r w:rsidRPr="0001127D">
        <w:rPr>
          <w:noProof/>
        </w:rPr>
        <w:tab/>
        <w:t>Giustificazione della o delle modalità di gestione, del meccanismo o dei meccanismi di attuazione del finanziamento, delle modalità di pagamento e della strategia di controllo proposti</w:t>
      </w:r>
      <w:bookmarkEnd w:id="185"/>
      <w:bookmarkEnd w:id="186"/>
      <w:bookmarkEnd w:id="187"/>
    </w:p>
    <w:p w14:paraId="6E91A214" w14:textId="31766D3D"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L</w:t>
      </w:r>
      <w:r w:rsidR="00E64452" w:rsidRPr="0001127D">
        <w:rPr>
          <w:noProof/>
        </w:rPr>
        <w:t>'</w:t>
      </w:r>
      <w:r w:rsidRPr="0001127D">
        <w:rPr>
          <w:noProof/>
        </w:rPr>
        <w:t>iniziativa si basa sul sistema di interconnessione dei registri delle imprese (BRIS) già esistente sviluppato dalla Commissione (DG DIGIT). La presente proposta di nuova direttiva non modifica la modalità di gestione, il meccanismo di attuazione del finanziamento, le modalità di pagamento o la strategia di controllo già in atto per il sistema e utilizzati dalla Commissione.</w:t>
      </w:r>
    </w:p>
    <w:p w14:paraId="6403CF33"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La proposta di direttiva estende la portata del sistema BRIS già istituito, che fornisce canali digitali per la comunicazione elettronica tra i registri delle imprese e tra questi e il portale europeo della giustizia elettronica, e offre nuove modalità per ottenere tali dati (ad es. attraverso BORIS e IRI).</w:t>
      </w:r>
    </w:p>
    <w:p w14:paraId="0130D423"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 xml:space="preserve">A tal fine occorre sviluppare ulteriormente le specifiche tecniche e le norme già esistenti, sviluppare ulteriormente il software già esistente e coordinare le attività delle autorità nazionali. </w:t>
      </w:r>
    </w:p>
    <w:p w14:paraId="4946F8D0" w14:textId="45064A24"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Al fine di svolgere tali compiti, la presente proposta di direttiva non richiede l</w:t>
      </w:r>
      <w:r w:rsidR="00E64452" w:rsidRPr="0001127D">
        <w:rPr>
          <w:noProof/>
        </w:rPr>
        <w:t>'</w:t>
      </w:r>
      <w:r w:rsidRPr="0001127D">
        <w:rPr>
          <w:noProof/>
        </w:rPr>
        <w:t>aumento del personale dei servizi della Commissione attualmente incaricato della gestione aziendale (1 ETP) e della gestione dei progetti (1,25 ETP) del BRIS e non richiede fondi aggiuntivi rispetto a quelli già stanziati nel quadro del programma Europa digitale per lo sviluppo obbligatorio del sistema BRIS (circa 2 milioni di EUR all</w:t>
      </w:r>
      <w:r w:rsidR="00E64452" w:rsidRPr="0001127D">
        <w:rPr>
          <w:noProof/>
        </w:rPr>
        <w:t>'</w:t>
      </w:r>
      <w:r w:rsidRPr="0001127D">
        <w:rPr>
          <w:noProof/>
        </w:rPr>
        <w:t>anno).</w:t>
      </w:r>
    </w:p>
    <w:p w14:paraId="42C422F3" w14:textId="77777777" w:rsidR="00AB6191" w:rsidRPr="0001127D" w:rsidRDefault="00AB6191" w:rsidP="00AB6191">
      <w:pPr>
        <w:pStyle w:val="ManualHeading3"/>
        <w:rPr>
          <w:bCs/>
          <w:noProof/>
          <w:szCs w:val="24"/>
        </w:rPr>
      </w:pPr>
      <w:bookmarkStart w:id="188" w:name="_Toc514938047"/>
      <w:bookmarkStart w:id="189" w:name="_Toc520485046"/>
      <w:bookmarkStart w:id="190" w:name="_Toc132359620"/>
      <w:r w:rsidRPr="0001127D">
        <w:rPr>
          <w:noProof/>
        </w:rPr>
        <w:t>2.2.2.</w:t>
      </w:r>
      <w:r w:rsidRPr="0001127D">
        <w:rPr>
          <w:noProof/>
        </w:rPr>
        <w:tab/>
        <w:t>Informazioni concernenti i rischi individuati e il sistema o i sistemi di controllo interno per ridurli</w:t>
      </w:r>
      <w:bookmarkEnd w:id="188"/>
      <w:bookmarkEnd w:id="189"/>
      <w:bookmarkEnd w:id="190"/>
    </w:p>
    <w:p w14:paraId="797D8BFB"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I principali rischi individuati riguardano:</w:t>
      </w:r>
    </w:p>
    <w:p w14:paraId="607015DE" w14:textId="5539B419"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(a) sforamenti in termini di tempi e costi in ragione di problemi imprevisti di implementazione a livello informatico per quanto concerne gli ulteriori sviluppi informatici di cui la Commissione ha bisogno per estendere la portata dell</w:t>
      </w:r>
      <w:r w:rsidR="00E64452" w:rsidRPr="0001127D">
        <w:rPr>
          <w:noProof/>
        </w:rPr>
        <w:t>'</w:t>
      </w:r>
      <w:r w:rsidRPr="0001127D">
        <w:rPr>
          <w:noProof/>
        </w:rPr>
        <w:t>attuale sistema informatico BRIS. Tale rischio è attenuato dal fatto che il sistema BRIS esiste già ed è maturo e si basa su elementi costitutivi già esistenti e maturi, ossia sull</w:t>
      </w:r>
      <w:r w:rsidR="00E64452" w:rsidRPr="0001127D">
        <w:rPr>
          <w:noProof/>
        </w:rPr>
        <w:t>'</w:t>
      </w:r>
      <w:r w:rsidRPr="0001127D">
        <w:rPr>
          <w:noProof/>
        </w:rPr>
        <w:t>elemento costitutivo eDelivery.</w:t>
      </w:r>
    </w:p>
    <w:p w14:paraId="4703BEE3"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Tale rischio è già affrontato mediante i sistemi di controllo interno standard utilizzati nel BRIS, in particolare i controlli di gestione dei progetti applicabili a tutti i sistemi sviluppati dalla Commissione (ossia supervisione della governance, gestione di progetti e dei rischi), compreso PM</w:t>
      </w:r>
      <w:r w:rsidRPr="0001127D">
        <w:rPr>
          <w:noProof/>
          <w:vertAlign w:val="superscript"/>
        </w:rPr>
        <w:t>2</w:t>
      </w:r>
      <w:r w:rsidRPr="0001127D">
        <w:rPr>
          <w:noProof/>
        </w:rPr>
        <w:t>, il metodo di gestione dei progetti sviluppato dalla Commissione;</w:t>
      </w:r>
    </w:p>
    <w:p w14:paraId="75BEF11D" w14:textId="0CD82960"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b) ritardi nell</w:t>
      </w:r>
      <w:r w:rsidR="00E64452" w:rsidRPr="0001127D">
        <w:rPr>
          <w:noProof/>
        </w:rPr>
        <w:t>'</w:t>
      </w:r>
      <w:r w:rsidRPr="0001127D">
        <w:rPr>
          <w:noProof/>
        </w:rPr>
        <w:t>implementazione e nella diffusione delle soluzioni da parte delle rispettive autorità degli Stati membri. Tale rischio è già attenuato attraverso strumenti consolidati di comunicazione e segnalazione, accordi di cooperazione, riunioni periodiche di follow-up nonché fornendo sostegno tecnico alle autorità nazionali incaricate dell</w:t>
      </w:r>
      <w:r w:rsidR="00E64452" w:rsidRPr="0001127D">
        <w:rPr>
          <w:noProof/>
        </w:rPr>
        <w:t>'</w:t>
      </w:r>
      <w:r w:rsidRPr="0001127D">
        <w:rPr>
          <w:noProof/>
        </w:rPr>
        <w:t>implementazione.</w:t>
      </w:r>
    </w:p>
    <w:p w14:paraId="3934DFE5" w14:textId="24855E24" w:rsidR="00AB6191" w:rsidRPr="0001127D" w:rsidRDefault="00AB6191" w:rsidP="00AB6191">
      <w:pPr>
        <w:pStyle w:val="ManualHeading3"/>
        <w:rPr>
          <w:noProof/>
        </w:rPr>
      </w:pPr>
      <w:bookmarkStart w:id="191" w:name="_Toc514938048"/>
      <w:bookmarkStart w:id="192" w:name="_Toc520485047"/>
      <w:bookmarkStart w:id="193" w:name="_Toc132359621"/>
      <w:r w:rsidRPr="0001127D">
        <w:rPr>
          <w:noProof/>
        </w:rPr>
        <w:t>2.2.3.</w:t>
      </w:r>
      <w:r w:rsidRPr="0001127D">
        <w:rPr>
          <w:noProof/>
        </w:rPr>
        <w:tab/>
        <w:t xml:space="preserve">Stima e giustificazione del rapporto costo/efficacia dei controlli (rapporto </w:t>
      </w:r>
      <w:r w:rsidR="00E64452" w:rsidRPr="0001127D">
        <w:rPr>
          <w:noProof/>
        </w:rPr>
        <w:t>"</w:t>
      </w:r>
      <w:r w:rsidRPr="0001127D">
        <w:rPr>
          <w:noProof/>
        </w:rPr>
        <w:t>costi del controllo ÷ valore dei fondi gestiti</w:t>
      </w:r>
      <w:r w:rsidR="00E64452" w:rsidRPr="0001127D">
        <w:rPr>
          <w:noProof/>
        </w:rPr>
        <w:t>"</w:t>
      </w:r>
      <w:r w:rsidRPr="0001127D">
        <w:rPr>
          <w:noProof/>
        </w:rPr>
        <w:t>) e valutazione dei livelli di rischio di errore previsti (al pagamento e alla chiusura)</w:t>
      </w:r>
      <w:bookmarkEnd w:id="191"/>
      <w:bookmarkEnd w:id="192"/>
      <w:bookmarkEnd w:id="193"/>
      <w:r w:rsidRPr="0001127D">
        <w:rPr>
          <w:noProof/>
        </w:rPr>
        <w:t xml:space="preserve"> </w:t>
      </w:r>
    </w:p>
    <w:p w14:paraId="3C7E1F7F" w14:textId="3BB9C2CD"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La presente iniziativa non incide sull</w:t>
      </w:r>
      <w:r w:rsidR="00E64452" w:rsidRPr="0001127D">
        <w:rPr>
          <w:noProof/>
        </w:rPr>
        <w:t>'</w:t>
      </w:r>
      <w:r w:rsidRPr="0001127D">
        <w:rPr>
          <w:noProof/>
        </w:rPr>
        <w:t>efficacia in termini di costi dei controlli esistenti della Commissione.</w:t>
      </w:r>
    </w:p>
    <w:p w14:paraId="4D8B13AB" w14:textId="77777777" w:rsidR="00AB6191" w:rsidRPr="0001127D" w:rsidRDefault="00AB6191" w:rsidP="00AB6191">
      <w:pPr>
        <w:pStyle w:val="ManualHeading2"/>
        <w:rPr>
          <w:bCs/>
          <w:noProof/>
          <w:szCs w:val="24"/>
        </w:rPr>
      </w:pPr>
      <w:bookmarkStart w:id="194" w:name="_Toc514938049"/>
      <w:bookmarkStart w:id="195" w:name="_Toc520485048"/>
      <w:bookmarkStart w:id="196" w:name="_Toc132359622"/>
      <w:r w:rsidRPr="0001127D">
        <w:rPr>
          <w:noProof/>
        </w:rPr>
        <w:t>2.3.</w:t>
      </w:r>
      <w:r w:rsidRPr="0001127D">
        <w:rPr>
          <w:noProof/>
        </w:rPr>
        <w:tab/>
        <w:t>Misure di prevenzione delle frodi e delle irregolarità</w:t>
      </w:r>
      <w:bookmarkEnd w:id="194"/>
      <w:bookmarkEnd w:id="195"/>
      <w:bookmarkEnd w:id="196"/>
      <w:r w:rsidRPr="0001127D">
        <w:rPr>
          <w:noProof/>
        </w:rPr>
        <w:t xml:space="preserve"> </w:t>
      </w:r>
    </w:p>
    <w:p w14:paraId="6B7E5A5D" w14:textId="77777777" w:rsidR="00AB6191" w:rsidRPr="0001127D" w:rsidRDefault="00AB6191" w:rsidP="00AB6191">
      <w:pPr>
        <w:pStyle w:val="Text1"/>
        <w:rPr>
          <w:i/>
          <w:noProof/>
          <w:sz w:val="20"/>
        </w:rPr>
      </w:pPr>
      <w:r w:rsidRPr="0001127D">
        <w:rPr>
          <w:i/>
          <w:noProof/>
          <w:sz w:val="20"/>
        </w:rPr>
        <w:t>Precisare le misure di prevenzione e tutela in vigore o previste, ad esempio strategia antifrode.</w:t>
      </w:r>
    </w:p>
    <w:p w14:paraId="695D9A6B"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r w:rsidRPr="0001127D">
        <w:rPr>
          <w:noProof/>
        </w:rPr>
        <w:t>Il BRIS è gestito direttamente dalla Commissione. La componente relativa alla piattaforma centrale europea del sistema è sviluppata internamente dalla DG DIGIT, mentre la componente del punto di accesso europeo è sviluppata per la DG JUST da un contraente selezionato mediante una procedura di appalto.</w:t>
      </w:r>
    </w:p>
    <w:p w14:paraId="46F9E5CB"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p>
    <w:p w14:paraId="7BF17E4D" w14:textId="77777777" w:rsidR="0033071B" w:rsidRPr="0001127D" w:rsidRDefault="0033071B" w:rsidP="00AB6191">
      <w:pPr>
        <w:rPr>
          <w:noProof/>
        </w:rPr>
      </w:pPr>
      <w:r w:rsidRPr="0001127D">
        <w:rPr>
          <w:noProof/>
        </w:rPr>
        <w:br w:type="page"/>
      </w:r>
    </w:p>
    <w:p w14:paraId="7A873CD7" w14:textId="77777777" w:rsidR="00AB6191" w:rsidRPr="0001127D" w:rsidRDefault="00AB6191" w:rsidP="00AB6191">
      <w:pPr>
        <w:pStyle w:val="ManualHeading1"/>
        <w:rPr>
          <w:bCs/>
          <w:noProof/>
          <w:szCs w:val="24"/>
        </w:rPr>
      </w:pPr>
      <w:bookmarkStart w:id="197" w:name="_Toc514938050"/>
      <w:bookmarkStart w:id="198" w:name="_Toc520485049"/>
      <w:bookmarkStart w:id="199" w:name="_Toc132359623"/>
      <w:r w:rsidRPr="0001127D">
        <w:rPr>
          <w:noProof/>
        </w:rPr>
        <w:t>3.</w:t>
      </w:r>
      <w:r w:rsidRPr="0001127D">
        <w:rPr>
          <w:noProof/>
        </w:rPr>
        <w:tab/>
        <w:t>INCIDENZA FINANZIARIA PREVISTA DELLA PROPOSTA/INIZIATIVA</w:t>
      </w:r>
      <w:bookmarkEnd w:id="197"/>
      <w:bookmarkEnd w:id="198"/>
      <w:bookmarkEnd w:id="199"/>
      <w:r w:rsidRPr="0001127D">
        <w:rPr>
          <w:noProof/>
        </w:rPr>
        <w:t xml:space="preserve"> </w:t>
      </w:r>
    </w:p>
    <w:p w14:paraId="31360176" w14:textId="77777777" w:rsidR="00AB6191" w:rsidRPr="0001127D" w:rsidRDefault="00AB6191" w:rsidP="00AB6191">
      <w:pPr>
        <w:pStyle w:val="ManualHeading2"/>
        <w:rPr>
          <w:noProof/>
        </w:rPr>
      </w:pPr>
      <w:bookmarkStart w:id="200" w:name="_Toc514938051"/>
      <w:bookmarkStart w:id="201" w:name="_Toc520485050"/>
      <w:bookmarkStart w:id="202" w:name="_Toc132359624"/>
      <w:r w:rsidRPr="0001127D">
        <w:rPr>
          <w:noProof/>
        </w:rPr>
        <w:t>3.1.</w:t>
      </w:r>
      <w:r w:rsidRPr="0001127D">
        <w:rPr>
          <w:noProof/>
        </w:rPr>
        <w:tab/>
        <w:t>Rubrica/rubriche del quadro finanziario pluriennale e linea/linee di bilancio di spesa interessate</w:t>
      </w:r>
      <w:bookmarkEnd w:id="200"/>
      <w:bookmarkEnd w:id="201"/>
      <w:bookmarkEnd w:id="202"/>
      <w:r w:rsidRPr="0001127D">
        <w:rPr>
          <w:noProof/>
        </w:rPr>
        <w:t xml:space="preserve"> </w:t>
      </w:r>
    </w:p>
    <w:p w14:paraId="7FE2E15B" w14:textId="77777777" w:rsidR="00AB6191" w:rsidRPr="0001127D" w:rsidRDefault="00AB6191" w:rsidP="00AB6191">
      <w:pPr>
        <w:pStyle w:val="ListBullet1"/>
        <w:rPr>
          <w:noProof/>
        </w:rPr>
      </w:pPr>
      <w:r w:rsidRPr="0001127D">
        <w:rPr>
          <w:noProof/>
        </w:rPr>
        <w:t xml:space="preserve">Linee di bilancio esistenti </w:t>
      </w:r>
    </w:p>
    <w:p w14:paraId="3DEC69ED" w14:textId="35CC4BD8" w:rsidR="00AB6191" w:rsidRPr="0001127D" w:rsidRDefault="00AB6191" w:rsidP="00AB6191">
      <w:pPr>
        <w:pStyle w:val="Text1"/>
        <w:rPr>
          <w:i/>
          <w:noProof/>
        </w:rPr>
      </w:pPr>
      <w:r w:rsidRPr="0001127D">
        <w:rPr>
          <w:i/>
          <w:noProof/>
          <w:u w:val="single"/>
        </w:rPr>
        <w:t>Secondo l</w:t>
      </w:r>
      <w:r w:rsidR="00E64452" w:rsidRPr="0001127D">
        <w:rPr>
          <w:i/>
          <w:noProof/>
          <w:u w:val="single"/>
        </w:rPr>
        <w:t>'</w:t>
      </w:r>
      <w:r w:rsidRPr="0001127D">
        <w:rPr>
          <w:i/>
          <w:noProof/>
          <w:u w:val="single"/>
        </w:rPr>
        <w:t>ordine</w:t>
      </w:r>
      <w:r w:rsidRPr="0001127D">
        <w:rPr>
          <w:i/>
          <w:noProof/>
        </w:rPr>
        <w:t xml:space="preserve"> delle rubriche del quadro finanziario pluriennale e delle linee di bilancio</w:t>
      </w:r>
    </w:p>
    <w:tbl>
      <w:tblPr>
        <w:tblW w:w="105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B6191" w:rsidRPr="0001127D" w14:paraId="33F3FDF7" w14:textId="77777777" w:rsidTr="00C5142C">
        <w:tc>
          <w:tcPr>
            <w:tcW w:w="1080" w:type="dxa"/>
            <w:vMerge w:val="restart"/>
            <w:vAlign w:val="center"/>
          </w:tcPr>
          <w:p w14:paraId="31A88B54" w14:textId="77777777" w:rsidR="00AB6191" w:rsidRPr="0001127D" w:rsidRDefault="00AB6191" w:rsidP="00AB6191">
            <w:pPr>
              <w:spacing w:before="60" w:after="60"/>
              <w:jc w:val="center"/>
              <w:rPr>
                <w:noProof/>
              </w:rPr>
            </w:pPr>
            <w:r w:rsidRPr="0001127D">
              <w:rPr>
                <w:noProof/>
                <w:sz w:val="18"/>
              </w:rPr>
              <w:t>Rubrica del quadro finanziario pluriennale</w:t>
            </w:r>
          </w:p>
        </w:tc>
        <w:tc>
          <w:tcPr>
            <w:tcW w:w="3960" w:type="dxa"/>
            <w:vAlign w:val="center"/>
          </w:tcPr>
          <w:p w14:paraId="29F5F460" w14:textId="77777777" w:rsidR="00AB6191" w:rsidRPr="0001127D" w:rsidRDefault="00AB6191" w:rsidP="00AB6191">
            <w:pPr>
              <w:spacing w:before="60" w:after="60"/>
              <w:jc w:val="center"/>
              <w:rPr>
                <w:noProof/>
              </w:rPr>
            </w:pPr>
            <w:r w:rsidRPr="0001127D">
              <w:rPr>
                <w:noProof/>
                <w:sz w:val="20"/>
              </w:rPr>
              <w:t>Linea di bilancio</w:t>
            </w:r>
          </w:p>
        </w:tc>
        <w:tc>
          <w:tcPr>
            <w:tcW w:w="1080" w:type="dxa"/>
            <w:vAlign w:val="center"/>
          </w:tcPr>
          <w:p w14:paraId="5BACDF10" w14:textId="2FB140EB" w:rsidR="00AB6191" w:rsidRPr="0001127D" w:rsidRDefault="00C5142C" w:rsidP="00C5142C">
            <w:pPr>
              <w:spacing w:before="60" w:after="60"/>
              <w:jc w:val="center"/>
              <w:rPr>
                <w:noProof/>
              </w:rPr>
            </w:pPr>
            <w:r w:rsidRPr="0001127D">
              <w:rPr>
                <w:noProof/>
                <w:sz w:val="18"/>
              </w:rPr>
              <w:t xml:space="preserve">Natura della </w:t>
            </w:r>
            <w:r w:rsidR="00AB6191" w:rsidRPr="0001127D">
              <w:rPr>
                <w:noProof/>
                <w:sz w:val="18"/>
              </w:rPr>
              <w:t>spesa</w:t>
            </w:r>
          </w:p>
        </w:tc>
        <w:tc>
          <w:tcPr>
            <w:tcW w:w="4440" w:type="dxa"/>
            <w:gridSpan w:val="4"/>
            <w:vAlign w:val="center"/>
          </w:tcPr>
          <w:p w14:paraId="11F66100" w14:textId="77777777" w:rsidR="00AB6191" w:rsidRPr="0001127D" w:rsidRDefault="00AB6191" w:rsidP="00AB6191">
            <w:pPr>
              <w:spacing w:before="60" w:after="60"/>
              <w:jc w:val="center"/>
              <w:rPr>
                <w:noProof/>
              </w:rPr>
            </w:pPr>
            <w:r w:rsidRPr="0001127D">
              <w:rPr>
                <w:noProof/>
                <w:sz w:val="20"/>
              </w:rPr>
              <w:t xml:space="preserve">Partecipazione </w:t>
            </w:r>
          </w:p>
        </w:tc>
      </w:tr>
      <w:tr w:rsidR="00AB6191" w:rsidRPr="0001127D" w14:paraId="6F1A64A1" w14:textId="77777777" w:rsidTr="00C5142C">
        <w:tc>
          <w:tcPr>
            <w:tcW w:w="1080" w:type="dxa"/>
            <w:vMerge/>
            <w:vAlign w:val="center"/>
          </w:tcPr>
          <w:p w14:paraId="3262B2B7" w14:textId="77777777" w:rsidR="00AB6191" w:rsidRPr="0001127D" w:rsidRDefault="00AB6191" w:rsidP="00AB6191">
            <w:pPr>
              <w:jc w:val="center"/>
              <w:rPr>
                <w:noProof/>
              </w:rPr>
            </w:pPr>
          </w:p>
        </w:tc>
        <w:tc>
          <w:tcPr>
            <w:tcW w:w="3960" w:type="dxa"/>
            <w:vAlign w:val="center"/>
          </w:tcPr>
          <w:p w14:paraId="0F6EE2FC" w14:textId="1F5D13CE" w:rsidR="00AB6191" w:rsidRPr="0001127D" w:rsidRDefault="00AB6191" w:rsidP="00AB6191">
            <w:pPr>
              <w:rPr>
                <w:noProof/>
              </w:rPr>
            </w:pPr>
            <w:r w:rsidRPr="0001127D">
              <w:rPr>
                <w:noProof/>
                <w:sz w:val="20"/>
              </w:rPr>
              <w:t>Numero</w:t>
            </w:r>
            <w:r w:rsidR="00E64452" w:rsidRPr="0001127D">
              <w:rPr>
                <w:noProof/>
                <w:sz w:val="20"/>
              </w:rPr>
              <w:t xml:space="preserve"> </w:t>
            </w:r>
            <w:r w:rsidRPr="0001127D">
              <w:rPr>
                <w:noProof/>
              </w:rPr>
              <w:br/>
            </w:r>
          </w:p>
        </w:tc>
        <w:tc>
          <w:tcPr>
            <w:tcW w:w="1080" w:type="dxa"/>
            <w:vAlign w:val="center"/>
          </w:tcPr>
          <w:p w14:paraId="2C06A27C" w14:textId="77777777" w:rsidR="00AB6191" w:rsidRPr="0001127D" w:rsidRDefault="00AB6191" w:rsidP="00AB6191">
            <w:pPr>
              <w:jc w:val="center"/>
              <w:rPr>
                <w:noProof/>
              </w:rPr>
            </w:pPr>
            <w:r w:rsidRPr="0001127D">
              <w:rPr>
                <w:noProof/>
                <w:sz w:val="18"/>
              </w:rPr>
              <w:t>Diss./Non diss</w:t>
            </w:r>
            <w:r w:rsidRPr="0001127D">
              <w:rPr>
                <w:rStyle w:val="FootnoteReference"/>
                <w:noProof/>
              </w:rPr>
              <w:footnoteReference w:id="70"/>
            </w:r>
            <w:r w:rsidRPr="0001127D">
              <w:rPr>
                <w:noProof/>
              </w:rPr>
              <w:t>.</w:t>
            </w:r>
          </w:p>
        </w:tc>
        <w:tc>
          <w:tcPr>
            <w:tcW w:w="956" w:type="dxa"/>
            <w:vAlign w:val="center"/>
          </w:tcPr>
          <w:p w14:paraId="159426B9" w14:textId="77777777" w:rsidR="00AB6191" w:rsidRPr="0001127D" w:rsidRDefault="00AB6191" w:rsidP="00AB6191">
            <w:pPr>
              <w:jc w:val="center"/>
              <w:rPr>
                <w:b/>
                <w:noProof/>
                <w:sz w:val="18"/>
              </w:rPr>
            </w:pPr>
            <w:r w:rsidRPr="0001127D">
              <w:rPr>
                <w:noProof/>
                <w:sz w:val="18"/>
              </w:rPr>
              <w:t>di paesi EFTA</w:t>
            </w:r>
            <w:r w:rsidRPr="0001127D">
              <w:rPr>
                <w:rStyle w:val="FootnoteReference"/>
                <w:noProof/>
              </w:rPr>
              <w:footnoteReference w:id="71"/>
            </w:r>
          </w:p>
        </w:tc>
        <w:tc>
          <w:tcPr>
            <w:tcW w:w="1080" w:type="dxa"/>
            <w:vAlign w:val="center"/>
          </w:tcPr>
          <w:p w14:paraId="6F9E391B" w14:textId="77777777" w:rsidR="00AB6191" w:rsidRPr="0001127D" w:rsidRDefault="00AB6191" w:rsidP="00AB6191">
            <w:pPr>
              <w:jc w:val="center"/>
              <w:rPr>
                <w:noProof/>
                <w:sz w:val="18"/>
              </w:rPr>
            </w:pPr>
            <w:r w:rsidRPr="0001127D">
              <w:rPr>
                <w:noProof/>
                <w:sz w:val="18"/>
              </w:rPr>
              <w:t>di paesi candidati e potenziali candidati</w:t>
            </w:r>
            <w:r w:rsidRPr="0001127D">
              <w:rPr>
                <w:rStyle w:val="FootnoteReference"/>
                <w:noProof/>
              </w:rPr>
              <w:footnoteReference w:id="72"/>
            </w:r>
          </w:p>
        </w:tc>
        <w:tc>
          <w:tcPr>
            <w:tcW w:w="956" w:type="dxa"/>
            <w:vAlign w:val="center"/>
          </w:tcPr>
          <w:p w14:paraId="2401BFF7" w14:textId="77777777" w:rsidR="00AB6191" w:rsidRPr="0001127D" w:rsidRDefault="00AB6191" w:rsidP="00AB6191">
            <w:pPr>
              <w:jc w:val="center"/>
              <w:rPr>
                <w:noProof/>
                <w:sz w:val="18"/>
              </w:rPr>
            </w:pPr>
            <w:r w:rsidRPr="0001127D">
              <w:rPr>
                <w:noProof/>
                <w:sz w:val="18"/>
              </w:rPr>
              <w:t>di altri paesi terzi</w:t>
            </w:r>
          </w:p>
        </w:tc>
        <w:tc>
          <w:tcPr>
            <w:tcW w:w="1448" w:type="dxa"/>
            <w:vAlign w:val="center"/>
          </w:tcPr>
          <w:p w14:paraId="722E23A5" w14:textId="77777777" w:rsidR="00AB6191" w:rsidRPr="0001127D" w:rsidRDefault="00AB6191" w:rsidP="00AB6191">
            <w:pPr>
              <w:jc w:val="center"/>
              <w:rPr>
                <w:noProof/>
              </w:rPr>
            </w:pPr>
            <w:r w:rsidRPr="0001127D">
              <w:rPr>
                <w:noProof/>
                <w:sz w:val="18"/>
              </w:rPr>
              <w:t>altre entrate con destinazione specifica</w:t>
            </w:r>
          </w:p>
        </w:tc>
      </w:tr>
      <w:tr w:rsidR="00AB6191" w:rsidRPr="0001127D" w14:paraId="6C9045E2" w14:textId="77777777" w:rsidTr="00C5142C">
        <w:tc>
          <w:tcPr>
            <w:tcW w:w="1080" w:type="dxa"/>
            <w:vAlign w:val="center"/>
          </w:tcPr>
          <w:p w14:paraId="62935FB5" w14:textId="77777777" w:rsidR="00AB6191" w:rsidRPr="0001127D" w:rsidRDefault="00AB6191" w:rsidP="00AB6191">
            <w:pPr>
              <w:jc w:val="center"/>
              <w:rPr>
                <w:noProof/>
                <w:color w:val="0000FF"/>
              </w:rPr>
            </w:pPr>
          </w:p>
        </w:tc>
        <w:tc>
          <w:tcPr>
            <w:tcW w:w="3960" w:type="dxa"/>
          </w:tcPr>
          <w:p w14:paraId="4ACBA042" w14:textId="77777777" w:rsidR="00AB6191" w:rsidRPr="0001127D" w:rsidRDefault="00AB6191" w:rsidP="00AB6191">
            <w:pPr>
              <w:spacing w:after="60"/>
              <w:rPr>
                <w:noProof/>
              </w:rPr>
            </w:pPr>
            <w:r w:rsidRPr="0001127D">
              <w:rPr>
                <w:noProof/>
              </w:rPr>
              <w:t>02.04.05.01</w:t>
            </w:r>
          </w:p>
        </w:tc>
        <w:tc>
          <w:tcPr>
            <w:tcW w:w="1080" w:type="dxa"/>
            <w:vAlign w:val="center"/>
          </w:tcPr>
          <w:p w14:paraId="00CFE756" w14:textId="77777777" w:rsidR="00AB6191" w:rsidRPr="0001127D" w:rsidRDefault="00AB6191" w:rsidP="00AB6191">
            <w:pPr>
              <w:jc w:val="center"/>
              <w:rPr>
                <w:noProof/>
                <w:color w:val="0000FF"/>
              </w:rPr>
            </w:pPr>
            <w:r w:rsidRPr="0001127D">
              <w:rPr>
                <w:noProof/>
                <w:sz w:val="22"/>
              </w:rPr>
              <w:t>Diss.</w:t>
            </w:r>
          </w:p>
        </w:tc>
        <w:tc>
          <w:tcPr>
            <w:tcW w:w="956" w:type="dxa"/>
            <w:vAlign w:val="center"/>
          </w:tcPr>
          <w:p w14:paraId="42EA7C2C" w14:textId="77777777" w:rsidR="00AB6191" w:rsidRPr="0001127D" w:rsidRDefault="00AB6191" w:rsidP="00AB6191">
            <w:pPr>
              <w:jc w:val="center"/>
              <w:rPr>
                <w:noProof/>
                <w:sz w:val="20"/>
                <w:szCs w:val="20"/>
              </w:rPr>
            </w:pPr>
            <w:r w:rsidRPr="0001127D">
              <w:rPr>
                <w:noProof/>
                <w:sz w:val="20"/>
              </w:rPr>
              <w:t>SÌ</w:t>
            </w:r>
          </w:p>
        </w:tc>
        <w:tc>
          <w:tcPr>
            <w:tcW w:w="1080" w:type="dxa"/>
            <w:vAlign w:val="center"/>
          </w:tcPr>
          <w:p w14:paraId="38AA8B16" w14:textId="77777777" w:rsidR="00AB6191" w:rsidRPr="0001127D" w:rsidRDefault="00AB6191" w:rsidP="00AB6191">
            <w:pPr>
              <w:jc w:val="center"/>
              <w:rPr>
                <w:noProof/>
                <w:sz w:val="20"/>
                <w:szCs w:val="20"/>
              </w:rPr>
            </w:pPr>
            <w:r w:rsidRPr="0001127D">
              <w:rPr>
                <w:noProof/>
                <w:sz w:val="20"/>
              </w:rPr>
              <w:t>NO</w:t>
            </w:r>
          </w:p>
        </w:tc>
        <w:tc>
          <w:tcPr>
            <w:tcW w:w="956" w:type="dxa"/>
            <w:vAlign w:val="center"/>
          </w:tcPr>
          <w:p w14:paraId="01A6ADE7" w14:textId="77777777" w:rsidR="00AB6191" w:rsidRPr="0001127D" w:rsidRDefault="00AB6191" w:rsidP="00AB6191">
            <w:pPr>
              <w:jc w:val="center"/>
              <w:rPr>
                <w:noProof/>
                <w:sz w:val="20"/>
                <w:szCs w:val="20"/>
              </w:rPr>
            </w:pPr>
            <w:r w:rsidRPr="0001127D">
              <w:rPr>
                <w:noProof/>
                <w:sz w:val="20"/>
              </w:rPr>
              <w:t>NO</w:t>
            </w:r>
          </w:p>
        </w:tc>
        <w:tc>
          <w:tcPr>
            <w:tcW w:w="1448" w:type="dxa"/>
            <w:vAlign w:val="center"/>
          </w:tcPr>
          <w:p w14:paraId="726A2166" w14:textId="77777777" w:rsidR="00AB6191" w:rsidRPr="0001127D" w:rsidRDefault="00AB6191" w:rsidP="00AB6191">
            <w:pPr>
              <w:jc w:val="center"/>
              <w:rPr>
                <w:noProof/>
                <w:sz w:val="20"/>
                <w:szCs w:val="20"/>
              </w:rPr>
            </w:pPr>
            <w:r w:rsidRPr="0001127D">
              <w:rPr>
                <w:noProof/>
                <w:sz w:val="20"/>
              </w:rPr>
              <w:t>NO</w:t>
            </w:r>
          </w:p>
        </w:tc>
      </w:tr>
    </w:tbl>
    <w:p w14:paraId="75D5CFD5" w14:textId="77777777" w:rsidR="00AB6191" w:rsidRPr="0001127D" w:rsidRDefault="00AB6191" w:rsidP="00AB6191">
      <w:pPr>
        <w:pStyle w:val="ListBullet1"/>
        <w:rPr>
          <w:noProof/>
        </w:rPr>
      </w:pPr>
      <w:r w:rsidRPr="0001127D">
        <w:rPr>
          <w:noProof/>
        </w:rPr>
        <w:t xml:space="preserve">Nuove linee di bilancio di cui è chiesta la creazione </w:t>
      </w:r>
    </w:p>
    <w:p w14:paraId="26930B67" w14:textId="33AAC541" w:rsidR="00AB6191" w:rsidRPr="0001127D" w:rsidRDefault="00AB6191" w:rsidP="00AB6191">
      <w:pPr>
        <w:pStyle w:val="Text1"/>
        <w:rPr>
          <w:i/>
          <w:noProof/>
          <w:sz w:val="20"/>
        </w:rPr>
      </w:pPr>
      <w:r w:rsidRPr="0001127D">
        <w:rPr>
          <w:i/>
          <w:noProof/>
          <w:u w:val="single"/>
        </w:rPr>
        <w:t>Secondo l</w:t>
      </w:r>
      <w:r w:rsidR="00E64452" w:rsidRPr="0001127D">
        <w:rPr>
          <w:i/>
          <w:noProof/>
          <w:u w:val="single"/>
        </w:rPr>
        <w:t>'</w:t>
      </w:r>
      <w:r w:rsidRPr="0001127D">
        <w:rPr>
          <w:i/>
          <w:noProof/>
          <w:u w:val="single"/>
        </w:rPr>
        <w:t>ordine</w:t>
      </w:r>
      <w:r w:rsidRPr="0001127D">
        <w:rPr>
          <w:i/>
          <w:noProof/>
        </w:rPr>
        <w:t xml:space="preserve"> delle rubriche del quadro finanziario pluriennale e delle linee di bilancio</w:t>
      </w:r>
    </w:p>
    <w:tbl>
      <w:tblPr>
        <w:tblW w:w="105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B6191" w:rsidRPr="0001127D" w14:paraId="3935740C" w14:textId="77777777" w:rsidTr="00C5142C">
        <w:tc>
          <w:tcPr>
            <w:tcW w:w="1080" w:type="dxa"/>
            <w:vMerge w:val="restart"/>
            <w:vAlign w:val="center"/>
          </w:tcPr>
          <w:p w14:paraId="72292CFB" w14:textId="77777777" w:rsidR="00AB6191" w:rsidRPr="0001127D" w:rsidRDefault="00AB6191" w:rsidP="00AB6191">
            <w:pPr>
              <w:spacing w:before="60" w:after="60"/>
              <w:jc w:val="center"/>
              <w:rPr>
                <w:noProof/>
                <w:sz w:val="18"/>
                <w:szCs w:val="18"/>
              </w:rPr>
            </w:pPr>
            <w:r w:rsidRPr="0001127D">
              <w:rPr>
                <w:noProof/>
                <w:sz w:val="18"/>
              </w:rPr>
              <w:t>Rubrica del quadro finanziario pluriennale</w:t>
            </w:r>
          </w:p>
        </w:tc>
        <w:tc>
          <w:tcPr>
            <w:tcW w:w="3960" w:type="dxa"/>
            <w:vAlign w:val="center"/>
          </w:tcPr>
          <w:p w14:paraId="30AF8CB9" w14:textId="77777777" w:rsidR="00AB6191" w:rsidRPr="0001127D" w:rsidRDefault="00AB6191" w:rsidP="00AB6191">
            <w:pPr>
              <w:spacing w:before="60" w:after="60"/>
              <w:jc w:val="center"/>
              <w:rPr>
                <w:noProof/>
              </w:rPr>
            </w:pPr>
            <w:r w:rsidRPr="0001127D">
              <w:rPr>
                <w:noProof/>
                <w:sz w:val="20"/>
              </w:rPr>
              <w:t>Linea di bilancio</w:t>
            </w:r>
          </w:p>
        </w:tc>
        <w:tc>
          <w:tcPr>
            <w:tcW w:w="1080" w:type="dxa"/>
            <w:vAlign w:val="center"/>
          </w:tcPr>
          <w:p w14:paraId="59B672A4" w14:textId="4AA6B50C" w:rsidR="00AB6191" w:rsidRPr="0001127D" w:rsidRDefault="00AB6191" w:rsidP="00C5142C">
            <w:pPr>
              <w:spacing w:before="60" w:after="60"/>
              <w:jc w:val="center"/>
              <w:rPr>
                <w:noProof/>
              </w:rPr>
            </w:pPr>
            <w:r w:rsidRPr="0001127D">
              <w:rPr>
                <w:noProof/>
                <w:sz w:val="18"/>
              </w:rPr>
              <w:t>Natura della</w:t>
            </w:r>
            <w:r w:rsidR="00C5142C" w:rsidRPr="0001127D">
              <w:rPr>
                <w:noProof/>
                <w:sz w:val="18"/>
              </w:rPr>
              <w:t xml:space="preserve"> </w:t>
            </w:r>
            <w:r w:rsidRPr="0001127D">
              <w:rPr>
                <w:noProof/>
                <w:sz w:val="18"/>
              </w:rPr>
              <w:t>spesa</w:t>
            </w:r>
          </w:p>
        </w:tc>
        <w:tc>
          <w:tcPr>
            <w:tcW w:w="4440" w:type="dxa"/>
            <w:gridSpan w:val="4"/>
            <w:vAlign w:val="center"/>
          </w:tcPr>
          <w:p w14:paraId="4758EAD3" w14:textId="77777777" w:rsidR="00AB6191" w:rsidRPr="0001127D" w:rsidRDefault="00AB6191" w:rsidP="00AB6191">
            <w:pPr>
              <w:spacing w:before="60" w:after="60"/>
              <w:jc w:val="center"/>
              <w:rPr>
                <w:noProof/>
              </w:rPr>
            </w:pPr>
            <w:r w:rsidRPr="0001127D">
              <w:rPr>
                <w:noProof/>
                <w:sz w:val="20"/>
              </w:rPr>
              <w:t xml:space="preserve">Partecipazione </w:t>
            </w:r>
          </w:p>
        </w:tc>
      </w:tr>
      <w:tr w:rsidR="00AB6191" w:rsidRPr="0001127D" w14:paraId="2232A526" w14:textId="77777777" w:rsidTr="00C5142C">
        <w:tc>
          <w:tcPr>
            <w:tcW w:w="1080" w:type="dxa"/>
            <w:vMerge/>
            <w:vAlign w:val="center"/>
          </w:tcPr>
          <w:p w14:paraId="52B1D091" w14:textId="77777777" w:rsidR="00AB6191" w:rsidRPr="0001127D" w:rsidRDefault="00AB6191" w:rsidP="00AB6191">
            <w:pPr>
              <w:jc w:val="center"/>
              <w:rPr>
                <w:noProof/>
              </w:rPr>
            </w:pPr>
          </w:p>
        </w:tc>
        <w:tc>
          <w:tcPr>
            <w:tcW w:w="3960" w:type="dxa"/>
            <w:vAlign w:val="center"/>
          </w:tcPr>
          <w:p w14:paraId="0A9B2D36" w14:textId="48A8FA6E" w:rsidR="00AB6191" w:rsidRPr="0001127D" w:rsidRDefault="00AB6191" w:rsidP="00AB6191">
            <w:pPr>
              <w:rPr>
                <w:noProof/>
              </w:rPr>
            </w:pPr>
            <w:r w:rsidRPr="0001127D">
              <w:rPr>
                <w:noProof/>
                <w:sz w:val="20"/>
              </w:rPr>
              <w:t>Numero</w:t>
            </w:r>
            <w:r w:rsidR="00E64452" w:rsidRPr="0001127D">
              <w:rPr>
                <w:noProof/>
                <w:sz w:val="20"/>
              </w:rPr>
              <w:t xml:space="preserve"> </w:t>
            </w:r>
            <w:r w:rsidRPr="0001127D">
              <w:rPr>
                <w:noProof/>
              </w:rPr>
              <w:br/>
            </w:r>
          </w:p>
        </w:tc>
        <w:tc>
          <w:tcPr>
            <w:tcW w:w="1080" w:type="dxa"/>
            <w:vAlign w:val="center"/>
          </w:tcPr>
          <w:p w14:paraId="7E221E9F" w14:textId="77777777" w:rsidR="00AB6191" w:rsidRPr="0001127D" w:rsidRDefault="00AB6191" w:rsidP="00AB6191">
            <w:pPr>
              <w:jc w:val="center"/>
              <w:rPr>
                <w:noProof/>
              </w:rPr>
            </w:pPr>
            <w:r w:rsidRPr="0001127D">
              <w:rPr>
                <w:noProof/>
                <w:sz w:val="18"/>
              </w:rPr>
              <w:t>Diss./Non diss.</w:t>
            </w:r>
          </w:p>
        </w:tc>
        <w:tc>
          <w:tcPr>
            <w:tcW w:w="956" w:type="dxa"/>
            <w:vAlign w:val="center"/>
          </w:tcPr>
          <w:p w14:paraId="7DFDA7D4" w14:textId="77777777" w:rsidR="00AB6191" w:rsidRPr="0001127D" w:rsidRDefault="00AB6191" w:rsidP="00AB6191">
            <w:pPr>
              <w:jc w:val="center"/>
              <w:rPr>
                <w:noProof/>
                <w:sz w:val="18"/>
              </w:rPr>
            </w:pPr>
            <w:r w:rsidRPr="0001127D">
              <w:rPr>
                <w:noProof/>
                <w:sz w:val="18"/>
              </w:rPr>
              <w:t>di paesi EFTA</w:t>
            </w:r>
          </w:p>
        </w:tc>
        <w:tc>
          <w:tcPr>
            <w:tcW w:w="1080" w:type="dxa"/>
            <w:vAlign w:val="center"/>
          </w:tcPr>
          <w:p w14:paraId="071C69C7" w14:textId="77777777" w:rsidR="00AB6191" w:rsidRPr="0001127D" w:rsidRDefault="00AB6191" w:rsidP="00AB6191">
            <w:pPr>
              <w:jc w:val="center"/>
              <w:rPr>
                <w:noProof/>
                <w:sz w:val="18"/>
              </w:rPr>
            </w:pPr>
            <w:r w:rsidRPr="0001127D">
              <w:rPr>
                <w:noProof/>
                <w:sz w:val="18"/>
              </w:rPr>
              <w:t>di paesi candidati e potenziali candidati</w:t>
            </w:r>
          </w:p>
        </w:tc>
        <w:tc>
          <w:tcPr>
            <w:tcW w:w="956" w:type="dxa"/>
            <w:vAlign w:val="center"/>
          </w:tcPr>
          <w:p w14:paraId="6812B136" w14:textId="77777777" w:rsidR="00AB6191" w:rsidRPr="0001127D" w:rsidRDefault="00AB6191" w:rsidP="00AB6191">
            <w:pPr>
              <w:jc w:val="center"/>
              <w:rPr>
                <w:noProof/>
                <w:sz w:val="18"/>
              </w:rPr>
            </w:pPr>
            <w:r w:rsidRPr="0001127D">
              <w:rPr>
                <w:noProof/>
                <w:sz w:val="18"/>
              </w:rPr>
              <w:t>di altri paesi terzi</w:t>
            </w:r>
          </w:p>
        </w:tc>
        <w:tc>
          <w:tcPr>
            <w:tcW w:w="1448" w:type="dxa"/>
            <w:vAlign w:val="center"/>
          </w:tcPr>
          <w:p w14:paraId="30254E1E" w14:textId="77777777" w:rsidR="00AB6191" w:rsidRPr="0001127D" w:rsidRDefault="00AB6191" w:rsidP="00AB6191">
            <w:pPr>
              <w:jc w:val="center"/>
              <w:rPr>
                <w:noProof/>
              </w:rPr>
            </w:pPr>
            <w:r w:rsidRPr="0001127D">
              <w:rPr>
                <w:noProof/>
                <w:sz w:val="18"/>
              </w:rPr>
              <w:t xml:space="preserve">altre entrate con destinazione specifica </w:t>
            </w:r>
          </w:p>
        </w:tc>
      </w:tr>
      <w:tr w:rsidR="00AB6191" w:rsidRPr="0001127D" w14:paraId="2F96A21C" w14:textId="77777777" w:rsidTr="00C5142C">
        <w:tc>
          <w:tcPr>
            <w:tcW w:w="1080" w:type="dxa"/>
            <w:vAlign w:val="center"/>
          </w:tcPr>
          <w:p w14:paraId="0BF66AE4" w14:textId="77777777" w:rsidR="00AB6191" w:rsidRPr="0001127D" w:rsidRDefault="00AB6191" w:rsidP="00AB6191">
            <w:pPr>
              <w:jc w:val="center"/>
              <w:rPr>
                <w:noProof/>
                <w:color w:val="0000FF"/>
              </w:rPr>
            </w:pPr>
          </w:p>
        </w:tc>
        <w:tc>
          <w:tcPr>
            <w:tcW w:w="3960" w:type="dxa"/>
            <w:vAlign w:val="center"/>
          </w:tcPr>
          <w:p w14:paraId="076F5644" w14:textId="77777777" w:rsidR="00AB6191" w:rsidRPr="0001127D" w:rsidRDefault="00AB6191" w:rsidP="00AB6191">
            <w:pPr>
              <w:spacing w:before="60"/>
              <w:rPr>
                <w:noProof/>
              </w:rPr>
            </w:pPr>
            <w:r w:rsidRPr="0001127D">
              <w:rPr>
                <w:noProof/>
                <w:sz w:val="22"/>
              </w:rPr>
              <w:t>n.p.</w:t>
            </w:r>
          </w:p>
          <w:p w14:paraId="554D3356" w14:textId="77777777" w:rsidR="00AB6191" w:rsidRPr="0001127D" w:rsidRDefault="00AB6191" w:rsidP="00AB6191">
            <w:pPr>
              <w:spacing w:after="60"/>
              <w:rPr>
                <w:noProof/>
                <w:color w:val="0000FF"/>
              </w:rPr>
            </w:pPr>
          </w:p>
        </w:tc>
        <w:tc>
          <w:tcPr>
            <w:tcW w:w="1080" w:type="dxa"/>
            <w:vAlign w:val="center"/>
          </w:tcPr>
          <w:p w14:paraId="0DB752C5" w14:textId="77777777" w:rsidR="00AB6191" w:rsidRPr="0001127D" w:rsidRDefault="00AB6191" w:rsidP="00AB6191">
            <w:pPr>
              <w:jc w:val="center"/>
              <w:rPr>
                <w:noProof/>
                <w:color w:val="0000FF"/>
              </w:rPr>
            </w:pPr>
          </w:p>
        </w:tc>
        <w:tc>
          <w:tcPr>
            <w:tcW w:w="956" w:type="dxa"/>
            <w:vAlign w:val="center"/>
          </w:tcPr>
          <w:p w14:paraId="4CEF11F4" w14:textId="77777777" w:rsidR="00AB6191" w:rsidRPr="0001127D" w:rsidRDefault="00AB6191" w:rsidP="00AB6191">
            <w:pPr>
              <w:jc w:val="center"/>
              <w:rPr>
                <w:noProof/>
                <w:sz w:val="20"/>
                <w:szCs w:val="20"/>
              </w:rPr>
            </w:pPr>
          </w:p>
        </w:tc>
        <w:tc>
          <w:tcPr>
            <w:tcW w:w="1080" w:type="dxa"/>
            <w:vAlign w:val="center"/>
          </w:tcPr>
          <w:p w14:paraId="0A9094F0" w14:textId="77777777" w:rsidR="00AB6191" w:rsidRPr="0001127D" w:rsidRDefault="00AB6191" w:rsidP="00AB6191">
            <w:pPr>
              <w:jc w:val="center"/>
              <w:rPr>
                <w:noProof/>
                <w:color w:val="0000FF"/>
                <w:sz w:val="20"/>
                <w:szCs w:val="20"/>
              </w:rPr>
            </w:pPr>
          </w:p>
        </w:tc>
        <w:tc>
          <w:tcPr>
            <w:tcW w:w="956" w:type="dxa"/>
            <w:vAlign w:val="center"/>
          </w:tcPr>
          <w:p w14:paraId="67AE5FC0" w14:textId="77777777" w:rsidR="00AB6191" w:rsidRPr="0001127D" w:rsidRDefault="00AB6191" w:rsidP="00AB6191">
            <w:pPr>
              <w:jc w:val="center"/>
              <w:rPr>
                <w:noProof/>
                <w:color w:val="0000FF"/>
                <w:sz w:val="20"/>
                <w:szCs w:val="20"/>
              </w:rPr>
            </w:pPr>
          </w:p>
        </w:tc>
        <w:tc>
          <w:tcPr>
            <w:tcW w:w="1448" w:type="dxa"/>
            <w:vAlign w:val="center"/>
          </w:tcPr>
          <w:p w14:paraId="279C3B2B" w14:textId="77777777" w:rsidR="00AB6191" w:rsidRPr="0001127D" w:rsidRDefault="00AB6191" w:rsidP="00AB6191">
            <w:pPr>
              <w:jc w:val="center"/>
              <w:rPr>
                <w:noProof/>
                <w:sz w:val="20"/>
                <w:szCs w:val="20"/>
              </w:rPr>
            </w:pPr>
          </w:p>
        </w:tc>
      </w:tr>
    </w:tbl>
    <w:p w14:paraId="40D5DC92" w14:textId="77777777" w:rsidR="00AB6191" w:rsidRPr="0001127D" w:rsidRDefault="00AB6191" w:rsidP="00AB6191">
      <w:pPr>
        <w:pStyle w:val="ManualHeading2"/>
        <w:rPr>
          <w:bCs/>
          <w:noProof/>
          <w:szCs w:val="24"/>
        </w:rPr>
      </w:pPr>
      <w:bookmarkStart w:id="203" w:name="_Toc514938052"/>
      <w:bookmarkStart w:id="204" w:name="_Toc520485051"/>
      <w:bookmarkStart w:id="205" w:name="_Toc132359625"/>
      <w:r w:rsidRPr="0001127D">
        <w:rPr>
          <w:noProof/>
        </w:rPr>
        <w:t>3.2.</w:t>
      </w:r>
      <w:r w:rsidRPr="0001127D">
        <w:rPr>
          <w:noProof/>
        </w:rPr>
        <w:tab/>
        <w:t>Incidenza finanziaria prevista della proposta sugli stanziamenti</w:t>
      </w:r>
      <w:bookmarkEnd w:id="203"/>
      <w:bookmarkEnd w:id="204"/>
      <w:bookmarkEnd w:id="205"/>
      <w:r w:rsidRPr="0001127D">
        <w:rPr>
          <w:noProof/>
        </w:rPr>
        <w:t xml:space="preserve"> </w:t>
      </w:r>
    </w:p>
    <w:p w14:paraId="677BA30E" w14:textId="6D063304" w:rsidR="00AB6191" w:rsidRPr="0001127D" w:rsidRDefault="00AB6191" w:rsidP="00AB6191">
      <w:pPr>
        <w:pStyle w:val="ManualHeading3"/>
        <w:rPr>
          <w:noProof/>
        </w:rPr>
      </w:pPr>
      <w:bookmarkStart w:id="206" w:name="_Toc514938053"/>
      <w:bookmarkStart w:id="207" w:name="_Toc520485052"/>
      <w:bookmarkStart w:id="208" w:name="_Toc132359626"/>
      <w:r w:rsidRPr="0001127D">
        <w:rPr>
          <w:noProof/>
        </w:rPr>
        <w:t>3.2.1.</w:t>
      </w:r>
      <w:r w:rsidRPr="0001127D">
        <w:rPr>
          <w:noProof/>
        </w:rPr>
        <w:tab/>
        <w:t>Sintesi dell</w:t>
      </w:r>
      <w:r w:rsidR="00E64452" w:rsidRPr="0001127D">
        <w:rPr>
          <w:noProof/>
        </w:rPr>
        <w:t>'</w:t>
      </w:r>
      <w:r w:rsidRPr="0001127D">
        <w:rPr>
          <w:noProof/>
        </w:rPr>
        <w:t>incidenza prevista sugli stanziamenti operativi</w:t>
      </w:r>
      <w:bookmarkEnd w:id="206"/>
      <w:bookmarkEnd w:id="207"/>
      <w:bookmarkEnd w:id="208"/>
      <w:r w:rsidRPr="0001127D">
        <w:rPr>
          <w:noProof/>
        </w:rPr>
        <w:t xml:space="preserve"> </w:t>
      </w:r>
    </w:p>
    <w:p w14:paraId="0D2B3E02" w14:textId="43BF1777" w:rsidR="00AB6191" w:rsidRPr="0001127D" w:rsidRDefault="00AB6191" w:rsidP="00AB6191">
      <w:pPr>
        <w:pStyle w:val="ListDash1"/>
        <w:rPr>
          <w:noProof/>
        </w:rPr>
      </w:pPr>
      <w:r w:rsidRPr="0001127D">
        <w:rPr>
          <w:rFonts w:ascii="Wingdings" w:hAnsi="Wingdings"/>
          <w:noProof/>
        </w:rPr>
        <w:t></w:t>
      </w:r>
      <w:r w:rsidRPr="0001127D">
        <w:rPr>
          <w:noProof/>
        </w:rPr>
        <w:tab/>
        <w:t>La proposta/iniziativa non comporta l</w:t>
      </w:r>
      <w:r w:rsidR="00E64452" w:rsidRPr="0001127D">
        <w:rPr>
          <w:noProof/>
        </w:rPr>
        <w:t>'</w:t>
      </w:r>
      <w:r w:rsidRPr="0001127D">
        <w:rPr>
          <w:noProof/>
        </w:rPr>
        <w:t xml:space="preserve">utilizzo di stanziamenti operativi. </w:t>
      </w:r>
    </w:p>
    <w:p w14:paraId="4EF6981C" w14:textId="6FC8F681" w:rsidR="00AB6191" w:rsidRPr="0001127D" w:rsidRDefault="007A3265" w:rsidP="00AB6191">
      <w:pPr>
        <w:pStyle w:val="ListDash1"/>
        <w:rPr>
          <w:noProof/>
        </w:rPr>
      </w:pPr>
      <w:r w:rsidRPr="0001127D">
        <w:rPr>
          <w:rFonts w:ascii="Wingdings" w:hAnsi="Wingdings"/>
          <w:noProof/>
        </w:rPr>
        <w:sym w:font="Wingdings" w:char="F0FE"/>
      </w:r>
      <w:r w:rsidRPr="0001127D">
        <w:rPr>
          <w:noProof/>
        </w:rPr>
        <w:t xml:space="preserve"> La proposta/iniziativa comporta l</w:t>
      </w:r>
      <w:r w:rsidR="00E64452" w:rsidRPr="0001127D">
        <w:rPr>
          <w:noProof/>
        </w:rPr>
        <w:t>'</w:t>
      </w:r>
      <w:r w:rsidRPr="0001127D">
        <w:rPr>
          <w:noProof/>
        </w:rPr>
        <w:t>utilizzo di stanziamenti operativi, come spiegato di seguito:</w:t>
      </w:r>
    </w:p>
    <w:p w14:paraId="65364BA7" w14:textId="77777777" w:rsidR="00AB6191" w:rsidRPr="0001127D" w:rsidRDefault="00AB6191" w:rsidP="00AB6191">
      <w:pPr>
        <w:jc w:val="right"/>
        <w:rPr>
          <w:noProof/>
          <w:sz w:val="18"/>
          <w:szCs w:val="18"/>
        </w:rPr>
      </w:pPr>
      <w:r w:rsidRPr="0001127D">
        <w:rPr>
          <w:noProof/>
          <w:sz w:val="18"/>
        </w:rPr>
        <w:t>Mio EUR (al terzo decimale)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B6191" w:rsidRPr="0001127D" w14:paraId="04F7B9A9" w14:textId="77777777" w:rsidTr="00AB6191">
        <w:trPr>
          <w:jc w:val="center"/>
        </w:trPr>
        <w:tc>
          <w:tcPr>
            <w:tcW w:w="4744" w:type="dxa"/>
            <w:shd w:val="thinDiagStripe" w:color="C0C0C0" w:fill="auto"/>
            <w:vAlign w:val="center"/>
          </w:tcPr>
          <w:p w14:paraId="6F012B91" w14:textId="2C8FB292" w:rsidR="00AB6191" w:rsidRPr="0001127D" w:rsidRDefault="00DF5DCF" w:rsidP="00AB6191">
            <w:pPr>
              <w:spacing w:before="60" w:after="60"/>
              <w:jc w:val="center"/>
              <w:rPr>
                <w:b/>
                <w:noProof/>
              </w:rPr>
            </w:pPr>
            <w:r>
              <w:rPr>
                <w:b/>
                <w:noProof/>
                <w:sz w:val="22"/>
              </w:rPr>
              <w:t>Rubrica del quadro finanziario</w:t>
            </w:r>
            <w:r w:rsidR="00AB6191" w:rsidRPr="0001127D">
              <w:rPr>
                <w:noProof/>
              </w:rPr>
              <w:br/>
            </w:r>
            <w:r w:rsidR="00AB6191" w:rsidRPr="0001127D">
              <w:rPr>
                <w:b/>
                <w:noProof/>
                <w:sz w:val="22"/>
              </w:rPr>
              <w:t xml:space="preserve">pluriennale </w:t>
            </w:r>
          </w:p>
        </w:tc>
        <w:tc>
          <w:tcPr>
            <w:tcW w:w="1080" w:type="dxa"/>
            <w:vAlign w:val="center"/>
          </w:tcPr>
          <w:p w14:paraId="1AF15B14" w14:textId="77777777" w:rsidR="00AB6191" w:rsidRPr="0001127D" w:rsidRDefault="00AB6191" w:rsidP="00AB6191">
            <w:pPr>
              <w:spacing w:before="60" w:after="60"/>
              <w:jc w:val="center"/>
              <w:rPr>
                <w:noProof/>
              </w:rPr>
            </w:pPr>
            <w:r w:rsidRPr="0001127D">
              <w:rPr>
                <w:noProof/>
                <w:sz w:val="22"/>
              </w:rPr>
              <w:t>Numero</w:t>
            </w:r>
          </w:p>
        </w:tc>
        <w:tc>
          <w:tcPr>
            <w:tcW w:w="7817" w:type="dxa"/>
            <w:vAlign w:val="center"/>
          </w:tcPr>
          <w:p w14:paraId="383FDC6B" w14:textId="77777777" w:rsidR="00AB6191" w:rsidRPr="0001127D" w:rsidRDefault="00AB6191" w:rsidP="00AB6191">
            <w:pPr>
              <w:spacing w:before="60" w:after="60"/>
              <w:rPr>
                <w:noProof/>
              </w:rPr>
            </w:pPr>
            <w:r w:rsidRPr="0001127D">
              <w:rPr>
                <w:noProof/>
              </w:rPr>
              <w:t>Rubrica 1: Mercato unico, innovazione e digitale</w:t>
            </w:r>
          </w:p>
        </w:tc>
      </w:tr>
    </w:tbl>
    <w:p w14:paraId="2E9A3222" w14:textId="77777777" w:rsidR="00AB6191" w:rsidRPr="0001127D" w:rsidRDefault="00AB6191" w:rsidP="00C5142C">
      <w:pPr>
        <w:spacing w:before="0" w:after="0"/>
        <w:rPr>
          <w:noProof/>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AB6191" w:rsidRPr="0001127D" w14:paraId="391F006D" w14:textId="77777777" w:rsidTr="00C5142C">
        <w:tc>
          <w:tcPr>
            <w:tcW w:w="3960" w:type="dxa"/>
            <w:vAlign w:val="center"/>
          </w:tcPr>
          <w:p w14:paraId="6C81FC7E" w14:textId="77777777" w:rsidR="00AB6191" w:rsidRPr="0001127D" w:rsidRDefault="00AB6191" w:rsidP="00AB6191">
            <w:pPr>
              <w:jc w:val="center"/>
              <w:rPr>
                <w:noProof/>
              </w:rPr>
            </w:pPr>
            <w:r w:rsidRPr="0001127D">
              <w:rPr>
                <w:noProof/>
              </w:rPr>
              <w:t>02.04.05.01</w:t>
            </w:r>
          </w:p>
        </w:tc>
        <w:tc>
          <w:tcPr>
            <w:tcW w:w="1560" w:type="dxa"/>
            <w:gridSpan w:val="2"/>
          </w:tcPr>
          <w:p w14:paraId="51C06C2D" w14:textId="77777777" w:rsidR="00AB6191" w:rsidRPr="0001127D" w:rsidRDefault="00AB6191" w:rsidP="00AB6191">
            <w:pPr>
              <w:rPr>
                <w:noProof/>
                <w:sz w:val="20"/>
              </w:rPr>
            </w:pPr>
          </w:p>
        </w:tc>
        <w:tc>
          <w:tcPr>
            <w:tcW w:w="534" w:type="dxa"/>
          </w:tcPr>
          <w:p w14:paraId="5E02E4AB" w14:textId="77777777" w:rsidR="00AB6191" w:rsidRPr="0001127D" w:rsidRDefault="00AB6191" w:rsidP="00AB6191">
            <w:pPr>
              <w:jc w:val="center"/>
              <w:rPr>
                <w:noProof/>
                <w:sz w:val="20"/>
              </w:rPr>
            </w:pPr>
          </w:p>
        </w:tc>
        <w:tc>
          <w:tcPr>
            <w:tcW w:w="868" w:type="dxa"/>
            <w:vAlign w:val="center"/>
          </w:tcPr>
          <w:p w14:paraId="300B6AA9" w14:textId="77777777" w:rsidR="00AB6191" w:rsidRPr="0001127D" w:rsidRDefault="00AB6191" w:rsidP="00AB6191">
            <w:pPr>
              <w:jc w:val="center"/>
              <w:rPr>
                <w:noProof/>
                <w:sz w:val="20"/>
              </w:rPr>
            </w:pPr>
            <w:r w:rsidRPr="0001127D">
              <w:rPr>
                <w:noProof/>
                <w:sz w:val="20"/>
              </w:rPr>
              <w:t>2025</w:t>
            </w:r>
          </w:p>
        </w:tc>
        <w:tc>
          <w:tcPr>
            <w:tcW w:w="868" w:type="dxa"/>
            <w:vAlign w:val="center"/>
          </w:tcPr>
          <w:p w14:paraId="41079682" w14:textId="77777777" w:rsidR="00AB6191" w:rsidRPr="0001127D" w:rsidRDefault="00AB6191" w:rsidP="00AB6191">
            <w:pPr>
              <w:jc w:val="center"/>
              <w:rPr>
                <w:noProof/>
                <w:sz w:val="20"/>
              </w:rPr>
            </w:pPr>
            <w:r w:rsidRPr="0001127D">
              <w:rPr>
                <w:noProof/>
                <w:sz w:val="20"/>
              </w:rPr>
              <w:t>2026</w:t>
            </w:r>
          </w:p>
        </w:tc>
        <w:tc>
          <w:tcPr>
            <w:tcW w:w="868" w:type="dxa"/>
            <w:vAlign w:val="center"/>
          </w:tcPr>
          <w:p w14:paraId="5B25CD25" w14:textId="77777777" w:rsidR="00AB6191" w:rsidRPr="0001127D" w:rsidRDefault="00AB6191" w:rsidP="00AB6191">
            <w:pPr>
              <w:jc w:val="center"/>
              <w:rPr>
                <w:noProof/>
                <w:sz w:val="20"/>
              </w:rPr>
            </w:pPr>
            <w:r w:rsidRPr="0001127D">
              <w:rPr>
                <w:noProof/>
                <w:sz w:val="20"/>
              </w:rPr>
              <w:t>2027</w:t>
            </w:r>
            <w:r w:rsidRPr="0001127D">
              <w:rPr>
                <w:rStyle w:val="FootnoteReference"/>
                <w:noProof/>
              </w:rPr>
              <w:footnoteReference w:id="73"/>
            </w:r>
          </w:p>
        </w:tc>
        <w:tc>
          <w:tcPr>
            <w:tcW w:w="868" w:type="dxa"/>
            <w:vAlign w:val="center"/>
          </w:tcPr>
          <w:p w14:paraId="543BEF10" w14:textId="77777777" w:rsidR="00AB6191" w:rsidRPr="0001127D" w:rsidRDefault="00AB6191" w:rsidP="00AB6191">
            <w:pPr>
              <w:jc w:val="center"/>
              <w:rPr>
                <w:noProof/>
                <w:sz w:val="20"/>
              </w:rPr>
            </w:pPr>
          </w:p>
        </w:tc>
        <w:tc>
          <w:tcPr>
            <w:tcW w:w="2604" w:type="dxa"/>
            <w:gridSpan w:val="3"/>
            <w:vAlign w:val="center"/>
          </w:tcPr>
          <w:p w14:paraId="1A4F24DD" w14:textId="6C16047A" w:rsidR="00AB6191" w:rsidRPr="0001127D" w:rsidRDefault="00AB6191" w:rsidP="00AB6191">
            <w:pPr>
              <w:jc w:val="center"/>
              <w:rPr>
                <w:b/>
                <w:noProof/>
                <w:sz w:val="18"/>
              </w:rPr>
            </w:pPr>
            <w:r w:rsidRPr="0001127D">
              <w:rPr>
                <w:noProof/>
                <w:sz w:val="18"/>
              </w:rPr>
              <w:t>Inserire gli anni necessari per evidenziare la durata dell</w:t>
            </w:r>
            <w:r w:rsidR="00E64452" w:rsidRPr="0001127D">
              <w:rPr>
                <w:noProof/>
                <w:sz w:val="18"/>
              </w:rPr>
              <w:t>'</w:t>
            </w:r>
            <w:r w:rsidRPr="0001127D">
              <w:rPr>
                <w:noProof/>
                <w:sz w:val="18"/>
              </w:rPr>
              <w:t>incidenza (cfr. punto 1.6)</w:t>
            </w:r>
          </w:p>
        </w:tc>
        <w:tc>
          <w:tcPr>
            <w:tcW w:w="1777" w:type="dxa"/>
            <w:vAlign w:val="center"/>
          </w:tcPr>
          <w:p w14:paraId="6945E2E9" w14:textId="77777777" w:rsidR="00AB6191" w:rsidRPr="0001127D" w:rsidRDefault="00AB6191" w:rsidP="00AB6191">
            <w:pPr>
              <w:jc w:val="center"/>
              <w:rPr>
                <w:b/>
                <w:noProof/>
                <w:sz w:val="20"/>
              </w:rPr>
            </w:pPr>
            <w:r w:rsidRPr="0001127D">
              <w:rPr>
                <w:b/>
                <w:noProof/>
                <w:sz w:val="20"/>
              </w:rPr>
              <w:t>TOTALE</w:t>
            </w:r>
          </w:p>
        </w:tc>
      </w:tr>
      <w:tr w:rsidR="00AB6191" w:rsidRPr="0001127D" w14:paraId="49181966" w14:textId="77777777" w:rsidTr="00C5142C">
        <w:trPr>
          <w:trHeight w:val="213"/>
        </w:trPr>
        <w:tc>
          <w:tcPr>
            <w:tcW w:w="6054" w:type="dxa"/>
            <w:gridSpan w:val="4"/>
            <w:vAlign w:val="center"/>
          </w:tcPr>
          <w:p w14:paraId="75603222" w14:textId="77777777" w:rsidR="00AB6191" w:rsidRPr="0001127D" w:rsidRDefault="00AB6191" w:rsidP="00AB6191">
            <w:pPr>
              <w:spacing w:before="20" w:after="20"/>
              <w:rPr>
                <w:noProof/>
                <w:sz w:val="21"/>
              </w:rPr>
            </w:pPr>
            <w:r w:rsidRPr="0001127D">
              <w:rPr>
                <w:rFonts w:ascii="Wingdings" w:hAnsi="Wingdings"/>
                <w:noProof/>
                <w:sz w:val="21"/>
              </w:rPr>
              <w:t>□</w:t>
            </w:r>
            <w:r w:rsidRPr="0001127D">
              <w:rPr>
                <w:noProof/>
                <w:sz w:val="21"/>
              </w:rPr>
              <w:t xml:space="preserve"> Stanziamenti operativi </w:t>
            </w:r>
          </w:p>
        </w:tc>
        <w:tc>
          <w:tcPr>
            <w:tcW w:w="868" w:type="dxa"/>
            <w:vAlign w:val="center"/>
          </w:tcPr>
          <w:p w14:paraId="067028B5" w14:textId="77777777" w:rsidR="00AB6191" w:rsidRPr="0001127D" w:rsidRDefault="00AB6191" w:rsidP="00AB6191">
            <w:pPr>
              <w:rPr>
                <w:noProof/>
                <w:sz w:val="20"/>
              </w:rPr>
            </w:pPr>
          </w:p>
        </w:tc>
        <w:tc>
          <w:tcPr>
            <w:tcW w:w="868" w:type="dxa"/>
            <w:vAlign w:val="center"/>
          </w:tcPr>
          <w:p w14:paraId="17D66007" w14:textId="77777777" w:rsidR="00AB6191" w:rsidRPr="0001127D" w:rsidRDefault="00AB6191" w:rsidP="00AB6191">
            <w:pPr>
              <w:rPr>
                <w:noProof/>
                <w:sz w:val="20"/>
              </w:rPr>
            </w:pPr>
          </w:p>
        </w:tc>
        <w:tc>
          <w:tcPr>
            <w:tcW w:w="868" w:type="dxa"/>
            <w:vAlign w:val="center"/>
          </w:tcPr>
          <w:p w14:paraId="162EAFD5" w14:textId="77777777" w:rsidR="00AB6191" w:rsidRPr="0001127D" w:rsidRDefault="00AB6191" w:rsidP="00AB6191">
            <w:pPr>
              <w:rPr>
                <w:noProof/>
                <w:sz w:val="20"/>
              </w:rPr>
            </w:pPr>
          </w:p>
        </w:tc>
        <w:tc>
          <w:tcPr>
            <w:tcW w:w="868" w:type="dxa"/>
            <w:vAlign w:val="center"/>
          </w:tcPr>
          <w:p w14:paraId="181C3634" w14:textId="77777777" w:rsidR="00AB6191" w:rsidRPr="0001127D" w:rsidRDefault="00AB6191" w:rsidP="00AB6191">
            <w:pPr>
              <w:rPr>
                <w:noProof/>
                <w:sz w:val="20"/>
              </w:rPr>
            </w:pPr>
          </w:p>
        </w:tc>
        <w:tc>
          <w:tcPr>
            <w:tcW w:w="868" w:type="dxa"/>
            <w:vAlign w:val="center"/>
          </w:tcPr>
          <w:p w14:paraId="0D5828BC" w14:textId="77777777" w:rsidR="00AB6191" w:rsidRPr="0001127D" w:rsidRDefault="00AB6191" w:rsidP="00AB6191">
            <w:pPr>
              <w:rPr>
                <w:noProof/>
                <w:sz w:val="20"/>
              </w:rPr>
            </w:pPr>
          </w:p>
        </w:tc>
        <w:tc>
          <w:tcPr>
            <w:tcW w:w="868" w:type="dxa"/>
            <w:vAlign w:val="center"/>
          </w:tcPr>
          <w:p w14:paraId="0A1F5E7C" w14:textId="77777777" w:rsidR="00AB6191" w:rsidRPr="0001127D" w:rsidRDefault="00AB6191" w:rsidP="00AB6191">
            <w:pPr>
              <w:rPr>
                <w:noProof/>
                <w:sz w:val="20"/>
              </w:rPr>
            </w:pPr>
          </w:p>
        </w:tc>
        <w:tc>
          <w:tcPr>
            <w:tcW w:w="868" w:type="dxa"/>
            <w:vAlign w:val="center"/>
          </w:tcPr>
          <w:p w14:paraId="707878A3" w14:textId="77777777" w:rsidR="00AB6191" w:rsidRPr="0001127D" w:rsidRDefault="00AB6191" w:rsidP="00AB6191">
            <w:pPr>
              <w:rPr>
                <w:b/>
                <w:noProof/>
                <w:sz w:val="20"/>
              </w:rPr>
            </w:pPr>
          </w:p>
        </w:tc>
        <w:tc>
          <w:tcPr>
            <w:tcW w:w="1777" w:type="dxa"/>
            <w:vAlign w:val="center"/>
          </w:tcPr>
          <w:p w14:paraId="58B8EAE4" w14:textId="77777777" w:rsidR="00AB6191" w:rsidRPr="0001127D" w:rsidRDefault="00AB6191" w:rsidP="00AB6191">
            <w:pPr>
              <w:rPr>
                <w:b/>
                <w:noProof/>
                <w:sz w:val="20"/>
              </w:rPr>
            </w:pPr>
          </w:p>
        </w:tc>
      </w:tr>
      <w:tr w:rsidR="00AB6191" w:rsidRPr="0001127D" w14:paraId="69C7B716" w14:textId="77777777" w:rsidTr="00C5142C">
        <w:trPr>
          <w:trHeight w:val="277"/>
        </w:trPr>
        <w:tc>
          <w:tcPr>
            <w:tcW w:w="3960" w:type="dxa"/>
            <w:vMerge w:val="restart"/>
            <w:vAlign w:val="center"/>
          </w:tcPr>
          <w:p w14:paraId="3C933F76" w14:textId="77777777" w:rsidR="00AB6191" w:rsidRPr="0001127D" w:rsidRDefault="00AB6191" w:rsidP="00AB6191">
            <w:pPr>
              <w:rPr>
                <w:noProof/>
              </w:rPr>
            </w:pPr>
            <w:r w:rsidRPr="0001127D">
              <w:rPr>
                <w:noProof/>
              </w:rPr>
              <w:t>02.04.05.01</w:t>
            </w:r>
          </w:p>
        </w:tc>
        <w:tc>
          <w:tcPr>
            <w:tcW w:w="1440" w:type="dxa"/>
            <w:vAlign w:val="center"/>
          </w:tcPr>
          <w:p w14:paraId="77F670CC" w14:textId="77777777" w:rsidR="00AB6191" w:rsidRPr="0001127D" w:rsidRDefault="00AB6191" w:rsidP="00AB6191">
            <w:pPr>
              <w:spacing w:before="20" w:after="20"/>
              <w:rPr>
                <w:noProof/>
                <w:sz w:val="18"/>
              </w:rPr>
            </w:pPr>
            <w:r w:rsidRPr="0001127D">
              <w:rPr>
                <w:noProof/>
                <w:sz w:val="18"/>
              </w:rPr>
              <w:t>Impegni</w:t>
            </w:r>
          </w:p>
        </w:tc>
        <w:tc>
          <w:tcPr>
            <w:tcW w:w="654" w:type="dxa"/>
            <w:gridSpan w:val="2"/>
            <w:vAlign w:val="center"/>
          </w:tcPr>
          <w:p w14:paraId="445247A2" w14:textId="77777777" w:rsidR="00AB6191" w:rsidRPr="0001127D" w:rsidRDefault="00AB6191" w:rsidP="00AB6191">
            <w:pPr>
              <w:spacing w:before="20" w:after="20"/>
              <w:jc w:val="center"/>
              <w:rPr>
                <w:noProof/>
                <w:sz w:val="14"/>
              </w:rPr>
            </w:pPr>
            <w:r w:rsidRPr="0001127D">
              <w:rPr>
                <w:noProof/>
                <w:sz w:val="14"/>
              </w:rPr>
              <w:t>(1a)</w:t>
            </w:r>
          </w:p>
        </w:tc>
        <w:tc>
          <w:tcPr>
            <w:tcW w:w="868" w:type="dxa"/>
            <w:vAlign w:val="center"/>
          </w:tcPr>
          <w:p w14:paraId="2392DFB4"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549CCBAA"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1E3E1958"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4F5EFD9D" w14:textId="77777777" w:rsidR="00AB6191" w:rsidRPr="0001127D" w:rsidRDefault="00AB6191" w:rsidP="00AB6191">
            <w:pPr>
              <w:spacing w:before="20" w:after="20"/>
              <w:jc w:val="right"/>
              <w:rPr>
                <w:noProof/>
                <w:sz w:val="20"/>
              </w:rPr>
            </w:pPr>
          </w:p>
        </w:tc>
        <w:tc>
          <w:tcPr>
            <w:tcW w:w="868" w:type="dxa"/>
            <w:vAlign w:val="center"/>
          </w:tcPr>
          <w:p w14:paraId="0A34562B" w14:textId="77777777" w:rsidR="00AB6191" w:rsidRPr="0001127D" w:rsidRDefault="00AB6191" w:rsidP="00AB6191">
            <w:pPr>
              <w:spacing w:before="20" w:after="20"/>
              <w:jc w:val="right"/>
              <w:rPr>
                <w:noProof/>
                <w:sz w:val="20"/>
              </w:rPr>
            </w:pPr>
          </w:p>
        </w:tc>
        <w:tc>
          <w:tcPr>
            <w:tcW w:w="868" w:type="dxa"/>
            <w:vAlign w:val="center"/>
          </w:tcPr>
          <w:p w14:paraId="14DA52D7" w14:textId="77777777" w:rsidR="00AB6191" w:rsidRPr="0001127D" w:rsidRDefault="00AB6191" w:rsidP="00AB6191">
            <w:pPr>
              <w:spacing w:before="20" w:after="20"/>
              <w:jc w:val="right"/>
              <w:rPr>
                <w:noProof/>
                <w:sz w:val="20"/>
              </w:rPr>
            </w:pPr>
          </w:p>
        </w:tc>
        <w:tc>
          <w:tcPr>
            <w:tcW w:w="868" w:type="dxa"/>
            <w:vAlign w:val="center"/>
          </w:tcPr>
          <w:p w14:paraId="16A8C3D2" w14:textId="77777777" w:rsidR="00AB6191" w:rsidRPr="0001127D" w:rsidRDefault="00AB6191" w:rsidP="00AB6191">
            <w:pPr>
              <w:spacing w:before="20" w:after="20"/>
              <w:jc w:val="right"/>
              <w:rPr>
                <w:b/>
                <w:noProof/>
                <w:sz w:val="20"/>
              </w:rPr>
            </w:pPr>
          </w:p>
        </w:tc>
        <w:tc>
          <w:tcPr>
            <w:tcW w:w="1777" w:type="dxa"/>
            <w:vAlign w:val="center"/>
          </w:tcPr>
          <w:p w14:paraId="636D0E3A" w14:textId="77777777" w:rsidR="00AB6191" w:rsidRPr="0001127D" w:rsidRDefault="00AB6191" w:rsidP="00AB6191">
            <w:pPr>
              <w:spacing w:before="20" w:after="20"/>
              <w:jc w:val="right"/>
              <w:rPr>
                <w:b/>
                <w:noProof/>
                <w:sz w:val="20"/>
              </w:rPr>
            </w:pPr>
            <w:r w:rsidRPr="0001127D">
              <w:rPr>
                <w:b/>
                <w:noProof/>
                <w:sz w:val="20"/>
              </w:rPr>
              <w:t>6,000</w:t>
            </w:r>
          </w:p>
        </w:tc>
      </w:tr>
      <w:tr w:rsidR="00AB6191" w:rsidRPr="0001127D" w14:paraId="4F4135EC" w14:textId="77777777" w:rsidTr="00C5142C">
        <w:tc>
          <w:tcPr>
            <w:tcW w:w="3960" w:type="dxa"/>
            <w:vMerge/>
          </w:tcPr>
          <w:p w14:paraId="2DC7B60A" w14:textId="77777777" w:rsidR="00AB6191" w:rsidRPr="0001127D" w:rsidRDefault="00AB6191" w:rsidP="00AB6191">
            <w:pPr>
              <w:jc w:val="center"/>
              <w:rPr>
                <w:noProof/>
                <w:sz w:val="20"/>
              </w:rPr>
            </w:pPr>
          </w:p>
        </w:tc>
        <w:tc>
          <w:tcPr>
            <w:tcW w:w="1440" w:type="dxa"/>
            <w:vAlign w:val="center"/>
          </w:tcPr>
          <w:p w14:paraId="619F5873" w14:textId="77777777" w:rsidR="00AB6191" w:rsidRPr="0001127D" w:rsidRDefault="00AB6191" w:rsidP="00AB6191">
            <w:pPr>
              <w:spacing w:before="20" w:after="20"/>
              <w:rPr>
                <w:noProof/>
                <w:sz w:val="18"/>
              </w:rPr>
            </w:pPr>
            <w:r w:rsidRPr="0001127D">
              <w:rPr>
                <w:noProof/>
                <w:sz w:val="18"/>
              </w:rPr>
              <w:t>Pagamenti</w:t>
            </w:r>
          </w:p>
        </w:tc>
        <w:tc>
          <w:tcPr>
            <w:tcW w:w="654" w:type="dxa"/>
            <w:gridSpan w:val="2"/>
            <w:vAlign w:val="center"/>
          </w:tcPr>
          <w:p w14:paraId="3911242C" w14:textId="77777777" w:rsidR="00AB6191" w:rsidRPr="0001127D" w:rsidRDefault="00AB6191" w:rsidP="00AB6191">
            <w:pPr>
              <w:spacing w:before="20" w:after="20"/>
              <w:jc w:val="center"/>
              <w:rPr>
                <w:noProof/>
                <w:sz w:val="14"/>
              </w:rPr>
            </w:pPr>
            <w:r w:rsidRPr="0001127D">
              <w:rPr>
                <w:noProof/>
                <w:sz w:val="14"/>
              </w:rPr>
              <w:t>(2a)</w:t>
            </w:r>
          </w:p>
        </w:tc>
        <w:tc>
          <w:tcPr>
            <w:tcW w:w="868" w:type="dxa"/>
            <w:vAlign w:val="center"/>
          </w:tcPr>
          <w:p w14:paraId="61A57124"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22F26505"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481A3CB8"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319838C2" w14:textId="77777777" w:rsidR="00AB6191" w:rsidRPr="0001127D" w:rsidRDefault="00AB6191" w:rsidP="00AB6191">
            <w:pPr>
              <w:spacing w:before="20" w:after="20"/>
              <w:jc w:val="right"/>
              <w:rPr>
                <w:noProof/>
                <w:sz w:val="20"/>
              </w:rPr>
            </w:pPr>
          </w:p>
        </w:tc>
        <w:tc>
          <w:tcPr>
            <w:tcW w:w="868" w:type="dxa"/>
            <w:vAlign w:val="center"/>
          </w:tcPr>
          <w:p w14:paraId="37C6431E" w14:textId="77777777" w:rsidR="00AB6191" w:rsidRPr="0001127D" w:rsidRDefault="00AB6191" w:rsidP="00AB6191">
            <w:pPr>
              <w:spacing w:before="20" w:after="20"/>
              <w:jc w:val="right"/>
              <w:rPr>
                <w:noProof/>
                <w:sz w:val="20"/>
              </w:rPr>
            </w:pPr>
          </w:p>
        </w:tc>
        <w:tc>
          <w:tcPr>
            <w:tcW w:w="868" w:type="dxa"/>
            <w:vAlign w:val="center"/>
          </w:tcPr>
          <w:p w14:paraId="4C09AB2B" w14:textId="77777777" w:rsidR="00AB6191" w:rsidRPr="0001127D" w:rsidRDefault="00AB6191" w:rsidP="00AB6191">
            <w:pPr>
              <w:spacing w:before="20" w:after="20"/>
              <w:jc w:val="right"/>
              <w:rPr>
                <w:noProof/>
                <w:sz w:val="20"/>
              </w:rPr>
            </w:pPr>
          </w:p>
        </w:tc>
        <w:tc>
          <w:tcPr>
            <w:tcW w:w="868" w:type="dxa"/>
            <w:vAlign w:val="center"/>
          </w:tcPr>
          <w:p w14:paraId="29F85F39" w14:textId="77777777" w:rsidR="00AB6191" w:rsidRPr="0001127D" w:rsidRDefault="00AB6191" w:rsidP="00AB6191">
            <w:pPr>
              <w:spacing w:before="20" w:after="20"/>
              <w:jc w:val="right"/>
              <w:rPr>
                <w:b/>
                <w:noProof/>
                <w:sz w:val="20"/>
              </w:rPr>
            </w:pPr>
          </w:p>
        </w:tc>
        <w:tc>
          <w:tcPr>
            <w:tcW w:w="1777" w:type="dxa"/>
            <w:vAlign w:val="center"/>
          </w:tcPr>
          <w:p w14:paraId="3869D5F0" w14:textId="77777777" w:rsidR="00AB6191" w:rsidRPr="0001127D" w:rsidRDefault="00AB6191" w:rsidP="00AB6191">
            <w:pPr>
              <w:spacing w:before="20" w:after="20"/>
              <w:jc w:val="right"/>
              <w:rPr>
                <w:b/>
                <w:noProof/>
                <w:sz w:val="20"/>
              </w:rPr>
            </w:pPr>
            <w:r w:rsidRPr="0001127D">
              <w:rPr>
                <w:b/>
                <w:noProof/>
                <w:sz w:val="20"/>
              </w:rPr>
              <w:t>6,000</w:t>
            </w:r>
          </w:p>
        </w:tc>
      </w:tr>
      <w:tr w:rsidR="00AB6191" w:rsidRPr="0001127D" w14:paraId="052D5A49" w14:textId="77777777" w:rsidTr="00C5142C">
        <w:tc>
          <w:tcPr>
            <w:tcW w:w="3960" w:type="dxa"/>
            <w:vMerge w:val="restart"/>
            <w:vAlign w:val="center"/>
          </w:tcPr>
          <w:p w14:paraId="13BE817E" w14:textId="77777777" w:rsidR="00AB6191" w:rsidRPr="0001127D" w:rsidRDefault="00AB6191" w:rsidP="00AB6191">
            <w:pPr>
              <w:rPr>
                <w:noProof/>
              </w:rPr>
            </w:pPr>
            <w:r w:rsidRPr="0001127D">
              <w:rPr>
                <w:noProof/>
                <w:sz w:val="20"/>
              </w:rPr>
              <w:t>Linea di bilancio</w:t>
            </w:r>
          </w:p>
        </w:tc>
        <w:tc>
          <w:tcPr>
            <w:tcW w:w="1440" w:type="dxa"/>
            <w:vAlign w:val="center"/>
          </w:tcPr>
          <w:p w14:paraId="0E7A81B0" w14:textId="77777777" w:rsidR="00AB6191" w:rsidRPr="0001127D" w:rsidRDefault="00AB6191" w:rsidP="00AB6191">
            <w:pPr>
              <w:spacing w:before="20" w:after="20"/>
              <w:rPr>
                <w:noProof/>
                <w:sz w:val="18"/>
              </w:rPr>
            </w:pPr>
            <w:r w:rsidRPr="0001127D">
              <w:rPr>
                <w:noProof/>
                <w:sz w:val="18"/>
              </w:rPr>
              <w:t>Impegni</w:t>
            </w:r>
          </w:p>
        </w:tc>
        <w:tc>
          <w:tcPr>
            <w:tcW w:w="654" w:type="dxa"/>
            <w:gridSpan w:val="2"/>
            <w:vAlign w:val="center"/>
          </w:tcPr>
          <w:p w14:paraId="0CCDF849" w14:textId="77777777" w:rsidR="00AB6191" w:rsidRPr="0001127D" w:rsidRDefault="00AB6191" w:rsidP="00AB6191">
            <w:pPr>
              <w:spacing w:before="20" w:after="20"/>
              <w:jc w:val="center"/>
              <w:rPr>
                <w:noProof/>
                <w:sz w:val="14"/>
              </w:rPr>
            </w:pPr>
            <w:r w:rsidRPr="0001127D">
              <w:rPr>
                <w:noProof/>
                <w:sz w:val="14"/>
              </w:rPr>
              <w:t>(1b)</w:t>
            </w:r>
          </w:p>
        </w:tc>
        <w:tc>
          <w:tcPr>
            <w:tcW w:w="868" w:type="dxa"/>
            <w:vAlign w:val="center"/>
          </w:tcPr>
          <w:p w14:paraId="54BAB699" w14:textId="77777777" w:rsidR="00AB6191" w:rsidRPr="0001127D" w:rsidRDefault="00AB6191" w:rsidP="00AB6191">
            <w:pPr>
              <w:spacing w:before="20" w:after="20"/>
              <w:jc w:val="right"/>
              <w:rPr>
                <w:noProof/>
                <w:sz w:val="20"/>
              </w:rPr>
            </w:pPr>
          </w:p>
        </w:tc>
        <w:tc>
          <w:tcPr>
            <w:tcW w:w="868" w:type="dxa"/>
            <w:vAlign w:val="center"/>
          </w:tcPr>
          <w:p w14:paraId="19FC009F" w14:textId="77777777" w:rsidR="00AB6191" w:rsidRPr="0001127D" w:rsidRDefault="00AB6191" w:rsidP="00AB6191">
            <w:pPr>
              <w:spacing w:before="20" w:after="20"/>
              <w:jc w:val="right"/>
              <w:rPr>
                <w:noProof/>
                <w:sz w:val="20"/>
              </w:rPr>
            </w:pPr>
          </w:p>
        </w:tc>
        <w:tc>
          <w:tcPr>
            <w:tcW w:w="868" w:type="dxa"/>
            <w:vAlign w:val="center"/>
          </w:tcPr>
          <w:p w14:paraId="73B0A2F5" w14:textId="77777777" w:rsidR="00AB6191" w:rsidRPr="0001127D" w:rsidRDefault="00AB6191" w:rsidP="00AB6191">
            <w:pPr>
              <w:spacing w:before="20" w:after="20"/>
              <w:jc w:val="right"/>
              <w:rPr>
                <w:noProof/>
                <w:sz w:val="20"/>
              </w:rPr>
            </w:pPr>
          </w:p>
        </w:tc>
        <w:tc>
          <w:tcPr>
            <w:tcW w:w="868" w:type="dxa"/>
            <w:vAlign w:val="center"/>
          </w:tcPr>
          <w:p w14:paraId="5A6890FB" w14:textId="77777777" w:rsidR="00AB6191" w:rsidRPr="0001127D" w:rsidRDefault="00AB6191" w:rsidP="00AB6191">
            <w:pPr>
              <w:spacing w:before="20" w:after="20"/>
              <w:jc w:val="right"/>
              <w:rPr>
                <w:noProof/>
                <w:sz w:val="20"/>
              </w:rPr>
            </w:pPr>
          </w:p>
        </w:tc>
        <w:tc>
          <w:tcPr>
            <w:tcW w:w="868" w:type="dxa"/>
            <w:vAlign w:val="center"/>
          </w:tcPr>
          <w:p w14:paraId="788ED050" w14:textId="77777777" w:rsidR="00AB6191" w:rsidRPr="0001127D" w:rsidRDefault="00AB6191" w:rsidP="00AB6191">
            <w:pPr>
              <w:spacing w:before="20" w:after="20"/>
              <w:jc w:val="right"/>
              <w:rPr>
                <w:noProof/>
                <w:sz w:val="20"/>
              </w:rPr>
            </w:pPr>
          </w:p>
        </w:tc>
        <w:tc>
          <w:tcPr>
            <w:tcW w:w="868" w:type="dxa"/>
            <w:vAlign w:val="center"/>
          </w:tcPr>
          <w:p w14:paraId="19DA72D1" w14:textId="77777777" w:rsidR="00AB6191" w:rsidRPr="0001127D" w:rsidRDefault="00AB6191" w:rsidP="00AB6191">
            <w:pPr>
              <w:spacing w:before="20" w:after="20"/>
              <w:jc w:val="right"/>
              <w:rPr>
                <w:noProof/>
                <w:sz w:val="20"/>
              </w:rPr>
            </w:pPr>
          </w:p>
        </w:tc>
        <w:tc>
          <w:tcPr>
            <w:tcW w:w="868" w:type="dxa"/>
            <w:vAlign w:val="center"/>
          </w:tcPr>
          <w:p w14:paraId="6C73892D" w14:textId="77777777" w:rsidR="00AB6191" w:rsidRPr="0001127D" w:rsidRDefault="00AB6191" w:rsidP="00AB6191">
            <w:pPr>
              <w:spacing w:before="20" w:after="20"/>
              <w:jc w:val="right"/>
              <w:rPr>
                <w:b/>
                <w:noProof/>
                <w:sz w:val="20"/>
              </w:rPr>
            </w:pPr>
          </w:p>
        </w:tc>
        <w:tc>
          <w:tcPr>
            <w:tcW w:w="1777" w:type="dxa"/>
            <w:vAlign w:val="center"/>
          </w:tcPr>
          <w:p w14:paraId="2762679B" w14:textId="77777777" w:rsidR="00AB6191" w:rsidRPr="0001127D" w:rsidRDefault="00AB6191" w:rsidP="00AB6191">
            <w:pPr>
              <w:spacing w:before="20" w:after="20"/>
              <w:jc w:val="right"/>
              <w:rPr>
                <w:b/>
                <w:noProof/>
                <w:sz w:val="20"/>
              </w:rPr>
            </w:pPr>
          </w:p>
        </w:tc>
      </w:tr>
      <w:tr w:rsidR="00AB6191" w:rsidRPr="0001127D" w14:paraId="61EAB7EF" w14:textId="77777777" w:rsidTr="00C5142C">
        <w:tc>
          <w:tcPr>
            <w:tcW w:w="3960" w:type="dxa"/>
            <w:vMerge/>
          </w:tcPr>
          <w:p w14:paraId="37ED661B" w14:textId="77777777" w:rsidR="00AB6191" w:rsidRPr="0001127D" w:rsidRDefault="00AB6191" w:rsidP="00AB6191">
            <w:pPr>
              <w:jc w:val="center"/>
              <w:rPr>
                <w:noProof/>
                <w:sz w:val="20"/>
              </w:rPr>
            </w:pPr>
          </w:p>
        </w:tc>
        <w:tc>
          <w:tcPr>
            <w:tcW w:w="1440" w:type="dxa"/>
            <w:vAlign w:val="center"/>
          </w:tcPr>
          <w:p w14:paraId="2972ED81" w14:textId="77777777" w:rsidR="00AB6191" w:rsidRPr="0001127D" w:rsidRDefault="00AB6191" w:rsidP="00AB6191">
            <w:pPr>
              <w:spacing w:before="20" w:after="20"/>
              <w:rPr>
                <w:noProof/>
                <w:sz w:val="18"/>
              </w:rPr>
            </w:pPr>
            <w:r w:rsidRPr="0001127D">
              <w:rPr>
                <w:noProof/>
                <w:sz w:val="18"/>
              </w:rPr>
              <w:t>Pagamenti</w:t>
            </w:r>
          </w:p>
        </w:tc>
        <w:tc>
          <w:tcPr>
            <w:tcW w:w="654" w:type="dxa"/>
            <w:gridSpan w:val="2"/>
            <w:vAlign w:val="center"/>
          </w:tcPr>
          <w:p w14:paraId="390E4395" w14:textId="77777777" w:rsidR="00AB6191" w:rsidRPr="0001127D" w:rsidRDefault="00AB6191" w:rsidP="00AB6191">
            <w:pPr>
              <w:spacing w:before="20" w:after="20"/>
              <w:jc w:val="center"/>
              <w:rPr>
                <w:noProof/>
                <w:sz w:val="14"/>
              </w:rPr>
            </w:pPr>
            <w:r w:rsidRPr="0001127D">
              <w:rPr>
                <w:noProof/>
                <w:sz w:val="14"/>
              </w:rPr>
              <w:t>(2b)</w:t>
            </w:r>
          </w:p>
        </w:tc>
        <w:tc>
          <w:tcPr>
            <w:tcW w:w="868" w:type="dxa"/>
            <w:vAlign w:val="center"/>
          </w:tcPr>
          <w:p w14:paraId="73437D2C" w14:textId="77777777" w:rsidR="00AB6191" w:rsidRPr="0001127D" w:rsidRDefault="00AB6191" w:rsidP="00AB6191">
            <w:pPr>
              <w:spacing w:before="20" w:after="20"/>
              <w:jc w:val="right"/>
              <w:rPr>
                <w:noProof/>
                <w:sz w:val="20"/>
              </w:rPr>
            </w:pPr>
          </w:p>
        </w:tc>
        <w:tc>
          <w:tcPr>
            <w:tcW w:w="868" w:type="dxa"/>
            <w:vAlign w:val="center"/>
          </w:tcPr>
          <w:p w14:paraId="7F25FD36" w14:textId="77777777" w:rsidR="00AB6191" w:rsidRPr="0001127D" w:rsidRDefault="00AB6191" w:rsidP="00AB6191">
            <w:pPr>
              <w:spacing w:before="20" w:after="20"/>
              <w:jc w:val="right"/>
              <w:rPr>
                <w:noProof/>
                <w:sz w:val="20"/>
              </w:rPr>
            </w:pPr>
          </w:p>
        </w:tc>
        <w:tc>
          <w:tcPr>
            <w:tcW w:w="868" w:type="dxa"/>
            <w:vAlign w:val="center"/>
          </w:tcPr>
          <w:p w14:paraId="6F70071C" w14:textId="77777777" w:rsidR="00AB6191" w:rsidRPr="0001127D" w:rsidRDefault="00AB6191" w:rsidP="00AB6191">
            <w:pPr>
              <w:spacing w:before="20" w:after="20"/>
              <w:jc w:val="right"/>
              <w:rPr>
                <w:noProof/>
                <w:sz w:val="20"/>
              </w:rPr>
            </w:pPr>
          </w:p>
        </w:tc>
        <w:tc>
          <w:tcPr>
            <w:tcW w:w="868" w:type="dxa"/>
            <w:vAlign w:val="center"/>
          </w:tcPr>
          <w:p w14:paraId="37CDBF2C" w14:textId="77777777" w:rsidR="00AB6191" w:rsidRPr="0001127D" w:rsidRDefault="00AB6191" w:rsidP="00AB6191">
            <w:pPr>
              <w:spacing w:before="20" w:after="20"/>
              <w:jc w:val="right"/>
              <w:rPr>
                <w:noProof/>
                <w:sz w:val="20"/>
              </w:rPr>
            </w:pPr>
          </w:p>
        </w:tc>
        <w:tc>
          <w:tcPr>
            <w:tcW w:w="868" w:type="dxa"/>
            <w:vAlign w:val="center"/>
          </w:tcPr>
          <w:p w14:paraId="6B2BDA84" w14:textId="77777777" w:rsidR="00AB6191" w:rsidRPr="0001127D" w:rsidRDefault="00AB6191" w:rsidP="00AB6191">
            <w:pPr>
              <w:spacing w:before="20" w:after="20"/>
              <w:jc w:val="right"/>
              <w:rPr>
                <w:noProof/>
                <w:sz w:val="20"/>
              </w:rPr>
            </w:pPr>
          </w:p>
        </w:tc>
        <w:tc>
          <w:tcPr>
            <w:tcW w:w="868" w:type="dxa"/>
            <w:vAlign w:val="center"/>
          </w:tcPr>
          <w:p w14:paraId="0C6AEA80" w14:textId="77777777" w:rsidR="00AB6191" w:rsidRPr="0001127D" w:rsidRDefault="00AB6191" w:rsidP="00AB6191">
            <w:pPr>
              <w:spacing w:before="20" w:after="20"/>
              <w:jc w:val="right"/>
              <w:rPr>
                <w:noProof/>
                <w:sz w:val="20"/>
              </w:rPr>
            </w:pPr>
          </w:p>
        </w:tc>
        <w:tc>
          <w:tcPr>
            <w:tcW w:w="868" w:type="dxa"/>
            <w:vAlign w:val="center"/>
          </w:tcPr>
          <w:p w14:paraId="7CB2DD61" w14:textId="77777777" w:rsidR="00AB6191" w:rsidRPr="0001127D" w:rsidRDefault="00AB6191" w:rsidP="00AB6191">
            <w:pPr>
              <w:spacing w:before="20" w:after="20"/>
              <w:jc w:val="right"/>
              <w:rPr>
                <w:b/>
                <w:noProof/>
                <w:sz w:val="20"/>
              </w:rPr>
            </w:pPr>
          </w:p>
        </w:tc>
        <w:tc>
          <w:tcPr>
            <w:tcW w:w="1777" w:type="dxa"/>
            <w:vAlign w:val="center"/>
          </w:tcPr>
          <w:p w14:paraId="74E3CADF" w14:textId="77777777" w:rsidR="00AB6191" w:rsidRPr="0001127D" w:rsidRDefault="00AB6191" w:rsidP="00AB6191">
            <w:pPr>
              <w:spacing w:before="20" w:after="20"/>
              <w:jc w:val="right"/>
              <w:rPr>
                <w:b/>
                <w:noProof/>
                <w:sz w:val="20"/>
              </w:rPr>
            </w:pPr>
          </w:p>
        </w:tc>
      </w:tr>
      <w:tr w:rsidR="00AB6191" w:rsidRPr="0001127D" w14:paraId="22764434" w14:textId="77777777" w:rsidTr="00C5142C">
        <w:trPr>
          <w:trHeight w:val="231"/>
        </w:trPr>
        <w:tc>
          <w:tcPr>
            <w:tcW w:w="6054" w:type="dxa"/>
            <w:gridSpan w:val="4"/>
            <w:vAlign w:val="center"/>
          </w:tcPr>
          <w:p w14:paraId="049F2D76" w14:textId="77777777" w:rsidR="00AB6191" w:rsidRPr="0001127D" w:rsidRDefault="00AB6191" w:rsidP="00AB6191">
            <w:pPr>
              <w:spacing w:before="20" w:after="20"/>
              <w:rPr>
                <w:noProof/>
              </w:rPr>
            </w:pPr>
            <w:r w:rsidRPr="0001127D">
              <w:rPr>
                <w:noProof/>
                <w:sz w:val="21"/>
              </w:rPr>
              <w:t>Stanziamenti amministrativi finanziati dalla dotazione di programmi specifici</w:t>
            </w:r>
            <w:r w:rsidRPr="0001127D">
              <w:rPr>
                <w:rStyle w:val="FootnoteReference"/>
                <w:noProof/>
              </w:rPr>
              <w:footnoteReference w:id="74"/>
            </w:r>
            <w:r w:rsidRPr="0001127D">
              <w:rPr>
                <w:noProof/>
                <w:sz w:val="21"/>
              </w:rPr>
              <w:t xml:space="preserve"> </w:t>
            </w:r>
          </w:p>
          <w:p w14:paraId="699FAEFA" w14:textId="77777777" w:rsidR="00AB6191" w:rsidRPr="0001127D" w:rsidRDefault="00AB6191" w:rsidP="00AB6191">
            <w:pPr>
              <w:spacing w:before="0" w:after="0"/>
              <w:rPr>
                <w:noProof/>
              </w:rPr>
            </w:pPr>
          </w:p>
        </w:tc>
        <w:tc>
          <w:tcPr>
            <w:tcW w:w="868" w:type="dxa"/>
            <w:vAlign w:val="center"/>
          </w:tcPr>
          <w:p w14:paraId="2E08A5FB" w14:textId="77777777" w:rsidR="00AB6191" w:rsidRPr="0001127D" w:rsidRDefault="00AB6191" w:rsidP="00AB6191">
            <w:pPr>
              <w:rPr>
                <w:b/>
                <w:noProof/>
                <w:sz w:val="20"/>
              </w:rPr>
            </w:pPr>
          </w:p>
        </w:tc>
        <w:tc>
          <w:tcPr>
            <w:tcW w:w="868" w:type="dxa"/>
            <w:vAlign w:val="center"/>
          </w:tcPr>
          <w:p w14:paraId="1CD45D03" w14:textId="77777777" w:rsidR="00AB6191" w:rsidRPr="0001127D" w:rsidRDefault="00AB6191" w:rsidP="00AB6191">
            <w:pPr>
              <w:rPr>
                <w:b/>
                <w:noProof/>
                <w:sz w:val="20"/>
              </w:rPr>
            </w:pPr>
          </w:p>
        </w:tc>
        <w:tc>
          <w:tcPr>
            <w:tcW w:w="868" w:type="dxa"/>
            <w:vAlign w:val="center"/>
          </w:tcPr>
          <w:p w14:paraId="1A00F2DD" w14:textId="77777777" w:rsidR="00AB6191" w:rsidRPr="0001127D" w:rsidRDefault="00AB6191" w:rsidP="00AB6191">
            <w:pPr>
              <w:rPr>
                <w:b/>
                <w:noProof/>
                <w:sz w:val="20"/>
              </w:rPr>
            </w:pPr>
          </w:p>
        </w:tc>
        <w:tc>
          <w:tcPr>
            <w:tcW w:w="868" w:type="dxa"/>
            <w:vAlign w:val="center"/>
          </w:tcPr>
          <w:p w14:paraId="3171D9A9" w14:textId="77777777" w:rsidR="00AB6191" w:rsidRPr="0001127D" w:rsidRDefault="00AB6191" w:rsidP="00AB6191">
            <w:pPr>
              <w:rPr>
                <w:b/>
                <w:noProof/>
                <w:sz w:val="20"/>
              </w:rPr>
            </w:pPr>
          </w:p>
        </w:tc>
        <w:tc>
          <w:tcPr>
            <w:tcW w:w="868" w:type="dxa"/>
            <w:vAlign w:val="center"/>
          </w:tcPr>
          <w:p w14:paraId="77B7E5E8" w14:textId="77777777" w:rsidR="00AB6191" w:rsidRPr="0001127D" w:rsidRDefault="00AB6191" w:rsidP="00AB6191">
            <w:pPr>
              <w:rPr>
                <w:b/>
                <w:noProof/>
                <w:sz w:val="20"/>
              </w:rPr>
            </w:pPr>
          </w:p>
        </w:tc>
        <w:tc>
          <w:tcPr>
            <w:tcW w:w="868" w:type="dxa"/>
            <w:vAlign w:val="center"/>
          </w:tcPr>
          <w:p w14:paraId="64FBFA5A" w14:textId="77777777" w:rsidR="00AB6191" w:rsidRPr="0001127D" w:rsidRDefault="00AB6191" w:rsidP="00AB6191">
            <w:pPr>
              <w:rPr>
                <w:b/>
                <w:noProof/>
                <w:sz w:val="20"/>
              </w:rPr>
            </w:pPr>
          </w:p>
        </w:tc>
        <w:tc>
          <w:tcPr>
            <w:tcW w:w="868" w:type="dxa"/>
            <w:vAlign w:val="center"/>
          </w:tcPr>
          <w:p w14:paraId="31C03F50" w14:textId="77777777" w:rsidR="00AB6191" w:rsidRPr="0001127D" w:rsidRDefault="00AB6191" w:rsidP="00AB6191">
            <w:pPr>
              <w:rPr>
                <w:b/>
                <w:noProof/>
                <w:sz w:val="20"/>
              </w:rPr>
            </w:pPr>
          </w:p>
        </w:tc>
        <w:tc>
          <w:tcPr>
            <w:tcW w:w="1777" w:type="dxa"/>
            <w:vAlign w:val="center"/>
          </w:tcPr>
          <w:p w14:paraId="3749BA21" w14:textId="77777777" w:rsidR="00AB6191" w:rsidRPr="0001127D" w:rsidRDefault="00AB6191" w:rsidP="00AB6191">
            <w:pPr>
              <w:rPr>
                <w:b/>
                <w:noProof/>
                <w:sz w:val="20"/>
              </w:rPr>
            </w:pPr>
          </w:p>
        </w:tc>
      </w:tr>
      <w:tr w:rsidR="00AB6191" w:rsidRPr="0001127D" w14:paraId="4DEB54BC" w14:textId="77777777" w:rsidTr="00C5142C">
        <w:trPr>
          <w:trHeight w:val="319"/>
        </w:trPr>
        <w:tc>
          <w:tcPr>
            <w:tcW w:w="3960" w:type="dxa"/>
            <w:vAlign w:val="center"/>
          </w:tcPr>
          <w:p w14:paraId="2E234BEB" w14:textId="77777777" w:rsidR="00AB6191" w:rsidRPr="0001127D" w:rsidRDefault="00AB6191" w:rsidP="00AB6191">
            <w:pPr>
              <w:spacing w:before="60" w:after="60"/>
              <w:rPr>
                <w:noProof/>
              </w:rPr>
            </w:pPr>
            <w:r w:rsidRPr="0001127D">
              <w:rPr>
                <w:noProof/>
                <w:sz w:val="20"/>
              </w:rPr>
              <w:t>Linea di bilancio</w:t>
            </w:r>
          </w:p>
        </w:tc>
        <w:tc>
          <w:tcPr>
            <w:tcW w:w="1440" w:type="dxa"/>
            <w:vAlign w:val="center"/>
          </w:tcPr>
          <w:p w14:paraId="1B2445B9" w14:textId="77777777" w:rsidR="00AB6191" w:rsidRPr="0001127D" w:rsidRDefault="00AB6191" w:rsidP="00AB6191">
            <w:pPr>
              <w:spacing w:before="40" w:after="40"/>
              <w:jc w:val="right"/>
              <w:rPr>
                <w:noProof/>
                <w:sz w:val="18"/>
              </w:rPr>
            </w:pPr>
          </w:p>
        </w:tc>
        <w:tc>
          <w:tcPr>
            <w:tcW w:w="654" w:type="dxa"/>
            <w:gridSpan w:val="2"/>
            <w:vAlign w:val="center"/>
          </w:tcPr>
          <w:p w14:paraId="59938B65" w14:textId="77777777" w:rsidR="00AB6191" w:rsidRPr="0001127D" w:rsidRDefault="00AB6191" w:rsidP="00AB6191">
            <w:pPr>
              <w:spacing w:before="40" w:after="40"/>
              <w:jc w:val="center"/>
              <w:rPr>
                <w:noProof/>
                <w:sz w:val="14"/>
              </w:rPr>
            </w:pPr>
            <w:r w:rsidRPr="0001127D">
              <w:rPr>
                <w:noProof/>
                <w:sz w:val="14"/>
              </w:rPr>
              <w:t>(3)</w:t>
            </w:r>
          </w:p>
        </w:tc>
        <w:tc>
          <w:tcPr>
            <w:tcW w:w="868" w:type="dxa"/>
            <w:vAlign w:val="center"/>
          </w:tcPr>
          <w:p w14:paraId="0C577C95" w14:textId="77777777" w:rsidR="00AB6191" w:rsidRPr="0001127D" w:rsidRDefault="00AB6191" w:rsidP="00AB6191">
            <w:pPr>
              <w:spacing w:before="40" w:after="40"/>
              <w:jc w:val="right"/>
              <w:rPr>
                <w:b/>
                <w:noProof/>
                <w:sz w:val="20"/>
              </w:rPr>
            </w:pPr>
          </w:p>
        </w:tc>
        <w:tc>
          <w:tcPr>
            <w:tcW w:w="868" w:type="dxa"/>
            <w:vAlign w:val="center"/>
          </w:tcPr>
          <w:p w14:paraId="13532045" w14:textId="77777777" w:rsidR="00AB6191" w:rsidRPr="0001127D" w:rsidRDefault="00AB6191" w:rsidP="00AB6191">
            <w:pPr>
              <w:spacing w:before="40" w:after="40"/>
              <w:jc w:val="right"/>
              <w:rPr>
                <w:b/>
                <w:noProof/>
                <w:sz w:val="20"/>
              </w:rPr>
            </w:pPr>
          </w:p>
        </w:tc>
        <w:tc>
          <w:tcPr>
            <w:tcW w:w="868" w:type="dxa"/>
            <w:vAlign w:val="center"/>
          </w:tcPr>
          <w:p w14:paraId="7709BD1F" w14:textId="77777777" w:rsidR="00AB6191" w:rsidRPr="0001127D" w:rsidRDefault="00AB6191" w:rsidP="00AB6191">
            <w:pPr>
              <w:spacing w:before="40" w:after="40"/>
              <w:jc w:val="right"/>
              <w:rPr>
                <w:b/>
                <w:noProof/>
                <w:sz w:val="20"/>
              </w:rPr>
            </w:pPr>
          </w:p>
        </w:tc>
        <w:tc>
          <w:tcPr>
            <w:tcW w:w="868" w:type="dxa"/>
            <w:vAlign w:val="center"/>
          </w:tcPr>
          <w:p w14:paraId="4BA94818" w14:textId="77777777" w:rsidR="00AB6191" w:rsidRPr="0001127D" w:rsidRDefault="00AB6191" w:rsidP="00AB6191">
            <w:pPr>
              <w:spacing w:before="40" w:after="40"/>
              <w:jc w:val="right"/>
              <w:rPr>
                <w:b/>
                <w:noProof/>
                <w:sz w:val="20"/>
              </w:rPr>
            </w:pPr>
          </w:p>
        </w:tc>
        <w:tc>
          <w:tcPr>
            <w:tcW w:w="868" w:type="dxa"/>
            <w:vAlign w:val="center"/>
          </w:tcPr>
          <w:p w14:paraId="383FA80C" w14:textId="77777777" w:rsidR="00AB6191" w:rsidRPr="0001127D" w:rsidRDefault="00AB6191" w:rsidP="00AB6191">
            <w:pPr>
              <w:spacing w:before="40" w:after="40"/>
              <w:jc w:val="right"/>
              <w:rPr>
                <w:b/>
                <w:noProof/>
                <w:sz w:val="20"/>
              </w:rPr>
            </w:pPr>
          </w:p>
        </w:tc>
        <w:tc>
          <w:tcPr>
            <w:tcW w:w="868" w:type="dxa"/>
            <w:vAlign w:val="center"/>
          </w:tcPr>
          <w:p w14:paraId="7D1E9A57" w14:textId="77777777" w:rsidR="00AB6191" w:rsidRPr="0001127D" w:rsidRDefault="00AB6191" w:rsidP="00AB6191">
            <w:pPr>
              <w:spacing w:before="40" w:after="40"/>
              <w:jc w:val="right"/>
              <w:rPr>
                <w:b/>
                <w:noProof/>
                <w:sz w:val="20"/>
              </w:rPr>
            </w:pPr>
          </w:p>
        </w:tc>
        <w:tc>
          <w:tcPr>
            <w:tcW w:w="868" w:type="dxa"/>
            <w:vAlign w:val="center"/>
          </w:tcPr>
          <w:p w14:paraId="1A13EE79" w14:textId="77777777" w:rsidR="00AB6191" w:rsidRPr="0001127D" w:rsidRDefault="00AB6191" w:rsidP="00AB6191">
            <w:pPr>
              <w:spacing w:before="40" w:after="40"/>
              <w:jc w:val="right"/>
              <w:rPr>
                <w:b/>
                <w:noProof/>
                <w:sz w:val="20"/>
              </w:rPr>
            </w:pPr>
          </w:p>
        </w:tc>
        <w:tc>
          <w:tcPr>
            <w:tcW w:w="1777" w:type="dxa"/>
            <w:vAlign w:val="center"/>
          </w:tcPr>
          <w:p w14:paraId="09B05CF8" w14:textId="77777777" w:rsidR="00AB6191" w:rsidRPr="0001127D" w:rsidRDefault="00AB6191" w:rsidP="00AB6191">
            <w:pPr>
              <w:spacing w:before="40" w:after="40"/>
              <w:jc w:val="right"/>
              <w:rPr>
                <w:b/>
                <w:noProof/>
                <w:sz w:val="20"/>
              </w:rPr>
            </w:pPr>
          </w:p>
        </w:tc>
      </w:tr>
      <w:tr w:rsidR="00AB6191" w:rsidRPr="0001127D" w14:paraId="4174BDA6" w14:textId="77777777" w:rsidTr="00C5142C">
        <w:tc>
          <w:tcPr>
            <w:tcW w:w="3960" w:type="dxa"/>
            <w:vMerge w:val="restart"/>
            <w:vAlign w:val="center"/>
          </w:tcPr>
          <w:p w14:paraId="581E8471" w14:textId="77777777" w:rsidR="00AB6191" w:rsidRPr="0001127D" w:rsidRDefault="00AB6191" w:rsidP="00AB6191">
            <w:pPr>
              <w:jc w:val="center"/>
              <w:rPr>
                <w:b/>
                <w:noProof/>
              </w:rPr>
            </w:pPr>
            <w:r w:rsidRPr="0001127D">
              <w:rPr>
                <w:b/>
                <w:noProof/>
                <w:sz w:val="22"/>
              </w:rPr>
              <w:t>TOTALE stanziamenti</w:t>
            </w:r>
            <w:r w:rsidRPr="0001127D">
              <w:rPr>
                <w:noProof/>
              </w:rPr>
              <w:t xml:space="preserve"> </w:t>
            </w:r>
            <w:r w:rsidRPr="0001127D">
              <w:rPr>
                <w:noProof/>
              </w:rPr>
              <w:br/>
            </w:r>
            <w:r w:rsidRPr="0001127D">
              <w:rPr>
                <w:b/>
                <w:noProof/>
                <w:sz w:val="22"/>
              </w:rPr>
              <w:t xml:space="preserve">per </w:t>
            </w:r>
            <w:r w:rsidRPr="0001127D">
              <w:rPr>
                <w:noProof/>
              </w:rPr>
              <w:t>02.04.05.01</w:t>
            </w:r>
          </w:p>
        </w:tc>
        <w:tc>
          <w:tcPr>
            <w:tcW w:w="1440" w:type="dxa"/>
            <w:vAlign w:val="center"/>
          </w:tcPr>
          <w:p w14:paraId="25CBBC38" w14:textId="77777777" w:rsidR="00AB6191" w:rsidRPr="0001127D" w:rsidRDefault="00AB6191" w:rsidP="00AB6191">
            <w:pPr>
              <w:rPr>
                <w:noProof/>
                <w:sz w:val="18"/>
              </w:rPr>
            </w:pPr>
            <w:r w:rsidRPr="0001127D">
              <w:rPr>
                <w:noProof/>
                <w:sz w:val="18"/>
              </w:rPr>
              <w:t>Impegni</w:t>
            </w:r>
          </w:p>
        </w:tc>
        <w:tc>
          <w:tcPr>
            <w:tcW w:w="654" w:type="dxa"/>
            <w:gridSpan w:val="2"/>
            <w:vAlign w:val="center"/>
          </w:tcPr>
          <w:p w14:paraId="140069AB" w14:textId="77777777" w:rsidR="00AB6191" w:rsidRPr="0001127D" w:rsidRDefault="00AB6191" w:rsidP="00AB6191">
            <w:pPr>
              <w:jc w:val="center"/>
              <w:rPr>
                <w:noProof/>
                <w:sz w:val="14"/>
              </w:rPr>
            </w:pPr>
            <w:r w:rsidRPr="0001127D">
              <w:rPr>
                <w:noProof/>
                <w:sz w:val="14"/>
              </w:rPr>
              <w:t>=1a+1b+3</w:t>
            </w:r>
          </w:p>
        </w:tc>
        <w:tc>
          <w:tcPr>
            <w:tcW w:w="868" w:type="dxa"/>
            <w:vAlign w:val="center"/>
          </w:tcPr>
          <w:p w14:paraId="6EE276DF" w14:textId="77777777" w:rsidR="00AB6191" w:rsidRPr="0001127D" w:rsidRDefault="00AB6191" w:rsidP="00AB6191">
            <w:pPr>
              <w:spacing w:before="20" w:after="20"/>
              <w:jc w:val="right"/>
              <w:rPr>
                <w:noProof/>
                <w:sz w:val="20"/>
              </w:rPr>
            </w:pPr>
          </w:p>
        </w:tc>
        <w:tc>
          <w:tcPr>
            <w:tcW w:w="868" w:type="dxa"/>
            <w:vAlign w:val="center"/>
          </w:tcPr>
          <w:p w14:paraId="00F73A3C" w14:textId="77777777" w:rsidR="00AB6191" w:rsidRPr="0001127D" w:rsidRDefault="00AB6191" w:rsidP="00AB6191">
            <w:pPr>
              <w:spacing w:before="20" w:after="20"/>
              <w:jc w:val="right"/>
              <w:rPr>
                <w:noProof/>
                <w:sz w:val="20"/>
              </w:rPr>
            </w:pPr>
          </w:p>
        </w:tc>
        <w:tc>
          <w:tcPr>
            <w:tcW w:w="868" w:type="dxa"/>
            <w:vAlign w:val="center"/>
          </w:tcPr>
          <w:p w14:paraId="2781AE98" w14:textId="77777777" w:rsidR="00AB6191" w:rsidRPr="0001127D" w:rsidRDefault="00AB6191" w:rsidP="00AB6191">
            <w:pPr>
              <w:spacing w:before="20" w:after="20"/>
              <w:jc w:val="right"/>
              <w:rPr>
                <w:noProof/>
                <w:sz w:val="20"/>
              </w:rPr>
            </w:pPr>
          </w:p>
        </w:tc>
        <w:tc>
          <w:tcPr>
            <w:tcW w:w="868" w:type="dxa"/>
            <w:vAlign w:val="center"/>
          </w:tcPr>
          <w:p w14:paraId="3513C9CC" w14:textId="77777777" w:rsidR="00AB6191" w:rsidRPr="0001127D" w:rsidRDefault="00AB6191" w:rsidP="00AB6191">
            <w:pPr>
              <w:spacing w:before="20" w:after="20"/>
              <w:jc w:val="right"/>
              <w:rPr>
                <w:noProof/>
                <w:sz w:val="20"/>
              </w:rPr>
            </w:pPr>
          </w:p>
        </w:tc>
        <w:tc>
          <w:tcPr>
            <w:tcW w:w="868" w:type="dxa"/>
            <w:vAlign w:val="center"/>
          </w:tcPr>
          <w:p w14:paraId="53316E83" w14:textId="77777777" w:rsidR="00AB6191" w:rsidRPr="0001127D" w:rsidRDefault="00AB6191" w:rsidP="00AB6191">
            <w:pPr>
              <w:spacing w:before="20" w:after="20"/>
              <w:jc w:val="right"/>
              <w:rPr>
                <w:noProof/>
                <w:sz w:val="20"/>
              </w:rPr>
            </w:pPr>
          </w:p>
        </w:tc>
        <w:tc>
          <w:tcPr>
            <w:tcW w:w="868" w:type="dxa"/>
            <w:vAlign w:val="center"/>
          </w:tcPr>
          <w:p w14:paraId="2A698027" w14:textId="77777777" w:rsidR="00AB6191" w:rsidRPr="0001127D" w:rsidRDefault="00AB6191" w:rsidP="00AB6191">
            <w:pPr>
              <w:spacing w:before="20" w:after="20"/>
              <w:jc w:val="right"/>
              <w:rPr>
                <w:noProof/>
                <w:sz w:val="20"/>
              </w:rPr>
            </w:pPr>
          </w:p>
        </w:tc>
        <w:tc>
          <w:tcPr>
            <w:tcW w:w="868" w:type="dxa"/>
            <w:vAlign w:val="center"/>
          </w:tcPr>
          <w:p w14:paraId="2C66312F" w14:textId="77777777" w:rsidR="00AB6191" w:rsidRPr="0001127D" w:rsidRDefault="00AB6191" w:rsidP="00AB6191">
            <w:pPr>
              <w:spacing w:before="20" w:after="20"/>
              <w:jc w:val="right"/>
              <w:rPr>
                <w:b/>
                <w:noProof/>
                <w:sz w:val="20"/>
              </w:rPr>
            </w:pPr>
          </w:p>
        </w:tc>
        <w:tc>
          <w:tcPr>
            <w:tcW w:w="1777" w:type="dxa"/>
            <w:vAlign w:val="center"/>
          </w:tcPr>
          <w:p w14:paraId="6779A9D2" w14:textId="77777777" w:rsidR="00AB6191" w:rsidRPr="0001127D" w:rsidRDefault="00AB6191" w:rsidP="00AB6191">
            <w:pPr>
              <w:spacing w:before="20" w:after="20"/>
              <w:jc w:val="right"/>
              <w:rPr>
                <w:b/>
                <w:noProof/>
                <w:sz w:val="20"/>
              </w:rPr>
            </w:pPr>
          </w:p>
        </w:tc>
      </w:tr>
      <w:tr w:rsidR="00AB6191" w:rsidRPr="0001127D" w14:paraId="1CBA36B7" w14:textId="77777777" w:rsidTr="00C5142C">
        <w:tc>
          <w:tcPr>
            <w:tcW w:w="3960" w:type="dxa"/>
            <w:vMerge/>
          </w:tcPr>
          <w:p w14:paraId="369C5369" w14:textId="77777777" w:rsidR="00AB6191" w:rsidRPr="0001127D" w:rsidRDefault="00AB6191" w:rsidP="00AB6191">
            <w:pPr>
              <w:rPr>
                <w:noProof/>
                <w:sz w:val="20"/>
              </w:rPr>
            </w:pPr>
          </w:p>
        </w:tc>
        <w:tc>
          <w:tcPr>
            <w:tcW w:w="1440" w:type="dxa"/>
            <w:vAlign w:val="center"/>
          </w:tcPr>
          <w:p w14:paraId="2638AF46" w14:textId="77777777" w:rsidR="00AB6191" w:rsidRPr="0001127D" w:rsidRDefault="00AB6191" w:rsidP="00AB6191">
            <w:pPr>
              <w:rPr>
                <w:noProof/>
                <w:sz w:val="18"/>
              </w:rPr>
            </w:pPr>
            <w:r w:rsidRPr="0001127D">
              <w:rPr>
                <w:noProof/>
                <w:sz w:val="18"/>
              </w:rPr>
              <w:t>Pagamenti</w:t>
            </w:r>
          </w:p>
        </w:tc>
        <w:tc>
          <w:tcPr>
            <w:tcW w:w="654" w:type="dxa"/>
            <w:gridSpan w:val="2"/>
            <w:vAlign w:val="center"/>
          </w:tcPr>
          <w:p w14:paraId="67A8D8E2" w14:textId="77777777" w:rsidR="00AB6191" w:rsidRPr="0001127D" w:rsidRDefault="00AB6191" w:rsidP="00AB6191">
            <w:pPr>
              <w:jc w:val="center"/>
              <w:rPr>
                <w:noProof/>
                <w:sz w:val="14"/>
              </w:rPr>
            </w:pPr>
            <w:r w:rsidRPr="0001127D">
              <w:rPr>
                <w:noProof/>
                <w:sz w:val="14"/>
              </w:rPr>
              <w:t>=2a+2b</w:t>
            </w:r>
          </w:p>
          <w:p w14:paraId="539548BE" w14:textId="77777777" w:rsidR="00AB6191" w:rsidRPr="0001127D" w:rsidRDefault="00AB6191" w:rsidP="00AB6191">
            <w:pPr>
              <w:jc w:val="center"/>
              <w:rPr>
                <w:noProof/>
                <w:sz w:val="14"/>
              </w:rPr>
            </w:pPr>
            <w:r w:rsidRPr="0001127D">
              <w:rPr>
                <w:noProof/>
                <w:sz w:val="14"/>
              </w:rPr>
              <w:t>+3</w:t>
            </w:r>
          </w:p>
        </w:tc>
        <w:tc>
          <w:tcPr>
            <w:tcW w:w="868" w:type="dxa"/>
            <w:vAlign w:val="center"/>
          </w:tcPr>
          <w:p w14:paraId="2114776B" w14:textId="77777777" w:rsidR="00AB6191" w:rsidRPr="0001127D" w:rsidRDefault="00AB6191" w:rsidP="00AB6191">
            <w:pPr>
              <w:spacing w:before="20" w:after="20"/>
              <w:jc w:val="right"/>
              <w:rPr>
                <w:noProof/>
                <w:sz w:val="20"/>
              </w:rPr>
            </w:pPr>
          </w:p>
        </w:tc>
        <w:tc>
          <w:tcPr>
            <w:tcW w:w="868" w:type="dxa"/>
            <w:vAlign w:val="center"/>
          </w:tcPr>
          <w:p w14:paraId="293607E8" w14:textId="77777777" w:rsidR="00AB6191" w:rsidRPr="0001127D" w:rsidRDefault="00AB6191" w:rsidP="00AB6191">
            <w:pPr>
              <w:spacing w:before="20" w:after="20"/>
              <w:jc w:val="right"/>
              <w:rPr>
                <w:noProof/>
                <w:sz w:val="20"/>
              </w:rPr>
            </w:pPr>
          </w:p>
        </w:tc>
        <w:tc>
          <w:tcPr>
            <w:tcW w:w="868" w:type="dxa"/>
            <w:vAlign w:val="center"/>
          </w:tcPr>
          <w:p w14:paraId="18DA266D" w14:textId="77777777" w:rsidR="00AB6191" w:rsidRPr="0001127D" w:rsidRDefault="00AB6191" w:rsidP="00AB6191">
            <w:pPr>
              <w:spacing w:before="20" w:after="20"/>
              <w:jc w:val="right"/>
              <w:rPr>
                <w:noProof/>
                <w:sz w:val="20"/>
              </w:rPr>
            </w:pPr>
          </w:p>
        </w:tc>
        <w:tc>
          <w:tcPr>
            <w:tcW w:w="868" w:type="dxa"/>
            <w:vAlign w:val="center"/>
          </w:tcPr>
          <w:p w14:paraId="0400E098" w14:textId="77777777" w:rsidR="00AB6191" w:rsidRPr="0001127D" w:rsidRDefault="00AB6191" w:rsidP="00AB6191">
            <w:pPr>
              <w:spacing w:before="20" w:after="20"/>
              <w:jc w:val="right"/>
              <w:rPr>
                <w:noProof/>
                <w:sz w:val="20"/>
              </w:rPr>
            </w:pPr>
          </w:p>
        </w:tc>
        <w:tc>
          <w:tcPr>
            <w:tcW w:w="868" w:type="dxa"/>
            <w:vAlign w:val="center"/>
          </w:tcPr>
          <w:p w14:paraId="30B4D527" w14:textId="77777777" w:rsidR="00AB6191" w:rsidRPr="0001127D" w:rsidRDefault="00AB6191" w:rsidP="00AB6191">
            <w:pPr>
              <w:spacing w:before="20" w:after="20"/>
              <w:jc w:val="right"/>
              <w:rPr>
                <w:noProof/>
                <w:sz w:val="20"/>
              </w:rPr>
            </w:pPr>
          </w:p>
        </w:tc>
        <w:tc>
          <w:tcPr>
            <w:tcW w:w="868" w:type="dxa"/>
            <w:vAlign w:val="center"/>
          </w:tcPr>
          <w:p w14:paraId="2461F9E8" w14:textId="77777777" w:rsidR="00AB6191" w:rsidRPr="0001127D" w:rsidRDefault="00AB6191" w:rsidP="00AB6191">
            <w:pPr>
              <w:spacing w:before="20" w:after="20"/>
              <w:jc w:val="right"/>
              <w:rPr>
                <w:noProof/>
                <w:sz w:val="20"/>
              </w:rPr>
            </w:pPr>
          </w:p>
        </w:tc>
        <w:tc>
          <w:tcPr>
            <w:tcW w:w="868" w:type="dxa"/>
            <w:vAlign w:val="center"/>
          </w:tcPr>
          <w:p w14:paraId="5DBD10B9" w14:textId="77777777" w:rsidR="00AB6191" w:rsidRPr="0001127D" w:rsidRDefault="00AB6191" w:rsidP="00AB6191">
            <w:pPr>
              <w:spacing w:before="20" w:after="20"/>
              <w:jc w:val="right"/>
              <w:rPr>
                <w:b/>
                <w:noProof/>
                <w:sz w:val="20"/>
              </w:rPr>
            </w:pPr>
          </w:p>
        </w:tc>
        <w:tc>
          <w:tcPr>
            <w:tcW w:w="1777" w:type="dxa"/>
            <w:vAlign w:val="center"/>
          </w:tcPr>
          <w:p w14:paraId="39376213" w14:textId="77777777" w:rsidR="00AB6191" w:rsidRPr="0001127D" w:rsidRDefault="00AB6191" w:rsidP="00AB6191">
            <w:pPr>
              <w:spacing w:before="20" w:after="20"/>
              <w:jc w:val="right"/>
              <w:rPr>
                <w:b/>
                <w:noProof/>
                <w:sz w:val="20"/>
              </w:rPr>
            </w:pPr>
          </w:p>
        </w:tc>
      </w:tr>
    </w:tbl>
    <w:p w14:paraId="2ED1CCB8" w14:textId="77777777" w:rsidR="00AB6191" w:rsidRPr="0001127D" w:rsidRDefault="00AB6191" w:rsidP="00AB6191">
      <w:pPr>
        <w:rPr>
          <w:noProof/>
        </w:rPr>
      </w:pPr>
      <w:r w:rsidRPr="0001127D">
        <w:rPr>
          <w:noProof/>
        </w:rPr>
        <w:t xml:space="preserve"> </w:t>
      </w:r>
      <w:r w:rsidRPr="0001127D">
        <w:rPr>
          <w:noProof/>
        </w:rPr>
        <w:br/>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B6191" w:rsidRPr="0001127D" w14:paraId="6890BFD8" w14:textId="77777777" w:rsidTr="00C5142C">
        <w:trPr>
          <w:trHeight w:val="277"/>
        </w:trPr>
        <w:tc>
          <w:tcPr>
            <w:tcW w:w="3960" w:type="dxa"/>
            <w:vMerge w:val="restart"/>
            <w:vAlign w:val="center"/>
          </w:tcPr>
          <w:p w14:paraId="41A77833" w14:textId="12693560" w:rsidR="00AB6191" w:rsidRPr="0001127D" w:rsidRDefault="00AB6191" w:rsidP="00C5142C">
            <w:pPr>
              <w:tabs>
                <w:tab w:val="left" w:pos="363"/>
              </w:tabs>
              <w:spacing w:before="20" w:after="20"/>
              <w:rPr>
                <w:noProof/>
              </w:rPr>
            </w:pPr>
            <w:r w:rsidRPr="0001127D">
              <w:rPr>
                <w:noProof/>
              </w:rPr>
              <w:br w:type="page"/>
            </w:r>
            <w:r w:rsidRPr="0001127D">
              <w:rPr>
                <w:rFonts w:ascii="Wingdings" w:hAnsi="Wingdings"/>
                <w:noProof/>
                <w:sz w:val="21"/>
              </w:rPr>
              <w:t>□</w:t>
            </w:r>
            <w:r w:rsidR="00C5142C" w:rsidRPr="0001127D">
              <w:rPr>
                <w:rFonts w:ascii="Wingdings" w:hAnsi="Wingdings"/>
                <w:noProof/>
                <w:sz w:val="21"/>
              </w:rPr>
              <w:tab/>
            </w:r>
            <w:r w:rsidRPr="0001127D">
              <w:rPr>
                <w:noProof/>
                <w:sz w:val="21"/>
              </w:rPr>
              <w:t xml:space="preserve">TOTALE stanziamenti operativi </w:t>
            </w:r>
          </w:p>
        </w:tc>
        <w:tc>
          <w:tcPr>
            <w:tcW w:w="1440" w:type="dxa"/>
            <w:vAlign w:val="center"/>
          </w:tcPr>
          <w:p w14:paraId="50BB0FB2" w14:textId="77777777" w:rsidR="00AB6191" w:rsidRPr="0001127D" w:rsidRDefault="00AB6191" w:rsidP="00AB6191">
            <w:pPr>
              <w:spacing w:beforeLines="20" w:before="48" w:afterLines="20" w:after="48"/>
              <w:rPr>
                <w:noProof/>
                <w:sz w:val="18"/>
              </w:rPr>
            </w:pPr>
            <w:r w:rsidRPr="0001127D">
              <w:rPr>
                <w:noProof/>
                <w:sz w:val="18"/>
              </w:rPr>
              <w:t>Impegni</w:t>
            </w:r>
          </w:p>
        </w:tc>
        <w:tc>
          <w:tcPr>
            <w:tcW w:w="654" w:type="dxa"/>
            <w:vAlign w:val="center"/>
          </w:tcPr>
          <w:p w14:paraId="33561155" w14:textId="77777777" w:rsidR="00AB6191" w:rsidRPr="0001127D" w:rsidRDefault="00AB6191" w:rsidP="00AB6191">
            <w:pPr>
              <w:spacing w:beforeLines="20" w:before="48" w:afterLines="20" w:after="48"/>
              <w:jc w:val="center"/>
              <w:rPr>
                <w:noProof/>
                <w:sz w:val="14"/>
              </w:rPr>
            </w:pPr>
            <w:r w:rsidRPr="0001127D">
              <w:rPr>
                <w:noProof/>
                <w:sz w:val="14"/>
              </w:rPr>
              <w:t>(4)</w:t>
            </w:r>
          </w:p>
        </w:tc>
        <w:tc>
          <w:tcPr>
            <w:tcW w:w="868" w:type="dxa"/>
            <w:vAlign w:val="center"/>
          </w:tcPr>
          <w:p w14:paraId="07E3B26A"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45403964"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4BE68399"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65536F5A" w14:textId="77777777" w:rsidR="00AB6191" w:rsidRPr="0001127D" w:rsidRDefault="00AB6191" w:rsidP="00AB6191">
            <w:pPr>
              <w:spacing w:before="20" w:after="20"/>
              <w:jc w:val="right"/>
              <w:rPr>
                <w:noProof/>
                <w:sz w:val="20"/>
              </w:rPr>
            </w:pPr>
          </w:p>
        </w:tc>
        <w:tc>
          <w:tcPr>
            <w:tcW w:w="868" w:type="dxa"/>
            <w:vAlign w:val="center"/>
          </w:tcPr>
          <w:p w14:paraId="4CE3C9AE" w14:textId="77777777" w:rsidR="00AB6191" w:rsidRPr="0001127D" w:rsidRDefault="00AB6191" w:rsidP="00AB6191">
            <w:pPr>
              <w:spacing w:before="20" w:after="20"/>
              <w:jc w:val="right"/>
              <w:rPr>
                <w:noProof/>
                <w:sz w:val="20"/>
              </w:rPr>
            </w:pPr>
          </w:p>
        </w:tc>
        <w:tc>
          <w:tcPr>
            <w:tcW w:w="868" w:type="dxa"/>
            <w:vAlign w:val="center"/>
          </w:tcPr>
          <w:p w14:paraId="59BCE6F6" w14:textId="77777777" w:rsidR="00AB6191" w:rsidRPr="0001127D" w:rsidRDefault="00AB6191" w:rsidP="00AB6191">
            <w:pPr>
              <w:spacing w:before="20" w:after="20"/>
              <w:jc w:val="right"/>
              <w:rPr>
                <w:noProof/>
                <w:sz w:val="20"/>
              </w:rPr>
            </w:pPr>
          </w:p>
        </w:tc>
        <w:tc>
          <w:tcPr>
            <w:tcW w:w="868" w:type="dxa"/>
            <w:vAlign w:val="center"/>
          </w:tcPr>
          <w:p w14:paraId="3EF54189" w14:textId="77777777" w:rsidR="00AB6191" w:rsidRPr="0001127D" w:rsidRDefault="00AB6191" w:rsidP="00AB6191">
            <w:pPr>
              <w:spacing w:before="20" w:after="20"/>
              <w:jc w:val="right"/>
              <w:rPr>
                <w:b/>
                <w:noProof/>
                <w:sz w:val="20"/>
              </w:rPr>
            </w:pPr>
          </w:p>
        </w:tc>
        <w:tc>
          <w:tcPr>
            <w:tcW w:w="1777" w:type="dxa"/>
            <w:vAlign w:val="center"/>
          </w:tcPr>
          <w:p w14:paraId="61DFFA43" w14:textId="77777777" w:rsidR="00AB6191" w:rsidRPr="0001127D" w:rsidRDefault="00AB6191" w:rsidP="00AB6191">
            <w:pPr>
              <w:spacing w:before="20" w:after="20"/>
              <w:jc w:val="right"/>
              <w:rPr>
                <w:b/>
                <w:noProof/>
                <w:sz w:val="20"/>
              </w:rPr>
            </w:pPr>
            <w:r w:rsidRPr="0001127D">
              <w:rPr>
                <w:b/>
                <w:noProof/>
                <w:sz w:val="20"/>
              </w:rPr>
              <w:t>6,000</w:t>
            </w:r>
          </w:p>
        </w:tc>
      </w:tr>
      <w:tr w:rsidR="00AB6191" w:rsidRPr="0001127D" w14:paraId="545FB601" w14:textId="77777777" w:rsidTr="00C5142C">
        <w:tc>
          <w:tcPr>
            <w:tcW w:w="3960" w:type="dxa"/>
            <w:vMerge/>
          </w:tcPr>
          <w:p w14:paraId="141CA3B4" w14:textId="77777777" w:rsidR="00AB6191" w:rsidRPr="0001127D" w:rsidRDefault="00AB6191" w:rsidP="00AB6191">
            <w:pPr>
              <w:jc w:val="center"/>
              <w:rPr>
                <w:noProof/>
                <w:sz w:val="20"/>
              </w:rPr>
            </w:pPr>
          </w:p>
        </w:tc>
        <w:tc>
          <w:tcPr>
            <w:tcW w:w="1440" w:type="dxa"/>
            <w:vAlign w:val="center"/>
          </w:tcPr>
          <w:p w14:paraId="29C0E8E3" w14:textId="77777777" w:rsidR="00AB6191" w:rsidRPr="0001127D" w:rsidRDefault="00AB6191" w:rsidP="00AB6191">
            <w:pPr>
              <w:spacing w:beforeLines="20" w:before="48" w:afterLines="20" w:after="48"/>
              <w:rPr>
                <w:noProof/>
                <w:sz w:val="18"/>
              </w:rPr>
            </w:pPr>
            <w:r w:rsidRPr="0001127D">
              <w:rPr>
                <w:noProof/>
                <w:sz w:val="18"/>
              </w:rPr>
              <w:t>Pagamenti</w:t>
            </w:r>
          </w:p>
        </w:tc>
        <w:tc>
          <w:tcPr>
            <w:tcW w:w="654" w:type="dxa"/>
            <w:vAlign w:val="center"/>
          </w:tcPr>
          <w:p w14:paraId="68B324A7" w14:textId="77777777" w:rsidR="00AB6191" w:rsidRPr="0001127D" w:rsidRDefault="00AB6191" w:rsidP="00AB6191">
            <w:pPr>
              <w:spacing w:beforeLines="20" w:before="48" w:afterLines="20" w:after="48"/>
              <w:jc w:val="center"/>
              <w:rPr>
                <w:noProof/>
                <w:sz w:val="14"/>
              </w:rPr>
            </w:pPr>
            <w:r w:rsidRPr="0001127D">
              <w:rPr>
                <w:noProof/>
                <w:sz w:val="14"/>
              </w:rPr>
              <w:t>(5)</w:t>
            </w:r>
          </w:p>
        </w:tc>
        <w:tc>
          <w:tcPr>
            <w:tcW w:w="868" w:type="dxa"/>
            <w:vAlign w:val="center"/>
          </w:tcPr>
          <w:p w14:paraId="3B9212DB"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6DEA1C85"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495506AA"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5DED7468" w14:textId="77777777" w:rsidR="00AB6191" w:rsidRPr="0001127D" w:rsidRDefault="00AB6191" w:rsidP="00AB6191">
            <w:pPr>
              <w:spacing w:before="20" w:after="20"/>
              <w:jc w:val="right"/>
              <w:rPr>
                <w:noProof/>
                <w:sz w:val="20"/>
              </w:rPr>
            </w:pPr>
          </w:p>
        </w:tc>
        <w:tc>
          <w:tcPr>
            <w:tcW w:w="868" w:type="dxa"/>
            <w:vAlign w:val="center"/>
          </w:tcPr>
          <w:p w14:paraId="7997B303" w14:textId="77777777" w:rsidR="00AB6191" w:rsidRPr="0001127D" w:rsidRDefault="00AB6191" w:rsidP="00AB6191">
            <w:pPr>
              <w:spacing w:before="20" w:after="20"/>
              <w:jc w:val="right"/>
              <w:rPr>
                <w:noProof/>
                <w:sz w:val="20"/>
              </w:rPr>
            </w:pPr>
          </w:p>
        </w:tc>
        <w:tc>
          <w:tcPr>
            <w:tcW w:w="868" w:type="dxa"/>
            <w:vAlign w:val="center"/>
          </w:tcPr>
          <w:p w14:paraId="4BBB763F" w14:textId="77777777" w:rsidR="00AB6191" w:rsidRPr="0001127D" w:rsidRDefault="00AB6191" w:rsidP="00AB6191">
            <w:pPr>
              <w:spacing w:before="20" w:after="20"/>
              <w:jc w:val="right"/>
              <w:rPr>
                <w:noProof/>
                <w:sz w:val="20"/>
              </w:rPr>
            </w:pPr>
          </w:p>
        </w:tc>
        <w:tc>
          <w:tcPr>
            <w:tcW w:w="868" w:type="dxa"/>
            <w:vAlign w:val="center"/>
          </w:tcPr>
          <w:p w14:paraId="71B427F9" w14:textId="77777777" w:rsidR="00AB6191" w:rsidRPr="0001127D" w:rsidRDefault="00AB6191" w:rsidP="00AB6191">
            <w:pPr>
              <w:spacing w:before="20" w:after="20"/>
              <w:jc w:val="right"/>
              <w:rPr>
                <w:b/>
                <w:noProof/>
                <w:sz w:val="20"/>
              </w:rPr>
            </w:pPr>
          </w:p>
        </w:tc>
        <w:tc>
          <w:tcPr>
            <w:tcW w:w="1777" w:type="dxa"/>
            <w:vAlign w:val="center"/>
          </w:tcPr>
          <w:p w14:paraId="276E7A8A" w14:textId="77777777" w:rsidR="00AB6191" w:rsidRPr="0001127D" w:rsidRDefault="00AB6191" w:rsidP="00AB6191">
            <w:pPr>
              <w:spacing w:before="20" w:after="20"/>
              <w:jc w:val="right"/>
              <w:rPr>
                <w:b/>
                <w:noProof/>
                <w:sz w:val="20"/>
              </w:rPr>
            </w:pPr>
            <w:r w:rsidRPr="0001127D">
              <w:rPr>
                <w:b/>
                <w:noProof/>
                <w:sz w:val="20"/>
              </w:rPr>
              <w:t>6,000</w:t>
            </w:r>
          </w:p>
        </w:tc>
      </w:tr>
      <w:tr w:rsidR="00AB6191" w:rsidRPr="0001127D" w14:paraId="1DEB27CD" w14:textId="77777777" w:rsidTr="00C5142C">
        <w:trPr>
          <w:trHeight w:val="533"/>
        </w:trPr>
        <w:tc>
          <w:tcPr>
            <w:tcW w:w="5400" w:type="dxa"/>
            <w:gridSpan w:val="2"/>
            <w:vAlign w:val="center"/>
          </w:tcPr>
          <w:p w14:paraId="76D63534" w14:textId="3E4DE025" w:rsidR="00AB6191" w:rsidRPr="0001127D" w:rsidRDefault="00AB6191" w:rsidP="00C5142C">
            <w:pPr>
              <w:tabs>
                <w:tab w:val="left" w:pos="363"/>
              </w:tabs>
              <w:spacing w:before="20" w:after="20"/>
              <w:rPr>
                <w:noProof/>
              </w:rPr>
            </w:pPr>
            <w:r w:rsidRPr="0001127D">
              <w:rPr>
                <w:rFonts w:ascii="Wingdings" w:hAnsi="Wingdings"/>
                <w:noProof/>
                <w:sz w:val="21"/>
              </w:rPr>
              <w:t>□</w:t>
            </w:r>
            <w:r w:rsidR="00C5142C" w:rsidRPr="0001127D">
              <w:rPr>
                <w:rFonts w:ascii="Wingdings" w:hAnsi="Wingdings"/>
                <w:noProof/>
                <w:sz w:val="21"/>
              </w:rPr>
              <w:tab/>
            </w:r>
            <w:r w:rsidRPr="0001127D">
              <w:rPr>
                <w:noProof/>
                <w:sz w:val="21"/>
              </w:rPr>
              <w:t xml:space="preserve">TOTALE stanziamenti amministrativi finanziati dalla dotazione di programmi specifici </w:t>
            </w:r>
          </w:p>
        </w:tc>
        <w:tc>
          <w:tcPr>
            <w:tcW w:w="654" w:type="dxa"/>
            <w:vAlign w:val="center"/>
          </w:tcPr>
          <w:p w14:paraId="12C3FADD" w14:textId="77777777" w:rsidR="00AB6191" w:rsidRPr="0001127D" w:rsidRDefault="00AB6191" w:rsidP="00AB6191">
            <w:pPr>
              <w:spacing w:beforeLines="20" w:before="48" w:afterLines="20" w:after="48"/>
              <w:jc w:val="center"/>
              <w:rPr>
                <w:noProof/>
                <w:sz w:val="14"/>
              </w:rPr>
            </w:pPr>
            <w:r w:rsidRPr="0001127D">
              <w:rPr>
                <w:noProof/>
                <w:sz w:val="14"/>
              </w:rPr>
              <w:t>(6)</w:t>
            </w:r>
          </w:p>
        </w:tc>
        <w:tc>
          <w:tcPr>
            <w:tcW w:w="868" w:type="dxa"/>
            <w:vAlign w:val="center"/>
          </w:tcPr>
          <w:p w14:paraId="037BA437" w14:textId="77777777" w:rsidR="00AB6191" w:rsidRPr="0001127D" w:rsidRDefault="00AB6191" w:rsidP="00AB6191">
            <w:pPr>
              <w:spacing w:before="20" w:after="20"/>
              <w:jc w:val="right"/>
              <w:rPr>
                <w:b/>
                <w:noProof/>
                <w:sz w:val="20"/>
              </w:rPr>
            </w:pPr>
          </w:p>
        </w:tc>
        <w:tc>
          <w:tcPr>
            <w:tcW w:w="868" w:type="dxa"/>
            <w:vAlign w:val="center"/>
          </w:tcPr>
          <w:p w14:paraId="395780BD" w14:textId="77777777" w:rsidR="00AB6191" w:rsidRPr="0001127D" w:rsidRDefault="00AB6191" w:rsidP="00AB6191">
            <w:pPr>
              <w:spacing w:before="20" w:after="20"/>
              <w:jc w:val="right"/>
              <w:rPr>
                <w:b/>
                <w:noProof/>
                <w:sz w:val="20"/>
              </w:rPr>
            </w:pPr>
          </w:p>
        </w:tc>
        <w:tc>
          <w:tcPr>
            <w:tcW w:w="868" w:type="dxa"/>
            <w:vAlign w:val="center"/>
          </w:tcPr>
          <w:p w14:paraId="6CF29352" w14:textId="77777777" w:rsidR="00AB6191" w:rsidRPr="0001127D" w:rsidRDefault="00AB6191" w:rsidP="00AB6191">
            <w:pPr>
              <w:spacing w:before="20" w:after="20"/>
              <w:jc w:val="right"/>
              <w:rPr>
                <w:b/>
                <w:noProof/>
                <w:sz w:val="20"/>
              </w:rPr>
            </w:pPr>
          </w:p>
        </w:tc>
        <w:tc>
          <w:tcPr>
            <w:tcW w:w="868" w:type="dxa"/>
            <w:vAlign w:val="center"/>
          </w:tcPr>
          <w:p w14:paraId="310AA7A0" w14:textId="77777777" w:rsidR="00AB6191" w:rsidRPr="0001127D" w:rsidRDefault="00AB6191" w:rsidP="00AB6191">
            <w:pPr>
              <w:spacing w:before="20" w:after="20"/>
              <w:jc w:val="right"/>
              <w:rPr>
                <w:b/>
                <w:noProof/>
                <w:sz w:val="20"/>
              </w:rPr>
            </w:pPr>
          </w:p>
        </w:tc>
        <w:tc>
          <w:tcPr>
            <w:tcW w:w="868" w:type="dxa"/>
            <w:vAlign w:val="center"/>
          </w:tcPr>
          <w:p w14:paraId="00CD8244" w14:textId="77777777" w:rsidR="00AB6191" w:rsidRPr="0001127D" w:rsidRDefault="00AB6191" w:rsidP="00AB6191">
            <w:pPr>
              <w:spacing w:before="20" w:after="20"/>
              <w:jc w:val="right"/>
              <w:rPr>
                <w:b/>
                <w:noProof/>
                <w:sz w:val="20"/>
              </w:rPr>
            </w:pPr>
          </w:p>
        </w:tc>
        <w:tc>
          <w:tcPr>
            <w:tcW w:w="868" w:type="dxa"/>
            <w:vAlign w:val="center"/>
          </w:tcPr>
          <w:p w14:paraId="670B15B6" w14:textId="77777777" w:rsidR="00AB6191" w:rsidRPr="0001127D" w:rsidRDefault="00AB6191" w:rsidP="00AB6191">
            <w:pPr>
              <w:spacing w:before="20" w:after="20"/>
              <w:jc w:val="right"/>
              <w:rPr>
                <w:b/>
                <w:noProof/>
                <w:sz w:val="20"/>
              </w:rPr>
            </w:pPr>
          </w:p>
        </w:tc>
        <w:tc>
          <w:tcPr>
            <w:tcW w:w="868" w:type="dxa"/>
            <w:vAlign w:val="center"/>
          </w:tcPr>
          <w:p w14:paraId="2F4CCB00" w14:textId="77777777" w:rsidR="00AB6191" w:rsidRPr="0001127D" w:rsidRDefault="00AB6191" w:rsidP="00AB6191">
            <w:pPr>
              <w:spacing w:before="20" w:after="20"/>
              <w:jc w:val="right"/>
              <w:rPr>
                <w:b/>
                <w:noProof/>
                <w:sz w:val="20"/>
              </w:rPr>
            </w:pPr>
          </w:p>
        </w:tc>
        <w:tc>
          <w:tcPr>
            <w:tcW w:w="1777" w:type="dxa"/>
            <w:vAlign w:val="center"/>
          </w:tcPr>
          <w:p w14:paraId="301482D0" w14:textId="77777777" w:rsidR="00AB6191" w:rsidRPr="0001127D" w:rsidRDefault="00AB6191" w:rsidP="00AB6191">
            <w:pPr>
              <w:spacing w:before="20" w:after="20"/>
              <w:jc w:val="right"/>
              <w:rPr>
                <w:b/>
                <w:noProof/>
                <w:sz w:val="20"/>
              </w:rPr>
            </w:pPr>
          </w:p>
        </w:tc>
      </w:tr>
      <w:tr w:rsidR="00AB6191" w:rsidRPr="0001127D" w14:paraId="7EFBC400" w14:textId="77777777" w:rsidTr="00C5142C">
        <w:tc>
          <w:tcPr>
            <w:tcW w:w="3960" w:type="dxa"/>
            <w:vMerge w:val="restart"/>
            <w:shd w:val="thinDiagStripe" w:color="C0C0C0" w:fill="auto"/>
            <w:vAlign w:val="center"/>
          </w:tcPr>
          <w:p w14:paraId="6162ACD3" w14:textId="13A5C8AB" w:rsidR="00AB6191" w:rsidRPr="0001127D" w:rsidRDefault="00DF5DCF" w:rsidP="00AB6191">
            <w:pPr>
              <w:jc w:val="center"/>
              <w:rPr>
                <w:b/>
                <w:noProof/>
              </w:rPr>
            </w:pPr>
            <w:r>
              <w:rPr>
                <w:b/>
                <w:noProof/>
                <w:sz w:val="22"/>
              </w:rPr>
              <w:t>TOTALE stanziamenti</w:t>
            </w:r>
            <w:r w:rsidR="00AB6191" w:rsidRPr="0001127D">
              <w:rPr>
                <w:noProof/>
              </w:rPr>
              <w:br/>
            </w:r>
            <w:r w:rsidR="00AB6191" w:rsidRPr="0001127D">
              <w:rPr>
                <w:b/>
                <w:noProof/>
                <w:sz w:val="22"/>
              </w:rPr>
              <w:t>per la RUBRICA 1: Mercato unico, innovazione e digitale</w:t>
            </w:r>
            <w:r w:rsidR="00AB6191" w:rsidRPr="0001127D">
              <w:rPr>
                <w:noProof/>
              </w:rPr>
              <w:t xml:space="preserve"> </w:t>
            </w:r>
            <w:r w:rsidR="00AB6191" w:rsidRPr="0001127D">
              <w:rPr>
                <w:noProof/>
              </w:rPr>
              <w:br/>
            </w:r>
            <w:r w:rsidR="00AB6191" w:rsidRPr="0001127D">
              <w:rPr>
                <w:noProof/>
                <w:sz w:val="22"/>
              </w:rPr>
              <w:t>del quadro finanziario pluriennale</w:t>
            </w:r>
          </w:p>
        </w:tc>
        <w:tc>
          <w:tcPr>
            <w:tcW w:w="1440" w:type="dxa"/>
            <w:vAlign w:val="center"/>
          </w:tcPr>
          <w:p w14:paraId="218D1430" w14:textId="77777777" w:rsidR="00AB6191" w:rsidRPr="0001127D" w:rsidRDefault="00AB6191" w:rsidP="00AB6191">
            <w:pPr>
              <w:rPr>
                <w:noProof/>
                <w:sz w:val="18"/>
              </w:rPr>
            </w:pPr>
            <w:r w:rsidRPr="0001127D">
              <w:rPr>
                <w:noProof/>
                <w:sz w:val="18"/>
              </w:rPr>
              <w:t>Impegni</w:t>
            </w:r>
          </w:p>
        </w:tc>
        <w:tc>
          <w:tcPr>
            <w:tcW w:w="654" w:type="dxa"/>
            <w:vAlign w:val="center"/>
          </w:tcPr>
          <w:p w14:paraId="3C4C40BE" w14:textId="77777777" w:rsidR="00AB6191" w:rsidRPr="0001127D" w:rsidRDefault="00AB6191" w:rsidP="00AB6191">
            <w:pPr>
              <w:jc w:val="center"/>
              <w:rPr>
                <w:noProof/>
                <w:sz w:val="14"/>
              </w:rPr>
            </w:pPr>
            <w:r w:rsidRPr="0001127D">
              <w:rPr>
                <w:noProof/>
                <w:sz w:val="14"/>
              </w:rPr>
              <w:t>=4+ 6</w:t>
            </w:r>
          </w:p>
        </w:tc>
        <w:tc>
          <w:tcPr>
            <w:tcW w:w="868" w:type="dxa"/>
            <w:vAlign w:val="center"/>
          </w:tcPr>
          <w:p w14:paraId="545C818E"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7BE2F7D4"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4D4A78A6"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3D03633A" w14:textId="77777777" w:rsidR="00AB6191" w:rsidRPr="0001127D" w:rsidRDefault="00AB6191" w:rsidP="00AB6191">
            <w:pPr>
              <w:spacing w:before="20" w:after="20"/>
              <w:jc w:val="right"/>
              <w:rPr>
                <w:noProof/>
                <w:sz w:val="20"/>
              </w:rPr>
            </w:pPr>
          </w:p>
        </w:tc>
        <w:tc>
          <w:tcPr>
            <w:tcW w:w="868" w:type="dxa"/>
            <w:vAlign w:val="center"/>
          </w:tcPr>
          <w:p w14:paraId="460289A0" w14:textId="77777777" w:rsidR="00AB6191" w:rsidRPr="0001127D" w:rsidRDefault="00AB6191" w:rsidP="00AB6191">
            <w:pPr>
              <w:spacing w:before="20" w:after="20"/>
              <w:jc w:val="right"/>
              <w:rPr>
                <w:noProof/>
                <w:sz w:val="20"/>
              </w:rPr>
            </w:pPr>
          </w:p>
        </w:tc>
        <w:tc>
          <w:tcPr>
            <w:tcW w:w="868" w:type="dxa"/>
            <w:vAlign w:val="center"/>
          </w:tcPr>
          <w:p w14:paraId="6A66ABFE" w14:textId="77777777" w:rsidR="00AB6191" w:rsidRPr="0001127D" w:rsidRDefault="00AB6191" w:rsidP="00AB6191">
            <w:pPr>
              <w:spacing w:before="20" w:after="20"/>
              <w:jc w:val="right"/>
              <w:rPr>
                <w:noProof/>
                <w:sz w:val="20"/>
              </w:rPr>
            </w:pPr>
          </w:p>
        </w:tc>
        <w:tc>
          <w:tcPr>
            <w:tcW w:w="868" w:type="dxa"/>
            <w:vAlign w:val="center"/>
          </w:tcPr>
          <w:p w14:paraId="7FE12C8D" w14:textId="77777777" w:rsidR="00AB6191" w:rsidRPr="0001127D" w:rsidRDefault="00AB6191" w:rsidP="00AB6191">
            <w:pPr>
              <w:spacing w:before="20" w:after="20"/>
              <w:jc w:val="right"/>
              <w:rPr>
                <w:b/>
                <w:noProof/>
                <w:sz w:val="20"/>
              </w:rPr>
            </w:pPr>
          </w:p>
        </w:tc>
        <w:tc>
          <w:tcPr>
            <w:tcW w:w="1777" w:type="dxa"/>
            <w:vAlign w:val="center"/>
          </w:tcPr>
          <w:p w14:paraId="7C771208" w14:textId="77777777" w:rsidR="00AB6191" w:rsidRPr="0001127D" w:rsidRDefault="00AB6191" w:rsidP="00AB6191">
            <w:pPr>
              <w:spacing w:before="20" w:after="20"/>
              <w:jc w:val="right"/>
              <w:rPr>
                <w:b/>
                <w:noProof/>
                <w:sz w:val="20"/>
              </w:rPr>
            </w:pPr>
            <w:r w:rsidRPr="0001127D">
              <w:rPr>
                <w:b/>
                <w:noProof/>
                <w:sz w:val="20"/>
              </w:rPr>
              <w:t>6,000</w:t>
            </w:r>
          </w:p>
        </w:tc>
      </w:tr>
      <w:tr w:rsidR="00AB6191" w:rsidRPr="0001127D" w14:paraId="64B6458E" w14:textId="77777777" w:rsidTr="00C5142C">
        <w:tc>
          <w:tcPr>
            <w:tcW w:w="3960" w:type="dxa"/>
            <w:vMerge/>
            <w:shd w:val="thinDiagStripe" w:color="C0C0C0" w:fill="auto"/>
          </w:tcPr>
          <w:p w14:paraId="1B9B2106" w14:textId="77777777" w:rsidR="00AB6191" w:rsidRPr="0001127D" w:rsidRDefault="00AB6191" w:rsidP="00AB6191">
            <w:pPr>
              <w:rPr>
                <w:noProof/>
                <w:sz w:val="20"/>
              </w:rPr>
            </w:pPr>
          </w:p>
        </w:tc>
        <w:tc>
          <w:tcPr>
            <w:tcW w:w="1440" w:type="dxa"/>
            <w:vAlign w:val="center"/>
          </w:tcPr>
          <w:p w14:paraId="294EA1BF" w14:textId="77777777" w:rsidR="00AB6191" w:rsidRPr="0001127D" w:rsidRDefault="00AB6191" w:rsidP="00AB6191">
            <w:pPr>
              <w:rPr>
                <w:noProof/>
                <w:sz w:val="18"/>
              </w:rPr>
            </w:pPr>
            <w:r w:rsidRPr="0001127D">
              <w:rPr>
                <w:noProof/>
                <w:sz w:val="18"/>
              </w:rPr>
              <w:t>Pagamenti</w:t>
            </w:r>
          </w:p>
        </w:tc>
        <w:tc>
          <w:tcPr>
            <w:tcW w:w="654" w:type="dxa"/>
            <w:vAlign w:val="center"/>
          </w:tcPr>
          <w:p w14:paraId="489FE990" w14:textId="77777777" w:rsidR="00AB6191" w:rsidRPr="0001127D" w:rsidRDefault="00AB6191" w:rsidP="00AB6191">
            <w:pPr>
              <w:jc w:val="center"/>
              <w:rPr>
                <w:noProof/>
                <w:sz w:val="14"/>
              </w:rPr>
            </w:pPr>
            <w:r w:rsidRPr="0001127D">
              <w:rPr>
                <w:noProof/>
                <w:sz w:val="14"/>
              </w:rPr>
              <w:t>=5+ 6</w:t>
            </w:r>
          </w:p>
        </w:tc>
        <w:tc>
          <w:tcPr>
            <w:tcW w:w="868" w:type="dxa"/>
            <w:vAlign w:val="center"/>
          </w:tcPr>
          <w:p w14:paraId="39D01699"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7EFFCAE3"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36176877"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3B0F7CC4" w14:textId="77777777" w:rsidR="00AB6191" w:rsidRPr="0001127D" w:rsidRDefault="00AB6191" w:rsidP="00AB6191">
            <w:pPr>
              <w:spacing w:before="20" w:after="20"/>
              <w:jc w:val="right"/>
              <w:rPr>
                <w:noProof/>
                <w:sz w:val="20"/>
              </w:rPr>
            </w:pPr>
          </w:p>
        </w:tc>
        <w:tc>
          <w:tcPr>
            <w:tcW w:w="868" w:type="dxa"/>
            <w:vAlign w:val="center"/>
          </w:tcPr>
          <w:p w14:paraId="5C323561" w14:textId="77777777" w:rsidR="00AB6191" w:rsidRPr="0001127D" w:rsidRDefault="00AB6191" w:rsidP="00AB6191">
            <w:pPr>
              <w:spacing w:before="20" w:after="20"/>
              <w:jc w:val="right"/>
              <w:rPr>
                <w:noProof/>
                <w:sz w:val="20"/>
              </w:rPr>
            </w:pPr>
          </w:p>
        </w:tc>
        <w:tc>
          <w:tcPr>
            <w:tcW w:w="868" w:type="dxa"/>
            <w:vAlign w:val="center"/>
          </w:tcPr>
          <w:p w14:paraId="0D36C3B3" w14:textId="77777777" w:rsidR="00AB6191" w:rsidRPr="0001127D" w:rsidRDefault="00AB6191" w:rsidP="00AB6191">
            <w:pPr>
              <w:spacing w:before="20" w:after="20"/>
              <w:jc w:val="right"/>
              <w:rPr>
                <w:noProof/>
                <w:sz w:val="20"/>
              </w:rPr>
            </w:pPr>
          </w:p>
        </w:tc>
        <w:tc>
          <w:tcPr>
            <w:tcW w:w="868" w:type="dxa"/>
            <w:vAlign w:val="center"/>
          </w:tcPr>
          <w:p w14:paraId="08FE6E5E" w14:textId="77777777" w:rsidR="00AB6191" w:rsidRPr="0001127D" w:rsidRDefault="00AB6191" w:rsidP="00AB6191">
            <w:pPr>
              <w:spacing w:before="20" w:after="20"/>
              <w:jc w:val="right"/>
              <w:rPr>
                <w:b/>
                <w:noProof/>
                <w:sz w:val="20"/>
              </w:rPr>
            </w:pPr>
          </w:p>
        </w:tc>
        <w:tc>
          <w:tcPr>
            <w:tcW w:w="1777" w:type="dxa"/>
            <w:vAlign w:val="center"/>
          </w:tcPr>
          <w:p w14:paraId="23DCB270" w14:textId="77777777" w:rsidR="00AB6191" w:rsidRPr="0001127D" w:rsidRDefault="00AB6191" w:rsidP="00AB6191">
            <w:pPr>
              <w:spacing w:before="20" w:after="20"/>
              <w:jc w:val="right"/>
              <w:rPr>
                <w:b/>
                <w:noProof/>
                <w:sz w:val="20"/>
              </w:rPr>
            </w:pPr>
            <w:r w:rsidRPr="0001127D">
              <w:rPr>
                <w:b/>
                <w:noProof/>
                <w:sz w:val="20"/>
              </w:rPr>
              <w:t>6,000</w:t>
            </w:r>
          </w:p>
        </w:tc>
      </w:tr>
    </w:tbl>
    <w:p w14:paraId="3F9754BE" w14:textId="77777777" w:rsidR="00AB6191" w:rsidRPr="0001127D" w:rsidRDefault="00AB6191" w:rsidP="00AB6191">
      <w:pPr>
        <w:spacing w:after="40"/>
        <w:rPr>
          <w:b/>
          <w:noProof/>
          <w:sz w:val="22"/>
          <w:u w:val="single"/>
        </w:rPr>
      </w:pPr>
      <w:r w:rsidRPr="0001127D">
        <w:rPr>
          <w:b/>
          <w:noProof/>
          <w:sz w:val="22"/>
          <w:u w:val="single"/>
        </w:rPr>
        <w:t>Se la proposta/iniziativa incide su più rubriche operative, ricopiare nella sezione sotto:</w:t>
      </w:r>
    </w:p>
    <w:tbl>
      <w:tblPr>
        <w:tblW w:w="0" w:type="auto"/>
        <w:tblInd w:w="13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AB6191" w:rsidRPr="0001127D" w14:paraId="3A68913F" w14:textId="77777777" w:rsidTr="00C5142C">
        <w:trPr>
          <w:trHeight w:val="277"/>
        </w:trPr>
        <w:tc>
          <w:tcPr>
            <w:tcW w:w="3960" w:type="dxa"/>
            <w:vMerge w:val="restart"/>
            <w:tcBorders>
              <w:top w:val="single" w:sz="4" w:space="0" w:color="auto"/>
              <w:left w:val="single" w:sz="4" w:space="0" w:color="auto"/>
              <w:bottom w:val="single" w:sz="4" w:space="0" w:color="FF0000"/>
            </w:tcBorders>
            <w:vAlign w:val="center"/>
          </w:tcPr>
          <w:p w14:paraId="2B9AD60A" w14:textId="0DBB593E" w:rsidR="00AB6191" w:rsidRPr="0001127D" w:rsidRDefault="00AB6191" w:rsidP="00C5142C">
            <w:pPr>
              <w:tabs>
                <w:tab w:val="left" w:pos="363"/>
              </w:tabs>
              <w:spacing w:before="20" w:after="20"/>
              <w:rPr>
                <w:noProof/>
              </w:rPr>
            </w:pPr>
            <w:r w:rsidRPr="0001127D">
              <w:rPr>
                <w:rFonts w:ascii="Wingdings" w:hAnsi="Wingdings"/>
                <w:noProof/>
                <w:sz w:val="21"/>
              </w:rPr>
              <w:t>□</w:t>
            </w:r>
            <w:r w:rsidR="00C5142C" w:rsidRPr="0001127D">
              <w:rPr>
                <w:rFonts w:ascii="Wingdings" w:hAnsi="Wingdings"/>
                <w:noProof/>
                <w:sz w:val="21"/>
              </w:rPr>
              <w:tab/>
            </w:r>
            <w:r w:rsidRPr="0001127D">
              <w:rPr>
                <w:noProof/>
                <w:sz w:val="21"/>
              </w:rPr>
              <w:t>TOTALE stanziamenti operativi (tutte le rubriche operative)</w:t>
            </w:r>
          </w:p>
        </w:tc>
        <w:tc>
          <w:tcPr>
            <w:tcW w:w="1440" w:type="dxa"/>
            <w:tcBorders>
              <w:top w:val="single" w:sz="4" w:space="0" w:color="auto"/>
            </w:tcBorders>
            <w:vAlign w:val="center"/>
          </w:tcPr>
          <w:p w14:paraId="6E120F61" w14:textId="77777777" w:rsidR="00AB6191" w:rsidRPr="0001127D" w:rsidRDefault="00AB6191" w:rsidP="00AB6191">
            <w:pPr>
              <w:spacing w:beforeLines="20" w:before="48" w:afterLines="20" w:after="48"/>
              <w:rPr>
                <w:noProof/>
                <w:sz w:val="18"/>
              </w:rPr>
            </w:pPr>
            <w:r w:rsidRPr="0001127D">
              <w:rPr>
                <w:noProof/>
                <w:sz w:val="18"/>
              </w:rPr>
              <w:t>Impegni</w:t>
            </w:r>
          </w:p>
        </w:tc>
        <w:tc>
          <w:tcPr>
            <w:tcW w:w="654" w:type="dxa"/>
            <w:tcBorders>
              <w:top w:val="single" w:sz="4" w:space="0" w:color="auto"/>
            </w:tcBorders>
            <w:vAlign w:val="center"/>
          </w:tcPr>
          <w:p w14:paraId="45E4DC99" w14:textId="77777777" w:rsidR="00AB6191" w:rsidRPr="0001127D" w:rsidRDefault="00AB6191" w:rsidP="00AB6191">
            <w:pPr>
              <w:spacing w:beforeLines="20" w:before="48" w:afterLines="20" w:after="48"/>
              <w:jc w:val="center"/>
              <w:rPr>
                <w:noProof/>
                <w:sz w:val="14"/>
              </w:rPr>
            </w:pPr>
            <w:r w:rsidRPr="0001127D">
              <w:rPr>
                <w:noProof/>
                <w:sz w:val="14"/>
              </w:rPr>
              <w:t>(4)</w:t>
            </w:r>
          </w:p>
        </w:tc>
        <w:tc>
          <w:tcPr>
            <w:tcW w:w="868" w:type="dxa"/>
            <w:tcBorders>
              <w:top w:val="single" w:sz="4" w:space="0" w:color="auto"/>
            </w:tcBorders>
            <w:vAlign w:val="center"/>
          </w:tcPr>
          <w:p w14:paraId="77EFA3D5" w14:textId="77777777" w:rsidR="00AB6191" w:rsidRPr="0001127D" w:rsidRDefault="00AB6191" w:rsidP="00AB6191">
            <w:pPr>
              <w:spacing w:before="20" w:after="20"/>
              <w:jc w:val="right"/>
              <w:rPr>
                <w:noProof/>
                <w:sz w:val="20"/>
              </w:rPr>
            </w:pPr>
            <w:r w:rsidRPr="0001127D">
              <w:rPr>
                <w:noProof/>
                <w:sz w:val="20"/>
              </w:rPr>
              <w:t>2,000</w:t>
            </w:r>
          </w:p>
        </w:tc>
        <w:tc>
          <w:tcPr>
            <w:tcW w:w="868" w:type="dxa"/>
            <w:tcBorders>
              <w:top w:val="single" w:sz="4" w:space="0" w:color="auto"/>
            </w:tcBorders>
            <w:vAlign w:val="center"/>
          </w:tcPr>
          <w:p w14:paraId="3F6D22CE" w14:textId="77777777" w:rsidR="00AB6191" w:rsidRPr="0001127D" w:rsidRDefault="00AB6191" w:rsidP="00AB6191">
            <w:pPr>
              <w:spacing w:before="20" w:after="20"/>
              <w:jc w:val="right"/>
              <w:rPr>
                <w:noProof/>
                <w:sz w:val="20"/>
              </w:rPr>
            </w:pPr>
            <w:r w:rsidRPr="0001127D">
              <w:rPr>
                <w:noProof/>
                <w:sz w:val="20"/>
              </w:rPr>
              <w:t>2,000</w:t>
            </w:r>
          </w:p>
        </w:tc>
        <w:tc>
          <w:tcPr>
            <w:tcW w:w="868" w:type="dxa"/>
            <w:tcBorders>
              <w:top w:val="single" w:sz="4" w:space="0" w:color="auto"/>
            </w:tcBorders>
            <w:vAlign w:val="center"/>
          </w:tcPr>
          <w:p w14:paraId="58DD1F90" w14:textId="77777777" w:rsidR="00AB6191" w:rsidRPr="0001127D" w:rsidRDefault="00AB6191" w:rsidP="00AB6191">
            <w:pPr>
              <w:spacing w:before="20" w:after="20"/>
              <w:jc w:val="right"/>
              <w:rPr>
                <w:noProof/>
                <w:sz w:val="20"/>
              </w:rPr>
            </w:pPr>
            <w:r w:rsidRPr="0001127D">
              <w:rPr>
                <w:noProof/>
                <w:sz w:val="20"/>
              </w:rPr>
              <w:t>2,000</w:t>
            </w:r>
          </w:p>
        </w:tc>
        <w:tc>
          <w:tcPr>
            <w:tcW w:w="868" w:type="dxa"/>
            <w:tcBorders>
              <w:top w:val="single" w:sz="4" w:space="0" w:color="auto"/>
            </w:tcBorders>
            <w:vAlign w:val="center"/>
          </w:tcPr>
          <w:p w14:paraId="3610B247" w14:textId="77777777" w:rsidR="00AB6191" w:rsidRPr="0001127D" w:rsidRDefault="00AB6191" w:rsidP="00AB6191">
            <w:pPr>
              <w:spacing w:before="20" w:after="20"/>
              <w:jc w:val="right"/>
              <w:rPr>
                <w:noProof/>
                <w:sz w:val="20"/>
              </w:rPr>
            </w:pPr>
          </w:p>
        </w:tc>
        <w:tc>
          <w:tcPr>
            <w:tcW w:w="868" w:type="dxa"/>
            <w:tcBorders>
              <w:top w:val="single" w:sz="4" w:space="0" w:color="auto"/>
            </w:tcBorders>
            <w:vAlign w:val="center"/>
          </w:tcPr>
          <w:p w14:paraId="399414E7" w14:textId="77777777" w:rsidR="00AB6191" w:rsidRPr="0001127D" w:rsidRDefault="00AB6191" w:rsidP="00AB6191">
            <w:pPr>
              <w:spacing w:before="20" w:after="20"/>
              <w:jc w:val="right"/>
              <w:rPr>
                <w:noProof/>
                <w:sz w:val="20"/>
              </w:rPr>
            </w:pPr>
          </w:p>
        </w:tc>
        <w:tc>
          <w:tcPr>
            <w:tcW w:w="868" w:type="dxa"/>
            <w:tcBorders>
              <w:top w:val="single" w:sz="4" w:space="0" w:color="auto"/>
            </w:tcBorders>
            <w:vAlign w:val="center"/>
          </w:tcPr>
          <w:p w14:paraId="00F2A3DC" w14:textId="77777777" w:rsidR="00AB6191" w:rsidRPr="0001127D" w:rsidRDefault="00AB6191" w:rsidP="00AB6191">
            <w:pPr>
              <w:spacing w:before="20" w:after="20"/>
              <w:jc w:val="right"/>
              <w:rPr>
                <w:noProof/>
                <w:sz w:val="20"/>
              </w:rPr>
            </w:pPr>
          </w:p>
        </w:tc>
        <w:tc>
          <w:tcPr>
            <w:tcW w:w="868" w:type="dxa"/>
            <w:tcBorders>
              <w:top w:val="single" w:sz="4" w:space="0" w:color="auto"/>
            </w:tcBorders>
            <w:vAlign w:val="center"/>
          </w:tcPr>
          <w:p w14:paraId="7784DC66" w14:textId="77777777" w:rsidR="00AB6191" w:rsidRPr="0001127D" w:rsidRDefault="00AB6191" w:rsidP="00AB6191">
            <w:pPr>
              <w:spacing w:before="20" w:after="20"/>
              <w:jc w:val="right"/>
              <w:rPr>
                <w:b/>
                <w:noProof/>
                <w:sz w:val="20"/>
              </w:rPr>
            </w:pPr>
          </w:p>
        </w:tc>
        <w:tc>
          <w:tcPr>
            <w:tcW w:w="1777" w:type="dxa"/>
            <w:tcBorders>
              <w:top w:val="single" w:sz="4" w:space="0" w:color="auto"/>
              <w:right w:val="single" w:sz="4" w:space="0" w:color="auto"/>
            </w:tcBorders>
            <w:vAlign w:val="center"/>
          </w:tcPr>
          <w:p w14:paraId="3F083F13" w14:textId="77777777" w:rsidR="00AB6191" w:rsidRPr="0001127D" w:rsidRDefault="00AB6191" w:rsidP="00AB6191">
            <w:pPr>
              <w:spacing w:before="20" w:after="20"/>
              <w:jc w:val="right"/>
              <w:rPr>
                <w:b/>
                <w:noProof/>
                <w:sz w:val="20"/>
              </w:rPr>
            </w:pPr>
            <w:r w:rsidRPr="0001127D">
              <w:rPr>
                <w:b/>
                <w:noProof/>
                <w:sz w:val="20"/>
              </w:rPr>
              <w:t>6,000</w:t>
            </w:r>
          </w:p>
        </w:tc>
      </w:tr>
      <w:tr w:rsidR="00AB6191" w:rsidRPr="0001127D" w14:paraId="467F5405" w14:textId="77777777" w:rsidTr="00C5142C">
        <w:tc>
          <w:tcPr>
            <w:tcW w:w="3960" w:type="dxa"/>
            <w:vMerge/>
            <w:tcBorders>
              <w:top w:val="single" w:sz="4" w:space="0" w:color="FF0000"/>
              <w:left w:val="single" w:sz="4" w:space="0" w:color="auto"/>
              <w:bottom w:val="single" w:sz="4" w:space="0" w:color="FF0000"/>
            </w:tcBorders>
          </w:tcPr>
          <w:p w14:paraId="5898F374" w14:textId="77777777" w:rsidR="00AB6191" w:rsidRPr="0001127D" w:rsidRDefault="00AB6191" w:rsidP="00AB6191">
            <w:pPr>
              <w:jc w:val="center"/>
              <w:rPr>
                <w:noProof/>
                <w:sz w:val="20"/>
              </w:rPr>
            </w:pPr>
          </w:p>
        </w:tc>
        <w:tc>
          <w:tcPr>
            <w:tcW w:w="1440" w:type="dxa"/>
            <w:vAlign w:val="center"/>
          </w:tcPr>
          <w:p w14:paraId="7EC0939C" w14:textId="77777777" w:rsidR="00AB6191" w:rsidRPr="0001127D" w:rsidRDefault="00AB6191" w:rsidP="00AB6191">
            <w:pPr>
              <w:spacing w:beforeLines="20" w:before="48" w:afterLines="20" w:after="48"/>
              <w:rPr>
                <w:noProof/>
                <w:sz w:val="18"/>
              </w:rPr>
            </w:pPr>
            <w:r w:rsidRPr="0001127D">
              <w:rPr>
                <w:noProof/>
                <w:sz w:val="18"/>
              </w:rPr>
              <w:t>Pagamenti</w:t>
            </w:r>
          </w:p>
        </w:tc>
        <w:tc>
          <w:tcPr>
            <w:tcW w:w="654" w:type="dxa"/>
            <w:vAlign w:val="center"/>
          </w:tcPr>
          <w:p w14:paraId="3CEBCC25" w14:textId="77777777" w:rsidR="00AB6191" w:rsidRPr="0001127D" w:rsidRDefault="00AB6191" w:rsidP="00AB6191">
            <w:pPr>
              <w:spacing w:beforeLines="20" w:before="48" w:afterLines="20" w:after="48"/>
              <w:jc w:val="center"/>
              <w:rPr>
                <w:noProof/>
                <w:sz w:val="14"/>
              </w:rPr>
            </w:pPr>
            <w:r w:rsidRPr="0001127D">
              <w:rPr>
                <w:noProof/>
                <w:sz w:val="14"/>
              </w:rPr>
              <w:t>(5)</w:t>
            </w:r>
          </w:p>
        </w:tc>
        <w:tc>
          <w:tcPr>
            <w:tcW w:w="868" w:type="dxa"/>
            <w:vAlign w:val="center"/>
          </w:tcPr>
          <w:p w14:paraId="3D0386AD"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4B526F84"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348CFE89"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200D909C" w14:textId="77777777" w:rsidR="00AB6191" w:rsidRPr="0001127D" w:rsidRDefault="00AB6191" w:rsidP="00AB6191">
            <w:pPr>
              <w:spacing w:before="20" w:after="20"/>
              <w:jc w:val="right"/>
              <w:rPr>
                <w:noProof/>
                <w:sz w:val="20"/>
              </w:rPr>
            </w:pPr>
          </w:p>
        </w:tc>
        <w:tc>
          <w:tcPr>
            <w:tcW w:w="868" w:type="dxa"/>
            <w:vAlign w:val="center"/>
          </w:tcPr>
          <w:p w14:paraId="4371650C" w14:textId="77777777" w:rsidR="00AB6191" w:rsidRPr="0001127D" w:rsidRDefault="00AB6191" w:rsidP="00AB6191">
            <w:pPr>
              <w:spacing w:before="20" w:after="20"/>
              <w:jc w:val="right"/>
              <w:rPr>
                <w:noProof/>
                <w:sz w:val="20"/>
              </w:rPr>
            </w:pPr>
          </w:p>
        </w:tc>
        <w:tc>
          <w:tcPr>
            <w:tcW w:w="868" w:type="dxa"/>
            <w:vAlign w:val="center"/>
          </w:tcPr>
          <w:p w14:paraId="703E55EC" w14:textId="77777777" w:rsidR="00AB6191" w:rsidRPr="0001127D" w:rsidRDefault="00AB6191" w:rsidP="00AB6191">
            <w:pPr>
              <w:spacing w:before="20" w:after="20"/>
              <w:jc w:val="right"/>
              <w:rPr>
                <w:noProof/>
                <w:sz w:val="20"/>
              </w:rPr>
            </w:pPr>
          </w:p>
        </w:tc>
        <w:tc>
          <w:tcPr>
            <w:tcW w:w="868" w:type="dxa"/>
            <w:vAlign w:val="center"/>
          </w:tcPr>
          <w:p w14:paraId="22733366" w14:textId="77777777" w:rsidR="00AB6191" w:rsidRPr="0001127D" w:rsidRDefault="00AB6191" w:rsidP="00AB6191">
            <w:pPr>
              <w:spacing w:before="20" w:after="20"/>
              <w:jc w:val="right"/>
              <w:rPr>
                <w:b/>
                <w:noProof/>
                <w:sz w:val="20"/>
              </w:rPr>
            </w:pPr>
          </w:p>
        </w:tc>
        <w:tc>
          <w:tcPr>
            <w:tcW w:w="1777" w:type="dxa"/>
            <w:tcBorders>
              <w:right w:val="single" w:sz="4" w:space="0" w:color="auto"/>
            </w:tcBorders>
            <w:vAlign w:val="center"/>
          </w:tcPr>
          <w:p w14:paraId="3887A2DA" w14:textId="77777777" w:rsidR="00AB6191" w:rsidRPr="0001127D" w:rsidRDefault="00AB6191" w:rsidP="00AB6191">
            <w:pPr>
              <w:spacing w:before="20" w:after="20"/>
              <w:jc w:val="right"/>
              <w:rPr>
                <w:b/>
                <w:noProof/>
                <w:sz w:val="20"/>
              </w:rPr>
            </w:pPr>
            <w:r w:rsidRPr="0001127D">
              <w:rPr>
                <w:b/>
                <w:noProof/>
                <w:sz w:val="20"/>
              </w:rPr>
              <w:t>6,000</w:t>
            </w:r>
          </w:p>
        </w:tc>
      </w:tr>
      <w:tr w:rsidR="00AB6191" w:rsidRPr="0001127D" w14:paraId="0843374D" w14:textId="77777777" w:rsidTr="00C5142C">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1DC720F4" w14:textId="26563313" w:rsidR="00AB6191" w:rsidRPr="0001127D" w:rsidRDefault="00AB6191" w:rsidP="00AB6191">
            <w:pPr>
              <w:spacing w:beforeLines="20" w:before="48" w:afterLines="20" w:after="48"/>
              <w:rPr>
                <w:noProof/>
              </w:rPr>
            </w:pPr>
            <w:r w:rsidRPr="0001127D">
              <w:rPr>
                <w:noProof/>
                <w:sz w:val="21"/>
              </w:rPr>
              <w:t>TOTALE stanziamenti amministrativi finanziati dalla dotazione di programmi specifici (tutte le rubriche operative)</w:t>
            </w:r>
          </w:p>
        </w:tc>
        <w:tc>
          <w:tcPr>
            <w:tcW w:w="654" w:type="dxa"/>
            <w:vAlign w:val="center"/>
          </w:tcPr>
          <w:p w14:paraId="7B480202" w14:textId="77777777" w:rsidR="00AB6191" w:rsidRPr="0001127D" w:rsidRDefault="00AB6191" w:rsidP="00AB6191">
            <w:pPr>
              <w:rPr>
                <w:noProof/>
              </w:rPr>
            </w:pPr>
          </w:p>
          <w:p w14:paraId="148210F9" w14:textId="77777777" w:rsidR="00AB6191" w:rsidRPr="0001127D" w:rsidRDefault="00AB6191" w:rsidP="00AB6191">
            <w:pPr>
              <w:spacing w:beforeLines="20" w:before="48" w:afterLines="20" w:after="48"/>
              <w:jc w:val="center"/>
              <w:rPr>
                <w:noProof/>
                <w:sz w:val="14"/>
              </w:rPr>
            </w:pPr>
            <w:r w:rsidRPr="0001127D">
              <w:rPr>
                <w:noProof/>
                <w:sz w:val="14"/>
              </w:rPr>
              <w:t>(6)</w:t>
            </w:r>
          </w:p>
        </w:tc>
        <w:tc>
          <w:tcPr>
            <w:tcW w:w="868" w:type="dxa"/>
            <w:vAlign w:val="center"/>
          </w:tcPr>
          <w:p w14:paraId="5CD1D8E0" w14:textId="77777777" w:rsidR="00AB6191" w:rsidRPr="0001127D" w:rsidRDefault="00AB6191" w:rsidP="00AB6191">
            <w:pPr>
              <w:spacing w:before="20" w:after="20"/>
              <w:jc w:val="right"/>
              <w:rPr>
                <w:b/>
                <w:noProof/>
                <w:sz w:val="20"/>
              </w:rPr>
            </w:pPr>
          </w:p>
        </w:tc>
        <w:tc>
          <w:tcPr>
            <w:tcW w:w="868" w:type="dxa"/>
            <w:vAlign w:val="center"/>
          </w:tcPr>
          <w:p w14:paraId="797A00F5" w14:textId="77777777" w:rsidR="00AB6191" w:rsidRPr="0001127D" w:rsidRDefault="00AB6191" w:rsidP="00AB6191">
            <w:pPr>
              <w:spacing w:before="20" w:after="20"/>
              <w:jc w:val="right"/>
              <w:rPr>
                <w:b/>
                <w:noProof/>
                <w:sz w:val="20"/>
              </w:rPr>
            </w:pPr>
          </w:p>
        </w:tc>
        <w:tc>
          <w:tcPr>
            <w:tcW w:w="868" w:type="dxa"/>
            <w:vAlign w:val="center"/>
          </w:tcPr>
          <w:p w14:paraId="5883B34F" w14:textId="77777777" w:rsidR="00AB6191" w:rsidRPr="0001127D" w:rsidRDefault="00AB6191" w:rsidP="00AB6191">
            <w:pPr>
              <w:spacing w:before="20" w:after="20"/>
              <w:jc w:val="right"/>
              <w:rPr>
                <w:b/>
                <w:noProof/>
                <w:sz w:val="20"/>
              </w:rPr>
            </w:pPr>
          </w:p>
        </w:tc>
        <w:tc>
          <w:tcPr>
            <w:tcW w:w="868" w:type="dxa"/>
            <w:vAlign w:val="center"/>
          </w:tcPr>
          <w:p w14:paraId="4F82C4BA" w14:textId="77777777" w:rsidR="00AB6191" w:rsidRPr="0001127D" w:rsidRDefault="00AB6191" w:rsidP="00AB6191">
            <w:pPr>
              <w:spacing w:before="20" w:after="20"/>
              <w:jc w:val="right"/>
              <w:rPr>
                <w:b/>
                <w:noProof/>
                <w:sz w:val="20"/>
              </w:rPr>
            </w:pPr>
          </w:p>
        </w:tc>
        <w:tc>
          <w:tcPr>
            <w:tcW w:w="868" w:type="dxa"/>
            <w:vAlign w:val="center"/>
          </w:tcPr>
          <w:p w14:paraId="66C1E40B" w14:textId="77777777" w:rsidR="00AB6191" w:rsidRPr="0001127D" w:rsidRDefault="00AB6191" w:rsidP="00AB6191">
            <w:pPr>
              <w:spacing w:before="20" w:after="20"/>
              <w:jc w:val="right"/>
              <w:rPr>
                <w:b/>
                <w:noProof/>
                <w:sz w:val="20"/>
              </w:rPr>
            </w:pPr>
          </w:p>
        </w:tc>
        <w:tc>
          <w:tcPr>
            <w:tcW w:w="868" w:type="dxa"/>
            <w:vAlign w:val="center"/>
          </w:tcPr>
          <w:p w14:paraId="375656FC" w14:textId="77777777" w:rsidR="00AB6191" w:rsidRPr="0001127D" w:rsidRDefault="00AB6191" w:rsidP="00AB6191">
            <w:pPr>
              <w:spacing w:before="20" w:after="20"/>
              <w:jc w:val="right"/>
              <w:rPr>
                <w:b/>
                <w:noProof/>
                <w:sz w:val="20"/>
              </w:rPr>
            </w:pPr>
          </w:p>
        </w:tc>
        <w:tc>
          <w:tcPr>
            <w:tcW w:w="868" w:type="dxa"/>
            <w:vAlign w:val="center"/>
          </w:tcPr>
          <w:p w14:paraId="0653C4FC" w14:textId="77777777" w:rsidR="00AB6191" w:rsidRPr="0001127D" w:rsidRDefault="00AB6191" w:rsidP="00AB6191">
            <w:pPr>
              <w:spacing w:before="20" w:after="20"/>
              <w:jc w:val="right"/>
              <w:rPr>
                <w:b/>
                <w:noProof/>
                <w:sz w:val="20"/>
              </w:rPr>
            </w:pPr>
          </w:p>
        </w:tc>
        <w:tc>
          <w:tcPr>
            <w:tcW w:w="1777" w:type="dxa"/>
            <w:vAlign w:val="center"/>
          </w:tcPr>
          <w:p w14:paraId="56B8BD4E" w14:textId="77777777" w:rsidR="00AB6191" w:rsidRPr="0001127D" w:rsidRDefault="00AB6191" w:rsidP="00AB6191">
            <w:pPr>
              <w:spacing w:before="20" w:after="20"/>
              <w:jc w:val="right"/>
              <w:rPr>
                <w:b/>
                <w:noProof/>
                <w:sz w:val="20"/>
              </w:rPr>
            </w:pPr>
          </w:p>
        </w:tc>
      </w:tr>
      <w:tr w:rsidR="00AB6191" w:rsidRPr="0001127D" w14:paraId="7D3BAFE3" w14:textId="77777777" w:rsidTr="00C5142C">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15AD2FE9" w14:textId="25B51033" w:rsidR="00AB6191" w:rsidRPr="0001127D" w:rsidRDefault="00DF5DCF" w:rsidP="00AB6191">
            <w:pPr>
              <w:jc w:val="center"/>
              <w:rPr>
                <w:b/>
                <w:noProof/>
              </w:rPr>
            </w:pPr>
            <w:r>
              <w:rPr>
                <w:b/>
                <w:noProof/>
                <w:sz w:val="22"/>
              </w:rPr>
              <w:t>TOTALE stanziamenti</w:t>
            </w:r>
            <w:r w:rsidR="00AB6191" w:rsidRPr="0001127D">
              <w:rPr>
                <w:noProof/>
              </w:rPr>
              <w:br/>
            </w:r>
            <w:r w:rsidR="00AB6191" w:rsidRPr="0001127D">
              <w:rPr>
                <w:b/>
                <w:noProof/>
                <w:sz w:val="22"/>
              </w:rPr>
              <w:t>per le RUBRICHE da 1 a 6</w:t>
            </w:r>
            <w:r w:rsidR="00AB6191" w:rsidRPr="0001127D">
              <w:rPr>
                <w:noProof/>
              </w:rPr>
              <w:t xml:space="preserve"> </w:t>
            </w:r>
            <w:r w:rsidR="00AB6191" w:rsidRPr="0001127D">
              <w:rPr>
                <w:noProof/>
              </w:rPr>
              <w:br/>
            </w:r>
            <w:r w:rsidR="00AB6191" w:rsidRPr="0001127D">
              <w:rPr>
                <w:noProof/>
                <w:sz w:val="22"/>
              </w:rPr>
              <w:t>del quadro finanziario pluriennale</w:t>
            </w:r>
            <w:r w:rsidR="00AB6191" w:rsidRPr="0001127D">
              <w:rPr>
                <w:noProof/>
              </w:rPr>
              <w:t xml:space="preserve"> </w:t>
            </w:r>
            <w:r w:rsidR="00AB6191" w:rsidRPr="0001127D">
              <w:rPr>
                <w:noProof/>
              </w:rPr>
              <w:br/>
            </w:r>
            <w:r w:rsidR="00AB6191" w:rsidRPr="0001127D">
              <w:rPr>
                <w:noProof/>
                <w:sz w:val="20"/>
              </w:rPr>
              <w:t>(importo di riferimento)</w:t>
            </w:r>
          </w:p>
        </w:tc>
        <w:tc>
          <w:tcPr>
            <w:tcW w:w="1440" w:type="dxa"/>
            <w:vAlign w:val="center"/>
          </w:tcPr>
          <w:p w14:paraId="3013B432" w14:textId="77777777" w:rsidR="00AB6191" w:rsidRPr="0001127D" w:rsidRDefault="00AB6191" w:rsidP="00AB6191">
            <w:pPr>
              <w:rPr>
                <w:noProof/>
                <w:sz w:val="18"/>
              </w:rPr>
            </w:pPr>
            <w:r w:rsidRPr="0001127D">
              <w:rPr>
                <w:noProof/>
                <w:sz w:val="18"/>
              </w:rPr>
              <w:t>Impegni</w:t>
            </w:r>
          </w:p>
        </w:tc>
        <w:tc>
          <w:tcPr>
            <w:tcW w:w="654" w:type="dxa"/>
            <w:vAlign w:val="center"/>
          </w:tcPr>
          <w:p w14:paraId="7EF49EA1" w14:textId="77777777" w:rsidR="00AB6191" w:rsidRPr="0001127D" w:rsidRDefault="00AB6191" w:rsidP="00AB6191">
            <w:pPr>
              <w:jc w:val="center"/>
              <w:rPr>
                <w:noProof/>
                <w:sz w:val="14"/>
              </w:rPr>
            </w:pPr>
            <w:r w:rsidRPr="0001127D">
              <w:rPr>
                <w:noProof/>
                <w:sz w:val="14"/>
              </w:rPr>
              <w:t>=4+ 6</w:t>
            </w:r>
          </w:p>
        </w:tc>
        <w:tc>
          <w:tcPr>
            <w:tcW w:w="868" w:type="dxa"/>
            <w:vAlign w:val="center"/>
          </w:tcPr>
          <w:p w14:paraId="097676BC"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20B5C1AC"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77D39FE0" w14:textId="77777777" w:rsidR="00AB6191" w:rsidRPr="0001127D" w:rsidRDefault="00AB6191" w:rsidP="00AB6191">
            <w:pPr>
              <w:spacing w:before="20" w:after="20"/>
              <w:jc w:val="right"/>
              <w:rPr>
                <w:noProof/>
                <w:sz w:val="20"/>
              </w:rPr>
            </w:pPr>
            <w:r w:rsidRPr="0001127D">
              <w:rPr>
                <w:noProof/>
                <w:sz w:val="20"/>
              </w:rPr>
              <w:t>2,000</w:t>
            </w:r>
          </w:p>
        </w:tc>
        <w:tc>
          <w:tcPr>
            <w:tcW w:w="868" w:type="dxa"/>
            <w:vAlign w:val="center"/>
          </w:tcPr>
          <w:p w14:paraId="0CA93DA7" w14:textId="77777777" w:rsidR="00AB6191" w:rsidRPr="0001127D" w:rsidRDefault="00AB6191" w:rsidP="00AB6191">
            <w:pPr>
              <w:spacing w:before="20" w:after="20"/>
              <w:jc w:val="right"/>
              <w:rPr>
                <w:noProof/>
                <w:sz w:val="20"/>
              </w:rPr>
            </w:pPr>
          </w:p>
        </w:tc>
        <w:tc>
          <w:tcPr>
            <w:tcW w:w="868" w:type="dxa"/>
            <w:vAlign w:val="center"/>
          </w:tcPr>
          <w:p w14:paraId="53AEEB16" w14:textId="77777777" w:rsidR="00AB6191" w:rsidRPr="0001127D" w:rsidRDefault="00AB6191" w:rsidP="00AB6191">
            <w:pPr>
              <w:spacing w:before="20" w:after="20"/>
              <w:jc w:val="right"/>
              <w:rPr>
                <w:noProof/>
                <w:sz w:val="20"/>
              </w:rPr>
            </w:pPr>
          </w:p>
        </w:tc>
        <w:tc>
          <w:tcPr>
            <w:tcW w:w="868" w:type="dxa"/>
            <w:vAlign w:val="center"/>
          </w:tcPr>
          <w:p w14:paraId="787D8667" w14:textId="77777777" w:rsidR="00AB6191" w:rsidRPr="0001127D" w:rsidRDefault="00AB6191" w:rsidP="00AB6191">
            <w:pPr>
              <w:spacing w:before="20" w:after="20"/>
              <w:jc w:val="right"/>
              <w:rPr>
                <w:noProof/>
                <w:sz w:val="20"/>
              </w:rPr>
            </w:pPr>
          </w:p>
        </w:tc>
        <w:tc>
          <w:tcPr>
            <w:tcW w:w="868" w:type="dxa"/>
            <w:vAlign w:val="center"/>
          </w:tcPr>
          <w:p w14:paraId="029A0E57" w14:textId="77777777" w:rsidR="00AB6191" w:rsidRPr="0001127D" w:rsidRDefault="00AB6191" w:rsidP="00AB6191">
            <w:pPr>
              <w:spacing w:before="20" w:after="20"/>
              <w:jc w:val="right"/>
              <w:rPr>
                <w:b/>
                <w:noProof/>
                <w:sz w:val="20"/>
              </w:rPr>
            </w:pPr>
          </w:p>
        </w:tc>
        <w:tc>
          <w:tcPr>
            <w:tcW w:w="1777" w:type="dxa"/>
            <w:tcBorders>
              <w:right w:val="single" w:sz="4" w:space="0" w:color="auto"/>
            </w:tcBorders>
            <w:vAlign w:val="center"/>
          </w:tcPr>
          <w:p w14:paraId="6B24C8E3" w14:textId="77777777" w:rsidR="00AB6191" w:rsidRPr="0001127D" w:rsidRDefault="00AB6191" w:rsidP="00AB6191">
            <w:pPr>
              <w:spacing w:before="20" w:after="20"/>
              <w:jc w:val="right"/>
              <w:rPr>
                <w:b/>
                <w:noProof/>
                <w:sz w:val="20"/>
              </w:rPr>
            </w:pPr>
            <w:r w:rsidRPr="0001127D">
              <w:rPr>
                <w:b/>
                <w:noProof/>
                <w:sz w:val="20"/>
              </w:rPr>
              <w:t>6,000</w:t>
            </w:r>
          </w:p>
        </w:tc>
      </w:tr>
      <w:tr w:rsidR="00AB6191" w:rsidRPr="0001127D" w14:paraId="425AC886" w14:textId="77777777" w:rsidTr="00C5142C">
        <w:tc>
          <w:tcPr>
            <w:tcW w:w="3960" w:type="dxa"/>
            <w:vMerge/>
            <w:tcBorders>
              <w:top w:val="single" w:sz="4" w:space="0" w:color="FF0000"/>
              <w:left w:val="single" w:sz="4" w:space="0" w:color="auto"/>
              <w:bottom w:val="single" w:sz="4" w:space="0" w:color="auto"/>
            </w:tcBorders>
            <w:shd w:val="thinDiagStripe" w:color="C0C0C0" w:fill="auto"/>
          </w:tcPr>
          <w:p w14:paraId="75D79F4F" w14:textId="77777777" w:rsidR="00AB6191" w:rsidRPr="0001127D" w:rsidRDefault="00AB6191" w:rsidP="00AB6191">
            <w:pPr>
              <w:rPr>
                <w:noProof/>
                <w:sz w:val="20"/>
              </w:rPr>
            </w:pPr>
          </w:p>
        </w:tc>
        <w:tc>
          <w:tcPr>
            <w:tcW w:w="1440" w:type="dxa"/>
            <w:tcBorders>
              <w:bottom w:val="single" w:sz="4" w:space="0" w:color="auto"/>
            </w:tcBorders>
            <w:vAlign w:val="center"/>
          </w:tcPr>
          <w:p w14:paraId="6C077FAD" w14:textId="77777777" w:rsidR="00AB6191" w:rsidRPr="0001127D" w:rsidRDefault="00AB6191" w:rsidP="00AB6191">
            <w:pPr>
              <w:rPr>
                <w:noProof/>
                <w:sz w:val="18"/>
              </w:rPr>
            </w:pPr>
            <w:r w:rsidRPr="0001127D">
              <w:rPr>
                <w:noProof/>
                <w:sz w:val="18"/>
              </w:rPr>
              <w:t>Pagamenti</w:t>
            </w:r>
          </w:p>
        </w:tc>
        <w:tc>
          <w:tcPr>
            <w:tcW w:w="654" w:type="dxa"/>
            <w:tcBorders>
              <w:bottom w:val="single" w:sz="4" w:space="0" w:color="auto"/>
            </w:tcBorders>
            <w:vAlign w:val="center"/>
          </w:tcPr>
          <w:p w14:paraId="76B9F1ED" w14:textId="77777777" w:rsidR="00AB6191" w:rsidRPr="0001127D" w:rsidRDefault="00AB6191" w:rsidP="00AB6191">
            <w:pPr>
              <w:jc w:val="center"/>
              <w:rPr>
                <w:noProof/>
                <w:sz w:val="14"/>
              </w:rPr>
            </w:pPr>
            <w:r w:rsidRPr="0001127D">
              <w:rPr>
                <w:noProof/>
                <w:sz w:val="14"/>
              </w:rPr>
              <w:t>=5+ 6</w:t>
            </w:r>
          </w:p>
        </w:tc>
        <w:tc>
          <w:tcPr>
            <w:tcW w:w="868" w:type="dxa"/>
            <w:tcBorders>
              <w:bottom w:val="single" w:sz="4" w:space="0" w:color="auto"/>
            </w:tcBorders>
            <w:vAlign w:val="center"/>
          </w:tcPr>
          <w:p w14:paraId="56830875" w14:textId="77777777" w:rsidR="00AB6191" w:rsidRPr="0001127D" w:rsidRDefault="00AB6191" w:rsidP="00AB6191">
            <w:pPr>
              <w:spacing w:before="20" w:after="20"/>
              <w:jc w:val="right"/>
              <w:rPr>
                <w:noProof/>
                <w:sz w:val="20"/>
              </w:rPr>
            </w:pPr>
            <w:r w:rsidRPr="0001127D">
              <w:rPr>
                <w:noProof/>
                <w:sz w:val="20"/>
              </w:rPr>
              <w:t>2,000</w:t>
            </w:r>
          </w:p>
        </w:tc>
        <w:tc>
          <w:tcPr>
            <w:tcW w:w="868" w:type="dxa"/>
            <w:tcBorders>
              <w:bottom w:val="single" w:sz="4" w:space="0" w:color="auto"/>
            </w:tcBorders>
            <w:vAlign w:val="center"/>
          </w:tcPr>
          <w:p w14:paraId="7BE857FA" w14:textId="77777777" w:rsidR="00AB6191" w:rsidRPr="0001127D" w:rsidRDefault="00AB6191" w:rsidP="00AB6191">
            <w:pPr>
              <w:spacing w:before="20" w:after="20"/>
              <w:jc w:val="right"/>
              <w:rPr>
                <w:noProof/>
                <w:sz w:val="20"/>
              </w:rPr>
            </w:pPr>
            <w:r w:rsidRPr="0001127D">
              <w:rPr>
                <w:noProof/>
                <w:sz w:val="20"/>
              </w:rPr>
              <w:t>2,000</w:t>
            </w:r>
          </w:p>
        </w:tc>
        <w:tc>
          <w:tcPr>
            <w:tcW w:w="868" w:type="dxa"/>
            <w:tcBorders>
              <w:bottom w:val="single" w:sz="4" w:space="0" w:color="auto"/>
            </w:tcBorders>
            <w:vAlign w:val="center"/>
          </w:tcPr>
          <w:p w14:paraId="1B840C1B" w14:textId="77777777" w:rsidR="00AB6191" w:rsidRPr="0001127D" w:rsidRDefault="00AB6191" w:rsidP="00AB6191">
            <w:pPr>
              <w:spacing w:before="20" w:after="20"/>
              <w:jc w:val="right"/>
              <w:rPr>
                <w:noProof/>
                <w:sz w:val="20"/>
              </w:rPr>
            </w:pPr>
            <w:r w:rsidRPr="0001127D">
              <w:rPr>
                <w:noProof/>
                <w:sz w:val="20"/>
              </w:rPr>
              <w:t>2,000</w:t>
            </w:r>
          </w:p>
        </w:tc>
        <w:tc>
          <w:tcPr>
            <w:tcW w:w="868" w:type="dxa"/>
            <w:tcBorders>
              <w:bottom w:val="single" w:sz="4" w:space="0" w:color="auto"/>
            </w:tcBorders>
            <w:vAlign w:val="center"/>
          </w:tcPr>
          <w:p w14:paraId="33D12C12" w14:textId="77777777" w:rsidR="00AB6191" w:rsidRPr="0001127D" w:rsidRDefault="00AB6191" w:rsidP="00AB6191">
            <w:pPr>
              <w:spacing w:before="20" w:after="20"/>
              <w:jc w:val="right"/>
              <w:rPr>
                <w:noProof/>
                <w:sz w:val="20"/>
              </w:rPr>
            </w:pPr>
          </w:p>
        </w:tc>
        <w:tc>
          <w:tcPr>
            <w:tcW w:w="868" w:type="dxa"/>
            <w:tcBorders>
              <w:bottom w:val="single" w:sz="4" w:space="0" w:color="auto"/>
            </w:tcBorders>
            <w:vAlign w:val="center"/>
          </w:tcPr>
          <w:p w14:paraId="7A947438" w14:textId="77777777" w:rsidR="00AB6191" w:rsidRPr="0001127D" w:rsidRDefault="00AB6191" w:rsidP="00AB6191">
            <w:pPr>
              <w:spacing w:before="20" w:after="20"/>
              <w:jc w:val="right"/>
              <w:rPr>
                <w:noProof/>
                <w:sz w:val="20"/>
              </w:rPr>
            </w:pPr>
          </w:p>
        </w:tc>
        <w:tc>
          <w:tcPr>
            <w:tcW w:w="868" w:type="dxa"/>
            <w:tcBorders>
              <w:bottom w:val="single" w:sz="4" w:space="0" w:color="auto"/>
            </w:tcBorders>
            <w:vAlign w:val="center"/>
          </w:tcPr>
          <w:p w14:paraId="2C3B85B3" w14:textId="77777777" w:rsidR="00AB6191" w:rsidRPr="0001127D" w:rsidRDefault="00AB6191" w:rsidP="00AB6191">
            <w:pPr>
              <w:spacing w:before="20" w:after="20"/>
              <w:jc w:val="right"/>
              <w:rPr>
                <w:noProof/>
                <w:sz w:val="20"/>
              </w:rPr>
            </w:pPr>
          </w:p>
        </w:tc>
        <w:tc>
          <w:tcPr>
            <w:tcW w:w="868" w:type="dxa"/>
            <w:tcBorders>
              <w:bottom w:val="single" w:sz="4" w:space="0" w:color="auto"/>
            </w:tcBorders>
            <w:vAlign w:val="center"/>
          </w:tcPr>
          <w:p w14:paraId="0284F986" w14:textId="77777777" w:rsidR="00AB6191" w:rsidRPr="0001127D" w:rsidRDefault="00AB6191" w:rsidP="00AB6191">
            <w:pPr>
              <w:spacing w:before="20" w:after="20"/>
              <w:jc w:val="right"/>
              <w:rPr>
                <w:b/>
                <w:noProof/>
                <w:sz w:val="20"/>
              </w:rPr>
            </w:pPr>
          </w:p>
        </w:tc>
        <w:tc>
          <w:tcPr>
            <w:tcW w:w="1777" w:type="dxa"/>
            <w:tcBorders>
              <w:bottom w:val="single" w:sz="4" w:space="0" w:color="auto"/>
              <w:right w:val="single" w:sz="4" w:space="0" w:color="auto"/>
            </w:tcBorders>
            <w:vAlign w:val="center"/>
          </w:tcPr>
          <w:p w14:paraId="426546D2" w14:textId="77777777" w:rsidR="00AB6191" w:rsidRPr="0001127D" w:rsidRDefault="00AB6191" w:rsidP="00AB6191">
            <w:pPr>
              <w:spacing w:before="20" w:after="20"/>
              <w:jc w:val="right"/>
              <w:rPr>
                <w:b/>
                <w:noProof/>
                <w:sz w:val="20"/>
              </w:rPr>
            </w:pPr>
            <w:r w:rsidRPr="0001127D">
              <w:rPr>
                <w:b/>
                <w:noProof/>
                <w:sz w:val="20"/>
              </w:rPr>
              <w:t>6,000</w:t>
            </w:r>
          </w:p>
        </w:tc>
      </w:tr>
    </w:tbl>
    <w:p w14:paraId="2FCB8C2E" w14:textId="77777777" w:rsidR="00AB6191" w:rsidRPr="0001127D" w:rsidRDefault="00AB6191" w:rsidP="00AB6191">
      <w:pPr>
        <w:rPr>
          <w:noProof/>
        </w:rPr>
      </w:pPr>
    </w:p>
    <w:p w14:paraId="2ECD8FD6" w14:textId="77777777" w:rsidR="00AB6191" w:rsidRPr="0001127D" w:rsidRDefault="00AB6191" w:rsidP="00AB6191">
      <w:pPr>
        <w:spacing w:before="0" w:after="0"/>
        <w:jc w:val="left"/>
        <w:rPr>
          <w:noProof/>
        </w:rPr>
      </w:pPr>
      <w:r w:rsidRPr="0001127D">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B6191" w:rsidRPr="0001127D" w14:paraId="2BA5E90C" w14:textId="77777777" w:rsidTr="00AB6191">
        <w:trPr>
          <w:jc w:val="center"/>
        </w:trPr>
        <w:tc>
          <w:tcPr>
            <w:tcW w:w="4744" w:type="dxa"/>
            <w:shd w:val="thinDiagStripe" w:color="C0C0C0" w:fill="auto"/>
            <w:vAlign w:val="center"/>
          </w:tcPr>
          <w:p w14:paraId="1F13D764" w14:textId="0A626A2D" w:rsidR="00AB6191" w:rsidRPr="0001127D" w:rsidRDefault="00AB6191" w:rsidP="00AB6191">
            <w:pPr>
              <w:spacing w:before="60" w:after="60"/>
              <w:jc w:val="center"/>
              <w:rPr>
                <w:b/>
                <w:noProof/>
              </w:rPr>
            </w:pPr>
            <w:r w:rsidRPr="0001127D">
              <w:rPr>
                <w:noProof/>
              </w:rPr>
              <w:br w:type="page"/>
            </w:r>
            <w:r w:rsidR="000724A5" w:rsidRPr="0001127D">
              <w:rPr>
                <w:b/>
                <w:noProof/>
                <w:sz w:val="22"/>
              </w:rPr>
              <w:t>Rubrica del quadro finanziario</w:t>
            </w:r>
            <w:r w:rsidRPr="0001127D">
              <w:rPr>
                <w:noProof/>
              </w:rPr>
              <w:br/>
            </w:r>
            <w:r w:rsidRPr="0001127D">
              <w:rPr>
                <w:b/>
                <w:noProof/>
                <w:sz w:val="22"/>
              </w:rPr>
              <w:t xml:space="preserve">pluriennale </w:t>
            </w:r>
          </w:p>
        </w:tc>
        <w:tc>
          <w:tcPr>
            <w:tcW w:w="1080" w:type="dxa"/>
            <w:shd w:val="thinDiagStripe" w:color="C0C0C0" w:fill="auto"/>
            <w:vAlign w:val="center"/>
          </w:tcPr>
          <w:p w14:paraId="573AD837" w14:textId="77777777" w:rsidR="00AB6191" w:rsidRPr="0001127D" w:rsidRDefault="00AB6191" w:rsidP="00AB6191">
            <w:pPr>
              <w:spacing w:before="60" w:after="60"/>
              <w:jc w:val="center"/>
              <w:rPr>
                <w:noProof/>
              </w:rPr>
            </w:pPr>
            <w:r w:rsidRPr="0001127D">
              <w:rPr>
                <w:b/>
                <w:noProof/>
                <w:sz w:val="22"/>
              </w:rPr>
              <w:t>7</w:t>
            </w:r>
          </w:p>
        </w:tc>
        <w:tc>
          <w:tcPr>
            <w:tcW w:w="7817" w:type="dxa"/>
            <w:vAlign w:val="center"/>
          </w:tcPr>
          <w:p w14:paraId="07859B5D" w14:textId="55ADB03B" w:rsidR="00AB6191" w:rsidRPr="0001127D" w:rsidRDefault="00E64452" w:rsidP="00AB6191">
            <w:pPr>
              <w:spacing w:before="60" w:after="60"/>
              <w:rPr>
                <w:noProof/>
              </w:rPr>
            </w:pPr>
            <w:r w:rsidRPr="0001127D">
              <w:rPr>
                <w:noProof/>
                <w:sz w:val="22"/>
              </w:rPr>
              <w:t>"</w:t>
            </w:r>
            <w:r w:rsidR="00AB6191" w:rsidRPr="0001127D">
              <w:rPr>
                <w:noProof/>
                <w:sz w:val="22"/>
              </w:rPr>
              <w:t>Spese amministrative</w:t>
            </w:r>
            <w:r w:rsidRPr="0001127D">
              <w:rPr>
                <w:noProof/>
                <w:sz w:val="22"/>
              </w:rPr>
              <w:t>"</w:t>
            </w:r>
          </w:p>
        </w:tc>
      </w:tr>
    </w:tbl>
    <w:p w14:paraId="16EA35EC" w14:textId="54EB210C" w:rsidR="00AB6191" w:rsidRPr="0001127D" w:rsidRDefault="00AB6191" w:rsidP="00C5142C">
      <w:pPr>
        <w:spacing w:after="0"/>
        <w:jc w:val="left"/>
        <w:rPr>
          <w:noProof/>
          <w:sz w:val="20"/>
        </w:rPr>
      </w:pPr>
      <w:r w:rsidRPr="0001127D">
        <w:rPr>
          <w:noProof/>
        </w:rPr>
        <w:t xml:space="preserve">Sezione da compilare usando i </w:t>
      </w:r>
      <w:r w:rsidR="00E64452" w:rsidRPr="0001127D">
        <w:rPr>
          <w:noProof/>
        </w:rPr>
        <w:t>"</w:t>
      </w:r>
      <w:r w:rsidRPr="0001127D">
        <w:rPr>
          <w:noProof/>
        </w:rPr>
        <w:t>dati di bilancio di natura amministrativa</w:t>
      </w:r>
      <w:r w:rsidR="00E64452" w:rsidRPr="0001127D">
        <w:rPr>
          <w:noProof/>
        </w:rPr>
        <w:t>"</w:t>
      </w:r>
      <w:r w:rsidRPr="0001127D">
        <w:rPr>
          <w:noProof/>
        </w:rPr>
        <w:t xml:space="preserve">, da introdursi </w:t>
      </w:r>
      <w:r w:rsidRPr="0001127D">
        <w:rPr>
          <w:i/>
          <w:noProof/>
        </w:rPr>
        <w:t>in primis</w:t>
      </w:r>
      <w:r w:rsidRPr="0001127D">
        <w:rPr>
          <w:noProof/>
        </w:rPr>
        <w:t xml:space="preserve"> nell</w:t>
      </w:r>
      <w:r w:rsidR="00E64452" w:rsidRPr="0001127D">
        <w:rPr>
          <w:noProof/>
        </w:rPr>
        <w:t>'</w:t>
      </w:r>
      <w:hyperlink r:id="rId12" w:history="1">
        <w:r w:rsidRPr="0001127D">
          <w:rPr>
            <w:rStyle w:val="Hyperlink"/>
            <w:noProof/>
          </w:rPr>
          <w:t>allegato della scheda finanziaria legislativa</w:t>
        </w:r>
      </w:hyperlink>
      <w:r w:rsidRPr="0001127D">
        <w:rPr>
          <w:noProof/>
        </w:rPr>
        <w:t xml:space="preserve"> (allegato 5 della decisione della Commissione sulle norme interne per l</w:t>
      </w:r>
      <w:r w:rsidR="00E64452" w:rsidRPr="0001127D">
        <w:rPr>
          <w:noProof/>
        </w:rPr>
        <w:t>'</w:t>
      </w:r>
      <w:r w:rsidRPr="0001127D">
        <w:rPr>
          <w:noProof/>
        </w:rPr>
        <w:t xml:space="preserve">esecuzione della sezione </w:t>
      </w:r>
      <w:r w:rsidR="00E64452" w:rsidRPr="0001127D">
        <w:rPr>
          <w:noProof/>
        </w:rPr>
        <w:t>"</w:t>
      </w:r>
      <w:r w:rsidRPr="0001127D">
        <w:rPr>
          <w:noProof/>
        </w:rPr>
        <w:t>Commissione europea</w:t>
      </w:r>
      <w:r w:rsidR="00E64452" w:rsidRPr="0001127D">
        <w:rPr>
          <w:noProof/>
        </w:rPr>
        <w:t>"</w:t>
      </w:r>
      <w:r w:rsidRPr="0001127D">
        <w:rPr>
          <w:noProof/>
        </w:rPr>
        <w:t xml:space="preserve"> del bilancio generale dell</w:t>
      </w:r>
      <w:r w:rsidR="00E64452" w:rsidRPr="0001127D">
        <w:rPr>
          <w:noProof/>
        </w:rPr>
        <w:t>'</w:t>
      </w:r>
      <w:r w:rsidRPr="0001127D">
        <w:rPr>
          <w:noProof/>
        </w:rPr>
        <w:t>Unione europea), caricato su DECIDE a fini di consultazione interservizi.</w:t>
      </w:r>
    </w:p>
    <w:p w14:paraId="322359EE" w14:textId="77777777" w:rsidR="00AB6191" w:rsidRPr="0001127D" w:rsidRDefault="00AB6191" w:rsidP="00C5142C">
      <w:pPr>
        <w:spacing w:after="0"/>
        <w:jc w:val="right"/>
        <w:rPr>
          <w:noProof/>
          <w:sz w:val="20"/>
        </w:rPr>
      </w:pPr>
      <w:r w:rsidRPr="0001127D">
        <w:rPr>
          <w:noProof/>
          <w:sz w:val="20"/>
        </w:rPr>
        <w:t>Mio EUR (al terzo decimale)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B6191" w:rsidRPr="0001127D" w14:paraId="23E2149F" w14:textId="77777777" w:rsidTr="00AB6191">
        <w:tc>
          <w:tcPr>
            <w:tcW w:w="3960" w:type="dxa"/>
            <w:tcBorders>
              <w:top w:val="nil"/>
              <w:left w:val="nil"/>
              <w:right w:val="nil"/>
            </w:tcBorders>
            <w:vAlign w:val="center"/>
          </w:tcPr>
          <w:p w14:paraId="113DC5F9" w14:textId="77777777" w:rsidR="00AB6191" w:rsidRPr="0001127D" w:rsidRDefault="00AB6191" w:rsidP="00AB6191">
            <w:pPr>
              <w:jc w:val="center"/>
              <w:rPr>
                <w:noProof/>
              </w:rPr>
            </w:pPr>
          </w:p>
        </w:tc>
        <w:tc>
          <w:tcPr>
            <w:tcW w:w="1560" w:type="dxa"/>
            <w:tcBorders>
              <w:top w:val="nil"/>
              <w:left w:val="nil"/>
              <w:right w:val="nil"/>
            </w:tcBorders>
          </w:tcPr>
          <w:p w14:paraId="09E09204" w14:textId="77777777" w:rsidR="00AB6191" w:rsidRPr="0001127D" w:rsidRDefault="00AB6191" w:rsidP="00AB6191">
            <w:pPr>
              <w:rPr>
                <w:noProof/>
                <w:sz w:val="20"/>
              </w:rPr>
            </w:pPr>
          </w:p>
        </w:tc>
        <w:tc>
          <w:tcPr>
            <w:tcW w:w="534" w:type="dxa"/>
            <w:tcBorders>
              <w:top w:val="nil"/>
              <w:left w:val="nil"/>
            </w:tcBorders>
          </w:tcPr>
          <w:p w14:paraId="074E4B8B" w14:textId="77777777" w:rsidR="00AB6191" w:rsidRPr="0001127D" w:rsidRDefault="00AB6191" w:rsidP="00AB6191">
            <w:pPr>
              <w:jc w:val="center"/>
              <w:rPr>
                <w:noProof/>
                <w:sz w:val="20"/>
              </w:rPr>
            </w:pPr>
          </w:p>
        </w:tc>
        <w:tc>
          <w:tcPr>
            <w:tcW w:w="868" w:type="dxa"/>
            <w:vAlign w:val="center"/>
          </w:tcPr>
          <w:p w14:paraId="61B4CDCA" w14:textId="77777777" w:rsidR="00AB6191" w:rsidRPr="0001127D" w:rsidRDefault="00AB6191" w:rsidP="00AB6191">
            <w:pPr>
              <w:jc w:val="center"/>
              <w:rPr>
                <w:noProof/>
                <w:sz w:val="20"/>
              </w:rPr>
            </w:pPr>
            <w:r w:rsidRPr="0001127D">
              <w:rPr>
                <w:noProof/>
                <w:sz w:val="20"/>
              </w:rPr>
              <w:t>2025</w:t>
            </w:r>
          </w:p>
        </w:tc>
        <w:tc>
          <w:tcPr>
            <w:tcW w:w="868" w:type="dxa"/>
            <w:vAlign w:val="center"/>
          </w:tcPr>
          <w:p w14:paraId="7047A45C" w14:textId="77777777" w:rsidR="00AB6191" w:rsidRPr="0001127D" w:rsidRDefault="00AB6191" w:rsidP="00AB6191">
            <w:pPr>
              <w:jc w:val="center"/>
              <w:rPr>
                <w:noProof/>
                <w:sz w:val="20"/>
              </w:rPr>
            </w:pPr>
            <w:r w:rsidRPr="0001127D">
              <w:rPr>
                <w:noProof/>
                <w:sz w:val="20"/>
              </w:rPr>
              <w:t>2026</w:t>
            </w:r>
          </w:p>
        </w:tc>
        <w:tc>
          <w:tcPr>
            <w:tcW w:w="868" w:type="dxa"/>
            <w:vAlign w:val="center"/>
          </w:tcPr>
          <w:p w14:paraId="07793F6F" w14:textId="77777777" w:rsidR="00AB6191" w:rsidRPr="0001127D" w:rsidRDefault="00AB6191" w:rsidP="00AB6191">
            <w:pPr>
              <w:jc w:val="center"/>
              <w:rPr>
                <w:noProof/>
                <w:sz w:val="20"/>
              </w:rPr>
            </w:pPr>
            <w:r w:rsidRPr="0001127D">
              <w:rPr>
                <w:noProof/>
                <w:sz w:val="20"/>
              </w:rPr>
              <w:t>2027</w:t>
            </w:r>
          </w:p>
        </w:tc>
        <w:tc>
          <w:tcPr>
            <w:tcW w:w="868" w:type="dxa"/>
            <w:vAlign w:val="center"/>
          </w:tcPr>
          <w:p w14:paraId="518328EA" w14:textId="77777777" w:rsidR="00AB6191" w:rsidRPr="0001127D" w:rsidRDefault="00AB6191" w:rsidP="00AB6191">
            <w:pPr>
              <w:jc w:val="center"/>
              <w:rPr>
                <w:noProof/>
                <w:sz w:val="20"/>
              </w:rPr>
            </w:pPr>
          </w:p>
        </w:tc>
        <w:tc>
          <w:tcPr>
            <w:tcW w:w="2604" w:type="dxa"/>
            <w:gridSpan w:val="3"/>
            <w:vAlign w:val="center"/>
          </w:tcPr>
          <w:p w14:paraId="2FC57D90" w14:textId="274C5A85" w:rsidR="00AB6191" w:rsidRPr="0001127D" w:rsidRDefault="00AB6191" w:rsidP="00AB6191">
            <w:pPr>
              <w:jc w:val="center"/>
              <w:rPr>
                <w:b/>
                <w:noProof/>
                <w:sz w:val="18"/>
              </w:rPr>
            </w:pPr>
            <w:r w:rsidRPr="0001127D">
              <w:rPr>
                <w:noProof/>
                <w:sz w:val="18"/>
              </w:rPr>
              <w:t>Inserire gli anni necessari per evidenziare la durata dell</w:t>
            </w:r>
            <w:r w:rsidR="00E64452" w:rsidRPr="0001127D">
              <w:rPr>
                <w:noProof/>
                <w:sz w:val="18"/>
              </w:rPr>
              <w:t>'</w:t>
            </w:r>
            <w:r w:rsidRPr="0001127D">
              <w:rPr>
                <w:noProof/>
                <w:sz w:val="18"/>
              </w:rPr>
              <w:t xml:space="preserve">incidenza (cfr. punto 1.6) </w:t>
            </w:r>
          </w:p>
        </w:tc>
        <w:tc>
          <w:tcPr>
            <w:tcW w:w="1777" w:type="dxa"/>
            <w:vAlign w:val="center"/>
          </w:tcPr>
          <w:p w14:paraId="466ECE03" w14:textId="77777777" w:rsidR="00AB6191" w:rsidRPr="0001127D" w:rsidRDefault="00AB6191" w:rsidP="00AB6191">
            <w:pPr>
              <w:jc w:val="center"/>
              <w:rPr>
                <w:b/>
                <w:noProof/>
                <w:sz w:val="20"/>
              </w:rPr>
            </w:pPr>
            <w:r w:rsidRPr="0001127D">
              <w:rPr>
                <w:b/>
                <w:noProof/>
                <w:sz w:val="20"/>
              </w:rPr>
              <w:t>TOTALE</w:t>
            </w:r>
          </w:p>
        </w:tc>
      </w:tr>
      <w:tr w:rsidR="00AB6191" w:rsidRPr="0001127D" w14:paraId="6534AE9F" w14:textId="77777777" w:rsidTr="00AB6191">
        <w:trPr>
          <w:gridAfter w:val="10"/>
          <w:wAfter w:w="9947" w:type="dxa"/>
        </w:trPr>
        <w:tc>
          <w:tcPr>
            <w:tcW w:w="3960" w:type="dxa"/>
            <w:vAlign w:val="center"/>
          </w:tcPr>
          <w:p w14:paraId="333DCED6" w14:textId="77777777" w:rsidR="00AB6191" w:rsidRPr="0001127D" w:rsidRDefault="00AB6191" w:rsidP="00AB6191">
            <w:pPr>
              <w:spacing w:before="60" w:after="60"/>
              <w:jc w:val="center"/>
              <w:rPr>
                <w:noProof/>
              </w:rPr>
            </w:pPr>
            <w:r w:rsidRPr="0001127D">
              <w:rPr>
                <w:noProof/>
                <w:sz w:val="22"/>
              </w:rPr>
              <w:t>DG JUST</w:t>
            </w:r>
          </w:p>
        </w:tc>
      </w:tr>
      <w:tr w:rsidR="00AB6191" w:rsidRPr="0001127D" w14:paraId="28C02966" w14:textId="77777777" w:rsidTr="00AB6191">
        <w:trPr>
          <w:trHeight w:val="313"/>
        </w:trPr>
        <w:tc>
          <w:tcPr>
            <w:tcW w:w="6054" w:type="dxa"/>
            <w:gridSpan w:val="3"/>
            <w:vAlign w:val="center"/>
          </w:tcPr>
          <w:p w14:paraId="311C0385" w14:textId="77777777" w:rsidR="00AB6191" w:rsidRPr="0001127D" w:rsidRDefault="00AB6191" w:rsidP="00AB6191">
            <w:pPr>
              <w:spacing w:before="20" w:after="20"/>
              <w:rPr>
                <w:noProof/>
              </w:rPr>
            </w:pPr>
            <w:r w:rsidRPr="0001127D">
              <w:rPr>
                <w:rFonts w:ascii="Wingdings" w:hAnsi="Wingdings"/>
                <w:noProof/>
                <w:sz w:val="22"/>
              </w:rPr>
              <w:t></w:t>
            </w:r>
            <w:r w:rsidRPr="0001127D">
              <w:rPr>
                <w:noProof/>
                <w:sz w:val="22"/>
              </w:rPr>
              <w:t xml:space="preserve"> Risorse umane </w:t>
            </w:r>
          </w:p>
        </w:tc>
        <w:tc>
          <w:tcPr>
            <w:tcW w:w="868" w:type="dxa"/>
            <w:vAlign w:val="center"/>
          </w:tcPr>
          <w:p w14:paraId="1ABFE587" w14:textId="77777777" w:rsidR="00AB6191" w:rsidRPr="0001127D" w:rsidRDefault="00AB6191" w:rsidP="00AB6191">
            <w:pPr>
              <w:spacing w:before="20" w:after="20"/>
              <w:jc w:val="right"/>
              <w:rPr>
                <w:noProof/>
                <w:sz w:val="20"/>
              </w:rPr>
            </w:pPr>
            <w:r w:rsidRPr="0001127D">
              <w:rPr>
                <w:noProof/>
                <w:sz w:val="20"/>
              </w:rPr>
              <w:t>0,385</w:t>
            </w:r>
          </w:p>
        </w:tc>
        <w:tc>
          <w:tcPr>
            <w:tcW w:w="868" w:type="dxa"/>
            <w:vAlign w:val="center"/>
          </w:tcPr>
          <w:p w14:paraId="4ED52836" w14:textId="77777777" w:rsidR="00AB6191" w:rsidRPr="0001127D" w:rsidRDefault="00AB6191" w:rsidP="00AB6191">
            <w:pPr>
              <w:spacing w:before="20" w:after="20"/>
              <w:jc w:val="right"/>
              <w:rPr>
                <w:noProof/>
                <w:sz w:val="20"/>
              </w:rPr>
            </w:pPr>
            <w:r w:rsidRPr="0001127D">
              <w:rPr>
                <w:noProof/>
                <w:sz w:val="20"/>
              </w:rPr>
              <w:t>0,385</w:t>
            </w:r>
          </w:p>
        </w:tc>
        <w:tc>
          <w:tcPr>
            <w:tcW w:w="868" w:type="dxa"/>
            <w:vAlign w:val="center"/>
          </w:tcPr>
          <w:p w14:paraId="627473FC" w14:textId="77777777" w:rsidR="00AB6191" w:rsidRPr="0001127D" w:rsidRDefault="00AB6191" w:rsidP="00AB6191">
            <w:pPr>
              <w:spacing w:before="20" w:after="20"/>
              <w:jc w:val="right"/>
              <w:rPr>
                <w:noProof/>
                <w:sz w:val="20"/>
              </w:rPr>
            </w:pPr>
            <w:r w:rsidRPr="0001127D">
              <w:rPr>
                <w:noProof/>
                <w:sz w:val="20"/>
              </w:rPr>
              <w:t>0,385</w:t>
            </w:r>
          </w:p>
        </w:tc>
        <w:tc>
          <w:tcPr>
            <w:tcW w:w="868" w:type="dxa"/>
            <w:vAlign w:val="center"/>
          </w:tcPr>
          <w:p w14:paraId="2892789E" w14:textId="77777777" w:rsidR="00AB6191" w:rsidRPr="0001127D" w:rsidRDefault="00AB6191" w:rsidP="00AB6191">
            <w:pPr>
              <w:spacing w:before="20" w:after="20"/>
              <w:jc w:val="right"/>
              <w:rPr>
                <w:noProof/>
                <w:sz w:val="20"/>
              </w:rPr>
            </w:pPr>
          </w:p>
        </w:tc>
        <w:tc>
          <w:tcPr>
            <w:tcW w:w="868" w:type="dxa"/>
            <w:vAlign w:val="center"/>
          </w:tcPr>
          <w:p w14:paraId="162A18B9" w14:textId="77777777" w:rsidR="00AB6191" w:rsidRPr="0001127D" w:rsidRDefault="00AB6191" w:rsidP="00AB6191">
            <w:pPr>
              <w:spacing w:before="20" w:after="20"/>
              <w:jc w:val="right"/>
              <w:rPr>
                <w:noProof/>
                <w:sz w:val="20"/>
              </w:rPr>
            </w:pPr>
          </w:p>
        </w:tc>
        <w:tc>
          <w:tcPr>
            <w:tcW w:w="868" w:type="dxa"/>
            <w:vAlign w:val="center"/>
          </w:tcPr>
          <w:p w14:paraId="68032415" w14:textId="77777777" w:rsidR="00AB6191" w:rsidRPr="0001127D" w:rsidRDefault="00AB6191" w:rsidP="00AB6191">
            <w:pPr>
              <w:spacing w:before="20" w:after="20"/>
              <w:jc w:val="right"/>
              <w:rPr>
                <w:noProof/>
                <w:sz w:val="20"/>
              </w:rPr>
            </w:pPr>
          </w:p>
        </w:tc>
        <w:tc>
          <w:tcPr>
            <w:tcW w:w="868" w:type="dxa"/>
            <w:vAlign w:val="center"/>
          </w:tcPr>
          <w:p w14:paraId="5B8C2048" w14:textId="77777777" w:rsidR="00AB6191" w:rsidRPr="0001127D" w:rsidRDefault="00AB6191" w:rsidP="00AB6191">
            <w:pPr>
              <w:spacing w:before="20" w:after="20"/>
              <w:jc w:val="right"/>
              <w:rPr>
                <w:b/>
                <w:noProof/>
                <w:sz w:val="20"/>
              </w:rPr>
            </w:pPr>
          </w:p>
        </w:tc>
        <w:tc>
          <w:tcPr>
            <w:tcW w:w="1777" w:type="dxa"/>
            <w:vAlign w:val="center"/>
          </w:tcPr>
          <w:p w14:paraId="29BF3E27" w14:textId="77777777" w:rsidR="00AB6191" w:rsidRPr="0001127D" w:rsidRDefault="00AB6191" w:rsidP="00AB6191">
            <w:pPr>
              <w:spacing w:before="20" w:after="20"/>
              <w:jc w:val="right"/>
              <w:rPr>
                <w:b/>
                <w:noProof/>
                <w:sz w:val="20"/>
              </w:rPr>
            </w:pPr>
            <w:r w:rsidRPr="0001127D">
              <w:rPr>
                <w:b/>
                <w:noProof/>
                <w:sz w:val="20"/>
              </w:rPr>
              <w:t>1,155</w:t>
            </w:r>
          </w:p>
        </w:tc>
      </w:tr>
      <w:tr w:rsidR="00AB6191" w:rsidRPr="0001127D" w14:paraId="71D6B761" w14:textId="77777777" w:rsidTr="00AB6191">
        <w:trPr>
          <w:trHeight w:val="351"/>
        </w:trPr>
        <w:tc>
          <w:tcPr>
            <w:tcW w:w="6054" w:type="dxa"/>
            <w:gridSpan w:val="3"/>
            <w:vAlign w:val="center"/>
          </w:tcPr>
          <w:p w14:paraId="6F00EF9D" w14:textId="77777777" w:rsidR="00AB6191" w:rsidRPr="0001127D" w:rsidRDefault="00AB6191" w:rsidP="00AB6191">
            <w:pPr>
              <w:spacing w:before="20" w:after="20"/>
              <w:rPr>
                <w:noProof/>
              </w:rPr>
            </w:pPr>
            <w:r w:rsidRPr="0001127D">
              <w:rPr>
                <w:rFonts w:ascii="Wingdings" w:hAnsi="Wingdings"/>
                <w:noProof/>
                <w:sz w:val="22"/>
              </w:rPr>
              <w:t>□</w:t>
            </w:r>
            <w:r w:rsidRPr="0001127D">
              <w:rPr>
                <w:noProof/>
                <w:sz w:val="22"/>
              </w:rPr>
              <w:t xml:space="preserve"> Altre spese amministrative </w:t>
            </w:r>
          </w:p>
        </w:tc>
        <w:tc>
          <w:tcPr>
            <w:tcW w:w="868" w:type="dxa"/>
            <w:vAlign w:val="center"/>
          </w:tcPr>
          <w:p w14:paraId="11F557C5" w14:textId="77777777" w:rsidR="00AB6191" w:rsidRPr="0001127D" w:rsidRDefault="00AB6191" w:rsidP="00AB6191">
            <w:pPr>
              <w:spacing w:before="20" w:after="20"/>
              <w:jc w:val="right"/>
              <w:rPr>
                <w:noProof/>
                <w:sz w:val="20"/>
              </w:rPr>
            </w:pPr>
          </w:p>
        </w:tc>
        <w:tc>
          <w:tcPr>
            <w:tcW w:w="868" w:type="dxa"/>
            <w:vAlign w:val="center"/>
          </w:tcPr>
          <w:p w14:paraId="0C34CC41" w14:textId="77777777" w:rsidR="00AB6191" w:rsidRPr="0001127D" w:rsidRDefault="00AB6191" w:rsidP="00AB6191">
            <w:pPr>
              <w:spacing w:before="20" w:after="20"/>
              <w:jc w:val="right"/>
              <w:rPr>
                <w:noProof/>
                <w:sz w:val="20"/>
              </w:rPr>
            </w:pPr>
          </w:p>
        </w:tc>
        <w:tc>
          <w:tcPr>
            <w:tcW w:w="868" w:type="dxa"/>
            <w:vAlign w:val="center"/>
          </w:tcPr>
          <w:p w14:paraId="608C891E" w14:textId="77777777" w:rsidR="00AB6191" w:rsidRPr="0001127D" w:rsidRDefault="00AB6191" w:rsidP="00AB6191">
            <w:pPr>
              <w:spacing w:before="20" w:after="20"/>
              <w:jc w:val="right"/>
              <w:rPr>
                <w:noProof/>
                <w:sz w:val="20"/>
              </w:rPr>
            </w:pPr>
          </w:p>
        </w:tc>
        <w:tc>
          <w:tcPr>
            <w:tcW w:w="868" w:type="dxa"/>
            <w:vAlign w:val="center"/>
          </w:tcPr>
          <w:p w14:paraId="0A7523E3" w14:textId="77777777" w:rsidR="00AB6191" w:rsidRPr="0001127D" w:rsidRDefault="00AB6191" w:rsidP="00AB6191">
            <w:pPr>
              <w:spacing w:before="20" w:after="20"/>
              <w:jc w:val="right"/>
              <w:rPr>
                <w:noProof/>
                <w:sz w:val="20"/>
              </w:rPr>
            </w:pPr>
          </w:p>
        </w:tc>
        <w:tc>
          <w:tcPr>
            <w:tcW w:w="868" w:type="dxa"/>
            <w:vAlign w:val="center"/>
          </w:tcPr>
          <w:p w14:paraId="4AEE62BA" w14:textId="77777777" w:rsidR="00AB6191" w:rsidRPr="0001127D" w:rsidRDefault="00AB6191" w:rsidP="00AB6191">
            <w:pPr>
              <w:spacing w:before="20" w:after="20"/>
              <w:jc w:val="right"/>
              <w:rPr>
                <w:noProof/>
                <w:sz w:val="20"/>
              </w:rPr>
            </w:pPr>
          </w:p>
        </w:tc>
        <w:tc>
          <w:tcPr>
            <w:tcW w:w="868" w:type="dxa"/>
            <w:vAlign w:val="center"/>
          </w:tcPr>
          <w:p w14:paraId="364E5A4E" w14:textId="77777777" w:rsidR="00AB6191" w:rsidRPr="0001127D" w:rsidRDefault="00AB6191" w:rsidP="00AB6191">
            <w:pPr>
              <w:spacing w:before="20" w:after="20"/>
              <w:jc w:val="right"/>
              <w:rPr>
                <w:noProof/>
                <w:sz w:val="20"/>
              </w:rPr>
            </w:pPr>
          </w:p>
        </w:tc>
        <w:tc>
          <w:tcPr>
            <w:tcW w:w="868" w:type="dxa"/>
            <w:vAlign w:val="center"/>
          </w:tcPr>
          <w:p w14:paraId="76EB28EA" w14:textId="77777777" w:rsidR="00AB6191" w:rsidRPr="0001127D" w:rsidRDefault="00AB6191" w:rsidP="00AB6191">
            <w:pPr>
              <w:spacing w:before="20" w:after="20"/>
              <w:jc w:val="right"/>
              <w:rPr>
                <w:noProof/>
                <w:sz w:val="20"/>
              </w:rPr>
            </w:pPr>
          </w:p>
        </w:tc>
        <w:tc>
          <w:tcPr>
            <w:tcW w:w="1777" w:type="dxa"/>
            <w:vAlign w:val="center"/>
          </w:tcPr>
          <w:p w14:paraId="368D9D42" w14:textId="77777777" w:rsidR="00AB6191" w:rsidRPr="0001127D" w:rsidRDefault="00AB6191" w:rsidP="00AB6191">
            <w:pPr>
              <w:spacing w:before="20" w:after="20"/>
              <w:jc w:val="right"/>
              <w:rPr>
                <w:noProof/>
                <w:sz w:val="20"/>
              </w:rPr>
            </w:pPr>
          </w:p>
        </w:tc>
      </w:tr>
      <w:tr w:rsidR="00AB6191" w:rsidRPr="0001127D" w14:paraId="60036431" w14:textId="77777777" w:rsidTr="00AB6191">
        <w:tc>
          <w:tcPr>
            <w:tcW w:w="3960" w:type="dxa"/>
            <w:vAlign w:val="center"/>
          </w:tcPr>
          <w:p w14:paraId="5545EC3D" w14:textId="77777777" w:rsidR="00AB6191" w:rsidRPr="0001127D" w:rsidRDefault="00AB6191" w:rsidP="00AB6191">
            <w:pPr>
              <w:jc w:val="center"/>
              <w:rPr>
                <w:b/>
                <w:noProof/>
              </w:rPr>
            </w:pPr>
            <w:r w:rsidRPr="0001127D">
              <w:rPr>
                <w:b/>
                <w:noProof/>
                <w:sz w:val="22"/>
              </w:rPr>
              <w:t xml:space="preserve">TOTALE DG </w:t>
            </w:r>
            <w:r w:rsidRPr="0001127D">
              <w:rPr>
                <w:noProof/>
                <w:sz w:val="22"/>
              </w:rPr>
              <w:t>JUST</w:t>
            </w:r>
          </w:p>
        </w:tc>
        <w:tc>
          <w:tcPr>
            <w:tcW w:w="2094" w:type="dxa"/>
            <w:gridSpan w:val="2"/>
            <w:vAlign w:val="center"/>
          </w:tcPr>
          <w:p w14:paraId="7684BE7E" w14:textId="77777777" w:rsidR="00AB6191" w:rsidRPr="0001127D" w:rsidRDefault="00AB6191" w:rsidP="00AB6191">
            <w:pPr>
              <w:rPr>
                <w:noProof/>
                <w:sz w:val="14"/>
              </w:rPr>
            </w:pPr>
            <w:r w:rsidRPr="0001127D">
              <w:rPr>
                <w:noProof/>
                <w:sz w:val="18"/>
              </w:rPr>
              <w:t xml:space="preserve">Stanziamenti </w:t>
            </w:r>
          </w:p>
        </w:tc>
        <w:tc>
          <w:tcPr>
            <w:tcW w:w="868" w:type="dxa"/>
            <w:vAlign w:val="center"/>
          </w:tcPr>
          <w:p w14:paraId="5D8CDBE9" w14:textId="77777777" w:rsidR="00AB6191" w:rsidRPr="0001127D" w:rsidRDefault="00AB6191" w:rsidP="00AB6191">
            <w:pPr>
              <w:spacing w:before="60" w:after="60"/>
              <w:jc w:val="right"/>
              <w:rPr>
                <w:noProof/>
                <w:sz w:val="20"/>
              </w:rPr>
            </w:pPr>
            <w:r w:rsidRPr="0001127D">
              <w:rPr>
                <w:noProof/>
                <w:sz w:val="20"/>
              </w:rPr>
              <w:t>0,385</w:t>
            </w:r>
          </w:p>
        </w:tc>
        <w:tc>
          <w:tcPr>
            <w:tcW w:w="868" w:type="dxa"/>
            <w:vAlign w:val="center"/>
          </w:tcPr>
          <w:p w14:paraId="7FDD6876" w14:textId="77777777" w:rsidR="00AB6191" w:rsidRPr="0001127D" w:rsidRDefault="00AB6191" w:rsidP="00AB6191">
            <w:pPr>
              <w:spacing w:before="20" w:after="20"/>
              <w:jc w:val="right"/>
              <w:rPr>
                <w:noProof/>
                <w:sz w:val="20"/>
              </w:rPr>
            </w:pPr>
            <w:r w:rsidRPr="0001127D">
              <w:rPr>
                <w:noProof/>
                <w:sz w:val="20"/>
              </w:rPr>
              <w:t>0,385</w:t>
            </w:r>
          </w:p>
        </w:tc>
        <w:tc>
          <w:tcPr>
            <w:tcW w:w="868" w:type="dxa"/>
            <w:vAlign w:val="center"/>
          </w:tcPr>
          <w:p w14:paraId="6BFD6981" w14:textId="77777777" w:rsidR="00AB6191" w:rsidRPr="0001127D" w:rsidRDefault="00AB6191" w:rsidP="00AB6191">
            <w:pPr>
              <w:spacing w:before="20" w:after="20"/>
              <w:jc w:val="right"/>
              <w:rPr>
                <w:noProof/>
                <w:sz w:val="20"/>
              </w:rPr>
            </w:pPr>
            <w:r w:rsidRPr="0001127D">
              <w:rPr>
                <w:noProof/>
                <w:sz w:val="20"/>
              </w:rPr>
              <w:t>0,385</w:t>
            </w:r>
          </w:p>
        </w:tc>
        <w:tc>
          <w:tcPr>
            <w:tcW w:w="868" w:type="dxa"/>
            <w:vAlign w:val="center"/>
          </w:tcPr>
          <w:p w14:paraId="73C576C4" w14:textId="77777777" w:rsidR="00AB6191" w:rsidRPr="0001127D" w:rsidRDefault="00AB6191" w:rsidP="00AB6191">
            <w:pPr>
              <w:spacing w:before="20" w:after="20"/>
              <w:jc w:val="right"/>
              <w:rPr>
                <w:noProof/>
                <w:sz w:val="20"/>
              </w:rPr>
            </w:pPr>
          </w:p>
        </w:tc>
        <w:tc>
          <w:tcPr>
            <w:tcW w:w="868" w:type="dxa"/>
            <w:vAlign w:val="center"/>
          </w:tcPr>
          <w:p w14:paraId="796A359C" w14:textId="77777777" w:rsidR="00AB6191" w:rsidRPr="0001127D" w:rsidRDefault="00AB6191" w:rsidP="00AB6191">
            <w:pPr>
              <w:spacing w:before="20" w:after="20"/>
              <w:jc w:val="right"/>
              <w:rPr>
                <w:noProof/>
                <w:sz w:val="20"/>
              </w:rPr>
            </w:pPr>
          </w:p>
        </w:tc>
        <w:tc>
          <w:tcPr>
            <w:tcW w:w="868" w:type="dxa"/>
            <w:vAlign w:val="center"/>
          </w:tcPr>
          <w:p w14:paraId="7A979DFA" w14:textId="77777777" w:rsidR="00AB6191" w:rsidRPr="0001127D" w:rsidRDefault="00AB6191" w:rsidP="00AB6191">
            <w:pPr>
              <w:spacing w:before="20" w:after="20"/>
              <w:jc w:val="right"/>
              <w:rPr>
                <w:noProof/>
                <w:sz w:val="20"/>
              </w:rPr>
            </w:pPr>
          </w:p>
        </w:tc>
        <w:tc>
          <w:tcPr>
            <w:tcW w:w="868" w:type="dxa"/>
            <w:vAlign w:val="center"/>
          </w:tcPr>
          <w:p w14:paraId="259466D9" w14:textId="77777777" w:rsidR="00AB6191" w:rsidRPr="0001127D" w:rsidRDefault="00AB6191" w:rsidP="00AB6191">
            <w:pPr>
              <w:spacing w:before="20" w:after="20"/>
              <w:jc w:val="right"/>
              <w:rPr>
                <w:noProof/>
                <w:sz w:val="20"/>
              </w:rPr>
            </w:pPr>
          </w:p>
        </w:tc>
        <w:tc>
          <w:tcPr>
            <w:tcW w:w="1777" w:type="dxa"/>
            <w:vAlign w:val="center"/>
          </w:tcPr>
          <w:p w14:paraId="493A6361" w14:textId="77777777" w:rsidR="00AB6191" w:rsidRPr="0001127D" w:rsidRDefault="00AB6191" w:rsidP="00AB6191">
            <w:pPr>
              <w:spacing w:before="20" w:after="20"/>
              <w:jc w:val="right"/>
              <w:rPr>
                <w:b/>
                <w:bCs/>
                <w:noProof/>
                <w:sz w:val="20"/>
              </w:rPr>
            </w:pPr>
            <w:r w:rsidRPr="0001127D">
              <w:rPr>
                <w:b/>
                <w:noProof/>
                <w:sz w:val="20"/>
              </w:rPr>
              <w:t>1,155</w:t>
            </w:r>
          </w:p>
        </w:tc>
      </w:tr>
    </w:tbl>
    <w:p w14:paraId="7D27917A" w14:textId="77777777" w:rsidR="00AB6191" w:rsidRPr="0001127D" w:rsidRDefault="00AB6191" w:rsidP="00C5142C">
      <w:pPr>
        <w:spacing w:before="0" w:after="0"/>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AB6191" w:rsidRPr="0001127D" w14:paraId="39E6A5FB" w14:textId="77777777" w:rsidTr="00AB6191">
        <w:tc>
          <w:tcPr>
            <w:tcW w:w="3960" w:type="dxa"/>
            <w:shd w:val="thinDiagStripe" w:color="C0C0C0" w:fill="auto"/>
            <w:vAlign w:val="center"/>
          </w:tcPr>
          <w:p w14:paraId="7204E1D0" w14:textId="77777777" w:rsidR="00AB6191" w:rsidRPr="0001127D" w:rsidRDefault="00AB6191" w:rsidP="00AB6191">
            <w:pPr>
              <w:jc w:val="center"/>
              <w:rPr>
                <w:b/>
                <w:noProof/>
              </w:rPr>
            </w:pPr>
            <w:r w:rsidRPr="0001127D">
              <w:rPr>
                <w:b/>
                <w:noProof/>
                <w:sz w:val="22"/>
              </w:rPr>
              <w:t>TOTALE stanziamenti</w:t>
            </w:r>
            <w:r w:rsidRPr="0001127D">
              <w:rPr>
                <w:noProof/>
              </w:rPr>
              <w:t xml:space="preserve"> </w:t>
            </w:r>
            <w:r w:rsidRPr="0001127D">
              <w:rPr>
                <w:noProof/>
              </w:rPr>
              <w:br/>
            </w:r>
            <w:r w:rsidRPr="0001127D">
              <w:rPr>
                <w:b/>
                <w:noProof/>
                <w:sz w:val="22"/>
              </w:rPr>
              <w:t>per la RUBRICA 7</w:t>
            </w:r>
            <w:r w:rsidRPr="0001127D">
              <w:rPr>
                <w:noProof/>
              </w:rPr>
              <w:t xml:space="preserve"> </w:t>
            </w:r>
            <w:r w:rsidRPr="0001127D">
              <w:rPr>
                <w:noProof/>
              </w:rPr>
              <w:br/>
            </w:r>
            <w:r w:rsidRPr="0001127D">
              <w:rPr>
                <w:noProof/>
                <w:sz w:val="22"/>
              </w:rPr>
              <w:t>del quadro finanziario pluriennale</w:t>
            </w:r>
            <w:r w:rsidRPr="0001127D">
              <w:rPr>
                <w:b/>
                <w:noProof/>
                <w:sz w:val="22"/>
              </w:rPr>
              <w:t xml:space="preserve"> </w:t>
            </w:r>
          </w:p>
        </w:tc>
        <w:tc>
          <w:tcPr>
            <w:tcW w:w="2094" w:type="dxa"/>
            <w:vAlign w:val="center"/>
          </w:tcPr>
          <w:p w14:paraId="4057E95D" w14:textId="77777777" w:rsidR="00AB6191" w:rsidRPr="0001127D" w:rsidRDefault="00AB6191" w:rsidP="00AB6191">
            <w:pPr>
              <w:spacing w:before="40" w:after="40"/>
              <w:rPr>
                <w:noProof/>
              </w:rPr>
            </w:pPr>
            <w:r w:rsidRPr="0001127D">
              <w:rPr>
                <w:noProof/>
                <w:sz w:val="18"/>
              </w:rPr>
              <w:t>(Totale impegni = Totale pagamenti)</w:t>
            </w:r>
          </w:p>
        </w:tc>
        <w:tc>
          <w:tcPr>
            <w:tcW w:w="868" w:type="dxa"/>
            <w:vAlign w:val="center"/>
          </w:tcPr>
          <w:p w14:paraId="07A077EB" w14:textId="77777777" w:rsidR="00AB6191" w:rsidRPr="0001127D" w:rsidRDefault="00AB6191" w:rsidP="00AB6191">
            <w:pPr>
              <w:spacing w:before="20" w:after="20"/>
              <w:jc w:val="right"/>
              <w:rPr>
                <w:noProof/>
                <w:sz w:val="20"/>
              </w:rPr>
            </w:pPr>
            <w:r w:rsidRPr="0001127D">
              <w:rPr>
                <w:noProof/>
                <w:sz w:val="20"/>
              </w:rPr>
              <w:t>0,385</w:t>
            </w:r>
          </w:p>
        </w:tc>
        <w:tc>
          <w:tcPr>
            <w:tcW w:w="868" w:type="dxa"/>
            <w:vAlign w:val="center"/>
          </w:tcPr>
          <w:p w14:paraId="322531C3" w14:textId="77777777" w:rsidR="00AB6191" w:rsidRPr="0001127D" w:rsidRDefault="00AB6191" w:rsidP="00AB6191">
            <w:pPr>
              <w:spacing w:before="20" w:after="20"/>
              <w:jc w:val="right"/>
              <w:rPr>
                <w:noProof/>
                <w:sz w:val="20"/>
              </w:rPr>
            </w:pPr>
            <w:r w:rsidRPr="0001127D">
              <w:rPr>
                <w:noProof/>
                <w:sz w:val="20"/>
              </w:rPr>
              <w:t>0,385</w:t>
            </w:r>
          </w:p>
        </w:tc>
        <w:tc>
          <w:tcPr>
            <w:tcW w:w="868" w:type="dxa"/>
            <w:vAlign w:val="center"/>
          </w:tcPr>
          <w:p w14:paraId="57F2D2F1" w14:textId="77777777" w:rsidR="00AB6191" w:rsidRPr="0001127D" w:rsidRDefault="00AB6191" w:rsidP="00AB6191">
            <w:pPr>
              <w:spacing w:before="20" w:after="20"/>
              <w:jc w:val="right"/>
              <w:rPr>
                <w:noProof/>
                <w:sz w:val="20"/>
              </w:rPr>
            </w:pPr>
            <w:r w:rsidRPr="0001127D">
              <w:rPr>
                <w:noProof/>
                <w:sz w:val="20"/>
              </w:rPr>
              <w:t>0,385</w:t>
            </w:r>
          </w:p>
        </w:tc>
        <w:tc>
          <w:tcPr>
            <w:tcW w:w="868" w:type="dxa"/>
            <w:vAlign w:val="center"/>
          </w:tcPr>
          <w:p w14:paraId="19933DDF" w14:textId="77777777" w:rsidR="00AB6191" w:rsidRPr="0001127D" w:rsidRDefault="00AB6191" w:rsidP="00AB6191">
            <w:pPr>
              <w:spacing w:before="20" w:after="20"/>
              <w:jc w:val="right"/>
              <w:rPr>
                <w:noProof/>
                <w:sz w:val="20"/>
              </w:rPr>
            </w:pPr>
          </w:p>
        </w:tc>
        <w:tc>
          <w:tcPr>
            <w:tcW w:w="868" w:type="dxa"/>
            <w:vAlign w:val="center"/>
          </w:tcPr>
          <w:p w14:paraId="40B95114" w14:textId="77777777" w:rsidR="00AB6191" w:rsidRPr="0001127D" w:rsidRDefault="00AB6191" w:rsidP="00AB6191">
            <w:pPr>
              <w:spacing w:before="20" w:after="20"/>
              <w:jc w:val="right"/>
              <w:rPr>
                <w:noProof/>
                <w:sz w:val="20"/>
              </w:rPr>
            </w:pPr>
          </w:p>
        </w:tc>
        <w:tc>
          <w:tcPr>
            <w:tcW w:w="868" w:type="dxa"/>
            <w:vAlign w:val="center"/>
          </w:tcPr>
          <w:p w14:paraId="20684788" w14:textId="77777777" w:rsidR="00AB6191" w:rsidRPr="0001127D" w:rsidRDefault="00AB6191" w:rsidP="00AB6191">
            <w:pPr>
              <w:spacing w:before="20" w:after="20"/>
              <w:jc w:val="right"/>
              <w:rPr>
                <w:noProof/>
                <w:sz w:val="20"/>
              </w:rPr>
            </w:pPr>
          </w:p>
        </w:tc>
        <w:tc>
          <w:tcPr>
            <w:tcW w:w="868" w:type="dxa"/>
            <w:vAlign w:val="center"/>
          </w:tcPr>
          <w:p w14:paraId="5B8CE906" w14:textId="77777777" w:rsidR="00AB6191" w:rsidRPr="0001127D" w:rsidRDefault="00AB6191" w:rsidP="00AB6191">
            <w:pPr>
              <w:spacing w:before="20" w:after="20"/>
              <w:jc w:val="right"/>
              <w:rPr>
                <w:b/>
                <w:noProof/>
                <w:sz w:val="20"/>
              </w:rPr>
            </w:pPr>
          </w:p>
        </w:tc>
        <w:tc>
          <w:tcPr>
            <w:tcW w:w="1777" w:type="dxa"/>
            <w:vAlign w:val="center"/>
          </w:tcPr>
          <w:p w14:paraId="47D462FF" w14:textId="77777777" w:rsidR="00AB6191" w:rsidRPr="0001127D" w:rsidRDefault="00AB6191" w:rsidP="00AB6191">
            <w:pPr>
              <w:spacing w:before="20" w:after="20"/>
              <w:jc w:val="right"/>
              <w:rPr>
                <w:b/>
                <w:bCs/>
                <w:noProof/>
                <w:sz w:val="20"/>
              </w:rPr>
            </w:pPr>
            <w:r w:rsidRPr="0001127D">
              <w:rPr>
                <w:b/>
                <w:noProof/>
                <w:sz w:val="20"/>
              </w:rPr>
              <w:t>1,155</w:t>
            </w:r>
          </w:p>
        </w:tc>
      </w:tr>
    </w:tbl>
    <w:p w14:paraId="607A63C0" w14:textId="77777777" w:rsidR="00AB6191" w:rsidRPr="0001127D" w:rsidRDefault="00AB6191" w:rsidP="00AB6191">
      <w:pPr>
        <w:jc w:val="right"/>
        <w:rPr>
          <w:noProof/>
          <w:sz w:val="20"/>
        </w:rPr>
      </w:pPr>
      <w:r w:rsidRPr="0001127D">
        <w:rPr>
          <w:noProof/>
          <w:sz w:val="20"/>
        </w:rPr>
        <w:t>Mio EUR (al terzo decimale)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AB6191" w:rsidRPr="0001127D" w14:paraId="60FD3FD6" w14:textId="77777777" w:rsidTr="00AB6191">
        <w:tc>
          <w:tcPr>
            <w:tcW w:w="3960" w:type="dxa"/>
            <w:tcBorders>
              <w:top w:val="nil"/>
              <w:left w:val="nil"/>
              <w:right w:val="nil"/>
            </w:tcBorders>
            <w:vAlign w:val="center"/>
          </w:tcPr>
          <w:p w14:paraId="5251A739" w14:textId="77777777" w:rsidR="00AB6191" w:rsidRPr="0001127D" w:rsidRDefault="00AB6191" w:rsidP="00AB6191">
            <w:pPr>
              <w:jc w:val="center"/>
              <w:rPr>
                <w:noProof/>
              </w:rPr>
            </w:pPr>
          </w:p>
        </w:tc>
        <w:tc>
          <w:tcPr>
            <w:tcW w:w="1560" w:type="dxa"/>
            <w:tcBorders>
              <w:top w:val="nil"/>
              <w:left w:val="nil"/>
              <w:right w:val="nil"/>
            </w:tcBorders>
          </w:tcPr>
          <w:p w14:paraId="218913D2" w14:textId="77777777" w:rsidR="00AB6191" w:rsidRPr="0001127D" w:rsidRDefault="00AB6191" w:rsidP="00AB6191">
            <w:pPr>
              <w:rPr>
                <w:noProof/>
                <w:sz w:val="20"/>
              </w:rPr>
            </w:pPr>
          </w:p>
        </w:tc>
        <w:tc>
          <w:tcPr>
            <w:tcW w:w="534" w:type="dxa"/>
            <w:tcBorders>
              <w:top w:val="nil"/>
              <w:left w:val="nil"/>
            </w:tcBorders>
          </w:tcPr>
          <w:p w14:paraId="22CA1829" w14:textId="77777777" w:rsidR="00AB6191" w:rsidRPr="0001127D" w:rsidRDefault="00AB6191" w:rsidP="00AB6191">
            <w:pPr>
              <w:jc w:val="center"/>
              <w:rPr>
                <w:noProof/>
                <w:sz w:val="20"/>
              </w:rPr>
            </w:pPr>
          </w:p>
        </w:tc>
        <w:tc>
          <w:tcPr>
            <w:tcW w:w="868" w:type="dxa"/>
            <w:vAlign w:val="center"/>
          </w:tcPr>
          <w:p w14:paraId="3E0DB190" w14:textId="77777777" w:rsidR="00AB6191" w:rsidRPr="0001127D" w:rsidRDefault="00AB6191" w:rsidP="00AB6191">
            <w:pPr>
              <w:jc w:val="center"/>
              <w:rPr>
                <w:noProof/>
                <w:sz w:val="20"/>
              </w:rPr>
            </w:pPr>
            <w:r w:rsidRPr="0001127D">
              <w:rPr>
                <w:noProof/>
                <w:sz w:val="20"/>
              </w:rPr>
              <w:t>2025</w:t>
            </w:r>
          </w:p>
        </w:tc>
        <w:tc>
          <w:tcPr>
            <w:tcW w:w="868" w:type="dxa"/>
            <w:vAlign w:val="center"/>
          </w:tcPr>
          <w:p w14:paraId="2E61C4E5" w14:textId="77777777" w:rsidR="00AB6191" w:rsidRPr="0001127D" w:rsidRDefault="00AB6191" w:rsidP="00AB6191">
            <w:pPr>
              <w:jc w:val="center"/>
              <w:rPr>
                <w:noProof/>
                <w:sz w:val="20"/>
              </w:rPr>
            </w:pPr>
            <w:r w:rsidRPr="0001127D">
              <w:rPr>
                <w:noProof/>
                <w:sz w:val="20"/>
              </w:rPr>
              <w:t>2026</w:t>
            </w:r>
          </w:p>
        </w:tc>
        <w:tc>
          <w:tcPr>
            <w:tcW w:w="868" w:type="dxa"/>
            <w:vAlign w:val="center"/>
          </w:tcPr>
          <w:p w14:paraId="77CB4806" w14:textId="77777777" w:rsidR="00AB6191" w:rsidRPr="0001127D" w:rsidRDefault="00AB6191" w:rsidP="00AB6191">
            <w:pPr>
              <w:jc w:val="center"/>
              <w:rPr>
                <w:noProof/>
                <w:sz w:val="20"/>
              </w:rPr>
            </w:pPr>
            <w:r w:rsidRPr="0001127D">
              <w:rPr>
                <w:noProof/>
                <w:sz w:val="20"/>
              </w:rPr>
              <w:t>2027</w:t>
            </w:r>
            <w:r w:rsidRPr="0001127D">
              <w:rPr>
                <w:rStyle w:val="FootnoteReference"/>
                <w:noProof/>
              </w:rPr>
              <w:footnoteReference w:id="75"/>
            </w:r>
          </w:p>
        </w:tc>
        <w:tc>
          <w:tcPr>
            <w:tcW w:w="868" w:type="dxa"/>
            <w:vAlign w:val="center"/>
          </w:tcPr>
          <w:p w14:paraId="4C970F48" w14:textId="77777777" w:rsidR="00AB6191" w:rsidRPr="0001127D" w:rsidRDefault="00AB6191" w:rsidP="00AB6191">
            <w:pPr>
              <w:jc w:val="center"/>
              <w:rPr>
                <w:noProof/>
                <w:sz w:val="20"/>
              </w:rPr>
            </w:pPr>
          </w:p>
        </w:tc>
        <w:tc>
          <w:tcPr>
            <w:tcW w:w="2604" w:type="dxa"/>
            <w:gridSpan w:val="3"/>
            <w:vAlign w:val="center"/>
          </w:tcPr>
          <w:p w14:paraId="5A3215CC" w14:textId="2EF9D147" w:rsidR="00AB6191" w:rsidRPr="0001127D" w:rsidRDefault="00AB6191" w:rsidP="00AB6191">
            <w:pPr>
              <w:jc w:val="center"/>
              <w:rPr>
                <w:b/>
                <w:noProof/>
                <w:sz w:val="18"/>
              </w:rPr>
            </w:pPr>
            <w:r w:rsidRPr="0001127D">
              <w:rPr>
                <w:noProof/>
                <w:sz w:val="18"/>
              </w:rPr>
              <w:t>Inserire gli anni necessari per evidenziare la durata dell</w:t>
            </w:r>
            <w:r w:rsidR="00E64452" w:rsidRPr="0001127D">
              <w:rPr>
                <w:noProof/>
                <w:sz w:val="18"/>
              </w:rPr>
              <w:t>'</w:t>
            </w:r>
            <w:r w:rsidRPr="0001127D">
              <w:rPr>
                <w:noProof/>
                <w:sz w:val="18"/>
              </w:rPr>
              <w:t>incidenza (cfr. punto 1.6)</w:t>
            </w:r>
          </w:p>
        </w:tc>
        <w:tc>
          <w:tcPr>
            <w:tcW w:w="1777" w:type="dxa"/>
            <w:vAlign w:val="center"/>
          </w:tcPr>
          <w:p w14:paraId="4E7B0861" w14:textId="77777777" w:rsidR="00AB6191" w:rsidRPr="0001127D" w:rsidRDefault="00AB6191" w:rsidP="00AB6191">
            <w:pPr>
              <w:jc w:val="center"/>
              <w:rPr>
                <w:b/>
                <w:noProof/>
                <w:sz w:val="20"/>
              </w:rPr>
            </w:pPr>
            <w:r w:rsidRPr="0001127D">
              <w:rPr>
                <w:b/>
                <w:noProof/>
                <w:sz w:val="20"/>
              </w:rPr>
              <w:t>TOTALE</w:t>
            </w:r>
          </w:p>
        </w:tc>
      </w:tr>
      <w:tr w:rsidR="00AB6191" w:rsidRPr="0001127D" w14:paraId="3C6A5BE7" w14:textId="77777777" w:rsidTr="00AB6191">
        <w:tc>
          <w:tcPr>
            <w:tcW w:w="3960" w:type="dxa"/>
            <w:vMerge w:val="restart"/>
            <w:shd w:val="clear" w:color="auto" w:fill="C0C0C0"/>
            <w:vAlign w:val="center"/>
          </w:tcPr>
          <w:p w14:paraId="6E86E355" w14:textId="7ED4D55C" w:rsidR="00AB6191" w:rsidRPr="0001127D" w:rsidRDefault="00AB6191" w:rsidP="00AB6191">
            <w:pPr>
              <w:jc w:val="center"/>
              <w:rPr>
                <w:b/>
                <w:noProof/>
              </w:rPr>
            </w:pPr>
            <w:r w:rsidRPr="0001127D">
              <w:rPr>
                <w:b/>
                <w:noProof/>
                <w:sz w:val="22"/>
              </w:rPr>
              <w:t xml:space="preserve">TOTALE stanziamenti </w:t>
            </w:r>
            <w:r w:rsidRPr="0001127D">
              <w:rPr>
                <w:noProof/>
              </w:rPr>
              <w:br/>
            </w:r>
            <w:r w:rsidRPr="0001127D">
              <w:rPr>
                <w:b/>
                <w:noProof/>
                <w:sz w:val="22"/>
              </w:rPr>
              <w:t>per le RUBRICHE da 1 a 7</w:t>
            </w:r>
            <w:r w:rsidRPr="0001127D">
              <w:rPr>
                <w:noProof/>
              </w:rPr>
              <w:t xml:space="preserve"> </w:t>
            </w:r>
            <w:r w:rsidRPr="0001127D">
              <w:rPr>
                <w:noProof/>
              </w:rPr>
              <w:br/>
            </w:r>
            <w:r w:rsidRPr="0001127D">
              <w:rPr>
                <w:noProof/>
                <w:sz w:val="22"/>
              </w:rPr>
              <w:t>del quadro finanziario pluriennale</w:t>
            </w:r>
            <w:r w:rsidRPr="0001127D">
              <w:rPr>
                <w:b/>
                <w:noProof/>
                <w:sz w:val="22"/>
              </w:rPr>
              <w:t xml:space="preserve"> </w:t>
            </w:r>
          </w:p>
        </w:tc>
        <w:tc>
          <w:tcPr>
            <w:tcW w:w="2094" w:type="dxa"/>
            <w:gridSpan w:val="2"/>
            <w:vAlign w:val="center"/>
          </w:tcPr>
          <w:p w14:paraId="47CC37FA" w14:textId="77777777" w:rsidR="00AB6191" w:rsidRPr="0001127D" w:rsidRDefault="00AB6191" w:rsidP="00AB6191">
            <w:pPr>
              <w:rPr>
                <w:noProof/>
                <w:sz w:val="14"/>
              </w:rPr>
            </w:pPr>
            <w:r w:rsidRPr="0001127D">
              <w:rPr>
                <w:noProof/>
                <w:sz w:val="18"/>
              </w:rPr>
              <w:t>Impegni</w:t>
            </w:r>
          </w:p>
        </w:tc>
        <w:tc>
          <w:tcPr>
            <w:tcW w:w="868" w:type="dxa"/>
            <w:vAlign w:val="center"/>
          </w:tcPr>
          <w:p w14:paraId="008C54A8" w14:textId="77777777" w:rsidR="00AB6191" w:rsidRPr="0001127D" w:rsidRDefault="00AB6191" w:rsidP="00AB6191">
            <w:pPr>
              <w:spacing w:before="60" w:after="60"/>
              <w:jc w:val="right"/>
              <w:rPr>
                <w:noProof/>
                <w:sz w:val="20"/>
              </w:rPr>
            </w:pPr>
            <w:r w:rsidRPr="0001127D">
              <w:rPr>
                <w:noProof/>
                <w:sz w:val="20"/>
              </w:rPr>
              <w:t>2,385</w:t>
            </w:r>
          </w:p>
        </w:tc>
        <w:tc>
          <w:tcPr>
            <w:tcW w:w="868" w:type="dxa"/>
            <w:vAlign w:val="center"/>
          </w:tcPr>
          <w:p w14:paraId="2298548D" w14:textId="77777777" w:rsidR="00AB6191" w:rsidRPr="0001127D" w:rsidRDefault="00AB6191" w:rsidP="00AB6191">
            <w:pPr>
              <w:spacing w:before="60" w:after="60"/>
              <w:jc w:val="right"/>
              <w:rPr>
                <w:noProof/>
                <w:sz w:val="20"/>
              </w:rPr>
            </w:pPr>
            <w:r w:rsidRPr="0001127D">
              <w:rPr>
                <w:noProof/>
                <w:sz w:val="20"/>
              </w:rPr>
              <w:t>2,385</w:t>
            </w:r>
          </w:p>
        </w:tc>
        <w:tc>
          <w:tcPr>
            <w:tcW w:w="868" w:type="dxa"/>
            <w:vAlign w:val="center"/>
          </w:tcPr>
          <w:p w14:paraId="48F05C72" w14:textId="77777777" w:rsidR="00AB6191" w:rsidRPr="0001127D" w:rsidRDefault="00AB6191" w:rsidP="00AB6191">
            <w:pPr>
              <w:spacing w:before="60" w:after="60"/>
              <w:jc w:val="right"/>
              <w:rPr>
                <w:noProof/>
                <w:sz w:val="20"/>
              </w:rPr>
            </w:pPr>
            <w:r w:rsidRPr="0001127D">
              <w:rPr>
                <w:noProof/>
                <w:sz w:val="20"/>
              </w:rPr>
              <w:t>2,385</w:t>
            </w:r>
          </w:p>
        </w:tc>
        <w:tc>
          <w:tcPr>
            <w:tcW w:w="868" w:type="dxa"/>
            <w:vAlign w:val="center"/>
          </w:tcPr>
          <w:p w14:paraId="481761BC" w14:textId="77777777" w:rsidR="00AB6191" w:rsidRPr="0001127D" w:rsidRDefault="00AB6191" w:rsidP="00AB6191">
            <w:pPr>
              <w:spacing w:before="60" w:after="60"/>
              <w:jc w:val="right"/>
              <w:rPr>
                <w:noProof/>
                <w:sz w:val="20"/>
              </w:rPr>
            </w:pPr>
          </w:p>
        </w:tc>
        <w:tc>
          <w:tcPr>
            <w:tcW w:w="868" w:type="dxa"/>
            <w:vAlign w:val="center"/>
          </w:tcPr>
          <w:p w14:paraId="440D4310" w14:textId="77777777" w:rsidR="00AB6191" w:rsidRPr="0001127D" w:rsidRDefault="00AB6191" w:rsidP="00AB6191">
            <w:pPr>
              <w:spacing w:before="60" w:after="60"/>
              <w:jc w:val="right"/>
              <w:rPr>
                <w:noProof/>
                <w:sz w:val="20"/>
              </w:rPr>
            </w:pPr>
          </w:p>
        </w:tc>
        <w:tc>
          <w:tcPr>
            <w:tcW w:w="868" w:type="dxa"/>
            <w:vAlign w:val="center"/>
          </w:tcPr>
          <w:p w14:paraId="4BD28784" w14:textId="77777777" w:rsidR="00AB6191" w:rsidRPr="0001127D" w:rsidRDefault="00AB6191" w:rsidP="00AB6191">
            <w:pPr>
              <w:spacing w:before="60" w:after="60"/>
              <w:jc w:val="right"/>
              <w:rPr>
                <w:noProof/>
                <w:sz w:val="20"/>
              </w:rPr>
            </w:pPr>
          </w:p>
        </w:tc>
        <w:tc>
          <w:tcPr>
            <w:tcW w:w="868" w:type="dxa"/>
            <w:vAlign w:val="center"/>
          </w:tcPr>
          <w:p w14:paraId="66A5B076" w14:textId="77777777" w:rsidR="00AB6191" w:rsidRPr="0001127D" w:rsidRDefault="00AB6191" w:rsidP="00AB6191">
            <w:pPr>
              <w:spacing w:before="60" w:after="60"/>
              <w:jc w:val="right"/>
              <w:rPr>
                <w:b/>
                <w:noProof/>
                <w:sz w:val="20"/>
              </w:rPr>
            </w:pPr>
          </w:p>
        </w:tc>
        <w:tc>
          <w:tcPr>
            <w:tcW w:w="1777" w:type="dxa"/>
            <w:vAlign w:val="center"/>
          </w:tcPr>
          <w:p w14:paraId="7D6F9314" w14:textId="77777777" w:rsidR="00AB6191" w:rsidRPr="0001127D" w:rsidRDefault="00EE7E12" w:rsidP="00AB6191">
            <w:pPr>
              <w:spacing w:before="60" w:after="60"/>
              <w:jc w:val="right"/>
              <w:rPr>
                <w:b/>
                <w:noProof/>
                <w:sz w:val="20"/>
              </w:rPr>
            </w:pPr>
            <w:r w:rsidRPr="0001127D">
              <w:rPr>
                <w:b/>
                <w:noProof/>
                <w:sz w:val="20"/>
              </w:rPr>
              <w:t>7,155</w:t>
            </w:r>
          </w:p>
        </w:tc>
      </w:tr>
      <w:tr w:rsidR="00AB6191" w:rsidRPr="0001127D" w14:paraId="7A42F5E0" w14:textId="77777777" w:rsidTr="00AB6191">
        <w:tc>
          <w:tcPr>
            <w:tcW w:w="3960" w:type="dxa"/>
            <w:vMerge/>
            <w:shd w:val="clear" w:color="auto" w:fill="C0C0C0"/>
          </w:tcPr>
          <w:p w14:paraId="57548DA6" w14:textId="77777777" w:rsidR="00AB6191" w:rsidRPr="0001127D" w:rsidRDefault="00AB6191" w:rsidP="00AB6191">
            <w:pPr>
              <w:rPr>
                <w:noProof/>
                <w:sz w:val="20"/>
              </w:rPr>
            </w:pPr>
          </w:p>
        </w:tc>
        <w:tc>
          <w:tcPr>
            <w:tcW w:w="2094" w:type="dxa"/>
            <w:gridSpan w:val="2"/>
            <w:vAlign w:val="center"/>
          </w:tcPr>
          <w:p w14:paraId="61CB0640" w14:textId="77777777" w:rsidR="00AB6191" w:rsidRPr="0001127D" w:rsidRDefault="00AB6191" w:rsidP="00AB6191">
            <w:pPr>
              <w:rPr>
                <w:noProof/>
                <w:sz w:val="14"/>
              </w:rPr>
            </w:pPr>
            <w:r w:rsidRPr="0001127D">
              <w:rPr>
                <w:noProof/>
                <w:sz w:val="18"/>
              </w:rPr>
              <w:t>Pagamenti</w:t>
            </w:r>
          </w:p>
        </w:tc>
        <w:tc>
          <w:tcPr>
            <w:tcW w:w="868" w:type="dxa"/>
            <w:vAlign w:val="center"/>
          </w:tcPr>
          <w:p w14:paraId="44BBA323" w14:textId="77777777" w:rsidR="00AB6191" w:rsidRPr="0001127D" w:rsidRDefault="00AB6191" w:rsidP="00AB6191">
            <w:pPr>
              <w:spacing w:before="60" w:after="60"/>
              <w:jc w:val="right"/>
              <w:rPr>
                <w:noProof/>
                <w:sz w:val="20"/>
              </w:rPr>
            </w:pPr>
            <w:r w:rsidRPr="0001127D">
              <w:rPr>
                <w:noProof/>
                <w:sz w:val="20"/>
              </w:rPr>
              <w:t>2,385</w:t>
            </w:r>
          </w:p>
        </w:tc>
        <w:tc>
          <w:tcPr>
            <w:tcW w:w="868" w:type="dxa"/>
            <w:vAlign w:val="center"/>
          </w:tcPr>
          <w:p w14:paraId="6D6E400B" w14:textId="77777777" w:rsidR="00AB6191" w:rsidRPr="0001127D" w:rsidRDefault="00AB6191" w:rsidP="00AB6191">
            <w:pPr>
              <w:spacing w:before="60" w:after="60"/>
              <w:jc w:val="right"/>
              <w:rPr>
                <w:noProof/>
                <w:sz w:val="20"/>
              </w:rPr>
            </w:pPr>
            <w:r w:rsidRPr="0001127D">
              <w:rPr>
                <w:noProof/>
                <w:sz w:val="20"/>
              </w:rPr>
              <w:t>2,385</w:t>
            </w:r>
          </w:p>
        </w:tc>
        <w:tc>
          <w:tcPr>
            <w:tcW w:w="868" w:type="dxa"/>
            <w:vAlign w:val="center"/>
          </w:tcPr>
          <w:p w14:paraId="399BC707" w14:textId="77777777" w:rsidR="00AB6191" w:rsidRPr="0001127D" w:rsidRDefault="00AB6191" w:rsidP="00AB6191">
            <w:pPr>
              <w:spacing w:before="60" w:after="60"/>
              <w:jc w:val="right"/>
              <w:rPr>
                <w:noProof/>
                <w:sz w:val="20"/>
              </w:rPr>
            </w:pPr>
            <w:r w:rsidRPr="0001127D">
              <w:rPr>
                <w:noProof/>
                <w:sz w:val="20"/>
              </w:rPr>
              <w:t>2,385</w:t>
            </w:r>
          </w:p>
        </w:tc>
        <w:tc>
          <w:tcPr>
            <w:tcW w:w="868" w:type="dxa"/>
            <w:vAlign w:val="center"/>
          </w:tcPr>
          <w:p w14:paraId="282F3A13" w14:textId="77777777" w:rsidR="00AB6191" w:rsidRPr="0001127D" w:rsidRDefault="00AB6191" w:rsidP="00AB6191">
            <w:pPr>
              <w:spacing w:before="60" w:after="60"/>
              <w:jc w:val="right"/>
              <w:rPr>
                <w:noProof/>
                <w:sz w:val="20"/>
              </w:rPr>
            </w:pPr>
          </w:p>
        </w:tc>
        <w:tc>
          <w:tcPr>
            <w:tcW w:w="868" w:type="dxa"/>
            <w:vAlign w:val="center"/>
          </w:tcPr>
          <w:p w14:paraId="36D3BF46" w14:textId="77777777" w:rsidR="00AB6191" w:rsidRPr="0001127D" w:rsidRDefault="00AB6191" w:rsidP="00AB6191">
            <w:pPr>
              <w:spacing w:before="60" w:after="60"/>
              <w:jc w:val="right"/>
              <w:rPr>
                <w:noProof/>
                <w:sz w:val="20"/>
              </w:rPr>
            </w:pPr>
          </w:p>
        </w:tc>
        <w:tc>
          <w:tcPr>
            <w:tcW w:w="868" w:type="dxa"/>
            <w:vAlign w:val="center"/>
          </w:tcPr>
          <w:p w14:paraId="745DA822" w14:textId="77777777" w:rsidR="00AB6191" w:rsidRPr="0001127D" w:rsidRDefault="00AB6191" w:rsidP="00AB6191">
            <w:pPr>
              <w:spacing w:before="60" w:after="60"/>
              <w:jc w:val="right"/>
              <w:rPr>
                <w:noProof/>
                <w:sz w:val="20"/>
              </w:rPr>
            </w:pPr>
          </w:p>
        </w:tc>
        <w:tc>
          <w:tcPr>
            <w:tcW w:w="868" w:type="dxa"/>
            <w:vAlign w:val="center"/>
          </w:tcPr>
          <w:p w14:paraId="48081A09" w14:textId="77777777" w:rsidR="00AB6191" w:rsidRPr="0001127D" w:rsidRDefault="00AB6191" w:rsidP="00AB6191">
            <w:pPr>
              <w:spacing w:before="60" w:after="60"/>
              <w:jc w:val="right"/>
              <w:rPr>
                <w:b/>
                <w:noProof/>
                <w:sz w:val="20"/>
              </w:rPr>
            </w:pPr>
          </w:p>
        </w:tc>
        <w:tc>
          <w:tcPr>
            <w:tcW w:w="1777" w:type="dxa"/>
            <w:vAlign w:val="center"/>
          </w:tcPr>
          <w:p w14:paraId="79DBA482" w14:textId="77777777" w:rsidR="00AB6191" w:rsidRPr="0001127D" w:rsidRDefault="00EE7E12" w:rsidP="00AB6191">
            <w:pPr>
              <w:spacing w:before="60" w:after="60"/>
              <w:jc w:val="right"/>
              <w:rPr>
                <w:b/>
                <w:noProof/>
                <w:sz w:val="20"/>
              </w:rPr>
            </w:pPr>
            <w:r w:rsidRPr="0001127D">
              <w:rPr>
                <w:b/>
                <w:noProof/>
                <w:sz w:val="20"/>
              </w:rPr>
              <w:t>7,155</w:t>
            </w:r>
          </w:p>
        </w:tc>
      </w:tr>
    </w:tbl>
    <w:p w14:paraId="1C2C9358" w14:textId="77777777" w:rsidR="00AB6191" w:rsidRPr="0001127D" w:rsidRDefault="00AB6191" w:rsidP="00AB6191">
      <w:pPr>
        <w:pStyle w:val="ManualHeading3"/>
        <w:rPr>
          <w:bCs/>
          <w:noProof/>
          <w:szCs w:val="24"/>
        </w:rPr>
      </w:pPr>
      <w:bookmarkStart w:id="209" w:name="_Toc514938054"/>
      <w:bookmarkStart w:id="210" w:name="_Toc520485053"/>
      <w:bookmarkStart w:id="211" w:name="_Toc132359627"/>
      <w:r w:rsidRPr="0001127D">
        <w:rPr>
          <w:noProof/>
        </w:rPr>
        <w:t>3.2.2.</w:t>
      </w:r>
      <w:r w:rsidRPr="0001127D">
        <w:rPr>
          <w:noProof/>
        </w:rPr>
        <w:tab/>
        <w:t>Risultati previsti finanziati con gli stanziamenti operativi</w:t>
      </w:r>
      <w:bookmarkEnd w:id="209"/>
      <w:bookmarkEnd w:id="210"/>
      <w:bookmarkEnd w:id="211"/>
      <w:r w:rsidRPr="0001127D">
        <w:rPr>
          <w:noProof/>
        </w:rPr>
        <w:t xml:space="preserve"> </w:t>
      </w:r>
    </w:p>
    <w:p w14:paraId="751D5754" w14:textId="77777777" w:rsidR="00AB6191" w:rsidRPr="0001127D" w:rsidRDefault="00AB6191" w:rsidP="00AB6191">
      <w:pPr>
        <w:jc w:val="right"/>
        <w:rPr>
          <w:noProof/>
          <w:sz w:val="20"/>
        </w:rPr>
      </w:pPr>
      <w:r w:rsidRPr="0001127D">
        <w:rPr>
          <w:noProof/>
          <w:sz w:val="20"/>
        </w:rPr>
        <w:t>Stanziamenti di impegno in Mio EUR (al terzo decimale)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AB6191" w:rsidRPr="0001127D" w14:paraId="249A1C4C" w14:textId="77777777" w:rsidTr="00AB6191">
        <w:trPr>
          <w:jc w:val="center"/>
        </w:trPr>
        <w:tc>
          <w:tcPr>
            <w:tcW w:w="1423" w:type="dxa"/>
            <w:vMerge w:val="restart"/>
            <w:vAlign w:val="center"/>
          </w:tcPr>
          <w:p w14:paraId="01AC32D9" w14:textId="77777777" w:rsidR="00AB6191" w:rsidRPr="0001127D" w:rsidRDefault="00AB6191" w:rsidP="00AB6191">
            <w:pPr>
              <w:ind w:right="-29"/>
              <w:jc w:val="center"/>
              <w:rPr>
                <w:b/>
                <w:noProof/>
                <w:sz w:val="18"/>
                <w:szCs w:val="18"/>
              </w:rPr>
            </w:pPr>
            <w:r w:rsidRPr="0001127D">
              <w:rPr>
                <w:b/>
                <w:noProof/>
                <w:sz w:val="18"/>
              </w:rPr>
              <w:t xml:space="preserve">Specificare gli obiettivi e i risultati </w:t>
            </w:r>
          </w:p>
          <w:p w14:paraId="46274FBA" w14:textId="77777777" w:rsidR="00AB6191" w:rsidRPr="0001127D" w:rsidRDefault="00AB6191" w:rsidP="00AB6191">
            <w:pPr>
              <w:ind w:right="-29"/>
              <w:jc w:val="center"/>
              <w:rPr>
                <w:b/>
                <w:noProof/>
                <w:sz w:val="18"/>
                <w:szCs w:val="18"/>
              </w:rPr>
            </w:pPr>
          </w:p>
          <w:p w14:paraId="6D2A6272" w14:textId="77777777" w:rsidR="00AB6191" w:rsidRPr="0001127D" w:rsidRDefault="00AB6191" w:rsidP="00AB6191">
            <w:pPr>
              <w:ind w:right="-29"/>
              <w:jc w:val="center"/>
              <w:rPr>
                <w:noProof/>
                <w:sz w:val="18"/>
                <w:szCs w:val="18"/>
              </w:rPr>
            </w:pPr>
            <w:r w:rsidRPr="0001127D">
              <w:rPr>
                <w:rFonts w:ascii="Wingdings" w:hAnsi="Wingdings"/>
                <w:noProof/>
                <w:sz w:val="18"/>
              </w:rPr>
              <w:t></w:t>
            </w:r>
          </w:p>
        </w:tc>
        <w:tc>
          <w:tcPr>
            <w:tcW w:w="720" w:type="dxa"/>
            <w:vAlign w:val="center"/>
          </w:tcPr>
          <w:p w14:paraId="0E0F9206" w14:textId="77777777" w:rsidR="00AB6191" w:rsidRPr="0001127D" w:rsidRDefault="00AB6191" w:rsidP="00AB6191">
            <w:pPr>
              <w:ind w:right="-29"/>
              <w:jc w:val="center"/>
              <w:rPr>
                <w:noProof/>
                <w:sz w:val="18"/>
                <w:szCs w:val="18"/>
              </w:rPr>
            </w:pPr>
          </w:p>
        </w:tc>
        <w:tc>
          <w:tcPr>
            <w:tcW w:w="701" w:type="dxa"/>
            <w:vAlign w:val="center"/>
          </w:tcPr>
          <w:p w14:paraId="0661A528" w14:textId="77777777" w:rsidR="00AB6191" w:rsidRPr="0001127D" w:rsidRDefault="00AB6191" w:rsidP="00AB6191">
            <w:pPr>
              <w:ind w:right="-29"/>
              <w:jc w:val="center"/>
              <w:rPr>
                <w:noProof/>
                <w:sz w:val="18"/>
                <w:szCs w:val="18"/>
              </w:rPr>
            </w:pPr>
          </w:p>
        </w:tc>
        <w:tc>
          <w:tcPr>
            <w:tcW w:w="1224" w:type="dxa"/>
            <w:gridSpan w:val="2"/>
            <w:tcBorders>
              <w:left w:val="nil"/>
            </w:tcBorders>
            <w:vAlign w:val="center"/>
          </w:tcPr>
          <w:p w14:paraId="6B09B31D" w14:textId="77777777" w:rsidR="00AB6191" w:rsidRPr="0001127D" w:rsidRDefault="00AB6191" w:rsidP="00AB6191">
            <w:pPr>
              <w:ind w:right="-29"/>
              <w:jc w:val="center"/>
              <w:rPr>
                <w:noProof/>
                <w:sz w:val="18"/>
                <w:szCs w:val="18"/>
              </w:rPr>
            </w:pPr>
            <w:r w:rsidRPr="0001127D">
              <w:rPr>
                <w:noProof/>
                <w:sz w:val="20"/>
              </w:rPr>
              <w:t>2025</w:t>
            </w:r>
          </w:p>
        </w:tc>
        <w:tc>
          <w:tcPr>
            <w:tcW w:w="1260" w:type="dxa"/>
            <w:gridSpan w:val="2"/>
            <w:vAlign w:val="center"/>
          </w:tcPr>
          <w:p w14:paraId="6E295997" w14:textId="77777777" w:rsidR="00AB6191" w:rsidRPr="0001127D" w:rsidRDefault="00AB6191" w:rsidP="00AB6191">
            <w:pPr>
              <w:ind w:right="-29"/>
              <w:jc w:val="center"/>
              <w:rPr>
                <w:noProof/>
                <w:sz w:val="18"/>
                <w:szCs w:val="18"/>
              </w:rPr>
            </w:pPr>
            <w:r w:rsidRPr="0001127D">
              <w:rPr>
                <w:noProof/>
                <w:sz w:val="20"/>
              </w:rPr>
              <w:t>2026</w:t>
            </w:r>
          </w:p>
        </w:tc>
        <w:tc>
          <w:tcPr>
            <w:tcW w:w="1440" w:type="dxa"/>
            <w:gridSpan w:val="2"/>
            <w:vAlign w:val="center"/>
          </w:tcPr>
          <w:p w14:paraId="435EF203" w14:textId="77777777" w:rsidR="00AB6191" w:rsidRPr="0001127D" w:rsidRDefault="00AB6191" w:rsidP="00AB6191">
            <w:pPr>
              <w:ind w:right="-29"/>
              <w:jc w:val="center"/>
              <w:rPr>
                <w:noProof/>
                <w:sz w:val="18"/>
                <w:szCs w:val="18"/>
              </w:rPr>
            </w:pPr>
            <w:r w:rsidRPr="0001127D">
              <w:rPr>
                <w:noProof/>
                <w:sz w:val="20"/>
              </w:rPr>
              <w:t>2027</w:t>
            </w:r>
            <w:r w:rsidRPr="0001127D">
              <w:rPr>
                <w:rStyle w:val="FootnoteReference"/>
                <w:noProof/>
              </w:rPr>
              <w:footnoteReference w:id="76"/>
            </w:r>
          </w:p>
        </w:tc>
        <w:tc>
          <w:tcPr>
            <w:tcW w:w="1620" w:type="dxa"/>
            <w:gridSpan w:val="3"/>
            <w:vAlign w:val="center"/>
          </w:tcPr>
          <w:p w14:paraId="2C77362E" w14:textId="77777777" w:rsidR="00AB6191" w:rsidRPr="0001127D" w:rsidRDefault="00AB6191" w:rsidP="00AB6191">
            <w:pPr>
              <w:ind w:right="-29"/>
              <w:jc w:val="center"/>
              <w:rPr>
                <w:noProof/>
                <w:sz w:val="18"/>
                <w:szCs w:val="18"/>
              </w:rPr>
            </w:pPr>
          </w:p>
        </w:tc>
        <w:tc>
          <w:tcPr>
            <w:tcW w:w="3600" w:type="dxa"/>
            <w:gridSpan w:val="6"/>
            <w:vAlign w:val="center"/>
          </w:tcPr>
          <w:p w14:paraId="74665B6C" w14:textId="3031D493" w:rsidR="00AB6191" w:rsidRPr="0001127D" w:rsidRDefault="00AB6191" w:rsidP="00AB6191">
            <w:pPr>
              <w:jc w:val="center"/>
              <w:rPr>
                <w:noProof/>
                <w:sz w:val="18"/>
                <w:szCs w:val="18"/>
              </w:rPr>
            </w:pPr>
            <w:r w:rsidRPr="0001127D">
              <w:rPr>
                <w:noProof/>
                <w:sz w:val="18"/>
              </w:rPr>
              <w:t>Inserire gli anni necessari per evidenziare la durata dell</w:t>
            </w:r>
            <w:r w:rsidR="00E64452" w:rsidRPr="0001127D">
              <w:rPr>
                <w:noProof/>
                <w:sz w:val="18"/>
              </w:rPr>
              <w:t>'</w:t>
            </w:r>
            <w:r w:rsidRPr="0001127D">
              <w:rPr>
                <w:noProof/>
                <w:sz w:val="18"/>
              </w:rPr>
              <w:t>incidenza (cfr. punto 1.6)</w:t>
            </w:r>
          </w:p>
        </w:tc>
        <w:tc>
          <w:tcPr>
            <w:tcW w:w="1620" w:type="dxa"/>
            <w:gridSpan w:val="2"/>
            <w:tcBorders>
              <w:left w:val="nil"/>
              <w:bottom w:val="nil"/>
            </w:tcBorders>
            <w:vAlign w:val="center"/>
          </w:tcPr>
          <w:p w14:paraId="15CE40D6" w14:textId="77777777" w:rsidR="00AB6191" w:rsidRPr="0001127D" w:rsidRDefault="00AB6191" w:rsidP="00AB6191">
            <w:pPr>
              <w:ind w:right="-29"/>
              <w:jc w:val="center"/>
              <w:rPr>
                <w:noProof/>
                <w:sz w:val="18"/>
                <w:szCs w:val="18"/>
              </w:rPr>
            </w:pPr>
            <w:r w:rsidRPr="0001127D">
              <w:rPr>
                <w:b/>
                <w:noProof/>
                <w:sz w:val="18"/>
              </w:rPr>
              <w:t>TOTALE</w:t>
            </w:r>
          </w:p>
        </w:tc>
      </w:tr>
      <w:tr w:rsidR="00AB6191" w:rsidRPr="0001127D" w14:paraId="463B9425" w14:textId="77777777" w:rsidTr="00AB6191">
        <w:trPr>
          <w:jc w:val="center"/>
        </w:trPr>
        <w:tc>
          <w:tcPr>
            <w:tcW w:w="1423" w:type="dxa"/>
            <w:vMerge/>
            <w:vAlign w:val="center"/>
          </w:tcPr>
          <w:p w14:paraId="473C5F2F" w14:textId="77777777" w:rsidR="00AB6191" w:rsidRPr="0001127D" w:rsidRDefault="00AB6191" w:rsidP="00AB6191">
            <w:pPr>
              <w:ind w:right="-29"/>
              <w:jc w:val="center"/>
              <w:rPr>
                <w:noProof/>
                <w:sz w:val="18"/>
                <w:szCs w:val="18"/>
              </w:rPr>
            </w:pPr>
          </w:p>
        </w:tc>
        <w:tc>
          <w:tcPr>
            <w:tcW w:w="12185" w:type="dxa"/>
            <w:gridSpan w:val="19"/>
            <w:vAlign w:val="center"/>
          </w:tcPr>
          <w:p w14:paraId="721C642A" w14:textId="77777777" w:rsidR="00AB6191" w:rsidRPr="0001127D" w:rsidRDefault="00AB6191" w:rsidP="00AB6191">
            <w:pPr>
              <w:spacing w:before="60" w:after="60"/>
              <w:ind w:right="-29"/>
              <w:jc w:val="center"/>
              <w:rPr>
                <w:noProof/>
                <w:sz w:val="18"/>
                <w:szCs w:val="18"/>
              </w:rPr>
            </w:pPr>
            <w:r w:rsidRPr="0001127D">
              <w:rPr>
                <w:b/>
                <w:noProof/>
                <w:sz w:val="18"/>
              </w:rPr>
              <w:t>RISULTATI</w:t>
            </w:r>
          </w:p>
        </w:tc>
      </w:tr>
      <w:tr w:rsidR="00AB6191" w:rsidRPr="0001127D" w14:paraId="420BC899" w14:textId="77777777" w:rsidTr="00AB6191">
        <w:trPr>
          <w:cantSplit/>
          <w:trHeight w:val="1134"/>
          <w:jc w:val="center"/>
        </w:trPr>
        <w:tc>
          <w:tcPr>
            <w:tcW w:w="1423" w:type="dxa"/>
            <w:vMerge/>
            <w:vAlign w:val="center"/>
          </w:tcPr>
          <w:p w14:paraId="76AF3710" w14:textId="77777777" w:rsidR="00AB6191" w:rsidRPr="0001127D" w:rsidRDefault="00AB6191" w:rsidP="00AB6191">
            <w:pPr>
              <w:rPr>
                <w:noProof/>
                <w:sz w:val="18"/>
                <w:szCs w:val="18"/>
              </w:rPr>
            </w:pPr>
          </w:p>
        </w:tc>
        <w:tc>
          <w:tcPr>
            <w:tcW w:w="720" w:type="dxa"/>
            <w:vAlign w:val="center"/>
          </w:tcPr>
          <w:p w14:paraId="3AE06908" w14:textId="77777777" w:rsidR="00AB6191" w:rsidRPr="0001127D" w:rsidRDefault="00AB6191" w:rsidP="00AB6191">
            <w:pPr>
              <w:jc w:val="center"/>
              <w:rPr>
                <w:noProof/>
                <w:sz w:val="18"/>
                <w:szCs w:val="18"/>
              </w:rPr>
            </w:pPr>
            <w:r w:rsidRPr="0001127D">
              <w:rPr>
                <w:noProof/>
                <w:sz w:val="18"/>
              </w:rPr>
              <w:t>Tipo</w:t>
            </w:r>
            <w:r w:rsidRPr="0001127D">
              <w:rPr>
                <w:rStyle w:val="FootnoteReference"/>
                <w:noProof/>
              </w:rPr>
              <w:footnoteReference w:id="77"/>
            </w:r>
          </w:p>
          <w:p w14:paraId="4E2A3A70" w14:textId="77777777" w:rsidR="00AB6191" w:rsidRPr="0001127D" w:rsidRDefault="00AB6191" w:rsidP="00AB6191">
            <w:pPr>
              <w:spacing w:before="0" w:after="0"/>
              <w:jc w:val="center"/>
              <w:rPr>
                <w:noProof/>
                <w:sz w:val="18"/>
                <w:szCs w:val="18"/>
              </w:rPr>
            </w:pPr>
          </w:p>
        </w:tc>
        <w:tc>
          <w:tcPr>
            <w:tcW w:w="701" w:type="dxa"/>
            <w:vAlign w:val="center"/>
          </w:tcPr>
          <w:p w14:paraId="4510AF0F" w14:textId="77777777" w:rsidR="00AB6191" w:rsidRPr="0001127D" w:rsidRDefault="00AB6191" w:rsidP="00AB6191">
            <w:pPr>
              <w:jc w:val="center"/>
              <w:rPr>
                <w:noProof/>
                <w:sz w:val="18"/>
                <w:szCs w:val="18"/>
              </w:rPr>
            </w:pPr>
            <w:r w:rsidRPr="0001127D">
              <w:rPr>
                <w:noProof/>
                <w:sz w:val="18"/>
              </w:rPr>
              <w:t>Costo medio</w:t>
            </w:r>
          </w:p>
        </w:tc>
        <w:tc>
          <w:tcPr>
            <w:tcW w:w="504" w:type="dxa"/>
            <w:tcBorders>
              <w:left w:val="nil"/>
              <w:right w:val="dashSmallGap" w:sz="4" w:space="0" w:color="auto"/>
            </w:tcBorders>
            <w:shd w:val="pct10" w:color="auto" w:fill="auto"/>
            <w:textDirection w:val="btLr"/>
            <w:vAlign w:val="center"/>
          </w:tcPr>
          <w:p w14:paraId="2C189A28" w14:textId="77777777" w:rsidR="00AB6191" w:rsidRPr="0001127D" w:rsidRDefault="00AB6191" w:rsidP="00AB6191">
            <w:pPr>
              <w:ind w:left="113" w:right="113"/>
              <w:jc w:val="center"/>
              <w:rPr>
                <w:noProof/>
                <w:sz w:val="18"/>
                <w:szCs w:val="18"/>
              </w:rPr>
            </w:pPr>
            <w:r w:rsidRPr="0001127D">
              <w:rPr>
                <w:noProof/>
                <w:sz w:val="18"/>
              </w:rPr>
              <w:t>N.</w:t>
            </w:r>
          </w:p>
        </w:tc>
        <w:tc>
          <w:tcPr>
            <w:tcW w:w="720" w:type="dxa"/>
            <w:tcBorders>
              <w:left w:val="dashSmallGap" w:sz="4" w:space="0" w:color="auto"/>
            </w:tcBorders>
            <w:shd w:val="pct10" w:color="auto" w:fill="auto"/>
            <w:vAlign w:val="center"/>
          </w:tcPr>
          <w:p w14:paraId="46DEC3DA" w14:textId="77777777" w:rsidR="00AB6191" w:rsidRPr="0001127D" w:rsidRDefault="00AB6191" w:rsidP="00AB6191">
            <w:pPr>
              <w:jc w:val="center"/>
              <w:rPr>
                <w:noProof/>
                <w:sz w:val="18"/>
                <w:szCs w:val="18"/>
              </w:rPr>
            </w:pPr>
            <w:r w:rsidRPr="0001127D">
              <w:rPr>
                <w:noProof/>
                <w:sz w:val="18"/>
              </w:rPr>
              <w:t>Costo</w:t>
            </w:r>
          </w:p>
        </w:tc>
        <w:tc>
          <w:tcPr>
            <w:tcW w:w="540" w:type="dxa"/>
            <w:tcBorders>
              <w:right w:val="dashSmallGap" w:sz="4" w:space="0" w:color="auto"/>
            </w:tcBorders>
            <w:shd w:val="pct10" w:color="auto" w:fill="auto"/>
            <w:textDirection w:val="btLr"/>
            <w:vAlign w:val="center"/>
          </w:tcPr>
          <w:p w14:paraId="6B0C5B6F" w14:textId="77777777" w:rsidR="00AB6191" w:rsidRPr="0001127D" w:rsidRDefault="00AB6191" w:rsidP="00AB6191">
            <w:pPr>
              <w:ind w:left="113" w:right="113"/>
              <w:jc w:val="center"/>
              <w:rPr>
                <w:noProof/>
                <w:sz w:val="18"/>
                <w:szCs w:val="18"/>
              </w:rPr>
            </w:pPr>
            <w:r w:rsidRPr="0001127D">
              <w:rPr>
                <w:noProof/>
                <w:sz w:val="18"/>
              </w:rPr>
              <w:t>N.</w:t>
            </w:r>
          </w:p>
        </w:tc>
        <w:tc>
          <w:tcPr>
            <w:tcW w:w="720" w:type="dxa"/>
            <w:tcBorders>
              <w:left w:val="dashSmallGap" w:sz="4" w:space="0" w:color="auto"/>
            </w:tcBorders>
            <w:shd w:val="pct10" w:color="auto" w:fill="auto"/>
            <w:vAlign w:val="center"/>
          </w:tcPr>
          <w:p w14:paraId="541C97FA" w14:textId="77777777" w:rsidR="00AB6191" w:rsidRPr="0001127D" w:rsidRDefault="00AB6191" w:rsidP="00AB6191">
            <w:pPr>
              <w:jc w:val="center"/>
              <w:rPr>
                <w:noProof/>
                <w:sz w:val="18"/>
                <w:szCs w:val="18"/>
              </w:rPr>
            </w:pPr>
            <w:r w:rsidRPr="0001127D">
              <w:rPr>
                <w:noProof/>
                <w:sz w:val="18"/>
              </w:rPr>
              <w:t>Costo</w:t>
            </w:r>
          </w:p>
        </w:tc>
        <w:tc>
          <w:tcPr>
            <w:tcW w:w="720" w:type="dxa"/>
            <w:tcBorders>
              <w:right w:val="dashSmallGap" w:sz="4" w:space="0" w:color="auto"/>
            </w:tcBorders>
            <w:shd w:val="pct10" w:color="auto" w:fill="auto"/>
            <w:textDirection w:val="btLr"/>
            <w:vAlign w:val="center"/>
          </w:tcPr>
          <w:p w14:paraId="67FF25F6" w14:textId="77777777" w:rsidR="00AB6191" w:rsidRPr="0001127D" w:rsidRDefault="00AB6191" w:rsidP="00AB6191">
            <w:pPr>
              <w:ind w:left="113" w:right="113"/>
              <w:jc w:val="center"/>
              <w:rPr>
                <w:noProof/>
                <w:sz w:val="18"/>
                <w:szCs w:val="18"/>
              </w:rPr>
            </w:pPr>
            <w:r w:rsidRPr="0001127D">
              <w:rPr>
                <w:noProof/>
                <w:sz w:val="18"/>
              </w:rPr>
              <w:t>N.</w:t>
            </w:r>
          </w:p>
        </w:tc>
        <w:tc>
          <w:tcPr>
            <w:tcW w:w="720" w:type="dxa"/>
            <w:tcBorders>
              <w:left w:val="dashSmallGap" w:sz="4" w:space="0" w:color="auto"/>
            </w:tcBorders>
            <w:shd w:val="pct10" w:color="auto" w:fill="auto"/>
            <w:vAlign w:val="center"/>
          </w:tcPr>
          <w:p w14:paraId="42604DE5" w14:textId="77777777" w:rsidR="00AB6191" w:rsidRPr="0001127D" w:rsidRDefault="00AB6191" w:rsidP="00AB6191">
            <w:pPr>
              <w:jc w:val="center"/>
              <w:rPr>
                <w:noProof/>
                <w:sz w:val="18"/>
                <w:szCs w:val="18"/>
              </w:rPr>
            </w:pPr>
            <w:r w:rsidRPr="0001127D">
              <w:rPr>
                <w:noProof/>
                <w:sz w:val="18"/>
              </w:rPr>
              <w:t>Costo</w:t>
            </w:r>
          </w:p>
        </w:tc>
        <w:tc>
          <w:tcPr>
            <w:tcW w:w="900" w:type="dxa"/>
            <w:tcBorders>
              <w:right w:val="dashSmallGap" w:sz="4" w:space="0" w:color="auto"/>
            </w:tcBorders>
            <w:shd w:val="pct10" w:color="auto" w:fill="auto"/>
            <w:textDirection w:val="btLr"/>
            <w:vAlign w:val="center"/>
          </w:tcPr>
          <w:p w14:paraId="039929E1" w14:textId="77777777" w:rsidR="00AB6191" w:rsidRPr="0001127D" w:rsidRDefault="00AB6191" w:rsidP="00AB6191">
            <w:pPr>
              <w:ind w:left="113" w:right="113"/>
              <w:jc w:val="center"/>
              <w:rPr>
                <w:noProof/>
                <w:sz w:val="18"/>
                <w:szCs w:val="18"/>
              </w:rPr>
            </w:pPr>
            <w:r w:rsidRPr="0001127D">
              <w:rPr>
                <w:noProof/>
                <w:sz w:val="18"/>
              </w:rPr>
              <w:t>N.</w:t>
            </w:r>
          </w:p>
        </w:tc>
        <w:tc>
          <w:tcPr>
            <w:tcW w:w="720" w:type="dxa"/>
            <w:gridSpan w:val="2"/>
            <w:tcBorders>
              <w:left w:val="dashSmallGap" w:sz="4" w:space="0" w:color="auto"/>
            </w:tcBorders>
            <w:shd w:val="pct10" w:color="auto" w:fill="auto"/>
            <w:vAlign w:val="center"/>
          </w:tcPr>
          <w:p w14:paraId="25E84E7E" w14:textId="77777777" w:rsidR="00AB6191" w:rsidRPr="0001127D" w:rsidRDefault="00AB6191" w:rsidP="00AB6191">
            <w:pPr>
              <w:jc w:val="center"/>
              <w:rPr>
                <w:noProof/>
                <w:sz w:val="18"/>
                <w:szCs w:val="18"/>
              </w:rPr>
            </w:pPr>
            <w:r w:rsidRPr="0001127D">
              <w:rPr>
                <w:noProof/>
                <w:sz w:val="18"/>
              </w:rPr>
              <w:t>Costo</w:t>
            </w:r>
          </w:p>
        </w:tc>
        <w:tc>
          <w:tcPr>
            <w:tcW w:w="540" w:type="dxa"/>
            <w:tcBorders>
              <w:right w:val="dashSmallGap" w:sz="4" w:space="0" w:color="auto"/>
            </w:tcBorders>
            <w:shd w:val="pct10" w:color="auto" w:fill="auto"/>
            <w:textDirection w:val="btLr"/>
            <w:vAlign w:val="center"/>
          </w:tcPr>
          <w:p w14:paraId="5C1802A0" w14:textId="77777777" w:rsidR="00AB6191" w:rsidRPr="0001127D" w:rsidRDefault="00AB6191" w:rsidP="00AB6191">
            <w:pPr>
              <w:ind w:left="113" w:right="113"/>
              <w:jc w:val="center"/>
              <w:rPr>
                <w:noProof/>
                <w:sz w:val="18"/>
                <w:szCs w:val="18"/>
              </w:rPr>
            </w:pPr>
            <w:r w:rsidRPr="0001127D">
              <w:rPr>
                <w:noProof/>
                <w:sz w:val="18"/>
              </w:rPr>
              <w:t>N.</w:t>
            </w:r>
          </w:p>
        </w:tc>
        <w:tc>
          <w:tcPr>
            <w:tcW w:w="648" w:type="dxa"/>
            <w:tcBorders>
              <w:left w:val="dashSmallGap" w:sz="4" w:space="0" w:color="auto"/>
            </w:tcBorders>
            <w:shd w:val="pct10" w:color="auto" w:fill="auto"/>
            <w:vAlign w:val="center"/>
          </w:tcPr>
          <w:p w14:paraId="20299F93" w14:textId="77777777" w:rsidR="00AB6191" w:rsidRPr="0001127D" w:rsidRDefault="00AB6191" w:rsidP="00AB6191">
            <w:pPr>
              <w:jc w:val="center"/>
              <w:rPr>
                <w:noProof/>
                <w:sz w:val="18"/>
                <w:szCs w:val="18"/>
              </w:rPr>
            </w:pPr>
            <w:r w:rsidRPr="0001127D">
              <w:rPr>
                <w:noProof/>
                <w:sz w:val="18"/>
              </w:rPr>
              <w:t>Costo</w:t>
            </w:r>
          </w:p>
        </w:tc>
        <w:tc>
          <w:tcPr>
            <w:tcW w:w="432" w:type="dxa"/>
            <w:tcBorders>
              <w:right w:val="dashSmallGap" w:sz="4" w:space="0" w:color="auto"/>
            </w:tcBorders>
            <w:shd w:val="pct10" w:color="auto" w:fill="auto"/>
            <w:textDirection w:val="btLr"/>
            <w:vAlign w:val="center"/>
          </w:tcPr>
          <w:p w14:paraId="77DB9002" w14:textId="77777777" w:rsidR="00AB6191" w:rsidRPr="0001127D" w:rsidRDefault="00AB6191" w:rsidP="00AB6191">
            <w:pPr>
              <w:ind w:left="113" w:right="113"/>
              <w:jc w:val="center"/>
              <w:rPr>
                <w:noProof/>
                <w:sz w:val="18"/>
                <w:szCs w:val="18"/>
              </w:rPr>
            </w:pPr>
            <w:r w:rsidRPr="0001127D">
              <w:rPr>
                <w:noProof/>
                <w:sz w:val="18"/>
              </w:rPr>
              <w:t>N.</w:t>
            </w:r>
          </w:p>
        </w:tc>
        <w:tc>
          <w:tcPr>
            <w:tcW w:w="720" w:type="dxa"/>
            <w:tcBorders>
              <w:left w:val="dashSmallGap" w:sz="4" w:space="0" w:color="auto"/>
            </w:tcBorders>
            <w:shd w:val="pct10" w:color="auto" w:fill="auto"/>
            <w:vAlign w:val="center"/>
          </w:tcPr>
          <w:p w14:paraId="3D30931D" w14:textId="77777777" w:rsidR="00AB6191" w:rsidRPr="0001127D" w:rsidRDefault="00AB6191" w:rsidP="00AB6191">
            <w:pPr>
              <w:jc w:val="center"/>
              <w:rPr>
                <w:noProof/>
                <w:sz w:val="18"/>
                <w:szCs w:val="18"/>
              </w:rPr>
            </w:pPr>
            <w:r w:rsidRPr="0001127D">
              <w:rPr>
                <w:noProof/>
                <w:sz w:val="18"/>
              </w:rPr>
              <w:t>Costo</w:t>
            </w:r>
          </w:p>
        </w:tc>
        <w:tc>
          <w:tcPr>
            <w:tcW w:w="540" w:type="dxa"/>
            <w:tcBorders>
              <w:right w:val="dashSmallGap" w:sz="4" w:space="0" w:color="auto"/>
            </w:tcBorders>
            <w:shd w:val="pct10" w:color="auto" w:fill="auto"/>
            <w:textDirection w:val="btLr"/>
            <w:vAlign w:val="center"/>
          </w:tcPr>
          <w:p w14:paraId="0B889914" w14:textId="77777777" w:rsidR="00AB6191" w:rsidRPr="0001127D" w:rsidRDefault="00AB6191" w:rsidP="00AB6191">
            <w:pPr>
              <w:ind w:left="113" w:right="113"/>
              <w:jc w:val="center"/>
              <w:rPr>
                <w:noProof/>
                <w:sz w:val="18"/>
                <w:szCs w:val="18"/>
              </w:rPr>
            </w:pPr>
            <w:r w:rsidRPr="0001127D">
              <w:rPr>
                <w:noProof/>
                <w:sz w:val="18"/>
              </w:rPr>
              <w:t>N.</w:t>
            </w:r>
          </w:p>
        </w:tc>
        <w:tc>
          <w:tcPr>
            <w:tcW w:w="720" w:type="dxa"/>
            <w:tcBorders>
              <w:left w:val="dashSmallGap" w:sz="4" w:space="0" w:color="auto"/>
            </w:tcBorders>
            <w:shd w:val="pct10" w:color="auto" w:fill="auto"/>
            <w:vAlign w:val="center"/>
          </w:tcPr>
          <w:p w14:paraId="12654A11" w14:textId="77777777" w:rsidR="00AB6191" w:rsidRPr="0001127D" w:rsidRDefault="00AB6191" w:rsidP="00AB6191">
            <w:pPr>
              <w:jc w:val="center"/>
              <w:rPr>
                <w:noProof/>
                <w:sz w:val="18"/>
                <w:szCs w:val="18"/>
              </w:rPr>
            </w:pPr>
            <w:r w:rsidRPr="0001127D">
              <w:rPr>
                <w:noProof/>
                <w:sz w:val="18"/>
              </w:rPr>
              <w:t>Costo</w:t>
            </w:r>
          </w:p>
        </w:tc>
        <w:tc>
          <w:tcPr>
            <w:tcW w:w="720" w:type="dxa"/>
            <w:tcBorders>
              <w:right w:val="dashSmallGap" w:sz="4" w:space="0" w:color="auto"/>
            </w:tcBorders>
            <w:shd w:val="pct10" w:color="auto" w:fill="auto"/>
            <w:vAlign w:val="center"/>
          </w:tcPr>
          <w:p w14:paraId="52D731AF" w14:textId="77777777" w:rsidR="00AB6191" w:rsidRPr="0001127D" w:rsidRDefault="00AB6191" w:rsidP="00AB6191">
            <w:pPr>
              <w:jc w:val="center"/>
              <w:rPr>
                <w:noProof/>
                <w:sz w:val="18"/>
                <w:szCs w:val="18"/>
              </w:rPr>
            </w:pPr>
            <w:r w:rsidRPr="0001127D">
              <w:rPr>
                <w:noProof/>
                <w:sz w:val="18"/>
              </w:rPr>
              <w:t>N. totale</w:t>
            </w:r>
          </w:p>
        </w:tc>
        <w:tc>
          <w:tcPr>
            <w:tcW w:w="900" w:type="dxa"/>
            <w:tcBorders>
              <w:left w:val="dashSmallGap" w:sz="4" w:space="0" w:color="auto"/>
            </w:tcBorders>
            <w:shd w:val="pct10" w:color="auto" w:fill="auto"/>
            <w:vAlign w:val="center"/>
          </w:tcPr>
          <w:p w14:paraId="2499F9AB" w14:textId="77777777" w:rsidR="00AB6191" w:rsidRPr="0001127D" w:rsidRDefault="00AB6191" w:rsidP="00AB6191">
            <w:pPr>
              <w:jc w:val="center"/>
              <w:rPr>
                <w:noProof/>
                <w:sz w:val="18"/>
                <w:szCs w:val="18"/>
              </w:rPr>
            </w:pPr>
            <w:r w:rsidRPr="0001127D">
              <w:rPr>
                <w:noProof/>
                <w:sz w:val="18"/>
              </w:rPr>
              <w:t>Costo totale</w:t>
            </w:r>
          </w:p>
        </w:tc>
      </w:tr>
      <w:tr w:rsidR="00AB6191" w:rsidRPr="0001127D" w14:paraId="539285D8" w14:textId="77777777" w:rsidTr="00AB6191">
        <w:trPr>
          <w:jc w:val="center"/>
        </w:trPr>
        <w:tc>
          <w:tcPr>
            <w:tcW w:w="2844" w:type="dxa"/>
            <w:gridSpan w:val="3"/>
            <w:vAlign w:val="center"/>
          </w:tcPr>
          <w:p w14:paraId="591B6741" w14:textId="68C3DF2B" w:rsidR="00AB6191" w:rsidRPr="0001127D" w:rsidRDefault="00AB6191" w:rsidP="00AB6191">
            <w:pPr>
              <w:spacing w:before="60" w:after="60"/>
              <w:ind w:right="-29"/>
              <w:jc w:val="center"/>
              <w:rPr>
                <w:noProof/>
                <w:sz w:val="18"/>
                <w:szCs w:val="18"/>
              </w:rPr>
            </w:pPr>
            <w:r w:rsidRPr="0001127D">
              <w:rPr>
                <w:noProof/>
                <w:sz w:val="18"/>
              </w:rPr>
              <w:t>OBIETTIVO SPECIFICO 1</w:t>
            </w:r>
            <w:r w:rsidRPr="0001127D">
              <w:rPr>
                <w:rStyle w:val="FootnoteReference"/>
                <w:noProof/>
              </w:rPr>
              <w:footnoteReference w:id="78"/>
            </w:r>
            <w:r w:rsidR="00C5142C" w:rsidRPr="0001127D">
              <w:rPr>
                <w:noProof/>
                <w:sz w:val="18"/>
              </w:rPr>
              <w:t xml:space="preserve"> </w:t>
            </w:r>
            <w:r w:rsidRPr="0001127D">
              <w:rPr>
                <w:noProof/>
                <w:sz w:val="18"/>
              </w:rPr>
              <w:t>Estendere la portata dell</w:t>
            </w:r>
            <w:r w:rsidR="00E64452" w:rsidRPr="0001127D">
              <w:rPr>
                <w:noProof/>
                <w:sz w:val="18"/>
              </w:rPr>
              <w:t>'</w:t>
            </w:r>
            <w:r w:rsidRPr="0001127D">
              <w:rPr>
                <w:noProof/>
                <w:sz w:val="18"/>
              </w:rPr>
              <w:t>attuale sistema di interconnessione dei registri delle imprese (BRIS)</w:t>
            </w:r>
          </w:p>
        </w:tc>
        <w:tc>
          <w:tcPr>
            <w:tcW w:w="504" w:type="dxa"/>
            <w:tcBorders>
              <w:top w:val="nil"/>
              <w:left w:val="nil"/>
              <w:bottom w:val="nil"/>
              <w:right w:val="nil"/>
            </w:tcBorders>
          </w:tcPr>
          <w:p w14:paraId="0B550202"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573AAE96" w14:textId="77777777" w:rsidR="00AB6191" w:rsidRPr="0001127D"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0148A29D"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5A9306A6"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5572EF30"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354EE46C" w14:textId="77777777" w:rsidR="00AB6191" w:rsidRPr="0001127D"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2E9DD0DD" w14:textId="77777777" w:rsidR="00AB6191" w:rsidRPr="0001127D" w:rsidRDefault="00AB6191" w:rsidP="00AB6191">
            <w:pPr>
              <w:spacing w:before="60" w:after="60"/>
              <w:ind w:right="-29"/>
              <w:jc w:val="center"/>
              <w:rPr>
                <w:noProof/>
                <w:sz w:val="18"/>
                <w:szCs w:val="18"/>
              </w:rPr>
            </w:pPr>
          </w:p>
        </w:tc>
        <w:tc>
          <w:tcPr>
            <w:tcW w:w="720" w:type="dxa"/>
            <w:gridSpan w:val="2"/>
            <w:tcBorders>
              <w:top w:val="nil"/>
              <w:left w:val="nil"/>
              <w:bottom w:val="nil"/>
              <w:right w:val="nil"/>
            </w:tcBorders>
          </w:tcPr>
          <w:p w14:paraId="776268A7" w14:textId="77777777" w:rsidR="00AB6191" w:rsidRPr="0001127D"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1555BB9E" w14:textId="77777777" w:rsidR="00AB6191" w:rsidRPr="0001127D" w:rsidRDefault="00AB6191" w:rsidP="00AB6191">
            <w:pPr>
              <w:spacing w:before="60" w:after="60"/>
              <w:ind w:right="-29"/>
              <w:jc w:val="center"/>
              <w:rPr>
                <w:noProof/>
                <w:sz w:val="18"/>
                <w:szCs w:val="18"/>
              </w:rPr>
            </w:pPr>
          </w:p>
        </w:tc>
        <w:tc>
          <w:tcPr>
            <w:tcW w:w="648" w:type="dxa"/>
            <w:tcBorders>
              <w:top w:val="nil"/>
              <w:left w:val="nil"/>
              <w:bottom w:val="nil"/>
              <w:right w:val="nil"/>
            </w:tcBorders>
          </w:tcPr>
          <w:p w14:paraId="150B5413" w14:textId="77777777" w:rsidR="00AB6191" w:rsidRPr="0001127D" w:rsidRDefault="00AB6191" w:rsidP="00AB6191">
            <w:pPr>
              <w:spacing w:before="60" w:after="60"/>
              <w:ind w:right="-29"/>
              <w:jc w:val="center"/>
              <w:rPr>
                <w:noProof/>
                <w:sz w:val="18"/>
                <w:szCs w:val="18"/>
              </w:rPr>
            </w:pPr>
          </w:p>
        </w:tc>
        <w:tc>
          <w:tcPr>
            <w:tcW w:w="432" w:type="dxa"/>
            <w:tcBorders>
              <w:top w:val="nil"/>
              <w:left w:val="nil"/>
              <w:bottom w:val="nil"/>
              <w:right w:val="nil"/>
            </w:tcBorders>
          </w:tcPr>
          <w:p w14:paraId="6EA50ECD"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4D35CDA0" w14:textId="77777777" w:rsidR="00AB6191" w:rsidRPr="0001127D"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241E5668"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3AE5A11C"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16627409" w14:textId="77777777" w:rsidR="00AB6191" w:rsidRPr="0001127D"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5A0A2DF9" w14:textId="77777777" w:rsidR="00AB6191" w:rsidRPr="0001127D" w:rsidRDefault="00AB6191" w:rsidP="00AB6191">
            <w:pPr>
              <w:spacing w:before="60" w:after="60"/>
              <w:ind w:right="-29"/>
              <w:jc w:val="center"/>
              <w:rPr>
                <w:noProof/>
                <w:sz w:val="18"/>
                <w:szCs w:val="18"/>
              </w:rPr>
            </w:pPr>
          </w:p>
        </w:tc>
      </w:tr>
      <w:tr w:rsidR="00AB6191" w:rsidRPr="0001127D" w14:paraId="62C8B0F2" w14:textId="77777777" w:rsidTr="008977A7">
        <w:trPr>
          <w:trHeight w:hRule="exact" w:val="644"/>
          <w:jc w:val="center"/>
        </w:trPr>
        <w:tc>
          <w:tcPr>
            <w:tcW w:w="1423" w:type="dxa"/>
          </w:tcPr>
          <w:p w14:paraId="372587E3" w14:textId="77777777" w:rsidR="00AB6191" w:rsidRPr="0001127D" w:rsidRDefault="00AB6191" w:rsidP="00AB6191">
            <w:pPr>
              <w:ind w:right="-29"/>
              <w:jc w:val="center"/>
              <w:rPr>
                <w:noProof/>
                <w:sz w:val="18"/>
                <w:szCs w:val="18"/>
              </w:rPr>
            </w:pPr>
            <w:r w:rsidRPr="0001127D">
              <w:rPr>
                <w:noProof/>
                <w:sz w:val="18"/>
              </w:rPr>
              <w:t>- Risultato</w:t>
            </w:r>
          </w:p>
        </w:tc>
        <w:tc>
          <w:tcPr>
            <w:tcW w:w="720" w:type="dxa"/>
          </w:tcPr>
          <w:p w14:paraId="35DACFD4" w14:textId="77777777" w:rsidR="00AB6191" w:rsidRPr="0001127D" w:rsidRDefault="00AB6191" w:rsidP="00AB6191">
            <w:pPr>
              <w:ind w:right="-29"/>
              <w:jc w:val="center"/>
              <w:rPr>
                <w:noProof/>
                <w:sz w:val="18"/>
                <w:szCs w:val="18"/>
              </w:rPr>
            </w:pPr>
            <w:r w:rsidRPr="0001127D">
              <w:rPr>
                <w:noProof/>
                <w:sz w:val="18"/>
              </w:rPr>
              <w:t>Sist. inf.</w:t>
            </w:r>
          </w:p>
        </w:tc>
        <w:tc>
          <w:tcPr>
            <w:tcW w:w="701" w:type="dxa"/>
          </w:tcPr>
          <w:p w14:paraId="2663D2FB" w14:textId="77777777" w:rsidR="00AB6191" w:rsidRPr="0001127D" w:rsidRDefault="00AB6191" w:rsidP="00AB6191">
            <w:pPr>
              <w:ind w:right="-29"/>
              <w:jc w:val="center"/>
              <w:rPr>
                <w:noProof/>
                <w:sz w:val="18"/>
                <w:szCs w:val="18"/>
              </w:rPr>
            </w:pPr>
            <w:r w:rsidRPr="0001127D">
              <w:rPr>
                <w:noProof/>
                <w:sz w:val="18"/>
              </w:rPr>
              <w:t>2,000</w:t>
            </w:r>
          </w:p>
        </w:tc>
        <w:tc>
          <w:tcPr>
            <w:tcW w:w="504" w:type="dxa"/>
            <w:tcBorders>
              <w:right w:val="dashSmallGap" w:sz="4" w:space="0" w:color="auto"/>
            </w:tcBorders>
          </w:tcPr>
          <w:p w14:paraId="5EA1AE4A" w14:textId="77777777" w:rsidR="00AB6191" w:rsidRPr="0001127D" w:rsidRDefault="00AB6191" w:rsidP="00AB6191">
            <w:pPr>
              <w:ind w:right="-29"/>
              <w:jc w:val="center"/>
              <w:rPr>
                <w:noProof/>
                <w:sz w:val="18"/>
                <w:szCs w:val="18"/>
              </w:rPr>
            </w:pPr>
            <w:r w:rsidRPr="0001127D">
              <w:rPr>
                <w:noProof/>
                <w:sz w:val="18"/>
              </w:rPr>
              <w:t>1</w:t>
            </w:r>
          </w:p>
        </w:tc>
        <w:tc>
          <w:tcPr>
            <w:tcW w:w="720" w:type="dxa"/>
            <w:tcBorders>
              <w:left w:val="dashSmallGap" w:sz="4" w:space="0" w:color="auto"/>
            </w:tcBorders>
          </w:tcPr>
          <w:p w14:paraId="7BA8352E" w14:textId="77777777" w:rsidR="00AB6191" w:rsidRPr="0001127D" w:rsidRDefault="00AB6191" w:rsidP="00AB6191">
            <w:pPr>
              <w:ind w:right="-29"/>
              <w:jc w:val="center"/>
              <w:rPr>
                <w:noProof/>
                <w:sz w:val="18"/>
                <w:szCs w:val="18"/>
              </w:rPr>
            </w:pPr>
            <w:r w:rsidRPr="0001127D">
              <w:rPr>
                <w:noProof/>
                <w:sz w:val="18"/>
              </w:rPr>
              <w:t>2,000</w:t>
            </w:r>
          </w:p>
        </w:tc>
        <w:tc>
          <w:tcPr>
            <w:tcW w:w="540" w:type="dxa"/>
            <w:tcBorders>
              <w:right w:val="dashSmallGap" w:sz="4" w:space="0" w:color="auto"/>
            </w:tcBorders>
          </w:tcPr>
          <w:p w14:paraId="7F0D1FEA" w14:textId="77777777" w:rsidR="00AB6191" w:rsidRPr="0001127D" w:rsidRDefault="00AB6191" w:rsidP="00AB6191">
            <w:pPr>
              <w:ind w:right="-29"/>
              <w:jc w:val="center"/>
              <w:rPr>
                <w:noProof/>
                <w:sz w:val="18"/>
                <w:szCs w:val="18"/>
              </w:rPr>
            </w:pPr>
            <w:r w:rsidRPr="0001127D">
              <w:rPr>
                <w:noProof/>
                <w:sz w:val="18"/>
              </w:rPr>
              <w:t>1</w:t>
            </w:r>
          </w:p>
        </w:tc>
        <w:tc>
          <w:tcPr>
            <w:tcW w:w="720" w:type="dxa"/>
            <w:tcBorders>
              <w:left w:val="dashSmallGap" w:sz="4" w:space="0" w:color="auto"/>
            </w:tcBorders>
          </w:tcPr>
          <w:p w14:paraId="358E5E1A" w14:textId="77777777" w:rsidR="00AB6191" w:rsidRPr="0001127D" w:rsidRDefault="00AB6191" w:rsidP="00AB6191">
            <w:pPr>
              <w:ind w:right="-29"/>
              <w:jc w:val="center"/>
              <w:rPr>
                <w:noProof/>
                <w:sz w:val="18"/>
                <w:szCs w:val="18"/>
              </w:rPr>
            </w:pPr>
            <w:r w:rsidRPr="0001127D">
              <w:rPr>
                <w:noProof/>
                <w:sz w:val="18"/>
              </w:rPr>
              <w:t>2,000</w:t>
            </w:r>
          </w:p>
        </w:tc>
        <w:tc>
          <w:tcPr>
            <w:tcW w:w="720" w:type="dxa"/>
            <w:tcBorders>
              <w:right w:val="dashSmallGap" w:sz="4" w:space="0" w:color="auto"/>
            </w:tcBorders>
          </w:tcPr>
          <w:p w14:paraId="31BCDC4B" w14:textId="77777777" w:rsidR="00AB6191" w:rsidRPr="0001127D" w:rsidRDefault="00AB6191" w:rsidP="00AB6191">
            <w:pPr>
              <w:ind w:right="-29"/>
              <w:jc w:val="center"/>
              <w:rPr>
                <w:noProof/>
                <w:sz w:val="18"/>
                <w:szCs w:val="18"/>
              </w:rPr>
            </w:pPr>
            <w:r w:rsidRPr="0001127D">
              <w:rPr>
                <w:noProof/>
                <w:sz w:val="18"/>
              </w:rPr>
              <w:t>1</w:t>
            </w:r>
          </w:p>
        </w:tc>
        <w:tc>
          <w:tcPr>
            <w:tcW w:w="720" w:type="dxa"/>
            <w:tcBorders>
              <w:left w:val="dashSmallGap" w:sz="4" w:space="0" w:color="auto"/>
            </w:tcBorders>
          </w:tcPr>
          <w:p w14:paraId="355C02B6" w14:textId="77777777" w:rsidR="00AB6191" w:rsidRPr="0001127D" w:rsidRDefault="00AB6191" w:rsidP="00AB6191">
            <w:pPr>
              <w:ind w:right="-29"/>
              <w:jc w:val="center"/>
              <w:rPr>
                <w:noProof/>
                <w:sz w:val="18"/>
                <w:szCs w:val="18"/>
              </w:rPr>
            </w:pPr>
            <w:r w:rsidRPr="0001127D">
              <w:rPr>
                <w:noProof/>
                <w:sz w:val="18"/>
              </w:rPr>
              <w:t>2,000</w:t>
            </w:r>
          </w:p>
        </w:tc>
        <w:tc>
          <w:tcPr>
            <w:tcW w:w="900" w:type="dxa"/>
            <w:tcBorders>
              <w:right w:val="dashSmallGap" w:sz="4" w:space="0" w:color="auto"/>
            </w:tcBorders>
          </w:tcPr>
          <w:p w14:paraId="25E0D550" w14:textId="77777777" w:rsidR="00AB6191" w:rsidRPr="0001127D" w:rsidRDefault="00AB6191" w:rsidP="00AB6191">
            <w:pPr>
              <w:ind w:right="-29"/>
              <w:jc w:val="center"/>
              <w:rPr>
                <w:noProof/>
                <w:sz w:val="18"/>
                <w:szCs w:val="18"/>
              </w:rPr>
            </w:pPr>
          </w:p>
        </w:tc>
        <w:tc>
          <w:tcPr>
            <w:tcW w:w="720" w:type="dxa"/>
            <w:gridSpan w:val="2"/>
            <w:tcBorders>
              <w:left w:val="dashSmallGap" w:sz="4" w:space="0" w:color="auto"/>
            </w:tcBorders>
          </w:tcPr>
          <w:p w14:paraId="3D6425B2" w14:textId="77777777" w:rsidR="00AB6191" w:rsidRPr="0001127D" w:rsidRDefault="00AB6191" w:rsidP="00AB6191">
            <w:pPr>
              <w:ind w:right="-29"/>
              <w:jc w:val="center"/>
              <w:rPr>
                <w:noProof/>
                <w:sz w:val="18"/>
                <w:szCs w:val="18"/>
              </w:rPr>
            </w:pPr>
          </w:p>
        </w:tc>
        <w:tc>
          <w:tcPr>
            <w:tcW w:w="540" w:type="dxa"/>
            <w:tcBorders>
              <w:right w:val="dashSmallGap" w:sz="4" w:space="0" w:color="auto"/>
            </w:tcBorders>
          </w:tcPr>
          <w:p w14:paraId="4606EA04" w14:textId="77777777" w:rsidR="00AB6191" w:rsidRPr="0001127D" w:rsidRDefault="00AB6191" w:rsidP="00AB6191">
            <w:pPr>
              <w:ind w:right="-29"/>
              <w:jc w:val="center"/>
              <w:rPr>
                <w:noProof/>
                <w:sz w:val="18"/>
                <w:szCs w:val="18"/>
              </w:rPr>
            </w:pPr>
          </w:p>
        </w:tc>
        <w:tc>
          <w:tcPr>
            <w:tcW w:w="648" w:type="dxa"/>
            <w:tcBorders>
              <w:left w:val="dashSmallGap" w:sz="4" w:space="0" w:color="auto"/>
            </w:tcBorders>
          </w:tcPr>
          <w:p w14:paraId="124C78D1" w14:textId="77777777" w:rsidR="00AB6191" w:rsidRPr="0001127D" w:rsidRDefault="00AB6191" w:rsidP="00AB6191">
            <w:pPr>
              <w:ind w:right="-29"/>
              <w:jc w:val="center"/>
              <w:rPr>
                <w:noProof/>
                <w:sz w:val="18"/>
                <w:szCs w:val="18"/>
              </w:rPr>
            </w:pPr>
          </w:p>
        </w:tc>
        <w:tc>
          <w:tcPr>
            <w:tcW w:w="432" w:type="dxa"/>
            <w:tcBorders>
              <w:right w:val="dashSmallGap" w:sz="4" w:space="0" w:color="auto"/>
            </w:tcBorders>
          </w:tcPr>
          <w:p w14:paraId="1AC3A9D8" w14:textId="77777777" w:rsidR="00AB6191" w:rsidRPr="0001127D" w:rsidRDefault="00AB6191" w:rsidP="00AB6191">
            <w:pPr>
              <w:ind w:right="-29"/>
              <w:jc w:val="center"/>
              <w:rPr>
                <w:noProof/>
                <w:sz w:val="18"/>
                <w:szCs w:val="18"/>
              </w:rPr>
            </w:pPr>
          </w:p>
        </w:tc>
        <w:tc>
          <w:tcPr>
            <w:tcW w:w="720" w:type="dxa"/>
            <w:tcBorders>
              <w:left w:val="dashSmallGap" w:sz="4" w:space="0" w:color="auto"/>
            </w:tcBorders>
          </w:tcPr>
          <w:p w14:paraId="5F57749F" w14:textId="77777777" w:rsidR="00AB6191" w:rsidRPr="0001127D" w:rsidRDefault="00AB6191" w:rsidP="00AB6191">
            <w:pPr>
              <w:ind w:right="-29"/>
              <w:jc w:val="center"/>
              <w:rPr>
                <w:noProof/>
                <w:sz w:val="18"/>
                <w:szCs w:val="18"/>
              </w:rPr>
            </w:pPr>
          </w:p>
        </w:tc>
        <w:tc>
          <w:tcPr>
            <w:tcW w:w="540" w:type="dxa"/>
            <w:tcBorders>
              <w:right w:val="dashSmallGap" w:sz="4" w:space="0" w:color="auto"/>
            </w:tcBorders>
          </w:tcPr>
          <w:p w14:paraId="3921D799" w14:textId="77777777" w:rsidR="00AB6191" w:rsidRPr="0001127D" w:rsidRDefault="00AB6191" w:rsidP="00AB6191">
            <w:pPr>
              <w:ind w:right="-29"/>
              <w:jc w:val="center"/>
              <w:rPr>
                <w:noProof/>
                <w:sz w:val="18"/>
                <w:szCs w:val="18"/>
              </w:rPr>
            </w:pPr>
          </w:p>
        </w:tc>
        <w:tc>
          <w:tcPr>
            <w:tcW w:w="720" w:type="dxa"/>
            <w:tcBorders>
              <w:left w:val="dashSmallGap" w:sz="4" w:space="0" w:color="auto"/>
            </w:tcBorders>
          </w:tcPr>
          <w:p w14:paraId="6258C845" w14:textId="77777777" w:rsidR="00AB6191" w:rsidRPr="0001127D" w:rsidRDefault="00AB6191" w:rsidP="00AB6191">
            <w:pPr>
              <w:ind w:right="-29"/>
              <w:jc w:val="center"/>
              <w:rPr>
                <w:noProof/>
                <w:sz w:val="18"/>
                <w:szCs w:val="18"/>
              </w:rPr>
            </w:pPr>
          </w:p>
        </w:tc>
        <w:tc>
          <w:tcPr>
            <w:tcW w:w="720" w:type="dxa"/>
          </w:tcPr>
          <w:p w14:paraId="0307E80C" w14:textId="77777777" w:rsidR="00AB6191" w:rsidRPr="0001127D" w:rsidRDefault="00AB6191" w:rsidP="00AB6191">
            <w:pPr>
              <w:ind w:right="-29"/>
              <w:jc w:val="center"/>
              <w:rPr>
                <w:noProof/>
                <w:sz w:val="18"/>
                <w:szCs w:val="18"/>
              </w:rPr>
            </w:pPr>
          </w:p>
        </w:tc>
        <w:tc>
          <w:tcPr>
            <w:tcW w:w="900" w:type="dxa"/>
          </w:tcPr>
          <w:p w14:paraId="615DB3D4" w14:textId="77777777" w:rsidR="00AB6191" w:rsidRPr="0001127D" w:rsidRDefault="00AB6191" w:rsidP="00AB6191">
            <w:pPr>
              <w:ind w:right="-29"/>
              <w:jc w:val="center"/>
              <w:rPr>
                <w:noProof/>
                <w:sz w:val="18"/>
                <w:szCs w:val="18"/>
              </w:rPr>
            </w:pPr>
          </w:p>
        </w:tc>
      </w:tr>
      <w:tr w:rsidR="00AB6191" w:rsidRPr="0001127D" w14:paraId="17D04AF5" w14:textId="77777777" w:rsidTr="00AB6191">
        <w:trPr>
          <w:trHeight w:hRule="exact" w:val="369"/>
          <w:jc w:val="center"/>
        </w:trPr>
        <w:tc>
          <w:tcPr>
            <w:tcW w:w="1423" w:type="dxa"/>
          </w:tcPr>
          <w:p w14:paraId="48391818" w14:textId="77777777" w:rsidR="00AB6191" w:rsidRPr="0001127D" w:rsidRDefault="00AB6191" w:rsidP="00AB6191">
            <w:pPr>
              <w:ind w:right="-29"/>
              <w:jc w:val="center"/>
              <w:rPr>
                <w:noProof/>
                <w:sz w:val="18"/>
                <w:szCs w:val="18"/>
              </w:rPr>
            </w:pPr>
            <w:r w:rsidRPr="0001127D">
              <w:rPr>
                <w:noProof/>
                <w:sz w:val="18"/>
              </w:rPr>
              <w:t>- Risultato</w:t>
            </w:r>
          </w:p>
        </w:tc>
        <w:tc>
          <w:tcPr>
            <w:tcW w:w="720" w:type="dxa"/>
          </w:tcPr>
          <w:p w14:paraId="515E24F0" w14:textId="77777777" w:rsidR="00AB6191" w:rsidRPr="0001127D" w:rsidRDefault="00AB6191" w:rsidP="00AB6191">
            <w:pPr>
              <w:ind w:right="-29"/>
              <w:jc w:val="center"/>
              <w:rPr>
                <w:noProof/>
                <w:sz w:val="18"/>
                <w:szCs w:val="18"/>
              </w:rPr>
            </w:pPr>
          </w:p>
        </w:tc>
        <w:tc>
          <w:tcPr>
            <w:tcW w:w="701" w:type="dxa"/>
          </w:tcPr>
          <w:p w14:paraId="23BBEB53" w14:textId="77777777" w:rsidR="00AB6191" w:rsidRPr="0001127D" w:rsidRDefault="00AB6191" w:rsidP="00AB6191">
            <w:pPr>
              <w:ind w:right="-29"/>
              <w:jc w:val="center"/>
              <w:rPr>
                <w:noProof/>
                <w:sz w:val="18"/>
                <w:szCs w:val="18"/>
              </w:rPr>
            </w:pPr>
          </w:p>
        </w:tc>
        <w:tc>
          <w:tcPr>
            <w:tcW w:w="504" w:type="dxa"/>
            <w:tcBorders>
              <w:right w:val="dashSmallGap" w:sz="4" w:space="0" w:color="auto"/>
            </w:tcBorders>
          </w:tcPr>
          <w:p w14:paraId="7B3F8459" w14:textId="77777777" w:rsidR="00AB6191" w:rsidRPr="0001127D" w:rsidRDefault="00AB6191" w:rsidP="00AB6191">
            <w:pPr>
              <w:ind w:right="-29"/>
              <w:jc w:val="center"/>
              <w:rPr>
                <w:noProof/>
                <w:sz w:val="18"/>
                <w:szCs w:val="18"/>
              </w:rPr>
            </w:pPr>
          </w:p>
        </w:tc>
        <w:tc>
          <w:tcPr>
            <w:tcW w:w="720" w:type="dxa"/>
            <w:tcBorders>
              <w:left w:val="dashSmallGap" w:sz="4" w:space="0" w:color="auto"/>
            </w:tcBorders>
          </w:tcPr>
          <w:p w14:paraId="4EC5492F" w14:textId="77777777" w:rsidR="00AB6191" w:rsidRPr="0001127D" w:rsidRDefault="00AB6191" w:rsidP="00AB6191">
            <w:pPr>
              <w:ind w:right="-29"/>
              <w:jc w:val="center"/>
              <w:rPr>
                <w:noProof/>
                <w:sz w:val="18"/>
                <w:szCs w:val="18"/>
              </w:rPr>
            </w:pPr>
          </w:p>
        </w:tc>
        <w:tc>
          <w:tcPr>
            <w:tcW w:w="540" w:type="dxa"/>
            <w:tcBorders>
              <w:right w:val="dashSmallGap" w:sz="4" w:space="0" w:color="auto"/>
            </w:tcBorders>
          </w:tcPr>
          <w:p w14:paraId="01957DD9" w14:textId="77777777" w:rsidR="00AB6191" w:rsidRPr="0001127D" w:rsidRDefault="00AB6191" w:rsidP="00AB6191">
            <w:pPr>
              <w:ind w:right="-29"/>
              <w:jc w:val="center"/>
              <w:rPr>
                <w:noProof/>
                <w:sz w:val="18"/>
                <w:szCs w:val="18"/>
              </w:rPr>
            </w:pPr>
          </w:p>
        </w:tc>
        <w:tc>
          <w:tcPr>
            <w:tcW w:w="720" w:type="dxa"/>
            <w:tcBorders>
              <w:left w:val="dashSmallGap" w:sz="4" w:space="0" w:color="auto"/>
            </w:tcBorders>
          </w:tcPr>
          <w:p w14:paraId="5F09A547" w14:textId="77777777" w:rsidR="00AB6191" w:rsidRPr="0001127D" w:rsidRDefault="00AB6191" w:rsidP="00AB6191">
            <w:pPr>
              <w:ind w:right="-29"/>
              <w:jc w:val="center"/>
              <w:rPr>
                <w:noProof/>
                <w:sz w:val="18"/>
                <w:szCs w:val="18"/>
              </w:rPr>
            </w:pPr>
          </w:p>
        </w:tc>
        <w:tc>
          <w:tcPr>
            <w:tcW w:w="720" w:type="dxa"/>
            <w:tcBorders>
              <w:right w:val="dashSmallGap" w:sz="4" w:space="0" w:color="auto"/>
            </w:tcBorders>
          </w:tcPr>
          <w:p w14:paraId="10167E85" w14:textId="77777777" w:rsidR="00AB6191" w:rsidRPr="0001127D" w:rsidRDefault="00AB6191" w:rsidP="00AB6191">
            <w:pPr>
              <w:ind w:right="-29"/>
              <w:jc w:val="center"/>
              <w:rPr>
                <w:noProof/>
                <w:sz w:val="18"/>
                <w:szCs w:val="18"/>
              </w:rPr>
            </w:pPr>
          </w:p>
        </w:tc>
        <w:tc>
          <w:tcPr>
            <w:tcW w:w="720" w:type="dxa"/>
            <w:tcBorders>
              <w:left w:val="dashSmallGap" w:sz="4" w:space="0" w:color="auto"/>
            </w:tcBorders>
          </w:tcPr>
          <w:p w14:paraId="4A007E92" w14:textId="77777777" w:rsidR="00AB6191" w:rsidRPr="0001127D" w:rsidRDefault="00AB6191" w:rsidP="00AB6191">
            <w:pPr>
              <w:ind w:right="-29"/>
              <w:jc w:val="center"/>
              <w:rPr>
                <w:noProof/>
                <w:sz w:val="18"/>
                <w:szCs w:val="18"/>
              </w:rPr>
            </w:pPr>
          </w:p>
        </w:tc>
        <w:tc>
          <w:tcPr>
            <w:tcW w:w="900" w:type="dxa"/>
            <w:tcBorders>
              <w:right w:val="dashSmallGap" w:sz="4" w:space="0" w:color="auto"/>
            </w:tcBorders>
          </w:tcPr>
          <w:p w14:paraId="1004811B" w14:textId="77777777" w:rsidR="00AB6191" w:rsidRPr="0001127D" w:rsidRDefault="00AB6191" w:rsidP="00AB6191">
            <w:pPr>
              <w:ind w:right="-29"/>
              <w:jc w:val="center"/>
              <w:rPr>
                <w:noProof/>
                <w:sz w:val="18"/>
                <w:szCs w:val="18"/>
              </w:rPr>
            </w:pPr>
          </w:p>
        </w:tc>
        <w:tc>
          <w:tcPr>
            <w:tcW w:w="720" w:type="dxa"/>
            <w:gridSpan w:val="2"/>
            <w:tcBorders>
              <w:left w:val="dashSmallGap" w:sz="4" w:space="0" w:color="auto"/>
            </w:tcBorders>
          </w:tcPr>
          <w:p w14:paraId="17D9A906" w14:textId="77777777" w:rsidR="00AB6191" w:rsidRPr="0001127D" w:rsidRDefault="00AB6191" w:rsidP="00AB6191">
            <w:pPr>
              <w:ind w:right="-29"/>
              <w:jc w:val="center"/>
              <w:rPr>
                <w:noProof/>
                <w:sz w:val="18"/>
                <w:szCs w:val="18"/>
              </w:rPr>
            </w:pPr>
          </w:p>
        </w:tc>
        <w:tc>
          <w:tcPr>
            <w:tcW w:w="540" w:type="dxa"/>
            <w:tcBorders>
              <w:right w:val="dashSmallGap" w:sz="4" w:space="0" w:color="auto"/>
            </w:tcBorders>
          </w:tcPr>
          <w:p w14:paraId="14361835" w14:textId="77777777" w:rsidR="00AB6191" w:rsidRPr="0001127D" w:rsidRDefault="00AB6191" w:rsidP="00AB6191">
            <w:pPr>
              <w:ind w:right="-29"/>
              <w:jc w:val="center"/>
              <w:rPr>
                <w:noProof/>
                <w:sz w:val="18"/>
                <w:szCs w:val="18"/>
              </w:rPr>
            </w:pPr>
          </w:p>
        </w:tc>
        <w:tc>
          <w:tcPr>
            <w:tcW w:w="648" w:type="dxa"/>
            <w:tcBorders>
              <w:left w:val="dashSmallGap" w:sz="4" w:space="0" w:color="auto"/>
            </w:tcBorders>
          </w:tcPr>
          <w:p w14:paraId="7A4B789A" w14:textId="77777777" w:rsidR="00AB6191" w:rsidRPr="0001127D" w:rsidRDefault="00AB6191" w:rsidP="00AB6191">
            <w:pPr>
              <w:ind w:right="-29"/>
              <w:jc w:val="center"/>
              <w:rPr>
                <w:noProof/>
                <w:sz w:val="18"/>
                <w:szCs w:val="18"/>
              </w:rPr>
            </w:pPr>
          </w:p>
        </w:tc>
        <w:tc>
          <w:tcPr>
            <w:tcW w:w="432" w:type="dxa"/>
            <w:tcBorders>
              <w:right w:val="dashSmallGap" w:sz="4" w:space="0" w:color="auto"/>
            </w:tcBorders>
          </w:tcPr>
          <w:p w14:paraId="3C5E937F" w14:textId="77777777" w:rsidR="00AB6191" w:rsidRPr="0001127D" w:rsidRDefault="00AB6191" w:rsidP="00AB6191">
            <w:pPr>
              <w:ind w:right="-29"/>
              <w:jc w:val="center"/>
              <w:rPr>
                <w:noProof/>
                <w:sz w:val="18"/>
                <w:szCs w:val="18"/>
              </w:rPr>
            </w:pPr>
          </w:p>
        </w:tc>
        <w:tc>
          <w:tcPr>
            <w:tcW w:w="720" w:type="dxa"/>
            <w:tcBorders>
              <w:left w:val="dashSmallGap" w:sz="4" w:space="0" w:color="auto"/>
            </w:tcBorders>
          </w:tcPr>
          <w:p w14:paraId="134D4A2D" w14:textId="77777777" w:rsidR="00AB6191" w:rsidRPr="0001127D" w:rsidRDefault="00AB6191" w:rsidP="00AB6191">
            <w:pPr>
              <w:ind w:right="-29"/>
              <w:jc w:val="center"/>
              <w:rPr>
                <w:noProof/>
                <w:sz w:val="18"/>
                <w:szCs w:val="18"/>
              </w:rPr>
            </w:pPr>
          </w:p>
        </w:tc>
        <w:tc>
          <w:tcPr>
            <w:tcW w:w="540" w:type="dxa"/>
            <w:tcBorders>
              <w:right w:val="dashSmallGap" w:sz="4" w:space="0" w:color="auto"/>
            </w:tcBorders>
          </w:tcPr>
          <w:p w14:paraId="17236E6D" w14:textId="77777777" w:rsidR="00AB6191" w:rsidRPr="0001127D" w:rsidRDefault="00AB6191" w:rsidP="00AB6191">
            <w:pPr>
              <w:ind w:right="-29"/>
              <w:jc w:val="center"/>
              <w:rPr>
                <w:noProof/>
                <w:sz w:val="18"/>
                <w:szCs w:val="18"/>
              </w:rPr>
            </w:pPr>
          </w:p>
        </w:tc>
        <w:tc>
          <w:tcPr>
            <w:tcW w:w="720" w:type="dxa"/>
            <w:tcBorders>
              <w:left w:val="dashSmallGap" w:sz="4" w:space="0" w:color="auto"/>
            </w:tcBorders>
          </w:tcPr>
          <w:p w14:paraId="4550096A" w14:textId="77777777" w:rsidR="00AB6191" w:rsidRPr="0001127D" w:rsidRDefault="00AB6191" w:rsidP="00AB6191">
            <w:pPr>
              <w:ind w:right="-29"/>
              <w:jc w:val="center"/>
              <w:rPr>
                <w:noProof/>
                <w:sz w:val="18"/>
                <w:szCs w:val="18"/>
              </w:rPr>
            </w:pPr>
          </w:p>
        </w:tc>
        <w:tc>
          <w:tcPr>
            <w:tcW w:w="720" w:type="dxa"/>
          </w:tcPr>
          <w:p w14:paraId="2A85FBBB" w14:textId="77777777" w:rsidR="00AB6191" w:rsidRPr="0001127D" w:rsidRDefault="00AB6191" w:rsidP="00AB6191">
            <w:pPr>
              <w:ind w:right="-29"/>
              <w:jc w:val="center"/>
              <w:rPr>
                <w:noProof/>
                <w:sz w:val="18"/>
                <w:szCs w:val="18"/>
              </w:rPr>
            </w:pPr>
          </w:p>
        </w:tc>
        <w:tc>
          <w:tcPr>
            <w:tcW w:w="900" w:type="dxa"/>
          </w:tcPr>
          <w:p w14:paraId="7116EEB3" w14:textId="77777777" w:rsidR="00AB6191" w:rsidRPr="0001127D" w:rsidRDefault="00AB6191" w:rsidP="00AB6191">
            <w:pPr>
              <w:ind w:right="-29"/>
              <w:jc w:val="center"/>
              <w:rPr>
                <w:noProof/>
                <w:sz w:val="18"/>
                <w:szCs w:val="18"/>
              </w:rPr>
            </w:pPr>
          </w:p>
        </w:tc>
      </w:tr>
      <w:tr w:rsidR="00AB6191" w:rsidRPr="0001127D" w14:paraId="3173F614" w14:textId="77777777" w:rsidTr="00AB6191">
        <w:trPr>
          <w:trHeight w:hRule="exact" w:val="369"/>
          <w:jc w:val="center"/>
        </w:trPr>
        <w:tc>
          <w:tcPr>
            <w:tcW w:w="1423" w:type="dxa"/>
          </w:tcPr>
          <w:p w14:paraId="2CD84B48" w14:textId="77777777" w:rsidR="00AB6191" w:rsidRPr="0001127D" w:rsidRDefault="00AB6191" w:rsidP="00AB6191">
            <w:pPr>
              <w:ind w:right="-29"/>
              <w:jc w:val="center"/>
              <w:rPr>
                <w:noProof/>
                <w:sz w:val="18"/>
                <w:szCs w:val="18"/>
              </w:rPr>
            </w:pPr>
            <w:r w:rsidRPr="0001127D">
              <w:rPr>
                <w:noProof/>
                <w:sz w:val="18"/>
              </w:rPr>
              <w:t>- Risultato</w:t>
            </w:r>
          </w:p>
        </w:tc>
        <w:tc>
          <w:tcPr>
            <w:tcW w:w="720" w:type="dxa"/>
          </w:tcPr>
          <w:p w14:paraId="00CCDE6E" w14:textId="77777777" w:rsidR="00AB6191" w:rsidRPr="0001127D" w:rsidRDefault="00AB6191" w:rsidP="00AB6191">
            <w:pPr>
              <w:ind w:right="-29"/>
              <w:jc w:val="center"/>
              <w:rPr>
                <w:noProof/>
                <w:sz w:val="18"/>
                <w:szCs w:val="18"/>
              </w:rPr>
            </w:pPr>
          </w:p>
        </w:tc>
        <w:tc>
          <w:tcPr>
            <w:tcW w:w="701" w:type="dxa"/>
          </w:tcPr>
          <w:p w14:paraId="4E7DCA32" w14:textId="77777777" w:rsidR="00AB6191" w:rsidRPr="0001127D" w:rsidRDefault="00AB6191" w:rsidP="00AB6191">
            <w:pPr>
              <w:ind w:right="-29"/>
              <w:jc w:val="center"/>
              <w:rPr>
                <w:noProof/>
                <w:sz w:val="18"/>
                <w:szCs w:val="18"/>
              </w:rPr>
            </w:pPr>
          </w:p>
        </w:tc>
        <w:tc>
          <w:tcPr>
            <w:tcW w:w="504" w:type="dxa"/>
          </w:tcPr>
          <w:p w14:paraId="4AC2CEC2" w14:textId="77777777" w:rsidR="00AB6191" w:rsidRPr="0001127D" w:rsidRDefault="00AB6191" w:rsidP="00AB6191">
            <w:pPr>
              <w:ind w:right="-29"/>
              <w:jc w:val="center"/>
              <w:rPr>
                <w:noProof/>
                <w:sz w:val="18"/>
                <w:szCs w:val="18"/>
              </w:rPr>
            </w:pPr>
          </w:p>
        </w:tc>
        <w:tc>
          <w:tcPr>
            <w:tcW w:w="720" w:type="dxa"/>
          </w:tcPr>
          <w:p w14:paraId="2E82D1AD" w14:textId="77777777" w:rsidR="00AB6191" w:rsidRPr="0001127D" w:rsidRDefault="00AB6191" w:rsidP="00AB6191">
            <w:pPr>
              <w:ind w:right="-29"/>
              <w:jc w:val="center"/>
              <w:rPr>
                <w:noProof/>
                <w:sz w:val="18"/>
                <w:szCs w:val="18"/>
              </w:rPr>
            </w:pPr>
          </w:p>
        </w:tc>
        <w:tc>
          <w:tcPr>
            <w:tcW w:w="540" w:type="dxa"/>
          </w:tcPr>
          <w:p w14:paraId="6BB2B495" w14:textId="77777777" w:rsidR="00AB6191" w:rsidRPr="0001127D" w:rsidRDefault="00AB6191" w:rsidP="00AB6191">
            <w:pPr>
              <w:ind w:right="-29"/>
              <w:jc w:val="center"/>
              <w:rPr>
                <w:noProof/>
                <w:sz w:val="18"/>
                <w:szCs w:val="18"/>
              </w:rPr>
            </w:pPr>
          </w:p>
        </w:tc>
        <w:tc>
          <w:tcPr>
            <w:tcW w:w="720" w:type="dxa"/>
          </w:tcPr>
          <w:p w14:paraId="41C6B70F" w14:textId="77777777" w:rsidR="00AB6191" w:rsidRPr="0001127D" w:rsidRDefault="00AB6191" w:rsidP="00AB6191">
            <w:pPr>
              <w:ind w:right="-29"/>
              <w:jc w:val="center"/>
              <w:rPr>
                <w:noProof/>
                <w:sz w:val="18"/>
                <w:szCs w:val="18"/>
              </w:rPr>
            </w:pPr>
          </w:p>
        </w:tc>
        <w:tc>
          <w:tcPr>
            <w:tcW w:w="720" w:type="dxa"/>
          </w:tcPr>
          <w:p w14:paraId="7F6988E5" w14:textId="77777777" w:rsidR="00AB6191" w:rsidRPr="0001127D" w:rsidRDefault="00AB6191" w:rsidP="00AB6191">
            <w:pPr>
              <w:ind w:right="-29"/>
              <w:jc w:val="center"/>
              <w:rPr>
                <w:noProof/>
                <w:sz w:val="18"/>
                <w:szCs w:val="18"/>
              </w:rPr>
            </w:pPr>
          </w:p>
        </w:tc>
        <w:tc>
          <w:tcPr>
            <w:tcW w:w="720" w:type="dxa"/>
          </w:tcPr>
          <w:p w14:paraId="0EB5C037" w14:textId="77777777" w:rsidR="00AB6191" w:rsidRPr="0001127D" w:rsidRDefault="00AB6191" w:rsidP="00AB6191">
            <w:pPr>
              <w:ind w:right="-29"/>
              <w:jc w:val="center"/>
              <w:rPr>
                <w:noProof/>
                <w:sz w:val="18"/>
                <w:szCs w:val="18"/>
              </w:rPr>
            </w:pPr>
          </w:p>
        </w:tc>
        <w:tc>
          <w:tcPr>
            <w:tcW w:w="900" w:type="dxa"/>
          </w:tcPr>
          <w:p w14:paraId="6D9BBDBE" w14:textId="77777777" w:rsidR="00AB6191" w:rsidRPr="0001127D" w:rsidRDefault="00AB6191" w:rsidP="00AB6191">
            <w:pPr>
              <w:ind w:right="-29"/>
              <w:jc w:val="center"/>
              <w:rPr>
                <w:noProof/>
                <w:sz w:val="18"/>
                <w:szCs w:val="18"/>
              </w:rPr>
            </w:pPr>
          </w:p>
        </w:tc>
        <w:tc>
          <w:tcPr>
            <w:tcW w:w="720" w:type="dxa"/>
            <w:gridSpan w:val="2"/>
          </w:tcPr>
          <w:p w14:paraId="0ACB11F8" w14:textId="77777777" w:rsidR="00AB6191" w:rsidRPr="0001127D" w:rsidRDefault="00AB6191" w:rsidP="00AB6191">
            <w:pPr>
              <w:ind w:right="-29"/>
              <w:jc w:val="center"/>
              <w:rPr>
                <w:noProof/>
                <w:sz w:val="18"/>
                <w:szCs w:val="18"/>
              </w:rPr>
            </w:pPr>
          </w:p>
        </w:tc>
        <w:tc>
          <w:tcPr>
            <w:tcW w:w="540" w:type="dxa"/>
          </w:tcPr>
          <w:p w14:paraId="2B7D18F5" w14:textId="77777777" w:rsidR="00AB6191" w:rsidRPr="0001127D" w:rsidRDefault="00AB6191" w:rsidP="00AB6191">
            <w:pPr>
              <w:ind w:right="-29"/>
              <w:jc w:val="center"/>
              <w:rPr>
                <w:noProof/>
                <w:sz w:val="18"/>
                <w:szCs w:val="18"/>
              </w:rPr>
            </w:pPr>
          </w:p>
        </w:tc>
        <w:tc>
          <w:tcPr>
            <w:tcW w:w="648" w:type="dxa"/>
          </w:tcPr>
          <w:p w14:paraId="79333BE1" w14:textId="77777777" w:rsidR="00AB6191" w:rsidRPr="0001127D" w:rsidRDefault="00AB6191" w:rsidP="00AB6191">
            <w:pPr>
              <w:ind w:right="-29"/>
              <w:jc w:val="center"/>
              <w:rPr>
                <w:noProof/>
                <w:sz w:val="18"/>
                <w:szCs w:val="18"/>
              </w:rPr>
            </w:pPr>
          </w:p>
        </w:tc>
        <w:tc>
          <w:tcPr>
            <w:tcW w:w="432" w:type="dxa"/>
          </w:tcPr>
          <w:p w14:paraId="3D8D0E84" w14:textId="77777777" w:rsidR="00AB6191" w:rsidRPr="0001127D" w:rsidRDefault="00AB6191" w:rsidP="00AB6191">
            <w:pPr>
              <w:ind w:right="-29"/>
              <w:jc w:val="center"/>
              <w:rPr>
                <w:noProof/>
                <w:sz w:val="18"/>
                <w:szCs w:val="18"/>
              </w:rPr>
            </w:pPr>
          </w:p>
        </w:tc>
        <w:tc>
          <w:tcPr>
            <w:tcW w:w="720" w:type="dxa"/>
          </w:tcPr>
          <w:p w14:paraId="6772A775" w14:textId="77777777" w:rsidR="00AB6191" w:rsidRPr="0001127D" w:rsidRDefault="00AB6191" w:rsidP="00AB6191">
            <w:pPr>
              <w:ind w:right="-29"/>
              <w:jc w:val="center"/>
              <w:rPr>
                <w:noProof/>
                <w:sz w:val="18"/>
                <w:szCs w:val="18"/>
              </w:rPr>
            </w:pPr>
          </w:p>
        </w:tc>
        <w:tc>
          <w:tcPr>
            <w:tcW w:w="540" w:type="dxa"/>
          </w:tcPr>
          <w:p w14:paraId="348F149D" w14:textId="77777777" w:rsidR="00AB6191" w:rsidRPr="0001127D" w:rsidRDefault="00AB6191" w:rsidP="00AB6191">
            <w:pPr>
              <w:ind w:right="-29"/>
              <w:jc w:val="center"/>
              <w:rPr>
                <w:noProof/>
                <w:sz w:val="18"/>
                <w:szCs w:val="18"/>
              </w:rPr>
            </w:pPr>
          </w:p>
        </w:tc>
        <w:tc>
          <w:tcPr>
            <w:tcW w:w="720" w:type="dxa"/>
          </w:tcPr>
          <w:p w14:paraId="70168E18" w14:textId="77777777" w:rsidR="00AB6191" w:rsidRPr="0001127D" w:rsidRDefault="00AB6191" w:rsidP="00AB6191">
            <w:pPr>
              <w:ind w:right="-29"/>
              <w:jc w:val="center"/>
              <w:rPr>
                <w:noProof/>
                <w:sz w:val="18"/>
                <w:szCs w:val="18"/>
              </w:rPr>
            </w:pPr>
          </w:p>
        </w:tc>
        <w:tc>
          <w:tcPr>
            <w:tcW w:w="720" w:type="dxa"/>
          </w:tcPr>
          <w:p w14:paraId="2C561E5D" w14:textId="77777777" w:rsidR="00AB6191" w:rsidRPr="0001127D" w:rsidRDefault="00AB6191" w:rsidP="00AB6191">
            <w:pPr>
              <w:ind w:right="-29"/>
              <w:jc w:val="center"/>
              <w:rPr>
                <w:noProof/>
                <w:sz w:val="18"/>
                <w:szCs w:val="18"/>
              </w:rPr>
            </w:pPr>
          </w:p>
        </w:tc>
        <w:tc>
          <w:tcPr>
            <w:tcW w:w="900" w:type="dxa"/>
          </w:tcPr>
          <w:p w14:paraId="7ED7A222" w14:textId="77777777" w:rsidR="00AB6191" w:rsidRPr="0001127D" w:rsidRDefault="00AB6191" w:rsidP="00AB6191">
            <w:pPr>
              <w:ind w:right="-29"/>
              <w:jc w:val="center"/>
              <w:rPr>
                <w:noProof/>
                <w:sz w:val="18"/>
                <w:szCs w:val="18"/>
              </w:rPr>
            </w:pPr>
          </w:p>
        </w:tc>
      </w:tr>
      <w:tr w:rsidR="00AB6191" w:rsidRPr="0001127D" w14:paraId="14C206CA" w14:textId="77777777" w:rsidTr="00AB6191">
        <w:trPr>
          <w:trHeight w:val="77"/>
          <w:jc w:val="center"/>
        </w:trPr>
        <w:tc>
          <w:tcPr>
            <w:tcW w:w="2844" w:type="dxa"/>
            <w:gridSpan w:val="3"/>
            <w:tcBorders>
              <w:bottom w:val="single" w:sz="12" w:space="0" w:color="auto"/>
            </w:tcBorders>
            <w:vAlign w:val="center"/>
          </w:tcPr>
          <w:p w14:paraId="48B41D54" w14:textId="77777777" w:rsidR="00AB6191" w:rsidRPr="0001127D" w:rsidRDefault="00AB6191" w:rsidP="00AB6191">
            <w:pPr>
              <w:ind w:right="-29"/>
              <w:jc w:val="center"/>
              <w:rPr>
                <w:noProof/>
                <w:sz w:val="18"/>
                <w:szCs w:val="18"/>
              </w:rPr>
            </w:pPr>
            <w:r w:rsidRPr="0001127D">
              <w:rPr>
                <w:noProof/>
                <w:sz w:val="18"/>
              </w:rPr>
              <w:t>Totale parziale obiettivo specifico 1</w:t>
            </w:r>
          </w:p>
        </w:tc>
        <w:tc>
          <w:tcPr>
            <w:tcW w:w="504" w:type="dxa"/>
            <w:tcBorders>
              <w:bottom w:val="single" w:sz="12" w:space="0" w:color="auto"/>
            </w:tcBorders>
          </w:tcPr>
          <w:p w14:paraId="40D604F8" w14:textId="77777777" w:rsidR="00AB6191" w:rsidRPr="0001127D" w:rsidRDefault="00AB6191" w:rsidP="00AB6191">
            <w:pPr>
              <w:ind w:right="-29"/>
              <w:jc w:val="center"/>
              <w:rPr>
                <w:noProof/>
                <w:sz w:val="18"/>
                <w:szCs w:val="18"/>
              </w:rPr>
            </w:pPr>
            <w:r w:rsidRPr="0001127D">
              <w:rPr>
                <w:noProof/>
                <w:sz w:val="18"/>
              </w:rPr>
              <w:t>1</w:t>
            </w:r>
          </w:p>
        </w:tc>
        <w:tc>
          <w:tcPr>
            <w:tcW w:w="720" w:type="dxa"/>
            <w:tcBorders>
              <w:bottom w:val="single" w:sz="12" w:space="0" w:color="auto"/>
            </w:tcBorders>
          </w:tcPr>
          <w:p w14:paraId="6D8975AF" w14:textId="77777777" w:rsidR="00AB6191" w:rsidRPr="0001127D" w:rsidRDefault="00AB6191" w:rsidP="00AB6191">
            <w:pPr>
              <w:ind w:right="-29"/>
              <w:jc w:val="center"/>
              <w:rPr>
                <w:noProof/>
                <w:sz w:val="18"/>
                <w:szCs w:val="18"/>
              </w:rPr>
            </w:pPr>
            <w:r w:rsidRPr="0001127D">
              <w:rPr>
                <w:noProof/>
                <w:sz w:val="18"/>
              </w:rPr>
              <w:t>2,000</w:t>
            </w:r>
          </w:p>
        </w:tc>
        <w:tc>
          <w:tcPr>
            <w:tcW w:w="540" w:type="dxa"/>
            <w:tcBorders>
              <w:bottom w:val="single" w:sz="12" w:space="0" w:color="auto"/>
            </w:tcBorders>
          </w:tcPr>
          <w:p w14:paraId="4D74A160" w14:textId="77777777" w:rsidR="00AB6191" w:rsidRPr="0001127D" w:rsidRDefault="00AB6191" w:rsidP="00AB6191">
            <w:pPr>
              <w:ind w:right="-29"/>
              <w:jc w:val="center"/>
              <w:rPr>
                <w:noProof/>
                <w:sz w:val="18"/>
                <w:szCs w:val="18"/>
              </w:rPr>
            </w:pPr>
            <w:r w:rsidRPr="0001127D">
              <w:rPr>
                <w:noProof/>
                <w:sz w:val="18"/>
              </w:rPr>
              <w:t>1</w:t>
            </w:r>
          </w:p>
        </w:tc>
        <w:tc>
          <w:tcPr>
            <w:tcW w:w="720" w:type="dxa"/>
            <w:tcBorders>
              <w:bottom w:val="single" w:sz="12" w:space="0" w:color="auto"/>
            </w:tcBorders>
          </w:tcPr>
          <w:p w14:paraId="0E5FC1CF" w14:textId="77777777" w:rsidR="00AB6191" w:rsidRPr="0001127D" w:rsidRDefault="00AB6191" w:rsidP="00AB6191">
            <w:pPr>
              <w:ind w:right="-29"/>
              <w:jc w:val="center"/>
              <w:rPr>
                <w:noProof/>
                <w:sz w:val="18"/>
                <w:szCs w:val="18"/>
              </w:rPr>
            </w:pPr>
            <w:r w:rsidRPr="0001127D">
              <w:rPr>
                <w:noProof/>
                <w:sz w:val="18"/>
              </w:rPr>
              <w:t>2,000</w:t>
            </w:r>
          </w:p>
        </w:tc>
        <w:tc>
          <w:tcPr>
            <w:tcW w:w="720" w:type="dxa"/>
            <w:tcBorders>
              <w:bottom w:val="single" w:sz="12" w:space="0" w:color="auto"/>
            </w:tcBorders>
          </w:tcPr>
          <w:p w14:paraId="0A9AE530" w14:textId="77777777" w:rsidR="00AB6191" w:rsidRPr="0001127D" w:rsidRDefault="00AB6191" w:rsidP="00AB6191">
            <w:pPr>
              <w:ind w:right="-29"/>
              <w:jc w:val="center"/>
              <w:rPr>
                <w:noProof/>
                <w:sz w:val="18"/>
                <w:szCs w:val="18"/>
              </w:rPr>
            </w:pPr>
            <w:r w:rsidRPr="0001127D">
              <w:rPr>
                <w:noProof/>
                <w:sz w:val="18"/>
              </w:rPr>
              <w:t>1</w:t>
            </w:r>
          </w:p>
        </w:tc>
        <w:tc>
          <w:tcPr>
            <w:tcW w:w="720" w:type="dxa"/>
            <w:tcBorders>
              <w:bottom w:val="single" w:sz="12" w:space="0" w:color="auto"/>
            </w:tcBorders>
          </w:tcPr>
          <w:p w14:paraId="735724BF" w14:textId="77777777" w:rsidR="00AB6191" w:rsidRPr="0001127D" w:rsidRDefault="00AB6191" w:rsidP="00AB6191">
            <w:pPr>
              <w:ind w:right="-29"/>
              <w:jc w:val="center"/>
              <w:rPr>
                <w:noProof/>
                <w:sz w:val="18"/>
                <w:szCs w:val="18"/>
              </w:rPr>
            </w:pPr>
            <w:r w:rsidRPr="0001127D">
              <w:rPr>
                <w:noProof/>
                <w:sz w:val="18"/>
              </w:rPr>
              <w:t>2,000</w:t>
            </w:r>
          </w:p>
        </w:tc>
        <w:tc>
          <w:tcPr>
            <w:tcW w:w="900" w:type="dxa"/>
            <w:tcBorders>
              <w:bottom w:val="single" w:sz="12" w:space="0" w:color="auto"/>
            </w:tcBorders>
          </w:tcPr>
          <w:p w14:paraId="7129AA12" w14:textId="77777777" w:rsidR="00AB6191" w:rsidRPr="0001127D" w:rsidRDefault="00AB6191" w:rsidP="00AB6191">
            <w:pPr>
              <w:ind w:right="-29"/>
              <w:jc w:val="center"/>
              <w:rPr>
                <w:noProof/>
                <w:sz w:val="18"/>
                <w:szCs w:val="18"/>
              </w:rPr>
            </w:pPr>
          </w:p>
        </w:tc>
        <w:tc>
          <w:tcPr>
            <w:tcW w:w="720" w:type="dxa"/>
            <w:gridSpan w:val="2"/>
            <w:tcBorders>
              <w:bottom w:val="single" w:sz="12" w:space="0" w:color="auto"/>
            </w:tcBorders>
          </w:tcPr>
          <w:p w14:paraId="666E69F3" w14:textId="77777777" w:rsidR="00AB6191" w:rsidRPr="0001127D" w:rsidRDefault="00AB6191" w:rsidP="00AB6191">
            <w:pPr>
              <w:ind w:right="-29"/>
              <w:jc w:val="center"/>
              <w:rPr>
                <w:noProof/>
                <w:sz w:val="18"/>
                <w:szCs w:val="18"/>
              </w:rPr>
            </w:pPr>
          </w:p>
        </w:tc>
        <w:tc>
          <w:tcPr>
            <w:tcW w:w="540" w:type="dxa"/>
            <w:tcBorders>
              <w:bottom w:val="single" w:sz="12" w:space="0" w:color="auto"/>
            </w:tcBorders>
          </w:tcPr>
          <w:p w14:paraId="34E38165" w14:textId="77777777" w:rsidR="00AB6191" w:rsidRPr="0001127D" w:rsidRDefault="00AB6191" w:rsidP="00AB6191">
            <w:pPr>
              <w:ind w:right="-29"/>
              <w:jc w:val="center"/>
              <w:rPr>
                <w:noProof/>
                <w:sz w:val="18"/>
                <w:szCs w:val="18"/>
              </w:rPr>
            </w:pPr>
          </w:p>
        </w:tc>
        <w:tc>
          <w:tcPr>
            <w:tcW w:w="648" w:type="dxa"/>
            <w:tcBorders>
              <w:bottom w:val="single" w:sz="12" w:space="0" w:color="auto"/>
            </w:tcBorders>
          </w:tcPr>
          <w:p w14:paraId="16E7CBAC" w14:textId="77777777" w:rsidR="00AB6191" w:rsidRPr="0001127D" w:rsidRDefault="00AB6191" w:rsidP="00AB6191">
            <w:pPr>
              <w:ind w:right="-29"/>
              <w:jc w:val="center"/>
              <w:rPr>
                <w:noProof/>
                <w:sz w:val="18"/>
                <w:szCs w:val="18"/>
              </w:rPr>
            </w:pPr>
          </w:p>
        </w:tc>
        <w:tc>
          <w:tcPr>
            <w:tcW w:w="432" w:type="dxa"/>
            <w:tcBorders>
              <w:bottom w:val="single" w:sz="12" w:space="0" w:color="auto"/>
            </w:tcBorders>
          </w:tcPr>
          <w:p w14:paraId="557D4001" w14:textId="77777777" w:rsidR="00AB6191" w:rsidRPr="0001127D" w:rsidRDefault="00AB6191" w:rsidP="00AB6191">
            <w:pPr>
              <w:ind w:right="-29"/>
              <w:jc w:val="center"/>
              <w:rPr>
                <w:noProof/>
                <w:sz w:val="18"/>
                <w:szCs w:val="18"/>
              </w:rPr>
            </w:pPr>
          </w:p>
        </w:tc>
        <w:tc>
          <w:tcPr>
            <w:tcW w:w="720" w:type="dxa"/>
            <w:tcBorders>
              <w:bottom w:val="single" w:sz="12" w:space="0" w:color="auto"/>
            </w:tcBorders>
          </w:tcPr>
          <w:p w14:paraId="410D3AE2" w14:textId="77777777" w:rsidR="00AB6191" w:rsidRPr="0001127D" w:rsidRDefault="00AB6191" w:rsidP="00AB6191">
            <w:pPr>
              <w:ind w:right="-29"/>
              <w:jc w:val="center"/>
              <w:rPr>
                <w:noProof/>
                <w:sz w:val="18"/>
                <w:szCs w:val="18"/>
              </w:rPr>
            </w:pPr>
          </w:p>
        </w:tc>
        <w:tc>
          <w:tcPr>
            <w:tcW w:w="540" w:type="dxa"/>
            <w:tcBorders>
              <w:bottom w:val="single" w:sz="12" w:space="0" w:color="auto"/>
            </w:tcBorders>
          </w:tcPr>
          <w:p w14:paraId="3398C5BF" w14:textId="77777777" w:rsidR="00AB6191" w:rsidRPr="0001127D" w:rsidRDefault="00AB6191" w:rsidP="00AB6191">
            <w:pPr>
              <w:ind w:right="-29"/>
              <w:jc w:val="center"/>
              <w:rPr>
                <w:noProof/>
                <w:sz w:val="18"/>
                <w:szCs w:val="18"/>
              </w:rPr>
            </w:pPr>
          </w:p>
        </w:tc>
        <w:tc>
          <w:tcPr>
            <w:tcW w:w="720" w:type="dxa"/>
            <w:tcBorders>
              <w:bottom w:val="single" w:sz="12" w:space="0" w:color="auto"/>
            </w:tcBorders>
          </w:tcPr>
          <w:p w14:paraId="06E6FB78" w14:textId="77777777" w:rsidR="00AB6191" w:rsidRPr="0001127D" w:rsidRDefault="00AB6191" w:rsidP="00AB6191">
            <w:pPr>
              <w:ind w:right="-29"/>
              <w:jc w:val="center"/>
              <w:rPr>
                <w:noProof/>
                <w:sz w:val="18"/>
                <w:szCs w:val="18"/>
              </w:rPr>
            </w:pPr>
          </w:p>
        </w:tc>
        <w:tc>
          <w:tcPr>
            <w:tcW w:w="720" w:type="dxa"/>
            <w:tcBorders>
              <w:bottom w:val="single" w:sz="12" w:space="0" w:color="auto"/>
            </w:tcBorders>
          </w:tcPr>
          <w:p w14:paraId="6649DE38" w14:textId="77777777" w:rsidR="00AB6191" w:rsidRPr="0001127D" w:rsidRDefault="00AB6191" w:rsidP="00AB6191">
            <w:pPr>
              <w:ind w:right="-29"/>
              <w:jc w:val="center"/>
              <w:rPr>
                <w:noProof/>
                <w:sz w:val="18"/>
                <w:szCs w:val="18"/>
              </w:rPr>
            </w:pPr>
          </w:p>
        </w:tc>
        <w:tc>
          <w:tcPr>
            <w:tcW w:w="900" w:type="dxa"/>
            <w:tcBorders>
              <w:bottom w:val="single" w:sz="12" w:space="0" w:color="auto"/>
            </w:tcBorders>
          </w:tcPr>
          <w:p w14:paraId="3ADEE9F4" w14:textId="77777777" w:rsidR="00AB6191" w:rsidRPr="0001127D" w:rsidRDefault="00AB6191" w:rsidP="00AB6191">
            <w:pPr>
              <w:ind w:right="-29"/>
              <w:jc w:val="center"/>
              <w:rPr>
                <w:noProof/>
                <w:sz w:val="18"/>
                <w:szCs w:val="18"/>
              </w:rPr>
            </w:pPr>
          </w:p>
        </w:tc>
      </w:tr>
      <w:tr w:rsidR="00AB6191" w:rsidRPr="0001127D" w14:paraId="434BFB0F" w14:textId="77777777" w:rsidTr="00AB6191">
        <w:trPr>
          <w:jc w:val="center"/>
        </w:trPr>
        <w:tc>
          <w:tcPr>
            <w:tcW w:w="2844" w:type="dxa"/>
            <w:gridSpan w:val="3"/>
            <w:vAlign w:val="center"/>
          </w:tcPr>
          <w:p w14:paraId="728B425B" w14:textId="77777777" w:rsidR="00AB6191" w:rsidRPr="0001127D" w:rsidRDefault="00AB6191" w:rsidP="00AB6191">
            <w:pPr>
              <w:spacing w:before="60" w:after="60"/>
              <w:ind w:right="-29"/>
              <w:jc w:val="center"/>
              <w:rPr>
                <w:noProof/>
                <w:sz w:val="18"/>
                <w:szCs w:val="18"/>
              </w:rPr>
            </w:pPr>
            <w:r w:rsidRPr="0001127D">
              <w:rPr>
                <w:noProof/>
                <w:sz w:val="18"/>
              </w:rPr>
              <w:t>OBIETTIVO SPECIFICO 2 …</w:t>
            </w:r>
          </w:p>
        </w:tc>
        <w:tc>
          <w:tcPr>
            <w:tcW w:w="504" w:type="dxa"/>
            <w:tcBorders>
              <w:top w:val="nil"/>
              <w:left w:val="nil"/>
              <w:bottom w:val="nil"/>
              <w:right w:val="nil"/>
            </w:tcBorders>
          </w:tcPr>
          <w:p w14:paraId="637D8821"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61DC498E" w14:textId="77777777" w:rsidR="00AB6191" w:rsidRPr="0001127D"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5AFEB82F"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78ECB69E"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2C26B98B"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64A8E3EF" w14:textId="77777777" w:rsidR="00AB6191" w:rsidRPr="0001127D"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3E3D2AE1" w14:textId="77777777" w:rsidR="00AB6191" w:rsidRPr="0001127D" w:rsidRDefault="00AB6191" w:rsidP="00AB6191">
            <w:pPr>
              <w:spacing w:before="60" w:after="60"/>
              <w:ind w:right="-29"/>
              <w:jc w:val="center"/>
              <w:rPr>
                <w:noProof/>
                <w:sz w:val="18"/>
                <w:szCs w:val="18"/>
              </w:rPr>
            </w:pPr>
          </w:p>
        </w:tc>
        <w:tc>
          <w:tcPr>
            <w:tcW w:w="720" w:type="dxa"/>
            <w:gridSpan w:val="2"/>
            <w:tcBorders>
              <w:top w:val="nil"/>
              <w:left w:val="nil"/>
              <w:bottom w:val="nil"/>
              <w:right w:val="nil"/>
            </w:tcBorders>
          </w:tcPr>
          <w:p w14:paraId="4BA2D886" w14:textId="77777777" w:rsidR="00AB6191" w:rsidRPr="0001127D"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41595DE7" w14:textId="77777777" w:rsidR="00AB6191" w:rsidRPr="0001127D" w:rsidRDefault="00AB6191" w:rsidP="00AB6191">
            <w:pPr>
              <w:spacing w:before="60" w:after="60"/>
              <w:ind w:right="-29"/>
              <w:jc w:val="center"/>
              <w:rPr>
                <w:noProof/>
                <w:sz w:val="18"/>
                <w:szCs w:val="18"/>
              </w:rPr>
            </w:pPr>
          </w:p>
        </w:tc>
        <w:tc>
          <w:tcPr>
            <w:tcW w:w="648" w:type="dxa"/>
            <w:tcBorders>
              <w:top w:val="nil"/>
              <w:left w:val="nil"/>
              <w:bottom w:val="nil"/>
              <w:right w:val="nil"/>
            </w:tcBorders>
          </w:tcPr>
          <w:p w14:paraId="1C743CDD" w14:textId="77777777" w:rsidR="00AB6191" w:rsidRPr="0001127D" w:rsidRDefault="00AB6191" w:rsidP="00AB6191">
            <w:pPr>
              <w:spacing w:before="60" w:after="60"/>
              <w:ind w:right="-29"/>
              <w:jc w:val="center"/>
              <w:rPr>
                <w:noProof/>
                <w:sz w:val="18"/>
                <w:szCs w:val="18"/>
              </w:rPr>
            </w:pPr>
          </w:p>
        </w:tc>
        <w:tc>
          <w:tcPr>
            <w:tcW w:w="432" w:type="dxa"/>
            <w:tcBorders>
              <w:top w:val="nil"/>
              <w:left w:val="nil"/>
              <w:bottom w:val="nil"/>
              <w:right w:val="nil"/>
            </w:tcBorders>
          </w:tcPr>
          <w:p w14:paraId="324FAAE0"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355B1CE1" w14:textId="77777777" w:rsidR="00AB6191" w:rsidRPr="0001127D" w:rsidRDefault="00AB6191" w:rsidP="00AB6191">
            <w:pPr>
              <w:spacing w:before="60" w:after="60"/>
              <w:ind w:right="-29"/>
              <w:jc w:val="center"/>
              <w:rPr>
                <w:noProof/>
                <w:sz w:val="18"/>
                <w:szCs w:val="18"/>
              </w:rPr>
            </w:pPr>
          </w:p>
        </w:tc>
        <w:tc>
          <w:tcPr>
            <w:tcW w:w="540" w:type="dxa"/>
            <w:tcBorders>
              <w:top w:val="nil"/>
              <w:left w:val="nil"/>
              <w:bottom w:val="nil"/>
              <w:right w:val="nil"/>
            </w:tcBorders>
          </w:tcPr>
          <w:p w14:paraId="036FC4D9"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71DF7BE4" w14:textId="77777777" w:rsidR="00AB6191" w:rsidRPr="0001127D" w:rsidRDefault="00AB6191" w:rsidP="00AB6191">
            <w:pPr>
              <w:spacing w:before="60" w:after="60"/>
              <w:ind w:right="-29"/>
              <w:jc w:val="center"/>
              <w:rPr>
                <w:noProof/>
                <w:sz w:val="18"/>
                <w:szCs w:val="18"/>
              </w:rPr>
            </w:pPr>
          </w:p>
        </w:tc>
        <w:tc>
          <w:tcPr>
            <w:tcW w:w="720" w:type="dxa"/>
            <w:tcBorders>
              <w:top w:val="nil"/>
              <w:left w:val="nil"/>
              <w:bottom w:val="nil"/>
              <w:right w:val="nil"/>
            </w:tcBorders>
          </w:tcPr>
          <w:p w14:paraId="25A0C979" w14:textId="77777777" w:rsidR="00AB6191" w:rsidRPr="0001127D" w:rsidRDefault="00AB6191" w:rsidP="00AB6191">
            <w:pPr>
              <w:spacing w:before="60" w:after="60"/>
              <w:ind w:right="-29"/>
              <w:jc w:val="center"/>
              <w:rPr>
                <w:noProof/>
                <w:sz w:val="18"/>
                <w:szCs w:val="18"/>
              </w:rPr>
            </w:pPr>
          </w:p>
        </w:tc>
        <w:tc>
          <w:tcPr>
            <w:tcW w:w="900" w:type="dxa"/>
            <w:tcBorders>
              <w:top w:val="nil"/>
              <w:left w:val="nil"/>
              <w:bottom w:val="nil"/>
              <w:right w:val="nil"/>
            </w:tcBorders>
          </w:tcPr>
          <w:p w14:paraId="245DF350" w14:textId="77777777" w:rsidR="00AB6191" w:rsidRPr="0001127D" w:rsidRDefault="00AB6191" w:rsidP="00AB6191">
            <w:pPr>
              <w:spacing w:before="60" w:after="60"/>
              <w:ind w:right="-29"/>
              <w:jc w:val="center"/>
              <w:rPr>
                <w:noProof/>
                <w:sz w:val="18"/>
                <w:szCs w:val="18"/>
              </w:rPr>
            </w:pPr>
          </w:p>
        </w:tc>
      </w:tr>
      <w:tr w:rsidR="00AB6191" w:rsidRPr="0001127D" w14:paraId="61A51FC6" w14:textId="77777777" w:rsidTr="00AB6191">
        <w:trPr>
          <w:trHeight w:hRule="exact" w:val="369"/>
          <w:jc w:val="center"/>
        </w:trPr>
        <w:tc>
          <w:tcPr>
            <w:tcW w:w="1423" w:type="dxa"/>
          </w:tcPr>
          <w:p w14:paraId="54EB54BA" w14:textId="77777777" w:rsidR="00AB6191" w:rsidRPr="0001127D" w:rsidRDefault="00AB6191" w:rsidP="00AB6191">
            <w:pPr>
              <w:ind w:right="-29"/>
              <w:jc w:val="center"/>
              <w:rPr>
                <w:noProof/>
                <w:sz w:val="18"/>
                <w:szCs w:val="18"/>
              </w:rPr>
            </w:pPr>
            <w:r w:rsidRPr="0001127D">
              <w:rPr>
                <w:noProof/>
                <w:sz w:val="18"/>
              </w:rPr>
              <w:t>- Risultato</w:t>
            </w:r>
          </w:p>
        </w:tc>
        <w:tc>
          <w:tcPr>
            <w:tcW w:w="720" w:type="dxa"/>
          </w:tcPr>
          <w:p w14:paraId="631E3B16" w14:textId="77777777" w:rsidR="00AB6191" w:rsidRPr="0001127D" w:rsidRDefault="00AB6191" w:rsidP="00AB6191">
            <w:pPr>
              <w:ind w:right="-29"/>
              <w:jc w:val="center"/>
              <w:rPr>
                <w:noProof/>
                <w:sz w:val="18"/>
                <w:szCs w:val="18"/>
              </w:rPr>
            </w:pPr>
          </w:p>
        </w:tc>
        <w:tc>
          <w:tcPr>
            <w:tcW w:w="701" w:type="dxa"/>
          </w:tcPr>
          <w:p w14:paraId="19CD9AD4" w14:textId="77777777" w:rsidR="00AB6191" w:rsidRPr="0001127D" w:rsidRDefault="00AB6191" w:rsidP="00AB6191">
            <w:pPr>
              <w:ind w:right="-29"/>
              <w:jc w:val="center"/>
              <w:rPr>
                <w:noProof/>
                <w:sz w:val="18"/>
                <w:szCs w:val="18"/>
              </w:rPr>
            </w:pPr>
          </w:p>
        </w:tc>
        <w:tc>
          <w:tcPr>
            <w:tcW w:w="504" w:type="dxa"/>
          </w:tcPr>
          <w:p w14:paraId="7FB976B3" w14:textId="77777777" w:rsidR="00AB6191" w:rsidRPr="0001127D" w:rsidRDefault="00AB6191" w:rsidP="00AB6191">
            <w:pPr>
              <w:ind w:right="-29"/>
              <w:jc w:val="center"/>
              <w:rPr>
                <w:noProof/>
                <w:sz w:val="18"/>
                <w:szCs w:val="18"/>
              </w:rPr>
            </w:pPr>
          </w:p>
        </w:tc>
        <w:tc>
          <w:tcPr>
            <w:tcW w:w="720" w:type="dxa"/>
          </w:tcPr>
          <w:p w14:paraId="090BC05E" w14:textId="77777777" w:rsidR="00AB6191" w:rsidRPr="0001127D" w:rsidRDefault="00AB6191" w:rsidP="00AB6191">
            <w:pPr>
              <w:ind w:right="-29"/>
              <w:jc w:val="center"/>
              <w:rPr>
                <w:noProof/>
                <w:sz w:val="18"/>
                <w:szCs w:val="18"/>
              </w:rPr>
            </w:pPr>
          </w:p>
        </w:tc>
        <w:tc>
          <w:tcPr>
            <w:tcW w:w="540" w:type="dxa"/>
          </w:tcPr>
          <w:p w14:paraId="22DF9C0F" w14:textId="77777777" w:rsidR="00AB6191" w:rsidRPr="0001127D" w:rsidRDefault="00AB6191" w:rsidP="00AB6191">
            <w:pPr>
              <w:ind w:right="-29"/>
              <w:jc w:val="center"/>
              <w:rPr>
                <w:noProof/>
                <w:sz w:val="18"/>
                <w:szCs w:val="18"/>
              </w:rPr>
            </w:pPr>
          </w:p>
        </w:tc>
        <w:tc>
          <w:tcPr>
            <w:tcW w:w="720" w:type="dxa"/>
          </w:tcPr>
          <w:p w14:paraId="7772B0FB" w14:textId="77777777" w:rsidR="00AB6191" w:rsidRPr="0001127D" w:rsidRDefault="00AB6191" w:rsidP="00AB6191">
            <w:pPr>
              <w:ind w:right="-29"/>
              <w:jc w:val="center"/>
              <w:rPr>
                <w:noProof/>
                <w:sz w:val="18"/>
                <w:szCs w:val="18"/>
              </w:rPr>
            </w:pPr>
          </w:p>
        </w:tc>
        <w:tc>
          <w:tcPr>
            <w:tcW w:w="720" w:type="dxa"/>
          </w:tcPr>
          <w:p w14:paraId="05FC7C9B" w14:textId="77777777" w:rsidR="00AB6191" w:rsidRPr="0001127D" w:rsidRDefault="00AB6191" w:rsidP="00AB6191">
            <w:pPr>
              <w:ind w:right="-29"/>
              <w:jc w:val="center"/>
              <w:rPr>
                <w:noProof/>
                <w:sz w:val="18"/>
                <w:szCs w:val="18"/>
              </w:rPr>
            </w:pPr>
          </w:p>
        </w:tc>
        <w:tc>
          <w:tcPr>
            <w:tcW w:w="720" w:type="dxa"/>
          </w:tcPr>
          <w:p w14:paraId="4244FDAE" w14:textId="77777777" w:rsidR="00AB6191" w:rsidRPr="0001127D" w:rsidRDefault="00AB6191" w:rsidP="00AB6191">
            <w:pPr>
              <w:ind w:right="-29"/>
              <w:jc w:val="center"/>
              <w:rPr>
                <w:noProof/>
                <w:sz w:val="18"/>
                <w:szCs w:val="18"/>
              </w:rPr>
            </w:pPr>
          </w:p>
        </w:tc>
        <w:tc>
          <w:tcPr>
            <w:tcW w:w="900" w:type="dxa"/>
          </w:tcPr>
          <w:p w14:paraId="6BC4DEF7" w14:textId="77777777" w:rsidR="00AB6191" w:rsidRPr="0001127D" w:rsidRDefault="00AB6191" w:rsidP="00AB6191">
            <w:pPr>
              <w:ind w:right="-29"/>
              <w:jc w:val="center"/>
              <w:rPr>
                <w:noProof/>
                <w:sz w:val="18"/>
                <w:szCs w:val="18"/>
              </w:rPr>
            </w:pPr>
          </w:p>
        </w:tc>
        <w:tc>
          <w:tcPr>
            <w:tcW w:w="720" w:type="dxa"/>
            <w:gridSpan w:val="2"/>
          </w:tcPr>
          <w:p w14:paraId="7AAA9300" w14:textId="77777777" w:rsidR="00AB6191" w:rsidRPr="0001127D" w:rsidRDefault="00AB6191" w:rsidP="00AB6191">
            <w:pPr>
              <w:ind w:right="-29"/>
              <w:jc w:val="center"/>
              <w:rPr>
                <w:noProof/>
                <w:sz w:val="18"/>
                <w:szCs w:val="18"/>
              </w:rPr>
            </w:pPr>
          </w:p>
        </w:tc>
        <w:tc>
          <w:tcPr>
            <w:tcW w:w="540" w:type="dxa"/>
          </w:tcPr>
          <w:p w14:paraId="7CD66F24" w14:textId="77777777" w:rsidR="00AB6191" w:rsidRPr="0001127D" w:rsidRDefault="00AB6191" w:rsidP="00AB6191">
            <w:pPr>
              <w:ind w:right="-29"/>
              <w:jc w:val="center"/>
              <w:rPr>
                <w:noProof/>
                <w:sz w:val="18"/>
                <w:szCs w:val="18"/>
              </w:rPr>
            </w:pPr>
          </w:p>
        </w:tc>
        <w:tc>
          <w:tcPr>
            <w:tcW w:w="648" w:type="dxa"/>
          </w:tcPr>
          <w:p w14:paraId="4972B9EE" w14:textId="77777777" w:rsidR="00AB6191" w:rsidRPr="0001127D" w:rsidRDefault="00AB6191" w:rsidP="00AB6191">
            <w:pPr>
              <w:ind w:right="-29"/>
              <w:jc w:val="center"/>
              <w:rPr>
                <w:noProof/>
                <w:sz w:val="18"/>
                <w:szCs w:val="18"/>
              </w:rPr>
            </w:pPr>
          </w:p>
        </w:tc>
        <w:tc>
          <w:tcPr>
            <w:tcW w:w="432" w:type="dxa"/>
          </w:tcPr>
          <w:p w14:paraId="5153B10F" w14:textId="77777777" w:rsidR="00AB6191" w:rsidRPr="0001127D" w:rsidRDefault="00AB6191" w:rsidP="00AB6191">
            <w:pPr>
              <w:ind w:right="-29"/>
              <w:jc w:val="center"/>
              <w:rPr>
                <w:noProof/>
                <w:sz w:val="18"/>
                <w:szCs w:val="18"/>
              </w:rPr>
            </w:pPr>
          </w:p>
        </w:tc>
        <w:tc>
          <w:tcPr>
            <w:tcW w:w="720" w:type="dxa"/>
          </w:tcPr>
          <w:p w14:paraId="12BC5EE0" w14:textId="77777777" w:rsidR="00AB6191" w:rsidRPr="0001127D" w:rsidRDefault="00AB6191" w:rsidP="00AB6191">
            <w:pPr>
              <w:ind w:right="-29"/>
              <w:jc w:val="center"/>
              <w:rPr>
                <w:noProof/>
                <w:sz w:val="18"/>
                <w:szCs w:val="18"/>
              </w:rPr>
            </w:pPr>
          </w:p>
        </w:tc>
        <w:tc>
          <w:tcPr>
            <w:tcW w:w="540" w:type="dxa"/>
          </w:tcPr>
          <w:p w14:paraId="5F90635B" w14:textId="77777777" w:rsidR="00AB6191" w:rsidRPr="0001127D" w:rsidRDefault="00AB6191" w:rsidP="00AB6191">
            <w:pPr>
              <w:ind w:right="-29"/>
              <w:jc w:val="center"/>
              <w:rPr>
                <w:noProof/>
                <w:sz w:val="18"/>
                <w:szCs w:val="18"/>
              </w:rPr>
            </w:pPr>
          </w:p>
        </w:tc>
        <w:tc>
          <w:tcPr>
            <w:tcW w:w="720" w:type="dxa"/>
          </w:tcPr>
          <w:p w14:paraId="41408BCD" w14:textId="77777777" w:rsidR="00AB6191" w:rsidRPr="0001127D" w:rsidRDefault="00AB6191" w:rsidP="00AB6191">
            <w:pPr>
              <w:ind w:right="-29"/>
              <w:jc w:val="center"/>
              <w:rPr>
                <w:noProof/>
                <w:sz w:val="18"/>
                <w:szCs w:val="18"/>
              </w:rPr>
            </w:pPr>
          </w:p>
        </w:tc>
        <w:tc>
          <w:tcPr>
            <w:tcW w:w="720" w:type="dxa"/>
          </w:tcPr>
          <w:p w14:paraId="644006F8" w14:textId="77777777" w:rsidR="00AB6191" w:rsidRPr="0001127D" w:rsidRDefault="00AB6191" w:rsidP="00AB6191">
            <w:pPr>
              <w:ind w:right="-29"/>
              <w:jc w:val="center"/>
              <w:rPr>
                <w:noProof/>
                <w:sz w:val="18"/>
                <w:szCs w:val="18"/>
              </w:rPr>
            </w:pPr>
          </w:p>
        </w:tc>
        <w:tc>
          <w:tcPr>
            <w:tcW w:w="900" w:type="dxa"/>
          </w:tcPr>
          <w:p w14:paraId="07584D96" w14:textId="77777777" w:rsidR="00AB6191" w:rsidRPr="0001127D" w:rsidRDefault="00AB6191" w:rsidP="00AB6191">
            <w:pPr>
              <w:ind w:right="-29"/>
              <w:jc w:val="center"/>
              <w:rPr>
                <w:noProof/>
                <w:sz w:val="18"/>
                <w:szCs w:val="18"/>
              </w:rPr>
            </w:pPr>
          </w:p>
        </w:tc>
      </w:tr>
      <w:tr w:rsidR="00AB6191" w:rsidRPr="0001127D" w14:paraId="7E1875FF" w14:textId="77777777" w:rsidTr="00AB6191">
        <w:trPr>
          <w:jc w:val="center"/>
        </w:trPr>
        <w:tc>
          <w:tcPr>
            <w:tcW w:w="2844" w:type="dxa"/>
            <w:gridSpan w:val="3"/>
            <w:tcBorders>
              <w:bottom w:val="single" w:sz="12" w:space="0" w:color="auto"/>
            </w:tcBorders>
            <w:vAlign w:val="center"/>
          </w:tcPr>
          <w:p w14:paraId="16C0D62F" w14:textId="77777777" w:rsidR="00AB6191" w:rsidRPr="0001127D" w:rsidRDefault="00AB6191" w:rsidP="00AB6191">
            <w:pPr>
              <w:jc w:val="center"/>
              <w:rPr>
                <w:noProof/>
                <w:sz w:val="18"/>
                <w:szCs w:val="18"/>
              </w:rPr>
            </w:pPr>
            <w:r w:rsidRPr="0001127D">
              <w:rPr>
                <w:noProof/>
                <w:sz w:val="18"/>
              </w:rPr>
              <w:t>Totale parziale obiettivo specifico 2</w:t>
            </w:r>
          </w:p>
        </w:tc>
        <w:tc>
          <w:tcPr>
            <w:tcW w:w="504" w:type="dxa"/>
            <w:tcBorders>
              <w:bottom w:val="single" w:sz="12" w:space="0" w:color="auto"/>
            </w:tcBorders>
          </w:tcPr>
          <w:p w14:paraId="7EE58816" w14:textId="77777777" w:rsidR="00AB6191" w:rsidRPr="0001127D" w:rsidRDefault="00AB6191" w:rsidP="00AB6191">
            <w:pPr>
              <w:ind w:right="-29"/>
              <w:jc w:val="center"/>
              <w:rPr>
                <w:noProof/>
                <w:sz w:val="18"/>
                <w:szCs w:val="18"/>
              </w:rPr>
            </w:pPr>
          </w:p>
        </w:tc>
        <w:tc>
          <w:tcPr>
            <w:tcW w:w="720" w:type="dxa"/>
            <w:tcBorders>
              <w:bottom w:val="single" w:sz="12" w:space="0" w:color="auto"/>
            </w:tcBorders>
          </w:tcPr>
          <w:p w14:paraId="46A2AAFA" w14:textId="77777777" w:rsidR="00AB6191" w:rsidRPr="0001127D" w:rsidRDefault="00AB6191" w:rsidP="00AB6191">
            <w:pPr>
              <w:ind w:right="-29"/>
              <w:jc w:val="center"/>
              <w:rPr>
                <w:noProof/>
                <w:sz w:val="18"/>
                <w:szCs w:val="18"/>
              </w:rPr>
            </w:pPr>
          </w:p>
        </w:tc>
        <w:tc>
          <w:tcPr>
            <w:tcW w:w="540" w:type="dxa"/>
            <w:tcBorders>
              <w:bottom w:val="single" w:sz="12" w:space="0" w:color="auto"/>
            </w:tcBorders>
          </w:tcPr>
          <w:p w14:paraId="698623BE" w14:textId="77777777" w:rsidR="00AB6191" w:rsidRPr="0001127D" w:rsidRDefault="00AB6191" w:rsidP="00AB6191">
            <w:pPr>
              <w:ind w:right="-29"/>
              <w:jc w:val="center"/>
              <w:rPr>
                <w:noProof/>
                <w:sz w:val="18"/>
                <w:szCs w:val="18"/>
              </w:rPr>
            </w:pPr>
          </w:p>
        </w:tc>
        <w:tc>
          <w:tcPr>
            <w:tcW w:w="720" w:type="dxa"/>
            <w:tcBorders>
              <w:bottom w:val="single" w:sz="12" w:space="0" w:color="auto"/>
            </w:tcBorders>
          </w:tcPr>
          <w:p w14:paraId="5A161194" w14:textId="77777777" w:rsidR="00AB6191" w:rsidRPr="0001127D" w:rsidRDefault="00AB6191" w:rsidP="00AB6191">
            <w:pPr>
              <w:ind w:right="-29"/>
              <w:jc w:val="center"/>
              <w:rPr>
                <w:noProof/>
                <w:sz w:val="18"/>
                <w:szCs w:val="18"/>
              </w:rPr>
            </w:pPr>
          </w:p>
        </w:tc>
        <w:tc>
          <w:tcPr>
            <w:tcW w:w="720" w:type="dxa"/>
            <w:tcBorders>
              <w:bottom w:val="single" w:sz="12" w:space="0" w:color="auto"/>
            </w:tcBorders>
          </w:tcPr>
          <w:p w14:paraId="1BAD47A4" w14:textId="77777777" w:rsidR="00AB6191" w:rsidRPr="0001127D" w:rsidRDefault="00AB6191" w:rsidP="00AB6191">
            <w:pPr>
              <w:ind w:right="-29"/>
              <w:jc w:val="center"/>
              <w:rPr>
                <w:noProof/>
                <w:sz w:val="18"/>
                <w:szCs w:val="18"/>
              </w:rPr>
            </w:pPr>
          </w:p>
        </w:tc>
        <w:tc>
          <w:tcPr>
            <w:tcW w:w="720" w:type="dxa"/>
            <w:tcBorders>
              <w:bottom w:val="single" w:sz="12" w:space="0" w:color="auto"/>
            </w:tcBorders>
          </w:tcPr>
          <w:p w14:paraId="61A20F21" w14:textId="77777777" w:rsidR="00AB6191" w:rsidRPr="0001127D" w:rsidRDefault="00AB6191" w:rsidP="00AB6191">
            <w:pPr>
              <w:ind w:right="-29"/>
              <w:jc w:val="center"/>
              <w:rPr>
                <w:noProof/>
                <w:sz w:val="18"/>
                <w:szCs w:val="18"/>
              </w:rPr>
            </w:pPr>
          </w:p>
        </w:tc>
        <w:tc>
          <w:tcPr>
            <w:tcW w:w="951" w:type="dxa"/>
            <w:gridSpan w:val="2"/>
            <w:tcBorders>
              <w:bottom w:val="single" w:sz="12" w:space="0" w:color="auto"/>
            </w:tcBorders>
          </w:tcPr>
          <w:p w14:paraId="212B59CE" w14:textId="77777777" w:rsidR="00AB6191" w:rsidRPr="0001127D" w:rsidRDefault="00AB6191" w:rsidP="00AB6191">
            <w:pPr>
              <w:ind w:right="-29"/>
              <w:jc w:val="center"/>
              <w:rPr>
                <w:noProof/>
                <w:sz w:val="18"/>
                <w:szCs w:val="18"/>
              </w:rPr>
            </w:pPr>
          </w:p>
        </w:tc>
        <w:tc>
          <w:tcPr>
            <w:tcW w:w="669" w:type="dxa"/>
            <w:tcBorders>
              <w:bottom w:val="single" w:sz="12" w:space="0" w:color="auto"/>
            </w:tcBorders>
          </w:tcPr>
          <w:p w14:paraId="1720EE22" w14:textId="77777777" w:rsidR="00AB6191" w:rsidRPr="0001127D" w:rsidRDefault="00AB6191" w:rsidP="00AB6191">
            <w:pPr>
              <w:ind w:right="-29"/>
              <w:jc w:val="center"/>
              <w:rPr>
                <w:noProof/>
                <w:sz w:val="18"/>
                <w:szCs w:val="18"/>
              </w:rPr>
            </w:pPr>
          </w:p>
        </w:tc>
        <w:tc>
          <w:tcPr>
            <w:tcW w:w="540" w:type="dxa"/>
            <w:tcBorders>
              <w:bottom w:val="single" w:sz="12" w:space="0" w:color="auto"/>
            </w:tcBorders>
          </w:tcPr>
          <w:p w14:paraId="655C4DF7" w14:textId="77777777" w:rsidR="00AB6191" w:rsidRPr="0001127D" w:rsidRDefault="00AB6191" w:rsidP="00AB6191">
            <w:pPr>
              <w:ind w:right="-29"/>
              <w:jc w:val="center"/>
              <w:rPr>
                <w:noProof/>
                <w:sz w:val="18"/>
                <w:szCs w:val="18"/>
              </w:rPr>
            </w:pPr>
          </w:p>
        </w:tc>
        <w:tc>
          <w:tcPr>
            <w:tcW w:w="648" w:type="dxa"/>
            <w:tcBorders>
              <w:bottom w:val="single" w:sz="12" w:space="0" w:color="auto"/>
            </w:tcBorders>
          </w:tcPr>
          <w:p w14:paraId="2127DEBD" w14:textId="77777777" w:rsidR="00AB6191" w:rsidRPr="0001127D" w:rsidRDefault="00AB6191" w:rsidP="00AB6191">
            <w:pPr>
              <w:ind w:right="-29"/>
              <w:jc w:val="center"/>
              <w:rPr>
                <w:noProof/>
                <w:sz w:val="18"/>
                <w:szCs w:val="18"/>
              </w:rPr>
            </w:pPr>
          </w:p>
        </w:tc>
        <w:tc>
          <w:tcPr>
            <w:tcW w:w="432" w:type="dxa"/>
            <w:tcBorders>
              <w:bottom w:val="single" w:sz="12" w:space="0" w:color="auto"/>
            </w:tcBorders>
          </w:tcPr>
          <w:p w14:paraId="1198C29E" w14:textId="77777777" w:rsidR="00AB6191" w:rsidRPr="0001127D" w:rsidRDefault="00AB6191" w:rsidP="00AB6191">
            <w:pPr>
              <w:ind w:right="-29"/>
              <w:jc w:val="center"/>
              <w:rPr>
                <w:noProof/>
                <w:sz w:val="18"/>
                <w:szCs w:val="18"/>
              </w:rPr>
            </w:pPr>
          </w:p>
        </w:tc>
        <w:tc>
          <w:tcPr>
            <w:tcW w:w="720" w:type="dxa"/>
            <w:tcBorders>
              <w:bottom w:val="single" w:sz="12" w:space="0" w:color="auto"/>
            </w:tcBorders>
          </w:tcPr>
          <w:p w14:paraId="2C6EE597" w14:textId="77777777" w:rsidR="00AB6191" w:rsidRPr="0001127D" w:rsidRDefault="00AB6191" w:rsidP="00AB6191">
            <w:pPr>
              <w:ind w:right="-29"/>
              <w:jc w:val="center"/>
              <w:rPr>
                <w:noProof/>
                <w:sz w:val="18"/>
                <w:szCs w:val="18"/>
              </w:rPr>
            </w:pPr>
          </w:p>
        </w:tc>
        <w:tc>
          <w:tcPr>
            <w:tcW w:w="540" w:type="dxa"/>
            <w:tcBorders>
              <w:bottom w:val="single" w:sz="12" w:space="0" w:color="auto"/>
            </w:tcBorders>
          </w:tcPr>
          <w:p w14:paraId="356AA28E" w14:textId="77777777" w:rsidR="00AB6191" w:rsidRPr="0001127D" w:rsidRDefault="00AB6191" w:rsidP="00AB6191">
            <w:pPr>
              <w:ind w:right="-29"/>
              <w:jc w:val="center"/>
              <w:rPr>
                <w:noProof/>
                <w:sz w:val="18"/>
                <w:szCs w:val="18"/>
              </w:rPr>
            </w:pPr>
          </w:p>
        </w:tc>
        <w:tc>
          <w:tcPr>
            <w:tcW w:w="720" w:type="dxa"/>
            <w:tcBorders>
              <w:bottom w:val="single" w:sz="12" w:space="0" w:color="auto"/>
            </w:tcBorders>
          </w:tcPr>
          <w:p w14:paraId="56EAED1D" w14:textId="77777777" w:rsidR="00AB6191" w:rsidRPr="0001127D" w:rsidRDefault="00AB6191" w:rsidP="00AB6191">
            <w:pPr>
              <w:ind w:right="-29"/>
              <w:jc w:val="center"/>
              <w:rPr>
                <w:noProof/>
                <w:sz w:val="18"/>
                <w:szCs w:val="18"/>
              </w:rPr>
            </w:pPr>
          </w:p>
        </w:tc>
        <w:tc>
          <w:tcPr>
            <w:tcW w:w="720" w:type="dxa"/>
            <w:tcBorders>
              <w:bottom w:val="single" w:sz="12" w:space="0" w:color="auto"/>
            </w:tcBorders>
          </w:tcPr>
          <w:p w14:paraId="0D974EF9" w14:textId="77777777" w:rsidR="00AB6191" w:rsidRPr="0001127D" w:rsidRDefault="00AB6191" w:rsidP="00AB6191">
            <w:pPr>
              <w:ind w:right="-29"/>
              <w:jc w:val="center"/>
              <w:rPr>
                <w:noProof/>
                <w:sz w:val="18"/>
                <w:szCs w:val="18"/>
              </w:rPr>
            </w:pPr>
          </w:p>
        </w:tc>
        <w:tc>
          <w:tcPr>
            <w:tcW w:w="900" w:type="dxa"/>
            <w:tcBorders>
              <w:bottom w:val="single" w:sz="12" w:space="0" w:color="auto"/>
            </w:tcBorders>
          </w:tcPr>
          <w:p w14:paraId="00BD6D58" w14:textId="77777777" w:rsidR="00AB6191" w:rsidRPr="0001127D" w:rsidRDefault="00AB6191" w:rsidP="00AB6191">
            <w:pPr>
              <w:ind w:right="-29"/>
              <w:jc w:val="center"/>
              <w:rPr>
                <w:noProof/>
                <w:sz w:val="18"/>
                <w:szCs w:val="18"/>
              </w:rPr>
            </w:pPr>
          </w:p>
        </w:tc>
      </w:tr>
      <w:tr w:rsidR="00AB6191" w:rsidRPr="0001127D" w14:paraId="7CAB126F" w14:textId="77777777" w:rsidTr="00AB6191">
        <w:trPr>
          <w:jc w:val="center"/>
        </w:trPr>
        <w:tc>
          <w:tcPr>
            <w:tcW w:w="2844" w:type="dxa"/>
            <w:gridSpan w:val="3"/>
            <w:tcBorders>
              <w:top w:val="single" w:sz="12" w:space="0" w:color="auto"/>
              <w:left w:val="single" w:sz="12" w:space="0" w:color="auto"/>
              <w:bottom w:val="single" w:sz="12" w:space="0" w:color="auto"/>
            </w:tcBorders>
            <w:vAlign w:val="center"/>
          </w:tcPr>
          <w:p w14:paraId="0B73BE36" w14:textId="77777777" w:rsidR="00AB6191" w:rsidRPr="0001127D" w:rsidRDefault="00AB6191" w:rsidP="00AB6191">
            <w:pPr>
              <w:ind w:right="-29"/>
              <w:jc w:val="center"/>
              <w:rPr>
                <w:noProof/>
                <w:sz w:val="18"/>
                <w:szCs w:val="18"/>
              </w:rPr>
            </w:pPr>
            <w:r w:rsidRPr="0001127D">
              <w:rPr>
                <w:b/>
                <w:noProof/>
                <w:sz w:val="18"/>
              </w:rPr>
              <w:t>TOTALE</w:t>
            </w:r>
          </w:p>
        </w:tc>
        <w:tc>
          <w:tcPr>
            <w:tcW w:w="504" w:type="dxa"/>
            <w:tcBorders>
              <w:top w:val="single" w:sz="12" w:space="0" w:color="auto"/>
              <w:bottom w:val="single" w:sz="12" w:space="0" w:color="auto"/>
            </w:tcBorders>
          </w:tcPr>
          <w:p w14:paraId="7254E552" w14:textId="77777777" w:rsidR="00AB6191" w:rsidRPr="0001127D" w:rsidRDefault="00AB6191" w:rsidP="00AB6191">
            <w:pPr>
              <w:spacing w:before="180" w:after="180"/>
              <w:ind w:right="-29"/>
              <w:jc w:val="center"/>
              <w:rPr>
                <w:noProof/>
                <w:sz w:val="18"/>
                <w:szCs w:val="18"/>
              </w:rPr>
            </w:pPr>
            <w:r w:rsidRPr="0001127D">
              <w:rPr>
                <w:noProof/>
                <w:sz w:val="18"/>
              </w:rPr>
              <w:t>1</w:t>
            </w:r>
          </w:p>
        </w:tc>
        <w:tc>
          <w:tcPr>
            <w:tcW w:w="720" w:type="dxa"/>
            <w:tcBorders>
              <w:top w:val="single" w:sz="12" w:space="0" w:color="auto"/>
              <w:bottom w:val="single" w:sz="12" w:space="0" w:color="auto"/>
            </w:tcBorders>
          </w:tcPr>
          <w:p w14:paraId="3DEE7479" w14:textId="77777777" w:rsidR="00AB6191" w:rsidRPr="0001127D" w:rsidRDefault="00AB6191" w:rsidP="00AB6191">
            <w:pPr>
              <w:spacing w:before="180" w:after="180"/>
              <w:ind w:right="-29"/>
              <w:jc w:val="center"/>
              <w:rPr>
                <w:noProof/>
                <w:sz w:val="18"/>
                <w:szCs w:val="18"/>
              </w:rPr>
            </w:pPr>
            <w:r w:rsidRPr="0001127D">
              <w:rPr>
                <w:noProof/>
                <w:sz w:val="18"/>
              </w:rPr>
              <w:t>2,000</w:t>
            </w:r>
          </w:p>
        </w:tc>
        <w:tc>
          <w:tcPr>
            <w:tcW w:w="540" w:type="dxa"/>
            <w:tcBorders>
              <w:top w:val="single" w:sz="12" w:space="0" w:color="auto"/>
              <w:bottom w:val="single" w:sz="12" w:space="0" w:color="auto"/>
            </w:tcBorders>
          </w:tcPr>
          <w:p w14:paraId="7FF71F31" w14:textId="77777777" w:rsidR="00AB6191" w:rsidRPr="0001127D" w:rsidRDefault="00AB6191" w:rsidP="00AB6191">
            <w:pPr>
              <w:spacing w:before="180" w:after="180"/>
              <w:ind w:right="-29"/>
              <w:jc w:val="center"/>
              <w:rPr>
                <w:noProof/>
                <w:sz w:val="18"/>
                <w:szCs w:val="18"/>
              </w:rPr>
            </w:pPr>
            <w:r w:rsidRPr="0001127D">
              <w:rPr>
                <w:noProof/>
                <w:sz w:val="18"/>
              </w:rPr>
              <w:t>1</w:t>
            </w:r>
          </w:p>
        </w:tc>
        <w:tc>
          <w:tcPr>
            <w:tcW w:w="720" w:type="dxa"/>
            <w:tcBorders>
              <w:top w:val="single" w:sz="12" w:space="0" w:color="auto"/>
              <w:bottom w:val="single" w:sz="12" w:space="0" w:color="auto"/>
            </w:tcBorders>
          </w:tcPr>
          <w:p w14:paraId="4674A7D1" w14:textId="77777777" w:rsidR="00AB6191" w:rsidRPr="0001127D" w:rsidRDefault="00AB6191" w:rsidP="00AB6191">
            <w:pPr>
              <w:spacing w:before="180" w:after="180"/>
              <w:ind w:right="-29"/>
              <w:jc w:val="center"/>
              <w:rPr>
                <w:noProof/>
                <w:sz w:val="18"/>
                <w:szCs w:val="18"/>
              </w:rPr>
            </w:pPr>
            <w:r w:rsidRPr="0001127D">
              <w:rPr>
                <w:noProof/>
                <w:sz w:val="18"/>
              </w:rPr>
              <w:t>2,000</w:t>
            </w:r>
          </w:p>
        </w:tc>
        <w:tc>
          <w:tcPr>
            <w:tcW w:w="720" w:type="dxa"/>
            <w:tcBorders>
              <w:top w:val="single" w:sz="12" w:space="0" w:color="auto"/>
              <w:bottom w:val="single" w:sz="12" w:space="0" w:color="auto"/>
            </w:tcBorders>
          </w:tcPr>
          <w:p w14:paraId="0456D113" w14:textId="77777777" w:rsidR="00AB6191" w:rsidRPr="0001127D" w:rsidRDefault="00AB6191" w:rsidP="00AB6191">
            <w:pPr>
              <w:spacing w:before="180" w:after="180"/>
              <w:ind w:right="-29"/>
              <w:jc w:val="center"/>
              <w:rPr>
                <w:noProof/>
                <w:sz w:val="18"/>
                <w:szCs w:val="18"/>
              </w:rPr>
            </w:pPr>
            <w:r w:rsidRPr="0001127D">
              <w:rPr>
                <w:noProof/>
                <w:sz w:val="18"/>
              </w:rPr>
              <w:t>1</w:t>
            </w:r>
          </w:p>
        </w:tc>
        <w:tc>
          <w:tcPr>
            <w:tcW w:w="720" w:type="dxa"/>
            <w:tcBorders>
              <w:top w:val="single" w:sz="12" w:space="0" w:color="auto"/>
              <w:bottom w:val="single" w:sz="12" w:space="0" w:color="auto"/>
            </w:tcBorders>
          </w:tcPr>
          <w:p w14:paraId="119F78B5" w14:textId="77777777" w:rsidR="00AB6191" w:rsidRPr="0001127D" w:rsidRDefault="00AB6191" w:rsidP="00AB6191">
            <w:pPr>
              <w:spacing w:before="180" w:after="180"/>
              <w:ind w:right="-29"/>
              <w:jc w:val="center"/>
              <w:rPr>
                <w:noProof/>
                <w:sz w:val="18"/>
                <w:szCs w:val="18"/>
              </w:rPr>
            </w:pPr>
            <w:r w:rsidRPr="0001127D">
              <w:rPr>
                <w:noProof/>
                <w:sz w:val="18"/>
              </w:rPr>
              <w:t>2,000</w:t>
            </w:r>
          </w:p>
        </w:tc>
        <w:tc>
          <w:tcPr>
            <w:tcW w:w="900" w:type="dxa"/>
            <w:tcBorders>
              <w:top w:val="single" w:sz="12" w:space="0" w:color="auto"/>
              <w:bottom w:val="single" w:sz="12" w:space="0" w:color="auto"/>
            </w:tcBorders>
          </w:tcPr>
          <w:p w14:paraId="2DE67113" w14:textId="77777777" w:rsidR="00AB6191" w:rsidRPr="0001127D" w:rsidRDefault="00AB6191" w:rsidP="00AB619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14:paraId="7C8CBE04" w14:textId="77777777" w:rsidR="00AB6191" w:rsidRPr="0001127D" w:rsidRDefault="00AB6191" w:rsidP="00AB6191">
            <w:pPr>
              <w:spacing w:before="180" w:after="180"/>
              <w:ind w:right="-29"/>
              <w:jc w:val="center"/>
              <w:rPr>
                <w:noProof/>
                <w:sz w:val="18"/>
                <w:szCs w:val="18"/>
              </w:rPr>
            </w:pPr>
          </w:p>
        </w:tc>
        <w:tc>
          <w:tcPr>
            <w:tcW w:w="540" w:type="dxa"/>
            <w:tcBorders>
              <w:top w:val="single" w:sz="12" w:space="0" w:color="auto"/>
              <w:bottom w:val="single" w:sz="12" w:space="0" w:color="auto"/>
            </w:tcBorders>
          </w:tcPr>
          <w:p w14:paraId="3E6290AC" w14:textId="77777777" w:rsidR="00AB6191" w:rsidRPr="0001127D" w:rsidRDefault="00AB6191" w:rsidP="00AB6191">
            <w:pPr>
              <w:spacing w:before="180" w:after="180"/>
              <w:ind w:right="-29"/>
              <w:jc w:val="center"/>
              <w:rPr>
                <w:noProof/>
                <w:sz w:val="18"/>
                <w:szCs w:val="18"/>
              </w:rPr>
            </w:pPr>
          </w:p>
        </w:tc>
        <w:tc>
          <w:tcPr>
            <w:tcW w:w="648" w:type="dxa"/>
            <w:tcBorders>
              <w:top w:val="single" w:sz="12" w:space="0" w:color="auto"/>
              <w:bottom w:val="single" w:sz="12" w:space="0" w:color="auto"/>
            </w:tcBorders>
          </w:tcPr>
          <w:p w14:paraId="6654DBA4" w14:textId="77777777" w:rsidR="00AB6191" w:rsidRPr="0001127D" w:rsidRDefault="00AB6191" w:rsidP="00AB6191">
            <w:pPr>
              <w:spacing w:before="180" w:after="180"/>
              <w:ind w:right="-29"/>
              <w:jc w:val="center"/>
              <w:rPr>
                <w:noProof/>
                <w:sz w:val="18"/>
                <w:szCs w:val="18"/>
              </w:rPr>
            </w:pPr>
          </w:p>
        </w:tc>
        <w:tc>
          <w:tcPr>
            <w:tcW w:w="432" w:type="dxa"/>
            <w:tcBorders>
              <w:top w:val="single" w:sz="12" w:space="0" w:color="auto"/>
              <w:bottom w:val="single" w:sz="12" w:space="0" w:color="auto"/>
            </w:tcBorders>
          </w:tcPr>
          <w:p w14:paraId="607B1584" w14:textId="77777777" w:rsidR="00AB6191" w:rsidRPr="0001127D" w:rsidRDefault="00AB6191" w:rsidP="00AB6191">
            <w:pPr>
              <w:spacing w:before="180" w:after="180"/>
              <w:ind w:right="-29"/>
              <w:jc w:val="center"/>
              <w:rPr>
                <w:noProof/>
                <w:sz w:val="18"/>
                <w:szCs w:val="18"/>
              </w:rPr>
            </w:pPr>
          </w:p>
        </w:tc>
        <w:tc>
          <w:tcPr>
            <w:tcW w:w="720" w:type="dxa"/>
            <w:tcBorders>
              <w:top w:val="single" w:sz="12" w:space="0" w:color="auto"/>
              <w:bottom w:val="single" w:sz="12" w:space="0" w:color="auto"/>
            </w:tcBorders>
          </w:tcPr>
          <w:p w14:paraId="6CF55B37" w14:textId="77777777" w:rsidR="00AB6191" w:rsidRPr="0001127D" w:rsidRDefault="00AB6191" w:rsidP="00AB6191">
            <w:pPr>
              <w:spacing w:before="180" w:after="180"/>
              <w:ind w:right="-29"/>
              <w:jc w:val="center"/>
              <w:rPr>
                <w:noProof/>
                <w:sz w:val="18"/>
                <w:szCs w:val="18"/>
              </w:rPr>
            </w:pPr>
          </w:p>
        </w:tc>
        <w:tc>
          <w:tcPr>
            <w:tcW w:w="540" w:type="dxa"/>
            <w:tcBorders>
              <w:top w:val="single" w:sz="12" w:space="0" w:color="auto"/>
              <w:bottom w:val="single" w:sz="12" w:space="0" w:color="auto"/>
            </w:tcBorders>
          </w:tcPr>
          <w:p w14:paraId="1BB94D43" w14:textId="77777777" w:rsidR="00AB6191" w:rsidRPr="0001127D" w:rsidRDefault="00AB6191" w:rsidP="00AB6191">
            <w:pPr>
              <w:spacing w:before="180" w:after="180"/>
              <w:ind w:right="-29"/>
              <w:jc w:val="center"/>
              <w:rPr>
                <w:noProof/>
                <w:sz w:val="18"/>
                <w:szCs w:val="18"/>
              </w:rPr>
            </w:pPr>
          </w:p>
        </w:tc>
        <w:tc>
          <w:tcPr>
            <w:tcW w:w="720" w:type="dxa"/>
            <w:tcBorders>
              <w:top w:val="single" w:sz="12" w:space="0" w:color="auto"/>
              <w:bottom w:val="single" w:sz="12" w:space="0" w:color="auto"/>
            </w:tcBorders>
          </w:tcPr>
          <w:p w14:paraId="2ED5B59E" w14:textId="77777777" w:rsidR="00AB6191" w:rsidRPr="0001127D" w:rsidRDefault="00AB6191" w:rsidP="00AB6191">
            <w:pPr>
              <w:spacing w:before="180" w:after="180"/>
              <w:ind w:right="-29"/>
              <w:jc w:val="center"/>
              <w:rPr>
                <w:noProof/>
                <w:sz w:val="18"/>
                <w:szCs w:val="18"/>
              </w:rPr>
            </w:pPr>
          </w:p>
        </w:tc>
        <w:tc>
          <w:tcPr>
            <w:tcW w:w="720" w:type="dxa"/>
            <w:tcBorders>
              <w:top w:val="single" w:sz="12" w:space="0" w:color="auto"/>
              <w:bottom w:val="single" w:sz="12" w:space="0" w:color="auto"/>
            </w:tcBorders>
          </w:tcPr>
          <w:p w14:paraId="57A543AA" w14:textId="77777777" w:rsidR="00AB6191" w:rsidRPr="0001127D" w:rsidRDefault="00AB6191" w:rsidP="00AB619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14:paraId="7A21C5B8" w14:textId="77777777" w:rsidR="00AB6191" w:rsidRPr="0001127D" w:rsidRDefault="00AB6191" w:rsidP="00AB6191">
            <w:pPr>
              <w:spacing w:before="180" w:after="180"/>
              <w:ind w:right="-29"/>
              <w:jc w:val="center"/>
              <w:rPr>
                <w:noProof/>
                <w:sz w:val="18"/>
                <w:szCs w:val="18"/>
              </w:rPr>
            </w:pPr>
          </w:p>
        </w:tc>
      </w:tr>
    </w:tbl>
    <w:p w14:paraId="49EF306C" w14:textId="600FC1AE" w:rsidR="00AB6191" w:rsidRPr="0001127D" w:rsidRDefault="00AB6191" w:rsidP="00AB6191">
      <w:pPr>
        <w:pStyle w:val="ManualHeading3"/>
        <w:rPr>
          <w:bCs/>
          <w:noProof/>
          <w:szCs w:val="24"/>
        </w:rPr>
      </w:pPr>
      <w:bookmarkStart w:id="212" w:name="_Toc514938055"/>
      <w:bookmarkStart w:id="213" w:name="_Toc520485054"/>
      <w:bookmarkStart w:id="214" w:name="_Toc132359628"/>
      <w:r w:rsidRPr="0001127D">
        <w:rPr>
          <w:noProof/>
        </w:rPr>
        <w:t>3.2.3.</w:t>
      </w:r>
      <w:r w:rsidRPr="0001127D">
        <w:rPr>
          <w:noProof/>
        </w:rPr>
        <w:tab/>
        <w:t>Sintesi dell</w:t>
      </w:r>
      <w:r w:rsidR="00E64452" w:rsidRPr="0001127D">
        <w:rPr>
          <w:noProof/>
        </w:rPr>
        <w:t>'</w:t>
      </w:r>
      <w:r w:rsidRPr="0001127D">
        <w:rPr>
          <w:noProof/>
        </w:rPr>
        <w:t>incidenza prevista sugli stanziamenti amministrativi</w:t>
      </w:r>
      <w:bookmarkEnd w:id="212"/>
      <w:bookmarkEnd w:id="213"/>
      <w:bookmarkEnd w:id="214"/>
      <w:r w:rsidRPr="0001127D">
        <w:rPr>
          <w:noProof/>
        </w:rPr>
        <w:t xml:space="preserve"> </w:t>
      </w:r>
    </w:p>
    <w:p w14:paraId="78218210" w14:textId="062241D2" w:rsidR="00AB6191" w:rsidRPr="0001127D" w:rsidRDefault="00AB6191" w:rsidP="00AB6191">
      <w:pPr>
        <w:pStyle w:val="ListDash1"/>
        <w:rPr>
          <w:noProof/>
        </w:rPr>
      </w:pPr>
      <w:r w:rsidRPr="0001127D">
        <w:rPr>
          <w:noProof/>
        </w:rPr>
        <w:t>X</w:t>
      </w:r>
      <w:r w:rsidRPr="0001127D">
        <w:rPr>
          <w:noProof/>
        </w:rPr>
        <w:tab/>
        <w:t>La proposta/iniziativa non comporta l</w:t>
      </w:r>
      <w:r w:rsidR="00E64452" w:rsidRPr="0001127D">
        <w:rPr>
          <w:noProof/>
        </w:rPr>
        <w:t>'</w:t>
      </w:r>
      <w:r w:rsidRPr="0001127D">
        <w:rPr>
          <w:noProof/>
        </w:rPr>
        <w:t xml:space="preserve">utilizzo di stanziamenti amministrativi. </w:t>
      </w:r>
    </w:p>
    <w:p w14:paraId="3887900E" w14:textId="2542B8CE" w:rsidR="00AB6191" w:rsidRPr="0001127D" w:rsidRDefault="00AB6191" w:rsidP="00AB6191">
      <w:pPr>
        <w:pStyle w:val="ListDash1"/>
        <w:rPr>
          <w:noProof/>
        </w:rPr>
      </w:pPr>
      <w:r w:rsidRPr="0001127D">
        <w:rPr>
          <w:rFonts w:ascii="Wingdings" w:hAnsi="Wingdings"/>
          <w:noProof/>
        </w:rPr>
        <w:t></w:t>
      </w:r>
      <w:r w:rsidRPr="0001127D">
        <w:rPr>
          <w:noProof/>
        </w:rPr>
        <w:tab/>
        <w:t>La proposta/iniziativa comporta l</w:t>
      </w:r>
      <w:r w:rsidR="00E64452" w:rsidRPr="0001127D">
        <w:rPr>
          <w:noProof/>
        </w:rPr>
        <w:t>'</w:t>
      </w:r>
      <w:r w:rsidRPr="0001127D">
        <w:rPr>
          <w:noProof/>
        </w:rPr>
        <w:t>utilizzo di stanziamenti amministrativi, come spiegato di seguito:</w:t>
      </w:r>
    </w:p>
    <w:p w14:paraId="43AE46D2" w14:textId="77777777" w:rsidR="00AB6191" w:rsidRPr="0001127D" w:rsidRDefault="00AB6191" w:rsidP="00AB6191">
      <w:pPr>
        <w:jc w:val="right"/>
        <w:rPr>
          <w:noProof/>
          <w:sz w:val="20"/>
        </w:rPr>
      </w:pPr>
      <w:r w:rsidRPr="0001127D">
        <w:rPr>
          <w:noProof/>
          <w:sz w:val="20"/>
        </w:rPr>
        <w:t>Mio EUR (al terzo decimale)</w:t>
      </w:r>
    </w:p>
    <w:tbl>
      <w:tblPr>
        <w:tblW w:w="10620"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AB6191" w:rsidRPr="0001127D" w14:paraId="715E80F6" w14:textId="77777777" w:rsidTr="008977A7">
        <w:trPr>
          <w:trHeight w:val="585"/>
        </w:trPr>
        <w:tc>
          <w:tcPr>
            <w:tcW w:w="1980" w:type="dxa"/>
          </w:tcPr>
          <w:p w14:paraId="0FDFC90C" w14:textId="77777777" w:rsidR="00AB6191" w:rsidRPr="0001127D" w:rsidRDefault="00AB6191" w:rsidP="00AB6191">
            <w:pPr>
              <w:spacing w:before="60" w:after="60" w:line="200" w:lineRule="exact"/>
              <w:rPr>
                <w:noProof/>
                <w:sz w:val="16"/>
                <w:szCs w:val="16"/>
              </w:rPr>
            </w:pPr>
          </w:p>
        </w:tc>
        <w:tc>
          <w:tcPr>
            <w:tcW w:w="1080" w:type="dxa"/>
            <w:vAlign w:val="center"/>
          </w:tcPr>
          <w:p w14:paraId="17309446" w14:textId="77777777" w:rsidR="00AB6191" w:rsidRPr="0001127D" w:rsidRDefault="00AB6191" w:rsidP="00AB6191">
            <w:pPr>
              <w:spacing w:before="60" w:after="60" w:line="200" w:lineRule="exact"/>
              <w:jc w:val="center"/>
              <w:rPr>
                <w:noProof/>
                <w:sz w:val="16"/>
                <w:szCs w:val="16"/>
              </w:rPr>
            </w:pPr>
            <w:r w:rsidRPr="0001127D">
              <w:rPr>
                <w:noProof/>
                <w:sz w:val="20"/>
              </w:rPr>
              <w:t>2025</w:t>
            </w:r>
          </w:p>
        </w:tc>
        <w:tc>
          <w:tcPr>
            <w:tcW w:w="1080" w:type="dxa"/>
            <w:vAlign w:val="center"/>
          </w:tcPr>
          <w:p w14:paraId="3DB4FCC6" w14:textId="77777777" w:rsidR="00AB6191" w:rsidRPr="0001127D" w:rsidRDefault="00AB6191" w:rsidP="00AB6191">
            <w:pPr>
              <w:spacing w:before="60" w:after="60" w:line="200" w:lineRule="exact"/>
              <w:jc w:val="center"/>
              <w:rPr>
                <w:noProof/>
                <w:sz w:val="16"/>
                <w:szCs w:val="16"/>
              </w:rPr>
            </w:pPr>
            <w:r w:rsidRPr="0001127D">
              <w:rPr>
                <w:noProof/>
                <w:sz w:val="20"/>
              </w:rPr>
              <w:t>2026</w:t>
            </w:r>
          </w:p>
        </w:tc>
        <w:tc>
          <w:tcPr>
            <w:tcW w:w="1080" w:type="dxa"/>
            <w:vAlign w:val="center"/>
          </w:tcPr>
          <w:p w14:paraId="63520C5F" w14:textId="77777777" w:rsidR="00AB6191" w:rsidRPr="0001127D" w:rsidRDefault="00AB6191" w:rsidP="00AB6191">
            <w:pPr>
              <w:spacing w:before="60" w:after="60" w:line="200" w:lineRule="exact"/>
              <w:jc w:val="center"/>
              <w:rPr>
                <w:noProof/>
                <w:sz w:val="16"/>
                <w:szCs w:val="16"/>
              </w:rPr>
            </w:pPr>
            <w:r w:rsidRPr="0001127D">
              <w:rPr>
                <w:noProof/>
                <w:sz w:val="20"/>
              </w:rPr>
              <w:t>2027</w:t>
            </w:r>
          </w:p>
        </w:tc>
        <w:tc>
          <w:tcPr>
            <w:tcW w:w="1080" w:type="dxa"/>
            <w:vAlign w:val="center"/>
          </w:tcPr>
          <w:p w14:paraId="5DB18D8C" w14:textId="77777777" w:rsidR="00AB6191" w:rsidRPr="0001127D" w:rsidRDefault="00AB6191" w:rsidP="00AB6191">
            <w:pPr>
              <w:spacing w:before="60" w:after="60" w:line="200" w:lineRule="exact"/>
              <w:jc w:val="center"/>
              <w:rPr>
                <w:noProof/>
                <w:sz w:val="16"/>
                <w:szCs w:val="16"/>
              </w:rPr>
            </w:pPr>
          </w:p>
        </w:tc>
        <w:tc>
          <w:tcPr>
            <w:tcW w:w="3240" w:type="dxa"/>
            <w:vAlign w:val="center"/>
          </w:tcPr>
          <w:p w14:paraId="7F90296B" w14:textId="3ED8B975" w:rsidR="00AB6191" w:rsidRPr="0001127D" w:rsidRDefault="00AB6191" w:rsidP="00AB6191">
            <w:pPr>
              <w:spacing w:line="200" w:lineRule="exact"/>
              <w:jc w:val="center"/>
              <w:rPr>
                <w:b/>
                <w:noProof/>
                <w:sz w:val="16"/>
                <w:szCs w:val="16"/>
              </w:rPr>
            </w:pPr>
            <w:r w:rsidRPr="0001127D">
              <w:rPr>
                <w:noProof/>
                <w:sz w:val="16"/>
              </w:rPr>
              <w:t>Inserire gli anni necessari per evidenziare la durata dell</w:t>
            </w:r>
            <w:r w:rsidR="00E64452" w:rsidRPr="0001127D">
              <w:rPr>
                <w:noProof/>
                <w:sz w:val="16"/>
              </w:rPr>
              <w:t>'</w:t>
            </w:r>
            <w:r w:rsidRPr="0001127D">
              <w:rPr>
                <w:noProof/>
                <w:sz w:val="16"/>
              </w:rPr>
              <w:t>incidenza (cfr. punto 1.6)</w:t>
            </w:r>
          </w:p>
        </w:tc>
        <w:tc>
          <w:tcPr>
            <w:tcW w:w="1080" w:type="dxa"/>
            <w:vAlign w:val="center"/>
          </w:tcPr>
          <w:p w14:paraId="5891EDD9" w14:textId="77777777" w:rsidR="00AB6191" w:rsidRPr="0001127D" w:rsidRDefault="00AB6191" w:rsidP="00AB6191">
            <w:pPr>
              <w:spacing w:before="60" w:after="60" w:line="200" w:lineRule="exact"/>
              <w:jc w:val="center"/>
              <w:rPr>
                <w:b/>
                <w:noProof/>
                <w:sz w:val="16"/>
                <w:szCs w:val="16"/>
              </w:rPr>
            </w:pPr>
            <w:r w:rsidRPr="0001127D">
              <w:rPr>
                <w:b/>
                <w:noProof/>
                <w:sz w:val="16"/>
              </w:rPr>
              <w:t>TOTALE</w:t>
            </w:r>
          </w:p>
        </w:tc>
      </w:tr>
    </w:tbl>
    <w:p w14:paraId="5186431E" w14:textId="77777777" w:rsidR="00AB6191" w:rsidRPr="0001127D" w:rsidRDefault="00AB6191" w:rsidP="00AB6191">
      <w:pPr>
        <w:spacing w:line="200" w:lineRule="exact"/>
        <w:rPr>
          <w:noProof/>
          <w:sz w:val="16"/>
          <w:szCs w:val="16"/>
        </w:rPr>
      </w:pPr>
    </w:p>
    <w:tbl>
      <w:tblPr>
        <w:tblW w:w="10620"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01127D" w14:paraId="7E2B1F80" w14:textId="77777777" w:rsidTr="008F2703">
        <w:trPr>
          <w:trHeight w:val="585"/>
        </w:trPr>
        <w:tc>
          <w:tcPr>
            <w:tcW w:w="1980" w:type="dxa"/>
            <w:shd w:val="clear" w:color="auto" w:fill="CCCCCC"/>
            <w:vAlign w:val="center"/>
          </w:tcPr>
          <w:p w14:paraId="26C9C984" w14:textId="77777777" w:rsidR="00AB6191" w:rsidRPr="0001127D" w:rsidRDefault="00AB6191" w:rsidP="00AB6191">
            <w:pPr>
              <w:spacing w:before="60" w:after="60" w:line="200" w:lineRule="exact"/>
              <w:jc w:val="center"/>
              <w:rPr>
                <w:b/>
                <w:noProof/>
                <w:sz w:val="16"/>
                <w:szCs w:val="16"/>
              </w:rPr>
            </w:pPr>
            <w:r w:rsidRPr="0001127D">
              <w:rPr>
                <w:b/>
                <w:noProof/>
                <w:sz w:val="16"/>
              </w:rPr>
              <w:t>RUBRICA 7</w:t>
            </w:r>
            <w:r w:rsidRPr="0001127D">
              <w:rPr>
                <w:noProof/>
              </w:rPr>
              <w:t xml:space="preserve"> </w:t>
            </w:r>
            <w:r w:rsidRPr="0001127D">
              <w:rPr>
                <w:noProof/>
              </w:rPr>
              <w:br/>
            </w:r>
            <w:r w:rsidRPr="0001127D">
              <w:rPr>
                <w:b/>
                <w:noProof/>
                <w:sz w:val="16"/>
              </w:rPr>
              <w:t>del quadro finanziario pluriennale</w:t>
            </w:r>
          </w:p>
        </w:tc>
        <w:tc>
          <w:tcPr>
            <w:tcW w:w="1080" w:type="dxa"/>
            <w:vAlign w:val="center"/>
          </w:tcPr>
          <w:p w14:paraId="26448AD9"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2E8F5BA8"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4CBC180B"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66F339EE"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1C025ACC"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2161F6D7"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46474875" w14:textId="77777777" w:rsidR="00AB6191" w:rsidRPr="0001127D" w:rsidRDefault="00AB6191" w:rsidP="00AB6191">
            <w:pPr>
              <w:spacing w:before="60" w:after="60" w:line="200" w:lineRule="exact"/>
              <w:jc w:val="right"/>
              <w:rPr>
                <w:b/>
                <w:noProof/>
                <w:sz w:val="16"/>
                <w:szCs w:val="16"/>
              </w:rPr>
            </w:pPr>
          </w:p>
        </w:tc>
        <w:tc>
          <w:tcPr>
            <w:tcW w:w="1080" w:type="dxa"/>
            <w:vAlign w:val="center"/>
          </w:tcPr>
          <w:p w14:paraId="37B38CBE" w14:textId="77777777" w:rsidR="00AB6191" w:rsidRPr="0001127D" w:rsidRDefault="00AB6191" w:rsidP="00AB6191">
            <w:pPr>
              <w:spacing w:before="60" w:after="60" w:line="200" w:lineRule="exact"/>
              <w:jc w:val="right"/>
              <w:rPr>
                <w:b/>
                <w:noProof/>
                <w:sz w:val="16"/>
                <w:szCs w:val="16"/>
              </w:rPr>
            </w:pPr>
          </w:p>
        </w:tc>
      </w:tr>
      <w:tr w:rsidR="00AB6191" w:rsidRPr="0001127D" w14:paraId="1C4BEA06" w14:textId="77777777" w:rsidTr="008F2703">
        <w:trPr>
          <w:trHeight w:val="585"/>
        </w:trPr>
        <w:tc>
          <w:tcPr>
            <w:tcW w:w="1980" w:type="dxa"/>
            <w:vAlign w:val="center"/>
          </w:tcPr>
          <w:p w14:paraId="57646078" w14:textId="77777777" w:rsidR="00AB6191" w:rsidRPr="0001127D" w:rsidRDefault="00AB6191" w:rsidP="00AB6191">
            <w:pPr>
              <w:spacing w:before="60" w:after="60" w:line="200" w:lineRule="exact"/>
              <w:ind w:left="72"/>
              <w:jc w:val="left"/>
              <w:rPr>
                <w:noProof/>
                <w:sz w:val="16"/>
                <w:szCs w:val="16"/>
              </w:rPr>
            </w:pPr>
            <w:r w:rsidRPr="0001127D">
              <w:rPr>
                <w:noProof/>
                <w:sz w:val="16"/>
              </w:rPr>
              <w:t xml:space="preserve">Risorse umane </w:t>
            </w:r>
          </w:p>
        </w:tc>
        <w:tc>
          <w:tcPr>
            <w:tcW w:w="1080" w:type="dxa"/>
            <w:vAlign w:val="center"/>
          </w:tcPr>
          <w:p w14:paraId="40D5B5E2"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61AF7438"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230A6F5F"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625F5FFC"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7FF22388"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074A0235"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3D437103" w14:textId="77777777" w:rsidR="00AB6191" w:rsidRPr="0001127D" w:rsidRDefault="00AB6191" w:rsidP="00AB6191">
            <w:pPr>
              <w:spacing w:before="60" w:after="60" w:line="200" w:lineRule="exact"/>
              <w:jc w:val="right"/>
              <w:rPr>
                <w:b/>
                <w:noProof/>
                <w:sz w:val="16"/>
                <w:szCs w:val="16"/>
              </w:rPr>
            </w:pPr>
          </w:p>
        </w:tc>
        <w:tc>
          <w:tcPr>
            <w:tcW w:w="1080" w:type="dxa"/>
            <w:vAlign w:val="center"/>
          </w:tcPr>
          <w:p w14:paraId="5F535E0C" w14:textId="77777777" w:rsidR="00AB6191" w:rsidRPr="0001127D" w:rsidRDefault="00AB6191" w:rsidP="00AB6191">
            <w:pPr>
              <w:spacing w:before="60" w:after="60" w:line="200" w:lineRule="exact"/>
              <w:jc w:val="right"/>
              <w:rPr>
                <w:b/>
                <w:noProof/>
                <w:sz w:val="16"/>
                <w:szCs w:val="16"/>
              </w:rPr>
            </w:pPr>
          </w:p>
        </w:tc>
      </w:tr>
      <w:tr w:rsidR="00AB6191" w:rsidRPr="0001127D" w14:paraId="5EB4CF58" w14:textId="77777777" w:rsidTr="008F2703">
        <w:trPr>
          <w:trHeight w:val="585"/>
        </w:trPr>
        <w:tc>
          <w:tcPr>
            <w:tcW w:w="1980" w:type="dxa"/>
            <w:vAlign w:val="center"/>
          </w:tcPr>
          <w:p w14:paraId="275D9EBB" w14:textId="77777777" w:rsidR="00AB6191" w:rsidRPr="0001127D" w:rsidRDefault="00AB6191" w:rsidP="00AB6191">
            <w:pPr>
              <w:spacing w:before="60" w:after="60" w:line="200" w:lineRule="exact"/>
              <w:ind w:left="72"/>
              <w:jc w:val="left"/>
              <w:rPr>
                <w:noProof/>
                <w:sz w:val="16"/>
                <w:szCs w:val="16"/>
              </w:rPr>
            </w:pPr>
            <w:r w:rsidRPr="0001127D">
              <w:rPr>
                <w:noProof/>
                <w:sz w:val="16"/>
              </w:rPr>
              <w:t xml:space="preserve">Altre spese amministrative </w:t>
            </w:r>
          </w:p>
        </w:tc>
        <w:tc>
          <w:tcPr>
            <w:tcW w:w="1080" w:type="dxa"/>
            <w:vAlign w:val="center"/>
          </w:tcPr>
          <w:p w14:paraId="4D9F2866"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6DDDC14B"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6F4D5E31"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06237910"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19E806A6"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7553CBBE"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2ABC3621" w14:textId="77777777" w:rsidR="00AB6191" w:rsidRPr="0001127D" w:rsidRDefault="00AB6191" w:rsidP="00AB6191">
            <w:pPr>
              <w:spacing w:before="60" w:after="60" w:line="200" w:lineRule="exact"/>
              <w:jc w:val="right"/>
              <w:rPr>
                <w:b/>
                <w:noProof/>
                <w:sz w:val="16"/>
                <w:szCs w:val="16"/>
              </w:rPr>
            </w:pPr>
          </w:p>
        </w:tc>
        <w:tc>
          <w:tcPr>
            <w:tcW w:w="1080" w:type="dxa"/>
            <w:vAlign w:val="center"/>
          </w:tcPr>
          <w:p w14:paraId="11755E71" w14:textId="77777777" w:rsidR="00AB6191" w:rsidRPr="0001127D" w:rsidRDefault="00AB6191" w:rsidP="00AB6191">
            <w:pPr>
              <w:spacing w:before="60" w:after="60" w:line="200" w:lineRule="exact"/>
              <w:jc w:val="right"/>
              <w:rPr>
                <w:b/>
                <w:noProof/>
                <w:sz w:val="16"/>
                <w:szCs w:val="16"/>
              </w:rPr>
            </w:pPr>
          </w:p>
        </w:tc>
      </w:tr>
      <w:tr w:rsidR="00AB6191" w:rsidRPr="0001127D" w14:paraId="4F901282" w14:textId="77777777" w:rsidTr="008F2703">
        <w:trPr>
          <w:trHeight w:val="585"/>
        </w:trPr>
        <w:tc>
          <w:tcPr>
            <w:tcW w:w="1980" w:type="dxa"/>
            <w:shd w:val="clear" w:color="auto" w:fill="CCCCCC"/>
            <w:vAlign w:val="center"/>
          </w:tcPr>
          <w:p w14:paraId="598348F2" w14:textId="77777777" w:rsidR="00AB6191" w:rsidRPr="0001127D" w:rsidRDefault="00AB6191" w:rsidP="00AB6191">
            <w:pPr>
              <w:spacing w:before="60" w:after="60" w:line="200" w:lineRule="exact"/>
              <w:jc w:val="center"/>
              <w:rPr>
                <w:b/>
                <w:noProof/>
                <w:sz w:val="16"/>
                <w:szCs w:val="16"/>
              </w:rPr>
            </w:pPr>
            <w:r w:rsidRPr="0001127D">
              <w:rPr>
                <w:b/>
                <w:noProof/>
                <w:sz w:val="16"/>
              </w:rPr>
              <w:t>Totale parziale RUBRICA 7</w:t>
            </w:r>
            <w:r w:rsidRPr="0001127D">
              <w:rPr>
                <w:noProof/>
              </w:rPr>
              <w:t xml:space="preserve"> </w:t>
            </w:r>
            <w:r w:rsidRPr="0001127D">
              <w:rPr>
                <w:noProof/>
              </w:rPr>
              <w:br/>
            </w:r>
            <w:r w:rsidRPr="0001127D">
              <w:rPr>
                <w:b/>
                <w:noProof/>
                <w:sz w:val="16"/>
              </w:rPr>
              <w:t xml:space="preserve">del quadro finanziario pluriennale </w:t>
            </w:r>
          </w:p>
        </w:tc>
        <w:tc>
          <w:tcPr>
            <w:tcW w:w="1080" w:type="dxa"/>
            <w:vAlign w:val="center"/>
          </w:tcPr>
          <w:p w14:paraId="1C924DEC"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33C420B1"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0626E47F"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1D188679"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50EB9B7C"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79B8C17B"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3FE378EE" w14:textId="77777777" w:rsidR="00AB6191" w:rsidRPr="0001127D" w:rsidRDefault="00AB6191" w:rsidP="00AB6191">
            <w:pPr>
              <w:spacing w:before="60" w:after="60" w:line="200" w:lineRule="exact"/>
              <w:jc w:val="right"/>
              <w:rPr>
                <w:b/>
                <w:noProof/>
                <w:sz w:val="16"/>
                <w:szCs w:val="16"/>
              </w:rPr>
            </w:pPr>
          </w:p>
        </w:tc>
        <w:tc>
          <w:tcPr>
            <w:tcW w:w="1080" w:type="dxa"/>
            <w:vAlign w:val="center"/>
          </w:tcPr>
          <w:p w14:paraId="14A31602" w14:textId="77777777" w:rsidR="00AB6191" w:rsidRPr="0001127D" w:rsidRDefault="00AB6191" w:rsidP="00AB6191">
            <w:pPr>
              <w:spacing w:before="60" w:after="60" w:line="200" w:lineRule="exact"/>
              <w:jc w:val="right"/>
              <w:rPr>
                <w:b/>
                <w:noProof/>
                <w:sz w:val="16"/>
                <w:szCs w:val="16"/>
              </w:rPr>
            </w:pPr>
          </w:p>
        </w:tc>
      </w:tr>
    </w:tbl>
    <w:p w14:paraId="6522DF83" w14:textId="77777777" w:rsidR="00AB6191" w:rsidRPr="0001127D" w:rsidRDefault="00AB6191" w:rsidP="00AB6191">
      <w:pPr>
        <w:spacing w:line="200" w:lineRule="exact"/>
        <w:rPr>
          <w:noProof/>
          <w:sz w:val="16"/>
          <w:szCs w:val="16"/>
        </w:rPr>
      </w:pPr>
    </w:p>
    <w:tbl>
      <w:tblPr>
        <w:tblW w:w="10620"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01127D" w14:paraId="016C159B" w14:textId="77777777" w:rsidTr="008F2703">
        <w:trPr>
          <w:trHeight w:val="585"/>
        </w:trPr>
        <w:tc>
          <w:tcPr>
            <w:tcW w:w="1980" w:type="dxa"/>
            <w:shd w:val="clear" w:color="auto" w:fill="CCCCCC"/>
            <w:vAlign w:val="center"/>
          </w:tcPr>
          <w:p w14:paraId="05E5A013" w14:textId="77777777" w:rsidR="00AB6191" w:rsidRPr="0001127D" w:rsidRDefault="00AB6191" w:rsidP="00AB6191">
            <w:pPr>
              <w:spacing w:before="60" w:after="60" w:line="200" w:lineRule="exact"/>
              <w:jc w:val="center"/>
              <w:rPr>
                <w:noProof/>
                <w:sz w:val="16"/>
                <w:szCs w:val="16"/>
              </w:rPr>
            </w:pPr>
            <w:r w:rsidRPr="0001127D">
              <w:rPr>
                <w:b/>
                <w:noProof/>
                <w:sz w:val="16"/>
              </w:rPr>
              <w:t>esclusa la RUBRICA 7</w:t>
            </w:r>
            <w:r w:rsidRPr="0001127D">
              <w:rPr>
                <w:rStyle w:val="FootnoteReference"/>
                <w:noProof/>
              </w:rPr>
              <w:footnoteReference w:id="79"/>
            </w:r>
            <w:r w:rsidRPr="0001127D">
              <w:rPr>
                <w:noProof/>
              </w:rPr>
              <w:t xml:space="preserve"> </w:t>
            </w:r>
            <w:r w:rsidRPr="0001127D">
              <w:rPr>
                <w:noProof/>
              </w:rPr>
              <w:br/>
            </w:r>
            <w:r w:rsidRPr="0001127D">
              <w:rPr>
                <w:b/>
                <w:noProof/>
                <w:sz w:val="16"/>
              </w:rPr>
              <w:t xml:space="preserve">del quadro finanziario pluriennale </w:t>
            </w:r>
          </w:p>
          <w:p w14:paraId="553AB991" w14:textId="77777777" w:rsidR="00AB6191" w:rsidRPr="0001127D" w:rsidRDefault="00AB6191" w:rsidP="00AB6191">
            <w:pPr>
              <w:spacing w:before="0" w:after="0" w:line="200" w:lineRule="exact"/>
              <w:jc w:val="center"/>
              <w:rPr>
                <w:b/>
                <w:noProof/>
                <w:sz w:val="16"/>
                <w:szCs w:val="16"/>
              </w:rPr>
            </w:pPr>
          </w:p>
        </w:tc>
        <w:tc>
          <w:tcPr>
            <w:tcW w:w="1080" w:type="dxa"/>
            <w:vAlign w:val="center"/>
          </w:tcPr>
          <w:p w14:paraId="48EDC026"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63F14ECA"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3B68852F"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33CA21D5"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6C80C656"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2345C8E8"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473922E7" w14:textId="77777777" w:rsidR="00AB6191" w:rsidRPr="0001127D" w:rsidRDefault="00AB6191" w:rsidP="00AB6191">
            <w:pPr>
              <w:spacing w:before="60" w:after="60" w:line="200" w:lineRule="exact"/>
              <w:jc w:val="right"/>
              <w:rPr>
                <w:b/>
                <w:noProof/>
                <w:sz w:val="16"/>
                <w:szCs w:val="16"/>
              </w:rPr>
            </w:pPr>
          </w:p>
        </w:tc>
        <w:tc>
          <w:tcPr>
            <w:tcW w:w="1080" w:type="dxa"/>
            <w:vAlign w:val="center"/>
          </w:tcPr>
          <w:p w14:paraId="75FCE1B7" w14:textId="77777777" w:rsidR="00AB6191" w:rsidRPr="0001127D" w:rsidRDefault="00AB6191" w:rsidP="00AB6191">
            <w:pPr>
              <w:spacing w:before="60" w:after="60" w:line="200" w:lineRule="exact"/>
              <w:jc w:val="right"/>
              <w:rPr>
                <w:b/>
                <w:noProof/>
                <w:sz w:val="16"/>
                <w:szCs w:val="16"/>
              </w:rPr>
            </w:pPr>
          </w:p>
        </w:tc>
      </w:tr>
      <w:tr w:rsidR="00AB6191" w:rsidRPr="0001127D" w14:paraId="1004AF4C" w14:textId="77777777" w:rsidTr="008F2703">
        <w:trPr>
          <w:trHeight w:val="585"/>
        </w:trPr>
        <w:tc>
          <w:tcPr>
            <w:tcW w:w="1980" w:type="dxa"/>
            <w:vAlign w:val="center"/>
          </w:tcPr>
          <w:p w14:paraId="2A8592FB" w14:textId="77777777" w:rsidR="00AB6191" w:rsidRPr="0001127D" w:rsidRDefault="00AB6191" w:rsidP="00AB6191">
            <w:pPr>
              <w:spacing w:before="60" w:after="60" w:line="200" w:lineRule="exact"/>
              <w:ind w:left="72"/>
              <w:jc w:val="left"/>
              <w:rPr>
                <w:noProof/>
                <w:sz w:val="16"/>
                <w:szCs w:val="16"/>
              </w:rPr>
            </w:pPr>
            <w:r w:rsidRPr="0001127D">
              <w:rPr>
                <w:noProof/>
                <w:sz w:val="16"/>
              </w:rPr>
              <w:t xml:space="preserve">Risorse umane </w:t>
            </w:r>
          </w:p>
        </w:tc>
        <w:tc>
          <w:tcPr>
            <w:tcW w:w="1080" w:type="dxa"/>
            <w:vAlign w:val="center"/>
          </w:tcPr>
          <w:p w14:paraId="61647F73"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677A4311"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586BD511"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3BD9CA9D"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2D3EAFEB"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58EF9DC4"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7B844868" w14:textId="77777777" w:rsidR="00AB6191" w:rsidRPr="0001127D" w:rsidRDefault="00AB6191" w:rsidP="00AB6191">
            <w:pPr>
              <w:spacing w:before="60" w:after="60" w:line="200" w:lineRule="exact"/>
              <w:jc w:val="right"/>
              <w:rPr>
                <w:b/>
                <w:noProof/>
                <w:sz w:val="16"/>
                <w:szCs w:val="16"/>
              </w:rPr>
            </w:pPr>
          </w:p>
        </w:tc>
        <w:tc>
          <w:tcPr>
            <w:tcW w:w="1080" w:type="dxa"/>
            <w:vAlign w:val="center"/>
          </w:tcPr>
          <w:p w14:paraId="1CDAC6AD" w14:textId="77777777" w:rsidR="00AB6191" w:rsidRPr="0001127D" w:rsidRDefault="00AB6191" w:rsidP="00AB6191">
            <w:pPr>
              <w:spacing w:before="60" w:after="60" w:line="200" w:lineRule="exact"/>
              <w:jc w:val="right"/>
              <w:rPr>
                <w:b/>
                <w:noProof/>
                <w:sz w:val="16"/>
                <w:szCs w:val="16"/>
              </w:rPr>
            </w:pPr>
          </w:p>
        </w:tc>
      </w:tr>
      <w:tr w:rsidR="00AB6191" w:rsidRPr="0001127D" w14:paraId="78236E94" w14:textId="77777777" w:rsidTr="008F2703">
        <w:trPr>
          <w:trHeight w:val="585"/>
        </w:trPr>
        <w:tc>
          <w:tcPr>
            <w:tcW w:w="1980" w:type="dxa"/>
            <w:vAlign w:val="center"/>
          </w:tcPr>
          <w:p w14:paraId="1EC59EEC" w14:textId="24005193" w:rsidR="00AB6191" w:rsidRPr="0001127D" w:rsidRDefault="00AB6191" w:rsidP="00AB6191">
            <w:pPr>
              <w:spacing w:before="60" w:after="60" w:line="200" w:lineRule="exact"/>
              <w:ind w:left="72"/>
              <w:jc w:val="left"/>
              <w:rPr>
                <w:noProof/>
                <w:sz w:val="16"/>
                <w:szCs w:val="16"/>
              </w:rPr>
            </w:pPr>
            <w:r w:rsidRPr="0001127D">
              <w:rPr>
                <w:noProof/>
                <w:sz w:val="16"/>
              </w:rPr>
              <w:t>Altre spese</w:t>
            </w:r>
            <w:r w:rsidR="00E64452" w:rsidRPr="0001127D">
              <w:rPr>
                <w:noProof/>
                <w:sz w:val="16"/>
              </w:rPr>
              <w:t xml:space="preserve"> </w:t>
            </w:r>
            <w:r w:rsidRPr="0001127D">
              <w:rPr>
                <w:noProof/>
              </w:rPr>
              <w:cr/>
            </w:r>
            <w:r w:rsidRPr="0001127D">
              <w:rPr>
                <w:noProof/>
              </w:rPr>
              <w:br/>
            </w:r>
            <w:r w:rsidRPr="0001127D">
              <w:rPr>
                <w:noProof/>
                <w:sz w:val="16"/>
              </w:rPr>
              <w:t>amministrative</w:t>
            </w:r>
          </w:p>
        </w:tc>
        <w:tc>
          <w:tcPr>
            <w:tcW w:w="1080" w:type="dxa"/>
            <w:vAlign w:val="center"/>
          </w:tcPr>
          <w:p w14:paraId="1E6E92F0"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1307B471"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29A20FD2"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4945AAAE"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10B1A251"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09ACAD62"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408445AB" w14:textId="77777777" w:rsidR="00AB6191" w:rsidRPr="0001127D" w:rsidRDefault="00AB6191" w:rsidP="00AB6191">
            <w:pPr>
              <w:spacing w:before="60" w:after="60" w:line="200" w:lineRule="exact"/>
              <w:jc w:val="right"/>
              <w:rPr>
                <w:b/>
                <w:noProof/>
                <w:sz w:val="16"/>
                <w:szCs w:val="16"/>
              </w:rPr>
            </w:pPr>
          </w:p>
        </w:tc>
        <w:tc>
          <w:tcPr>
            <w:tcW w:w="1080" w:type="dxa"/>
            <w:vAlign w:val="center"/>
          </w:tcPr>
          <w:p w14:paraId="2D718C63" w14:textId="77777777" w:rsidR="00AB6191" w:rsidRPr="0001127D" w:rsidRDefault="00AB6191" w:rsidP="00AB6191">
            <w:pPr>
              <w:spacing w:before="60" w:after="60" w:line="200" w:lineRule="exact"/>
              <w:jc w:val="right"/>
              <w:rPr>
                <w:b/>
                <w:noProof/>
                <w:sz w:val="16"/>
                <w:szCs w:val="16"/>
              </w:rPr>
            </w:pPr>
          </w:p>
        </w:tc>
      </w:tr>
      <w:tr w:rsidR="00AB6191" w:rsidRPr="0001127D" w14:paraId="06E5035B" w14:textId="77777777" w:rsidTr="008F2703">
        <w:trPr>
          <w:trHeight w:val="585"/>
        </w:trPr>
        <w:tc>
          <w:tcPr>
            <w:tcW w:w="1980" w:type="dxa"/>
            <w:shd w:val="clear" w:color="auto" w:fill="CCCCCC"/>
            <w:vAlign w:val="center"/>
          </w:tcPr>
          <w:p w14:paraId="025621F3" w14:textId="113E8AB1" w:rsidR="00AB6191" w:rsidRPr="0001127D" w:rsidRDefault="00AB6191" w:rsidP="00AB6191">
            <w:pPr>
              <w:spacing w:before="60" w:after="60" w:line="200" w:lineRule="exact"/>
              <w:jc w:val="center"/>
              <w:rPr>
                <w:b/>
                <w:noProof/>
                <w:sz w:val="16"/>
                <w:szCs w:val="16"/>
              </w:rPr>
            </w:pPr>
            <w:r w:rsidRPr="0001127D">
              <w:rPr>
                <w:b/>
                <w:noProof/>
                <w:sz w:val="16"/>
              </w:rPr>
              <w:t>Totale parziale</w:t>
            </w:r>
            <w:r w:rsidRPr="0001127D">
              <w:rPr>
                <w:noProof/>
              </w:rPr>
              <w:br/>
            </w:r>
            <w:r w:rsidRPr="0001127D">
              <w:rPr>
                <w:b/>
                <w:noProof/>
                <w:sz w:val="16"/>
              </w:rPr>
              <w:t>esclusa la RUBRICA 7</w:t>
            </w:r>
            <w:r w:rsidRPr="0001127D">
              <w:rPr>
                <w:noProof/>
              </w:rPr>
              <w:t xml:space="preserve"> </w:t>
            </w:r>
            <w:r w:rsidRPr="0001127D">
              <w:rPr>
                <w:noProof/>
              </w:rPr>
              <w:br/>
            </w:r>
            <w:r w:rsidRPr="0001127D">
              <w:rPr>
                <w:b/>
                <w:noProof/>
                <w:sz w:val="16"/>
              </w:rPr>
              <w:t xml:space="preserve">del quadro finanziario pluriennale </w:t>
            </w:r>
          </w:p>
        </w:tc>
        <w:tc>
          <w:tcPr>
            <w:tcW w:w="1080" w:type="dxa"/>
            <w:vAlign w:val="center"/>
          </w:tcPr>
          <w:p w14:paraId="3D611642"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509FB78C"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1A5150FA"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3C9C3580"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4FBD4F8F"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2CA1F58B" w14:textId="77777777" w:rsidR="00AB6191" w:rsidRPr="0001127D" w:rsidRDefault="00AB6191" w:rsidP="00AB6191">
            <w:pPr>
              <w:spacing w:before="60" w:after="60" w:line="200" w:lineRule="exact"/>
              <w:jc w:val="right"/>
              <w:rPr>
                <w:noProof/>
                <w:sz w:val="16"/>
                <w:szCs w:val="16"/>
              </w:rPr>
            </w:pPr>
          </w:p>
        </w:tc>
        <w:tc>
          <w:tcPr>
            <w:tcW w:w="1080" w:type="dxa"/>
            <w:vAlign w:val="center"/>
          </w:tcPr>
          <w:p w14:paraId="5C55B21B" w14:textId="77777777" w:rsidR="00AB6191" w:rsidRPr="0001127D" w:rsidRDefault="00AB6191" w:rsidP="00AB6191">
            <w:pPr>
              <w:spacing w:before="60" w:after="60" w:line="200" w:lineRule="exact"/>
              <w:jc w:val="right"/>
              <w:rPr>
                <w:b/>
                <w:noProof/>
                <w:sz w:val="16"/>
                <w:szCs w:val="16"/>
              </w:rPr>
            </w:pPr>
          </w:p>
        </w:tc>
        <w:tc>
          <w:tcPr>
            <w:tcW w:w="1080" w:type="dxa"/>
            <w:vAlign w:val="center"/>
          </w:tcPr>
          <w:p w14:paraId="5E9EA321" w14:textId="77777777" w:rsidR="00AB6191" w:rsidRPr="0001127D" w:rsidRDefault="00AB6191" w:rsidP="00AB6191">
            <w:pPr>
              <w:spacing w:before="60" w:after="60" w:line="200" w:lineRule="exact"/>
              <w:jc w:val="right"/>
              <w:rPr>
                <w:b/>
                <w:noProof/>
                <w:sz w:val="16"/>
                <w:szCs w:val="16"/>
              </w:rPr>
            </w:pPr>
          </w:p>
        </w:tc>
      </w:tr>
    </w:tbl>
    <w:p w14:paraId="1ABE6FC9" w14:textId="77777777" w:rsidR="00AB6191" w:rsidRPr="0001127D" w:rsidRDefault="00AB6191" w:rsidP="00AB6191">
      <w:pPr>
        <w:spacing w:line="200" w:lineRule="exact"/>
        <w:rPr>
          <w:noProof/>
          <w:sz w:val="16"/>
          <w:szCs w:val="16"/>
        </w:rPr>
      </w:pPr>
    </w:p>
    <w:tbl>
      <w:tblPr>
        <w:tblW w:w="10620" w:type="dxa"/>
        <w:tblInd w:w="-13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B6191" w:rsidRPr="0001127D" w14:paraId="2A862996" w14:textId="77777777" w:rsidTr="008F270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6D32E90" w14:textId="77777777" w:rsidR="00AB6191" w:rsidRPr="0001127D" w:rsidRDefault="00AB6191" w:rsidP="00AB6191">
            <w:pPr>
              <w:spacing w:before="60" w:after="60" w:line="200" w:lineRule="exact"/>
              <w:jc w:val="center"/>
              <w:rPr>
                <w:noProof/>
                <w:sz w:val="16"/>
                <w:szCs w:val="16"/>
              </w:rPr>
            </w:pPr>
            <w:r w:rsidRPr="0001127D">
              <w:rPr>
                <w:b/>
                <w:noProof/>
                <w:sz w:val="16"/>
              </w:rPr>
              <w:t>TOTALE</w:t>
            </w:r>
          </w:p>
        </w:tc>
        <w:tc>
          <w:tcPr>
            <w:tcW w:w="1080" w:type="dxa"/>
            <w:tcBorders>
              <w:top w:val="single" w:sz="12" w:space="0" w:color="auto"/>
              <w:left w:val="single" w:sz="2" w:space="0" w:color="auto"/>
              <w:bottom w:val="single" w:sz="12" w:space="0" w:color="auto"/>
              <w:right w:val="single" w:sz="2" w:space="0" w:color="auto"/>
            </w:tcBorders>
            <w:vAlign w:val="center"/>
          </w:tcPr>
          <w:p w14:paraId="3EAE1B29" w14:textId="77777777" w:rsidR="00AB6191" w:rsidRPr="0001127D"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854CD5C" w14:textId="77777777" w:rsidR="00AB6191" w:rsidRPr="0001127D"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857179E" w14:textId="77777777" w:rsidR="00AB6191" w:rsidRPr="0001127D"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3031D008" w14:textId="77777777" w:rsidR="00AB6191" w:rsidRPr="0001127D"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02068F43" w14:textId="77777777" w:rsidR="00AB6191" w:rsidRPr="0001127D"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50B2B456" w14:textId="77777777" w:rsidR="00AB6191" w:rsidRPr="0001127D"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2BD2D85" w14:textId="77777777" w:rsidR="00AB6191" w:rsidRPr="0001127D" w:rsidRDefault="00AB6191" w:rsidP="00AB619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5E8835D6" w14:textId="77777777" w:rsidR="00AB6191" w:rsidRPr="0001127D" w:rsidRDefault="00AB6191" w:rsidP="00AB6191">
            <w:pPr>
              <w:spacing w:before="60" w:after="60" w:line="200" w:lineRule="exact"/>
              <w:jc w:val="right"/>
              <w:rPr>
                <w:b/>
                <w:noProof/>
                <w:sz w:val="16"/>
                <w:szCs w:val="16"/>
              </w:rPr>
            </w:pPr>
          </w:p>
        </w:tc>
      </w:tr>
    </w:tbl>
    <w:p w14:paraId="77F626F8" w14:textId="40DE23CB" w:rsidR="00AB6191" w:rsidRPr="0001127D" w:rsidRDefault="00AB6191" w:rsidP="00AB6191">
      <w:pPr>
        <w:rPr>
          <w:noProof/>
          <w:sz w:val="18"/>
        </w:rPr>
      </w:pPr>
      <w:r w:rsidRPr="0001127D">
        <w:rPr>
          <w:noProof/>
          <w:sz w:val="18"/>
        </w:rPr>
        <w:t>Il fabbisogno di stanziamenti relativi alle risorse umane e alle altre spese amministrative è coperto dagli stanziamenti della DG già assegnati alla gestione dell</w:t>
      </w:r>
      <w:r w:rsidR="00E64452" w:rsidRPr="0001127D">
        <w:rPr>
          <w:noProof/>
          <w:sz w:val="18"/>
        </w:rPr>
        <w:t>'</w:t>
      </w:r>
      <w:r w:rsidRPr="0001127D">
        <w:rPr>
          <w:noProof/>
          <w:sz w:val="18"/>
        </w:rPr>
        <w:t>azione e/o riassegnati all</w:t>
      </w:r>
      <w:r w:rsidR="00E64452" w:rsidRPr="0001127D">
        <w:rPr>
          <w:noProof/>
          <w:sz w:val="18"/>
        </w:rPr>
        <w:t>'</w:t>
      </w:r>
      <w:r w:rsidRPr="0001127D">
        <w:rPr>
          <w:noProof/>
          <w:sz w:val="18"/>
        </w:rPr>
        <w:t>interno della stessa DG, integrati dall</w:t>
      </w:r>
      <w:r w:rsidR="00E64452" w:rsidRPr="0001127D">
        <w:rPr>
          <w:noProof/>
          <w:sz w:val="18"/>
        </w:rPr>
        <w:t>'</w:t>
      </w:r>
      <w:r w:rsidRPr="0001127D">
        <w:rPr>
          <w:noProof/>
          <w:sz w:val="18"/>
        </w:rPr>
        <w:t>eventuale dotazione supplementare concessa alla DG responsabile nell</w:t>
      </w:r>
      <w:r w:rsidR="00E64452" w:rsidRPr="0001127D">
        <w:rPr>
          <w:noProof/>
          <w:sz w:val="18"/>
        </w:rPr>
        <w:t>'</w:t>
      </w:r>
      <w:r w:rsidRPr="0001127D">
        <w:rPr>
          <w:noProof/>
          <w:sz w:val="18"/>
        </w:rPr>
        <w:t>ambito della procedura annuale di assegnazione, tenendo conto dei vincoli di bilancio.</w:t>
      </w:r>
    </w:p>
    <w:p w14:paraId="3942033C" w14:textId="77777777" w:rsidR="00AC6E63" w:rsidRPr="0001127D" w:rsidRDefault="00AC6E63">
      <w:pPr>
        <w:spacing w:before="0" w:after="200" w:line="276" w:lineRule="auto"/>
        <w:jc w:val="left"/>
        <w:rPr>
          <w:noProof/>
        </w:rPr>
      </w:pPr>
      <w:r w:rsidRPr="0001127D">
        <w:rPr>
          <w:noProof/>
        </w:rPr>
        <w:br w:type="page"/>
      </w:r>
    </w:p>
    <w:p w14:paraId="3482FA7A" w14:textId="77777777" w:rsidR="00AB6191" w:rsidRPr="0001127D" w:rsidRDefault="00AB6191" w:rsidP="00AB6191">
      <w:pPr>
        <w:pStyle w:val="ManualHeading4"/>
        <w:rPr>
          <w:bCs/>
          <w:noProof/>
          <w:szCs w:val="24"/>
        </w:rPr>
      </w:pPr>
      <w:r w:rsidRPr="0001127D">
        <w:rPr>
          <w:noProof/>
        </w:rPr>
        <w:t>3.2.3.1.</w:t>
      </w:r>
      <w:r w:rsidRPr="0001127D">
        <w:rPr>
          <w:noProof/>
        </w:rPr>
        <w:tab/>
        <w:t xml:space="preserve">Fabbisogno previsto di risorse umane </w:t>
      </w:r>
    </w:p>
    <w:p w14:paraId="1FCFE075" w14:textId="70DE3DB9" w:rsidR="00AB6191" w:rsidRPr="0001127D" w:rsidRDefault="00AB6191" w:rsidP="00AB6191">
      <w:pPr>
        <w:pStyle w:val="ListDash1"/>
        <w:rPr>
          <w:noProof/>
        </w:rPr>
      </w:pPr>
      <w:r w:rsidRPr="0001127D">
        <w:rPr>
          <w:rFonts w:ascii="Wingdings" w:hAnsi="Wingdings"/>
          <w:noProof/>
        </w:rPr>
        <w:t></w:t>
      </w:r>
      <w:r w:rsidRPr="0001127D">
        <w:rPr>
          <w:noProof/>
        </w:rPr>
        <w:tab/>
        <w:t>La proposta/iniziativa non comporta l</w:t>
      </w:r>
      <w:r w:rsidR="00E64452" w:rsidRPr="0001127D">
        <w:rPr>
          <w:noProof/>
        </w:rPr>
        <w:t>'</w:t>
      </w:r>
      <w:r w:rsidRPr="0001127D">
        <w:rPr>
          <w:noProof/>
        </w:rPr>
        <w:t xml:space="preserve">utilizzo di risorse umane. </w:t>
      </w:r>
    </w:p>
    <w:p w14:paraId="04E29C95" w14:textId="36A2E1F6" w:rsidR="00AB6191" w:rsidRPr="0001127D" w:rsidRDefault="00AB6191" w:rsidP="00AB6191">
      <w:pPr>
        <w:pStyle w:val="ListDash1"/>
        <w:rPr>
          <w:noProof/>
        </w:rPr>
      </w:pPr>
      <w:r w:rsidRPr="0001127D">
        <w:rPr>
          <w:noProof/>
        </w:rPr>
        <w:t>X</w:t>
      </w:r>
      <w:r w:rsidRPr="0001127D">
        <w:rPr>
          <w:noProof/>
        </w:rPr>
        <w:tab/>
        <w:t>La proposta/iniziativa comporta l</w:t>
      </w:r>
      <w:r w:rsidR="00E64452" w:rsidRPr="0001127D">
        <w:rPr>
          <w:noProof/>
        </w:rPr>
        <w:t>'</w:t>
      </w:r>
      <w:r w:rsidRPr="0001127D">
        <w:rPr>
          <w:noProof/>
        </w:rPr>
        <w:t>utilizzo di risorse umane, come spiegato di seguito:</w:t>
      </w:r>
    </w:p>
    <w:p w14:paraId="049DBCD3" w14:textId="77777777" w:rsidR="00AB6191" w:rsidRPr="0001127D" w:rsidRDefault="00AB6191" w:rsidP="00AB6191">
      <w:pPr>
        <w:spacing w:after="60"/>
        <w:jc w:val="right"/>
        <w:rPr>
          <w:i/>
          <w:noProof/>
          <w:sz w:val="20"/>
        </w:rPr>
      </w:pPr>
      <w:r w:rsidRPr="0001127D">
        <w:rPr>
          <w:i/>
          <w:noProof/>
          <w:sz w:val="20"/>
        </w:rPr>
        <w:t>Stima da esprimere in equivalenti a tempo pieno</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840"/>
        <w:gridCol w:w="622"/>
        <w:gridCol w:w="731"/>
        <w:gridCol w:w="731"/>
        <w:gridCol w:w="731"/>
      </w:tblGrid>
      <w:tr w:rsidR="00AB6191" w:rsidRPr="0001127D" w14:paraId="1654D3AA" w14:textId="77777777" w:rsidTr="00AB6191">
        <w:trPr>
          <w:gridBefore w:val="1"/>
          <w:wBefore w:w="15" w:type="dxa"/>
          <w:trHeight w:val="289"/>
          <w:jc w:val="center"/>
        </w:trPr>
        <w:tc>
          <w:tcPr>
            <w:tcW w:w="4754" w:type="dxa"/>
            <w:gridSpan w:val="2"/>
            <w:shd w:val="clear" w:color="auto" w:fill="auto"/>
          </w:tcPr>
          <w:p w14:paraId="3261A313" w14:textId="77777777" w:rsidR="00AB6191" w:rsidRPr="0001127D" w:rsidRDefault="00AB6191" w:rsidP="00AB6191">
            <w:pPr>
              <w:pStyle w:val="Text1"/>
              <w:spacing w:before="40" w:after="40"/>
              <w:ind w:left="0"/>
              <w:jc w:val="center"/>
              <w:rPr>
                <w:i/>
                <w:noProof/>
                <w:sz w:val="16"/>
                <w:szCs w:val="16"/>
              </w:rPr>
            </w:pPr>
          </w:p>
        </w:tc>
        <w:tc>
          <w:tcPr>
            <w:tcW w:w="731" w:type="dxa"/>
            <w:shd w:val="clear" w:color="auto" w:fill="auto"/>
            <w:vAlign w:val="center"/>
          </w:tcPr>
          <w:p w14:paraId="66B9E11F" w14:textId="77777777" w:rsidR="00AB6191" w:rsidRPr="0001127D" w:rsidRDefault="00AB6191" w:rsidP="00AB6191">
            <w:pPr>
              <w:spacing w:before="20" w:after="20"/>
              <w:jc w:val="center"/>
              <w:rPr>
                <w:noProof/>
                <w:sz w:val="16"/>
                <w:szCs w:val="16"/>
              </w:rPr>
            </w:pPr>
            <w:r w:rsidRPr="0001127D">
              <w:rPr>
                <w:noProof/>
                <w:sz w:val="20"/>
              </w:rPr>
              <w:t>2025</w:t>
            </w:r>
          </w:p>
        </w:tc>
        <w:tc>
          <w:tcPr>
            <w:tcW w:w="731" w:type="dxa"/>
            <w:shd w:val="clear" w:color="auto" w:fill="auto"/>
            <w:vAlign w:val="center"/>
          </w:tcPr>
          <w:p w14:paraId="03FE5E92" w14:textId="77777777" w:rsidR="00AB6191" w:rsidRPr="0001127D" w:rsidRDefault="00AB6191" w:rsidP="00AB6191">
            <w:pPr>
              <w:spacing w:before="20" w:after="20"/>
              <w:jc w:val="center"/>
              <w:rPr>
                <w:noProof/>
                <w:sz w:val="16"/>
                <w:szCs w:val="16"/>
              </w:rPr>
            </w:pPr>
            <w:r w:rsidRPr="0001127D">
              <w:rPr>
                <w:noProof/>
                <w:sz w:val="20"/>
              </w:rPr>
              <w:t>2026</w:t>
            </w:r>
          </w:p>
        </w:tc>
        <w:tc>
          <w:tcPr>
            <w:tcW w:w="840" w:type="dxa"/>
            <w:shd w:val="clear" w:color="auto" w:fill="auto"/>
            <w:vAlign w:val="center"/>
          </w:tcPr>
          <w:p w14:paraId="507EC7A0" w14:textId="77777777" w:rsidR="00AB6191" w:rsidRPr="0001127D" w:rsidRDefault="00AB6191" w:rsidP="00AB6191">
            <w:pPr>
              <w:spacing w:before="20" w:after="20"/>
              <w:jc w:val="center"/>
              <w:rPr>
                <w:noProof/>
                <w:sz w:val="16"/>
                <w:szCs w:val="16"/>
              </w:rPr>
            </w:pPr>
            <w:r w:rsidRPr="0001127D">
              <w:rPr>
                <w:noProof/>
                <w:sz w:val="20"/>
              </w:rPr>
              <w:t>2027</w:t>
            </w:r>
            <w:r w:rsidRPr="0001127D">
              <w:rPr>
                <w:rStyle w:val="FootnoteReference"/>
                <w:noProof/>
              </w:rPr>
              <w:footnoteReference w:id="80"/>
            </w:r>
          </w:p>
        </w:tc>
        <w:tc>
          <w:tcPr>
            <w:tcW w:w="622" w:type="dxa"/>
            <w:shd w:val="clear" w:color="auto" w:fill="auto"/>
            <w:vAlign w:val="center"/>
          </w:tcPr>
          <w:p w14:paraId="2ABD34FF" w14:textId="77777777" w:rsidR="00AB6191" w:rsidRPr="0001127D" w:rsidRDefault="00AB6191" w:rsidP="00AB6191">
            <w:pPr>
              <w:spacing w:before="20" w:after="20"/>
              <w:jc w:val="center"/>
              <w:rPr>
                <w:noProof/>
                <w:sz w:val="16"/>
                <w:szCs w:val="16"/>
              </w:rPr>
            </w:pPr>
          </w:p>
        </w:tc>
        <w:tc>
          <w:tcPr>
            <w:tcW w:w="2193" w:type="dxa"/>
            <w:gridSpan w:val="3"/>
            <w:shd w:val="clear" w:color="auto" w:fill="auto"/>
            <w:vAlign w:val="center"/>
          </w:tcPr>
          <w:p w14:paraId="37A6D562" w14:textId="61FA8AAD" w:rsidR="00AB6191" w:rsidRPr="0001127D" w:rsidRDefault="00AB6191" w:rsidP="00AB6191">
            <w:pPr>
              <w:jc w:val="center"/>
              <w:rPr>
                <w:b/>
                <w:noProof/>
                <w:sz w:val="16"/>
                <w:szCs w:val="16"/>
              </w:rPr>
            </w:pPr>
            <w:r w:rsidRPr="0001127D">
              <w:rPr>
                <w:noProof/>
                <w:sz w:val="16"/>
              </w:rPr>
              <w:t>Inserire gli anni necessari per evidenziare la durata dell</w:t>
            </w:r>
            <w:r w:rsidR="00E64452" w:rsidRPr="0001127D">
              <w:rPr>
                <w:noProof/>
                <w:sz w:val="16"/>
              </w:rPr>
              <w:t>'</w:t>
            </w:r>
            <w:r w:rsidRPr="0001127D">
              <w:rPr>
                <w:noProof/>
                <w:sz w:val="16"/>
              </w:rPr>
              <w:t>incidenza (cfr. punto 1.6)</w:t>
            </w:r>
          </w:p>
        </w:tc>
      </w:tr>
      <w:tr w:rsidR="00AB6191" w:rsidRPr="0001127D" w14:paraId="3B474DD6" w14:textId="77777777" w:rsidTr="00AB6191">
        <w:trPr>
          <w:gridBefore w:val="1"/>
          <w:wBefore w:w="15" w:type="dxa"/>
          <w:trHeight w:val="289"/>
          <w:jc w:val="center"/>
        </w:trPr>
        <w:tc>
          <w:tcPr>
            <w:tcW w:w="9871" w:type="dxa"/>
            <w:gridSpan w:val="9"/>
            <w:shd w:val="clear" w:color="auto" w:fill="auto"/>
          </w:tcPr>
          <w:p w14:paraId="4F48EA09" w14:textId="15D1D2C2" w:rsidR="00AB6191" w:rsidRPr="0001127D" w:rsidRDefault="00AB6191" w:rsidP="00AB6191">
            <w:pPr>
              <w:jc w:val="left"/>
              <w:rPr>
                <w:noProof/>
                <w:sz w:val="16"/>
                <w:szCs w:val="16"/>
              </w:rPr>
            </w:pPr>
            <w:r w:rsidRPr="0001127D">
              <w:rPr>
                <w:rFonts w:ascii="Wingdings" w:hAnsi="Wingdings"/>
                <w:b/>
                <w:noProof/>
                <w:sz w:val="16"/>
              </w:rPr>
              <w:t>□</w:t>
            </w:r>
            <w:r w:rsidRPr="0001127D">
              <w:rPr>
                <w:b/>
                <w:noProof/>
                <w:sz w:val="16"/>
              </w:rPr>
              <w:t>Posti della tabella dell</w:t>
            </w:r>
            <w:r w:rsidR="00E64452" w:rsidRPr="0001127D">
              <w:rPr>
                <w:b/>
                <w:noProof/>
                <w:sz w:val="16"/>
              </w:rPr>
              <w:t>'</w:t>
            </w:r>
            <w:r w:rsidRPr="0001127D">
              <w:rPr>
                <w:b/>
                <w:noProof/>
                <w:sz w:val="16"/>
              </w:rPr>
              <w:t>organico (funzionari e agenti temporanei)</w:t>
            </w:r>
          </w:p>
        </w:tc>
      </w:tr>
      <w:tr w:rsidR="00AB6191" w:rsidRPr="0001127D" w14:paraId="00964F9B" w14:textId="77777777" w:rsidTr="00AB6191">
        <w:trPr>
          <w:gridBefore w:val="1"/>
          <w:wBefore w:w="15" w:type="dxa"/>
          <w:trHeight w:val="289"/>
          <w:jc w:val="center"/>
        </w:trPr>
        <w:tc>
          <w:tcPr>
            <w:tcW w:w="4754" w:type="dxa"/>
            <w:gridSpan w:val="2"/>
            <w:shd w:val="clear" w:color="auto" w:fill="auto"/>
            <w:vAlign w:val="center"/>
          </w:tcPr>
          <w:p w14:paraId="3981DA2B" w14:textId="77777777" w:rsidR="00AB6191" w:rsidRPr="0001127D" w:rsidRDefault="00AB6191" w:rsidP="00AB6191">
            <w:pPr>
              <w:pStyle w:val="Text1"/>
              <w:spacing w:beforeLines="20" w:before="48" w:afterLines="20" w:after="48"/>
              <w:ind w:left="134"/>
              <w:jc w:val="left"/>
              <w:rPr>
                <w:b/>
                <w:noProof/>
                <w:sz w:val="16"/>
                <w:szCs w:val="16"/>
              </w:rPr>
            </w:pPr>
            <w:r w:rsidRPr="0001127D">
              <w:rPr>
                <w:noProof/>
                <w:sz w:val="16"/>
              </w:rPr>
              <w:t>20 01 02 01</w:t>
            </w:r>
            <w:r w:rsidRPr="0001127D">
              <w:rPr>
                <w:rFonts w:ascii="Arial Narrow" w:hAnsi="Arial Narrow"/>
                <w:noProof/>
                <w:color w:val="000000"/>
                <w:sz w:val="20"/>
              </w:rPr>
              <w:t xml:space="preserve"> </w:t>
            </w:r>
            <w:r w:rsidRPr="0001127D">
              <w:rPr>
                <w:noProof/>
                <w:sz w:val="16"/>
              </w:rPr>
              <w:t>(sede e uffici di rappresentanza della Commissione)</w:t>
            </w:r>
          </w:p>
        </w:tc>
        <w:tc>
          <w:tcPr>
            <w:tcW w:w="731" w:type="dxa"/>
            <w:shd w:val="clear" w:color="auto" w:fill="auto"/>
          </w:tcPr>
          <w:p w14:paraId="459B6BC7" w14:textId="77777777" w:rsidR="00AB6191" w:rsidRPr="0001127D" w:rsidRDefault="00AB6191" w:rsidP="00AB6191">
            <w:pPr>
              <w:spacing w:beforeLines="20" w:before="48" w:afterLines="20" w:after="48"/>
              <w:jc w:val="center"/>
              <w:rPr>
                <w:noProof/>
                <w:sz w:val="16"/>
                <w:szCs w:val="16"/>
              </w:rPr>
            </w:pPr>
            <w:r w:rsidRPr="0001127D">
              <w:rPr>
                <w:noProof/>
                <w:sz w:val="16"/>
              </w:rPr>
              <w:t>2,25</w:t>
            </w:r>
          </w:p>
        </w:tc>
        <w:tc>
          <w:tcPr>
            <w:tcW w:w="731" w:type="dxa"/>
            <w:shd w:val="clear" w:color="auto" w:fill="auto"/>
          </w:tcPr>
          <w:p w14:paraId="7682880F" w14:textId="77777777" w:rsidR="00AB6191" w:rsidRPr="0001127D" w:rsidRDefault="00AB6191" w:rsidP="00AB6191">
            <w:pPr>
              <w:spacing w:beforeLines="20" w:before="48" w:afterLines="20" w:after="48"/>
              <w:jc w:val="center"/>
              <w:rPr>
                <w:noProof/>
                <w:sz w:val="16"/>
                <w:szCs w:val="16"/>
              </w:rPr>
            </w:pPr>
            <w:r w:rsidRPr="0001127D">
              <w:rPr>
                <w:noProof/>
                <w:sz w:val="16"/>
              </w:rPr>
              <w:t>2,25</w:t>
            </w:r>
          </w:p>
        </w:tc>
        <w:tc>
          <w:tcPr>
            <w:tcW w:w="840" w:type="dxa"/>
            <w:shd w:val="clear" w:color="auto" w:fill="auto"/>
          </w:tcPr>
          <w:p w14:paraId="08AA8E54" w14:textId="77777777" w:rsidR="00AB6191" w:rsidRPr="0001127D" w:rsidRDefault="00AB6191" w:rsidP="00AB6191">
            <w:pPr>
              <w:spacing w:beforeLines="20" w:before="48" w:afterLines="20" w:after="48"/>
              <w:jc w:val="center"/>
              <w:rPr>
                <w:noProof/>
                <w:sz w:val="16"/>
                <w:szCs w:val="16"/>
              </w:rPr>
            </w:pPr>
            <w:r w:rsidRPr="0001127D">
              <w:rPr>
                <w:noProof/>
                <w:sz w:val="16"/>
              </w:rPr>
              <w:t>2,25</w:t>
            </w:r>
          </w:p>
        </w:tc>
        <w:tc>
          <w:tcPr>
            <w:tcW w:w="622" w:type="dxa"/>
            <w:shd w:val="clear" w:color="auto" w:fill="auto"/>
          </w:tcPr>
          <w:p w14:paraId="1222EF21"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613C8AD2"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6AA67F37"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106B5486" w14:textId="77777777" w:rsidR="00AB6191" w:rsidRPr="0001127D" w:rsidRDefault="00AB6191" w:rsidP="00AB6191">
            <w:pPr>
              <w:spacing w:beforeLines="20" w:before="48" w:afterLines="20" w:after="48"/>
              <w:jc w:val="center"/>
              <w:rPr>
                <w:noProof/>
                <w:sz w:val="16"/>
                <w:szCs w:val="16"/>
              </w:rPr>
            </w:pPr>
          </w:p>
        </w:tc>
      </w:tr>
      <w:tr w:rsidR="00AB6191" w:rsidRPr="0001127D" w14:paraId="792350E8" w14:textId="77777777" w:rsidTr="00AB6191">
        <w:trPr>
          <w:gridBefore w:val="1"/>
          <w:wBefore w:w="15" w:type="dxa"/>
          <w:trHeight w:val="289"/>
          <w:jc w:val="center"/>
        </w:trPr>
        <w:tc>
          <w:tcPr>
            <w:tcW w:w="4754" w:type="dxa"/>
            <w:gridSpan w:val="2"/>
            <w:shd w:val="clear" w:color="auto" w:fill="auto"/>
            <w:vAlign w:val="center"/>
          </w:tcPr>
          <w:p w14:paraId="2178A642" w14:textId="77777777" w:rsidR="00AB6191" w:rsidRPr="0001127D" w:rsidRDefault="00AB6191" w:rsidP="00AB6191">
            <w:pPr>
              <w:pStyle w:val="Text1"/>
              <w:spacing w:beforeLines="20" w:before="48" w:afterLines="20" w:after="48"/>
              <w:ind w:left="134"/>
              <w:jc w:val="left"/>
              <w:rPr>
                <w:noProof/>
                <w:sz w:val="16"/>
              </w:rPr>
            </w:pPr>
            <w:r w:rsidRPr="0001127D">
              <w:rPr>
                <w:noProof/>
                <w:sz w:val="16"/>
              </w:rPr>
              <w:t>20 01 02 03 (delegazioni)</w:t>
            </w:r>
          </w:p>
        </w:tc>
        <w:tc>
          <w:tcPr>
            <w:tcW w:w="731" w:type="dxa"/>
            <w:shd w:val="clear" w:color="auto" w:fill="auto"/>
            <w:vAlign w:val="center"/>
          </w:tcPr>
          <w:p w14:paraId="2C8EE741"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014A6D37"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1F4C827B"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553659F3"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2125A1E3"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3BC03671"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57F550A3" w14:textId="77777777" w:rsidR="00AB6191" w:rsidRPr="0001127D" w:rsidRDefault="00AB6191" w:rsidP="00AB6191">
            <w:pPr>
              <w:spacing w:beforeLines="20" w:before="48" w:afterLines="20" w:after="48"/>
              <w:jc w:val="center"/>
              <w:rPr>
                <w:noProof/>
                <w:sz w:val="16"/>
                <w:szCs w:val="16"/>
              </w:rPr>
            </w:pPr>
          </w:p>
        </w:tc>
      </w:tr>
      <w:tr w:rsidR="00AB6191" w:rsidRPr="0001127D" w14:paraId="78D5973A" w14:textId="77777777" w:rsidTr="00AB6191">
        <w:trPr>
          <w:gridBefore w:val="1"/>
          <w:wBefore w:w="15" w:type="dxa"/>
          <w:trHeight w:val="289"/>
          <w:jc w:val="center"/>
        </w:trPr>
        <w:tc>
          <w:tcPr>
            <w:tcW w:w="4754" w:type="dxa"/>
            <w:gridSpan w:val="2"/>
            <w:shd w:val="clear" w:color="auto" w:fill="auto"/>
            <w:vAlign w:val="center"/>
          </w:tcPr>
          <w:p w14:paraId="5AE3D05C" w14:textId="685D7F97" w:rsidR="00AB6191" w:rsidRPr="0001127D" w:rsidRDefault="00AB6191" w:rsidP="00AB6191">
            <w:pPr>
              <w:pStyle w:val="Text1"/>
              <w:spacing w:beforeLines="20" w:before="48" w:afterLines="20" w:after="48"/>
              <w:ind w:left="134"/>
              <w:jc w:val="left"/>
              <w:rPr>
                <w:noProof/>
                <w:sz w:val="16"/>
                <w:szCs w:val="16"/>
              </w:rPr>
            </w:pPr>
            <w:r w:rsidRPr="0001127D">
              <w:rPr>
                <w:noProof/>
                <w:sz w:val="16"/>
              </w:rPr>
              <w:t>01 01 01 01</w:t>
            </w:r>
            <w:r w:rsidR="00E64452" w:rsidRPr="0001127D">
              <w:rPr>
                <w:rFonts w:ascii="Arial Narrow" w:hAnsi="Arial Narrow"/>
                <w:noProof/>
                <w:color w:val="000000"/>
                <w:sz w:val="20"/>
              </w:rPr>
              <w:t xml:space="preserve"> </w:t>
            </w:r>
            <w:r w:rsidRPr="0001127D">
              <w:rPr>
                <w:noProof/>
                <w:sz w:val="16"/>
              </w:rPr>
              <w:t>(ricerca indiretta)</w:t>
            </w:r>
          </w:p>
        </w:tc>
        <w:tc>
          <w:tcPr>
            <w:tcW w:w="731" w:type="dxa"/>
            <w:shd w:val="clear" w:color="auto" w:fill="auto"/>
            <w:vAlign w:val="center"/>
          </w:tcPr>
          <w:p w14:paraId="70BD51D4"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29F92E40"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57700705"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7FCA2660"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092F2FBB"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7246E056"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2419476B" w14:textId="77777777" w:rsidR="00AB6191" w:rsidRPr="0001127D" w:rsidRDefault="00AB6191" w:rsidP="00AB6191">
            <w:pPr>
              <w:spacing w:beforeLines="20" w:before="48" w:afterLines="20" w:after="48"/>
              <w:jc w:val="center"/>
              <w:rPr>
                <w:noProof/>
                <w:sz w:val="16"/>
                <w:szCs w:val="16"/>
              </w:rPr>
            </w:pPr>
          </w:p>
        </w:tc>
      </w:tr>
      <w:tr w:rsidR="00AB6191" w:rsidRPr="0001127D" w14:paraId="6D631956" w14:textId="77777777" w:rsidTr="00AB6191">
        <w:trPr>
          <w:gridBefore w:val="1"/>
          <w:wBefore w:w="15" w:type="dxa"/>
          <w:trHeight w:val="289"/>
          <w:jc w:val="center"/>
        </w:trPr>
        <w:tc>
          <w:tcPr>
            <w:tcW w:w="4754" w:type="dxa"/>
            <w:gridSpan w:val="2"/>
            <w:shd w:val="clear" w:color="auto" w:fill="auto"/>
            <w:vAlign w:val="center"/>
          </w:tcPr>
          <w:p w14:paraId="35179796" w14:textId="77777777" w:rsidR="00AB6191" w:rsidRPr="0001127D" w:rsidRDefault="00AB6191" w:rsidP="00AB6191">
            <w:pPr>
              <w:pStyle w:val="Text1"/>
              <w:spacing w:beforeLines="20" w:before="48" w:afterLines="20" w:after="48"/>
              <w:ind w:left="134"/>
              <w:jc w:val="left"/>
              <w:rPr>
                <w:noProof/>
                <w:sz w:val="16"/>
                <w:szCs w:val="16"/>
              </w:rPr>
            </w:pPr>
            <w:r w:rsidRPr="0001127D">
              <w:rPr>
                <w:noProof/>
                <w:sz w:val="16"/>
              </w:rPr>
              <w:t xml:space="preserve"> 01 01 01 11 (ricerca diretta)</w:t>
            </w:r>
          </w:p>
        </w:tc>
        <w:tc>
          <w:tcPr>
            <w:tcW w:w="731" w:type="dxa"/>
            <w:shd w:val="clear" w:color="auto" w:fill="auto"/>
            <w:vAlign w:val="center"/>
          </w:tcPr>
          <w:p w14:paraId="651F37B9"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79A99310"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797BCB5D"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1D35A70C"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2E563F5E"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3DC9C1FB"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002382F1" w14:textId="77777777" w:rsidR="00AB6191" w:rsidRPr="0001127D" w:rsidRDefault="00AB6191" w:rsidP="00AB6191">
            <w:pPr>
              <w:spacing w:beforeLines="20" w:before="48" w:afterLines="20" w:after="48"/>
              <w:jc w:val="center"/>
              <w:rPr>
                <w:noProof/>
                <w:sz w:val="16"/>
                <w:szCs w:val="16"/>
              </w:rPr>
            </w:pPr>
          </w:p>
        </w:tc>
      </w:tr>
      <w:tr w:rsidR="00AB6191" w:rsidRPr="0001127D" w14:paraId="0B62CC0F" w14:textId="77777777" w:rsidTr="00AB6191">
        <w:trPr>
          <w:gridBefore w:val="1"/>
          <w:wBefore w:w="15" w:type="dxa"/>
          <w:trHeight w:val="289"/>
          <w:jc w:val="center"/>
        </w:trPr>
        <w:tc>
          <w:tcPr>
            <w:tcW w:w="4754" w:type="dxa"/>
            <w:gridSpan w:val="2"/>
            <w:shd w:val="clear" w:color="auto" w:fill="auto"/>
            <w:vAlign w:val="center"/>
          </w:tcPr>
          <w:p w14:paraId="0DCFE485" w14:textId="77777777" w:rsidR="00AB6191" w:rsidRPr="0001127D" w:rsidRDefault="00AB6191" w:rsidP="00AB6191">
            <w:pPr>
              <w:pStyle w:val="Text1"/>
              <w:spacing w:beforeLines="20" w:before="48" w:afterLines="20" w:after="48"/>
              <w:ind w:left="134"/>
              <w:jc w:val="left"/>
              <w:rPr>
                <w:noProof/>
                <w:sz w:val="16"/>
              </w:rPr>
            </w:pPr>
            <w:r w:rsidRPr="0001127D">
              <w:rPr>
                <w:noProof/>
                <w:sz w:val="16"/>
              </w:rPr>
              <w:t>Altre linee di bilancio (specificare)</w:t>
            </w:r>
          </w:p>
        </w:tc>
        <w:tc>
          <w:tcPr>
            <w:tcW w:w="731" w:type="dxa"/>
            <w:shd w:val="clear" w:color="auto" w:fill="auto"/>
            <w:vAlign w:val="center"/>
          </w:tcPr>
          <w:p w14:paraId="7B7E6FF2"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3C998882"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6916A4C9"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24BCB0C0"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75D587A5"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1BC1B33D"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7105ED05" w14:textId="77777777" w:rsidR="00AB6191" w:rsidRPr="0001127D" w:rsidRDefault="00AB6191" w:rsidP="00AB6191">
            <w:pPr>
              <w:spacing w:beforeLines="20" w:before="48" w:afterLines="20" w:after="48"/>
              <w:jc w:val="center"/>
              <w:rPr>
                <w:noProof/>
                <w:sz w:val="16"/>
                <w:szCs w:val="16"/>
              </w:rPr>
            </w:pPr>
          </w:p>
        </w:tc>
      </w:tr>
      <w:tr w:rsidR="00AB6191" w:rsidRPr="0001127D" w14:paraId="05C10168" w14:textId="77777777" w:rsidTr="00AB6191">
        <w:trPr>
          <w:trHeight w:val="248"/>
          <w:jc w:val="center"/>
        </w:trPr>
        <w:tc>
          <w:tcPr>
            <w:tcW w:w="9886" w:type="dxa"/>
            <w:gridSpan w:val="10"/>
            <w:shd w:val="clear" w:color="auto" w:fill="auto"/>
            <w:vAlign w:val="center"/>
          </w:tcPr>
          <w:p w14:paraId="683B1D02" w14:textId="77777777" w:rsidR="00AB6191" w:rsidRPr="0001127D" w:rsidRDefault="00AB6191" w:rsidP="00AB6191">
            <w:pPr>
              <w:pStyle w:val="Text1"/>
              <w:spacing w:before="60" w:after="60"/>
              <w:ind w:left="0"/>
              <w:jc w:val="left"/>
              <w:rPr>
                <w:b/>
                <w:noProof/>
                <w:sz w:val="16"/>
                <w:szCs w:val="16"/>
              </w:rPr>
            </w:pPr>
            <w:r w:rsidRPr="0001127D">
              <w:rPr>
                <w:rFonts w:ascii="Wingdings" w:hAnsi="Wingdings"/>
                <w:b/>
                <w:noProof/>
                <w:sz w:val="16"/>
              </w:rPr>
              <w:t>□</w:t>
            </w:r>
            <w:r w:rsidRPr="0001127D">
              <w:rPr>
                <w:b/>
                <w:noProof/>
                <w:sz w:val="16"/>
              </w:rPr>
              <w:t xml:space="preserve"> Personale esterno (in equivalenti a tempo pieno: ETP)</w:t>
            </w:r>
            <w:r w:rsidRPr="0001127D">
              <w:rPr>
                <w:rStyle w:val="FootnoteReference"/>
                <w:noProof/>
              </w:rPr>
              <w:footnoteReference w:id="81"/>
            </w:r>
          </w:p>
          <w:p w14:paraId="3ED4D375" w14:textId="77777777" w:rsidR="00AB6191" w:rsidRPr="0001127D" w:rsidRDefault="00AB6191" w:rsidP="00AB6191">
            <w:pPr>
              <w:pStyle w:val="Text1"/>
              <w:spacing w:before="0" w:after="0"/>
              <w:ind w:left="0"/>
              <w:jc w:val="left"/>
              <w:rPr>
                <w:noProof/>
                <w:sz w:val="16"/>
                <w:szCs w:val="16"/>
              </w:rPr>
            </w:pPr>
          </w:p>
        </w:tc>
      </w:tr>
      <w:tr w:rsidR="00AB6191" w:rsidRPr="0001127D" w14:paraId="42B17A40" w14:textId="77777777" w:rsidTr="00AB6191">
        <w:trPr>
          <w:gridBefore w:val="1"/>
          <w:wBefore w:w="15" w:type="dxa"/>
          <w:trHeight w:val="289"/>
          <w:jc w:val="center"/>
        </w:trPr>
        <w:tc>
          <w:tcPr>
            <w:tcW w:w="4754" w:type="dxa"/>
            <w:gridSpan w:val="2"/>
            <w:shd w:val="clear" w:color="auto" w:fill="auto"/>
            <w:vAlign w:val="center"/>
          </w:tcPr>
          <w:p w14:paraId="585F9459" w14:textId="77777777" w:rsidR="00AB6191" w:rsidRPr="0001127D" w:rsidRDefault="00AB6191" w:rsidP="00AB6191">
            <w:pPr>
              <w:pStyle w:val="Text1"/>
              <w:spacing w:beforeLines="20" w:before="48" w:afterLines="20" w:after="48"/>
              <w:ind w:left="136"/>
              <w:jc w:val="left"/>
              <w:rPr>
                <w:b/>
                <w:noProof/>
                <w:sz w:val="16"/>
                <w:szCs w:val="16"/>
              </w:rPr>
            </w:pPr>
            <w:r w:rsidRPr="0001127D">
              <w:rPr>
                <w:noProof/>
                <w:sz w:val="16"/>
              </w:rPr>
              <w:t>20 02 01</w:t>
            </w:r>
            <w:r w:rsidRPr="0001127D">
              <w:rPr>
                <w:rFonts w:ascii="Arial Narrow" w:hAnsi="Arial Narrow"/>
                <w:noProof/>
                <w:color w:val="000000"/>
                <w:sz w:val="20"/>
              </w:rPr>
              <w:t xml:space="preserve"> </w:t>
            </w:r>
            <w:r w:rsidRPr="0001127D">
              <w:rPr>
                <w:noProof/>
                <w:sz w:val="16"/>
              </w:rPr>
              <w:t>(AC, END, INT della dotazione globale)</w:t>
            </w:r>
          </w:p>
        </w:tc>
        <w:tc>
          <w:tcPr>
            <w:tcW w:w="731" w:type="dxa"/>
            <w:shd w:val="clear" w:color="auto" w:fill="auto"/>
            <w:vAlign w:val="center"/>
          </w:tcPr>
          <w:p w14:paraId="65CB028E"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382DF4D4"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56162A6D"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2B668764"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1764E178"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142A7FC7"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3D74BE33" w14:textId="77777777" w:rsidR="00AB6191" w:rsidRPr="0001127D" w:rsidRDefault="00AB6191" w:rsidP="00AB6191">
            <w:pPr>
              <w:spacing w:beforeLines="20" w:before="48" w:afterLines="20" w:after="48"/>
              <w:jc w:val="center"/>
              <w:rPr>
                <w:noProof/>
                <w:sz w:val="16"/>
                <w:szCs w:val="16"/>
              </w:rPr>
            </w:pPr>
          </w:p>
        </w:tc>
      </w:tr>
      <w:tr w:rsidR="00AB6191" w:rsidRPr="0001127D" w14:paraId="2104F265" w14:textId="77777777" w:rsidTr="00AB6191">
        <w:trPr>
          <w:gridBefore w:val="1"/>
          <w:wBefore w:w="15" w:type="dxa"/>
          <w:trHeight w:val="289"/>
          <w:jc w:val="center"/>
        </w:trPr>
        <w:tc>
          <w:tcPr>
            <w:tcW w:w="4754" w:type="dxa"/>
            <w:gridSpan w:val="2"/>
            <w:shd w:val="clear" w:color="auto" w:fill="auto"/>
            <w:vAlign w:val="center"/>
          </w:tcPr>
          <w:p w14:paraId="2DABCD48" w14:textId="77777777" w:rsidR="00AB6191" w:rsidRPr="0001127D" w:rsidRDefault="00AB6191" w:rsidP="00AB6191">
            <w:pPr>
              <w:pStyle w:val="Text1"/>
              <w:spacing w:beforeLines="20" w:before="48" w:afterLines="20" w:after="48"/>
              <w:ind w:left="136"/>
              <w:jc w:val="left"/>
              <w:rPr>
                <w:noProof/>
                <w:sz w:val="16"/>
              </w:rPr>
            </w:pPr>
            <w:r w:rsidRPr="0001127D">
              <w:rPr>
                <w:noProof/>
                <w:sz w:val="16"/>
              </w:rPr>
              <w:t>20 02 03 (AC, AL, END, INT e JPD nelle delegazioni)</w:t>
            </w:r>
          </w:p>
        </w:tc>
        <w:tc>
          <w:tcPr>
            <w:tcW w:w="731" w:type="dxa"/>
            <w:shd w:val="clear" w:color="auto" w:fill="auto"/>
            <w:vAlign w:val="center"/>
          </w:tcPr>
          <w:p w14:paraId="32EF0971"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1749F611"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0B719EA1"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20DF3FA9"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2F9A0093"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4214DA7F"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350F24D6" w14:textId="77777777" w:rsidR="00AB6191" w:rsidRPr="0001127D" w:rsidRDefault="00AB6191" w:rsidP="00AB6191">
            <w:pPr>
              <w:spacing w:beforeLines="20" w:before="48" w:afterLines="20" w:after="48"/>
              <w:jc w:val="center"/>
              <w:rPr>
                <w:noProof/>
                <w:sz w:val="16"/>
                <w:szCs w:val="16"/>
              </w:rPr>
            </w:pPr>
          </w:p>
        </w:tc>
      </w:tr>
      <w:tr w:rsidR="00AB6191" w:rsidRPr="0001127D" w14:paraId="20E3D273" w14:textId="77777777" w:rsidTr="00AB6191">
        <w:trPr>
          <w:gridBefore w:val="1"/>
          <w:wBefore w:w="15" w:type="dxa"/>
          <w:trHeight w:val="289"/>
          <w:jc w:val="center"/>
        </w:trPr>
        <w:tc>
          <w:tcPr>
            <w:tcW w:w="2376" w:type="dxa"/>
            <w:vMerge w:val="restart"/>
            <w:shd w:val="clear" w:color="auto" w:fill="auto"/>
            <w:vAlign w:val="center"/>
          </w:tcPr>
          <w:p w14:paraId="55D3DF90" w14:textId="6DF95540" w:rsidR="00AB6191" w:rsidRPr="0001127D" w:rsidRDefault="00AB6191" w:rsidP="00AB6191">
            <w:pPr>
              <w:pStyle w:val="Text1"/>
              <w:spacing w:beforeLines="20" w:before="48" w:afterLines="20" w:after="48"/>
              <w:ind w:left="136"/>
              <w:jc w:val="left"/>
              <w:rPr>
                <w:b/>
                <w:noProof/>
                <w:sz w:val="16"/>
                <w:szCs w:val="16"/>
              </w:rPr>
            </w:pPr>
            <w:r w:rsidRPr="0001127D">
              <w:rPr>
                <w:b/>
                <w:noProof/>
                <w:sz w:val="16"/>
              </w:rPr>
              <w:t>XX</w:t>
            </w:r>
            <w:r w:rsidRPr="0001127D">
              <w:rPr>
                <w:noProof/>
                <w:sz w:val="16"/>
              </w:rPr>
              <w:t xml:space="preserve"> 01</w:t>
            </w:r>
            <w:r w:rsidR="00E64452" w:rsidRPr="0001127D">
              <w:rPr>
                <w:noProof/>
                <w:sz w:val="16"/>
              </w:rPr>
              <w:t xml:space="preserve"> </w:t>
            </w:r>
            <w:r w:rsidRPr="0001127D">
              <w:rPr>
                <w:noProof/>
                <w:sz w:val="16"/>
              </w:rPr>
              <w:t xml:space="preserve">xx </w:t>
            </w:r>
            <w:r w:rsidRPr="0001127D">
              <w:rPr>
                <w:b/>
                <w:noProof/>
                <w:sz w:val="16"/>
              </w:rPr>
              <w:t>yy zz</w:t>
            </w:r>
            <w:r w:rsidR="00E64452" w:rsidRPr="0001127D">
              <w:rPr>
                <w:b/>
                <w:noProof/>
                <w:sz w:val="16"/>
              </w:rPr>
              <w:t xml:space="preserve"> </w:t>
            </w:r>
            <w:r w:rsidRPr="0001127D">
              <w:rPr>
                <w:rStyle w:val="FootnoteReference"/>
                <w:noProof/>
              </w:rPr>
              <w:footnoteReference w:id="82"/>
            </w:r>
          </w:p>
          <w:p w14:paraId="3C346D1B" w14:textId="77777777" w:rsidR="00AB6191" w:rsidRPr="0001127D" w:rsidRDefault="00AB6191" w:rsidP="00AB6191">
            <w:pPr>
              <w:pStyle w:val="Text1"/>
              <w:spacing w:beforeLines="20" w:before="48" w:afterLines="20" w:after="48"/>
              <w:ind w:left="136"/>
              <w:jc w:val="left"/>
              <w:rPr>
                <w:b/>
                <w:noProof/>
                <w:sz w:val="16"/>
                <w:szCs w:val="16"/>
              </w:rPr>
            </w:pPr>
          </w:p>
        </w:tc>
        <w:tc>
          <w:tcPr>
            <w:tcW w:w="2378" w:type="dxa"/>
            <w:shd w:val="clear" w:color="auto" w:fill="auto"/>
            <w:vAlign w:val="center"/>
          </w:tcPr>
          <w:p w14:paraId="424A7DD3" w14:textId="77777777" w:rsidR="00AB6191" w:rsidRPr="0001127D" w:rsidRDefault="00AB6191" w:rsidP="00AB6191">
            <w:pPr>
              <w:pStyle w:val="Text1"/>
              <w:spacing w:beforeLines="20" w:before="48" w:afterLines="20" w:after="48"/>
              <w:ind w:left="136"/>
              <w:jc w:val="left"/>
              <w:rPr>
                <w:b/>
                <w:noProof/>
                <w:sz w:val="16"/>
                <w:szCs w:val="16"/>
              </w:rPr>
            </w:pPr>
            <w:r w:rsidRPr="0001127D">
              <w:rPr>
                <w:noProof/>
                <w:sz w:val="16"/>
              </w:rPr>
              <w:t>- in sede</w:t>
            </w:r>
          </w:p>
          <w:p w14:paraId="3EC9D966" w14:textId="77777777" w:rsidR="00AB6191" w:rsidRPr="0001127D" w:rsidRDefault="00AB6191" w:rsidP="00AB6191">
            <w:pPr>
              <w:pStyle w:val="Text1"/>
              <w:spacing w:beforeLines="20" w:before="48" w:afterLines="20" w:after="48"/>
              <w:ind w:left="136"/>
              <w:jc w:val="left"/>
              <w:rPr>
                <w:b/>
                <w:noProof/>
                <w:sz w:val="16"/>
                <w:szCs w:val="16"/>
              </w:rPr>
            </w:pPr>
          </w:p>
        </w:tc>
        <w:tc>
          <w:tcPr>
            <w:tcW w:w="731" w:type="dxa"/>
            <w:shd w:val="clear" w:color="auto" w:fill="auto"/>
            <w:vAlign w:val="center"/>
          </w:tcPr>
          <w:p w14:paraId="60A5FE69" w14:textId="77777777" w:rsidR="00AB6191" w:rsidRPr="0001127D" w:rsidRDefault="00AB6191" w:rsidP="00AB6191">
            <w:pPr>
              <w:pStyle w:val="Text1"/>
              <w:spacing w:beforeLines="20" w:before="48" w:afterLines="20" w:after="48"/>
              <w:ind w:left="0"/>
              <w:rPr>
                <w:noProof/>
                <w:sz w:val="16"/>
                <w:szCs w:val="16"/>
              </w:rPr>
            </w:pPr>
          </w:p>
        </w:tc>
        <w:tc>
          <w:tcPr>
            <w:tcW w:w="731" w:type="dxa"/>
            <w:shd w:val="clear" w:color="auto" w:fill="auto"/>
            <w:vAlign w:val="center"/>
          </w:tcPr>
          <w:p w14:paraId="5B1DF29C"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26F13D2A"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0FC43CB7"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765A04C1"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76755CDE"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0F789B20" w14:textId="77777777" w:rsidR="00AB6191" w:rsidRPr="0001127D" w:rsidRDefault="00AB6191" w:rsidP="00AB6191">
            <w:pPr>
              <w:spacing w:beforeLines="20" w:before="48" w:afterLines="20" w:after="48"/>
              <w:jc w:val="center"/>
              <w:rPr>
                <w:noProof/>
                <w:sz w:val="16"/>
                <w:szCs w:val="16"/>
              </w:rPr>
            </w:pPr>
          </w:p>
        </w:tc>
      </w:tr>
      <w:tr w:rsidR="00AB6191" w:rsidRPr="0001127D" w14:paraId="6DC7ABDB" w14:textId="77777777" w:rsidTr="00AB6191">
        <w:trPr>
          <w:gridBefore w:val="1"/>
          <w:wBefore w:w="15" w:type="dxa"/>
          <w:trHeight w:val="289"/>
          <w:jc w:val="center"/>
        </w:trPr>
        <w:tc>
          <w:tcPr>
            <w:tcW w:w="2376" w:type="dxa"/>
            <w:vMerge/>
            <w:shd w:val="clear" w:color="auto" w:fill="auto"/>
            <w:vAlign w:val="center"/>
          </w:tcPr>
          <w:p w14:paraId="5F0D459D" w14:textId="77777777" w:rsidR="00AB6191" w:rsidRPr="0001127D" w:rsidRDefault="00AB6191" w:rsidP="00AB6191">
            <w:pPr>
              <w:pStyle w:val="Text1"/>
              <w:spacing w:beforeLines="20" w:before="48" w:afterLines="20" w:after="48"/>
              <w:ind w:left="136"/>
              <w:jc w:val="left"/>
              <w:rPr>
                <w:b/>
                <w:noProof/>
                <w:sz w:val="16"/>
                <w:szCs w:val="16"/>
              </w:rPr>
            </w:pPr>
          </w:p>
        </w:tc>
        <w:tc>
          <w:tcPr>
            <w:tcW w:w="2378" w:type="dxa"/>
            <w:shd w:val="clear" w:color="auto" w:fill="auto"/>
            <w:vAlign w:val="center"/>
          </w:tcPr>
          <w:p w14:paraId="1B348EF3" w14:textId="77777777" w:rsidR="00AB6191" w:rsidRPr="0001127D" w:rsidRDefault="00AB6191" w:rsidP="00AB6191">
            <w:pPr>
              <w:pStyle w:val="Text1"/>
              <w:spacing w:beforeLines="20" w:before="48" w:afterLines="20" w:after="48"/>
              <w:ind w:left="136"/>
              <w:jc w:val="left"/>
              <w:rPr>
                <w:b/>
                <w:noProof/>
                <w:sz w:val="16"/>
                <w:szCs w:val="16"/>
              </w:rPr>
            </w:pPr>
            <w:r w:rsidRPr="0001127D">
              <w:rPr>
                <w:noProof/>
                <w:sz w:val="16"/>
              </w:rPr>
              <w:t xml:space="preserve">- nelle delegazioni </w:t>
            </w:r>
          </w:p>
        </w:tc>
        <w:tc>
          <w:tcPr>
            <w:tcW w:w="731" w:type="dxa"/>
            <w:shd w:val="clear" w:color="auto" w:fill="auto"/>
            <w:vAlign w:val="center"/>
          </w:tcPr>
          <w:p w14:paraId="4A5CBDDE" w14:textId="77777777" w:rsidR="00AB6191" w:rsidRPr="0001127D" w:rsidRDefault="00AB6191" w:rsidP="00AB6191">
            <w:pPr>
              <w:pStyle w:val="Text1"/>
              <w:spacing w:beforeLines="20" w:before="48" w:afterLines="20" w:after="48"/>
              <w:ind w:left="0"/>
              <w:rPr>
                <w:noProof/>
                <w:sz w:val="16"/>
                <w:szCs w:val="16"/>
              </w:rPr>
            </w:pPr>
          </w:p>
        </w:tc>
        <w:tc>
          <w:tcPr>
            <w:tcW w:w="731" w:type="dxa"/>
            <w:shd w:val="clear" w:color="auto" w:fill="auto"/>
            <w:vAlign w:val="center"/>
          </w:tcPr>
          <w:p w14:paraId="62ECD353"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327403A6"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27BCD1BF"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11C74915"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254B630D"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5823BAF2" w14:textId="77777777" w:rsidR="00AB6191" w:rsidRPr="0001127D" w:rsidRDefault="00AB6191" w:rsidP="00AB6191">
            <w:pPr>
              <w:spacing w:beforeLines="20" w:before="48" w:afterLines="20" w:after="48"/>
              <w:jc w:val="center"/>
              <w:rPr>
                <w:noProof/>
                <w:sz w:val="16"/>
                <w:szCs w:val="16"/>
              </w:rPr>
            </w:pPr>
          </w:p>
        </w:tc>
      </w:tr>
      <w:tr w:rsidR="00AB6191" w:rsidRPr="0001127D" w14:paraId="7C917EBD" w14:textId="77777777" w:rsidTr="00AB6191">
        <w:trPr>
          <w:gridBefore w:val="1"/>
          <w:wBefore w:w="15" w:type="dxa"/>
          <w:trHeight w:val="289"/>
          <w:jc w:val="center"/>
        </w:trPr>
        <w:tc>
          <w:tcPr>
            <w:tcW w:w="4754" w:type="dxa"/>
            <w:gridSpan w:val="2"/>
            <w:shd w:val="clear" w:color="auto" w:fill="auto"/>
            <w:vAlign w:val="center"/>
          </w:tcPr>
          <w:p w14:paraId="2018D783" w14:textId="77777777" w:rsidR="00AB6191" w:rsidRPr="0001127D" w:rsidRDefault="00AB6191" w:rsidP="00AB6191">
            <w:pPr>
              <w:pStyle w:val="Text1"/>
              <w:spacing w:beforeLines="20" w:before="48" w:afterLines="20" w:after="48"/>
              <w:ind w:left="136"/>
              <w:jc w:val="left"/>
              <w:rPr>
                <w:noProof/>
                <w:sz w:val="16"/>
                <w:szCs w:val="16"/>
              </w:rPr>
            </w:pPr>
            <w:r w:rsidRPr="0001127D">
              <w:rPr>
                <w:noProof/>
                <w:sz w:val="16"/>
              </w:rPr>
              <w:t>01 01 01 02</w:t>
            </w:r>
            <w:r w:rsidRPr="0001127D">
              <w:rPr>
                <w:rFonts w:ascii="Arial Narrow" w:hAnsi="Arial Narrow"/>
                <w:noProof/>
                <w:color w:val="000000"/>
                <w:sz w:val="20"/>
              </w:rPr>
              <w:t xml:space="preserve"> </w:t>
            </w:r>
            <w:r w:rsidRPr="0001127D">
              <w:rPr>
                <w:noProof/>
                <w:sz w:val="16"/>
              </w:rPr>
              <w:t>(AC, END, INT - ricerca indiretta)</w:t>
            </w:r>
          </w:p>
        </w:tc>
        <w:tc>
          <w:tcPr>
            <w:tcW w:w="731" w:type="dxa"/>
            <w:shd w:val="clear" w:color="auto" w:fill="auto"/>
            <w:vAlign w:val="center"/>
          </w:tcPr>
          <w:p w14:paraId="7410863E"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38FAE791"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0C928703"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6C522FB1"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27FC7C95"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1C442D88"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7E93863B" w14:textId="77777777" w:rsidR="00AB6191" w:rsidRPr="0001127D" w:rsidRDefault="00AB6191" w:rsidP="00AB6191">
            <w:pPr>
              <w:spacing w:beforeLines="20" w:before="48" w:afterLines="20" w:after="48"/>
              <w:jc w:val="center"/>
              <w:rPr>
                <w:noProof/>
                <w:sz w:val="16"/>
                <w:szCs w:val="16"/>
              </w:rPr>
            </w:pPr>
          </w:p>
        </w:tc>
      </w:tr>
      <w:tr w:rsidR="00AB6191" w:rsidRPr="0001127D" w14:paraId="348EC303" w14:textId="77777777" w:rsidTr="00AB6191">
        <w:trPr>
          <w:gridBefore w:val="1"/>
          <w:wBefore w:w="15" w:type="dxa"/>
          <w:trHeight w:val="289"/>
          <w:jc w:val="center"/>
        </w:trPr>
        <w:tc>
          <w:tcPr>
            <w:tcW w:w="4754" w:type="dxa"/>
            <w:gridSpan w:val="2"/>
            <w:shd w:val="clear" w:color="auto" w:fill="auto"/>
            <w:vAlign w:val="center"/>
          </w:tcPr>
          <w:p w14:paraId="74B81BDB" w14:textId="77777777" w:rsidR="00AB6191" w:rsidRPr="0001127D" w:rsidRDefault="00AB6191" w:rsidP="00AB6191">
            <w:pPr>
              <w:pStyle w:val="Text1"/>
              <w:spacing w:beforeLines="20" w:before="48" w:afterLines="20" w:after="48"/>
              <w:ind w:left="136"/>
              <w:jc w:val="left"/>
              <w:rPr>
                <w:noProof/>
                <w:color w:val="FF0000"/>
                <w:sz w:val="16"/>
                <w:szCs w:val="16"/>
              </w:rPr>
            </w:pPr>
            <w:r w:rsidRPr="0001127D">
              <w:rPr>
                <w:noProof/>
                <w:sz w:val="16"/>
              </w:rPr>
              <w:t xml:space="preserve"> 01 01 01 12 (AC, END, INT - ricerca diretta)</w:t>
            </w:r>
          </w:p>
        </w:tc>
        <w:tc>
          <w:tcPr>
            <w:tcW w:w="731" w:type="dxa"/>
            <w:shd w:val="clear" w:color="auto" w:fill="auto"/>
            <w:vAlign w:val="center"/>
          </w:tcPr>
          <w:p w14:paraId="5611A2DC"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7DA1A6F6"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3D8F31CA"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3975E721"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7B30A12B"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13A3FA11"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14BD1301" w14:textId="77777777" w:rsidR="00AB6191" w:rsidRPr="0001127D" w:rsidRDefault="00AB6191" w:rsidP="00AB6191">
            <w:pPr>
              <w:spacing w:beforeLines="20" w:before="48" w:afterLines="20" w:after="48"/>
              <w:jc w:val="center"/>
              <w:rPr>
                <w:noProof/>
                <w:sz w:val="16"/>
                <w:szCs w:val="16"/>
              </w:rPr>
            </w:pPr>
          </w:p>
        </w:tc>
      </w:tr>
      <w:tr w:rsidR="00AB6191" w:rsidRPr="0001127D" w14:paraId="73B54F71" w14:textId="77777777" w:rsidTr="00AB6191">
        <w:trPr>
          <w:gridBefore w:val="1"/>
          <w:wBefore w:w="15" w:type="dxa"/>
          <w:trHeight w:val="289"/>
          <w:jc w:val="center"/>
        </w:trPr>
        <w:tc>
          <w:tcPr>
            <w:tcW w:w="4754" w:type="dxa"/>
            <w:gridSpan w:val="2"/>
            <w:shd w:val="clear" w:color="auto" w:fill="auto"/>
            <w:vAlign w:val="center"/>
          </w:tcPr>
          <w:p w14:paraId="63DC2606" w14:textId="77777777" w:rsidR="00AB6191" w:rsidRPr="0001127D" w:rsidRDefault="00AB6191" w:rsidP="00AB6191">
            <w:pPr>
              <w:pStyle w:val="Text1"/>
              <w:spacing w:beforeLines="20" w:before="48" w:afterLines="20" w:after="48"/>
              <w:ind w:left="136"/>
              <w:jc w:val="left"/>
              <w:rPr>
                <w:noProof/>
                <w:sz w:val="16"/>
              </w:rPr>
            </w:pPr>
            <w:r w:rsidRPr="0001127D">
              <w:rPr>
                <w:noProof/>
                <w:sz w:val="16"/>
              </w:rPr>
              <w:t>Altre linee di bilancio (specificare)</w:t>
            </w:r>
          </w:p>
        </w:tc>
        <w:tc>
          <w:tcPr>
            <w:tcW w:w="731" w:type="dxa"/>
            <w:shd w:val="clear" w:color="auto" w:fill="auto"/>
            <w:vAlign w:val="center"/>
          </w:tcPr>
          <w:p w14:paraId="0FABAF84"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48790DAE" w14:textId="77777777" w:rsidR="00AB6191" w:rsidRPr="0001127D" w:rsidRDefault="00AB6191" w:rsidP="00AB6191">
            <w:pPr>
              <w:spacing w:beforeLines="20" w:before="48" w:afterLines="20" w:after="48"/>
              <w:jc w:val="center"/>
              <w:rPr>
                <w:noProof/>
                <w:sz w:val="16"/>
                <w:szCs w:val="16"/>
              </w:rPr>
            </w:pPr>
          </w:p>
        </w:tc>
        <w:tc>
          <w:tcPr>
            <w:tcW w:w="840" w:type="dxa"/>
            <w:shd w:val="clear" w:color="auto" w:fill="auto"/>
            <w:vAlign w:val="center"/>
          </w:tcPr>
          <w:p w14:paraId="670EA4ED" w14:textId="77777777" w:rsidR="00AB6191" w:rsidRPr="0001127D" w:rsidRDefault="00AB6191" w:rsidP="00AB6191">
            <w:pPr>
              <w:spacing w:beforeLines="20" w:before="48" w:afterLines="20" w:after="48"/>
              <w:jc w:val="center"/>
              <w:rPr>
                <w:noProof/>
                <w:sz w:val="16"/>
                <w:szCs w:val="16"/>
              </w:rPr>
            </w:pPr>
          </w:p>
        </w:tc>
        <w:tc>
          <w:tcPr>
            <w:tcW w:w="622" w:type="dxa"/>
            <w:shd w:val="clear" w:color="auto" w:fill="auto"/>
            <w:vAlign w:val="center"/>
          </w:tcPr>
          <w:p w14:paraId="37D9F456"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3F7F51B9"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126EEED1" w14:textId="77777777" w:rsidR="00AB6191" w:rsidRPr="0001127D" w:rsidRDefault="00AB6191" w:rsidP="00AB6191">
            <w:pPr>
              <w:spacing w:beforeLines="20" w:before="48" w:afterLines="20" w:after="48"/>
              <w:jc w:val="center"/>
              <w:rPr>
                <w:noProof/>
                <w:sz w:val="16"/>
                <w:szCs w:val="16"/>
              </w:rPr>
            </w:pPr>
          </w:p>
        </w:tc>
        <w:tc>
          <w:tcPr>
            <w:tcW w:w="731" w:type="dxa"/>
            <w:shd w:val="clear" w:color="auto" w:fill="auto"/>
            <w:vAlign w:val="center"/>
          </w:tcPr>
          <w:p w14:paraId="44CC7BC7" w14:textId="77777777" w:rsidR="00AB6191" w:rsidRPr="0001127D" w:rsidRDefault="00AB6191" w:rsidP="00AB6191">
            <w:pPr>
              <w:spacing w:beforeLines="20" w:before="48" w:afterLines="20" w:after="48"/>
              <w:jc w:val="center"/>
              <w:rPr>
                <w:noProof/>
                <w:sz w:val="16"/>
                <w:szCs w:val="16"/>
              </w:rPr>
            </w:pPr>
          </w:p>
        </w:tc>
      </w:tr>
      <w:tr w:rsidR="00AB6191" w:rsidRPr="0001127D" w14:paraId="748D9B53" w14:textId="77777777" w:rsidTr="00AB6191">
        <w:trPr>
          <w:gridBefore w:val="1"/>
          <w:wBefore w:w="15" w:type="dxa"/>
          <w:trHeight w:val="289"/>
          <w:jc w:val="center"/>
        </w:trPr>
        <w:tc>
          <w:tcPr>
            <w:tcW w:w="4754" w:type="dxa"/>
            <w:gridSpan w:val="2"/>
            <w:tcBorders>
              <w:top w:val="double" w:sz="4" w:space="0" w:color="auto"/>
            </w:tcBorders>
            <w:shd w:val="clear" w:color="auto" w:fill="auto"/>
            <w:vAlign w:val="center"/>
          </w:tcPr>
          <w:p w14:paraId="0DB58D34" w14:textId="77777777" w:rsidR="00AB6191" w:rsidRPr="0001127D" w:rsidRDefault="00AB6191" w:rsidP="00AB6191">
            <w:pPr>
              <w:pStyle w:val="Text1"/>
              <w:spacing w:beforeLines="20" w:before="48" w:afterLines="20" w:after="48"/>
              <w:ind w:left="136"/>
              <w:jc w:val="left"/>
              <w:rPr>
                <w:noProof/>
                <w:sz w:val="16"/>
                <w:szCs w:val="16"/>
              </w:rPr>
            </w:pPr>
            <w:r w:rsidRPr="0001127D">
              <w:rPr>
                <w:b/>
                <w:noProof/>
                <w:sz w:val="16"/>
              </w:rPr>
              <w:t>TOTALE</w:t>
            </w:r>
          </w:p>
        </w:tc>
        <w:tc>
          <w:tcPr>
            <w:tcW w:w="731" w:type="dxa"/>
            <w:tcBorders>
              <w:top w:val="double" w:sz="4" w:space="0" w:color="auto"/>
            </w:tcBorders>
            <w:shd w:val="clear" w:color="auto" w:fill="auto"/>
          </w:tcPr>
          <w:p w14:paraId="08F6ADC7" w14:textId="77777777" w:rsidR="00AB6191" w:rsidRPr="0001127D" w:rsidRDefault="00AB6191" w:rsidP="00AB6191">
            <w:pPr>
              <w:spacing w:beforeLines="20" w:before="48" w:afterLines="20" w:after="48"/>
              <w:jc w:val="center"/>
              <w:rPr>
                <w:b/>
                <w:noProof/>
                <w:sz w:val="16"/>
                <w:szCs w:val="16"/>
              </w:rPr>
            </w:pPr>
            <w:r w:rsidRPr="0001127D">
              <w:rPr>
                <w:noProof/>
                <w:sz w:val="16"/>
              </w:rPr>
              <w:t>2,25</w:t>
            </w:r>
          </w:p>
        </w:tc>
        <w:tc>
          <w:tcPr>
            <w:tcW w:w="731" w:type="dxa"/>
            <w:tcBorders>
              <w:top w:val="double" w:sz="4" w:space="0" w:color="auto"/>
            </w:tcBorders>
            <w:shd w:val="clear" w:color="auto" w:fill="auto"/>
          </w:tcPr>
          <w:p w14:paraId="7A75735F" w14:textId="77777777" w:rsidR="00AB6191" w:rsidRPr="0001127D" w:rsidRDefault="00AB6191" w:rsidP="00AB6191">
            <w:pPr>
              <w:spacing w:beforeLines="20" w:before="48" w:afterLines="20" w:after="48"/>
              <w:jc w:val="center"/>
              <w:rPr>
                <w:b/>
                <w:noProof/>
                <w:sz w:val="16"/>
                <w:szCs w:val="16"/>
              </w:rPr>
            </w:pPr>
            <w:r w:rsidRPr="0001127D">
              <w:rPr>
                <w:noProof/>
                <w:sz w:val="16"/>
              </w:rPr>
              <w:t>2,25</w:t>
            </w:r>
          </w:p>
        </w:tc>
        <w:tc>
          <w:tcPr>
            <w:tcW w:w="840" w:type="dxa"/>
            <w:tcBorders>
              <w:top w:val="double" w:sz="4" w:space="0" w:color="auto"/>
            </w:tcBorders>
            <w:shd w:val="clear" w:color="auto" w:fill="auto"/>
          </w:tcPr>
          <w:p w14:paraId="06D7F9AD" w14:textId="77777777" w:rsidR="00AB6191" w:rsidRPr="0001127D" w:rsidRDefault="00AB6191" w:rsidP="00AB6191">
            <w:pPr>
              <w:spacing w:beforeLines="20" w:before="48" w:afterLines="20" w:after="48"/>
              <w:jc w:val="center"/>
              <w:rPr>
                <w:b/>
                <w:noProof/>
                <w:sz w:val="16"/>
                <w:szCs w:val="16"/>
              </w:rPr>
            </w:pPr>
            <w:r w:rsidRPr="0001127D">
              <w:rPr>
                <w:noProof/>
                <w:sz w:val="16"/>
              </w:rPr>
              <w:t>2,25</w:t>
            </w:r>
          </w:p>
        </w:tc>
        <w:tc>
          <w:tcPr>
            <w:tcW w:w="622" w:type="dxa"/>
            <w:tcBorders>
              <w:top w:val="double" w:sz="4" w:space="0" w:color="auto"/>
            </w:tcBorders>
            <w:shd w:val="clear" w:color="auto" w:fill="auto"/>
          </w:tcPr>
          <w:p w14:paraId="2692268F" w14:textId="77777777" w:rsidR="00AB6191" w:rsidRPr="0001127D" w:rsidRDefault="00AB6191" w:rsidP="00AB619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4FDE0514" w14:textId="77777777" w:rsidR="00AB6191" w:rsidRPr="0001127D" w:rsidRDefault="00AB6191" w:rsidP="00AB619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1375B4E6" w14:textId="77777777" w:rsidR="00AB6191" w:rsidRPr="0001127D" w:rsidRDefault="00AB6191" w:rsidP="00AB6191">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14:paraId="25A98CDC" w14:textId="77777777" w:rsidR="00AB6191" w:rsidRPr="0001127D" w:rsidRDefault="00AB6191" w:rsidP="00AB6191">
            <w:pPr>
              <w:spacing w:beforeLines="20" w:before="48" w:afterLines="20" w:after="48"/>
              <w:jc w:val="center"/>
              <w:rPr>
                <w:b/>
                <w:noProof/>
                <w:sz w:val="16"/>
                <w:szCs w:val="16"/>
              </w:rPr>
            </w:pPr>
          </w:p>
        </w:tc>
      </w:tr>
    </w:tbl>
    <w:p w14:paraId="778CC353" w14:textId="77777777" w:rsidR="00AB6191" w:rsidRPr="0001127D" w:rsidRDefault="00AB6191" w:rsidP="00AB6191">
      <w:pPr>
        <w:pStyle w:val="Text1"/>
        <w:spacing w:before="60" w:after="60"/>
        <w:ind w:left="851"/>
        <w:rPr>
          <w:noProof/>
          <w:sz w:val="18"/>
          <w:szCs w:val="18"/>
        </w:rPr>
      </w:pPr>
      <w:r w:rsidRPr="0001127D">
        <w:rPr>
          <w:b/>
          <w:noProof/>
          <w:sz w:val="18"/>
        </w:rPr>
        <w:t>XX</w:t>
      </w:r>
      <w:r w:rsidRPr="0001127D">
        <w:rPr>
          <w:noProof/>
          <w:sz w:val="18"/>
        </w:rPr>
        <w:t xml:space="preserve"> è il settore o il titolo di bilancio interessato.</w:t>
      </w:r>
    </w:p>
    <w:p w14:paraId="6E2E30E0" w14:textId="14241804" w:rsidR="00AB6191" w:rsidRPr="0001127D" w:rsidRDefault="00AB6191" w:rsidP="00AB6191">
      <w:pPr>
        <w:pStyle w:val="Text1"/>
        <w:rPr>
          <w:noProof/>
          <w:sz w:val="18"/>
          <w:szCs w:val="18"/>
        </w:rPr>
      </w:pPr>
      <w:r w:rsidRPr="0001127D">
        <w:rPr>
          <w:noProof/>
          <w:sz w:val="18"/>
        </w:rPr>
        <w:t>Il fabbisogno di risorse umane è coperto dal personale della DG già assegnato alla gestione dell</w:t>
      </w:r>
      <w:r w:rsidR="00E64452" w:rsidRPr="0001127D">
        <w:rPr>
          <w:noProof/>
          <w:sz w:val="18"/>
        </w:rPr>
        <w:t>'</w:t>
      </w:r>
      <w:r w:rsidRPr="0001127D">
        <w:rPr>
          <w:noProof/>
          <w:sz w:val="18"/>
        </w:rPr>
        <w:t>azione e/o riassegnato all</w:t>
      </w:r>
      <w:r w:rsidR="00E64452" w:rsidRPr="0001127D">
        <w:rPr>
          <w:noProof/>
          <w:sz w:val="18"/>
        </w:rPr>
        <w:t>'</w:t>
      </w:r>
      <w:r w:rsidRPr="0001127D">
        <w:rPr>
          <w:noProof/>
          <w:sz w:val="18"/>
        </w:rPr>
        <w:t>interno della stessa DG, integrato dall</w:t>
      </w:r>
      <w:r w:rsidR="00E64452" w:rsidRPr="0001127D">
        <w:rPr>
          <w:noProof/>
          <w:sz w:val="18"/>
        </w:rPr>
        <w:t>'</w:t>
      </w:r>
      <w:r w:rsidRPr="0001127D">
        <w:rPr>
          <w:noProof/>
          <w:sz w:val="18"/>
        </w:rPr>
        <w:t>eventuale dotazione supplementare concessa alla DG responsabile nell</w:t>
      </w:r>
      <w:r w:rsidR="00E64452" w:rsidRPr="0001127D">
        <w:rPr>
          <w:noProof/>
          <w:sz w:val="18"/>
        </w:rPr>
        <w:t>'</w:t>
      </w:r>
      <w:r w:rsidRPr="0001127D">
        <w:rPr>
          <w:noProof/>
          <w:sz w:val="18"/>
        </w:rPr>
        <w:t>ambito della procedura annuale di assegnazione, tenendo conto dei vincoli di bilancio.</w:t>
      </w:r>
    </w:p>
    <w:p w14:paraId="7D15E69A" w14:textId="77777777" w:rsidR="00AB6191" w:rsidRPr="0001127D" w:rsidRDefault="00AB6191" w:rsidP="00AB6191">
      <w:pPr>
        <w:rPr>
          <w:noProof/>
          <w:sz w:val="20"/>
        </w:rPr>
      </w:pPr>
      <w:r w:rsidRPr="0001127D">
        <w:rPr>
          <w:noProof/>
          <w:sz w:val="20"/>
        </w:rPr>
        <w:t>Descrizione dei compiti da svolgere:</w:t>
      </w:r>
    </w:p>
    <w:tbl>
      <w:tblPr>
        <w:tblW w:w="10440" w:type="dxa"/>
        <w:tblInd w:w="9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AB6191" w:rsidRPr="0001127D" w14:paraId="00CB6443" w14:textId="77777777" w:rsidTr="008977A7">
        <w:tc>
          <w:tcPr>
            <w:tcW w:w="3240" w:type="dxa"/>
          </w:tcPr>
          <w:p w14:paraId="4C3C8B12" w14:textId="77777777" w:rsidR="00AB6191" w:rsidRPr="0001127D" w:rsidRDefault="00AB6191" w:rsidP="00AB6191">
            <w:pPr>
              <w:rPr>
                <w:noProof/>
                <w:sz w:val="20"/>
              </w:rPr>
            </w:pPr>
            <w:r w:rsidRPr="0001127D">
              <w:rPr>
                <w:noProof/>
                <w:sz w:val="20"/>
              </w:rPr>
              <w:t>Funzionari e agenti temporanei</w:t>
            </w:r>
          </w:p>
        </w:tc>
        <w:tc>
          <w:tcPr>
            <w:tcW w:w="7200" w:type="dxa"/>
          </w:tcPr>
          <w:p w14:paraId="49B00562" w14:textId="47F9DD82" w:rsidR="00AB6191" w:rsidRPr="0001127D" w:rsidRDefault="00AB6191" w:rsidP="00AB6191">
            <w:pPr>
              <w:rPr>
                <w:noProof/>
                <w:sz w:val="20"/>
              </w:rPr>
            </w:pPr>
            <w:r w:rsidRPr="0001127D">
              <w:rPr>
                <w:noProof/>
                <w:sz w:val="20"/>
              </w:rPr>
              <w:t>La presente proposta non richiede l</w:t>
            </w:r>
            <w:r w:rsidR="00E64452" w:rsidRPr="0001127D">
              <w:rPr>
                <w:noProof/>
                <w:sz w:val="20"/>
              </w:rPr>
              <w:t>'</w:t>
            </w:r>
            <w:r w:rsidRPr="0001127D">
              <w:rPr>
                <w:noProof/>
                <w:sz w:val="20"/>
              </w:rPr>
              <w:t>aumento del personale della Commissione attualmente incaricato della gestione aziendale (1 ETP) e della gestione dei progetti (1,25 ETP) del sistema BRIS.</w:t>
            </w:r>
          </w:p>
        </w:tc>
      </w:tr>
      <w:tr w:rsidR="00AB6191" w:rsidRPr="0001127D" w14:paraId="3FFE5DDF" w14:textId="77777777" w:rsidTr="008977A7">
        <w:tc>
          <w:tcPr>
            <w:tcW w:w="3240" w:type="dxa"/>
          </w:tcPr>
          <w:p w14:paraId="15D201C9" w14:textId="77777777" w:rsidR="00AB6191" w:rsidRPr="0001127D" w:rsidRDefault="00AB6191" w:rsidP="00AB6191">
            <w:pPr>
              <w:spacing w:before="60" w:after="60"/>
              <w:rPr>
                <w:noProof/>
                <w:sz w:val="20"/>
              </w:rPr>
            </w:pPr>
            <w:r w:rsidRPr="0001127D">
              <w:rPr>
                <w:noProof/>
                <w:sz w:val="20"/>
              </w:rPr>
              <w:t>Personale esterno</w:t>
            </w:r>
          </w:p>
        </w:tc>
        <w:tc>
          <w:tcPr>
            <w:tcW w:w="7200" w:type="dxa"/>
          </w:tcPr>
          <w:p w14:paraId="349B2C47" w14:textId="77777777" w:rsidR="00AB6191" w:rsidRPr="0001127D" w:rsidRDefault="00AB6191" w:rsidP="00AB6191">
            <w:pPr>
              <w:rPr>
                <w:noProof/>
                <w:sz w:val="20"/>
              </w:rPr>
            </w:pPr>
          </w:p>
        </w:tc>
      </w:tr>
    </w:tbl>
    <w:p w14:paraId="1C640D71" w14:textId="77777777" w:rsidR="00AC6E63" w:rsidRPr="0001127D" w:rsidRDefault="00AC6E63">
      <w:pPr>
        <w:spacing w:before="0" w:after="200" w:line="276" w:lineRule="auto"/>
        <w:jc w:val="left"/>
        <w:rPr>
          <w:i/>
          <w:noProof/>
        </w:rPr>
      </w:pPr>
      <w:bookmarkStart w:id="215" w:name="_Toc514938056"/>
      <w:bookmarkStart w:id="216" w:name="_Toc520485055"/>
      <w:r w:rsidRPr="0001127D">
        <w:rPr>
          <w:noProof/>
        </w:rPr>
        <w:br w:type="page"/>
      </w:r>
    </w:p>
    <w:p w14:paraId="4564668A" w14:textId="77777777" w:rsidR="00AB6191" w:rsidRPr="0001127D" w:rsidRDefault="00AB6191" w:rsidP="00AB6191">
      <w:pPr>
        <w:pStyle w:val="ManualHeading3"/>
        <w:rPr>
          <w:noProof/>
        </w:rPr>
      </w:pPr>
      <w:bookmarkStart w:id="217" w:name="_Toc132359629"/>
      <w:r w:rsidRPr="0001127D">
        <w:rPr>
          <w:noProof/>
        </w:rPr>
        <w:t>3.2.4.</w:t>
      </w:r>
      <w:r w:rsidRPr="0001127D">
        <w:rPr>
          <w:noProof/>
        </w:rPr>
        <w:tab/>
        <w:t>Compatibilità con il quadro finanziario pluriennale attuale</w:t>
      </w:r>
      <w:bookmarkEnd w:id="215"/>
      <w:bookmarkEnd w:id="216"/>
      <w:bookmarkEnd w:id="217"/>
      <w:r w:rsidRPr="0001127D">
        <w:rPr>
          <w:noProof/>
        </w:rPr>
        <w:t xml:space="preserve"> </w:t>
      </w:r>
    </w:p>
    <w:p w14:paraId="37BEA8B4" w14:textId="77777777" w:rsidR="00AB6191" w:rsidRPr="0001127D" w:rsidRDefault="00AB6191" w:rsidP="00AB6191">
      <w:pPr>
        <w:pStyle w:val="Text1"/>
        <w:rPr>
          <w:noProof/>
        </w:rPr>
      </w:pPr>
      <w:r w:rsidRPr="0001127D">
        <w:rPr>
          <w:noProof/>
        </w:rPr>
        <w:t>La proposta/iniziativa:</w:t>
      </w:r>
    </w:p>
    <w:p w14:paraId="285AE2CD" w14:textId="23C06173" w:rsidR="00AB6191" w:rsidRPr="0001127D" w:rsidRDefault="00AB6191" w:rsidP="00AB6191">
      <w:pPr>
        <w:pStyle w:val="ListDash1"/>
        <w:rPr>
          <w:noProof/>
        </w:rPr>
      </w:pPr>
      <w:r w:rsidRPr="0001127D">
        <w:rPr>
          <w:noProof/>
        </w:rPr>
        <w:t>X</w:t>
      </w:r>
      <w:r w:rsidRPr="0001127D">
        <w:rPr>
          <w:noProof/>
        </w:rPr>
        <w:tab/>
        <w:t>può essere interamente finanziata mediante riassegnazione all</w:t>
      </w:r>
      <w:r w:rsidR="00E64452" w:rsidRPr="0001127D">
        <w:rPr>
          <w:noProof/>
        </w:rPr>
        <w:t>'</w:t>
      </w:r>
      <w:r w:rsidRPr="0001127D">
        <w:rPr>
          <w:noProof/>
        </w:rPr>
        <w:t>interno della pertinente rubrica del quadro finanziario pluriennale (QFP).</w:t>
      </w:r>
    </w:p>
    <w:p w14:paraId="41BB8B0B" w14:textId="77777777" w:rsidR="00AB6191" w:rsidRPr="0001127D" w:rsidRDefault="00AB6191" w:rsidP="008977A7">
      <w:pPr>
        <w:pStyle w:val="Text1"/>
        <w:pBdr>
          <w:top w:val="single" w:sz="4" w:space="1" w:color="auto"/>
          <w:left w:val="single" w:sz="4" w:space="4" w:color="auto"/>
          <w:bottom w:val="single" w:sz="4" w:space="1" w:color="auto"/>
          <w:right w:val="single" w:sz="4" w:space="4" w:color="auto"/>
        </w:pBdr>
        <w:spacing w:before="0" w:after="0"/>
        <w:rPr>
          <w:noProof/>
          <w:sz w:val="20"/>
        </w:rPr>
      </w:pPr>
      <w:r w:rsidRPr="0001127D">
        <w:rPr>
          <w:noProof/>
          <w:sz w:val="20"/>
        </w:rPr>
        <w:t>Spiegare la riprogrammazione richiesta, precisando le linee di bilancio interessate e gli importi corrispondenti.</w:t>
      </w:r>
      <w:r w:rsidRPr="0001127D">
        <w:rPr>
          <w:noProof/>
        </w:rPr>
        <w:t xml:space="preserve"> </w:t>
      </w:r>
      <w:r w:rsidRPr="0001127D">
        <w:rPr>
          <w:noProof/>
          <w:sz w:val="20"/>
        </w:rPr>
        <w:t>Allegare una tabella Excel in caso di riprogrammazione maggiore.</w:t>
      </w:r>
    </w:p>
    <w:p w14:paraId="52D20427" w14:textId="77777777" w:rsidR="00AB6191" w:rsidRPr="0001127D" w:rsidRDefault="00AB6191" w:rsidP="008977A7">
      <w:pPr>
        <w:pStyle w:val="Text1"/>
        <w:pBdr>
          <w:top w:val="single" w:sz="4" w:space="1" w:color="auto"/>
          <w:left w:val="single" w:sz="4" w:space="4" w:color="auto"/>
          <w:bottom w:val="single" w:sz="4" w:space="1" w:color="auto"/>
          <w:right w:val="single" w:sz="4" w:space="4" w:color="auto"/>
        </w:pBdr>
        <w:spacing w:before="0" w:after="0"/>
        <w:rPr>
          <w:noProof/>
          <w:sz w:val="20"/>
        </w:rPr>
      </w:pPr>
    </w:p>
    <w:p w14:paraId="5DF6403B" w14:textId="617AEFDE" w:rsidR="00AB6191" w:rsidRPr="0001127D" w:rsidRDefault="00AB6191" w:rsidP="008977A7">
      <w:pPr>
        <w:pStyle w:val="Text1"/>
        <w:pBdr>
          <w:top w:val="single" w:sz="4" w:space="1" w:color="auto"/>
          <w:left w:val="single" w:sz="4" w:space="4" w:color="auto"/>
          <w:bottom w:val="single" w:sz="4" w:space="1" w:color="auto"/>
          <w:right w:val="single" w:sz="4" w:space="4" w:color="auto"/>
        </w:pBdr>
        <w:spacing w:before="0" w:after="0"/>
        <w:rPr>
          <w:noProof/>
          <w:szCs w:val="24"/>
        </w:rPr>
      </w:pPr>
      <w:r w:rsidRPr="0001127D">
        <w:rPr>
          <w:noProof/>
        </w:rPr>
        <w:t>Lo sviluppo del BRIS è già coperto dal programma Europa digitale. La nuova proposta non richiede lo stanziamento di ulteriori risorse dal bilancio rispetto a quelle già stanziate nel quadro del programma Europa digitale per la manutenzione evolutiva (nuovo sviluppo) e la manutenzione conservativa (correzione di bug) del BRIS (ossia 2 milioni di EUR all</w:t>
      </w:r>
      <w:r w:rsidR="00E64452" w:rsidRPr="0001127D">
        <w:rPr>
          <w:noProof/>
        </w:rPr>
        <w:t>'</w:t>
      </w:r>
      <w:r w:rsidRPr="0001127D">
        <w:rPr>
          <w:noProof/>
        </w:rPr>
        <w:t>anno).</w:t>
      </w:r>
    </w:p>
    <w:p w14:paraId="4B0AFF22" w14:textId="393D116C" w:rsidR="00AB6191" w:rsidRPr="0001127D" w:rsidRDefault="00AB6191" w:rsidP="00AB6191">
      <w:pPr>
        <w:pStyle w:val="ListDash1"/>
        <w:rPr>
          <w:noProof/>
        </w:rPr>
      </w:pPr>
      <w:r w:rsidRPr="0001127D">
        <w:rPr>
          <w:rFonts w:ascii="Wingdings" w:hAnsi="Wingdings"/>
          <w:noProof/>
        </w:rPr>
        <w:t></w:t>
      </w:r>
      <w:r w:rsidRPr="0001127D">
        <w:rPr>
          <w:noProof/>
        </w:rPr>
        <w:tab/>
        <w:t>comporta l</w:t>
      </w:r>
      <w:r w:rsidR="00E64452" w:rsidRPr="0001127D">
        <w:rPr>
          <w:noProof/>
        </w:rPr>
        <w:t>'</w:t>
      </w:r>
      <w:r w:rsidRPr="0001127D">
        <w:rPr>
          <w:noProof/>
        </w:rPr>
        <w:t>uso del margine non assegnato della pertinente rubrica del QFP e/o l</w:t>
      </w:r>
      <w:r w:rsidR="00E64452" w:rsidRPr="0001127D">
        <w:rPr>
          <w:noProof/>
        </w:rPr>
        <w:t>'</w:t>
      </w:r>
      <w:r w:rsidRPr="0001127D">
        <w:rPr>
          <w:noProof/>
        </w:rPr>
        <w:t>uso degli strumenti speciali definiti nel regolamento QFP.</w:t>
      </w:r>
    </w:p>
    <w:p w14:paraId="7FEAA42C"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01127D">
        <w:rPr>
          <w:noProof/>
          <w:sz w:val="20"/>
        </w:rPr>
        <w:t>Spiegare la necessità, precisando le rubriche e le linee di bilancio interessate, gli importi corrispondenti e gli strumenti proposti.</w:t>
      </w:r>
    </w:p>
    <w:p w14:paraId="67A9309B" w14:textId="77777777" w:rsidR="00AB6191" w:rsidRPr="0001127D" w:rsidRDefault="00AB6191" w:rsidP="00AB6191">
      <w:pPr>
        <w:pStyle w:val="ListDash1"/>
        <w:rPr>
          <w:noProof/>
        </w:rPr>
      </w:pPr>
      <w:r w:rsidRPr="0001127D">
        <w:rPr>
          <w:rFonts w:ascii="Wingdings" w:hAnsi="Wingdings"/>
          <w:noProof/>
        </w:rPr>
        <w:t></w:t>
      </w:r>
      <w:r w:rsidRPr="0001127D">
        <w:rPr>
          <w:noProof/>
        </w:rPr>
        <w:tab/>
        <w:t>comporta una revisione del QFP.</w:t>
      </w:r>
    </w:p>
    <w:p w14:paraId="60BA97A1"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sz w:val="20"/>
        </w:rPr>
      </w:pPr>
      <w:r w:rsidRPr="0001127D">
        <w:rPr>
          <w:noProof/>
          <w:sz w:val="20"/>
        </w:rPr>
        <w:t>Spiegare la necessità, precisando le rubriche e le linee di bilancio interessate e gli importi corrispondenti.</w:t>
      </w:r>
    </w:p>
    <w:p w14:paraId="7157D5D9" w14:textId="77777777" w:rsidR="00AB6191" w:rsidRPr="0001127D" w:rsidRDefault="00AB6191" w:rsidP="00AB6191">
      <w:pPr>
        <w:pStyle w:val="ManualHeading3"/>
        <w:rPr>
          <w:bCs/>
          <w:noProof/>
          <w:szCs w:val="24"/>
        </w:rPr>
      </w:pPr>
      <w:bookmarkStart w:id="218" w:name="_Toc514938058"/>
      <w:bookmarkStart w:id="219" w:name="_Toc520485056"/>
      <w:bookmarkStart w:id="220" w:name="_Toc132359630"/>
      <w:r w:rsidRPr="0001127D">
        <w:rPr>
          <w:noProof/>
        </w:rPr>
        <w:t>3.2.5.</w:t>
      </w:r>
      <w:r w:rsidRPr="0001127D">
        <w:rPr>
          <w:noProof/>
        </w:rPr>
        <w:tab/>
        <w:t>Partecipazione di terzi al finanziamento</w:t>
      </w:r>
      <w:bookmarkEnd w:id="218"/>
      <w:bookmarkEnd w:id="219"/>
      <w:bookmarkEnd w:id="220"/>
      <w:r w:rsidRPr="0001127D">
        <w:rPr>
          <w:noProof/>
        </w:rPr>
        <w:t xml:space="preserve"> </w:t>
      </w:r>
    </w:p>
    <w:p w14:paraId="51B3E848" w14:textId="77777777" w:rsidR="00AB6191" w:rsidRPr="0001127D" w:rsidRDefault="00AB6191" w:rsidP="00AB6191">
      <w:pPr>
        <w:pStyle w:val="Text1"/>
        <w:rPr>
          <w:noProof/>
        </w:rPr>
      </w:pPr>
      <w:r w:rsidRPr="0001127D">
        <w:rPr>
          <w:noProof/>
        </w:rPr>
        <w:t>La proposta/iniziativa:</w:t>
      </w:r>
    </w:p>
    <w:p w14:paraId="7DE2F522" w14:textId="77777777" w:rsidR="00AB6191" w:rsidRPr="0001127D" w:rsidRDefault="00AB6191" w:rsidP="00AB6191">
      <w:pPr>
        <w:pStyle w:val="ListDash1"/>
        <w:rPr>
          <w:noProof/>
        </w:rPr>
      </w:pPr>
      <w:r w:rsidRPr="0001127D">
        <w:rPr>
          <w:noProof/>
        </w:rPr>
        <w:t>X</w:t>
      </w:r>
      <w:r w:rsidRPr="0001127D">
        <w:rPr>
          <w:noProof/>
        </w:rPr>
        <w:tab/>
        <w:t>non prevede cofinanziamenti da terzi</w:t>
      </w:r>
    </w:p>
    <w:p w14:paraId="06E31789" w14:textId="77777777" w:rsidR="00AB6191" w:rsidRPr="0001127D" w:rsidRDefault="00AB6191" w:rsidP="008977A7">
      <w:pPr>
        <w:pStyle w:val="ListDash1"/>
        <w:spacing w:after="0"/>
        <w:rPr>
          <w:noProof/>
        </w:rPr>
      </w:pPr>
      <w:r w:rsidRPr="0001127D">
        <w:rPr>
          <w:rFonts w:ascii="Wingdings" w:hAnsi="Wingdings"/>
          <w:noProof/>
        </w:rPr>
        <w:t></w:t>
      </w:r>
      <w:r w:rsidRPr="0001127D">
        <w:rPr>
          <w:noProof/>
        </w:rPr>
        <w:tab/>
        <w:t>prevede il cofinanziamento da terzi indicato di seguito:</w:t>
      </w:r>
    </w:p>
    <w:p w14:paraId="510A91C0" w14:textId="77777777" w:rsidR="00AB6191" w:rsidRPr="0001127D" w:rsidRDefault="00AB6191" w:rsidP="008977A7">
      <w:pPr>
        <w:spacing w:before="0"/>
        <w:jc w:val="right"/>
        <w:rPr>
          <w:noProof/>
          <w:sz w:val="20"/>
        </w:rPr>
      </w:pPr>
      <w:r w:rsidRPr="0001127D">
        <w:rPr>
          <w:noProof/>
          <w:sz w:val="20"/>
        </w:rPr>
        <w:t>Stanziamenti in Mio EUR (al terzo decimale)</w:t>
      </w:r>
    </w:p>
    <w:tbl>
      <w:tblPr>
        <w:tblW w:w="11746"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40"/>
        <w:gridCol w:w="964"/>
        <w:gridCol w:w="964"/>
        <w:gridCol w:w="964"/>
        <w:gridCol w:w="964"/>
        <w:gridCol w:w="964"/>
        <w:gridCol w:w="964"/>
        <w:gridCol w:w="964"/>
        <w:gridCol w:w="1158"/>
      </w:tblGrid>
      <w:tr w:rsidR="00AB6191" w:rsidRPr="0001127D" w14:paraId="7B998E2C" w14:textId="77777777" w:rsidTr="008977A7">
        <w:trPr>
          <w:cantSplit/>
        </w:trPr>
        <w:tc>
          <w:tcPr>
            <w:tcW w:w="3840" w:type="dxa"/>
          </w:tcPr>
          <w:p w14:paraId="1D864852" w14:textId="77777777" w:rsidR="00AB6191" w:rsidRPr="0001127D" w:rsidRDefault="00AB6191" w:rsidP="00AB6191">
            <w:pPr>
              <w:spacing w:before="60" w:after="60"/>
              <w:rPr>
                <w:noProof/>
                <w:sz w:val="20"/>
              </w:rPr>
            </w:pPr>
          </w:p>
        </w:tc>
        <w:tc>
          <w:tcPr>
            <w:tcW w:w="964" w:type="dxa"/>
            <w:vAlign w:val="center"/>
          </w:tcPr>
          <w:p w14:paraId="439135E6" w14:textId="77777777" w:rsidR="00AB6191" w:rsidRPr="0001127D" w:rsidRDefault="00AB6191" w:rsidP="00AB6191">
            <w:pPr>
              <w:jc w:val="center"/>
              <w:rPr>
                <w:noProof/>
                <w:sz w:val="20"/>
              </w:rPr>
            </w:pPr>
            <w:r w:rsidRPr="0001127D">
              <w:rPr>
                <w:noProof/>
                <w:sz w:val="20"/>
              </w:rPr>
              <w:t>2025</w:t>
            </w:r>
          </w:p>
        </w:tc>
        <w:tc>
          <w:tcPr>
            <w:tcW w:w="964" w:type="dxa"/>
            <w:vAlign w:val="center"/>
          </w:tcPr>
          <w:p w14:paraId="34CD96AA" w14:textId="77777777" w:rsidR="00AB6191" w:rsidRPr="0001127D" w:rsidRDefault="00AB6191" w:rsidP="00AB6191">
            <w:pPr>
              <w:jc w:val="center"/>
              <w:rPr>
                <w:noProof/>
                <w:sz w:val="20"/>
              </w:rPr>
            </w:pPr>
            <w:r w:rsidRPr="0001127D">
              <w:rPr>
                <w:noProof/>
                <w:sz w:val="20"/>
              </w:rPr>
              <w:t>2026</w:t>
            </w:r>
          </w:p>
        </w:tc>
        <w:tc>
          <w:tcPr>
            <w:tcW w:w="964" w:type="dxa"/>
            <w:vAlign w:val="center"/>
          </w:tcPr>
          <w:p w14:paraId="4E19D6FE" w14:textId="77777777" w:rsidR="00AB6191" w:rsidRPr="0001127D" w:rsidRDefault="00AB6191" w:rsidP="00AB6191">
            <w:pPr>
              <w:jc w:val="center"/>
              <w:rPr>
                <w:noProof/>
                <w:sz w:val="20"/>
              </w:rPr>
            </w:pPr>
            <w:r w:rsidRPr="0001127D">
              <w:rPr>
                <w:noProof/>
                <w:sz w:val="20"/>
              </w:rPr>
              <w:t>2027</w:t>
            </w:r>
          </w:p>
        </w:tc>
        <w:tc>
          <w:tcPr>
            <w:tcW w:w="964" w:type="dxa"/>
            <w:vAlign w:val="center"/>
          </w:tcPr>
          <w:p w14:paraId="5059A2F1" w14:textId="77777777" w:rsidR="00AB6191" w:rsidRPr="0001127D" w:rsidRDefault="00AB6191" w:rsidP="00AB6191">
            <w:pPr>
              <w:jc w:val="center"/>
              <w:rPr>
                <w:noProof/>
                <w:sz w:val="20"/>
              </w:rPr>
            </w:pPr>
          </w:p>
        </w:tc>
        <w:tc>
          <w:tcPr>
            <w:tcW w:w="2892" w:type="dxa"/>
            <w:gridSpan w:val="3"/>
            <w:vAlign w:val="center"/>
          </w:tcPr>
          <w:p w14:paraId="19CCDB22" w14:textId="77D07B53" w:rsidR="00AB6191" w:rsidRPr="0001127D" w:rsidRDefault="00AB6191" w:rsidP="00AB6191">
            <w:pPr>
              <w:jc w:val="center"/>
              <w:rPr>
                <w:b/>
                <w:noProof/>
                <w:sz w:val="20"/>
              </w:rPr>
            </w:pPr>
            <w:r w:rsidRPr="0001127D">
              <w:rPr>
                <w:noProof/>
                <w:sz w:val="20"/>
              </w:rPr>
              <w:t>Inserire gli anni necessari per evidenziare la durata dell</w:t>
            </w:r>
            <w:r w:rsidR="00E64452" w:rsidRPr="0001127D">
              <w:rPr>
                <w:noProof/>
                <w:sz w:val="20"/>
              </w:rPr>
              <w:t>'</w:t>
            </w:r>
            <w:r w:rsidRPr="0001127D">
              <w:rPr>
                <w:noProof/>
                <w:sz w:val="20"/>
              </w:rPr>
              <w:t>incidenza (cfr. punto 1.6)</w:t>
            </w:r>
          </w:p>
        </w:tc>
        <w:tc>
          <w:tcPr>
            <w:tcW w:w="1158" w:type="dxa"/>
            <w:vAlign w:val="center"/>
          </w:tcPr>
          <w:p w14:paraId="62FF6A30" w14:textId="77777777" w:rsidR="00AB6191" w:rsidRPr="0001127D" w:rsidRDefault="00AB6191" w:rsidP="00AB6191">
            <w:pPr>
              <w:spacing w:before="60" w:after="60"/>
              <w:jc w:val="center"/>
              <w:rPr>
                <w:noProof/>
                <w:sz w:val="20"/>
              </w:rPr>
            </w:pPr>
            <w:r w:rsidRPr="0001127D">
              <w:rPr>
                <w:noProof/>
                <w:sz w:val="20"/>
              </w:rPr>
              <w:t>Totale</w:t>
            </w:r>
          </w:p>
        </w:tc>
      </w:tr>
      <w:tr w:rsidR="00AB6191" w:rsidRPr="0001127D" w14:paraId="7A05797F" w14:textId="77777777" w:rsidTr="008977A7">
        <w:trPr>
          <w:cantSplit/>
        </w:trPr>
        <w:tc>
          <w:tcPr>
            <w:tcW w:w="3840" w:type="dxa"/>
          </w:tcPr>
          <w:p w14:paraId="4CF02CEA" w14:textId="79F99483" w:rsidR="00AB6191" w:rsidRPr="0001127D" w:rsidRDefault="00AB6191" w:rsidP="00AB6191">
            <w:pPr>
              <w:rPr>
                <w:noProof/>
              </w:rPr>
            </w:pPr>
            <w:r w:rsidRPr="0001127D">
              <w:rPr>
                <w:noProof/>
                <w:sz w:val="20"/>
              </w:rPr>
              <w:t>Specificare l</w:t>
            </w:r>
            <w:r w:rsidR="00E64452" w:rsidRPr="0001127D">
              <w:rPr>
                <w:noProof/>
                <w:sz w:val="20"/>
              </w:rPr>
              <w:t>'</w:t>
            </w:r>
            <w:r w:rsidRPr="0001127D">
              <w:rPr>
                <w:noProof/>
                <w:sz w:val="20"/>
              </w:rPr>
              <w:t>organismo di cofinanziamento</w:t>
            </w:r>
            <w:r w:rsidRPr="0001127D">
              <w:rPr>
                <w:i/>
                <w:noProof/>
                <w:sz w:val="20"/>
              </w:rPr>
              <w:t xml:space="preserve"> </w:t>
            </w:r>
          </w:p>
        </w:tc>
        <w:tc>
          <w:tcPr>
            <w:tcW w:w="964" w:type="dxa"/>
            <w:vAlign w:val="center"/>
          </w:tcPr>
          <w:p w14:paraId="34F7DB75" w14:textId="77777777" w:rsidR="00AB6191" w:rsidRPr="0001127D" w:rsidRDefault="00AB6191" w:rsidP="00AB6191">
            <w:pPr>
              <w:spacing w:before="60" w:after="60"/>
              <w:jc w:val="center"/>
              <w:rPr>
                <w:noProof/>
                <w:sz w:val="20"/>
              </w:rPr>
            </w:pPr>
          </w:p>
        </w:tc>
        <w:tc>
          <w:tcPr>
            <w:tcW w:w="964" w:type="dxa"/>
            <w:vAlign w:val="center"/>
          </w:tcPr>
          <w:p w14:paraId="23AAF82A" w14:textId="77777777" w:rsidR="00AB6191" w:rsidRPr="0001127D" w:rsidRDefault="00AB6191" w:rsidP="00AB6191">
            <w:pPr>
              <w:spacing w:before="60" w:after="60"/>
              <w:jc w:val="center"/>
              <w:rPr>
                <w:noProof/>
                <w:sz w:val="20"/>
              </w:rPr>
            </w:pPr>
          </w:p>
        </w:tc>
        <w:tc>
          <w:tcPr>
            <w:tcW w:w="964" w:type="dxa"/>
            <w:vAlign w:val="center"/>
          </w:tcPr>
          <w:p w14:paraId="70FF22DF" w14:textId="77777777" w:rsidR="00AB6191" w:rsidRPr="0001127D" w:rsidRDefault="00AB6191" w:rsidP="00AB6191">
            <w:pPr>
              <w:spacing w:before="60" w:after="60"/>
              <w:jc w:val="center"/>
              <w:rPr>
                <w:noProof/>
                <w:sz w:val="20"/>
              </w:rPr>
            </w:pPr>
          </w:p>
        </w:tc>
        <w:tc>
          <w:tcPr>
            <w:tcW w:w="964" w:type="dxa"/>
            <w:vAlign w:val="center"/>
          </w:tcPr>
          <w:p w14:paraId="06E9A706" w14:textId="77777777" w:rsidR="00AB6191" w:rsidRPr="0001127D" w:rsidRDefault="00AB6191" w:rsidP="00AB6191">
            <w:pPr>
              <w:spacing w:before="60" w:after="60"/>
              <w:jc w:val="center"/>
              <w:rPr>
                <w:noProof/>
                <w:sz w:val="20"/>
              </w:rPr>
            </w:pPr>
          </w:p>
        </w:tc>
        <w:tc>
          <w:tcPr>
            <w:tcW w:w="964" w:type="dxa"/>
            <w:vAlign w:val="center"/>
          </w:tcPr>
          <w:p w14:paraId="4CB934C5" w14:textId="77777777" w:rsidR="00AB6191" w:rsidRPr="0001127D" w:rsidRDefault="00AB6191" w:rsidP="00AB6191">
            <w:pPr>
              <w:spacing w:before="60" w:after="60"/>
              <w:jc w:val="center"/>
              <w:rPr>
                <w:noProof/>
                <w:sz w:val="20"/>
              </w:rPr>
            </w:pPr>
          </w:p>
        </w:tc>
        <w:tc>
          <w:tcPr>
            <w:tcW w:w="964" w:type="dxa"/>
            <w:vAlign w:val="center"/>
          </w:tcPr>
          <w:p w14:paraId="782A4E1E" w14:textId="77777777" w:rsidR="00AB6191" w:rsidRPr="0001127D" w:rsidRDefault="00AB6191" w:rsidP="00AB6191">
            <w:pPr>
              <w:spacing w:before="60" w:after="60"/>
              <w:jc w:val="center"/>
              <w:rPr>
                <w:noProof/>
                <w:sz w:val="20"/>
              </w:rPr>
            </w:pPr>
          </w:p>
        </w:tc>
        <w:tc>
          <w:tcPr>
            <w:tcW w:w="964" w:type="dxa"/>
            <w:vAlign w:val="center"/>
          </w:tcPr>
          <w:p w14:paraId="0A03CBF7" w14:textId="77777777" w:rsidR="00AB6191" w:rsidRPr="0001127D" w:rsidRDefault="00AB6191" w:rsidP="00AB6191">
            <w:pPr>
              <w:spacing w:before="60" w:after="60"/>
              <w:jc w:val="center"/>
              <w:rPr>
                <w:noProof/>
                <w:sz w:val="20"/>
              </w:rPr>
            </w:pPr>
          </w:p>
        </w:tc>
        <w:tc>
          <w:tcPr>
            <w:tcW w:w="1158" w:type="dxa"/>
            <w:vAlign w:val="center"/>
          </w:tcPr>
          <w:p w14:paraId="4EB467F8" w14:textId="77777777" w:rsidR="00AB6191" w:rsidRPr="0001127D" w:rsidRDefault="00AB6191" w:rsidP="00AB6191">
            <w:pPr>
              <w:spacing w:before="60" w:after="60"/>
              <w:jc w:val="center"/>
              <w:rPr>
                <w:noProof/>
                <w:sz w:val="20"/>
              </w:rPr>
            </w:pPr>
          </w:p>
        </w:tc>
      </w:tr>
      <w:tr w:rsidR="00AB6191" w:rsidRPr="0001127D" w14:paraId="401DD66F" w14:textId="77777777" w:rsidTr="008977A7">
        <w:trPr>
          <w:cantSplit/>
        </w:trPr>
        <w:tc>
          <w:tcPr>
            <w:tcW w:w="3840" w:type="dxa"/>
          </w:tcPr>
          <w:p w14:paraId="3F12E643" w14:textId="77777777" w:rsidR="00AB6191" w:rsidRPr="0001127D" w:rsidRDefault="00AB6191" w:rsidP="00AB6191">
            <w:pPr>
              <w:spacing w:before="60" w:after="60"/>
              <w:jc w:val="left"/>
              <w:rPr>
                <w:noProof/>
                <w:sz w:val="20"/>
              </w:rPr>
            </w:pPr>
            <w:r w:rsidRPr="0001127D">
              <w:rPr>
                <w:noProof/>
                <w:sz w:val="20"/>
              </w:rPr>
              <w:t xml:space="preserve">TOTALE stanziamenti cofinanziati </w:t>
            </w:r>
          </w:p>
        </w:tc>
        <w:tc>
          <w:tcPr>
            <w:tcW w:w="964" w:type="dxa"/>
            <w:vAlign w:val="center"/>
          </w:tcPr>
          <w:p w14:paraId="53186C2F" w14:textId="77777777" w:rsidR="00AB6191" w:rsidRPr="0001127D" w:rsidRDefault="00AB6191" w:rsidP="00AB6191">
            <w:pPr>
              <w:spacing w:before="60" w:after="60"/>
              <w:jc w:val="center"/>
              <w:rPr>
                <w:noProof/>
                <w:sz w:val="20"/>
              </w:rPr>
            </w:pPr>
          </w:p>
        </w:tc>
        <w:tc>
          <w:tcPr>
            <w:tcW w:w="964" w:type="dxa"/>
            <w:vAlign w:val="center"/>
          </w:tcPr>
          <w:p w14:paraId="6AFB2ABA" w14:textId="77777777" w:rsidR="00AB6191" w:rsidRPr="0001127D" w:rsidRDefault="00AB6191" w:rsidP="00AB6191">
            <w:pPr>
              <w:spacing w:before="60" w:after="60"/>
              <w:jc w:val="center"/>
              <w:rPr>
                <w:noProof/>
                <w:sz w:val="20"/>
              </w:rPr>
            </w:pPr>
          </w:p>
        </w:tc>
        <w:tc>
          <w:tcPr>
            <w:tcW w:w="964" w:type="dxa"/>
            <w:vAlign w:val="center"/>
          </w:tcPr>
          <w:p w14:paraId="40A311BD" w14:textId="77777777" w:rsidR="00AB6191" w:rsidRPr="0001127D" w:rsidRDefault="00AB6191" w:rsidP="00AB6191">
            <w:pPr>
              <w:spacing w:before="60" w:after="60"/>
              <w:jc w:val="center"/>
              <w:rPr>
                <w:noProof/>
                <w:sz w:val="20"/>
              </w:rPr>
            </w:pPr>
          </w:p>
        </w:tc>
        <w:tc>
          <w:tcPr>
            <w:tcW w:w="964" w:type="dxa"/>
            <w:vAlign w:val="center"/>
          </w:tcPr>
          <w:p w14:paraId="4AEC565A" w14:textId="77777777" w:rsidR="00AB6191" w:rsidRPr="0001127D" w:rsidRDefault="00AB6191" w:rsidP="00AB6191">
            <w:pPr>
              <w:spacing w:before="60" w:after="60"/>
              <w:jc w:val="center"/>
              <w:rPr>
                <w:noProof/>
                <w:sz w:val="20"/>
              </w:rPr>
            </w:pPr>
          </w:p>
        </w:tc>
        <w:tc>
          <w:tcPr>
            <w:tcW w:w="964" w:type="dxa"/>
            <w:vAlign w:val="center"/>
          </w:tcPr>
          <w:p w14:paraId="67B99A9A" w14:textId="77777777" w:rsidR="00AB6191" w:rsidRPr="0001127D" w:rsidRDefault="00AB6191" w:rsidP="00AB6191">
            <w:pPr>
              <w:spacing w:before="60" w:after="60"/>
              <w:jc w:val="center"/>
              <w:rPr>
                <w:noProof/>
                <w:sz w:val="20"/>
              </w:rPr>
            </w:pPr>
          </w:p>
        </w:tc>
        <w:tc>
          <w:tcPr>
            <w:tcW w:w="964" w:type="dxa"/>
            <w:vAlign w:val="center"/>
          </w:tcPr>
          <w:p w14:paraId="566CF2F7" w14:textId="77777777" w:rsidR="00AB6191" w:rsidRPr="0001127D" w:rsidRDefault="00AB6191" w:rsidP="00AB6191">
            <w:pPr>
              <w:spacing w:before="60" w:after="60"/>
              <w:jc w:val="center"/>
              <w:rPr>
                <w:noProof/>
                <w:sz w:val="20"/>
              </w:rPr>
            </w:pPr>
          </w:p>
        </w:tc>
        <w:tc>
          <w:tcPr>
            <w:tcW w:w="964" w:type="dxa"/>
            <w:vAlign w:val="center"/>
          </w:tcPr>
          <w:p w14:paraId="2CB1D296" w14:textId="77777777" w:rsidR="00AB6191" w:rsidRPr="0001127D" w:rsidRDefault="00AB6191" w:rsidP="00AB6191">
            <w:pPr>
              <w:spacing w:before="60" w:after="60"/>
              <w:jc w:val="center"/>
              <w:rPr>
                <w:noProof/>
                <w:sz w:val="20"/>
              </w:rPr>
            </w:pPr>
          </w:p>
        </w:tc>
        <w:tc>
          <w:tcPr>
            <w:tcW w:w="1158" w:type="dxa"/>
            <w:vAlign w:val="center"/>
          </w:tcPr>
          <w:p w14:paraId="3CE88AB3" w14:textId="77777777" w:rsidR="00AB6191" w:rsidRPr="0001127D" w:rsidRDefault="00AB6191" w:rsidP="00AB6191">
            <w:pPr>
              <w:spacing w:before="60" w:after="60"/>
              <w:jc w:val="center"/>
              <w:rPr>
                <w:noProof/>
                <w:sz w:val="20"/>
              </w:rPr>
            </w:pPr>
          </w:p>
        </w:tc>
      </w:tr>
    </w:tbl>
    <w:p w14:paraId="5E5FA622" w14:textId="3203ACDF" w:rsidR="00AB6191" w:rsidRPr="0001127D" w:rsidRDefault="00AB6191" w:rsidP="009C0262">
      <w:pPr>
        <w:pStyle w:val="ManualHeading2"/>
        <w:rPr>
          <w:noProof/>
        </w:rPr>
      </w:pPr>
      <w:r w:rsidRPr="0001127D">
        <w:rPr>
          <w:noProof/>
        </w:rPr>
        <w:t xml:space="preserve"> </w:t>
      </w:r>
      <w:r w:rsidRPr="0001127D">
        <w:rPr>
          <w:noProof/>
        </w:rPr>
        <w:br w:type="page"/>
      </w:r>
      <w:bookmarkStart w:id="221" w:name="_Toc514938059"/>
      <w:bookmarkStart w:id="222" w:name="_Toc520485057"/>
      <w:bookmarkStart w:id="223" w:name="_Toc132359631"/>
      <w:r w:rsidRPr="0001127D">
        <w:rPr>
          <w:noProof/>
        </w:rPr>
        <w:t>3.3.</w:t>
      </w:r>
      <w:r w:rsidRPr="0001127D">
        <w:rPr>
          <w:noProof/>
        </w:rPr>
        <w:tab/>
        <w:t>Incidenza prevista sulle entrate</w:t>
      </w:r>
      <w:bookmarkEnd w:id="221"/>
      <w:bookmarkEnd w:id="222"/>
      <w:bookmarkEnd w:id="223"/>
      <w:r w:rsidRPr="0001127D">
        <w:rPr>
          <w:noProof/>
        </w:rPr>
        <w:t xml:space="preserve"> </w:t>
      </w:r>
    </w:p>
    <w:p w14:paraId="16755A6B" w14:textId="77777777" w:rsidR="00AB6191" w:rsidRPr="0001127D" w:rsidRDefault="00AB6191" w:rsidP="00AB6191">
      <w:pPr>
        <w:pStyle w:val="ListDash1"/>
        <w:rPr>
          <w:noProof/>
        </w:rPr>
      </w:pPr>
      <w:r w:rsidRPr="0001127D">
        <w:rPr>
          <w:rFonts w:ascii="Segoe UI Symbol" w:hAnsi="Segoe UI Symbol"/>
          <w:noProof/>
          <w:color w:val="333333"/>
          <w:sz w:val="27"/>
          <w:shd w:val="clear" w:color="auto" w:fill="FFFFFF"/>
        </w:rPr>
        <w:t>☒</w:t>
      </w:r>
      <w:r w:rsidRPr="0001127D">
        <w:rPr>
          <w:noProof/>
        </w:rPr>
        <w:tab/>
        <w:t>La proposta/iniziativa non ha incidenza finanziaria sulle entrate.</w:t>
      </w:r>
    </w:p>
    <w:p w14:paraId="2F1A7C36" w14:textId="77777777" w:rsidR="00AB6191" w:rsidRPr="0001127D" w:rsidRDefault="00AB6191" w:rsidP="00AB6191">
      <w:pPr>
        <w:pStyle w:val="ListDash1"/>
        <w:rPr>
          <w:noProof/>
        </w:rPr>
      </w:pPr>
      <w:r w:rsidRPr="0001127D">
        <w:rPr>
          <w:rFonts w:ascii="Wingdings" w:hAnsi="Wingdings"/>
          <w:noProof/>
        </w:rPr>
        <w:t></w:t>
      </w:r>
      <w:r w:rsidRPr="0001127D">
        <w:rPr>
          <w:noProof/>
        </w:rPr>
        <w:tab/>
        <w:t>La proposta/iniziativa ha la seguente incidenza finanziaria:</w:t>
      </w:r>
    </w:p>
    <w:p w14:paraId="261BE615" w14:textId="77777777" w:rsidR="00AB6191" w:rsidRPr="0001127D" w:rsidRDefault="00AB6191" w:rsidP="00AB6191">
      <w:pPr>
        <w:pStyle w:val="ListNumberLevel3"/>
        <w:tabs>
          <w:tab w:val="clear" w:pos="2126"/>
          <w:tab w:val="num" w:pos="1843"/>
        </w:tabs>
        <w:rPr>
          <w:noProof/>
        </w:rPr>
      </w:pPr>
      <w:r w:rsidRPr="0001127D">
        <w:rPr>
          <w:rFonts w:ascii="Wingdings" w:hAnsi="Wingdings"/>
          <w:noProof/>
        </w:rPr>
        <w:t></w:t>
      </w:r>
      <w:r w:rsidRPr="0001127D">
        <w:rPr>
          <w:noProof/>
        </w:rPr>
        <w:tab/>
        <w:t xml:space="preserve">sulle risorse proprie </w:t>
      </w:r>
    </w:p>
    <w:p w14:paraId="17566B87" w14:textId="77777777" w:rsidR="00AB6191" w:rsidRPr="0001127D" w:rsidRDefault="00AB6191" w:rsidP="00AB6191">
      <w:pPr>
        <w:pStyle w:val="ListNumberLevel3"/>
        <w:tabs>
          <w:tab w:val="clear" w:pos="2126"/>
          <w:tab w:val="num" w:pos="1843"/>
        </w:tabs>
        <w:rPr>
          <w:noProof/>
        </w:rPr>
      </w:pPr>
      <w:r w:rsidRPr="0001127D">
        <w:rPr>
          <w:rFonts w:ascii="Wingdings" w:hAnsi="Wingdings"/>
          <w:noProof/>
        </w:rPr>
        <w:t></w:t>
      </w:r>
      <w:r w:rsidRPr="0001127D">
        <w:rPr>
          <w:noProof/>
        </w:rPr>
        <w:tab/>
        <w:t>su altre entrate</w:t>
      </w:r>
    </w:p>
    <w:p w14:paraId="6967E0D9" w14:textId="77777777" w:rsidR="00AB6191" w:rsidRPr="0001127D" w:rsidRDefault="00AB6191" w:rsidP="00AB6191">
      <w:pPr>
        <w:pStyle w:val="ListNumberLevel3"/>
        <w:rPr>
          <w:noProof/>
        </w:rPr>
      </w:pPr>
      <w:r w:rsidRPr="0001127D">
        <w:rPr>
          <w:noProof/>
        </w:rPr>
        <w:t xml:space="preserve">indicare se le entrate sono destinate a linee di spesa specifiche </w:t>
      </w:r>
      <w:r w:rsidRPr="0001127D">
        <w:rPr>
          <w:rFonts w:ascii="Wingdings" w:hAnsi="Wingdings"/>
          <w:noProof/>
        </w:rPr>
        <w:t></w:t>
      </w:r>
      <w:r w:rsidRPr="0001127D">
        <w:rPr>
          <w:noProof/>
        </w:rPr>
        <w:tab/>
      </w:r>
    </w:p>
    <w:p w14:paraId="5129D79F" w14:textId="3815B401" w:rsidR="00AB6191" w:rsidRPr="0001127D" w:rsidRDefault="00AB6191" w:rsidP="009C0262">
      <w:pPr>
        <w:ind w:left="7920" w:firstLine="720"/>
        <w:rPr>
          <w:i/>
          <w:noProof/>
          <w:sz w:val="20"/>
        </w:rPr>
      </w:pPr>
      <w:r w:rsidRPr="0001127D">
        <w:rPr>
          <w:noProof/>
        </w:rPr>
        <w:t>Mio EUR (al terzo decimale)</w:t>
      </w:r>
    </w:p>
    <w:tbl>
      <w:tblPr>
        <w:tblW w:w="106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AB6191" w:rsidRPr="0001127D" w14:paraId="19D85313" w14:textId="77777777" w:rsidTr="00372E4B">
        <w:trPr>
          <w:trHeight w:val="388"/>
        </w:trPr>
        <w:tc>
          <w:tcPr>
            <w:tcW w:w="2144" w:type="dxa"/>
            <w:vMerge w:val="restart"/>
            <w:vAlign w:val="center"/>
          </w:tcPr>
          <w:p w14:paraId="4D41D317" w14:textId="77777777" w:rsidR="00AB6191" w:rsidRPr="0001127D" w:rsidRDefault="00AB6191" w:rsidP="00AB6191">
            <w:pPr>
              <w:spacing w:before="40" w:after="40"/>
              <w:rPr>
                <w:noProof/>
                <w:sz w:val="18"/>
              </w:rPr>
            </w:pPr>
            <w:r w:rsidRPr="0001127D">
              <w:rPr>
                <w:noProof/>
                <w:sz w:val="18"/>
              </w:rPr>
              <w:t>Linea di bilancio delle entrate:</w:t>
            </w:r>
          </w:p>
        </w:tc>
        <w:tc>
          <w:tcPr>
            <w:tcW w:w="1325" w:type="dxa"/>
            <w:vMerge w:val="restart"/>
            <w:vAlign w:val="center"/>
          </w:tcPr>
          <w:p w14:paraId="714BFB82" w14:textId="413ECD41" w:rsidR="00AB6191" w:rsidRPr="0001127D" w:rsidRDefault="00AB6191" w:rsidP="00AB6191">
            <w:pPr>
              <w:jc w:val="center"/>
              <w:rPr>
                <w:noProof/>
                <w:sz w:val="18"/>
              </w:rPr>
            </w:pPr>
            <w:r w:rsidRPr="0001127D">
              <w:rPr>
                <w:noProof/>
                <w:sz w:val="18"/>
              </w:rPr>
              <w:t>Stanziamenti disponibili per l</w:t>
            </w:r>
            <w:r w:rsidR="00E64452" w:rsidRPr="0001127D">
              <w:rPr>
                <w:noProof/>
                <w:sz w:val="18"/>
              </w:rPr>
              <w:t>'</w:t>
            </w:r>
            <w:r w:rsidRPr="0001127D">
              <w:rPr>
                <w:noProof/>
                <w:sz w:val="18"/>
              </w:rPr>
              <w:t>esercizio in corso</w:t>
            </w:r>
          </w:p>
        </w:tc>
        <w:tc>
          <w:tcPr>
            <w:tcW w:w="7151" w:type="dxa"/>
            <w:gridSpan w:val="7"/>
            <w:vAlign w:val="center"/>
          </w:tcPr>
          <w:p w14:paraId="0AFCA87C" w14:textId="77777777" w:rsidR="00AB6191" w:rsidRPr="0001127D" w:rsidRDefault="00AB6191" w:rsidP="00AB6191">
            <w:pPr>
              <w:jc w:val="center"/>
              <w:rPr>
                <w:noProof/>
                <w:sz w:val="18"/>
              </w:rPr>
            </w:pPr>
            <w:r w:rsidRPr="0001127D">
              <w:rPr>
                <w:noProof/>
                <w:sz w:val="18"/>
              </w:rPr>
              <w:t>Incidenza della proposta/iniziativa</w:t>
            </w:r>
            <w:r w:rsidRPr="0001127D">
              <w:rPr>
                <w:rStyle w:val="FootnoteReference"/>
                <w:noProof/>
              </w:rPr>
              <w:footnoteReference w:id="83"/>
            </w:r>
          </w:p>
        </w:tc>
      </w:tr>
      <w:tr w:rsidR="00AB6191" w:rsidRPr="0001127D" w14:paraId="2B3F4E07" w14:textId="77777777" w:rsidTr="00372E4B">
        <w:trPr>
          <w:trHeight w:val="388"/>
        </w:trPr>
        <w:tc>
          <w:tcPr>
            <w:tcW w:w="2144" w:type="dxa"/>
            <w:vMerge/>
          </w:tcPr>
          <w:p w14:paraId="1AF7B1F5" w14:textId="77777777" w:rsidR="00AB6191" w:rsidRPr="0001127D" w:rsidRDefault="00AB6191" w:rsidP="00AB6191">
            <w:pPr>
              <w:spacing w:before="40" w:after="40"/>
              <w:rPr>
                <w:noProof/>
                <w:sz w:val="18"/>
              </w:rPr>
            </w:pPr>
          </w:p>
        </w:tc>
        <w:tc>
          <w:tcPr>
            <w:tcW w:w="1325" w:type="dxa"/>
            <w:vMerge/>
          </w:tcPr>
          <w:p w14:paraId="2B72C45E" w14:textId="77777777" w:rsidR="00AB6191" w:rsidRPr="0001127D" w:rsidRDefault="00AB6191" w:rsidP="00AB6191">
            <w:pPr>
              <w:spacing w:beforeLines="40" w:before="96" w:afterLines="40" w:after="96"/>
              <w:rPr>
                <w:i/>
                <w:noProof/>
                <w:sz w:val="18"/>
              </w:rPr>
            </w:pPr>
          </w:p>
        </w:tc>
        <w:tc>
          <w:tcPr>
            <w:tcW w:w="1031" w:type="dxa"/>
            <w:vAlign w:val="center"/>
          </w:tcPr>
          <w:p w14:paraId="6CE4251C" w14:textId="77777777" w:rsidR="00AB6191" w:rsidRPr="0001127D" w:rsidRDefault="00AB6191" w:rsidP="00AB6191">
            <w:pPr>
              <w:jc w:val="center"/>
              <w:rPr>
                <w:noProof/>
                <w:sz w:val="18"/>
              </w:rPr>
            </w:pPr>
            <w:r w:rsidRPr="0001127D">
              <w:rPr>
                <w:noProof/>
                <w:sz w:val="18"/>
              </w:rPr>
              <w:t>2025</w:t>
            </w:r>
          </w:p>
        </w:tc>
        <w:tc>
          <w:tcPr>
            <w:tcW w:w="900" w:type="dxa"/>
            <w:vAlign w:val="center"/>
          </w:tcPr>
          <w:p w14:paraId="077090A5" w14:textId="77777777" w:rsidR="00AB6191" w:rsidRPr="0001127D" w:rsidRDefault="00AB6191" w:rsidP="00AB6191">
            <w:pPr>
              <w:jc w:val="center"/>
              <w:rPr>
                <w:noProof/>
                <w:sz w:val="18"/>
              </w:rPr>
            </w:pPr>
            <w:r w:rsidRPr="0001127D">
              <w:rPr>
                <w:noProof/>
                <w:sz w:val="18"/>
              </w:rPr>
              <w:t>2026</w:t>
            </w:r>
          </w:p>
        </w:tc>
        <w:tc>
          <w:tcPr>
            <w:tcW w:w="900" w:type="dxa"/>
            <w:vAlign w:val="center"/>
          </w:tcPr>
          <w:p w14:paraId="0469CBF5" w14:textId="77777777" w:rsidR="00AB6191" w:rsidRPr="0001127D" w:rsidRDefault="00AB6191" w:rsidP="00AB6191">
            <w:pPr>
              <w:jc w:val="center"/>
              <w:rPr>
                <w:noProof/>
                <w:sz w:val="18"/>
              </w:rPr>
            </w:pPr>
            <w:r w:rsidRPr="0001127D">
              <w:rPr>
                <w:noProof/>
                <w:sz w:val="18"/>
              </w:rPr>
              <w:t>2027</w:t>
            </w:r>
          </w:p>
        </w:tc>
        <w:tc>
          <w:tcPr>
            <w:tcW w:w="1080" w:type="dxa"/>
            <w:vAlign w:val="center"/>
          </w:tcPr>
          <w:p w14:paraId="69C22A74" w14:textId="77777777" w:rsidR="00AB6191" w:rsidRPr="0001127D" w:rsidRDefault="00AB6191" w:rsidP="00AB6191">
            <w:pPr>
              <w:jc w:val="center"/>
              <w:rPr>
                <w:noProof/>
                <w:sz w:val="18"/>
              </w:rPr>
            </w:pPr>
          </w:p>
        </w:tc>
        <w:tc>
          <w:tcPr>
            <w:tcW w:w="3240" w:type="dxa"/>
            <w:gridSpan w:val="3"/>
            <w:vAlign w:val="center"/>
          </w:tcPr>
          <w:p w14:paraId="58E383AC" w14:textId="57878242" w:rsidR="00AB6191" w:rsidRPr="0001127D" w:rsidRDefault="00AB6191" w:rsidP="00AB6191">
            <w:pPr>
              <w:jc w:val="center"/>
              <w:rPr>
                <w:b/>
                <w:noProof/>
                <w:sz w:val="18"/>
              </w:rPr>
            </w:pPr>
            <w:r w:rsidRPr="0001127D">
              <w:rPr>
                <w:noProof/>
                <w:sz w:val="18"/>
              </w:rPr>
              <w:t>Inserire gli anni necessari per evidenziare la durata dell</w:t>
            </w:r>
            <w:r w:rsidR="00E64452" w:rsidRPr="0001127D">
              <w:rPr>
                <w:noProof/>
                <w:sz w:val="18"/>
              </w:rPr>
              <w:t>'</w:t>
            </w:r>
            <w:r w:rsidRPr="0001127D">
              <w:rPr>
                <w:noProof/>
                <w:sz w:val="18"/>
              </w:rPr>
              <w:t>incidenza (cfr. punto 1.6)</w:t>
            </w:r>
          </w:p>
        </w:tc>
      </w:tr>
      <w:tr w:rsidR="00AB6191" w:rsidRPr="0001127D" w14:paraId="3FEFA38E" w14:textId="77777777" w:rsidTr="00372E4B">
        <w:trPr>
          <w:trHeight w:val="388"/>
        </w:trPr>
        <w:tc>
          <w:tcPr>
            <w:tcW w:w="2144" w:type="dxa"/>
            <w:vAlign w:val="center"/>
          </w:tcPr>
          <w:p w14:paraId="36A135A4" w14:textId="77777777" w:rsidR="00AB6191" w:rsidRPr="0001127D" w:rsidRDefault="00AB6191" w:rsidP="00AB6191">
            <w:pPr>
              <w:spacing w:before="40" w:after="40"/>
              <w:rPr>
                <w:noProof/>
                <w:sz w:val="18"/>
              </w:rPr>
            </w:pPr>
            <w:r w:rsidRPr="0001127D">
              <w:rPr>
                <w:noProof/>
                <w:sz w:val="18"/>
              </w:rPr>
              <w:t>Articolo ………….</w:t>
            </w:r>
          </w:p>
        </w:tc>
        <w:tc>
          <w:tcPr>
            <w:tcW w:w="1325" w:type="dxa"/>
          </w:tcPr>
          <w:p w14:paraId="619398E9" w14:textId="77777777" w:rsidR="00AB6191" w:rsidRPr="0001127D" w:rsidRDefault="00AB6191" w:rsidP="00AB6191">
            <w:pPr>
              <w:spacing w:beforeLines="40" w:before="96" w:afterLines="40" w:after="96"/>
              <w:jc w:val="center"/>
              <w:rPr>
                <w:i/>
                <w:noProof/>
                <w:sz w:val="18"/>
              </w:rPr>
            </w:pPr>
          </w:p>
        </w:tc>
        <w:tc>
          <w:tcPr>
            <w:tcW w:w="1031" w:type="dxa"/>
          </w:tcPr>
          <w:p w14:paraId="765E15A8" w14:textId="77777777" w:rsidR="00AB6191" w:rsidRPr="0001127D" w:rsidRDefault="00AB6191" w:rsidP="00AB6191">
            <w:pPr>
              <w:spacing w:beforeLines="40" w:before="96" w:afterLines="40" w:after="96"/>
              <w:jc w:val="center"/>
              <w:rPr>
                <w:noProof/>
                <w:sz w:val="18"/>
              </w:rPr>
            </w:pPr>
          </w:p>
        </w:tc>
        <w:tc>
          <w:tcPr>
            <w:tcW w:w="900" w:type="dxa"/>
          </w:tcPr>
          <w:p w14:paraId="1271C745" w14:textId="77777777" w:rsidR="00AB6191" w:rsidRPr="0001127D" w:rsidRDefault="00AB6191" w:rsidP="00AB6191">
            <w:pPr>
              <w:spacing w:beforeLines="40" w:before="96" w:afterLines="40" w:after="96"/>
              <w:jc w:val="center"/>
              <w:rPr>
                <w:noProof/>
                <w:sz w:val="18"/>
              </w:rPr>
            </w:pPr>
          </w:p>
        </w:tc>
        <w:tc>
          <w:tcPr>
            <w:tcW w:w="900" w:type="dxa"/>
          </w:tcPr>
          <w:p w14:paraId="31F651A6" w14:textId="77777777" w:rsidR="00AB6191" w:rsidRPr="0001127D" w:rsidRDefault="00AB6191" w:rsidP="00AB6191">
            <w:pPr>
              <w:spacing w:beforeLines="40" w:before="96" w:afterLines="40" w:after="96"/>
              <w:jc w:val="center"/>
              <w:rPr>
                <w:noProof/>
                <w:sz w:val="18"/>
              </w:rPr>
            </w:pPr>
          </w:p>
        </w:tc>
        <w:tc>
          <w:tcPr>
            <w:tcW w:w="1080" w:type="dxa"/>
          </w:tcPr>
          <w:p w14:paraId="51A70DE4" w14:textId="77777777" w:rsidR="00AB6191" w:rsidRPr="0001127D" w:rsidRDefault="00AB6191" w:rsidP="00AB6191">
            <w:pPr>
              <w:spacing w:beforeLines="40" w:before="96" w:afterLines="40" w:after="96"/>
              <w:jc w:val="center"/>
              <w:rPr>
                <w:noProof/>
                <w:sz w:val="18"/>
              </w:rPr>
            </w:pPr>
          </w:p>
        </w:tc>
        <w:tc>
          <w:tcPr>
            <w:tcW w:w="1080" w:type="dxa"/>
          </w:tcPr>
          <w:p w14:paraId="10CCD3B3" w14:textId="77777777" w:rsidR="00AB6191" w:rsidRPr="0001127D" w:rsidRDefault="00AB6191" w:rsidP="00AB6191">
            <w:pPr>
              <w:spacing w:beforeLines="40" w:before="96" w:afterLines="40" w:after="96"/>
              <w:jc w:val="center"/>
              <w:rPr>
                <w:noProof/>
                <w:sz w:val="18"/>
              </w:rPr>
            </w:pPr>
          </w:p>
        </w:tc>
        <w:tc>
          <w:tcPr>
            <w:tcW w:w="1080" w:type="dxa"/>
          </w:tcPr>
          <w:p w14:paraId="1CE234C6" w14:textId="77777777" w:rsidR="00AB6191" w:rsidRPr="0001127D" w:rsidRDefault="00AB6191" w:rsidP="00AB6191">
            <w:pPr>
              <w:spacing w:beforeLines="40" w:before="96" w:afterLines="40" w:after="96"/>
              <w:jc w:val="center"/>
              <w:rPr>
                <w:noProof/>
                <w:sz w:val="18"/>
              </w:rPr>
            </w:pPr>
          </w:p>
        </w:tc>
        <w:tc>
          <w:tcPr>
            <w:tcW w:w="1080" w:type="dxa"/>
          </w:tcPr>
          <w:p w14:paraId="2D0F52FE" w14:textId="77777777" w:rsidR="00AB6191" w:rsidRPr="0001127D" w:rsidRDefault="00AB6191" w:rsidP="00AB6191">
            <w:pPr>
              <w:spacing w:beforeLines="40" w:before="96" w:afterLines="40" w:after="96"/>
              <w:jc w:val="center"/>
              <w:rPr>
                <w:noProof/>
                <w:sz w:val="18"/>
              </w:rPr>
            </w:pPr>
          </w:p>
        </w:tc>
      </w:tr>
    </w:tbl>
    <w:p w14:paraId="67624AC9" w14:textId="77777777" w:rsidR="00AB6191" w:rsidRPr="0001127D" w:rsidRDefault="00AB6191" w:rsidP="00AB6191">
      <w:pPr>
        <w:pStyle w:val="Text1"/>
        <w:rPr>
          <w:noProof/>
          <w:sz w:val="20"/>
        </w:rPr>
      </w:pPr>
      <w:r w:rsidRPr="0001127D">
        <w:rPr>
          <w:noProof/>
          <w:sz w:val="20"/>
        </w:rPr>
        <w:t>Per quanto riguarda le entrate con destinazione specifica, precisare la o le linee di spesa interessate.</w:t>
      </w:r>
    </w:p>
    <w:p w14:paraId="40DBF6CF" w14:textId="77777777" w:rsidR="00AB6191" w:rsidRPr="0001127D" w:rsidRDefault="00AB6191" w:rsidP="00AB6191">
      <w:pPr>
        <w:pStyle w:val="Text1"/>
        <w:pBdr>
          <w:top w:val="single" w:sz="4" w:space="1" w:color="auto"/>
          <w:left w:val="single" w:sz="4" w:space="4" w:color="auto"/>
          <w:bottom w:val="single" w:sz="4" w:space="1" w:color="auto"/>
          <w:right w:val="single" w:sz="4" w:space="4" w:color="auto"/>
        </w:pBdr>
        <w:rPr>
          <w:noProof/>
        </w:rPr>
      </w:pPr>
    </w:p>
    <w:p w14:paraId="51982B5B" w14:textId="18E0F04D" w:rsidR="00AB6191" w:rsidRPr="00096C8F" w:rsidRDefault="00AB6191" w:rsidP="00AB6191">
      <w:pPr>
        <w:pStyle w:val="Text1"/>
        <w:rPr>
          <w:noProof/>
          <w:sz w:val="20"/>
        </w:rPr>
      </w:pPr>
      <w:r w:rsidRPr="0001127D">
        <w:rPr>
          <w:noProof/>
          <w:sz w:val="20"/>
        </w:rPr>
        <w:t>Altre osservazioni (ad es. formula/metodo per calcolare l</w:t>
      </w:r>
      <w:r w:rsidR="00E64452" w:rsidRPr="0001127D">
        <w:rPr>
          <w:noProof/>
          <w:sz w:val="20"/>
        </w:rPr>
        <w:t>'</w:t>
      </w:r>
      <w:r w:rsidRPr="0001127D">
        <w:rPr>
          <w:noProof/>
          <w:sz w:val="20"/>
        </w:rPr>
        <w:t>incidenza sulle entrate o altre informazioni).</w:t>
      </w:r>
    </w:p>
    <w:p w14:paraId="55C418D3" w14:textId="77777777" w:rsidR="00AB6191" w:rsidRPr="00096C8F" w:rsidRDefault="00AB6191" w:rsidP="00AB6191">
      <w:pPr>
        <w:pStyle w:val="Text1"/>
        <w:pBdr>
          <w:top w:val="single" w:sz="4" w:space="1" w:color="auto"/>
          <w:left w:val="single" w:sz="4" w:space="4" w:color="auto"/>
          <w:bottom w:val="single" w:sz="4" w:space="1" w:color="auto"/>
          <w:right w:val="single" w:sz="4" w:space="4" w:color="auto"/>
        </w:pBdr>
        <w:rPr>
          <w:noProof/>
        </w:rPr>
      </w:pPr>
    </w:p>
    <w:sectPr w:rsidR="00AB6191" w:rsidRPr="00096C8F" w:rsidSect="0091427E">
      <w:headerReference w:type="default" r:id="rId13"/>
      <w:footerReference w:type="default" r:id="rId14"/>
      <w:headerReference w:type="first" r:id="rId15"/>
      <w:footerReference w:type="first" r:id="rId16"/>
      <w:footnotePr>
        <w:numRestart w:val="eachSect"/>
      </w:footnotePr>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46AF3" w14:textId="77777777" w:rsidR="00096C8F" w:rsidRDefault="00096C8F" w:rsidP="00573A63">
      <w:pPr>
        <w:spacing w:before="0" w:after="0"/>
      </w:pPr>
      <w:r>
        <w:separator/>
      </w:r>
    </w:p>
  </w:endnote>
  <w:endnote w:type="continuationSeparator" w:id="0">
    <w:p w14:paraId="1B692287" w14:textId="77777777" w:rsidR="00096C8F" w:rsidRDefault="00096C8F" w:rsidP="00573A63">
      <w:pPr>
        <w:spacing w:before="0" w:after="0"/>
      </w:pPr>
      <w:r>
        <w:continuationSeparator/>
      </w:r>
    </w:p>
  </w:endnote>
  <w:endnote w:type="continuationNotice" w:id="1">
    <w:p w14:paraId="5A3671D1" w14:textId="77777777" w:rsidR="00096C8F" w:rsidRDefault="00096C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B189" w14:textId="06BC2E50" w:rsidR="00096C8F" w:rsidRPr="0091427E" w:rsidRDefault="0091427E" w:rsidP="0091427E">
    <w:pPr>
      <w:pStyle w:val="Footer"/>
      <w:rPr>
        <w:rFonts w:ascii="Arial" w:hAnsi="Arial" w:cs="Arial"/>
        <w:b/>
        <w:sz w:val="48"/>
      </w:rPr>
    </w:pPr>
    <w:r w:rsidRPr="0091427E">
      <w:rPr>
        <w:rFonts w:ascii="Arial" w:hAnsi="Arial" w:cs="Arial"/>
        <w:b/>
        <w:sz w:val="48"/>
      </w:rPr>
      <w:t>IT</w:t>
    </w:r>
    <w:r w:rsidRPr="0091427E">
      <w:rPr>
        <w:rFonts w:ascii="Arial" w:hAnsi="Arial" w:cs="Arial"/>
        <w:b/>
        <w:sz w:val="48"/>
      </w:rPr>
      <w:tab/>
    </w:r>
    <w:r w:rsidRPr="0091427E">
      <w:rPr>
        <w:rFonts w:ascii="Arial" w:hAnsi="Arial" w:cs="Arial"/>
        <w:b/>
        <w:sz w:val="48"/>
      </w:rPr>
      <w:tab/>
    </w:r>
    <w:r w:rsidRPr="0091427E">
      <w:tab/>
    </w:r>
    <w:r w:rsidRPr="0091427E">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FE48" w14:textId="60D37EC3" w:rsidR="0091427E" w:rsidRPr="0091427E" w:rsidRDefault="0091427E" w:rsidP="0091427E">
    <w:pPr>
      <w:pStyle w:val="Footer"/>
      <w:rPr>
        <w:rFonts w:ascii="Arial" w:hAnsi="Arial" w:cs="Arial"/>
        <w:b/>
        <w:sz w:val="48"/>
      </w:rPr>
    </w:pPr>
    <w:r w:rsidRPr="0091427E">
      <w:rPr>
        <w:rFonts w:ascii="Arial" w:hAnsi="Arial" w:cs="Arial"/>
        <w:b/>
        <w:sz w:val="48"/>
      </w:rPr>
      <w:t>IT</w:t>
    </w:r>
    <w:r w:rsidRPr="0091427E">
      <w:rPr>
        <w:rFonts w:ascii="Arial" w:hAnsi="Arial" w:cs="Arial"/>
        <w:b/>
        <w:sz w:val="48"/>
      </w:rPr>
      <w:tab/>
    </w:r>
    <w:r>
      <w:fldChar w:fldCharType="begin"/>
    </w:r>
    <w:r>
      <w:instrText xml:space="preserve"> PAGE  \* MERGEFORMAT </w:instrText>
    </w:r>
    <w:r>
      <w:fldChar w:fldCharType="separate"/>
    </w:r>
    <w:r w:rsidR="00B543DA">
      <w:rPr>
        <w:noProof/>
      </w:rPr>
      <w:t>52</w:t>
    </w:r>
    <w:r>
      <w:fldChar w:fldCharType="end"/>
    </w:r>
    <w:r>
      <w:tab/>
    </w:r>
    <w:r w:rsidRPr="0091427E">
      <w:tab/>
    </w:r>
    <w:r w:rsidRPr="0091427E">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81B0" w14:textId="77777777" w:rsidR="0091427E" w:rsidRPr="0091427E" w:rsidRDefault="0091427E" w:rsidP="009142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5E75" w14:textId="4E374F5A" w:rsidR="0091427E" w:rsidRPr="0091427E" w:rsidRDefault="0091427E" w:rsidP="0091427E">
    <w:pPr>
      <w:pStyle w:val="FooterLandscape"/>
      <w:rPr>
        <w:rFonts w:ascii="Arial" w:hAnsi="Arial" w:cs="Arial"/>
        <w:b/>
        <w:sz w:val="48"/>
      </w:rPr>
    </w:pPr>
    <w:r w:rsidRPr="0091427E">
      <w:rPr>
        <w:rFonts w:ascii="Arial" w:hAnsi="Arial" w:cs="Arial"/>
        <w:b/>
        <w:sz w:val="48"/>
      </w:rPr>
      <w:t>IT</w:t>
    </w:r>
    <w:r w:rsidRPr="0091427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1427E">
      <w:tab/>
    </w:r>
    <w:r w:rsidRPr="0091427E">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6F82" w14:textId="77777777" w:rsidR="0091427E" w:rsidRPr="0091427E" w:rsidRDefault="0091427E" w:rsidP="0091427E">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F9EC" w14:textId="77777777" w:rsidR="00096C8F" w:rsidRDefault="00096C8F" w:rsidP="00573A63">
      <w:pPr>
        <w:spacing w:before="0" w:after="0"/>
      </w:pPr>
      <w:r>
        <w:separator/>
      </w:r>
    </w:p>
  </w:footnote>
  <w:footnote w:type="continuationSeparator" w:id="0">
    <w:p w14:paraId="07AF7315" w14:textId="77777777" w:rsidR="00096C8F" w:rsidRDefault="00096C8F" w:rsidP="00573A63">
      <w:pPr>
        <w:spacing w:before="0" w:after="0"/>
      </w:pPr>
      <w:r>
        <w:continuationSeparator/>
      </w:r>
    </w:p>
  </w:footnote>
  <w:footnote w:type="continuationNotice" w:id="1">
    <w:p w14:paraId="2732832C" w14:textId="77777777" w:rsidR="00096C8F" w:rsidRDefault="00096C8F">
      <w:pPr>
        <w:spacing w:before="0" w:after="0"/>
      </w:pPr>
    </w:p>
  </w:footnote>
  <w:footnote w:id="2">
    <w:p w14:paraId="5FF84062" w14:textId="77777777" w:rsidR="00096C8F" w:rsidRPr="0001127D" w:rsidRDefault="00096C8F" w:rsidP="00AD4379">
      <w:pPr>
        <w:pStyle w:val="FootnoteText"/>
      </w:pPr>
      <w:r w:rsidRPr="0001127D">
        <w:rPr>
          <w:rStyle w:val="FootnoteReference"/>
        </w:rPr>
        <w:footnoteRef/>
      </w:r>
      <w:r w:rsidRPr="0001127D">
        <w:tab/>
      </w:r>
      <w:r w:rsidRPr="0001127D">
        <w:rPr>
          <w:shd w:val="clear" w:color="auto" w:fill="FFFFFF"/>
        </w:rPr>
        <w:t>COM(2021) 118 final</w:t>
      </w:r>
      <w:r w:rsidRPr="0001127D">
        <w:rPr>
          <w:color w:val="333333"/>
          <w:shd w:val="clear" w:color="auto" w:fill="FFFFFF"/>
        </w:rPr>
        <w:t xml:space="preserve">. </w:t>
      </w:r>
    </w:p>
  </w:footnote>
  <w:footnote w:id="3">
    <w:p w14:paraId="51CAE191" w14:textId="77777777" w:rsidR="00096C8F" w:rsidRPr="0001127D" w:rsidRDefault="00096C8F" w:rsidP="00304A64">
      <w:pPr>
        <w:pStyle w:val="FootnoteText"/>
      </w:pPr>
      <w:r w:rsidRPr="0001127D">
        <w:rPr>
          <w:rStyle w:val="FootnoteReference"/>
        </w:rPr>
        <w:footnoteRef/>
      </w:r>
      <w:r w:rsidRPr="0001127D">
        <w:tab/>
        <w:t xml:space="preserve">COM(2021) 350 final. </w:t>
      </w:r>
    </w:p>
  </w:footnote>
  <w:footnote w:id="4">
    <w:p w14:paraId="6F3C5C14" w14:textId="77777777" w:rsidR="00096C8F" w:rsidRPr="0001127D" w:rsidRDefault="00096C8F" w:rsidP="00304A64">
      <w:pPr>
        <w:pStyle w:val="FootnoteText"/>
      </w:pPr>
      <w:r w:rsidRPr="0001127D">
        <w:rPr>
          <w:rStyle w:val="FootnoteReference"/>
        </w:rPr>
        <w:footnoteRef/>
      </w:r>
      <w:r w:rsidRPr="0001127D">
        <w:tab/>
        <w:t xml:space="preserve">COM(2020) 103 final. </w:t>
      </w:r>
    </w:p>
  </w:footnote>
  <w:footnote w:id="5">
    <w:p w14:paraId="79A55463" w14:textId="28BA6E00" w:rsidR="00096C8F" w:rsidRPr="0001127D" w:rsidRDefault="00096C8F">
      <w:pPr>
        <w:pStyle w:val="FootnoteText"/>
      </w:pPr>
      <w:r w:rsidRPr="0001127D">
        <w:rPr>
          <w:rStyle w:val="FootnoteReference"/>
        </w:rPr>
        <w:footnoteRef/>
      </w:r>
      <w:r w:rsidRPr="0001127D">
        <w:tab/>
      </w:r>
      <w:hyperlink r:id="rId1" w:history="1">
        <w:r w:rsidRPr="0001127D">
          <w:rPr>
            <w:rStyle w:val="Hyperlink"/>
          </w:rPr>
          <w:t>Registri delle imprese – ricerca di un'impresa nell'UE</w:t>
        </w:r>
      </w:hyperlink>
      <w:r w:rsidRPr="0001127D">
        <w:t>.</w:t>
      </w:r>
    </w:p>
  </w:footnote>
  <w:footnote w:id="6">
    <w:p w14:paraId="56A3542C" w14:textId="77777777" w:rsidR="00096C8F" w:rsidRPr="0001127D" w:rsidRDefault="00096C8F" w:rsidP="009E325B">
      <w:pPr>
        <w:pStyle w:val="FootnoteText"/>
      </w:pPr>
      <w:r w:rsidRPr="0001127D">
        <w:rPr>
          <w:rStyle w:val="FootnoteReference"/>
        </w:rPr>
        <w:footnoteRef/>
      </w:r>
      <w:r w:rsidRPr="0001127D">
        <w:tab/>
        <w:t>COM(2022) 548 final.</w:t>
      </w:r>
    </w:p>
  </w:footnote>
  <w:footnote w:id="7">
    <w:p w14:paraId="52E0FFB7" w14:textId="1CEDE244" w:rsidR="00096C8F" w:rsidRPr="0001127D" w:rsidRDefault="00096C8F" w:rsidP="00052DA1">
      <w:pPr>
        <w:pStyle w:val="FootnoteText"/>
      </w:pPr>
      <w:r w:rsidRPr="0001127D">
        <w:rPr>
          <w:rStyle w:val="FootnoteReference"/>
        </w:rPr>
        <w:footnoteRef/>
      </w:r>
      <w:r w:rsidRPr="0001127D">
        <w:tab/>
        <w:t xml:space="preserve">Direttiva (UE) 2019/1151 recante modifica della direttiva (UE) 2017/1132. </w:t>
      </w:r>
    </w:p>
  </w:footnote>
  <w:footnote w:id="8">
    <w:p w14:paraId="1CBEE041" w14:textId="77777777" w:rsidR="00096C8F" w:rsidRPr="0001127D" w:rsidRDefault="00096C8F" w:rsidP="00B423B0">
      <w:pPr>
        <w:pStyle w:val="FootnoteText"/>
      </w:pPr>
      <w:r w:rsidRPr="0001127D">
        <w:rPr>
          <w:rStyle w:val="FootnoteReference"/>
        </w:rPr>
        <w:footnoteRef/>
      </w:r>
      <w:r w:rsidRPr="0001127D">
        <w:tab/>
      </w:r>
      <w:r w:rsidRPr="0001127D">
        <w:rPr>
          <w:shd w:val="clear" w:color="auto" w:fill="FFFFFF"/>
        </w:rPr>
        <w:t>COM(2021) 118 final</w:t>
      </w:r>
      <w:r w:rsidRPr="0001127D">
        <w:rPr>
          <w:color w:val="333333"/>
          <w:shd w:val="clear" w:color="auto" w:fill="FFFFFF"/>
        </w:rPr>
        <w:t xml:space="preserve">. </w:t>
      </w:r>
    </w:p>
  </w:footnote>
  <w:footnote w:id="9">
    <w:p w14:paraId="61ADF01C" w14:textId="77777777" w:rsidR="00096C8F" w:rsidRPr="0001127D" w:rsidRDefault="00096C8F" w:rsidP="00377F78">
      <w:pPr>
        <w:pStyle w:val="FootnoteText"/>
      </w:pPr>
      <w:r w:rsidRPr="0001127D">
        <w:rPr>
          <w:rStyle w:val="FootnoteReference"/>
        </w:rPr>
        <w:footnoteRef/>
      </w:r>
      <w:r w:rsidRPr="0001127D">
        <w:tab/>
      </w:r>
      <w:r w:rsidRPr="0001127D">
        <w:rPr>
          <w:shd w:val="clear" w:color="auto" w:fill="FFFFFF"/>
        </w:rPr>
        <w:t>COM(2020) 710 final</w:t>
      </w:r>
      <w:r w:rsidRPr="0001127D">
        <w:rPr>
          <w:color w:val="333333"/>
          <w:shd w:val="clear" w:color="auto" w:fill="FFFFFF"/>
        </w:rPr>
        <w:t xml:space="preserve">. </w:t>
      </w:r>
    </w:p>
  </w:footnote>
  <w:footnote w:id="10">
    <w:p w14:paraId="68E13B7C" w14:textId="77777777" w:rsidR="00096C8F" w:rsidRPr="0001127D" w:rsidRDefault="00096C8F" w:rsidP="00B423B0">
      <w:pPr>
        <w:pStyle w:val="FootnoteText"/>
      </w:pPr>
      <w:r w:rsidRPr="0001127D">
        <w:rPr>
          <w:rStyle w:val="FootnoteReference"/>
        </w:rPr>
        <w:footnoteRef/>
      </w:r>
      <w:r w:rsidRPr="0001127D">
        <w:tab/>
        <w:t xml:space="preserve">COM(2021) 350 final. </w:t>
      </w:r>
    </w:p>
  </w:footnote>
  <w:footnote w:id="11">
    <w:p w14:paraId="23B3F1AB" w14:textId="67009DA3" w:rsidR="00096C8F" w:rsidRPr="0001127D" w:rsidRDefault="00096C8F" w:rsidP="00B423B0">
      <w:pPr>
        <w:pStyle w:val="FootnoteText"/>
      </w:pPr>
      <w:r w:rsidRPr="0001127D">
        <w:rPr>
          <w:rStyle w:val="FootnoteReference"/>
        </w:rPr>
        <w:footnoteRef/>
      </w:r>
      <w:r w:rsidRPr="0001127D">
        <w:tab/>
        <w:t xml:space="preserve">COM(2020) 103 final. </w:t>
      </w:r>
    </w:p>
  </w:footnote>
  <w:footnote w:id="12">
    <w:p w14:paraId="494AFCFF" w14:textId="77777777" w:rsidR="00096C8F" w:rsidRPr="0001127D" w:rsidRDefault="00096C8F" w:rsidP="00542EB2">
      <w:pPr>
        <w:pStyle w:val="FootnoteText"/>
      </w:pPr>
      <w:r w:rsidRPr="0001127D">
        <w:rPr>
          <w:rStyle w:val="FootnoteReference"/>
        </w:rPr>
        <w:footnoteRef/>
      </w:r>
      <w:r w:rsidRPr="0001127D">
        <w:tab/>
      </w:r>
      <w:hyperlink r:id="rId2" w:anchor=":~:text=On%2024%2D25%20March%202022,President%20of%20the%20European%20Council." w:history="1">
        <w:r w:rsidRPr="0001127D">
          <w:rPr>
            <w:rStyle w:val="Hyperlink"/>
          </w:rPr>
          <w:t>Conclusioni del Consiglio europeo, 24 e 25 marzo 2022 – Consilium (europa.eu)</w:t>
        </w:r>
      </w:hyperlink>
      <w:r w:rsidRPr="0001127D">
        <w:t>.</w:t>
      </w:r>
    </w:p>
  </w:footnote>
  <w:footnote w:id="13">
    <w:p w14:paraId="5CD88E3D" w14:textId="77777777" w:rsidR="00096C8F" w:rsidRPr="0001127D" w:rsidRDefault="00096C8F" w:rsidP="00CE763C">
      <w:pPr>
        <w:pStyle w:val="FootnoteText"/>
      </w:pPr>
      <w:r w:rsidRPr="0001127D">
        <w:rPr>
          <w:rStyle w:val="FootnoteReference"/>
        </w:rPr>
        <w:footnoteRef/>
      </w:r>
      <w:r w:rsidRPr="0001127D">
        <w:tab/>
        <w:t>Regolamento (UE) 910/2014.</w:t>
      </w:r>
    </w:p>
  </w:footnote>
  <w:footnote w:id="14">
    <w:p w14:paraId="7AD59E90" w14:textId="77777777" w:rsidR="00096C8F" w:rsidRPr="0001127D" w:rsidRDefault="00096C8F" w:rsidP="00CE763C">
      <w:pPr>
        <w:pStyle w:val="FootnoteText"/>
      </w:pPr>
      <w:r w:rsidRPr="0001127D">
        <w:rPr>
          <w:rStyle w:val="FootnoteReference"/>
        </w:rPr>
        <w:footnoteRef/>
      </w:r>
      <w:r w:rsidRPr="0001127D">
        <w:tab/>
        <w:t>COM(2021) 281 final.</w:t>
      </w:r>
    </w:p>
  </w:footnote>
  <w:footnote w:id="15">
    <w:p w14:paraId="7030E36F" w14:textId="77777777" w:rsidR="00096C8F" w:rsidRPr="0001127D" w:rsidRDefault="00096C8F" w:rsidP="00542EB2">
      <w:pPr>
        <w:pStyle w:val="FootnoteText"/>
      </w:pPr>
      <w:r w:rsidRPr="0001127D">
        <w:rPr>
          <w:rStyle w:val="FootnoteReference"/>
        </w:rPr>
        <w:footnoteRef/>
      </w:r>
      <w:r w:rsidRPr="0001127D">
        <w:tab/>
        <w:t>Direttiva (UE) 2015/849 come modificata dalla direttiva (UE) 2018/843.</w:t>
      </w:r>
    </w:p>
  </w:footnote>
  <w:footnote w:id="16">
    <w:p w14:paraId="1E921389" w14:textId="77777777" w:rsidR="00096C8F" w:rsidRPr="0001127D" w:rsidRDefault="00096C8F" w:rsidP="00542EB2">
      <w:pPr>
        <w:pStyle w:val="FootnoteText"/>
      </w:pPr>
      <w:r w:rsidRPr="0001127D">
        <w:rPr>
          <w:rStyle w:val="FootnoteReference"/>
        </w:rPr>
        <w:footnoteRef/>
      </w:r>
      <w:r w:rsidRPr="0001127D">
        <w:tab/>
        <w:t>Regolamento (UE) 2015/848.</w:t>
      </w:r>
    </w:p>
  </w:footnote>
  <w:footnote w:id="17">
    <w:p w14:paraId="65042C22" w14:textId="77777777" w:rsidR="00096C8F" w:rsidRPr="0001127D" w:rsidRDefault="00096C8F" w:rsidP="00955567">
      <w:pPr>
        <w:pStyle w:val="FootnoteText"/>
        <w:ind w:left="709" w:hanging="709"/>
      </w:pPr>
      <w:r w:rsidRPr="0001127D">
        <w:rPr>
          <w:rStyle w:val="FootnoteReference"/>
        </w:rPr>
        <w:footnoteRef/>
      </w:r>
      <w:r w:rsidRPr="0001127D">
        <w:tab/>
      </w:r>
      <w:hyperlink r:id="rId3" w:history="1">
        <w:r w:rsidRPr="0001127D">
          <w:rPr>
            <w:rStyle w:val="Hyperlink"/>
          </w:rPr>
          <w:t>Portale europeo della giustizia elettronica — Sistema di interconnessione dei registri dei titolari effettivi (BORIS) (europa.eu)</w:t>
        </w:r>
      </w:hyperlink>
      <w:r w:rsidRPr="0001127D">
        <w:t>.</w:t>
      </w:r>
    </w:p>
  </w:footnote>
  <w:footnote w:id="18">
    <w:p w14:paraId="6C1E0B7C" w14:textId="53025FEC" w:rsidR="00096C8F" w:rsidRPr="0001127D" w:rsidRDefault="00096C8F" w:rsidP="00793B6F">
      <w:pPr>
        <w:pStyle w:val="FootnoteText"/>
      </w:pPr>
      <w:r w:rsidRPr="0001127D">
        <w:rPr>
          <w:rStyle w:val="FootnoteReference"/>
        </w:rPr>
        <w:footnoteRef/>
      </w:r>
      <w:r w:rsidRPr="0001127D">
        <w:tab/>
      </w:r>
      <w:hyperlink r:id="rId4" w:history="1">
        <w:r w:rsidRPr="0001127D">
          <w:rPr>
            <w:rStyle w:val="Hyperlink"/>
          </w:rPr>
          <w:t>Portale europeo della giustizia elettronica – Registri d'insolvenza e fallimentari - ricerca di debitori insolventi nell'UE (europa.eu)</w:t>
        </w:r>
      </w:hyperlink>
      <w:r w:rsidRPr="0001127D">
        <w:t>.</w:t>
      </w:r>
    </w:p>
  </w:footnote>
  <w:footnote w:id="19">
    <w:p w14:paraId="57AB8CE8" w14:textId="2F07A950" w:rsidR="00096C8F" w:rsidRPr="0001127D" w:rsidRDefault="00096C8F" w:rsidP="00926ACD">
      <w:pPr>
        <w:pStyle w:val="title-bold"/>
        <w:shd w:val="clear" w:color="auto" w:fill="FFFFFF"/>
        <w:spacing w:before="0" w:beforeAutospacing="0" w:after="0" w:afterAutospacing="0"/>
        <w:ind w:left="709" w:hanging="709"/>
        <w:jc w:val="both"/>
        <w:rPr>
          <w:b/>
          <w:bCs/>
          <w:color w:val="333333"/>
          <w:sz w:val="20"/>
          <w:szCs w:val="20"/>
        </w:rPr>
      </w:pPr>
      <w:r w:rsidRPr="0001127D">
        <w:rPr>
          <w:rStyle w:val="FootnoteReference"/>
          <w:rFonts w:eastAsiaTheme="minorHAnsi"/>
        </w:rPr>
        <w:footnoteRef/>
      </w:r>
      <w:r w:rsidRPr="0001127D">
        <w:tab/>
      </w:r>
      <w:r w:rsidRPr="0001127D">
        <w:tab/>
      </w:r>
      <w:r w:rsidRPr="0001127D">
        <w:rPr>
          <w:sz w:val="20"/>
        </w:rPr>
        <w:t>Proposta di direttiva del Consiglio che stabilisce norme per prevenire l'uso improprio di entità di comodo a fini fiscali e che modifica la direttiva 2011/16/UE</w:t>
      </w:r>
      <w:r w:rsidRPr="0001127D">
        <w:rPr>
          <w:b/>
          <w:sz w:val="20"/>
        </w:rPr>
        <w:t xml:space="preserve"> </w:t>
      </w:r>
      <w:r w:rsidRPr="0001127D">
        <w:rPr>
          <w:sz w:val="20"/>
        </w:rPr>
        <w:t>(COM(2021) 565 final).</w:t>
      </w:r>
    </w:p>
  </w:footnote>
  <w:footnote w:id="20">
    <w:p w14:paraId="6B4979AB" w14:textId="77777777" w:rsidR="00096C8F" w:rsidRPr="0001127D" w:rsidRDefault="00096C8F" w:rsidP="00E10029">
      <w:pPr>
        <w:pStyle w:val="FootnoteText"/>
        <w:ind w:left="142" w:hanging="142"/>
      </w:pPr>
      <w:r w:rsidRPr="0001127D">
        <w:rPr>
          <w:rStyle w:val="FootnoteReference"/>
        </w:rPr>
        <w:footnoteRef/>
      </w:r>
      <w:r w:rsidRPr="0001127D">
        <w:tab/>
      </w:r>
      <w:r w:rsidRPr="0001127D">
        <w:tab/>
        <w:t>Regolamento (UE) 2018/1724.</w:t>
      </w:r>
    </w:p>
  </w:footnote>
  <w:footnote w:id="21">
    <w:p w14:paraId="7CCD89B5" w14:textId="77777777" w:rsidR="00096C8F" w:rsidRPr="0001127D" w:rsidRDefault="00096C8F" w:rsidP="00926ACD">
      <w:pPr>
        <w:pStyle w:val="FootnoteText"/>
        <w:ind w:left="709" w:hanging="709"/>
      </w:pPr>
      <w:r w:rsidRPr="0001127D">
        <w:rPr>
          <w:rStyle w:val="FootnoteReference"/>
        </w:rPr>
        <w:footnoteRef/>
      </w:r>
      <w:r w:rsidRPr="0001127D">
        <w:tab/>
      </w:r>
      <w:r w:rsidRPr="0001127D">
        <w:tab/>
        <w:t>Proposta di regolamento del Parlamento europeo e del Consiglio che istituisce un punto di accesso unico europeo che fornisce un accesso centralizzato alle informazioni accessibili al pubblico pertinenti per i servizi finanziari, i mercati dei capitali e la sostenibilità (COM(2021) 723 final).</w:t>
      </w:r>
    </w:p>
  </w:footnote>
  <w:footnote w:id="22">
    <w:p w14:paraId="7428D6DE" w14:textId="1D3E6459" w:rsidR="00096C8F" w:rsidRPr="0001127D" w:rsidRDefault="00096C8F" w:rsidP="00803B13">
      <w:pPr>
        <w:pStyle w:val="FootnoteText"/>
      </w:pPr>
      <w:r w:rsidRPr="0001127D">
        <w:rPr>
          <w:rStyle w:val="FootnoteReference"/>
        </w:rPr>
        <w:footnoteRef/>
      </w:r>
      <w:r w:rsidRPr="0001127D">
        <w:tab/>
        <w:t>Cfr. il considerando 23 e l'allegato II del regolamento (UE) 2018/1724.</w:t>
      </w:r>
    </w:p>
  </w:footnote>
  <w:footnote w:id="23">
    <w:p w14:paraId="5DC7F510" w14:textId="00B6E26F" w:rsidR="00096C8F" w:rsidRPr="0001127D" w:rsidRDefault="00096C8F">
      <w:pPr>
        <w:pStyle w:val="FootnoteText"/>
      </w:pPr>
      <w:r w:rsidRPr="0001127D">
        <w:rPr>
          <w:rStyle w:val="FootnoteReference"/>
        </w:rPr>
        <w:footnoteRef/>
      </w:r>
      <w:r w:rsidRPr="0001127D">
        <w:tab/>
        <w:t xml:space="preserve">Secondo l'approccio descritto nella direttiva (UE) 2019/1151, considerando 9 e articolo 13 </w:t>
      </w:r>
      <w:r w:rsidRPr="0001127D">
        <w:rPr>
          <w:i/>
          <w:iCs/>
        </w:rPr>
        <w:t>septies</w:t>
      </w:r>
      <w:r w:rsidRPr="0001127D">
        <w:t>. Il considerando 9 chiarisce inoltre la distinzione tra tale direttiva e il regolamento sullo sportello digitale unico.</w:t>
      </w:r>
    </w:p>
  </w:footnote>
  <w:footnote w:id="24">
    <w:p w14:paraId="5B114EBD" w14:textId="77777777" w:rsidR="00096C8F" w:rsidRPr="0001127D" w:rsidRDefault="00096C8F" w:rsidP="00A42D58">
      <w:pPr>
        <w:pStyle w:val="FootnoteText"/>
        <w:ind w:left="142" w:hanging="142"/>
      </w:pPr>
      <w:r w:rsidRPr="0001127D">
        <w:rPr>
          <w:rStyle w:val="FootnoteReference"/>
        </w:rPr>
        <w:footnoteRef/>
      </w:r>
      <w:r w:rsidRPr="0001127D">
        <w:tab/>
      </w:r>
      <w:r w:rsidRPr="0001127D">
        <w:tab/>
        <w:t>Direttiva (UE) 2019/1024.</w:t>
      </w:r>
    </w:p>
  </w:footnote>
  <w:footnote w:id="25">
    <w:p w14:paraId="42068007" w14:textId="77777777" w:rsidR="00096C8F" w:rsidRPr="0001127D" w:rsidRDefault="00096C8F" w:rsidP="00A42D58">
      <w:pPr>
        <w:pStyle w:val="FootnoteText"/>
        <w:ind w:left="142" w:hanging="142"/>
      </w:pPr>
      <w:r w:rsidRPr="0001127D">
        <w:rPr>
          <w:rStyle w:val="FootnoteReference"/>
        </w:rPr>
        <w:footnoteRef/>
      </w:r>
      <w:r w:rsidRPr="0001127D">
        <w:tab/>
      </w:r>
      <w:r w:rsidRPr="0001127D">
        <w:tab/>
        <w:t>Regolamento (UE) 2019/2152</w:t>
      </w:r>
      <w:r w:rsidRPr="0001127D">
        <w:rPr>
          <w:color w:val="000000"/>
        </w:rPr>
        <w:t>.</w:t>
      </w:r>
    </w:p>
  </w:footnote>
  <w:footnote w:id="26">
    <w:p w14:paraId="0E6A5E71" w14:textId="77777777" w:rsidR="00096C8F" w:rsidRPr="0001127D" w:rsidRDefault="00096C8F" w:rsidP="00A42D58">
      <w:pPr>
        <w:pStyle w:val="FootnoteText"/>
        <w:ind w:left="142" w:hanging="142"/>
      </w:pPr>
      <w:r w:rsidRPr="0001127D">
        <w:rPr>
          <w:rStyle w:val="FootnoteReference"/>
        </w:rPr>
        <w:footnoteRef/>
      </w:r>
      <w:r w:rsidRPr="0001127D">
        <w:tab/>
      </w:r>
      <w:r w:rsidRPr="0001127D">
        <w:tab/>
        <w:t>Regolamento (UE) 2016/1191.</w:t>
      </w:r>
    </w:p>
  </w:footnote>
  <w:footnote w:id="27">
    <w:p w14:paraId="21B5DCFC" w14:textId="77777777" w:rsidR="00096C8F" w:rsidRPr="0001127D" w:rsidRDefault="00096C8F" w:rsidP="00293086">
      <w:pPr>
        <w:pStyle w:val="FootnoteText"/>
      </w:pPr>
      <w:r w:rsidRPr="0001127D">
        <w:rPr>
          <w:rStyle w:val="FootnoteReference"/>
        </w:rPr>
        <w:footnoteRef/>
      </w:r>
      <w:r w:rsidRPr="0001127D">
        <w:tab/>
        <w:t>Regolamento (UE) 910/2014.</w:t>
      </w:r>
    </w:p>
  </w:footnote>
  <w:footnote w:id="28">
    <w:p w14:paraId="58EB7168" w14:textId="77777777" w:rsidR="00096C8F" w:rsidRPr="0001127D" w:rsidRDefault="00096C8F" w:rsidP="00293086">
      <w:pPr>
        <w:pStyle w:val="FootnoteText"/>
      </w:pPr>
      <w:r w:rsidRPr="0001127D">
        <w:rPr>
          <w:rStyle w:val="FootnoteReference"/>
        </w:rPr>
        <w:footnoteRef/>
      </w:r>
      <w:r w:rsidRPr="0001127D">
        <w:tab/>
        <w:t>COM(2021) 281 final.</w:t>
      </w:r>
    </w:p>
  </w:footnote>
  <w:footnote w:id="29">
    <w:p w14:paraId="5B6A9605" w14:textId="77777777" w:rsidR="00096C8F" w:rsidRPr="0001127D" w:rsidRDefault="00096C8F" w:rsidP="00C11365">
      <w:pPr>
        <w:pStyle w:val="FootnoteText"/>
      </w:pPr>
      <w:r w:rsidRPr="0001127D">
        <w:rPr>
          <w:rStyle w:val="FootnoteReference"/>
        </w:rPr>
        <w:footnoteRef/>
      </w:r>
      <w:r w:rsidRPr="0001127D">
        <w:tab/>
      </w:r>
      <w:hyperlink r:id="rId5" w:history="1">
        <w:r w:rsidRPr="0001127D">
          <w:rPr>
            <w:rStyle w:val="Hyperlink"/>
          </w:rPr>
          <w:t>Perfezionare il diritto societario digitale</w:t>
        </w:r>
      </w:hyperlink>
      <w:r w:rsidRPr="0001127D">
        <w:t>.</w:t>
      </w:r>
    </w:p>
  </w:footnote>
  <w:footnote w:id="30">
    <w:p w14:paraId="230A2598" w14:textId="77777777" w:rsidR="00096C8F" w:rsidRPr="0001127D" w:rsidRDefault="00096C8F" w:rsidP="00C11365">
      <w:pPr>
        <w:pStyle w:val="FootnoteText"/>
      </w:pPr>
      <w:r w:rsidRPr="0001127D">
        <w:rPr>
          <w:rStyle w:val="FootnoteReference"/>
        </w:rPr>
        <w:footnoteRef/>
      </w:r>
      <w:r w:rsidRPr="0001127D">
        <w:tab/>
        <w:t>Il gruppo PMI è uno strumento che consente alla Commissione di consultare le PMI in modo mirato ed è organizzato in collaborazione con i partner della rete Enterprise Europe.</w:t>
      </w:r>
    </w:p>
  </w:footnote>
  <w:footnote w:id="31">
    <w:p w14:paraId="575101A6" w14:textId="77777777" w:rsidR="00096C8F" w:rsidRPr="0001127D" w:rsidRDefault="00096C8F" w:rsidP="00C11365">
      <w:pPr>
        <w:pStyle w:val="FootnoteText"/>
      </w:pPr>
      <w:r w:rsidRPr="0001127D">
        <w:rPr>
          <w:rStyle w:val="FootnoteReference"/>
        </w:rPr>
        <w:footnoteRef/>
      </w:r>
      <w:r w:rsidRPr="0001127D">
        <w:tab/>
      </w:r>
      <w:hyperlink r:id="rId6" w:anchor="studi" w:history="1">
        <w:r w:rsidRPr="0001127D">
          <w:rPr>
            <w:rStyle w:val="Hyperlink"/>
          </w:rPr>
          <w:t>Diritto societario e governo societario (europa.eu)</w:t>
        </w:r>
      </w:hyperlink>
      <w:r w:rsidRPr="0001127D">
        <w:t>.</w:t>
      </w:r>
    </w:p>
  </w:footnote>
  <w:footnote w:id="32">
    <w:p w14:paraId="59B91771" w14:textId="77777777" w:rsidR="00096C8F" w:rsidRPr="0001127D" w:rsidRDefault="00096C8F" w:rsidP="00B259B2">
      <w:pPr>
        <w:pStyle w:val="FootnoteText"/>
      </w:pPr>
      <w:r w:rsidRPr="0001127D">
        <w:rPr>
          <w:rStyle w:val="FootnoteReference"/>
        </w:rPr>
        <w:footnoteRef/>
      </w:r>
      <w:r w:rsidRPr="0001127D">
        <w:tab/>
      </w:r>
      <w:hyperlink r:id="rId7" w:history="1">
        <w:r w:rsidRPr="0001127D">
          <w:rPr>
            <w:rStyle w:val="Hyperlink"/>
          </w:rPr>
          <w:t>Registro dei gruppi di esperti della Commissione e di altri organismi analoghi (europa.eu)</w:t>
        </w:r>
      </w:hyperlink>
      <w:r w:rsidRPr="0001127D">
        <w:t>.</w:t>
      </w:r>
    </w:p>
  </w:footnote>
  <w:footnote w:id="33">
    <w:p w14:paraId="2CC53799" w14:textId="77777777" w:rsidR="00096C8F" w:rsidRPr="0001127D" w:rsidRDefault="00096C8F" w:rsidP="00B259B2">
      <w:pPr>
        <w:pStyle w:val="FootnoteText"/>
      </w:pPr>
      <w:r w:rsidRPr="0001127D">
        <w:rPr>
          <w:rStyle w:val="FootnoteReference"/>
        </w:rPr>
        <w:footnoteRef/>
      </w:r>
      <w:r w:rsidRPr="0001127D">
        <w:tab/>
        <w:t>A due di tali riunioni ha partecipato anche il CLEG-BRIS, il sottogruppo del CLEG che si occupa del BRIS e che riunisce i rappresentanti degli Stati membri competenti in materia di registri delle imprese.</w:t>
      </w:r>
    </w:p>
  </w:footnote>
  <w:footnote w:id="34">
    <w:p w14:paraId="24F2B17D" w14:textId="77777777" w:rsidR="00096C8F" w:rsidRPr="0001127D" w:rsidRDefault="00096C8F" w:rsidP="00110F80">
      <w:pPr>
        <w:pStyle w:val="FootnoteText"/>
      </w:pPr>
      <w:r w:rsidRPr="0001127D">
        <w:rPr>
          <w:rStyle w:val="FootnoteReference"/>
        </w:rPr>
        <w:footnoteRef/>
      </w:r>
      <w:r w:rsidRPr="0001127D">
        <w:tab/>
      </w:r>
      <w:hyperlink r:id="rId8" w:anchor="studi" w:history="1">
        <w:r w:rsidRPr="0001127D">
          <w:rPr>
            <w:rStyle w:val="Hyperlink"/>
          </w:rPr>
          <w:t>Diritto societario e governo societario (europa.eu)</w:t>
        </w:r>
      </w:hyperlink>
      <w:r w:rsidRPr="0001127D">
        <w:t>.</w:t>
      </w:r>
    </w:p>
  </w:footnote>
  <w:footnote w:id="35">
    <w:p w14:paraId="0D8FD823" w14:textId="77777777" w:rsidR="00096C8F" w:rsidRPr="0001127D" w:rsidRDefault="00096C8F" w:rsidP="00110F80">
      <w:pPr>
        <w:pStyle w:val="FootnoteText"/>
      </w:pPr>
      <w:r w:rsidRPr="0001127D">
        <w:rPr>
          <w:rStyle w:val="FootnoteReference"/>
        </w:rPr>
        <w:footnoteRef/>
      </w:r>
      <w:r w:rsidRPr="0001127D">
        <w:tab/>
      </w:r>
      <w:hyperlink r:id="rId9" w:history="1">
        <w:r w:rsidRPr="0001127D">
          <w:rPr>
            <w:rStyle w:val="Hyperlink"/>
          </w:rPr>
          <w:t>Registro dei gruppi di esperti della Commissione e di altri organismi analoghi (europa.eu)</w:t>
        </w:r>
      </w:hyperlink>
      <w:r w:rsidRPr="0001127D">
        <w:t>.</w:t>
      </w:r>
    </w:p>
  </w:footnote>
  <w:footnote w:id="36">
    <w:p w14:paraId="62637461" w14:textId="3CEEEAFF" w:rsidR="00096C8F" w:rsidRPr="0001127D" w:rsidRDefault="00096C8F">
      <w:pPr>
        <w:pStyle w:val="FootnoteText"/>
      </w:pPr>
      <w:r w:rsidRPr="0001127D">
        <w:rPr>
          <w:rStyle w:val="FootnoteReference"/>
        </w:rPr>
        <w:footnoteRef/>
      </w:r>
      <w:r w:rsidRPr="0001127D">
        <w:tab/>
        <w:t>SWD(2023) 179.</w:t>
      </w:r>
    </w:p>
  </w:footnote>
  <w:footnote w:id="37">
    <w:p w14:paraId="1C7499E3" w14:textId="6557E780" w:rsidR="00096C8F" w:rsidRPr="0001127D" w:rsidRDefault="00096C8F" w:rsidP="0016589C">
      <w:pPr>
        <w:pStyle w:val="FootnoteText"/>
      </w:pPr>
      <w:r w:rsidRPr="0001127D">
        <w:rPr>
          <w:rStyle w:val="FootnoteReference"/>
        </w:rPr>
        <w:footnoteRef/>
      </w:r>
      <w:r w:rsidRPr="0001127D">
        <w:tab/>
      </w:r>
      <w:hyperlink r:id="rId10" w:history="1">
        <w:r w:rsidRPr="0001127D">
          <w:rPr>
            <w:rStyle w:val="Hyperlink"/>
          </w:rPr>
          <w:t>Standard per nazioni favorevoli alle start-up</w:t>
        </w:r>
      </w:hyperlink>
      <w:r w:rsidRPr="0001127D">
        <w:t xml:space="preserve"> - per consentire la presentazione di documenti legali provenienti da altre giurisdizioni dell'UE come prova della costituzione di una start-up (o di una controllata di una start-up esistente che si sta espandendo nel mercato unico).</w:t>
      </w:r>
    </w:p>
  </w:footnote>
  <w:footnote w:id="38">
    <w:p w14:paraId="40405B7A" w14:textId="77777777" w:rsidR="00096C8F" w:rsidRPr="0001127D" w:rsidRDefault="00096C8F" w:rsidP="0007416B">
      <w:pPr>
        <w:pStyle w:val="FootnoteText"/>
      </w:pPr>
      <w:r w:rsidRPr="0001127D">
        <w:rPr>
          <w:rStyle w:val="FootnoteReference"/>
        </w:rPr>
        <w:footnoteRef/>
      </w:r>
      <w:r w:rsidRPr="0001127D">
        <w:tab/>
        <w:t>Regolamento (UE) 2021/1119, del 30 giugno 2021, che istituisce il quadro per il conseguimento della neutralità climatica.</w:t>
      </w:r>
    </w:p>
  </w:footnote>
  <w:footnote w:id="39">
    <w:p w14:paraId="00023223" w14:textId="77777777" w:rsidR="00096C8F" w:rsidRPr="0001127D" w:rsidRDefault="00096C8F" w:rsidP="001349A7">
      <w:pPr>
        <w:spacing w:after="0"/>
        <w:rPr>
          <w:sz w:val="20"/>
          <w:szCs w:val="20"/>
        </w:rPr>
      </w:pPr>
      <w:r w:rsidRPr="0001127D">
        <w:rPr>
          <w:rStyle w:val="FootnoteReference"/>
        </w:rPr>
        <w:footnoteRef/>
      </w:r>
      <w:r w:rsidRPr="0001127D">
        <w:tab/>
      </w:r>
      <w:r w:rsidRPr="0001127D">
        <w:rPr>
          <w:sz w:val="20"/>
        </w:rPr>
        <w:t>Regolamento (UE) 2016/679</w:t>
      </w:r>
      <w:r w:rsidRPr="0001127D">
        <w:rPr>
          <w:color w:val="333333"/>
          <w:sz w:val="20"/>
          <w:shd w:val="clear" w:color="auto" w:fill="FFFFFF"/>
        </w:rPr>
        <w:t xml:space="preserve">, regolamento (UE) 2018/1725, </w:t>
      </w:r>
      <w:r w:rsidRPr="0001127D">
        <w:rPr>
          <w:sz w:val="20"/>
        </w:rPr>
        <w:t>ad es. la causa C-398/15 Manni.</w:t>
      </w:r>
    </w:p>
    <w:p w14:paraId="6F4A21E2" w14:textId="77777777" w:rsidR="00096C8F" w:rsidRPr="0001127D" w:rsidRDefault="00096C8F" w:rsidP="001349A7">
      <w:pPr>
        <w:pStyle w:val="FootnoteText"/>
      </w:pPr>
    </w:p>
  </w:footnote>
  <w:footnote w:id="40">
    <w:p w14:paraId="0A02CBA6" w14:textId="76E606DB" w:rsidR="00096C8F" w:rsidRPr="0001127D" w:rsidRDefault="00096C8F">
      <w:pPr>
        <w:pStyle w:val="FootnoteText"/>
      </w:pPr>
      <w:r w:rsidRPr="0001127D">
        <w:rPr>
          <w:rStyle w:val="FootnoteReference"/>
        </w:rPr>
        <w:footnoteRef/>
      </w:r>
      <w:r w:rsidRPr="0001127D">
        <w:tab/>
        <w:t>Un'assistenza supplementare potrebbe essere disponibile attraverso gli strumenti dell'UE e, tra gli altri, lo strumento di sostegno tecnico, che assiste gli Stati membri con competenze tecniche su misura per concepire, elaborare e attuare le riforme, anche per quanto riguarda la "facilità di fare impresa", l'agenda per la digitalizzazione e l'uso di strumenti digitali.</w:t>
      </w:r>
    </w:p>
  </w:footnote>
  <w:footnote w:id="41">
    <w:p w14:paraId="284B59FA" w14:textId="77777777" w:rsidR="00096C8F" w:rsidRPr="0001127D" w:rsidRDefault="00096C8F">
      <w:pPr>
        <w:pStyle w:val="FootnoteText"/>
      </w:pPr>
      <w:r w:rsidRPr="0001127D">
        <w:rPr>
          <w:rStyle w:val="FootnoteReference"/>
        </w:rPr>
        <w:footnoteRef/>
      </w:r>
      <w:r w:rsidRPr="0001127D">
        <w:tab/>
        <w:t>COM(2022) 720 final.</w:t>
      </w:r>
    </w:p>
  </w:footnote>
  <w:footnote w:id="42">
    <w:p w14:paraId="6DC787E9" w14:textId="77777777" w:rsidR="00096C8F" w:rsidRPr="0001127D" w:rsidRDefault="00096C8F">
      <w:pPr>
        <w:pStyle w:val="FootnoteText"/>
      </w:pPr>
      <w:r w:rsidRPr="0001127D">
        <w:rPr>
          <w:rStyle w:val="FootnoteReference"/>
        </w:rPr>
        <w:footnoteRef/>
      </w:r>
      <w:r w:rsidRPr="0001127D">
        <w:tab/>
        <w:t>COM(2017) 134 final.</w:t>
      </w:r>
    </w:p>
  </w:footnote>
  <w:footnote w:id="43">
    <w:p w14:paraId="1AB5E969" w14:textId="01EA41E0" w:rsidR="00096C8F" w:rsidRPr="0001127D" w:rsidRDefault="00096C8F" w:rsidP="000B414B">
      <w:pPr>
        <w:pStyle w:val="FootnoteText"/>
      </w:pPr>
      <w:r w:rsidRPr="0001127D">
        <w:rPr>
          <w:rStyle w:val="FootnoteReference"/>
        </w:rPr>
        <w:footnoteRef/>
      </w:r>
      <w:r w:rsidRPr="0001127D">
        <w:tab/>
        <w:t>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 GU L 141 del 5.6.2015, pag. 73.</w:t>
      </w:r>
    </w:p>
  </w:footnote>
  <w:footnote w:id="44">
    <w:p w14:paraId="4FC82D0C" w14:textId="77777777" w:rsidR="00096C8F" w:rsidRPr="0001127D" w:rsidRDefault="00096C8F" w:rsidP="000B414B">
      <w:pPr>
        <w:pStyle w:val="FootnoteText"/>
      </w:pPr>
      <w:r w:rsidRPr="0001127D">
        <w:rPr>
          <w:rStyle w:val="FootnoteReference"/>
        </w:rPr>
        <w:footnoteRef/>
      </w:r>
      <w:r w:rsidRPr="0001127D">
        <w:tab/>
        <w:t>Regolamento (UE) 2015/848 del Parlamento europeo e del Consiglio, del 20 maggio 2015, relativo alle procedure di insolvenza (rifusione) (GU L 141 del 5.6.2015, pag. 19.</w:t>
      </w:r>
    </w:p>
  </w:footnote>
  <w:footnote w:id="45">
    <w:p w14:paraId="4D74FF46" w14:textId="1DD317E9" w:rsidR="00096C8F" w:rsidRPr="0001127D" w:rsidRDefault="00096C8F" w:rsidP="00FD087E">
      <w:pPr>
        <w:pStyle w:val="FootnoteText"/>
      </w:pPr>
      <w:r w:rsidRPr="0001127D">
        <w:rPr>
          <w:rStyle w:val="FootnoteReference"/>
        </w:rPr>
        <w:footnoteRef/>
      </w:r>
      <w:r w:rsidRPr="0001127D">
        <w:tab/>
        <w:t>GU C , , pag. .</w:t>
      </w:r>
    </w:p>
  </w:footnote>
  <w:footnote w:id="46">
    <w:p w14:paraId="1C71F913" w14:textId="16AB1F3F" w:rsidR="00096C8F" w:rsidRPr="0001127D" w:rsidRDefault="00096C8F" w:rsidP="00FD087E">
      <w:pPr>
        <w:pStyle w:val="FootnoteText"/>
      </w:pPr>
      <w:r w:rsidRPr="0001127D">
        <w:rPr>
          <w:rStyle w:val="FootnoteReference"/>
        </w:rPr>
        <w:footnoteRef/>
      </w:r>
      <w:r w:rsidRPr="0001127D">
        <w:tab/>
        <w:t>GU C , , pag. .</w:t>
      </w:r>
    </w:p>
  </w:footnote>
  <w:footnote w:id="47">
    <w:p w14:paraId="5B6CFCCE" w14:textId="77777777" w:rsidR="00096C8F" w:rsidRPr="0001127D" w:rsidRDefault="00096C8F" w:rsidP="00FD087E">
      <w:pPr>
        <w:pStyle w:val="FootnoteText"/>
      </w:pPr>
      <w:r w:rsidRPr="0001127D">
        <w:rPr>
          <w:rStyle w:val="FootnoteReference"/>
        </w:rPr>
        <w:footnoteRef/>
      </w:r>
      <w:r w:rsidRPr="0001127D">
        <w:tab/>
        <w:t>Direttiva (UE) 2017/1132 del Parlamento europeo e del Consiglio, del 14 giugno 2017, relativa ad alcuni aspetti di diritto societario (GU L 169 del 30.6.2017, pag. 46).</w:t>
      </w:r>
    </w:p>
  </w:footnote>
  <w:footnote w:id="48">
    <w:p w14:paraId="7F2B5FCC" w14:textId="1B85EF9C" w:rsidR="00096C8F" w:rsidRPr="0001127D" w:rsidRDefault="00096C8F" w:rsidP="00FD087E">
      <w:pPr>
        <w:pStyle w:val="FootnoteText"/>
      </w:pPr>
      <w:r w:rsidRPr="0001127D">
        <w:rPr>
          <w:rStyle w:val="FootnoteReference"/>
        </w:rPr>
        <w:footnoteRef/>
      </w:r>
      <w:r w:rsidRPr="0001127D">
        <w:tab/>
        <w:t>Direttiva (UE) 2019/1151 del Parlamento europeo e del Consiglio, del 20 giugno 2019, recante modifica della direttiva (UE) 2017/1132 per quanto concerne l'uso di strumenti e processi digitali nel diritto societario (GU L 186 dell'11.7.2019, pag. 80).</w:t>
      </w:r>
    </w:p>
  </w:footnote>
  <w:footnote w:id="49">
    <w:p w14:paraId="3E0703B4" w14:textId="77777777" w:rsidR="00096C8F" w:rsidRPr="0001127D" w:rsidRDefault="00096C8F">
      <w:pPr>
        <w:pStyle w:val="FootnoteText"/>
      </w:pPr>
      <w:r w:rsidRPr="0001127D">
        <w:rPr>
          <w:rStyle w:val="FootnoteReference"/>
        </w:rPr>
        <w:footnoteRef/>
      </w:r>
      <w:r w:rsidRPr="0001127D">
        <w:tab/>
        <w:t>Raccomandazione della Commissione, del 6 maggio 2003, relativa alla definizione delle microimprese, piccole e medie imprese (GU L 124 del 20.5.2003, pag. 36).</w:t>
      </w:r>
    </w:p>
  </w:footnote>
  <w:footnote w:id="50">
    <w:p w14:paraId="2E25EE21" w14:textId="77777777" w:rsidR="00096C8F" w:rsidRPr="0001127D" w:rsidRDefault="00096C8F" w:rsidP="00FD087E">
      <w:pPr>
        <w:pStyle w:val="FootnoteText"/>
      </w:pPr>
      <w:r w:rsidRPr="0001127D">
        <w:rPr>
          <w:rStyle w:val="FootnoteReference"/>
        </w:rPr>
        <w:footnoteRef/>
      </w:r>
      <w:r w:rsidRPr="0001127D">
        <w:tab/>
      </w:r>
      <w:r w:rsidRPr="0001127D">
        <w:rPr>
          <w:shd w:val="clear" w:color="auto" w:fill="FFFFFF"/>
        </w:rPr>
        <w:t>COM(2021) 118 final</w:t>
      </w:r>
      <w:r w:rsidRPr="0001127D">
        <w:rPr>
          <w:color w:val="333333"/>
          <w:shd w:val="clear" w:color="auto" w:fill="FFFFFF"/>
        </w:rPr>
        <w:t xml:space="preserve">. </w:t>
      </w:r>
    </w:p>
  </w:footnote>
  <w:footnote w:id="51">
    <w:p w14:paraId="002D2462" w14:textId="77777777" w:rsidR="00096C8F" w:rsidRPr="0001127D" w:rsidRDefault="00096C8F" w:rsidP="00FD087E">
      <w:pPr>
        <w:pStyle w:val="FootnoteText"/>
      </w:pPr>
      <w:r w:rsidRPr="0001127D">
        <w:rPr>
          <w:rStyle w:val="FootnoteReference"/>
        </w:rPr>
        <w:footnoteRef/>
      </w:r>
      <w:r w:rsidRPr="0001127D">
        <w:tab/>
      </w:r>
      <w:r w:rsidRPr="0001127D">
        <w:rPr>
          <w:shd w:val="clear" w:color="auto" w:fill="FFFFFF"/>
        </w:rPr>
        <w:t>COM(2020) 710 final.</w:t>
      </w:r>
    </w:p>
  </w:footnote>
  <w:footnote w:id="52">
    <w:p w14:paraId="5ED98683" w14:textId="77777777" w:rsidR="00096C8F" w:rsidRPr="0001127D" w:rsidRDefault="00096C8F" w:rsidP="00FD087E">
      <w:pPr>
        <w:pStyle w:val="FootnoteText"/>
      </w:pPr>
      <w:r w:rsidRPr="0001127D">
        <w:rPr>
          <w:rStyle w:val="FootnoteReference"/>
        </w:rPr>
        <w:footnoteRef/>
      </w:r>
      <w:r w:rsidRPr="0001127D">
        <w:tab/>
        <w:t>COM(2021) 350 final.</w:t>
      </w:r>
    </w:p>
  </w:footnote>
  <w:footnote w:id="53">
    <w:p w14:paraId="5A0A314C" w14:textId="77777777" w:rsidR="00096C8F" w:rsidRPr="0001127D" w:rsidRDefault="00096C8F" w:rsidP="00FD087E">
      <w:pPr>
        <w:pStyle w:val="FootnoteText"/>
      </w:pPr>
      <w:r w:rsidRPr="0001127D">
        <w:rPr>
          <w:rStyle w:val="FootnoteReference"/>
        </w:rPr>
        <w:footnoteRef/>
      </w:r>
      <w:r w:rsidRPr="0001127D">
        <w:tab/>
        <w:t xml:space="preserve">COM(2020) 103 final. </w:t>
      </w:r>
    </w:p>
  </w:footnote>
  <w:footnote w:id="54">
    <w:p w14:paraId="54121370" w14:textId="227C1A90" w:rsidR="00096C8F" w:rsidRPr="0001127D" w:rsidRDefault="00096C8F" w:rsidP="00DA6539">
      <w:pPr>
        <w:pStyle w:val="FootnoteText"/>
      </w:pPr>
      <w:r w:rsidRPr="0001127D">
        <w:rPr>
          <w:rStyle w:val="FootnoteReference"/>
        </w:rPr>
        <w:footnoteRef/>
      </w:r>
      <w:r w:rsidRPr="0001127D">
        <w:tab/>
        <w:t>Regolamento (UE) 2018/1724 del Parlamento europeo e del Consiglio, del 2 ottobre 2018, che istituisce uno sportello digitale unico per l'accesso a informazioni, procedure e servizi di assistenza e di risoluzione dei problemi e che modifica il regolamento (UE) n. 1024/2012 (GU L 295 del 21.11.2018, pag. 1).</w:t>
      </w:r>
    </w:p>
  </w:footnote>
  <w:footnote w:id="55">
    <w:p w14:paraId="54809FEE" w14:textId="77777777" w:rsidR="00096C8F" w:rsidRPr="0001127D" w:rsidRDefault="00096C8F" w:rsidP="007B4A88">
      <w:pPr>
        <w:pStyle w:val="FootnoteText"/>
      </w:pPr>
      <w:r w:rsidRPr="0001127D">
        <w:rPr>
          <w:rStyle w:val="FootnoteReference"/>
        </w:rPr>
        <w:footnoteRef/>
      </w:r>
      <w:r w:rsidRPr="0001127D">
        <w:tab/>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(GU L 119 del 4.5.2016, pag. 1).</w:t>
      </w:r>
    </w:p>
  </w:footnote>
  <w:footnote w:id="56">
    <w:p w14:paraId="65844B0B" w14:textId="285AAE92" w:rsidR="00096C8F" w:rsidRPr="0001127D" w:rsidRDefault="00096C8F" w:rsidP="00026874">
      <w:pPr>
        <w:pStyle w:val="FootnoteText"/>
        <w:rPr>
          <w:color w:val="00B050"/>
        </w:rPr>
      </w:pPr>
      <w:r w:rsidRPr="0001127D">
        <w:rPr>
          <w:rStyle w:val="FootnoteReference"/>
        </w:rPr>
        <w:footnoteRef/>
      </w:r>
      <w:r w:rsidRPr="0001127D">
        <w:tab/>
      </w:r>
      <w:r w:rsidRPr="0001127D">
        <w:rPr>
          <w:color w:val="000000" w:themeColor="text1"/>
        </w:rPr>
        <w:t>Direttiva 2013/34/UE del Parlamento europeo e del Consiglio, del 26 giugno 2013, relativa ai bilanci d'esercizio, ai bilanci consolidati e alle relative relazioni di talune tipologie di imprese, recante modifica della direttiva 2006/43/CE del Parlamento europeo e del Consiglio e abrogazione delle direttive 78/660/CEE e 83/349/CEE del Consiglio (</w:t>
      </w:r>
      <w:r w:rsidRPr="0001127D">
        <w:t>GU L 182 del 29.6.2013, pag. 19).</w:t>
      </w:r>
    </w:p>
  </w:footnote>
  <w:footnote w:id="57">
    <w:p w14:paraId="1F3FE02E" w14:textId="77777777" w:rsidR="00096C8F" w:rsidRPr="0001127D" w:rsidRDefault="00096C8F">
      <w:pPr>
        <w:pStyle w:val="FootnoteText"/>
      </w:pPr>
      <w:r w:rsidRPr="0001127D">
        <w:rPr>
          <w:rStyle w:val="FootnoteReference"/>
        </w:rPr>
        <w:footnoteRef/>
      </w:r>
      <w:r w:rsidRPr="0001127D">
        <w:tab/>
        <w:t>Regolamento (UE) n. 910/2014 del Parlamento europeo e del Consiglio, del 23 luglio 2014, in materia di identificazione elettronica e servizi fiduciari per le transazioni elettroniche nel mercato interno e che abroga la direttiva 1999/93/CE (GU L 257 del 28.8.2014, pag. 73).</w:t>
      </w:r>
    </w:p>
  </w:footnote>
  <w:footnote w:id="58">
    <w:p w14:paraId="70880FDD" w14:textId="0F2B1AC8" w:rsidR="00096C8F" w:rsidRPr="0001127D" w:rsidRDefault="00096C8F">
      <w:pPr>
        <w:pStyle w:val="FootnoteText"/>
      </w:pPr>
      <w:r w:rsidRPr="0001127D">
        <w:rPr>
          <w:rStyle w:val="FootnoteReference"/>
        </w:rPr>
        <w:footnoteRef/>
      </w:r>
      <w:r w:rsidRPr="0001127D">
        <w:tab/>
        <w:t>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direttiva 2005/60/CE del Parlamento europeo e del Consiglio e la direttiva 2006/70/CE della Commissione (GU L 141 del 5.6.2015, pag. 73).</w:t>
      </w:r>
    </w:p>
  </w:footnote>
  <w:footnote w:id="59">
    <w:p w14:paraId="2ED5723E" w14:textId="34F289E9" w:rsidR="00096C8F" w:rsidRPr="0001127D" w:rsidRDefault="00096C8F" w:rsidP="00FD087E">
      <w:pPr>
        <w:pStyle w:val="FootnoteText"/>
      </w:pPr>
      <w:r w:rsidRPr="0001127D">
        <w:rPr>
          <w:rStyle w:val="FootnoteReference"/>
        </w:rPr>
        <w:footnoteRef/>
      </w:r>
      <w:r w:rsidRPr="0001127D">
        <w:tab/>
        <w:t>Direttiva (UE) 2018/843 del Parlamento europeo e del Consiglio, del 30 maggio 2018, che modifica la direttiva (UE) 2015/849 relativa alla prevenzione dell'uso del sistema finanziario a fini di riciclaggio o finanziamento del terrorismo e che modifica le direttive 2009/138/CE e 2013/36/UE (GU L 156 del 19.6.2018, pag. 43).</w:t>
      </w:r>
    </w:p>
  </w:footnote>
  <w:footnote w:id="60">
    <w:p w14:paraId="4D8C9029" w14:textId="77777777" w:rsidR="00096C8F" w:rsidRPr="0001127D" w:rsidRDefault="00096C8F" w:rsidP="00FD087E">
      <w:pPr>
        <w:pStyle w:val="FootnoteText"/>
      </w:pPr>
      <w:r w:rsidRPr="0001127D">
        <w:rPr>
          <w:rStyle w:val="FootnoteReference"/>
        </w:rPr>
        <w:footnoteRef/>
      </w:r>
      <w:r w:rsidRPr="0001127D">
        <w:tab/>
        <w:t>Regolamento (UE) 2015/848 del Parlamento europeo e del Consiglio, del 20 maggio 2015, relativo alle procedure di insolvenza (rifusione) (GU L 141 del 5.6.2015, pag. 19).</w:t>
      </w:r>
    </w:p>
  </w:footnote>
  <w:footnote w:id="61">
    <w:p w14:paraId="2483545B" w14:textId="30D9C385" w:rsidR="00096C8F" w:rsidRPr="0001127D" w:rsidRDefault="00096C8F" w:rsidP="00AD4980">
      <w:pPr>
        <w:pStyle w:val="FootnoteText"/>
      </w:pPr>
      <w:r w:rsidRPr="0001127D">
        <w:rPr>
          <w:rStyle w:val="FootnoteReference"/>
        </w:rPr>
        <w:footnoteRef/>
      </w:r>
      <w:r w:rsidRPr="0001127D">
        <w:tab/>
        <w:t>Regolamento (UE) 2018/1725 del Parlamento europeo e del Consiglio, del 23 ottobre 2018, sulla tutela delle persone fisiche in relazione al trattamento dei dati personali da parte delle istituzioni, degli organi e degli organismi dell'Unione e sulla libera circolazione di tali dati, e che abroga il regolamento (CE) n. 45/2001 e la decisione n. 1247/2002/CE (GU L 295 del 21.11.2018, pag. 39).</w:t>
      </w:r>
    </w:p>
  </w:footnote>
  <w:footnote w:id="62">
    <w:p w14:paraId="5D47EA45" w14:textId="2264EAA9" w:rsidR="00096C8F" w:rsidRPr="0001127D" w:rsidRDefault="00096C8F" w:rsidP="00253B22">
      <w:pPr>
        <w:pStyle w:val="FootnoteText"/>
      </w:pPr>
      <w:r w:rsidRPr="0001127D">
        <w:rPr>
          <w:rStyle w:val="FootnoteReference"/>
        </w:rPr>
        <w:footnoteRef/>
      </w:r>
      <w:r w:rsidRPr="0001127D">
        <w:tab/>
        <w:t>Direttiva (UE) 2016/2102 del Parlamento europeo e del Consiglio, del 26 ottobre 2016, relativa all'accessibilità dei siti web e delle applicazioni mobili degli enti pubblici (GU L 327 del 2.12.2016, pag. 1).</w:t>
      </w:r>
    </w:p>
  </w:footnote>
  <w:footnote w:id="63">
    <w:p w14:paraId="2AF33049" w14:textId="77777777" w:rsidR="00096C8F" w:rsidRPr="0001127D" w:rsidRDefault="00096C8F">
      <w:pPr>
        <w:pStyle w:val="FootnoteText"/>
      </w:pPr>
      <w:r w:rsidRPr="0001127D">
        <w:rPr>
          <w:rStyle w:val="FootnoteReference"/>
        </w:rPr>
        <w:footnoteRef/>
      </w:r>
      <w:r w:rsidRPr="0001127D">
        <w:tab/>
        <w:t>Direttiva (UE) 2019/882 del Parlamento europeo e del Consiglio, del 17 aprile 2019, sui requisiti di accessibilità dei prodotti e dei servizi (GU L 151 del 7.6.2019, pag. 70).</w:t>
      </w:r>
    </w:p>
  </w:footnote>
  <w:footnote w:id="64">
    <w:p w14:paraId="4E90247B" w14:textId="77777777" w:rsidR="00096C8F" w:rsidRPr="0001127D" w:rsidRDefault="00096C8F" w:rsidP="00FD087E">
      <w:pPr>
        <w:pStyle w:val="FootnoteText"/>
      </w:pPr>
      <w:r w:rsidRPr="0001127D">
        <w:rPr>
          <w:rStyle w:val="FootnoteReference"/>
        </w:rPr>
        <w:footnoteRef/>
      </w:r>
      <w:r w:rsidRPr="0001127D">
        <w:tab/>
        <w:t>GU C 369 del 17.12.2011, pag. 14.</w:t>
      </w:r>
    </w:p>
  </w:footnote>
  <w:footnote w:id="65">
    <w:p w14:paraId="0AD452DC" w14:textId="29EC4F67" w:rsidR="00096C8F" w:rsidRPr="0001127D" w:rsidRDefault="00096C8F" w:rsidP="00393F70">
      <w:pPr>
        <w:pStyle w:val="FootnoteText"/>
      </w:pPr>
      <w:r w:rsidRPr="0001127D">
        <w:rPr>
          <w:rStyle w:val="FootnoteReference"/>
        </w:rPr>
        <w:footnoteRef/>
      </w:r>
      <w:r w:rsidRPr="0001127D">
        <w:tab/>
        <w:t>Regolamento (UE) 2018/1724 del Parlamento europeo e del Consiglio, del 2 ottobre 2018, che istituisce uno sportello digitale unico per l'accesso a informazioni, procedure e servizi di assistenza e di risoluzione dei problemi e che modifica il regolamento (UE) n. 1024/2012 (GU L 295 del 21.11.2018, pag. 1).</w:t>
      </w:r>
    </w:p>
  </w:footnote>
  <w:footnote w:id="66">
    <w:p w14:paraId="3FCD5016" w14:textId="53BA5E22" w:rsidR="00096C8F" w:rsidRPr="0001127D" w:rsidRDefault="00096C8F">
      <w:pPr>
        <w:pStyle w:val="FootnoteText"/>
      </w:pPr>
      <w:r w:rsidRPr="0001127D">
        <w:rPr>
          <w:rStyle w:val="FootnoteReference"/>
        </w:rPr>
        <w:footnoteRef/>
      </w:r>
      <w:r w:rsidRPr="0001127D">
        <w:tab/>
        <w:t>Cfr. anche la proposta di regolamento del Parlamento europeo e del Consiglio che stabilisce misure per un livello elevato di interoperabilità del settore pubblico nell'Unione (normativa su un'Europa interoperabile) (COM(2022) 720 final), e la comunicazione relativa al rafforzamento della politica del settore pubblico in materia di interoperabilità - Collegare i servizi pubblici, sostenere le politiche pubbliche e garantire benefici pubblici - Verso un'"Europa interoperabile" (COM(2022)710 final).</w:t>
      </w:r>
    </w:p>
  </w:footnote>
  <w:footnote w:id="67">
    <w:p w14:paraId="0E7B830A" w14:textId="77777777" w:rsidR="00096C8F" w:rsidRPr="0001127D" w:rsidRDefault="00096C8F" w:rsidP="00CC393A">
      <w:pPr>
        <w:pStyle w:val="FootnoteText"/>
      </w:pPr>
      <w:r w:rsidRPr="0001127D">
        <w:rPr>
          <w:rStyle w:val="FootnoteReference"/>
        </w:rPr>
        <w:footnoteRef/>
      </w:r>
      <w:r w:rsidRPr="0001127D">
        <w:tab/>
        <w:t>GU…</w:t>
      </w:r>
    </w:p>
  </w:footnote>
  <w:footnote w:id="68">
    <w:p w14:paraId="335EC431" w14:textId="04510F45" w:rsidR="00096C8F" w:rsidRPr="0001127D" w:rsidRDefault="00096C8F" w:rsidP="00AB6191">
      <w:pPr>
        <w:pStyle w:val="FootnoteText"/>
        <w:rPr>
          <w:szCs w:val="24"/>
        </w:rPr>
      </w:pPr>
      <w:r w:rsidRPr="0001127D">
        <w:rPr>
          <w:rStyle w:val="FootnoteReference"/>
        </w:rPr>
        <w:footnoteRef/>
      </w:r>
      <w:r w:rsidRPr="0001127D">
        <w:tab/>
        <w:t>A norma dell'articolo 58, paragrafo 2, lettera a) o b), del regolamento finanziario.</w:t>
      </w:r>
    </w:p>
  </w:footnote>
  <w:footnote w:id="69">
    <w:p w14:paraId="5599500F" w14:textId="77777777" w:rsidR="00096C8F" w:rsidRPr="0001127D" w:rsidRDefault="00096C8F" w:rsidP="00AB6191">
      <w:pPr>
        <w:pStyle w:val="FootnoteText"/>
        <w:jc w:val="left"/>
        <w:rPr>
          <w:szCs w:val="24"/>
        </w:rPr>
      </w:pPr>
      <w:r w:rsidRPr="0001127D">
        <w:rPr>
          <w:rStyle w:val="FootnoteReference"/>
        </w:rPr>
        <w:footnoteRef/>
      </w:r>
      <w:r w:rsidRPr="0001127D">
        <w:tab/>
        <w:t xml:space="preserve">Le spiegazioni dei metodi di esecuzione del bilancio e i riferimenti al regolamento finanziario sono disponibili sul sito BUDGpedia: </w:t>
      </w:r>
      <w:hyperlink r:id="rId11" w:history="1">
        <w:r w:rsidRPr="0001127D">
          <w:rPr>
            <w:rStyle w:val="Hyperlink"/>
          </w:rPr>
          <w:t>https://myintracomm.ec.europa.eu/corp/budget/financial-rules/budget-implementation/Pages/implementation-methods.aspx</w:t>
        </w:r>
      </w:hyperlink>
      <w:r w:rsidRPr="0001127D">
        <w:t>.</w:t>
      </w:r>
    </w:p>
  </w:footnote>
  <w:footnote w:id="70">
    <w:p w14:paraId="75A13B7E" w14:textId="77777777" w:rsidR="00096C8F" w:rsidRPr="0001127D" w:rsidRDefault="00096C8F" w:rsidP="00AB6191">
      <w:pPr>
        <w:pStyle w:val="FootnoteText"/>
        <w:rPr>
          <w:szCs w:val="24"/>
        </w:rPr>
      </w:pPr>
      <w:r w:rsidRPr="0001127D">
        <w:rPr>
          <w:rStyle w:val="FootnoteReference"/>
        </w:rPr>
        <w:footnoteRef/>
      </w:r>
      <w:r w:rsidRPr="0001127D">
        <w:tab/>
        <w:t>Diss. = stanziamenti dissociati / Non diss. = stanziamenti non dissociati.</w:t>
      </w:r>
    </w:p>
  </w:footnote>
  <w:footnote w:id="71">
    <w:p w14:paraId="45744E21" w14:textId="77777777" w:rsidR="00096C8F" w:rsidRPr="0001127D" w:rsidRDefault="00096C8F" w:rsidP="00AB6191">
      <w:pPr>
        <w:pStyle w:val="FootnoteText"/>
        <w:rPr>
          <w:szCs w:val="24"/>
        </w:rPr>
      </w:pPr>
      <w:r w:rsidRPr="0001127D">
        <w:rPr>
          <w:rStyle w:val="FootnoteReference"/>
        </w:rPr>
        <w:footnoteRef/>
      </w:r>
      <w:r w:rsidRPr="0001127D">
        <w:tab/>
        <w:t xml:space="preserve">EFTA: Associazione europea di libero scambio. </w:t>
      </w:r>
    </w:p>
  </w:footnote>
  <w:footnote w:id="72">
    <w:p w14:paraId="19E61D7C" w14:textId="77777777" w:rsidR="00096C8F" w:rsidRPr="0001127D" w:rsidRDefault="00096C8F" w:rsidP="00AB6191">
      <w:pPr>
        <w:pStyle w:val="FootnoteText"/>
        <w:rPr>
          <w:szCs w:val="24"/>
        </w:rPr>
      </w:pPr>
      <w:r w:rsidRPr="0001127D">
        <w:rPr>
          <w:rStyle w:val="FootnoteReference"/>
        </w:rPr>
        <w:footnoteRef/>
      </w:r>
      <w:r w:rsidRPr="0001127D">
        <w:tab/>
        <w:t>Paesi candidati e, se del caso, potenziali candidati dei Balcani occidentali.</w:t>
      </w:r>
    </w:p>
  </w:footnote>
  <w:footnote w:id="73">
    <w:p w14:paraId="2C05DB31" w14:textId="77777777" w:rsidR="00096C8F" w:rsidRPr="0001127D" w:rsidRDefault="00096C8F" w:rsidP="00AB6191">
      <w:pPr>
        <w:pStyle w:val="FootnoteText"/>
        <w:rPr>
          <w:sz w:val="18"/>
          <w:szCs w:val="18"/>
        </w:rPr>
      </w:pPr>
      <w:r w:rsidRPr="0001127D">
        <w:rPr>
          <w:rStyle w:val="FootnoteReference"/>
        </w:rPr>
        <w:footnoteRef/>
      </w:r>
      <w:r w:rsidRPr="0001127D">
        <w:tab/>
      </w:r>
      <w:r w:rsidRPr="0001127D">
        <w:rPr>
          <w:sz w:val="18"/>
        </w:rPr>
        <w:t xml:space="preserve">Gli sviluppi informatici saranno necessari anche nel periodo a partire dal 2028, per completare la manutenzione evolutiva, seguita da una manutenzione conservativa. </w:t>
      </w:r>
    </w:p>
  </w:footnote>
  <w:footnote w:id="74">
    <w:p w14:paraId="77B6A2AA" w14:textId="4111FA25" w:rsidR="00096C8F" w:rsidRPr="0001127D" w:rsidRDefault="00096C8F" w:rsidP="00AB6191">
      <w:pPr>
        <w:pStyle w:val="FootnoteText"/>
        <w:rPr>
          <w:szCs w:val="24"/>
        </w:rPr>
      </w:pPr>
      <w:r w:rsidRPr="0001127D">
        <w:rPr>
          <w:rStyle w:val="FootnoteReference"/>
        </w:rPr>
        <w:footnoteRef/>
      </w:r>
      <w:r w:rsidRPr="0001127D">
        <w:tab/>
      </w:r>
      <w:r w:rsidRPr="0001127D">
        <w:rPr>
          <w:sz w:val="18"/>
        </w:rPr>
        <w:t>Assistenza tecnica e/o amministrativa e spese di sostegno all'attuazione di programmi e/o azioni dell'UE (ex linee "BA"), ricerca indiretta, ricerca diretta.</w:t>
      </w:r>
    </w:p>
  </w:footnote>
  <w:footnote w:id="75">
    <w:p w14:paraId="348B58FB" w14:textId="77777777" w:rsidR="00096C8F" w:rsidRPr="0001127D" w:rsidRDefault="00096C8F" w:rsidP="00AB6191">
      <w:pPr>
        <w:pStyle w:val="FootnoteText"/>
        <w:rPr>
          <w:sz w:val="18"/>
          <w:szCs w:val="18"/>
        </w:rPr>
      </w:pPr>
      <w:r w:rsidRPr="0001127D">
        <w:rPr>
          <w:rStyle w:val="FootnoteReference"/>
        </w:rPr>
        <w:footnoteRef/>
      </w:r>
      <w:r w:rsidRPr="0001127D">
        <w:tab/>
      </w:r>
      <w:r w:rsidRPr="0001127D">
        <w:rPr>
          <w:sz w:val="18"/>
        </w:rPr>
        <w:t xml:space="preserve">Gli sviluppi informatici saranno necessari anche nel periodo a partire dal 2028, per completare la manutenzione evolutiva, seguita da una manutenzione conservativa. </w:t>
      </w:r>
    </w:p>
  </w:footnote>
  <w:footnote w:id="76">
    <w:p w14:paraId="60E16D86" w14:textId="77777777" w:rsidR="00096C8F" w:rsidRPr="0001127D" w:rsidRDefault="00096C8F" w:rsidP="00AB6191">
      <w:pPr>
        <w:pStyle w:val="FootnoteText"/>
        <w:rPr>
          <w:sz w:val="18"/>
          <w:szCs w:val="18"/>
        </w:rPr>
      </w:pPr>
      <w:r w:rsidRPr="0001127D">
        <w:rPr>
          <w:rStyle w:val="FootnoteReference"/>
        </w:rPr>
        <w:footnoteRef/>
      </w:r>
      <w:r w:rsidRPr="0001127D">
        <w:tab/>
      </w:r>
      <w:r w:rsidRPr="0001127D">
        <w:rPr>
          <w:sz w:val="18"/>
        </w:rPr>
        <w:t xml:space="preserve">Gli sviluppi informatici saranno necessari anche nel periodo a partire dal 2028, per completare la manutenzione evolutiva, seguita da una manutenzione conservativa. </w:t>
      </w:r>
    </w:p>
  </w:footnote>
  <w:footnote w:id="77">
    <w:p w14:paraId="43338D70" w14:textId="77777777" w:rsidR="00096C8F" w:rsidRPr="0001127D" w:rsidRDefault="00096C8F" w:rsidP="00AB6191">
      <w:pPr>
        <w:pStyle w:val="FootnoteText"/>
        <w:rPr>
          <w:szCs w:val="24"/>
        </w:rPr>
      </w:pPr>
      <w:r w:rsidRPr="0001127D">
        <w:rPr>
          <w:rStyle w:val="FootnoteReference"/>
        </w:rPr>
        <w:footnoteRef/>
      </w:r>
      <w:r w:rsidRPr="0001127D">
        <w:tab/>
        <w:t>I risultati sono i prodotti e i servizi da fornire (ad es. numero di scambi di studenti finanziati, numero di km di strada costruiti ecc.).</w:t>
      </w:r>
    </w:p>
  </w:footnote>
  <w:footnote w:id="78">
    <w:p w14:paraId="2BC5E0C6" w14:textId="77777777" w:rsidR="00096C8F" w:rsidRPr="0001127D" w:rsidRDefault="00096C8F" w:rsidP="00AB6191">
      <w:pPr>
        <w:pStyle w:val="FootnoteText"/>
        <w:rPr>
          <w:szCs w:val="24"/>
        </w:rPr>
      </w:pPr>
      <w:r w:rsidRPr="0001127D">
        <w:rPr>
          <w:rStyle w:val="FootnoteReference"/>
        </w:rPr>
        <w:footnoteRef/>
      </w:r>
      <w:r w:rsidRPr="0001127D">
        <w:tab/>
      </w:r>
    </w:p>
  </w:footnote>
  <w:footnote w:id="79">
    <w:p w14:paraId="614CD2A9" w14:textId="48458A46" w:rsidR="00096C8F" w:rsidRPr="0001127D" w:rsidRDefault="00096C8F" w:rsidP="00AB6191">
      <w:pPr>
        <w:pStyle w:val="FootnoteText"/>
        <w:rPr>
          <w:szCs w:val="24"/>
        </w:rPr>
      </w:pPr>
      <w:r w:rsidRPr="0001127D">
        <w:rPr>
          <w:rStyle w:val="FootnoteReference"/>
        </w:rPr>
        <w:footnoteRef/>
      </w:r>
      <w:r w:rsidRPr="0001127D">
        <w:tab/>
      </w:r>
      <w:r w:rsidRPr="0001127D">
        <w:rPr>
          <w:sz w:val="18"/>
        </w:rPr>
        <w:t>Assistenza tecnica e/o amministrativa e spese di sostegno all'attuazione di programmi e/o azioni dell'UE (ex linee "BA"), ricerca indiretta, ricerca diretta.</w:t>
      </w:r>
    </w:p>
  </w:footnote>
  <w:footnote w:id="80">
    <w:p w14:paraId="5B3A8937" w14:textId="77777777" w:rsidR="00096C8F" w:rsidRPr="0001127D" w:rsidRDefault="00096C8F" w:rsidP="00AB6191">
      <w:pPr>
        <w:pStyle w:val="FootnoteText"/>
        <w:rPr>
          <w:sz w:val="18"/>
          <w:szCs w:val="18"/>
        </w:rPr>
      </w:pPr>
      <w:r w:rsidRPr="0001127D">
        <w:rPr>
          <w:rStyle w:val="FootnoteReference"/>
        </w:rPr>
        <w:footnoteRef/>
      </w:r>
      <w:r w:rsidRPr="0001127D">
        <w:tab/>
        <w:t xml:space="preserve">Nel periodo a partire dal 2028 </w:t>
      </w:r>
      <w:r w:rsidRPr="0001127D">
        <w:rPr>
          <w:sz w:val="18"/>
        </w:rPr>
        <w:t xml:space="preserve">saranno inoltre necessarie risorse umane per la gestione aziendale e dei progetti del sistema. </w:t>
      </w:r>
    </w:p>
  </w:footnote>
  <w:footnote w:id="81">
    <w:p w14:paraId="6FAEEB6E" w14:textId="77777777" w:rsidR="00096C8F" w:rsidRPr="0001127D" w:rsidRDefault="00096C8F" w:rsidP="00AB6191">
      <w:pPr>
        <w:pStyle w:val="FootnoteText"/>
        <w:rPr>
          <w:szCs w:val="24"/>
        </w:rPr>
      </w:pPr>
      <w:r w:rsidRPr="0001127D">
        <w:rPr>
          <w:rStyle w:val="FootnoteReference"/>
        </w:rPr>
        <w:footnoteRef/>
      </w:r>
      <w:r w:rsidRPr="0001127D">
        <w:tab/>
        <w:t xml:space="preserve">AC = agente contrattuale; AL = agente locale; END = esperto nazionale distaccato; INT = personale interinale (intérimaire); JPD = giovane professionista in delegazione. </w:t>
      </w:r>
    </w:p>
  </w:footnote>
  <w:footnote w:id="82">
    <w:p w14:paraId="248ABCBF" w14:textId="39B7EDB1" w:rsidR="00096C8F" w:rsidRPr="0001127D" w:rsidRDefault="00096C8F" w:rsidP="00AB6191">
      <w:pPr>
        <w:pStyle w:val="FootnoteText"/>
        <w:rPr>
          <w:szCs w:val="24"/>
        </w:rPr>
      </w:pPr>
      <w:r w:rsidRPr="0001127D">
        <w:rPr>
          <w:rStyle w:val="FootnoteReference"/>
        </w:rPr>
        <w:footnoteRef/>
      </w:r>
      <w:r w:rsidRPr="0001127D">
        <w:tab/>
        <w:t>Sottomassimale per il personale esterno previsto dagli stanziamenti operativi (ex linee "BA").</w:t>
      </w:r>
    </w:p>
  </w:footnote>
  <w:footnote w:id="83">
    <w:p w14:paraId="7977A082" w14:textId="77777777" w:rsidR="00096C8F" w:rsidRPr="00096C8F" w:rsidRDefault="00096C8F" w:rsidP="00AB6191">
      <w:pPr>
        <w:pStyle w:val="FootnoteText"/>
        <w:rPr>
          <w:szCs w:val="24"/>
        </w:rPr>
      </w:pPr>
      <w:r w:rsidRPr="0001127D">
        <w:rPr>
          <w:rStyle w:val="FootnoteReference"/>
        </w:rPr>
        <w:footnoteRef/>
      </w:r>
      <w:r w:rsidRPr="0001127D">
        <w:tab/>
        <w:t>Per le risorse proprie tradizionali (dazi doganali, contributi zucchero), indicare gli importi netti, cioè gli importi lordi al netto del 20 % per spese di riscossione.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6D8FE" w14:textId="77777777" w:rsidR="0091427E" w:rsidRPr="0091427E" w:rsidRDefault="0091427E" w:rsidP="0091427E">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C3B72" w14:textId="77777777" w:rsidR="0091427E" w:rsidRPr="0091427E" w:rsidRDefault="0091427E" w:rsidP="0091427E">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85E121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266C80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500AB3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B0CBDF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9"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4996626"/>
    <w:multiLevelType w:val="hybridMultilevel"/>
    <w:tmpl w:val="69767304"/>
    <w:lvl w:ilvl="0" w:tplc="17BE2C34">
      <w:start w:val="1"/>
      <w:numFmt w:val="bullet"/>
      <w:pStyle w:val="B0List"/>
      <w:lvlText w:val=""/>
      <w:lvlJc w:val="left"/>
      <w:pPr>
        <w:tabs>
          <w:tab w:val="num" w:pos="426"/>
        </w:tabs>
        <w:ind w:left="426" w:hanging="284"/>
      </w:pPr>
      <w:rPr>
        <w:rFonts w:ascii="Symbol" w:hAnsi="Symbol" w:hint="default"/>
        <w:b w:val="0"/>
        <w:i w:val="0"/>
        <w:color w:val="auto"/>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2"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518069EC"/>
    <w:multiLevelType w:val="multilevel"/>
    <w:tmpl w:val="3092B0E6"/>
    <w:lvl w:ilvl="0">
      <w:start w:val="1"/>
      <w:numFmt w:val="none"/>
      <w:lvlText w:val=""/>
      <w:lvlJc w:val="left"/>
      <w:pPr>
        <w:ind w:left="0" w:firstLine="0"/>
      </w:pPr>
    </w:lvl>
    <w:lvl w:ilvl="1">
      <w:start w:val="1"/>
      <w:numFmt w:val="decimal"/>
      <w:lvlText w:val="%2."/>
      <w:lvlJc w:val="left"/>
      <w:pPr>
        <w:ind w:left="851" w:hanging="85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0"/>
  </w:num>
  <w:num w:numId="6">
    <w:abstractNumId w:val="7"/>
  </w:num>
  <w:num w:numId="7">
    <w:abstractNumId w:val="15"/>
  </w:num>
  <w:num w:numId="8">
    <w:abstractNumId w:val="22"/>
  </w:num>
  <w:num w:numId="9">
    <w:abstractNumId w:val="21"/>
  </w:num>
  <w:num w:numId="10">
    <w:abstractNumId w:val="30"/>
  </w:num>
  <w:num w:numId="11">
    <w:abstractNumId w:val="2"/>
  </w:num>
  <w:num w:numId="12">
    <w:abstractNumId w:val="1"/>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9"/>
  </w:num>
  <w:num w:numId="18">
    <w:abstractNumId w:val="20"/>
    <w:lvlOverride w:ilvl="0">
      <w:startOverride w:val="1"/>
    </w:lvlOverride>
  </w:num>
  <w:num w:numId="19">
    <w:abstractNumId w:val="17"/>
    <w:lvlOverride w:ilvl="0">
      <w:startOverride w:val="1"/>
    </w:lvlOverride>
  </w:num>
  <w:num w:numId="20">
    <w:abstractNumId w:val="27"/>
  </w:num>
  <w:num w:numId="21">
    <w:abstractNumId w:val="17"/>
  </w:num>
  <w:num w:numId="22">
    <w:abstractNumId w:val="29"/>
  </w:num>
  <w:num w:numId="23">
    <w:abstractNumId w:val="14"/>
  </w:num>
  <w:num w:numId="24">
    <w:abstractNumId w:val="18"/>
  </w:num>
  <w:num w:numId="25">
    <w:abstractNumId w:val="19"/>
  </w:num>
  <w:num w:numId="26">
    <w:abstractNumId w:val="12"/>
  </w:num>
  <w:num w:numId="27">
    <w:abstractNumId w:val="28"/>
  </w:num>
  <w:num w:numId="28">
    <w:abstractNumId w:val="11"/>
  </w:num>
  <w:num w:numId="29">
    <w:abstractNumId w:val="20"/>
  </w:num>
  <w:num w:numId="30">
    <w:abstractNumId w:val="25"/>
  </w:num>
  <w:num w:numId="31">
    <w:abstractNumId w:val="26"/>
  </w:num>
  <w:num w:numId="32">
    <w:abstractNumId w:val="13"/>
  </w:num>
  <w:num w:numId="33">
    <w:abstractNumId w:val="24"/>
  </w:num>
  <w:num w:numId="34">
    <w:abstractNumId w:val="31"/>
  </w:num>
  <w:num w:numId="35">
    <w:abstractNumId w:val="27"/>
  </w:num>
  <w:num w:numId="36">
    <w:abstractNumId w:val="17"/>
  </w:num>
  <w:num w:numId="37">
    <w:abstractNumId w:val="29"/>
  </w:num>
  <w:num w:numId="38">
    <w:abstractNumId w:val="14"/>
  </w:num>
  <w:num w:numId="39">
    <w:abstractNumId w:val="18"/>
  </w:num>
  <w:num w:numId="40">
    <w:abstractNumId w:val="19"/>
  </w:num>
  <w:num w:numId="41">
    <w:abstractNumId w:val="12"/>
  </w:num>
  <w:num w:numId="42">
    <w:abstractNumId w:val="28"/>
  </w:num>
  <w:num w:numId="43">
    <w:abstractNumId w:val="11"/>
  </w:num>
  <w:num w:numId="44">
    <w:abstractNumId w:val="20"/>
  </w:num>
  <w:num w:numId="45">
    <w:abstractNumId w:val="25"/>
  </w:num>
  <w:num w:numId="46">
    <w:abstractNumId w:val="26"/>
  </w:num>
  <w:num w:numId="47">
    <w:abstractNumId w:val="13"/>
  </w:num>
  <w:num w:numId="48">
    <w:abstractNumId w:val="24"/>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s-ES" w:vendorID="64" w:dllVersion="0" w:nlCheck="1" w:checkStyle="0"/>
  <w:activeWritingStyle w:appName="MSWord" w:lang="pl-PL" w:vendorID="64" w:dllVersion="0" w:nlCheck="1" w:checkStyle="0"/>
  <w:activeWritingStyle w:appName="MSWord" w:lang="hu-H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4-14 15:17:4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2F7826A-60F4-4182-A4B7-31DB9889C322"/>
    <w:docVar w:name="LW_COVERPAGE_TYPE" w:val="1"/>
    <w:docVar w:name="LW_CROSSREFERENCE" w:val="{SEC(2023) 377 final} - {SWD(2023) 177 final} - {SWD(2023) 178 final} - {SWD(2023) 179 final}"/>
    <w:docVar w:name="LW_DocType" w:val="COM"/>
    <w:docVar w:name="LW_EMISSION" w:val="29.3.2023"/>
    <w:docVar w:name="LW_EMISSION_ISODATE" w:val="2023-03-29"/>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089"/>
    <w:docVar w:name="LW_REF.II.NEW.CP_YEAR" w:val="2023"/>
    <w:docVar w:name="LW_REF.INST.NEW" w:val="COM"/>
    <w:docVar w:name="LW_REF.INST.NEW_ADOPTED" w:val="final"/>
    <w:docVar w:name="LW_REF.INST.NEW_TEXT" w:val="(2023) 1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recante modifica delle direttive 2009/102/CE e (UE) 2017/1132 per quanto concerne l'ulteriore ampliamento e miglioramento dell'uso di strumenti e processi digitali _x000b_nel diritto societario"/>
    <w:docVar w:name="LW_TYPE.DOC.CP" w:val="DIRETTIVA DEL PARLAMENTO EUROPEO E DEL CONSIGLIO"/>
    <w:docVar w:name="LwApiVersions" w:val="LW4CoDe 1.23.2.0; LW 8.0, Build 20211117"/>
  </w:docVars>
  <w:rsids>
    <w:rsidRoot w:val="00573A63"/>
    <w:rsid w:val="00000502"/>
    <w:rsid w:val="0000096C"/>
    <w:rsid w:val="00000B2D"/>
    <w:rsid w:val="00001C01"/>
    <w:rsid w:val="000021C2"/>
    <w:rsid w:val="000023D9"/>
    <w:rsid w:val="00002EF2"/>
    <w:rsid w:val="000038D0"/>
    <w:rsid w:val="000043C7"/>
    <w:rsid w:val="0000570B"/>
    <w:rsid w:val="00005C44"/>
    <w:rsid w:val="00007B33"/>
    <w:rsid w:val="000102AC"/>
    <w:rsid w:val="0001116E"/>
    <w:rsid w:val="0001127D"/>
    <w:rsid w:val="00011457"/>
    <w:rsid w:val="000116FA"/>
    <w:rsid w:val="0001208A"/>
    <w:rsid w:val="00012767"/>
    <w:rsid w:val="00012FCC"/>
    <w:rsid w:val="000148F2"/>
    <w:rsid w:val="00014A04"/>
    <w:rsid w:val="0001773D"/>
    <w:rsid w:val="00017A82"/>
    <w:rsid w:val="00017B87"/>
    <w:rsid w:val="00017BAC"/>
    <w:rsid w:val="00017FBE"/>
    <w:rsid w:val="00020BC8"/>
    <w:rsid w:val="00021F0A"/>
    <w:rsid w:val="000225F1"/>
    <w:rsid w:val="000234B9"/>
    <w:rsid w:val="0002366E"/>
    <w:rsid w:val="00023B75"/>
    <w:rsid w:val="00023DB1"/>
    <w:rsid w:val="00024075"/>
    <w:rsid w:val="000243C5"/>
    <w:rsid w:val="000261D6"/>
    <w:rsid w:val="00026874"/>
    <w:rsid w:val="00026DAD"/>
    <w:rsid w:val="000271E1"/>
    <w:rsid w:val="00027916"/>
    <w:rsid w:val="0002794B"/>
    <w:rsid w:val="00030B18"/>
    <w:rsid w:val="00031288"/>
    <w:rsid w:val="00031396"/>
    <w:rsid w:val="00031780"/>
    <w:rsid w:val="00032099"/>
    <w:rsid w:val="000321A3"/>
    <w:rsid w:val="000323B4"/>
    <w:rsid w:val="000327D7"/>
    <w:rsid w:val="00032A27"/>
    <w:rsid w:val="00033683"/>
    <w:rsid w:val="00033D02"/>
    <w:rsid w:val="00034166"/>
    <w:rsid w:val="000344CF"/>
    <w:rsid w:val="0003493F"/>
    <w:rsid w:val="000350D7"/>
    <w:rsid w:val="000352F4"/>
    <w:rsid w:val="00036539"/>
    <w:rsid w:val="000366BF"/>
    <w:rsid w:val="00036A84"/>
    <w:rsid w:val="00036B99"/>
    <w:rsid w:val="00036E2D"/>
    <w:rsid w:val="0004018E"/>
    <w:rsid w:val="0004036D"/>
    <w:rsid w:val="000403A8"/>
    <w:rsid w:val="00040421"/>
    <w:rsid w:val="000434FF"/>
    <w:rsid w:val="000441BD"/>
    <w:rsid w:val="00044E7C"/>
    <w:rsid w:val="00045018"/>
    <w:rsid w:val="00046214"/>
    <w:rsid w:val="00046B78"/>
    <w:rsid w:val="00047C83"/>
    <w:rsid w:val="0005007D"/>
    <w:rsid w:val="000500C2"/>
    <w:rsid w:val="00051EBB"/>
    <w:rsid w:val="0005236C"/>
    <w:rsid w:val="000528DB"/>
    <w:rsid w:val="00052DA1"/>
    <w:rsid w:val="00052F9F"/>
    <w:rsid w:val="00053398"/>
    <w:rsid w:val="000543AD"/>
    <w:rsid w:val="00054BC7"/>
    <w:rsid w:val="00054D9E"/>
    <w:rsid w:val="000576A2"/>
    <w:rsid w:val="00057EB6"/>
    <w:rsid w:val="00060D1F"/>
    <w:rsid w:val="00061374"/>
    <w:rsid w:val="000620ED"/>
    <w:rsid w:val="000627A1"/>
    <w:rsid w:val="00062D0B"/>
    <w:rsid w:val="0006308B"/>
    <w:rsid w:val="00063755"/>
    <w:rsid w:val="0006440D"/>
    <w:rsid w:val="00064E37"/>
    <w:rsid w:val="000668B1"/>
    <w:rsid w:val="000668F5"/>
    <w:rsid w:val="00066D51"/>
    <w:rsid w:val="00066DCF"/>
    <w:rsid w:val="000706FC"/>
    <w:rsid w:val="00071BA0"/>
    <w:rsid w:val="000724A5"/>
    <w:rsid w:val="00072CA3"/>
    <w:rsid w:val="00073434"/>
    <w:rsid w:val="000740C4"/>
    <w:rsid w:val="0007416B"/>
    <w:rsid w:val="00074653"/>
    <w:rsid w:val="000764C5"/>
    <w:rsid w:val="00076E46"/>
    <w:rsid w:val="00077B64"/>
    <w:rsid w:val="00077BB7"/>
    <w:rsid w:val="00077E88"/>
    <w:rsid w:val="00080C85"/>
    <w:rsid w:val="00080CDB"/>
    <w:rsid w:val="00080FE3"/>
    <w:rsid w:val="0008197C"/>
    <w:rsid w:val="0008353B"/>
    <w:rsid w:val="00084193"/>
    <w:rsid w:val="0008516D"/>
    <w:rsid w:val="00085218"/>
    <w:rsid w:val="00085E73"/>
    <w:rsid w:val="00085FBD"/>
    <w:rsid w:val="0008782A"/>
    <w:rsid w:val="00087DEF"/>
    <w:rsid w:val="00087F13"/>
    <w:rsid w:val="000918D0"/>
    <w:rsid w:val="000929C5"/>
    <w:rsid w:val="00092C1F"/>
    <w:rsid w:val="00093435"/>
    <w:rsid w:val="000935C8"/>
    <w:rsid w:val="00093BA3"/>
    <w:rsid w:val="0009554F"/>
    <w:rsid w:val="00095927"/>
    <w:rsid w:val="00096C5C"/>
    <w:rsid w:val="00096C8F"/>
    <w:rsid w:val="000979C4"/>
    <w:rsid w:val="00097DFE"/>
    <w:rsid w:val="000A0265"/>
    <w:rsid w:val="000A0481"/>
    <w:rsid w:val="000A146F"/>
    <w:rsid w:val="000A24B3"/>
    <w:rsid w:val="000A2B70"/>
    <w:rsid w:val="000A37F8"/>
    <w:rsid w:val="000A4CB4"/>
    <w:rsid w:val="000A4D06"/>
    <w:rsid w:val="000A5986"/>
    <w:rsid w:val="000A6A57"/>
    <w:rsid w:val="000A6F0D"/>
    <w:rsid w:val="000A6FBA"/>
    <w:rsid w:val="000B08A6"/>
    <w:rsid w:val="000B0AC9"/>
    <w:rsid w:val="000B13E0"/>
    <w:rsid w:val="000B1B57"/>
    <w:rsid w:val="000B1D03"/>
    <w:rsid w:val="000B311E"/>
    <w:rsid w:val="000B349A"/>
    <w:rsid w:val="000B3627"/>
    <w:rsid w:val="000B3E62"/>
    <w:rsid w:val="000B3EDA"/>
    <w:rsid w:val="000B414B"/>
    <w:rsid w:val="000B5DED"/>
    <w:rsid w:val="000B6404"/>
    <w:rsid w:val="000B660F"/>
    <w:rsid w:val="000B6C90"/>
    <w:rsid w:val="000C1A83"/>
    <w:rsid w:val="000C35A6"/>
    <w:rsid w:val="000C6816"/>
    <w:rsid w:val="000C695E"/>
    <w:rsid w:val="000C6B24"/>
    <w:rsid w:val="000C721D"/>
    <w:rsid w:val="000D043E"/>
    <w:rsid w:val="000D04DB"/>
    <w:rsid w:val="000D0DC5"/>
    <w:rsid w:val="000D1C3A"/>
    <w:rsid w:val="000D1D89"/>
    <w:rsid w:val="000D272A"/>
    <w:rsid w:val="000D2A27"/>
    <w:rsid w:val="000D4032"/>
    <w:rsid w:val="000D509F"/>
    <w:rsid w:val="000D5211"/>
    <w:rsid w:val="000D6987"/>
    <w:rsid w:val="000D7976"/>
    <w:rsid w:val="000E0091"/>
    <w:rsid w:val="000E0241"/>
    <w:rsid w:val="000E0E42"/>
    <w:rsid w:val="000E101D"/>
    <w:rsid w:val="000E1A04"/>
    <w:rsid w:val="000E23AF"/>
    <w:rsid w:val="000E2577"/>
    <w:rsid w:val="000E2CD6"/>
    <w:rsid w:val="000E3BEF"/>
    <w:rsid w:val="000E772B"/>
    <w:rsid w:val="000E795B"/>
    <w:rsid w:val="000F04A0"/>
    <w:rsid w:val="000F1793"/>
    <w:rsid w:val="000F276A"/>
    <w:rsid w:val="000F27FC"/>
    <w:rsid w:val="000F354C"/>
    <w:rsid w:val="000F4334"/>
    <w:rsid w:val="000F5113"/>
    <w:rsid w:val="000F533A"/>
    <w:rsid w:val="000F5567"/>
    <w:rsid w:val="000F55AE"/>
    <w:rsid w:val="000F5759"/>
    <w:rsid w:val="000F5E17"/>
    <w:rsid w:val="000F6080"/>
    <w:rsid w:val="000F7962"/>
    <w:rsid w:val="000F7C99"/>
    <w:rsid w:val="0010025D"/>
    <w:rsid w:val="00100EBF"/>
    <w:rsid w:val="00101507"/>
    <w:rsid w:val="00101B5D"/>
    <w:rsid w:val="00101BE2"/>
    <w:rsid w:val="00101C79"/>
    <w:rsid w:val="00102005"/>
    <w:rsid w:val="00102333"/>
    <w:rsid w:val="001037F9"/>
    <w:rsid w:val="00105D6F"/>
    <w:rsid w:val="001065F5"/>
    <w:rsid w:val="00106925"/>
    <w:rsid w:val="001075D0"/>
    <w:rsid w:val="00107769"/>
    <w:rsid w:val="001077CA"/>
    <w:rsid w:val="001078B6"/>
    <w:rsid w:val="00107F1C"/>
    <w:rsid w:val="00110F62"/>
    <w:rsid w:val="00110F80"/>
    <w:rsid w:val="0011185F"/>
    <w:rsid w:val="00112AC1"/>
    <w:rsid w:val="00116971"/>
    <w:rsid w:val="001177F4"/>
    <w:rsid w:val="00117878"/>
    <w:rsid w:val="0011797E"/>
    <w:rsid w:val="00117C3A"/>
    <w:rsid w:val="00117EB9"/>
    <w:rsid w:val="00117EFE"/>
    <w:rsid w:val="001203CB"/>
    <w:rsid w:val="0012092B"/>
    <w:rsid w:val="00120CC6"/>
    <w:rsid w:val="0012262C"/>
    <w:rsid w:val="00122A7A"/>
    <w:rsid w:val="001238EF"/>
    <w:rsid w:val="00124473"/>
    <w:rsid w:val="00125C90"/>
    <w:rsid w:val="00125F7D"/>
    <w:rsid w:val="00126DE4"/>
    <w:rsid w:val="00127E6A"/>
    <w:rsid w:val="001309A4"/>
    <w:rsid w:val="0013239F"/>
    <w:rsid w:val="00132462"/>
    <w:rsid w:val="00133086"/>
    <w:rsid w:val="0013342A"/>
    <w:rsid w:val="00133B04"/>
    <w:rsid w:val="00133D12"/>
    <w:rsid w:val="001349A7"/>
    <w:rsid w:val="00135111"/>
    <w:rsid w:val="001355DA"/>
    <w:rsid w:val="00136041"/>
    <w:rsid w:val="0013636A"/>
    <w:rsid w:val="00136EB3"/>
    <w:rsid w:val="0014016E"/>
    <w:rsid w:val="00141AD8"/>
    <w:rsid w:val="00141AD9"/>
    <w:rsid w:val="00144325"/>
    <w:rsid w:val="0014557D"/>
    <w:rsid w:val="001467EF"/>
    <w:rsid w:val="00147335"/>
    <w:rsid w:val="00147A2F"/>
    <w:rsid w:val="00147B2E"/>
    <w:rsid w:val="001523A0"/>
    <w:rsid w:val="00153088"/>
    <w:rsid w:val="00153163"/>
    <w:rsid w:val="001548D7"/>
    <w:rsid w:val="00154B1D"/>
    <w:rsid w:val="00154E1E"/>
    <w:rsid w:val="00154EC7"/>
    <w:rsid w:val="00155683"/>
    <w:rsid w:val="00155F15"/>
    <w:rsid w:val="00156364"/>
    <w:rsid w:val="00156415"/>
    <w:rsid w:val="0015778A"/>
    <w:rsid w:val="00160190"/>
    <w:rsid w:val="00160D4D"/>
    <w:rsid w:val="00160ECE"/>
    <w:rsid w:val="00162FEA"/>
    <w:rsid w:val="00163719"/>
    <w:rsid w:val="001637AB"/>
    <w:rsid w:val="001639A7"/>
    <w:rsid w:val="0016589C"/>
    <w:rsid w:val="00166AAC"/>
    <w:rsid w:val="0016771A"/>
    <w:rsid w:val="0016786B"/>
    <w:rsid w:val="001678AF"/>
    <w:rsid w:val="001678B0"/>
    <w:rsid w:val="00170A19"/>
    <w:rsid w:val="0017105B"/>
    <w:rsid w:val="00171097"/>
    <w:rsid w:val="00171824"/>
    <w:rsid w:val="00172617"/>
    <w:rsid w:val="001744FE"/>
    <w:rsid w:val="00174F2B"/>
    <w:rsid w:val="001755F8"/>
    <w:rsid w:val="0017581A"/>
    <w:rsid w:val="00175B0B"/>
    <w:rsid w:val="00175EBD"/>
    <w:rsid w:val="00176122"/>
    <w:rsid w:val="00176826"/>
    <w:rsid w:val="00176986"/>
    <w:rsid w:val="00177280"/>
    <w:rsid w:val="001772F5"/>
    <w:rsid w:val="00177558"/>
    <w:rsid w:val="001802CE"/>
    <w:rsid w:val="00180301"/>
    <w:rsid w:val="0018168A"/>
    <w:rsid w:val="001826C7"/>
    <w:rsid w:val="00184A49"/>
    <w:rsid w:val="00184ACD"/>
    <w:rsid w:val="001853A3"/>
    <w:rsid w:val="00186414"/>
    <w:rsid w:val="00190A25"/>
    <w:rsid w:val="00191053"/>
    <w:rsid w:val="00191A9C"/>
    <w:rsid w:val="00191B7A"/>
    <w:rsid w:val="001928F9"/>
    <w:rsid w:val="0019303F"/>
    <w:rsid w:val="001938F6"/>
    <w:rsid w:val="001946B5"/>
    <w:rsid w:val="0019636F"/>
    <w:rsid w:val="00196666"/>
    <w:rsid w:val="001969F8"/>
    <w:rsid w:val="00197613"/>
    <w:rsid w:val="00197996"/>
    <w:rsid w:val="00197C4C"/>
    <w:rsid w:val="00197D0C"/>
    <w:rsid w:val="001A0DA9"/>
    <w:rsid w:val="001A12ED"/>
    <w:rsid w:val="001A2107"/>
    <w:rsid w:val="001A37D7"/>
    <w:rsid w:val="001A3979"/>
    <w:rsid w:val="001A3A6E"/>
    <w:rsid w:val="001A490F"/>
    <w:rsid w:val="001A4B1B"/>
    <w:rsid w:val="001A4D65"/>
    <w:rsid w:val="001A5497"/>
    <w:rsid w:val="001A5E64"/>
    <w:rsid w:val="001A62D7"/>
    <w:rsid w:val="001A6B51"/>
    <w:rsid w:val="001A6CDA"/>
    <w:rsid w:val="001B0E85"/>
    <w:rsid w:val="001B231F"/>
    <w:rsid w:val="001B40E8"/>
    <w:rsid w:val="001B4984"/>
    <w:rsid w:val="001B49CE"/>
    <w:rsid w:val="001B6193"/>
    <w:rsid w:val="001B7AD4"/>
    <w:rsid w:val="001B7CA1"/>
    <w:rsid w:val="001C08D3"/>
    <w:rsid w:val="001C1F06"/>
    <w:rsid w:val="001C29E0"/>
    <w:rsid w:val="001C33EF"/>
    <w:rsid w:val="001C4261"/>
    <w:rsid w:val="001C43F9"/>
    <w:rsid w:val="001C538B"/>
    <w:rsid w:val="001C5ACE"/>
    <w:rsid w:val="001C6737"/>
    <w:rsid w:val="001C68F9"/>
    <w:rsid w:val="001C7356"/>
    <w:rsid w:val="001C7A63"/>
    <w:rsid w:val="001C7AA4"/>
    <w:rsid w:val="001D07AE"/>
    <w:rsid w:val="001D09B9"/>
    <w:rsid w:val="001D0CFB"/>
    <w:rsid w:val="001D10F8"/>
    <w:rsid w:val="001D1D0C"/>
    <w:rsid w:val="001D44BE"/>
    <w:rsid w:val="001D4CD6"/>
    <w:rsid w:val="001D5419"/>
    <w:rsid w:val="001D5C33"/>
    <w:rsid w:val="001D5D8A"/>
    <w:rsid w:val="001E034D"/>
    <w:rsid w:val="001E0460"/>
    <w:rsid w:val="001E0762"/>
    <w:rsid w:val="001E0E41"/>
    <w:rsid w:val="001E1533"/>
    <w:rsid w:val="001E1B03"/>
    <w:rsid w:val="001E2202"/>
    <w:rsid w:val="001E2363"/>
    <w:rsid w:val="001E24E2"/>
    <w:rsid w:val="001E27F2"/>
    <w:rsid w:val="001E2AA9"/>
    <w:rsid w:val="001E32A5"/>
    <w:rsid w:val="001E37C5"/>
    <w:rsid w:val="001E476E"/>
    <w:rsid w:val="001E503D"/>
    <w:rsid w:val="001E54BF"/>
    <w:rsid w:val="001E5EB8"/>
    <w:rsid w:val="001E735E"/>
    <w:rsid w:val="001F0B77"/>
    <w:rsid w:val="001F15A9"/>
    <w:rsid w:val="001F1BFF"/>
    <w:rsid w:val="001F1D59"/>
    <w:rsid w:val="001F1DCF"/>
    <w:rsid w:val="001F2095"/>
    <w:rsid w:val="001F23C2"/>
    <w:rsid w:val="001F34EC"/>
    <w:rsid w:val="001F35E0"/>
    <w:rsid w:val="001F3BC6"/>
    <w:rsid w:val="001F3EC3"/>
    <w:rsid w:val="001F5625"/>
    <w:rsid w:val="001F5928"/>
    <w:rsid w:val="001F5E0A"/>
    <w:rsid w:val="001F6092"/>
    <w:rsid w:val="001F6120"/>
    <w:rsid w:val="001F6BB6"/>
    <w:rsid w:val="001F6F58"/>
    <w:rsid w:val="0020077F"/>
    <w:rsid w:val="0020321A"/>
    <w:rsid w:val="002043F1"/>
    <w:rsid w:val="0020463E"/>
    <w:rsid w:val="00204D17"/>
    <w:rsid w:val="0020630D"/>
    <w:rsid w:val="0020658E"/>
    <w:rsid w:val="0020666D"/>
    <w:rsid w:val="0021026C"/>
    <w:rsid w:val="00210CE6"/>
    <w:rsid w:val="00212A93"/>
    <w:rsid w:val="00212C48"/>
    <w:rsid w:val="00212CFD"/>
    <w:rsid w:val="0021406E"/>
    <w:rsid w:val="00214D35"/>
    <w:rsid w:val="002151B9"/>
    <w:rsid w:val="002165ED"/>
    <w:rsid w:val="0021674F"/>
    <w:rsid w:val="00216862"/>
    <w:rsid w:val="0021701F"/>
    <w:rsid w:val="002207F8"/>
    <w:rsid w:val="00223037"/>
    <w:rsid w:val="00223657"/>
    <w:rsid w:val="00223E41"/>
    <w:rsid w:val="00224E30"/>
    <w:rsid w:val="002255DF"/>
    <w:rsid w:val="00226594"/>
    <w:rsid w:val="002265EE"/>
    <w:rsid w:val="00226758"/>
    <w:rsid w:val="0022740B"/>
    <w:rsid w:val="00230464"/>
    <w:rsid w:val="0023112C"/>
    <w:rsid w:val="00231800"/>
    <w:rsid w:val="00233412"/>
    <w:rsid w:val="002335CB"/>
    <w:rsid w:val="00233A41"/>
    <w:rsid w:val="00233DC7"/>
    <w:rsid w:val="00233F43"/>
    <w:rsid w:val="00234B44"/>
    <w:rsid w:val="00234C6F"/>
    <w:rsid w:val="00234E75"/>
    <w:rsid w:val="0023532D"/>
    <w:rsid w:val="00235538"/>
    <w:rsid w:val="002369CA"/>
    <w:rsid w:val="00236EF7"/>
    <w:rsid w:val="00237099"/>
    <w:rsid w:val="002419C5"/>
    <w:rsid w:val="0024202B"/>
    <w:rsid w:val="00242634"/>
    <w:rsid w:val="00242ACA"/>
    <w:rsid w:val="00242C48"/>
    <w:rsid w:val="002436BF"/>
    <w:rsid w:val="002440B1"/>
    <w:rsid w:val="002444CF"/>
    <w:rsid w:val="00244665"/>
    <w:rsid w:val="002448B7"/>
    <w:rsid w:val="00245362"/>
    <w:rsid w:val="00245B0B"/>
    <w:rsid w:val="00245C49"/>
    <w:rsid w:val="00246977"/>
    <w:rsid w:val="00246D58"/>
    <w:rsid w:val="00247779"/>
    <w:rsid w:val="00247AA1"/>
    <w:rsid w:val="00250E6A"/>
    <w:rsid w:val="00251BE1"/>
    <w:rsid w:val="00251EF8"/>
    <w:rsid w:val="00252440"/>
    <w:rsid w:val="00252E36"/>
    <w:rsid w:val="00253887"/>
    <w:rsid w:val="00253B22"/>
    <w:rsid w:val="00253C2D"/>
    <w:rsid w:val="00254625"/>
    <w:rsid w:val="002547F9"/>
    <w:rsid w:val="00255A6D"/>
    <w:rsid w:val="00255B05"/>
    <w:rsid w:val="00255C2A"/>
    <w:rsid w:val="00256BBD"/>
    <w:rsid w:val="00256BF8"/>
    <w:rsid w:val="0025709E"/>
    <w:rsid w:val="002578E2"/>
    <w:rsid w:val="00260F72"/>
    <w:rsid w:val="002623AE"/>
    <w:rsid w:val="0026349F"/>
    <w:rsid w:val="00263FE5"/>
    <w:rsid w:val="002645A5"/>
    <w:rsid w:val="002645BA"/>
    <w:rsid w:val="002648F8"/>
    <w:rsid w:val="00265124"/>
    <w:rsid w:val="00266114"/>
    <w:rsid w:val="00266657"/>
    <w:rsid w:val="002671CA"/>
    <w:rsid w:val="0026760A"/>
    <w:rsid w:val="0026769C"/>
    <w:rsid w:val="00270227"/>
    <w:rsid w:val="0027037F"/>
    <w:rsid w:val="00270C64"/>
    <w:rsid w:val="00272420"/>
    <w:rsid w:val="00272473"/>
    <w:rsid w:val="00272EEF"/>
    <w:rsid w:val="00273011"/>
    <w:rsid w:val="00273462"/>
    <w:rsid w:val="00273AE9"/>
    <w:rsid w:val="00275212"/>
    <w:rsid w:val="0027522A"/>
    <w:rsid w:val="00275D3D"/>
    <w:rsid w:val="00275D68"/>
    <w:rsid w:val="002764F1"/>
    <w:rsid w:val="00277333"/>
    <w:rsid w:val="00277D89"/>
    <w:rsid w:val="00280D61"/>
    <w:rsid w:val="002812B5"/>
    <w:rsid w:val="00281311"/>
    <w:rsid w:val="00281387"/>
    <w:rsid w:val="002813AC"/>
    <w:rsid w:val="00281D77"/>
    <w:rsid w:val="00282AA8"/>
    <w:rsid w:val="00283375"/>
    <w:rsid w:val="00284289"/>
    <w:rsid w:val="00284A23"/>
    <w:rsid w:val="00284EB4"/>
    <w:rsid w:val="002857F0"/>
    <w:rsid w:val="00285BEE"/>
    <w:rsid w:val="00286000"/>
    <w:rsid w:val="002862BA"/>
    <w:rsid w:val="00287D35"/>
    <w:rsid w:val="00287DB7"/>
    <w:rsid w:val="00290123"/>
    <w:rsid w:val="0029031E"/>
    <w:rsid w:val="00292393"/>
    <w:rsid w:val="00292E50"/>
    <w:rsid w:val="00293064"/>
    <w:rsid w:val="00293086"/>
    <w:rsid w:val="002931C6"/>
    <w:rsid w:val="00293A78"/>
    <w:rsid w:val="002942F9"/>
    <w:rsid w:val="0029533F"/>
    <w:rsid w:val="00295594"/>
    <w:rsid w:val="00296065"/>
    <w:rsid w:val="00296FA6"/>
    <w:rsid w:val="002978C1"/>
    <w:rsid w:val="002A17CB"/>
    <w:rsid w:val="002A2194"/>
    <w:rsid w:val="002A4899"/>
    <w:rsid w:val="002A5EB0"/>
    <w:rsid w:val="002A6761"/>
    <w:rsid w:val="002A68AD"/>
    <w:rsid w:val="002B1511"/>
    <w:rsid w:val="002B1C40"/>
    <w:rsid w:val="002B1E77"/>
    <w:rsid w:val="002B2666"/>
    <w:rsid w:val="002B2FE8"/>
    <w:rsid w:val="002B30AF"/>
    <w:rsid w:val="002B3BD1"/>
    <w:rsid w:val="002B4470"/>
    <w:rsid w:val="002B51D3"/>
    <w:rsid w:val="002B666F"/>
    <w:rsid w:val="002B694A"/>
    <w:rsid w:val="002B7AFE"/>
    <w:rsid w:val="002C154A"/>
    <w:rsid w:val="002C1AEF"/>
    <w:rsid w:val="002C23BB"/>
    <w:rsid w:val="002C2E0D"/>
    <w:rsid w:val="002C366B"/>
    <w:rsid w:val="002C4105"/>
    <w:rsid w:val="002C451F"/>
    <w:rsid w:val="002C46CB"/>
    <w:rsid w:val="002C4A91"/>
    <w:rsid w:val="002C4BC9"/>
    <w:rsid w:val="002C4F0F"/>
    <w:rsid w:val="002C5593"/>
    <w:rsid w:val="002C5E41"/>
    <w:rsid w:val="002C70B9"/>
    <w:rsid w:val="002C74D2"/>
    <w:rsid w:val="002D199A"/>
    <w:rsid w:val="002D3975"/>
    <w:rsid w:val="002D39E8"/>
    <w:rsid w:val="002D5E19"/>
    <w:rsid w:val="002D5FED"/>
    <w:rsid w:val="002D7331"/>
    <w:rsid w:val="002E0F2D"/>
    <w:rsid w:val="002E1303"/>
    <w:rsid w:val="002E1D1F"/>
    <w:rsid w:val="002E2324"/>
    <w:rsid w:val="002E4074"/>
    <w:rsid w:val="002E40DF"/>
    <w:rsid w:val="002E5030"/>
    <w:rsid w:val="002E61DD"/>
    <w:rsid w:val="002E79A1"/>
    <w:rsid w:val="002E7C90"/>
    <w:rsid w:val="002E7D55"/>
    <w:rsid w:val="002F037C"/>
    <w:rsid w:val="002F06CE"/>
    <w:rsid w:val="002F0EBD"/>
    <w:rsid w:val="002F1EBD"/>
    <w:rsid w:val="002F27D5"/>
    <w:rsid w:val="002F285B"/>
    <w:rsid w:val="002F2C70"/>
    <w:rsid w:val="002F2FAC"/>
    <w:rsid w:val="002F3669"/>
    <w:rsid w:val="002F410A"/>
    <w:rsid w:val="002F4735"/>
    <w:rsid w:val="002F48AE"/>
    <w:rsid w:val="002F5375"/>
    <w:rsid w:val="002F5652"/>
    <w:rsid w:val="002F57F7"/>
    <w:rsid w:val="002F69DA"/>
    <w:rsid w:val="002F6BC3"/>
    <w:rsid w:val="002F7410"/>
    <w:rsid w:val="002F77DB"/>
    <w:rsid w:val="002F7A2A"/>
    <w:rsid w:val="002F7F3B"/>
    <w:rsid w:val="00300128"/>
    <w:rsid w:val="00300850"/>
    <w:rsid w:val="0030087D"/>
    <w:rsid w:val="00301035"/>
    <w:rsid w:val="003010D9"/>
    <w:rsid w:val="00301785"/>
    <w:rsid w:val="0030292F"/>
    <w:rsid w:val="003034E1"/>
    <w:rsid w:val="003038B4"/>
    <w:rsid w:val="003041D0"/>
    <w:rsid w:val="00304249"/>
    <w:rsid w:val="00304A64"/>
    <w:rsid w:val="003063B1"/>
    <w:rsid w:val="00306588"/>
    <w:rsid w:val="003065F1"/>
    <w:rsid w:val="00306C4C"/>
    <w:rsid w:val="00307152"/>
    <w:rsid w:val="00307445"/>
    <w:rsid w:val="00307CA2"/>
    <w:rsid w:val="0031034C"/>
    <w:rsid w:val="003109CB"/>
    <w:rsid w:val="00310B4C"/>
    <w:rsid w:val="0031108B"/>
    <w:rsid w:val="00312CD5"/>
    <w:rsid w:val="003138B3"/>
    <w:rsid w:val="003142D6"/>
    <w:rsid w:val="00314698"/>
    <w:rsid w:val="003146E6"/>
    <w:rsid w:val="00314A63"/>
    <w:rsid w:val="00315343"/>
    <w:rsid w:val="003153BE"/>
    <w:rsid w:val="003171D7"/>
    <w:rsid w:val="003174C1"/>
    <w:rsid w:val="00317E0D"/>
    <w:rsid w:val="00320B07"/>
    <w:rsid w:val="003213EA"/>
    <w:rsid w:val="00321FD2"/>
    <w:rsid w:val="0032306C"/>
    <w:rsid w:val="003231D1"/>
    <w:rsid w:val="00323500"/>
    <w:rsid w:val="0032384D"/>
    <w:rsid w:val="00323F1E"/>
    <w:rsid w:val="00324140"/>
    <w:rsid w:val="00324938"/>
    <w:rsid w:val="00324E22"/>
    <w:rsid w:val="00325B5D"/>
    <w:rsid w:val="00326733"/>
    <w:rsid w:val="00326B61"/>
    <w:rsid w:val="00327368"/>
    <w:rsid w:val="00327498"/>
    <w:rsid w:val="00327537"/>
    <w:rsid w:val="00327B6F"/>
    <w:rsid w:val="00327EE4"/>
    <w:rsid w:val="00327F4C"/>
    <w:rsid w:val="0033071B"/>
    <w:rsid w:val="0033154D"/>
    <w:rsid w:val="00331648"/>
    <w:rsid w:val="00332815"/>
    <w:rsid w:val="00333357"/>
    <w:rsid w:val="0033344A"/>
    <w:rsid w:val="003347A6"/>
    <w:rsid w:val="00334C70"/>
    <w:rsid w:val="0033545F"/>
    <w:rsid w:val="00336BE1"/>
    <w:rsid w:val="00336D9C"/>
    <w:rsid w:val="00337783"/>
    <w:rsid w:val="003379F6"/>
    <w:rsid w:val="00340B04"/>
    <w:rsid w:val="00340C66"/>
    <w:rsid w:val="003417F4"/>
    <w:rsid w:val="00341998"/>
    <w:rsid w:val="00342803"/>
    <w:rsid w:val="00344A84"/>
    <w:rsid w:val="00346166"/>
    <w:rsid w:val="00346701"/>
    <w:rsid w:val="00346AD6"/>
    <w:rsid w:val="00346AF7"/>
    <w:rsid w:val="003471BF"/>
    <w:rsid w:val="003526B2"/>
    <w:rsid w:val="00352D08"/>
    <w:rsid w:val="003550FD"/>
    <w:rsid w:val="00355C4F"/>
    <w:rsid w:val="003565F6"/>
    <w:rsid w:val="0035669F"/>
    <w:rsid w:val="00356A10"/>
    <w:rsid w:val="00356C9D"/>
    <w:rsid w:val="00356EEB"/>
    <w:rsid w:val="003571AA"/>
    <w:rsid w:val="00357EBB"/>
    <w:rsid w:val="00360013"/>
    <w:rsid w:val="00360375"/>
    <w:rsid w:val="00360F9E"/>
    <w:rsid w:val="00361240"/>
    <w:rsid w:val="003616B3"/>
    <w:rsid w:val="00361DC7"/>
    <w:rsid w:val="0036281F"/>
    <w:rsid w:val="003628C3"/>
    <w:rsid w:val="00362F76"/>
    <w:rsid w:val="003638C7"/>
    <w:rsid w:val="00365A44"/>
    <w:rsid w:val="00365A4C"/>
    <w:rsid w:val="00366467"/>
    <w:rsid w:val="0036688A"/>
    <w:rsid w:val="00366905"/>
    <w:rsid w:val="00366C9E"/>
    <w:rsid w:val="003675E3"/>
    <w:rsid w:val="00367DE8"/>
    <w:rsid w:val="00371FA0"/>
    <w:rsid w:val="00372E4B"/>
    <w:rsid w:val="0037505A"/>
    <w:rsid w:val="00376D4A"/>
    <w:rsid w:val="00377096"/>
    <w:rsid w:val="00377A0C"/>
    <w:rsid w:val="00377A98"/>
    <w:rsid w:val="00377F78"/>
    <w:rsid w:val="00380B43"/>
    <w:rsid w:val="00380FD1"/>
    <w:rsid w:val="00382582"/>
    <w:rsid w:val="0038287E"/>
    <w:rsid w:val="00383135"/>
    <w:rsid w:val="00383382"/>
    <w:rsid w:val="00385E48"/>
    <w:rsid w:val="00385EAD"/>
    <w:rsid w:val="00386B81"/>
    <w:rsid w:val="00390821"/>
    <w:rsid w:val="00391A85"/>
    <w:rsid w:val="00391D6B"/>
    <w:rsid w:val="00391F0E"/>
    <w:rsid w:val="00392100"/>
    <w:rsid w:val="00392D72"/>
    <w:rsid w:val="00393142"/>
    <w:rsid w:val="00393F64"/>
    <w:rsid w:val="00393F70"/>
    <w:rsid w:val="00394EA4"/>
    <w:rsid w:val="003951B9"/>
    <w:rsid w:val="003951FC"/>
    <w:rsid w:val="003957A8"/>
    <w:rsid w:val="00395811"/>
    <w:rsid w:val="003958BF"/>
    <w:rsid w:val="00395ABF"/>
    <w:rsid w:val="003966F9"/>
    <w:rsid w:val="00396ACE"/>
    <w:rsid w:val="003978B2"/>
    <w:rsid w:val="00397956"/>
    <w:rsid w:val="003A098D"/>
    <w:rsid w:val="003A1923"/>
    <w:rsid w:val="003A2640"/>
    <w:rsid w:val="003A2AE4"/>
    <w:rsid w:val="003A2C89"/>
    <w:rsid w:val="003A3689"/>
    <w:rsid w:val="003A39D4"/>
    <w:rsid w:val="003A5FF8"/>
    <w:rsid w:val="003A6731"/>
    <w:rsid w:val="003A6BE6"/>
    <w:rsid w:val="003A6CEE"/>
    <w:rsid w:val="003A7D7C"/>
    <w:rsid w:val="003B0392"/>
    <w:rsid w:val="003B07AB"/>
    <w:rsid w:val="003B07E4"/>
    <w:rsid w:val="003B0E49"/>
    <w:rsid w:val="003B1AC9"/>
    <w:rsid w:val="003B22BC"/>
    <w:rsid w:val="003B28A6"/>
    <w:rsid w:val="003B2B72"/>
    <w:rsid w:val="003B3B14"/>
    <w:rsid w:val="003B3BD9"/>
    <w:rsid w:val="003B56F8"/>
    <w:rsid w:val="003B5E84"/>
    <w:rsid w:val="003B5ED5"/>
    <w:rsid w:val="003B6472"/>
    <w:rsid w:val="003B6576"/>
    <w:rsid w:val="003C05D5"/>
    <w:rsid w:val="003C0C45"/>
    <w:rsid w:val="003C1508"/>
    <w:rsid w:val="003C3A10"/>
    <w:rsid w:val="003C4DDE"/>
    <w:rsid w:val="003C6029"/>
    <w:rsid w:val="003C7520"/>
    <w:rsid w:val="003C7CCF"/>
    <w:rsid w:val="003C7FDB"/>
    <w:rsid w:val="003D0801"/>
    <w:rsid w:val="003D0FDA"/>
    <w:rsid w:val="003D1146"/>
    <w:rsid w:val="003D11E3"/>
    <w:rsid w:val="003D13DC"/>
    <w:rsid w:val="003D1A46"/>
    <w:rsid w:val="003D1B07"/>
    <w:rsid w:val="003D217C"/>
    <w:rsid w:val="003D32D5"/>
    <w:rsid w:val="003D37A0"/>
    <w:rsid w:val="003D39C8"/>
    <w:rsid w:val="003D3B58"/>
    <w:rsid w:val="003D3E8E"/>
    <w:rsid w:val="003D43E4"/>
    <w:rsid w:val="003D4BFD"/>
    <w:rsid w:val="003D4F03"/>
    <w:rsid w:val="003D679F"/>
    <w:rsid w:val="003D7229"/>
    <w:rsid w:val="003D76CC"/>
    <w:rsid w:val="003D7DF5"/>
    <w:rsid w:val="003E0005"/>
    <w:rsid w:val="003E1594"/>
    <w:rsid w:val="003E2DA6"/>
    <w:rsid w:val="003E3D2F"/>
    <w:rsid w:val="003E6575"/>
    <w:rsid w:val="003E6801"/>
    <w:rsid w:val="003E689A"/>
    <w:rsid w:val="003E722A"/>
    <w:rsid w:val="003E76E7"/>
    <w:rsid w:val="003E7A47"/>
    <w:rsid w:val="003F0A31"/>
    <w:rsid w:val="003F1AA8"/>
    <w:rsid w:val="003F21D6"/>
    <w:rsid w:val="003F2C58"/>
    <w:rsid w:val="003F2EA4"/>
    <w:rsid w:val="003F2EF3"/>
    <w:rsid w:val="003F2F78"/>
    <w:rsid w:val="003F448C"/>
    <w:rsid w:val="003F4597"/>
    <w:rsid w:val="003F5797"/>
    <w:rsid w:val="003F683D"/>
    <w:rsid w:val="003F6ABD"/>
    <w:rsid w:val="003F6C74"/>
    <w:rsid w:val="00401FAC"/>
    <w:rsid w:val="004028C7"/>
    <w:rsid w:val="00404F42"/>
    <w:rsid w:val="00405812"/>
    <w:rsid w:val="00406127"/>
    <w:rsid w:val="00406CF4"/>
    <w:rsid w:val="00406F4F"/>
    <w:rsid w:val="00412343"/>
    <w:rsid w:val="00413CD5"/>
    <w:rsid w:val="00414C94"/>
    <w:rsid w:val="004157E0"/>
    <w:rsid w:val="004203DD"/>
    <w:rsid w:val="00420506"/>
    <w:rsid w:val="00420BBA"/>
    <w:rsid w:val="004222CD"/>
    <w:rsid w:val="0042322B"/>
    <w:rsid w:val="004257C4"/>
    <w:rsid w:val="0042648E"/>
    <w:rsid w:val="0042707C"/>
    <w:rsid w:val="004274B9"/>
    <w:rsid w:val="0042780D"/>
    <w:rsid w:val="00430DF8"/>
    <w:rsid w:val="004320E3"/>
    <w:rsid w:val="00432A4D"/>
    <w:rsid w:val="0043453C"/>
    <w:rsid w:val="00435BCE"/>
    <w:rsid w:val="00435C8E"/>
    <w:rsid w:val="00440B2C"/>
    <w:rsid w:val="00440CD5"/>
    <w:rsid w:val="004419D7"/>
    <w:rsid w:val="00442248"/>
    <w:rsid w:val="00442909"/>
    <w:rsid w:val="00442DCA"/>
    <w:rsid w:val="004431BF"/>
    <w:rsid w:val="0044335D"/>
    <w:rsid w:val="0044354D"/>
    <w:rsid w:val="0044382D"/>
    <w:rsid w:val="0044420D"/>
    <w:rsid w:val="004456BC"/>
    <w:rsid w:val="00446222"/>
    <w:rsid w:val="00446865"/>
    <w:rsid w:val="00446E1E"/>
    <w:rsid w:val="00446F3D"/>
    <w:rsid w:val="00447095"/>
    <w:rsid w:val="00447382"/>
    <w:rsid w:val="00447BFD"/>
    <w:rsid w:val="0045124E"/>
    <w:rsid w:val="004514AE"/>
    <w:rsid w:val="00451BA2"/>
    <w:rsid w:val="00451DD7"/>
    <w:rsid w:val="00451DFD"/>
    <w:rsid w:val="00452325"/>
    <w:rsid w:val="0045249D"/>
    <w:rsid w:val="00452839"/>
    <w:rsid w:val="00452CC9"/>
    <w:rsid w:val="00453103"/>
    <w:rsid w:val="004535A6"/>
    <w:rsid w:val="00454767"/>
    <w:rsid w:val="00454A43"/>
    <w:rsid w:val="0045549C"/>
    <w:rsid w:val="00455DFA"/>
    <w:rsid w:val="004578C6"/>
    <w:rsid w:val="00457DF0"/>
    <w:rsid w:val="004604CD"/>
    <w:rsid w:val="004607C9"/>
    <w:rsid w:val="004617E8"/>
    <w:rsid w:val="00462929"/>
    <w:rsid w:val="00462C7C"/>
    <w:rsid w:val="00462CC9"/>
    <w:rsid w:val="00462DBF"/>
    <w:rsid w:val="004634CC"/>
    <w:rsid w:val="00464249"/>
    <w:rsid w:val="004642C7"/>
    <w:rsid w:val="004646CE"/>
    <w:rsid w:val="00464A51"/>
    <w:rsid w:val="00464BE0"/>
    <w:rsid w:val="004653EA"/>
    <w:rsid w:val="00466920"/>
    <w:rsid w:val="00466A5A"/>
    <w:rsid w:val="00467E2A"/>
    <w:rsid w:val="00470498"/>
    <w:rsid w:val="00470C3B"/>
    <w:rsid w:val="00471F70"/>
    <w:rsid w:val="0047204C"/>
    <w:rsid w:val="0047227A"/>
    <w:rsid w:val="00473162"/>
    <w:rsid w:val="0047318A"/>
    <w:rsid w:val="0047355D"/>
    <w:rsid w:val="00473E54"/>
    <w:rsid w:val="0047401E"/>
    <w:rsid w:val="00474067"/>
    <w:rsid w:val="004757C1"/>
    <w:rsid w:val="0047738B"/>
    <w:rsid w:val="004774EA"/>
    <w:rsid w:val="00477A19"/>
    <w:rsid w:val="00481462"/>
    <w:rsid w:val="004825B1"/>
    <w:rsid w:val="00482C95"/>
    <w:rsid w:val="00483D42"/>
    <w:rsid w:val="00484420"/>
    <w:rsid w:val="00485631"/>
    <w:rsid w:val="00485D39"/>
    <w:rsid w:val="00486902"/>
    <w:rsid w:val="00486EBA"/>
    <w:rsid w:val="0049067B"/>
    <w:rsid w:val="004913DF"/>
    <w:rsid w:val="004926FA"/>
    <w:rsid w:val="00492B68"/>
    <w:rsid w:val="00493578"/>
    <w:rsid w:val="004936D2"/>
    <w:rsid w:val="0049397B"/>
    <w:rsid w:val="00493CB4"/>
    <w:rsid w:val="00495948"/>
    <w:rsid w:val="00495EA3"/>
    <w:rsid w:val="004966F5"/>
    <w:rsid w:val="00496E30"/>
    <w:rsid w:val="00497929"/>
    <w:rsid w:val="00497947"/>
    <w:rsid w:val="00497A88"/>
    <w:rsid w:val="00497E30"/>
    <w:rsid w:val="004A0551"/>
    <w:rsid w:val="004A0669"/>
    <w:rsid w:val="004A1F78"/>
    <w:rsid w:val="004A206B"/>
    <w:rsid w:val="004A359A"/>
    <w:rsid w:val="004A3951"/>
    <w:rsid w:val="004A3C3C"/>
    <w:rsid w:val="004A4FD2"/>
    <w:rsid w:val="004A5122"/>
    <w:rsid w:val="004A54F7"/>
    <w:rsid w:val="004A564D"/>
    <w:rsid w:val="004A6465"/>
    <w:rsid w:val="004A70A5"/>
    <w:rsid w:val="004B018F"/>
    <w:rsid w:val="004B03F4"/>
    <w:rsid w:val="004B0631"/>
    <w:rsid w:val="004B06E1"/>
    <w:rsid w:val="004B11AB"/>
    <w:rsid w:val="004B2FB4"/>
    <w:rsid w:val="004B3065"/>
    <w:rsid w:val="004B39E9"/>
    <w:rsid w:val="004B4C2E"/>
    <w:rsid w:val="004B5A7F"/>
    <w:rsid w:val="004B5D76"/>
    <w:rsid w:val="004B7275"/>
    <w:rsid w:val="004B7FBD"/>
    <w:rsid w:val="004C0FE6"/>
    <w:rsid w:val="004C19BC"/>
    <w:rsid w:val="004C1C0E"/>
    <w:rsid w:val="004C2D77"/>
    <w:rsid w:val="004C3314"/>
    <w:rsid w:val="004C3C5C"/>
    <w:rsid w:val="004C4BCE"/>
    <w:rsid w:val="004C568A"/>
    <w:rsid w:val="004C6C27"/>
    <w:rsid w:val="004C6E9A"/>
    <w:rsid w:val="004C7571"/>
    <w:rsid w:val="004D0A2F"/>
    <w:rsid w:val="004D0EE6"/>
    <w:rsid w:val="004D15FB"/>
    <w:rsid w:val="004D197A"/>
    <w:rsid w:val="004D2AE7"/>
    <w:rsid w:val="004D2FF8"/>
    <w:rsid w:val="004D304E"/>
    <w:rsid w:val="004D4920"/>
    <w:rsid w:val="004D4DD7"/>
    <w:rsid w:val="004D5ED4"/>
    <w:rsid w:val="004D5F89"/>
    <w:rsid w:val="004D60B8"/>
    <w:rsid w:val="004E0F62"/>
    <w:rsid w:val="004E1A7F"/>
    <w:rsid w:val="004E2789"/>
    <w:rsid w:val="004E32EA"/>
    <w:rsid w:val="004E332D"/>
    <w:rsid w:val="004E3931"/>
    <w:rsid w:val="004E3DD8"/>
    <w:rsid w:val="004E53FE"/>
    <w:rsid w:val="004E6BF2"/>
    <w:rsid w:val="004E7640"/>
    <w:rsid w:val="004E7E74"/>
    <w:rsid w:val="004F0259"/>
    <w:rsid w:val="004F07EE"/>
    <w:rsid w:val="004F085E"/>
    <w:rsid w:val="004F0B85"/>
    <w:rsid w:val="004F1A21"/>
    <w:rsid w:val="004F37FC"/>
    <w:rsid w:val="004F44B8"/>
    <w:rsid w:val="004F4997"/>
    <w:rsid w:val="004F6CCC"/>
    <w:rsid w:val="004F6F16"/>
    <w:rsid w:val="00501435"/>
    <w:rsid w:val="005015D6"/>
    <w:rsid w:val="00501616"/>
    <w:rsid w:val="00501DD3"/>
    <w:rsid w:val="00501F7A"/>
    <w:rsid w:val="005021A5"/>
    <w:rsid w:val="00503626"/>
    <w:rsid w:val="0050449C"/>
    <w:rsid w:val="005047AF"/>
    <w:rsid w:val="00504ACC"/>
    <w:rsid w:val="00505339"/>
    <w:rsid w:val="005056DA"/>
    <w:rsid w:val="005068AE"/>
    <w:rsid w:val="00506D46"/>
    <w:rsid w:val="005075C4"/>
    <w:rsid w:val="00510DB2"/>
    <w:rsid w:val="00510F47"/>
    <w:rsid w:val="0051100B"/>
    <w:rsid w:val="00511094"/>
    <w:rsid w:val="00511FD6"/>
    <w:rsid w:val="00512641"/>
    <w:rsid w:val="00514FF0"/>
    <w:rsid w:val="0051603E"/>
    <w:rsid w:val="0051641E"/>
    <w:rsid w:val="005164C5"/>
    <w:rsid w:val="0051657B"/>
    <w:rsid w:val="00517463"/>
    <w:rsid w:val="00517DD4"/>
    <w:rsid w:val="00522632"/>
    <w:rsid w:val="00522898"/>
    <w:rsid w:val="0052404A"/>
    <w:rsid w:val="00524A32"/>
    <w:rsid w:val="00524F8D"/>
    <w:rsid w:val="00525160"/>
    <w:rsid w:val="005251E4"/>
    <w:rsid w:val="005251EE"/>
    <w:rsid w:val="00525E9B"/>
    <w:rsid w:val="00527DF3"/>
    <w:rsid w:val="00530237"/>
    <w:rsid w:val="005306B8"/>
    <w:rsid w:val="00531BA1"/>
    <w:rsid w:val="00532249"/>
    <w:rsid w:val="00532B50"/>
    <w:rsid w:val="00532FCE"/>
    <w:rsid w:val="0053432C"/>
    <w:rsid w:val="00534905"/>
    <w:rsid w:val="005356FB"/>
    <w:rsid w:val="00535B8B"/>
    <w:rsid w:val="00535E64"/>
    <w:rsid w:val="005367B4"/>
    <w:rsid w:val="0054112B"/>
    <w:rsid w:val="0054232E"/>
    <w:rsid w:val="005423E7"/>
    <w:rsid w:val="00542EB2"/>
    <w:rsid w:val="0054317D"/>
    <w:rsid w:val="00543649"/>
    <w:rsid w:val="00543DC3"/>
    <w:rsid w:val="005442FD"/>
    <w:rsid w:val="00545079"/>
    <w:rsid w:val="00545FE4"/>
    <w:rsid w:val="00546F59"/>
    <w:rsid w:val="00550A5B"/>
    <w:rsid w:val="005516AB"/>
    <w:rsid w:val="005525E1"/>
    <w:rsid w:val="00553B1D"/>
    <w:rsid w:val="00554567"/>
    <w:rsid w:val="0055465C"/>
    <w:rsid w:val="00554750"/>
    <w:rsid w:val="00554E9A"/>
    <w:rsid w:val="005565DE"/>
    <w:rsid w:val="00557FFE"/>
    <w:rsid w:val="00560266"/>
    <w:rsid w:val="00560347"/>
    <w:rsid w:val="00561548"/>
    <w:rsid w:val="005619F7"/>
    <w:rsid w:val="00561BE3"/>
    <w:rsid w:val="00561EA7"/>
    <w:rsid w:val="00563036"/>
    <w:rsid w:val="00564C85"/>
    <w:rsid w:val="00566253"/>
    <w:rsid w:val="00566825"/>
    <w:rsid w:val="00567D8B"/>
    <w:rsid w:val="005701EE"/>
    <w:rsid w:val="00570701"/>
    <w:rsid w:val="005721AD"/>
    <w:rsid w:val="00572AC5"/>
    <w:rsid w:val="00573227"/>
    <w:rsid w:val="00573A63"/>
    <w:rsid w:val="005740ED"/>
    <w:rsid w:val="005751AA"/>
    <w:rsid w:val="005754D9"/>
    <w:rsid w:val="005754DA"/>
    <w:rsid w:val="00575C1E"/>
    <w:rsid w:val="00576120"/>
    <w:rsid w:val="00577563"/>
    <w:rsid w:val="00577FA6"/>
    <w:rsid w:val="005800C8"/>
    <w:rsid w:val="005803A7"/>
    <w:rsid w:val="0058184B"/>
    <w:rsid w:val="0058196C"/>
    <w:rsid w:val="00581E94"/>
    <w:rsid w:val="00582150"/>
    <w:rsid w:val="00582626"/>
    <w:rsid w:val="0058331D"/>
    <w:rsid w:val="0058358E"/>
    <w:rsid w:val="00583BCD"/>
    <w:rsid w:val="00584379"/>
    <w:rsid w:val="00585274"/>
    <w:rsid w:val="00585C37"/>
    <w:rsid w:val="005873C7"/>
    <w:rsid w:val="00587966"/>
    <w:rsid w:val="00587B29"/>
    <w:rsid w:val="005901CC"/>
    <w:rsid w:val="005916E0"/>
    <w:rsid w:val="005926B3"/>
    <w:rsid w:val="00594049"/>
    <w:rsid w:val="005955FE"/>
    <w:rsid w:val="00595837"/>
    <w:rsid w:val="00596AD8"/>
    <w:rsid w:val="005974B0"/>
    <w:rsid w:val="005A03E1"/>
    <w:rsid w:val="005A0F48"/>
    <w:rsid w:val="005A191B"/>
    <w:rsid w:val="005A1FC9"/>
    <w:rsid w:val="005A263D"/>
    <w:rsid w:val="005A3BBC"/>
    <w:rsid w:val="005A3DAA"/>
    <w:rsid w:val="005A4491"/>
    <w:rsid w:val="005A596E"/>
    <w:rsid w:val="005A5DB2"/>
    <w:rsid w:val="005A5EDA"/>
    <w:rsid w:val="005A7A75"/>
    <w:rsid w:val="005B1EB6"/>
    <w:rsid w:val="005B25D9"/>
    <w:rsid w:val="005B2752"/>
    <w:rsid w:val="005B3F23"/>
    <w:rsid w:val="005B6E62"/>
    <w:rsid w:val="005B7CA2"/>
    <w:rsid w:val="005C0310"/>
    <w:rsid w:val="005C0B4F"/>
    <w:rsid w:val="005C1203"/>
    <w:rsid w:val="005C175F"/>
    <w:rsid w:val="005C1816"/>
    <w:rsid w:val="005C1C0B"/>
    <w:rsid w:val="005C255A"/>
    <w:rsid w:val="005C3A83"/>
    <w:rsid w:val="005C3E2F"/>
    <w:rsid w:val="005C57AF"/>
    <w:rsid w:val="005C67B8"/>
    <w:rsid w:val="005C6CAB"/>
    <w:rsid w:val="005C6E6A"/>
    <w:rsid w:val="005C7CF7"/>
    <w:rsid w:val="005D0B8E"/>
    <w:rsid w:val="005D0BDA"/>
    <w:rsid w:val="005D1B2D"/>
    <w:rsid w:val="005D1ECB"/>
    <w:rsid w:val="005D3B40"/>
    <w:rsid w:val="005D3B43"/>
    <w:rsid w:val="005D603B"/>
    <w:rsid w:val="005D6A23"/>
    <w:rsid w:val="005D6BCE"/>
    <w:rsid w:val="005D71A2"/>
    <w:rsid w:val="005D7572"/>
    <w:rsid w:val="005D7AC4"/>
    <w:rsid w:val="005D7B1B"/>
    <w:rsid w:val="005D7CFA"/>
    <w:rsid w:val="005E03A4"/>
    <w:rsid w:val="005E0B5D"/>
    <w:rsid w:val="005E0C9C"/>
    <w:rsid w:val="005E2B4D"/>
    <w:rsid w:val="005E3185"/>
    <w:rsid w:val="005E31D2"/>
    <w:rsid w:val="005E35B7"/>
    <w:rsid w:val="005E49BA"/>
    <w:rsid w:val="005E57A5"/>
    <w:rsid w:val="005E5F6A"/>
    <w:rsid w:val="005E65D2"/>
    <w:rsid w:val="005E6F04"/>
    <w:rsid w:val="005E7120"/>
    <w:rsid w:val="005E7699"/>
    <w:rsid w:val="005E79D8"/>
    <w:rsid w:val="005F16E1"/>
    <w:rsid w:val="005F1A06"/>
    <w:rsid w:val="005F373A"/>
    <w:rsid w:val="005F47DF"/>
    <w:rsid w:val="005F493F"/>
    <w:rsid w:val="005F4D92"/>
    <w:rsid w:val="005F58B6"/>
    <w:rsid w:val="005F59BF"/>
    <w:rsid w:val="005F5E9E"/>
    <w:rsid w:val="005F6118"/>
    <w:rsid w:val="005F7694"/>
    <w:rsid w:val="005F7AA1"/>
    <w:rsid w:val="0060054A"/>
    <w:rsid w:val="006005D8"/>
    <w:rsid w:val="00600F33"/>
    <w:rsid w:val="00601449"/>
    <w:rsid w:val="00601528"/>
    <w:rsid w:val="00601A30"/>
    <w:rsid w:val="006021F9"/>
    <w:rsid w:val="006025E0"/>
    <w:rsid w:val="00602919"/>
    <w:rsid w:val="00602E91"/>
    <w:rsid w:val="00604143"/>
    <w:rsid w:val="00604CD6"/>
    <w:rsid w:val="006056BD"/>
    <w:rsid w:val="006057CB"/>
    <w:rsid w:val="00606032"/>
    <w:rsid w:val="00606244"/>
    <w:rsid w:val="0060649E"/>
    <w:rsid w:val="00606ADA"/>
    <w:rsid w:val="00610A43"/>
    <w:rsid w:val="00610E21"/>
    <w:rsid w:val="00610FDA"/>
    <w:rsid w:val="006136C6"/>
    <w:rsid w:val="00614A66"/>
    <w:rsid w:val="00615D73"/>
    <w:rsid w:val="00615EC8"/>
    <w:rsid w:val="00615EFE"/>
    <w:rsid w:val="00616745"/>
    <w:rsid w:val="0061684D"/>
    <w:rsid w:val="006172A5"/>
    <w:rsid w:val="0061764E"/>
    <w:rsid w:val="00620543"/>
    <w:rsid w:val="00620D2E"/>
    <w:rsid w:val="00620D87"/>
    <w:rsid w:val="00620FF5"/>
    <w:rsid w:val="006227F5"/>
    <w:rsid w:val="00622949"/>
    <w:rsid w:val="00622FB2"/>
    <w:rsid w:val="0062307A"/>
    <w:rsid w:val="006231B2"/>
    <w:rsid w:val="00623D76"/>
    <w:rsid w:val="0062418C"/>
    <w:rsid w:val="00625020"/>
    <w:rsid w:val="006259A2"/>
    <w:rsid w:val="00625B28"/>
    <w:rsid w:val="00625EEF"/>
    <w:rsid w:val="006272FC"/>
    <w:rsid w:val="0063035A"/>
    <w:rsid w:val="006304DA"/>
    <w:rsid w:val="00630A7C"/>
    <w:rsid w:val="00630A91"/>
    <w:rsid w:val="0063140E"/>
    <w:rsid w:val="00631A5D"/>
    <w:rsid w:val="00632769"/>
    <w:rsid w:val="00632EE5"/>
    <w:rsid w:val="00633FEE"/>
    <w:rsid w:val="006340E7"/>
    <w:rsid w:val="00635966"/>
    <w:rsid w:val="00635BD2"/>
    <w:rsid w:val="00636555"/>
    <w:rsid w:val="0063694F"/>
    <w:rsid w:val="00636F75"/>
    <w:rsid w:val="006374B1"/>
    <w:rsid w:val="00640296"/>
    <w:rsid w:val="00641B36"/>
    <w:rsid w:val="006438B5"/>
    <w:rsid w:val="00644BF7"/>
    <w:rsid w:val="00644E95"/>
    <w:rsid w:val="006459AF"/>
    <w:rsid w:val="006463D7"/>
    <w:rsid w:val="00646A79"/>
    <w:rsid w:val="006471FA"/>
    <w:rsid w:val="00647E27"/>
    <w:rsid w:val="00647F50"/>
    <w:rsid w:val="006506F5"/>
    <w:rsid w:val="00650727"/>
    <w:rsid w:val="006508AD"/>
    <w:rsid w:val="00651525"/>
    <w:rsid w:val="006523DF"/>
    <w:rsid w:val="0065274F"/>
    <w:rsid w:val="00654059"/>
    <w:rsid w:val="0065439E"/>
    <w:rsid w:val="00654BAE"/>
    <w:rsid w:val="006551DE"/>
    <w:rsid w:val="00655432"/>
    <w:rsid w:val="00655A27"/>
    <w:rsid w:val="00656170"/>
    <w:rsid w:val="00656262"/>
    <w:rsid w:val="0065629D"/>
    <w:rsid w:val="00656427"/>
    <w:rsid w:val="00656432"/>
    <w:rsid w:val="00656589"/>
    <w:rsid w:val="006565E0"/>
    <w:rsid w:val="00657C1A"/>
    <w:rsid w:val="00657C32"/>
    <w:rsid w:val="0066044D"/>
    <w:rsid w:val="00660D13"/>
    <w:rsid w:val="00660ED3"/>
    <w:rsid w:val="00660F3C"/>
    <w:rsid w:val="00661959"/>
    <w:rsid w:val="00662A43"/>
    <w:rsid w:val="00664A96"/>
    <w:rsid w:val="0066528C"/>
    <w:rsid w:val="00665566"/>
    <w:rsid w:val="0066599E"/>
    <w:rsid w:val="006664E7"/>
    <w:rsid w:val="00666ADA"/>
    <w:rsid w:val="00667406"/>
    <w:rsid w:val="00670A17"/>
    <w:rsid w:val="00670A47"/>
    <w:rsid w:val="00670B60"/>
    <w:rsid w:val="00671390"/>
    <w:rsid w:val="00671AB2"/>
    <w:rsid w:val="00672993"/>
    <w:rsid w:val="00672BE3"/>
    <w:rsid w:val="0067346F"/>
    <w:rsid w:val="00675D2C"/>
    <w:rsid w:val="00676A40"/>
    <w:rsid w:val="00676B54"/>
    <w:rsid w:val="00680BE4"/>
    <w:rsid w:val="00681677"/>
    <w:rsid w:val="00682068"/>
    <w:rsid w:val="006820C2"/>
    <w:rsid w:val="00682120"/>
    <w:rsid w:val="0068256F"/>
    <w:rsid w:val="00682DDC"/>
    <w:rsid w:val="00683A36"/>
    <w:rsid w:val="006849DF"/>
    <w:rsid w:val="00684E7B"/>
    <w:rsid w:val="0068575D"/>
    <w:rsid w:val="00685E8A"/>
    <w:rsid w:val="00686E19"/>
    <w:rsid w:val="006878D5"/>
    <w:rsid w:val="00687E16"/>
    <w:rsid w:val="00690357"/>
    <w:rsid w:val="00691E87"/>
    <w:rsid w:val="00692206"/>
    <w:rsid w:val="00692962"/>
    <w:rsid w:val="00692AB5"/>
    <w:rsid w:val="0069461A"/>
    <w:rsid w:val="00694695"/>
    <w:rsid w:val="00695AE8"/>
    <w:rsid w:val="006961F7"/>
    <w:rsid w:val="00697C6E"/>
    <w:rsid w:val="006A1247"/>
    <w:rsid w:val="006A2363"/>
    <w:rsid w:val="006A238A"/>
    <w:rsid w:val="006A37A9"/>
    <w:rsid w:val="006A43BD"/>
    <w:rsid w:val="006A4439"/>
    <w:rsid w:val="006A4834"/>
    <w:rsid w:val="006A49D8"/>
    <w:rsid w:val="006A5F86"/>
    <w:rsid w:val="006A71BA"/>
    <w:rsid w:val="006A7F59"/>
    <w:rsid w:val="006B03E7"/>
    <w:rsid w:val="006B1BFC"/>
    <w:rsid w:val="006B23BB"/>
    <w:rsid w:val="006B383F"/>
    <w:rsid w:val="006B46D5"/>
    <w:rsid w:val="006B57DF"/>
    <w:rsid w:val="006B7BAF"/>
    <w:rsid w:val="006B7BE1"/>
    <w:rsid w:val="006C07BC"/>
    <w:rsid w:val="006C2123"/>
    <w:rsid w:val="006C27A1"/>
    <w:rsid w:val="006C2A36"/>
    <w:rsid w:val="006C2F4E"/>
    <w:rsid w:val="006C307B"/>
    <w:rsid w:val="006C54AB"/>
    <w:rsid w:val="006C5686"/>
    <w:rsid w:val="006C5900"/>
    <w:rsid w:val="006C5C66"/>
    <w:rsid w:val="006C5E05"/>
    <w:rsid w:val="006C602B"/>
    <w:rsid w:val="006C6284"/>
    <w:rsid w:val="006C683A"/>
    <w:rsid w:val="006C7DB0"/>
    <w:rsid w:val="006C7FB2"/>
    <w:rsid w:val="006D098C"/>
    <w:rsid w:val="006D0E26"/>
    <w:rsid w:val="006D234D"/>
    <w:rsid w:val="006D2814"/>
    <w:rsid w:val="006D2A99"/>
    <w:rsid w:val="006D2F8C"/>
    <w:rsid w:val="006D30E4"/>
    <w:rsid w:val="006D3FC1"/>
    <w:rsid w:val="006D616D"/>
    <w:rsid w:val="006D66EB"/>
    <w:rsid w:val="006D73D8"/>
    <w:rsid w:val="006E009B"/>
    <w:rsid w:val="006E08F7"/>
    <w:rsid w:val="006E1ABE"/>
    <w:rsid w:val="006E2537"/>
    <w:rsid w:val="006E3098"/>
    <w:rsid w:val="006E313B"/>
    <w:rsid w:val="006E454E"/>
    <w:rsid w:val="006E51C0"/>
    <w:rsid w:val="006E597E"/>
    <w:rsid w:val="006E60C3"/>
    <w:rsid w:val="006F0770"/>
    <w:rsid w:val="006F0BD0"/>
    <w:rsid w:val="006F0EB7"/>
    <w:rsid w:val="006F1DDE"/>
    <w:rsid w:val="006F2103"/>
    <w:rsid w:val="006F2205"/>
    <w:rsid w:val="006F2855"/>
    <w:rsid w:val="006F30C2"/>
    <w:rsid w:val="006F3712"/>
    <w:rsid w:val="006F3ED8"/>
    <w:rsid w:val="006F403D"/>
    <w:rsid w:val="006F40BF"/>
    <w:rsid w:val="006F4E55"/>
    <w:rsid w:val="006F4F46"/>
    <w:rsid w:val="006F524D"/>
    <w:rsid w:val="006F5C71"/>
    <w:rsid w:val="006F5FA9"/>
    <w:rsid w:val="006F6EEC"/>
    <w:rsid w:val="006F752C"/>
    <w:rsid w:val="006F762F"/>
    <w:rsid w:val="00700EF2"/>
    <w:rsid w:val="00701A10"/>
    <w:rsid w:val="0070204E"/>
    <w:rsid w:val="0070314C"/>
    <w:rsid w:val="0070403E"/>
    <w:rsid w:val="007063BB"/>
    <w:rsid w:val="00706C7A"/>
    <w:rsid w:val="00706EEA"/>
    <w:rsid w:val="0070721C"/>
    <w:rsid w:val="00707389"/>
    <w:rsid w:val="0071142E"/>
    <w:rsid w:val="00712A14"/>
    <w:rsid w:val="0071342D"/>
    <w:rsid w:val="00714427"/>
    <w:rsid w:val="0071461E"/>
    <w:rsid w:val="007147C5"/>
    <w:rsid w:val="00714956"/>
    <w:rsid w:val="00714D42"/>
    <w:rsid w:val="00715F66"/>
    <w:rsid w:val="00716EF5"/>
    <w:rsid w:val="0071700A"/>
    <w:rsid w:val="00717169"/>
    <w:rsid w:val="00717BED"/>
    <w:rsid w:val="0072064F"/>
    <w:rsid w:val="0072085E"/>
    <w:rsid w:val="00720AAC"/>
    <w:rsid w:val="007215C7"/>
    <w:rsid w:val="0072271A"/>
    <w:rsid w:val="00722B7B"/>
    <w:rsid w:val="00723304"/>
    <w:rsid w:val="007235F4"/>
    <w:rsid w:val="007236E6"/>
    <w:rsid w:val="00723A51"/>
    <w:rsid w:val="00724205"/>
    <w:rsid w:val="0072641B"/>
    <w:rsid w:val="00726C68"/>
    <w:rsid w:val="00726CF8"/>
    <w:rsid w:val="00727A1D"/>
    <w:rsid w:val="00730106"/>
    <w:rsid w:val="0073018B"/>
    <w:rsid w:val="00731252"/>
    <w:rsid w:val="0073274C"/>
    <w:rsid w:val="00732882"/>
    <w:rsid w:val="007333BA"/>
    <w:rsid w:val="0073382B"/>
    <w:rsid w:val="0073425E"/>
    <w:rsid w:val="0073435C"/>
    <w:rsid w:val="00734DD9"/>
    <w:rsid w:val="007356CF"/>
    <w:rsid w:val="0073619A"/>
    <w:rsid w:val="007400C7"/>
    <w:rsid w:val="00741E6C"/>
    <w:rsid w:val="0074296A"/>
    <w:rsid w:val="0074419A"/>
    <w:rsid w:val="00744228"/>
    <w:rsid w:val="00744E7F"/>
    <w:rsid w:val="007454B5"/>
    <w:rsid w:val="00745587"/>
    <w:rsid w:val="0074690E"/>
    <w:rsid w:val="00746B5A"/>
    <w:rsid w:val="0074712B"/>
    <w:rsid w:val="0074767C"/>
    <w:rsid w:val="00751109"/>
    <w:rsid w:val="00751DE6"/>
    <w:rsid w:val="0075212D"/>
    <w:rsid w:val="007525A2"/>
    <w:rsid w:val="00752C58"/>
    <w:rsid w:val="00752FF7"/>
    <w:rsid w:val="00753AA1"/>
    <w:rsid w:val="007548EC"/>
    <w:rsid w:val="0075495F"/>
    <w:rsid w:val="007553D0"/>
    <w:rsid w:val="00755770"/>
    <w:rsid w:val="00755A3E"/>
    <w:rsid w:val="00755B1B"/>
    <w:rsid w:val="00756A91"/>
    <w:rsid w:val="0076116B"/>
    <w:rsid w:val="0076172C"/>
    <w:rsid w:val="00761774"/>
    <w:rsid w:val="007618E0"/>
    <w:rsid w:val="00761938"/>
    <w:rsid w:val="007643E4"/>
    <w:rsid w:val="0076631F"/>
    <w:rsid w:val="00766E76"/>
    <w:rsid w:val="00767106"/>
    <w:rsid w:val="00767CC9"/>
    <w:rsid w:val="00767E13"/>
    <w:rsid w:val="007700BC"/>
    <w:rsid w:val="0077056D"/>
    <w:rsid w:val="00770B92"/>
    <w:rsid w:val="0077179F"/>
    <w:rsid w:val="00771BDC"/>
    <w:rsid w:val="00773331"/>
    <w:rsid w:val="00773791"/>
    <w:rsid w:val="00774316"/>
    <w:rsid w:val="007746A4"/>
    <w:rsid w:val="007750C1"/>
    <w:rsid w:val="00775E89"/>
    <w:rsid w:val="00775FC0"/>
    <w:rsid w:val="00776779"/>
    <w:rsid w:val="00777A40"/>
    <w:rsid w:val="00780A7F"/>
    <w:rsid w:val="00781E1E"/>
    <w:rsid w:val="007824AD"/>
    <w:rsid w:val="007829A8"/>
    <w:rsid w:val="00783203"/>
    <w:rsid w:val="00783383"/>
    <w:rsid w:val="00783F3B"/>
    <w:rsid w:val="007844C9"/>
    <w:rsid w:val="0078522B"/>
    <w:rsid w:val="00785B78"/>
    <w:rsid w:val="00785DC7"/>
    <w:rsid w:val="0078617B"/>
    <w:rsid w:val="00786D92"/>
    <w:rsid w:val="00787395"/>
    <w:rsid w:val="0079073A"/>
    <w:rsid w:val="00790B0C"/>
    <w:rsid w:val="00790DA9"/>
    <w:rsid w:val="0079113F"/>
    <w:rsid w:val="007911BA"/>
    <w:rsid w:val="00792332"/>
    <w:rsid w:val="00792512"/>
    <w:rsid w:val="0079291A"/>
    <w:rsid w:val="00792C22"/>
    <w:rsid w:val="007932EF"/>
    <w:rsid w:val="00793534"/>
    <w:rsid w:val="007936F3"/>
    <w:rsid w:val="007936FC"/>
    <w:rsid w:val="00793810"/>
    <w:rsid w:val="00793B6F"/>
    <w:rsid w:val="00793C5F"/>
    <w:rsid w:val="00794F79"/>
    <w:rsid w:val="007963F2"/>
    <w:rsid w:val="007A0895"/>
    <w:rsid w:val="007A2269"/>
    <w:rsid w:val="007A2C5F"/>
    <w:rsid w:val="007A3265"/>
    <w:rsid w:val="007A3F75"/>
    <w:rsid w:val="007A5636"/>
    <w:rsid w:val="007A565C"/>
    <w:rsid w:val="007A5E64"/>
    <w:rsid w:val="007A6965"/>
    <w:rsid w:val="007B15F6"/>
    <w:rsid w:val="007B183F"/>
    <w:rsid w:val="007B22EC"/>
    <w:rsid w:val="007B2632"/>
    <w:rsid w:val="007B306A"/>
    <w:rsid w:val="007B4987"/>
    <w:rsid w:val="007B4A88"/>
    <w:rsid w:val="007B4C73"/>
    <w:rsid w:val="007B50CF"/>
    <w:rsid w:val="007B5157"/>
    <w:rsid w:val="007B5B8B"/>
    <w:rsid w:val="007B68EF"/>
    <w:rsid w:val="007B6D58"/>
    <w:rsid w:val="007B6E3E"/>
    <w:rsid w:val="007B6F03"/>
    <w:rsid w:val="007B70B9"/>
    <w:rsid w:val="007B7711"/>
    <w:rsid w:val="007C0A5D"/>
    <w:rsid w:val="007C267E"/>
    <w:rsid w:val="007C3351"/>
    <w:rsid w:val="007C37AF"/>
    <w:rsid w:val="007C3915"/>
    <w:rsid w:val="007C463E"/>
    <w:rsid w:val="007C4B10"/>
    <w:rsid w:val="007C5DA2"/>
    <w:rsid w:val="007C5F32"/>
    <w:rsid w:val="007C625E"/>
    <w:rsid w:val="007D0861"/>
    <w:rsid w:val="007D151D"/>
    <w:rsid w:val="007D21A0"/>
    <w:rsid w:val="007D2D3C"/>
    <w:rsid w:val="007D2D44"/>
    <w:rsid w:val="007D370A"/>
    <w:rsid w:val="007D488C"/>
    <w:rsid w:val="007D4D03"/>
    <w:rsid w:val="007D50FD"/>
    <w:rsid w:val="007D6065"/>
    <w:rsid w:val="007D60BE"/>
    <w:rsid w:val="007D724D"/>
    <w:rsid w:val="007D7250"/>
    <w:rsid w:val="007E05B0"/>
    <w:rsid w:val="007E1075"/>
    <w:rsid w:val="007E1A0A"/>
    <w:rsid w:val="007E1FA6"/>
    <w:rsid w:val="007E2140"/>
    <w:rsid w:val="007E2DA5"/>
    <w:rsid w:val="007E3CC7"/>
    <w:rsid w:val="007E4AC4"/>
    <w:rsid w:val="007E4B49"/>
    <w:rsid w:val="007E4E63"/>
    <w:rsid w:val="007E5B40"/>
    <w:rsid w:val="007E65FC"/>
    <w:rsid w:val="007E6DAF"/>
    <w:rsid w:val="007E7103"/>
    <w:rsid w:val="007E7241"/>
    <w:rsid w:val="007F0168"/>
    <w:rsid w:val="007F0806"/>
    <w:rsid w:val="007F08AC"/>
    <w:rsid w:val="007F0BC9"/>
    <w:rsid w:val="007F0C16"/>
    <w:rsid w:val="007F162C"/>
    <w:rsid w:val="007F195D"/>
    <w:rsid w:val="007F1BAE"/>
    <w:rsid w:val="007F2946"/>
    <w:rsid w:val="007F3B96"/>
    <w:rsid w:val="007F3DD4"/>
    <w:rsid w:val="007F55FD"/>
    <w:rsid w:val="007F5D7C"/>
    <w:rsid w:val="007F5DA7"/>
    <w:rsid w:val="007F72F0"/>
    <w:rsid w:val="007F7835"/>
    <w:rsid w:val="007F7C2A"/>
    <w:rsid w:val="00800DE2"/>
    <w:rsid w:val="00801835"/>
    <w:rsid w:val="008030B2"/>
    <w:rsid w:val="00803B13"/>
    <w:rsid w:val="008050F2"/>
    <w:rsid w:val="00805276"/>
    <w:rsid w:val="0080573B"/>
    <w:rsid w:val="008065EB"/>
    <w:rsid w:val="00806ED9"/>
    <w:rsid w:val="00810071"/>
    <w:rsid w:val="008101A8"/>
    <w:rsid w:val="00811129"/>
    <w:rsid w:val="00811706"/>
    <w:rsid w:val="008131D3"/>
    <w:rsid w:val="00813E91"/>
    <w:rsid w:val="00813F06"/>
    <w:rsid w:val="00813FFD"/>
    <w:rsid w:val="00816AAA"/>
    <w:rsid w:val="00817C1D"/>
    <w:rsid w:val="00817DDC"/>
    <w:rsid w:val="00821036"/>
    <w:rsid w:val="00821509"/>
    <w:rsid w:val="00821DAD"/>
    <w:rsid w:val="008228B1"/>
    <w:rsid w:val="00822FCB"/>
    <w:rsid w:val="00823D5A"/>
    <w:rsid w:val="0082658C"/>
    <w:rsid w:val="00827F27"/>
    <w:rsid w:val="00830807"/>
    <w:rsid w:val="00830B05"/>
    <w:rsid w:val="008313C0"/>
    <w:rsid w:val="008326B8"/>
    <w:rsid w:val="00832A52"/>
    <w:rsid w:val="00833558"/>
    <w:rsid w:val="00833C27"/>
    <w:rsid w:val="00834D5F"/>
    <w:rsid w:val="00835FD9"/>
    <w:rsid w:val="00836BD4"/>
    <w:rsid w:val="00837D1F"/>
    <w:rsid w:val="00840075"/>
    <w:rsid w:val="00840087"/>
    <w:rsid w:val="0084022D"/>
    <w:rsid w:val="00840B14"/>
    <w:rsid w:val="00841932"/>
    <w:rsid w:val="00841E4E"/>
    <w:rsid w:val="00842DF6"/>
    <w:rsid w:val="008434FF"/>
    <w:rsid w:val="00843BFD"/>
    <w:rsid w:val="008464CD"/>
    <w:rsid w:val="00847CEF"/>
    <w:rsid w:val="00850BD6"/>
    <w:rsid w:val="00850E3C"/>
    <w:rsid w:val="008520B1"/>
    <w:rsid w:val="008523EF"/>
    <w:rsid w:val="00852698"/>
    <w:rsid w:val="00852C45"/>
    <w:rsid w:val="00853E49"/>
    <w:rsid w:val="00854163"/>
    <w:rsid w:val="008569E5"/>
    <w:rsid w:val="00861D9F"/>
    <w:rsid w:val="008620F9"/>
    <w:rsid w:val="00862517"/>
    <w:rsid w:val="00862658"/>
    <w:rsid w:val="00862EEF"/>
    <w:rsid w:val="00862FF8"/>
    <w:rsid w:val="008632E8"/>
    <w:rsid w:val="00863348"/>
    <w:rsid w:val="00863427"/>
    <w:rsid w:val="0086350E"/>
    <w:rsid w:val="008650CE"/>
    <w:rsid w:val="00865C69"/>
    <w:rsid w:val="008662B0"/>
    <w:rsid w:val="008672FB"/>
    <w:rsid w:val="00867F21"/>
    <w:rsid w:val="008700FA"/>
    <w:rsid w:val="008702AA"/>
    <w:rsid w:val="00870AC0"/>
    <w:rsid w:val="008733AC"/>
    <w:rsid w:val="00874D22"/>
    <w:rsid w:val="008751D9"/>
    <w:rsid w:val="008753D2"/>
    <w:rsid w:val="00875E81"/>
    <w:rsid w:val="0087691F"/>
    <w:rsid w:val="00877D7F"/>
    <w:rsid w:val="00877F13"/>
    <w:rsid w:val="008800A4"/>
    <w:rsid w:val="008806E5"/>
    <w:rsid w:val="00880DDA"/>
    <w:rsid w:val="00880E85"/>
    <w:rsid w:val="00882019"/>
    <w:rsid w:val="00882ACB"/>
    <w:rsid w:val="008830D5"/>
    <w:rsid w:val="0088398E"/>
    <w:rsid w:val="00884190"/>
    <w:rsid w:val="00884D67"/>
    <w:rsid w:val="00884E8C"/>
    <w:rsid w:val="008850F5"/>
    <w:rsid w:val="00887D45"/>
    <w:rsid w:val="008902DD"/>
    <w:rsid w:val="00890622"/>
    <w:rsid w:val="00890A1C"/>
    <w:rsid w:val="00890DD5"/>
    <w:rsid w:val="0089118E"/>
    <w:rsid w:val="008913C2"/>
    <w:rsid w:val="008914A5"/>
    <w:rsid w:val="008915B9"/>
    <w:rsid w:val="00892281"/>
    <w:rsid w:val="00893B85"/>
    <w:rsid w:val="00894096"/>
    <w:rsid w:val="00894390"/>
    <w:rsid w:val="008951A3"/>
    <w:rsid w:val="00895AF8"/>
    <w:rsid w:val="0089643E"/>
    <w:rsid w:val="00896606"/>
    <w:rsid w:val="00896698"/>
    <w:rsid w:val="0089712C"/>
    <w:rsid w:val="008972A9"/>
    <w:rsid w:val="008976F9"/>
    <w:rsid w:val="008977A7"/>
    <w:rsid w:val="008A06A5"/>
    <w:rsid w:val="008A096F"/>
    <w:rsid w:val="008A0CB9"/>
    <w:rsid w:val="008A1A41"/>
    <w:rsid w:val="008A1FA4"/>
    <w:rsid w:val="008A251C"/>
    <w:rsid w:val="008A2914"/>
    <w:rsid w:val="008A30FB"/>
    <w:rsid w:val="008A3E9E"/>
    <w:rsid w:val="008A4AA7"/>
    <w:rsid w:val="008A4CF1"/>
    <w:rsid w:val="008A4D0F"/>
    <w:rsid w:val="008A53D9"/>
    <w:rsid w:val="008A54D2"/>
    <w:rsid w:val="008A5F8D"/>
    <w:rsid w:val="008A5F9A"/>
    <w:rsid w:val="008A6A03"/>
    <w:rsid w:val="008A6CFD"/>
    <w:rsid w:val="008A763D"/>
    <w:rsid w:val="008A7921"/>
    <w:rsid w:val="008A7B61"/>
    <w:rsid w:val="008A7BAC"/>
    <w:rsid w:val="008B0833"/>
    <w:rsid w:val="008B0EBC"/>
    <w:rsid w:val="008B2C88"/>
    <w:rsid w:val="008B340F"/>
    <w:rsid w:val="008B36F7"/>
    <w:rsid w:val="008B39C4"/>
    <w:rsid w:val="008B4D98"/>
    <w:rsid w:val="008B5743"/>
    <w:rsid w:val="008B5BBD"/>
    <w:rsid w:val="008B5CD3"/>
    <w:rsid w:val="008B60E9"/>
    <w:rsid w:val="008B670A"/>
    <w:rsid w:val="008B7881"/>
    <w:rsid w:val="008C0A94"/>
    <w:rsid w:val="008C2C36"/>
    <w:rsid w:val="008C2CD7"/>
    <w:rsid w:val="008C33A0"/>
    <w:rsid w:val="008C37DF"/>
    <w:rsid w:val="008C4369"/>
    <w:rsid w:val="008C4E4E"/>
    <w:rsid w:val="008C4F17"/>
    <w:rsid w:val="008C5F34"/>
    <w:rsid w:val="008C6D14"/>
    <w:rsid w:val="008C73CB"/>
    <w:rsid w:val="008D0113"/>
    <w:rsid w:val="008D0248"/>
    <w:rsid w:val="008D0BC7"/>
    <w:rsid w:val="008D15E1"/>
    <w:rsid w:val="008D2E75"/>
    <w:rsid w:val="008D3B05"/>
    <w:rsid w:val="008D4AC2"/>
    <w:rsid w:val="008D5502"/>
    <w:rsid w:val="008D5B0F"/>
    <w:rsid w:val="008D67AF"/>
    <w:rsid w:val="008E035B"/>
    <w:rsid w:val="008E0934"/>
    <w:rsid w:val="008E11BE"/>
    <w:rsid w:val="008E1D4C"/>
    <w:rsid w:val="008E304B"/>
    <w:rsid w:val="008E3C90"/>
    <w:rsid w:val="008E3FAF"/>
    <w:rsid w:val="008E4D8E"/>
    <w:rsid w:val="008E5505"/>
    <w:rsid w:val="008E7323"/>
    <w:rsid w:val="008E7FD9"/>
    <w:rsid w:val="008F00C9"/>
    <w:rsid w:val="008F018E"/>
    <w:rsid w:val="008F0242"/>
    <w:rsid w:val="008F0338"/>
    <w:rsid w:val="008F0976"/>
    <w:rsid w:val="008F1777"/>
    <w:rsid w:val="008F1B13"/>
    <w:rsid w:val="008F232E"/>
    <w:rsid w:val="008F2624"/>
    <w:rsid w:val="008F2703"/>
    <w:rsid w:val="008F405F"/>
    <w:rsid w:val="008F66C1"/>
    <w:rsid w:val="008F779D"/>
    <w:rsid w:val="008F7A6C"/>
    <w:rsid w:val="0090088F"/>
    <w:rsid w:val="00900FA5"/>
    <w:rsid w:val="0090107E"/>
    <w:rsid w:val="00901684"/>
    <w:rsid w:val="00902437"/>
    <w:rsid w:val="009025B8"/>
    <w:rsid w:val="00902CB6"/>
    <w:rsid w:val="009033F3"/>
    <w:rsid w:val="0090484C"/>
    <w:rsid w:val="00904918"/>
    <w:rsid w:val="009049D4"/>
    <w:rsid w:val="0090673D"/>
    <w:rsid w:val="00906DC3"/>
    <w:rsid w:val="00906F88"/>
    <w:rsid w:val="00910321"/>
    <w:rsid w:val="00910698"/>
    <w:rsid w:val="00910C41"/>
    <w:rsid w:val="00911CF6"/>
    <w:rsid w:val="00912633"/>
    <w:rsid w:val="009127EC"/>
    <w:rsid w:val="0091299F"/>
    <w:rsid w:val="00912B5C"/>
    <w:rsid w:val="00912CC3"/>
    <w:rsid w:val="00913FA1"/>
    <w:rsid w:val="0091427E"/>
    <w:rsid w:val="009144E1"/>
    <w:rsid w:val="009146E2"/>
    <w:rsid w:val="009147C0"/>
    <w:rsid w:val="00915F3D"/>
    <w:rsid w:val="00916007"/>
    <w:rsid w:val="00916097"/>
    <w:rsid w:val="00916557"/>
    <w:rsid w:val="009165A0"/>
    <w:rsid w:val="00920D3C"/>
    <w:rsid w:val="00920ED0"/>
    <w:rsid w:val="00921A30"/>
    <w:rsid w:val="00921E00"/>
    <w:rsid w:val="009231D8"/>
    <w:rsid w:val="00923550"/>
    <w:rsid w:val="0092416C"/>
    <w:rsid w:val="00924999"/>
    <w:rsid w:val="00925AF5"/>
    <w:rsid w:val="00925BCA"/>
    <w:rsid w:val="0092629E"/>
    <w:rsid w:val="00926ACD"/>
    <w:rsid w:val="009307C2"/>
    <w:rsid w:val="00930A92"/>
    <w:rsid w:val="00930D32"/>
    <w:rsid w:val="00931E8B"/>
    <w:rsid w:val="00932361"/>
    <w:rsid w:val="0093384F"/>
    <w:rsid w:val="00933CDA"/>
    <w:rsid w:val="009347D7"/>
    <w:rsid w:val="00934C93"/>
    <w:rsid w:val="00935913"/>
    <w:rsid w:val="009369CE"/>
    <w:rsid w:val="00936BDC"/>
    <w:rsid w:val="009379D7"/>
    <w:rsid w:val="00940DFB"/>
    <w:rsid w:val="0094103F"/>
    <w:rsid w:val="00941AF7"/>
    <w:rsid w:val="0094292C"/>
    <w:rsid w:val="00942A14"/>
    <w:rsid w:val="00950713"/>
    <w:rsid w:val="00950714"/>
    <w:rsid w:val="009512E0"/>
    <w:rsid w:val="009513F2"/>
    <w:rsid w:val="00951E6C"/>
    <w:rsid w:val="00952825"/>
    <w:rsid w:val="009538C1"/>
    <w:rsid w:val="00953BAE"/>
    <w:rsid w:val="00953E1A"/>
    <w:rsid w:val="00954001"/>
    <w:rsid w:val="00954A74"/>
    <w:rsid w:val="00954FCE"/>
    <w:rsid w:val="00955567"/>
    <w:rsid w:val="00956786"/>
    <w:rsid w:val="009571AE"/>
    <w:rsid w:val="009572F1"/>
    <w:rsid w:val="009614F0"/>
    <w:rsid w:val="00961615"/>
    <w:rsid w:val="0096183A"/>
    <w:rsid w:val="00961F83"/>
    <w:rsid w:val="00963C0D"/>
    <w:rsid w:val="00964800"/>
    <w:rsid w:val="00964BEF"/>
    <w:rsid w:val="00964DB9"/>
    <w:rsid w:val="00965620"/>
    <w:rsid w:val="00965F8A"/>
    <w:rsid w:val="00967872"/>
    <w:rsid w:val="00967AD2"/>
    <w:rsid w:val="00970976"/>
    <w:rsid w:val="00970C79"/>
    <w:rsid w:val="00971033"/>
    <w:rsid w:val="009735DD"/>
    <w:rsid w:val="009736E6"/>
    <w:rsid w:val="009739DE"/>
    <w:rsid w:val="0097453E"/>
    <w:rsid w:val="0097553C"/>
    <w:rsid w:val="00975BBA"/>
    <w:rsid w:val="00975C3A"/>
    <w:rsid w:val="00976ADD"/>
    <w:rsid w:val="00976DBE"/>
    <w:rsid w:val="009775CE"/>
    <w:rsid w:val="0098097F"/>
    <w:rsid w:val="00982E76"/>
    <w:rsid w:val="00983345"/>
    <w:rsid w:val="00983947"/>
    <w:rsid w:val="00983C99"/>
    <w:rsid w:val="00984040"/>
    <w:rsid w:val="009842DF"/>
    <w:rsid w:val="00984683"/>
    <w:rsid w:val="00984DCB"/>
    <w:rsid w:val="00985952"/>
    <w:rsid w:val="00985A9D"/>
    <w:rsid w:val="00985F64"/>
    <w:rsid w:val="00986243"/>
    <w:rsid w:val="00987DEB"/>
    <w:rsid w:val="00990CB0"/>
    <w:rsid w:val="00990E1B"/>
    <w:rsid w:val="00990E85"/>
    <w:rsid w:val="009942E0"/>
    <w:rsid w:val="00994585"/>
    <w:rsid w:val="00994C60"/>
    <w:rsid w:val="00995448"/>
    <w:rsid w:val="00995860"/>
    <w:rsid w:val="00995CA7"/>
    <w:rsid w:val="009963CE"/>
    <w:rsid w:val="0099755B"/>
    <w:rsid w:val="00997BA8"/>
    <w:rsid w:val="009A0F12"/>
    <w:rsid w:val="009A100E"/>
    <w:rsid w:val="009A1D57"/>
    <w:rsid w:val="009A2DBF"/>
    <w:rsid w:val="009A2FAF"/>
    <w:rsid w:val="009A33FC"/>
    <w:rsid w:val="009A4433"/>
    <w:rsid w:val="009A604B"/>
    <w:rsid w:val="009A66C9"/>
    <w:rsid w:val="009A6DF1"/>
    <w:rsid w:val="009A7150"/>
    <w:rsid w:val="009A7783"/>
    <w:rsid w:val="009A78BA"/>
    <w:rsid w:val="009B0A76"/>
    <w:rsid w:val="009B2E86"/>
    <w:rsid w:val="009B3B29"/>
    <w:rsid w:val="009B3D3E"/>
    <w:rsid w:val="009B5DC9"/>
    <w:rsid w:val="009B5F10"/>
    <w:rsid w:val="009B6440"/>
    <w:rsid w:val="009B6956"/>
    <w:rsid w:val="009B7077"/>
    <w:rsid w:val="009C0262"/>
    <w:rsid w:val="009C0B73"/>
    <w:rsid w:val="009C18D7"/>
    <w:rsid w:val="009C19C5"/>
    <w:rsid w:val="009C1CEF"/>
    <w:rsid w:val="009C1EA6"/>
    <w:rsid w:val="009C21CE"/>
    <w:rsid w:val="009C245A"/>
    <w:rsid w:val="009C27FD"/>
    <w:rsid w:val="009C2B5E"/>
    <w:rsid w:val="009C35AF"/>
    <w:rsid w:val="009C4352"/>
    <w:rsid w:val="009C46BD"/>
    <w:rsid w:val="009C4A9A"/>
    <w:rsid w:val="009C5CC0"/>
    <w:rsid w:val="009C6009"/>
    <w:rsid w:val="009C727C"/>
    <w:rsid w:val="009C790E"/>
    <w:rsid w:val="009D0211"/>
    <w:rsid w:val="009D0392"/>
    <w:rsid w:val="009D0FE6"/>
    <w:rsid w:val="009D13D0"/>
    <w:rsid w:val="009D1C3D"/>
    <w:rsid w:val="009D1D5B"/>
    <w:rsid w:val="009D20DD"/>
    <w:rsid w:val="009D296B"/>
    <w:rsid w:val="009D41E9"/>
    <w:rsid w:val="009D474A"/>
    <w:rsid w:val="009D67AD"/>
    <w:rsid w:val="009D7412"/>
    <w:rsid w:val="009D7B09"/>
    <w:rsid w:val="009E0A80"/>
    <w:rsid w:val="009E1E6B"/>
    <w:rsid w:val="009E2055"/>
    <w:rsid w:val="009E264C"/>
    <w:rsid w:val="009E2F49"/>
    <w:rsid w:val="009E325B"/>
    <w:rsid w:val="009E4762"/>
    <w:rsid w:val="009E4CE7"/>
    <w:rsid w:val="009E5841"/>
    <w:rsid w:val="009E58E6"/>
    <w:rsid w:val="009E5D12"/>
    <w:rsid w:val="009E69DC"/>
    <w:rsid w:val="009E6E0E"/>
    <w:rsid w:val="009F0F77"/>
    <w:rsid w:val="009F1348"/>
    <w:rsid w:val="009F137D"/>
    <w:rsid w:val="009F3FE2"/>
    <w:rsid w:val="009F4B6D"/>
    <w:rsid w:val="009F4F22"/>
    <w:rsid w:val="009F6CF7"/>
    <w:rsid w:val="009F7050"/>
    <w:rsid w:val="009F7184"/>
    <w:rsid w:val="009F7AE5"/>
    <w:rsid w:val="00A00216"/>
    <w:rsid w:val="00A00460"/>
    <w:rsid w:val="00A013A2"/>
    <w:rsid w:val="00A0196E"/>
    <w:rsid w:val="00A01A76"/>
    <w:rsid w:val="00A030F7"/>
    <w:rsid w:val="00A033EA"/>
    <w:rsid w:val="00A0347F"/>
    <w:rsid w:val="00A03E27"/>
    <w:rsid w:val="00A04C07"/>
    <w:rsid w:val="00A04C3F"/>
    <w:rsid w:val="00A05B3E"/>
    <w:rsid w:val="00A066AA"/>
    <w:rsid w:val="00A07A64"/>
    <w:rsid w:val="00A07B97"/>
    <w:rsid w:val="00A1003F"/>
    <w:rsid w:val="00A109EC"/>
    <w:rsid w:val="00A111C5"/>
    <w:rsid w:val="00A11AB2"/>
    <w:rsid w:val="00A121F7"/>
    <w:rsid w:val="00A12F1E"/>
    <w:rsid w:val="00A140CA"/>
    <w:rsid w:val="00A14676"/>
    <w:rsid w:val="00A14890"/>
    <w:rsid w:val="00A1527A"/>
    <w:rsid w:val="00A15727"/>
    <w:rsid w:val="00A15D74"/>
    <w:rsid w:val="00A166B2"/>
    <w:rsid w:val="00A17072"/>
    <w:rsid w:val="00A17448"/>
    <w:rsid w:val="00A175BA"/>
    <w:rsid w:val="00A17886"/>
    <w:rsid w:val="00A21E3C"/>
    <w:rsid w:val="00A22023"/>
    <w:rsid w:val="00A22899"/>
    <w:rsid w:val="00A23488"/>
    <w:rsid w:val="00A24A5C"/>
    <w:rsid w:val="00A24B73"/>
    <w:rsid w:val="00A24F24"/>
    <w:rsid w:val="00A25671"/>
    <w:rsid w:val="00A25C33"/>
    <w:rsid w:val="00A26333"/>
    <w:rsid w:val="00A265B5"/>
    <w:rsid w:val="00A26914"/>
    <w:rsid w:val="00A26ABC"/>
    <w:rsid w:val="00A2746D"/>
    <w:rsid w:val="00A27B35"/>
    <w:rsid w:val="00A27F45"/>
    <w:rsid w:val="00A30254"/>
    <w:rsid w:val="00A30433"/>
    <w:rsid w:val="00A3072E"/>
    <w:rsid w:val="00A31FC2"/>
    <w:rsid w:val="00A32B98"/>
    <w:rsid w:val="00A33B90"/>
    <w:rsid w:val="00A33BDE"/>
    <w:rsid w:val="00A345B7"/>
    <w:rsid w:val="00A35041"/>
    <w:rsid w:val="00A352CF"/>
    <w:rsid w:val="00A36A8C"/>
    <w:rsid w:val="00A370A4"/>
    <w:rsid w:val="00A37564"/>
    <w:rsid w:val="00A375A5"/>
    <w:rsid w:val="00A4081D"/>
    <w:rsid w:val="00A41D77"/>
    <w:rsid w:val="00A4203C"/>
    <w:rsid w:val="00A42D58"/>
    <w:rsid w:val="00A42FB8"/>
    <w:rsid w:val="00A434A4"/>
    <w:rsid w:val="00A436B4"/>
    <w:rsid w:val="00A4376B"/>
    <w:rsid w:val="00A455C9"/>
    <w:rsid w:val="00A46068"/>
    <w:rsid w:val="00A46231"/>
    <w:rsid w:val="00A50229"/>
    <w:rsid w:val="00A50759"/>
    <w:rsid w:val="00A50C63"/>
    <w:rsid w:val="00A51CE1"/>
    <w:rsid w:val="00A51D93"/>
    <w:rsid w:val="00A51F98"/>
    <w:rsid w:val="00A5276A"/>
    <w:rsid w:val="00A533B8"/>
    <w:rsid w:val="00A53DA8"/>
    <w:rsid w:val="00A546DB"/>
    <w:rsid w:val="00A547A3"/>
    <w:rsid w:val="00A555B3"/>
    <w:rsid w:val="00A563F0"/>
    <w:rsid w:val="00A56728"/>
    <w:rsid w:val="00A57754"/>
    <w:rsid w:val="00A57AC8"/>
    <w:rsid w:val="00A6014D"/>
    <w:rsid w:val="00A61AA8"/>
    <w:rsid w:val="00A62FF5"/>
    <w:rsid w:val="00A6380B"/>
    <w:rsid w:val="00A649C4"/>
    <w:rsid w:val="00A65DBA"/>
    <w:rsid w:val="00A66C1B"/>
    <w:rsid w:val="00A67C04"/>
    <w:rsid w:val="00A7034A"/>
    <w:rsid w:val="00A70B2E"/>
    <w:rsid w:val="00A7155E"/>
    <w:rsid w:val="00A71DA5"/>
    <w:rsid w:val="00A74729"/>
    <w:rsid w:val="00A749AD"/>
    <w:rsid w:val="00A750E2"/>
    <w:rsid w:val="00A75349"/>
    <w:rsid w:val="00A75A69"/>
    <w:rsid w:val="00A76A47"/>
    <w:rsid w:val="00A77C3D"/>
    <w:rsid w:val="00A81047"/>
    <w:rsid w:val="00A81586"/>
    <w:rsid w:val="00A835BA"/>
    <w:rsid w:val="00A84192"/>
    <w:rsid w:val="00A84591"/>
    <w:rsid w:val="00A84787"/>
    <w:rsid w:val="00A8526D"/>
    <w:rsid w:val="00A85BCE"/>
    <w:rsid w:val="00A85FC4"/>
    <w:rsid w:val="00A87B1E"/>
    <w:rsid w:val="00A87F1C"/>
    <w:rsid w:val="00A87FB3"/>
    <w:rsid w:val="00A90216"/>
    <w:rsid w:val="00A91E3E"/>
    <w:rsid w:val="00A91E45"/>
    <w:rsid w:val="00A92540"/>
    <w:rsid w:val="00A92D5A"/>
    <w:rsid w:val="00A92DA3"/>
    <w:rsid w:val="00A9344F"/>
    <w:rsid w:val="00A93D5D"/>
    <w:rsid w:val="00A9408D"/>
    <w:rsid w:val="00A949F8"/>
    <w:rsid w:val="00A94B4D"/>
    <w:rsid w:val="00A94CD6"/>
    <w:rsid w:val="00A950BA"/>
    <w:rsid w:val="00A9518B"/>
    <w:rsid w:val="00A95421"/>
    <w:rsid w:val="00A95639"/>
    <w:rsid w:val="00A957D4"/>
    <w:rsid w:val="00A95D06"/>
    <w:rsid w:val="00A9787B"/>
    <w:rsid w:val="00A97A5F"/>
    <w:rsid w:val="00AA1548"/>
    <w:rsid w:val="00AA29C8"/>
    <w:rsid w:val="00AA3744"/>
    <w:rsid w:val="00AA3A96"/>
    <w:rsid w:val="00AA548D"/>
    <w:rsid w:val="00AA6578"/>
    <w:rsid w:val="00AA69CF"/>
    <w:rsid w:val="00AA6EE5"/>
    <w:rsid w:val="00AB04AB"/>
    <w:rsid w:val="00AB13DB"/>
    <w:rsid w:val="00AB15F9"/>
    <w:rsid w:val="00AB19D4"/>
    <w:rsid w:val="00AB3B90"/>
    <w:rsid w:val="00AB3ECC"/>
    <w:rsid w:val="00AB4760"/>
    <w:rsid w:val="00AB6191"/>
    <w:rsid w:val="00AB631B"/>
    <w:rsid w:val="00AB7280"/>
    <w:rsid w:val="00AB78C9"/>
    <w:rsid w:val="00AC460A"/>
    <w:rsid w:val="00AC64A6"/>
    <w:rsid w:val="00AC6766"/>
    <w:rsid w:val="00AC6D61"/>
    <w:rsid w:val="00AC6E63"/>
    <w:rsid w:val="00AC76FC"/>
    <w:rsid w:val="00AC7C44"/>
    <w:rsid w:val="00AD0EC3"/>
    <w:rsid w:val="00AD0F91"/>
    <w:rsid w:val="00AD14EE"/>
    <w:rsid w:val="00AD1B6F"/>
    <w:rsid w:val="00AD30FA"/>
    <w:rsid w:val="00AD3796"/>
    <w:rsid w:val="00AD37C6"/>
    <w:rsid w:val="00AD4379"/>
    <w:rsid w:val="00AD48C0"/>
    <w:rsid w:val="00AD4980"/>
    <w:rsid w:val="00AD4A48"/>
    <w:rsid w:val="00AD4DEC"/>
    <w:rsid w:val="00AD548F"/>
    <w:rsid w:val="00AD5704"/>
    <w:rsid w:val="00AD5B9A"/>
    <w:rsid w:val="00AD5D29"/>
    <w:rsid w:val="00AD5D57"/>
    <w:rsid w:val="00AD6024"/>
    <w:rsid w:val="00AD6A10"/>
    <w:rsid w:val="00AD74E3"/>
    <w:rsid w:val="00AD7925"/>
    <w:rsid w:val="00AD7B4F"/>
    <w:rsid w:val="00AE0C7B"/>
    <w:rsid w:val="00AE16EA"/>
    <w:rsid w:val="00AE17EE"/>
    <w:rsid w:val="00AE2232"/>
    <w:rsid w:val="00AE22B2"/>
    <w:rsid w:val="00AE29D1"/>
    <w:rsid w:val="00AE2EC3"/>
    <w:rsid w:val="00AE32C7"/>
    <w:rsid w:val="00AE388D"/>
    <w:rsid w:val="00AE3F93"/>
    <w:rsid w:val="00AE4BC6"/>
    <w:rsid w:val="00AE533E"/>
    <w:rsid w:val="00AE5C65"/>
    <w:rsid w:val="00AE6224"/>
    <w:rsid w:val="00AE6EDF"/>
    <w:rsid w:val="00AF0407"/>
    <w:rsid w:val="00AF0521"/>
    <w:rsid w:val="00AF0E65"/>
    <w:rsid w:val="00AF390D"/>
    <w:rsid w:val="00AF3A32"/>
    <w:rsid w:val="00AF478C"/>
    <w:rsid w:val="00AF54F8"/>
    <w:rsid w:val="00AF6DC4"/>
    <w:rsid w:val="00AF72C4"/>
    <w:rsid w:val="00AF7352"/>
    <w:rsid w:val="00AF7CD6"/>
    <w:rsid w:val="00B02608"/>
    <w:rsid w:val="00B02BD8"/>
    <w:rsid w:val="00B0350D"/>
    <w:rsid w:val="00B044DB"/>
    <w:rsid w:val="00B04574"/>
    <w:rsid w:val="00B04D67"/>
    <w:rsid w:val="00B05BAD"/>
    <w:rsid w:val="00B06BA7"/>
    <w:rsid w:val="00B07694"/>
    <w:rsid w:val="00B07850"/>
    <w:rsid w:val="00B10D0E"/>
    <w:rsid w:val="00B116C4"/>
    <w:rsid w:val="00B11A81"/>
    <w:rsid w:val="00B11BD7"/>
    <w:rsid w:val="00B11D58"/>
    <w:rsid w:val="00B12880"/>
    <w:rsid w:val="00B1291E"/>
    <w:rsid w:val="00B130FD"/>
    <w:rsid w:val="00B1321E"/>
    <w:rsid w:val="00B1388B"/>
    <w:rsid w:val="00B144B4"/>
    <w:rsid w:val="00B150B5"/>
    <w:rsid w:val="00B158CC"/>
    <w:rsid w:val="00B15FC8"/>
    <w:rsid w:val="00B1620A"/>
    <w:rsid w:val="00B16FB4"/>
    <w:rsid w:val="00B17314"/>
    <w:rsid w:val="00B17A91"/>
    <w:rsid w:val="00B20B33"/>
    <w:rsid w:val="00B20EB7"/>
    <w:rsid w:val="00B21379"/>
    <w:rsid w:val="00B216BC"/>
    <w:rsid w:val="00B234B8"/>
    <w:rsid w:val="00B23A62"/>
    <w:rsid w:val="00B23AE1"/>
    <w:rsid w:val="00B2431E"/>
    <w:rsid w:val="00B2446D"/>
    <w:rsid w:val="00B25851"/>
    <w:rsid w:val="00B259B2"/>
    <w:rsid w:val="00B260C6"/>
    <w:rsid w:val="00B2762D"/>
    <w:rsid w:val="00B27BD5"/>
    <w:rsid w:val="00B27F01"/>
    <w:rsid w:val="00B305E9"/>
    <w:rsid w:val="00B3067C"/>
    <w:rsid w:val="00B30C75"/>
    <w:rsid w:val="00B30EBB"/>
    <w:rsid w:val="00B31032"/>
    <w:rsid w:val="00B31EC8"/>
    <w:rsid w:val="00B32C2E"/>
    <w:rsid w:val="00B33CC8"/>
    <w:rsid w:val="00B33EE0"/>
    <w:rsid w:val="00B34E9D"/>
    <w:rsid w:val="00B34F7F"/>
    <w:rsid w:val="00B354B6"/>
    <w:rsid w:val="00B35565"/>
    <w:rsid w:val="00B372D1"/>
    <w:rsid w:val="00B37C50"/>
    <w:rsid w:val="00B37FE5"/>
    <w:rsid w:val="00B40115"/>
    <w:rsid w:val="00B41691"/>
    <w:rsid w:val="00B41B66"/>
    <w:rsid w:val="00B41FF2"/>
    <w:rsid w:val="00B423B0"/>
    <w:rsid w:val="00B4257E"/>
    <w:rsid w:val="00B436A3"/>
    <w:rsid w:val="00B443FA"/>
    <w:rsid w:val="00B45594"/>
    <w:rsid w:val="00B46282"/>
    <w:rsid w:val="00B464E6"/>
    <w:rsid w:val="00B47194"/>
    <w:rsid w:val="00B5048C"/>
    <w:rsid w:val="00B51D5C"/>
    <w:rsid w:val="00B52005"/>
    <w:rsid w:val="00B52390"/>
    <w:rsid w:val="00B52B02"/>
    <w:rsid w:val="00B52EEC"/>
    <w:rsid w:val="00B53746"/>
    <w:rsid w:val="00B541BE"/>
    <w:rsid w:val="00B54338"/>
    <w:rsid w:val="00B543DA"/>
    <w:rsid w:val="00B56DB1"/>
    <w:rsid w:val="00B56EAC"/>
    <w:rsid w:val="00B577C5"/>
    <w:rsid w:val="00B579E2"/>
    <w:rsid w:val="00B600E6"/>
    <w:rsid w:val="00B618F4"/>
    <w:rsid w:val="00B6229F"/>
    <w:rsid w:val="00B636BD"/>
    <w:rsid w:val="00B651D7"/>
    <w:rsid w:val="00B65A60"/>
    <w:rsid w:val="00B65BD3"/>
    <w:rsid w:val="00B65C42"/>
    <w:rsid w:val="00B66D16"/>
    <w:rsid w:val="00B67594"/>
    <w:rsid w:val="00B676F1"/>
    <w:rsid w:val="00B70805"/>
    <w:rsid w:val="00B715AA"/>
    <w:rsid w:val="00B71752"/>
    <w:rsid w:val="00B720B2"/>
    <w:rsid w:val="00B722DA"/>
    <w:rsid w:val="00B726E8"/>
    <w:rsid w:val="00B72ACF"/>
    <w:rsid w:val="00B72D92"/>
    <w:rsid w:val="00B753EB"/>
    <w:rsid w:val="00B75AC2"/>
    <w:rsid w:val="00B75DFA"/>
    <w:rsid w:val="00B76FA7"/>
    <w:rsid w:val="00B77446"/>
    <w:rsid w:val="00B77B23"/>
    <w:rsid w:val="00B80FCE"/>
    <w:rsid w:val="00B81551"/>
    <w:rsid w:val="00B81763"/>
    <w:rsid w:val="00B825BD"/>
    <w:rsid w:val="00B82F5D"/>
    <w:rsid w:val="00B83803"/>
    <w:rsid w:val="00B83C2D"/>
    <w:rsid w:val="00B8448F"/>
    <w:rsid w:val="00B850A3"/>
    <w:rsid w:val="00B857F6"/>
    <w:rsid w:val="00B86718"/>
    <w:rsid w:val="00B870FF"/>
    <w:rsid w:val="00B9013B"/>
    <w:rsid w:val="00B9068C"/>
    <w:rsid w:val="00B90AE5"/>
    <w:rsid w:val="00B90F40"/>
    <w:rsid w:val="00B919C4"/>
    <w:rsid w:val="00B91FB3"/>
    <w:rsid w:val="00B93C4D"/>
    <w:rsid w:val="00B960A9"/>
    <w:rsid w:val="00B9611A"/>
    <w:rsid w:val="00B97380"/>
    <w:rsid w:val="00B97AE0"/>
    <w:rsid w:val="00BA0819"/>
    <w:rsid w:val="00BA0CD3"/>
    <w:rsid w:val="00BA135B"/>
    <w:rsid w:val="00BA1412"/>
    <w:rsid w:val="00BA1C6C"/>
    <w:rsid w:val="00BA1E27"/>
    <w:rsid w:val="00BA327A"/>
    <w:rsid w:val="00BA3E27"/>
    <w:rsid w:val="00BA450C"/>
    <w:rsid w:val="00BA5032"/>
    <w:rsid w:val="00BA5C32"/>
    <w:rsid w:val="00BA6365"/>
    <w:rsid w:val="00BA649D"/>
    <w:rsid w:val="00BA7485"/>
    <w:rsid w:val="00BA79B3"/>
    <w:rsid w:val="00BB0506"/>
    <w:rsid w:val="00BB0D4A"/>
    <w:rsid w:val="00BB0ED5"/>
    <w:rsid w:val="00BB16EB"/>
    <w:rsid w:val="00BB20A2"/>
    <w:rsid w:val="00BB3BEA"/>
    <w:rsid w:val="00BB3F78"/>
    <w:rsid w:val="00BB47D9"/>
    <w:rsid w:val="00BB4C4E"/>
    <w:rsid w:val="00BB523E"/>
    <w:rsid w:val="00BB5A44"/>
    <w:rsid w:val="00BB763C"/>
    <w:rsid w:val="00BB79B1"/>
    <w:rsid w:val="00BC0018"/>
    <w:rsid w:val="00BC0140"/>
    <w:rsid w:val="00BC0345"/>
    <w:rsid w:val="00BC426D"/>
    <w:rsid w:val="00BC464C"/>
    <w:rsid w:val="00BC49AD"/>
    <w:rsid w:val="00BC4F3D"/>
    <w:rsid w:val="00BC5804"/>
    <w:rsid w:val="00BC5A47"/>
    <w:rsid w:val="00BC5AAE"/>
    <w:rsid w:val="00BC6588"/>
    <w:rsid w:val="00BC70E0"/>
    <w:rsid w:val="00BC7FDE"/>
    <w:rsid w:val="00BD02F4"/>
    <w:rsid w:val="00BD0BBE"/>
    <w:rsid w:val="00BD0F1E"/>
    <w:rsid w:val="00BD18EF"/>
    <w:rsid w:val="00BD27B1"/>
    <w:rsid w:val="00BD2939"/>
    <w:rsid w:val="00BD32A2"/>
    <w:rsid w:val="00BD34EE"/>
    <w:rsid w:val="00BD4234"/>
    <w:rsid w:val="00BD47A3"/>
    <w:rsid w:val="00BD4BE1"/>
    <w:rsid w:val="00BD4E5E"/>
    <w:rsid w:val="00BD549D"/>
    <w:rsid w:val="00BD5C9F"/>
    <w:rsid w:val="00BD7050"/>
    <w:rsid w:val="00BD71AF"/>
    <w:rsid w:val="00BD77A1"/>
    <w:rsid w:val="00BD7822"/>
    <w:rsid w:val="00BD7A7E"/>
    <w:rsid w:val="00BD7FA5"/>
    <w:rsid w:val="00BE06E2"/>
    <w:rsid w:val="00BE13CF"/>
    <w:rsid w:val="00BE1736"/>
    <w:rsid w:val="00BE28C1"/>
    <w:rsid w:val="00BE38FC"/>
    <w:rsid w:val="00BE4BC3"/>
    <w:rsid w:val="00BE5051"/>
    <w:rsid w:val="00BE617F"/>
    <w:rsid w:val="00BE6AB1"/>
    <w:rsid w:val="00BF150E"/>
    <w:rsid w:val="00BF3213"/>
    <w:rsid w:val="00BF3C26"/>
    <w:rsid w:val="00BF46A1"/>
    <w:rsid w:val="00BF50F8"/>
    <w:rsid w:val="00BF6297"/>
    <w:rsid w:val="00BF664D"/>
    <w:rsid w:val="00BF6749"/>
    <w:rsid w:val="00C003CE"/>
    <w:rsid w:val="00C00847"/>
    <w:rsid w:val="00C00D7B"/>
    <w:rsid w:val="00C01783"/>
    <w:rsid w:val="00C04C7E"/>
    <w:rsid w:val="00C05038"/>
    <w:rsid w:val="00C05C18"/>
    <w:rsid w:val="00C0735F"/>
    <w:rsid w:val="00C10B16"/>
    <w:rsid w:val="00C11365"/>
    <w:rsid w:val="00C117ED"/>
    <w:rsid w:val="00C12301"/>
    <w:rsid w:val="00C12331"/>
    <w:rsid w:val="00C12F1A"/>
    <w:rsid w:val="00C1340F"/>
    <w:rsid w:val="00C136BC"/>
    <w:rsid w:val="00C14F27"/>
    <w:rsid w:val="00C15C51"/>
    <w:rsid w:val="00C15CB3"/>
    <w:rsid w:val="00C172B7"/>
    <w:rsid w:val="00C1733F"/>
    <w:rsid w:val="00C17A9C"/>
    <w:rsid w:val="00C17BC9"/>
    <w:rsid w:val="00C20952"/>
    <w:rsid w:val="00C20C37"/>
    <w:rsid w:val="00C20C6C"/>
    <w:rsid w:val="00C21EFB"/>
    <w:rsid w:val="00C23077"/>
    <w:rsid w:val="00C23155"/>
    <w:rsid w:val="00C2500E"/>
    <w:rsid w:val="00C255A9"/>
    <w:rsid w:val="00C255E5"/>
    <w:rsid w:val="00C26620"/>
    <w:rsid w:val="00C27534"/>
    <w:rsid w:val="00C27C9C"/>
    <w:rsid w:val="00C27CFF"/>
    <w:rsid w:val="00C302B7"/>
    <w:rsid w:val="00C30B49"/>
    <w:rsid w:val="00C315A6"/>
    <w:rsid w:val="00C3178D"/>
    <w:rsid w:val="00C323D3"/>
    <w:rsid w:val="00C32686"/>
    <w:rsid w:val="00C33740"/>
    <w:rsid w:val="00C35183"/>
    <w:rsid w:val="00C360C3"/>
    <w:rsid w:val="00C362C4"/>
    <w:rsid w:val="00C36AB0"/>
    <w:rsid w:val="00C4085B"/>
    <w:rsid w:val="00C41059"/>
    <w:rsid w:val="00C411CE"/>
    <w:rsid w:val="00C41A0B"/>
    <w:rsid w:val="00C44C28"/>
    <w:rsid w:val="00C44D84"/>
    <w:rsid w:val="00C46EF5"/>
    <w:rsid w:val="00C47264"/>
    <w:rsid w:val="00C477CC"/>
    <w:rsid w:val="00C4785F"/>
    <w:rsid w:val="00C50A23"/>
    <w:rsid w:val="00C512F2"/>
    <w:rsid w:val="00C5142C"/>
    <w:rsid w:val="00C51553"/>
    <w:rsid w:val="00C51786"/>
    <w:rsid w:val="00C51A7D"/>
    <w:rsid w:val="00C51BF6"/>
    <w:rsid w:val="00C522CA"/>
    <w:rsid w:val="00C53554"/>
    <w:rsid w:val="00C538E7"/>
    <w:rsid w:val="00C53A2F"/>
    <w:rsid w:val="00C546BF"/>
    <w:rsid w:val="00C5601B"/>
    <w:rsid w:val="00C56A67"/>
    <w:rsid w:val="00C57496"/>
    <w:rsid w:val="00C57CCC"/>
    <w:rsid w:val="00C57F37"/>
    <w:rsid w:val="00C60797"/>
    <w:rsid w:val="00C6101B"/>
    <w:rsid w:val="00C61951"/>
    <w:rsid w:val="00C61D83"/>
    <w:rsid w:val="00C630C5"/>
    <w:rsid w:val="00C63271"/>
    <w:rsid w:val="00C63A6D"/>
    <w:rsid w:val="00C63D19"/>
    <w:rsid w:val="00C64783"/>
    <w:rsid w:val="00C64D99"/>
    <w:rsid w:val="00C64E3D"/>
    <w:rsid w:val="00C64EFB"/>
    <w:rsid w:val="00C6547C"/>
    <w:rsid w:val="00C65FCD"/>
    <w:rsid w:val="00C66CC8"/>
    <w:rsid w:val="00C677F8"/>
    <w:rsid w:val="00C7043C"/>
    <w:rsid w:val="00C706CD"/>
    <w:rsid w:val="00C70F08"/>
    <w:rsid w:val="00C70F61"/>
    <w:rsid w:val="00C71181"/>
    <w:rsid w:val="00C71689"/>
    <w:rsid w:val="00C717E0"/>
    <w:rsid w:val="00C71868"/>
    <w:rsid w:val="00C71CC3"/>
    <w:rsid w:val="00C7216F"/>
    <w:rsid w:val="00C726AF"/>
    <w:rsid w:val="00C72D51"/>
    <w:rsid w:val="00C741D2"/>
    <w:rsid w:val="00C74473"/>
    <w:rsid w:val="00C749E8"/>
    <w:rsid w:val="00C749EF"/>
    <w:rsid w:val="00C74D45"/>
    <w:rsid w:val="00C7511D"/>
    <w:rsid w:val="00C7548C"/>
    <w:rsid w:val="00C75799"/>
    <w:rsid w:val="00C759FE"/>
    <w:rsid w:val="00C75CF0"/>
    <w:rsid w:val="00C75DCB"/>
    <w:rsid w:val="00C762E8"/>
    <w:rsid w:val="00C7695F"/>
    <w:rsid w:val="00C76F65"/>
    <w:rsid w:val="00C80A14"/>
    <w:rsid w:val="00C8232B"/>
    <w:rsid w:val="00C82789"/>
    <w:rsid w:val="00C83BB4"/>
    <w:rsid w:val="00C84BAD"/>
    <w:rsid w:val="00C855F8"/>
    <w:rsid w:val="00C86838"/>
    <w:rsid w:val="00C86E81"/>
    <w:rsid w:val="00C86EB2"/>
    <w:rsid w:val="00C90E8A"/>
    <w:rsid w:val="00C90EE5"/>
    <w:rsid w:val="00C91243"/>
    <w:rsid w:val="00C9131C"/>
    <w:rsid w:val="00C91D59"/>
    <w:rsid w:val="00C921A3"/>
    <w:rsid w:val="00C92874"/>
    <w:rsid w:val="00C9333C"/>
    <w:rsid w:val="00C93C34"/>
    <w:rsid w:val="00C945D8"/>
    <w:rsid w:val="00C95283"/>
    <w:rsid w:val="00C9605A"/>
    <w:rsid w:val="00C96525"/>
    <w:rsid w:val="00C965E4"/>
    <w:rsid w:val="00CA0152"/>
    <w:rsid w:val="00CA0BFF"/>
    <w:rsid w:val="00CA1AF3"/>
    <w:rsid w:val="00CA3838"/>
    <w:rsid w:val="00CA42C6"/>
    <w:rsid w:val="00CA4560"/>
    <w:rsid w:val="00CA45BC"/>
    <w:rsid w:val="00CA4B11"/>
    <w:rsid w:val="00CA5C6B"/>
    <w:rsid w:val="00CA670F"/>
    <w:rsid w:val="00CA6A7F"/>
    <w:rsid w:val="00CA7A99"/>
    <w:rsid w:val="00CB06A4"/>
    <w:rsid w:val="00CB0C66"/>
    <w:rsid w:val="00CB1877"/>
    <w:rsid w:val="00CB2112"/>
    <w:rsid w:val="00CB271C"/>
    <w:rsid w:val="00CB2FAF"/>
    <w:rsid w:val="00CB3A31"/>
    <w:rsid w:val="00CB440E"/>
    <w:rsid w:val="00CB4DF7"/>
    <w:rsid w:val="00CB50FB"/>
    <w:rsid w:val="00CB526D"/>
    <w:rsid w:val="00CB5776"/>
    <w:rsid w:val="00CB57FD"/>
    <w:rsid w:val="00CB58B0"/>
    <w:rsid w:val="00CB607B"/>
    <w:rsid w:val="00CB6749"/>
    <w:rsid w:val="00CB6919"/>
    <w:rsid w:val="00CB6960"/>
    <w:rsid w:val="00CB6A11"/>
    <w:rsid w:val="00CB7288"/>
    <w:rsid w:val="00CB7386"/>
    <w:rsid w:val="00CB7540"/>
    <w:rsid w:val="00CB7696"/>
    <w:rsid w:val="00CC0ED6"/>
    <w:rsid w:val="00CC0FF2"/>
    <w:rsid w:val="00CC2002"/>
    <w:rsid w:val="00CC28ED"/>
    <w:rsid w:val="00CC2B46"/>
    <w:rsid w:val="00CC2BD8"/>
    <w:rsid w:val="00CC3208"/>
    <w:rsid w:val="00CC37DC"/>
    <w:rsid w:val="00CC393A"/>
    <w:rsid w:val="00CC3D49"/>
    <w:rsid w:val="00CC4A28"/>
    <w:rsid w:val="00CC4DBF"/>
    <w:rsid w:val="00CC51C5"/>
    <w:rsid w:val="00CC56A0"/>
    <w:rsid w:val="00CC5814"/>
    <w:rsid w:val="00CC6C67"/>
    <w:rsid w:val="00CC6F76"/>
    <w:rsid w:val="00CC71EF"/>
    <w:rsid w:val="00CC75C9"/>
    <w:rsid w:val="00CD00EA"/>
    <w:rsid w:val="00CD05A6"/>
    <w:rsid w:val="00CD09AF"/>
    <w:rsid w:val="00CD0AE9"/>
    <w:rsid w:val="00CD300B"/>
    <w:rsid w:val="00CD4106"/>
    <w:rsid w:val="00CD42C2"/>
    <w:rsid w:val="00CD6279"/>
    <w:rsid w:val="00CD76BA"/>
    <w:rsid w:val="00CE1595"/>
    <w:rsid w:val="00CE19EE"/>
    <w:rsid w:val="00CE1BEC"/>
    <w:rsid w:val="00CE2222"/>
    <w:rsid w:val="00CE338B"/>
    <w:rsid w:val="00CE36EE"/>
    <w:rsid w:val="00CE3989"/>
    <w:rsid w:val="00CE3B80"/>
    <w:rsid w:val="00CE4C1C"/>
    <w:rsid w:val="00CE4E00"/>
    <w:rsid w:val="00CE50CA"/>
    <w:rsid w:val="00CE549A"/>
    <w:rsid w:val="00CE558B"/>
    <w:rsid w:val="00CE57C8"/>
    <w:rsid w:val="00CE65E7"/>
    <w:rsid w:val="00CE74B2"/>
    <w:rsid w:val="00CE763C"/>
    <w:rsid w:val="00CE78FD"/>
    <w:rsid w:val="00CE7D7F"/>
    <w:rsid w:val="00CF14C3"/>
    <w:rsid w:val="00CF19B3"/>
    <w:rsid w:val="00CF2322"/>
    <w:rsid w:val="00CF2C2B"/>
    <w:rsid w:val="00CF3033"/>
    <w:rsid w:val="00CF30A5"/>
    <w:rsid w:val="00CF3497"/>
    <w:rsid w:val="00CF360E"/>
    <w:rsid w:val="00CF41EA"/>
    <w:rsid w:val="00CF44B0"/>
    <w:rsid w:val="00CF4646"/>
    <w:rsid w:val="00CF4662"/>
    <w:rsid w:val="00CF562D"/>
    <w:rsid w:val="00CF5A86"/>
    <w:rsid w:val="00CF5D01"/>
    <w:rsid w:val="00CF6EBD"/>
    <w:rsid w:val="00CF7358"/>
    <w:rsid w:val="00CF7E55"/>
    <w:rsid w:val="00CF7E99"/>
    <w:rsid w:val="00D00124"/>
    <w:rsid w:val="00D0243D"/>
    <w:rsid w:val="00D025E5"/>
    <w:rsid w:val="00D0472A"/>
    <w:rsid w:val="00D04B89"/>
    <w:rsid w:val="00D05518"/>
    <w:rsid w:val="00D057C3"/>
    <w:rsid w:val="00D05EA5"/>
    <w:rsid w:val="00D07322"/>
    <w:rsid w:val="00D11168"/>
    <w:rsid w:val="00D12619"/>
    <w:rsid w:val="00D1293B"/>
    <w:rsid w:val="00D12E62"/>
    <w:rsid w:val="00D13169"/>
    <w:rsid w:val="00D13BB2"/>
    <w:rsid w:val="00D14119"/>
    <w:rsid w:val="00D178BF"/>
    <w:rsid w:val="00D20381"/>
    <w:rsid w:val="00D213D4"/>
    <w:rsid w:val="00D22454"/>
    <w:rsid w:val="00D227FD"/>
    <w:rsid w:val="00D257FD"/>
    <w:rsid w:val="00D25D1D"/>
    <w:rsid w:val="00D27788"/>
    <w:rsid w:val="00D278BF"/>
    <w:rsid w:val="00D30B23"/>
    <w:rsid w:val="00D3114D"/>
    <w:rsid w:val="00D31E30"/>
    <w:rsid w:val="00D31F7A"/>
    <w:rsid w:val="00D33667"/>
    <w:rsid w:val="00D33F69"/>
    <w:rsid w:val="00D3484A"/>
    <w:rsid w:val="00D34AD4"/>
    <w:rsid w:val="00D35BE2"/>
    <w:rsid w:val="00D36156"/>
    <w:rsid w:val="00D36AF4"/>
    <w:rsid w:val="00D36CC5"/>
    <w:rsid w:val="00D3738C"/>
    <w:rsid w:val="00D40C2E"/>
    <w:rsid w:val="00D419B5"/>
    <w:rsid w:val="00D429F0"/>
    <w:rsid w:val="00D431A4"/>
    <w:rsid w:val="00D4467A"/>
    <w:rsid w:val="00D44894"/>
    <w:rsid w:val="00D45552"/>
    <w:rsid w:val="00D45960"/>
    <w:rsid w:val="00D470F9"/>
    <w:rsid w:val="00D507B5"/>
    <w:rsid w:val="00D51217"/>
    <w:rsid w:val="00D520DB"/>
    <w:rsid w:val="00D52BB5"/>
    <w:rsid w:val="00D5394C"/>
    <w:rsid w:val="00D542A7"/>
    <w:rsid w:val="00D54F75"/>
    <w:rsid w:val="00D55BC0"/>
    <w:rsid w:val="00D572A0"/>
    <w:rsid w:val="00D57C10"/>
    <w:rsid w:val="00D606F2"/>
    <w:rsid w:val="00D60AF2"/>
    <w:rsid w:val="00D60BC0"/>
    <w:rsid w:val="00D6152A"/>
    <w:rsid w:val="00D618D6"/>
    <w:rsid w:val="00D61FAA"/>
    <w:rsid w:val="00D6242C"/>
    <w:rsid w:val="00D63167"/>
    <w:rsid w:val="00D63A5E"/>
    <w:rsid w:val="00D647D6"/>
    <w:rsid w:val="00D64957"/>
    <w:rsid w:val="00D6511F"/>
    <w:rsid w:val="00D66033"/>
    <w:rsid w:val="00D665F1"/>
    <w:rsid w:val="00D67959"/>
    <w:rsid w:val="00D67F33"/>
    <w:rsid w:val="00D67F73"/>
    <w:rsid w:val="00D7042B"/>
    <w:rsid w:val="00D70463"/>
    <w:rsid w:val="00D70EE7"/>
    <w:rsid w:val="00D70F59"/>
    <w:rsid w:val="00D72A30"/>
    <w:rsid w:val="00D72BD3"/>
    <w:rsid w:val="00D732DE"/>
    <w:rsid w:val="00D742FD"/>
    <w:rsid w:val="00D75A98"/>
    <w:rsid w:val="00D7685F"/>
    <w:rsid w:val="00D76A00"/>
    <w:rsid w:val="00D77922"/>
    <w:rsid w:val="00D801FC"/>
    <w:rsid w:val="00D81147"/>
    <w:rsid w:val="00D8211E"/>
    <w:rsid w:val="00D83859"/>
    <w:rsid w:val="00D850AE"/>
    <w:rsid w:val="00D8521D"/>
    <w:rsid w:val="00D85C3C"/>
    <w:rsid w:val="00D86129"/>
    <w:rsid w:val="00D86825"/>
    <w:rsid w:val="00D86C99"/>
    <w:rsid w:val="00D876E8"/>
    <w:rsid w:val="00D90346"/>
    <w:rsid w:val="00D929D5"/>
    <w:rsid w:val="00D93505"/>
    <w:rsid w:val="00D94454"/>
    <w:rsid w:val="00D9615B"/>
    <w:rsid w:val="00D9628E"/>
    <w:rsid w:val="00D96899"/>
    <w:rsid w:val="00D97746"/>
    <w:rsid w:val="00DA0F29"/>
    <w:rsid w:val="00DA261F"/>
    <w:rsid w:val="00DA26B0"/>
    <w:rsid w:val="00DA2BAA"/>
    <w:rsid w:val="00DA383F"/>
    <w:rsid w:val="00DA4F13"/>
    <w:rsid w:val="00DA6539"/>
    <w:rsid w:val="00DA697E"/>
    <w:rsid w:val="00DA6D9C"/>
    <w:rsid w:val="00DA6DC4"/>
    <w:rsid w:val="00DB27ED"/>
    <w:rsid w:val="00DB287E"/>
    <w:rsid w:val="00DB33FE"/>
    <w:rsid w:val="00DB4644"/>
    <w:rsid w:val="00DB48C5"/>
    <w:rsid w:val="00DB54B9"/>
    <w:rsid w:val="00DB634B"/>
    <w:rsid w:val="00DB6378"/>
    <w:rsid w:val="00DB73B3"/>
    <w:rsid w:val="00DB766A"/>
    <w:rsid w:val="00DC0057"/>
    <w:rsid w:val="00DC046E"/>
    <w:rsid w:val="00DC0678"/>
    <w:rsid w:val="00DC1095"/>
    <w:rsid w:val="00DC1CFB"/>
    <w:rsid w:val="00DC2A49"/>
    <w:rsid w:val="00DC2BD7"/>
    <w:rsid w:val="00DC3773"/>
    <w:rsid w:val="00DC3960"/>
    <w:rsid w:val="00DC39B2"/>
    <w:rsid w:val="00DC44CF"/>
    <w:rsid w:val="00DC663C"/>
    <w:rsid w:val="00DC6B41"/>
    <w:rsid w:val="00DC6C3F"/>
    <w:rsid w:val="00DC75F0"/>
    <w:rsid w:val="00DD0710"/>
    <w:rsid w:val="00DD0BA6"/>
    <w:rsid w:val="00DD1D26"/>
    <w:rsid w:val="00DD20EC"/>
    <w:rsid w:val="00DD3055"/>
    <w:rsid w:val="00DD316D"/>
    <w:rsid w:val="00DD4873"/>
    <w:rsid w:val="00DD4A34"/>
    <w:rsid w:val="00DD5183"/>
    <w:rsid w:val="00DE0DD3"/>
    <w:rsid w:val="00DE0DF7"/>
    <w:rsid w:val="00DE2D95"/>
    <w:rsid w:val="00DE3F1C"/>
    <w:rsid w:val="00DE6927"/>
    <w:rsid w:val="00DF0737"/>
    <w:rsid w:val="00DF129D"/>
    <w:rsid w:val="00DF25E5"/>
    <w:rsid w:val="00DF284D"/>
    <w:rsid w:val="00DF29F8"/>
    <w:rsid w:val="00DF2E9F"/>
    <w:rsid w:val="00DF3199"/>
    <w:rsid w:val="00DF3E34"/>
    <w:rsid w:val="00DF3EB1"/>
    <w:rsid w:val="00DF4870"/>
    <w:rsid w:val="00DF4BC2"/>
    <w:rsid w:val="00DF4C0C"/>
    <w:rsid w:val="00DF5B05"/>
    <w:rsid w:val="00DF5DCF"/>
    <w:rsid w:val="00DF63EF"/>
    <w:rsid w:val="00DF660E"/>
    <w:rsid w:val="00DF6F4F"/>
    <w:rsid w:val="00DF7F65"/>
    <w:rsid w:val="00E0075F"/>
    <w:rsid w:val="00E01267"/>
    <w:rsid w:val="00E01D46"/>
    <w:rsid w:val="00E023AF"/>
    <w:rsid w:val="00E04484"/>
    <w:rsid w:val="00E06757"/>
    <w:rsid w:val="00E10029"/>
    <w:rsid w:val="00E1009B"/>
    <w:rsid w:val="00E10553"/>
    <w:rsid w:val="00E11147"/>
    <w:rsid w:val="00E1154E"/>
    <w:rsid w:val="00E127FA"/>
    <w:rsid w:val="00E12F89"/>
    <w:rsid w:val="00E16514"/>
    <w:rsid w:val="00E20B90"/>
    <w:rsid w:val="00E22DC9"/>
    <w:rsid w:val="00E23064"/>
    <w:rsid w:val="00E2324F"/>
    <w:rsid w:val="00E2355A"/>
    <w:rsid w:val="00E238E6"/>
    <w:rsid w:val="00E23CC5"/>
    <w:rsid w:val="00E23ED3"/>
    <w:rsid w:val="00E24275"/>
    <w:rsid w:val="00E2599C"/>
    <w:rsid w:val="00E26341"/>
    <w:rsid w:val="00E26693"/>
    <w:rsid w:val="00E26A73"/>
    <w:rsid w:val="00E272CE"/>
    <w:rsid w:val="00E302DD"/>
    <w:rsid w:val="00E302F1"/>
    <w:rsid w:val="00E310FD"/>
    <w:rsid w:val="00E326E3"/>
    <w:rsid w:val="00E32707"/>
    <w:rsid w:val="00E32E9C"/>
    <w:rsid w:val="00E332E6"/>
    <w:rsid w:val="00E34234"/>
    <w:rsid w:val="00E344FC"/>
    <w:rsid w:val="00E35118"/>
    <w:rsid w:val="00E367E7"/>
    <w:rsid w:val="00E372DE"/>
    <w:rsid w:val="00E37660"/>
    <w:rsid w:val="00E40722"/>
    <w:rsid w:val="00E40793"/>
    <w:rsid w:val="00E41684"/>
    <w:rsid w:val="00E41D06"/>
    <w:rsid w:val="00E42283"/>
    <w:rsid w:val="00E42356"/>
    <w:rsid w:val="00E42555"/>
    <w:rsid w:val="00E43096"/>
    <w:rsid w:val="00E43F21"/>
    <w:rsid w:val="00E44B07"/>
    <w:rsid w:val="00E44D64"/>
    <w:rsid w:val="00E45119"/>
    <w:rsid w:val="00E45305"/>
    <w:rsid w:val="00E45E6A"/>
    <w:rsid w:val="00E46F97"/>
    <w:rsid w:val="00E472AB"/>
    <w:rsid w:val="00E503AE"/>
    <w:rsid w:val="00E51732"/>
    <w:rsid w:val="00E522E8"/>
    <w:rsid w:val="00E53545"/>
    <w:rsid w:val="00E53B1F"/>
    <w:rsid w:val="00E55F58"/>
    <w:rsid w:val="00E565AA"/>
    <w:rsid w:val="00E56EE6"/>
    <w:rsid w:val="00E57164"/>
    <w:rsid w:val="00E60A44"/>
    <w:rsid w:val="00E61294"/>
    <w:rsid w:val="00E61926"/>
    <w:rsid w:val="00E619E2"/>
    <w:rsid w:val="00E627A6"/>
    <w:rsid w:val="00E62966"/>
    <w:rsid w:val="00E62D20"/>
    <w:rsid w:val="00E63492"/>
    <w:rsid w:val="00E64452"/>
    <w:rsid w:val="00E647BB"/>
    <w:rsid w:val="00E67A75"/>
    <w:rsid w:val="00E70BA6"/>
    <w:rsid w:val="00E71B11"/>
    <w:rsid w:val="00E71BAA"/>
    <w:rsid w:val="00E72183"/>
    <w:rsid w:val="00E72583"/>
    <w:rsid w:val="00E74193"/>
    <w:rsid w:val="00E758C7"/>
    <w:rsid w:val="00E75D06"/>
    <w:rsid w:val="00E76137"/>
    <w:rsid w:val="00E76795"/>
    <w:rsid w:val="00E76E1F"/>
    <w:rsid w:val="00E776B7"/>
    <w:rsid w:val="00E778BF"/>
    <w:rsid w:val="00E7790C"/>
    <w:rsid w:val="00E77E1D"/>
    <w:rsid w:val="00E8109A"/>
    <w:rsid w:val="00E810C3"/>
    <w:rsid w:val="00E8175C"/>
    <w:rsid w:val="00E82DE3"/>
    <w:rsid w:val="00E83130"/>
    <w:rsid w:val="00E831F9"/>
    <w:rsid w:val="00E83758"/>
    <w:rsid w:val="00E83928"/>
    <w:rsid w:val="00E8421E"/>
    <w:rsid w:val="00E8547F"/>
    <w:rsid w:val="00E8554C"/>
    <w:rsid w:val="00E856F6"/>
    <w:rsid w:val="00E85BB5"/>
    <w:rsid w:val="00E86FCC"/>
    <w:rsid w:val="00E876A1"/>
    <w:rsid w:val="00E91E47"/>
    <w:rsid w:val="00E9336A"/>
    <w:rsid w:val="00E93ADE"/>
    <w:rsid w:val="00E95BA2"/>
    <w:rsid w:val="00E96F35"/>
    <w:rsid w:val="00E97234"/>
    <w:rsid w:val="00E97BFD"/>
    <w:rsid w:val="00E97D4C"/>
    <w:rsid w:val="00EA09CE"/>
    <w:rsid w:val="00EA362B"/>
    <w:rsid w:val="00EA4285"/>
    <w:rsid w:val="00EA47AC"/>
    <w:rsid w:val="00EA4B8A"/>
    <w:rsid w:val="00EA5835"/>
    <w:rsid w:val="00EA5CF1"/>
    <w:rsid w:val="00EA5E77"/>
    <w:rsid w:val="00EA5FAF"/>
    <w:rsid w:val="00EA7BAD"/>
    <w:rsid w:val="00EB03F2"/>
    <w:rsid w:val="00EB0406"/>
    <w:rsid w:val="00EB04F0"/>
    <w:rsid w:val="00EB0649"/>
    <w:rsid w:val="00EB154B"/>
    <w:rsid w:val="00EB1A12"/>
    <w:rsid w:val="00EB23F3"/>
    <w:rsid w:val="00EB2FF7"/>
    <w:rsid w:val="00EB35F9"/>
    <w:rsid w:val="00EB3ECE"/>
    <w:rsid w:val="00EB4212"/>
    <w:rsid w:val="00EB4EDE"/>
    <w:rsid w:val="00EB5EA8"/>
    <w:rsid w:val="00EB6386"/>
    <w:rsid w:val="00EB6A1D"/>
    <w:rsid w:val="00EB6ADA"/>
    <w:rsid w:val="00EB75E8"/>
    <w:rsid w:val="00EB7B4E"/>
    <w:rsid w:val="00EB7D81"/>
    <w:rsid w:val="00EC02AA"/>
    <w:rsid w:val="00EC4C1D"/>
    <w:rsid w:val="00EC53D8"/>
    <w:rsid w:val="00EC5903"/>
    <w:rsid w:val="00EC5CE8"/>
    <w:rsid w:val="00EC672B"/>
    <w:rsid w:val="00EC6C35"/>
    <w:rsid w:val="00EC7302"/>
    <w:rsid w:val="00EC7CFD"/>
    <w:rsid w:val="00ED172D"/>
    <w:rsid w:val="00ED18E4"/>
    <w:rsid w:val="00ED1F0E"/>
    <w:rsid w:val="00ED2D17"/>
    <w:rsid w:val="00ED4557"/>
    <w:rsid w:val="00ED4583"/>
    <w:rsid w:val="00ED4CE7"/>
    <w:rsid w:val="00ED4F1A"/>
    <w:rsid w:val="00ED523D"/>
    <w:rsid w:val="00ED5E81"/>
    <w:rsid w:val="00ED787D"/>
    <w:rsid w:val="00EE043D"/>
    <w:rsid w:val="00EE0A86"/>
    <w:rsid w:val="00EE0E1B"/>
    <w:rsid w:val="00EE13C3"/>
    <w:rsid w:val="00EE18CC"/>
    <w:rsid w:val="00EE2B18"/>
    <w:rsid w:val="00EE3020"/>
    <w:rsid w:val="00EE3E38"/>
    <w:rsid w:val="00EE5A29"/>
    <w:rsid w:val="00EE5B49"/>
    <w:rsid w:val="00EE64D4"/>
    <w:rsid w:val="00EE64FC"/>
    <w:rsid w:val="00EE6EB6"/>
    <w:rsid w:val="00EE7E12"/>
    <w:rsid w:val="00EE7FD9"/>
    <w:rsid w:val="00EF001B"/>
    <w:rsid w:val="00EF1931"/>
    <w:rsid w:val="00EF1BBE"/>
    <w:rsid w:val="00EF31E9"/>
    <w:rsid w:val="00EF333C"/>
    <w:rsid w:val="00EF4114"/>
    <w:rsid w:val="00EF499E"/>
    <w:rsid w:val="00EF568B"/>
    <w:rsid w:val="00EF66C5"/>
    <w:rsid w:val="00EF686D"/>
    <w:rsid w:val="00F00450"/>
    <w:rsid w:val="00F00A34"/>
    <w:rsid w:val="00F013E4"/>
    <w:rsid w:val="00F0179B"/>
    <w:rsid w:val="00F01829"/>
    <w:rsid w:val="00F019B8"/>
    <w:rsid w:val="00F01E8A"/>
    <w:rsid w:val="00F03BEB"/>
    <w:rsid w:val="00F03E31"/>
    <w:rsid w:val="00F0540F"/>
    <w:rsid w:val="00F05C34"/>
    <w:rsid w:val="00F0604B"/>
    <w:rsid w:val="00F069CF"/>
    <w:rsid w:val="00F06A60"/>
    <w:rsid w:val="00F06C6A"/>
    <w:rsid w:val="00F101D4"/>
    <w:rsid w:val="00F11913"/>
    <w:rsid w:val="00F12895"/>
    <w:rsid w:val="00F12BF6"/>
    <w:rsid w:val="00F12CF5"/>
    <w:rsid w:val="00F12FE4"/>
    <w:rsid w:val="00F1305F"/>
    <w:rsid w:val="00F1347E"/>
    <w:rsid w:val="00F14104"/>
    <w:rsid w:val="00F14D23"/>
    <w:rsid w:val="00F15E2D"/>
    <w:rsid w:val="00F16047"/>
    <w:rsid w:val="00F16BA4"/>
    <w:rsid w:val="00F16D49"/>
    <w:rsid w:val="00F174F8"/>
    <w:rsid w:val="00F17868"/>
    <w:rsid w:val="00F216B1"/>
    <w:rsid w:val="00F217D7"/>
    <w:rsid w:val="00F21AF3"/>
    <w:rsid w:val="00F22CEA"/>
    <w:rsid w:val="00F2329C"/>
    <w:rsid w:val="00F23B71"/>
    <w:rsid w:val="00F24787"/>
    <w:rsid w:val="00F24946"/>
    <w:rsid w:val="00F258A8"/>
    <w:rsid w:val="00F25D27"/>
    <w:rsid w:val="00F26ABC"/>
    <w:rsid w:val="00F27003"/>
    <w:rsid w:val="00F27015"/>
    <w:rsid w:val="00F277AD"/>
    <w:rsid w:val="00F279EE"/>
    <w:rsid w:val="00F27D19"/>
    <w:rsid w:val="00F3038B"/>
    <w:rsid w:val="00F30798"/>
    <w:rsid w:val="00F30DF4"/>
    <w:rsid w:val="00F31520"/>
    <w:rsid w:val="00F34057"/>
    <w:rsid w:val="00F34B8A"/>
    <w:rsid w:val="00F3584A"/>
    <w:rsid w:val="00F3610C"/>
    <w:rsid w:val="00F369C4"/>
    <w:rsid w:val="00F36E19"/>
    <w:rsid w:val="00F3747E"/>
    <w:rsid w:val="00F374C0"/>
    <w:rsid w:val="00F42255"/>
    <w:rsid w:val="00F426F8"/>
    <w:rsid w:val="00F433C6"/>
    <w:rsid w:val="00F435CE"/>
    <w:rsid w:val="00F44349"/>
    <w:rsid w:val="00F46362"/>
    <w:rsid w:val="00F46BFF"/>
    <w:rsid w:val="00F46CE2"/>
    <w:rsid w:val="00F47077"/>
    <w:rsid w:val="00F47489"/>
    <w:rsid w:val="00F474A8"/>
    <w:rsid w:val="00F50B16"/>
    <w:rsid w:val="00F51F11"/>
    <w:rsid w:val="00F52338"/>
    <w:rsid w:val="00F53125"/>
    <w:rsid w:val="00F5507B"/>
    <w:rsid w:val="00F551F2"/>
    <w:rsid w:val="00F55B2E"/>
    <w:rsid w:val="00F560DB"/>
    <w:rsid w:val="00F569D3"/>
    <w:rsid w:val="00F60C83"/>
    <w:rsid w:val="00F60F4D"/>
    <w:rsid w:val="00F60F75"/>
    <w:rsid w:val="00F610E0"/>
    <w:rsid w:val="00F6145C"/>
    <w:rsid w:val="00F61870"/>
    <w:rsid w:val="00F63337"/>
    <w:rsid w:val="00F663E7"/>
    <w:rsid w:val="00F705F9"/>
    <w:rsid w:val="00F708BC"/>
    <w:rsid w:val="00F70C51"/>
    <w:rsid w:val="00F70CD1"/>
    <w:rsid w:val="00F7230B"/>
    <w:rsid w:val="00F72D94"/>
    <w:rsid w:val="00F73712"/>
    <w:rsid w:val="00F74189"/>
    <w:rsid w:val="00F742F4"/>
    <w:rsid w:val="00F7460F"/>
    <w:rsid w:val="00F765EE"/>
    <w:rsid w:val="00F76BF9"/>
    <w:rsid w:val="00F774D9"/>
    <w:rsid w:val="00F777AC"/>
    <w:rsid w:val="00F77D67"/>
    <w:rsid w:val="00F80569"/>
    <w:rsid w:val="00F810DC"/>
    <w:rsid w:val="00F81A81"/>
    <w:rsid w:val="00F83B63"/>
    <w:rsid w:val="00F84668"/>
    <w:rsid w:val="00F85E46"/>
    <w:rsid w:val="00F867FC"/>
    <w:rsid w:val="00F868AF"/>
    <w:rsid w:val="00F86FF5"/>
    <w:rsid w:val="00F87345"/>
    <w:rsid w:val="00F9048F"/>
    <w:rsid w:val="00F90C92"/>
    <w:rsid w:val="00F9119D"/>
    <w:rsid w:val="00F9196B"/>
    <w:rsid w:val="00F9205A"/>
    <w:rsid w:val="00F92CA4"/>
    <w:rsid w:val="00F92CF7"/>
    <w:rsid w:val="00F93242"/>
    <w:rsid w:val="00F963D6"/>
    <w:rsid w:val="00F966FF"/>
    <w:rsid w:val="00F97128"/>
    <w:rsid w:val="00F971BE"/>
    <w:rsid w:val="00F978B1"/>
    <w:rsid w:val="00FA0876"/>
    <w:rsid w:val="00FA1A7C"/>
    <w:rsid w:val="00FA1CD1"/>
    <w:rsid w:val="00FA1EC2"/>
    <w:rsid w:val="00FA22D5"/>
    <w:rsid w:val="00FA23E1"/>
    <w:rsid w:val="00FA350E"/>
    <w:rsid w:val="00FA351A"/>
    <w:rsid w:val="00FA3D6A"/>
    <w:rsid w:val="00FA43FE"/>
    <w:rsid w:val="00FA45C9"/>
    <w:rsid w:val="00FA4F3F"/>
    <w:rsid w:val="00FA63C4"/>
    <w:rsid w:val="00FA7B5E"/>
    <w:rsid w:val="00FB03C2"/>
    <w:rsid w:val="00FB1316"/>
    <w:rsid w:val="00FB1C07"/>
    <w:rsid w:val="00FB1EC4"/>
    <w:rsid w:val="00FB2C58"/>
    <w:rsid w:val="00FB3237"/>
    <w:rsid w:val="00FB3AF9"/>
    <w:rsid w:val="00FB3E58"/>
    <w:rsid w:val="00FB5191"/>
    <w:rsid w:val="00FB522F"/>
    <w:rsid w:val="00FB5586"/>
    <w:rsid w:val="00FB5AF5"/>
    <w:rsid w:val="00FB66B4"/>
    <w:rsid w:val="00FB66E7"/>
    <w:rsid w:val="00FB7442"/>
    <w:rsid w:val="00FB773F"/>
    <w:rsid w:val="00FB79D2"/>
    <w:rsid w:val="00FB7B22"/>
    <w:rsid w:val="00FC09EB"/>
    <w:rsid w:val="00FC195F"/>
    <w:rsid w:val="00FC1EC1"/>
    <w:rsid w:val="00FC27B6"/>
    <w:rsid w:val="00FC303B"/>
    <w:rsid w:val="00FC361D"/>
    <w:rsid w:val="00FC38F8"/>
    <w:rsid w:val="00FC5055"/>
    <w:rsid w:val="00FC5620"/>
    <w:rsid w:val="00FC5D09"/>
    <w:rsid w:val="00FC67E5"/>
    <w:rsid w:val="00FC68DC"/>
    <w:rsid w:val="00FC6B7A"/>
    <w:rsid w:val="00FC6D14"/>
    <w:rsid w:val="00FC71E3"/>
    <w:rsid w:val="00FC7522"/>
    <w:rsid w:val="00FC7780"/>
    <w:rsid w:val="00FC7B3D"/>
    <w:rsid w:val="00FD087E"/>
    <w:rsid w:val="00FD0898"/>
    <w:rsid w:val="00FD0F68"/>
    <w:rsid w:val="00FD2522"/>
    <w:rsid w:val="00FD2748"/>
    <w:rsid w:val="00FD283C"/>
    <w:rsid w:val="00FD283E"/>
    <w:rsid w:val="00FD2E2D"/>
    <w:rsid w:val="00FD345A"/>
    <w:rsid w:val="00FD3A78"/>
    <w:rsid w:val="00FD61D9"/>
    <w:rsid w:val="00FD6663"/>
    <w:rsid w:val="00FD6724"/>
    <w:rsid w:val="00FD7095"/>
    <w:rsid w:val="00FD7105"/>
    <w:rsid w:val="00FD740A"/>
    <w:rsid w:val="00FD7AC3"/>
    <w:rsid w:val="00FD7C7C"/>
    <w:rsid w:val="00FD7FD1"/>
    <w:rsid w:val="00FE06B1"/>
    <w:rsid w:val="00FE15AC"/>
    <w:rsid w:val="00FE185F"/>
    <w:rsid w:val="00FE20B9"/>
    <w:rsid w:val="00FE2DB6"/>
    <w:rsid w:val="00FE2E18"/>
    <w:rsid w:val="00FE30D7"/>
    <w:rsid w:val="00FE3776"/>
    <w:rsid w:val="00FE3919"/>
    <w:rsid w:val="00FE5094"/>
    <w:rsid w:val="00FE6918"/>
    <w:rsid w:val="00FF1213"/>
    <w:rsid w:val="00FF1505"/>
    <w:rsid w:val="00FF1A5C"/>
    <w:rsid w:val="00FF1E8C"/>
    <w:rsid w:val="00FF1F4D"/>
    <w:rsid w:val="00FF27A2"/>
    <w:rsid w:val="00FF39A2"/>
    <w:rsid w:val="00FF3CF6"/>
    <w:rsid w:val="00FF44AA"/>
    <w:rsid w:val="00FF4CFF"/>
    <w:rsid w:val="00FF5472"/>
    <w:rsid w:val="00FF5917"/>
    <w:rsid w:val="00FF5D74"/>
    <w:rsid w:val="00FF6AD8"/>
    <w:rsid w:val="00FF6D4E"/>
    <w:rsid w:val="00FF7530"/>
    <w:rsid w:val="00FF7618"/>
    <w:rsid w:val="018FE340"/>
    <w:rsid w:val="01F4C0A8"/>
    <w:rsid w:val="02FAE212"/>
    <w:rsid w:val="03110A91"/>
    <w:rsid w:val="03A7E12B"/>
    <w:rsid w:val="03D14840"/>
    <w:rsid w:val="03D196B1"/>
    <w:rsid w:val="048F8496"/>
    <w:rsid w:val="06067312"/>
    <w:rsid w:val="079501EF"/>
    <w:rsid w:val="08432112"/>
    <w:rsid w:val="08E95337"/>
    <w:rsid w:val="0A49F027"/>
    <w:rsid w:val="0AD09E01"/>
    <w:rsid w:val="0B09A0BA"/>
    <w:rsid w:val="0DB530A4"/>
    <w:rsid w:val="0FE8AB80"/>
    <w:rsid w:val="1122BBD8"/>
    <w:rsid w:val="1155428E"/>
    <w:rsid w:val="124D3C22"/>
    <w:rsid w:val="1380DF90"/>
    <w:rsid w:val="156AD21D"/>
    <w:rsid w:val="15833C6B"/>
    <w:rsid w:val="166B69EB"/>
    <w:rsid w:val="17804282"/>
    <w:rsid w:val="178DD273"/>
    <w:rsid w:val="17BBD8F2"/>
    <w:rsid w:val="1A56AD8E"/>
    <w:rsid w:val="1A93A7DF"/>
    <w:rsid w:val="1AB4A672"/>
    <w:rsid w:val="1AF24C3A"/>
    <w:rsid w:val="1BBDA31C"/>
    <w:rsid w:val="1D2A0FEE"/>
    <w:rsid w:val="1E14363C"/>
    <w:rsid w:val="1EEA69D5"/>
    <w:rsid w:val="1F9094AC"/>
    <w:rsid w:val="205B3C86"/>
    <w:rsid w:val="2077A644"/>
    <w:rsid w:val="212F2F7E"/>
    <w:rsid w:val="22078984"/>
    <w:rsid w:val="22252CF5"/>
    <w:rsid w:val="229EB6CC"/>
    <w:rsid w:val="2393AAC6"/>
    <w:rsid w:val="239DF9A9"/>
    <w:rsid w:val="25C926FA"/>
    <w:rsid w:val="2673FACB"/>
    <w:rsid w:val="26BB0935"/>
    <w:rsid w:val="28F91DED"/>
    <w:rsid w:val="297D24C1"/>
    <w:rsid w:val="29AB9B8D"/>
    <w:rsid w:val="29E18DF4"/>
    <w:rsid w:val="2A36625F"/>
    <w:rsid w:val="2BA3B96F"/>
    <w:rsid w:val="2E0A7410"/>
    <w:rsid w:val="2E86FA36"/>
    <w:rsid w:val="2EAAAF9B"/>
    <w:rsid w:val="3022CA97"/>
    <w:rsid w:val="32C79B74"/>
    <w:rsid w:val="33474559"/>
    <w:rsid w:val="335A6B59"/>
    <w:rsid w:val="35C27D86"/>
    <w:rsid w:val="36920C1B"/>
    <w:rsid w:val="37A9E93B"/>
    <w:rsid w:val="38A419CC"/>
    <w:rsid w:val="3900898C"/>
    <w:rsid w:val="3A79E336"/>
    <w:rsid w:val="3D014D9F"/>
    <w:rsid w:val="3DBBF56E"/>
    <w:rsid w:val="3DED230C"/>
    <w:rsid w:val="3E4BCA9B"/>
    <w:rsid w:val="3E6D0B44"/>
    <w:rsid w:val="3F4400E8"/>
    <w:rsid w:val="3F505E3E"/>
    <w:rsid w:val="3F70FDF0"/>
    <w:rsid w:val="400C6DAD"/>
    <w:rsid w:val="4038EE61"/>
    <w:rsid w:val="42820881"/>
    <w:rsid w:val="4342B0FD"/>
    <w:rsid w:val="439258C7"/>
    <w:rsid w:val="43B12D19"/>
    <w:rsid w:val="466762B6"/>
    <w:rsid w:val="468A2DAD"/>
    <w:rsid w:val="46A82FE5"/>
    <w:rsid w:val="472EB02D"/>
    <w:rsid w:val="4750A17C"/>
    <w:rsid w:val="47AF1220"/>
    <w:rsid w:val="47E7CBFA"/>
    <w:rsid w:val="491D9853"/>
    <w:rsid w:val="49DCD732"/>
    <w:rsid w:val="4AFE6FC0"/>
    <w:rsid w:val="4B2BC836"/>
    <w:rsid w:val="4BC8EA38"/>
    <w:rsid w:val="4C545412"/>
    <w:rsid w:val="4CD7C901"/>
    <w:rsid w:val="4D1B1E6A"/>
    <w:rsid w:val="4DDB6C4C"/>
    <w:rsid w:val="4E0EEBE9"/>
    <w:rsid w:val="4E712FBB"/>
    <w:rsid w:val="4F35D56D"/>
    <w:rsid w:val="4FC168A8"/>
    <w:rsid w:val="4FD204E9"/>
    <w:rsid w:val="523F6C63"/>
    <w:rsid w:val="52C57D22"/>
    <w:rsid w:val="5368E15E"/>
    <w:rsid w:val="5562E6F9"/>
    <w:rsid w:val="5660BE23"/>
    <w:rsid w:val="5810C6E7"/>
    <w:rsid w:val="58191C96"/>
    <w:rsid w:val="590FD778"/>
    <w:rsid w:val="59644D0B"/>
    <w:rsid w:val="5AD08F07"/>
    <w:rsid w:val="5B202B3A"/>
    <w:rsid w:val="5B971B32"/>
    <w:rsid w:val="5C12CE08"/>
    <w:rsid w:val="5C64FA98"/>
    <w:rsid w:val="5C839CB4"/>
    <w:rsid w:val="5E5E3F11"/>
    <w:rsid w:val="5FA106B5"/>
    <w:rsid w:val="612200F3"/>
    <w:rsid w:val="621082CC"/>
    <w:rsid w:val="626E2259"/>
    <w:rsid w:val="638AB79D"/>
    <w:rsid w:val="652457F6"/>
    <w:rsid w:val="6548EBE9"/>
    <w:rsid w:val="6705079C"/>
    <w:rsid w:val="680F1B47"/>
    <w:rsid w:val="6850869B"/>
    <w:rsid w:val="685C138E"/>
    <w:rsid w:val="68B7D264"/>
    <w:rsid w:val="68C04E43"/>
    <w:rsid w:val="6975CE71"/>
    <w:rsid w:val="69CB25BA"/>
    <w:rsid w:val="6A257D06"/>
    <w:rsid w:val="6C47E146"/>
    <w:rsid w:val="6C494F52"/>
    <w:rsid w:val="6DF17F89"/>
    <w:rsid w:val="6E101F34"/>
    <w:rsid w:val="6F3126EC"/>
    <w:rsid w:val="6FDE4485"/>
    <w:rsid w:val="7024BB85"/>
    <w:rsid w:val="705871AB"/>
    <w:rsid w:val="720ACFDB"/>
    <w:rsid w:val="7278953C"/>
    <w:rsid w:val="73394A3C"/>
    <w:rsid w:val="74C9A8FC"/>
    <w:rsid w:val="7533C513"/>
    <w:rsid w:val="75C0763D"/>
    <w:rsid w:val="76E2867F"/>
    <w:rsid w:val="77BCFA40"/>
    <w:rsid w:val="780657DA"/>
    <w:rsid w:val="78266351"/>
    <w:rsid w:val="783A8EE1"/>
    <w:rsid w:val="78406C8F"/>
    <w:rsid w:val="785733B1"/>
    <w:rsid w:val="789B92BD"/>
    <w:rsid w:val="7A4BF459"/>
    <w:rsid w:val="7B7C4FFB"/>
    <w:rsid w:val="7BB5F7A2"/>
    <w:rsid w:val="7C338F36"/>
    <w:rsid w:val="7D51C803"/>
    <w:rsid w:val="7E204311"/>
    <w:rsid w:val="7EFDD71C"/>
    <w:rsid w:val="7F3A8568"/>
    <w:rsid w:val="7F9FD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E55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3A63"/>
    <w:rPr>
      <w:color w:val="0000FF"/>
      <w:u w:val="single"/>
      <w:shd w:val="clear" w:color="auto" w:fill="auto"/>
    </w:rPr>
  </w:style>
  <w:style w:type="character" w:styleId="CommentReference">
    <w:name w:val="annotation reference"/>
    <w:basedOn w:val="DefaultParagraphFont"/>
    <w:unhideWhenUsed/>
    <w:qFormat/>
    <w:rsid w:val="00CB271C"/>
    <w:rPr>
      <w:sz w:val="16"/>
      <w:szCs w:val="16"/>
    </w:rPr>
  </w:style>
  <w:style w:type="paragraph" w:styleId="CommentText">
    <w:name w:val="annotation text"/>
    <w:aliases w:val="Char2"/>
    <w:basedOn w:val="Normal"/>
    <w:link w:val="CommentTextChar"/>
    <w:uiPriority w:val="99"/>
    <w:unhideWhenUsed/>
    <w:qFormat/>
    <w:rsid w:val="00CB271C"/>
    <w:rPr>
      <w:sz w:val="20"/>
      <w:szCs w:val="20"/>
    </w:rPr>
  </w:style>
  <w:style w:type="character" w:customStyle="1" w:styleId="CommentTextChar">
    <w:name w:val="Comment Text Char"/>
    <w:aliases w:val="Char2 Char"/>
    <w:basedOn w:val="DefaultParagraphFont"/>
    <w:link w:val="CommentText"/>
    <w:uiPriority w:val="99"/>
    <w:rsid w:val="00CB271C"/>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nhideWhenUsed/>
    <w:rsid w:val="00CB271C"/>
    <w:rPr>
      <w:b/>
      <w:bCs/>
    </w:rPr>
  </w:style>
  <w:style w:type="character" w:customStyle="1" w:styleId="CommentSubjectChar">
    <w:name w:val="Comment Subject Char"/>
    <w:basedOn w:val="CommentTextChar"/>
    <w:link w:val="CommentSubject"/>
    <w:rsid w:val="00CB271C"/>
    <w:rPr>
      <w:rFonts w:ascii="Times New Roman" w:hAnsi="Times New Roman" w:cs="Times New Roman"/>
      <w:b/>
      <w:bCs/>
      <w:sz w:val="20"/>
      <w:szCs w:val="20"/>
      <w:lang w:val="it-IT"/>
    </w:rPr>
  </w:style>
  <w:style w:type="paragraph" w:styleId="BalloonText">
    <w:name w:val="Balloon Text"/>
    <w:basedOn w:val="Normal"/>
    <w:link w:val="BalloonTextChar"/>
    <w:unhideWhenUsed/>
    <w:rsid w:val="00CB271C"/>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B271C"/>
    <w:rPr>
      <w:rFonts w:ascii="Segoe UI" w:hAnsi="Segoe UI" w:cs="Segoe UI"/>
      <w:sz w:val="18"/>
      <w:szCs w:val="18"/>
      <w:lang w:val="it-IT"/>
    </w:rPr>
  </w:style>
  <w:style w:type="character" w:styleId="FollowedHyperlink">
    <w:name w:val="FollowedHyperlink"/>
    <w:basedOn w:val="DefaultParagraphFont"/>
    <w:unhideWhenUsed/>
    <w:rsid w:val="00561BE3"/>
    <w:rPr>
      <w:color w:val="800080" w:themeColor="followedHyperlink"/>
      <w:u w:val="single"/>
    </w:rPr>
  </w:style>
  <w:style w:type="paragraph" w:styleId="ListParagraph">
    <w:name w:val="List Paragraph"/>
    <w:aliases w:val="Bullet List Paragraph,List Paragraph1,Elenco a colori - Colore 11,Fiche List Paragraph,Conclusion de partie,Dot pt,No Spacing1,List Paragraph Char Char Char,Indicator Text,Numbered Para 1,Bullet Points,MAIN CONTENT,List Paragraph12,L,2,EC"/>
    <w:basedOn w:val="Normal"/>
    <w:link w:val="ListParagraphChar"/>
    <w:uiPriority w:val="34"/>
    <w:qFormat/>
    <w:rsid w:val="00884E8C"/>
    <w:pPr>
      <w:spacing w:before="0" w:after="160" w:line="259" w:lineRule="auto"/>
      <w:ind w:left="720"/>
      <w:contextualSpacing/>
      <w:jc w:val="left"/>
    </w:pPr>
    <w:rPr>
      <w:rFonts w:asciiTheme="minorHAnsi" w:hAnsiTheme="minorHAnsi" w:cstheme="minorBidi"/>
      <w:sz w:val="22"/>
    </w:rPr>
  </w:style>
  <w:style w:type="character" w:customStyle="1" w:styleId="MBTChar">
    <w:name w:val="M BT Char"/>
    <w:link w:val="MBT"/>
    <w:locked/>
    <w:rsid w:val="008733AC"/>
    <w:rPr>
      <w:rFonts w:ascii="Times New Roman" w:eastAsia="Times New Roman" w:hAnsi="Times New Roman" w:cs="Times New Roman"/>
      <w:bCs/>
      <w:lang w:eastAsia="en-GB"/>
    </w:rPr>
  </w:style>
  <w:style w:type="paragraph" w:customStyle="1" w:styleId="MBT">
    <w:name w:val="M BT"/>
    <w:basedOn w:val="Normal"/>
    <w:link w:val="MBTChar"/>
    <w:qFormat/>
    <w:rsid w:val="008733AC"/>
    <w:pPr>
      <w:widowControl w:val="0"/>
    </w:pPr>
    <w:rPr>
      <w:rFonts w:eastAsia="Times New Roman"/>
      <w:bCs/>
      <w:sz w:val="22"/>
      <w:lang w:eastAsia="en-GB"/>
    </w:rPr>
  </w:style>
  <w:style w:type="paragraph" w:customStyle="1" w:styleId="Default">
    <w:name w:val="Default"/>
    <w:rsid w:val="00B41FF2"/>
    <w:pPr>
      <w:autoSpaceDE w:val="0"/>
      <w:autoSpaceDN w:val="0"/>
      <w:adjustRightInd w:val="0"/>
      <w:spacing w:after="0" w:line="240" w:lineRule="auto"/>
    </w:pPr>
    <w:rPr>
      <w:rFonts w:ascii="Calibri" w:hAnsi="Calibri" w:cs="Calibri"/>
      <w:color w:val="000000"/>
      <w:sz w:val="24"/>
      <w:szCs w:val="24"/>
    </w:rPr>
  </w:style>
  <w:style w:type="character" w:customStyle="1" w:styleId="acopre">
    <w:name w:val="acopre"/>
    <w:basedOn w:val="DefaultParagraphFont"/>
    <w:rsid w:val="00B02BD8"/>
  </w:style>
  <w:style w:type="character" w:customStyle="1" w:styleId="ListParagraphChar">
    <w:name w:val="List Paragraph Char"/>
    <w:aliases w:val="Bullet List Paragraph Char,List Paragraph1 Char,Elenco a colori - Colore 11 Char,Fiche List Paragraph Char,Conclusion de partie Char,Dot pt Char,No Spacing1 Char,List Paragraph Char Char Char Char,Indicator Text Char,L Char,2 Char"/>
    <w:basedOn w:val="DefaultParagraphFont"/>
    <w:link w:val="ListParagraph"/>
    <w:uiPriority w:val="34"/>
    <w:qFormat/>
    <w:rsid w:val="00BC5A47"/>
    <w:rPr>
      <w:lang w:val="it-IT"/>
    </w:rPr>
  </w:style>
  <w:style w:type="character" w:customStyle="1" w:styleId="Text2Char">
    <w:name w:val="Text 2 Char"/>
    <w:locked/>
    <w:rsid w:val="0020658E"/>
    <w:rPr>
      <w:rFonts w:ascii="Times New Roman" w:hAnsi="Times New Roman" w:cs="Times New Roman"/>
      <w:sz w:val="24"/>
      <w:lang w:val="it-IT"/>
    </w:rPr>
  </w:style>
  <w:style w:type="paragraph" w:styleId="ListBullet">
    <w:name w:val="List Bullet"/>
    <w:basedOn w:val="Normal"/>
    <w:unhideWhenUsed/>
    <w:rsid w:val="00245C49"/>
    <w:pPr>
      <w:numPr>
        <w:numId w:val="1"/>
      </w:numPr>
      <w:contextualSpacing/>
    </w:pPr>
  </w:style>
  <w:style w:type="paragraph" w:styleId="ListBullet2">
    <w:name w:val="List Bullet 2"/>
    <w:basedOn w:val="Normal"/>
    <w:unhideWhenUsed/>
    <w:rsid w:val="00245C49"/>
    <w:pPr>
      <w:numPr>
        <w:numId w:val="2"/>
      </w:numPr>
      <w:contextualSpacing/>
    </w:pPr>
  </w:style>
  <w:style w:type="paragraph" w:styleId="ListBullet3">
    <w:name w:val="List Bullet 3"/>
    <w:basedOn w:val="Normal"/>
    <w:unhideWhenUsed/>
    <w:rsid w:val="00245C49"/>
    <w:pPr>
      <w:numPr>
        <w:numId w:val="3"/>
      </w:numPr>
      <w:contextualSpacing/>
    </w:pPr>
  </w:style>
  <w:style w:type="paragraph" w:styleId="ListBullet4">
    <w:name w:val="List Bullet 4"/>
    <w:basedOn w:val="Normal"/>
    <w:unhideWhenUsed/>
    <w:rsid w:val="00245C49"/>
    <w:pPr>
      <w:numPr>
        <w:numId w:val="4"/>
      </w:numPr>
      <w:contextualSpacing/>
    </w:pPr>
  </w:style>
  <w:style w:type="character" w:customStyle="1" w:styleId="highlight">
    <w:name w:val="highlight"/>
    <w:basedOn w:val="DefaultParagraphFont"/>
    <w:rsid w:val="00245C49"/>
  </w:style>
  <w:style w:type="paragraph" w:customStyle="1" w:styleId="title-division-2">
    <w:name w:val="title-division-2"/>
    <w:basedOn w:val="Normal"/>
    <w:rsid w:val="007333BA"/>
    <w:pPr>
      <w:spacing w:before="100" w:beforeAutospacing="1" w:after="100" w:afterAutospacing="1"/>
      <w:jc w:val="left"/>
    </w:pPr>
    <w:rPr>
      <w:rFonts w:eastAsia="Times New Roman"/>
      <w:szCs w:val="24"/>
    </w:rPr>
  </w:style>
  <w:style w:type="character" w:customStyle="1" w:styleId="boldface">
    <w:name w:val="boldface"/>
    <w:basedOn w:val="DefaultParagraphFont"/>
    <w:rsid w:val="007333BA"/>
  </w:style>
  <w:style w:type="paragraph" w:customStyle="1" w:styleId="B0List">
    <w:name w:val="B0 List"/>
    <w:basedOn w:val="Normal"/>
    <w:qFormat/>
    <w:rsid w:val="00D97746"/>
    <w:pPr>
      <w:widowControl w:val="0"/>
      <w:numPr>
        <w:numId w:val="5"/>
      </w:numPr>
      <w:spacing w:before="0"/>
    </w:pPr>
    <w:rPr>
      <w:rFonts w:eastAsia="Calibri" w:cs="Tahoma"/>
    </w:rPr>
  </w:style>
  <w:style w:type="paragraph" w:customStyle="1" w:styleId="title-bold">
    <w:name w:val="title-bold"/>
    <w:basedOn w:val="Normal"/>
    <w:rsid w:val="00A17072"/>
    <w:pPr>
      <w:spacing w:before="100" w:beforeAutospacing="1" w:after="100" w:afterAutospacing="1"/>
      <w:jc w:val="left"/>
    </w:pPr>
    <w:rPr>
      <w:rFonts w:eastAsia="Times New Roman"/>
      <w:szCs w:val="24"/>
    </w:rPr>
  </w:style>
  <w:style w:type="paragraph" w:customStyle="1" w:styleId="Normal1">
    <w:name w:val="Normal1"/>
    <w:basedOn w:val="Normal"/>
    <w:rsid w:val="0086350E"/>
    <w:pPr>
      <w:spacing w:before="100" w:beforeAutospacing="1" w:after="100" w:afterAutospacing="1"/>
      <w:jc w:val="left"/>
    </w:pPr>
    <w:rPr>
      <w:rFonts w:eastAsia="Times New Roman"/>
      <w:szCs w:val="24"/>
    </w:rPr>
  </w:style>
  <w:style w:type="table" w:styleId="TableGrid">
    <w:name w:val="Table Grid"/>
    <w:aliases w:val="Document Table,CV1,Table 1,Test,TabelEcorys,Gena,Deloitte,HTG,Tabellengitternetz,Table Grid IDEA"/>
    <w:basedOn w:val="TableNormal"/>
    <w:uiPriority w:val="39"/>
    <w:qFormat/>
    <w:rsid w:val="00E472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0F12"/>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sid w:val="009A0F12"/>
    <w:rPr>
      <w:b/>
      <w:bCs/>
    </w:rPr>
  </w:style>
  <w:style w:type="character" w:styleId="Emphasis">
    <w:name w:val="Emphasis"/>
    <w:basedOn w:val="DefaultParagraphFont"/>
    <w:uiPriority w:val="20"/>
    <w:qFormat/>
    <w:rsid w:val="009A0F12"/>
    <w:rPr>
      <w:i/>
      <w:iCs/>
    </w:rPr>
  </w:style>
  <w:style w:type="paragraph" w:styleId="Revision">
    <w:name w:val="Revision"/>
    <w:hidden/>
    <w:uiPriority w:val="99"/>
    <w:semiHidden/>
    <w:rsid w:val="00B1321E"/>
    <w:pPr>
      <w:spacing w:after="0" w:line="240" w:lineRule="auto"/>
    </w:pPr>
    <w:rPr>
      <w:rFonts w:ascii="Times New Roman" w:hAnsi="Times New Roman" w:cs="Times New Roman"/>
      <w:sz w:val="24"/>
    </w:rPr>
  </w:style>
  <w:style w:type="character" w:customStyle="1" w:styleId="normaltextrun">
    <w:name w:val="normaltextrun"/>
    <w:basedOn w:val="DefaultParagraphFont"/>
    <w:rsid w:val="00036E2D"/>
  </w:style>
  <w:style w:type="character" w:customStyle="1" w:styleId="eop">
    <w:name w:val="eop"/>
    <w:basedOn w:val="DefaultParagraphFont"/>
    <w:rsid w:val="00036E2D"/>
  </w:style>
  <w:style w:type="paragraph" w:customStyle="1" w:styleId="norm">
    <w:name w:val="norm"/>
    <w:basedOn w:val="Normal"/>
    <w:rsid w:val="00827F27"/>
    <w:pPr>
      <w:spacing w:before="100" w:beforeAutospacing="1" w:after="100" w:afterAutospacing="1"/>
      <w:jc w:val="left"/>
    </w:pPr>
    <w:rPr>
      <w:rFonts w:eastAsia="Times New Roman"/>
      <w:szCs w:val="24"/>
      <w:lang w:eastAsia="en-IE"/>
    </w:rPr>
  </w:style>
  <w:style w:type="paragraph" w:customStyle="1" w:styleId="title-article-norm">
    <w:name w:val="title-article-norm"/>
    <w:basedOn w:val="Normal"/>
    <w:rsid w:val="00C9131C"/>
    <w:pPr>
      <w:spacing w:before="100" w:beforeAutospacing="1" w:after="100" w:afterAutospacing="1"/>
      <w:jc w:val="left"/>
    </w:pPr>
    <w:rPr>
      <w:rFonts w:eastAsia="Times New Roman"/>
      <w:szCs w:val="24"/>
    </w:rPr>
  </w:style>
  <w:style w:type="paragraph" w:customStyle="1" w:styleId="stitle-article-norm">
    <w:name w:val="stitle-article-norm"/>
    <w:basedOn w:val="Normal"/>
    <w:rsid w:val="00C9131C"/>
    <w:pPr>
      <w:spacing w:before="100" w:beforeAutospacing="1" w:after="100" w:afterAutospacing="1"/>
      <w:jc w:val="left"/>
    </w:pPr>
    <w:rPr>
      <w:rFonts w:eastAsia="Times New Roman"/>
      <w:szCs w:val="24"/>
    </w:rPr>
  </w:style>
  <w:style w:type="paragraph" w:customStyle="1" w:styleId="FooterCoverPage">
    <w:name w:val="Footer Cover Page"/>
    <w:basedOn w:val="Normal"/>
    <w:link w:val="FooterCoverPageChar"/>
    <w:rsid w:val="008A53D9"/>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8A53D9"/>
    <w:rPr>
      <w:rFonts w:ascii="Times New Roman" w:hAnsi="Times New Roman" w:cs="Times New Roman"/>
      <w:sz w:val="24"/>
      <w:lang w:val="it-IT"/>
    </w:rPr>
  </w:style>
  <w:style w:type="character" w:customStyle="1" w:styleId="FooterSensitivityChar">
    <w:name w:val="Footer Sensitivity Char"/>
    <w:basedOn w:val="DefaultParagraphFont"/>
    <w:rsid w:val="008A53D9"/>
    <w:rPr>
      <w:rFonts w:ascii="Times New Roman" w:hAnsi="Times New Roman" w:cs="Times New Roman"/>
      <w:b/>
      <w:sz w:val="32"/>
      <w:lang w:val="it-IT"/>
    </w:rPr>
  </w:style>
  <w:style w:type="paragraph" w:customStyle="1" w:styleId="HeaderCoverPage">
    <w:name w:val="Header Cover Page"/>
    <w:basedOn w:val="Normal"/>
    <w:link w:val="HeaderCoverPageChar"/>
    <w:rsid w:val="008A53D9"/>
    <w:pPr>
      <w:tabs>
        <w:tab w:val="center" w:pos="4535"/>
        <w:tab w:val="right" w:pos="9071"/>
      </w:tabs>
      <w:spacing w:before="0"/>
    </w:pPr>
  </w:style>
  <w:style w:type="character" w:customStyle="1" w:styleId="HeaderCoverPageChar">
    <w:name w:val="Header Cover Page Char"/>
    <w:basedOn w:val="DefaultParagraphFont"/>
    <w:link w:val="HeaderCoverPage"/>
    <w:rsid w:val="008A53D9"/>
    <w:rPr>
      <w:rFonts w:ascii="Times New Roman" w:hAnsi="Times New Roman" w:cs="Times New Roman"/>
      <w:sz w:val="24"/>
      <w:lang w:val="it-IT"/>
    </w:rPr>
  </w:style>
  <w:style w:type="character" w:customStyle="1" w:styleId="HeaderSensitivityChar">
    <w:name w:val="Header Sensitivity Char"/>
    <w:basedOn w:val="DefaultParagraphFont"/>
    <w:rsid w:val="008A53D9"/>
    <w:rPr>
      <w:rFonts w:ascii="Times New Roman" w:hAnsi="Times New Roman" w:cs="Times New Roman"/>
      <w:b/>
      <w:sz w:val="32"/>
      <w:lang w:val="it-IT"/>
    </w:rPr>
  </w:style>
  <w:style w:type="character" w:customStyle="1" w:styleId="HeaderSensitivityRightChar">
    <w:name w:val="Header Sensitivity Right Char"/>
    <w:basedOn w:val="DefaultParagraphFont"/>
    <w:rsid w:val="008A53D9"/>
    <w:rPr>
      <w:rFonts w:ascii="Times New Roman" w:hAnsi="Times New Roman" w:cs="Times New Roman"/>
      <w:sz w:val="28"/>
      <w:lang w:val="it-IT"/>
    </w:rPr>
  </w:style>
  <w:style w:type="paragraph" w:styleId="ListNumber">
    <w:name w:val="List Number"/>
    <w:basedOn w:val="Normal"/>
    <w:rsid w:val="008A53D9"/>
    <w:pPr>
      <w:numPr>
        <w:numId w:val="10"/>
      </w:numPr>
    </w:pPr>
    <w:rPr>
      <w:lang w:eastAsia="en-GB"/>
    </w:rPr>
  </w:style>
  <w:style w:type="paragraph" w:customStyle="1" w:styleId="ListBullet1">
    <w:name w:val="List Bullet 1"/>
    <w:basedOn w:val="Normal"/>
    <w:rsid w:val="008A53D9"/>
    <w:pPr>
      <w:numPr>
        <w:numId w:val="6"/>
      </w:numPr>
    </w:pPr>
    <w:rPr>
      <w:lang w:eastAsia="en-GB"/>
    </w:rPr>
  </w:style>
  <w:style w:type="paragraph" w:customStyle="1" w:styleId="ListDash">
    <w:name w:val="List Dash"/>
    <w:basedOn w:val="Normal"/>
    <w:rsid w:val="008A53D9"/>
    <w:pPr>
      <w:numPr>
        <w:numId w:val="7"/>
      </w:numPr>
    </w:pPr>
    <w:rPr>
      <w:lang w:eastAsia="en-GB"/>
    </w:rPr>
  </w:style>
  <w:style w:type="paragraph" w:customStyle="1" w:styleId="ListDash1">
    <w:name w:val="List Dash 1"/>
    <w:basedOn w:val="Normal"/>
    <w:rsid w:val="008A53D9"/>
    <w:pPr>
      <w:numPr>
        <w:numId w:val="8"/>
      </w:numPr>
    </w:pPr>
    <w:rPr>
      <w:lang w:eastAsia="en-GB"/>
    </w:rPr>
  </w:style>
  <w:style w:type="paragraph" w:customStyle="1" w:styleId="ListDash2">
    <w:name w:val="List Dash 2"/>
    <w:basedOn w:val="Normal"/>
    <w:rsid w:val="008A53D9"/>
    <w:pPr>
      <w:numPr>
        <w:numId w:val="9"/>
      </w:numPr>
    </w:pPr>
    <w:rPr>
      <w:lang w:eastAsia="en-GB"/>
    </w:rPr>
  </w:style>
  <w:style w:type="paragraph" w:customStyle="1" w:styleId="ListNumberLevel2">
    <w:name w:val="List Number (Level 2)"/>
    <w:basedOn w:val="Normal"/>
    <w:rsid w:val="008A53D9"/>
    <w:pPr>
      <w:numPr>
        <w:ilvl w:val="1"/>
        <w:numId w:val="10"/>
      </w:numPr>
    </w:pPr>
    <w:rPr>
      <w:lang w:eastAsia="en-GB"/>
    </w:rPr>
  </w:style>
  <w:style w:type="paragraph" w:customStyle="1" w:styleId="ListNumberLevel3">
    <w:name w:val="List Number (Level 3)"/>
    <w:basedOn w:val="Normal"/>
    <w:rsid w:val="008A53D9"/>
    <w:pPr>
      <w:numPr>
        <w:ilvl w:val="2"/>
        <w:numId w:val="10"/>
      </w:numPr>
    </w:pPr>
    <w:rPr>
      <w:lang w:eastAsia="en-GB"/>
    </w:rPr>
  </w:style>
  <w:style w:type="paragraph" w:customStyle="1" w:styleId="ListNumberLevel4">
    <w:name w:val="List Number (Level 4)"/>
    <w:basedOn w:val="Normal"/>
    <w:rsid w:val="008A53D9"/>
    <w:pPr>
      <w:numPr>
        <w:ilvl w:val="3"/>
        <w:numId w:val="10"/>
      </w:numPr>
    </w:pPr>
    <w:rPr>
      <w:lang w:eastAsia="en-GB"/>
    </w:rPr>
  </w:style>
  <w:style w:type="paragraph" w:styleId="Caption">
    <w:name w:val="caption"/>
    <w:basedOn w:val="Normal"/>
    <w:next w:val="Normal"/>
    <w:qFormat/>
    <w:rsid w:val="008A53D9"/>
    <w:rPr>
      <w:b/>
      <w:bCs/>
      <w:sz w:val="20"/>
      <w:lang w:eastAsia="en-GB"/>
    </w:rPr>
  </w:style>
  <w:style w:type="paragraph" w:styleId="TableofFigures">
    <w:name w:val="table of figures"/>
    <w:basedOn w:val="Normal"/>
    <w:next w:val="Normal"/>
    <w:rsid w:val="008A53D9"/>
    <w:rPr>
      <w:lang w:eastAsia="en-GB"/>
    </w:rPr>
  </w:style>
  <w:style w:type="paragraph" w:styleId="ListNumber2">
    <w:name w:val="List Number 2"/>
    <w:basedOn w:val="Normal"/>
    <w:rsid w:val="008A53D9"/>
    <w:pPr>
      <w:numPr>
        <w:numId w:val="11"/>
      </w:numPr>
      <w:contextualSpacing/>
    </w:pPr>
    <w:rPr>
      <w:lang w:eastAsia="en-GB"/>
    </w:rPr>
  </w:style>
  <w:style w:type="paragraph" w:styleId="ListNumber3">
    <w:name w:val="List Number 3"/>
    <w:basedOn w:val="Normal"/>
    <w:rsid w:val="008A53D9"/>
    <w:pPr>
      <w:numPr>
        <w:numId w:val="12"/>
      </w:numPr>
      <w:contextualSpacing/>
    </w:pPr>
    <w:rPr>
      <w:lang w:eastAsia="en-GB"/>
    </w:rPr>
  </w:style>
  <w:style w:type="paragraph" w:styleId="ListNumber4">
    <w:name w:val="List Number 4"/>
    <w:basedOn w:val="Normal"/>
    <w:rsid w:val="008A53D9"/>
    <w:pPr>
      <w:numPr>
        <w:numId w:val="13"/>
      </w:numPr>
      <w:contextualSpacing/>
    </w:pPr>
    <w:rPr>
      <w:lang w:eastAsia="en-GB"/>
    </w:rPr>
  </w:style>
  <w:style w:type="paragraph" w:customStyle="1" w:styleId="Sous-titreobjet">
    <w:name w:val="Sous-titre objet"/>
    <w:basedOn w:val="Normal"/>
    <w:rsid w:val="008A53D9"/>
    <w:pPr>
      <w:spacing w:before="0" w:after="0"/>
      <w:jc w:val="center"/>
    </w:pPr>
    <w:rPr>
      <w:b/>
      <w:lang w:eastAsia="en-GB"/>
    </w:rPr>
  </w:style>
  <w:style w:type="paragraph" w:customStyle="1" w:styleId="Sous-titreobjetPagedecouverture">
    <w:name w:val="Sous-titre objet (Page de couverture)"/>
    <w:basedOn w:val="Sous-titreobjet"/>
    <w:rsid w:val="008A53D9"/>
  </w:style>
  <w:style w:type="character" w:customStyle="1" w:styleId="TOCHeadingChar">
    <w:name w:val="TOC Heading Char"/>
    <w:basedOn w:val="DefaultParagraphFont"/>
    <w:uiPriority w:val="39"/>
    <w:rsid w:val="008A53D9"/>
    <w:rPr>
      <w:rFonts w:ascii="Times New Roman" w:hAnsi="Times New Roman" w:cs="Times New Roman"/>
      <w:b/>
      <w:sz w:val="28"/>
      <w:lang w:val="it-IT"/>
    </w:rPr>
  </w:style>
  <w:style w:type="paragraph" w:customStyle="1" w:styleId="Articletitre">
    <w:name w:val="Article titre"/>
    <w:basedOn w:val="Titrearticle"/>
    <w:rsid w:val="00175EBD"/>
    <w:pPr>
      <w:spacing w:before="0"/>
    </w:pPr>
    <w:rPr>
      <w:b/>
    </w:rPr>
  </w:style>
  <w:style w:type="paragraph" w:customStyle="1" w:styleId="Articletitle">
    <w:name w:val="Article title"/>
    <w:basedOn w:val="Normal"/>
    <w:qFormat/>
    <w:rsid w:val="00175EBD"/>
    <w:pPr>
      <w:keepNext/>
      <w:jc w:val="center"/>
    </w:pPr>
    <w:rPr>
      <w:b/>
      <w:bCs/>
    </w:rPr>
  </w:style>
  <w:style w:type="paragraph" w:customStyle="1" w:styleId="ListDash3">
    <w:name w:val="List Dash 3"/>
    <w:basedOn w:val="Normal"/>
    <w:rsid w:val="00836BD4"/>
    <w:pPr>
      <w:numPr>
        <w:numId w:val="15"/>
      </w:numPr>
    </w:pPr>
    <w:rPr>
      <w:rFonts w:eastAsia="Times New Roman"/>
      <w:lang w:eastAsia="en-GB"/>
    </w:rPr>
  </w:style>
  <w:style w:type="paragraph" w:customStyle="1" w:styleId="ListDash4">
    <w:name w:val="List Dash 4"/>
    <w:basedOn w:val="Normal"/>
    <w:rsid w:val="00836BD4"/>
    <w:pPr>
      <w:numPr>
        <w:numId w:val="16"/>
      </w:numPr>
    </w:pPr>
    <w:rPr>
      <w:rFonts w:eastAsia="Times New Roman"/>
      <w:lang w:eastAsia="en-GB"/>
    </w:rPr>
  </w:style>
  <w:style w:type="paragraph" w:customStyle="1" w:styleId="ListNumber1">
    <w:name w:val="List Number 1"/>
    <w:basedOn w:val="Text1"/>
    <w:rsid w:val="00836BD4"/>
    <w:pPr>
      <w:numPr>
        <w:numId w:val="17"/>
      </w:numPr>
    </w:pPr>
    <w:rPr>
      <w:rFonts w:eastAsia="Times New Roman"/>
      <w:lang w:eastAsia="en-GB"/>
    </w:rPr>
  </w:style>
  <w:style w:type="paragraph" w:customStyle="1" w:styleId="ListNumber1Level2">
    <w:name w:val="List Number 1 (Level 2)"/>
    <w:basedOn w:val="Text1"/>
    <w:rsid w:val="00836BD4"/>
    <w:pPr>
      <w:numPr>
        <w:ilvl w:val="1"/>
        <w:numId w:val="17"/>
      </w:numPr>
    </w:pPr>
    <w:rPr>
      <w:rFonts w:eastAsia="Times New Roman"/>
      <w:lang w:eastAsia="en-GB"/>
    </w:rPr>
  </w:style>
  <w:style w:type="paragraph" w:customStyle="1" w:styleId="ListNumber2Level2">
    <w:name w:val="List Number 2 (Level 2)"/>
    <w:basedOn w:val="Text2"/>
    <w:rsid w:val="00836BD4"/>
    <w:pPr>
      <w:tabs>
        <w:tab w:val="num" w:pos="2268"/>
      </w:tabs>
      <w:ind w:left="2268" w:hanging="708"/>
    </w:pPr>
    <w:rPr>
      <w:rFonts w:eastAsia="Times New Roman"/>
      <w:lang w:eastAsia="en-GB"/>
    </w:rPr>
  </w:style>
  <w:style w:type="paragraph" w:customStyle="1" w:styleId="ListNumber3Level2">
    <w:name w:val="List Number 3 (Level 2)"/>
    <w:basedOn w:val="Text3"/>
    <w:rsid w:val="00836BD4"/>
    <w:pPr>
      <w:tabs>
        <w:tab w:val="num" w:pos="2268"/>
      </w:tabs>
      <w:ind w:left="2268" w:hanging="708"/>
    </w:pPr>
    <w:rPr>
      <w:rFonts w:eastAsia="Times New Roman"/>
      <w:lang w:eastAsia="en-GB"/>
    </w:rPr>
  </w:style>
  <w:style w:type="paragraph" w:customStyle="1" w:styleId="ListNumber4Level2">
    <w:name w:val="List Number 4 (Level 2)"/>
    <w:basedOn w:val="Text4"/>
    <w:rsid w:val="00836BD4"/>
    <w:pPr>
      <w:tabs>
        <w:tab w:val="num" w:pos="2268"/>
      </w:tabs>
      <w:ind w:left="2268" w:hanging="708"/>
    </w:pPr>
    <w:rPr>
      <w:rFonts w:eastAsia="Times New Roman"/>
      <w:lang w:eastAsia="en-GB"/>
    </w:rPr>
  </w:style>
  <w:style w:type="paragraph" w:customStyle="1" w:styleId="ListNumber1Level3">
    <w:name w:val="List Number 1 (Level 3)"/>
    <w:basedOn w:val="Text1"/>
    <w:rsid w:val="00836BD4"/>
    <w:pPr>
      <w:numPr>
        <w:ilvl w:val="2"/>
        <w:numId w:val="17"/>
      </w:numPr>
    </w:pPr>
    <w:rPr>
      <w:rFonts w:eastAsia="Times New Roman"/>
      <w:lang w:eastAsia="en-GB"/>
    </w:rPr>
  </w:style>
  <w:style w:type="paragraph" w:customStyle="1" w:styleId="ListNumber2Level3">
    <w:name w:val="List Number 2 (Level 3)"/>
    <w:basedOn w:val="Text2"/>
    <w:rsid w:val="00836BD4"/>
    <w:pPr>
      <w:tabs>
        <w:tab w:val="num" w:pos="2977"/>
      </w:tabs>
      <w:ind w:left="2977" w:hanging="709"/>
    </w:pPr>
    <w:rPr>
      <w:rFonts w:eastAsia="Times New Roman"/>
      <w:lang w:eastAsia="en-GB"/>
    </w:rPr>
  </w:style>
  <w:style w:type="paragraph" w:customStyle="1" w:styleId="ListNumber3Level3">
    <w:name w:val="List Number 3 (Level 3)"/>
    <w:basedOn w:val="Text3"/>
    <w:rsid w:val="00836BD4"/>
    <w:pPr>
      <w:tabs>
        <w:tab w:val="num" w:pos="2977"/>
      </w:tabs>
      <w:ind w:left="2977" w:hanging="709"/>
    </w:pPr>
    <w:rPr>
      <w:rFonts w:eastAsia="Times New Roman"/>
      <w:lang w:eastAsia="en-GB"/>
    </w:rPr>
  </w:style>
  <w:style w:type="paragraph" w:customStyle="1" w:styleId="ListNumber4Level3">
    <w:name w:val="List Number 4 (Level 3)"/>
    <w:basedOn w:val="Text4"/>
    <w:rsid w:val="00836BD4"/>
    <w:pPr>
      <w:tabs>
        <w:tab w:val="num" w:pos="2977"/>
      </w:tabs>
      <w:ind w:left="2977" w:hanging="709"/>
    </w:pPr>
    <w:rPr>
      <w:rFonts w:eastAsia="Times New Roman"/>
      <w:lang w:eastAsia="en-GB"/>
    </w:rPr>
  </w:style>
  <w:style w:type="paragraph" w:customStyle="1" w:styleId="ListNumber1Level4">
    <w:name w:val="List Number 1 (Level 4)"/>
    <w:basedOn w:val="Text1"/>
    <w:rsid w:val="00836BD4"/>
    <w:pPr>
      <w:numPr>
        <w:ilvl w:val="3"/>
        <w:numId w:val="17"/>
      </w:numPr>
    </w:pPr>
    <w:rPr>
      <w:rFonts w:eastAsia="Times New Roman"/>
      <w:lang w:eastAsia="en-GB"/>
    </w:rPr>
  </w:style>
  <w:style w:type="paragraph" w:customStyle="1" w:styleId="ListNumber2Level4">
    <w:name w:val="List Number 2 (Level 4)"/>
    <w:basedOn w:val="Text2"/>
    <w:rsid w:val="00836BD4"/>
    <w:pPr>
      <w:tabs>
        <w:tab w:val="num" w:pos="3686"/>
      </w:tabs>
      <w:ind w:left="3686" w:hanging="709"/>
    </w:pPr>
    <w:rPr>
      <w:rFonts w:eastAsia="Times New Roman"/>
      <w:lang w:eastAsia="en-GB"/>
    </w:rPr>
  </w:style>
  <w:style w:type="paragraph" w:customStyle="1" w:styleId="ListNumber3Level4">
    <w:name w:val="List Number 3 (Level 4)"/>
    <w:basedOn w:val="Text3"/>
    <w:rsid w:val="00836BD4"/>
    <w:pPr>
      <w:tabs>
        <w:tab w:val="num" w:pos="3686"/>
      </w:tabs>
      <w:ind w:left="3686" w:hanging="709"/>
    </w:pPr>
    <w:rPr>
      <w:rFonts w:eastAsia="Times New Roman"/>
      <w:lang w:eastAsia="en-GB"/>
    </w:rPr>
  </w:style>
  <w:style w:type="paragraph" w:customStyle="1" w:styleId="ListNumber4Level4">
    <w:name w:val="List Number 4 (Level 4)"/>
    <w:basedOn w:val="Text4"/>
    <w:rsid w:val="00836BD4"/>
    <w:pPr>
      <w:tabs>
        <w:tab w:val="num" w:pos="3686"/>
      </w:tabs>
      <w:ind w:left="3686" w:hanging="709"/>
    </w:pPr>
    <w:rPr>
      <w:rFonts w:eastAsia="Times New Roman"/>
      <w:lang w:eastAsia="en-GB"/>
    </w:rPr>
  </w:style>
  <w:style w:type="paragraph" w:customStyle="1" w:styleId="Annexetitreacte">
    <w:name w:val="Annexe titre (acte)"/>
    <w:basedOn w:val="Normal"/>
    <w:next w:val="Normal"/>
    <w:rsid w:val="00836BD4"/>
    <w:pPr>
      <w:jc w:val="center"/>
    </w:pPr>
    <w:rPr>
      <w:rFonts w:eastAsia="Times New Roman"/>
      <w:b/>
      <w:u w:val="single"/>
      <w:lang w:eastAsia="en-GB"/>
    </w:rPr>
  </w:style>
  <w:style w:type="paragraph" w:customStyle="1" w:styleId="Annexetitreexposglobal">
    <w:name w:val="Annexe titre (exposé global)"/>
    <w:basedOn w:val="Normal"/>
    <w:next w:val="Normal"/>
    <w:rsid w:val="00836BD4"/>
    <w:pPr>
      <w:jc w:val="center"/>
    </w:pPr>
    <w:rPr>
      <w:rFonts w:eastAsia="Times New Roman"/>
      <w:b/>
      <w:u w:val="single"/>
      <w:lang w:eastAsia="en-GB"/>
    </w:rPr>
  </w:style>
  <w:style w:type="paragraph" w:customStyle="1" w:styleId="Annexetitrefichefinacte">
    <w:name w:val="Annexe titre (fiche fin. acte)"/>
    <w:basedOn w:val="Normal"/>
    <w:next w:val="Normal"/>
    <w:rsid w:val="00836BD4"/>
    <w:pPr>
      <w:jc w:val="center"/>
    </w:pPr>
    <w:rPr>
      <w:rFonts w:eastAsia="Times New Roman"/>
      <w:b/>
      <w:u w:val="single"/>
      <w:lang w:eastAsia="en-GB"/>
    </w:rPr>
  </w:style>
  <w:style w:type="paragraph" w:customStyle="1" w:styleId="Annexetitrefichefinglobale">
    <w:name w:val="Annexe titre (fiche fin. globale)"/>
    <w:basedOn w:val="Normal"/>
    <w:next w:val="Normal"/>
    <w:rsid w:val="00836BD4"/>
    <w:pPr>
      <w:jc w:val="center"/>
    </w:pPr>
    <w:rPr>
      <w:rFonts w:eastAsia="Times New Roman"/>
      <w:b/>
      <w:u w:val="single"/>
      <w:lang w:eastAsia="en-GB"/>
    </w:rPr>
  </w:style>
  <w:style w:type="paragraph" w:customStyle="1" w:styleId="Annexetitreglobale">
    <w:name w:val="Annexe titre (globale)"/>
    <w:basedOn w:val="Normal"/>
    <w:next w:val="Normal"/>
    <w:rsid w:val="00836BD4"/>
    <w:pPr>
      <w:jc w:val="center"/>
    </w:pPr>
    <w:rPr>
      <w:rFonts w:eastAsia="Times New Roman"/>
      <w:b/>
      <w:u w:val="single"/>
      <w:lang w:eastAsia="en-GB"/>
    </w:rPr>
  </w:style>
  <w:style w:type="paragraph" w:customStyle="1" w:styleId="Exposdesmotifstitreglobal">
    <w:name w:val="Exposé des motifs titre (global)"/>
    <w:basedOn w:val="Normal"/>
    <w:next w:val="Normal"/>
    <w:rsid w:val="00836BD4"/>
    <w:pPr>
      <w:jc w:val="center"/>
    </w:pPr>
    <w:rPr>
      <w:rFonts w:eastAsia="Times New Roman"/>
      <w:b/>
      <w:u w:val="single"/>
      <w:lang w:eastAsia="en-GB"/>
    </w:rPr>
  </w:style>
  <w:style w:type="paragraph" w:customStyle="1" w:styleId="Langueoriginale">
    <w:name w:val="Langue originale"/>
    <w:basedOn w:val="Normal"/>
    <w:rsid w:val="00836BD4"/>
    <w:pPr>
      <w:spacing w:before="360"/>
      <w:jc w:val="center"/>
    </w:pPr>
    <w:rPr>
      <w:rFonts w:eastAsia="Times New Roman"/>
      <w:caps/>
      <w:lang w:eastAsia="en-GB"/>
    </w:rPr>
  </w:style>
  <w:style w:type="paragraph" w:customStyle="1" w:styleId="Phrasefinale">
    <w:name w:val="Phrase finale"/>
    <w:basedOn w:val="Normal"/>
    <w:next w:val="Normal"/>
    <w:rsid w:val="00836BD4"/>
    <w:pPr>
      <w:spacing w:before="360" w:after="0"/>
      <w:jc w:val="center"/>
    </w:pPr>
    <w:rPr>
      <w:rFonts w:eastAsia="Times New Roman"/>
      <w:lang w:eastAsia="en-GB"/>
    </w:rPr>
  </w:style>
  <w:style w:type="paragraph" w:customStyle="1" w:styleId="Prliminairetitre">
    <w:name w:val="Préliminaire titre"/>
    <w:basedOn w:val="Normal"/>
    <w:next w:val="Normal"/>
    <w:rsid w:val="00836BD4"/>
    <w:pPr>
      <w:spacing w:before="360" w:after="360"/>
      <w:jc w:val="center"/>
    </w:pPr>
    <w:rPr>
      <w:rFonts w:eastAsia="Times New Roman"/>
      <w:b/>
      <w:lang w:eastAsia="en-GB"/>
    </w:rPr>
  </w:style>
  <w:style w:type="paragraph" w:customStyle="1" w:styleId="Prliminairetype">
    <w:name w:val="Préliminaire type"/>
    <w:basedOn w:val="Normal"/>
    <w:next w:val="Normal"/>
    <w:rsid w:val="00836BD4"/>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836BD4"/>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836BD4"/>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836BD4"/>
    <w:pPr>
      <w:spacing w:before="0" w:after="0"/>
      <w:ind w:left="5103"/>
      <w:jc w:val="left"/>
    </w:pPr>
    <w:rPr>
      <w:rFonts w:eastAsia="Times New Roman"/>
      <w:lang w:eastAsia="en-GB"/>
    </w:rPr>
  </w:style>
  <w:style w:type="paragraph" w:customStyle="1" w:styleId="Sous-titreobjetprliminaire">
    <w:name w:val="Sous-titre objet (préliminaire)"/>
    <w:basedOn w:val="Normal"/>
    <w:rsid w:val="00836BD4"/>
    <w:pPr>
      <w:spacing w:before="0" w:after="0"/>
      <w:jc w:val="center"/>
    </w:pPr>
    <w:rPr>
      <w:rFonts w:eastAsia="Times New Roman"/>
      <w:b/>
      <w:lang w:eastAsia="en-GB"/>
    </w:rPr>
  </w:style>
  <w:style w:type="paragraph" w:customStyle="1" w:styleId="Statutprliminaire">
    <w:name w:val="Statut (préliminaire)"/>
    <w:basedOn w:val="Normal"/>
    <w:next w:val="Normal"/>
    <w:rsid w:val="00836BD4"/>
    <w:pPr>
      <w:spacing w:before="360" w:after="0"/>
      <w:jc w:val="center"/>
    </w:pPr>
    <w:rPr>
      <w:rFonts w:eastAsia="Times New Roman"/>
      <w:lang w:eastAsia="en-GB"/>
    </w:rPr>
  </w:style>
  <w:style w:type="paragraph" w:customStyle="1" w:styleId="Titreobjetprliminaire">
    <w:name w:val="Titre objet (préliminaire)"/>
    <w:basedOn w:val="Normal"/>
    <w:next w:val="Normal"/>
    <w:rsid w:val="00836BD4"/>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836BD4"/>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836BD4"/>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836BD4"/>
    <w:pPr>
      <w:jc w:val="center"/>
    </w:pPr>
    <w:rPr>
      <w:rFonts w:eastAsia="Times New Roman"/>
      <w:b/>
      <w:u w:val="single"/>
      <w:lang w:eastAsia="en-GB"/>
    </w:rPr>
  </w:style>
  <w:style w:type="paragraph" w:customStyle="1" w:styleId="Fichefinanciretravailtitre">
    <w:name w:val="Fiche financière (travail) titre"/>
    <w:basedOn w:val="Normal"/>
    <w:next w:val="Normal"/>
    <w:rsid w:val="00836BD4"/>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836BD4"/>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836BD4"/>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836BD4"/>
    <w:pPr>
      <w:jc w:val="center"/>
    </w:pPr>
    <w:rPr>
      <w:rFonts w:eastAsia="Times New Roman"/>
      <w:b/>
      <w:u w:val="single"/>
      <w:lang w:eastAsia="en-GB"/>
    </w:rPr>
  </w:style>
  <w:style w:type="character" w:styleId="PageNumber">
    <w:name w:val="page number"/>
    <w:rsid w:val="00836BD4"/>
  </w:style>
  <w:style w:type="character" w:customStyle="1" w:styleId="tw4winMark">
    <w:name w:val="tw4winMark"/>
    <w:rsid w:val="00836BD4"/>
    <w:rPr>
      <w:vanish/>
      <w:color w:val="800080"/>
      <w:vertAlign w:val="subscript"/>
    </w:rPr>
  </w:style>
  <w:style w:type="character" w:customStyle="1" w:styleId="UnresolvedMention1">
    <w:name w:val="Unresolved Mention1"/>
    <w:basedOn w:val="DefaultParagraphFont"/>
    <w:uiPriority w:val="99"/>
    <w:unhideWhenUsed/>
    <w:rsid w:val="00AB6191"/>
    <w:rPr>
      <w:color w:val="605E5C"/>
      <w:shd w:val="clear" w:color="auto" w:fill="E1DFDD"/>
    </w:rPr>
  </w:style>
  <w:style w:type="character" w:customStyle="1" w:styleId="Mention1">
    <w:name w:val="Mention1"/>
    <w:basedOn w:val="DefaultParagraphFont"/>
    <w:uiPriority w:val="99"/>
    <w:unhideWhenUsed/>
    <w:rsid w:val="00AB6191"/>
    <w:rPr>
      <w:color w:val="2B579A"/>
      <w:shd w:val="clear" w:color="auto" w:fill="E1DFDD"/>
    </w:rPr>
  </w:style>
  <w:style w:type="paragraph" w:customStyle="1" w:styleId="LegalNumPar">
    <w:name w:val="LegalNumPar"/>
    <w:basedOn w:val="Normal"/>
    <w:rsid w:val="00724205"/>
    <w:pPr>
      <w:spacing w:line="360" w:lineRule="auto"/>
      <w:ind w:left="476" w:hanging="476"/>
    </w:pPr>
  </w:style>
  <w:style w:type="paragraph" w:customStyle="1" w:styleId="LegalNumPar2">
    <w:name w:val="LegalNumPar2"/>
    <w:basedOn w:val="Normal"/>
    <w:rsid w:val="00724205"/>
    <w:pPr>
      <w:spacing w:line="360" w:lineRule="auto"/>
      <w:ind w:left="953" w:hanging="477"/>
    </w:pPr>
  </w:style>
  <w:style w:type="paragraph" w:customStyle="1" w:styleId="LegalNumPar3">
    <w:name w:val="LegalNumPar3"/>
    <w:basedOn w:val="Normal"/>
    <w:rsid w:val="00724205"/>
    <w:pPr>
      <w:spacing w:line="360" w:lineRule="auto"/>
      <w:ind w:left="1429" w:hanging="476"/>
    </w:pPr>
  </w:style>
  <w:style w:type="character" w:customStyle="1" w:styleId="UnresolvedMention2">
    <w:name w:val="Unresolved Mention2"/>
    <w:basedOn w:val="DefaultParagraphFont"/>
    <w:uiPriority w:val="99"/>
    <w:semiHidden/>
    <w:unhideWhenUsed/>
    <w:rsid w:val="00170A19"/>
    <w:rPr>
      <w:color w:val="605E5C"/>
      <w:shd w:val="clear" w:color="auto" w:fill="E1DFDD"/>
    </w:rPr>
  </w:style>
  <w:style w:type="table" w:customStyle="1" w:styleId="CV11">
    <w:name w:val="CV11"/>
    <w:basedOn w:val="TableNormal"/>
    <w:next w:val="TableGrid"/>
    <w:uiPriority w:val="59"/>
    <w:rsid w:val="00FA4F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Source"/>
    <w:basedOn w:val="Normal"/>
    <w:next w:val="Normal"/>
    <w:uiPriority w:val="33"/>
    <w:qFormat/>
    <w:rsid w:val="00FB522F"/>
    <w:pPr>
      <w:jc w:val="left"/>
    </w:pPr>
    <w:rPr>
      <w:rFonts w:ascii="Verdana" w:hAnsi="Verdana" w:cstheme="minorBidi"/>
      <w:i/>
      <w:color w:val="000000" w:themeColor="text1"/>
      <w:sz w:val="20"/>
    </w:rPr>
  </w:style>
  <w:style w:type="character" w:customStyle="1" w:styleId="UnresolvedMention3">
    <w:name w:val="Unresolved Mention3"/>
    <w:basedOn w:val="DefaultParagraphFont"/>
    <w:uiPriority w:val="99"/>
    <w:semiHidden/>
    <w:unhideWhenUsed/>
    <w:rsid w:val="00493CB4"/>
    <w:rPr>
      <w:color w:val="605E5C"/>
      <w:shd w:val="clear" w:color="auto" w:fill="E1DFDD"/>
    </w:rPr>
  </w:style>
  <w:style w:type="paragraph" w:customStyle="1" w:styleId="p1">
    <w:name w:val="p1"/>
    <w:basedOn w:val="Normal"/>
    <w:rsid w:val="00493CB4"/>
    <w:pPr>
      <w:spacing w:before="100" w:beforeAutospacing="1" w:after="100" w:afterAutospacing="1"/>
      <w:jc w:val="left"/>
    </w:pPr>
    <w:rPr>
      <w:szCs w:val="24"/>
      <w:lang w:eastAsia="nl-BE"/>
    </w:rPr>
  </w:style>
  <w:style w:type="character" w:customStyle="1" w:styleId="s1">
    <w:name w:val="s1"/>
    <w:basedOn w:val="DefaultParagraphFont"/>
    <w:rsid w:val="00493CB4"/>
  </w:style>
  <w:style w:type="paragraph" w:styleId="Header">
    <w:name w:val="header"/>
    <w:basedOn w:val="Normal"/>
    <w:link w:val="HeaderChar"/>
    <w:uiPriority w:val="99"/>
    <w:unhideWhenUsed/>
    <w:rsid w:val="0091427E"/>
    <w:pPr>
      <w:tabs>
        <w:tab w:val="center" w:pos="4535"/>
        <w:tab w:val="right" w:pos="9071"/>
      </w:tabs>
      <w:spacing w:before="0"/>
    </w:pPr>
  </w:style>
  <w:style w:type="character" w:customStyle="1" w:styleId="HeaderChar">
    <w:name w:val="Header Char"/>
    <w:basedOn w:val="DefaultParagraphFont"/>
    <w:link w:val="Header"/>
    <w:uiPriority w:val="99"/>
    <w:rsid w:val="0091427E"/>
    <w:rPr>
      <w:rFonts w:ascii="Times New Roman" w:hAnsi="Times New Roman" w:cs="Times New Roman"/>
      <w:sz w:val="24"/>
      <w:lang w:val="it-IT"/>
    </w:rPr>
  </w:style>
  <w:style w:type="paragraph" w:styleId="Footer">
    <w:name w:val="footer"/>
    <w:basedOn w:val="Normal"/>
    <w:link w:val="FooterChar"/>
    <w:uiPriority w:val="99"/>
    <w:unhideWhenUsed/>
    <w:rsid w:val="0091427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1427E"/>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1427E"/>
    <w:pPr>
      <w:tabs>
        <w:tab w:val="center" w:pos="7285"/>
        <w:tab w:val="right" w:pos="14003"/>
      </w:tabs>
      <w:spacing w:before="0"/>
    </w:pPr>
  </w:style>
  <w:style w:type="paragraph" w:customStyle="1" w:styleId="FooterLandscape">
    <w:name w:val="FooterLandscape"/>
    <w:basedOn w:val="Normal"/>
    <w:rsid w:val="0091427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1427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1427E"/>
    <w:pPr>
      <w:spacing w:before="0"/>
      <w:jc w:val="right"/>
    </w:pPr>
    <w:rPr>
      <w:sz w:val="28"/>
    </w:rPr>
  </w:style>
  <w:style w:type="paragraph" w:customStyle="1" w:styleId="FooterSensitivity">
    <w:name w:val="Footer Sensitivity"/>
    <w:basedOn w:val="Normal"/>
    <w:rsid w:val="0091427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Tiret5">
    <w:name w:val="Tiret 5"/>
    <w:basedOn w:val="Point5"/>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NumPar5">
    <w:name w:val="NumPar 5"/>
    <w:basedOn w:val="Normal"/>
    <w:next w:val="Text2"/>
    <w:pPr>
      <w:numPr>
        <w:ilvl w:val="4"/>
        <w:numId w:val="41"/>
      </w:numPr>
    </w:pPr>
  </w:style>
  <w:style w:type="paragraph" w:customStyle="1" w:styleId="NumPar6">
    <w:name w:val="NumPar 6"/>
    <w:basedOn w:val="Normal"/>
    <w:next w:val="Text2"/>
    <w:pPr>
      <w:numPr>
        <w:ilvl w:val="5"/>
        <w:numId w:val="41"/>
      </w:numPr>
    </w:pPr>
  </w:style>
  <w:style w:type="paragraph" w:customStyle="1" w:styleId="NumPar7">
    <w:name w:val="NumPar 7"/>
    <w:basedOn w:val="Normal"/>
    <w:next w:val="Text2"/>
    <w:pPr>
      <w:numPr>
        <w:ilvl w:val="6"/>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9981">
      <w:bodyDiv w:val="1"/>
      <w:marLeft w:val="0"/>
      <w:marRight w:val="0"/>
      <w:marTop w:val="0"/>
      <w:marBottom w:val="0"/>
      <w:divBdr>
        <w:top w:val="none" w:sz="0" w:space="0" w:color="auto"/>
        <w:left w:val="none" w:sz="0" w:space="0" w:color="auto"/>
        <w:bottom w:val="none" w:sz="0" w:space="0" w:color="auto"/>
        <w:right w:val="none" w:sz="0" w:space="0" w:color="auto"/>
      </w:divBdr>
    </w:div>
    <w:div w:id="120349917">
      <w:bodyDiv w:val="1"/>
      <w:marLeft w:val="0"/>
      <w:marRight w:val="0"/>
      <w:marTop w:val="0"/>
      <w:marBottom w:val="0"/>
      <w:divBdr>
        <w:top w:val="none" w:sz="0" w:space="0" w:color="auto"/>
        <w:left w:val="none" w:sz="0" w:space="0" w:color="auto"/>
        <w:bottom w:val="none" w:sz="0" w:space="0" w:color="auto"/>
        <w:right w:val="none" w:sz="0" w:space="0" w:color="auto"/>
      </w:divBdr>
    </w:div>
    <w:div w:id="163906385">
      <w:bodyDiv w:val="1"/>
      <w:marLeft w:val="0"/>
      <w:marRight w:val="0"/>
      <w:marTop w:val="0"/>
      <w:marBottom w:val="0"/>
      <w:divBdr>
        <w:top w:val="none" w:sz="0" w:space="0" w:color="auto"/>
        <w:left w:val="none" w:sz="0" w:space="0" w:color="auto"/>
        <w:bottom w:val="none" w:sz="0" w:space="0" w:color="auto"/>
        <w:right w:val="none" w:sz="0" w:space="0" w:color="auto"/>
      </w:divBdr>
    </w:div>
    <w:div w:id="186259951">
      <w:bodyDiv w:val="1"/>
      <w:marLeft w:val="0"/>
      <w:marRight w:val="0"/>
      <w:marTop w:val="0"/>
      <w:marBottom w:val="0"/>
      <w:divBdr>
        <w:top w:val="none" w:sz="0" w:space="0" w:color="auto"/>
        <w:left w:val="none" w:sz="0" w:space="0" w:color="auto"/>
        <w:bottom w:val="none" w:sz="0" w:space="0" w:color="auto"/>
        <w:right w:val="none" w:sz="0" w:space="0" w:color="auto"/>
      </w:divBdr>
    </w:div>
    <w:div w:id="190536246">
      <w:bodyDiv w:val="1"/>
      <w:marLeft w:val="0"/>
      <w:marRight w:val="0"/>
      <w:marTop w:val="0"/>
      <w:marBottom w:val="0"/>
      <w:divBdr>
        <w:top w:val="none" w:sz="0" w:space="0" w:color="auto"/>
        <w:left w:val="none" w:sz="0" w:space="0" w:color="auto"/>
        <w:bottom w:val="none" w:sz="0" w:space="0" w:color="auto"/>
        <w:right w:val="none" w:sz="0" w:space="0" w:color="auto"/>
      </w:divBdr>
    </w:div>
    <w:div w:id="280697471">
      <w:bodyDiv w:val="1"/>
      <w:marLeft w:val="0"/>
      <w:marRight w:val="0"/>
      <w:marTop w:val="0"/>
      <w:marBottom w:val="0"/>
      <w:divBdr>
        <w:top w:val="none" w:sz="0" w:space="0" w:color="auto"/>
        <w:left w:val="none" w:sz="0" w:space="0" w:color="auto"/>
        <w:bottom w:val="none" w:sz="0" w:space="0" w:color="auto"/>
        <w:right w:val="none" w:sz="0" w:space="0" w:color="auto"/>
      </w:divBdr>
    </w:div>
    <w:div w:id="285894357">
      <w:bodyDiv w:val="1"/>
      <w:marLeft w:val="0"/>
      <w:marRight w:val="0"/>
      <w:marTop w:val="0"/>
      <w:marBottom w:val="0"/>
      <w:divBdr>
        <w:top w:val="none" w:sz="0" w:space="0" w:color="auto"/>
        <w:left w:val="none" w:sz="0" w:space="0" w:color="auto"/>
        <w:bottom w:val="none" w:sz="0" w:space="0" w:color="auto"/>
        <w:right w:val="none" w:sz="0" w:space="0" w:color="auto"/>
      </w:divBdr>
    </w:div>
    <w:div w:id="544488642">
      <w:bodyDiv w:val="1"/>
      <w:marLeft w:val="0"/>
      <w:marRight w:val="0"/>
      <w:marTop w:val="0"/>
      <w:marBottom w:val="0"/>
      <w:divBdr>
        <w:top w:val="none" w:sz="0" w:space="0" w:color="auto"/>
        <w:left w:val="none" w:sz="0" w:space="0" w:color="auto"/>
        <w:bottom w:val="none" w:sz="0" w:space="0" w:color="auto"/>
        <w:right w:val="none" w:sz="0" w:space="0" w:color="auto"/>
      </w:divBdr>
    </w:div>
    <w:div w:id="647516872">
      <w:bodyDiv w:val="1"/>
      <w:marLeft w:val="0"/>
      <w:marRight w:val="0"/>
      <w:marTop w:val="0"/>
      <w:marBottom w:val="0"/>
      <w:divBdr>
        <w:top w:val="none" w:sz="0" w:space="0" w:color="auto"/>
        <w:left w:val="none" w:sz="0" w:space="0" w:color="auto"/>
        <w:bottom w:val="none" w:sz="0" w:space="0" w:color="auto"/>
        <w:right w:val="none" w:sz="0" w:space="0" w:color="auto"/>
      </w:divBdr>
    </w:div>
    <w:div w:id="683168474">
      <w:bodyDiv w:val="1"/>
      <w:marLeft w:val="0"/>
      <w:marRight w:val="0"/>
      <w:marTop w:val="0"/>
      <w:marBottom w:val="0"/>
      <w:divBdr>
        <w:top w:val="none" w:sz="0" w:space="0" w:color="auto"/>
        <w:left w:val="none" w:sz="0" w:space="0" w:color="auto"/>
        <w:bottom w:val="none" w:sz="0" w:space="0" w:color="auto"/>
        <w:right w:val="none" w:sz="0" w:space="0" w:color="auto"/>
      </w:divBdr>
    </w:div>
    <w:div w:id="691152453">
      <w:bodyDiv w:val="1"/>
      <w:marLeft w:val="0"/>
      <w:marRight w:val="0"/>
      <w:marTop w:val="0"/>
      <w:marBottom w:val="0"/>
      <w:divBdr>
        <w:top w:val="none" w:sz="0" w:space="0" w:color="auto"/>
        <w:left w:val="none" w:sz="0" w:space="0" w:color="auto"/>
        <w:bottom w:val="none" w:sz="0" w:space="0" w:color="auto"/>
        <w:right w:val="none" w:sz="0" w:space="0" w:color="auto"/>
      </w:divBdr>
    </w:div>
    <w:div w:id="785084174">
      <w:bodyDiv w:val="1"/>
      <w:marLeft w:val="0"/>
      <w:marRight w:val="0"/>
      <w:marTop w:val="0"/>
      <w:marBottom w:val="0"/>
      <w:divBdr>
        <w:top w:val="none" w:sz="0" w:space="0" w:color="auto"/>
        <w:left w:val="none" w:sz="0" w:space="0" w:color="auto"/>
        <w:bottom w:val="none" w:sz="0" w:space="0" w:color="auto"/>
        <w:right w:val="none" w:sz="0" w:space="0" w:color="auto"/>
      </w:divBdr>
    </w:div>
    <w:div w:id="818153382">
      <w:bodyDiv w:val="1"/>
      <w:marLeft w:val="0"/>
      <w:marRight w:val="0"/>
      <w:marTop w:val="0"/>
      <w:marBottom w:val="0"/>
      <w:divBdr>
        <w:top w:val="none" w:sz="0" w:space="0" w:color="auto"/>
        <w:left w:val="none" w:sz="0" w:space="0" w:color="auto"/>
        <w:bottom w:val="none" w:sz="0" w:space="0" w:color="auto"/>
        <w:right w:val="none" w:sz="0" w:space="0" w:color="auto"/>
      </w:divBdr>
    </w:div>
    <w:div w:id="866064875">
      <w:bodyDiv w:val="1"/>
      <w:marLeft w:val="0"/>
      <w:marRight w:val="0"/>
      <w:marTop w:val="0"/>
      <w:marBottom w:val="0"/>
      <w:divBdr>
        <w:top w:val="none" w:sz="0" w:space="0" w:color="auto"/>
        <w:left w:val="none" w:sz="0" w:space="0" w:color="auto"/>
        <w:bottom w:val="none" w:sz="0" w:space="0" w:color="auto"/>
        <w:right w:val="none" w:sz="0" w:space="0" w:color="auto"/>
      </w:divBdr>
    </w:div>
    <w:div w:id="943195501">
      <w:bodyDiv w:val="1"/>
      <w:marLeft w:val="0"/>
      <w:marRight w:val="0"/>
      <w:marTop w:val="0"/>
      <w:marBottom w:val="0"/>
      <w:divBdr>
        <w:top w:val="none" w:sz="0" w:space="0" w:color="auto"/>
        <w:left w:val="none" w:sz="0" w:space="0" w:color="auto"/>
        <w:bottom w:val="none" w:sz="0" w:space="0" w:color="auto"/>
        <w:right w:val="none" w:sz="0" w:space="0" w:color="auto"/>
      </w:divBdr>
    </w:div>
    <w:div w:id="967126206">
      <w:bodyDiv w:val="1"/>
      <w:marLeft w:val="0"/>
      <w:marRight w:val="0"/>
      <w:marTop w:val="0"/>
      <w:marBottom w:val="0"/>
      <w:divBdr>
        <w:top w:val="none" w:sz="0" w:space="0" w:color="auto"/>
        <w:left w:val="none" w:sz="0" w:space="0" w:color="auto"/>
        <w:bottom w:val="none" w:sz="0" w:space="0" w:color="auto"/>
        <w:right w:val="none" w:sz="0" w:space="0" w:color="auto"/>
      </w:divBdr>
    </w:div>
    <w:div w:id="983435116">
      <w:bodyDiv w:val="1"/>
      <w:marLeft w:val="0"/>
      <w:marRight w:val="0"/>
      <w:marTop w:val="0"/>
      <w:marBottom w:val="0"/>
      <w:divBdr>
        <w:top w:val="none" w:sz="0" w:space="0" w:color="auto"/>
        <w:left w:val="none" w:sz="0" w:space="0" w:color="auto"/>
        <w:bottom w:val="none" w:sz="0" w:space="0" w:color="auto"/>
        <w:right w:val="none" w:sz="0" w:space="0" w:color="auto"/>
      </w:divBdr>
    </w:div>
    <w:div w:id="1094519564">
      <w:bodyDiv w:val="1"/>
      <w:marLeft w:val="0"/>
      <w:marRight w:val="0"/>
      <w:marTop w:val="0"/>
      <w:marBottom w:val="0"/>
      <w:divBdr>
        <w:top w:val="none" w:sz="0" w:space="0" w:color="auto"/>
        <w:left w:val="none" w:sz="0" w:space="0" w:color="auto"/>
        <w:bottom w:val="none" w:sz="0" w:space="0" w:color="auto"/>
        <w:right w:val="none" w:sz="0" w:space="0" w:color="auto"/>
      </w:divBdr>
    </w:div>
    <w:div w:id="1144353428">
      <w:bodyDiv w:val="1"/>
      <w:marLeft w:val="0"/>
      <w:marRight w:val="0"/>
      <w:marTop w:val="0"/>
      <w:marBottom w:val="0"/>
      <w:divBdr>
        <w:top w:val="none" w:sz="0" w:space="0" w:color="auto"/>
        <w:left w:val="none" w:sz="0" w:space="0" w:color="auto"/>
        <w:bottom w:val="none" w:sz="0" w:space="0" w:color="auto"/>
        <w:right w:val="none" w:sz="0" w:space="0" w:color="auto"/>
      </w:divBdr>
    </w:div>
    <w:div w:id="1173184022">
      <w:bodyDiv w:val="1"/>
      <w:marLeft w:val="0"/>
      <w:marRight w:val="0"/>
      <w:marTop w:val="0"/>
      <w:marBottom w:val="0"/>
      <w:divBdr>
        <w:top w:val="none" w:sz="0" w:space="0" w:color="auto"/>
        <w:left w:val="none" w:sz="0" w:space="0" w:color="auto"/>
        <w:bottom w:val="none" w:sz="0" w:space="0" w:color="auto"/>
        <w:right w:val="none" w:sz="0" w:space="0" w:color="auto"/>
      </w:divBdr>
    </w:div>
    <w:div w:id="1332373420">
      <w:bodyDiv w:val="1"/>
      <w:marLeft w:val="0"/>
      <w:marRight w:val="0"/>
      <w:marTop w:val="0"/>
      <w:marBottom w:val="0"/>
      <w:divBdr>
        <w:top w:val="none" w:sz="0" w:space="0" w:color="auto"/>
        <w:left w:val="none" w:sz="0" w:space="0" w:color="auto"/>
        <w:bottom w:val="none" w:sz="0" w:space="0" w:color="auto"/>
        <w:right w:val="none" w:sz="0" w:space="0" w:color="auto"/>
      </w:divBdr>
    </w:div>
    <w:div w:id="1408958503">
      <w:bodyDiv w:val="1"/>
      <w:marLeft w:val="0"/>
      <w:marRight w:val="0"/>
      <w:marTop w:val="0"/>
      <w:marBottom w:val="0"/>
      <w:divBdr>
        <w:top w:val="none" w:sz="0" w:space="0" w:color="auto"/>
        <w:left w:val="none" w:sz="0" w:space="0" w:color="auto"/>
        <w:bottom w:val="none" w:sz="0" w:space="0" w:color="auto"/>
        <w:right w:val="none" w:sz="0" w:space="0" w:color="auto"/>
      </w:divBdr>
    </w:div>
    <w:div w:id="1460108270">
      <w:bodyDiv w:val="1"/>
      <w:marLeft w:val="0"/>
      <w:marRight w:val="0"/>
      <w:marTop w:val="0"/>
      <w:marBottom w:val="0"/>
      <w:divBdr>
        <w:top w:val="none" w:sz="0" w:space="0" w:color="auto"/>
        <w:left w:val="none" w:sz="0" w:space="0" w:color="auto"/>
        <w:bottom w:val="none" w:sz="0" w:space="0" w:color="auto"/>
        <w:right w:val="none" w:sz="0" w:space="0" w:color="auto"/>
      </w:divBdr>
    </w:div>
    <w:div w:id="1464612459">
      <w:bodyDiv w:val="1"/>
      <w:marLeft w:val="0"/>
      <w:marRight w:val="0"/>
      <w:marTop w:val="0"/>
      <w:marBottom w:val="0"/>
      <w:divBdr>
        <w:top w:val="none" w:sz="0" w:space="0" w:color="auto"/>
        <w:left w:val="none" w:sz="0" w:space="0" w:color="auto"/>
        <w:bottom w:val="none" w:sz="0" w:space="0" w:color="auto"/>
        <w:right w:val="none" w:sz="0" w:space="0" w:color="auto"/>
      </w:divBdr>
    </w:div>
    <w:div w:id="1542129064">
      <w:bodyDiv w:val="1"/>
      <w:marLeft w:val="0"/>
      <w:marRight w:val="0"/>
      <w:marTop w:val="0"/>
      <w:marBottom w:val="0"/>
      <w:divBdr>
        <w:top w:val="none" w:sz="0" w:space="0" w:color="auto"/>
        <w:left w:val="none" w:sz="0" w:space="0" w:color="auto"/>
        <w:bottom w:val="none" w:sz="0" w:space="0" w:color="auto"/>
        <w:right w:val="none" w:sz="0" w:space="0" w:color="auto"/>
      </w:divBdr>
    </w:div>
    <w:div w:id="1600865352">
      <w:bodyDiv w:val="1"/>
      <w:marLeft w:val="0"/>
      <w:marRight w:val="0"/>
      <w:marTop w:val="0"/>
      <w:marBottom w:val="0"/>
      <w:divBdr>
        <w:top w:val="none" w:sz="0" w:space="0" w:color="auto"/>
        <w:left w:val="none" w:sz="0" w:space="0" w:color="auto"/>
        <w:bottom w:val="none" w:sz="0" w:space="0" w:color="auto"/>
        <w:right w:val="none" w:sz="0" w:space="0" w:color="auto"/>
      </w:divBdr>
    </w:div>
    <w:div w:id="1707952265">
      <w:bodyDiv w:val="1"/>
      <w:marLeft w:val="0"/>
      <w:marRight w:val="0"/>
      <w:marTop w:val="0"/>
      <w:marBottom w:val="0"/>
      <w:divBdr>
        <w:top w:val="none" w:sz="0" w:space="0" w:color="auto"/>
        <w:left w:val="none" w:sz="0" w:space="0" w:color="auto"/>
        <w:bottom w:val="none" w:sz="0" w:space="0" w:color="auto"/>
        <w:right w:val="none" w:sz="0" w:space="0" w:color="auto"/>
      </w:divBdr>
    </w:div>
    <w:div w:id="1941908930">
      <w:bodyDiv w:val="1"/>
      <w:marLeft w:val="0"/>
      <w:marRight w:val="0"/>
      <w:marTop w:val="0"/>
      <w:marBottom w:val="0"/>
      <w:divBdr>
        <w:top w:val="none" w:sz="0" w:space="0" w:color="auto"/>
        <w:left w:val="none" w:sz="0" w:space="0" w:color="auto"/>
        <w:bottom w:val="none" w:sz="0" w:space="0" w:color="auto"/>
        <w:right w:val="none" w:sz="0" w:space="0" w:color="auto"/>
      </w:divBdr>
    </w:div>
    <w:div w:id="2009628081">
      <w:bodyDiv w:val="1"/>
      <w:marLeft w:val="0"/>
      <w:marRight w:val="0"/>
      <w:marTop w:val="0"/>
      <w:marBottom w:val="0"/>
      <w:divBdr>
        <w:top w:val="none" w:sz="0" w:space="0" w:color="auto"/>
        <w:left w:val="none" w:sz="0" w:space="0" w:color="auto"/>
        <w:bottom w:val="none" w:sz="0" w:space="0" w:color="auto"/>
        <w:right w:val="none" w:sz="0" w:space="0" w:color="auto"/>
      </w:divBdr>
    </w:div>
    <w:div w:id="2096901838">
      <w:bodyDiv w:val="1"/>
      <w:marLeft w:val="0"/>
      <w:marRight w:val="0"/>
      <w:marTop w:val="0"/>
      <w:marBottom w:val="0"/>
      <w:divBdr>
        <w:top w:val="none" w:sz="0" w:space="0" w:color="auto"/>
        <w:left w:val="none" w:sz="0" w:space="0" w:color="auto"/>
        <w:bottom w:val="none" w:sz="0" w:space="0" w:color="auto"/>
        <w:right w:val="none" w:sz="0" w:space="0" w:color="auto"/>
      </w:divBdr>
    </w:div>
    <w:div w:id="2102869923">
      <w:bodyDiv w:val="1"/>
      <w:marLeft w:val="0"/>
      <w:marRight w:val="0"/>
      <w:marTop w:val="0"/>
      <w:marBottom w:val="0"/>
      <w:divBdr>
        <w:top w:val="none" w:sz="0" w:space="0" w:color="auto"/>
        <w:left w:val="none" w:sz="0" w:space="0" w:color="auto"/>
        <w:bottom w:val="none" w:sz="0" w:space="0" w:color="auto"/>
        <w:right w:val="none" w:sz="0" w:space="0" w:color="auto"/>
      </w:divBdr>
    </w:div>
    <w:div w:id="2103452545">
      <w:bodyDiv w:val="1"/>
      <w:marLeft w:val="0"/>
      <w:marRight w:val="0"/>
      <w:marTop w:val="0"/>
      <w:marBottom w:val="0"/>
      <w:divBdr>
        <w:top w:val="none" w:sz="0" w:space="0" w:color="auto"/>
        <w:left w:val="none" w:sz="0" w:space="0" w:color="auto"/>
        <w:bottom w:val="none" w:sz="0" w:space="0" w:color="auto"/>
        <w:right w:val="none" w:sz="0" w:space="0" w:color="auto"/>
      </w:divBdr>
      <w:divsChild>
        <w:div w:id="64690192">
          <w:marLeft w:val="0"/>
          <w:marRight w:val="0"/>
          <w:marTop w:val="0"/>
          <w:marBottom w:val="0"/>
          <w:divBdr>
            <w:top w:val="none" w:sz="0" w:space="0" w:color="auto"/>
            <w:left w:val="none" w:sz="0" w:space="0" w:color="auto"/>
            <w:bottom w:val="none" w:sz="0" w:space="0" w:color="auto"/>
            <w:right w:val="none" w:sz="0" w:space="0" w:color="auto"/>
          </w:divBdr>
        </w:div>
        <w:div w:id="55162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intracomm.ec.europa.eu/corp/budget/financial-rules/legal-framework/internal-rules/Documents/2022-5-legislative-financial-statement-annex-it.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business-economy-euro/doing-business-eu/company-law-and-corporate-governance_it" TargetMode="External"/><Relationship Id="rId3" Type="http://schemas.openxmlformats.org/officeDocument/2006/relationships/hyperlink" Target="https://e-justice.europa.eu/38576/IT/beneficial_ownership_registers__search_for_beneficial_ownership_information" TargetMode="External"/><Relationship Id="rId7" Type="http://schemas.openxmlformats.org/officeDocument/2006/relationships/hyperlink" Target="https://ec.europa.eu/transparency/expert-groups-register/screen/expert-groups/consult?lang=it&amp;groupID=1456" TargetMode="External"/><Relationship Id="rId2" Type="http://schemas.openxmlformats.org/officeDocument/2006/relationships/hyperlink" Target="https://www.consilium.europa.eu/it/press/press-releases/2022/03/25/european-council-conclusions-24-25-march-2022/" TargetMode="External"/><Relationship Id="rId1" Type="http://schemas.openxmlformats.org/officeDocument/2006/relationships/hyperlink" Target="https://e-justice.europa.eu/489/IT/business_registers__search_for_a_company_in_the_eu?clang=en" TargetMode="External"/><Relationship Id="rId6" Type="http://schemas.openxmlformats.org/officeDocument/2006/relationships/hyperlink" Target="https://commission.europa.eu/business-economy-euro/doing-business-eu/company-law-and-corporate-governance_it" TargetMode="External"/><Relationship Id="rId11" Type="http://schemas.openxmlformats.org/officeDocument/2006/relationships/hyperlink" Target="https://myintracomm.ec.europa.eu/corp/budget/financial-rules/budget-implementation/Pages/implementation-methods.aspx" TargetMode="External"/><Relationship Id="rId5" Type="http://schemas.openxmlformats.org/officeDocument/2006/relationships/hyperlink" Target="https://ec.europa.eu/info/law/better-regulation/have-your-say/initiatives/13055-Upgrading-digital-company-law/public-consultation_it" TargetMode="External"/><Relationship Id="rId10" Type="http://schemas.openxmlformats.org/officeDocument/2006/relationships/hyperlink" Target="https://startupnationsstandard.eu/" TargetMode="External"/><Relationship Id="rId4" Type="http://schemas.openxmlformats.org/officeDocument/2006/relationships/hyperlink" Target="https://e-justice.europa.eu/content_interconnected_insolvency_registers_search-246-it.do" TargetMode="External"/><Relationship Id="rId9" Type="http://schemas.openxmlformats.org/officeDocument/2006/relationships/hyperlink" Target="https://ec.europa.eu/transparency/expert-groups-register/screen/expert-groups/consult?lang=it&amp;groupID=30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EC235-9B9F-4C85-8FC1-5BA99AD6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75</Pages>
  <Words>27836</Words>
  <Characters>164233</Characters>
  <Application>Microsoft Office Word</Application>
  <DocSecurity>0</DocSecurity>
  <Lines>3494</Lines>
  <Paragraphs>1171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190898</CharactersWithSpaces>
  <SharedDoc>false</SharedDoc>
  <HLinks>
    <vt:vector size="264" baseType="variant">
      <vt:variant>
        <vt:i4>6815844</vt:i4>
      </vt:variant>
      <vt:variant>
        <vt:i4>201</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1114173</vt:i4>
      </vt:variant>
      <vt:variant>
        <vt:i4>194</vt:i4>
      </vt:variant>
      <vt:variant>
        <vt:i4>0</vt:i4>
      </vt:variant>
      <vt:variant>
        <vt:i4>5</vt:i4>
      </vt:variant>
      <vt:variant>
        <vt:lpwstr/>
      </vt:variant>
      <vt:variant>
        <vt:lpwstr>_Toc520485057</vt:lpwstr>
      </vt:variant>
      <vt:variant>
        <vt:i4>1114173</vt:i4>
      </vt:variant>
      <vt:variant>
        <vt:i4>188</vt:i4>
      </vt:variant>
      <vt:variant>
        <vt:i4>0</vt:i4>
      </vt:variant>
      <vt:variant>
        <vt:i4>5</vt:i4>
      </vt:variant>
      <vt:variant>
        <vt:lpwstr/>
      </vt:variant>
      <vt:variant>
        <vt:lpwstr>_Toc520485056</vt:lpwstr>
      </vt:variant>
      <vt:variant>
        <vt:i4>1114173</vt:i4>
      </vt:variant>
      <vt:variant>
        <vt:i4>182</vt:i4>
      </vt:variant>
      <vt:variant>
        <vt:i4>0</vt:i4>
      </vt:variant>
      <vt:variant>
        <vt:i4>5</vt:i4>
      </vt:variant>
      <vt:variant>
        <vt:lpwstr/>
      </vt:variant>
      <vt:variant>
        <vt:lpwstr>_Toc520485055</vt:lpwstr>
      </vt:variant>
      <vt:variant>
        <vt:i4>1114173</vt:i4>
      </vt:variant>
      <vt:variant>
        <vt:i4>176</vt:i4>
      </vt:variant>
      <vt:variant>
        <vt:i4>0</vt:i4>
      </vt:variant>
      <vt:variant>
        <vt:i4>5</vt:i4>
      </vt:variant>
      <vt:variant>
        <vt:lpwstr/>
      </vt:variant>
      <vt:variant>
        <vt:lpwstr>_Toc520485054</vt:lpwstr>
      </vt:variant>
      <vt:variant>
        <vt:i4>1114173</vt:i4>
      </vt:variant>
      <vt:variant>
        <vt:i4>170</vt:i4>
      </vt:variant>
      <vt:variant>
        <vt:i4>0</vt:i4>
      </vt:variant>
      <vt:variant>
        <vt:i4>5</vt:i4>
      </vt:variant>
      <vt:variant>
        <vt:lpwstr/>
      </vt:variant>
      <vt:variant>
        <vt:lpwstr>_Toc520485053</vt:lpwstr>
      </vt:variant>
      <vt:variant>
        <vt:i4>1114173</vt:i4>
      </vt:variant>
      <vt:variant>
        <vt:i4>164</vt:i4>
      </vt:variant>
      <vt:variant>
        <vt:i4>0</vt:i4>
      </vt:variant>
      <vt:variant>
        <vt:i4>5</vt:i4>
      </vt:variant>
      <vt:variant>
        <vt:lpwstr/>
      </vt:variant>
      <vt:variant>
        <vt:lpwstr>_Toc520485052</vt:lpwstr>
      </vt:variant>
      <vt:variant>
        <vt:i4>1114173</vt:i4>
      </vt:variant>
      <vt:variant>
        <vt:i4>158</vt:i4>
      </vt:variant>
      <vt:variant>
        <vt:i4>0</vt:i4>
      </vt:variant>
      <vt:variant>
        <vt:i4>5</vt:i4>
      </vt:variant>
      <vt:variant>
        <vt:lpwstr/>
      </vt:variant>
      <vt:variant>
        <vt:lpwstr>_Toc520485051</vt:lpwstr>
      </vt:variant>
      <vt:variant>
        <vt:i4>1114173</vt:i4>
      </vt:variant>
      <vt:variant>
        <vt:i4>152</vt:i4>
      </vt:variant>
      <vt:variant>
        <vt:i4>0</vt:i4>
      </vt:variant>
      <vt:variant>
        <vt:i4>5</vt:i4>
      </vt:variant>
      <vt:variant>
        <vt:lpwstr/>
      </vt:variant>
      <vt:variant>
        <vt:lpwstr>_Toc520485050</vt:lpwstr>
      </vt:variant>
      <vt:variant>
        <vt:i4>1048637</vt:i4>
      </vt:variant>
      <vt:variant>
        <vt:i4>146</vt:i4>
      </vt:variant>
      <vt:variant>
        <vt:i4>0</vt:i4>
      </vt:variant>
      <vt:variant>
        <vt:i4>5</vt:i4>
      </vt:variant>
      <vt:variant>
        <vt:lpwstr/>
      </vt:variant>
      <vt:variant>
        <vt:lpwstr>_Toc520485049</vt:lpwstr>
      </vt:variant>
      <vt:variant>
        <vt:i4>1048637</vt:i4>
      </vt:variant>
      <vt:variant>
        <vt:i4>140</vt:i4>
      </vt:variant>
      <vt:variant>
        <vt:i4>0</vt:i4>
      </vt:variant>
      <vt:variant>
        <vt:i4>5</vt:i4>
      </vt:variant>
      <vt:variant>
        <vt:lpwstr/>
      </vt:variant>
      <vt:variant>
        <vt:lpwstr>_Toc520485048</vt:lpwstr>
      </vt:variant>
      <vt:variant>
        <vt:i4>1048637</vt:i4>
      </vt:variant>
      <vt:variant>
        <vt:i4>134</vt:i4>
      </vt:variant>
      <vt:variant>
        <vt:i4>0</vt:i4>
      </vt:variant>
      <vt:variant>
        <vt:i4>5</vt:i4>
      </vt:variant>
      <vt:variant>
        <vt:lpwstr/>
      </vt:variant>
      <vt:variant>
        <vt:lpwstr>_Toc520485047</vt:lpwstr>
      </vt:variant>
      <vt:variant>
        <vt:i4>1048637</vt:i4>
      </vt:variant>
      <vt:variant>
        <vt:i4>128</vt:i4>
      </vt:variant>
      <vt:variant>
        <vt:i4>0</vt:i4>
      </vt:variant>
      <vt:variant>
        <vt:i4>5</vt:i4>
      </vt:variant>
      <vt:variant>
        <vt:lpwstr/>
      </vt:variant>
      <vt:variant>
        <vt:lpwstr>_Toc520485046</vt:lpwstr>
      </vt:variant>
      <vt:variant>
        <vt:i4>1048637</vt:i4>
      </vt:variant>
      <vt:variant>
        <vt:i4>122</vt:i4>
      </vt:variant>
      <vt:variant>
        <vt:i4>0</vt:i4>
      </vt:variant>
      <vt:variant>
        <vt:i4>5</vt:i4>
      </vt:variant>
      <vt:variant>
        <vt:lpwstr/>
      </vt:variant>
      <vt:variant>
        <vt:lpwstr>_Toc520485045</vt:lpwstr>
      </vt:variant>
      <vt:variant>
        <vt:i4>1048637</vt:i4>
      </vt:variant>
      <vt:variant>
        <vt:i4>116</vt:i4>
      </vt:variant>
      <vt:variant>
        <vt:i4>0</vt:i4>
      </vt:variant>
      <vt:variant>
        <vt:i4>5</vt:i4>
      </vt:variant>
      <vt:variant>
        <vt:lpwstr/>
      </vt:variant>
      <vt:variant>
        <vt:lpwstr>_Toc520485044</vt:lpwstr>
      </vt:variant>
      <vt:variant>
        <vt:i4>1048637</vt:i4>
      </vt:variant>
      <vt:variant>
        <vt:i4>110</vt:i4>
      </vt:variant>
      <vt:variant>
        <vt:i4>0</vt:i4>
      </vt:variant>
      <vt:variant>
        <vt:i4>5</vt:i4>
      </vt:variant>
      <vt:variant>
        <vt:lpwstr/>
      </vt:variant>
      <vt:variant>
        <vt:lpwstr>_Toc520485043</vt:lpwstr>
      </vt:variant>
      <vt:variant>
        <vt:i4>1048637</vt:i4>
      </vt:variant>
      <vt:variant>
        <vt:i4>104</vt:i4>
      </vt:variant>
      <vt:variant>
        <vt:i4>0</vt:i4>
      </vt:variant>
      <vt:variant>
        <vt:i4>5</vt:i4>
      </vt:variant>
      <vt:variant>
        <vt:lpwstr/>
      </vt:variant>
      <vt:variant>
        <vt:lpwstr>_Toc520485042</vt:lpwstr>
      </vt:variant>
      <vt:variant>
        <vt:i4>1048637</vt:i4>
      </vt:variant>
      <vt:variant>
        <vt:i4>98</vt:i4>
      </vt:variant>
      <vt:variant>
        <vt:i4>0</vt:i4>
      </vt:variant>
      <vt:variant>
        <vt:i4>5</vt:i4>
      </vt:variant>
      <vt:variant>
        <vt:lpwstr/>
      </vt:variant>
      <vt:variant>
        <vt:lpwstr>_Toc520485041</vt:lpwstr>
      </vt:variant>
      <vt:variant>
        <vt:i4>1048637</vt:i4>
      </vt:variant>
      <vt:variant>
        <vt:i4>92</vt:i4>
      </vt:variant>
      <vt:variant>
        <vt:i4>0</vt:i4>
      </vt:variant>
      <vt:variant>
        <vt:i4>5</vt:i4>
      </vt:variant>
      <vt:variant>
        <vt:lpwstr/>
      </vt:variant>
      <vt:variant>
        <vt:lpwstr>_Toc520485040</vt:lpwstr>
      </vt:variant>
      <vt:variant>
        <vt:i4>1507389</vt:i4>
      </vt:variant>
      <vt:variant>
        <vt:i4>86</vt:i4>
      </vt:variant>
      <vt:variant>
        <vt:i4>0</vt:i4>
      </vt:variant>
      <vt:variant>
        <vt:i4>5</vt:i4>
      </vt:variant>
      <vt:variant>
        <vt:lpwstr/>
      </vt:variant>
      <vt:variant>
        <vt:lpwstr>_Toc520485039</vt:lpwstr>
      </vt:variant>
      <vt:variant>
        <vt:i4>1507389</vt:i4>
      </vt:variant>
      <vt:variant>
        <vt:i4>80</vt:i4>
      </vt:variant>
      <vt:variant>
        <vt:i4>0</vt:i4>
      </vt:variant>
      <vt:variant>
        <vt:i4>5</vt:i4>
      </vt:variant>
      <vt:variant>
        <vt:lpwstr/>
      </vt:variant>
      <vt:variant>
        <vt:lpwstr>_Toc520485038</vt:lpwstr>
      </vt:variant>
      <vt:variant>
        <vt:i4>1507389</vt:i4>
      </vt:variant>
      <vt:variant>
        <vt:i4>74</vt:i4>
      </vt:variant>
      <vt:variant>
        <vt:i4>0</vt:i4>
      </vt:variant>
      <vt:variant>
        <vt:i4>5</vt:i4>
      </vt:variant>
      <vt:variant>
        <vt:lpwstr/>
      </vt:variant>
      <vt:variant>
        <vt:lpwstr>_Toc520485037</vt:lpwstr>
      </vt:variant>
      <vt:variant>
        <vt:i4>1507389</vt:i4>
      </vt:variant>
      <vt:variant>
        <vt:i4>68</vt:i4>
      </vt:variant>
      <vt:variant>
        <vt:i4>0</vt:i4>
      </vt:variant>
      <vt:variant>
        <vt:i4>5</vt:i4>
      </vt:variant>
      <vt:variant>
        <vt:lpwstr/>
      </vt:variant>
      <vt:variant>
        <vt:lpwstr>_Toc520485036</vt:lpwstr>
      </vt:variant>
      <vt:variant>
        <vt:i4>1507389</vt:i4>
      </vt:variant>
      <vt:variant>
        <vt:i4>62</vt:i4>
      </vt:variant>
      <vt:variant>
        <vt:i4>0</vt:i4>
      </vt:variant>
      <vt:variant>
        <vt:i4>5</vt:i4>
      </vt:variant>
      <vt:variant>
        <vt:lpwstr/>
      </vt:variant>
      <vt:variant>
        <vt:lpwstr>_Toc520485035</vt:lpwstr>
      </vt:variant>
      <vt:variant>
        <vt:i4>1507389</vt:i4>
      </vt:variant>
      <vt:variant>
        <vt:i4>56</vt:i4>
      </vt:variant>
      <vt:variant>
        <vt:i4>0</vt:i4>
      </vt:variant>
      <vt:variant>
        <vt:i4>5</vt:i4>
      </vt:variant>
      <vt:variant>
        <vt:lpwstr/>
      </vt:variant>
      <vt:variant>
        <vt:lpwstr>_Toc520485034</vt:lpwstr>
      </vt:variant>
      <vt:variant>
        <vt:i4>1507389</vt:i4>
      </vt:variant>
      <vt:variant>
        <vt:i4>50</vt:i4>
      </vt:variant>
      <vt:variant>
        <vt:i4>0</vt:i4>
      </vt:variant>
      <vt:variant>
        <vt:i4>5</vt:i4>
      </vt:variant>
      <vt:variant>
        <vt:lpwstr/>
      </vt:variant>
      <vt:variant>
        <vt:lpwstr>_Toc520485033</vt:lpwstr>
      </vt:variant>
      <vt:variant>
        <vt:i4>1507389</vt:i4>
      </vt:variant>
      <vt:variant>
        <vt:i4>44</vt:i4>
      </vt:variant>
      <vt:variant>
        <vt:i4>0</vt:i4>
      </vt:variant>
      <vt:variant>
        <vt:i4>5</vt:i4>
      </vt:variant>
      <vt:variant>
        <vt:lpwstr/>
      </vt:variant>
      <vt:variant>
        <vt:lpwstr>_Toc520485032</vt:lpwstr>
      </vt:variant>
      <vt:variant>
        <vt:i4>1507389</vt:i4>
      </vt:variant>
      <vt:variant>
        <vt:i4>38</vt:i4>
      </vt:variant>
      <vt:variant>
        <vt:i4>0</vt:i4>
      </vt:variant>
      <vt:variant>
        <vt:i4>5</vt:i4>
      </vt:variant>
      <vt:variant>
        <vt:lpwstr/>
      </vt:variant>
      <vt:variant>
        <vt:lpwstr>_Toc520485031</vt:lpwstr>
      </vt:variant>
      <vt:variant>
        <vt:i4>1507389</vt:i4>
      </vt:variant>
      <vt:variant>
        <vt:i4>32</vt:i4>
      </vt:variant>
      <vt:variant>
        <vt:i4>0</vt:i4>
      </vt:variant>
      <vt:variant>
        <vt:i4>5</vt:i4>
      </vt:variant>
      <vt:variant>
        <vt:lpwstr/>
      </vt:variant>
      <vt:variant>
        <vt:lpwstr>_Toc520485030</vt:lpwstr>
      </vt:variant>
      <vt:variant>
        <vt:i4>1441853</vt:i4>
      </vt:variant>
      <vt:variant>
        <vt:i4>26</vt:i4>
      </vt:variant>
      <vt:variant>
        <vt:i4>0</vt:i4>
      </vt:variant>
      <vt:variant>
        <vt:i4>5</vt:i4>
      </vt:variant>
      <vt:variant>
        <vt:lpwstr/>
      </vt:variant>
      <vt:variant>
        <vt:lpwstr>_Toc520485029</vt:lpwstr>
      </vt:variant>
      <vt:variant>
        <vt:i4>1441853</vt:i4>
      </vt:variant>
      <vt:variant>
        <vt:i4>20</vt:i4>
      </vt:variant>
      <vt:variant>
        <vt:i4>0</vt:i4>
      </vt:variant>
      <vt:variant>
        <vt:i4>5</vt:i4>
      </vt:variant>
      <vt:variant>
        <vt:lpwstr/>
      </vt:variant>
      <vt:variant>
        <vt:lpwstr>_Toc520485028</vt:lpwstr>
      </vt:variant>
      <vt:variant>
        <vt:i4>1441853</vt:i4>
      </vt:variant>
      <vt:variant>
        <vt:i4>14</vt:i4>
      </vt:variant>
      <vt:variant>
        <vt:i4>0</vt:i4>
      </vt:variant>
      <vt:variant>
        <vt:i4>5</vt:i4>
      </vt:variant>
      <vt:variant>
        <vt:lpwstr/>
      </vt:variant>
      <vt:variant>
        <vt:lpwstr>_Toc520485027</vt:lpwstr>
      </vt:variant>
      <vt:variant>
        <vt:i4>1441853</vt:i4>
      </vt:variant>
      <vt:variant>
        <vt:i4>8</vt:i4>
      </vt:variant>
      <vt:variant>
        <vt:i4>0</vt:i4>
      </vt:variant>
      <vt:variant>
        <vt:i4>5</vt:i4>
      </vt:variant>
      <vt:variant>
        <vt:lpwstr/>
      </vt:variant>
      <vt:variant>
        <vt:lpwstr>_Toc520485026</vt:lpwstr>
      </vt:variant>
      <vt:variant>
        <vt:i4>1441853</vt:i4>
      </vt:variant>
      <vt:variant>
        <vt:i4>2</vt:i4>
      </vt:variant>
      <vt:variant>
        <vt:i4>0</vt:i4>
      </vt:variant>
      <vt:variant>
        <vt:i4>5</vt:i4>
      </vt:variant>
      <vt:variant>
        <vt:lpwstr/>
      </vt:variant>
      <vt:variant>
        <vt:lpwstr>_Toc520485025</vt:lpwstr>
      </vt:variant>
      <vt:variant>
        <vt:i4>262150</vt:i4>
      </vt:variant>
      <vt:variant>
        <vt:i4>27</vt:i4>
      </vt:variant>
      <vt:variant>
        <vt:i4>0</vt:i4>
      </vt:variant>
      <vt:variant>
        <vt:i4>5</vt:i4>
      </vt:variant>
      <vt:variant>
        <vt:lpwstr>https://myintracomm.ec.europa.eu/corp/budget/financial-rules/budget-implementation/Pages/implementation-methods.aspx</vt:lpwstr>
      </vt:variant>
      <vt:variant>
        <vt:lpwstr/>
      </vt:variant>
      <vt:variant>
        <vt:i4>3211375</vt:i4>
      </vt:variant>
      <vt:variant>
        <vt:i4>24</vt:i4>
      </vt:variant>
      <vt:variant>
        <vt:i4>0</vt:i4>
      </vt:variant>
      <vt:variant>
        <vt:i4>5</vt:i4>
      </vt:variant>
      <vt:variant>
        <vt:lpwstr>https://startupnationsstandard.eu/</vt:lpwstr>
      </vt:variant>
      <vt:variant>
        <vt:lpwstr/>
      </vt:variant>
      <vt:variant>
        <vt:i4>8126518</vt:i4>
      </vt:variant>
      <vt:variant>
        <vt:i4>21</vt:i4>
      </vt:variant>
      <vt:variant>
        <vt:i4>0</vt:i4>
      </vt:variant>
      <vt:variant>
        <vt:i4>5</vt:i4>
      </vt:variant>
      <vt:variant>
        <vt:lpwstr>https://ec.europa.eu/transparency/expert-groups-register/screen/expert-groups/consult?lang=en&amp;groupID=3036</vt:lpwstr>
      </vt:variant>
      <vt:variant>
        <vt:lpwstr/>
      </vt:variant>
      <vt:variant>
        <vt:i4>4456548</vt:i4>
      </vt:variant>
      <vt:variant>
        <vt:i4>18</vt:i4>
      </vt:variant>
      <vt:variant>
        <vt:i4>0</vt:i4>
      </vt:variant>
      <vt:variant>
        <vt:i4>5</vt:i4>
      </vt:variant>
      <vt:variant>
        <vt:lpwstr>https://commission.europa.eu/business-economy-euro/doing-business-eu/company-law-and-corporate-governance_en</vt:lpwstr>
      </vt:variant>
      <vt:variant>
        <vt:lpwstr>studies</vt:lpwstr>
      </vt:variant>
      <vt:variant>
        <vt:i4>7864370</vt:i4>
      </vt:variant>
      <vt:variant>
        <vt:i4>15</vt:i4>
      </vt:variant>
      <vt:variant>
        <vt:i4>0</vt:i4>
      </vt:variant>
      <vt:variant>
        <vt:i4>5</vt:i4>
      </vt:variant>
      <vt:variant>
        <vt:lpwstr>https://ec.europa.eu/transparency/expert-groups-register/screen/expert-groups/consult?lang=en&amp;groupID=1456</vt:lpwstr>
      </vt:variant>
      <vt:variant>
        <vt:lpwstr/>
      </vt:variant>
      <vt:variant>
        <vt:i4>4456548</vt:i4>
      </vt:variant>
      <vt:variant>
        <vt:i4>12</vt:i4>
      </vt:variant>
      <vt:variant>
        <vt:i4>0</vt:i4>
      </vt:variant>
      <vt:variant>
        <vt:i4>5</vt:i4>
      </vt:variant>
      <vt:variant>
        <vt:lpwstr>https://commission.europa.eu/business-economy-euro/doing-business-eu/company-law-and-corporate-governance_en</vt:lpwstr>
      </vt:variant>
      <vt:variant>
        <vt:lpwstr>studies</vt:lpwstr>
      </vt:variant>
      <vt:variant>
        <vt:i4>3211342</vt:i4>
      </vt:variant>
      <vt:variant>
        <vt:i4>9</vt:i4>
      </vt:variant>
      <vt:variant>
        <vt:i4>0</vt:i4>
      </vt:variant>
      <vt:variant>
        <vt:i4>5</vt:i4>
      </vt:variant>
      <vt:variant>
        <vt:lpwstr>https://ec.europa.eu/info/law/better-regulation/have-your-say/initiatives/13055-Upgrading-digital-company-law/public-consultation_en</vt:lpwstr>
      </vt:variant>
      <vt:variant>
        <vt:lpwstr/>
      </vt:variant>
      <vt:variant>
        <vt:i4>3997816</vt:i4>
      </vt:variant>
      <vt:variant>
        <vt:i4>6</vt:i4>
      </vt:variant>
      <vt:variant>
        <vt:i4>0</vt:i4>
      </vt:variant>
      <vt:variant>
        <vt:i4>5</vt:i4>
      </vt:variant>
      <vt:variant>
        <vt:lpwstr>https://e-justice.europa.eu/content_interconnected_insolvency_registers_search-246-en.do</vt:lpwstr>
      </vt:variant>
      <vt:variant>
        <vt:lpwstr/>
      </vt:variant>
      <vt:variant>
        <vt:i4>7798843</vt:i4>
      </vt:variant>
      <vt:variant>
        <vt:i4>3</vt:i4>
      </vt:variant>
      <vt:variant>
        <vt:i4>0</vt:i4>
      </vt:variant>
      <vt:variant>
        <vt:i4>5</vt:i4>
      </vt:variant>
      <vt:variant>
        <vt:lpwstr>https://e-justice.europa.eu/38590/EN/beneficial_ownership_registers_interconnection_system_boris?EUROPEAN_UNION&amp;action=maximize&amp;idSubpage=1&amp;member=1</vt:lpwstr>
      </vt:variant>
      <vt:variant>
        <vt:lpwstr/>
      </vt:variant>
      <vt:variant>
        <vt:i4>2621491</vt:i4>
      </vt:variant>
      <vt:variant>
        <vt:i4>0</vt:i4>
      </vt:variant>
      <vt:variant>
        <vt:i4>0</vt:i4>
      </vt:variant>
      <vt:variant>
        <vt:i4>5</vt:i4>
      </vt:variant>
      <vt:variant>
        <vt:lpwstr>https://www.consilium.europa.eu/en/press/press-releases/2022/03/25/european-council-conclusions-24-25-march-2022/</vt:lpwstr>
      </vt:variant>
      <vt:variant>
        <vt:lpwstr>:~:text=On%2024%2D25%20March%202022,President%20of%20the%20European%20Council.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2023-03-28T15:47:00Z</dcterms:created>
  <dcterms:modified xsi:type="dcterms:W3CDTF">2023-04-14T13:17:00Z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