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CAE4BB" w14:textId="40AD5D0D" w:rsidR="0026613F" w:rsidRDefault="00351C97" w:rsidP="00351C97">
      <w:pPr>
        <w:pStyle w:val="Pagedecouverture"/>
        <w:rPr>
          <w:noProof/>
        </w:rPr>
      </w:pPr>
      <w:bookmarkStart w:id="0" w:name="LW_BM_COVERPAGE"/>
      <w:r>
        <w:rPr>
          <w:noProof/>
        </w:rPr>
        <w:pict w14:anchorId="560564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E0F79E89-DB51-4E95-ACA2-B0716265AD4A" style="width:455.25pt;height:453.75pt">
            <v:imagedata r:id="rId11" o:title=""/>
          </v:shape>
        </w:pict>
      </w:r>
    </w:p>
    <w:bookmarkEnd w:id="0"/>
    <w:p w14:paraId="6CB5C84D" w14:textId="77777777" w:rsidR="0026613F" w:rsidRDefault="0026613F" w:rsidP="0026613F">
      <w:pPr>
        <w:rPr>
          <w:noProof/>
        </w:rPr>
        <w:sectPr w:rsidR="0026613F" w:rsidSect="00351C97">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7763DA" w:rsidRPr="0000636F" w14:paraId="5C521752" w14:textId="77777777" w:rsidTr="001B5864">
        <w:tc>
          <w:tcPr>
            <w:tcW w:w="10490" w:type="dxa"/>
            <w:tcBorders>
              <w:bottom w:val="single" w:sz="4" w:space="0" w:color="auto"/>
            </w:tcBorders>
            <w:shd w:val="clear" w:color="auto" w:fill="CCCCCC"/>
          </w:tcPr>
          <w:p w14:paraId="14D2213E" w14:textId="77777777" w:rsidR="007763DA" w:rsidRPr="0000636F" w:rsidRDefault="007763DA" w:rsidP="00D30B4F">
            <w:pPr>
              <w:spacing w:line="240" w:lineRule="auto"/>
              <w:rPr>
                <w:b/>
                <w:noProof/>
              </w:rPr>
            </w:pPr>
            <w:bookmarkStart w:id="1" w:name="_GoBack"/>
            <w:bookmarkEnd w:id="1"/>
            <w:r>
              <w:rPr>
                <w:b/>
                <w:noProof/>
              </w:rPr>
              <w:lastRenderedPageBreak/>
              <w:t xml:space="preserve">Samenvatting </w:t>
            </w:r>
          </w:p>
        </w:tc>
      </w:tr>
      <w:tr w:rsidR="001A1E65" w:rsidRPr="0000636F" w14:paraId="7179FA8B" w14:textId="77777777" w:rsidTr="001B5864">
        <w:tc>
          <w:tcPr>
            <w:tcW w:w="10490" w:type="dxa"/>
            <w:tcBorders>
              <w:top w:val="single" w:sz="4" w:space="0" w:color="auto"/>
              <w:left w:val="single" w:sz="4" w:space="0" w:color="auto"/>
              <w:bottom w:val="single" w:sz="4" w:space="0" w:color="auto"/>
              <w:right w:val="single" w:sz="4" w:space="0" w:color="auto"/>
            </w:tcBorders>
            <w:shd w:val="clear" w:color="auto" w:fill="4F81BD"/>
          </w:tcPr>
          <w:p w14:paraId="54558FC9" w14:textId="19BD61BE" w:rsidR="001A1E65" w:rsidRPr="0000636F" w:rsidRDefault="001A1E65" w:rsidP="001A1E65">
            <w:pPr>
              <w:spacing w:line="240" w:lineRule="auto"/>
              <w:rPr>
                <w:noProof/>
              </w:rPr>
            </w:pPr>
            <w:r>
              <w:rPr>
                <w:noProof/>
              </w:rPr>
              <w:t>Effectbeoordeling met betrekking tot het initiatief inzake de modernisering van het digitale vennootschapsrecht</w:t>
            </w:r>
          </w:p>
        </w:tc>
      </w:tr>
      <w:tr w:rsidR="007763DA" w:rsidRPr="0000636F" w14:paraId="24BD3B54" w14:textId="77777777" w:rsidTr="001B5864">
        <w:tc>
          <w:tcPr>
            <w:tcW w:w="10490" w:type="dxa"/>
            <w:tcBorders>
              <w:bottom w:val="single" w:sz="4" w:space="0" w:color="auto"/>
            </w:tcBorders>
            <w:shd w:val="clear" w:color="auto" w:fill="CCCCCC"/>
          </w:tcPr>
          <w:p w14:paraId="6F8D8F3E" w14:textId="77777777" w:rsidR="007763DA" w:rsidRPr="0000636F" w:rsidRDefault="007763DA" w:rsidP="00FF7FD5">
            <w:pPr>
              <w:spacing w:line="240" w:lineRule="auto"/>
              <w:rPr>
                <w:b/>
                <w:noProof/>
              </w:rPr>
            </w:pPr>
            <w:r>
              <w:rPr>
                <w:b/>
                <w:noProof/>
              </w:rPr>
              <w:t>A. De noodzaak om actie te ondernemen</w:t>
            </w:r>
          </w:p>
        </w:tc>
      </w:tr>
      <w:tr w:rsidR="007763DA" w:rsidRPr="0000636F" w14:paraId="4BF7F948" w14:textId="77777777" w:rsidTr="001B5864">
        <w:tc>
          <w:tcPr>
            <w:tcW w:w="10490" w:type="dxa"/>
            <w:tcBorders>
              <w:bottom w:val="single" w:sz="4" w:space="0" w:color="auto"/>
            </w:tcBorders>
            <w:shd w:val="clear" w:color="auto" w:fill="E0E0E0"/>
          </w:tcPr>
          <w:p w14:paraId="0A99DE76" w14:textId="77777777" w:rsidR="007763DA" w:rsidRPr="0000636F" w:rsidRDefault="007763DA" w:rsidP="00FF7FD5">
            <w:pPr>
              <w:spacing w:line="240" w:lineRule="auto"/>
              <w:rPr>
                <w:noProof/>
              </w:rPr>
            </w:pPr>
            <w:r>
              <w:rPr>
                <w:b/>
                <w:noProof/>
              </w:rPr>
              <w:t xml:space="preserve">Wat is het probleem en waarom is het een probleem op EU-niveau? </w:t>
            </w:r>
          </w:p>
        </w:tc>
      </w:tr>
      <w:tr w:rsidR="001A1E65" w:rsidRPr="0000636F" w14:paraId="2EB18D3B" w14:textId="77777777" w:rsidTr="001B5864">
        <w:tc>
          <w:tcPr>
            <w:tcW w:w="10490" w:type="dxa"/>
            <w:tcBorders>
              <w:bottom w:val="single" w:sz="4" w:space="0" w:color="auto"/>
            </w:tcBorders>
            <w:shd w:val="clear" w:color="auto" w:fill="auto"/>
          </w:tcPr>
          <w:p w14:paraId="5C6CBC8B" w14:textId="77777777" w:rsidR="001A1E65" w:rsidRDefault="001A1E65" w:rsidP="001A1E65">
            <w:pPr>
              <w:spacing w:line="240" w:lineRule="auto"/>
              <w:jc w:val="both"/>
              <w:rPr>
                <w:noProof/>
              </w:rPr>
            </w:pPr>
            <w:r>
              <w:rPr>
                <w:noProof/>
              </w:rPr>
              <w:t xml:space="preserve">Momenteel wordt </w:t>
            </w:r>
            <w:r>
              <w:rPr>
                <w:b/>
                <w:noProof/>
              </w:rPr>
              <w:t>de toegang tot en het gebruik van betrouwbare vennootschapsinformatie uit vennootschapsregisters in grensoverschrijdende situaties gehinderd door belemmeringen</w:t>
            </w:r>
            <w:r>
              <w:rPr>
                <w:noProof/>
              </w:rPr>
              <w:t xml:space="preserve">. </w:t>
            </w:r>
          </w:p>
          <w:p w14:paraId="1363BAC3" w14:textId="7EED7F6E" w:rsidR="001A1E65" w:rsidRPr="00C30A9C" w:rsidRDefault="001A1E65" w:rsidP="001A1E65">
            <w:pPr>
              <w:spacing w:line="240" w:lineRule="auto"/>
              <w:jc w:val="both"/>
              <w:rPr>
                <w:noProof/>
              </w:rPr>
            </w:pPr>
            <w:r>
              <w:rPr>
                <w:noProof/>
              </w:rPr>
              <w:t xml:space="preserve">Ten eerste is vennootschapsinformatie waarnaar belanghebbenden, als directe gebruikers, op zoek zijn </w:t>
            </w:r>
            <w:r>
              <w:rPr>
                <w:b/>
                <w:noProof/>
              </w:rPr>
              <w:t>nog onvoldoende beschikbaar</w:t>
            </w:r>
            <w:r>
              <w:rPr>
                <w:noProof/>
              </w:rPr>
              <w:t xml:space="preserve"> in nationale vennootschapsregisters en/of op EU-niveau via het systeem van gekoppelde registers (BRIS). Dit betreft met name informatie op EU-niveau over andere rechtsvormen dan kapitaalvennootschappen (bv. personenvennootschappen); plaats van leiding en plaats van de belangrijkste economische activiteit van vennootschappen; groepen ondernemingen; en bijkantoren van vennootschappen uit derde landen. Momenteel zijn het BRIS en andere interconnectiesystemen op EU-niveau, bijvoorbeeld het systeem van gekoppelde registers van uiteindelijk begunstigden (Boris), niet met elkaar verbonden.  </w:t>
            </w:r>
          </w:p>
          <w:p w14:paraId="74007A1E" w14:textId="163BD205" w:rsidR="001A1E65" w:rsidRPr="00237DD9" w:rsidRDefault="001A1E65" w:rsidP="001A1E65">
            <w:pPr>
              <w:spacing w:line="240" w:lineRule="auto"/>
              <w:jc w:val="both"/>
              <w:rPr>
                <w:noProof/>
              </w:rPr>
            </w:pPr>
            <w:r>
              <w:rPr>
                <w:noProof/>
              </w:rPr>
              <w:t xml:space="preserve">Ten tweede wordt het </w:t>
            </w:r>
            <w:r>
              <w:rPr>
                <w:b/>
                <w:noProof/>
              </w:rPr>
              <w:t xml:space="preserve">gebruik van dergelijke </w:t>
            </w:r>
            <w:r>
              <w:rPr>
                <w:noProof/>
              </w:rPr>
              <w:t xml:space="preserve">vennootschapsinformatie wanneer vennootschappen dochterondernemingen of bijkantoren in andere lidstaten oprichten, </w:t>
            </w:r>
            <w:r>
              <w:rPr>
                <w:b/>
                <w:noProof/>
              </w:rPr>
              <w:t>belemmerd of onmogelijk gemaakt</w:t>
            </w:r>
            <w:r>
              <w:rPr>
                <w:noProof/>
              </w:rPr>
              <w:t xml:space="preserve">. Vennootschappen moeten vaak vennootschapsinformatie die in hun nationale vennootschapsregisters staat opnieuw indienen en lastige formaliteiten vervullen (bv. legalisatie/apostillering, gelegaliseerde vertaling). Soortgelijke belemmeringen zijn gemeld in andere grensoverschrijdende situaties, onder meer in contacten met bevoegde autoriteiten of rechtbanken. Registerbeheerders of autoriteiten vinden vennootschapsinformatie uit andere lidstaten vaak niet betrouwbaar genoeg, wat leidt tot rechtsonzekerheid, kosten en vertragingen. Nationale bedrijfsuittreksels verschillen en kunnen niet zonder omslachtige formaliteiten in grensoverschrijdende situaties worden gebruikt. </w:t>
            </w:r>
          </w:p>
          <w:p w14:paraId="07143E95" w14:textId="365F9BDE" w:rsidR="001A1E65" w:rsidRPr="00D30B4F" w:rsidRDefault="001A1E65" w:rsidP="001A1E65">
            <w:pPr>
              <w:spacing w:line="240" w:lineRule="auto"/>
              <w:jc w:val="both"/>
              <w:rPr>
                <w:noProof/>
              </w:rPr>
            </w:pPr>
            <w:r>
              <w:rPr>
                <w:noProof/>
              </w:rPr>
              <w:t xml:space="preserve">Deze problemen moeten op EU-niveau worden aangepakt, aangezien de huidige belemmeringen voor toegang tot en gebruik van vennootschapsinformatie in een grensoverschrijdende situatie voornamelijk te wijten zijn aan uiteenlopende nationale voorschriften en het ontbreken van passende voorschriften op EU-niveau.  </w:t>
            </w:r>
          </w:p>
        </w:tc>
      </w:tr>
      <w:tr w:rsidR="001A1E65" w:rsidRPr="0000636F" w14:paraId="1B0D191F" w14:textId="77777777" w:rsidTr="001B5864">
        <w:tc>
          <w:tcPr>
            <w:tcW w:w="10490" w:type="dxa"/>
            <w:tcBorders>
              <w:bottom w:val="single" w:sz="4" w:space="0" w:color="auto"/>
            </w:tcBorders>
            <w:shd w:val="clear" w:color="auto" w:fill="E6E6E6"/>
          </w:tcPr>
          <w:p w14:paraId="6C83E5A0" w14:textId="77777777" w:rsidR="001A1E65" w:rsidRPr="0000636F" w:rsidRDefault="001A1E65" w:rsidP="001A1E65">
            <w:pPr>
              <w:spacing w:line="240" w:lineRule="auto"/>
              <w:rPr>
                <w:noProof/>
              </w:rPr>
            </w:pPr>
            <w:r>
              <w:rPr>
                <w:b/>
                <w:noProof/>
              </w:rPr>
              <w:t>Wat moet worden bereikt?</w:t>
            </w:r>
          </w:p>
        </w:tc>
      </w:tr>
      <w:tr w:rsidR="001A1E65" w:rsidRPr="0000636F" w14:paraId="21421DEB" w14:textId="77777777" w:rsidTr="001B5864">
        <w:tc>
          <w:tcPr>
            <w:tcW w:w="10490" w:type="dxa"/>
            <w:tcBorders>
              <w:bottom w:val="single" w:sz="4" w:space="0" w:color="auto"/>
            </w:tcBorders>
            <w:shd w:val="clear" w:color="auto" w:fill="auto"/>
          </w:tcPr>
          <w:p w14:paraId="5487B587" w14:textId="2240C2A8" w:rsidR="00F91108" w:rsidRDefault="00F91108" w:rsidP="00F91108">
            <w:pPr>
              <w:spacing w:after="0" w:line="240" w:lineRule="auto"/>
              <w:jc w:val="both"/>
              <w:rPr>
                <w:noProof/>
              </w:rPr>
            </w:pPr>
            <w:r>
              <w:rPr>
                <w:noProof/>
              </w:rPr>
              <w:t>De</w:t>
            </w:r>
            <w:r>
              <w:rPr>
                <w:b/>
                <w:noProof/>
              </w:rPr>
              <w:t xml:space="preserve"> algemene doelstellingen</w:t>
            </w:r>
            <w:r>
              <w:rPr>
                <w:noProof/>
              </w:rPr>
              <w:t xml:space="preserve"> zijn het verbeteren van de transparantie, het vergroten van het vertrouwen in het ondernemingsklimaat, het realiseren van meer gedigitaliseerde en geconnecteerde grensoverschrijdende overheidsdiensten voor vennootschappen, het vergemakkelijken van grensoverschrijdende uitbreiding voor kleine en middelgrote ondernemingen (kmo’s) en het verhogen van de doeltreffendheid van EU-maatregelen tegen misbruik en fraude, wat op zijn beurt leidt tot een meer geïntegreerde en gedigitaliseerde eengemaakte markt.  </w:t>
            </w:r>
          </w:p>
          <w:p w14:paraId="754BDAE6" w14:textId="77777777" w:rsidR="00F91108" w:rsidRDefault="00F91108" w:rsidP="00F91108">
            <w:pPr>
              <w:spacing w:after="0" w:line="240" w:lineRule="auto"/>
              <w:jc w:val="both"/>
              <w:rPr>
                <w:noProof/>
              </w:rPr>
            </w:pPr>
          </w:p>
          <w:p w14:paraId="7A19A81B" w14:textId="77777777" w:rsidR="00F91108" w:rsidRPr="00CE7308" w:rsidRDefault="00F91108" w:rsidP="00F91108">
            <w:pPr>
              <w:spacing w:after="0" w:line="240" w:lineRule="auto"/>
              <w:rPr>
                <w:noProof/>
              </w:rPr>
            </w:pPr>
            <w:r>
              <w:rPr>
                <w:noProof/>
              </w:rPr>
              <w:t xml:space="preserve">Meer </w:t>
            </w:r>
            <w:r>
              <w:rPr>
                <w:b/>
                <w:noProof/>
              </w:rPr>
              <w:t>in het bijzonder</w:t>
            </w:r>
            <w:r>
              <w:rPr>
                <w:noProof/>
              </w:rPr>
              <w:t xml:space="preserve"> heeft het initiatief tot doel:</w:t>
            </w:r>
          </w:p>
          <w:p w14:paraId="45530C12" w14:textId="3ECE6F4D" w:rsidR="00F91108" w:rsidRPr="00CE7308" w:rsidRDefault="00F91108" w:rsidP="00F91108">
            <w:pPr>
              <w:pStyle w:val="ListParagraph"/>
              <w:numPr>
                <w:ilvl w:val="0"/>
                <w:numId w:val="3"/>
              </w:numPr>
              <w:spacing w:after="0"/>
              <w:ind w:left="324" w:hanging="284"/>
              <w:contextualSpacing w:val="0"/>
              <w:rPr>
                <w:rFonts w:asciiTheme="minorHAnsi" w:hAnsiTheme="minorHAnsi"/>
                <w:noProof/>
                <w:sz w:val="22"/>
              </w:rPr>
            </w:pPr>
            <w:bookmarkStart w:id="2" w:name="_Toc113029436"/>
            <w:bookmarkStart w:id="3" w:name="_Toc113311917"/>
            <w:bookmarkStart w:id="4" w:name="_Toc113313962"/>
            <w:bookmarkStart w:id="5" w:name="_Toc113314990"/>
            <w:bookmarkStart w:id="6" w:name="_Toc113656926"/>
            <w:bookmarkStart w:id="7" w:name="_Toc113904541"/>
            <w:bookmarkStart w:id="8" w:name="_Toc113915459"/>
            <w:bookmarkStart w:id="9" w:name="_Toc113915526"/>
            <w:bookmarkStart w:id="10" w:name="_Toc113915608"/>
            <w:r>
              <w:rPr>
                <w:rFonts w:asciiTheme="minorHAnsi" w:hAnsiTheme="minorHAnsi"/>
                <w:noProof/>
                <w:sz w:val="22"/>
              </w:rPr>
              <w:t>meer vennootschapsinformatie beschikbaar te stellen in vennootschapsregisters en/of het BRIS</w:t>
            </w:r>
            <w:bookmarkEnd w:id="2"/>
            <w:bookmarkEnd w:id="3"/>
            <w:bookmarkEnd w:id="4"/>
            <w:bookmarkEnd w:id="5"/>
            <w:bookmarkEnd w:id="6"/>
            <w:bookmarkEnd w:id="7"/>
            <w:bookmarkEnd w:id="8"/>
            <w:bookmarkEnd w:id="9"/>
            <w:bookmarkEnd w:id="10"/>
            <w:r>
              <w:rPr>
                <w:rFonts w:asciiTheme="minorHAnsi" w:hAnsiTheme="minorHAnsi"/>
                <w:noProof/>
                <w:sz w:val="22"/>
              </w:rPr>
              <w:t xml:space="preserve"> en deze betrouwbaarder te maken;</w:t>
            </w:r>
          </w:p>
          <w:p w14:paraId="22653F82" w14:textId="0DB3ED01" w:rsidR="001A1E65" w:rsidRPr="00045BC8" w:rsidRDefault="00F91108" w:rsidP="00F91108">
            <w:pPr>
              <w:pStyle w:val="ListParagraph"/>
              <w:numPr>
                <w:ilvl w:val="0"/>
                <w:numId w:val="3"/>
              </w:numPr>
              <w:spacing w:before="100" w:beforeAutospacing="1" w:after="120"/>
              <w:ind w:left="324" w:hanging="284"/>
              <w:rPr>
                <w:noProof/>
              </w:rPr>
            </w:pPr>
            <w:bookmarkStart w:id="11" w:name="_Toc113029437"/>
            <w:bookmarkStart w:id="12" w:name="_Toc113029525"/>
            <w:bookmarkStart w:id="13" w:name="_Toc113915460"/>
            <w:bookmarkStart w:id="14" w:name="_Toc113915527"/>
            <w:bookmarkStart w:id="15" w:name="_Toc113915609"/>
            <w:bookmarkStart w:id="16" w:name="_Toc113904542"/>
            <w:r>
              <w:rPr>
                <w:rFonts w:asciiTheme="minorHAnsi" w:hAnsiTheme="minorHAnsi"/>
                <w:noProof/>
                <w:sz w:val="22"/>
              </w:rPr>
              <w:t>het mogelijk te maken om vennootschapsinformatie in vennootschapsregisters direct te gebruiken bij de oprichting van bijkantoren of dochterondernemingen in andere lidstaten en in andere grensoverschrijdende activiteiten en situaties</w:t>
            </w:r>
            <w:bookmarkEnd w:id="11"/>
            <w:bookmarkEnd w:id="12"/>
            <w:bookmarkEnd w:id="13"/>
            <w:bookmarkEnd w:id="14"/>
            <w:bookmarkEnd w:id="15"/>
            <w:bookmarkEnd w:id="16"/>
            <w:r>
              <w:rPr>
                <w:rFonts w:asciiTheme="minorHAnsi" w:hAnsiTheme="minorHAnsi"/>
                <w:noProof/>
                <w:sz w:val="22"/>
              </w:rPr>
              <w:t>.</w:t>
            </w:r>
          </w:p>
        </w:tc>
      </w:tr>
      <w:tr w:rsidR="001A1E65" w:rsidRPr="0000636F" w14:paraId="29E7C362" w14:textId="77777777" w:rsidTr="001B5864">
        <w:tc>
          <w:tcPr>
            <w:tcW w:w="10490" w:type="dxa"/>
            <w:tcBorders>
              <w:bottom w:val="single" w:sz="4" w:space="0" w:color="auto"/>
            </w:tcBorders>
            <w:shd w:val="clear" w:color="auto" w:fill="E6E6E6"/>
          </w:tcPr>
          <w:p w14:paraId="008282FD" w14:textId="77777777" w:rsidR="001A1E65" w:rsidRPr="0000636F" w:rsidRDefault="001A1E65" w:rsidP="001A1E65">
            <w:pPr>
              <w:spacing w:line="240" w:lineRule="auto"/>
              <w:rPr>
                <w:noProof/>
              </w:rPr>
            </w:pPr>
            <w:r>
              <w:rPr>
                <w:b/>
                <w:noProof/>
              </w:rPr>
              <w:t>Wat is de toegevoegde waarde van maatregelen op EU-niveau (subsidiariteit)?</w:t>
            </w:r>
            <w:r>
              <w:rPr>
                <w:noProof/>
              </w:rPr>
              <w:t xml:space="preserve"> </w:t>
            </w:r>
          </w:p>
        </w:tc>
      </w:tr>
      <w:tr w:rsidR="001A1E65" w:rsidRPr="0000636F" w14:paraId="399A6A48" w14:textId="77777777" w:rsidTr="001B5864">
        <w:tc>
          <w:tcPr>
            <w:tcW w:w="10490" w:type="dxa"/>
            <w:tcBorders>
              <w:bottom w:val="single" w:sz="4" w:space="0" w:color="auto"/>
            </w:tcBorders>
            <w:shd w:val="clear" w:color="auto" w:fill="auto"/>
          </w:tcPr>
          <w:p w14:paraId="137C68D6" w14:textId="185CCBBA" w:rsidR="00FF18A6" w:rsidRPr="00FF18A6" w:rsidRDefault="00FF18A6" w:rsidP="00FF18A6">
            <w:pPr>
              <w:spacing w:line="240" w:lineRule="auto"/>
              <w:jc w:val="both"/>
              <w:rPr>
                <w:noProof/>
              </w:rPr>
            </w:pPr>
            <w:r>
              <w:rPr>
                <w:noProof/>
              </w:rPr>
              <w:t>Maatregelen op EU-niveau hebben een grote toegevoegde waarde omdat dit initiatief gericht is op grensoverschrijdende kwesties: de toegang tot en de beschikbaarheid en betrouwbaarheid van vennootschapsinformatie in een grensoverschrijdende context, en het grensoverschrijdende gebruik ervan. Vanwege het grensoverschrijdende karakter van de problemen zouden de lidstaten zelf niet voor voldoende verbetering kunnen zorgen.</w:t>
            </w:r>
          </w:p>
          <w:p w14:paraId="03B45E83" w14:textId="43B961F3" w:rsidR="00CE2F30" w:rsidRPr="0000636F" w:rsidRDefault="00FF18A6" w:rsidP="00FF18A6">
            <w:pPr>
              <w:spacing w:line="240" w:lineRule="auto"/>
              <w:jc w:val="both"/>
              <w:rPr>
                <w:noProof/>
              </w:rPr>
            </w:pPr>
            <w:r>
              <w:rPr>
                <w:noProof/>
              </w:rPr>
              <w:t>Zonder maatregelen op EU-niveau zouden nationale of regionale initiatieven om de toenemende vraag naar grensoverschrijdende vennootschapsinformatie en de noodzaak om het grensoverschrijdende gebruik ervan te vergemakkelijken, waarschijnlijk leiden tot uiteenlopende nationale voorschriften en mogelijk overlappende rapportageverplichtingen, waardoor de administratieve lasten voor vennootschappen zouden toenemen. Initiatieven van de particuliere sector, bijvoorbeeld van commerciële dienstverleners, zouden geen betrouwbare vennootschapsinformatie voor officieel gebruik kunnen opleveren.</w:t>
            </w:r>
          </w:p>
        </w:tc>
      </w:tr>
      <w:tr w:rsidR="001A1E65" w:rsidRPr="0000636F" w14:paraId="460D12B7" w14:textId="77777777" w:rsidTr="001B5864">
        <w:tc>
          <w:tcPr>
            <w:tcW w:w="10490" w:type="dxa"/>
            <w:tcBorders>
              <w:bottom w:val="single" w:sz="4" w:space="0" w:color="auto"/>
            </w:tcBorders>
            <w:shd w:val="clear" w:color="auto" w:fill="CCCCCC"/>
          </w:tcPr>
          <w:p w14:paraId="73EC29D0" w14:textId="77777777" w:rsidR="001A1E65" w:rsidRPr="0000636F" w:rsidRDefault="001A1E65" w:rsidP="001A1E65">
            <w:pPr>
              <w:spacing w:line="240" w:lineRule="auto"/>
              <w:rPr>
                <w:b/>
                <w:noProof/>
              </w:rPr>
            </w:pPr>
            <w:r>
              <w:rPr>
                <w:b/>
                <w:noProof/>
              </w:rPr>
              <w:t>B. Oplossingen</w:t>
            </w:r>
          </w:p>
        </w:tc>
      </w:tr>
      <w:tr w:rsidR="001A1E65" w:rsidRPr="0000636F" w14:paraId="04DD0BCC" w14:textId="77777777" w:rsidTr="001B5864">
        <w:tc>
          <w:tcPr>
            <w:tcW w:w="10490" w:type="dxa"/>
            <w:tcBorders>
              <w:bottom w:val="single" w:sz="4" w:space="0" w:color="auto"/>
            </w:tcBorders>
            <w:shd w:val="clear" w:color="auto" w:fill="E6E6E6"/>
          </w:tcPr>
          <w:p w14:paraId="7E93BD95" w14:textId="77777777" w:rsidR="001A1E65" w:rsidRPr="0000636F" w:rsidRDefault="001A1E65" w:rsidP="001A1E65">
            <w:pPr>
              <w:spacing w:line="240" w:lineRule="auto"/>
              <w:rPr>
                <w:noProof/>
              </w:rPr>
            </w:pPr>
            <w:r>
              <w:rPr>
                <w:b/>
                <w:noProof/>
              </w:rPr>
              <w:t>Welke opties dienen zich aan?</w:t>
            </w:r>
            <w:r>
              <w:rPr>
                <w:noProof/>
              </w:rPr>
              <w:t xml:space="preserve"> </w:t>
            </w:r>
            <w:r>
              <w:rPr>
                <w:b/>
                <w:noProof/>
              </w:rPr>
              <w:t>Is er een voorkeursoptie? Zo niet, waarom niet?</w:t>
            </w:r>
          </w:p>
        </w:tc>
      </w:tr>
      <w:tr w:rsidR="001A1E65" w:rsidRPr="0000636F" w14:paraId="450C2C1E" w14:textId="77777777" w:rsidTr="001B5864">
        <w:tc>
          <w:tcPr>
            <w:tcW w:w="10490" w:type="dxa"/>
            <w:tcBorders>
              <w:bottom w:val="single" w:sz="4" w:space="0" w:color="auto"/>
            </w:tcBorders>
            <w:shd w:val="clear" w:color="auto" w:fill="auto"/>
          </w:tcPr>
          <w:p w14:paraId="723DFA99" w14:textId="1404A774" w:rsidR="00CE2F30" w:rsidRPr="005313E4" w:rsidRDefault="00CE2F30" w:rsidP="00CE2F30">
            <w:pPr>
              <w:spacing w:after="80"/>
              <w:rPr>
                <w:rFonts w:cstheme="minorHAnsi"/>
                <w:noProof/>
              </w:rPr>
            </w:pPr>
            <w:r>
              <w:rPr>
                <w:noProof/>
              </w:rPr>
              <w:t xml:space="preserve">In de effectbeoordeling worden de beleidsopties geanalyseerd aan de hand van vier hoofdpunten die relevant zijn voor het geplande initiatief: </w:t>
            </w:r>
          </w:p>
          <w:p w14:paraId="4EC3ADCD" w14:textId="775AF9EA" w:rsidR="00CE2F30" w:rsidRPr="005313E4" w:rsidRDefault="00CE2F30" w:rsidP="00CE2F30">
            <w:pPr>
              <w:pStyle w:val="ListParagraph"/>
              <w:numPr>
                <w:ilvl w:val="0"/>
                <w:numId w:val="5"/>
              </w:numPr>
              <w:spacing w:after="80"/>
              <w:ind w:left="465" w:hanging="284"/>
              <w:contextualSpacing w:val="0"/>
              <w:rPr>
                <w:rFonts w:asciiTheme="minorHAnsi" w:eastAsiaTheme="minorHAnsi" w:hAnsiTheme="minorHAnsi" w:cstheme="minorHAnsi"/>
                <w:b/>
                <w:noProof/>
                <w:sz w:val="22"/>
              </w:rPr>
            </w:pPr>
            <w:bookmarkStart w:id="17" w:name="_Toc113029441"/>
            <w:bookmarkStart w:id="18" w:name="_Toc113311922"/>
            <w:bookmarkStart w:id="19" w:name="_Toc113313967"/>
            <w:bookmarkStart w:id="20" w:name="_Toc113314995"/>
            <w:bookmarkStart w:id="21" w:name="_Toc113656931"/>
            <w:bookmarkStart w:id="22" w:name="_Toc113904546"/>
            <w:bookmarkStart w:id="23" w:name="_Toc113915464"/>
            <w:bookmarkStart w:id="24" w:name="_Toc113915531"/>
            <w:bookmarkStart w:id="25" w:name="_Toc113915613"/>
            <w:bookmarkStart w:id="26" w:name="_Toc108191626"/>
            <w:bookmarkStart w:id="27" w:name="_Toc108194813"/>
            <w:bookmarkStart w:id="28" w:name="_Toc108439916"/>
            <w:bookmarkStart w:id="29" w:name="_Toc108441086"/>
            <w:r>
              <w:rPr>
                <w:rFonts w:asciiTheme="minorHAnsi" w:hAnsiTheme="minorHAnsi"/>
                <w:b/>
                <w:noProof/>
                <w:sz w:val="22"/>
              </w:rPr>
              <w:t>Meer vennootschapsinformatie beschikbaar stellen in vennootschapsregisters en/of het BRIS.</w:t>
            </w:r>
            <w:bookmarkEnd w:id="17"/>
            <w:bookmarkEnd w:id="18"/>
            <w:bookmarkEnd w:id="19"/>
            <w:bookmarkEnd w:id="20"/>
            <w:bookmarkEnd w:id="21"/>
            <w:bookmarkEnd w:id="22"/>
            <w:bookmarkEnd w:id="23"/>
            <w:bookmarkEnd w:id="24"/>
            <w:bookmarkEnd w:id="25"/>
            <w:r>
              <w:rPr>
                <w:rFonts w:asciiTheme="minorHAnsi" w:hAnsiTheme="minorHAnsi"/>
                <w:b/>
                <w:noProof/>
                <w:sz w:val="22"/>
              </w:rPr>
              <w:t xml:space="preserve"> </w:t>
            </w:r>
            <w:bookmarkEnd w:id="26"/>
            <w:bookmarkEnd w:id="27"/>
            <w:bookmarkEnd w:id="28"/>
            <w:bookmarkEnd w:id="29"/>
          </w:p>
          <w:p w14:paraId="43EF72CE" w14:textId="0BEC5D5A" w:rsidR="00CE2F30" w:rsidRPr="005313E4" w:rsidRDefault="00CE2F30" w:rsidP="00CE2F30">
            <w:pPr>
              <w:pStyle w:val="ListParagraph"/>
              <w:numPr>
                <w:ilvl w:val="0"/>
                <w:numId w:val="5"/>
              </w:numPr>
              <w:spacing w:after="80"/>
              <w:ind w:left="465" w:hanging="284"/>
              <w:contextualSpacing w:val="0"/>
              <w:rPr>
                <w:rFonts w:asciiTheme="minorHAnsi" w:eastAsiaTheme="minorHAnsi" w:hAnsiTheme="minorHAnsi" w:cstheme="minorHAnsi"/>
                <w:b/>
                <w:noProof/>
                <w:sz w:val="22"/>
              </w:rPr>
            </w:pPr>
            <w:bookmarkStart w:id="30" w:name="_Toc113029443"/>
            <w:bookmarkStart w:id="31" w:name="_Toc113311924"/>
            <w:bookmarkStart w:id="32" w:name="_Toc113313969"/>
            <w:bookmarkStart w:id="33" w:name="_Toc113314997"/>
            <w:bookmarkStart w:id="34" w:name="_Toc113656933"/>
            <w:bookmarkStart w:id="35" w:name="_Toc113904548"/>
            <w:bookmarkStart w:id="36" w:name="_Toc113915466"/>
            <w:bookmarkStart w:id="37" w:name="_Toc113915533"/>
            <w:bookmarkStart w:id="38" w:name="_Toc113915615"/>
            <w:r>
              <w:rPr>
                <w:rFonts w:asciiTheme="minorHAnsi" w:hAnsiTheme="minorHAnsi"/>
                <w:b/>
                <w:noProof/>
                <w:sz w:val="22"/>
              </w:rPr>
              <w:t>Het BRIS verbinden met andere systemen en betere zoekopdrachten mogelijk maken.</w:t>
            </w:r>
          </w:p>
          <w:p w14:paraId="541420CD" w14:textId="74126F8A" w:rsidR="00CE2F30" w:rsidRPr="005313E4" w:rsidRDefault="00CE2F30" w:rsidP="00CE2F30">
            <w:pPr>
              <w:pStyle w:val="ListParagraph"/>
              <w:numPr>
                <w:ilvl w:val="0"/>
                <w:numId w:val="5"/>
              </w:numPr>
              <w:spacing w:after="80"/>
              <w:ind w:left="465" w:hanging="284"/>
              <w:contextualSpacing w:val="0"/>
              <w:rPr>
                <w:rFonts w:asciiTheme="minorHAnsi" w:eastAsiaTheme="minorHAnsi" w:hAnsiTheme="minorHAnsi" w:cstheme="minorHAnsi"/>
                <w:b/>
                <w:noProof/>
                <w:sz w:val="22"/>
              </w:rPr>
            </w:pPr>
            <w:r>
              <w:rPr>
                <w:rFonts w:asciiTheme="minorHAnsi" w:hAnsiTheme="minorHAnsi"/>
                <w:b/>
                <w:noProof/>
                <w:sz w:val="22"/>
              </w:rPr>
              <w:t>Ervoor zorgen dat vennootschapsinformatie naar behoren wordt gecontroleerd voordat zij in een vennootschapsregister wordt opgenomen.</w:t>
            </w:r>
            <w:bookmarkEnd w:id="30"/>
            <w:bookmarkEnd w:id="31"/>
            <w:bookmarkEnd w:id="32"/>
            <w:bookmarkEnd w:id="33"/>
            <w:bookmarkEnd w:id="34"/>
            <w:bookmarkEnd w:id="35"/>
            <w:bookmarkEnd w:id="36"/>
            <w:bookmarkEnd w:id="37"/>
            <w:bookmarkEnd w:id="38"/>
            <w:r>
              <w:rPr>
                <w:rFonts w:asciiTheme="minorHAnsi" w:hAnsiTheme="minorHAnsi"/>
                <w:b/>
                <w:noProof/>
                <w:sz w:val="22"/>
              </w:rPr>
              <w:t xml:space="preserve"> </w:t>
            </w:r>
          </w:p>
          <w:p w14:paraId="233B3BC1" w14:textId="41AEB18B" w:rsidR="00CE2F30" w:rsidRPr="005313E4" w:rsidRDefault="00CE2F30" w:rsidP="00CE2F30">
            <w:pPr>
              <w:pStyle w:val="ListParagraph"/>
              <w:numPr>
                <w:ilvl w:val="0"/>
                <w:numId w:val="5"/>
              </w:numPr>
              <w:spacing w:after="80"/>
              <w:ind w:left="465" w:hanging="284"/>
              <w:contextualSpacing w:val="0"/>
              <w:rPr>
                <w:rFonts w:asciiTheme="minorHAnsi" w:eastAsiaTheme="minorHAnsi" w:hAnsiTheme="minorHAnsi" w:cstheme="minorHAnsi"/>
                <w:b/>
                <w:noProof/>
                <w:sz w:val="22"/>
              </w:rPr>
            </w:pPr>
            <w:bookmarkStart w:id="39" w:name="_Toc108191627"/>
            <w:bookmarkStart w:id="40" w:name="_Toc108194814"/>
            <w:bookmarkStart w:id="41" w:name="_Toc108439917"/>
            <w:bookmarkStart w:id="42" w:name="_Toc108441087"/>
            <w:bookmarkStart w:id="43" w:name="_Toc113029444"/>
            <w:bookmarkStart w:id="44" w:name="_Toc113311925"/>
            <w:bookmarkStart w:id="45" w:name="_Toc113313970"/>
            <w:bookmarkStart w:id="46" w:name="_Toc113314998"/>
            <w:bookmarkStart w:id="47" w:name="_Toc113656934"/>
            <w:bookmarkStart w:id="48" w:name="_Toc113904549"/>
            <w:bookmarkStart w:id="49" w:name="_Toc113915467"/>
            <w:bookmarkStart w:id="50" w:name="_Toc113915534"/>
            <w:bookmarkStart w:id="51" w:name="_Toc113915616"/>
            <w:r>
              <w:rPr>
                <w:rFonts w:asciiTheme="minorHAnsi" w:hAnsiTheme="minorHAnsi"/>
                <w:b/>
                <w:noProof/>
                <w:sz w:val="22"/>
              </w:rPr>
              <w:t xml:space="preserve">Direct gebruik van vennootschapsinformatie uit vennootschapsregisters mogelijk maken in grensoverschrijdende </w:t>
            </w:r>
            <w:bookmarkEnd w:id="39"/>
            <w:bookmarkEnd w:id="40"/>
            <w:bookmarkEnd w:id="41"/>
            <w:bookmarkEnd w:id="42"/>
            <w:bookmarkEnd w:id="43"/>
            <w:r>
              <w:rPr>
                <w:rFonts w:asciiTheme="minorHAnsi" w:hAnsiTheme="minorHAnsi"/>
                <w:b/>
                <w:noProof/>
                <w:sz w:val="22"/>
              </w:rPr>
              <w:t>situaties</w:t>
            </w:r>
            <w:bookmarkEnd w:id="44"/>
            <w:bookmarkEnd w:id="45"/>
            <w:bookmarkEnd w:id="46"/>
            <w:bookmarkEnd w:id="47"/>
            <w:bookmarkEnd w:id="48"/>
            <w:bookmarkEnd w:id="49"/>
            <w:bookmarkEnd w:id="50"/>
            <w:bookmarkEnd w:id="51"/>
            <w:r>
              <w:rPr>
                <w:rFonts w:asciiTheme="minorHAnsi" w:hAnsiTheme="minorHAnsi"/>
                <w:b/>
                <w:noProof/>
                <w:sz w:val="22"/>
              </w:rPr>
              <w:t>.</w:t>
            </w:r>
          </w:p>
          <w:p w14:paraId="32702871" w14:textId="437757F1" w:rsidR="00CE2F30" w:rsidRPr="005313E4" w:rsidRDefault="00CE2F30" w:rsidP="00CE2F30">
            <w:pPr>
              <w:spacing w:line="240" w:lineRule="auto"/>
              <w:jc w:val="both"/>
              <w:rPr>
                <w:rFonts w:cstheme="minorHAnsi"/>
                <w:noProof/>
              </w:rPr>
            </w:pPr>
            <w:r>
              <w:rPr>
                <w:noProof/>
              </w:rPr>
              <w:t xml:space="preserve">Elk van de vier beoordeelde beleidsopties zou wetgevende maatregelen vergen, aangezien de oorzaken van het probleem van juridische aard zijn, en eventuele maatregelen zouden het bestaande vennootschapsrechtelijk kader van de EU (met inbegrip van het BRIS) moeten wijzigen. De </w:t>
            </w:r>
            <w:r>
              <w:rPr>
                <w:b/>
                <w:noProof/>
              </w:rPr>
              <w:t>voorkeursoptie</w:t>
            </w:r>
            <w:r>
              <w:rPr>
                <w:noProof/>
              </w:rPr>
              <w:t xml:space="preserve"> bestaat uit een </w:t>
            </w:r>
            <w:r>
              <w:rPr>
                <w:b/>
                <w:noProof/>
              </w:rPr>
              <w:t>pakket</w:t>
            </w:r>
            <w:r>
              <w:rPr>
                <w:noProof/>
              </w:rPr>
              <w:t xml:space="preserve"> van de voorkeursmaatregelen onder elk van de vier hoofdpunten:</w:t>
            </w:r>
          </w:p>
          <w:p w14:paraId="13CC3BEA" w14:textId="3C83C340" w:rsidR="00CE2F30" w:rsidRPr="005313E4" w:rsidRDefault="00CE2F30" w:rsidP="00CE2F30">
            <w:pPr>
              <w:pStyle w:val="ListParagraph"/>
              <w:numPr>
                <w:ilvl w:val="0"/>
                <w:numId w:val="11"/>
              </w:numPr>
              <w:spacing w:after="80"/>
              <w:ind w:left="465" w:hanging="284"/>
              <w:contextualSpacing w:val="0"/>
              <w:rPr>
                <w:rFonts w:asciiTheme="minorHAnsi" w:hAnsiTheme="minorHAnsi" w:cstheme="minorHAnsi"/>
                <w:noProof/>
                <w:sz w:val="22"/>
              </w:rPr>
            </w:pPr>
            <w:r>
              <w:rPr>
                <w:rFonts w:asciiTheme="minorHAnsi" w:hAnsiTheme="minorHAnsi"/>
                <w:noProof/>
                <w:sz w:val="22"/>
              </w:rPr>
              <w:t>Beschikbaarstelling in de nationale registers/het BRIS van informatie over personenvennootschappen, bijkantoren van vennootschappen uit derde landen, grensoverschrijdende groepsstructuren en eigendom, plaats van leiding en plaats van de belangrijkste economische activiteit.</w:t>
            </w:r>
          </w:p>
          <w:p w14:paraId="1D2330B7" w14:textId="5C264693" w:rsidR="00CE2F30" w:rsidRPr="005313E4" w:rsidRDefault="00CE2F30" w:rsidP="00CE2F30">
            <w:pPr>
              <w:pStyle w:val="ListParagraph"/>
              <w:numPr>
                <w:ilvl w:val="0"/>
                <w:numId w:val="11"/>
              </w:numPr>
              <w:spacing w:after="80"/>
              <w:ind w:left="465" w:hanging="284"/>
              <w:contextualSpacing w:val="0"/>
              <w:rPr>
                <w:rFonts w:asciiTheme="minorHAnsi" w:hAnsiTheme="minorHAnsi" w:cstheme="minorHAnsi"/>
                <w:noProof/>
                <w:sz w:val="22"/>
              </w:rPr>
            </w:pPr>
            <w:r>
              <w:rPr>
                <w:rFonts w:asciiTheme="minorHAnsi" w:hAnsiTheme="minorHAnsi"/>
                <w:noProof/>
                <w:sz w:val="22"/>
              </w:rPr>
              <w:t>Koppeling van het BRIS met Boris en het systeem van gekoppelde insolventieregisters (IRI), met gebruikmaking van de Europese unieke identificatiecode (EUID) voor vennootschappen en toevoeging van nieuwe zoekfuncties aan het BRIS.</w:t>
            </w:r>
          </w:p>
          <w:p w14:paraId="6A109280" w14:textId="4A1AFA3E" w:rsidR="00CE2F30" w:rsidRPr="005313E4" w:rsidRDefault="00CE2F30" w:rsidP="00CE2F30">
            <w:pPr>
              <w:pStyle w:val="ListParagraph"/>
              <w:numPr>
                <w:ilvl w:val="0"/>
                <w:numId w:val="11"/>
              </w:numPr>
              <w:spacing w:after="80"/>
              <w:ind w:left="465" w:hanging="284"/>
              <w:contextualSpacing w:val="0"/>
              <w:rPr>
                <w:rFonts w:asciiTheme="minorHAnsi" w:hAnsiTheme="minorHAnsi" w:cstheme="minorHAnsi"/>
                <w:noProof/>
                <w:sz w:val="22"/>
              </w:rPr>
            </w:pPr>
            <w:r>
              <w:rPr>
                <w:rFonts w:asciiTheme="minorHAnsi" w:hAnsiTheme="minorHAnsi"/>
                <w:noProof/>
                <w:sz w:val="22"/>
              </w:rPr>
              <w:t xml:space="preserve">Verplichting om een geharmoniseerde lijst van elementen te controleren en gemeenschappelijke basisprocedures te volgen om ervoor te zorgen dat vennootschapsinformatie betrouwbaar en up-to-date is. </w:t>
            </w:r>
          </w:p>
          <w:p w14:paraId="195DF852" w14:textId="18D13748" w:rsidR="001A1E65" w:rsidRPr="005313E4" w:rsidRDefault="00CE2F30" w:rsidP="00CE2F30">
            <w:pPr>
              <w:pStyle w:val="ListParagraph"/>
              <w:numPr>
                <w:ilvl w:val="0"/>
                <w:numId w:val="11"/>
              </w:numPr>
              <w:spacing w:after="80"/>
              <w:ind w:left="465" w:hanging="284"/>
              <w:contextualSpacing w:val="0"/>
              <w:rPr>
                <w:rFonts w:asciiTheme="minorHAnsi" w:hAnsiTheme="minorHAnsi" w:cstheme="minorHAnsi"/>
                <w:noProof/>
                <w:sz w:val="22"/>
              </w:rPr>
            </w:pPr>
            <w:r>
              <w:rPr>
                <w:rFonts w:asciiTheme="minorHAnsi" w:hAnsiTheme="minorHAnsi"/>
                <w:noProof/>
                <w:sz w:val="22"/>
              </w:rPr>
              <w:t>Eenmaligheidsbeginsel voor de oprichting van dochterondernemingen of bijkantoren in een andere lidstaat, een geharmoniseerd bedrijfsuittreksel, wederzijdse erkenning van bepaalde vennootschapsinformatie en afschaffing van formaliteiten (apostillering).</w:t>
            </w:r>
          </w:p>
        </w:tc>
      </w:tr>
      <w:tr w:rsidR="001A1E65" w:rsidRPr="0000636F" w14:paraId="0BA49BEC" w14:textId="77777777" w:rsidTr="001B5864">
        <w:tc>
          <w:tcPr>
            <w:tcW w:w="10490" w:type="dxa"/>
            <w:shd w:val="clear" w:color="auto" w:fill="CCCCCC"/>
          </w:tcPr>
          <w:p w14:paraId="7F055BED" w14:textId="5E87E46C" w:rsidR="001A1E65" w:rsidRPr="0000636F" w:rsidRDefault="001A1E65" w:rsidP="001A1E65">
            <w:pPr>
              <w:spacing w:line="240" w:lineRule="auto"/>
              <w:rPr>
                <w:noProof/>
              </w:rPr>
            </w:pPr>
            <w:r>
              <w:rPr>
                <w:b/>
                <w:noProof/>
              </w:rPr>
              <w:t xml:space="preserve">Hoe reageren de verschillende belanghebbenden? Wie steunt welke optie? </w:t>
            </w:r>
          </w:p>
        </w:tc>
      </w:tr>
      <w:tr w:rsidR="001A1E65" w:rsidRPr="0000636F" w14:paraId="3F6F7C37" w14:textId="77777777" w:rsidTr="001B5864">
        <w:tc>
          <w:tcPr>
            <w:tcW w:w="10490" w:type="dxa"/>
            <w:shd w:val="clear" w:color="auto" w:fill="auto"/>
          </w:tcPr>
          <w:p w14:paraId="44FE53EC" w14:textId="436AEF65" w:rsidR="001A1E65" w:rsidRDefault="001A1E65" w:rsidP="001A1E65">
            <w:pPr>
              <w:spacing w:line="240" w:lineRule="auto"/>
              <w:jc w:val="both"/>
              <w:rPr>
                <w:noProof/>
              </w:rPr>
            </w:pPr>
            <w:r>
              <w:rPr>
                <w:noProof/>
              </w:rPr>
              <w:t xml:space="preserve">In het algemeen bevestigden de belanghebbenden bij alle raadplegingsactiviteiten (openbare raadpleging, raadpleging van kmo’s, gerichte raadplegingen van vennootschappen, beoefenaren van juridische beroepen, lidstaten, hoogleraren vennootschapsrecht) de vastgestelde problemen en steunden zij maatregelen op EU-niveau. </w:t>
            </w:r>
          </w:p>
          <w:p w14:paraId="331E7DC3" w14:textId="5E443186" w:rsidR="001A1E65" w:rsidRDefault="001A1E65" w:rsidP="001A1E65">
            <w:pPr>
              <w:spacing w:line="240" w:lineRule="auto"/>
              <w:jc w:val="both"/>
              <w:rPr>
                <w:noProof/>
              </w:rPr>
            </w:pPr>
            <w:r>
              <w:rPr>
                <w:noProof/>
              </w:rPr>
              <w:t>Een grote meerderheid van de belanghebbenden, waaronder kmo’s, ondervond moeilijkheden bij het zoeken naar informatie over vennootschappen in andere lidstaten, en bij alle groepen belanghebbenden (vennootschappen, bedrijfsorganisaties, vennootschapsregisters, beoefenaren van juridische beroepen, autoriteiten, burgers) was er steun voor het beschikbaar stellen van meer geharmoniseerde vennootschapsinformatie op EU-niveau.</w:t>
            </w:r>
          </w:p>
          <w:p w14:paraId="2470761B" w14:textId="79404884" w:rsidR="001A1E65" w:rsidRDefault="001A1E65" w:rsidP="001A1E65">
            <w:pPr>
              <w:spacing w:line="240" w:lineRule="auto"/>
              <w:jc w:val="both"/>
              <w:rPr>
                <w:noProof/>
              </w:rPr>
            </w:pPr>
            <w:r>
              <w:rPr>
                <w:noProof/>
              </w:rPr>
              <w:t>Veel belanghebbenden, en met name beoefenaren van juridische beroepen, wezen op het belang van betrouwbare vennootschapsinformatie voor de rechtszekerheid en waren van mening dat de vaststelling van minimumvoorschriften voor de verificatie van vennootschapsinformatie voordat deze in een vennootschapsregister wordt opgenomen, het grensoverschrijdende gebruik ervan zou vergemakkelijken.</w:t>
            </w:r>
          </w:p>
          <w:p w14:paraId="7E7D9A49" w14:textId="77777777" w:rsidR="001A1E65" w:rsidRDefault="001A1E65" w:rsidP="001A1E65">
            <w:pPr>
              <w:spacing w:line="240" w:lineRule="auto"/>
              <w:jc w:val="both"/>
              <w:rPr>
                <w:noProof/>
              </w:rPr>
            </w:pPr>
            <w:r>
              <w:rPr>
                <w:noProof/>
              </w:rPr>
              <w:t xml:space="preserve">De belanghebbenden bevestigden in het algemeen de noodzaak om grensoverschrijdend gebruik van vennootschapsinformatie mogelijk te maken (met inbegrip van de toepassing van het eenmaligheidsbeginsel, de invoering van een geharmoniseerd bedrijfsuittreksel en de beperking van de formaliteiten). </w:t>
            </w:r>
          </w:p>
          <w:p w14:paraId="21EDEB7A" w14:textId="01B72DEA" w:rsidR="001A1E65" w:rsidRPr="0077042A" w:rsidRDefault="001A1E65" w:rsidP="001A1E65">
            <w:pPr>
              <w:spacing w:line="240" w:lineRule="auto"/>
              <w:jc w:val="both"/>
              <w:rPr>
                <w:noProof/>
              </w:rPr>
            </w:pPr>
            <w:r>
              <w:rPr>
                <w:noProof/>
              </w:rPr>
              <w:t xml:space="preserve">Vennootschappen en beoefenaren van juridische beroepen bevestigden met name de belemmeringen die zij ondervinden bij de oprichting van dochterondernemingen of bijkantoren in het buitenland of in andere grensoverschrijdende situaties (zoals het opnieuw moeten indienen van vennootschapsinformatie en de verplichting om documenten te laten legaliseren/apostilleren of er een gelegaliseerde vertaling van te laten maken). </w:t>
            </w:r>
          </w:p>
        </w:tc>
      </w:tr>
      <w:tr w:rsidR="001A1E65" w:rsidRPr="0000636F" w14:paraId="332BEE48" w14:textId="77777777" w:rsidTr="001B5864">
        <w:tc>
          <w:tcPr>
            <w:tcW w:w="10490" w:type="dxa"/>
            <w:tcBorders>
              <w:bottom w:val="single" w:sz="4" w:space="0" w:color="auto"/>
            </w:tcBorders>
            <w:shd w:val="clear" w:color="auto" w:fill="CCCCCC"/>
          </w:tcPr>
          <w:p w14:paraId="32FD1C1A" w14:textId="77777777" w:rsidR="001A1E65" w:rsidRPr="0000636F" w:rsidRDefault="001A1E65" w:rsidP="001A1E65">
            <w:pPr>
              <w:keepNext/>
              <w:spacing w:line="240" w:lineRule="auto"/>
              <w:rPr>
                <w:b/>
                <w:noProof/>
              </w:rPr>
            </w:pPr>
            <w:r>
              <w:rPr>
                <w:b/>
                <w:noProof/>
              </w:rPr>
              <w:t>C. Effecten van de voorkeursoptie</w:t>
            </w:r>
          </w:p>
        </w:tc>
      </w:tr>
      <w:tr w:rsidR="001A1E65" w:rsidRPr="0000636F" w14:paraId="237CB9D2" w14:textId="77777777" w:rsidTr="001B5864">
        <w:tc>
          <w:tcPr>
            <w:tcW w:w="10490" w:type="dxa"/>
            <w:tcBorders>
              <w:bottom w:val="single" w:sz="4" w:space="0" w:color="auto"/>
            </w:tcBorders>
            <w:shd w:val="clear" w:color="auto" w:fill="E6E6E6"/>
          </w:tcPr>
          <w:p w14:paraId="37611C05" w14:textId="77777777" w:rsidR="001A1E65" w:rsidRPr="0000636F" w:rsidRDefault="001A1E65" w:rsidP="001A1E65">
            <w:pPr>
              <w:spacing w:line="240" w:lineRule="auto"/>
              <w:rPr>
                <w:noProof/>
              </w:rPr>
            </w:pPr>
            <w:r>
              <w:rPr>
                <w:b/>
                <w:noProof/>
              </w:rPr>
              <w:t>Wat zijn de voordelen</w:t>
            </w:r>
            <w:r>
              <w:rPr>
                <w:noProof/>
              </w:rPr>
              <w:t xml:space="preserve"> </w:t>
            </w:r>
            <w:r>
              <w:rPr>
                <w:b/>
                <w:noProof/>
              </w:rPr>
              <w:t>van de voorkeursoptie (als er een voorkeursoptie is, anders van de belangrijkste opties)?</w:t>
            </w:r>
            <w:r>
              <w:rPr>
                <w:noProof/>
              </w:rPr>
              <w:t xml:space="preserve"> </w:t>
            </w:r>
          </w:p>
        </w:tc>
      </w:tr>
      <w:tr w:rsidR="001A1E65" w:rsidRPr="0000636F" w14:paraId="3C0B6E73" w14:textId="77777777" w:rsidTr="001B5864">
        <w:tc>
          <w:tcPr>
            <w:tcW w:w="10490" w:type="dxa"/>
            <w:tcBorders>
              <w:bottom w:val="single" w:sz="4" w:space="0" w:color="auto"/>
            </w:tcBorders>
            <w:shd w:val="clear" w:color="auto" w:fill="auto"/>
          </w:tcPr>
          <w:p w14:paraId="2DEECF4B" w14:textId="25F699A8" w:rsidR="007B4ABE" w:rsidRDefault="007B4ABE" w:rsidP="007B4ABE">
            <w:pPr>
              <w:spacing w:after="120" w:line="240" w:lineRule="auto"/>
              <w:jc w:val="both"/>
              <w:rPr>
                <w:noProof/>
              </w:rPr>
            </w:pPr>
            <w:r>
              <w:rPr>
                <w:noProof/>
              </w:rPr>
              <w:t xml:space="preserve">Het pakket voorkeursmaatregelen zal zeer gunstig zijn voor vennootschappen, met name kmo’s, vanwege het verwachte </w:t>
            </w:r>
            <w:r>
              <w:rPr>
                <w:b/>
                <w:noProof/>
              </w:rPr>
              <w:t>sterke positieve effect op het gemak van zakendoen en de toegang tot de markten van andere lidstaten</w:t>
            </w:r>
            <w:r>
              <w:rPr>
                <w:noProof/>
              </w:rPr>
              <w:t xml:space="preserve">. Vennootschappen zouden baat hebben bij meer transparantie en toegankelijkere en betrouwbaardere vennootschapsinformatie, en dus van meer rechtszekerheid in grensoverschrijdende situaties. Het zal </w:t>
            </w:r>
            <w:r>
              <w:rPr>
                <w:b/>
                <w:noProof/>
              </w:rPr>
              <w:t>vennootschappen</w:t>
            </w:r>
            <w:r>
              <w:rPr>
                <w:noProof/>
              </w:rPr>
              <w:t xml:space="preserve"> die nieuwe dochterondernemingen of bijkantoren in andere lidstaten oprichten en alle vennootschappen die grensoverschrijdende bedrijfsactiviteiten verrichten </w:t>
            </w:r>
            <w:r>
              <w:rPr>
                <w:b/>
                <w:noProof/>
              </w:rPr>
              <w:t>aanzienlijke terugkerende kostenbesparingen opleveren</w:t>
            </w:r>
            <w:r>
              <w:rPr>
                <w:noProof/>
              </w:rPr>
              <w:t xml:space="preserve"> (minder administratieve lasten), die op ongeveer 437 miljoen euro per jaar worden geraamd. </w:t>
            </w:r>
          </w:p>
          <w:p w14:paraId="3D9344FE" w14:textId="09AAAF59" w:rsidR="007B4ABE" w:rsidRPr="00F77A37" w:rsidRDefault="007B4ABE" w:rsidP="007B4ABE">
            <w:pPr>
              <w:spacing w:after="120" w:line="240" w:lineRule="auto"/>
              <w:jc w:val="both"/>
              <w:rPr>
                <w:rFonts w:cstheme="minorHAnsi"/>
                <w:noProof/>
              </w:rPr>
            </w:pPr>
            <w:r>
              <w:rPr>
                <w:noProof/>
              </w:rPr>
              <w:t>De grotere toegankelijkheid en betrouwbaarheid van vennootschapsinformatie, de grotere rechtszekerheid en de betere verbindingen tussen registers (dankzij het eenmaligheidsbeginsel en de koppeling van andere systemen/registers op EU-niveau aan het BRIS) moeten leiden tot besparingen voor</w:t>
            </w:r>
            <w:r>
              <w:rPr>
                <w:b/>
                <w:noProof/>
              </w:rPr>
              <w:t xml:space="preserve"> vennootschapsregisters</w:t>
            </w:r>
            <w:r>
              <w:rPr>
                <w:noProof/>
              </w:rPr>
              <w:t xml:space="preserve"> doordat vennootschapsinformatie uit andere lidstaten gemakkelijker kan worden opgezocht en er bij vennootschappen minder documenten hoeven te worden opgevraagd. </w:t>
            </w:r>
          </w:p>
          <w:p w14:paraId="55CA8875" w14:textId="01406BE8" w:rsidR="007B4ABE" w:rsidRDefault="007B4ABE" w:rsidP="007B4ABE">
            <w:pPr>
              <w:spacing w:after="120" w:line="240" w:lineRule="auto"/>
              <w:jc w:val="both"/>
              <w:rPr>
                <w:rFonts w:eastAsia="Calibri" w:cstheme="minorHAnsi"/>
                <w:noProof/>
              </w:rPr>
            </w:pPr>
            <w:r>
              <w:rPr>
                <w:noProof/>
              </w:rPr>
              <w:t xml:space="preserve">Wat andere </w:t>
            </w:r>
            <w:r>
              <w:rPr>
                <w:b/>
                <w:noProof/>
              </w:rPr>
              <w:t>overheidsinstanties</w:t>
            </w:r>
            <w:r>
              <w:rPr>
                <w:noProof/>
              </w:rPr>
              <w:t xml:space="preserve"> betreft, zou een eenvoudigere toegang tot meer reeksen betrouwbare vennootschapsinformatie hun werk vergemakkelijken, aangezien zij vennootschapsinformatie rechtstreeks in vennootschapsregisters en het BRIS zouden kunnen raadplegen en dus minder documenten hoeven op te vragen bij vennootschappen, wat resulteert in besparingen. </w:t>
            </w:r>
          </w:p>
          <w:p w14:paraId="52E87CE0" w14:textId="1E805141" w:rsidR="001A1E65" w:rsidRPr="007E198A" w:rsidRDefault="007B4ABE" w:rsidP="007B4ABE">
            <w:pPr>
              <w:spacing w:after="120" w:line="240" w:lineRule="auto"/>
              <w:jc w:val="both"/>
              <w:rPr>
                <w:noProof/>
              </w:rPr>
            </w:pPr>
            <w:r>
              <w:rPr>
                <w:noProof/>
              </w:rPr>
              <w:t xml:space="preserve">Het pakket zal naar verwachting ook </w:t>
            </w:r>
            <w:r>
              <w:rPr>
                <w:b/>
                <w:noProof/>
              </w:rPr>
              <w:t>zeer gunstig zijn voor de samenleving</w:t>
            </w:r>
            <w:r>
              <w:rPr>
                <w:noProof/>
              </w:rPr>
              <w:t xml:space="preserve"> in het algemeen, met inbegrip van de consumenten, vanwege het </w:t>
            </w:r>
            <w:r>
              <w:rPr>
                <w:b/>
                <w:noProof/>
              </w:rPr>
              <w:t>verwachte positieve effect ervan op de verstrekking van toegankelijkere en betrouwbaardere vennootschapsinformatie in de hele EU</w:t>
            </w:r>
            <w:r>
              <w:rPr>
                <w:noProof/>
              </w:rPr>
              <w:t>, waardoor consumenten beter geïnformeerde keuzes kunnen maken wanneer zij aankopen doen bij of contracten sluiten met vennootschappen uit andere lidstaten. Meer beschikbare, toegankelijke en betrouwbare grensoverschrijdende vennootschapsinformatie zal ook de inspanningen om misbruik en fraude aan te pakken vergemakkelijken, waardoor dit initiatief zal bijdragen tot de totstandbrenging van een eerlijkere eengemaakte markt.</w:t>
            </w:r>
          </w:p>
        </w:tc>
      </w:tr>
      <w:tr w:rsidR="001A1E65" w:rsidRPr="0000636F" w14:paraId="10B35CDA" w14:textId="77777777" w:rsidTr="001B5864">
        <w:tc>
          <w:tcPr>
            <w:tcW w:w="10490" w:type="dxa"/>
            <w:tcBorders>
              <w:bottom w:val="single" w:sz="4" w:space="0" w:color="auto"/>
            </w:tcBorders>
            <w:shd w:val="clear" w:color="auto" w:fill="E6E6E6"/>
          </w:tcPr>
          <w:p w14:paraId="1D98F9C9" w14:textId="77777777" w:rsidR="001A1E65" w:rsidRPr="0000636F" w:rsidRDefault="001A1E65" w:rsidP="001A1E65">
            <w:pPr>
              <w:spacing w:line="240" w:lineRule="auto"/>
              <w:rPr>
                <w:noProof/>
              </w:rPr>
            </w:pPr>
            <w:r>
              <w:rPr>
                <w:b/>
                <w:noProof/>
              </w:rPr>
              <w:t>Wat zijn de kosten van de voorkeursoptie (als er een voorkeursoptie is; anders van de belangrijkste opties)?</w:t>
            </w:r>
            <w:r>
              <w:rPr>
                <w:noProof/>
              </w:rPr>
              <w:t xml:space="preserve"> </w:t>
            </w:r>
          </w:p>
        </w:tc>
      </w:tr>
      <w:tr w:rsidR="001A1E65" w:rsidRPr="0000636F" w14:paraId="6D00E5E9" w14:textId="77777777" w:rsidTr="001B5864">
        <w:tc>
          <w:tcPr>
            <w:tcW w:w="10490" w:type="dxa"/>
            <w:tcBorders>
              <w:bottom w:val="single" w:sz="4" w:space="0" w:color="auto"/>
            </w:tcBorders>
            <w:shd w:val="clear" w:color="auto" w:fill="auto"/>
          </w:tcPr>
          <w:p w14:paraId="2E30C9EF" w14:textId="60CDE4AE" w:rsidR="00EB0C2D" w:rsidRPr="00EB0C2D" w:rsidRDefault="00EB0C2D" w:rsidP="00EB0C2D">
            <w:pPr>
              <w:spacing w:after="120" w:line="240" w:lineRule="auto"/>
              <w:jc w:val="both"/>
              <w:rPr>
                <w:noProof/>
              </w:rPr>
            </w:pPr>
            <w:r>
              <w:rPr>
                <w:noProof/>
              </w:rPr>
              <w:t xml:space="preserve">Voor vennootschappen die momenteel geen specifieke informatie bij een register indienen, zal het pakket leiden tot </w:t>
            </w:r>
            <w:r>
              <w:rPr>
                <w:b/>
                <w:noProof/>
              </w:rPr>
              <w:t>eenmalige kosten</w:t>
            </w:r>
            <w:r>
              <w:rPr>
                <w:noProof/>
              </w:rPr>
              <w:t xml:space="preserve">, die op ongeveer 311 miljoen euro worden geraamd. </w:t>
            </w:r>
          </w:p>
          <w:p w14:paraId="5CE58A8B" w14:textId="50B26A25" w:rsidR="001A1E65" w:rsidRPr="0000636F" w:rsidRDefault="00EB0C2D" w:rsidP="00EB0C2D">
            <w:pPr>
              <w:spacing w:after="120" w:line="240" w:lineRule="auto"/>
              <w:jc w:val="both"/>
              <w:rPr>
                <w:i/>
                <w:noProof/>
              </w:rPr>
            </w:pPr>
            <w:r>
              <w:rPr>
                <w:noProof/>
              </w:rPr>
              <w:t>en zullen beperkt zijn door het feit dat de lidstaten geen afzonderlijke indieningskosten mogen aanrekenen telkens wanneer nieuwe vennootschapsinformatie wordt ingediend. De verwachte terugkerende voordelen voor vennootschappen (hierboven toegelicht) zouden deze eenmalige kosten ruimschoots compenseren.</w:t>
            </w:r>
          </w:p>
        </w:tc>
      </w:tr>
      <w:tr w:rsidR="001A1E65" w:rsidRPr="0000636F" w14:paraId="32A8BF0F" w14:textId="77777777" w:rsidTr="001B5864">
        <w:tc>
          <w:tcPr>
            <w:tcW w:w="10490" w:type="dxa"/>
            <w:tcBorders>
              <w:bottom w:val="single" w:sz="4" w:space="0" w:color="auto"/>
            </w:tcBorders>
            <w:shd w:val="clear" w:color="auto" w:fill="E6E6E6"/>
          </w:tcPr>
          <w:p w14:paraId="56811FAB" w14:textId="77777777" w:rsidR="001A1E65" w:rsidRPr="0000636F" w:rsidRDefault="001A1E65" w:rsidP="001A1E65">
            <w:pPr>
              <w:spacing w:line="240" w:lineRule="auto"/>
              <w:rPr>
                <w:noProof/>
              </w:rPr>
            </w:pPr>
            <w:r>
              <w:rPr>
                <w:b/>
                <w:noProof/>
              </w:rPr>
              <w:t xml:space="preserve">Wat zijn de gevolgen voor kmo’s en het concurrentievermogen? </w:t>
            </w:r>
          </w:p>
        </w:tc>
      </w:tr>
      <w:tr w:rsidR="001A1E65" w:rsidRPr="0000636F" w14:paraId="43751BDE" w14:textId="77777777" w:rsidTr="001B5864">
        <w:tc>
          <w:tcPr>
            <w:tcW w:w="10490" w:type="dxa"/>
            <w:tcBorders>
              <w:bottom w:val="single" w:sz="4" w:space="0" w:color="auto"/>
            </w:tcBorders>
            <w:shd w:val="clear" w:color="auto" w:fill="auto"/>
          </w:tcPr>
          <w:p w14:paraId="687C58AD" w14:textId="42F2CB16" w:rsidR="004D0A43" w:rsidRDefault="004D0A43" w:rsidP="004D0A43">
            <w:pPr>
              <w:spacing w:line="240" w:lineRule="auto"/>
              <w:jc w:val="both"/>
              <w:rPr>
                <w:noProof/>
              </w:rPr>
            </w:pPr>
            <w:r>
              <w:rPr>
                <w:noProof/>
              </w:rPr>
              <w:t xml:space="preserve">Het pakket voorkeursmaatregelen zal, doordat het de beschikbaarheid en betrouwbaarheid van vennootschapsinformatie verbetert, gunstig zijn voor vennootschappen en zal het gemakkelijker maken om toegang te krijgen tot financiering en om een bedrijf op te richten. Bovendien zal het grensoverschrijdende gebruik van dergelijke gegevens leiden tot belangrijke terugkerende kostenbesparingen (lastenverlichting) voor vennootschappen en aldus het verrichten van grensoverschrijdende bedrijfsactiviteiten aanzienlijk vergemakkelijken en de toegang tot markten van andere lidstaten faciliteren. </w:t>
            </w:r>
          </w:p>
          <w:p w14:paraId="0562E37B" w14:textId="0520471E" w:rsidR="004D0A43" w:rsidRDefault="004D0A43" w:rsidP="004D0A43">
            <w:pPr>
              <w:spacing w:line="240" w:lineRule="auto"/>
              <w:jc w:val="both"/>
              <w:rPr>
                <w:noProof/>
              </w:rPr>
            </w:pPr>
            <w:r>
              <w:rPr>
                <w:noProof/>
              </w:rPr>
              <w:t xml:space="preserve">Doordat het initiatief de transparantie en het vertrouwen in de markt vergroot, het gemakkelijker maakt om vennootschappen in een andere lidstaat op te richten en een positief effect heeft op grensoverschrijdende activiteiten, moet het grensoverschrijdende handels-, diensten- en investeringsstromen stimuleren en aldus </w:t>
            </w:r>
            <w:r>
              <w:rPr>
                <w:b/>
                <w:noProof/>
              </w:rPr>
              <w:t>bijdragen tot het concurrentievermogen en de groei</w:t>
            </w:r>
            <w:r>
              <w:rPr>
                <w:noProof/>
              </w:rPr>
              <w:t xml:space="preserve"> in de eengemaakte markt.</w:t>
            </w:r>
          </w:p>
          <w:p w14:paraId="4A33E215" w14:textId="5357E8B9" w:rsidR="001A1E65" w:rsidRPr="0000636F" w:rsidRDefault="004D0A43" w:rsidP="004D0A43">
            <w:pPr>
              <w:spacing w:line="240" w:lineRule="auto"/>
              <w:jc w:val="both"/>
              <w:rPr>
                <w:i/>
                <w:noProof/>
              </w:rPr>
            </w:pPr>
            <w:r>
              <w:rPr>
                <w:noProof/>
              </w:rPr>
              <w:t xml:space="preserve">Deze maatregelen zullen van toepassing zijn op ongeveer 16 miljoen kapitaalvennootschappen en 2 miljoen personenvennootschappen in de EU. Aangezien </w:t>
            </w:r>
            <w:r>
              <w:rPr>
                <w:b/>
                <w:noProof/>
              </w:rPr>
              <w:t>kmo’s</w:t>
            </w:r>
            <w:r>
              <w:rPr>
                <w:noProof/>
              </w:rPr>
              <w:t xml:space="preserve"> 98-99 % van de kapitaalvennootschappen in de EU uitmaken en ongeveer 40 % van de kmo’s grensoverschrijdende activiteiten verricht, zullen zij </w:t>
            </w:r>
            <w:r>
              <w:rPr>
                <w:b/>
                <w:noProof/>
              </w:rPr>
              <w:t>in het bijzonder gebaat zijn bij de verwachte verlichting van de administratieve lasten</w:t>
            </w:r>
            <w:r>
              <w:rPr>
                <w:noProof/>
              </w:rPr>
              <w:t xml:space="preserve">. De maatregelen, met inbegrip van de daaruit voortvloeiende grotere rechtszekerheid, zullen kmo’s zeer ten goede komen, aangezien zij niet over de middelen van grote ondernemingen beschikken en gewoonlijk meer hinder ondervinden van onduidelijke en complexe regels.  </w:t>
            </w:r>
          </w:p>
        </w:tc>
      </w:tr>
      <w:tr w:rsidR="001A1E65" w:rsidRPr="0000636F" w14:paraId="61E86098" w14:textId="77777777" w:rsidTr="001B5864">
        <w:tc>
          <w:tcPr>
            <w:tcW w:w="10490" w:type="dxa"/>
            <w:tcBorders>
              <w:bottom w:val="single" w:sz="4" w:space="0" w:color="auto"/>
            </w:tcBorders>
            <w:shd w:val="clear" w:color="auto" w:fill="E6E6E6"/>
          </w:tcPr>
          <w:p w14:paraId="7EBADE20" w14:textId="77777777" w:rsidR="001A1E65" w:rsidRPr="0000636F" w:rsidRDefault="001A1E65" w:rsidP="001A1E65">
            <w:pPr>
              <w:spacing w:line="240" w:lineRule="auto"/>
              <w:rPr>
                <w:b/>
                <w:i/>
                <w:noProof/>
              </w:rPr>
            </w:pPr>
            <w:r>
              <w:rPr>
                <w:b/>
                <w:noProof/>
              </w:rPr>
              <w:t>Zijn er significante gevolgen</w:t>
            </w:r>
            <w:r>
              <w:rPr>
                <w:noProof/>
              </w:rPr>
              <w:t xml:space="preserve"> </w:t>
            </w:r>
            <w:r>
              <w:rPr>
                <w:b/>
                <w:noProof/>
              </w:rPr>
              <w:t>voor de nationale begrotingen en overheden?</w:t>
            </w:r>
            <w:r>
              <w:rPr>
                <w:noProof/>
              </w:rPr>
              <w:t xml:space="preserve"> </w:t>
            </w:r>
          </w:p>
        </w:tc>
      </w:tr>
      <w:tr w:rsidR="001A1E65" w:rsidRPr="0000636F" w14:paraId="28305A1D" w14:textId="77777777" w:rsidTr="001B5864">
        <w:tc>
          <w:tcPr>
            <w:tcW w:w="10490" w:type="dxa"/>
            <w:shd w:val="clear" w:color="auto" w:fill="auto"/>
          </w:tcPr>
          <w:p w14:paraId="4CF9A89D" w14:textId="77777777" w:rsidR="00EC716F" w:rsidRDefault="00EC716F" w:rsidP="00EC716F">
            <w:pPr>
              <w:spacing w:after="120" w:line="240" w:lineRule="auto"/>
              <w:jc w:val="both"/>
              <w:rPr>
                <w:rFonts w:cstheme="minorHAnsi"/>
                <w:noProof/>
              </w:rPr>
            </w:pPr>
            <w:r>
              <w:rPr>
                <w:noProof/>
              </w:rPr>
              <w:t xml:space="preserve">Dit pakket is een </w:t>
            </w:r>
            <w:r>
              <w:rPr>
                <w:b/>
                <w:noProof/>
              </w:rPr>
              <w:t>voortzetting van ontwikkelingen in verband met digitalisering</w:t>
            </w:r>
            <w:r>
              <w:rPr>
                <w:noProof/>
              </w:rPr>
              <w:t xml:space="preserve"> die tot dusver in het vennootschapsrecht hebben plaatsgevonden. </w:t>
            </w:r>
            <w:r>
              <w:rPr>
                <w:b/>
                <w:noProof/>
              </w:rPr>
              <w:t>Vennootschapsregisters moeten hun IT-systemen aanpassen</w:t>
            </w:r>
            <w:r>
              <w:rPr>
                <w:noProof/>
              </w:rPr>
              <w:t xml:space="preserve">, resulterend in eenmalige kosten van het pakket van naar schatting ongeveer 5,4 miljoen euro voor alle vennootschapsregisters samen. De </w:t>
            </w:r>
            <w:r>
              <w:rPr>
                <w:b/>
                <w:noProof/>
              </w:rPr>
              <w:t>terugkerende kosten, bijvoorbeeld voor de voorafgaande verificatie van vennootschapsinformatie</w:t>
            </w:r>
            <w:r>
              <w:rPr>
                <w:noProof/>
              </w:rPr>
              <w:t xml:space="preserve">, worden voor alle registers samen op ongeveer 4 miljoen euro per jaar geraamd. </w:t>
            </w:r>
          </w:p>
          <w:p w14:paraId="20C65A7D" w14:textId="6600F121" w:rsidR="00EC716F" w:rsidRPr="007F2427" w:rsidRDefault="00EC716F" w:rsidP="00EC716F">
            <w:pPr>
              <w:spacing w:after="120" w:line="240" w:lineRule="auto"/>
              <w:jc w:val="both"/>
              <w:rPr>
                <w:rFonts w:cstheme="minorHAnsi"/>
                <w:noProof/>
              </w:rPr>
            </w:pPr>
            <w:r>
              <w:rPr>
                <w:noProof/>
              </w:rPr>
              <w:t xml:space="preserve">De lidstaten zouden echter kunnen voortbouwen op IT-investeringen die zij de afgelopen jaren al voor het BRIS hebben gedaan, en de aanpassingskosten voor de verificatie zouden beperkt moeten blijven aangezien al voorafgaande controles bestaan. Omdat registers vergoedingen vragen voor bedrijfsuittreksels voor grensoverschrijdend gebruik, is het ook waarschijnlijk dat registers wat inkomsten zullen derven. De gederfde inkomsten worden geraamd op ongeveer 7,9 miljoen euro voor alle registers. </w:t>
            </w:r>
          </w:p>
          <w:p w14:paraId="12177000" w14:textId="73BF1C08" w:rsidR="001A1E65" w:rsidRPr="00ED51CD" w:rsidRDefault="00EC716F" w:rsidP="00EC716F">
            <w:pPr>
              <w:spacing w:line="240" w:lineRule="auto"/>
              <w:jc w:val="both"/>
              <w:rPr>
                <w:rFonts w:cstheme="minorHAnsi"/>
                <w:noProof/>
              </w:rPr>
            </w:pPr>
            <w:r>
              <w:rPr>
                <w:noProof/>
              </w:rPr>
              <w:t>Wat de andere autoriteiten betreft, zullen de met de afgifte van apostilles belaste autoriteiten jaarlijks naar schatting 9,5 miljoen euro aan inkomsten uit apostilles derven. Verwacht wordt echter dat de afschaffing van de apostille zal leiden tot een algehele vermindering van de administratieve lasten, gezien de huidige rechtsonzekerheid en de daarmee samenhangende personele middelen en tijd die nodig zijn voor de afgifte ervan.</w:t>
            </w:r>
          </w:p>
        </w:tc>
      </w:tr>
      <w:tr w:rsidR="001A1E65" w:rsidRPr="0000636F" w14:paraId="5EE80554" w14:textId="77777777" w:rsidTr="001B5864">
        <w:tc>
          <w:tcPr>
            <w:tcW w:w="10490" w:type="dxa"/>
            <w:tcBorders>
              <w:bottom w:val="single" w:sz="4" w:space="0" w:color="auto"/>
            </w:tcBorders>
            <w:shd w:val="clear" w:color="auto" w:fill="E6E6E6"/>
          </w:tcPr>
          <w:p w14:paraId="61FDC128" w14:textId="77777777" w:rsidR="001A1E65" w:rsidRPr="0000636F" w:rsidRDefault="001A1E65" w:rsidP="001A1E65">
            <w:pPr>
              <w:keepNext/>
              <w:spacing w:line="240" w:lineRule="auto"/>
              <w:rPr>
                <w:noProof/>
              </w:rPr>
            </w:pPr>
            <w:r>
              <w:rPr>
                <w:b/>
                <w:noProof/>
              </w:rPr>
              <w:t>Zijn er nog andere significante gevolgen?</w:t>
            </w:r>
            <w:r>
              <w:rPr>
                <w:noProof/>
              </w:rPr>
              <w:t xml:space="preserve"> </w:t>
            </w:r>
          </w:p>
        </w:tc>
      </w:tr>
      <w:tr w:rsidR="001A1E65" w:rsidRPr="0000636F" w14:paraId="5832F9A5" w14:textId="77777777" w:rsidTr="001B5864">
        <w:tc>
          <w:tcPr>
            <w:tcW w:w="10490" w:type="dxa"/>
            <w:tcBorders>
              <w:bottom w:val="single" w:sz="4" w:space="0" w:color="auto"/>
            </w:tcBorders>
            <w:shd w:val="clear" w:color="auto" w:fill="auto"/>
          </w:tcPr>
          <w:p w14:paraId="4792722D" w14:textId="2E788D97" w:rsidR="001A1E65" w:rsidRPr="00AD51BC" w:rsidRDefault="00107FFD" w:rsidP="00E91C90">
            <w:pPr>
              <w:spacing w:line="240" w:lineRule="auto"/>
              <w:jc w:val="both"/>
              <w:rPr>
                <w:rFonts w:cstheme="minorHAnsi"/>
                <w:noProof/>
              </w:rPr>
            </w:pPr>
            <w:r>
              <w:rPr>
                <w:noProof/>
              </w:rPr>
              <w:t xml:space="preserve">De toepassing van het eenmaligheidsbeginsel op de oprichting van dochterondernemingen of bijkantoren in andere lidstaten, de verbinding van het BRIS met andere EU-systemen van gekoppelde registers en met andere systemen of registers op EU-niveau door middel van het gebruik van de EUID zou sterk bijdragen tot de totstandbrenging van </w:t>
            </w:r>
            <w:r>
              <w:rPr>
                <w:b/>
                <w:noProof/>
              </w:rPr>
              <w:t>meer geconnecteerde overheidsdiensten in de hele EU</w:t>
            </w:r>
            <w:r>
              <w:rPr>
                <w:noProof/>
              </w:rPr>
              <w:t xml:space="preserve"> en derhalve tot een </w:t>
            </w:r>
            <w:r>
              <w:rPr>
                <w:b/>
                <w:noProof/>
              </w:rPr>
              <w:t>meer gedigitaliseerde eengemaakte markt</w:t>
            </w:r>
            <w:r>
              <w:rPr>
                <w:noProof/>
              </w:rPr>
              <w:t>.</w:t>
            </w:r>
          </w:p>
        </w:tc>
      </w:tr>
      <w:tr w:rsidR="001A1E65" w:rsidRPr="0000636F" w14:paraId="34F38D07" w14:textId="77777777" w:rsidTr="001B5864">
        <w:tc>
          <w:tcPr>
            <w:tcW w:w="10490" w:type="dxa"/>
            <w:tcBorders>
              <w:bottom w:val="single" w:sz="4" w:space="0" w:color="auto"/>
            </w:tcBorders>
            <w:shd w:val="clear" w:color="auto" w:fill="D9D9D9" w:themeFill="background1" w:themeFillShade="D9"/>
          </w:tcPr>
          <w:p w14:paraId="36A00BDA" w14:textId="77777777" w:rsidR="001A1E65" w:rsidRPr="0000636F" w:rsidRDefault="001A1E65" w:rsidP="001A1E65">
            <w:pPr>
              <w:spacing w:line="240" w:lineRule="auto"/>
              <w:rPr>
                <w:i/>
                <w:noProof/>
              </w:rPr>
            </w:pPr>
            <w:r>
              <w:rPr>
                <w:b/>
                <w:noProof/>
              </w:rPr>
              <w:t>Evenredigheid?</w:t>
            </w:r>
            <w:r>
              <w:rPr>
                <w:noProof/>
              </w:rPr>
              <w:t xml:space="preserve"> </w:t>
            </w:r>
          </w:p>
        </w:tc>
      </w:tr>
      <w:tr w:rsidR="001A1E65" w:rsidRPr="0000636F" w14:paraId="2C959FDD" w14:textId="77777777" w:rsidTr="001B5864">
        <w:tc>
          <w:tcPr>
            <w:tcW w:w="10490" w:type="dxa"/>
            <w:tcBorders>
              <w:bottom w:val="single" w:sz="4" w:space="0" w:color="auto"/>
            </w:tcBorders>
            <w:shd w:val="clear" w:color="auto" w:fill="auto"/>
          </w:tcPr>
          <w:p w14:paraId="2F0E93BC" w14:textId="77777777" w:rsidR="00CD4AE2" w:rsidRDefault="00CD4AE2" w:rsidP="00CD4AE2">
            <w:pPr>
              <w:spacing w:line="240" w:lineRule="auto"/>
              <w:jc w:val="both"/>
              <w:rPr>
                <w:noProof/>
              </w:rPr>
            </w:pPr>
            <w:r>
              <w:rPr>
                <w:noProof/>
              </w:rPr>
              <w:t xml:space="preserve">De voorkeursoptie zal in hoge mate bijdragen tot de verwezenlijking van de doelstellingen om de hoeveelheid en de betrouwbaarheid van grensoverschrijdende vennootschapsinformatie te vergroten en het directe gebruik ervan in grensoverschrijdende situaties mogelijk te maken, maar gaat niet verder dan wat nodig is om die doelstellingen te bereiken. </w:t>
            </w:r>
          </w:p>
          <w:p w14:paraId="5D466CE9" w14:textId="55047986" w:rsidR="00CD4AE2" w:rsidRPr="00F77A37" w:rsidRDefault="00CD4AE2" w:rsidP="00CD4AE2">
            <w:pPr>
              <w:spacing w:line="240" w:lineRule="auto"/>
              <w:jc w:val="both"/>
              <w:rPr>
                <w:noProof/>
              </w:rPr>
            </w:pPr>
            <w:r>
              <w:rPr>
                <w:noProof/>
              </w:rPr>
              <w:t xml:space="preserve">Het is een doelgericht initiatief, in die zin dat het toegespitst is op het feit dat </w:t>
            </w:r>
            <w:r>
              <w:rPr>
                <w:b/>
                <w:noProof/>
              </w:rPr>
              <w:t>directe gebruikers</w:t>
            </w:r>
            <w:r>
              <w:rPr>
                <w:noProof/>
              </w:rPr>
              <w:t xml:space="preserve">, zoals vennootschappen, andere belanghebbenden en overheidsinstanties, toegang nodig hebben tot en gebruik moeten kunnen maken van betrouwbare en up-to-date </w:t>
            </w:r>
            <w:r>
              <w:rPr>
                <w:b/>
                <w:noProof/>
              </w:rPr>
              <w:t>officiële vennootschapsinformatie uit vennootschapsregisters</w:t>
            </w:r>
            <w:r>
              <w:rPr>
                <w:noProof/>
              </w:rPr>
              <w:t>, die gebaseerd is op wettelijke verplichtingen. Het richt zich op grensoverschrijdende aspecten en introduceert oplossingen die de lidstaten alleen niet zouden kunnen bereiken.</w:t>
            </w:r>
          </w:p>
          <w:p w14:paraId="1D179401" w14:textId="6A80A8AF" w:rsidR="001A1E65" w:rsidRPr="00586FCD" w:rsidRDefault="00CD4AE2" w:rsidP="00CD4AE2">
            <w:pPr>
              <w:spacing w:line="240" w:lineRule="auto"/>
              <w:jc w:val="both"/>
              <w:rPr>
                <w:noProof/>
              </w:rPr>
            </w:pPr>
            <w:r>
              <w:rPr>
                <w:noProof/>
              </w:rPr>
              <w:t>De administratieve lasten en kosten van de voorkeursoptie staan ook in verhouding tot de te bereiken doelstellingen. Over het geheel genomen zal de voorkeursoptie een duidelijk nettovoordeel opleveren voor vennootschappen en de samenleving als geheel. Zij zal ook rechtszekerheid bieden en grensoverschrijdende activiteiten vergemakkelijken, met inachtneming van bestaande nationale vennootschapsrechtelijke procedures.</w:t>
            </w:r>
          </w:p>
        </w:tc>
      </w:tr>
      <w:tr w:rsidR="001A1E65" w:rsidRPr="0000636F" w14:paraId="64AB60BA" w14:textId="77777777" w:rsidTr="001B5864">
        <w:tc>
          <w:tcPr>
            <w:tcW w:w="10490" w:type="dxa"/>
            <w:tcBorders>
              <w:bottom w:val="single" w:sz="4" w:space="0" w:color="auto"/>
            </w:tcBorders>
            <w:shd w:val="clear" w:color="auto" w:fill="C0C0C0"/>
          </w:tcPr>
          <w:p w14:paraId="0322AF4A" w14:textId="77777777" w:rsidR="001A1E65" w:rsidRPr="0000636F" w:rsidRDefault="001A1E65" w:rsidP="001A1E65">
            <w:pPr>
              <w:spacing w:line="240" w:lineRule="auto"/>
              <w:rPr>
                <w:b/>
                <w:noProof/>
              </w:rPr>
            </w:pPr>
            <w:r>
              <w:rPr>
                <w:b/>
                <w:noProof/>
              </w:rPr>
              <w:t>D. Evaluatie</w:t>
            </w:r>
          </w:p>
        </w:tc>
      </w:tr>
      <w:tr w:rsidR="001A1E65" w:rsidRPr="0000636F" w14:paraId="3A527A31" w14:textId="77777777" w:rsidTr="001B5864">
        <w:tc>
          <w:tcPr>
            <w:tcW w:w="10490" w:type="dxa"/>
            <w:tcBorders>
              <w:bottom w:val="single" w:sz="4" w:space="0" w:color="auto"/>
            </w:tcBorders>
            <w:shd w:val="clear" w:color="auto" w:fill="E6E6E6"/>
          </w:tcPr>
          <w:p w14:paraId="1DAABE47" w14:textId="77777777" w:rsidR="001A1E65" w:rsidRPr="0000636F" w:rsidRDefault="001A1E65" w:rsidP="001A1E65">
            <w:pPr>
              <w:spacing w:line="240" w:lineRule="auto"/>
              <w:rPr>
                <w:noProof/>
              </w:rPr>
            </w:pPr>
            <w:r>
              <w:rPr>
                <w:b/>
                <w:noProof/>
              </w:rPr>
              <w:t xml:space="preserve">Wanneer wordt het beleid geëvalueerd? </w:t>
            </w:r>
          </w:p>
        </w:tc>
      </w:tr>
      <w:tr w:rsidR="001A1E65" w:rsidRPr="0000636F" w14:paraId="250262D9" w14:textId="77777777" w:rsidTr="001B5864">
        <w:tc>
          <w:tcPr>
            <w:tcW w:w="10490" w:type="dxa"/>
            <w:tcBorders>
              <w:bottom w:val="single" w:sz="4" w:space="0" w:color="auto"/>
            </w:tcBorders>
            <w:shd w:val="clear" w:color="auto" w:fill="auto"/>
          </w:tcPr>
          <w:p w14:paraId="09267FD2" w14:textId="2198637E" w:rsidR="001A1E65" w:rsidRPr="00CF2CD4" w:rsidRDefault="00C3218F" w:rsidP="001A1E65">
            <w:pPr>
              <w:jc w:val="both"/>
              <w:rPr>
                <w:noProof/>
              </w:rPr>
            </w:pPr>
            <w:r>
              <w:rPr>
                <w:noProof/>
              </w:rPr>
              <w:t>Het wetgevingsvoorstel zal een bepaling bevatten om het nieuwe initiatief te evalueren.</w:t>
            </w:r>
          </w:p>
        </w:tc>
      </w:tr>
    </w:tbl>
    <w:p w14:paraId="6796E437" w14:textId="77777777" w:rsidR="00F31280" w:rsidRDefault="00F31280" w:rsidP="00C052CB">
      <w:pPr>
        <w:rPr>
          <w:noProof/>
        </w:rPr>
      </w:pPr>
    </w:p>
    <w:sectPr w:rsidR="00F31280" w:rsidSect="0026613F">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82FA9" w16cex:dateUtc="2023-03-12T10: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ED0787" w16cid:durableId="27B82D83"/>
  <w16cid:commentId w16cid:paraId="3F52E3DC" w16cid:durableId="27B82D84"/>
  <w16cid:commentId w16cid:paraId="4DB5EE02" w16cid:durableId="27B82FA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559C1" w14:textId="77777777" w:rsidR="001B5864" w:rsidRDefault="001B5864" w:rsidP="0026613F">
      <w:pPr>
        <w:spacing w:after="0" w:line="240" w:lineRule="auto"/>
      </w:pPr>
      <w:r>
        <w:separator/>
      </w:r>
    </w:p>
  </w:endnote>
  <w:endnote w:type="continuationSeparator" w:id="0">
    <w:p w14:paraId="22801AF8" w14:textId="77777777" w:rsidR="001B5864" w:rsidRDefault="001B5864" w:rsidP="0026613F">
      <w:pPr>
        <w:spacing w:after="0" w:line="240" w:lineRule="auto"/>
      </w:pPr>
      <w:r>
        <w:continuationSeparator/>
      </w:r>
    </w:p>
  </w:endnote>
  <w:endnote w:type="continuationNotice" w:id="1">
    <w:p w14:paraId="758EE648" w14:textId="77777777" w:rsidR="001B5864" w:rsidRDefault="001B58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C75D1" w14:textId="0BAED81D" w:rsidR="00FD4438" w:rsidRPr="00351C97" w:rsidRDefault="00FD4438" w:rsidP="00351C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07B4A" w14:textId="2F2A3F7F" w:rsidR="00FD4438" w:rsidRPr="00351C97" w:rsidRDefault="00351C97" w:rsidP="00351C97">
    <w:pPr>
      <w:pStyle w:val="FooterCoverPage"/>
      <w:rPr>
        <w:rFonts w:ascii="Arial" w:hAnsi="Arial" w:cs="Arial"/>
        <w:b/>
        <w:sz w:val="48"/>
      </w:rPr>
    </w:pPr>
    <w:r w:rsidRPr="00351C97">
      <w:rPr>
        <w:rFonts w:ascii="Arial" w:hAnsi="Arial" w:cs="Arial"/>
        <w:b/>
        <w:sz w:val="48"/>
      </w:rPr>
      <w:t>NL</w:t>
    </w:r>
    <w:r w:rsidRPr="00351C97">
      <w:rPr>
        <w:rFonts w:ascii="Arial" w:hAnsi="Arial" w:cs="Arial"/>
        <w:b/>
        <w:sz w:val="48"/>
      </w:rPr>
      <w:tab/>
    </w:r>
    <w:r w:rsidRPr="00351C97">
      <w:rPr>
        <w:rFonts w:ascii="Arial" w:hAnsi="Arial" w:cs="Arial"/>
        <w:b/>
        <w:sz w:val="48"/>
      </w:rPr>
      <w:tab/>
    </w:r>
    <w:r w:rsidRPr="00351C97">
      <w:tab/>
    </w:r>
    <w:r w:rsidRPr="00351C97">
      <w:rPr>
        <w:rFonts w:ascii="Arial" w:hAnsi="Arial" w:cs="Arial"/>
        <w:b/>
        <w:sz w:val="48"/>
      </w:rPr>
      <w:t>NL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DDA6A" w14:textId="77777777" w:rsidR="00351C97" w:rsidRPr="00351C97" w:rsidRDefault="00351C97" w:rsidP="00351C97">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BF77F" w14:textId="77777777" w:rsidR="001B5864" w:rsidRDefault="001B586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0100745"/>
      <w:docPartObj>
        <w:docPartGallery w:val="Page Numbers (Bottom of Page)"/>
        <w:docPartUnique/>
      </w:docPartObj>
    </w:sdtPr>
    <w:sdtEndPr/>
    <w:sdtContent>
      <w:p w14:paraId="738E90E2" w14:textId="2AA21C54" w:rsidR="001B5864" w:rsidRDefault="001B5864">
        <w:pPr>
          <w:pStyle w:val="Footer"/>
          <w:jc w:val="center"/>
        </w:pPr>
        <w:r>
          <w:fldChar w:fldCharType="begin"/>
        </w:r>
        <w:r>
          <w:instrText xml:space="preserve"> PAGE   \* MERGEFORMAT </w:instrText>
        </w:r>
        <w:r>
          <w:fldChar w:fldCharType="separate"/>
        </w:r>
        <w:r w:rsidR="00351C97">
          <w:rPr>
            <w:noProof/>
          </w:rPr>
          <w:t>1</w:t>
        </w:r>
        <w:r>
          <w:fldChar w:fldCharType="end"/>
        </w:r>
      </w:p>
    </w:sdtContent>
  </w:sdt>
  <w:p w14:paraId="3F593439" w14:textId="77777777" w:rsidR="001B5864" w:rsidRDefault="001B586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F94F0" w14:textId="77777777" w:rsidR="001B5864" w:rsidRDefault="001B58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6FD096" w14:textId="77777777" w:rsidR="001B5864" w:rsidRDefault="001B5864" w:rsidP="0026613F">
      <w:pPr>
        <w:spacing w:after="0" w:line="240" w:lineRule="auto"/>
      </w:pPr>
      <w:r>
        <w:separator/>
      </w:r>
    </w:p>
  </w:footnote>
  <w:footnote w:type="continuationSeparator" w:id="0">
    <w:p w14:paraId="3EEE5B7F" w14:textId="77777777" w:rsidR="001B5864" w:rsidRDefault="001B5864" w:rsidP="0026613F">
      <w:pPr>
        <w:spacing w:after="0" w:line="240" w:lineRule="auto"/>
      </w:pPr>
      <w:r>
        <w:continuationSeparator/>
      </w:r>
    </w:p>
  </w:footnote>
  <w:footnote w:type="continuationNotice" w:id="1">
    <w:p w14:paraId="7902D2AB" w14:textId="77777777" w:rsidR="001B5864" w:rsidRDefault="001B58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C4E06" w14:textId="77777777" w:rsidR="00351C97" w:rsidRPr="00351C97" w:rsidRDefault="00351C97" w:rsidP="00351C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41E8B" w14:textId="77777777" w:rsidR="00351C97" w:rsidRPr="00351C97" w:rsidRDefault="00351C97" w:rsidP="00351C97">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27C34" w14:textId="77777777" w:rsidR="00351C97" w:rsidRPr="00351C97" w:rsidRDefault="00351C97" w:rsidP="00351C97">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50754" w14:textId="77777777" w:rsidR="001B5864" w:rsidRDefault="001B586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D910D" w14:textId="77777777" w:rsidR="001B5864" w:rsidRDefault="001B586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BEB39" w14:textId="77777777" w:rsidR="001B5864" w:rsidRDefault="001B58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752F4"/>
    <w:multiLevelType w:val="hybridMultilevel"/>
    <w:tmpl w:val="F09AEB4E"/>
    <w:lvl w:ilvl="0" w:tplc="9D6A6E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244B5A"/>
    <w:multiLevelType w:val="hybridMultilevel"/>
    <w:tmpl w:val="74E61908"/>
    <w:lvl w:ilvl="0" w:tplc="A20411DA">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8215FC"/>
    <w:multiLevelType w:val="hybridMultilevel"/>
    <w:tmpl w:val="F09AEB4E"/>
    <w:lvl w:ilvl="0" w:tplc="9D6A6E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E66730"/>
    <w:multiLevelType w:val="hybridMultilevel"/>
    <w:tmpl w:val="97028F28"/>
    <w:lvl w:ilvl="0" w:tplc="85184BC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30402E"/>
    <w:multiLevelType w:val="hybridMultilevel"/>
    <w:tmpl w:val="72106D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8B66DB"/>
    <w:multiLevelType w:val="hybridMultilevel"/>
    <w:tmpl w:val="3B8A7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E719A2"/>
    <w:multiLevelType w:val="multilevel"/>
    <w:tmpl w:val="DD965A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FD10FB6"/>
    <w:multiLevelType w:val="hybridMultilevel"/>
    <w:tmpl w:val="EA067670"/>
    <w:lvl w:ilvl="0" w:tplc="9E78DE12">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35E2B70"/>
    <w:multiLevelType w:val="hybridMultilevel"/>
    <w:tmpl w:val="72106D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9C37B57"/>
    <w:multiLevelType w:val="hybridMultilevel"/>
    <w:tmpl w:val="20ACB1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BA07A62"/>
    <w:multiLevelType w:val="hybridMultilevel"/>
    <w:tmpl w:val="74E61908"/>
    <w:lvl w:ilvl="0" w:tplc="A20411DA">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9"/>
  </w:num>
  <w:num w:numId="3">
    <w:abstractNumId w:val="7"/>
  </w:num>
  <w:num w:numId="4">
    <w:abstractNumId w:val="6"/>
  </w:num>
  <w:num w:numId="5">
    <w:abstractNumId w:val="4"/>
  </w:num>
  <w:num w:numId="6">
    <w:abstractNumId w:val="0"/>
  </w:num>
  <w:num w:numId="7">
    <w:abstractNumId w:val="2"/>
  </w:num>
  <w:num w:numId="8">
    <w:abstractNumId w:val="1"/>
  </w:num>
  <w:num w:numId="9">
    <w:abstractNumId w:val="10"/>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hyphenationZone w:val="425"/>
  <w:characterSpacingControl w:val="doNotCompress"/>
  <w:hdrShapeDefaults>
    <o:shapedefaults v:ext="edit" spidmax="860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bij het"/>
    <w:docVar w:name="LW_CORRIGENDUM" w:val="&lt;UNUSED&gt;"/>
    <w:docVar w:name="LW_COVERPAGE_EXISTS" w:val="True"/>
    <w:docVar w:name="LW_COVERPAGE_GUID" w:val="E0F79E89-DB51-4E95-ACA2-B0716265AD4A"/>
    <w:docVar w:name="LW_COVERPAGE_TYPE" w:val="1"/>
    <w:docVar w:name="LW_CROSSREFERENCE" w:val="{COM(2023) 177 final} - {SEC(2023) 377 final} - {SWD(2023) 177 final} - {SWD(2023) 178 final}"/>
    <w:docVar w:name="LW_DocType" w:val="NORMAL"/>
    <w:docVar w:name="LW_EMISSION" w:val="29.3.2023"/>
    <w:docVar w:name="LW_EMISSION_ISODATE" w:val="2023-03-29"/>
    <w:docVar w:name="LW_EMISSION_LOCATION" w:val="BRX"/>
    <w:docVar w:name="LW_EMISSION_PREFIX" w:val="Brussel, "/>
    <w:docVar w:name="LW_EMISSION_SUFFIX" w:val=" "/>
    <w:docVar w:name="LW_ID_DOCTYPE_NONLW" w:val="CP-027"/>
    <w:docVar w:name="LW_LANGUE" w:val="NL"/>
    <w:docVar w:name="LW_LEVEL_OF_SENSITIVITY" w:val="Standard treatment"/>
    <w:docVar w:name="LW_NOM.INST" w:val="EUROPESE COMMISSIE"/>
    <w:docVar w:name="LW_NOM.INST_JOINTDOC" w:val="&lt;EMPTY&gt;"/>
    <w:docVar w:name="LW_OBJETACTEPRINCIPAL.CP" w:val="RICHTLIJN VAN HET EUROPEES PARLEMENT EN DE RAAD_x000d__x000b__x000d__x000b_tot wijziging van de Richtlijnen 2009/102/EG en (EU) 2017/1132 wat betreft de verdere uitbreiding en modernisering van het gebruik van digitale instrumenten en processen in het vennootschapsrecht"/>
    <w:docVar w:name="LW_PART_NBR" w:val="1"/>
    <w:docVar w:name="LW_PART_NBR_TOTAL" w:val="1"/>
    <w:docVar w:name="LW_REF.INST.NEW" w:val="SWD"/>
    <w:docVar w:name="LW_REF.INST.NEW_ADOPTED" w:val="final"/>
    <w:docVar w:name="LW_REF.INST.NEW_TEXT" w:val="(2023) 17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UNUSED&gt;"/>
    <w:docVar w:name="LW_TYPE.DOC.CP" w:val="WERKDOCUMENT VAN DE DIENSTEN VAN DE COMMISSIE_x000b__x000b_SAMENVATTING VAN HET EFFECTBEOORDELINGSVERSLAG_x000b_"/>
    <w:docVar w:name="LW_TYPEACTEPRINCIPAL.CP" w:val="Voorstel voor een"/>
    <w:docVar w:name="LwApiVersions" w:val="LW4CoDe 1.23.2.0; LW 8.0, Build 20211117"/>
  </w:docVars>
  <w:rsids>
    <w:rsidRoot w:val="0026613F"/>
    <w:rsid w:val="00021B9B"/>
    <w:rsid w:val="00022F50"/>
    <w:rsid w:val="00030344"/>
    <w:rsid w:val="000365BE"/>
    <w:rsid w:val="000410A7"/>
    <w:rsid w:val="00045BC8"/>
    <w:rsid w:val="00054A6E"/>
    <w:rsid w:val="00066149"/>
    <w:rsid w:val="0007069E"/>
    <w:rsid w:val="000862F8"/>
    <w:rsid w:val="00092EA2"/>
    <w:rsid w:val="000A31DC"/>
    <w:rsid w:val="000B220C"/>
    <w:rsid w:val="000B5579"/>
    <w:rsid w:val="000B634A"/>
    <w:rsid w:val="000D2D61"/>
    <w:rsid w:val="000D322F"/>
    <w:rsid w:val="000F0B84"/>
    <w:rsid w:val="000F4841"/>
    <w:rsid w:val="00107FFD"/>
    <w:rsid w:val="00136052"/>
    <w:rsid w:val="00155CB8"/>
    <w:rsid w:val="001700FB"/>
    <w:rsid w:val="00174C65"/>
    <w:rsid w:val="001A1E65"/>
    <w:rsid w:val="001A731E"/>
    <w:rsid w:val="001B398B"/>
    <w:rsid w:val="001B5864"/>
    <w:rsid w:val="001B613D"/>
    <w:rsid w:val="001C42AC"/>
    <w:rsid w:val="001C7558"/>
    <w:rsid w:val="001D4882"/>
    <w:rsid w:val="001F0C1B"/>
    <w:rsid w:val="001F1252"/>
    <w:rsid w:val="001F3351"/>
    <w:rsid w:val="00206941"/>
    <w:rsid w:val="00221753"/>
    <w:rsid w:val="00231E29"/>
    <w:rsid w:val="00237DD9"/>
    <w:rsid w:val="00245592"/>
    <w:rsid w:val="002529A1"/>
    <w:rsid w:val="002570A0"/>
    <w:rsid w:val="00264525"/>
    <w:rsid w:val="0026613F"/>
    <w:rsid w:val="00270367"/>
    <w:rsid w:val="0027138A"/>
    <w:rsid w:val="002713D5"/>
    <w:rsid w:val="00276601"/>
    <w:rsid w:val="00287B53"/>
    <w:rsid w:val="002941EC"/>
    <w:rsid w:val="00296583"/>
    <w:rsid w:val="00297A3F"/>
    <w:rsid w:val="00297CA7"/>
    <w:rsid w:val="002A394E"/>
    <w:rsid w:val="002A4C77"/>
    <w:rsid w:val="002B2EEA"/>
    <w:rsid w:val="002B7705"/>
    <w:rsid w:val="002C374B"/>
    <w:rsid w:val="002C3800"/>
    <w:rsid w:val="002C77FE"/>
    <w:rsid w:val="002D1A13"/>
    <w:rsid w:val="002D3F0B"/>
    <w:rsid w:val="002D54D7"/>
    <w:rsid w:val="002D7DCB"/>
    <w:rsid w:val="002E25B9"/>
    <w:rsid w:val="002E3071"/>
    <w:rsid w:val="002E64A2"/>
    <w:rsid w:val="003013FA"/>
    <w:rsid w:val="00301756"/>
    <w:rsid w:val="00303DAE"/>
    <w:rsid w:val="0030616C"/>
    <w:rsid w:val="003151FC"/>
    <w:rsid w:val="00315B44"/>
    <w:rsid w:val="00325694"/>
    <w:rsid w:val="00331058"/>
    <w:rsid w:val="003379C6"/>
    <w:rsid w:val="00343200"/>
    <w:rsid w:val="00346087"/>
    <w:rsid w:val="00351C97"/>
    <w:rsid w:val="00360CB5"/>
    <w:rsid w:val="003809DF"/>
    <w:rsid w:val="00385763"/>
    <w:rsid w:val="003B13FC"/>
    <w:rsid w:val="003D1458"/>
    <w:rsid w:val="003E1B41"/>
    <w:rsid w:val="003E6CDD"/>
    <w:rsid w:val="003F5504"/>
    <w:rsid w:val="003F66C5"/>
    <w:rsid w:val="00407DA5"/>
    <w:rsid w:val="004135CB"/>
    <w:rsid w:val="00414C29"/>
    <w:rsid w:val="004159A9"/>
    <w:rsid w:val="00416E04"/>
    <w:rsid w:val="0042096F"/>
    <w:rsid w:val="00421E8F"/>
    <w:rsid w:val="00422B70"/>
    <w:rsid w:val="00426104"/>
    <w:rsid w:val="00442C53"/>
    <w:rsid w:val="00443513"/>
    <w:rsid w:val="00454D86"/>
    <w:rsid w:val="004550E4"/>
    <w:rsid w:val="004700FC"/>
    <w:rsid w:val="0047143E"/>
    <w:rsid w:val="00475AFC"/>
    <w:rsid w:val="00480837"/>
    <w:rsid w:val="00483062"/>
    <w:rsid w:val="004871E1"/>
    <w:rsid w:val="004937C2"/>
    <w:rsid w:val="004A1FC8"/>
    <w:rsid w:val="004A3979"/>
    <w:rsid w:val="004A5229"/>
    <w:rsid w:val="004B0EF6"/>
    <w:rsid w:val="004B4215"/>
    <w:rsid w:val="004D0A43"/>
    <w:rsid w:val="004D203A"/>
    <w:rsid w:val="004D5618"/>
    <w:rsid w:val="004F253D"/>
    <w:rsid w:val="004F264F"/>
    <w:rsid w:val="004F6818"/>
    <w:rsid w:val="004F69FC"/>
    <w:rsid w:val="00500D4F"/>
    <w:rsid w:val="005072BF"/>
    <w:rsid w:val="00512559"/>
    <w:rsid w:val="00512AF5"/>
    <w:rsid w:val="00515CC0"/>
    <w:rsid w:val="00521D57"/>
    <w:rsid w:val="005313E4"/>
    <w:rsid w:val="00534D99"/>
    <w:rsid w:val="005501FE"/>
    <w:rsid w:val="00551686"/>
    <w:rsid w:val="00554B69"/>
    <w:rsid w:val="005705B2"/>
    <w:rsid w:val="00574112"/>
    <w:rsid w:val="0058196C"/>
    <w:rsid w:val="00586FCD"/>
    <w:rsid w:val="00596EDA"/>
    <w:rsid w:val="005A5B66"/>
    <w:rsid w:val="005D6467"/>
    <w:rsid w:val="006153AC"/>
    <w:rsid w:val="00624693"/>
    <w:rsid w:val="00630EC5"/>
    <w:rsid w:val="006378FA"/>
    <w:rsid w:val="00640709"/>
    <w:rsid w:val="00641F9C"/>
    <w:rsid w:val="006626C4"/>
    <w:rsid w:val="00670D0B"/>
    <w:rsid w:val="006777AB"/>
    <w:rsid w:val="00680AD5"/>
    <w:rsid w:val="00682256"/>
    <w:rsid w:val="006A00D6"/>
    <w:rsid w:val="006B295A"/>
    <w:rsid w:val="006C6900"/>
    <w:rsid w:val="006D37AD"/>
    <w:rsid w:val="006D4B80"/>
    <w:rsid w:val="006E07B4"/>
    <w:rsid w:val="006E13F4"/>
    <w:rsid w:val="006E1539"/>
    <w:rsid w:val="006E3896"/>
    <w:rsid w:val="007001FA"/>
    <w:rsid w:val="00703656"/>
    <w:rsid w:val="00707941"/>
    <w:rsid w:val="00713317"/>
    <w:rsid w:val="00720871"/>
    <w:rsid w:val="0072089E"/>
    <w:rsid w:val="00726536"/>
    <w:rsid w:val="007275DD"/>
    <w:rsid w:val="0072795F"/>
    <w:rsid w:val="007324E7"/>
    <w:rsid w:val="0073298E"/>
    <w:rsid w:val="00742788"/>
    <w:rsid w:val="00744A93"/>
    <w:rsid w:val="007553F9"/>
    <w:rsid w:val="00756950"/>
    <w:rsid w:val="0077042A"/>
    <w:rsid w:val="007763DA"/>
    <w:rsid w:val="00791B91"/>
    <w:rsid w:val="0079472C"/>
    <w:rsid w:val="007A3B83"/>
    <w:rsid w:val="007A46E6"/>
    <w:rsid w:val="007A598D"/>
    <w:rsid w:val="007B337F"/>
    <w:rsid w:val="007B4ABE"/>
    <w:rsid w:val="007C2B80"/>
    <w:rsid w:val="007C57D5"/>
    <w:rsid w:val="007D3775"/>
    <w:rsid w:val="007E198A"/>
    <w:rsid w:val="007F0D99"/>
    <w:rsid w:val="007F2427"/>
    <w:rsid w:val="00805477"/>
    <w:rsid w:val="008265E1"/>
    <w:rsid w:val="00830E0C"/>
    <w:rsid w:val="00831445"/>
    <w:rsid w:val="00836AFB"/>
    <w:rsid w:val="00840C0E"/>
    <w:rsid w:val="00855A16"/>
    <w:rsid w:val="008665D7"/>
    <w:rsid w:val="00866633"/>
    <w:rsid w:val="00872913"/>
    <w:rsid w:val="00874621"/>
    <w:rsid w:val="0087498F"/>
    <w:rsid w:val="00880B4C"/>
    <w:rsid w:val="00880B83"/>
    <w:rsid w:val="0089634F"/>
    <w:rsid w:val="008A39C1"/>
    <w:rsid w:val="008A3BB3"/>
    <w:rsid w:val="008A5DD9"/>
    <w:rsid w:val="008C6668"/>
    <w:rsid w:val="008D28BD"/>
    <w:rsid w:val="008F37C0"/>
    <w:rsid w:val="008F47A1"/>
    <w:rsid w:val="009014FF"/>
    <w:rsid w:val="009026BD"/>
    <w:rsid w:val="00905440"/>
    <w:rsid w:val="00911C74"/>
    <w:rsid w:val="00915F92"/>
    <w:rsid w:val="0093549D"/>
    <w:rsid w:val="00941F0C"/>
    <w:rsid w:val="00943C01"/>
    <w:rsid w:val="0095263D"/>
    <w:rsid w:val="009630C5"/>
    <w:rsid w:val="009750E4"/>
    <w:rsid w:val="0098493F"/>
    <w:rsid w:val="009851FA"/>
    <w:rsid w:val="00991903"/>
    <w:rsid w:val="009943DD"/>
    <w:rsid w:val="00996280"/>
    <w:rsid w:val="009B2D47"/>
    <w:rsid w:val="009D2D57"/>
    <w:rsid w:val="009E04EE"/>
    <w:rsid w:val="009E1A2D"/>
    <w:rsid w:val="009E38F9"/>
    <w:rsid w:val="009E591B"/>
    <w:rsid w:val="009E5FFC"/>
    <w:rsid w:val="00A01FCF"/>
    <w:rsid w:val="00A119CC"/>
    <w:rsid w:val="00A333AF"/>
    <w:rsid w:val="00A43EE5"/>
    <w:rsid w:val="00A6470E"/>
    <w:rsid w:val="00A7559D"/>
    <w:rsid w:val="00AA50BB"/>
    <w:rsid w:val="00AC09DF"/>
    <w:rsid w:val="00AC16E2"/>
    <w:rsid w:val="00AD017C"/>
    <w:rsid w:val="00AD1BC6"/>
    <w:rsid w:val="00AD49DE"/>
    <w:rsid w:val="00AD51BC"/>
    <w:rsid w:val="00AE3F86"/>
    <w:rsid w:val="00AF3E41"/>
    <w:rsid w:val="00AF5609"/>
    <w:rsid w:val="00B03E4B"/>
    <w:rsid w:val="00B1566B"/>
    <w:rsid w:val="00B16ABF"/>
    <w:rsid w:val="00B17E48"/>
    <w:rsid w:val="00B20B68"/>
    <w:rsid w:val="00B22E82"/>
    <w:rsid w:val="00B42A73"/>
    <w:rsid w:val="00B43774"/>
    <w:rsid w:val="00B53382"/>
    <w:rsid w:val="00B64ACC"/>
    <w:rsid w:val="00B76773"/>
    <w:rsid w:val="00B77CBA"/>
    <w:rsid w:val="00BA497D"/>
    <w:rsid w:val="00BB2615"/>
    <w:rsid w:val="00BC1812"/>
    <w:rsid w:val="00BC22D2"/>
    <w:rsid w:val="00BD7F80"/>
    <w:rsid w:val="00BE4A9B"/>
    <w:rsid w:val="00BF56D0"/>
    <w:rsid w:val="00C0262A"/>
    <w:rsid w:val="00C043F7"/>
    <w:rsid w:val="00C052CB"/>
    <w:rsid w:val="00C076D3"/>
    <w:rsid w:val="00C215C2"/>
    <w:rsid w:val="00C23D8D"/>
    <w:rsid w:val="00C2738B"/>
    <w:rsid w:val="00C30A9C"/>
    <w:rsid w:val="00C3218F"/>
    <w:rsid w:val="00C45AD2"/>
    <w:rsid w:val="00C618AF"/>
    <w:rsid w:val="00C7042C"/>
    <w:rsid w:val="00C71D78"/>
    <w:rsid w:val="00C74952"/>
    <w:rsid w:val="00C82674"/>
    <w:rsid w:val="00C8422A"/>
    <w:rsid w:val="00C91987"/>
    <w:rsid w:val="00C95777"/>
    <w:rsid w:val="00CA063F"/>
    <w:rsid w:val="00CA56F8"/>
    <w:rsid w:val="00CB7AD0"/>
    <w:rsid w:val="00CC788B"/>
    <w:rsid w:val="00CD48C8"/>
    <w:rsid w:val="00CD4AE2"/>
    <w:rsid w:val="00CD6043"/>
    <w:rsid w:val="00CE0E09"/>
    <w:rsid w:val="00CE2F30"/>
    <w:rsid w:val="00CE5371"/>
    <w:rsid w:val="00CE7308"/>
    <w:rsid w:val="00CF29A0"/>
    <w:rsid w:val="00CF67C1"/>
    <w:rsid w:val="00D0267D"/>
    <w:rsid w:val="00D20FD1"/>
    <w:rsid w:val="00D215DC"/>
    <w:rsid w:val="00D30B4F"/>
    <w:rsid w:val="00D32DA7"/>
    <w:rsid w:val="00D40535"/>
    <w:rsid w:val="00D44483"/>
    <w:rsid w:val="00D53666"/>
    <w:rsid w:val="00D6238A"/>
    <w:rsid w:val="00D9130A"/>
    <w:rsid w:val="00D97757"/>
    <w:rsid w:val="00DB0D33"/>
    <w:rsid w:val="00DB202D"/>
    <w:rsid w:val="00DC10F6"/>
    <w:rsid w:val="00DC4EB9"/>
    <w:rsid w:val="00DE3ADF"/>
    <w:rsid w:val="00DE4CCB"/>
    <w:rsid w:val="00DE4D43"/>
    <w:rsid w:val="00E0183E"/>
    <w:rsid w:val="00E04170"/>
    <w:rsid w:val="00E06AD4"/>
    <w:rsid w:val="00E170B6"/>
    <w:rsid w:val="00E17806"/>
    <w:rsid w:val="00E31EE1"/>
    <w:rsid w:val="00E3438B"/>
    <w:rsid w:val="00E470A9"/>
    <w:rsid w:val="00E91C90"/>
    <w:rsid w:val="00E94E07"/>
    <w:rsid w:val="00EB07F6"/>
    <w:rsid w:val="00EB0C2D"/>
    <w:rsid w:val="00EB4C09"/>
    <w:rsid w:val="00EC1FF3"/>
    <w:rsid w:val="00EC2178"/>
    <w:rsid w:val="00EC716F"/>
    <w:rsid w:val="00ED2792"/>
    <w:rsid w:val="00ED51CD"/>
    <w:rsid w:val="00EE0E8B"/>
    <w:rsid w:val="00F1004F"/>
    <w:rsid w:val="00F107A5"/>
    <w:rsid w:val="00F2102E"/>
    <w:rsid w:val="00F2460A"/>
    <w:rsid w:val="00F31280"/>
    <w:rsid w:val="00F65227"/>
    <w:rsid w:val="00F77BD3"/>
    <w:rsid w:val="00F91108"/>
    <w:rsid w:val="00FB1F81"/>
    <w:rsid w:val="00FC1977"/>
    <w:rsid w:val="00FC3F6F"/>
    <w:rsid w:val="00FC5A87"/>
    <w:rsid w:val="00FC6D5E"/>
    <w:rsid w:val="00FC7902"/>
    <w:rsid w:val="00FD4438"/>
    <w:rsid w:val="00FE795B"/>
    <w:rsid w:val="00FF18A6"/>
    <w:rsid w:val="00FF7F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2A1AF75B"/>
  <w15:chartTrackingRefBased/>
  <w15:docId w15:val="{C06031B9-DAFF-4D24-8216-215BE15B1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C23D8D"/>
    <w:pPr>
      <w:keepNext/>
      <w:tabs>
        <w:tab w:val="num" w:pos="1200"/>
      </w:tabs>
      <w:spacing w:after="240" w:line="240" w:lineRule="auto"/>
      <w:ind w:left="1200" w:hanging="720"/>
      <w:jc w:val="both"/>
      <w:outlineLvl w:val="1"/>
    </w:pPr>
    <w:rPr>
      <w:rFonts w:ascii="Times New Roman" w:eastAsia="Times New Roman" w:hAnsi="Times New Roman" w:cs="Times New Roman"/>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26613F"/>
    <w:rPr>
      <w:color w:val="0000FF"/>
      <w:shd w:val="clear" w:color="auto" w:fill="auto"/>
    </w:rPr>
  </w:style>
  <w:style w:type="paragraph" w:customStyle="1" w:styleId="Pagedecouverture">
    <w:name w:val="Page de couverture"/>
    <w:basedOn w:val="Normal"/>
    <w:next w:val="Normal"/>
    <w:rsid w:val="0026613F"/>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2661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613F"/>
  </w:style>
  <w:style w:type="paragraph" w:styleId="Footer">
    <w:name w:val="footer"/>
    <w:basedOn w:val="Normal"/>
    <w:link w:val="FooterChar"/>
    <w:uiPriority w:val="99"/>
    <w:unhideWhenUsed/>
    <w:rsid w:val="002661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613F"/>
  </w:style>
  <w:style w:type="paragraph" w:customStyle="1" w:styleId="FooterCoverPage">
    <w:name w:val="Footer Cover Page"/>
    <w:basedOn w:val="Normal"/>
    <w:link w:val="FooterCoverPageChar"/>
    <w:rsid w:val="0026613F"/>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26613F"/>
    <w:rPr>
      <w:rFonts w:ascii="Times New Roman" w:hAnsi="Times New Roman" w:cs="Times New Roman"/>
      <w:sz w:val="24"/>
    </w:rPr>
  </w:style>
  <w:style w:type="paragraph" w:customStyle="1" w:styleId="FooterSensitivity">
    <w:name w:val="Footer Sensitivity"/>
    <w:basedOn w:val="Normal"/>
    <w:link w:val="FooterSensitivityChar"/>
    <w:rsid w:val="0026613F"/>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26613F"/>
    <w:rPr>
      <w:rFonts w:ascii="Times New Roman" w:hAnsi="Times New Roman" w:cs="Times New Roman"/>
      <w:b/>
      <w:sz w:val="32"/>
    </w:rPr>
  </w:style>
  <w:style w:type="paragraph" w:customStyle="1" w:styleId="HeaderCoverPage">
    <w:name w:val="Header Cover Page"/>
    <w:basedOn w:val="Normal"/>
    <w:link w:val="HeaderCoverPageChar"/>
    <w:rsid w:val="0026613F"/>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26613F"/>
    <w:rPr>
      <w:rFonts w:ascii="Times New Roman" w:hAnsi="Times New Roman" w:cs="Times New Roman"/>
      <w:sz w:val="24"/>
    </w:rPr>
  </w:style>
  <w:style w:type="paragraph" w:customStyle="1" w:styleId="HeaderSensitivity">
    <w:name w:val="Header Sensitivity"/>
    <w:basedOn w:val="Normal"/>
    <w:link w:val="HeaderSensitivityChar"/>
    <w:rsid w:val="0026613F"/>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26613F"/>
    <w:rPr>
      <w:rFonts w:ascii="Times New Roman" w:hAnsi="Times New Roman" w:cs="Times New Roman"/>
      <w:b/>
      <w:sz w:val="32"/>
    </w:rPr>
  </w:style>
  <w:style w:type="paragraph" w:customStyle="1" w:styleId="HeaderSensitivityRight">
    <w:name w:val="Header Sensitivity Right"/>
    <w:basedOn w:val="Normal"/>
    <w:link w:val="HeaderSensitivityRightChar"/>
    <w:rsid w:val="0026613F"/>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26613F"/>
    <w:rPr>
      <w:rFonts w:ascii="Times New Roman" w:hAnsi="Times New Roman" w:cs="Times New Roman"/>
      <w:sz w:val="28"/>
    </w:rPr>
  </w:style>
  <w:style w:type="paragraph" w:styleId="ListParagraph">
    <w:name w:val="List Paragraph"/>
    <w:basedOn w:val="Normal"/>
    <w:link w:val="ListParagraphChar"/>
    <w:uiPriority w:val="34"/>
    <w:qFormat/>
    <w:rsid w:val="007763DA"/>
    <w:pPr>
      <w:spacing w:after="240" w:line="240" w:lineRule="auto"/>
      <w:ind w:left="720"/>
      <w:contextualSpacing/>
      <w:jc w:val="both"/>
    </w:pPr>
    <w:rPr>
      <w:rFonts w:ascii="Times New Roman" w:eastAsia="Times New Roman" w:hAnsi="Times New Roman" w:cs="Times New Roman"/>
      <w:sz w:val="24"/>
    </w:rPr>
  </w:style>
  <w:style w:type="character" w:customStyle="1" w:styleId="ListParagraphChar">
    <w:name w:val="List Paragraph Char"/>
    <w:basedOn w:val="DefaultParagraphFont"/>
    <w:link w:val="ListParagraph"/>
    <w:uiPriority w:val="34"/>
    <w:qFormat/>
    <w:rsid w:val="007763DA"/>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7763DA"/>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7763DA"/>
    <w:rPr>
      <w:rFonts w:ascii="Segoe UI" w:hAnsi="Segoe UI" w:cs="Segoe UI"/>
      <w:sz w:val="18"/>
    </w:rPr>
  </w:style>
  <w:style w:type="character" w:customStyle="1" w:styleId="Heading2Char">
    <w:name w:val="Heading 2 Char"/>
    <w:basedOn w:val="DefaultParagraphFont"/>
    <w:link w:val="Heading2"/>
    <w:rsid w:val="00C23D8D"/>
    <w:rPr>
      <w:rFonts w:ascii="Times New Roman" w:eastAsia="Times New Roman" w:hAnsi="Times New Roman" w:cs="Times New Roman"/>
      <w:b/>
      <w:sz w:val="24"/>
    </w:rPr>
  </w:style>
  <w:style w:type="paragraph" w:customStyle="1" w:styleId="Text2">
    <w:name w:val="Text 2"/>
    <w:basedOn w:val="Normal"/>
    <w:link w:val="Text2Char"/>
    <w:rsid w:val="00ED51CD"/>
    <w:pPr>
      <w:tabs>
        <w:tab w:val="left" w:pos="2302"/>
      </w:tabs>
      <w:spacing w:after="240" w:line="240" w:lineRule="auto"/>
      <w:ind w:left="1202"/>
      <w:jc w:val="both"/>
    </w:pPr>
    <w:rPr>
      <w:rFonts w:ascii="Times New Roman" w:eastAsia="Times New Roman" w:hAnsi="Times New Roman" w:cs="Times New Roman"/>
      <w:sz w:val="24"/>
    </w:rPr>
  </w:style>
  <w:style w:type="paragraph" w:styleId="FootnoteText">
    <w:name w:val="footnote text"/>
    <w:basedOn w:val="Normal"/>
    <w:link w:val="FootnoteTextChar"/>
    <w:uiPriority w:val="99"/>
    <w:unhideWhenUsed/>
    <w:qFormat/>
    <w:rsid w:val="00ED51CD"/>
    <w:pPr>
      <w:spacing w:after="0" w:line="240" w:lineRule="auto"/>
      <w:jc w:val="both"/>
    </w:pPr>
    <w:rPr>
      <w:rFonts w:ascii="Times New Roman" w:eastAsiaTheme="minorEastAsia" w:hAnsi="Times New Roman" w:cs="Times New Roman"/>
      <w:sz w:val="20"/>
    </w:rPr>
  </w:style>
  <w:style w:type="character" w:customStyle="1" w:styleId="FootnoteTextChar">
    <w:name w:val="Footnote Text Char"/>
    <w:basedOn w:val="DefaultParagraphFont"/>
    <w:link w:val="FootnoteText"/>
    <w:uiPriority w:val="99"/>
    <w:qFormat/>
    <w:rsid w:val="00ED51CD"/>
    <w:rPr>
      <w:rFonts w:ascii="Times New Roman" w:eastAsiaTheme="minorEastAsia" w:hAnsi="Times New Roman" w:cs="Times New Roman"/>
      <w:sz w:val="20"/>
    </w:rPr>
  </w:style>
  <w:style w:type="character" w:styleId="FootnoteReference">
    <w:name w:val="footnote reference"/>
    <w:basedOn w:val="DefaultParagraphFont"/>
    <w:link w:val="CharCharChar1"/>
    <w:uiPriority w:val="99"/>
    <w:unhideWhenUsed/>
    <w:qFormat/>
    <w:rsid w:val="00ED51CD"/>
    <w:rPr>
      <w:vertAlign w:val="superscript"/>
    </w:rPr>
  </w:style>
  <w:style w:type="paragraph" w:customStyle="1" w:styleId="CharCharChar1">
    <w:name w:val="Char Char Char1"/>
    <w:basedOn w:val="Normal"/>
    <w:link w:val="FootnoteReference"/>
    <w:uiPriority w:val="99"/>
    <w:rsid w:val="00ED51CD"/>
    <w:pPr>
      <w:spacing w:after="160" w:line="240" w:lineRule="exact"/>
      <w:jc w:val="both"/>
    </w:pPr>
    <w:rPr>
      <w:vertAlign w:val="superscript"/>
    </w:rPr>
  </w:style>
  <w:style w:type="character" w:styleId="CommentReference">
    <w:name w:val="annotation reference"/>
    <w:basedOn w:val="DefaultParagraphFont"/>
    <w:unhideWhenUsed/>
    <w:qFormat/>
    <w:rsid w:val="00ED51CD"/>
    <w:rPr>
      <w:sz w:val="16"/>
    </w:rPr>
  </w:style>
  <w:style w:type="paragraph" w:styleId="CommentText">
    <w:name w:val="annotation text"/>
    <w:basedOn w:val="Normal"/>
    <w:link w:val="CommentTextChar"/>
    <w:unhideWhenUsed/>
    <w:qFormat/>
    <w:rsid w:val="00ED51CD"/>
    <w:pPr>
      <w:spacing w:after="240" w:line="240" w:lineRule="auto"/>
      <w:jc w:val="both"/>
    </w:pPr>
    <w:rPr>
      <w:rFonts w:ascii="Times New Roman" w:hAnsi="Times New Roman" w:cs="Times New Roman"/>
      <w:sz w:val="20"/>
    </w:rPr>
  </w:style>
  <w:style w:type="character" w:customStyle="1" w:styleId="CommentTextChar">
    <w:name w:val="Comment Text Char"/>
    <w:basedOn w:val="DefaultParagraphFont"/>
    <w:link w:val="CommentText"/>
    <w:rsid w:val="00ED51CD"/>
    <w:rPr>
      <w:rFonts w:ascii="Times New Roman" w:hAnsi="Times New Roman" w:cs="Times New Roman"/>
      <w:sz w:val="20"/>
    </w:rPr>
  </w:style>
  <w:style w:type="character" w:customStyle="1" w:styleId="Text2Char">
    <w:name w:val="Text 2 Char"/>
    <w:link w:val="Text2"/>
    <w:locked/>
    <w:rsid w:val="00ED51CD"/>
    <w:rPr>
      <w:rFonts w:ascii="Times New Roman" w:eastAsia="Times New Roman" w:hAnsi="Times New Roman" w:cs="Times New Roman"/>
      <w:sz w:val="24"/>
    </w:rPr>
  </w:style>
  <w:style w:type="character" w:styleId="Hyperlink">
    <w:name w:val="Hyperlink"/>
    <w:basedOn w:val="DefaultParagraphFont"/>
    <w:uiPriority w:val="99"/>
    <w:unhideWhenUsed/>
    <w:rsid w:val="007D3775"/>
    <w:rPr>
      <w:color w:val="0000FF" w:themeColor="hyperlink"/>
      <w:u w:val="single"/>
    </w:rPr>
  </w:style>
  <w:style w:type="character" w:customStyle="1" w:styleId="MBTChar">
    <w:name w:val="M BT Char"/>
    <w:link w:val="MBT"/>
    <w:locked/>
    <w:rsid w:val="00B03E4B"/>
    <w:rPr>
      <w:rFonts w:ascii="Times New Roman" w:eastAsia="Times New Roman" w:hAnsi="Times New Roman" w:cs="Times New Roman"/>
    </w:rPr>
  </w:style>
  <w:style w:type="paragraph" w:customStyle="1" w:styleId="MBT">
    <w:name w:val="M BT"/>
    <w:basedOn w:val="Normal"/>
    <w:link w:val="MBTChar"/>
    <w:qFormat/>
    <w:rsid w:val="00B03E4B"/>
    <w:pPr>
      <w:widowControl w:val="0"/>
      <w:spacing w:before="120" w:after="120" w:line="240" w:lineRule="auto"/>
      <w:jc w:val="both"/>
    </w:pPr>
    <w:rPr>
      <w:rFonts w:ascii="Times New Roman" w:eastAsia="Times New Roman" w:hAnsi="Times New Roman" w:cs="Times New Roman"/>
    </w:rPr>
  </w:style>
  <w:style w:type="paragraph" w:styleId="ListBullet">
    <w:name w:val="List Bullet"/>
    <w:basedOn w:val="Normal"/>
    <w:rsid w:val="004A5229"/>
    <w:pPr>
      <w:tabs>
        <w:tab w:val="num" w:pos="283"/>
      </w:tabs>
      <w:spacing w:after="240" w:line="240" w:lineRule="auto"/>
      <w:ind w:left="283" w:hanging="283"/>
      <w:jc w:val="both"/>
    </w:pPr>
    <w:rPr>
      <w:rFonts w:ascii="Times New Roman" w:eastAsia="Times New Roman" w:hAnsi="Times New Roman" w:cs="Times New Roman"/>
      <w:sz w:val="24"/>
    </w:rPr>
  </w:style>
  <w:style w:type="paragraph" w:styleId="CommentSubject">
    <w:name w:val="annotation subject"/>
    <w:basedOn w:val="CommentText"/>
    <w:next w:val="CommentText"/>
    <w:link w:val="CommentSubjectChar"/>
    <w:uiPriority w:val="99"/>
    <w:semiHidden/>
    <w:unhideWhenUsed/>
    <w:rsid w:val="00830E0C"/>
    <w:pPr>
      <w:spacing w:after="200"/>
      <w:jc w:val="left"/>
    </w:pPr>
    <w:rPr>
      <w:rFonts w:asciiTheme="minorHAnsi" w:hAnsiTheme="minorHAnsi" w:cstheme="minorBidi"/>
      <w:b/>
    </w:rPr>
  </w:style>
  <w:style w:type="character" w:customStyle="1" w:styleId="CommentSubjectChar">
    <w:name w:val="Comment Subject Char"/>
    <w:basedOn w:val="CommentTextChar"/>
    <w:link w:val="CommentSubject"/>
    <w:uiPriority w:val="99"/>
    <w:semiHidden/>
    <w:rsid w:val="00830E0C"/>
    <w:rPr>
      <w:rFonts w:ascii="Times New Roman" w:hAnsi="Times New Roman" w:cs="Times New Roman"/>
      <w:b/>
      <w:sz w:val="20"/>
    </w:rPr>
  </w:style>
  <w:style w:type="paragraph" w:styleId="Revision">
    <w:name w:val="Revision"/>
    <w:hidden/>
    <w:uiPriority w:val="99"/>
    <w:semiHidden/>
    <w:rsid w:val="00830E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71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5951883E5C30040B203E32BE87605CE" ma:contentTypeVersion="2" ma:contentTypeDescription="Create a new document in this library." ma:contentTypeScope="" ma:versionID="d7c351954d471ca2587924c8ce74cbeb">
  <xsd:schema xmlns:xsd="http://www.w3.org/2001/XMLSchema" xmlns:xs="http://www.w3.org/2001/XMLSchema" xmlns:p="http://schemas.microsoft.com/office/2006/metadata/properties" xmlns:ns2="http://schemas.microsoft.com/sharepoint/v3/fields" xmlns:ns3="b22a275e-e4fe-4beb-ace0-d80ad182a842" xmlns:ns4="d48f59c6-eda2-45e6-a37b-3f12b675688c" targetNamespace="http://schemas.microsoft.com/office/2006/metadata/properties" ma:root="true" ma:fieldsID="3d3218982157b653eeccb676240745c5" ns2:_="" ns3:_="" ns4:_="">
    <xsd:import namespace="http://schemas.microsoft.com/sharepoint/v3/fields"/>
    <xsd:import namespace="b22a275e-e4fe-4beb-ace0-d80ad182a842"/>
    <xsd:import namespace="d48f59c6-eda2-45e6-a37b-3f12b675688c"/>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b22a275e-e4fe-4beb-ace0-d80ad182a84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d48f59c6-eda2-45e6-a37b-3f12b675688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Status xmlns="b22a275e-e4fe-4beb-ace0-d80ad182a842">Not Started</EC_Collab_Status>
    <_Status xmlns="http://schemas.microsoft.com/sharepoint/v3/fields">Not Started</_Status>
    <EC_Collab_DocumentLanguage xmlns="b22a275e-e4fe-4beb-ace0-d80ad182a842">EN</EC_Collab_DocumentLanguage>
    <EC_Collab_Reference xmlns="b22a275e-e4fe-4beb-ace0-d80ad182a84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BB074-00EB-4A0C-BF50-D7626E2204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b22a275e-e4fe-4beb-ace0-d80ad182a842"/>
    <ds:schemaRef ds:uri="d48f59c6-eda2-45e6-a37b-3f12b6756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4F5D8A-DF06-4AD9-9F1D-F262ED2C13BC}">
  <ds:schemaRefs>
    <ds:schemaRef ds:uri="http://purl.org/dc/terms/"/>
    <ds:schemaRef ds:uri="http://schemas.microsoft.com/office/2006/documentManagement/types"/>
    <ds:schemaRef ds:uri="http://purl.org/dc/elements/1.1/"/>
    <ds:schemaRef ds:uri="http://schemas.microsoft.com/office/2006/metadata/properties"/>
    <ds:schemaRef ds:uri="b22a275e-e4fe-4beb-ace0-d80ad182a842"/>
    <ds:schemaRef ds:uri="http://schemas.microsoft.com/office/infopath/2007/PartnerControls"/>
    <ds:schemaRef ds:uri="http://schemas.openxmlformats.org/package/2006/metadata/core-properties"/>
    <ds:schemaRef ds:uri="d48f59c6-eda2-45e6-a37b-3f12b675688c"/>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C765BCA1-0822-4F7F-AE80-3C398CD591B1}">
  <ds:schemaRefs>
    <ds:schemaRef ds:uri="http://schemas.microsoft.com/sharepoint/v3/contenttype/forms"/>
  </ds:schemaRefs>
</ds:datastoreItem>
</file>

<file path=customXml/itemProps4.xml><?xml version="1.0" encoding="utf-8"?>
<ds:datastoreItem xmlns:ds="http://schemas.openxmlformats.org/officeDocument/2006/customXml" ds:itemID="{464A4772-6A86-4F4A-814B-99E824FB0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6</Pages>
  <Words>2048</Words>
  <Characters>14402</Characters>
  <Application>Microsoft Office Word</Application>
  <DocSecurity>0</DocSecurity>
  <Lines>187</Lines>
  <Paragraphs>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72</cp:revision>
  <cp:lastPrinted>2023-04-13T07:49:00Z</cp:lastPrinted>
  <dcterms:created xsi:type="dcterms:W3CDTF">2023-03-16T10:44:00Z</dcterms:created>
  <dcterms:modified xsi:type="dcterms:W3CDTF">2023-04-14T13:19:00Z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CP-027</vt:lpwstr>
  </property>
  <property fmtid="{D5CDD505-2E9C-101B-9397-08002B2CF9AE}" pid="7" name="Created using">
    <vt:lpwstr>LW 7.0.1, Build 20190916</vt:lpwstr>
  </property>
  <property fmtid="{D5CDD505-2E9C-101B-9397-08002B2CF9AE}" pid="8" name="MSIP_Label_6bd9ddd1-4d20-43f6-abfa-fc3c07406f94_Enabled">
    <vt:lpwstr>true</vt:lpwstr>
  </property>
  <property fmtid="{D5CDD505-2E9C-101B-9397-08002B2CF9AE}" pid="9" name="MSIP_Label_6bd9ddd1-4d20-43f6-abfa-fc3c07406f94_SetDate">
    <vt:lpwstr>2022-03-07T14:21:34Z</vt:lpwstr>
  </property>
  <property fmtid="{D5CDD505-2E9C-101B-9397-08002B2CF9AE}" pid="10" name="MSIP_Label_6bd9ddd1-4d20-43f6-abfa-fc3c07406f94_Method">
    <vt:lpwstr>Standard</vt:lpwstr>
  </property>
  <property fmtid="{D5CDD505-2E9C-101B-9397-08002B2CF9AE}" pid="11" name="MSIP_Label_6bd9ddd1-4d20-43f6-abfa-fc3c07406f94_Name">
    <vt:lpwstr>Commission Use</vt:lpwstr>
  </property>
  <property fmtid="{D5CDD505-2E9C-101B-9397-08002B2CF9AE}" pid="12" name="MSIP_Label_6bd9ddd1-4d20-43f6-abfa-fc3c07406f94_SiteId">
    <vt:lpwstr>b24c8b06-522c-46fe-9080-70926f8dddb1</vt:lpwstr>
  </property>
  <property fmtid="{D5CDD505-2E9C-101B-9397-08002B2CF9AE}" pid="13" name="MSIP_Label_6bd9ddd1-4d20-43f6-abfa-fc3c07406f94_ActionId">
    <vt:lpwstr>842358c4-c72d-448a-ac52-317271f8f4c7</vt:lpwstr>
  </property>
  <property fmtid="{D5CDD505-2E9C-101B-9397-08002B2CF9AE}" pid="14" name="MSIP_Label_6bd9ddd1-4d20-43f6-abfa-fc3c07406f94_ContentBits">
    <vt:lpwstr>0</vt:lpwstr>
  </property>
  <property fmtid="{D5CDD505-2E9C-101B-9397-08002B2CF9AE}" pid="15" name="ContentTypeId">
    <vt:lpwstr>0x010100258AA79CEB83498886A3A086811232500005951883E5C30040B203E32BE87605CE</vt:lpwstr>
  </property>
  <property fmtid="{D5CDD505-2E9C-101B-9397-08002B2CF9AE}" pid="16" name="Last edited using">
    <vt:lpwstr>LW 9.0, Build 20230317</vt:lpwstr>
  </property>
</Properties>
</file>