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0E52E" w14:textId="150FE171" w:rsidR="004770F6" w:rsidRPr="00CE39FB" w:rsidRDefault="00E17AC8" w:rsidP="00E17AC8">
      <w:pPr>
        <w:pStyle w:val="Pagedecouverture"/>
        <w:rPr>
          <w:noProof/>
        </w:rPr>
      </w:pPr>
      <w:r>
        <w:rPr>
          <w:noProof/>
        </w:rPr>
        <w:pict w14:anchorId="7DA0F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FA609845-03E6-483F-8FBC-CDAB54F48D10" style="width:455.25pt;height:355.5pt">
            <v:imagedata r:id="rId9" o:title=""/>
          </v:shape>
        </w:pict>
      </w:r>
    </w:p>
    <w:p w14:paraId="60C4D6F9" w14:textId="77777777" w:rsidR="004770F6" w:rsidRPr="00CE39FB" w:rsidRDefault="004770F6" w:rsidP="004770F6">
      <w:pPr>
        <w:rPr>
          <w:noProof/>
        </w:rPr>
        <w:sectPr w:rsidR="004770F6" w:rsidRPr="00CE39FB" w:rsidSect="00E17AC8">
          <w:footerReference w:type="default" r:id="rId10"/>
          <w:pgSz w:w="11907" w:h="16839"/>
          <w:pgMar w:top="1134" w:right="1417" w:bottom="1134" w:left="1417" w:header="709" w:footer="709" w:gutter="0"/>
          <w:pgNumType w:start="0"/>
          <w:cols w:space="720"/>
          <w:docGrid w:linePitch="360"/>
        </w:sectPr>
      </w:pPr>
    </w:p>
    <w:p w14:paraId="7A77F04F" w14:textId="77777777" w:rsidR="004770F6" w:rsidRPr="00CE39FB" w:rsidRDefault="004770F6">
      <w:pPr>
        <w:pStyle w:val="Exposdesmotifstitre"/>
        <w:rPr>
          <w:noProof/>
        </w:rPr>
      </w:pPr>
      <w:bookmarkStart w:id="0" w:name="_GoBack"/>
      <w:bookmarkEnd w:id="0"/>
      <w:r w:rsidRPr="00CE39FB">
        <w:rPr>
          <w:noProof/>
        </w:rPr>
        <w:lastRenderedPageBreak/>
        <w:t>EXPLANATORY MEMORANDUM</w:t>
      </w:r>
    </w:p>
    <w:p w14:paraId="664B0F71" w14:textId="77777777" w:rsidR="004770F6" w:rsidRPr="00CE39FB" w:rsidRDefault="004770F6">
      <w:pPr>
        <w:pStyle w:val="ManualHeading1"/>
        <w:rPr>
          <w:noProof/>
        </w:rPr>
      </w:pPr>
      <w:r w:rsidRPr="00CE39FB">
        <w:rPr>
          <w:noProof/>
        </w:rPr>
        <w:t>1.</w:t>
      </w:r>
      <w:r w:rsidRPr="00CE39FB">
        <w:rPr>
          <w:noProof/>
        </w:rPr>
        <w:tab/>
        <w:t>CONTEXT OF THE PROPOSAL</w:t>
      </w:r>
    </w:p>
    <w:p w14:paraId="689C4EEB" w14:textId="77777777" w:rsidR="004770F6" w:rsidRPr="00CE39FB" w:rsidRDefault="004770F6">
      <w:pPr>
        <w:pStyle w:val="ManualHeading2"/>
        <w:rPr>
          <w:rFonts w:eastAsia="Arial Unicode MS"/>
          <w:noProof/>
        </w:rPr>
      </w:pPr>
      <w:r w:rsidRPr="008D6611">
        <w:rPr>
          <w:noProof/>
          <w:bdr w:val="nil"/>
          <w:lang w:val="en-US"/>
        </w:rPr>
        <w:t>•</w:t>
      </w:r>
      <w:r w:rsidRPr="008D6611">
        <w:rPr>
          <w:noProof/>
          <w:u w:color="000000"/>
          <w:bdr w:val="nil"/>
          <w:lang w:val="en-US"/>
        </w:rPr>
        <w:tab/>
      </w:r>
      <w:r w:rsidRPr="00CE39FB">
        <w:rPr>
          <w:rFonts w:eastAsia="Arial Unicode MS"/>
          <w:noProof/>
        </w:rPr>
        <w:t>Reasons for and objectives of the proposal</w:t>
      </w:r>
    </w:p>
    <w:p w14:paraId="4F8C8AA7" w14:textId="77777777" w:rsidR="00DD5DA2" w:rsidRPr="00CE39FB" w:rsidRDefault="3E506B33" w:rsidP="59744C64">
      <w:pPr>
        <w:spacing w:after="240" w:line="276" w:lineRule="auto"/>
        <w:textAlignment w:val="baseline"/>
        <w:rPr>
          <w:noProof/>
        </w:rPr>
      </w:pPr>
      <w:r w:rsidRPr="008D6611">
        <w:rPr>
          <w:noProof/>
        </w:rPr>
        <w:t>This explanatory memorandum accompanies the proposal for a Cyber Solidarity Act. The use of and dependence on information and communication technologies have become fundamental aspects in all sectors</w:t>
      </w:r>
      <w:r w:rsidRPr="00CE39FB">
        <w:rPr>
          <w:rFonts w:eastAsia="Times New Roman"/>
          <w:noProof/>
          <w:szCs w:val="24"/>
        </w:rPr>
        <w:t xml:space="preserve"> of economic activity as our public administrations, companies and citizens are more interconnected and interdependent across sectors and borders than ever before. This</w:t>
      </w:r>
      <w:r w:rsidRPr="008D6611">
        <w:rPr>
          <w:noProof/>
        </w:rPr>
        <w:t xml:space="preserve"> higher uptake of digital technologies </w:t>
      </w:r>
      <w:r w:rsidRPr="00CE39FB">
        <w:rPr>
          <w:rFonts w:eastAsia="Times New Roman"/>
          <w:noProof/>
          <w:szCs w:val="24"/>
        </w:rPr>
        <w:t>increases exposure to cyber security incidents and their potential impacts. At</w:t>
      </w:r>
      <w:r w:rsidRPr="008D6611">
        <w:rPr>
          <w:noProof/>
        </w:rPr>
        <w:t xml:space="preserve"> the </w:t>
      </w:r>
      <w:r w:rsidRPr="00CE39FB">
        <w:rPr>
          <w:rFonts w:eastAsia="Times New Roman"/>
          <w:noProof/>
          <w:szCs w:val="24"/>
        </w:rPr>
        <w:t>same time, Member States are facing growing</w:t>
      </w:r>
      <w:r w:rsidRPr="008D6611">
        <w:rPr>
          <w:noProof/>
        </w:rPr>
        <w:t xml:space="preserve"> cybersecurity </w:t>
      </w:r>
      <w:r w:rsidRPr="00CE39FB">
        <w:rPr>
          <w:rFonts w:eastAsia="Times New Roman"/>
          <w:noProof/>
          <w:szCs w:val="24"/>
        </w:rPr>
        <w:t>risks and an overall complex threat landscape, with a clear risk</w:t>
      </w:r>
      <w:r w:rsidRPr="008D6611">
        <w:rPr>
          <w:noProof/>
        </w:rPr>
        <w:t xml:space="preserve"> of </w:t>
      </w:r>
      <w:r w:rsidRPr="00CE39FB">
        <w:rPr>
          <w:rFonts w:eastAsia="Times New Roman"/>
          <w:noProof/>
          <w:szCs w:val="24"/>
        </w:rPr>
        <w:t>rapid spill-over of cyber</w:t>
      </w:r>
      <w:r w:rsidRPr="008D6611">
        <w:rPr>
          <w:noProof/>
        </w:rPr>
        <w:t xml:space="preserve"> incidents </w:t>
      </w:r>
      <w:r w:rsidRPr="00CE39FB">
        <w:rPr>
          <w:rFonts w:eastAsia="Times New Roman"/>
          <w:noProof/>
          <w:szCs w:val="24"/>
        </w:rPr>
        <w:t xml:space="preserve">from one Member State to others. </w:t>
      </w:r>
    </w:p>
    <w:p w14:paraId="5DAFF71E" w14:textId="748E8D61" w:rsidR="00DD5DA2" w:rsidRPr="008D6611" w:rsidRDefault="3E506B33" w:rsidP="008D6611">
      <w:pPr>
        <w:spacing w:after="240" w:line="276" w:lineRule="auto"/>
        <w:textAlignment w:val="baseline"/>
        <w:rPr>
          <w:noProof/>
        </w:rPr>
      </w:pPr>
      <w:r w:rsidRPr="008D6611">
        <w:rPr>
          <w:noProof/>
        </w:rPr>
        <w:t xml:space="preserve">What is more, cyber operations are increasingly integrated in hybrid and warfare strategies, with significant effects on the target. </w:t>
      </w:r>
      <w:r w:rsidR="00C6477C">
        <w:rPr>
          <w:noProof/>
        </w:rPr>
        <w:t>In</w:t>
      </w:r>
      <w:r w:rsidR="00A53E49">
        <w:rPr>
          <w:noProof/>
        </w:rPr>
        <w:t xml:space="preserve"> </w:t>
      </w:r>
      <w:r w:rsidR="00C6477C">
        <w:rPr>
          <w:noProof/>
        </w:rPr>
        <w:t>particular</w:t>
      </w:r>
      <w:r w:rsidRPr="008D6611">
        <w:rPr>
          <w:noProof/>
        </w:rPr>
        <w:t>,</w:t>
      </w:r>
      <w:r w:rsidR="00E62AD9">
        <w:rPr>
          <w:noProof/>
        </w:rPr>
        <w:t xml:space="preserve"> </w:t>
      </w:r>
      <w:r w:rsidRPr="008D6611">
        <w:rPr>
          <w:noProof/>
        </w:rPr>
        <w:t>Russia’s military aggression against Ukraine was preceded and is being accompanied by a strategy of hostile cyber operations</w:t>
      </w:r>
      <w:r w:rsidR="00E44146">
        <w:rPr>
          <w:noProof/>
        </w:rPr>
        <w:t>,</w:t>
      </w:r>
      <w:r w:rsidR="00E44146" w:rsidRPr="00E44146">
        <w:rPr>
          <w:noProof/>
        </w:rPr>
        <w:t xml:space="preserve"> </w:t>
      </w:r>
      <w:r w:rsidR="00E44146" w:rsidRPr="001C7B16">
        <w:rPr>
          <w:noProof/>
        </w:rPr>
        <w:t xml:space="preserve">which </w:t>
      </w:r>
      <w:r w:rsidR="00C6477C" w:rsidRPr="001C7B16">
        <w:rPr>
          <w:noProof/>
        </w:rPr>
        <w:t xml:space="preserve">is </w:t>
      </w:r>
      <w:r w:rsidR="00E44146" w:rsidRPr="001C7B16">
        <w:rPr>
          <w:noProof/>
        </w:rPr>
        <w:t>a game changer for the perception and assessment of</w:t>
      </w:r>
      <w:r w:rsidR="00D64D0D">
        <w:rPr>
          <w:noProof/>
        </w:rPr>
        <w:t xml:space="preserve"> the</w:t>
      </w:r>
      <w:r w:rsidR="00E44146" w:rsidRPr="001C7B16">
        <w:rPr>
          <w:noProof/>
        </w:rPr>
        <w:t xml:space="preserve"> EU’s collective cybersecurity crisis management preparedness and a call for urgent action</w:t>
      </w:r>
      <w:r w:rsidRPr="001C7B16">
        <w:rPr>
          <w:noProof/>
        </w:rPr>
        <w:t>.</w:t>
      </w:r>
      <w:r w:rsidRPr="008D6611">
        <w:rPr>
          <w:noProof/>
        </w:rPr>
        <w:t xml:space="preserve"> </w:t>
      </w:r>
      <w:r w:rsidRPr="00CE39FB">
        <w:rPr>
          <w:noProof/>
        </w:rPr>
        <w:t xml:space="preserve">The threat </w:t>
      </w:r>
      <w:r w:rsidRPr="008D6611">
        <w:rPr>
          <w:noProof/>
        </w:rPr>
        <w:t xml:space="preserve">of </w:t>
      </w:r>
      <w:r w:rsidRPr="00CE39FB">
        <w:rPr>
          <w:noProof/>
        </w:rPr>
        <w:t>a possible large-scale incident causing significant disruption and damage</w:t>
      </w:r>
      <w:r w:rsidRPr="008D6611">
        <w:rPr>
          <w:noProof/>
        </w:rPr>
        <w:t xml:space="preserve"> to critical </w:t>
      </w:r>
      <w:r w:rsidRPr="00CE39FB">
        <w:rPr>
          <w:rFonts w:eastAsia="Times New Roman"/>
          <w:noProof/>
        </w:rPr>
        <w:t>infrastructures demands heightened preparedness at all levels of the EU’s cybersecurity ecosystem. Th</w:t>
      </w:r>
      <w:r w:rsidR="00B44E34" w:rsidRPr="00CE39FB">
        <w:rPr>
          <w:rFonts w:eastAsia="Times New Roman"/>
          <w:noProof/>
        </w:rPr>
        <w:t>at</w:t>
      </w:r>
      <w:r w:rsidRPr="00CE39FB">
        <w:rPr>
          <w:rFonts w:eastAsia="Times New Roman"/>
          <w:noProof/>
        </w:rPr>
        <w:t xml:space="preserve"> threat goes</w:t>
      </w:r>
      <w:r w:rsidRPr="008D6611">
        <w:rPr>
          <w:noProof/>
        </w:rPr>
        <w:t xml:space="preserve"> beyond Russia’s military aggression</w:t>
      </w:r>
      <w:r w:rsidR="00B44E34" w:rsidRPr="00CE39FB">
        <w:rPr>
          <w:rFonts w:eastAsia="Times New Roman"/>
          <w:noProof/>
        </w:rPr>
        <w:t xml:space="preserve"> on Ukraine</w:t>
      </w:r>
      <w:r w:rsidR="00B555B2">
        <w:rPr>
          <w:rFonts w:eastAsia="Times New Roman"/>
          <w:noProof/>
        </w:rPr>
        <w:t xml:space="preserve"> and includes continuous cyber threats from state and non-state actors, which are</w:t>
      </w:r>
      <w:r w:rsidR="00B44E34" w:rsidRPr="00CE39FB">
        <w:rPr>
          <w:rFonts w:eastAsia="Times New Roman"/>
          <w:noProof/>
        </w:rPr>
        <w:t xml:space="preserve"> likely to persist</w:t>
      </w:r>
      <w:r w:rsidRPr="008D6611">
        <w:rPr>
          <w:noProof/>
        </w:rPr>
        <w:t>, given the multiplicity of state-aligned, criminal and hacktivist actors involved in current geopolitical tensions.</w:t>
      </w:r>
      <w:r w:rsidRPr="00CE39FB">
        <w:rPr>
          <w:rFonts w:eastAsia="Times New Roman"/>
          <w:noProof/>
        </w:rPr>
        <w:t xml:space="preserve"> In recent years, the number of cyberattacks has increased dramatically, including supply chain attacks aiming at cyberespionage, ransomware or disruption. In 2020, the SolarWinds supply chain attack affected more than 18,000 organisations globally, including government agencies, major </w:t>
      </w:r>
      <w:r w:rsidR="54E5559F" w:rsidRPr="00CE39FB">
        <w:rPr>
          <w:rFonts w:eastAsia="Times New Roman"/>
          <w:noProof/>
        </w:rPr>
        <w:t>companies</w:t>
      </w:r>
      <w:r w:rsidR="00CE39FB">
        <w:rPr>
          <w:rFonts w:eastAsia="Times New Roman"/>
          <w:noProof/>
        </w:rPr>
        <w:t>.</w:t>
      </w:r>
      <w:r w:rsidR="00E44146">
        <w:rPr>
          <w:rFonts w:eastAsia="Times New Roman"/>
          <w:noProof/>
        </w:rPr>
        <w:t xml:space="preserve"> </w:t>
      </w:r>
      <w:r w:rsidR="00E44146" w:rsidRPr="001C7B16">
        <w:rPr>
          <w:rFonts w:eastAsia="Times New Roman"/>
          <w:noProof/>
        </w:rPr>
        <w:t>Significant cybersecurity incidents can be too disruptive for a single or several affected Member States to handle alone. For that reason, strengthened solidarity at Union level is required to better detect, prepare and respond to cybersecurity threats and incidents.</w:t>
      </w:r>
    </w:p>
    <w:p w14:paraId="42A81A8E" w14:textId="3F1C4E9D" w:rsidR="00DD5DA2" w:rsidRPr="00CE39FB" w:rsidRDefault="3E506B33" w:rsidP="59744C64">
      <w:pPr>
        <w:spacing w:after="240" w:line="252" w:lineRule="auto"/>
        <w:textAlignment w:val="baseline"/>
        <w:rPr>
          <w:noProof/>
        </w:rPr>
      </w:pPr>
      <w:r w:rsidRPr="00CE39FB">
        <w:rPr>
          <w:rFonts w:eastAsia="Times New Roman"/>
          <w:noProof/>
        </w:rPr>
        <w:t>As regards detection of cyber threats and incidents, there is an urgent need to increase the exchange of information and improve our collective capacities in order to reduce drastically the time needed to detect cyber threats, before they can cause large-scale damage</w:t>
      </w:r>
      <w:r w:rsidR="235D99B8" w:rsidRPr="00CE39FB">
        <w:rPr>
          <w:rFonts w:eastAsia="Times New Roman"/>
          <w:noProof/>
        </w:rPr>
        <w:t xml:space="preserve"> and costs</w:t>
      </w:r>
      <w:r w:rsidR="00BD7021">
        <w:rPr>
          <w:rStyle w:val="FootnoteReference"/>
          <w:rFonts w:eastAsia="Times New Roman"/>
          <w:noProof/>
        </w:rPr>
        <w:footnoteReference w:id="2"/>
      </w:r>
      <w:r w:rsidRPr="00CE39FB">
        <w:rPr>
          <w:rFonts w:eastAsia="Times New Roman"/>
          <w:noProof/>
        </w:rPr>
        <w:t xml:space="preserve">. </w:t>
      </w:r>
      <w:r w:rsidRPr="008D6611">
        <w:rPr>
          <w:noProof/>
        </w:rPr>
        <w:t xml:space="preserve">While </w:t>
      </w:r>
      <w:r w:rsidRPr="00CE39FB">
        <w:rPr>
          <w:rFonts w:eastAsia="Times New Roman"/>
          <w:noProof/>
        </w:rPr>
        <w:t>many cybersecurity threats and incidents</w:t>
      </w:r>
      <w:r w:rsidRPr="008D6611">
        <w:rPr>
          <w:noProof/>
        </w:rPr>
        <w:t xml:space="preserve"> have a </w:t>
      </w:r>
      <w:r w:rsidRPr="00CE39FB">
        <w:rPr>
          <w:rFonts w:eastAsia="Times New Roman"/>
          <w:noProof/>
        </w:rPr>
        <w:t xml:space="preserve">potential </w:t>
      </w:r>
      <w:r w:rsidRPr="008D6611">
        <w:rPr>
          <w:noProof/>
        </w:rPr>
        <w:t xml:space="preserve">cross-border </w:t>
      </w:r>
      <w:r w:rsidRPr="00CE39FB">
        <w:rPr>
          <w:rFonts w:eastAsia="Times New Roman"/>
          <w:noProof/>
        </w:rPr>
        <w:t>dimension, due to the interconnection of digital infrastructures</w:t>
      </w:r>
      <w:r w:rsidRPr="008D6611">
        <w:rPr>
          <w:noProof/>
        </w:rPr>
        <w:t>, the sharing of relevant information among Member States remains limited</w:t>
      </w:r>
      <w:r w:rsidR="334125C7" w:rsidRPr="008D6611">
        <w:rPr>
          <w:noProof/>
        </w:rPr>
        <w:t xml:space="preserve">. </w:t>
      </w:r>
      <w:r w:rsidRPr="00CE39FB">
        <w:rPr>
          <w:rFonts w:eastAsia="Times New Roman"/>
          <w:noProof/>
        </w:rPr>
        <w:t xml:space="preserve">Building a network of cross-border </w:t>
      </w:r>
      <w:r w:rsidR="00D369E4">
        <w:rPr>
          <w:rFonts w:eastAsia="Times New Roman"/>
          <w:noProof/>
        </w:rPr>
        <w:t xml:space="preserve">Security </w:t>
      </w:r>
      <w:r w:rsidR="00D64D0D">
        <w:rPr>
          <w:rFonts w:eastAsia="Times New Roman"/>
          <w:noProof/>
        </w:rPr>
        <w:t>Op</w:t>
      </w:r>
      <w:r w:rsidR="00D369E4">
        <w:rPr>
          <w:rFonts w:eastAsia="Times New Roman"/>
          <w:noProof/>
        </w:rPr>
        <w:t>erations Centres (</w:t>
      </w:r>
      <w:r w:rsidRPr="00CE39FB">
        <w:rPr>
          <w:rFonts w:eastAsia="Times New Roman"/>
          <w:noProof/>
        </w:rPr>
        <w:t>SOCs</w:t>
      </w:r>
      <w:r w:rsidR="00D369E4">
        <w:rPr>
          <w:rFonts w:eastAsia="Times New Roman"/>
          <w:noProof/>
        </w:rPr>
        <w:t>)</w:t>
      </w:r>
      <w:r w:rsidRPr="00CE39FB">
        <w:rPr>
          <w:rFonts w:eastAsia="Times New Roman"/>
          <w:noProof/>
        </w:rPr>
        <w:t xml:space="preserve"> to enhance detection and response capabilities aims to help address</w:t>
      </w:r>
      <w:r w:rsidRPr="008D6611">
        <w:rPr>
          <w:noProof/>
        </w:rPr>
        <w:t xml:space="preserve"> this </w:t>
      </w:r>
      <w:r w:rsidRPr="00CE39FB">
        <w:rPr>
          <w:rFonts w:eastAsia="Times New Roman"/>
          <w:noProof/>
        </w:rPr>
        <w:t xml:space="preserve">issue. </w:t>
      </w:r>
    </w:p>
    <w:p w14:paraId="460F9F90" w14:textId="77777777" w:rsidR="00DD5DA2" w:rsidRPr="00CE39FB" w:rsidRDefault="3E506B33" w:rsidP="008D6611">
      <w:pPr>
        <w:spacing w:after="240" w:line="257" w:lineRule="auto"/>
        <w:textAlignment w:val="baseline"/>
        <w:rPr>
          <w:noProof/>
        </w:rPr>
      </w:pPr>
      <w:r w:rsidRPr="00CE39FB">
        <w:rPr>
          <w:rFonts w:eastAsia="Times New Roman"/>
          <w:noProof/>
          <w:szCs w:val="24"/>
        </w:rPr>
        <w:t xml:space="preserve">As regards preparedness and response to cybersecurity incidents, there is currently </w:t>
      </w:r>
      <w:r w:rsidRPr="008D6611">
        <w:rPr>
          <w:noProof/>
        </w:rPr>
        <w:t xml:space="preserve">limited </w:t>
      </w:r>
      <w:r w:rsidRPr="00CE39FB">
        <w:rPr>
          <w:rFonts w:eastAsia="Times New Roman"/>
          <w:noProof/>
          <w:szCs w:val="24"/>
        </w:rPr>
        <w:t xml:space="preserve">support </w:t>
      </w:r>
      <w:r w:rsidRPr="008D6611">
        <w:rPr>
          <w:noProof/>
        </w:rPr>
        <w:t>at Union level</w:t>
      </w:r>
      <w:r w:rsidRPr="00CE39FB">
        <w:rPr>
          <w:rFonts w:eastAsia="Times New Roman"/>
          <w:noProof/>
          <w:szCs w:val="24"/>
        </w:rPr>
        <w:t xml:space="preserve"> and solidarity between</w:t>
      </w:r>
      <w:r w:rsidRPr="008D6611">
        <w:rPr>
          <w:noProof/>
        </w:rPr>
        <w:t xml:space="preserve"> Member States</w:t>
      </w:r>
      <w:r w:rsidRPr="00CE39FB">
        <w:rPr>
          <w:rFonts w:eastAsia="Times New Roman"/>
          <w:noProof/>
          <w:szCs w:val="24"/>
        </w:rPr>
        <w:t>. The</w:t>
      </w:r>
      <w:r w:rsidRPr="008D6611">
        <w:rPr>
          <w:noProof/>
        </w:rPr>
        <w:t xml:space="preserve"> </w:t>
      </w:r>
      <w:r w:rsidRPr="00CE39FB">
        <w:rPr>
          <w:rFonts w:eastAsia="Times New Roman"/>
          <w:noProof/>
          <w:szCs w:val="24"/>
        </w:rPr>
        <w:t xml:space="preserve">Council Conclusions of October 2021 highlighted the need to address these gaps, by calling for the Commission </w:t>
      </w:r>
      <w:r w:rsidR="00B44E34" w:rsidRPr="00CE39FB">
        <w:rPr>
          <w:rFonts w:eastAsia="Times New Roman"/>
          <w:noProof/>
          <w:szCs w:val="24"/>
        </w:rPr>
        <w:t>to present a proposal on a new Emergency Response Fund for Cybersecurity</w:t>
      </w:r>
      <w:r w:rsidR="00B44E34" w:rsidRPr="00CE39FB">
        <w:rPr>
          <w:rStyle w:val="FootnoteReference"/>
          <w:rFonts w:eastAsia="Times New Roman"/>
          <w:noProof/>
          <w:szCs w:val="24"/>
        </w:rPr>
        <w:footnoteReference w:id="3"/>
      </w:r>
      <w:r w:rsidRPr="00CE39FB">
        <w:rPr>
          <w:rFonts w:eastAsia="Times New Roman"/>
          <w:noProof/>
          <w:szCs w:val="24"/>
        </w:rPr>
        <w:t>.</w:t>
      </w:r>
    </w:p>
    <w:p w14:paraId="60693951" w14:textId="36748DF8" w:rsidR="00DD5DA2" w:rsidRDefault="3E506B33" w:rsidP="008D6611">
      <w:pPr>
        <w:spacing w:after="240" w:line="276" w:lineRule="auto"/>
        <w:textAlignment w:val="baseline"/>
        <w:rPr>
          <w:rFonts w:eastAsia="Times New Roman"/>
          <w:noProof/>
          <w:szCs w:val="24"/>
        </w:rPr>
      </w:pPr>
      <w:r w:rsidRPr="00CE39FB">
        <w:rPr>
          <w:rFonts w:eastAsia="Times New Roman"/>
          <w:noProof/>
          <w:szCs w:val="24"/>
        </w:rPr>
        <w:t>This Regulation also implements the EU Cybersecurity Strategy adopted in December 2020</w:t>
      </w:r>
      <w:r w:rsidR="00BD7021">
        <w:rPr>
          <w:rStyle w:val="FootnoteReference"/>
          <w:rFonts w:eastAsia="Times New Roman"/>
          <w:noProof/>
          <w:szCs w:val="24"/>
        </w:rPr>
        <w:footnoteReference w:id="4"/>
      </w:r>
      <w:r w:rsidR="00BD7021">
        <w:rPr>
          <w:rFonts w:eastAsia="Times New Roman"/>
          <w:noProof/>
          <w:szCs w:val="24"/>
        </w:rPr>
        <w:t xml:space="preserve"> </w:t>
      </w:r>
      <w:r w:rsidRPr="00CE39FB">
        <w:rPr>
          <w:rFonts w:eastAsia="Times New Roman"/>
          <w:noProof/>
          <w:szCs w:val="24"/>
        </w:rPr>
        <w:t>that announced the creation of</w:t>
      </w:r>
      <w:r w:rsidR="007F1E0C" w:rsidRPr="00CE39FB">
        <w:rPr>
          <w:rFonts w:eastAsia="Times New Roman"/>
          <w:noProof/>
          <w:szCs w:val="24"/>
        </w:rPr>
        <w:t xml:space="preserve"> </w:t>
      </w:r>
      <w:r w:rsidRPr="00CE39FB">
        <w:rPr>
          <w:rFonts w:eastAsia="Times New Roman"/>
          <w:noProof/>
          <w:szCs w:val="24"/>
        </w:rPr>
        <w:t xml:space="preserve">a European Cyber Shield, reinforcing the cyber threat detection and information sharing capabilities in the European Union through a federation of national and cross-border SOCs. </w:t>
      </w:r>
    </w:p>
    <w:p w14:paraId="3FC8C8BE" w14:textId="3C00A4D1" w:rsidR="00A775C0" w:rsidRPr="008D6611" w:rsidRDefault="00A775C0" w:rsidP="00A775C0">
      <w:pPr>
        <w:spacing w:after="240" w:line="276" w:lineRule="auto"/>
        <w:textAlignment w:val="baseline"/>
        <w:rPr>
          <w:noProof/>
        </w:rPr>
      </w:pPr>
      <w:r w:rsidRPr="001C7B16">
        <w:rPr>
          <w:rFonts w:eastAsia="Times New Roman"/>
          <w:noProof/>
          <w:szCs w:val="24"/>
        </w:rPr>
        <w:t>This Regulation builds upon first steps already developed in closed collaboration with the main stakeholders and supported by the Digital Europe Programme</w:t>
      </w:r>
      <w:r w:rsidR="00D369E4">
        <w:rPr>
          <w:rFonts w:eastAsia="Times New Roman"/>
          <w:noProof/>
          <w:szCs w:val="24"/>
        </w:rPr>
        <w:t xml:space="preserve"> (DEP)</w:t>
      </w:r>
      <w:r w:rsidRPr="001C7B16">
        <w:rPr>
          <w:rFonts w:eastAsia="Times New Roman"/>
          <w:noProof/>
          <w:szCs w:val="24"/>
        </w:rPr>
        <w:t xml:space="preserve">. In particular, </w:t>
      </w:r>
      <w:r w:rsidR="009C15B6" w:rsidRPr="001C7B16">
        <w:rPr>
          <w:rFonts w:eastAsia="Times New Roman"/>
          <w:noProof/>
          <w:szCs w:val="24"/>
        </w:rPr>
        <w:t>on SOCs</w:t>
      </w:r>
      <w:r w:rsidRPr="001C7B16">
        <w:rPr>
          <w:rFonts w:eastAsia="Times New Roman"/>
          <w:noProof/>
          <w:szCs w:val="24"/>
        </w:rPr>
        <w:t xml:space="preserve">, a Call for Expression of Interest to jointly procure tools and infrastructure to establish Cross-border SOCs, and a call for grants to enable capacity building of SOCs serving public and private organisations, were held under </w:t>
      </w:r>
      <w:r w:rsidR="00D369E4">
        <w:rPr>
          <w:rFonts w:eastAsia="Times New Roman"/>
          <w:noProof/>
          <w:szCs w:val="24"/>
        </w:rPr>
        <w:t>DEP</w:t>
      </w:r>
      <w:r w:rsidRPr="001C7B16">
        <w:rPr>
          <w:rFonts w:eastAsia="Times New Roman"/>
          <w:noProof/>
          <w:szCs w:val="24"/>
        </w:rPr>
        <w:t xml:space="preserve"> cybersecurity work programme 2021-2022. As regards preparedness and incident response, the Commission has set up a short-term programme to support Member States, through additional funding allocated to </w:t>
      </w:r>
      <w:r w:rsidR="00D369E4">
        <w:rPr>
          <w:rFonts w:eastAsia="Times New Roman"/>
          <w:noProof/>
          <w:szCs w:val="24"/>
        </w:rPr>
        <w:t>the European Union Agency for Cybersecurity (</w:t>
      </w:r>
      <w:r w:rsidRPr="001C7B16">
        <w:rPr>
          <w:rFonts w:eastAsia="Times New Roman"/>
          <w:noProof/>
          <w:szCs w:val="24"/>
        </w:rPr>
        <w:t>ENISA</w:t>
      </w:r>
      <w:r w:rsidR="00D369E4">
        <w:rPr>
          <w:rFonts w:eastAsia="Times New Roman"/>
          <w:noProof/>
          <w:szCs w:val="24"/>
        </w:rPr>
        <w:t>)</w:t>
      </w:r>
      <w:r w:rsidRPr="001C7B16">
        <w:rPr>
          <w:rFonts w:eastAsia="Times New Roman"/>
          <w:noProof/>
          <w:szCs w:val="24"/>
        </w:rPr>
        <w:t>, in order to immediately reinforce preparedness and capacities to respond to major cyber incident</w:t>
      </w:r>
      <w:r w:rsidR="00C6477C" w:rsidRPr="001C7B16">
        <w:rPr>
          <w:rFonts w:eastAsia="Times New Roman"/>
          <w:noProof/>
          <w:szCs w:val="24"/>
        </w:rPr>
        <w:t>s</w:t>
      </w:r>
      <w:r w:rsidRPr="001C7B16">
        <w:rPr>
          <w:rFonts w:eastAsia="Times New Roman"/>
          <w:noProof/>
          <w:szCs w:val="24"/>
        </w:rPr>
        <w:t>.</w:t>
      </w:r>
      <w:r w:rsidR="009C15B6" w:rsidRPr="001C7B16">
        <w:rPr>
          <w:rFonts w:eastAsia="Times New Roman"/>
          <w:noProof/>
          <w:szCs w:val="24"/>
        </w:rPr>
        <w:t xml:space="preserve"> </w:t>
      </w:r>
      <w:r w:rsidR="00C6477C" w:rsidRPr="001C7B16">
        <w:rPr>
          <w:rFonts w:eastAsia="Times New Roman"/>
          <w:noProof/>
          <w:szCs w:val="24"/>
        </w:rPr>
        <w:t xml:space="preserve">Both actions have been prepared in close coordination with Member States. </w:t>
      </w:r>
      <w:r w:rsidR="009C15B6" w:rsidRPr="001C7B16">
        <w:rPr>
          <w:rFonts w:eastAsia="Times New Roman"/>
          <w:noProof/>
          <w:szCs w:val="24"/>
        </w:rPr>
        <w:t>Th</w:t>
      </w:r>
      <w:r w:rsidR="00C6477C" w:rsidRPr="001C7B16">
        <w:rPr>
          <w:rFonts w:eastAsia="Times New Roman"/>
          <w:noProof/>
          <w:szCs w:val="24"/>
        </w:rPr>
        <w:t xml:space="preserve">is Regulation addresses shortcomings and integrates insights </w:t>
      </w:r>
      <w:r w:rsidR="009C15B6" w:rsidRPr="001C7B16">
        <w:rPr>
          <w:rFonts w:eastAsia="Times New Roman"/>
          <w:noProof/>
          <w:szCs w:val="24"/>
        </w:rPr>
        <w:t>from those actions.</w:t>
      </w:r>
    </w:p>
    <w:p w14:paraId="14CA0595" w14:textId="77777777" w:rsidR="00DF5F86" w:rsidRPr="00DF5F86" w:rsidRDefault="3E506B33" w:rsidP="008D6611">
      <w:pPr>
        <w:spacing w:after="240" w:line="276" w:lineRule="auto"/>
        <w:textAlignment w:val="baseline"/>
        <w:rPr>
          <w:noProof/>
        </w:rPr>
      </w:pPr>
      <w:r w:rsidRPr="00CE39FB">
        <w:rPr>
          <w:rFonts w:eastAsia="Times New Roman"/>
          <w:noProof/>
          <w:szCs w:val="24"/>
        </w:rPr>
        <w:t>Finally, this proposal delivers</w:t>
      </w:r>
      <w:r w:rsidRPr="008D6611">
        <w:rPr>
          <w:noProof/>
        </w:rPr>
        <w:t xml:space="preserve"> on the commitment in line with the Joint Cyber Defence Communication</w:t>
      </w:r>
      <w:r w:rsidR="00E16D52" w:rsidRPr="00CE39FB">
        <w:rPr>
          <w:rStyle w:val="FootnoteReference"/>
          <w:rFonts w:eastAsia="Times New Roman"/>
          <w:noProof/>
          <w:szCs w:val="24"/>
        </w:rPr>
        <w:footnoteReference w:id="5"/>
      </w:r>
      <w:r w:rsidRPr="008D6611">
        <w:rPr>
          <w:noProof/>
        </w:rPr>
        <w:t xml:space="preserve"> adopted on 10 November, to prepare a proposal for an </w:t>
      </w:r>
      <w:r w:rsidRPr="00CE39FB">
        <w:rPr>
          <w:rFonts w:eastAsia="Times New Roman"/>
          <w:noProof/>
          <w:szCs w:val="24"/>
        </w:rPr>
        <w:t xml:space="preserve">EU Cyber Solidarity Initiative with the following objectives: strengthen common EU detection, situational awareness, and response capabilities, to gradually build an EU-level cybersecurity reserve </w:t>
      </w:r>
      <w:r w:rsidRPr="00DF5F86">
        <w:rPr>
          <w:rFonts w:eastAsia="Times New Roman"/>
          <w:noProof/>
          <w:szCs w:val="24"/>
        </w:rPr>
        <w:t xml:space="preserve">with services from trusted private providers and to support testing of critical entities. </w:t>
      </w:r>
    </w:p>
    <w:p w14:paraId="2544CF77" w14:textId="7FBFC036" w:rsidR="00DD5DA2" w:rsidRPr="008D6611" w:rsidRDefault="3E506B33" w:rsidP="008D6611">
      <w:pPr>
        <w:spacing w:after="240" w:line="276" w:lineRule="auto"/>
        <w:textAlignment w:val="baseline"/>
        <w:rPr>
          <w:noProof/>
        </w:rPr>
      </w:pPr>
      <w:r w:rsidRPr="00DF5F86">
        <w:rPr>
          <w:rFonts w:eastAsia="Times New Roman"/>
          <w:noProof/>
          <w:szCs w:val="24"/>
        </w:rPr>
        <w:t>Against</w:t>
      </w:r>
      <w:r w:rsidRPr="008D6611">
        <w:rPr>
          <w:noProof/>
        </w:rPr>
        <w:t xml:space="preserve"> this background, the Commission </w:t>
      </w:r>
      <w:r w:rsidRPr="00DF5F86">
        <w:rPr>
          <w:rFonts w:eastAsia="Times New Roman"/>
          <w:noProof/>
          <w:szCs w:val="24"/>
        </w:rPr>
        <w:t>is putting</w:t>
      </w:r>
      <w:r w:rsidR="007F1E0C" w:rsidRPr="00DF5F86">
        <w:rPr>
          <w:rFonts w:eastAsia="Times New Roman"/>
          <w:noProof/>
          <w:szCs w:val="24"/>
        </w:rPr>
        <w:t xml:space="preserve"> </w:t>
      </w:r>
      <w:r w:rsidRPr="008D6611">
        <w:rPr>
          <w:noProof/>
        </w:rPr>
        <w:t xml:space="preserve"> forward the </w:t>
      </w:r>
      <w:r w:rsidRPr="00DF5F86">
        <w:rPr>
          <w:rFonts w:eastAsia="Times New Roman"/>
          <w:noProof/>
          <w:szCs w:val="24"/>
        </w:rPr>
        <w:t>present</w:t>
      </w:r>
      <w:r w:rsidRPr="008D6611">
        <w:rPr>
          <w:noProof/>
        </w:rPr>
        <w:t xml:space="preserve"> Cyber Solidarity Act </w:t>
      </w:r>
      <w:bookmarkStart w:id="1" w:name="_Hlk132123717"/>
      <w:r w:rsidR="00C6477C">
        <w:rPr>
          <w:noProof/>
        </w:rPr>
        <w:t xml:space="preserve">to </w:t>
      </w:r>
      <w:r w:rsidR="00C6477C" w:rsidRPr="00C6477C">
        <w:rPr>
          <w:noProof/>
        </w:rPr>
        <w:t xml:space="preserve">strengthen solidarity at Union level </w:t>
      </w:r>
      <w:r w:rsidR="00C6477C">
        <w:rPr>
          <w:noProof/>
        </w:rPr>
        <w:t xml:space="preserve">in order </w:t>
      </w:r>
      <w:r w:rsidR="00C6477C" w:rsidRPr="00C6477C">
        <w:rPr>
          <w:noProof/>
        </w:rPr>
        <w:t>to better detect, prepare and respond to cybersecurity threats and incidents</w:t>
      </w:r>
      <w:r w:rsidR="00C6477C">
        <w:rPr>
          <w:noProof/>
        </w:rPr>
        <w:t xml:space="preserve"> through </w:t>
      </w:r>
      <w:bookmarkEnd w:id="1"/>
      <w:r w:rsidR="00C6477C">
        <w:rPr>
          <w:noProof/>
        </w:rPr>
        <w:t>the</w:t>
      </w:r>
      <w:r w:rsidRPr="008D6611">
        <w:rPr>
          <w:noProof/>
        </w:rPr>
        <w:t xml:space="preserve"> following specific objectives:</w:t>
      </w:r>
    </w:p>
    <w:p w14:paraId="5BD7D3C2" w14:textId="77777777" w:rsidR="00DD5DA2" w:rsidRPr="008D6611" w:rsidRDefault="007F1E0C" w:rsidP="006414CE">
      <w:pPr>
        <w:pStyle w:val="Bullet0"/>
        <w:numPr>
          <w:ilvl w:val="0"/>
          <w:numId w:val="20"/>
        </w:numPr>
        <w:rPr>
          <w:noProof/>
        </w:rPr>
      </w:pPr>
      <w:r w:rsidRPr="008D6611">
        <w:rPr>
          <w:rFonts w:eastAsia="Times New Roman"/>
          <w:noProof/>
        </w:rPr>
        <w:t xml:space="preserve">to </w:t>
      </w:r>
      <w:r w:rsidR="3E506B33" w:rsidRPr="008D6611">
        <w:rPr>
          <w:noProof/>
        </w:rPr>
        <w:t>strengthen common EU detection and situational awareness of cyber threats and incidents, and thus contribute to European technological sovereignty in the area of cybersecurity</w:t>
      </w:r>
      <w:r w:rsidRPr="008D6611">
        <w:rPr>
          <w:rFonts w:eastAsia="Times New Roman"/>
          <w:noProof/>
        </w:rPr>
        <w:t>;</w:t>
      </w:r>
      <w:r w:rsidR="3E506B33" w:rsidRPr="008D6611">
        <w:rPr>
          <w:noProof/>
        </w:rPr>
        <w:t xml:space="preserve"> </w:t>
      </w:r>
    </w:p>
    <w:p w14:paraId="01E396EB" w14:textId="7A3DD319" w:rsidR="007F1E0C" w:rsidRPr="008D6611" w:rsidRDefault="007F1E0C" w:rsidP="006414CE">
      <w:pPr>
        <w:pStyle w:val="Bullet0"/>
        <w:rPr>
          <w:noProof/>
        </w:rPr>
      </w:pPr>
      <w:r w:rsidRPr="008D6611">
        <w:rPr>
          <w:rFonts w:eastAsia="Times New Roman"/>
          <w:noProof/>
        </w:rPr>
        <w:t xml:space="preserve">to </w:t>
      </w:r>
      <w:r w:rsidR="00733072" w:rsidRPr="001C7B16">
        <w:rPr>
          <w:noProof/>
        </w:rPr>
        <w:t xml:space="preserve">reinforce </w:t>
      </w:r>
      <w:r w:rsidR="3E506B33" w:rsidRPr="001C7B16">
        <w:rPr>
          <w:noProof/>
        </w:rPr>
        <w:t xml:space="preserve">preparedness of critical entities across the EU and </w:t>
      </w:r>
      <w:r w:rsidR="00733072" w:rsidRPr="001C7B16">
        <w:rPr>
          <w:noProof/>
        </w:rPr>
        <w:t xml:space="preserve">strengthen solidarity by </w:t>
      </w:r>
      <w:r w:rsidR="3E506B33" w:rsidRPr="001C7B16">
        <w:rPr>
          <w:noProof/>
        </w:rPr>
        <w:t>develop</w:t>
      </w:r>
      <w:r w:rsidR="00733072" w:rsidRPr="001C7B16">
        <w:rPr>
          <w:noProof/>
        </w:rPr>
        <w:t>ing</w:t>
      </w:r>
      <w:r w:rsidR="3E506B33" w:rsidRPr="008D6611">
        <w:rPr>
          <w:noProof/>
        </w:rPr>
        <w:t xml:space="preserve"> common response capacities against significant or large-scale cybersecurity incidents, including </w:t>
      </w:r>
      <w:r w:rsidR="3E506B33" w:rsidRPr="008D6611">
        <w:rPr>
          <w:rFonts w:eastAsia="Times New Roman"/>
          <w:noProof/>
        </w:rPr>
        <w:t xml:space="preserve">by </w:t>
      </w:r>
      <w:r w:rsidR="3E506B33" w:rsidRPr="008D6611">
        <w:rPr>
          <w:noProof/>
        </w:rPr>
        <w:t>making incident response support available for third countries</w:t>
      </w:r>
      <w:r w:rsidR="3E506B33" w:rsidRPr="008D6611">
        <w:rPr>
          <w:strike/>
          <w:noProof/>
        </w:rPr>
        <w:t>.</w:t>
      </w:r>
      <w:r w:rsidR="3E506B33" w:rsidRPr="008D6611">
        <w:rPr>
          <w:noProof/>
        </w:rPr>
        <w:t xml:space="preserve"> associated to </w:t>
      </w:r>
      <w:r w:rsidR="00D369E4">
        <w:rPr>
          <w:noProof/>
        </w:rPr>
        <w:t>DEP</w:t>
      </w:r>
      <w:r w:rsidRPr="008D6611">
        <w:rPr>
          <w:rFonts w:eastAsia="Times New Roman"/>
          <w:noProof/>
        </w:rPr>
        <w:t>;</w:t>
      </w:r>
    </w:p>
    <w:p w14:paraId="00E8DF3B" w14:textId="46066EAE" w:rsidR="00DD5DA2" w:rsidRPr="008D6611" w:rsidRDefault="0038607B" w:rsidP="00600994">
      <w:pPr>
        <w:pStyle w:val="Bullet0"/>
        <w:rPr>
          <w:rFonts w:eastAsia="Times New Roman"/>
          <w:noProof/>
        </w:rPr>
      </w:pPr>
      <w:r w:rsidRPr="008D6611">
        <w:rPr>
          <w:noProof/>
        </w:rPr>
        <w:t>to enhance Union resilience and contribute to effective response by reviewing and assessing significant or large-scale incidents, including drawing lessons learned and, where appropriate, recommendations</w:t>
      </w:r>
      <w:r w:rsidR="007F1E0C" w:rsidRPr="008D6611">
        <w:rPr>
          <w:noProof/>
        </w:rPr>
        <w:t>.</w:t>
      </w:r>
      <w:r w:rsidR="3E506B33" w:rsidRPr="008D6611">
        <w:rPr>
          <w:rFonts w:eastAsia="Times New Roman"/>
          <w:noProof/>
        </w:rPr>
        <w:t xml:space="preserve"> </w:t>
      </w:r>
    </w:p>
    <w:p w14:paraId="00C884EC" w14:textId="77777777" w:rsidR="00DD5DA2" w:rsidRPr="008D6611" w:rsidRDefault="3E506B33" w:rsidP="008D6611">
      <w:pPr>
        <w:tabs>
          <w:tab w:val="left" w:pos="0"/>
          <w:tab w:val="left" w:pos="360"/>
          <w:tab w:val="left" w:pos="0"/>
        </w:tabs>
        <w:spacing w:after="240" w:line="276" w:lineRule="auto"/>
        <w:textAlignment w:val="baseline"/>
        <w:rPr>
          <w:noProof/>
        </w:rPr>
      </w:pPr>
      <w:r w:rsidRPr="00CE39FB">
        <w:rPr>
          <w:rFonts w:eastAsia="Times New Roman"/>
          <w:noProof/>
          <w:szCs w:val="24"/>
        </w:rPr>
        <w:t xml:space="preserve"> </w:t>
      </w:r>
      <w:r w:rsidRPr="008D6611">
        <w:rPr>
          <w:noProof/>
        </w:rPr>
        <w:t>These objectives shall be implemented through the following actions:</w:t>
      </w:r>
    </w:p>
    <w:p w14:paraId="27A004D7" w14:textId="7FD0E166" w:rsidR="00DD5DA2" w:rsidRPr="008D6611" w:rsidRDefault="3E506B33" w:rsidP="006414CE">
      <w:pPr>
        <w:pStyle w:val="Bullet0"/>
        <w:rPr>
          <w:noProof/>
        </w:rPr>
      </w:pPr>
      <w:r w:rsidRPr="008D6611">
        <w:rPr>
          <w:noProof/>
        </w:rPr>
        <w:t xml:space="preserve">The deployment of a pan-European infrastructure of </w:t>
      </w:r>
      <w:r w:rsidR="00D369E4">
        <w:rPr>
          <w:noProof/>
        </w:rPr>
        <w:t>SOCs</w:t>
      </w:r>
      <w:r w:rsidRPr="008D6611">
        <w:rPr>
          <w:noProof/>
        </w:rPr>
        <w:t xml:space="preserve"> (European Cyber Shield) to build and enhance common detection and situational awareness capabilities. </w:t>
      </w:r>
    </w:p>
    <w:p w14:paraId="40E6666F" w14:textId="77777777" w:rsidR="00DD5DA2" w:rsidRPr="008D6611" w:rsidRDefault="3E506B33" w:rsidP="006414CE">
      <w:pPr>
        <w:pStyle w:val="Bullet0"/>
        <w:rPr>
          <w:noProof/>
        </w:rPr>
      </w:pPr>
      <w:r w:rsidRPr="008D6611">
        <w:rPr>
          <w:noProof/>
        </w:rPr>
        <w:t xml:space="preserve">The creation of a </w:t>
      </w:r>
      <w:r w:rsidRPr="008D6611">
        <w:rPr>
          <w:rFonts w:eastAsia="Times New Roman"/>
          <w:noProof/>
        </w:rPr>
        <w:t>Cyber</w:t>
      </w:r>
      <w:r w:rsidRPr="008D6611">
        <w:rPr>
          <w:noProof/>
        </w:rPr>
        <w:t xml:space="preserve"> Emergency Mechanism to support Member States in preparing for, responding to and immediate recovery from significant and large-scale cybersecurity incidents.</w:t>
      </w:r>
      <w:r w:rsidR="7D2F675C" w:rsidRPr="008D6611">
        <w:rPr>
          <w:rFonts w:eastAsia="Times New Roman"/>
          <w:noProof/>
        </w:rPr>
        <w:t xml:space="preserve"> </w:t>
      </w:r>
      <w:r w:rsidR="40F1D1B5" w:rsidRPr="008D6611">
        <w:rPr>
          <w:rFonts w:eastAsia="Times New Roman"/>
          <w:noProof/>
        </w:rPr>
        <w:t xml:space="preserve">Support for incident response shall also be made available </w:t>
      </w:r>
      <w:r w:rsidR="7D2F675C" w:rsidRPr="008D6611">
        <w:rPr>
          <w:rFonts w:eastAsia="Times New Roman"/>
          <w:noProof/>
        </w:rPr>
        <w:t xml:space="preserve">to European </w:t>
      </w:r>
      <w:r w:rsidR="5A1DB254" w:rsidRPr="008D6611">
        <w:rPr>
          <w:rFonts w:eastAsia="Times New Roman"/>
          <w:noProof/>
        </w:rPr>
        <w:t>institutions, bodies, offices and agencies of the Union</w:t>
      </w:r>
      <w:r w:rsidR="21373DF3" w:rsidRPr="008D6611">
        <w:rPr>
          <w:rFonts w:eastAsia="Times New Roman"/>
          <w:noProof/>
        </w:rPr>
        <w:t xml:space="preserve"> (E</w:t>
      </w:r>
      <w:r w:rsidR="76D25B0E" w:rsidRPr="008D6611">
        <w:rPr>
          <w:rFonts w:eastAsia="Times New Roman"/>
          <w:noProof/>
        </w:rPr>
        <w:t>UIBAs).</w:t>
      </w:r>
      <w:r w:rsidR="7D2F675C" w:rsidRPr="008D6611">
        <w:rPr>
          <w:rFonts w:eastAsia="Times New Roman"/>
          <w:noProof/>
        </w:rPr>
        <w:t xml:space="preserve"> </w:t>
      </w:r>
    </w:p>
    <w:p w14:paraId="61F495F6" w14:textId="77777777" w:rsidR="00D94438" w:rsidRPr="008D6611" w:rsidRDefault="00D94438" w:rsidP="006414CE">
      <w:pPr>
        <w:pStyle w:val="Bullet0"/>
        <w:rPr>
          <w:rFonts w:eastAsia="Times New Roman"/>
          <w:noProof/>
        </w:rPr>
      </w:pPr>
      <w:r w:rsidRPr="008D6611">
        <w:rPr>
          <w:rFonts w:eastAsia="Times New Roman"/>
          <w:noProof/>
        </w:rPr>
        <w:t xml:space="preserve">The </w:t>
      </w:r>
      <w:r w:rsidR="00A721E1" w:rsidRPr="008D6611">
        <w:rPr>
          <w:noProof/>
        </w:rPr>
        <w:t>establishment of a European Cybersecurity Incident</w:t>
      </w:r>
      <w:r w:rsidR="001F47B1">
        <w:rPr>
          <w:noProof/>
        </w:rPr>
        <w:t xml:space="preserve"> Review</w:t>
      </w:r>
      <w:r w:rsidR="00A721E1" w:rsidRPr="008D6611">
        <w:rPr>
          <w:noProof/>
        </w:rPr>
        <w:t xml:space="preserve"> Mechanism to review and assess specific significant or large-scale incidents</w:t>
      </w:r>
      <w:r w:rsidRPr="008D6611">
        <w:rPr>
          <w:rFonts w:eastAsia="Times New Roman"/>
          <w:noProof/>
        </w:rPr>
        <w:t>.</w:t>
      </w:r>
    </w:p>
    <w:p w14:paraId="7F29FA98" w14:textId="161D517D" w:rsidR="00DD5DA2" w:rsidRPr="00DF5F86" w:rsidRDefault="00A721E1" w:rsidP="7305907C">
      <w:pPr>
        <w:tabs>
          <w:tab w:val="left" w:pos="360"/>
        </w:tabs>
        <w:spacing w:after="240" w:line="276" w:lineRule="auto"/>
        <w:textAlignment w:val="baseline"/>
        <w:rPr>
          <w:rFonts w:eastAsia="Times New Roman"/>
          <w:noProof/>
        </w:rPr>
      </w:pPr>
      <w:r w:rsidRPr="00DF5F86">
        <w:rPr>
          <w:rFonts w:eastAsia="Times New Roman"/>
          <w:noProof/>
        </w:rPr>
        <w:t>The European Cyber Shield and the Cyber Emergency Mechanism</w:t>
      </w:r>
      <w:r w:rsidR="3E506B33" w:rsidRPr="00DF5F86">
        <w:rPr>
          <w:rFonts w:eastAsia="Times New Roman"/>
          <w:noProof/>
        </w:rPr>
        <w:t xml:space="preserve"> will be supported by funding from the DEP, which this legislative instrument will amend in order to establish the above</w:t>
      </w:r>
      <w:r w:rsidRPr="00DF5F86">
        <w:rPr>
          <w:rFonts w:eastAsia="Times New Roman"/>
          <w:noProof/>
        </w:rPr>
        <w:t>-</w:t>
      </w:r>
      <w:r w:rsidR="007F1E0C" w:rsidRPr="00DF5F86">
        <w:rPr>
          <w:rFonts w:eastAsia="Times New Roman"/>
          <w:noProof/>
        </w:rPr>
        <w:t>mentioned</w:t>
      </w:r>
      <w:r w:rsidR="3E506B33" w:rsidRPr="00DF5F86">
        <w:rPr>
          <w:rFonts w:eastAsia="Times New Roman"/>
          <w:noProof/>
        </w:rPr>
        <w:t xml:space="preserve"> actions, provide for financial support for their development and clarify the conditions for benefitting from the financial support.</w:t>
      </w:r>
    </w:p>
    <w:p w14:paraId="087F9F92" w14:textId="77777777" w:rsidR="00DD5DA2" w:rsidRPr="00CE39FB" w:rsidRDefault="3E506B33" w:rsidP="59744C64">
      <w:pPr>
        <w:spacing w:after="240"/>
        <w:textAlignment w:val="baseline"/>
        <w:rPr>
          <w:noProof/>
        </w:rPr>
      </w:pPr>
      <w:r w:rsidRPr="00CE39FB">
        <w:rPr>
          <w:rFonts w:eastAsia="Times New Roman"/>
          <w:noProof/>
          <w:szCs w:val="24"/>
        </w:rPr>
        <w:t xml:space="preserve"> </w:t>
      </w:r>
    </w:p>
    <w:p w14:paraId="23194B61" w14:textId="77777777" w:rsidR="00DD5DA2" w:rsidRPr="008D6611" w:rsidRDefault="3E506B33" w:rsidP="008D6611">
      <w:pPr>
        <w:spacing w:after="240"/>
        <w:ind w:left="850" w:hanging="850"/>
        <w:textAlignment w:val="baseline"/>
        <w:rPr>
          <w:noProof/>
        </w:rPr>
      </w:pPr>
      <w:r w:rsidRPr="00CE39FB">
        <w:rPr>
          <w:rFonts w:eastAsia="Times New Roman"/>
          <w:b/>
          <w:bCs/>
          <w:strike/>
          <w:noProof/>
          <w:szCs w:val="24"/>
          <w:lang w:val="en-US"/>
        </w:rPr>
        <w:t>•</w:t>
      </w:r>
      <w:r w:rsidRPr="00CE39FB">
        <w:rPr>
          <w:b/>
          <w:noProof/>
        </w:rPr>
        <w:t>Consistency with existing policy provisions in the policy area</w:t>
      </w:r>
    </w:p>
    <w:p w14:paraId="1C6D8994" w14:textId="77777777" w:rsidR="00DD5DA2" w:rsidRPr="008D6611" w:rsidRDefault="3E506B33" w:rsidP="008D6611">
      <w:pPr>
        <w:tabs>
          <w:tab w:val="left" w:pos="720"/>
        </w:tabs>
        <w:spacing w:after="240" w:line="276" w:lineRule="auto"/>
        <w:textAlignment w:val="baseline"/>
        <w:rPr>
          <w:rFonts w:eastAsia="Times New Roman"/>
          <w:noProof/>
          <w:szCs w:val="24"/>
        </w:rPr>
      </w:pPr>
      <w:r w:rsidRPr="008D6611">
        <w:rPr>
          <w:rFonts w:eastAsia="Times New Roman"/>
          <w:noProof/>
          <w:szCs w:val="24"/>
        </w:rPr>
        <w:t>The EU framework comprises several legislations already in place or proposed at Union level to reduce vulnerabilities, increase the resilience of critical entities against cybersecurity risks and support the coordinated management of large-scale cybersecurity incidents and crises</w:t>
      </w:r>
      <w:r w:rsidR="00DF5F86" w:rsidRPr="008D6611">
        <w:rPr>
          <w:rFonts w:eastAsia="Times New Roman"/>
          <w:noProof/>
          <w:szCs w:val="24"/>
        </w:rPr>
        <w:t>,</w:t>
      </w:r>
      <w:r w:rsidRPr="008D6611">
        <w:rPr>
          <w:rFonts w:eastAsia="Times New Roman"/>
          <w:noProof/>
          <w:szCs w:val="24"/>
        </w:rPr>
        <w:t xml:space="preserve"> notably the Directive on measures for a high common level of security of network and information systems across the Union (NIS2)</w:t>
      </w:r>
      <w:r w:rsidR="004C546C" w:rsidRPr="0028668F">
        <w:rPr>
          <w:rStyle w:val="FootnoteReference"/>
          <w:noProof/>
        </w:rPr>
        <w:footnoteReference w:id="6"/>
      </w:r>
      <w:r w:rsidRPr="008D6611">
        <w:rPr>
          <w:rFonts w:eastAsia="Times New Roman"/>
          <w:noProof/>
          <w:szCs w:val="24"/>
        </w:rPr>
        <w:t>, the Cybersecurity Act</w:t>
      </w:r>
      <w:r w:rsidR="00B5166A" w:rsidRPr="0028668F">
        <w:rPr>
          <w:rStyle w:val="FootnoteReference"/>
          <w:noProof/>
        </w:rPr>
        <w:footnoteReference w:id="7"/>
      </w:r>
      <w:r w:rsidRPr="008D6611">
        <w:rPr>
          <w:rFonts w:eastAsia="Times New Roman"/>
          <w:noProof/>
          <w:szCs w:val="24"/>
        </w:rPr>
        <w:t>, the Directive on attacks against information systems</w:t>
      </w:r>
      <w:r w:rsidR="00ED25BB" w:rsidRPr="0028668F">
        <w:rPr>
          <w:rStyle w:val="FootnoteReference"/>
          <w:noProof/>
        </w:rPr>
        <w:footnoteReference w:id="8"/>
      </w:r>
      <w:r w:rsidRPr="008D6611">
        <w:rPr>
          <w:rFonts w:eastAsia="Times New Roman"/>
          <w:noProof/>
          <w:szCs w:val="24"/>
        </w:rPr>
        <w:t xml:space="preserve"> the Commission Recommendation (EU) 2017/1584 on coordinated response to large-scale cybersecurity incidents and crises</w:t>
      </w:r>
      <w:r w:rsidR="00E801E4" w:rsidRPr="0028668F">
        <w:rPr>
          <w:rStyle w:val="FootnoteReference"/>
          <w:noProof/>
        </w:rPr>
        <w:footnoteReference w:id="9"/>
      </w:r>
      <w:r w:rsidRPr="008D6611">
        <w:rPr>
          <w:rFonts w:eastAsia="Times New Roman"/>
          <w:noProof/>
          <w:szCs w:val="24"/>
        </w:rPr>
        <w:t>.</w:t>
      </w:r>
    </w:p>
    <w:p w14:paraId="3143B53A" w14:textId="13856532" w:rsidR="00DD5DA2" w:rsidRPr="008D6611" w:rsidRDefault="3E506B33" w:rsidP="008D6611">
      <w:pPr>
        <w:spacing w:after="240" w:line="276" w:lineRule="auto"/>
        <w:textAlignment w:val="baseline"/>
        <w:rPr>
          <w:rFonts w:eastAsia="Times New Roman"/>
          <w:noProof/>
          <w:szCs w:val="24"/>
        </w:rPr>
      </w:pPr>
      <w:r w:rsidRPr="008D6611">
        <w:rPr>
          <w:rFonts w:eastAsia="Times New Roman"/>
          <w:noProof/>
          <w:szCs w:val="24"/>
        </w:rPr>
        <w:t xml:space="preserve">The actions proposed under the Cyber Solidarity Act cover situational awareness, information sharing, as well as support for preparedness and response to cyber incidents. These actions are consistent with and support the objectives </w:t>
      </w:r>
      <w:r w:rsidR="007F1E0C" w:rsidRPr="008D6611">
        <w:rPr>
          <w:rFonts w:eastAsia="Times New Roman"/>
          <w:noProof/>
          <w:szCs w:val="24"/>
        </w:rPr>
        <w:t xml:space="preserve">of </w:t>
      </w:r>
      <w:r w:rsidRPr="008D6611">
        <w:rPr>
          <w:rFonts w:eastAsia="Times New Roman"/>
          <w:noProof/>
          <w:szCs w:val="24"/>
        </w:rPr>
        <w:t>the regulatory framework in place at Union level, notably under Directive (EU) 2022/2555 (‘the NIS2 Directive</w:t>
      </w:r>
      <w:r w:rsidR="009C5655">
        <w:rPr>
          <w:rFonts w:eastAsia="Times New Roman"/>
          <w:noProof/>
          <w:szCs w:val="24"/>
        </w:rPr>
        <w:t>’</w:t>
      </w:r>
      <w:r w:rsidRPr="008D6611">
        <w:rPr>
          <w:rFonts w:eastAsia="Times New Roman"/>
          <w:noProof/>
          <w:szCs w:val="24"/>
        </w:rPr>
        <w:t xml:space="preserve">). The Cyber Solidarity Act will especially build on and support the existing cybersecurity operational cooperation and crisis management frameworks, in particular </w:t>
      </w:r>
      <w:r w:rsidR="00D369E4">
        <w:rPr>
          <w:rFonts w:eastAsia="Times New Roman"/>
          <w:noProof/>
          <w:szCs w:val="24"/>
        </w:rPr>
        <w:t>European cyber crisis liaison organisation network (</w:t>
      </w:r>
      <w:r w:rsidRPr="008D6611">
        <w:rPr>
          <w:rFonts w:eastAsia="Times New Roman"/>
          <w:noProof/>
          <w:szCs w:val="24"/>
        </w:rPr>
        <w:t>EU-CyCLONe</w:t>
      </w:r>
      <w:r w:rsidR="00D369E4">
        <w:rPr>
          <w:rFonts w:eastAsia="Times New Roman"/>
          <w:noProof/>
          <w:szCs w:val="24"/>
        </w:rPr>
        <w:t>)</w:t>
      </w:r>
      <w:r w:rsidRPr="008D6611">
        <w:rPr>
          <w:rFonts w:eastAsia="Times New Roman"/>
          <w:noProof/>
          <w:szCs w:val="24"/>
        </w:rPr>
        <w:t xml:space="preserve"> and the </w:t>
      </w:r>
      <w:r w:rsidR="00D369E4">
        <w:rPr>
          <w:noProof/>
        </w:rPr>
        <w:t>computer security incident response teams</w:t>
      </w:r>
      <w:r w:rsidR="00D369E4">
        <w:rPr>
          <w:rFonts w:eastAsia="Times New Roman"/>
          <w:noProof/>
          <w:szCs w:val="24"/>
        </w:rPr>
        <w:t xml:space="preserve"> (</w:t>
      </w:r>
      <w:r w:rsidRPr="008D6611">
        <w:rPr>
          <w:rFonts w:eastAsia="Times New Roman"/>
          <w:noProof/>
          <w:szCs w:val="24"/>
        </w:rPr>
        <w:t>CSIRTs</w:t>
      </w:r>
      <w:r w:rsidR="00D369E4">
        <w:rPr>
          <w:rFonts w:eastAsia="Times New Roman"/>
          <w:noProof/>
          <w:szCs w:val="24"/>
        </w:rPr>
        <w:t>)</w:t>
      </w:r>
      <w:r w:rsidRPr="008D6611">
        <w:rPr>
          <w:rFonts w:eastAsia="Times New Roman"/>
          <w:noProof/>
          <w:szCs w:val="24"/>
        </w:rPr>
        <w:t xml:space="preserve"> network. </w:t>
      </w:r>
    </w:p>
    <w:p w14:paraId="0D8C5055" w14:textId="77777777" w:rsidR="00DD5DA2" w:rsidRPr="008D6611" w:rsidRDefault="3E506B33" w:rsidP="008D6611">
      <w:pPr>
        <w:spacing w:after="240" w:line="276" w:lineRule="auto"/>
        <w:textAlignment w:val="baseline"/>
        <w:rPr>
          <w:rFonts w:eastAsia="Times New Roman"/>
          <w:noProof/>
          <w:szCs w:val="24"/>
        </w:rPr>
      </w:pPr>
      <w:r w:rsidRPr="008D6611">
        <w:rPr>
          <w:rFonts w:eastAsia="Times New Roman"/>
          <w:noProof/>
          <w:szCs w:val="24"/>
        </w:rPr>
        <w:t>The cross-border SOCs platforms should constitute a new capability that is complementary to the CSIRTs network, by pooling and sharing data on cybersecurity threats from public and private entities, enhancing the value of such data through expert analysis and state of the art tools, and contributing to the development of Union capabilities and technological sovereignty.</w:t>
      </w:r>
    </w:p>
    <w:p w14:paraId="5AF293AF" w14:textId="77777777" w:rsidR="00DD5DA2" w:rsidRPr="008D6611" w:rsidRDefault="3E506B33" w:rsidP="59744C64">
      <w:pPr>
        <w:spacing w:after="240" w:line="276" w:lineRule="auto"/>
        <w:textAlignment w:val="baseline"/>
        <w:rPr>
          <w:rFonts w:eastAsia="Times New Roman"/>
          <w:noProof/>
          <w:szCs w:val="24"/>
        </w:rPr>
      </w:pPr>
      <w:r w:rsidRPr="008D6611">
        <w:rPr>
          <w:rFonts w:eastAsia="Times New Roman"/>
          <w:noProof/>
          <w:szCs w:val="24"/>
        </w:rPr>
        <w:t xml:space="preserve">Finally, this proposal </w:t>
      </w:r>
      <w:r w:rsidR="554ABB99" w:rsidRPr="008D6611">
        <w:rPr>
          <w:rFonts w:eastAsia="Times New Roman"/>
          <w:noProof/>
          <w:szCs w:val="24"/>
        </w:rPr>
        <w:t>is consistent with</w:t>
      </w:r>
      <w:r w:rsidRPr="008D6611">
        <w:rPr>
          <w:rFonts w:eastAsia="Times New Roman"/>
          <w:noProof/>
          <w:szCs w:val="24"/>
        </w:rPr>
        <w:t xml:space="preserve"> the Council Recommendation on a Union-wide coordinated approach to strengthen the resilience of critical infrastructure</w:t>
      </w:r>
      <w:r w:rsidR="00BD3205" w:rsidRPr="0028668F">
        <w:rPr>
          <w:rStyle w:val="FootnoteReference"/>
          <w:noProof/>
        </w:rPr>
        <w:footnoteReference w:id="10"/>
      </w:r>
      <w:r w:rsidRPr="008D6611">
        <w:rPr>
          <w:rFonts w:eastAsia="Times New Roman"/>
          <w:noProof/>
          <w:szCs w:val="24"/>
        </w:rPr>
        <w:t xml:space="preserve"> that invites Member States to take urgent and effective measures, and to cooperate loyally, efficiently, in solidarity and in a coordinated manner with each other, the Commission and other relevant public authorities as well as the entities concerned, to enhance the resilience of critical infrastructure used to provide essential services in the internal market.</w:t>
      </w:r>
    </w:p>
    <w:p w14:paraId="2718935E" w14:textId="77777777" w:rsidR="00DD5DA2" w:rsidRPr="00CE39FB" w:rsidRDefault="3E506B33" w:rsidP="59744C64">
      <w:pPr>
        <w:spacing w:after="240"/>
        <w:textAlignment w:val="baseline"/>
        <w:rPr>
          <w:noProof/>
        </w:rPr>
      </w:pPr>
      <w:r w:rsidRPr="00CE39FB">
        <w:rPr>
          <w:rFonts w:eastAsia="Times New Roman"/>
          <w:noProof/>
          <w:szCs w:val="24"/>
        </w:rPr>
        <w:t xml:space="preserve"> </w:t>
      </w:r>
    </w:p>
    <w:p w14:paraId="74DA3B1C" w14:textId="77777777" w:rsidR="00DD5DA2" w:rsidRPr="00CE39FB" w:rsidRDefault="3E506B33" w:rsidP="008D6611">
      <w:pPr>
        <w:spacing w:after="240"/>
        <w:ind w:left="850" w:hanging="850"/>
        <w:textAlignment w:val="baseline"/>
        <w:rPr>
          <w:noProof/>
        </w:rPr>
      </w:pPr>
      <w:r w:rsidRPr="008D6611">
        <w:rPr>
          <w:b/>
          <w:noProof/>
          <w:lang w:val="en-US"/>
        </w:rPr>
        <w:t>•</w:t>
      </w:r>
      <w:r w:rsidR="00DD5DA2" w:rsidRPr="008D6611">
        <w:rPr>
          <w:noProof/>
        </w:rPr>
        <w:tab/>
      </w:r>
      <w:r w:rsidRPr="008D6611">
        <w:rPr>
          <w:b/>
          <w:noProof/>
          <w:lang w:val="en-US"/>
        </w:rPr>
        <w:t>Consistency with other Union policies</w:t>
      </w:r>
    </w:p>
    <w:p w14:paraId="731AA9B0" w14:textId="52F1A790" w:rsidR="00DD5DA2" w:rsidRPr="00DF5F86" w:rsidRDefault="3E506B33" w:rsidP="008D6611">
      <w:pPr>
        <w:spacing w:after="240" w:line="276" w:lineRule="auto"/>
        <w:textAlignment w:val="baseline"/>
        <w:rPr>
          <w:noProof/>
        </w:rPr>
      </w:pPr>
      <w:r w:rsidRPr="008D6611">
        <w:rPr>
          <w:noProof/>
        </w:rPr>
        <w:t>The proposal is consistent with other crisis emergency mechanisms</w:t>
      </w:r>
      <w:r w:rsidRPr="00DF5F86">
        <w:rPr>
          <w:rFonts w:eastAsia="Times New Roman"/>
          <w:noProof/>
        </w:rPr>
        <w:t xml:space="preserve"> and protocols</w:t>
      </w:r>
      <w:r w:rsidRPr="008D6611">
        <w:rPr>
          <w:noProof/>
        </w:rPr>
        <w:t>, such as the</w:t>
      </w:r>
      <w:r w:rsidRPr="008D6611">
        <w:rPr>
          <w:strike/>
          <w:noProof/>
        </w:rPr>
        <w:t xml:space="preserve"> </w:t>
      </w:r>
      <w:r w:rsidRPr="008D6611">
        <w:rPr>
          <w:noProof/>
        </w:rPr>
        <w:t>Integrated Political Crisis Response Mechanism (IPCR</w:t>
      </w:r>
      <w:r w:rsidR="00DF5F86" w:rsidRPr="00DF5F86">
        <w:rPr>
          <w:rFonts w:eastAsia="Times New Roman"/>
          <w:noProof/>
        </w:rPr>
        <w:t>).</w:t>
      </w:r>
      <w:r w:rsidR="00DF5F86" w:rsidRPr="008D6611">
        <w:rPr>
          <w:noProof/>
        </w:rPr>
        <w:t xml:space="preserve"> </w:t>
      </w:r>
      <w:r w:rsidRPr="008D6611">
        <w:rPr>
          <w:noProof/>
        </w:rPr>
        <w:t xml:space="preserve">The Cyber Solidarity Act will complement these </w:t>
      </w:r>
      <w:r w:rsidRPr="00DF5F86">
        <w:rPr>
          <w:rFonts w:eastAsia="Times New Roman"/>
          <w:noProof/>
        </w:rPr>
        <w:t xml:space="preserve">crisis management frameworks and protocols </w:t>
      </w:r>
      <w:r w:rsidRPr="008D6611">
        <w:rPr>
          <w:noProof/>
        </w:rPr>
        <w:t xml:space="preserve">by providing </w:t>
      </w:r>
      <w:r w:rsidRPr="00DF5F86">
        <w:rPr>
          <w:rFonts w:eastAsia="Times New Roman"/>
          <w:noProof/>
        </w:rPr>
        <w:t>dedicated</w:t>
      </w:r>
      <w:r w:rsidRPr="008D6611">
        <w:rPr>
          <w:noProof/>
        </w:rPr>
        <w:t xml:space="preserve"> support</w:t>
      </w:r>
      <w:r w:rsidRPr="00DF5F86">
        <w:rPr>
          <w:rFonts w:eastAsia="Times New Roman"/>
          <w:noProof/>
        </w:rPr>
        <w:t xml:space="preserve"> for</w:t>
      </w:r>
      <w:r w:rsidRPr="008D6611">
        <w:rPr>
          <w:noProof/>
        </w:rPr>
        <w:t xml:space="preserve"> preparedness and response to </w:t>
      </w:r>
      <w:r w:rsidRPr="00DF5F86">
        <w:rPr>
          <w:rFonts w:eastAsia="Times New Roman"/>
          <w:noProof/>
        </w:rPr>
        <w:t xml:space="preserve">cybersecurity </w:t>
      </w:r>
      <w:r w:rsidRPr="008D6611">
        <w:rPr>
          <w:noProof/>
        </w:rPr>
        <w:t>incidents</w:t>
      </w:r>
      <w:r w:rsidR="7A3B9E27" w:rsidRPr="00DF5F86">
        <w:rPr>
          <w:rFonts w:eastAsia="Times New Roman"/>
          <w:noProof/>
        </w:rPr>
        <w:t>.</w:t>
      </w:r>
      <w:r w:rsidRPr="00DF5F86">
        <w:rPr>
          <w:rFonts w:eastAsia="Times New Roman"/>
          <w:noProof/>
        </w:rPr>
        <w:t xml:space="preserve"> </w:t>
      </w:r>
      <w:r w:rsidR="7A3B9E27" w:rsidRPr="00DF5F86">
        <w:rPr>
          <w:rFonts w:eastAsia="Times New Roman"/>
          <w:noProof/>
          <w:szCs w:val="24"/>
        </w:rPr>
        <w:t>The</w:t>
      </w:r>
      <w:r w:rsidR="7A3B9E27" w:rsidRPr="008D6611">
        <w:rPr>
          <w:noProof/>
        </w:rPr>
        <w:t xml:space="preserve"> proposal will </w:t>
      </w:r>
      <w:r w:rsidR="7A3B9E27" w:rsidRPr="00DF5F86">
        <w:rPr>
          <w:rFonts w:eastAsia="Times New Roman"/>
          <w:noProof/>
          <w:szCs w:val="24"/>
        </w:rPr>
        <w:t>also</w:t>
      </w:r>
      <w:r w:rsidR="00AF2FC2">
        <w:rPr>
          <w:rFonts w:eastAsia="Times New Roman"/>
          <w:noProof/>
          <w:szCs w:val="24"/>
        </w:rPr>
        <w:t xml:space="preserve"> be consistent with the EU’s external action in response to large-scale incidents in the framework  of the Common Foreign and Security Policy (CFSP), including through the EU Cyber Diplomacy Toolbox. The proposal will</w:t>
      </w:r>
      <w:r w:rsidR="7A3B9E27" w:rsidRPr="00DF5F86">
        <w:rPr>
          <w:rFonts w:eastAsia="Times New Roman"/>
          <w:noProof/>
          <w:szCs w:val="24"/>
        </w:rPr>
        <w:t xml:space="preserve"> complement actions implemented in the context of Article 42(7) of the Treaty on the European Union or</w:t>
      </w:r>
      <w:r w:rsidR="7A3B9E27" w:rsidRPr="008D6611">
        <w:rPr>
          <w:noProof/>
        </w:rPr>
        <w:t xml:space="preserve"> in </w:t>
      </w:r>
      <w:r w:rsidR="7A3B9E27" w:rsidRPr="00DF5F86">
        <w:rPr>
          <w:rFonts w:eastAsia="Times New Roman"/>
          <w:noProof/>
          <w:szCs w:val="24"/>
        </w:rPr>
        <w:t>situations defined in Article 222 of the Treaty on the Functioning of the European Union.</w:t>
      </w:r>
      <w:r w:rsidRPr="00DF5F86">
        <w:rPr>
          <w:rFonts w:eastAsia="Times New Roman"/>
          <w:noProof/>
        </w:rPr>
        <w:t xml:space="preserve"> </w:t>
      </w:r>
    </w:p>
    <w:p w14:paraId="60ECC357" w14:textId="77777777" w:rsidR="00DD5DA2" w:rsidRPr="008D6611" w:rsidRDefault="1A7BCF3C" w:rsidP="008D6611">
      <w:pPr>
        <w:spacing w:after="240" w:line="276" w:lineRule="auto"/>
        <w:textAlignment w:val="baseline"/>
        <w:rPr>
          <w:noProof/>
        </w:rPr>
      </w:pPr>
      <w:r w:rsidRPr="00DF5F86">
        <w:rPr>
          <w:rFonts w:eastAsia="Times New Roman"/>
          <w:noProof/>
        </w:rPr>
        <w:t>It also complements</w:t>
      </w:r>
      <w:r w:rsidRPr="008D6611">
        <w:rPr>
          <w:noProof/>
        </w:rPr>
        <w:t xml:space="preserve"> </w:t>
      </w:r>
      <w:r w:rsidR="67819AD1" w:rsidRPr="008D6611">
        <w:rPr>
          <w:noProof/>
        </w:rPr>
        <w:t>the Union Civil Protection Mechanism (UCPM)</w:t>
      </w:r>
      <w:r w:rsidR="04686050" w:rsidRPr="00CE39FB">
        <w:rPr>
          <w:rStyle w:val="FootnoteReference"/>
          <w:rFonts w:eastAsia="Times New Roman"/>
          <w:noProof/>
        </w:rPr>
        <w:footnoteReference w:id="11"/>
      </w:r>
      <w:r w:rsidR="67819AD1" w:rsidRPr="008D6611">
        <w:rPr>
          <w:noProof/>
        </w:rPr>
        <w:t xml:space="preserve">established in </w:t>
      </w:r>
      <w:r w:rsidR="67819AD1" w:rsidRPr="00CE39FB">
        <w:rPr>
          <w:rFonts w:eastAsia="Times New Roman"/>
          <w:noProof/>
        </w:rPr>
        <w:t>December 2013</w:t>
      </w:r>
      <w:r w:rsidR="67819AD1" w:rsidRPr="008D6611">
        <w:rPr>
          <w:noProof/>
        </w:rPr>
        <w:t xml:space="preserve"> and completed with a new legislation adopted in May 2021</w:t>
      </w:r>
      <w:r w:rsidR="04686050" w:rsidRPr="00CE39FB">
        <w:rPr>
          <w:rStyle w:val="FootnoteReference"/>
          <w:rFonts w:eastAsia="Times New Roman"/>
          <w:noProof/>
        </w:rPr>
        <w:footnoteReference w:id="12"/>
      </w:r>
      <w:r w:rsidR="67819AD1" w:rsidRPr="008D6611">
        <w:rPr>
          <w:noProof/>
        </w:rPr>
        <w:t>, that</w:t>
      </w:r>
      <w:r w:rsidR="67819AD1" w:rsidRPr="00CE39FB">
        <w:rPr>
          <w:rFonts w:eastAsia="Times New Roman"/>
          <w:noProof/>
        </w:rPr>
        <w:t xml:space="preserve"> strengthens the prevention, preparedness and response pillars of the UCPM and</w:t>
      </w:r>
      <w:r w:rsidR="67819AD1" w:rsidRPr="008D6611">
        <w:rPr>
          <w:noProof/>
        </w:rPr>
        <w:t xml:space="preserve"> gives the EU additional capacities to respond to new risks in Europe and the world and boosts the rescEU reserve. </w:t>
      </w:r>
      <w:r w:rsidR="67819AD1" w:rsidRPr="00CE39FB">
        <w:rPr>
          <w:rFonts w:eastAsia="Times New Roman"/>
          <w:noProof/>
        </w:rPr>
        <w:t xml:space="preserve">  </w:t>
      </w:r>
    </w:p>
    <w:p w14:paraId="760ECAED" w14:textId="77777777" w:rsidR="004770F6" w:rsidRPr="00CE39FB" w:rsidRDefault="004770F6">
      <w:pPr>
        <w:pStyle w:val="ManualHeading1"/>
        <w:rPr>
          <w:noProof/>
        </w:rPr>
      </w:pPr>
      <w:r w:rsidRPr="00CE39FB">
        <w:rPr>
          <w:noProof/>
        </w:rPr>
        <w:t>2.</w:t>
      </w:r>
      <w:r w:rsidRPr="00CE39FB">
        <w:rPr>
          <w:noProof/>
        </w:rPr>
        <w:tab/>
        <w:t>LEGAL BASIS, SUBSIDIARITY AND PROPORTIONALITY</w:t>
      </w:r>
    </w:p>
    <w:p w14:paraId="308BDCA3" w14:textId="77777777" w:rsidR="004770F6" w:rsidRPr="00CE39FB" w:rsidRDefault="004770F6">
      <w:pPr>
        <w:pStyle w:val="ManualHeading2"/>
        <w:rPr>
          <w:rFonts w:eastAsia="Arial Unicode MS"/>
          <w:noProof/>
          <w:u w:color="000000"/>
          <w:bdr w:val="nil"/>
          <w:lang w:val="en-US" w:eastAsia="en-GB"/>
        </w:rPr>
      </w:pPr>
      <w:r w:rsidRPr="00CE39FB">
        <w:rPr>
          <w:rFonts w:eastAsia="Arial Unicode MS"/>
          <w:noProof/>
          <w:u w:color="000000"/>
          <w:bdr w:val="nil"/>
          <w:lang w:val="en-US" w:eastAsia="en-GB"/>
        </w:rPr>
        <w:t>•</w:t>
      </w:r>
      <w:r w:rsidRPr="00CE39FB">
        <w:rPr>
          <w:rFonts w:eastAsia="Arial Unicode MS"/>
          <w:noProof/>
          <w:u w:color="000000"/>
          <w:bdr w:val="nil"/>
          <w:lang w:val="en-US" w:eastAsia="en-GB"/>
        </w:rPr>
        <w:tab/>
        <w:t>Legal basis</w:t>
      </w:r>
    </w:p>
    <w:p w14:paraId="009C1A7B" w14:textId="77777777" w:rsidR="00CE66B3" w:rsidRPr="008D6611" w:rsidRDefault="2854338C" w:rsidP="008D6611">
      <w:pPr>
        <w:pBdr>
          <w:top w:val="nil"/>
          <w:left w:val="nil"/>
          <w:bottom w:val="nil"/>
          <w:right w:val="nil"/>
          <w:between w:val="nil"/>
          <w:bar w:val="nil"/>
        </w:pBdr>
        <w:spacing w:before="0" w:after="240" w:line="276" w:lineRule="auto"/>
        <w:rPr>
          <w:noProof/>
          <w:u w:val="single"/>
        </w:rPr>
      </w:pPr>
      <w:r w:rsidRPr="008D6611">
        <w:rPr>
          <w:noProof/>
        </w:rPr>
        <w:t>The legal basis for this proposal is Article 173(3) and Article 322(1</w:t>
      </w:r>
      <w:r w:rsidRPr="00CE39FB">
        <w:rPr>
          <w:noProof/>
        </w:rPr>
        <w:t>)</w:t>
      </w:r>
      <w:r w:rsidR="200299FD" w:rsidRPr="00CE39FB">
        <w:rPr>
          <w:noProof/>
        </w:rPr>
        <w:t>, point (a</w:t>
      </w:r>
      <w:r w:rsidRPr="008D6611">
        <w:rPr>
          <w:noProof/>
        </w:rPr>
        <w:t>) of the Treaty on the Functioning of the European Union (TFEU). Article 173</w:t>
      </w:r>
      <w:r w:rsidR="200299FD" w:rsidRPr="00CE39FB">
        <w:rPr>
          <w:noProof/>
        </w:rPr>
        <w:t xml:space="preserve"> TFEU</w:t>
      </w:r>
      <w:r w:rsidRPr="008D6611">
        <w:rPr>
          <w:noProof/>
        </w:rPr>
        <w:t xml:space="preserve"> provides that the Union and the Member States shall ensure that the conditions necessary for the competitiveness of the Union’s industry exists. </w:t>
      </w:r>
      <w:r w:rsidR="56B5467A" w:rsidRPr="00DF5F86">
        <w:rPr>
          <w:rFonts w:eastAsia="Times New Roman"/>
          <w:noProof/>
        </w:rPr>
        <w:t xml:space="preserve">This Regulation aims at strengthening the competitive position of industry and </w:t>
      </w:r>
      <w:r w:rsidR="79304D88" w:rsidRPr="00DF5F86">
        <w:rPr>
          <w:rFonts w:eastAsia="Times New Roman"/>
          <w:noProof/>
        </w:rPr>
        <w:t>service sectors</w:t>
      </w:r>
      <w:r w:rsidR="56B5467A" w:rsidRPr="00DF5F86">
        <w:rPr>
          <w:rFonts w:eastAsia="Times New Roman"/>
          <w:noProof/>
        </w:rPr>
        <w:t xml:space="preserve"> in Europe across the digitised economy and supporting their digital transformation, by reinforcing the level of cybersecurity in the Digital Single Market. In particular, it aims at increasing the resilience of citizens, businesses and entities operating</w:t>
      </w:r>
      <w:r w:rsidR="007F1E0C" w:rsidRPr="00DF5F86">
        <w:rPr>
          <w:rFonts w:eastAsia="Times New Roman"/>
          <w:noProof/>
        </w:rPr>
        <w:t xml:space="preserve"> in</w:t>
      </w:r>
      <w:r w:rsidR="56B5467A" w:rsidRPr="00DF5F86">
        <w:rPr>
          <w:rFonts w:eastAsia="Times New Roman"/>
          <w:noProof/>
        </w:rPr>
        <w:t xml:space="preserve"> critical </w:t>
      </w:r>
      <w:r w:rsidR="007F1E0C" w:rsidRPr="00DF5F86">
        <w:rPr>
          <w:rFonts w:eastAsia="Times New Roman"/>
          <w:noProof/>
        </w:rPr>
        <w:t>and highly critical sectors</w:t>
      </w:r>
      <w:r w:rsidR="56B5467A" w:rsidRPr="00DF5F86">
        <w:rPr>
          <w:rFonts w:eastAsia="Times New Roman"/>
          <w:noProof/>
        </w:rPr>
        <w:t xml:space="preserve"> against the growing cybersecurity threats, which can have devastating societal and economic impacts</w:t>
      </w:r>
      <w:r w:rsidR="56B5467A" w:rsidRPr="008D6611">
        <w:rPr>
          <w:noProof/>
        </w:rPr>
        <w:t>.</w:t>
      </w:r>
      <w:r w:rsidR="56B5467A" w:rsidRPr="008D6611">
        <w:rPr>
          <w:noProof/>
          <w:u w:val="single"/>
        </w:rPr>
        <w:t xml:space="preserve"> </w:t>
      </w:r>
    </w:p>
    <w:p w14:paraId="7FB09C2C" w14:textId="63732CD4" w:rsidR="00CE66B3" w:rsidRPr="008D6611" w:rsidRDefault="00FC3252" w:rsidP="008D6611">
      <w:pPr>
        <w:pBdr>
          <w:top w:val="nil"/>
          <w:left w:val="nil"/>
          <w:bottom w:val="nil"/>
          <w:right w:val="nil"/>
          <w:between w:val="nil"/>
          <w:bar w:val="nil"/>
        </w:pBdr>
        <w:spacing w:before="0" w:after="240" w:line="276" w:lineRule="auto"/>
        <w:rPr>
          <w:noProof/>
        </w:rPr>
      </w:pPr>
      <w:r w:rsidRPr="00CE39FB">
        <w:rPr>
          <w:noProof/>
        </w:rPr>
        <w:t xml:space="preserve">The proposal is based also on </w:t>
      </w:r>
      <w:r w:rsidRPr="008D6611">
        <w:rPr>
          <w:noProof/>
        </w:rPr>
        <w:t>Article 322(1</w:t>
      </w:r>
      <w:r w:rsidRPr="00CE39FB">
        <w:rPr>
          <w:noProof/>
        </w:rPr>
        <w:t>), point (a)</w:t>
      </w:r>
      <w:r w:rsidRPr="008D6611">
        <w:rPr>
          <w:noProof/>
        </w:rPr>
        <w:t xml:space="preserve"> TFEU </w:t>
      </w:r>
      <w:r w:rsidRPr="00CE39FB">
        <w:rPr>
          <w:noProof/>
        </w:rPr>
        <w:t>because it contains specific carry-over rules derogating from the principle of annuality set out in Regulation (EU, Euratom) 2018/1046 of the European Parliament and of the Council (the ‘Financial Regulation’)</w:t>
      </w:r>
      <w:r w:rsidRPr="00CE39FB">
        <w:rPr>
          <w:rStyle w:val="FootnoteReference"/>
          <w:noProof/>
        </w:rPr>
        <w:footnoteReference w:id="13"/>
      </w:r>
      <w:r w:rsidRPr="00CE39FB">
        <w:rPr>
          <w:noProof/>
        </w:rPr>
        <w:t>.</w:t>
      </w:r>
      <w:r w:rsidR="00CE66B3" w:rsidRPr="00CE39FB">
        <w:rPr>
          <w:noProof/>
        </w:rPr>
        <w:t xml:space="preserve"> </w:t>
      </w:r>
      <w:r w:rsidR="00D17FDF" w:rsidRPr="00CE39FB">
        <w:rPr>
          <w:noProof/>
        </w:rPr>
        <w:t>For the purpose of sound</w:t>
      </w:r>
      <w:r w:rsidR="00D17FDF" w:rsidRPr="008D6611">
        <w:rPr>
          <w:noProof/>
        </w:rPr>
        <w:t xml:space="preserve"> financial </w:t>
      </w:r>
      <w:r w:rsidR="00D17FDF" w:rsidRPr="00CE39FB">
        <w:rPr>
          <w:noProof/>
        </w:rPr>
        <w:t>management and c</w:t>
      </w:r>
      <w:r w:rsidRPr="00CE39FB">
        <w:rPr>
          <w:noProof/>
        </w:rPr>
        <w:t>onsidering</w:t>
      </w:r>
      <w:r w:rsidR="00CE66B3" w:rsidRPr="00CE39FB">
        <w:rPr>
          <w:noProof/>
        </w:rPr>
        <w:t xml:space="preserve"> </w:t>
      </w:r>
      <w:r w:rsidR="00CE66B3" w:rsidRPr="008D6611">
        <w:rPr>
          <w:noProof/>
        </w:rPr>
        <w:t>the unpredictable</w:t>
      </w:r>
      <w:r w:rsidR="00C42F95" w:rsidRPr="00CE39FB">
        <w:rPr>
          <w:noProof/>
        </w:rPr>
        <w:t>, exceptional and specific</w:t>
      </w:r>
      <w:r w:rsidR="00CE66B3" w:rsidRPr="008D6611">
        <w:rPr>
          <w:noProof/>
        </w:rPr>
        <w:t xml:space="preserve"> nature of the cybersecurity landscape</w:t>
      </w:r>
      <w:r w:rsidRPr="00CE39FB">
        <w:rPr>
          <w:noProof/>
        </w:rPr>
        <w:t xml:space="preserve"> and cyber-threats</w:t>
      </w:r>
      <w:r w:rsidR="00CE66B3" w:rsidRPr="008D6611">
        <w:rPr>
          <w:noProof/>
        </w:rPr>
        <w:t xml:space="preserve">, the Cybersecurity </w:t>
      </w:r>
      <w:r w:rsidRPr="00CE39FB">
        <w:rPr>
          <w:noProof/>
        </w:rPr>
        <w:t>Emergency</w:t>
      </w:r>
      <w:r w:rsidRPr="008D6611">
        <w:rPr>
          <w:noProof/>
        </w:rPr>
        <w:t xml:space="preserve"> </w:t>
      </w:r>
      <w:r w:rsidR="00CE66B3" w:rsidRPr="008D6611">
        <w:rPr>
          <w:noProof/>
        </w:rPr>
        <w:t xml:space="preserve">Mechanism should </w:t>
      </w:r>
      <w:r w:rsidRPr="00CE39FB">
        <w:rPr>
          <w:noProof/>
        </w:rPr>
        <w:t>benefit from</w:t>
      </w:r>
      <w:r w:rsidRPr="008D6611">
        <w:rPr>
          <w:noProof/>
        </w:rPr>
        <w:t xml:space="preserve"> </w:t>
      </w:r>
      <w:r w:rsidR="00CE66B3" w:rsidRPr="008D6611">
        <w:rPr>
          <w:noProof/>
        </w:rPr>
        <w:t xml:space="preserve">a certain </w:t>
      </w:r>
      <w:r w:rsidR="00C42F95" w:rsidRPr="00CE39FB">
        <w:rPr>
          <w:noProof/>
        </w:rPr>
        <w:t>degree of</w:t>
      </w:r>
      <w:r w:rsidR="00CE66B3" w:rsidRPr="00CE39FB">
        <w:rPr>
          <w:noProof/>
        </w:rPr>
        <w:t xml:space="preserve"> flexib</w:t>
      </w:r>
      <w:r w:rsidRPr="00CE39FB">
        <w:rPr>
          <w:noProof/>
        </w:rPr>
        <w:t>ility</w:t>
      </w:r>
      <w:r w:rsidR="00CE66B3" w:rsidRPr="008D6611">
        <w:rPr>
          <w:noProof/>
        </w:rPr>
        <w:t xml:space="preserve"> in relation to budgetary management, and in particular</w:t>
      </w:r>
      <w:r w:rsidR="00CE66B3" w:rsidRPr="00CE39FB">
        <w:rPr>
          <w:noProof/>
        </w:rPr>
        <w:t xml:space="preserve"> </w:t>
      </w:r>
      <w:r w:rsidRPr="00CE39FB">
        <w:rPr>
          <w:noProof/>
        </w:rPr>
        <w:t>by</w:t>
      </w:r>
      <w:r w:rsidR="00CE66B3" w:rsidRPr="008D6611">
        <w:rPr>
          <w:noProof/>
        </w:rPr>
        <w:t xml:space="preserve"> allowing unused commitment and payment appropriations for actions pursuing the objectives set out in the Regulation to </w:t>
      </w:r>
      <w:r w:rsidRPr="00CE39FB">
        <w:rPr>
          <w:noProof/>
        </w:rPr>
        <w:t>be</w:t>
      </w:r>
      <w:r w:rsidR="00CE66B3" w:rsidRPr="00CE39FB">
        <w:rPr>
          <w:noProof/>
        </w:rPr>
        <w:t xml:space="preserve"> </w:t>
      </w:r>
      <w:r w:rsidR="00CE66B3" w:rsidRPr="008D6611">
        <w:rPr>
          <w:noProof/>
        </w:rPr>
        <w:t>automatically carried over to the following</w:t>
      </w:r>
      <w:r w:rsidR="00CE66B3" w:rsidRPr="00CE39FB">
        <w:rPr>
          <w:noProof/>
        </w:rPr>
        <w:t xml:space="preserve"> </w:t>
      </w:r>
      <w:r w:rsidRPr="00CE39FB">
        <w:rPr>
          <w:noProof/>
        </w:rPr>
        <w:t>financial</w:t>
      </w:r>
      <w:r w:rsidRPr="008D6611">
        <w:rPr>
          <w:noProof/>
        </w:rPr>
        <w:t xml:space="preserve"> </w:t>
      </w:r>
      <w:r w:rsidR="00CE66B3" w:rsidRPr="008D6611">
        <w:rPr>
          <w:noProof/>
        </w:rPr>
        <w:t xml:space="preserve">year. </w:t>
      </w:r>
      <w:r w:rsidR="00037041" w:rsidRPr="00037041">
        <w:rPr>
          <w:noProof/>
        </w:rPr>
        <w:t>As this new rule raises issues with the Financial Regulation, this matter could be addressed in the context of the current negotiations of the Financial Regulation recast</w:t>
      </w:r>
      <w:r w:rsidR="00600994" w:rsidRPr="00600994">
        <w:rPr>
          <w:noProof/>
        </w:rPr>
        <w:t>.</w:t>
      </w:r>
    </w:p>
    <w:p w14:paraId="35644CBB" w14:textId="77777777" w:rsidR="004770F6" w:rsidRPr="008D6611" w:rsidRDefault="004770F6">
      <w:pPr>
        <w:pStyle w:val="ManualHeading2"/>
        <w:rPr>
          <w:noProof/>
          <w:bdr w:val="nil"/>
          <w:lang w:val="en-US"/>
        </w:rPr>
      </w:pPr>
      <w:r w:rsidRPr="008D6611">
        <w:rPr>
          <w:noProof/>
          <w:bdr w:val="nil"/>
          <w:lang w:val="en-US"/>
        </w:rPr>
        <w:t>•</w:t>
      </w:r>
      <w:r w:rsidRPr="00CE39FB">
        <w:rPr>
          <w:rFonts w:eastAsia="Arial Unicode MS"/>
          <w:noProof/>
          <w:u w:color="000000"/>
          <w:bdr w:val="nil"/>
          <w:lang w:val="en-US" w:eastAsia="en-GB"/>
        </w:rPr>
        <w:tab/>
      </w:r>
      <w:r w:rsidRPr="008D6611">
        <w:rPr>
          <w:noProof/>
          <w:bdr w:val="nil"/>
          <w:lang w:val="en-US"/>
        </w:rPr>
        <w:t xml:space="preserve">Subsidiarity (for non-exclusive competence) </w:t>
      </w:r>
    </w:p>
    <w:p w14:paraId="63E073FA" w14:textId="77777777" w:rsidR="002D1D44" w:rsidRPr="008D6611" w:rsidRDefault="002D1D44" w:rsidP="008D6611">
      <w:pPr>
        <w:spacing w:before="240" w:line="276" w:lineRule="auto"/>
        <w:rPr>
          <w:noProof/>
        </w:rPr>
      </w:pPr>
      <w:r w:rsidRPr="008D6611">
        <w:rPr>
          <w:noProof/>
          <w:lang w:val="en-US"/>
        </w:rPr>
        <w:t xml:space="preserve">The strong cross-border nature of cybersecurity </w:t>
      </w:r>
      <w:r w:rsidR="5E6C545A" w:rsidRPr="00DF5F86">
        <w:rPr>
          <w:rFonts w:eastAsia="Times New Roman"/>
          <w:noProof/>
          <w:szCs w:val="24"/>
          <w:lang w:val="en-US"/>
        </w:rPr>
        <w:t>threats</w:t>
      </w:r>
      <w:r w:rsidR="5E6C545A" w:rsidRPr="008D6611">
        <w:rPr>
          <w:noProof/>
          <w:lang w:val="en-US"/>
        </w:rPr>
        <w:t xml:space="preserve"> </w:t>
      </w:r>
      <w:r w:rsidRPr="008D6611">
        <w:rPr>
          <w:noProof/>
          <w:lang w:val="en-US"/>
        </w:rPr>
        <w:t>and the growing number of risks and incidents, which have spill-over effects across borders, sectors, and products, mean that the objectives of the present intervention cannot effectively be achieved by Member States alone</w:t>
      </w:r>
      <w:r w:rsidR="5E6C545A" w:rsidRPr="00DF5F86">
        <w:rPr>
          <w:rFonts w:eastAsia="Times New Roman"/>
          <w:noProof/>
          <w:szCs w:val="24"/>
          <w:lang w:val="en-US"/>
        </w:rPr>
        <w:t xml:space="preserve"> and require common action and solidarity at Union level</w:t>
      </w:r>
      <w:r w:rsidR="00DF5F86" w:rsidRPr="008D6611">
        <w:rPr>
          <w:noProof/>
          <w:lang w:val="en-US"/>
        </w:rPr>
        <w:t>.</w:t>
      </w:r>
      <w:r w:rsidRPr="008D6611">
        <w:rPr>
          <w:strike/>
          <w:noProof/>
          <w:lang w:val="en-US"/>
        </w:rPr>
        <w:t xml:space="preserve"> </w:t>
      </w:r>
    </w:p>
    <w:p w14:paraId="34CE3A0D" w14:textId="77777777" w:rsidR="002D1D44" w:rsidRPr="008D6611" w:rsidRDefault="002D1D44" w:rsidP="008D6611">
      <w:pPr>
        <w:spacing w:before="240" w:line="276" w:lineRule="auto"/>
        <w:rPr>
          <w:noProof/>
        </w:rPr>
      </w:pPr>
      <w:r w:rsidRPr="008D6611">
        <w:rPr>
          <w:noProof/>
          <w:lang w:val="en-US"/>
        </w:rPr>
        <w:t>The experience of countering cyber-threats stemming from the war against Ukraine, together with the lessons learn</w:t>
      </w:r>
      <w:r w:rsidR="00E44146" w:rsidRPr="001C7B16">
        <w:rPr>
          <w:noProof/>
          <w:lang w:val="en-US"/>
        </w:rPr>
        <w:t>ed</w:t>
      </w:r>
      <w:r w:rsidRPr="008D6611">
        <w:rPr>
          <w:noProof/>
          <w:lang w:val="en-US"/>
        </w:rPr>
        <w:t xml:space="preserve"> from a cybersecurity exercise conducted under the French Presidency (EU CyCLES), showed that concrete mutual support mechanisms, </w:t>
      </w:r>
      <w:r w:rsidR="7B0C416B" w:rsidRPr="00CE39FB">
        <w:rPr>
          <w:rFonts w:eastAsia="Times New Roman"/>
          <w:noProof/>
          <w:lang w:val="en-US"/>
        </w:rPr>
        <w:t>notably</w:t>
      </w:r>
      <w:r w:rsidRPr="008D6611">
        <w:rPr>
          <w:noProof/>
          <w:lang w:val="en-US"/>
        </w:rPr>
        <w:t xml:space="preserve"> cooperation with the private sector, should be developed to achieve solidarity at EU level. Against this background, the Council Conclusions of 23 May 2022 on the development of the European Union’s cyber posture calls upon the Commission to present a proposal on a new Emergency Response Fund for Cybersecurity. </w:t>
      </w:r>
    </w:p>
    <w:p w14:paraId="6695E4B4" w14:textId="1DAF20FD" w:rsidR="5E6C545A" w:rsidRPr="008D6611" w:rsidRDefault="38E6FA9F" w:rsidP="008D6611">
      <w:pPr>
        <w:spacing w:before="240" w:line="276" w:lineRule="auto"/>
        <w:rPr>
          <w:noProof/>
        </w:rPr>
      </w:pPr>
      <w:r w:rsidRPr="00DF5F86">
        <w:rPr>
          <w:rFonts w:eastAsia="Times New Roman"/>
          <w:noProof/>
          <w:lang w:val="en-US"/>
        </w:rPr>
        <w:t>S</w:t>
      </w:r>
      <w:r w:rsidR="42EEC855" w:rsidRPr="00DF5F86">
        <w:rPr>
          <w:rFonts w:eastAsia="Times New Roman"/>
          <w:noProof/>
          <w:lang w:val="en-US"/>
        </w:rPr>
        <w:t xml:space="preserve">upport and actions </w:t>
      </w:r>
      <w:r w:rsidR="7E37B727" w:rsidRPr="00DF5F86">
        <w:rPr>
          <w:rFonts w:eastAsia="Times New Roman"/>
          <w:noProof/>
          <w:lang w:val="en-US"/>
        </w:rPr>
        <w:t>at Union level</w:t>
      </w:r>
      <w:r w:rsidR="1667D1DA" w:rsidRPr="00DF5F86">
        <w:rPr>
          <w:rFonts w:eastAsia="Times New Roman"/>
          <w:noProof/>
          <w:lang w:val="en-US"/>
        </w:rPr>
        <w:t xml:space="preserve"> to better detect cybersecurity threats, and to increase preparedness and response capacities</w:t>
      </w:r>
      <w:r w:rsidR="05ED66BA" w:rsidRPr="00DF5F86">
        <w:rPr>
          <w:rFonts w:eastAsia="Times New Roman"/>
          <w:noProof/>
          <w:lang w:val="en-US"/>
        </w:rPr>
        <w:t xml:space="preserve"> provide added value because it avoids</w:t>
      </w:r>
      <w:r w:rsidR="05ED66BA" w:rsidRPr="008D6611">
        <w:rPr>
          <w:noProof/>
          <w:lang w:val="en-US"/>
        </w:rPr>
        <w:t xml:space="preserve"> duplication of efforts across the Union and Member States. It would lead to a better exploitation of existing assets</w:t>
      </w:r>
      <w:r w:rsidR="05ED66BA" w:rsidRPr="00DF5F86">
        <w:rPr>
          <w:rFonts w:eastAsia="Times New Roman"/>
          <w:noProof/>
          <w:lang w:val="en-US"/>
        </w:rPr>
        <w:t xml:space="preserve"> and to greater coordination and exchange of information on lessons learn</w:t>
      </w:r>
      <w:r w:rsidR="00763EBD" w:rsidRPr="001C7B16">
        <w:rPr>
          <w:rFonts w:eastAsia="Times New Roman"/>
          <w:noProof/>
          <w:lang w:val="en-US"/>
        </w:rPr>
        <w:t>ed</w:t>
      </w:r>
      <w:r w:rsidR="05ED66BA" w:rsidRPr="00DF5F86">
        <w:rPr>
          <w:rFonts w:eastAsia="Times New Roman"/>
          <w:noProof/>
          <w:lang w:val="en-US"/>
        </w:rPr>
        <w:t>. The Cyber Emergency Mechanism</w:t>
      </w:r>
      <w:r w:rsidR="00A441E1" w:rsidRPr="008D6611">
        <w:rPr>
          <w:noProof/>
          <w:lang w:val="en-US"/>
        </w:rPr>
        <w:t xml:space="preserve"> </w:t>
      </w:r>
      <w:r w:rsidR="05ED66BA" w:rsidRPr="008D6611">
        <w:rPr>
          <w:noProof/>
          <w:lang w:val="en-US"/>
        </w:rPr>
        <w:t xml:space="preserve">also envisages providing support to third countries associated to DEP from the EU Cybersecurity Reserve. </w:t>
      </w:r>
    </w:p>
    <w:p w14:paraId="1F73C162" w14:textId="77777777" w:rsidR="5E6C545A" w:rsidRPr="00DF5F86" w:rsidRDefault="5E6C545A" w:rsidP="008D6611">
      <w:pPr>
        <w:spacing w:before="240" w:line="276" w:lineRule="auto"/>
        <w:rPr>
          <w:noProof/>
        </w:rPr>
      </w:pPr>
      <w:r w:rsidRPr="00DF5F86">
        <w:rPr>
          <w:rFonts w:eastAsia="Times New Roman"/>
          <w:noProof/>
          <w:szCs w:val="24"/>
        </w:rPr>
        <w:t>The support provided through the various initiatives to be established and funded at Union level will complement and not duplicate national capabilities as regards detection, situational awareness, preparedness and response to cyber threats and incidents.</w:t>
      </w:r>
    </w:p>
    <w:p w14:paraId="36CE86F9" w14:textId="77777777" w:rsidR="128A6AB1" w:rsidRPr="008D6611" w:rsidRDefault="5E6C545A" w:rsidP="008D6611">
      <w:pPr>
        <w:spacing w:line="276" w:lineRule="auto"/>
        <w:rPr>
          <w:noProof/>
          <w:lang w:val="en-US"/>
        </w:rPr>
      </w:pPr>
      <w:r w:rsidRPr="00DF5F86">
        <w:rPr>
          <w:rFonts w:eastAsia="Times New Roman"/>
          <w:b/>
          <w:bCs/>
          <w:noProof/>
          <w:szCs w:val="24"/>
          <w:lang w:val="en-US"/>
        </w:rPr>
        <w:t xml:space="preserve"> </w:t>
      </w:r>
      <w:r w:rsidR="00DF5F86" w:rsidRPr="00CE39FB">
        <w:rPr>
          <w:rFonts w:eastAsia="Times New Roman"/>
          <w:b/>
          <w:bCs/>
          <w:noProof/>
          <w:szCs w:val="24"/>
          <w:lang w:val="en-US"/>
        </w:rPr>
        <w:t>•</w:t>
      </w:r>
      <w:r w:rsidR="00DF5F86">
        <w:rPr>
          <w:rFonts w:eastAsia="Times New Roman"/>
          <w:b/>
          <w:bCs/>
          <w:noProof/>
          <w:szCs w:val="24"/>
          <w:lang w:val="en-US"/>
        </w:rPr>
        <w:t xml:space="preserve">           </w:t>
      </w:r>
      <w:r w:rsidR="35004956" w:rsidRPr="008D6611">
        <w:rPr>
          <w:b/>
          <w:noProof/>
          <w:lang w:val="en-US"/>
        </w:rPr>
        <w:t>Proportionality</w:t>
      </w:r>
    </w:p>
    <w:p w14:paraId="2C1CC50B" w14:textId="77777777" w:rsidR="5057DF18" w:rsidRPr="008D6611" w:rsidRDefault="5057DF18" w:rsidP="008D6611">
      <w:pPr>
        <w:spacing w:before="240" w:line="276" w:lineRule="auto"/>
        <w:rPr>
          <w:noProof/>
        </w:rPr>
      </w:pPr>
      <w:r w:rsidRPr="00DF5F86">
        <w:rPr>
          <w:rFonts w:eastAsia="Times New Roman"/>
          <w:noProof/>
          <w:lang w:val="en-US"/>
        </w:rPr>
        <w:t>The actions do not go beyond what is needed to achieve the general and specific objectives of the Regulation</w:t>
      </w:r>
      <w:r w:rsidR="00DF5F86" w:rsidRPr="00DF5F86">
        <w:rPr>
          <w:rFonts w:eastAsia="Times New Roman"/>
          <w:noProof/>
          <w:lang w:val="en-US"/>
        </w:rPr>
        <w:t xml:space="preserve">. </w:t>
      </w:r>
      <w:r w:rsidRPr="00DF5F86">
        <w:rPr>
          <w:rFonts w:eastAsia="Times New Roman"/>
          <w:noProof/>
          <w:szCs w:val="24"/>
          <w:lang w:val="en-US"/>
        </w:rPr>
        <w:t>The actions in this Regulation do not affect Member States’</w:t>
      </w:r>
      <w:r w:rsidRPr="008D6611">
        <w:rPr>
          <w:noProof/>
          <w:lang w:val="en-US"/>
        </w:rPr>
        <w:t xml:space="preserve"> responsibilities for national security, public security, the prevention, investigation, detection, and prosecution of criminal offences. </w:t>
      </w:r>
      <w:r w:rsidRPr="00DF5F86">
        <w:rPr>
          <w:rFonts w:eastAsia="Times New Roman"/>
          <w:noProof/>
          <w:szCs w:val="24"/>
          <w:lang w:val="en-US"/>
        </w:rPr>
        <w:t>Nor do</w:t>
      </w:r>
      <w:r w:rsidR="00DF5F86" w:rsidRPr="00DF5F86">
        <w:rPr>
          <w:rFonts w:eastAsia="Times New Roman"/>
          <w:noProof/>
          <w:szCs w:val="24"/>
          <w:lang w:val="en-US"/>
        </w:rPr>
        <w:t xml:space="preserve"> </w:t>
      </w:r>
      <w:r w:rsidR="00A441E1" w:rsidRPr="00DF5F86">
        <w:rPr>
          <w:rFonts w:eastAsia="Times New Roman"/>
          <w:noProof/>
          <w:szCs w:val="24"/>
          <w:lang w:val="en-US"/>
        </w:rPr>
        <w:t>they</w:t>
      </w:r>
      <w:r w:rsidRPr="00DF5F86">
        <w:rPr>
          <w:rFonts w:eastAsia="Times New Roman"/>
          <w:noProof/>
          <w:szCs w:val="24"/>
          <w:lang w:val="en-US"/>
        </w:rPr>
        <w:t xml:space="preserve"> affect the legal obligations of </w:t>
      </w:r>
      <w:r w:rsidR="00A441E1" w:rsidRPr="00DF5F86">
        <w:rPr>
          <w:rFonts w:eastAsia="Times New Roman"/>
          <w:noProof/>
          <w:szCs w:val="24"/>
          <w:lang w:val="en-US"/>
        </w:rPr>
        <w:t>entities operating in critical and highly critical sectors</w:t>
      </w:r>
      <w:r w:rsidRPr="00DF5F86">
        <w:rPr>
          <w:rFonts w:eastAsia="Times New Roman"/>
          <w:noProof/>
          <w:szCs w:val="24"/>
          <w:lang w:val="en-US"/>
        </w:rPr>
        <w:t xml:space="preserve"> to adopt cybersecurity measures, in accordance with the NIS 2 Directive</w:t>
      </w:r>
      <w:r w:rsidRPr="008D6611">
        <w:rPr>
          <w:noProof/>
          <w:lang w:val="en-US"/>
        </w:rPr>
        <w:t xml:space="preserve">. </w:t>
      </w:r>
    </w:p>
    <w:p w14:paraId="66BFEE84" w14:textId="77777777" w:rsidR="5057DF18" w:rsidRPr="00DF5F86" w:rsidRDefault="5057DF18" w:rsidP="008D6611">
      <w:pPr>
        <w:spacing w:before="240" w:line="276" w:lineRule="auto"/>
        <w:rPr>
          <w:noProof/>
        </w:rPr>
      </w:pPr>
      <w:r w:rsidRPr="00DF5F86">
        <w:rPr>
          <w:rFonts w:eastAsia="Times New Roman"/>
          <w:noProof/>
          <w:szCs w:val="24"/>
          <w:lang w:val="en-US"/>
        </w:rPr>
        <w:t xml:space="preserve">The actions covered by this Regulation are complementary to such efforts and measures, by supporting the creation of infrastructures for better detection and analysis of threats and providing support for preparedness and response actions in case of significant or large-scale incidents. </w:t>
      </w:r>
    </w:p>
    <w:p w14:paraId="6C2E2EA5" w14:textId="77777777" w:rsidR="5057DF18" w:rsidRPr="008D6611" w:rsidRDefault="5057DF18" w:rsidP="008D6611">
      <w:pPr>
        <w:ind w:left="850" w:hanging="850"/>
        <w:rPr>
          <w:noProof/>
        </w:rPr>
      </w:pPr>
      <w:r w:rsidRPr="008D6611">
        <w:rPr>
          <w:b/>
          <w:noProof/>
          <w:lang w:val="en-US"/>
        </w:rPr>
        <w:t>•</w:t>
      </w:r>
      <w:r w:rsidRPr="008D6611">
        <w:rPr>
          <w:noProof/>
        </w:rPr>
        <w:tab/>
      </w:r>
      <w:r w:rsidRPr="008D6611">
        <w:rPr>
          <w:b/>
          <w:noProof/>
          <w:lang w:val="en-US"/>
        </w:rPr>
        <w:t>Choice of the instrument</w:t>
      </w:r>
    </w:p>
    <w:p w14:paraId="42C050F9" w14:textId="7DD2183F" w:rsidR="5057DF18" w:rsidRPr="00CE39FB" w:rsidRDefault="5057DF18" w:rsidP="008D6611">
      <w:pPr>
        <w:spacing w:before="240" w:line="276" w:lineRule="auto"/>
        <w:rPr>
          <w:noProof/>
        </w:rPr>
      </w:pPr>
      <w:r w:rsidRPr="008D6611">
        <w:rPr>
          <w:noProof/>
          <w:lang w:val="en-US"/>
        </w:rPr>
        <w:t>The proposal takes the form of a Regulation of the European Parliament and of the Council. This is the most suitable legal instrument, as only a Regulation, with its directly applicable legal provisions, can provide the necessary degree of uniformity needed for the establishment and operation of a European Cyber Shield and Cyber Emergency Mechanism</w:t>
      </w:r>
      <w:r w:rsidRPr="00DF5F86">
        <w:rPr>
          <w:rFonts w:eastAsia="Times New Roman"/>
          <w:noProof/>
          <w:szCs w:val="24"/>
          <w:lang w:val="en-US"/>
        </w:rPr>
        <w:t>, by providing for</w:t>
      </w:r>
      <w:r w:rsidRPr="00DF5F86">
        <w:rPr>
          <w:rFonts w:eastAsia="Times New Roman"/>
          <w:noProof/>
          <w:szCs w:val="24"/>
        </w:rPr>
        <w:t xml:space="preserve"> support from </w:t>
      </w:r>
      <w:r w:rsidR="00D369E4">
        <w:rPr>
          <w:noProof/>
        </w:rPr>
        <w:t>DEP</w:t>
      </w:r>
      <w:r w:rsidRPr="008D6611">
        <w:rPr>
          <w:noProof/>
        </w:rPr>
        <w:t xml:space="preserve"> </w:t>
      </w:r>
      <w:r w:rsidRPr="00DF5F86">
        <w:rPr>
          <w:rFonts w:eastAsia="Times New Roman"/>
          <w:noProof/>
          <w:szCs w:val="24"/>
        </w:rPr>
        <w:t>for their establishment as well as clear conditions for using and allocating this support.</w:t>
      </w:r>
      <w:r w:rsidRPr="00CE39FB">
        <w:rPr>
          <w:rFonts w:eastAsia="Times New Roman"/>
          <w:noProof/>
          <w:szCs w:val="24"/>
          <w:u w:val="single"/>
        </w:rPr>
        <w:t xml:space="preserve"> </w:t>
      </w:r>
    </w:p>
    <w:p w14:paraId="66EF42FC" w14:textId="77777777" w:rsidR="6CEE828D" w:rsidRPr="00CE39FB" w:rsidRDefault="6CEE828D" w:rsidP="6CEE828D">
      <w:pPr>
        <w:pStyle w:val="Text1"/>
        <w:ind w:left="0"/>
        <w:rPr>
          <w:noProof/>
          <w:lang w:val="en-US"/>
        </w:rPr>
      </w:pPr>
    </w:p>
    <w:p w14:paraId="03E9B849" w14:textId="77777777" w:rsidR="6CEE828D" w:rsidRPr="008D6611" w:rsidRDefault="6CEE828D" w:rsidP="008D6611">
      <w:pPr>
        <w:pStyle w:val="Text1"/>
        <w:ind w:left="0"/>
        <w:rPr>
          <w:noProof/>
          <w:lang w:val="en-US"/>
        </w:rPr>
      </w:pPr>
    </w:p>
    <w:p w14:paraId="384F69DD" w14:textId="77777777" w:rsidR="004770F6" w:rsidRPr="008D6611" w:rsidRDefault="004770F6" w:rsidP="008D6611">
      <w:pPr>
        <w:pStyle w:val="ManualHeading2"/>
        <w:rPr>
          <w:noProof/>
          <w:lang w:val="en-US"/>
        </w:rPr>
      </w:pPr>
      <w:r w:rsidRPr="00CE39FB">
        <w:rPr>
          <w:noProof/>
        </w:rPr>
        <w:t>3.</w:t>
      </w:r>
      <w:r w:rsidRPr="00CE39FB">
        <w:rPr>
          <w:noProof/>
        </w:rPr>
        <w:tab/>
        <w:t>RESULTS OF EX-POST EVALUATIONS, STAKEHOLDER CONSULTATIONS AND IMPACT ASSESSMENTS</w:t>
      </w:r>
    </w:p>
    <w:p w14:paraId="599D169B" w14:textId="77777777" w:rsidR="004770F6" w:rsidRPr="00CE39FB" w:rsidRDefault="004770F6" w:rsidP="007A7419">
      <w:pPr>
        <w:pStyle w:val="ManualHeading2"/>
        <w:ind w:left="0" w:firstLine="0"/>
        <w:rPr>
          <w:rFonts w:eastAsia="Arial Unicode MS"/>
          <w:noProof/>
        </w:rPr>
      </w:pPr>
    </w:p>
    <w:p w14:paraId="7A79118C" w14:textId="77777777" w:rsidR="004770F6" w:rsidRPr="00CE39FB" w:rsidRDefault="004770F6">
      <w:pPr>
        <w:pStyle w:val="ManualHeading2"/>
        <w:rPr>
          <w:rFonts w:eastAsia="Arial Unicode MS"/>
          <w:noProof/>
          <w:u w:color="000000"/>
          <w:bdr w:val="nil"/>
          <w:lang w:val="en-US" w:eastAsia="en-GB"/>
        </w:rPr>
      </w:pPr>
      <w:r w:rsidRPr="008D6611">
        <w:rPr>
          <w:noProof/>
          <w:bdr w:val="nil"/>
          <w:lang w:val="en-US"/>
        </w:rPr>
        <w:t>•</w:t>
      </w:r>
      <w:r w:rsidRPr="00CE39FB">
        <w:rPr>
          <w:rFonts w:eastAsia="Arial Unicode MS"/>
          <w:noProof/>
          <w:u w:color="000000"/>
          <w:bdr w:val="nil"/>
          <w:lang w:val="en-US" w:eastAsia="en-GB"/>
        </w:rPr>
        <w:tab/>
      </w:r>
      <w:r w:rsidRPr="008D6611">
        <w:rPr>
          <w:noProof/>
          <w:bdr w:val="nil"/>
          <w:lang w:val="en-US"/>
        </w:rPr>
        <w:t>Stakeholder consultations</w:t>
      </w:r>
    </w:p>
    <w:p w14:paraId="11A30E84" w14:textId="158A5F05" w:rsidR="004770F6" w:rsidRPr="008D6611" w:rsidRDefault="7ECD5F4C" w:rsidP="008D6611">
      <w:pPr>
        <w:spacing w:before="240" w:line="276" w:lineRule="auto"/>
        <w:rPr>
          <w:noProof/>
        </w:rPr>
      </w:pPr>
      <w:r w:rsidRPr="008D6611">
        <w:rPr>
          <w:noProof/>
          <w:lang w:val="en-US"/>
        </w:rPr>
        <w:t xml:space="preserve">The actions of this Regulation will be supported by </w:t>
      </w:r>
      <w:r w:rsidR="00D369E4">
        <w:rPr>
          <w:noProof/>
          <w:lang w:val="en-US"/>
        </w:rPr>
        <w:t>DEP</w:t>
      </w:r>
      <w:r w:rsidRPr="008D6611">
        <w:rPr>
          <w:noProof/>
          <w:lang w:val="en-US"/>
        </w:rPr>
        <w:t xml:space="preserve">, which was subject to </w:t>
      </w:r>
      <w:r w:rsidR="2C1E2784" w:rsidRPr="008D6611">
        <w:rPr>
          <w:noProof/>
          <w:lang w:val="en-US"/>
        </w:rPr>
        <w:t>wide</w:t>
      </w:r>
      <w:r w:rsidRPr="008D6611">
        <w:rPr>
          <w:noProof/>
          <w:lang w:val="en-US"/>
        </w:rPr>
        <w:t xml:space="preserve"> consultation. In addition, </w:t>
      </w:r>
      <w:r w:rsidR="352CBA6B" w:rsidRPr="00DF5F86">
        <w:rPr>
          <w:rFonts w:eastAsia="Times New Roman"/>
          <w:noProof/>
          <w:lang w:val="en-US"/>
        </w:rPr>
        <w:t>they</w:t>
      </w:r>
      <w:r w:rsidRPr="008D6611">
        <w:rPr>
          <w:noProof/>
          <w:lang w:val="en-US"/>
        </w:rPr>
        <w:t xml:space="preserve"> will build on first steps </w:t>
      </w:r>
      <w:r w:rsidR="446C8FD4" w:rsidRPr="00DF5F86">
        <w:rPr>
          <w:rFonts w:eastAsia="Times New Roman"/>
          <w:noProof/>
          <w:lang w:val="en-US"/>
        </w:rPr>
        <w:t>that have been prepared</w:t>
      </w:r>
      <w:r w:rsidRPr="008D6611">
        <w:rPr>
          <w:noProof/>
          <w:lang w:val="en-US"/>
        </w:rPr>
        <w:t xml:space="preserve"> in close cooperation with the main stakeholders. </w:t>
      </w:r>
      <w:r w:rsidRPr="00DF5F86">
        <w:rPr>
          <w:rFonts w:eastAsia="Times New Roman"/>
          <w:noProof/>
          <w:lang w:val="en-US"/>
        </w:rPr>
        <w:t>As regards</w:t>
      </w:r>
      <w:r w:rsidRPr="008D6611">
        <w:rPr>
          <w:noProof/>
          <w:lang w:val="en-US"/>
        </w:rPr>
        <w:t xml:space="preserve"> SOCs</w:t>
      </w:r>
      <w:r w:rsidR="00DF5F86" w:rsidRPr="008D6611">
        <w:rPr>
          <w:noProof/>
          <w:lang w:val="en-US"/>
        </w:rPr>
        <w:t xml:space="preserve">, </w:t>
      </w:r>
      <w:r w:rsidRPr="008D6611">
        <w:rPr>
          <w:noProof/>
          <w:lang w:val="en-US"/>
        </w:rPr>
        <w:t xml:space="preserve">the Commission has developed a concept </w:t>
      </w:r>
      <w:r w:rsidRPr="001C7B16">
        <w:rPr>
          <w:noProof/>
          <w:lang w:val="en-US"/>
        </w:rPr>
        <w:t>paper</w:t>
      </w:r>
      <w:r w:rsidR="00763EBD" w:rsidRPr="001C7B16">
        <w:rPr>
          <w:noProof/>
          <w:lang w:val="en-US"/>
        </w:rPr>
        <w:t xml:space="preserve"> on the development of cross-border SOCs platform</w:t>
      </w:r>
      <w:r w:rsidR="009C5655">
        <w:rPr>
          <w:noProof/>
          <w:lang w:val="en-US"/>
        </w:rPr>
        <w:t>s</w:t>
      </w:r>
      <w:r w:rsidRPr="008D6611">
        <w:rPr>
          <w:noProof/>
          <w:lang w:val="en-US"/>
        </w:rPr>
        <w:t xml:space="preserve"> and a </w:t>
      </w:r>
      <w:r w:rsidR="32008BC6" w:rsidRPr="00DF5F86">
        <w:rPr>
          <w:rFonts w:eastAsia="Times New Roman"/>
          <w:noProof/>
          <w:lang w:val="en-US"/>
        </w:rPr>
        <w:t>C</w:t>
      </w:r>
      <w:r w:rsidRPr="00DF5F86">
        <w:rPr>
          <w:rFonts w:eastAsia="Times New Roman"/>
          <w:noProof/>
          <w:lang w:val="en-US"/>
        </w:rPr>
        <w:t>all</w:t>
      </w:r>
      <w:r w:rsidRPr="008D6611">
        <w:rPr>
          <w:noProof/>
          <w:lang w:val="en-US"/>
        </w:rPr>
        <w:t xml:space="preserve"> for </w:t>
      </w:r>
      <w:r w:rsidR="524A3233" w:rsidRPr="00DF5F86">
        <w:rPr>
          <w:rFonts w:eastAsia="Times New Roman"/>
          <w:noProof/>
          <w:lang w:val="en-US"/>
        </w:rPr>
        <w:t>E</w:t>
      </w:r>
      <w:r w:rsidRPr="00DF5F86">
        <w:rPr>
          <w:rFonts w:eastAsia="Times New Roman"/>
          <w:noProof/>
          <w:lang w:val="en-US"/>
        </w:rPr>
        <w:t>xpression</w:t>
      </w:r>
      <w:r w:rsidRPr="008D6611">
        <w:rPr>
          <w:noProof/>
          <w:lang w:val="en-US"/>
        </w:rPr>
        <w:t xml:space="preserve"> of </w:t>
      </w:r>
      <w:r w:rsidR="060FBF4E" w:rsidRPr="00DF5F86">
        <w:rPr>
          <w:rFonts w:eastAsia="Times New Roman"/>
          <w:noProof/>
          <w:lang w:val="en-US"/>
        </w:rPr>
        <w:t>I</w:t>
      </w:r>
      <w:r w:rsidRPr="00DF5F86">
        <w:rPr>
          <w:rFonts w:eastAsia="Times New Roman"/>
          <w:noProof/>
          <w:lang w:val="en-US"/>
        </w:rPr>
        <w:t>nterest</w:t>
      </w:r>
      <w:r w:rsidRPr="008D6611">
        <w:rPr>
          <w:noProof/>
          <w:lang w:val="en-US"/>
        </w:rPr>
        <w:t xml:space="preserve"> in close cooperation with </w:t>
      </w:r>
      <w:r w:rsidRPr="00DF5F86">
        <w:rPr>
          <w:rFonts w:eastAsia="Times New Roman"/>
          <w:noProof/>
          <w:lang w:val="en-US"/>
        </w:rPr>
        <w:t xml:space="preserve">Member States in the framework of </w:t>
      </w:r>
      <w:r w:rsidRPr="008D6611">
        <w:rPr>
          <w:noProof/>
          <w:lang w:val="en-US"/>
        </w:rPr>
        <w:t>the European Cybersecurity Competence Centre (ECCC</w:t>
      </w:r>
      <w:r w:rsidRPr="00DF5F86">
        <w:rPr>
          <w:rFonts w:eastAsia="Times New Roman"/>
          <w:noProof/>
          <w:lang w:val="en-US"/>
        </w:rPr>
        <w:t xml:space="preserve">). </w:t>
      </w:r>
      <w:r w:rsidR="63D4411A" w:rsidRPr="00DF5F86">
        <w:rPr>
          <w:rFonts w:eastAsia="Times New Roman"/>
          <w:noProof/>
          <w:lang w:val="en-US"/>
        </w:rPr>
        <w:t>In this context</w:t>
      </w:r>
      <w:r w:rsidRPr="008D6611">
        <w:rPr>
          <w:noProof/>
          <w:lang w:val="en-US"/>
        </w:rPr>
        <w:t xml:space="preserve">, a survey of national SOCs capacities was conducted and common </w:t>
      </w:r>
      <w:r w:rsidR="3B9350CF" w:rsidRPr="00DF5F86">
        <w:rPr>
          <w:rFonts w:eastAsia="Times New Roman"/>
          <w:noProof/>
          <w:lang w:val="en-US"/>
        </w:rPr>
        <w:t xml:space="preserve">approaches and </w:t>
      </w:r>
      <w:r w:rsidRPr="008D6611">
        <w:rPr>
          <w:noProof/>
          <w:lang w:val="en-US"/>
        </w:rPr>
        <w:t xml:space="preserve">technical requirements </w:t>
      </w:r>
      <w:r w:rsidR="31EB4DC8" w:rsidRPr="00DF5F86">
        <w:rPr>
          <w:rFonts w:eastAsia="Times New Roman"/>
          <w:noProof/>
          <w:lang w:val="en-US"/>
        </w:rPr>
        <w:t>have</w:t>
      </w:r>
      <w:r w:rsidRPr="00DF5F86">
        <w:rPr>
          <w:rFonts w:eastAsia="Times New Roman"/>
          <w:noProof/>
          <w:lang w:val="en-US"/>
        </w:rPr>
        <w:t xml:space="preserve"> be</w:t>
      </w:r>
      <w:r w:rsidR="4438B108" w:rsidRPr="00DF5F86">
        <w:rPr>
          <w:rFonts w:eastAsia="Times New Roman"/>
          <w:noProof/>
          <w:lang w:val="en-US"/>
        </w:rPr>
        <w:t>en</w:t>
      </w:r>
      <w:r w:rsidRPr="008D6611">
        <w:rPr>
          <w:noProof/>
          <w:lang w:val="en-US"/>
        </w:rPr>
        <w:t xml:space="preserve"> discussed </w:t>
      </w:r>
      <w:r w:rsidR="00763EBD" w:rsidRPr="001C7B16">
        <w:rPr>
          <w:noProof/>
          <w:lang w:val="en-US"/>
        </w:rPr>
        <w:t>with</w:t>
      </w:r>
      <w:r w:rsidRPr="001C7B16">
        <w:rPr>
          <w:noProof/>
          <w:lang w:val="en-US"/>
        </w:rPr>
        <w:t>in the technical working group of the ECCC</w:t>
      </w:r>
      <w:r w:rsidR="00763EBD" w:rsidRPr="001C7B16">
        <w:rPr>
          <w:noProof/>
          <w:lang w:val="en-US"/>
        </w:rPr>
        <w:t xml:space="preserve"> that gathers representatives of Member States</w:t>
      </w:r>
      <w:r w:rsidR="6B7EEEC5" w:rsidRPr="00DF5F86">
        <w:rPr>
          <w:rFonts w:eastAsia="Times New Roman"/>
          <w:noProof/>
          <w:lang w:val="en-US"/>
        </w:rPr>
        <w:t>.</w:t>
      </w:r>
      <w:r w:rsidRPr="008D6611">
        <w:rPr>
          <w:noProof/>
          <w:lang w:val="en-US"/>
        </w:rPr>
        <w:t xml:space="preserve"> In addition, exchanges took place with industry, </w:t>
      </w:r>
      <w:r w:rsidR="4BF472FD" w:rsidRPr="00DF5F86">
        <w:rPr>
          <w:rFonts w:eastAsia="Times New Roman"/>
          <w:noProof/>
          <w:lang w:val="en-US"/>
        </w:rPr>
        <w:t>notably</w:t>
      </w:r>
      <w:r w:rsidR="4BF472FD" w:rsidRPr="008D6611">
        <w:rPr>
          <w:noProof/>
          <w:lang w:val="en-US"/>
        </w:rPr>
        <w:t xml:space="preserve"> </w:t>
      </w:r>
      <w:r w:rsidRPr="008D6611">
        <w:rPr>
          <w:noProof/>
          <w:lang w:val="en-US"/>
        </w:rPr>
        <w:t xml:space="preserve">through </w:t>
      </w:r>
      <w:r w:rsidR="2AC2B374" w:rsidRPr="008D6611">
        <w:rPr>
          <w:noProof/>
          <w:lang w:val="en-US"/>
        </w:rPr>
        <w:t xml:space="preserve">the </w:t>
      </w:r>
      <w:r w:rsidR="2AC2B374" w:rsidRPr="00DF5F86">
        <w:rPr>
          <w:rFonts w:eastAsia="Times New Roman"/>
          <w:noProof/>
          <w:lang w:val="en-US"/>
        </w:rPr>
        <w:t>expert group on SOCs created by ENISA</w:t>
      </w:r>
      <w:r w:rsidR="2627CFA1" w:rsidRPr="00DF5F86">
        <w:rPr>
          <w:rFonts w:eastAsia="Times New Roman"/>
          <w:noProof/>
          <w:lang w:val="en-US"/>
        </w:rPr>
        <w:t xml:space="preserve"> and</w:t>
      </w:r>
      <w:r w:rsidR="2AC2B374" w:rsidRPr="00DF5F86">
        <w:rPr>
          <w:rFonts w:eastAsia="Times New Roman"/>
          <w:noProof/>
          <w:lang w:val="en-US"/>
        </w:rPr>
        <w:t xml:space="preserve"> </w:t>
      </w:r>
      <w:r w:rsidRPr="00DF5F86">
        <w:rPr>
          <w:rFonts w:eastAsia="Times New Roman"/>
          <w:noProof/>
          <w:lang w:val="en-US"/>
        </w:rPr>
        <w:t xml:space="preserve">the </w:t>
      </w:r>
      <w:r w:rsidRPr="008D6611">
        <w:rPr>
          <w:noProof/>
          <w:lang w:val="en-US"/>
        </w:rPr>
        <w:t xml:space="preserve">European Cyber Security </w:t>
      </w:r>
      <w:r w:rsidRPr="00CE39FB">
        <w:rPr>
          <w:rFonts w:eastAsia="Times New Roman"/>
          <w:noProof/>
          <w:lang w:val="en-IE"/>
        </w:rPr>
        <w:t>Organisation</w:t>
      </w:r>
      <w:r w:rsidR="00DF5F86">
        <w:rPr>
          <w:rFonts w:eastAsia="Times New Roman"/>
          <w:noProof/>
          <w:lang w:val="en-IE"/>
        </w:rPr>
        <w:t xml:space="preserve"> </w:t>
      </w:r>
      <w:r w:rsidR="00D369E4">
        <w:rPr>
          <w:rFonts w:eastAsia="Times New Roman"/>
          <w:noProof/>
          <w:lang w:val="en-IE"/>
        </w:rPr>
        <w:t>(</w:t>
      </w:r>
      <w:r w:rsidRPr="008D6611">
        <w:rPr>
          <w:noProof/>
          <w:lang w:val="en-US"/>
        </w:rPr>
        <w:t>ECSO</w:t>
      </w:r>
      <w:r w:rsidR="00D369E4">
        <w:rPr>
          <w:noProof/>
          <w:lang w:val="en-US"/>
        </w:rPr>
        <w:t>)</w:t>
      </w:r>
      <w:r w:rsidR="32D5DCD0" w:rsidRPr="00CE39FB">
        <w:rPr>
          <w:rFonts w:eastAsia="Times New Roman"/>
          <w:noProof/>
          <w:lang w:val="en-US"/>
        </w:rPr>
        <w:t>.</w:t>
      </w:r>
    </w:p>
    <w:p w14:paraId="37708BBC" w14:textId="786BEE59" w:rsidR="004770F6" w:rsidRPr="00CE39FB" w:rsidRDefault="7ECD5F4C" w:rsidP="008D6611">
      <w:pPr>
        <w:spacing w:before="240" w:line="276" w:lineRule="auto"/>
        <w:rPr>
          <w:rFonts w:eastAsia="Times New Roman"/>
          <w:noProof/>
          <w:lang w:val="en-US"/>
        </w:rPr>
      </w:pPr>
      <w:r w:rsidRPr="00CE39FB">
        <w:rPr>
          <w:rFonts w:eastAsia="Times New Roman"/>
          <w:noProof/>
          <w:lang w:val="en-US"/>
        </w:rPr>
        <w:t xml:space="preserve">Secondly, </w:t>
      </w:r>
      <w:r w:rsidR="5C669A4F" w:rsidRPr="00CE39FB">
        <w:rPr>
          <w:rFonts w:eastAsia="Times New Roman"/>
          <w:noProof/>
          <w:lang w:val="en-US"/>
        </w:rPr>
        <w:t xml:space="preserve">as regards </w:t>
      </w:r>
      <w:r w:rsidR="5C71967A" w:rsidRPr="00CE39FB">
        <w:rPr>
          <w:rFonts w:eastAsia="Times New Roman"/>
          <w:noProof/>
          <w:lang w:val="en-US"/>
        </w:rPr>
        <w:t>preparedness</w:t>
      </w:r>
      <w:r w:rsidR="5C669A4F" w:rsidRPr="00CE39FB">
        <w:rPr>
          <w:rFonts w:eastAsia="Times New Roman"/>
          <w:noProof/>
          <w:lang w:val="en-US"/>
        </w:rPr>
        <w:t xml:space="preserve"> and incident response,</w:t>
      </w:r>
      <w:r w:rsidR="0587057D" w:rsidRPr="00CE39FB">
        <w:rPr>
          <w:rFonts w:eastAsia="Times New Roman"/>
          <w:noProof/>
          <w:szCs w:val="24"/>
          <w:lang w:val="en-US"/>
        </w:rPr>
        <w:t xml:space="preserve"> the Commission has set up a short-term </w:t>
      </w:r>
      <w:r w:rsidR="0587057D" w:rsidRPr="00CE39FB">
        <w:rPr>
          <w:rFonts w:eastAsia="Times New Roman"/>
          <w:noProof/>
          <w:szCs w:val="24"/>
          <w:lang w:val="en-IE"/>
        </w:rPr>
        <w:t>programme</w:t>
      </w:r>
      <w:r w:rsidR="0587057D" w:rsidRPr="00CE39FB">
        <w:rPr>
          <w:rFonts w:eastAsia="Times New Roman"/>
          <w:noProof/>
          <w:szCs w:val="24"/>
          <w:lang w:val="en-US"/>
        </w:rPr>
        <w:t xml:space="preserve"> to support Member States, through additional funding allocated to ENISA</w:t>
      </w:r>
      <w:r w:rsidR="00A85893">
        <w:rPr>
          <w:rFonts w:eastAsia="Times New Roman"/>
          <w:noProof/>
          <w:szCs w:val="24"/>
          <w:lang w:val="en-US"/>
        </w:rPr>
        <w:t xml:space="preserve"> from </w:t>
      </w:r>
      <w:r w:rsidR="00D369E4">
        <w:rPr>
          <w:rFonts w:eastAsia="Times New Roman"/>
          <w:noProof/>
          <w:szCs w:val="24"/>
          <w:lang w:val="en-US"/>
        </w:rPr>
        <w:t>DEP</w:t>
      </w:r>
      <w:r w:rsidR="5CC51058" w:rsidRPr="00CE39FB">
        <w:rPr>
          <w:rFonts w:eastAsia="Times New Roman"/>
          <w:noProof/>
          <w:szCs w:val="24"/>
          <w:lang w:val="en-US"/>
        </w:rPr>
        <w:t>, to immediately reinforce preparedness and capacities to respond to major cyber incident</w:t>
      </w:r>
      <w:r w:rsidR="00D369E4">
        <w:rPr>
          <w:rFonts w:eastAsia="Times New Roman"/>
          <w:noProof/>
          <w:szCs w:val="24"/>
          <w:lang w:val="en-US"/>
        </w:rPr>
        <w:t>s</w:t>
      </w:r>
      <w:r w:rsidR="0587057D" w:rsidRPr="00CE39FB">
        <w:rPr>
          <w:rFonts w:eastAsia="Times New Roman"/>
          <w:noProof/>
          <w:szCs w:val="24"/>
          <w:lang w:val="en-US"/>
        </w:rPr>
        <w:t xml:space="preserve">. </w:t>
      </w:r>
      <w:r w:rsidR="00763EBD" w:rsidRPr="001C7B16">
        <w:rPr>
          <w:rFonts w:eastAsia="Times New Roman"/>
          <w:noProof/>
          <w:szCs w:val="24"/>
          <w:lang w:val="en-US"/>
        </w:rPr>
        <w:t>Member States</w:t>
      </w:r>
      <w:r w:rsidR="009C5655">
        <w:rPr>
          <w:rFonts w:eastAsia="Times New Roman"/>
          <w:noProof/>
          <w:szCs w:val="24"/>
          <w:lang w:val="en-US"/>
        </w:rPr>
        <w:t>’</w:t>
      </w:r>
      <w:r w:rsidR="00763EBD" w:rsidRPr="001C7B16">
        <w:rPr>
          <w:rFonts w:eastAsia="Times New Roman"/>
          <w:noProof/>
          <w:szCs w:val="24"/>
          <w:lang w:val="en-US"/>
        </w:rPr>
        <w:t xml:space="preserve"> and industry’s feedback gathered during the implementation of this short-term programme </w:t>
      </w:r>
      <w:r w:rsidR="00C86ABD" w:rsidRPr="001C7B16">
        <w:rPr>
          <w:rFonts w:eastAsia="Times New Roman"/>
          <w:noProof/>
          <w:szCs w:val="24"/>
          <w:lang w:val="en-US"/>
        </w:rPr>
        <w:t xml:space="preserve">is already </w:t>
      </w:r>
      <w:r w:rsidR="00763EBD" w:rsidRPr="001C7B16">
        <w:rPr>
          <w:rFonts w:eastAsia="Times New Roman"/>
          <w:noProof/>
          <w:szCs w:val="24"/>
          <w:lang w:val="en-US"/>
        </w:rPr>
        <w:t>providing valuable insights that have fed into the preparation of the proposed Regulation</w:t>
      </w:r>
      <w:r w:rsidR="00C86ABD" w:rsidRPr="001C7B16">
        <w:rPr>
          <w:rFonts w:eastAsia="Times New Roman"/>
          <w:noProof/>
          <w:szCs w:val="24"/>
          <w:lang w:val="en-US"/>
        </w:rPr>
        <w:t xml:space="preserve"> to address identified shortcomings</w:t>
      </w:r>
      <w:r w:rsidR="00763EBD" w:rsidRPr="001C7B16">
        <w:rPr>
          <w:rFonts w:eastAsia="Times New Roman"/>
          <w:noProof/>
          <w:szCs w:val="24"/>
          <w:lang w:val="en-US"/>
        </w:rPr>
        <w:t>.</w:t>
      </w:r>
      <w:r w:rsidR="00763EBD">
        <w:rPr>
          <w:rFonts w:eastAsia="Times New Roman"/>
          <w:noProof/>
          <w:szCs w:val="24"/>
          <w:lang w:val="en-US"/>
        </w:rPr>
        <w:t xml:space="preserve"> </w:t>
      </w:r>
      <w:r w:rsidR="0587057D" w:rsidRPr="00CE39FB">
        <w:rPr>
          <w:rFonts w:eastAsia="Times New Roman"/>
          <w:noProof/>
          <w:szCs w:val="24"/>
          <w:lang w:val="en-US"/>
        </w:rPr>
        <w:t xml:space="preserve">This was a first step in line with the Council conclusions on the Cyber posture requesting the Commission to come forward with a proposal for a </w:t>
      </w:r>
      <w:r w:rsidR="00F137CD" w:rsidRPr="00CE39FB">
        <w:rPr>
          <w:rFonts w:eastAsia="Times New Roman"/>
          <w:noProof/>
          <w:szCs w:val="24"/>
          <w:lang w:val="en-US"/>
        </w:rPr>
        <w:t>new Emergency Response Fund for Cybersecurity</w:t>
      </w:r>
      <w:r w:rsidR="0587057D" w:rsidRPr="00CE39FB">
        <w:rPr>
          <w:rFonts w:eastAsia="Times New Roman"/>
          <w:noProof/>
          <w:szCs w:val="24"/>
          <w:lang w:val="en-US"/>
        </w:rPr>
        <w:t xml:space="preserve">. </w:t>
      </w:r>
      <w:r w:rsidRPr="00CE39FB">
        <w:rPr>
          <w:rFonts w:eastAsia="Times New Roman"/>
          <w:noProof/>
          <w:lang w:val="en-US"/>
        </w:rPr>
        <w:t xml:space="preserve"> </w:t>
      </w:r>
    </w:p>
    <w:p w14:paraId="73AD8475" w14:textId="77777777" w:rsidR="004770F6" w:rsidRPr="008D6611" w:rsidRDefault="7ECD5F4C" w:rsidP="008D6611">
      <w:pPr>
        <w:spacing w:before="240" w:line="276" w:lineRule="auto"/>
        <w:rPr>
          <w:noProof/>
        </w:rPr>
      </w:pPr>
      <w:r w:rsidRPr="00DF5F86">
        <w:rPr>
          <w:rFonts w:eastAsia="Times New Roman"/>
          <w:noProof/>
          <w:lang w:val="en-US"/>
        </w:rPr>
        <w:t xml:space="preserve">In addition, </w:t>
      </w:r>
      <w:r w:rsidR="5EF713D3" w:rsidRPr="00DF5F86">
        <w:rPr>
          <w:rFonts w:eastAsia="Times New Roman"/>
          <w:noProof/>
          <w:lang w:val="en-US"/>
        </w:rPr>
        <w:t>a</w:t>
      </w:r>
      <w:r w:rsidRPr="00DF5F86">
        <w:rPr>
          <w:rFonts w:eastAsia="Times New Roman"/>
          <w:noProof/>
          <w:lang w:val="en-US"/>
        </w:rPr>
        <w:t xml:space="preserve"> workshop </w:t>
      </w:r>
      <w:r w:rsidR="79A3431F" w:rsidRPr="00DF5F86">
        <w:rPr>
          <w:rFonts w:eastAsia="Times New Roman"/>
          <w:noProof/>
          <w:lang w:val="en-US"/>
        </w:rPr>
        <w:t xml:space="preserve">with Member States experts </w:t>
      </w:r>
      <w:r w:rsidRPr="00DF5F86">
        <w:rPr>
          <w:rFonts w:eastAsia="Times New Roman"/>
          <w:noProof/>
          <w:lang w:val="en-US"/>
        </w:rPr>
        <w:t>on the Cyber Emergency Mechanism was held on 1</w:t>
      </w:r>
      <w:r w:rsidR="00F137CD" w:rsidRPr="00DF5F86">
        <w:rPr>
          <w:rFonts w:eastAsia="Times New Roman"/>
          <w:noProof/>
          <w:lang w:val="en-US"/>
        </w:rPr>
        <w:t>6</w:t>
      </w:r>
      <w:r w:rsidRPr="00DF5F86">
        <w:rPr>
          <w:rFonts w:eastAsia="Times New Roman"/>
          <w:noProof/>
          <w:lang w:val="en-US"/>
        </w:rPr>
        <w:t xml:space="preserve"> February</w:t>
      </w:r>
      <w:r w:rsidR="00F137CD" w:rsidRPr="00DF5F86">
        <w:rPr>
          <w:rFonts w:eastAsia="Times New Roman"/>
          <w:noProof/>
          <w:lang w:val="en-US"/>
        </w:rPr>
        <w:t xml:space="preserve"> 2023</w:t>
      </w:r>
      <w:r w:rsidRPr="00DF5F86">
        <w:rPr>
          <w:rFonts w:eastAsia="Times New Roman"/>
          <w:noProof/>
          <w:lang w:val="en-US"/>
        </w:rPr>
        <w:t>, on the basis of a discussion paper. All Member States participated in this workshop and eleven Member States provided further contributions in writing.</w:t>
      </w:r>
      <w:r w:rsidRPr="008D6611">
        <w:rPr>
          <w:noProof/>
          <w:lang w:val="en-US"/>
        </w:rPr>
        <w:t xml:space="preserve"> </w:t>
      </w:r>
    </w:p>
    <w:p w14:paraId="62BF828D" w14:textId="77777777" w:rsidR="004770F6" w:rsidRPr="008D6611" w:rsidRDefault="004770F6">
      <w:pPr>
        <w:pStyle w:val="ManualHeading2"/>
        <w:rPr>
          <w:noProof/>
          <w:bdr w:val="nil"/>
          <w:lang w:val="en-US"/>
        </w:rPr>
      </w:pPr>
      <w:r w:rsidRPr="008D6611">
        <w:rPr>
          <w:noProof/>
          <w:bdr w:val="nil"/>
          <w:lang w:val="en-US"/>
        </w:rPr>
        <w:t>•</w:t>
      </w:r>
      <w:r w:rsidRPr="00CE39FB">
        <w:rPr>
          <w:rFonts w:eastAsia="Arial Unicode MS"/>
          <w:noProof/>
          <w:u w:color="000000"/>
          <w:bdr w:val="nil"/>
          <w:lang w:val="en-US" w:eastAsia="en-GB"/>
        </w:rPr>
        <w:tab/>
      </w:r>
      <w:r w:rsidRPr="008D6611">
        <w:rPr>
          <w:noProof/>
          <w:bdr w:val="nil"/>
          <w:lang w:val="en-US"/>
        </w:rPr>
        <w:t>Impact assessment</w:t>
      </w:r>
    </w:p>
    <w:p w14:paraId="68003369" w14:textId="5FA3BAA0" w:rsidR="00443750" w:rsidRPr="008D6611" w:rsidRDefault="009ECC65" w:rsidP="008D6611">
      <w:pPr>
        <w:pBdr>
          <w:bar w:val="nil"/>
        </w:pBdr>
        <w:spacing w:before="240" w:line="276" w:lineRule="auto"/>
        <w:rPr>
          <w:noProof/>
        </w:rPr>
      </w:pPr>
      <w:r w:rsidRPr="00CE39FB">
        <w:rPr>
          <w:noProof/>
        </w:rPr>
        <w:t xml:space="preserve">Due to the urgent nature of the proposal, no impact assessment was carried out. </w:t>
      </w:r>
      <w:r w:rsidR="61ECECB9" w:rsidRPr="00CE39FB">
        <w:rPr>
          <w:noProof/>
        </w:rPr>
        <w:t>T</w:t>
      </w:r>
      <w:r w:rsidR="22810E22" w:rsidRPr="00CE39FB">
        <w:rPr>
          <w:noProof/>
        </w:rPr>
        <w:t>he</w:t>
      </w:r>
      <w:r w:rsidRPr="00CE39FB">
        <w:rPr>
          <w:noProof/>
        </w:rPr>
        <w:t xml:space="preserve"> actions of this Regulation will be supported by the DEP and are in line with those set in the DEP Regulation,</w:t>
      </w:r>
      <w:r w:rsidRPr="008D6611">
        <w:rPr>
          <w:noProof/>
        </w:rPr>
        <w:t xml:space="preserve"> </w:t>
      </w:r>
      <w:r w:rsidRPr="00CE39FB">
        <w:rPr>
          <w:noProof/>
        </w:rPr>
        <w:t xml:space="preserve">which was </w:t>
      </w:r>
      <w:r w:rsidRPr="008D6611">
        <w:rPr>
          <w:noProof/>
        </w:rPr>
        <w:t xml:space="preserve">subject to a dedicated </w:t>
      </w:r>
      <w:r w:rsidR="009C5655">
        <w:rPr>
          <w:noProof/>
        </w:rPr>
        <w:t>i</w:t>
      </w:r>
      <w:r w:rsidRPr="008D6611">
        <w:rPr>
          <w:noProof/>
        </w:rPr>
        <w:t>mpact assessment. This Regulation will not entail any significant administrative or environmental impacts beyond those already assessed in the impact assessment of the DEP Regulation.</w:t>
      </w:r>
      <w:r w:rsidRPr="00CE39FB">
        <w:rPr>
          <w:noProof/>
        </w:rPr>
        <w:t xml:space="preserve"> </w:t>
      </w:r>
    </w:p>
    <w:p w14:paraId="6AC13B54" w14:textId="77777777" w:rsidR="00443750" w:rsidRPr="00CE39FB" w:rsidRDefault="009ECC65" w:rsidP="008D6611">
      <w:pPr>
        <w:pBdr>
          <w:bar w:val="nil"/>
        </w:pBdr>
        <w:spacing w:before="240" w:line="276" w:lineRule="auto"/>
        <w:rPr>
          <w:rFonts w:eastAsia="Times New Roman"/>
          <w:noProof/>
        </w:rPr>
      </w:pPr>
      <w:r w:rsidRPr="00CE39FB">
        <w:rPr>
          <w:rFonts w:eastAsia="Times New Roman"/>
          <w:noProof/>
        </w:rPr>
        <w:t>Furthermore, it build</w:t>
      </w:r>
      <w:r w:rsidR="08EB1CC4" w:rsidRPr="00CE39FB">
        <w:rPr>
          <w:rFonts w:eastAsia="Times New Roman"/>
          <w:noProof/>
        </w:rPr>
        <w:t>s</w:t>
      </w:r>
      <w:r w:rsidRPr="00CE39FB">
        <w:rPr>
          <w:rFonts w:eastAsia="Times New Roman"/>
          <w:noProof/>
        </w:rPr>
        <w:t xml:space="preserve"> on </w:t>
      </w:r>
      <w:r w:rsidR="73D0DA70" w:rsidRPr="00CE39FB">
        <w:rPr>
          <w:rFonts w:eastAsia="Times New Roman"/>
          <w:noProof/>
        </w:rPr>
        <w:t xml:space="preserve">first </w:t>
      </w:r>
      <w:r w:rsidRPr="00CE39FB">
        <w:rPr>
          <w:rFonts w:eastAsia="Times New Roman"/>
          <w:noProof/>
        </w:rPr>
        <w:t>actions developed in closed collaboration with the main stakeholders</w:t>
      </w:r>
      <w:r w:rsidR="4F674117" w:rsidRPr="00CE39FB">
        <w:rPr>
          <w:rFonts w:eastAsia="Times New Roman"/>
          <w:noProof/>
        </w:rPr>
        <w:t>, as set out above</w:t>
      </w:r>
      <w:r w:rsidR="575E0CB9" w:rsidRPr="00CE39FB">
        <w:rPr>
          <w:rFonts w:eastAsia="Times New Roman"/>
          <w:noProof/>
        </w:rPr>
        <w:t xml:space="preserve">, and follow up on Member States’ call for the Commission to present </w:t>
      </w:r>
      <w:r w:rsidR="575E0CB9" w:rsidRPr="008D6611">
        <w:rPr>
          <w:noProof/>
        </w:rPr>
        <w:t xml:space="preserve">a proposal </w:t>
      </w:r>
      <w:r w:rsidR="23B58D67" w:rsidRPr="00CE39FB">
        <w:rPr>
          <w:rFonts w:eastAsia="Times New Roman"/>
          <w:noProof/>
          <w:szCs w:val="24"/>
        </w:rPr>
        <w:t>on</w:t>
      </w:r>
      <w:r w:rsidR="575E0CB9" w:rsidRPr="00CE39FB">
        <w:rPr>
          <w:rFonts w:eastAsia="Times New Roman"/>
          <w:noProof/>
          <w:szCs w:val="24"/>
        </w:rPr>
        <w:t xml:space="preserve"> a</w:t>
      </w:r>
      <w:r w:rsidR="23B58D67" w:rsidRPr="00CE39FB">
        <w:rPr>
          <w:rFonts w:eastAsia="Times New Roman"/>
          <w:noProof/>
          <w:szCs w:val="24"/>
        </w:rPr>
        <w:t xml:space="preserve"> new </w:t>
      </w:r>
      <w:r w:rsidR="23B58D67" w:rsidRPr="008D6611">
        <w:rPr>
          <w:noProof/>
        </w:rPr>
        <w:t xml:space="preserve">Emergency </w:t>
      </w:r>
      <w:r w:rsidR="23B58D67" w:rsidRPr="00CE39FB">
        <w:rPr>
          <w:rFonts w:eastAsia="Times New Roman"/>
          <w:noProof/>
          <w:szCs w:val="24"/>
        </w:rPr>
        <w:t xml:space="preserve">Response </w:t>
      </w:r>
      <w:r w:rsidR="23B58D67" w:rsidRPr="008D6611">
        <w:rPr>
          <w:noProof/>
        </w:rPr>
        <w:t>Fund for Cybersecurity</w:t>
      </w:r>
      <w:r w:rsidR="23B58D67" w:rsidRPr="00CE39FB">
        <w:rPr>
          <w:rFonts w:eastAsia="Times New Roman"/>
          <w:noProof/>
          <w:szCs w:val="24"/>
        </w:rPr>
        <w:t xml:space="preserve"> by </w:t>
      </w:r>
      <w:r w:rsidR="23B58D67" w:rsidRPr="008D6611">
        <w:rPr>
          <w:noProof/>
        </w:rPr>
        <w:t xml:space="preserve">the </w:t>
      </w:r>
      <w:r w:rsidR="23B58D67" w:rsidRPr="00CE39FB">
        <w:rPr>
          <w:rFonts w:eastAsia="Times New Roman"/>
          <w:noProof/>
          <w:szCs w:val="24"/>
        </w:rPr>
        <w:t>end</w:t>
      </w:r>
      <w:r w:rsidR="23B58D67" w:rsidRPr="008D6611">
        <w:rPr>
          <w:noProof/>
        </w:rPr>
        <w:t xml:space="preserve"> of </w:t>
      </w:r>
      <w:r w:rsidR="23B58D67" w:rsidRPr="00CE39FB">
        <w:rPr>
          <w:rFonts w:eastAsia="Times New Roman"/>
          <w:noProof/>
          <w:szCs w:val="24"/>
        </w:rPr>
        <w:t>Q3 2022.</w:t>
      </w:r>
    </w:p>
    <w:p w14:paraId="120DECD8" w14:textId="2EEB6D93" w:rsidR="00E01A27" w:rsidRPr="008D6611" w:rsidRDefault="00E01A27" w:rsidP="008D6611">
      <w:pPr>
        <w:spacing w:before="240" w:line="276" w:lineRule="auto"/>
        <w:rPr>
          <w:noProof/>
          <w:lang w:val="en-US"/>
        </w:rPr>
      </w:pPr>
      <w:r w:rsidRPr="00CE39FB">
        <w:rPr>
          <w:rFonts w:eastAsia="Times New Roman"/>
          <w:noProof/>
          <w:lang w:val="en-US"/>
        </w:rPr>
        <w:t>Speci</w:t>
      </w:r>
      <w:r w:rsidR="05B6899F" w:rsidRPr="00CE39FB">
        <w:rPr>
          <w:rFonts w:eastAsia="Times New Roman"/>
          <w:noProof/>
          <w:lang w:val="en-US"/>
        </w:rPr>
        <w:t>f</w:t>
      </w:r>
      <w:r w:rsidRPr="00CE39FB">
        <w:rPr>
          <w:rFonts w:eastAsia="Times New Roman"/>
          <w:noProof/>
          <w:lang w:val="en-US"/>
        </w:rPr>
        <w:t>i</w:t>
      </w:r>
      <w:r w:rsidR="444CAE3D" w:rsidRPr="00CE39FB">
        <w:rPr>
          <w:rFonts w:eastAsia="Times New Roman"/>
          <w:noProof/>
          <w:lang w:val="en-US"/>
        </w:rPr>
        <w:t>c</w:t>
      </w:r>
      <w:r w:rsidRPr="00CE39FB">
        <w:rPr>
          <w:rFonts w:eastAsia="Times New Roman"/>
          <w:noProof/>
          <w:lang w:val="en-US"/>
        </w:rPr>
        <w:t xml:space="preserve">ally, </w:t>
      </w:r>
      <w:r w:rsidR="1B14C011" w:rsidRPr="00CE39FB">
        <w:rPr>
          <w:rFonts w:eastAsia="Times New Roman"/>
          <w:noProof/>
          <w:lang w:val="en-US"/>
        </w:rPr>
        <w:t>r</w:t>
      </w:r>
      <w:r w:rsidR="1745DC4D" w:rsidRPr="00CE39FB">
        <w:rPr>
          <w:rFonts w:eastAsia="Times New Roman"/>
          <w:noProof/>
          <w:lang w:val="en-US"/>
        </w:rPr>
        <w:t xml:space="preserve">egarding situational awareness and detection under </w:t>
      </w:r>
      <w:r w:rsidR="1745DC4D" w:rsidRPr="008D6611">
        <w:rPr>
          <w:noProof/>
          <w:lang w:val="en-US"/>
        </w:rPr>
        <w:t xml:space="preserve">the European </w:t>
      </w:r>
      <w:r w:rsidR="1745DC4D" w:rsidRPr="00CE39FB">
        <w:rPr>
          <w:rFonts w:eastAsia="Times New Roman"/>
          <w:noProof/>
          <w:lang w:val="en-US"/>
        </w:rPr>
        <w:t xml:space="preserve">Cyber Shield, a </w:t>
      </w:r>
      <w:r w:rsidR="00F137CD" w:rsidRPr="00CE39FB">
        <w:rPr>
          <w:rFonts w:eastAsia="Times New Roman"/>
          <w:noProof/>
          <w:lang w:val="en-US"/>
        </w:rPr>
        <w:t>C</w:t>
      </w:r>
      <w:r w:rsidR="1745DC4D" w:rsidRPr="00CE39FB">
        <w:rPr>
          <w:rFonts w:eastAsia="Times New Roman"/>
          <w:noProof/>
          <w:lang w:val="en-US"/>
        </w:rPr>
        <w:t xml:space="preserve">all for </w:t>
      </w:r>
      <w:r w:rsidR="00F137CD" w:rsidRPr="00CE39FB">
        <w:rPr>
          <w:rFonts w:eastAsia="Times New Roman"/>
          <w:noProof/>
          <w:lang w:val="en-US"/>
        </w:rPr>
        <w:t>E</w:t>
      </w:r>
      <w:r w:rsidR="1745DC4D" w:rsidRPr="00CE39FB">
        <w:rPr>
          <w:rFonts w:eastAsia="Times New Roman"/>
          <w:noProof/>
          <w:lang w:val="en-US"/>
        </w:rPr>
        <w:t xml:space="preserve">xpression of </w:t>
      </w:r>
      <w:r w:rsidR="00F137CD" w:rsidRPr="00CE39FB">
        <w:rPr>
          <w:rFonts w:eastAsia="Times New Roman"/>
          <w:noProof/>
          <w:lang w:val="en-US"/>
        </w:rPr>
        <w:t>I</w:t>
      </w:r>
      <w:r w:rsidR="1745DC4D" w:rsidRPr="00CE39FB">
        <w:rPr>
          <w:rFonts w:eastAsia="Times New Roman"/>
          <w:noProof/>
          <w:lang w:val="en-US"/>
        </w:rPr>
        <w:t xml:space="preserve">nterest to jointly procure tools and infrastructure to establish Cross-border SOCs, and a call for grants to enable capacity building of SOCs serving public and private organisations, were held under </w:t>
      </w:r>
      <w:r w:rsidR="00D369E4">
        <w:rPr>
          <w:rFonts w:eastAsia="Times New Roman"/>
          <w:noProof/>
          <w:lang w:val="en-US"/>
        </w:rPr>
        <w:t>DEP</w:t>
      </w:r>
      <w:r w:rsidR="1745DC4D" w:rsidRPr="00CE39FB">
        <w:rPr>
          <w:rFonts w:eastAsia="Times New Roman"/>
          <w:noProof/>
          <w:lang w:val="en-US"/>
        </w:rPr>
        <w:t xml:space="preserve"> cybersecurity work programme 2021-2022.   </w:t>
      </w:r>
    </w:p>
    <w:p w14:paraId="3B43E074" w14:textId="18D761D1" w:rsidR="00E01A27" w:rsidRPr="00CE39FB" w:rsidRDefault="00D46999" w:rsidP="008D6611">
      <w:pPr>
        <w:spacing w:before="240" w:line="276" w:lineRule="auto"/>
        <w:rPr>
          <w:rFonts w:eastAsia="Times New Roman"/>
          <w:noProof/>
          <w:lang w:val="en-US"/>
        </w:rPr>
      </w:pPr>
      <w:r>
        <w:rPr>
          <w:rFonts w:eastAsia="Times New Roman"/>
          <w:noProof/>
          <w:lang w:val="en-US"/>
        </w:rPr>
        <w:t xml:space="preserve">In the area of </w:t>
      </w:r>
      <w:r w:rsidR="00E01A27" w:rsidRPr="00CE39FB">
        <w:rPr>
          <w:rFonts w:eastAsia="Times New Roman"/>
          <w:noProof/>
          <w:lang w:val="en-US"/>
        </w:rPr>
        <w:t xml:space="preserve">preparedness and incident response, </w:t>
      </w:r>
      <w:r>
        <w:rPr>
          <w:rFonts w:eastAsia="Times New Roman"/>
          <w:noProof/>
          <w:lang w:val="en-US"/>
        </w:rPr>
        <w:t xml:space="preserve">as mentioned above </w:t>
      </w:r>
      <w:r w:rsidR="00E01A27" w:rsidRPr="00CE39FB">
        <w:rPr>
          <w:rFonts w:eastAsia="Times New Roman"/>
          <w:noProof/>
          <w:lang w:val="en-US"/>
        </w:rPr>
        <w:t xml:space="preserve">the Commission has set up a short-term </w:t>
      </w:r>
      <w:r w:rsidR="00E01A27" w:rsidRPr="00CE39FB">
        <w:rPr>
          <w:rFonts w:eastAsia="Times New Roman"/>
          <w:noProof/>
          <w:szCs w:val="24"/>
          <w:lang w:val="en-US"/>
        </w:rPr>
        <w:t>programme to support Member States</w:t>
      </w:r>
      <w:r w:rsidR="00A85893">
        <w:rPr>
          <w:rFonts w:eastAsia="Times New Roman"/>
          <w:noProof/>
          <w:szCs w:val="24"/>
          <w:lang w:val="en-US"/>
        </w:rPr>
        <w:t xml:space="preserve"> from </w:t>
      </w:r>
      <w:r w:rsidR="00D369E4">
        <w:rPr>
          <w:rFonts w:eastAsia="Times New Roman"/>
          <w:noProof/>
          <w:szCs w:val="24"/>
          <w:lang w:val="en-US"/>
        </w:rPr>
        <w:t>DEP</w:t>
      </w:r>
      <w:r w:rsidR="00E01A27" w:rsidRPr="00CE39FB">
        <w:rPr>
          <w:rFonts w:eastAsia="Times New Roman"/>
          <w:noProof/>
          <w:szCs w:val="24"/>
          <w:lang w:val="en-US"/>
        </w:rPr>
        <w:t xml:space="preserve">, </w:t>
      </w:r>
      <w:r>
        <w:rPr>
          <w:rFonts w:eastAsia="Times New Roman"/>
          <w:noProof/>
          <w:szCs w:val="24"/>
          <w:lang w:val="en-US"/>
        </w:rPr>
        <w:t xml:space="preserve">being implemented by </w:t>
      </w:r>
      <w:r w:rsidR="00E01A27" w:rsidRPr="00CE39FB">
        <w:rPr>
          <w:rFonts w:eastAsia="Times New Roman"/>
          <w:noProof/>
          <w:szCs w:val="24"/>
          <w:lang w:val="en-US"/>
        </w:rPr>
        <w:t>ENISA</w:t>
      </w:r>
      <w:r w:rsidR="00E01A27" w:rsidRPr="00DF5F86">
        <w:rPr>
          <w:rFonts w:eastAsia="Times New Roman"/>
          <w:noProof/>
          <w:szCs w:val="24"/>
          <w:lang w:val="en-US"/>
        </w:rPr>
        <w:t xml:space="preserve">. Services covered include preparedness actions, such as penetration testing of critical entities in order to identify vulnerabilities. It also strengthens possibilities to assist Member States in case of a major incident affecting critical entities. </w:t>
      </w:r>
      <w:r w:rsidR="00E01A27" w:rsidRPr="00DF5F86">
        <w:rPr>
          <w:rFonts w:eastAsia="Times New Roman"/>
          <w:noProof/>
          <w:lang w:val="en-US"/>
        </w:rPr>
        <w:t>The implementation by ENISA of this short-term programme is under way and has already provided relevant insights</w:t>
      </w:r>
      <w:r w:rsidR="00E44146">
        <w:rPr>
          <w:rFonts w:eastAsia="Times New Roman"/>
          <w:noProof/>
          <w:lang w:val="en-US"/>
        </w:rPr>
        <w:t xml:space="preserve"> </w:t>
      </w:r>
      <w:r w:rsidR="00E01A27" w:rsidRPr="00DF5F86">
        <w:rPr>
          <w:rFonts w:eastAsia="Times New Roman"/>
          <w:noProof/>
          <w:lang w:val="en-US"/>
        </w:rPr>
        <w:t>that have been taken into account in the preparation of this Regulation</w:t>
      </w:r>
      <w:r w:rsidR="00F137CD" w:rsidRPr="00DF5F86">
        <w:rPr>
          <w:rFonts w:eastAsia="Times New Roman"/>
          <w:noProof/>
          <w:lang w:val="en-US"/>
        </w:rPr>
        <w:t>.</w:t>
      </w:r>
    </w:p>
    <w:p w14:paraId="36068EA5" w14:textId="77777777" w:rsidR="7305907C" w:rsidRPr="008D6611" w:rsidRDefault="7305907C" w:rsidP="7305907C">
      <w:pPr>
        <w:spacing w:before="0" w:after="240" w:line="276" w:lineRule="auto"/>
        <w:rPr>
          <w:noProof/>
        </w:rPr>
      </w:pPr>
    </w:p>
    <w:p w14:paraId="349B14E0" w14:textId="77777777" w:rsidR="004770F6" w:rsidRPr="00CE39FB" w:rsidRDefault="004770F6">
      <w:pPr>
        <w:pStyle w:val="ManualHeading2"/>
        <w:rPr>
          <w:rFonts w:eastAsia="Arial Unicode MS"/>
          <w:noProof/>
          <w:u w:color="000000"/>
          <w:bdr w:val="nil"/>
          <w:lang w:val="en-US" w:eastAsia="en-GB"/>
        </w:rPr>
      </w:pPr>
      <w:r w:rsidRPr="00CE39FB">
        <w:rPr>
          <w:rFonts w:eastAsia="Arial Unicode MS"/>
          <w:noProof/>
          <w:u w:color="000000"/>
          <w:bdr w:val="nil"/>
          <w:lang w:val="en-US" w:eastAsia="en-GB"/>
        </w:rPr>
        <w:t>•</w:t>
      </w:r>
      <w:r w:rsidRPr="00CE39FB">
        <w:rPr>
          <w:rFonts w:eastAsia="Arial Unicode MS"/>
          <w:noProof/>
          <w:u w:color="000000"/>
          <w:bdr w:val="nil"/>
          <w:lang w:val="en-US" w:eastAsia="en-GB"/>
        </w:rPr>
        <w:tab/>
        <w:t>Fundamental rights</w:t>
      </w:r>
    </w:p>
    <w:p w14:paraId="3C7CB369" w14:textId="77777777" w:rsidR="00F57BD9" w:rsidRPr="00CE39FB" w:rsidRDefault="00F57BD9" w:rsidP="008D6611">
      <w:pPr>
        <w:spacing w:before="240" w:line="276" w:lineRule="auto"/>
        <w:rPr>
          <w:rFonts w:eastAsia="Times New Roman"/>
          <w:noProof/>
        </w:rPr>
      </w:pPr>
      <w:r w:rsidRPr="00CE39FB">
        <w:rPr>
          <w:rFonts w:eastAsia="Times New Roman"/>
          <w:noProof/>
        </w:rPr>
        <w:t xml:space="preserve">By contributing to the security of digital information, this proposal will contribute to protecting the right to liberty and security in accordance with Article 6 of the EU Charter of Fundamental Rights, and the right to respect for private and family life in accordance with Article 7 of the EU Charter of Fundamental Rights. By protecting businesses from economically damaging cyberattacks, the proposal will also contribute to the freedom to conduct a business in accordance with Article 16 of the EU Charter of Fundamental Rights, and the right to property in accordance with Article 17 of the EU Charter of Fundamental Rights. Finally, by protecting the integrity of critical infrastructure in the face of cyberattacks, the proposal will contribute to the right to healthcare in accordance with Article 35 of the EU Charter of Fundamental Rights, and the right to access to services of general economic interest in accordance with Article 36 of the EU Charter of Fundamental Rights. </w:t>
      </w:r>
    </w:p>
    <w:p w14:paraId="16FB9B6A" w14:textId="77777777" w:rsidR="004770F6" w:rsidRPr="00CE39FB" w:rsidRDefault="004770F6">
      <w:pPr>
        <w:pStyle w:val="ManualHeading1"/>
        <w:rPr>
          <w:noProof/>
        </w:rPr>
      </w:pPr>
      <w:r w:rsidRPr="00CE39FB">
        <w:rPr>
          <w:noProof/>
        </w:rPr>
        <w:t>4.</w:t>
      </w:r>
      <w:r w:rsidRPr="00CE39FB">
        <w:rPr>
          <w:noProof/>
        </w:rPr>
        <w:tab/>
        <w:t>BUDGETARY IMPLICATIONS</w:t>
      </w:r>
    </w:p>
    <w:p w14:paraId="4D85E3EF" w14:textId="77777777" w:rsidR="00C96E8D" w:rsidRPr="00CE39FB" w:rsidRDefault="59BB60DD" w:rsidP="008D6611">
      <w:pPr>
        <w:pStyle w:val="Text1"/>
        <w:spacing w:before="240" w:after="0" w:line="276" w:lineRule="auto"/>
        <w:ind w:left="0"/>
        <w:rPr>
          <w:rFonts w:eastAsia="Times New Roman"/>
          <w:noProof/>
        </w:rPr>
      </w:pPr>
      <w:r w:rsidRPr="00CE39FB">
        <w:rPr>
          <w:rFonts w:eastAsia="Times New Roman"/>
          <w:noProof/>
        </w:rPr>
        <w:t xml:space="preserve">The actions of this Regulation will be supported by </w:t>
      </w:r>
      <w:r w:rsidR="0517DFE9" w:rsidRPr="00CE39FB">
        <w:rPr>
          <w:rFonts w:eastAsia="Times New Roman"/>
          <w:noProof/>
        </w:rPr>
        <w:t xml:space="preserve">funding under Strategic Objective ‘Cybersecurity’ of </w:t>
      </w:r>
      <w:r w:rsidR="6273E199" w:rsidRPr="00CE39FB">
        <w:rPr>
          <w:rFonts w:eastAsia="Times New Roman"/>
          <w:noProof/>
        </w:rPr>
        <w:t>DEP</w:t>
      </w:r>
      <w:r w:rsidR="00877AB4">
        <w:rPr>
          <w:rFonts w:eastAsia="Times New Roman"/>
          <w:noProof/>
        </w:rPr>
        <w:t>.</w:t>
      </w:r>
    </w:p>
    <w:p w14:paraId="24862B08" w14:textId="77777777" w:rsidR="00C96E8D" w:rsidRPr="00CE39FB" w:rsidRDefault="6B98BCFD" w:rsidP="008D6611">
      <w:pPr>
        <w:pStyle w:val="Text1"/>
        <w:spacing w:before="240" w:after="0" w:line="276" w:lineRule="auto"/>
        <w:ind w:left="0"/>
        <w:rPr>
          <w:noProof/>
        </w:rPr>
      </w:pPr>
      <w:r w:rsidRPr="00CE39FB">
        <w:rPr>
          <w:rFonts w:eastAsia="Times New Roman"/>
          <w:noProof/>
        </w:rPr>
        <w:t>Th</w:t>
      </w:r>
      <w:r w:rsidR="00F137CD" w:rsidRPr="00CE39FB">
        <w:rPr>
          <w:rFonts w:eastAsia="Times New Roman"/>
          <w:noProof/>
        </w:rPr>
        <w:t>e</w:t>
      </w:r>
      <w:r w:rsidRPr="00CE39FB">
        <w:rPr>
          <w:rFonts w:eastAsia="Times New Roman"/>
          <w:noProof/>
        </w:rPr>
        <w:t xml:space="preserve"> total budget includes an increase of EUR 100</w:t>
      </w:r>
      <w:r w:rsidR="00F137CD" w:rsidRPr="00CE39FB">
        <w:rPr>
          <w:rFonts w:eastAsia="Times New Roman"/>
          <w:noProof/>
        </w:rPr>
        <w:t xml:space="preserve"> million</w:t>
      </w:r>
      <w:r w:rsidRPr="00CE39FB">
        <w:rPr>
          <w:rFonts w:eastAsia="Times New Roman"/>
          <w:noProof/>
        </w:rPr>
        <w:t xml:space="preserve"> that this Regulation proposes to </w:t>
      </w:r>
      <w:r w:rsidR="54F52936" w:rsidRPr="00CE39FB">
        <w:rPr>
          <w:rFonts w:eastAsia="Times New Roman"/>
          <w:noProof/>
        </w:rPr>
        <w:t xml:space="preserve">re-allocate from other Strategic Objectives of DEP. </w:t>
      </w:r>
      <w:r w:rsidR="76B4110F" w:rsidRPr="00CE39FB">
        <w:rPr>
          <w:rFonts w:eastAsia="Times New Roman"/>
          <w:noProof/>
        </w:rPr>
        <w:t>Th</w:t>
      </w:r>
      <w:r w:rsidR="1C2ED151" w:rsidRPr="00CE39FB">
        <w:rPr>
          <w:rFonts w:eastAsia="Times New Roman"/>
          <w:noProof/>
        </w:rPr>
        <w:t>is will bring the new total</w:t>
      </w:r>
      <w:r w:rsidR="2AC6FB8E" w:rsidRPr="00CE39FB">
        <w:rPr>
          <w:rFonts w:eastAsia="Times New Roman"/>
          <w:noProof/>
        </w:rPr>
        <w:t xml:space="preserve"> amount </w:t>
      </w:r>
      <w:r w:rsidR="3A1DC6DB" w:rsidRPr="00CE39FB">
        <w:rPr>
          <w:rFonts w:eastAsia="Times New Roman"/>
          <w:noProof/>
        </w:rPr>
        <w:t xml:space="preserve">available </w:t>
      </w:r>
      <w:r w:rsidR="2AC6FB8E" w:rsidRPr="00CE39FB">
        <w:rPr>
          <w:rFonts w:eastAsia="Times New Roman"/>
          <w:noProof/>
        </w:rPr>
        <w:t>for Cybersecurity</w:t>
      </w:r>
      <w:r w:rsidRPr="00CE39FB">
        <w:rPr>
          <w:rFonts w:eastAsia="Times New Roman"/>
          <w:noProof/>
        </w:rPr>
        <w:t xml:space="preserve"> </w:t>
      </w:r>
      <w:r w:rsidR="2AC6FB8E" w:rsidRPr="00CE39FB">
        <w:rPr>
          <w:rFonts w:eastAsia="Times New Roman"/>
          <w:noProof/>
        </w:rPr>
        <w:t xml:space="preserve">actions under DEP </w:t>
      </w:r>
      <w:r w:rsidR="76B4110F" w:rsidRPr="00CE39FB">
        <w:rPr>
          <w:rFonts w:eastAsia="Times New Roman"/>
          <w:noProof/>
        </w:rPr>
        <w:t>to</w:t>
      </w:r>
      <w:r w:rsidR="3EEF3EC5" w:rsidRPr="00CE39FB">
        <w:rPr>
          <w:rFonts w:eastAsia="Times New Roman"/>
          <w:noProof/>
        </w:rPr>
        <w:t xml:space="preserve"> EUR 842.</w:t>
      </w:r>
      <w:r w:rsidR="00F137CD" w:rsidRPr="00CE39FB">
        <w:rPr>
          <w:rFonts w:eastAsia="Times New Roman"/>
          <w:noProof/>
        </w:rPr>
        <w:t>8</w:t>
      </w:r>
      <w:r w:rsidR="3EEF3EC5" w:rsidRPr="00CE39FB">
        <w:rPr>
          <w:rFonts w:eastAsia="Times New Roman"/>
          <w:noProof/>
        </w:rPr>
        <w:t xml:space="preserve"> </w:t>
      </w:r>
      <w:r w:rsidR="00F137CD" w:rsidRPr="00CE39FB">
        <w:rPr>
          <w:rFonts w:eastAsia="Times New Roman"/>
          <w:noProof/>
        </w:rPr>
        <w:t>million</w:t>
      </w:r>
      <w:r w:rsidR="2AC6FB8E" w:rsidRPr="00CE39FB">
        <w:rPr>
          <w:rFonts w:eastAsia="Times New Roman"/>
          <w:noProof/>
        </w:rPr>
        <w:t>.</w:t>
      </w:r>
      <w:r w:rsidR="78EDC34F" w:rsidRPr="00CE39FB">
        <w:rPr>
          <w:rFonts w:eastAsia="Times New Roman"/>
          <w:noProof/>
        </w:rPr>
        <w:t xml:space="preserve"> </w:t>
      </w:r>
    </w:p>
    <w:p w14:paraId="4A2D9843" w14:textId="77777777" w:rsidR="00834126" w:rsidRDefault="659AA1EE" w:rsidP="008D6611">
      <w:pPr>
        <w:pStyle w:val="Text1"/>
        <w:spacing w:before="240" w:after="0" w:line="276" w:lineRule="auto"/>
        <w:ind w:left="0"/>
        <w:rPr>
          <w:rFonts w:eastAsia="Times New Roman"/>
          <w:noProof/>
        </w:rPr>
      </w:pPr>
      <w:r w:rsidRPr="00CE39FB">
        <w:rPr>
          <w:rFonts w:eastAsia="Times New Roman"/>
          <w:noProof/>
        </w:rPr>
        <w:t>P</w:t>
      </w:r>
      <w:r w:rsidR="49E88C88" w:rsidRPr="00CE39FB">
        <w:rPr>
          <w:rFonts w:eastAsia="Times New Roman"/>
          <w:noProof/>
        </w:rPr>
        <w:t>art</w:t>
      </w:r>
      <w:r w:rsidR="04212B77" w:rsidRPr="00CE39FB">
        <w:rPr>
          <w:rFonts w:eastAsia="Times New Roman"/>
          <w:noProof/>
        </w:rPr>
        <w:t xml:space="preserve"> of the additional </w:t>
      </w:r>
      <w:r w:rsidR="00F137CD" w:rsidRPr="00CE39FB">
        <w:rPr>
          <w:rFonts w:eastAsia="Times New Roman"/>
          <w:noProof/>
        </w:rPr>
        <w:t xml:space="preserve">EUR </w:t>
      </w:r>
      <w:r w:rsidR="04212B77" w:rsidRPr="00CE39FB">
        <w:rPr>
          <w:rFonts w:eastAsia="Times New Roman"/>
          <w:noProof/>
        </w:rPr>
        <w:t>100</w:t>
      </w:r>
      <w:r w:rsidR="00F137CD" w:rsidRPr="00CE39FB">
        <w:rPr>
          <w:rFonts w:eastAsia="Times New Roman"/>
          <w:noProof/>
        </w:rPr>
        <w:t xml:space="preserve"> million</w:t>
      </w:r>
      <w:r w:rsidR="04212B77" w:rsidRPr="00CE39FB">
        <w:rPr>
          <w:rFonts w:eastAsia="Times New Roman"/>
          <w:noProof/>
        </w:rPr>
        <w:t xml:space="preserve"> </w:t>
      </w:r>
      <w:r w:rsidR="204A2FF7" w:rsidRPr="00CE39FB">
        <w:rPr>
          <w:rFonts w:eastAsia="Times New Roman"/>
          <w:noProof/>
        </w:rPr>
        <w:t>will</w:t>
      </w:r>
      <w:r w:rsidR="2A0D1821" w:rsidRPr="00CE39FB">
        <w:rPr>
          <w:rFonts w:eastAsia="Times New Roman"/>
          <w:noProof/>
        </w:rPr>
        <w:t xml:space="preserve"> </w:t>
      </w:r>
      <w:r w:rsidR="04212B77" w:rsidRPr="00CE39FB">
        <w:rPr>
          <w:rFonts w:eastAsia="Times New Roman"/>
          <w:noProof/>
        </w:rPr>
        <w:t xml:space="preserve">reinforce the budget managed by the ECCC to implement actions on SOCs and preparedness </w:t>
      </w:r>
      <w:r w:rsidR="015AD983" w:rsidRPr="00CE39FB">
        <w:rPr>
          <w:rFonts w:eastAsia="Times New Roman"/>
          <w:noProof/>
        </w:rPr>
        <w:t>as part of their Work Programme</w:t>
      </w:r>
      <w:r w:rsidR="00A66C58" w:rsidRPr="00CE39FB">
        <w:rPr>
          <w:rFonts w:eastAsia="Times New Roman"/>
          <w:noProof/>
        </w:rPr>
        <w:t>(s)</w:t>
      </w:r>
      <w:r w:rsidR="722D8381" w:rsidRPr="00CE39FB">
        <w:rPr>
          <w:rFonts w:eastAsia="Times New Roman"/>
          <w:noProof/>
        </w:rPr>
        <w:t>.</w:t>
      </w:r>
      <w:r w:rsidR="015AD983" w:rsidRPr="00CE39FB">
        <w:rPr>
          <w:rFonts w:eastAsia="Times New Roman"/>
          <w:noProof/>
        </w:rPr>
        <w:t xml:space="preserve"> </w:t>
      </w:r>
      <w:r w:rsidR="00FA36F6" w:rsidRPr="00CE39FB">
        <w:rPr>
          <w:rFonts w:eastAsia="Times New Roman"/>
          <w:noProof/>
        </w:rPr>
        <w:t xml:space="preserve">Moreover, the additional funding </w:t>
      </w:r>
      <w:r w:rsidR="2A0D1821" w:rsidRPr="00CE39FB">
        <w:rPr>
          <w:rFonts w:eastAsia="Times New Roman"/>
          <w:noProof/>
        </w:rPr>
        <w:t>will serve to support the establishment of the EU Cyber</w:t>
      </w:r>
      <w:r w:rsidR="5783ADB3" w:rsidRPr="00CE39FB">
        <w:rPr>
          <w:rFonts w:eastAsia="Times New Roman"/>
          <w:noProof/>
        </w:rPr>
        <w:t>security</w:t>
      </w:r>
      <w:r w:rsidR="2A0D1821" w:rsidRPr="00CE39FB">
        <w:rPr>
          <w:rFonts w:eastAsia="Times New Roman"/>
          <w:noProof/>
        </w:rPr>
        <w:t xml:space="preserve"> </w:t>
      </w:r>
      <w:r w:rsidR="1673F2F5" w:rsidRPr="00CE39FB">
        <w:rPr>
          <w:rFonts w:eastAsia="Times New Roman"/>
          <w:noProof/>
        </w:rPr>
        <w:t>R</w:t>
      </w:r>
      <w:r w:rsidR="2A0D1821" w:rsidRPr="00CE39FB">
        <w:rPr>
          <w:rFonts w:eastAsia="Times New Roman"/>
          <w:noProof/>
        </w:rPr>
        <w:t>eserve</w:t>
      </w:r>
      <w:r w:rsidR="00F137CD" w:rsidRPr="00CE39FB">
        <w:rPr>
          <w:rFonts w:eastAsia="Times New Roman"/>
          <w:noProof/>
        </w:rPr>
        <w:t>.</w:t>
      </w:r>
      <w:r w:rsidR="00DF5F86">
        <w:rPr>
          <w:rFonts w:eastAsia="Times New Roman"/>
          <w:noProof/>
        </w:rPr>
        <w:t xml:space="preserve"> </w:t>
      </w:r>
    </w:p>
    <w:p w14:paraId="523731AF" w14:textId="19D0585C" w:rsidR="00AE07A3" w:rsidRDefault="00BA1C7D" w:rsidP="008D6611">
      <w:pPr>
        <w:pStyle w:val="Text1"/>
        <w:spacing w:before="240" w:after="0" w:line="276" w:lineRule="auto"/>
        <w:ind w:left="0"/>
        <w:rPr>
          <w:rFonts w:eastAsia="Times New Roman"/>
          <w:noProof/>
        </w:rPr>
      </w:pPr>
      <w:r w:rsidRPr="00BA1C7D">
        <w:rPr>
          <w:rFonts w:eastAsia="Times New Roman"/>
          <w:noProof/>
        </w:rPr>
        <w:t xml:space="preserve">It complements the budget already foreseen for similar actions in the main DEP and Cybersecurity DEP WP from the period 2023-2027 which could bring the total </w:t>
      </w:r>
      <w:r w:rsidR="00AE07A3">
        <w:rPr>
          <w:rFonts w:eastAsia="Times New Roman"/>
          <w:noProof/>
        </w:rPr>
        <w:t xml:space="preserve">amount to 551 million </w:t>
      </w:r>
      <w:r w:rsidR="003D6563">
        <w:rPr>
          <w:rFonts w:eastAsia="Times New Roman"/>
          <w:noProof/>
        </w:rPr>
        <w:t>for 2023-</w:t>
      </w:r>
      <w:r w:rsidR="00AE07A3">
        <w:rPr>
          <w:rFonts w:eastAsia="Times New Roman"/>
          <w:noProof/>
        </w:rPr>
        <w:t xml:space="preserve">2027, </w:t>
      </w:r>
      <w:r w:rsidR="003D6563">
        <w:rPr>
          <w:rFonts w:eastAsia="Times New Roman"/>
          <w:noProof/>
        </w:rPr>
        <w:t>while 115</w:t>
      </w:r>
      <w:r w:rsidR="00AE07A3">
        <w:rPr>
          <w:rFonts w:eastAsia="Times New Roman"/>
          <w:noProof/>
        </w:rPr>
        <w:t xml:space="preserve"> million were dedicated already in the form of pilots</w:t>
      </w:r>
      <w:r w:rsidR="003D6563">
        <w:rPr>
          <w:rFonts w:eastAsia="Times New Roman"/>
          <w:noProof/>
        </w:rPr>
        <w:t xml:space="preserve"> for 2021-2022</w:t>
      </w:r>
      <w:r w:rsidR="00AE07A3">
        <w:rPr>
          <w:rFonts w:eastAsia="Times New Roman"/>
          <w:noProof/>
        </w:rPr>
        <w:t>.</w:t>
      </w:r>
      <w:r w:rsidR="003D6563">
        <w:rPr>
          <w:rFonts w:eastAsia="Times New Roman"/>
          <w:noProof/>
        </w:rPr>
        <w:t xml:space="preserve"> Including Member States contributions, the overall budget could amount up to 1.1</w:t>
      </w:r>
      <w:r w:rsidR="00AF2FC2">
        <w:rPr>
          <w:rFonts w:eastAsia="Times New Roman"/>
          <w:noProof/>
        </w:rPr>
        <w:t>0</w:t>
      </w:r>
      <w:r w:rsidR="003D6563">
        <w:rPr>
          <w:rFonts w:eastAsia="Times New Roman"/>
          <w:noProof/>
        </w:rPr>
        <w:t>9 billion euros.</w:t>
      </w:r>
    </w:p>
    <w:p w14:paraId="2A79DD45" w14:textId="55788A6C" w:rsidR="00C96E8D" w:rsidRPr="008D6611" w:rsidRDefault="638C291A" w:rsidP="008D6611">
      <w:pPr>
        <w:pStyle w:val="Text1"/>
        <w:spacing w:before="240" w:after="0" w:line="276" w:lineRule="auto"/>
        <w:ind w:left="0"/>
        <w:rPr>
          <w:noProof/>
        </w:rPr>
      </w:pPr>
      <w:r w:rsidRPr="008D6611">
        <w:rPr>
          <w:noProof/>
        </w:rPr>
        <w:t xml:space="preserve">An overview of the costs involved is </w:t>
      </w:r>
      <w:r w:rsidR="43056C1C" w:rsidRPr="00CE39FB">
        <w:rPr>
          <w:rFonts w:eastAsia="Times New Roman"/>
          <w:noProof/>
        </w:rPr>
        <w:t>included</w:t>
      </w:r>
      <w:r w:rsidR="43056C1C" w:rsidRPr="008D6611">
        <w:rPr>
          <w:noProof/>
        </w:rPr>
        <w:t xml:space="preserve"> </w:t>
      </w:r>
      <w:r w:rsidRPr="008D6611">
        <w:rPr>
          <w:noProof/>
        </w:rPr>
        <w:t>in the ‘</w:t>
      </w:r>
      <w:r w:rsidR="19EB15AA" w:rsidRPr="00CE39FB">
        <w:rPr>
          <w:rFonts w:eastAsia="Times New Roman"/>
          <w:noProof/>
        </w:rPr>
        <w:t xml:space="preserve">Legislative </w:t>
      </w:r>
      <w:r w:rsidRPr="008D6611">
        <w:rPr>
          <w:noProof/>
        </w:rPr>
        <w:t xml:space="preserve">financial </w:t>
      </w:r>
      <w:r w:rsidRPr="00CE39FB">
        <w:rPr>
          <w:rFonts w:eastAsia="Times New Roman"/>
          <w:noProof/>
        </w:rPr>
        <w:t>statement</w:t>
      </w:r>
      <w:r w:rsidR="00D369E4">
        <w:rPr>
          <w:rFonts w:eastAsia="Times New Roman"/>
          <w:noProof/>
        </w:rPr>
        <w:t>’</w:t>
      </w:r>
      <w:r w:rsidRPr="00CE39FB">
        <w:rPr>
          <w:rFonts w:eastAsia="Times New Roman"/>
          <w:noProof/>
        </w:rPr>
        <w:t xml:space="preserve"> </w:t>
      </w:r>
      <w:r w:rsidR="43056C1C" w:rsidRPr="00CE39FB">
        <w:rPr>
          <w:rFonts w:eastAsia="Times New Roman"/>
          <w:noProof/>
        </w:rPr>
        <w:t>accompanying</w:t>
      </w:r>
      <w:r w:rsidRPr="00CE39FB">
        <w:rPr>
          <w:rFonts w:eastAsia="Times New Roman"/>
          <w:noProof/>
        </w:rPr>
        <w:t xml:space="preserve"> </w:t>
      </w:r>
      <w:r w:rsidRPr="008D6611">
        <w:rPr>
          <w:noProof/>
        </w:rPr>
        <w:t>this proposal.</w:t>
      </w:r>
    </w:p>
    <w:p w14:paraId="202A599D" w14:textId="77777777" w:rsidR="004770F6" w:rsidRPr="00CE39FB" w:rsidRDefault="004770F6">
      <w:pPr>
        <w:pStyle w:val="ManualHeading1"/>
        <w:rPr>
          <w:noProof/>
        </w:rPr>
      </w:pPr>
      <w:r w:rsidRPr="00CE39FB">
        <w:rPr>
          <w:noProof/>
        </w:rPr>
        <w:t>5.</w:t>
      </w:r>
      <w:r w:rsidRPr="00CE39FB">
        <w:rPr>
          <w:noProof/>
        </w:rPr>
        <w:tab/>
        <w:t>OTHER ELEMENTS</w:t>
      </w:r>
    </w:p>
    <w:p w14:paraId="13BCA2B2" w14:textId="77777777" w:rsidR="004770F6" w:rsidRPr="00CE39FB" w:rsidRDefault="004770F6">
      <w:pPr>
        <w:pStyle w:val="ManualHeading2"/>
        <w:rPr>
          <w:rFonts w:eastAsia="Arial Unicode MS"/>
          <w:noProof/>
          <w:u w:color="000000"/>
          <w:bdr w:val="nil"/>
          <w:lang w:val="en-US" w:eastAsia="en-GB"/>
        </w:rPr>
      </w:pPr>
      <w:r w:rsidRPr="00CE39FB">
        <w:rPr>
          <w:rFonts w:eastAsia="Arial Unicode MS"/>
          <w:noProof/>
          <w:u w:color="000000"/>
          <w:bdr w:val="nil"/>
          <w:lang w:val="en-US" w:eastAsia="en-GB"/>
        </w:rPr>
        <w:t>•</w:t>
      </w:r>
      <w:r w:rsidRPr="00CE39FB">
        <w:rPr>
          <w:rFonts w:eastAsia="Arial Unicode MS"/>
          <w:noProof/>
          <w:u w:color="000000"/>
          <w:bdr w:val="nil"/>
          <w:lang w:val="en-US" w:eastAsia="en-GB"/>
        </w:rPr>
        <w:tab/>
        <w:t>Implementation plans and monitoring, evaluation and reporting arrangements</w:t>
      </w:r>
    </w:p>
    <w:p w14:paraId="46BA4527" w14:textId="77777777" w:rsidR="005C5803" w:rsidRPr="008D6611" w:rsidRDefault="005C5803" w:rsidP="008D6611">
      <w:pPr>
        <w:spacing w:before="240" w:line="276" w:lineRule="auto"/>
        <w:rPr>
          <w:noProof/>
        </w:rPr>
      </w:pPr>
      <w:r w:rsidRPr="008D6611">
        <w:rPr>
          <w:noProof/>
        </w:rPr>
        <w:t xml:space="preserve">The Commission will monitor the implementation, the application, and the compliance with these new provisions with a view to assessing their effectiveness. </w:t>
      </w:r>
      <w:r w:rsidRPr="008D6611">
        <w:rPr>
          <w:rStyle w:val="normaltextrun"/>
          <w:noProof/>
        </w:rPr>
        <w:t xml:space="preserve">The Commission shall submit a report on the evaluation and review of this Regulation to </w:t>
      </w:r>
      <w:r w:rsidRPr="008D6611">
        <w:rPr>
          <w:noProof/>
        </w:rPr>
        <w:t>the European Parliament and to the Council by four years after the date of its application.</w:t>
      </w:r>
    </w:p>
    <w:p w14:paraId="72FBD5BC" w14:textId="77777777" w:rsidR="004770F6" w:rsidRPr="00CE39FB" w:rsidRDefault="004770F6" w:rsidP="005C5803">
      <w:pPr>
        <w:pStyle w:val="ManualHeading2"/>
        <w:rPr>
          <w:rFonts w:eastAsia="Arial Unicode MS"/>
          <w:noProof/>
        </w:rPr>
      </w:pPr>
    </w:p>
    <w:p w14:paraId="42439511" w14:textId="77777777" w:rsidR="004770F6" w:rsidRPr="00CE39FB" w:rsidRDefault="004770F6">
      <w:pPr>
        <w:pStyle w:val="ManualHeading2"/>
        <w:rPr>
          <w:rFonts w:eastAsia="Arial Unicode MS"/>
          <w:noProof/>
          <w:u w:color="000000"/>
          <w:bdr w:val="nil"/>
          <w:lang w:val="en-US" w:eastAsia="en-GB"/>
        </w:rPr>
      </w:pPr>
      <w:r w:rsidRPr="00CE39FB">
        <w:rPr>
          <w:rFonts w:eastAsia="Arial Unicode MS"/>
          <w:noProof/>
          <w:u w:color="000000"/>
          <w:bdr w:val="nil"/>
          <w:lang w:val="en-US" w:eastAsia="en-GB"/>
        </w:rPr>
        <w:t>•</w:t>
      </w:r>
      <w:r w:rsidRPr="00CE39FB">
        <w:rPr>
          <w:rFonts w:eastAsia="Arial Unicode MS"/>
          <w:noProof/>
          <w:u w:color="000000"/>
          <w:bdr w:val="nil"/>
          <w:lang w:val="en-US" w:eastAsia="en-GB"/>
        </w:rPr>
        <w:tab/>
        <w:t>Detailed explanation of the specific provisions of the proposal</w:t>
      </w:r>
    </w:p>
    <w:p w14:paraId="35BA8C1C" w14:textId="77777777" w:rsidR="00963300" w:rsidRPr="008D6611" w:rsidRDefault="00963300" w:rsidP="008D6611">
      <w:pPr>
        <w:spacing w:before="240" w:line="276" w:lineRule="auto"/>
        <w:rPr>
          <w:noProof/>
          <w:u w:val="single"/>
        </w:rPr>
      </w:pPr>
      <w:r w:rsidRPr="008D6611">
        <w:rPr>
          <w:noProof/>
          <w:u w:val="single"/>
        </w:rPr>
        <w:t>General Objectives, subject matter, and definitions (Chapter I)</w:t>
      </w:r>
    </w:p>
    <w:p w14:paraId="509DED55" w14:textId="59F9A5F2" w:rsidR="00963300" w:rsidRPr="008D6611" w:rsidRDefault="00963300" w:rsidP="008D6611">
      <w:pPr>
        <w:spacing w:before="240" w:line="276" w:lineRule="auto"/>
        <w:rPr>
          <w:noProof/>
        </w:rPr>
      </w:pPr>
      <w:r w:rsidRPr="008D6611">
        <w:rPr>
          <w:noProof/>
        </w:rPr>
        <w:t>Chapter I sets out the objectives of the Regulation</w:t>
      </w:r>
      <w:r w:rsidR="00C86ABD" w:rsidRPr="00C86ABD">
        <w:rPr>
          <w:noProof/>
        </w:rPr>
        <w:t xml:space="preserve"> to strengthen solidarity at Union level in order to better detect, prepare and respond to cybersecurity threats and incidents </w:t>
      </w:r>
      <w:r w:rsidR="00C86ABD">
        <w:rPr>
          <w:noProof/>
        </w:rPr>
        <w:t>and</w:t>
      </w:r>
      <w:r w:rsidRPr="008D6611">
        <w:rPr>
          <w:noProof/>
        </w:rPr>
        <w:t xml:space="preserve"> in particular, to strengthen common </w:t>
      </w:r>
      <w:r w:rsidR="00640AF6" w:rsidRPr="00CE39FB">
        <w:rPr>
          <w:noProof/>
        </w:rPr>
        <w:t>Union detection and situational awareness of cyber threats and incidents</w:t>
      </w:r>
      <w:r w:rsidR="00640AF6" w:rsidRPr="00CE39FB">
        <w:rPr>
          <w:rFonts w:eastAsia="Times New Roman"/>
          <w:noProof/>
        </w:rPr>
        <w:t>,</w:t>
      </w:r>
      <w:r w:rsidRPr="00CE39FB">
        <w:rPr>
          <w:rFonts w:eastAsia="Times New Roman"/>
          <w:noProof/>
        </w:rPr>
        <w:t xml:space="preserve"> </w:t>
      </w:r>
      <w:r w:rsidR="00640AF6" w:rsidRPr="00CE39FB">
        <w:rPr>
          <w:rFonts w:eastAsia="Times New Roman"/>
          <w:noProof/>
        </w:rPr>
        <w:t>to</w:t>
      </w:r>
      <w:r w:rsidR="00733072">
        <w:rPr>
          <w:rFonts w:eastAsia="Times New Roman"/>
          <w:noProof/>
        </w:rPr>
        <w:t xml:space="preserve"> </w:t>
      </w:r>
      <w:r w:rsidR="00733072" w:rsidRPr="001C7B16">
        <w:rPr>
          <w:rFonts w:eastAsia="Times New Roman"/>
          <w:noProof/>
        </w:rPr>
        <w:t>reinforce</w:t>
      </w:r>
      <w:r w:rsidR="00640AF6" w:rsidRPr="00CE39FB">
        <w:rPr>
          <w:rFonts w:eastAsia="Times New Roman"/>
          <w:noProof/>
        </w:rPr>
        <w:t xml:space="preserve"> preparedness of entities operating in critical and highly critical sectors across the Union and </w:t>
      </w:r>
      <w:r w:rsidR="00733072" w:rsidRPr="001C7B16">
        <w:rPr>
          <w:rFonts w:eastAsia="Times New Roman"/>
          <w:noProof/>
        </w:rPr>
        <w:t xml:space="preserve">strengthen solidarity by </w:t>
      </w:r>
      <w:r w:rsidR="00640AF6" w:rsidRPr="001C7B16">
        <w:rPr>
          <w:rFonts w:eastAsia="Times New Roman"/>
          <w:noProof/>
        </w:rPr>
        <w:t>develop</w:t>
      </w:r>
      <w:r w:rsidR="00733072" w:rsidRPr="001C7B16">
        <w:rPr>
          <w:rFonts w:eastAsia="Times New Roman"/>
          <w:noProof/>
        </w:rPr>
        <w:t>ing</w:t>
      </w:r>
      <w:r w:rsidR="00640AF6" w:rsidRPr="00CE39FB">
        <w:rPr>
          <w:rFonts w:eastAsia="Times New Roman"/>
          <w:noProof/>
        </w:rPr>
        <w:t xml:space="preserve"> common response capacities against significant or large-scale cybersecurity incidents</w:t>
      </w:r>
      <w:r w:rsidR="00600994">
        <w:rPr>
          <w:rFonts w:eastAsia="Times New Roman"/>
          <w:noProof/>
        </w:rPr>
        <w:t xml:space="preserve"> and</w:t>
      </w:r>
      <w:r w:rsidR="00D8394E" w:rsidRPr="00CE39FB">
        <w:rPr>
          <w:rFonts w:eastAsia="Times New Roman"/>
          <w:noProof/>
        </w:rPr>
        <w:t xml:space="preserve"> to enhance Union resilience </w:t>
      </w:r>
      <w:r w:rsidR="009635B6" w:rsidRPr="003D6563">
        <w:rPr>
          <w:rFonts w:eastAsia="Times New Roman"/>
          <w:noProof/>
        </w:rPr>
        <w:t xml:space="preserve">by </w:t>
      </w:r>
      <w:r w:rsidR="009635B6" w:rsidRPr="003D6563">
        <w:rPr>
          <w:noProof/>
        </w:rPr>
        <w:t>reviewing and assessing significant or large-scaleincidents</w:t>
      </w:r>
      <w:r w:rsidRPr="00CE39FB">
        <w:rPr>
          <w:rFonts w:eastAsia="Times New Roman"/>
          <w:noProof/>
        </w:rPr>
        <w:t>.</w:t>
      </w:r>
      <w:r w:rsidRPr="008D6611">
        <w:rPr>
          <w:noProof/>
        </w:rPr>
        <w:t xml:space="preserve"> This Chapter also sets out the actions through which these objectives will be achieved: the deployment of a European Cyber Shield</w:t>
      </w:r>
      <w:r w:rsidR="00D8394E" w:rsidRPr="00CE39FB">
        <w:rPr>
          <w:rFonts w:eastAsia="Times New Roman"/>
          <w:noProof/>
        </w:rPr>
        <w:t>,</w:t>
      </w:r>
      <w:r w:rsidR="00D8394E" w:rsidRPr="008D6611">
        <w:rPr>
          <w:noProof/>
        </w:rPr>
        <w:t xml:space="preserve"> </w:t>
      </w:r>
      <w:r w:rsidRPr="008D6611">
        <w:rPr>
          <w:noProof/>
        </w:rPr>
        <w:t xml:space="preserve">the creation of a </w:t>
      </w:r>
      <w:r w:rsidRPr="00CE39FB">
        <w:rPr>
          <w:rFonts w:eastAsia="Times New Roman"/>
          <w:noProof/>
        </w:rPr>
        <w:t xml:space="preserve">Cyber </w:t>
      </w:r>
      <w:r w:rsidRPr="008D6611">
        <w:rPr>
          <w:noProof/>
        </w:rPr>
        <w:t>Emergency Mechanism</w:t>
      </w:r>
      <w:r w:rsidR="00D8394E" w:rsidRPr="00CE39FB">
        <w:rPr>
          <w:rFonts w:eastAsia="Times New Roman"/>
          <w:noProof/>
        </w:rPr>
        <w:t xml:space="preserve"> and the establishment of a Cybersecurity Incident Review Mechanism</w:t>
      </w:r>
      <w:r w:rsidRPr="008D6611">
        <w:rPr>
          <w:noProof/>
        </w:rPr>
        <w:t>. It also sets out the definitions used throughout the instrument.</w:t>
      </w:r>
    </w:p>
    <w:p w14:paraId="55A6A394" w14:textId="77777777" w:rsidR="00963300" w:rsidRPr="008D6611" w:rsidRDefault="00963300" w:rsidP="008D6611">
      <w:pPr>
        <w:spacing w:before="240" w:line="276" w:lineRule="auto"/>
        <w:rPr>
          <w:noProof/>
          <w:u w:val="single"/>
        </w:rPr>
      </w:pPr>
      <w:r w:rsidRPr="008D6611">
        <w:rPr>
          <w:noProof/>
          <w:u w:val="single"/>
        </w:rPr>
        <w:t>The European Cyber Shield (Chapter II)</w:t>
      </w:r>
    </w:p>
    <w:p w14:paraId="74DE4C77" w14:textId="5960218F" w:rsidR="00963300" w:rsidRPr="008D6611" w:rsidRDefault="00963300" w:rsidP="008D6611">
      <w:pPr>
        <w:spacing w:before="240" w:line="276" w:lineRule="auto"/>
        <w:rPr>
          <w:noProof/>
        </w:rPr>
      </w:pPr>
      <w:r w:rsidRPr="008D6611">
        <w:rPr>
          <w:noProof/>
        </w:rPr>
        <w:t xml:space="preserve">Chapter II establishes the European Cyber Shield and sets out its various elements and the conditions for participation. Firstly, it announces the overall objective of the European Cyber Shield, which is to develop advanced capabilities for the Union to detect, analyse and process data on cyber threats and incidents in the Union, as well as the specific operational objectives. It specifies that Union funding for the European Cyber Shield shall be implemented in accordance with the </w:t>
      </w:r>
      <w:r w:rsidR="00D369E4">
        <w:rPr>
          <w:noProof/>
        </w:rPr>
        <w:t>DEP</w:t>
      </w:r>
      <w:r w:rsidRPr="008D6611">
        <w:rPr>
          <w:noProof/>
        </w:rPr>
        <w:t xml:space="preserve"> Regulation.</w:t>
      </w:r>
    </w:p>
    <w:p w14:paraId="0F285A0F" w14:textId="57F45353" w:rsidR="00963300" w:rsidRPr="008D6611" w:rsidRDefault="00866600" w:rsidP="008D6611">
      <w:pPr>
        <w:spacing w:before="240" w:line="276" w:lineRule="auto"/>
        <w:rPr>
          <w:noProof/>
        </w:rPr>
      </w:pPr>
      <w:r w:rsidRPr="00CE39FB">
        <w:rPr>
          <w:rFonts w:eastAsia="Times New Roman"/>
          <w:noProof/>
        </w:rPr>
        <w:t>Further, t</w:t>
      </w:r>
      <w:r w:rsidR="00963300" w:rsidRPr="00CE39FB">
        <w:rPr>
          <w:rFonts w:eastAsia="Times New Roman"/>
          <w:noProof/>
        </w:rPr>
        <w:t>he</w:t>
      </w:r>
      <w:r w:rsidR="00963300" w:rsidRPr="008D6611">
        <w:rPr>
          <w:noProof/>
        </w:rPr>
        <w:t xml:space="preserve"> chapter </w:t>
      </w:r>
      <w:r w:rsidR="00963300" w:rsidRPr="00CE39FB">
        <w:rPr>
          <w:rFonts w:eastAsia="Times New Roman"/>
          <w:noProof/>
        </w:rPr>
        <w:t>describe</w:t>
      </w:r>
      <w:r w:rsidRPr="00CE39FB">
        <w:rPr>
          <w:rFonts w:eastAsia="Times New Roman"/>
          <w:noProof/>
        </w:rPr>
        <w:t>s</w:t>
      </w:r>
      <w:r w:rsidR="00963300" w:rsidRPr="008D6611">
        <w:rPr>
          <w:noProof/>
        </w:rPr>
        <w:t xml:space="preserve"> the type of entities that shall form the European Cyber Shield. The shield shall consist of National Security Operations Centres (‘National SOCs’) and Cross-border Security Operations Centres (‘Cross-border SOCs’). A National SOC shall be designated by each participating Member State. This shall act as </w:t>
      </w:r>
      <w:r w:rsidRPr="008D6611">
        <w:rPr>
          <w:noProof/>
        </w:rPr>
        <w:t xml:space="preserve">a </w:t>
      </w:r>
      <w:r w:rsidRPr="00CE39FB">
        <w:rPr>
          <w:rFonts w:eastAsia="Times New Roman"/>
          <w:noProof/>
        </w:rPr>
        <w:t xml:space="preserve">reference point and gateway to other </w:t>
      </w:r>
      <w:r w:rsidRPr="008D6611">
        <w:rPr>
          <w:noProof/>
        </w:rPr>
        <w:t xml:space="preserve">public and private </w:t>
      </w:r>
      <w:r w:rsidRPr="00CE39FB">
        <w:rPr>
          <w:rFonts w:eastAsia="Times New Roman"/>
          <w:noProof/>
        </w:rPr>
        <w:t xml:space="preserve">organisations at national level for collecting and analysing information on cybersecurity threats and incidents and contributing to a Cross-border SOC. </w:t>
      </w:r>
      <w:r w:rsidR="00963300" w:rsidRPr="00CE39FB">
        <w:rPr>
          <w:rFonts w:eastAsia="Times New Roman"/>
          <w:noProof/>
        </w:rPr>
        <w:t xml:space="preserve"> </w:t>
      </w:r>
      <w:r w:rsidRPr="00CE39FB">
        <w:rPr>
          <w:rFonts w:eastAsia="Times New Roman"/>
          <w:noProof/>
        </w:rPr>
        <w:t>F</w:t>
      </w:r>
      <w:r w:rsidR="00963300" w:rsidRPr="00CE39FB">
        <w:rPr>
          <w:rFonts w:eastAsia="Times New Roman"/>
          <w:noProof/>
        </w:rPr>
        <w:t>ollowing</w:t>
      </w:r>
      <w:r w:rsidR="00963300" w:rsidRPr="008D6611">
        <w:rPr>
          <w:noProof/>
        </w:rPr>
        <w:t xml:space="preserve"> a Call for Expression of Interest, </w:t>
      </w:r>
      <w:r w:rsidRPr="00CE39FB">
        <w:rPr>
          <w:rFonts w:eastAsia="Times New Roman"/>
          <w:noProof/>
        </w:rPr>
        <w:t xml:space="preserve">a National SOC </w:t>
      </w:r>
      <w:r w:rsidR="00600994">
        <w:rPr>
          <w:noProof/>
        </w:rPr>
        <w:t>may</w:t>
      </w:r>
      <w:r w:rsidR="00600994" w:rsidRPr="008D6611">
        <w:rPr>
          <w:noProof/>
        </w:rPr>
        <w:t xml:space="preserve"> </w:t>
      </w:r>
      <w:r w:rsidRPr="008D6611">
        <w:rPr>
          <w:noProof/>
        </w:rPr>
        <w:t xml:space="preserve">be </w:t>
      </w:r>
      <w:r w:rsidRPr="00CE39FB">
        <w:rPr>
          <w:rFonts w:eastAsia="Times New Roman"/>
          <w:noProof/>
        </w:rPr>
        <w:t>selected by the ECCC</w:t>
      </w:r>
      <w:r w:rsidRPr="008D6611">
        <w:rPr>
          <w:noProof/>
        </w:rPr>
        <w:t xml:space="preserve"> to participate in a joint procurement of tools and infrastructures</w:t>
      </w:r>
      <w:r w:rsidR="00C04F83" w:rsidRPr="008D6611">
        <w:rPr>
          <w:noProof/>
        </w:rPr>
        <w:t xml:space="preserve"> with the </w:t>
      </w:r>
      <w:r w:rsidR="00C04F83" w:rsidRPr="00CE39FB">
        <w:rPr>
          <w:rFonts w:eastAsia="Times New Roman"/>
          <w:noProof/>
        </w:rPr>
        <w:t>ECCC</w:t>
      </w:r>
      <w:r w:rsidRPr="00CE39FB">
        <w:rPr>
          <w:rFonts w:eastAsia="Times New Roman"/>
          <w:noProof/>
        </w:rPr>
        <w:t xml:space="preserve"> </w:t>
      </w:r>
      <w:r w:rsidR="00963300" w:rsidRPr="00CE39FB">
        <w:rPr>
          <w:rFonts w:eastAsia="Times New Roman"/>
          <w:noProof/>
        </w:rPr>
        <w:t xml:space="preserve">and </w:t>
      </w:r>
      <w:r w:rsidRPr="00CE39FB">
        <w:rPr>
          <w:rFonts w:eastAsia="Times New Roman"/>
          <w:noProof/>
        </w:rPr>
        <w:t>to receive</w:t>
      </w:r>
      <w:r w:rsidR="00963300" w:rsidRPr="008D6611">
        <w:rPr>
          <w:noProof/>
        </w:rPr>
        <w:t xml:space="preserve"> </w:t>
      </w:r>
      <w:r w:rsidR="00903CAA">
        <w:rPr>
          <w:noProof/>
        </w:rPr>
        <w:t xml:space="preserve">a </w:t>
      </w:r>
      <w:r w:rsidR="00963300" w:rsidRPr="008D6611">
        <w:rPr>
          <w:noProof/>
        </w:rPr>
        <w:t xml:space="preserve">grant for running the tools and infrastructures. If a National SOC benefits from Union support, it shall </w:t>
      </w:r>
      <w:r w:rsidRPr="00CE39FB">
        <w:rPr>
          <w:rFonts w:eastAsia="Times New Roman"/>
          <w:noProof/>
        </w:rPr>
        <w:t>commit</w:t>
      </w:r>
      <w:r w:rsidR="00963300" w:rsidRPr="008D6611">
        <w:rPr>
          <w:noProof/>
        </w:rPr>
        <w:t xml:space="preserve"> to</w:t>
      </w:r>
      <w:r w:rsidRPr="00CE39FB">
        <w:rPr>
          <w:rFonts w:eastAsia="Times New Roman"/>
          <w:noProof/>
        </w:rPr>
        <w:t xml:space="preserve"> apply</w:t>
      </w:r>
      <w:r w:rsidR="00963300" w:rsidRPr="008D6611">
        <w:rPr>
          <w:noProof/>
        </w:rPr>
        <w:t xml:space="preserve"> participate in a Cross-border SOC within two years.</w:t>
      </w:r>
    </w:p>
    <w:p w14:paraId="1A13A96C" w14:textId="532D71F7" w:rsidR="00963300" w:rsidRPr="008D6611" w:rsidRDefault="00963300" w:rsidP="008D6611">
      <w:pPr>
        <w:spacing w:before="240" w:line="276" w:lineRule="auto"/>
        <w:rPr>
          <w:noProof/>
          <w:u w:val="single"/>
        </w:rPr>
      </w:pPr>
      <w:r w:rsidRPr="008D6611">
        <w:rPr>
          <w:noProof/>
        </w:rPr>
        <w:t xml:space="preserve">Cross-border SOCs shall consist of a consortium of </w:t>
      </w:r>
      <w:r w:rsidR="00083E2E" w:rsidRPr="008D6611">
        <w:rPr>
          <w:noProof/>
        </w:rPr>
        <w:t xml:space="preserve">at least three Member States, </w:t>
      </w:r>
      <w:r w:rsidR="00083E2E" w:rsidRPr="00CE39FB">
        <w:rPr>
          <w:rFonts w:eastAsia="Times New Roman"/>
          <w:noProof/>
        </w:rPr>
        <w:t>represented by National SOCs</w:t>
      </w:r>
      <w:r w:rsidRPr="00CE39FB">
        <w:rPr>
          <w:rFonts w:eastAsia="Times New Roman"/>
          <w:noProof/>
        </w:rPr>
        <w:t xml:space="preserve">, </w:t>
      </w:r>
      <w:r w:rsidRPr="008D6611">
        <w:rPr>
          <w:noProof/>
        </w:rPr>
        <w:t>who are committed to work together to coordinate their cyber detection</w:t>
      </w:r>
      <w:r w:rsidR="00083E2E" w:rsidRPr="008D6611">
        <w:rPr>
          <w:noProof/>
        </w:rPr>
        <w:t xml:space="preserve"> </w:t>
      </w:r>
      <w:r w:rsidR="00083E2E" w:rsidRPr="00CE39FB">
        <w:rPr>
          <w:rFonts w:eastAsia="Times New Roman"/>
          <w:noProof/>
        </w:rPr>
        <w:t>and threat monitoring</w:t>
      </w:r>
      <w:r w:rsidRPr="00CE39FB">
        <w:rPr>
          <w:rFonts w:eastAsia="Times New Roman"/>
          <w:noProof/>
        </w:rPr>
        <w:t xml:space="preserve"> </w:t>
      </w:r>
      <w:r w:rsidRPr="008D6611">
        <w:rPr>
          <w:noProof/>
        </w:rPr>
        <w:t xml:space="preserve">activities. </w:t>
      </w:r>
      <w:r w:rsidR="00083E2E" w:rsidRPr="00CE39FB">
        <w:rPr>
          <w:rFonts w:eastAsia="Times New Roman"/>
          <w:noProof/>
        </w:rPr>
        <w:t>Following an initial</w:t>
      </w:r>
      <w:r w:rsidR="00083E2E" w:rsidRPr="008D6611">
        <w:rPr>
          <w:noProof/>
        </w:rPr>
        <w:t xml:space="preserve"> Call for Expression of Interest, </w:t>
      </w:r>
      <w:r w:rsidR="00083E2E" w:rsidRPr="00CE39FB">
        <w:rPr>
          <w:rFonts w:eastAsia="Times New Roman"/>
          <w:noProof/>
        </w:rPr>
        <w:t xml:space="preserve">a Hosting Consortium </w:t>
      </w:r>
      <w:r w:rsidR="00600994">
        <w:rPr>
          <w:noProof/>
        </w:rPr>
        <w:t>may</w:t>
      </w:r>
      <w:r w:rsidR="00600994" w:rsidRPr="008D6611">
        <w:rPr>
          <w:noProof/>
        </w:rPr>
        <w:t xml:space="preserve"> </w:t>
      </w:r>
      <w:r w:rsidR="00083E2E" w:rsidRPr="008D6611">
        <w:rPr>
          <w:noProof/>
        </w:rPr>
        <w:t xml:space="preserve">be </w:t>
      </w:r>
      <w:r w:rsidR="00083E2E" w:rsidRPr="00CE39FB">
        <w:rPr>
          <w:rFonts w:eastAsia="Times New Roman"/>
          <w:noProof/>
        </w:rPr>
        <w:t>selected by the ECCC</w:t>
      </w:r>
      <w:r w:rsidR="00083E2E" w:rsidRPr="008D6611">
        <w:rPr>
          <w:noProof/>
        </w:rPr>
        <w:t xml:space="preserve"> </w:t>
      </w:r>
      <w:r w:rsidRPr="008D6611">
        <w:rPr>
          <w:noProof/>
        </w:rPr>
        <w:t xml:space="preserve">to participate in a joint procurement of tools and infrastructures </w:t>
      </w:r>
      <w:r w:rsidR="00C04F83" w:rsidRPr="008D6611">
        <w:rPr>
          <w:noProof/>
        </w:rPr>
        <w:t xml:space="preserve">with the </w:t>
      </w:r>
      <w:r w:rsidR="00C04F83" w:rsidRPr="00CE39FB">
        <w:rPr>
          <w:rFonts w:eastAsia="Times New Roman"/>
          <w:noProof/>
        </w:rPr>
        <w:t xml:space="preserve">ECCC </w:t>
      </w:r>
      <w:r w:rsidR="00083E2E" w:rsidRPr="00CE39FB">
        <w:rPr>
          <w:rFonts w:eastAsia="Times New Roman"/>
          <w:noProof/>
        </w:rPr>
        <w:t>and to receive</w:t>
      </w:r>
      <w:r w:rsidRPr="008D6611">
        <w:rPr>
          <w:noProof/>
        </w:rPr>
        <w:t xml:space="preserve"> a grant for running the tools and infrastructures. </w:t>
      </w:r>
      <w:r w:rsidR="00083E2E" w:rsidRPr="00CE39FB">
        <w:rPr>
          <w:rFonts w:eastAsia="Times New Roman"/>
          <w:noProof/>
        </w:rPr>
        <w:t>Members of the Hosting Consortium shall conclude</w:t>
      </w:r>
      <w:r w:rsidR="00083E2E" w:rsidRPr="008D6611">
        <w:rPr>
          <w:noProof/>
        </w:rPr>
        <w:t xml:space="preserve"> a </w:t>
      </w:r>
      <w:r w:rsidR="00083E2E" w:rsidRPr="00CE39FB">
        <w:rPr>
          <w:rFonts w:eastAsia="Times New Roman"/>
          <w:noProof/>
        </w:rPr>
        <w:t>written</w:t>
      </w:r>
      <w:r w:rsidR="00083E2E" w:rsidRPr="008D6611">
        <w:rPr>
          <w:noProof/>
        </w:rPr>
        <w:t xml:space="preserve"> consortium</w:t>
      </w:r>
      <w:r w:rsidR="00083E2E" w:rsidRPr="00CE39FB">
        <w:rPr>
          <w:rFonts w:eastAsia="Times New Roman"/>
          <w:noProof/>
        </w:rPr>
        <w:t xml:space="preserve"> agreement which sets out their internal arrangements.</w:t>
      </w:r>
      <w:r w:rsidR="00083E2E" w:rsidRPr="00CE39FB" w:rsidDel="00083E2E">
        <w:rPr>
          <w:rFonts w:eastAsia="Times New Roman"/>
          <w:noProof/>
        </w:rPr>
        <w:t xml:space="preserve"> </w:t>
      </w:r>
      <w:r w:rsidRPr="008D6611">
        <w:rPr>
          <w:noProof/>
        </w:rPr>
        <w:t xml:space="preserve">This chapter then details the requirements for sharing information among the participants in a Cross-border SOC, and for sharing information between a Cross-border SOC and other Cross-border SOCs, as well as </w:t>
      </w:r>
      <w:r w:rsidR="00083E2E" w:rsidRPr="00CE39FB">
        <w:rPr>
          <w:rFonts w:eastAsia="Times New Roman"/>
          <w:noProof/>
        </w:rPr>
        <w:t xml:space="preserve">with </w:t>
      </w:r>
      <w:r w:rsidRPr="008D6611">
        <w:rPr>
          <w:noProof/>
        </w:rPr>
        <w:t xml:space="preserve">relevant EU entities. National SOCs participating in a Cross-border SOC shall share </w:t>
      </w:r>
      <w:r w:rsidR="00083E2E" w:rsidRPr="00CE39FB">
        <w:rPr>
          <w:rFonts w:eastAsia="Times New Roman"/>
          <w:noProof/>
        </w:rPr>
        <w:t>relevant</w:t>
      </w:r>
      <w:r w:rsidRPr="008D6611">
        <w:rPr>
          <w:noProof/>
        </w:rPr>
        <w:t xml:space="preserve"> cyber threat related information with one another, and the details</w:t>
      </w:r>
      <w:r w:rsidR="00083E2E" w:rsidRPr="00CE39FB">
        <w:rPr>
          <w:rFonts w:eastAsia="Times New Roman"/>
          <w:noProof/>
        </w:rPr>
        <w:t>, including the commitment to share significant amount of data and the conditions thereof</w:t>
      </w:r>
      <w:r w:rsidRPr="008D6611">
        <w:rPr>
          <w:noProof/>
        </w:rPr>
        <w:t xml:space="preserve"> should be defined in a consortium agreement. Cross-border SOCs shall ensure a high-level of interoperability between themselves. </w:t>
      </w:r>
      <w:r w:rsidR="00083E2E" w:rsidRPr="00CE39FB">
        <w:rPr>
          <w:rFonts w:eastAsia="Times New Roman"/>
          <w:noProof/>
        </w:rPr>
        <w:t xml:space="preserve">Cross-border SOCs </w:t>
      </w:r>
      <w:r w:rsidRPr="008D6611">
        <w:rPr>
          <w:noProof/>
        </w:rPr>
        <w:t xml:space="preserve">should also conclude </w:t>
      </w:r>
      <w:r w:rsidR="00083E2E" w:rsidRPr="00CE39FB">
        <w:rPr>
          <w:rFonts w:eastAsia="Times New Roman"/>
          <w:noProof/>
        </w:rPr>
        <w:t>cooperation agreements</w:t>
      </w:r>
      <w:r w:rsidRPr="008D6611">
        <w:rPr>
          <w:noProof/>
        </w:rPr>
        <w:t xml:space="preserve"> with </w:t>
      </w:r>
      <w:r w:rsidR="00083E2E" w:rsidRPr="00CE39FB">
        <w:rPr>
          <w:rFonts w:eastAsia="Times New Roman"/>
          <w:noProof/>
        </w:rPr>
        <w:t>other Cross-border SOCs</w:t>
      </w:r>
      <w:r w:rsidRPr="008D6611">
        <w:rPr>
          <w:noProof/>
        </w:rPr>
        <w:t xml:space="preserve">, specifying information sharing principles. </w:t>
      </w:r>
      <w:r w:rsidR="00083E2E" w:rsidRPr="00CE39FB">
        <w:rPr>
          <w:rFonts w:eastAsia="Times New Roman"/>
          <w:noProof/>
        </w:rPr>
        <w:t>Where</w:t>
      </w:r>
      <w:r w:rsidR="00083E2E" w:rsidRPr="008D6611">
        <w:rPr>
          <w:noProof/>
        </w:rPr>
        <w:t xml:space="preserve"> Cross-border SOCs </w:t>
      </w:r>
      <w:r w:rsidR="00083E2E" w:rsidRPr="00CE39FB">
        <w:rPr>
          <w:rFonts w:eastAsia="Times New Roman"/>
          <w:noProof/>
        </w:rPr>
        <w:t xml:space="preserve">obtain information relating to a potential or ongoing large-scale cybersecurity incident, they </w:t>
      </w:r>
      <w:r w:rsidR="00083E2E" w:rsidRPr="008D6611">
        <w:rPr>
          <w:noProof/>
        </w:rPr>
        <w:t xml:space="preserve">shall </w:t>
      </w:r>
      <w:r w:rsidR="00083E2E" w:rsidRPr="00CE39FB">
        <w:rPr>
          <w:rFonts w:eastAsia="Times New Roman"/>
          <w:noProof/>
        </w:rPr>
        <w:t>provide</w:t>
      </w:r>
      <w:r w:rsidR="00083E2E" w:rsidRPr="008D6611">
        <w:rPr>
          <w:noProof/>
        </w:rPr>
        <w:t xml:space="preserve"> relevant information to EU CyCLONe, the </w:t>
      </w:r>
      <w:r w:rsidR="00083E2E" w:rsidRPr="00CE39FB">
        <w:rPr>
          <w:rFonts w:eastAsia="Times New Roman"/>
          <w:noProof/>
        </w:rPr>
        <w:t>CSIRTs</w:t>
      </w:r>
      <w:r w:rsidR="00083E2E" w:rsidRPr="008D6611">
        <w:rPr>
          <w:noProof/>
        </w:rPr>
        <w:t xml:space="preserve"> network and the Commission</w:t>
      </w:r>
      <w:r w:rsidR="00083E2E" w:rsidRPr="00CE39FB">
        <w:rPr>
          <w:rFonts w:eastAsia="Times New Roman"/>
          <w:noProof/>
        </w:rPr>
        <w:t>, in view of their respective crisis management roles in accordance with Directive (EU) 2022/2555</w:t>
      </w:r>
      <w:r w:rsidR="00083E2E" w:rsidRPr="008D6611">
        <w:rPr>
          <w:noProof/>
        </w:rPr>
        <w:t>.</w:t>
      </w:r>
      <w:r w:rsidRPr="008D6611">
        <w:rPr>
          <w:noProof/>
        </w:rPr>
        <w:t xml:space="preserve"> Chapter II concludes by specifying the security conditions for participating in the European Cyber Shield. </w:t>
      </w:r>
    </w:p>
    <w:p w14:paraId="7F576202" w14:textId="77777777" w:rsidR="00963300" w:rsidRPr="008D6611" w:rsidRDefault="00963300" w:rsidP="008D6611">
      <w:pPr>
        <w:spacing w:before="240" w:line="276" w:lineRule="auto"/>
        <w:rPr>
          <w:noProof/>
          <w:u w:val="single"/>
        </w:rPr>
      </w:pPr>
      <w:r w:rsidRPr="008D6611">
        <w:rPr>
          <w:noProof/>
          <w:u w:val="single"/>
        </w:rPr>
        <w:t>Cybersecurity Emergency Mechanism (Chapter III)</w:t>
      </w:r>
    </w:p>
    <w:p w14:paraId="5657D565" w14:textId="0E032AE3" w:rsidR="00963300" w:rsidRPr="008D6611" w:rsidRDefault="00963300" w:rsidP="008D6611">
      <w:pPr>
        <w:spacing w:before="240" w:line="276" w:lineRule="auto"/>
        <w:rPr>
          <w:noProof/>
        </w:rPr>
      </w:pPr>
      <w:r w:rsidRPr="008D6611">
        <w:rPr>
          <w:noProof/>
        </w:rPr>
        <w:t>Chapter III establishes the Cyber Emergency Mechanism to improve the Union’s resilience to major cybersecurity threats and prepare for and mitigate, in a spirit of solidarity, the short-term impact of significant and large-scale cybersecurity incidents or crises.</w:t>
      </w:r>
      <w:r w:rsidR="00083E2E" w:rsidRPr="008D6611">
        <w:rPr>
          <w:noProof/>
        </w:rPr>
        <w:t xml:space="preserve"> </w:t>
      </w:r>
      <w:r w:rsidR="00083E2E" w:rsidRPr="00CE39FB">
        <w:rPr>
          <w:rFonts w:eastAsia="Times New Roman"/>
          <w:noProof/>
        </w:rPr>
        <w:t xml:space="preserve">Actions implementing the </w:t>
      </w:r>
      <w:r w:rsidR="00903CAA">
        <w:rPr>
          <w:rFonts w:eastAsia="Times New Roman"/>
          <w:noProof/>
        </w:rPr>
        <w:t>Cyber</w:t>
      </w:r>
      <w:r w:rsidR="00903CAA" w:rsidRPr="00CE39FB">
        <w:rPr>
          <w:rFonts w:eastAsia="Times New Roman"/>
          <w:noProof/>
        </w:rPr>
        <w:t xml:space="preserve"> </w:t>
      </w:r>
      <w:r w:rsidR="00083E2E" w:rsidRPr="00CE39FB">
        <w:rPr>
          <w:rFonts w:eastAsia="Times New Roman"/>
          <w:noProof/>
        </w:rPr>
        <w:t xml:space="preserve">Emergency Mechanism shall be supported by funding from </w:t>
      </w:r>
      <w:r w:rsidR="00903CAA">
        <w:rPr>
          <w:rFonts w:eastAsia="Times New Roman"/>
          <w:noProof/>
        </w:rPr>
        <w:t>DEP</w:t>
      </w:r>
      <w:r w:rsidR="00083E2E" w:rsidRPr="00CE39FB">
        <w:rPr>
          <w:rFonts w:eastAsia="Times New Roman"/>
          <w:noProof/>
        </w:rPr>
        <w:t>.</w:t>
      </w:r>
      <w:r w:rsidRPr="00CE39FB">
        <w:rPr>
          <w:rFonts w:eastAsia="Times New Roman"/>
          <w:noProof/>
        </w:rPr>
        <w:t xml:space="preserve"> </w:t>
      </w:r>
      <w:r w:rsidRPr="008D6611">
        <w:rPr>
          <w:noProof/>
        </w:rPr>
        <w:t>The Mechanism provides for actions to support preparedness</w:t>
      </w:r>
      <w:r w:rsidRPr="00CE39FB">
        <w:rPr>
          <w:rFonts w:eastAsia="Times New Roman"/>
          <w:noProof/>
        </w:rPr>
        <w:t>,</w:t>
      </w:r>
      <w:r w:rsidR="00083E2E" w:rsidRPr="00CE39FB">
        <w:rPr>
          <w:rFonts w:eastAsia="Times New Roman"/>
          <w:noProof/>
        </w:rPr>
        <w:t xml:space="preserve"> including coordinated testing of entities operating in highly critical sectors</w:t>
      </w:r>
      <w:r w:rsidR="00083E2E" w:rsidRPr="008D6611">
        <w:rPr>
          <w:noProof/>
        </w:rPr>
        <w:t>,</w:t>
      </w:r>
      <w:r w:rsidRPr="008D6611">
        <w:rPr>
          <w:noProof/>
        </w:rPr>
        <w:t xml:space="preserve"> response to and immediate recovery from significant or large-scale cybersecurity incidents or mitigate significant cyber threats</w:t>
      </w:r>
      <w:r w:rsidR="005A392A" w:rsidRPr="00CE39FB">
        <w:rPr>
          <w:rFonts w:eastAsia="Times New Roman"/>
          <w:noProof/>
        </w:rPr>
        <w:t xml:space="preserve"> and mutual assistance actions</w:t>
      </w:r>
      <w:r w:rsidRPr="008D6611">
        <w:rPr>
          <w:noProof/>
        </w:rPr>
        <w:t xml:space="preserve">. </w:t>
      </w:r>
    </w:p>
    <w:p w14:paraId="02A26879" w14:textId="77777777" w:rsidR="00963300" w:rsidRPr="008D6611" w:rsidRDefault="00963300" w:rsidP="008D6611">
      <w:pPr>
        <w:spacing w:before="240" w:line="276" w:lineRule="auto"/>
        <w:rPr>
          <w:noProof/>
        </w:rPr>
      </w:pPr>
      <w:r w:rsidRPr="008D6611">
        <w:rPr>
          <w:noProof/>
        </w:rPr>
        <w:t xml:space="preserve">The Cyber Emergency Mechanism preparedness actions </w:t>
      </w:r>
      <w:r w:rsidRPr="00CE39FB">
        <w:rPr>
          <w:rFonts w:eastAsia="Times New Roman"/>
          <w:noProof/>
        </w:rPr>
        <w:t>include</w:t>
      </w:r>
      <w:r w:rsidRPr="008D6611">
        <w:rPr>
          <w:noProof/>
        </w:rPr>
        <w:t xml:space="preserve"> the coordinated preparedness testing of entities</w:t>
      </w:r>
      <w:r w:rsidR="005A392A" w:rsidRPr="00CE39FB">
        <w:rPr>
          <w:rFonts w:eastAsia="Times New Roman"/>
          <w:noProof/>
        </w:rPr>
        <w:t xml:space="preserve"> operating in highly critical</w:t>
      </w:r>
      <w:r w:rsidR="005A392A" w:rsidRPr="008D6611">
        <w:rPr>
          <w:noProof/>
        </w:rPr>
        <w:t xml:space="preserve"> sectors</w:t>
      </w:r>
      <w:r w:rsidRPr="00CE39FB">
        <w:rPr>
          <w:rFonts w:eastAsia="Times New Roman"/>
          <w:noProof/>
        </w:rPr>
        <w:t>.</w:t>
      </w:r>
      <w:r w:rsidRPr="008D6611">
        <w:rPr>
          <w:noProof/>
        </w:rPr>
        <w:t xml:space="preserve"> </w:t>
      </w:r>
      <w:r w:rsidR="005A392A" w:rsidRPr="008D6611">
        <w:rPr>
          <w:noProof/>
        </w:rPr>
        <w:t>T</w:t>
      </w:r>
      <w:r w:rsidRPr="008D6611">
        <w:rPr>
          <w:noProof/>
        </w:rPr>
        <w:t>he Commission, after consulting ENISA and the NIS Cooperation Group, should regularly identify relevant sectors or subsectors</w:t>
      </w:r>
      <w:r w:rsidR="005A392A" w:rsidRPr="00CE39FB">
        <w:rPr>
          <w:rFonts w:eastAsia="Times New Roman"/>
          <w:noProof/>
        </w:rPr>
        <w:t xml:space="preserve"> from the Sectors of High Criticality listed in Annex I of Directive (EU) No 2022/2555, from</w:t>
      </w:r>
      <w:r w:rsidR="005A392A" w:rsidRPr="008D6611">
        <w:rPr>
          <w:noProof/>
        </w:rPr>
        <w:t xml:space="preserve"> which </w:t>
      </w:r>
      <w:r w:rsidR="005A392A" w:rsidRPr="00CE39FB">
        <w:rPr>
          <w:rFonts w:eastAsia="Times New Roman"/>
          <w:noProof/>
        </w:rPr>
        <w:t>entities may</w:t>
      </w:r>
      <w:r w:rsidR="005A392A" w:rsidRPr="008D6611">
        <w:rPr>
          <w:noProof/>
        </w:rPr>
        <w:t xml:space="preserve"> be </w:t>
      </w:r>
      <w:r w:rsidR="005A392A" w:rsidRPr="00CE39FB">
        <w:rPr>
          <w:rFonts w:eastAsia="Times New Roman"/>
          <w:noProof/>
        </w:rPr>
        <w:t>subject</w:t>
      </w:r>
      <w:r w:rsidR="005A392A" w:rsidRPr="008D6611">
        <w:rPr>
          <w:noProof/>
        </w:rPr>
        <w:t xml:space="preserve"> to </w:t>
      </w:r>
      <w:r w:rsidR="005A392A" w:rsidRPr="00CE39FB">
        <w:rPr>
          <w:rFonts w:eastAsia="Times New Roman"/>
          <w:noProof/>
        </w:rPr>
        <w:t>the</w:t>
      </w:r>
      <w:r w:rsidR="005A392A" w:rsidRPr="008D6611">
        <w:rPr>
          <w:noProof/>
        </w:rPr>
        <w:t xml:space="preserve"> coordinated</w:t>
      </w:r>
      <w:r w:rsidR="005A392A" w:rsidRPr="00CE39FB">
        <w:rPr>
          <w:rFonts w:eastAsia="Times New Roman"/>
          <w:noProof/>
        </w:rPr>
        <w:t xml:space="preserve"> preparedness</w:t>
      </w:r>
      <w:r w:rsidR="005A392A" w:rsidRPr="008D6611">
        <w:rPr>
          <w:noProof/>
        </w:rPr>
        <w:t xml:space="preserve"> testing</w:t>
      </w:r>
      <w:r w:rsidRPr="008D6611">
        <w:rPr>
          <w:noProof/>
        </w:rPr>
        <w:t xml:space="preserve"> at EU level.</w:t>
      </w:r>
    </w:p>
    <w:p w14:paraId="2B8EA933" w14:textId="15CEAFDD" w:rsidR="00963300" w:rsidRPr="008D6611" w:rsidRDefault="00963300" w:rsidP="008D6611">
      <w:pPr>
        <w:spacing w:before="240" w:line="276" w:lineRule="auto"/>
        <w:rPr>
          <w:noProof/>
        </w:rPr>
      </w:pPr>
      <w:r w:rsidRPr="008D6611">
        <w:rPr>
          <w:noProof/>
        </w:rPr>
        <w:t xml:space="preserve">For the purpose of implementing the proposed incident response actions, this Regulation establishes an EU Cybersecurity Reserve, consisting of </w:t>
      </w:r>
      <w:r w:rsidR="005A392A" w:rsidRPr="00CE39FB">
        <w:rPr>
          <w:rFonts w:eastAsia="Times New Roman"/>
          <w:noProof/>
        </w:rPr>
        <w:t>incident response services from trusted providers, selected in accordance with the criteria laid down in this Regulation.</w:t>
      </w:r>
      <w:r w:rsidR="00DF216B" w:rsidRPr="00CE39FB">
        <w:rPr>
          <w:rFonts w:eastAsia="Times New Roman"/>
          <w:noProof/>
        </w:rPr>
        <w:t xml:space="preserve"> </w:t>
      </w:r>
      <w:r w:rsidR="005A392A" w:rsidRPr="00CE39FB">
        <w:rPr>
          <w:rFonts w:eastAsia="Times New Roman"/>
          <w:noProof/>
        </w:rPr>
        <w:t>Users of the services from the EU Cybersecurity Reserve shall include Member States’ cyber crisis management authorities and CSIRTs and Union institutions, bodies and agencies.</w:t>
      </w:r>
      <w:r w:rsidR="005A392A" w:rsidRPr="008D6611">
        <w:rPr>
          <w:noProof/>
        </w:rPr>
        <w:t xml:space="preserve"> </w:t>
      </w:r>
      <w:r w:rsidRPr="008D6611">
        <w:rPr>
          <w:noProof/>
        </w:rPr>
        <w:t>The Commission shall have overall responsibility for the implementation of the EU Cybersecurity Reserve and may entrust</w:t>
      </w:r>
      <w:r w:rsidR="005A392A" w:rsidRPr="00CE39FB">
        <w:rPr>
          <w:rFonts w:eastAsia="Times New Roman"/>
          <w:noProof/>
        </w:rPr>
        <w:t>,</w:t>
      </w:r>
      <w:r w:rsidR="005A392A" w:rsidRPr="00CE39FB">
        <w:rPr>
          <w:noProof/>
        </w:rPr>
        <w:t xml:space="preserve"> in full or in part,</w:t>
      </w:r>
      <w:r w:rsidRPr="008D6611">
        <w:rPr>
          <w:noProof/>
        </w:rPr>
        <w:t xml:space="preserve"> ENISA with the operation and administration of the EU Cybersecurity Reserve. </w:t>
      </w:r>
    </w:p>
    <w:p w14:paraId="1AFDC8B2" w14:textId="77777777" w:rsidR="00963300" w:rsidRPr="008D6611" w:rsidRDefault="005A392A" w:rsidP="008D6611">
      <w:pPr>
        <w:spacing w:before="240" w:line="276" w:lineRule="auto"/>
        <w:rPr>
          <w:noProof/>
        </w:rPr>
      </w:pPr>
      <w:r w:rsidRPr="00CE39FB">
        <w:rPr>
          <w:rFonts w:eastAsia="Times New Roman"/>
          <w:noProof/>
        </w:rPr>
        <w:t xml:space="preserve">To receive support from the EU Cybersecurity Reserve, the users should take their own measures to mitigate the effects of the incident for which the support is requested. </w:t>
      </w:r>
      <w:r w:rsidR="00963300" w:rsidRPr="008D6611">
        <w:rPr>
          <w:noProof/>
        </w:rPr>
        <w:t xml:space="preserve">The requests for </w:t>
      </w:r>
      <w:r w:rsidRPr="00CE39FB">
        <w:rPr>
          <w:rFonts w:eastAsia="Times New Roman"/>
          <w:noProof/>
        </w:rPr>
        <w:t>support</w:t>
      </w:r>
      <w:r w:rsidRPr="008D6611">
        <w:rPr>
          <w:noProof/>
        </w:rPr>
        <w:t xml:space="preserve"> </w:t>
      </w:r>
      <w:r w:rsidR="00963300" w:rsidRPr="008D6611">
        <w:rPr>
          <w:noProof/>
        </w:rPr>
        <w:t xml:space="preserve">from the EU Cybersecurity Reserve should include </w:t>
      </w:r>
      <w:r w:rsidRPr="00CE39FB">
        <w:rPr>
          <w:rFonts w:eastAsia="Times New Roman"/>
          <w:noProof/>
        </w:rPr>
        <w:t xml:space="preserve">necessary relevant </w:t>
      </w:r>
      <w:r w:rsidRPr="008D6611">
        <w:rPr>
          <w:noProof/>
        </w:rPr>
        <w:t xml:space="preserve">information </w:t>
      </w:r>
      <w:r w:rsidRPr="00CE39FB">
        <w:rPr>
          <w:rFonts w:eastAsia="Times New Roman"/>
          <w:noProof/>
        </w:rPr>
        <w:t>about the incident and</w:t>
      </w:r>
      <w:r w:rsidRPr="008D6611">
        <w:rPr>
          <w:noProof/>
        </w:rPr>
        <w:t xml:space="preserve"> the measures already taken </w:t>
      </w:r>
      <w:r w:rsidRPr="00CE39FB">
        <w:rPr>
          <w:rFonts w:eastAsia="Times New Roman"/>
          <w:noProof/>
        </w:rPr>
        <w:t>by the users.</w:t>
      </w:r>
      <w:r w:rsidR="00C62E08" w:rsidRPr="00CE39FB">
        <w:rPr>
          <w:rFonts w:eastAsia="Times New Roman"/>
          <w:noProof/>
        </w:rPr>
        <w:t xml:space="preserve"> The Chapter describes as well the implementation modalities</w:t>
      </w:r>
      <w:r w:rsidR="00C62E08" w:rsidRPr="008D6611">
        <w:rPr>
          <w:noProof/>
        </w:rPr>
        <w:t xml:space="preserve">, including </w:t>
      </w:r>
      <w:r w:rsidR="00C62E08" w:rsidRPr="00CE39FB">
        <w:rPr>
          <w:rFonts w:eastAsia="Times New Roman"/>
          <w:noProof/>
        </w:rPr>
        <w:t>assessment of requests to the EU Cybersecurity Reserve.</w:t>
      </w:r>
      <w:r w:rsidR="00963300" w:rsidRPr="00CE39FB">
        <w:rPr>
          <w:rFonts w:eastAsia="Times New Roman"/>
          <w:noProof/>
        </w:rPr>
        <w:t xml:space="preserve"> </w:t>
      </w:r>
    </w:p>
    <w:p w14:paraId="150923DE" w14:textId="77777777" w:rsidR="00963300" w:rsidRPr="008D6611" w:rsidRDefault="00963300" w:rsidP="008D6611">
      <w:pPr>
        <w:spacing w:before="240" w:line="276" w:lineRule="auto"/>
        <w:rPr>
          <w:noProof/>
        </w:rPr>
      </w:pPr>
      <w:r w:rsidRPr="008D6611">
        <w:rPr>
          <w:noProof/>
        </w:rPr>
        <w:t xml:space="preserve">The Regulation provides as well for the </w:t>
      </w:r>
      <w:r w:rsidR="00C62E08" w:rsidRPr="00CE39FB">
        <w:rPr>
          <w:rFonts w:eastAsia="Times New Roman"/>
          <w:noProof/>
        </w:rPr>
        <w:t>procurement principles and selection criteria regarding</w:t>
      </w:r>
      <w:r w:rsidRPr="00CE39FB">
        <w:rPr>
          <w:rFonts w:eastAsia="Times New Roman"/>
          <w:noProof/>
        </w:rPr>
        <w:t xml:space="preserve"> trusted providers </w:t>
      </w:r>
      <w:r w:rsidR="00C62E08" w:rsidRPr="00CE39FB">
        <w:rPr>
          <w:rFonts w:eastAsia="Times New Roman"/>
          <w:noProof/>
        </w:rPr>
        <w:t>of</w:t>
      </w:r>
      <w:r w:rsidRPr="00CE39FB">
        <w:rPr>
          <w:rFonts w:eastAsia="Times New Roman"/>
          <w:noProof/>
        </w:rPr>
        <w:t xml:space="preserve"> the EU Cybersecurity Reserve. </w:t>
      </w:r>
    </w:p>
    <w:p w14:paraId="1AB1AEE7" w14:textId="13153310" w:rsidR="00DF5F86" w:rsidRDefault="00C62E08" w:rsidP="008D6611">
      <w:pPr>
        <w:spacing w:before="240" w:line="276" w:lineRule="auto"/>
        <w:rPr>
          <w:rFonts w:eastAsia="Times New Roman"/>
          <w:noProof/>
        </w:rPr>
      </w:pPr>
      <w:r w:rsidRPr="00CE39FB">
        <w:rPr>
          <w:rFonts w:eastAsia="Times New Roman"/>
          <w:noProof/>
        </w:rPr>
        <w:t>Third countries may</w:t>
      </w:r>
      <w:r w:rsidR="00D46999">
        <w:rPr>
          <w:rFonts w:eastAsia="Times New Roman"/>
          <w:noProof/>
        </w:rPr>
        <w:t xml:space="preserve"> request support from</w:t>
      </w:r>
      <w:r w:rsidRPr="00CE39FB">
        <w:rPr>
          <w:rFonts w:eastAsia="Times New Roman"/>
          <w:noProof/>
        </w:rPr>
        <w:t xml:space="preserve"> </w:t>
      </w:r>
      <w:r w:rsidRPr="008D6611">
        <w:rPr>
          <w:noProof/>
        </w:rPr>
        <w:t xml:space="preserve">the EU Cybersecurity Reserve </w:t>
      </w:r>
      <w:r w:rsidRPr="00CE39FB">
        <w:rPr>
          <w:rFonts w:eastAsia="Times New Roman"/>
          <w:noProof/>
        </w:rPr>
        <w:t>where Association Agreements concluded regarding their participation</w:t>
      </w:r>
      <w:r w:rsidRPr="008D6611">
        <w:rPr>
          <w:noProof/>
        </w:rPr>
        <w:t xml:space="preserve"> </w:t>
      </w:r>
      <w:r w:rsidRPr="00CE39FB">
        <w:rPr>
          <w:rFonts w:eastAsia="Times New Roman"/>
          <w:noProof/>
        </w:rPr>
        <w:t xml:space="preserve">in </w:t>
      </w:r>
      <w:r w:rsidR="00D369E4">
        <w:rPr>
          <w:rFonts w:eastAsia="Times New Roman"/>
          <w:noProof/>
        </w:rPr>
        <w:t>DEP</w:t>
      </w:r>
      <w:r w:rsidRPr="00CE39FB">
        <w:rPr>
          <w:rFonts w:eastAsia="Times New Roman"/>
          <w:noProof/>
        </w:rPr>
        <w:t xml:space="preserve"> </w:t>
      </w:r>
      <w:r w:rsidR="00D46999">
        <w:rPr>
          <w:rFonts w:eastAsia="Times New Roman"/>
          <w:noProof/>
        </w:rPr>
        <w:t>provide for this</w:t>
      </w:r>
      <w:r w:rsidRPr="00CE39FB">
        <w:rPr>
          <w:rFonts w:eastAsia="Times New Roman"/>
          <w:noProof/>
        </w:rPr>
        <w:t>. This Chapter describes further conditions and modalities of such participation.</w:t>
      </w:r>
    </w:p>
    <w:p w14:paraId="2D8F90B0" w14:textId="77777777" w:rsidR="000E5602" w:rsidRPr="00CE39FB" w:rsidRDefault="000E5602" w:rsidP="008D6611">
      <w:pPr>
        <w:spacing w:before="240" w:line="276" w:lineRule="auto"/>
        <w:rPr>
          <w:rFonts w:eastAsia="Times New Roman"/>
          <w:noProof/>
          <w:u w:val="single"/>
        </w:rPr>
      </w:pPr>
      <w:r w:rsidRPr="008D6611">
        <w:rPr>
          <w:noProof/>
          <w:u w:val="single"/>
        </w:rPr>
        <w:t xml:space="preserve">Cybersecurity </w:t>
      </w:r>
      <w:r w:rsidRPr="00CE39FB">
        <w:rPr>
          <w:rFonts w:eastAsia="Times New Roman"/>
          <w:noProof/>
          <w:u w:val="single"/>
        </w:rPr>
        <w:t>Incident Review Mechanism (Chapter IV)</w:t>
      </w:r>
    </w:p>
    <w:p w14:paraId="77AE6F53" w14:textId="5EEEF044" w:rsidR="00963300" w:rsidRPr="008D6611" w:rsidRDefault="00C62E08" w:rsidP="008D6611">
      <w:pPr>
        <w:spacing w:before="240" w:line="276" w:lineRule="auto"/>
        <w:rPr>
          <w:rStyle w:val="normaltextrun"/>
          <w:noProof/>
        </w:rPr>
      </w:pPr>
      <w:r w:rsidRPr="00CE39FB">
        <w:rPr>
          <w:rFonts w:eastAsia="Times New Roman"/>
          <w:noProof/>
        </w:rPr>
        <w:t xml:space="preserve">At the request of </w:t>
      </w:r>
      <w:r w:rsidRPr="008D6611">
        <w:rPr>
          <w:noProof/>
        </w:rPr>
        <w:t xml:space="preserve">the </w:t>
      </w:r>
      <w:r w:rsidRPr="00CE39FB">
        <w:rPr>
          <w:rFonts w:eastAsia="Times New Roman"/>
          <w:noProof/>
        </w:rPr>
        <w:t xml:space="preserve">Commission, the EU-CyCLONe or the CSIRTs network, ENISA should </w:t>
      </w:r>
      <w:r w:rsidR="000E5602" w:rsidRPr="00CE39FB">
        <w:rPr>
          <w:rFonts w:eastAsia="Times New Roman"/>
          <w:noProof/>
        </w:rPr>
        <w:t>review and assess</w:t>
      </w:r>
      <w:r w:rsidRPr="00CE39FB">
        <w:rPr>
          <w:rFonts w:eastAsia="Times New Roman"/>
          <w:noProof/>
        </w:rPr>
        <w:t xml:space="preserve"> threats, vulnerabilities and mitigation actions with respect to </w:t>
      </w:r>
      <w:r w:rsidRPr="008D6611">
        <w:rPr>
          <w:noProof/>
        </w:rPr>
        <w:t>a specific significant or large-scale cybersecurity incident</w:t>
      </w:r>
      <w:r w:rsidRPr="00CE39FB">
        <w:rPr>
          <w:rFonts w:eastAsia="Times New Roman"/>
          <w:noProof/>
        </w:rPr>
        <w:t xml:space="preserve">. </w:t>
      </w:r>
      <w:r w:rsidR="000E5602" w:rsidRPr="00CE39FB">
        <w:rPr>
          <w:rFonts w:eastAsia="Times New Roman"/>
          <w:noProof/>
        </w:rPr>
        <w:t>The review and assessment should be delivered by ENISA in</w:t>
      </w:r>
      <w:r w:rsidR="00F962AE">
        <w:rPr>
          <w:rFonts w:eastAsia="Times New Roman"/>
          <w:noProof/>
        </w:rPr>
        <w:t xml:space="preserve"> the</w:t>
      </w:r>
      <w:r w:rsidR="000E5602" w:rsidRPr="00CE39FB">
        <w:rPr>
          <w:rFonts w:eastAsia="Times New Roman"/>
          <w:noProof/>
        </w:rPr>
        <w:t xml:space="preserve"> form of an incident review report </w:t>
      </w:r>
      <w:r w:rsidRPr="00CE39FB">
        <w:rPr>
          <w:rFonts w:eastAsia="Times New Roman"/>
          <w:noProof/>
        </w:rPr>
        <w:t>to the CSIRTs network, the EU-CyCLONe and the Commission to support them in carrying out their tasks.</w:t>
      </w:r>
      <w:r w:rsidR="000E5602" w:rsidRPr="00CE39FB">
        <w:rPr>
          <w:rFonts w:eastAsia="Times New Roman"/>
          <w:noProof/>
        </w:rPr>
        <w:t xml:space="preserve"> </w:t>
      </w:r>
      <w:r w:rsidR="00AF2FC2">
        <w:rPr>
          <w:rFonts w:eastAsia="Times New Roman"/>
          <w:noProof/>
        </w:rPr>
        <w:t xml:space="preserve">When the incident relates to a third country, the report should be shared </w:t>
      </w:r>
      <w:r w:rsidR="00E720F0">
        <w:rPr>
          <w:rFonts w:eastAsia="Times New Roman"/>
          <w:noProof/>
        </w:rPr>
        <w:t xml:space="preserve">by the Commission </w:t>
      </w:r>
      <w:r w:rsidR="00AF2FC2">
        <w:rPr>
          <w:rFonts w:eastAsia="Times New Roman"/>
          <w:noProof/>
        </w:rPr>
        <w:t xml:space="preserve">with the High Representative. </w:t>
      </w:r>
      <w:r w:rsidR="000E5602" w:rsidRPr="00CE39FB">
        <w:rPr>
          <w:rFonts w:eastAsia="Times New Roman"/>
          <w:noProof/>
        </w:rPr>
        <w:t xml:space="preserve">The report should include </w:t>
      </w:r>
      <w:r w:rsidR="000E5602" w:rsidRPr="008D6611">
        <w:rPr>
          <w:noProof/>
        </w:rPr>
        <w:t xml:space="preserve">lessons </w:t>
      </w:r>
      <w:r w:rsidR="000E5602" w:rsidRPr="00CE39FB">
        <w:rPr>
          <w:rFonts w:eastAsia="Times New Roman"/>
          <w:noProof/>
        </w:rPr>
        <w:t>learn</w:t>
      </w:r>
      <w:r w:rsidR="00E44146" w:rsidRPr="001C7B16">
        <w:rPr>
          <w:rFonts w:eastAsia="Times New Roman"/>
          <w:noProof/>
        </w:rPr>
        <w:t>ed</w:t>
      </w:r>
      <w:r w:rsidR="000E5602" w:rsidRPr="008D6611">
        <w:rPr>
          <w:noProof/>
        </w:rPr>
        <w:t xml:space="preserve"> and where appropriate</w:t>
      </w:r>
      <w:r w:rsidR="000E5602" w:rsidRPr="00CE39FB">
        <w:rPr>
          <w:rFonts w:eastAsia="Times New Roman"/>
          <w:noProof/>
        </w:rPr>
        <w:t>,</w:t>
      </w:r>
      <w:r w:rsidR="000E5602" w:rsidRPr="008D6611">
        <w:rPr>
          <w:noProof/>
        </w:rPr>
        <w:t xml:space="preserve"> recommendations to improve</w:t>
      </w:r>
      <w:r w:rsidR="00F962AE">
        <w:rPr>
          <w:noProof/>
        </w:rPr>
        <w:t xml:space="preserve"> the</w:t>
      </w:r>
      <w:r w:rsidR="000E5602" w:rsidRPr="008D6611">
        <w:rPr>
          <w:noProof/>
        </w:rPr>
        <w:t xml:space="preserve"> Union’s cyber posture.</w:t>
      </w:r>
      <w:r w:rsidR="00963300" w:rsidRPr="008D6611">
        <w:rPr>
          <w:rStyle w:val="normaltextrun"/>
          <w:noProof/>
        </w:rPr>
        <w:t xml:space="preserve"> </w:t>
      </w:r>
    </w:p>
    <w:p w14:paraId="79F1B69D" w14:textId="77777777" w:rsidR="00963300" w:rsidRPr="008D6611" w:rsidRDefault="00963300" w:rsidP="008D6611">
      <w:pPr>
        <w:spacing w:before="240" w:line="276" w:lineRule="auto"/>
        <w:rPr>
          <w:noProof/>
          <w:u w:val="single"/>
        </w:rPr>
      </w:pPr>
      <w:r w:rsidRPr="008D6611">
        <w:rPr>
          <w:noProof/>
          <w:u w:val="single"/>
        </w:rPr>
        <w:t>Final Provisions (Chapter V)</w:t>
      </w:r>
    </w:p>
    <w:p w14:paraId="48F7A1CA" w14:textId="77777777" w:rsidR="00963300" w:rsidRPr="008D6611" w:rsidRDefault="00963300" w:rsidP="008D6611">
      <w:pPr>
        <w:spacing w:before="240" w:line="276" w:lineRule="auto"/>
        <w:rPr>
          <w:noProof/>
        </w:rPr>
      </w:pPr>
      <w:r w:rsidRPr="008D6611">
        <w:rPr>
          <w:noProof/>
        </w:rPr>
        <w:t xml:space="preserve">Chapter V contains amendments to the DEP Regulation, and an obligation for the Commission to prepare regular reports for the evaluation and review of the Regulation to the European Parliament and to the Council. The Commission is empowered to adopt implementing acts in accordance with the examination procedure referred to in Article </w:t>
      </w:r>
      <w:r w:rsidRPr="00CE39FB">
        <w:rPr>
          <w:rFonts w:eastAsia="Times New Roman"/>
          <w:noProof/>
        </w:rPr>
        <w:t>2</w:t>
      </w:r>
      <w:r w:rsidR="00CD2EC4" w:rsidRPr="00CE39FB">
        <w:rPr>
          <w:rFonts w:eastAsia="Times New Roman"/>
          <w:noProof/>
        </w:rPr>
        <w:t>1</w:t>
      </w:r>
      <w:r w:rsidRPr="008D6611">
        <w:rPr>
          <w:noProof/>
        </w:rPr>
        <w:t xml:space="preserve"> to: </w:t>
      </w:r>
      <w:r w:rsidR="00640AF6" w:rsidRPr="008D6611">
        <w:rPr>
          <w:noProof/>
        </w:rPr>
        <w:t xml:space="preserve">specify </w:t>
      </w:r>
      <w:r w:rsidR="00640AF6" w:rsidRPr="00CE39FB">
        <w:rPr>
          <w:rFonts w:eastAsia="Times New Roman"/>
          <w:noProof/>
        </w:rPr>
        <w:t xml:space="preserve">the conditions for this interoperability between Cross-border SOCs; determine the </w:t>
      </w:r>
      <w:r w:rsidR="00640AF6" w:rsidRPr="008D6611">
        <w:rPr>
          <w:noProof/>
        </w:rPr>
        <w:t xml:space="preserve">procedural arrangements </w:t>
      </w:r>
      <w:r w:rsidR="00640AF6" w:rsidRPr="00CE39FB">
        <w:rPr>
          <w:rFonts w:eastAsia="Times New Roman"/>
          <w:noProof/>
        </w:rPr>
        <w:t>for the</w:t>
      </w:r>
      <w:r w:rsidR="00640AF6" w:rsidRPr="008D6611">
        <w:rPr>
          <w:noProof/>
        </w:rPr>
        <w:t xml:space="preserve"> information sharing </w:t>
      </w:r>
      <w:r w:rsidR="00640AF6" w:rsidRPr="00CE39FB">
        <w:rPr>
          <w:rFonts w:eastAsia="Times New Roman"/>
          <w:noProof/>
        </w:rPr>
        <w:t xml:space="preserve">related to a potential or ongoing large-scale cybersecurity incident </w:t>
      </w:r>
      <w:r w:rsidR="00640AF6" w:rsidRPr="008D6611">
        <w:rPr>
          <w:noProof/>
        </w:rPr>
        <w:t xml:space="preserve">between Cross-border SOCs and Union entities; laying down technical requirements to </w:t>
      </w:r>
      <w:r w:rsidR="00640AF6" w:rsidRPr="00CE39FB">
        <w:rPr>
          <w:rFonts w:eastAsia="Times New Roman"/>
          <w:noProof/>
        </w:rPr>
        <w:t>ensure a high level of data and physical security</w:t>
      </w:r>
      <w:r w:rsidR="00640AF6" w:rsidRPr="008D6611">
        <w:rPr>
          <w:noProof/>
        </w:rPr>
        <w:t xml:space="preserve"> of the </w:t>
      </w:r>
      <w:r w:rsidR="00640AF6" w:rsidRPr="00CE39FB">
        <w:rPr>
          <w:rFonts w:eastAsia="Times New Roman"/>
          <w:noProof/>
        </w:rPr>
        <w:t>infrastructure and to protect the security interests of the Union when sharing information with entities that are not Member States public bodies</w:t>
      </w:r>
      <w:r w:rsidR="00640AF6" w:rsidRPr="008D6611">
        <w:rPr>
          <w:noProof/>
        </w:rPr>
        <w:t xml:space="preserve">; specify the types and the number of response services required for the EU Cybersecurity Reserve; </w:t>
      </w:r>
      <w:r w:rsidR="00640AF6" w:rsidRPr="00CE39FB">
        <w:rPr>
          <w:rFonts w:eastAsia="Times New Roman"/>
          <w:noProof/>
        </w:rPr>
        <w:t xml:space="preserve">and, </w:t>
      </w:r>
      <w:r w:rsidR="00640AF6" w:rsidRPr="008D6611">
        <w:rPr>
          <w:noProof/>
        </w:rPr>
        <w:t xml:space="preserve">specify further the </w:t>
      </w:r>
      <w:r w:rsidR="00640AF6" w:rsidRPr="00CE39FB">
        <w:rPr>
          <w:rFonts w:eastAsia="Times New Roman"/>
          <w:noProof/>
        </w:rPr>
        <w:t>detailed arrangements</w:t>
      </w:r>
      <w:r w:rsidR="00640AF6" w:rsidRPr="008D6611">
        <w:rPr>
          <w:noProof/>
        </w:rPr>
        <w:t xml:space="preserve"> for allocating the EU Cybersecurity Reserve support services</w:t>
      </w:r>
      <w:r w:rsidRPr="008D6611">
        <w:rPr>
          <w:noProof/>
        </w:rPr>
        <w:t>.</w:t>
      </w:r>
    </w:p>
    <w:p w14:paraId="5F06ACDB" w14:textId="77777777" w:rsidR="00686F66" w:rsidRPr="00CE39FB" w:rsidRDefault="00686F66" w:rsidP="008D6611">
      <w:pPr>
        <w:spacing w:before="240" w:line="276" w:lineRule="auto"/>
        <w:rPr>
          <w:noProof/>
        </w:rPr>
      </w:pPr>
      <w:r w:rsidRPr="00CE39FB">
        <w:rPr>
          <w:noProof/>
        </w:rPr>
        <w:br w:type="page"/>
      </w:r>
    </w:p>
    <w:p w14:paraId="1E222BAC" w14:textId="77777777" w:rsidR="004770F6" w:rsidRPr="00CE39FB" w:rsidRDefault="004770F6">
      <w:pPr>
        <w:rPr>
          <w:noProof/>
        </w:rPr>
        <w:sectPr w:rsidR="004770F6" w:rsidRPr="00CE39FB" w:rsidSect="00E17AC8">
          <w:footerReference w:type="default" r:id="rId11"/>
          <w:footerReference w:type="first" r:id="rId12"/>
          <w:pgSz w:w="11907" w:h="16839"/>
          <w:pgMar w:top="1134" w:right="1417" w:bottom="1134" w:left="1417" w:header="709" w:footer="709" w:gutter="0"/>
          <w:cols w:space="708"/>
          <w:docGrid w:linePitch="360"/>
        </w:sectPr>
      </w:pPr>
    </w:p>
    <w:p w14:paraId="7F907385" w14:textId="6ED99FF2" w:rsidR="00277B9F" w:rsidRDefault="00647192" w:rsidP="00647192">
      <w:pPr>
        <w:pStyle w:val="Rfrenceinterinstitutionnelle"/>
        <w:rPr>
          <w:noProof/>
        </w:rPr>
      </w:pPr>
      <w:r w:rsidRPr="00647192">
        <w:t>2023/0109 (COD)</w:t>
      </w:r>
    </w:p>
    <w:p w14:paraId="1FF21E5B" w14:textId="38526CE4" w:rsidR="004770F6" w:rsidRPr="00CE39FB" w:rsidRDefault="00F21EC4" w:rsidP="00F21EC4">
      <w:pPr>
        <w:pStyle w:val="Statut"/>
        <w:rPr>
          <w:noProof/>
        </w:rPr>
      </w:pPr>
      <w:r w:rsidRPr="00F21EC4">
        <w:rPr>
          <w:noProof/>
        </w:rPr>
        <w:t>Proposal for a</w:t>
      </w:r>
    </w:p>
    <w:p w14:paraId="26835DBB" w14:textId="47C1C880" w:rsidR="004770F6" w:rsidRPr="00CE39FB" w:rsidRDefault="00F21EC4" w:rsidP="00F21EC4">
      <w:pPr>
        <w:pStyle w:val="Typedudocument"/>
        <w:rPr>
          <w:noProof/>
        </w:rPr>
      </w:pPr>
      <w:r w:rsidRPr="00F21EC4">
        <w:rPr>
          <w:noProof/>
        </w:rPr>
        <w:t>REGULATION OF THE EUROPEAN PARLIAMENT AND OF THE COUNCIL</w:t>
      </w:r>
    </w:p>
    <w:p w14:paraId="18AF8C27" w14:textId="275A9844" w:rsidR="004770F6" w:rsidRPr="00CE39FB" w:rsidRDefault="00F21EC4" w:rsidP="00F21EC4">
      <w:pPr>
        <w:pStyle w:val="Titreobjet"/>
        <w:rPr>
          <w:noProof/>
        </w:rPr>
      </w:pPr>
      <w:r w:rsidRPr="00F21EC4">
        <w:rPr>
          <w:noProof/>
        </w:rPr>
        <w:t>laying down measures to strengthen solidarity and capacities in the Union to detect, prepare for and respond to cybersecurity threats and incidents</w:t>
      </w:r>
    </w:p>
    <w:p w14:paraId="21A07702" w14:textId="77777777" w:rsidR="004770F6" w:rsidRPr="00CE39FB" w:rsidRDefault="004770F6">
      <w:pPr>
        <w:pStyle w:val="Institutionquiagit"/>
        <w:rPr>
          <w:noProof/>
        </w:rPr>
      </w:pPr>
      <w:r w:rsidRPr="00CE39FB">
        <w:rPr>
          <w:noProof/>
        </w:rPr>
        <w:t xml:space="preserve">THE EUROPEAN PARLIAMENT AND THE COUNCIL OF THE EUROPEAN </w:t>
      </w:r>
      <w:smartTag w:uri="urn:schemas-microsoft-com:office:smarttags" w:element="place">
        <w:r w:rsidRPr="00CE39FB">
          <w:rPr>
            <w:noProof/>
          </w:rPr>
          <w:t>UNION</w:t>
        </w:r>
      </w:smartTag>
      <w:r w:rsidRPr="00CE39FB">
        <w:rPr>
          <w:noProof/>
        </w:rPr>
        <w:t>,</w:t>
      </w:r>
    </w:p>
    <w:p w14:paraId="24023C1A" w14:textId="77777777" w:rsidR="004770F6" w:rsidRPr="00CE39FB" w:rsidRDefault="004770F6">
      <w:pPr>
        <w:rPr>
          <w:noProof/>
        </w:rPr>
      </w:pPr>
      <w:r w:rsidRPr="00CE39FB">
        <w:rPr>
          <w:noProof/>
        </w:rPr>
        <w:t xml:space="preserve">Having regard to </w:t>
      </w:r>
      <w:bookmarkStart w:id="2" w:name="_Hlk131669591"/>
      <w:r w:rsidRPr="00CE39FB">
        <w:rPr>
          <w:noProof/>
        </w:rPr>
        <w:t>the Treaty on the Functioning of the European Union</w:t>
      </w:r>
      <w:bookmarkEnd w:id="2"/>
      <w:r w:rsidRPr="00CE39FB">
        <w:rPr>
          <w:noProof/>
        </w:rPr>
        <w:t xml:space="preserve">, and in particular Article </w:t>
      </w:r>
      <w:r w:rsidR="00F038B7" w:rsidRPr="00CE39FB">
        <w:rPr>
          <w:rFonts w:eastAsiaTheme="minorEastAsia"/>
          <w:noProof/>
        </w:rPr>
        <w:t xml:space="preserve">173(3) </w:t>
      </w:r>
      <w:r w:rsidR="55DF0B1B" w:rsidRPr="00CE39FB">
        <w:rPr>
          <w:rFonts w:eastAsiaTheme="minorEastAsia"/>
          <w:noProof/>
        </w:rPr>
        <w:t>and Article 322(1)</w:t>
      </w:r>
      <w:r w:rsidR="00B742E1" w:rsidRPr="00CE39FB">
        <w:rPr>
          <w:rFonts w:eastAsiaTheme="minorEastAsia"/>
          <w:noProof/>
        </w:rPr>
        <w:t xml:space="preserve">, point </w:t>
      </w:r>
      <w:r w:rsidR="00FC3252" w:rsidRPr="00CE39FB">
        <w:rPr>
          <w:rFonts w:eastAsiaTheme="minorEastAsia"/>
          <w:noProof/>
        </w:rPr>
        <w:t>(</w:t>
      </w:r>
      <w:r w:rsidR="00B742E1" w:rsidRPr="00CE39FB">
        <w:rPr>
          <w:rFonts w:eastAsiaTheme="minorEastAsia"/>
          <w:noProof/>
        </w:rPr>
        <w:t>a</w:t>
      </w:r>
      <w:r w:rsidR="55DF0B1B" w:rsidRPr="00CE39FB">
        <w:rPr>
          <w:rFonts w:eastAsiaTheme="minorEastAsia"/>
          <w:noProof/>
        </w:rPr>
        <w:t>)</w:t>
      </w:r>
      <w:r w:rsidR="00F038B7" w:rsidRPr="00CE39FB">
        <w:rPr>
          <w:rFonts w:eastAsiaTheme="minorEastAsia"/>
          <w:noProof/>
        </w:rPr>
        <w:t xml:space="preserve"> </w:t>
      </w:r>
      <w:r w:rsidRPr="00CE39FB">
        <w:rPr>
          <w:noProof/>
        </w:rPr>
        <w:t>thereof,</w:t>
      </w:r>
    </w:p>
    <w:p w14:paraId="04C88A04" w14:textId="77777777" w:rsidR="004770F6" w:rsidRPr="00CE39FB" w:rsidRDefault="004770F6">
      <w:pPr>
        <w:rPr>
          <w:noProof/>
        </w:rPr>
      </w:pPr>
      <w:r w:rsidRPr="00CE39FB">
        <w:rPr>
          <w:noProof/>
        </w:rPr>
        <w:t>Having regard to the proposal from the European Commission,</w:t>
      </w:r>
    </w:p>
    <w:p w14:paraId="1C636364" w14:textId="77777777" w:rsidR="004770F6" w:rsidRPr="00CE39FB" w:rsidRDefault="004770F6">
      <w:pPr>
        <w:rPr>
          <w:noProof/>
        </w:rPr>
      </w:pPr>
      <w:r w:rsidRPr="00CE39FB">
        <w:rPr>
          <w:noProof/>
        </w:rPr>
        <w:t>After transmission of the draft legislative act to the national parliaments,</w:t>
      </w:r>
    </w:p>
    <w:p w14:paraId="2BE8C60D" w14:textId="77777777" w:rsidR="00B742E1" w:rsidRPr="00CE39FB" w:rsidRDefault="004770F6">
      <w:pPr>
        <w:rPr>
          <w:noProof/>
        </w:rPr>
      </w:pPr>
      <w:r w:rsidRPr="00CE39FB">
        <w:rPr>
          <w:noProof/>
        </w:rPr>
        <w:t xml:space="preserve">Having regard to the opinion of the </w:t>
      </w:r>
      <w:r w:rsidR="00B742E1" w:rsidRPr="00CE39FB">
        <w:rPr>
          <w:noProof/>
        </w:rPr>
        <w:t>Court of Auditors</w:t>
      </w:r>
      <w:r w:rsidR="00B742E1" w:rsidRPr="00CE39FB">
        <w:rPr>
          <w:rStyle w:val="FootnoteReference"/>
          <w:noProof/>
        </w:rPr>
        <w:footnoteReference w:id="14"/>
      </w:r>
    </w:p>
    <w:p w14:paraId="1C02A895" w14:textId="77777777" w:rsidR="004770F6" w:rsidRPr="00CE39FB" w:rsidRDefault="004770F6">
      <w:pPr>
        <w:rPr>
          <w:noProof/>
        </w:rPr>
      </w:pPr>
      <w:r w:rsidRPr="00CE39FB">
        <w:rPr>
          <w:noProof/>
        </w:rPr>
        <w:t>Having regard to the opinion of the European Economic and Social Committee</w:t>
      </w:r>
      <w:r w:rsidRPr="00CE39FB">
        <w:rPr>
          <w:rStyle w:val="FootnoteReference"/>
          <w:noProof/>
        </w:rPr>
        <w:footnoteReference w:id="15"/>
      </w:r>
      <w:r w:rsidRPr="00CE39FB">
        <w:rPr>
          <w:noProof/>
        </w:rPr>
        <w:t xml:space="preserve">, </w:t>
      </w:r>
    </w:p>
    <w:p w14:paraId="2D0A1706" w14:textId="77777777" w:rsidR="004770F6" w:rsidRPr="00CE39FB" w:rsidRDefault="004770F6">
      <w:pPr>
        <w:rPr>
          <w:noProof/>
        </w:rPr>
      </w:pPr>
      <w:r w:rsidRPr="00CE39FB">
        <w:rPr>
          <w:noProof/>
        </w:rPr>
        <w:t>Having regard to the opinion of the Committee of the Regions</w:t>
      </w:r>
      <w:r w:rsidRPr="00CE39FB">
        <w:rPr>
          <w:rStyle w:val="FootnoteReference"/>
          <w:noProof/>
        </w:rPr>
        <w:footnoteReference w:id="16"/>
      </w:r>
      <w:r w:rsidRPr="00CE39FB">
        <w:rPr>
          <w:noProof/>
        </w:rPr>
        <w:t xml:space="preserve">, </w:t>
      </w:r>
    </w:p>
    <w:p w14:paraId="7722122D" w14:textId="77777777" w:rsidR="004770F6" w:rsidRPr="00CE39FB" w:rsidRDefault="004770F6">
      <w:pPr>
        <w:rPr>
          <w:noProof/>
        </w:rPr>
      </w:pPr>
      <w:r w:rsidRPr="00CE39FB">
        <w:rPr>
          <w:noProof/>
        </w:rPr>
        <w:t>Acting in accordance with the ordinary legislative procedure,</w:t>
      </w:r>
    </w:p>
    <w:p w14:paraId="71202FBF" w14:textId="77777777" w:rsidR="004770F6" w:rsidRPr="00CE39FB" w:rsidRDefault="004770F6">
      <w:pPr>
        <w:rPr>
          <w:noProof/>
        </w:rPr>
      </w:pPr>
      <w:r w:rsidRPr="00CE39FB">
        <w:rPr>
          <w:noProof/>
        </w:rPr>
        <w:t>Whereas:</w:t>
      </w:r>
    </w:p>
    <w:p w14:paraId="7AD4A5B3" w14:textId="1AF8BBB0" w:rsidR="004770F6" w:rsidRPr="00CE39FB" w:rsidRDefault="007B0110" w:rsidP="007B0110">
      <w:pPr>
        <w:pStyle w:val="ManualConsidrant"/>
        <w:rPr>
          <w:noProof/>
        </w:rPr>
      </w:pPr>
      <w:r w:rsidRPr="007B0110">
        <w:rPr>
          <w:noProof/>
        </w:rPr>
        <w:t>(1)</w:t>
      </w:r>
      <w:r w:rsidRPr="007B0110">
        <w:rPr>
          <w:noProof/>
        </w:rPr>
        <w:tab/>
      </w:r>
      <w:r w:rsidR="007A35EE" w:rsidRPr="008D6611">
        <w:rPr>
          <w:noProof/>
        </w:rPr>
        <w:t xml:space="preserve">The use of and dependence on information and communication technologies have become fundamental aspects in all sectors of economic activity as our public administrations, companies and citizens are more interconnected and interdependent across sectors and borders than ever before.  </w:t>
      </w:r>
    </w:p>
    <w:p w14:paraId="4AE5B2D9" w14:textId="721E99A1" w:rsidR="00693E44" w:rsidRPr="008D6611" w:rsidRDefault="007B0110" w:rsidP="007B0110">
      <w:pPr>
        <w:pStyle w:val="ManualConsidrant"/>
        <w:rPr>
          <w:noProof/>
        </w:rPr>
      </w:pPr>
      <w:r w:rsidRPr="007B0110">
        <w:rPr>
          <w:noProof/>
        </w:rPr>
        <w:t>(2)</w:t>
      </w:r>
      <w:r w:rsidRPr="007B0110">
        <w:rPr>
          <w:noProof/>
        </w:rPr>
        <w:tab/>
      </w:r>
      <w:r w:rsidR="00693E44" w:rsidRPr="00CE39FB">
        <w:rPr>
          <w:noProof/>
        </w:rPr>
        <w:t xml:space="preserve">The magnitude, frequency and impact of cybersecurity incidents are increasing, including supply chain attacks aiming at cyberespionage, ransomware or disruption. They represent a major threat to the functioning of network and information systems. In view of </w:t>
      </w:r>
      <w:r w:rsidR="00A94604" w:rsidRPr="00CE39FB">
        <w:rPr>
          <w:noProof/>
        </w:rPr>
        <w:t>the</w:t>
      </w:r>
      <w:r w:rsidR="00693E44" w:rsidRPr="00CE39FB">
        <w:rPr>
          <w:noProof/>
        </w:rPr>
        <w:t xml:space="preserve"> fast-evolving threat landscape, the threat of possible large-scale incident</w:t>
      </w:r>
      <w:r w:rsidR="003A5E83" w:rsidRPr="00CE39FB">
        <w:rPr>
          <w:noProof/>
        </w:rPr>
        <w:t>s</w:t>
      </w:r>
      <w:r w:rsidR="00693E44" w:rsidRPr="00CE39FB">
        <w:rPr>
          <w:noProof/>
        </w:rPr>
        <w:t xml:space="preserve"> causing significant disruption </w:t>
      </w:r>
      <w:r w:rsidR="00E31133" w:rsidRPr="00CE39FB">
        <w:rPr>
          <w:noProof/>
        </w:rPr>
        <w:t xml:space="preserve">or </w:t>
      </w:r>
      <w:r w:rsidR="00693E44" w:rsidRPr="00CE39FB">
        <w:rPr>
          <w:noProof/>
        </w:rPr>
        <w:t xml:space="preserve">damage to critical infrastructures demands heightened preparedness at all levels of the </w:t>
      </w:r>
      <w:r w:rsidR="00121905" w:rsidRPr="00CE39FB">
        <w:rPr>
          <w:noProof/>
        </w:rPr>
        <w:t>Union</w:t>
      </w:r>
      <w:r w:rsidR="00693E44" w:rsidRPr="00CE39FB">
        <w:rPr>
          <w:noProof/>
        </w:rPr>
        <w:t>’s cybersecurity</w:t>
      </w:r>
      <w:r w:rsidR="00121905" w:rsidRPr="00CE39FB">
        <w:rPr>
          <w:noProof/>
        </w:rPr>
        <w:t xml:space="preserve"> framework</w:t>
      </w:r>
      <w:r w:rsidR="00693E44" w:rsidRPr="00CE39FB">
        <w:rPr>
          <w:noProof/>
        </w:rPr>
        <w:t xml:space="preserve">. </w:t>
      </w:r>
      <w:r w:rsidR="00A94604" w:rsidRPr="00CE39FB">
        <w:rPr>
          <w:noProof/>
        </w:rPr>
        <w:t>That</w:t>
      </w:r>
      <w:r w:rsidR="00693E44" w:rsidRPr="00CE39FB">
        <w:rPr>
          <w:noProof/>
        </w:rPr>
        <w:t xml:space="preserve"> threat goes beyond Russia’s military aggression on Ukraine,</w:t>
      </w:r>
      <w:r w:rsidR="00121905" w:rsidRPr="00CE39FB">
        <w:rPr>
          <w:noProof/>
        </w:rPr>
        <w:t xml:space="preserve"> and is likely to persist</w:t>
      </w:r>
      <w:r w:rsidR="00693E44" w:rsidRPr="00CE39FB">
        <w:rPr>
          <w:noProof/>
        </w:rPr>
        <w:t xml:space="preserve"> given the multiplicity of state-aligned, criminal and hacktivist actors involved in current geopolitical tensions. Such incidents can impede the provision of public services</w:t>
      </w:r>
      <w:r w:rsidR="008A18C1" w:rsidRPr="00CE39FB">
        <w:rPr>
          <w:noProof/>
        </w:rPr>
        <w:t xml:space="preserve"> and</w:t>
      </w:r>
      <w:r w:rsidR="00693E44" w:rsidRPr="00CE39FB">
        <w:rPr>
          <w:noProof/>
        </w:rPr>
        <w:t xml:space="preserve"> the pursuit of economic activities, including in </w:t>
      </w:r>
      <w:r w:rsidR="00934AA1" w:rsidRPr="00CE39FB">
        <w:rPr>
          <w:noProof/>
        </w:rPr>
        <w:t>critical</w:t>
      </w:r>
      <w:r w:rsidR="000C2FC8" w:rsidRPr="00CE39FB">
        <w:rPr>
          <w:noProof/>
        </w:rPr>
        <w:t xml:space="preserve"> or highly critical</w:t>
      </w:r>
      <w:r w:rsidR="00934AA1" w:rsidRPr="00CE39FB">
        <w:rPr>
          <w:noProof/>
        </w:rPr>
        <w:t xml:space="preserve"> </w:t>
      </w:r>
      <w:r w:rsidR="00693E44" w:rsidRPr="00CE39FB">
        <w:rPr>
          <w:noProof/>
        </w:rPr>
        <w:t xml:space="preserve">sectors, generate substantial financial losses, undermine user confidence, cause major damage to the economy of the Union, and could even have health or life-threatening consequences. Moreover, cybersecurity incidents are unpredictable, </w:t>
      </w:r>
      <w:r w:rsidR="00CC058A" w:rsidRPr="00CE39FB">
        <w:rPr>
          <w:noProof/>
        </w:rPr>
        <w:t xml:space="preserve">as they </w:t>
      </w:r>
      <w:r w:rsidR="00693E44" w:rsidRPr="00CE39FB">
        <w:rPr>
          <w:noProof/>
        </w:rPr>
        <w:t xml:space="preserve">often </w:t>
      </w:r>
      <w:r w:rsidR="00CC058A" w:rsidRPr="00CE39FB">
        <w:rPr>
          <w:noProof/>
        </w:rPr>
        <w:t xml:space="preserve">emerge </w:t>
      </w:r>
      <w:r w:rsidR="00693E44" w:rsidRPr="00CE39FB">
        <w:rPr>
          <w:noProof/>
        </w:rPr>
        <w:t>and evolve within very short periods of time</w:t>
      </w:r>
      <w:r w:rsidR="009E5694" w:rsidRPr="00CE39FB">
        <w:rPr>
          <w:noProof/>
        </w:rPr>
        <w:t>,</w:t>
      </w:r>
      <w:r w:rsidR="00813204" w:rsidRPr="00CE39FB">
        <w:rPr>
          <w:noProof/>
        </w:rPr>
        <w:t xml:space="preserve"> </w:t>
      </w:r>
      <w:r w:rsidR="00693E44" w:rsidRPr="00CE39FB">
        <w:rPr>
          <w:noProof/>
        </w:rPr>
        <w:t xml:space="preserve">not contained within any specific geographical area, </w:t>
      </w:r>
      <w:r w:rsidR="00DD21CF" w:rsidRPr="00CE39FB">
        <w:rPr>
          <w:noProof/>
        </w:rPr>
        <w:t xml:space="preserve">and </w:t>
      </w:r>
      <w:r w:rsidR="00693E44" w:rsidRPr="00CE39FB">
        <w:rPr>
          <w:noProof/>
        </w:rPr>
        <w:t>occurring simultaneously or</w:t>
      </w:r>
      <w:r w:rsidR="00693E44" w:rsidRPr="00CE39FB">
        <w:rPr>
          <w:rFonts w:eastAsiaTheme="minorEastAsia"/>
          <w:noProof/>
        </w:rPr>
        <w:t xml:space="preserve"> spreading instantly across many countries. </w:t>
      </w:r>
    </w:p>
    <w:p w14:paraId="690AFB2F" w14:textId="5BFACF89" w:rsidR="00122649" w:rsidRPr="00CE39FB" w:rsidRDefault="007B0110" w:rsidP="007B0110">
      <w:pPr>
        <w:pStyle w:val="ManualConsidrant"/>
        <w:rPr>
          <w:noProof/>
        </w:rPr>
      </w:pPr>
      <w:r w:rsidRPr="007B0110">
        <w:rPr>
          <w:noProof/>
        </w:rPr>
        <w:t>(3)</w:t>
      </w:r>
      <w:r w:rsidRPr="007B0110">
        <w:rPr>
          <w:noProof/>
        </w:rPr>
        <w:tab/>
      </w:r>
      <w:r w:rsidR="00121905" w:rsidRPr="00CE39FB">
        <w:rPr>
          <w:noProof/>
        </w:rPr>
        <w:t xml:space="preserve">It is necessary to </w:t>
      </w:r>
      <w:r w:rsidR="00122649" w:rsidRPr="00CE39FB">
        <w:rPr>
          <w:noProof/>
        </w:rPr>
        <w:t xml:space="preserve">strengthen the competitive position of industry and </w:t>
      </w:r>
      <w:r w:rsidR="7A5572BC" w:rsidRPr="00CE39FB">
        <w:rPr>
          <w:noProof/>
        </w:rPr>
        <w:t xml:space="preserve">services sectors </w:t>
      </w:r>
      <w:r w:rsidR="00122649" w:rsidRPr="00CE39FB">
        <w:rPr>
          <w:noProof/>
        </w:rPr>
        <w:t xml:space="preserve">in </w:t>
      </w:r>
      <w:r w:rsidR="00A94604" w:rsidRPr="00CE39FB">
        <w:rPr>
          <w:noProof/>
        </w:rPr>
        <w:t>the Union</w:t>
      </w:r>
      <w:r w:rsidR="00122649" w:rsidRPr="00CE39FB">
        <w:rPr>
          <w:noProof/>
        </w:rPr>
        <w:t xml:space="preserve"> across the digitised economy and support their digital transformation, by reinforcing the level of cybersecurity in the Digital Single Market. </w:t>
      </w:r>
      <w:r w:rsidR="0072183B" w:rsidRPr="0072183B">
        <w:rPr>
          <w:noProof/>
        </w:rPr>
        <w:t>As recommended in three different proposals of the Conference on the Future of Europe</w:t>
      </w:r>
      <w:r w:rsidR="0072183B">
        <w:rPr>
          <w:rStyle w:val="FootnoteReference"/>
          <w:noProof/>
        </w:rPr>
        <w:footnoteReference w:id="17"/>
      </w:r>
      <w:r w:rsidR="0072183B" w:rsidRPr="0072183B">
        <w:rPr>
          <w:noProof/>
        </w:rPr>
        <w:t xml:space="preserve"> , </w:t>
      </w:r>
      <w:r w:rsidR="00122649" w:rsidRPr="00CE39FB">
        <w:rPr>
          <w:noProof/>
        </w:rPr>
        <w:t xml:space="preserve"> it </w:t>
      </w:r>
      <w:r w:rsidR="00121905" w:rsidRPr="00CE39FB">
        <w:rPr>
          <w:noProof/>
        </w:rPr>
        <w:t xml:space="preserve">is necessary to </w:t>
      </w:r>
      <w:r w:rsidR="00122649" w:rsidRPr="00CE39FB">
        <w:rPr>
          <w:noProof/>
        </w:rPr>
        <w:t>increas</w:t>
      </w:r>
      <w:r w:rsidR="00121905" w:rsidRPr="00CE39FB">
        <w:rPr>
          <w:noProof/>
        </w:rPr>
        <w:t>e</w:t>
      </w:r>
      <w:r w:rsidR="00122649" w:rsidRPr="00CE39FB">
        <w:rPr>
          <w:noProof/>
        </w:rPr>
        <w:t xml:space="preserve"> the resilience of citizens, businesses and entities operating critical infrastructures against the growing cybersecurity threats, which can have devastating societal and economic impacts. </w:t>
      </w:r>
      <w:r w:rsidR="00121905" w:rsidRPr="00CE39FB">
        <w:rPr>
          <w:noProof/>
        </w:rPr>
        <w:t>Therefore</w:t>
      </w:r>
      <w:r w:rsidR="00877AB4">
        <w:rPr>
          <w:noProof/>
        </w:rPr>
        <w:t>,</w:t>
      </w:r>
      <w:r w:rsidR="00121905" w:rsidRPr="00CE39FB">
        <w:rPr>
          <w:noProof/>
        </w:rPr>
        <w:t xml:space="preserve"> </w:t>
      </w:r>
      <w:r w:rsidR="00122649" w:rsidRPr="00CE39FB">
        <w:rPr>
          <w:noProof/>
        </w:rPr>
        <w:t>invest</w:t>
      </w:r>
      <w:r w:rsidR="00121905" w:rsidRPr="00CE39FB">
        <w:rPr>
          <w:noProof/>
        </w:rPr>
        <w:t>ment</w:t>
      </w:r>
      <w:r w:rsidR="00122649" w:rsidRPr="00CE39FB">
        <w:rPr>
          <w:noProof/>
        </w:rPr>
        <w:t xml:space="preserve"> in infrastructures and services that will support faster detection and response to cybersecurity threats and incidents</w:t>
      </w:r>
      <w:r w:rsidR="00BF2D6E" w:rsidRPr="00CE39FB">
        <w:rPr>
          <w:noProof/>
        </w:rPr>
        <w:t xml:space="preserve"> is needed</w:t>
      </w:r>
      <w:r w:rsidR="00122649" w:rsidRPr="00CE39FB">
        <w:rPr>
          <w:noProof/>
        </w:rPr>
        <w:t xml:space="preserve">, and Member States </w:t>
      </w:r>
      <w:r w:rsidR="00BF2D6E" w:rsidRPr="00CE39FB">
        <w:rPr>
          <w:noProof/>
        </w:rPr>
        <w:t xml:space="preserve">need assistance </w:t>
      </w:r>
      <w:r w:rsidR="00122649" w:rsidRPr="00CE39FB">
        <w:rPr>
          <w:noProof/>
        </w:rPr>
        <w:t xml:space="preserve">in better preparing for, as well as responding to significant and large-scale cybersecurity incidents. </w:t>
      </w:r>
      <w:r w:rsidR="00A94604" w:rsidRPr="00CE39FB">
        <w:rPr>
          <w:noProof/>
        </w:rPr>
        <w:t>The</w:t>
      </w:r>
      <w:r w:rsidR="00BF2D6E" w:rsidRPr="00CE39FB">
        <w:rPr>
          <w:noProof/>
        </w:rPr>
        <w:t xml:space="preserve"> Union</w:t>
      </w:r>
      <w:r w:rsidR="00122649" w:rsidRPr="00CE39FB">
        <w:rPr>
          <w:noProof/>
        </w:rPr>
        <w:t xml:space="preserve"> </w:t>
      </w:r>
      <w:r w:rsidR="00A94604" w:rsidRPr="00CE39FB">
        <w:rPr>
          <w:noProof/>
        </w:rPr>
        <w:t xml:space="preserve">should also </w:t>
      </w:r>
      <w:r w:rsidR="000B303C" w:rsidRPr="00CE39FB">
        <w:rPr>
          <w:noProof/>
        </w:rPr>
        <w:t xml:space="preserve">increase its capacities </w:t>
      </w:r>
      <w:r w:rsidR="00122649" w:rsidRPr="00CE39FB">
        <w:rPr>
          <w:noProof/>
        </w:rPr>
        <w:t>in these areas, notably as regards the collection and analysis of data on cybersecurity threats and incidents</w:t>
      </w:r>
      <w:r w:rsidR="00A94604" w:rsidRPr="00CE39FB">
        <w:rPr>
          <w:noProof/>
        </w:rPr>
        <w:t>.</w:t>
      </w:r>
      <w:r w:rsidR="00122649" w:rsidRPr="00CE39FB">
        <w:rPr>
          <w:noProof/>
        </w:rPr>
        <w:t xml:space="preserve"> </w:t>
      </w:r>
    </w:p>
    <w:p w14:paraId="6553176F" w14:textId="3FF8B2E1" w:rsidR="00EE2900" w:rsidRPr="00CE39FB" w:rsidRDefault="007B0110" w:rsidP="007B0110">
      <w:pPr>
        <w:pStyle w:val="ManualConsidrant"/>
        <w:rPr>
          <w:noProof/>
        </w:rPr>
      </w:pPr>
      <w:r w:rsidRPr="007B0110">
        <w:rPr>
          <w:noProof/>
        </w:rPr>
        <w:t>(4)</w:t>
      </w:r>
      <w:r w:rsidRPr="007B0110">
        <w:rPr>
          <w:noProof/>
        </w:rPr>
        <w:tab/>
      </w:r>
      <w:r w:rsidR="00EE2900" w:rsidRPr="008D6611">
        <w:rPr>
          <w:noProof/>
        </w:rPr>
        <w:t xml:space="preserve">The </w:t>
      </w:r>
      <w:r w:rsidR="00BF2D6E" w:rsidRPr="00CE39FB">
        <w:rPr>
          <w:rFonts w:eastAsiaTheme="minorEastAsia"/>
          <w:noProof/>
        </w:rPr>
        <w:t>Union</w:t>
      </w:r>
      <w:r w:rsidR="00EE2900" w:rsidRPr="008D6611">
        <w:rPr>
          <w:noProof/>
        </w:rPr>
        <w:t xml:space="preserve"> has already taken a number of measures to reduce vulnerabilities and increase the resilience of critical infrastructures and entities against cybersecurity risks</w:t>
      </w:r>
      <w:r w:rsidR="00BF2D6E" w:rsidRPr="00CE39FB">
        <w:rPr>
          <w:rFonts w:eastAsiaTheme="minorEastAsia"/>
          <w:noProof/>
        </w:rPr>
        <w:t xml:space="preserve">, in particular </w:t>
      </w:r>
      <w:r w:rsidR="00EE2900" w:rsidRPr="00CE39FB">
        <w:rPr>
          <w:rFonts w:eastAsiaTheme="minorEastAsia"/>
          <w:noProof/>
        </w:rPr>
        <w:t>Directive</w:t>
      </w:r>
      <w:r w:rsidR="00381008" w:rsidRPr="00CE39FB">
        <w:rPr>
          <w:noProof/>
        </w:rPr>
        <w:t xml:space="preserve"> (EU) </w:t>
      </w:r>
      <w:r w:rsidR="00A94CA8" w:rsidRPr="00CE39FB">
        <w:rPr>
          <w:noProof/>
        </w:rPr>
        <w:t>2022/</w:t>
      </w:r>
      <w:r w:rsidR="0076579D" w:rsidRPr="00CE39FB">
        <w:rPr>
          <w:noProof/>
        </w:rPr>
        <w:t>2555</w:t>
      </w:r>
      <w:r w:rsidR="00381008" w:rsidRPr="00CE39FB">
        <w:rPr>
          <w:noProof/>
        </w:rPr>
        <w:t xml:space="preserve"> of the European Parliament and of the Council</w:t>
      </w:r>
      <w:r w:rsidR="00381008" w:rsidRPr="00CE39FB">
        <w:rPr>
          <w:rStyle w:val="FootnoteReference"/>
          <w:noProof/>
          <w:szCs w:val="24"/>
        </w:rPr>
        <w:footnoteReference w:id="18"/>
      </w:r>
      <w:r w:rsidR="00EE2900" w:rsidRPr="00CE39FB">
        <w:rPr>
          <w:rFonts w:eastAsiaTheme="minorEastAsia"/>
          <w:noProof/>
        </w:rPr>
        <w:t>, Commission Recommendation (EU) 2017/1584</w:t>
      </w:r>
      <w:r w:rsidR="00381008" w:rsidRPr="00CE39FB">
        <w:rPr>
          <w:rStyle w:val="FootnoteReference"/>
          <w:rFonts w:eastAsiaTheme="minorEastAsia"/>
          <w:noProof/>
          <w:szCs w:val="24"/>
        </w:rPr>
        <w:footnoteReference w:id="19"/>
      </w:r>
      <w:r w:rsidR="00F478C6" w:rsidRPr="00CE39FB">
        <w:rPr>
          <w:rFonts w:eastAsiaTheme="minorEastAsia"/>
          <w:noProof/>
        </w:rPr>
        <w:t>,</w:t>
      </w:r>
      <w:r w:rsidR="00EE2900" w:rsidRPr="00CE39FB">
        <w:rPr>
          <w:rFonts w:eastAsiaTheme="minorEastAsia"/>
          <w:noProof/>
        </w:rPr>
        <w:t xml:space="preserve"> Directive </w:t>
      </w:r>
      <w:r w:rsidR="00381008" w:rsidRPr="00CE39FB">
        <w:rPr>
          <w:rFonts w:eastAsiaTheme="minorEastAsia"/>
          <w:noProof/>
        </w:rPr>
        <w:t>2013/40/EU of the European Parliament and of the Council</w:t>
      </w:r>
      <w:r w:rsidR="00381008" w:rsidRPr="00CE39FB">
        <w:rPr>
          <w:rStyle w:val="FootnoteReference"/>
          <w:rFonts w:eastAsiaTheme="minorEastAsia"/>
          <w:noProof/>
          <w:szCs w:val="24"/>
        </w:rPr>
        <w:footnoteReference w:id="20"/>
      </w:r>
      <w:r w:rsidR="00381008" w:rsidRPr="00CE39FB">
        <w:rPr>
          <w:rFonts w:eastAsiaTheme="minorEastAsia"/>
          <w:noProof/>
        </w:rPr>
        <w:t xml:space="preserve"> </w:t>
      </w:r>
      <w:r w:rsidR="00972F28" w:rsidRPr="00CE39FB">
        <w:rPr>
          <w:rFonts w:eastAsiaTheme="minorEastAsia"/>
          <w:noProof/>
        </w:rPr>
        <w:t>and Regulation (EU) 2019/881 of the Europ</w:t>
      </w:r>
      <w:r w:rsidR="008A18C1" w:rsidRPr="00CE39FB">
        <w:rPr>
          <w:rFonts w:eastAsiaTheme="minorEastAsia"/>
          <w:noProof/>
        </w:rPr>
        <w:t>e</w:t>
      </w:r>
      <w:r w:rsidR="00972F28" w:rsidRPr="00CE39FB">
        <w:rPr>
          <w:rFonts w:eastAsiaTheme="minorEastAsia"/>
          <w:noProof/>
        </w:rPr>
        <w:t>an Parliament and of the Council</w:t>
      </w:r>
      <w:r w:rsidR="00972F28" w:rsidRPr="00CE39FB">
        <w:rPr>
          <w:rStyle w:val="FootnoteReference"/>
          <w:rFonts w:eastAsiaTheme="minorEastAsia"/>
          <w:noProof/>
          <w:szCs w:val="24"/>
        </w:rPr>
        <w:footnoteReference w:id="21"/>
      </w:r>
      <w:r w:rsidR="00F478C6" w:rsidRPr="00CE39FB">
        <w:rPr>
          <w:rFonts w:eastAsiaTheme="minorEastAsia"/>
          <w:noProof/>
        </w:rPr>
        <w:t>.</w:t>
      </w:r>
      <w:r w:rsidR="00972F28" w:rsidRPr="00CE39FB">
        <w:rPr>
          <w:rFonts w:eastAsiaTheme="minorEastAsia"/>
          <w:noProof/>
        </w:rPr>
        <w:t xml:space="preserve"> </w:t>
      </w:r>
      <w:r w:rsidR="0016649A" w:rsidRPr="00CE39FB">
        <w:rPr>
          <w:rFonts w:eastAsiaTheme="minorEastAsia"/>
          <w:noProof/>
        </w:rPr>
        <w:t xml:space="preserve">In addition, </w:t>
      </w:r>
      <w:r w:rsidR="00EE2900" w:rsidRPr="00CE39FB">
        <w:rPr>
          <w:rFonts w:eastAsiaTheme="minorEastAsia"/>
          <w:noProof/>
        </w:rPr>
        <w:t>the Council Recommendation on a Union-wide coordinated approach to strengthen the resilience of critical infrastructure invites Member States to take urgent and effective measures, and to cooperate loyally, efficiently, in solidarity and in a coordinated manner with each other, the Commission and other relevant public authorities as well as the entities concerned, to enhance the resilience of critical infrastructure used to provide essential services in the internal market.</w:t>
      </w:r>
      <w:r w:rsidR="00EE2900" w:rsidRPr="00CE39FB">
        <w:rPr>
          <w:noProof/>
        </w:rPr>
        <w:t xml:space="preserve"> </w:t>
      </w:r>
    </w:p>
    <w:p w14:paraId="3FB6E39A" w14:textId="4198D96B" w:rsidR="00783336" w:rsidRPr="008D6611" w:rsidRDefault="007B0110" w:rsidP="007B0110">
      <w:pPr>
        <w:pStyle w:val="ManualConsidrant"/>
        <w:rPr>
          <w:noProof/>
        </w:rPr>
      </w:pPr>
      <w:r w:rsidRPr="007B0110">
        <w:rPr>
          <w:noProof/>
        </w:rPr>
        <w:t>(5)</w:t>
      </w:r>
      <w:r w:rsidRPr="007B0110">
        <w:rPr>
          <w:noProof/>
        </w:rPr>
        <w:tab/>
      </w:r>
      <w:r w:rsidR="00783336" w:rsidRPr="00CE39FB">
        <w:rPr>
          <w:noProof/>
        </w:rPr>
        <w:t>The growing cybersecurity risks and an overall complex threat landscape, with a clear risk of rapid spill-over of cyber incidents from one Member State to others and from a third country to the</w:t>
      </w:r>
      <w:r w:rsidR="00972F28" w:rsidRPr="00CE39FB">
        <w:rPr>
          <w:noProof/>
        </w:rPr>
        <w:t xml:space="preserve"> Union </w:t>
      </w:r>
      <w:r w:rsidR="00783336" w:rsidRPr="00CE39FB">
        <w:rPr>
          <w:noProof/>
        </w:rPr>
        <w:t xml:space="preserve">requires strengthened solidarity at Union level to better detect, prepare </w:t>
      </w:r>
      <w:r w:rsidR="00A94604" w:rsidRPr="00CE39FB">
        <w:rPr>
          <w:noProof/>
        </w:rPr>
        <w:t>f</w:t>
      </w:r>
      <w:r w:rsidR="00A94604" w:rsidRPr="00CE39FB">
        <w:rPr>
          <w:rFonts w:eastAsiaTheme="minorEastAsia"/>
          <w:noProof/>
        </w:rPr>
        <w:t xml:space="preserve">or </w:t>
      </w:r>
      <w:r w:rsidR="00783336" w:rsidRPr="00CE39FB">
        <w:rPr>
          <w:noProof/>
        </w:rPr>
        <w:t xml:space="preserve">and respond to cybersecurity threats and incidents. Member States have also </w:t>
      </w:r>
      <w:r w:rsidR="00204253" w:rsidRPr="00CE39FB">
        <w:rPr>
          <w:noProof/>
        </w:rPr>
        <w:t xml:space="preserve">invited the Commission to present a proposal on a new Emergency Response Fund for Cybersecurity </w:t>
      </w:r>
      <w:r w:rsidR="00783336" w:rsidRPr="00CE39FB">
        <w:rPr>
          <w:noProof/>
        </w:rPr>
        <w:t>in the Council Conclusions on an EU Cyber Posture</w:t>
      </w:r>
      <w:r w:rsidR="009836AB" w:rsidRPr="00CE39FB">
        <w:rPr>
          <w:rStyle w:val="FootnoteReference"/>
          <w:noProof/>
        </w:rPr>
        <w:footnoteReference w:id="22"/>
      </w:r>
      <w:r w:rsidR="00F478C6" w:rsidRPr="00CE39FB">
        <w:rPr>
          <w:noProof/>
        </w:rPr>
        <w:t>.</w:t>
      </w:r>
    </w:p>
    <w:p w14:paraId="66466276" w14:textId="718518EC" w:rsidR="001246F0" w:rsidRPr="00CE39FB" w:rsidRDefault="007B0110" w:rsidP="007B0110">
      <w:pPr>
        <w:pStyle w:val="ManualConsidrant"/>
        <w:rPr>
          <w:noProof/>
        </w:rPr>
      </w:pPr>
      <w:r w:rsidRPr="007B0110">
        <w:rPr>
          <w:noProof/>
        </w:rPr>
        <w:t>(6)</w:t>
      </w:r>
      <w:r w:rsidRPr="007B0110">
        <w:rPr>
          <w:noProof/>
        </w:rPr>
        <w:tab/>
      </w:r>
      <w:r w:rsidR="001246F0" w:rsidRPr="00CE39FB">
        <w:rPr>
          <w:noProof/>
        </w:rPr>
        <w:t>The Joint Communication on the EU Policy on Cyber Defence</w:t>
      </w:r>
      <w:r w:rsidR="00F30F56" w:rsidRPr="00CE39FB">
        <w:rPr>
          <w:rStyle w:val="FootnoteReference"/>
          <w:rFonts w:eastAsiaTheme="minorEastAsia"/>
          <w:noProof/>
        </w:rPr>
        <w:footnoteReference w:id="23"/>
      </w:r>
      <w:r w:rsidR="001246F0" w:rsidRPr="00CE39FB">
        <w:rPr>
          <w:noProof/>
        </w:rPr>
        <w:t xml:space="preserve"> adopted on 10 November 2022 announced an EU Cyber Solidarity Initiative with the following objectives: strengthening of common EU detection, situational awareness and response capabilities by promoting the deployment of an EU infrastructure of Security Operation</w:t>
      </w:r>
      <w:r w:rsidR="00D369E4">
        <w:rPr>
          <w:noProof/>
        </w:rPr>
        <w:t>s</w:t>
      </w:r>
      <w:r w:rsidR="001246F0" w:rsidRPr="00CE39FB">
        <w:rPr>
          <w:noProof/>
        </w:rPr>
        <w:t xml:space="preserve"> Centres (</w:t>
      </w:r>
      <w:r w:rsidR="00D369E4">
        <w:rPr>
          <w:noProof/>
        </w:rPr>
        <w:t>‘</w:t>
      </w:r>
      <w:r w:rsidR="001246F0" w:rsidRPr="00CE39FB">
        <w:rPr>
          <w:noProof/>
        </w:rPr>
        <w:t>SOCs</w:t>
      </w:r>
      <w:r w:rsidR="00D369E4">
        <w:rPr>
          <w:noProof/>
        </w:rPr>
        <w:t>’</w:t>
      </w:r>
      <w:r w:rsidR="001246F0" w:rsidRPr="00CE39FB">
        <w:rPr>
          <w:noProof/>
        </w:rPr>
        <w:t>), supporting gradual building of an EU-level cybersecurity reserve with services from trusted private providers and testing of critical entities for potential vulnerabilities based on EU risk assessments</w:t>
      </w:r>
      <w:r w:rsidR="00F478C6" w:rsidRPr="00CE39FB">
        <w:rPr>
          <w:noProof/>
        </w:rPr>
        <w:t>.</w:t>
      </w:r>
      <w:r w:rsidR="001246F0" w:rsidRPr="00CE39FB">
        <w:rPr>
          <w:noProof/>
        </w:rPr>
        <w:t xml:space="preserve"> </w:t>
      </w:r>
    </w:p>
    <w:p w14:paraId="353C28B4" w14:textId="42F34219" w:rsidR="00CD3CBC" w:rsidRPr="008D6611" w:rsidRDefault="007B0110" w:rsidP="007B0110">
      <w:pPr>
        <w:pStyle w:val="ManualConsidrant"/>
        <w:rPr>
          <w:noProof/>
        </w:rPr>
      </w:pPr>
      <w:r w:rsidRPr="007B0110">
        <w:rPr>
          <w:noProof/>
        </w:rPr>
        <w:t>(7)</w:t>
      </w:r>
      <w:r w:rsidRPr="007B0110">
        <w:rPr>
          <w:noProof/>
        </w:rPr>
        <w:tab/>
      </w:r>
      <w:r w:rsidR="008C494C" w:rsidRPr="00CE39FB">
        <w:rPr>
          <w:noProof/>
        </w:rPr>
        <w:t>I</w:t>
      </w:r>
      <w:r w:rsidR="00CD3CBC" w:rsidRPr="00CE39FB">
        <w:rPr>
          <w:noProof/>
        </w:rPr>
        <w:t xml:space="preserve">t </w:t>
      </w:r>
      <w:r w:rsidR="00972F28" w:rsidRPr="00CE39FB">
        <w:rPr>
          <w:noProof/>
        </w:rPr>
        <w:t xml:space="preserve">is necessary </w:t>
      </w:r>
      <w:r w:rsidR="00CD3CBC" w:rsidRPr="00CE39FB">
        <w:rPr>
          <w:noProof/>
        </w:rPr>
        <w:t xml:space="preserve">to strengthen </w:t>
      </w:r>
      <w:r w:rsidR="00F478C6" w:rsidRPr="00CE39FB">
        <w:rPr>
          <w:noProof/>
        </w:rPr>
        <w:t xml:space="preserve">the </w:t>
      </w:r>
      <w:r w:rsidR="00CD3CBC" w:rsidRPr="00CE39FB">
        <w:rPr>
          <w:noProof/>
        </w:rPr>
        <w:t xml:space="preserve">detection and situational awareness of cyber threats and incidents </w:t>
      </w:r>
      <w:r w:rsidR="00A94604" w:rsidRPr="00CE39FB">
        <w:rPr>
          <w:noProof/>
        </w:rPr>
        <w:t xml:space="preserve">throughout the Union </w:t>
      </w:r>
      <w:r w:rsidR="00CD3CBC" w:rsidRPr="00CE39FB">
        <w:rPr>
          <w:noProof/>
        </w:rPr>
        <w:t xml:space="preserve">and </w:t>
      </w:r>
      <w:r w:rsidR="00CD3CBC" w:rsidRPr="001C7B16">
        <w:rPr>
          <w:noProof/>
        </w:rPr>
        <w:t>to</w:t>
      </w:r>
      <w:r w:rsidR="00733072" w:rsidRPr="001C7B16">
        <w:rPr>
          <w:noProof/>
        </w:rPr>
        <w:t xml:space="preserve"> strengthen solidarity by</w:t>
      </w:r>
      <w:r w:rsidR="00CD3CBC" w:rsidRPr="001C7B16">
        <w:rPr>
          <w:noProof/>
        </w:rPr>
        <w:t xml:space="preserve"> enhanc</w:t>
      </w:r>
      <w:r w:rsidR="00733072" w:rsidRPr="001C7B16">
        <w:rPr>
          <w:noProof/>
        </w:rPr>
        <w:t>ing</w:t>
      </w:r>
      <w:r w:rsidR="00CD3CBC" w:rsidRPr="00CE39FB">
        <w:rPr>
          <w:noProof/>
        </w:rPr>
        <w:t xml:space="preserve"> Member State</w:t>
      </w:r>
      <w:r w:rsidR="00972F28" w:rsidRPr="00CE39FB">
        <w:rPr>
          <w:noProof/>
        </w:rPr>
        <w:t xml:space="preserve">s’ </w:t>
      </w:r>
      <w:r w:rsidR="00CD3CBC" w:rsidRPr="00CE39FB">
        <w:rPr>
          <w:noProof/>
        </w:rPr>
        <w:t xml:space="preserve">and </w:t>
      </w:r>
      <w:r w:rsidR="00972F28" w:rsidRPr="00CE39FB">
        <w:rPr>
          <w:noProof/>
        </w:rPr>
        <w:t xml:space="preserve">the </w:t>
      </w:r>
      <w:r w:rsidR="007C7BB0" w:rsidRPr="00CE39FB">
        <w:rPr>
          <w:noProof/>
        </w:rPr>
        <w:t>Union’s preparedness</w:t>
      </w:r>
      <w:r w:rsidR="00CD3CBC" w:rsidRPr="00CE39FB">
        <w:rPr>
          <w:noProof/>
        </w:rPr>
        <w:t xml:space="preserve"> and capabilities to </w:t>
      </w:r>
      <w:r w:rsidR="00A94604" w:rsidRPr="00CE39FB">
        <w:rPr>
          <w:noProof/>
        </w:rPr>
        <w:t xml:space="preserve">respond to </w:t>
      </w:r>
      <w:r w:rsidR="549F1201" w:rsidRPr="00CE39FB">
        <w:rPr>
          <w:noProof/>
        </w:rPr>
        <w:t>significant and large-scale</w:t>
      </w:r>
      <w:r w:rsidR="00CD3CBC" w:rsidRPr="00CE39FB">
        <w:rPr>
          <w:noProof/>
        </w:rPr>
        <w:t xml:space="preserve"> cybersecurity incidents. T</w:t>
      </w:r>
      <w:r w:rsidR="007E0644" w:rsidRPr="00CE39FB">
        <w:rPr>
          <w:noProof/>
        </w:rPr>
        <w:t xml:space="preserve">herefore </w:t>
      </w:r>
      <w:r w:rsidR="00CD3CBC" w:rsidRPr="00CE39FB">
        <w:rPr>
          <w:noProof/>
        </w:rPr>
        <w:t xml:space="preserve">a pan-European infrastructure of </w:t>
      </w:r>
      <w:r w:rsidR="00D369E4">
        <w:rPr>
          <w:noProof/>
        </w:rPr>
        <w:t>SOCs</w:t>
      </w:r>
      <w:r w:rsidR="00CD3CBC" w:rsidRPr="00CE39FB">
        <w:rPr>
          <w:noProof/>
        </w:rPr>
        <w:t xml:space="preserve"> (European Cyber Shield)</w:t>
      </w:r>
      <w:r w:rsidR="007E0644" w:rsidRPr="00CE39FB">
        <w:rPr>
          <w:noProof/>
        </w:rPr>
        <w:t xml:space="preserve"> should be deployed </w:t>
      </w:r>
      <w:r w:rsidR="00CD3CBC" w:rsidRPr="00CE39FB">
        <w:rPr>
          <w:noProof/>
        </w:rPr>
        <w:t>to build and enhance common detection and situational awareness capabilities; a Cybersecurity Emergency Mechanism</w:t>
      </w:r>
      <w:r w:rsidR="007E0644" w:rsidRPr="00CE39FB">
        <w:rPr>
          <w:noProof/>
        </w:rPr>
        <w:t xml:space="preserve"> should be established</w:t>
      </w:r>
      <w:r w:rsidR="00CD3CBC" w:rsidRPr="00CE39FB">
        <w:rPr>
          <w:noProof/>
        </w:rPr>
        <w:t xml:space="preserve"> to support Member States in preparing for, responding to, and immediate</w:t>
      </w:r>
      <w:r w:rsidR="00F478C6" w:rsidRPr="00CE39FB">
        <w:rPr>
          <w:noProof/>
        </w:rPr>
        <w:t>ly</w:t>
      </w:r>
      <w:r w:rsidR="00CD3CBC" w:rsidRPr="00CE39FB">
        <w:rPr>
          <w:noProof/>
        </w:rPr>
        <w:t xml:space="preserve"> recover</w:t>
      </w:r>
      <w:r w:rsidR="00F478C6" w:rsidRPr="00CE39FB">
        <w:rPr>
          <w:noProof/>
        </w:rPr>
        <w:t>ing</w:t>
      </w:r>
      <w:r w:rsidR="00CD3CBC" w:rsidRPr="00CE39FB">
        <w:rPr>
          <w:noProof/>
        </w:rPr>
        <w:t xml:space="preserve"> from significant and large-scale cybersecurity incidents</w:t>
      </w:r>
      <w:r w:rsidR="000E5602" w:rsidRPr="00CE39FB">
        <w:rPr>
          <w:noProof/>
        </w:rPr>
        <w:t>; a Cybersecurity</w:t>
      </w:r>
      <w:r w:rsidR="00B51149" w:rsidRPr="00CE39FB">
        <w:rPr>
          <w:noProof/>
        </w:rPr>
        <w:t xml:space="preserve"> Incident Review Mechanism</w:t>
      </w:r>
      <w:r w:rsidR="0067334E" w:rsidRPr="00CE39FB">
        <w:rPr>
          <w:noProof/>
        </w:rPr>
        <w:t xml:space="preserve"> </w:t>
      </w:r>
      <w:bookmarkStart w:id="3" w:name="_Hlk131616568"/>
      <w:r w:rsidR="00B51149" w:rsidRPr="00CE39FB">
        <w:rPr>
          <w:noProof/>
        </w:rPr>
        <w:t xml:space="preserve">should be </w:t>
      </w:r>
      <w:r w:rsidR="000E5602" w:rsidRPr="00CE39FB">
        <w:rPr>
          <w:noProof/>
        </w:rPr>
        <w:t>established to review and assess specific significant or large-scale incidents.</w:t>
      </w:r>
      <w:r w:rsidR="00B51149" w:rsidRPr="00CE39FB">
        <w:rPr>
          <w:noProof/>
        </w:rPr>
        <w:t xml:space="preserve"> </w:t>
      </w:r>
      <w:r w:rsidR="0067334E" w:rsidRPr="00CE39FB">
        <w:rPr>
          <w:noProof/>
        </w:rPr>
        <w:t xml:space="preserve">These actions shall be without prejudice to Articles 107 and 108 of </w:t>
      </w:r>
      <w:r w:rsidR="00D15DE2" w:rsidRPr="00CE39FB">
        <w:rPr>
          <w:noProof/>
        </w:rPr>
        <w:t>the Treaty on the Functioning of the European Union (</w:t>
      </w:r>
      <w:r w:rsidR="00D369E4">
        <w:rPr>
          <w:noProof/>
        </w:rPr>
        <w:t>‘</w:t>
      </w:r>
      <w:r w:rsidR="0067334E" w:rsidRPr="00CE39FB">
        <w:rPr>
          <w:noProof/>
        </w:rPr>
        <w:t>TFEU</w:t>
      </w:r>
      <w:r w:rsidR="00D369E4">
        <w:rPr>
          <w:noProof/>
        </w:rPr>
        <w:t>’</w:t>
      </w:r>
      <w:r w:rsidR="00D15DE2" w:rsidRPr="00CE39FB">
        <w:rPr>
          <w:noProof/>
        </w:rPr>
        <w:t>)</w:t>
      </w:r>
      <w:r w:rsidR="0067334E" w:rsidRPr="00CE39FB">
        <w:rPr>
          <w:noProof/>
        </w:rPr>
        <w:t>.</w:t>
      </w:r>
      <w:r w:rsidR="00CD3CBC" w:rsidRPr="00CE39FB">
        <w:rPr>
          <w:noProof/>
        </w:rPr>
        <w:t xml:space="preserve"> </w:t>
      </w:r>
    </w:p>
    <w:p w14:paraId="5FF24114" w14:textId="4B249490" w:rsidR="00D94438" w:rsidRPr="008D6611" w:rsidRDefault="007B0110" w:rsidP="007B0110">
      <w:pPr>
        <w:pStyle w:val="ManualConsidrant"/>
        <w:rPr>
          <w:noProof/>
        </w:rPr>
      </w:pPr>
      <w:bookmarkStart w:id="4" w:name="_Hlk131669811"/>
      <w:bookmarkEnd w:id="3"/>
      <w:r w:rsidRPr="007B0110">
        <w:rPr>
          <w:noProof/>
        </w:rPr>
        <w:t>(8)</w:t>
      </w:r>
      <w:r w:rsidRPr="007B0110">
        <w:rPr>
          <w:noProof/>
        </w:rPr>
        <w:tab/>
      </w:r>
      <w:r w:rsidR="003F3269" w:rsidRPr="00CE39FB">
        <w:rPr>
          <w:noProof/>
        </w:rPr>
        <w:t xml:space="preserve">To achieve these objectives, </w:t>
      </w:r>
      <w:r w:rsidR="007E0644" w:rsidRPr="00CE39FB">
        <w:rPr>
          <w:noProof/>
        </w:rPr>
        <w:t xml:space="preserve">it is also necessary to </w:t>
      </w:r>
      <w:r w:rsidR="006F3618" w:rsidRPr="00CE39FB">
        <w:rPr>
          <w:noProof/>
        </w:rPr>
        <w:t>amend</w:t>
      </w:r>
      <w:r w:rsidR="003F3269" w:rsidRPr="00CE39FB">
        <w:rPr>
          <w:noProof/>
        </w:rPr>
        <w:t xml:space="preserve"> Regulation</w:t>
      </w:r>
      <w:r w:rsidR="007E0644" w:rsidRPr="00CE39FB">
        <w:rPr>
          <w:noProof/>
        </w:rPr>
        <w:t xml:space="preserve"> (EU) 2021/694 of the European Parliament and of the Council</w:t>
      </w:r>
      <w:r w:rsidR="007E0644" w:rsidRPr="00CE39FB">
        <w:rPr>
          <w:rStyle w:val="FootnoteReference"/>
          <w:rFonts w:eastAsiaTheme="minorEastAsia"/>
          <w:noProof/>
        </w:rPr>
        <w:footnoteReference w:id="24"/>
      </w:r>
      <w:r w:rsidR="00A94604" w:rsidRPr="00CE39FB">
        <w:rPr>
          <w:noProof/>
        </w:rPr>
        <w:t xml:space="preserve"> in certain areas</w:t>
      </w:r>
      <w:r w:rsidR="003F3269" w:rsidRPr="00CE39FB">
        <w:rPr>
          <w:noProof/>
        </w:rPr>
        <w:t xml:space="preserve">. In particular, this Regulation should </w:t>
      </w:r>
      <w:r w:rsidR="00697995" w:rsidRPr="00CE39FB">
        <w:rPr>
          <w:noProof/>
        </w:rPr>
        <w:t>amend</w:t>
      </w:r>
      <w:r w:rsidR="003F3269" w:rsidRPr="00CE39FB">
        <w:rPr>
          <w:noProof/>
        </w:rPr>
        <w:t xml:space="preserve"> </w:t>
      </w:r>
      <w:r w:rsidR="00D94438" w:rsidRPr="00CE39FB">
        <w:rPr>
          <w:noProof/>
        </w:rPr>
        <w:t xml:space="preserve">Regulation (EU) 2021/694 as regards adding new operational objectives related to the European Cyber Shield and the Cyber Emergency Mechanism under Specific Objective 3 of </w:t>
      </w:r>
      <w:r w:rsidR="00D369E4">
        <w:rPr>
          <w:noProof/>
        </w:rPr>
        <w:t>DEP</w:t>
      </w:r>
      <w:r w:rsidR="00D94438" w:rsidRPr="00CE39FB">
        <w:rPr>
          <w:noProof/>
        </w:rPr>
        <w:t>, which  aims at guaranteeing the resilience, integrity and trustworthiness of the Digital Single Market, at strengthening capacities to monitor cyber-attacks and threats and to respond to them, and at reinforcing cross-border cooperation on cybersecurity.</w:t>
      </w:r>
      <w:r w:rsidR="001F39DB" w:rsidRPr="008D6611">
        <w:rPr>
          <w:noProof/>
        </w:rPr>
        <w:t xml:space="preserve"> </w:t>
      </w:r>
      <w:r w:rsidR="00D94438" w:rsidRPr="00CE39FB">
        <w:rPr>
          <w:noProof/>
        </w:rPr>
        <w:t>This will be complemented by</w:t>
      </w:r>
      <w:r w:rsidR="0055198E" w:rsidRPr="00CE39FB">
        <w:rPr>
          <w:noProof/>
        </w:rPr>
        <w:t xml:space="preserve"> </w:t>
      </w:r>
      <w:r w:rsidR="00D94438" w:rsidRPr="00CE39FB">
        <w:rPr>
          <w:rFonts w:eastAsia="Times New Roman"/>
          <w:noProof/>
        </w:rPr>
        <w:t>t</w:t>
      </w:r>
      <w:r w:rsidR="003F3269" w:rsidRPr="00CE39FB">
        <w:rPr>
          <w:rFonts w:eastAsia="Times New Roman"/>
          <w:noProof/>
        </w:rPr>
        <w:t xml:space="preserve">he </w:t>
      </w:r>
      <w:r w:rsidR="00D94438" w:rsidRPr="00CE39FB">
        <w:rPr>
          <w:rFonts w:eastAsia="Times New Roman"/>
          <w:noProof/>
        </w:rPr>
        <w:t xml:space="preserve">specific </w:t>
      </w:r>
      <w:r w:rsidR="003F3269" w:rsidRPr="00CE39FB">
        <w:rPr>
          <w:rFonts w:eastAsia="Times New Roman"/>
          <w:noProof/>
        </w:rPr>
        <w:t xml:space="preserve">conditions </w:t>
      </w:r>
      <w:r w:rsidR="008A18C1" w:rsidRPr="00CE39FB">
        <w:rPr>
          <w:rFonts w:eastAsia="Times New Roman"/>
          <w:noProof/>
        </w:rPr>
        <w:t>under which</w:t>
      </w:r>
      <w:r w:rsidR="003F3269" w:rsidRPr="00CE39FB">
        <w:rPr>
          <w:rFonts w:eastAsia="Times New Roman"/>
          <w:noProof/>
        </w:rPr>
        <w:t xml:space="preserve"> financial support </w:t>
      </w:r>
      <w:r w:rsidR="008A18C1" w:rsidRPr="00CE39FB">
        <w:rPr>
          <w:rFonts w:eastAsia="Times New Roman"/>
          <w:noProof/>
        </w:rPr>
        <w:t xml:space="preserve">may be granted </w:t>
      </w:r>
      <w:r w:rsidR="003F3269" w:rsidRPr="00CE39FB">
        <w:rPr>
          <w:rFonts w:eastAsia="Times New Roman"/>
          <w:noProof/>
        </w:rPr>
        <w:t>for th</w:t>
      </w:r>
      <w:r w:rsidR="006B1CB8" w:rsidRPr="00CE39FB">
        <w:rPr>
          <w:rFonts w:eastAsia="Times New Roman"/>
          <w:noProof/>
        </w:rPr>
        <w:t>o</w:t>
      </w:r>
      <w:r w:rsidR="003F3269" w:rsidRPr="00CE39FB">
        <w:rPr>
          <w:rFonts w:eastAsia="Times New Roman"/>
          <w:noProof/>
        </w:rPr>
        <w:t xml:space="preserve">se actions </w:t>
      </w:r>
      <w:r w:rsidR="007E0644" w:rsidRPr="00CE39FB">
        <w:rPr>
          <w:rFonts w:eastAsia="Times New Roman"/>
          <w:noProof/>
        </w:rPr>
        <w:t xml:space="preserve">should be established </w:t>
      </w:r>
      <w:r w:rsidR="003F3269" w:rsidRPr="00CE39FB">
        <w:rPr>
          <w:rFonts w:eastAsia="Times New Roman"/>
          <w:noProof/>
        </w:rPr>
        <w:t xml:space="preserve">and the governance and coordination mechanisms </w:t>
      </w:r>
      <w:r w:rsidR="006B1CB8" w:rsidRPr="00CE39FB">
        <w:rPr>
          <w:rFonts w:eastAsia="Times New Roman"/>
          <w:noProof/>
        </w:rPr>
        <w:t xml:space="preserve">necessary </w:t>
      </w:r>
      <w:r w:rsidR="003F3269" w:rsidRPr="00CE39FB">
        <w:rPr>
          <w:rFonts w:eastAsia="Times New Roman"/>
          <w:noProof/>
        </w:rPr>
        <w:t>in order to achieve the intended objectives</w:t>
      </w:r>
      <w:r w:rsidR="007E0644" w:rsidRPr="00CE39FB">
        <w:rPr>
          <w:rFonts w:eastAsia="Times New Roman"/>
          <w:noProof/>
        </w:rPr>
        <w:t xml:space="preserve"> should be defined</w:t>
      </w:r>
      <w:r w:rsidR="003F3269" w:rsidRPr="00CE39FB">
        <w:rPr>
          <w:rFonts w:eastAsia="Times New Roman"/>
          <w:noProof/>
        </w:rPr>
        <w:t xml:space="preserve">. </w:t>
      </w:r>
      <w:r w:rsidR="00D94438" w:rsidRPr="00CE39FB">
        <w:rPr>
          <w:noProof/>
        </w:rPr>
        <w:t xml:space="preserve">Other amendments </w:t>
      </w:r>
      <w:r w:rsidR="00BD2835">
        <w:rPr>
          <w:noProof/>
        </w:rPr>
        <w:t>to</w:t>
      </w:r>
      <w:r w:rsidR="00D94438" w:rsidRPr="00CE39FB">
        <w:rPr>
          <w:noProof/>
        </w:rPr>
        <w:t xml:space="preserve"> Regulation (EU) 2021/694 should include descriptions of proposed actions under the new operational objectives, as well as measurable indicators to monitor the implementation of these new operational objectives.   </w:t>
      </w:r>
      <w:r w:rsidR="00D94438" w:rsidRPr="008D6611">
        <w:rPr>
          <w:noProof/>
        </w:rPr>
        <w:t xml:space="preserve"> </w:t>
      </w:r>
    </w:p>
    <w:p w14:paraId="6BB7853D" w14:textId="55644721" w:rsidR="00D94438" w:rsidRPr="00CE39FB" w:rsidRDefault="007B0110" w:rsidP="007B0110">
      <w:pPr>
        <w:pStyle w:val="ManualConsidrant"/>
        <w:rPr>
          <w:noProof/>
        </w:rPr>
      </w:pPr>
      <w:r w:rsidRPr="007B0110">
        <w:rPr>
          <w:noProof/>
        </w:rPr>
        <w:t>(9)</w:t>
      </w:r>
      <w:r w:rsidRPr="007B0110">
        <w:rPr>
          <w:noProof/>
        </w:rPr>
        <w:tab/>
      </w:r>
      <w:r w:rsidR="0055198E" w:rsidRPr="003D6563">
        <w:rPr>
          <w:noProof/>
        </w:rPr>
        <w:t>The financing of actions under this Regulation should be provided for in Regulation (EU) 2021/694, which should remain the relevant basic act for these actions</w:t>
      </w:r>
      <w:r w:rsidR="009635B6" w:rsidRPr="003D6563">
        <w:rPr>
          <w:noProof/>
        </w:rPr>
        <w:t xml:space="preserve"> enshrined within </w:t>
      </w:r>
      <w:r w:rsidR="00937E3E" w:rsidRPr="003D6563">
        <w:rPr>
          <w:noProof/>
        </w:rPr>
        <w:t xml:space="preserve"> </w:t>
      </w:r>
      <w:r w:rsidR="0055198E" w:rsidRPr="003D6563">
        <w:rPr>
          <w:noProof/>
        </w:rPr>
        <w:t xml:space="preserve">the Specific Objective 3 of </w:t>
      </w:r>
      <w:r w:rsidR="00D369E4">
        <w:rPr>
          <w:noProof/>
        </w:rPr>
        <w:t>DEP</w:t>
      </w:r>
      <w:r w:rsidR="0055198E" w:rsidRPr="003D6563">
        <w:rPr>
          <w:noProof/>
        </w:rPr>
        <w:t xml:space="preserve">. </w:t>
      </w:r>
      <w:r w:rsidR="009635B6" w:rsidRPr="003D6563">
        <w:rPr>
          <w:noProof/>
        </w:rPr>
        <w:t>Specific conditions for participation</w:t>
      </w:r>
      <w:r w:rsidR="000F173E" w:rsidRPr="003D6563">
        <w:rPr>
          <w:noProof/>
        </w:rPr>
        <w:t xml:space="preserve"> </w:t>
      </w:r>
      <w:r w:rsidR="003D6563" w:rsidRPr="003D6563">
        <w:rPr>
          <w:noProof/>
        </w:rPr>
        <w:t xml:space="preserve">concerning </w:t>
      </w:r>
      <w:r w:rsidR="000F173E" w:rsidRPr="003D6563">
        <w:rPr>
          <w:noProof/>
        </w:rPr>
        <w:t>each action</w:t>
      </w:r>
      <w:r w:rsidR="009635B6" w:rsidRPr="003D6563">
        <w:rPr>
          <w:noProof/>
        </w:rPr>
        <w:t xml:space="preserve"> will be </w:t>
      </w:r>
      <w:r w:rsidR="000F173E" w:rsidRPr="003D6563">
        <w:rPr>
          <w:noProof/>
        </w:rPr>
        <w:t xml:space="preserve">provided for in the relevant work programmes, in line with the applicable provision of Regulation (EU) 2021/694. </w:t>
      </w:r>
    </w:p>
    <w:bookmarkEnd w:id="4"/>
    <w:p w14:paraId="7A7F615A" w14:textId="2A03811C" w:rsidR="00D17FDF" w:rsidRPr="00CE39FB" w:rsidRDefault="007B0110" w:rsidP="007B0110">
      <w:pPr>
        <w:pStyle w:val="ManualConsidrant"/>
        <w:rPr>
          <w:noProof/>
        </w:rPr>
      </w:pPr>
      <w:r w:rsidRPr="007B0110">
        <w:rPr>
          <w:noProof/>
        </w:rPr>
        <w:t>(10)</w:t>
      </w:r>
      <w:r w:rsidRPr="007B0110">
        <w:rPr>
          <w:noProof/>
        </w:rPr>
        <w:tab/>
      </w:r>
      <w:r w:rsidR="00D17FDF" w:rsidRPr="00CE39FB">
        <w:rPr>
          <w:noProof/>
        </w:rPr>
        <w:t>Horizontal financial rules adopted by the European Parliament and by the Council on the basis of Article 322 TFEU apply to this Regulation. Those rules are laid down in the Financial Regulation and determine in particular the procedure for establishing and implementing the Union budget, and provide for checks on the responsibility of financial actors. Rules adopted on the basis of Article 322 TFEU also include a general regime of conditionality for the protection of the Union budget as established in Regulation (EU, Euratom) 2020/2092 of the European Parliament and of the Council.</w:t>
      </w:r>
    </w:p>
    <w:p w14:paraId="03C6C4FE" w14:textId="05E7D5D8" w:rsidR="005D634C" w:rsidRPr="00CE39FB" w:rsidRDefault="007B0110" w:rsidP="007B0110">
      <w:pPr>
        <w:pStyle w:val="ManualConsidrant"/>
        <w:rPr>
          <w:noProof/>
        </w:rPr>
      </w:pPr>
      <w:r w:rsidRPr="007B0110">
        <w:rPr>
          <w:noProof/>
        </w:rPr>
        <w:t>(11)</w:t>
      </w:r>
      <w:r w:rsidRPr="007B0110">
        <w:rPr>
          <w:noProof/>
        </w:rPr>
        <w:tab/>
      </w:r>
      <w:r w:rsidR="00D17FDF" w:rsidRPr="00CE39FB">
        <w:rPr>
          <w:noProof/>
        </w:rPr>
        <w:t>For the purpose of sound financial management</w:t>
      </w:r>
      <w:r w:rsidR="008F76EB" w:rsidRPr="00CE39FB">
        <w:rPr>
          <w:noProof/>
        </w:rPr>
        <w:t>,</w:t>
      </w:r>
      <w:r w:rsidR="00D17FDF" w:rsidRPr="00CE39FB">
        <w:rPr>
          <w:noProof/>
        </w:rPr>
        <w:t xml:space="preserve"> specific rules should be laid down for the carry-over of unused commitment and payment appropriations. While respecting the principle that the Union budget is set annually, this Regulation should, on account of the unpredictable, exceptional and specific nature of the cybersecurity landscape, provide for possibilities to carry over unused funds beyond those set out in the Financial Regulation, thus maximising the Cyber</w:t>
      </w:r>
      <w:r w:rsidR="00C42F95" w:rsidRPr="00CE39FB">
        <w:rPr>
          <w:noProof/>
        </w:rPr>
        <w:t>security</w:t>
      </w:r>
      <w:r w:rsidR="00D17FDF" w:rsidRPr="00CE39FB">
        <w:rPr>
          <w:noProof/>
        </w:rPr>
        <w:t xml:space="preserve"> Emergency Mechanism’s capacity to </w:t>
      </w:r>
      <w:r w:rsidR="00D46999">
        <w:rPr>
          <w:noProof/>
        </w:rPr>
        <w:t xml:space="preserve">support Member States in </w:t>
      </w:r>
      <w:r w:rsidR="00D17FDF" w:rsidRPr="00CE39FB">
        <w:rPr>
          <w:noProof/>
        </w:rPr>
        <w:t>counter</w:t>
      </w:r>
      <w:r w:rsidR="00D46999">
        <w:rPr>
          <w:noProof/>
        </w:rPr>
        <w:t>ing</w:t>
      </w:r>
      <w:r w:rsidR="00D17FDF" w:rsidRPr="00CE39FB">
        <w:rPr>
          <w:noProof/>
        </w:rPr>
        <w:t xml:space="preserve"> </w:t>
      </w:r>
      <w:r w:rsidR="00C42F95" w:rsidRPr="00CE39FB">
        <w:rPr>
          <w:noProof/>
        </w:rPr>
        <w:t xml:space="preserve">effectively </w:t>
      </w:r>
      <w:r w:rsidR="00D17FDF" w:rsidRPr="00CE39FB">
        <w:rPr>
          <w:noProof/>
        </w:rPr>
        <w:t>cyber threats.</w:t>
      </w:r>
      <w:r w:rsidR="005D634C" w:rsidRPr="00CE39FB">
        <w:rPr>
          <w:noProof/>
        </w:rPr>
        <w:t xml:space="preserve"> </w:t>
      </w:r>
      <w:r w:rsidR="005D634C" w:rsidRPr="00CE39FB">
        <w:rPr>
          <w:rFonts w:eastAsia="Times New Roman"/>
          <w:noProof/>
        </w:rPr>
        <w:t xml:space="preserve"> </w:t>
      </w:r>
    </w:p>
    <w:p w14:paraId="7B7FEB28" w14:textId="53F76668" w:rsidR="00765754" w:rsidRPr="008D6611" w:rsidRDefault="007B0110" w:rsidP="007B0110">
      <w:pPr>
        <w:pStyle w:val="ManualConsidrant"/>
        <w:rPr>
          <w:noProof/>
        </w:rPr>
      </w:pPr>
      <w:r w:rsidRPr="007B0110">
        <w:rPr>
          <w:noProof/>
        </w:rPr>
        <w:t>(12)</w:t>
      </w:r>
      <w:r w:rsidRPr="007B0110">
        <w:rPr>
          <w:noProof/>
        </w:rPr>
        <w:tab/>
      </w:r>
      <w:r w:rsidR="18369687" w:rsidRPr="00CE39FB">
        <w:rPr>
          <w:noProof/>
        </w:rPr>
        <w:t xml:space="preserve">To more effectively prevent, assess and respond to cyber threats and incidents, </w:t>
      </w:r>
      <w:r w:rsidR="4E05376E" w:rsidRPr="00CE39FB">
        <w:rPr>
          <w:noProof/>
        </w:rPr>
        <w:t xml:space="preserve">it is </w:t>
      </w:r>
      <w:r w:rsidR="3B46E715" w:rsidRPr="00CE39FB">
        <w:rPr>
          <w:noProof/>
        </w:rPr>
        <w:t>necessary</w:t>
      </w:r>
      <w:r w:rsidR="18369687" w:rsidRPr="00CE39FB">
        <w:rPr>
          <w:noProof/>
        </w:rPr>
        <w:t xml:space="preserve"> to develop more comprehensive knowledge about the threats to critical assets and infrastructures on the territory</w:t>
      </w:r>
      <w:r w:rsidR="4E05376E" w:rsidRPr="00CE39FB">
        <w:rPr>
          <w:noProof/>
        </w:rPr>
        <w:t xml:space="preserve"> of the Union</w:t>
      </w:r>
      <w:r w:rsidR="18369687" w:rsidRPr="00CE39FB">
        <w:rPr>
          <w:noProof/>
        </w:rPr>
        <w:t>, including their geographical distribution, interconnection and potential effects in case of cyber-attacks affecting those infrastructures. </w:t>
      </w:r>
      <w:r w:rsidR="000A5AC2" w:rsidRPr="00CE39FB">
        <w:rPr>
          <w:noProof/>
        </w:rPr>
        <w:t>A l</w:t>
      </w:r>
      <w:r w:rsidR="18369687" w:rsidRPr="00CE39FB">
        <w:rPr>
          <w:noProof/>
        </w:rPr>
        <w:t xml:space="preserve">arge-scale </w:t>
      </w:r>
      <w:r w:rsidR="4E05376E" w:rsidRPr="00CE39FB">
        <w:rPr>
          <w:noProof/>
        </w:rPr>
        <w:t xml:space="preserve">Union </w:t>
      </w:r>
      <w:r w:rsidR="18369687" w:rsidRPr="00CE39FB">
        <w:rPr>
          <w:noProof/>
        </w:rPr>
        <w:t xml:space="preserve">infrastructure of </w:t>
      </w:r>
      <w:r w:rsidR="4E05376E" w:rsidRPr="00CE39FB">
        <w:rPr>
          <w:noProof/>
        </w:rPr>
        <w:t xml:space="preserve"> </w:t>
      </w:r>
      <w:r w:rsidR="18369687" w:rsidRPr="00CE39FB">
        <w:rPr>
          <w:noProof/>
        </w:rPr>
        <w:t>SOCs should be deployed (‘the European Cyber Shield’)</w:t>
      </w:r>
      <w:r w:rsidR="208FA217" w:rsidRPr="00CE39FB">
        <w:rPr>
          <w:noProof/>
        </w:rPr>
        <w:t xml:space="preserve">, comprising </w:t>
      </w:r>
      <w:r w:rsidR="008F76EB" w:rsidRPr="00CE39FB">
        <w:rPr>
          <w:noProof/>
        </w:rPr>
        <w:t xml:space="preserve">of </w:t>
      </w:r>
      <w:r w:rsidR="18369687" w:rsidRPr="00CE39FB">
        <w:rPr>
          <w:noProof/>
        </w:rPr>
        <w:t xml:space="preserve">several interoperating cross-border platforms, each grouping together several National SOCs. </w:t>
      </w:r>
      <w:r w:rsidR="208FA217" w:rsidRPr="00CE39FB">
        <w:rPr>
          <w:noProof/>
        </w:rPr>
        <w:t>That</w:t>
      </w:r>
      <w:r w:rsidR="18369687" w:rsidRPr="00CE39FB">
        <w:rPr>
          <w:noProof/>
        </w:rPr>
        <w:t xml:space="preserve"> infrastructure </w:t>
      </w:r>
      <w:r w:rsidR="4E05376E" w:rsidRPr="00CE39FB">
        <w:rPr>
          <w:noProof/>
        </w:rPr>
        <w:t xml:space="preserve">should </w:t>
      </w:r>
      <w:r w:rsidR="18369687" w:rsidRPr="00CE39FB">
        <w:rPr>
          <w:noProof/>
        </w:rPr>
        <w:t xml:space="preserve">serve national and </w:t>
      </w:r>
      <w:r w:rsidR="4E05376E" w:rsidRPr="00CE39FB">
        <w:rPr>
          <w:noProof/>
        </w:rPr>
        <w:t xml:space="preserve">Union </w:t>
      </w:r>
      <w:r w:rsidR="18369687" w:rsidRPr="00CE39FB">
        <w:rPr>
          <w:noProof/>
        </w:rPr>
        <w:t>cybersecurity interests and needs, leveraging state of the art technology for advanced data collection and analytics tools, enhancing cyber detection and management capabilities and providing real-time situational awareness.</w:t>
      </w:r>
      <w:r w:rsidR="000A5AC2" w:rsidRPr="00CE39FB">
        <w:rPr>
          <w:noProof/>
        </w:rPr>
        <w:t xml:space="preserve"> </w:t>
      </w:r>
      <w:r w:rsidR="18369687" w:rsidRPr="00CE39FB">
        <w:rPr>
          <w:noProof/>
        </w:rPr>
        <w:t>Th</w:t>
      </w:r>
      <w:r w:rsidR="4E05376E" w:rsidRPr="00CE39FB">
        <w:rPr>
          <w:noProof/>
        </w:rPr>
        <w:t xml:space="preserve">at infrastructure should </w:t>
      </w:r>
      <w:r w:rsidR="18369687" w:rsidRPr="00CE39FB">
        <w:rPr>
          <w:noProof/>
        </w:rPr>
        <w:t>serve to increase detection of cybersecurity threats and incidents and thus complement and support</w:t>
      </w:r>
      <w:r w:rsidR="4E05376E" w:rsidRPr="00CE39FB">
        <w:rPr>
          <w:noProof/>
        </w:rPr>
        <w:t xml:space="preserve"> Union </w:t>
      </w:r>
      <w:r w:rsidR="18369687" w:rsidRPr="00CE39FB">
        <w:rPr>
          <w:noProof/>
        </w:rPr>
        <w:t>entities and networks responsible for crisis management in the Union, notably the EU Cyber Crises Liaison Organisation Network (</w:t>
      </w:r>
      <w:r w:rsidR="370851BC" w:rsidRPr="00CE39FB">
        <w:rPr>
          <w:noProof/>
        </w:rPr>
        <w:t>‘</w:t>
      </w:r>
      <w:r w:rsidR="18369687" w:rsidRPr="00CE39FB">
        <w:rPr>
          <w:noProof/>
        </w:rPr>
        <w:t>EU-CyCLONe</w:t>
      </w:r>
      <w:r w:rsidR="370851BC" w:rsidRPr="00CE39FB">
        <w:rPr>
          <w:noProof/>
        </w:rPr>
        <w:t>’</w:t>
      </w:r>
      <w:r w:rsidR="18369687" w:rsidRPr="00CE39FB">
        <w:rPr>
          <w:noProof/>
        </w:rPr>
        <w:t>), as defined in Directive (EU) 2022/2555</w:t>
      </w:r>
      <w:r w:rsidR="6B5AF16D" w:rsidRPr="00CE39FB">
        <w:rPr>
          <w:noProof/>
        </w:rPr>
        <w:t xml:space="preserve"> of the European Parliament and of the</w:t>
      </w:r>
      <w:r w:rsidR="208FA217" w:rsidRPr="00CE39FB">
        <w:rPr>
          <w:noProof/>
        </w:rPr>
        <w:t xml:space="preserve"> </w:t>
      </w:r>
      <w:r w:rsidR="6B5AF16D" w:rsidRPr="00CE39FB">
        <w:rPr>
          <w:noProof/>
        </w:rPr>
        <w:t>Council</w:t>
      </w:r>
      <w:r w:rsidR="00262EE5" w:rsidRPr="00CE39FB">
        <w:rPr>
          <w:rStyle w:val="FootnoteReference"/>
          <w:noProof/>
        </w:rPr>
        <w:footnoteReference w:id="25"/>
      </w:r>
      <w:r w:rsidR="18369687" w:rsidRPr="00CE39FB">
        <w:rPr>
          <w:noProof/>
        </w:rPr>
        <w:t xml:space="preserve">. </w:t>
      </w:r>
    </w:p>
    <w:p w14:paraId="756D6825" w14:textId="303D47A0" w:rsidR="00AD66B6" w:rsidRPr="00CE39FB" w:rsidRDefault="007B0110" w:rsidP="007B0110">
      <w:pPr>
        <w:pStyle w:val="ManualConsidrant"/>
        <w:rPr>
          <w:noProof/>
        </w:rPr>
      </w:pPr>
      <w:r w:rsidRPr="007B0110">
        <w:rPr>
          <w:noProof/>
        </w:rPr>
        <w:t>(13)</w:t>
      </w:r>
      <w:r w:rsidRPr="007B0110">
        <w:rPr>
          <w:noProof/>
        </w:rPr>
        <w:tab/>
      </w:r>
      <w:r w:rsidR="32AB8574" w:rsidRPr="00CE39FB">
        <w:rPr>
          <w:noProof/>
        </w:rPr>
        <w:t>Each</w:t>
      </w:r>
      <w:r w:rsidR="1C2A7D9E" w:rsidRPr="00CE39FB">
        <w:rPr>
          <w:noProof/>
        </w:rPr>
        <w:t xml:space="preserve"> Member State</w:t>
      </w:r>
      <w:r w:rsidR="32AB8574" w:rsidRPr="00CE39FB">
        <w:rPr>
          <w:noProof/>
        </w:rPr>
        <w:t xml:space="preserve"> </w:t>
      </w:r>
      <w:r w:rsidR="1C2A7D9E" w:rsidRPr="00CE39FB">
        <w:rPr>
          <w:noProof/>
        </w:rPr>
        <w:t>should designate a public body at national level tasked with coordinating cyber threat detection activities in that Member State. These National SOCs should act as a reference point and gateway at national level for participation in the European Cyber Shield and should ensure that cyber threat information from public and private entities is shared and collected at national level in an effective and streamlined manner</w:t>
      </w:r>
      <w:r w:rsidR="009701D8" w:rsidRPr="00CE39FB">
        <w:rPr>
          <w:noProof/>
        </w:rPr>
        <w:t>.</w:t>
      </w:r>
      <w:r w:rsidR="1C2A7D9E" w:rsidRPr="00CE39FB">
        <w:rPr>
          <w:noProof/>
        </w:rPr>
        <w:t xml:space="preserve"> </w:t>
      </w:r>
    </w:p>
    <w:p w14:paraId="01415525" w14:textId="1FAFA442" w:rsidR="00894C1A" w:rsidRPr="00CE39FB" w:rsidRDefault="007B0110" w:rsidP="007B0110">
      <w:pPr>
        <w:pStyle w:val="ManualConsidrant"/>
        <w:rPr>
          <w:noProof/>
        </w:rPr>
      </w:pPr>
      <w:r w:rsidRPr="007B0110">
        <w:rPr>
          <w:noProof/>
        </w:rPr>
        <w:t>(14)</w:t>
      </w:r>
      <w:r w:rsidRPr="007B0110">
        <w:rPr>
          <w:noProof/>
        </w:rPr>
        <w:tab/>
      </w:r>
      <w:r w:rsidR="492AA5D1" w:rsidRPr="00CE39FB">
        <w:rPr>
          <w:noProof/>
        </w:rPr>
        <w:t xml:space="preserve">As part of the European Cyber </w:t>
      </w:r>
      <w:r w:rsidR="32AB8574" w:rsidRPr="00CE39FB">
        <w:rPr>
          <w:noProof/>
        </w:rPr>
        <w:t>S</w:t>
      </w:r>
      <w:r w:rsidR="492AA5D1" w:rsidRPr="00CE39FB">
        <w:rPr>
          <w:noProof/>
        </w:rPr>
        <w:t xml:space="preserve">hield, a number of Cross-border Cybersecurity Operations Centres (‘Cross-border SOCs’) should be established. These should </w:t>
      </w:r>
      <w:r w:rsidR="208FA217" w:rsidRPr="00CE39FB">
        <w:rPr>
          <w:noProof/>
        </w:rPr>
        <w:t>bring</w:t>
      </w:r>
      <w:r w:rsidR="492AA5D1" w:rsidRPr="00CE39FB">
        <w:rPr>
          <w:noProof/>
        </w:rPr>
        <w:t xml:space="preserve"> together National SOCs from at least three </w:t>
      </w:r>
      <w:r w:rsidR="4E05376E" w:rsidRPr="00CE39FB">
        <w:rPr>
          <w:noProof/>
        </w:rPr>
        <w:t>M</w:t>
      </w:r>
      <w:r w:rsidR="492AA5D1" w:rsidRPr="00CE39FB">
        <w:rPr>
          <w:noProof/>
        </w:rPr>
        <w:t xml:space="preserve">ember </w:t>
      </w:r>
      <w:r w:rsidR="4E05376E" w:rsidRPr="00CE39FB">
        <w:rPr>
          <w:noProof/>
        </w:rPr>
        <w:t>S</w:t>
      </w:r>
      <w:r w:rsidR="492AA5D1" w:rsidRPr="00CE39FB">
        <w:rPr>
          <w:noProof/>
        </w:rPr>
        <w:t xml:space="preserve">tates, so that the benefits of cross-border threat detection and information sharing and management can be fully achieved. The general objective of Cross-border SOCs </w:t>
      </w:r>
      <w:r w:rsidR="4E05376E" w:rsidRPr="00CE39FB">
        <w:rPr>
          <w:noProof/>
        </w:rPr>
        <w:t xml:space="preserve">should be </w:t>
      </w:r>
      <w:r w:rsidR="492AA5D1" w:rsidRPr="00CE39FB">
        <w:rPr>
          <w:noProof/>
        </w:rPr>
        <w:t xml:space="preserve">to strengthen capacities to analyse, prevent and detect cybersecurity threats and to support the production of high-quality intelligence on cybersecurity threats, notably through the sharing of data from various sources, public or private, as well as through the sharing and joint use of state-of-the-art tools, and jointly developing detection, analysis and prevention capabilities in a trusted environment. They should provide new additional capacity, building upon and complementing existing SOCs and </w:t>
      </w:r>
      <w:r w:rsidR="32AB8574" w:rsidRPr="00CE39FB">
        <w:rPr>
          <w:rFonts w:eastAsia="Times New Roman"/>
          <w:noProof/>
        </w:rPr>
        <w:t>computer incident response teams (‘</w:t>
      </w:r>
      <w:r w:rsidR="492AA5D1" w:rsidRPr="00CE39FB">
        <w:rPr>
          <w:noProof/>
        </w:rPr>
        <w:t>CSIRTs</w:t>
      </w:r>
      <w:r w:rsidR="32AB8574" w:rsidRPr="00CE39FB">
        <w:rPr>
          <w:noProof/>
        </w:rPr>
        <w:t>’)</w:t>
      </w:r>
      <w:r w:rsidR="492AA5D1" w:rsidRPr="00CE39FB">
        <w:rPr>
          <w:noProof/>
        </w:rPr>
        <w:t xml:space="preserve"> and other relevant actors. </w:t>
      </w:r>
    </w:p>
    <w:p w14:paraId="426C301A" w14:textId="5C28AE32" w:rsidR="00747A32" w:rsidRPr="00CE39FB" w:rsidRDefault="007B0110" w:rsidP="007B0110">
      <w:pPr>
        <w:pStyle w:val="ManualConsidrant"/>
        <w:rPr>
          <w:noProof/>
        </w:rPr>
      </w:pPr>
      <w:r w:rsidRPr="007B0110">
        <w:rPr>
          <w:noProof/>
        </w:rPr>
        <w:t>(15)</w:t>
      </w:r>
      <w:r w:rsidRPr="007B0110">
        <w:rPr>
          <w:noProof/>
        </w:rPr>
        <w:tab/>
      </w:r>
      <w:r w:rsidR="18484DE9" w:rsidRPr="00CE39FB">
        <w:rPr>
          <w:noProof/>
        </w:rPr>
        <w:t xml:space="preserve">At national level, the monitoring, detection and analysis of cyber threats is typically ensured by SOCs of public and private entities, in combination with CSIRTs. In addition, CSIRTs exchange information in the context of the CSIRT network, in accordance with Directive (EU) 2022/2555. The Cross-border SOCs should constitute a new capability that is complementary to the CSIRTs network, by pooling and sharing data on cybersecurity threats from public and private entities, enhancing the value of such data through expert analysis and jointly acquired infrastructures and state of the art tools, and contributing to the development of Union capabilities and technological sovereignty. </w:t>
      </w:r>
    </w:p>
    <w:p w14:paraId="4B7E301C" w14:textId="578CA81F" w:rsidR="00F557B9" w:rsidRPr="00CE39FB" w:rsidRDefault="007B0110" w:rsidP="007B0110">
      <w:pPr>
        <w:pStyle w:val="ManualConsidrant"/>
        <w:rPr>
          <w:noProof/>
        </w:rPr>
      </w:pPr>
      <w:r w:rsidRPr="007B0110">
        <w:rPr>
          <w:noProof/>
        </w:rPr>
        <w:t>(16)</w:t>
      </w:r>
      <w:r w:rsidRPr="007B0110">
        <w:rPr>
          <w:noProof/>
        </w:rPr>
        <w:tab/>
      </w:r>
      <w:r w:rsidR="2FC30F7B" w:rsidRPr="00CE39FB">
        <w:rPr>
          <w:noProof/>
        </w:rPr>
        <w:t xml:space="preserve">The Cross-border SOCs should act as a central point allowing for a broad pooling of relevant data and </w:t>
      </w:r>
      <w:r w:rsidR="6DAF5CFE" w:rsidRPr="00CE39FB">
        <w:rPr>
          <w:noProof/>
        </w:rPr>
        <w:t>c</w:t>
      </w:r>
      <w:r w:rsidR="2FC30F7B" w:rsidRPr="00CE39FB">
        <w:rPr>
          <w:noProof/>
        </w:rPr>
        <w:t xml:space="preserve">yber </w:t>
      </w:r>
      <w:r w:rsidR="6DAF5CFE" w:rsidRPr="00CE39FB">
        <w:rPr>
          <w:noProof/>
        </w:rPr>
        <w:t>t</w:t>
      </w:r>
      <w:r w:rsidR="2FC30F7B" w:rsidRPr="00CE39FB">
        <w:rPr>
          <w:noProof/>
        </w:rPr>
        <w:t xml:space="preserve">hreat </w:t>
      </w:r>
      <w:r w:rsidR="7A73C0AC" w:rsidRPr="00CE39FB">
        <w:rPr>
          <w:noProof/>
        </w:rPr>
        <w:t>i</w:t>
      </w:r>
      <w:r w:rsidR="2FC30F7B" w:rsidRPr="00CE39FB">
        <w:rPr>
          <w:noProof/>
        </w:rPr>
        <w:t xml:space="preserve">ntelligence, enable the spreading of threat information among a large and diverse set of actors (e.g., </w:t>
      </w:r>
      <w:r w:rsidR="703CF704" w:rsidRPr="00CE39FB">
        <w:rPr>
          <w:noProof/>
        </w:rPr>
        <w:t>Computer Emergency Response Teams (</w:t>
      </w:r>
      <w:r w:rsidR="00D369E4">
        <w:rPr>
          <w:noProof/>
        </w:rPr>
        <w:t>‘</w:t>
      </w:r>
      <w:r w:rsidR="2FC30F7B" w:rsidRPr="00CE39FB">
        <w:rPr>
          <w:noProof/>
        </w:rPr>
        <w:t>CERTs</w:t>
      </w:r>
      <w:r w:rsidR="00D369E4">
        <w:rPr>
          <w:noProof/>
        </w:rPr>
        <w:t>’</w:t>
      </w:r>
      <w:r w:rsidR="703CF704" w:rsidRPr="00CE39FB">
        <w:rPr>
          <w:noProof/>
        </w:rPr>
        <w:t>),</w:t>
      </w:r>
      <w:r w:rsidR="001F39DB">
        <w:rPr>
          <w:noProof/>
        </w:rPr>
        <w:t xml:space="preserve"> </w:t>
      </w:r>
      <w:r w:rsidR="2FC30F7B" w:rsidRPr="00CE39FB">
        <w:rPr>
          <w:noProof/>
        </w:rPr>
        <w:t xml:space="preserve">CSIRTs, </w:t>
      </w:r>
      <w:r w:rsidR="13F92640" w:rsidRPr="00CE39FB">
        <w:rPr>
          <w:noProof/>
        </w:rPr>
        <w:t>Information Sharing and Analysis Centers (</w:t>
      </w:r>
      <w:r w:rsidR="00D369E4">
        <w:rPr>
          <w:noProof/>
        </w:rPr>
        <w:t>‘</w:t>
      </w:r>
      <w:r w:rsidR="2FC30F7B" w:rsidRPr="00CE39FB">
        <w:rPr>
          <w:noProof/>
        </w:rPr>
        <w:t>ISACs</w:t>
      </w:r>
      <w:r w:rsidR="00D369E4">
        <w:rPr>
          <w:noProof/>
        </w:rPr>
        <w:t>’</w:t>
      </w:r>
      <w:r w:rsidR="13F92640" w:rsidRPr="00CE39FB">
        <w:rPr>
          <w:noProof/>
        </w:rPr>
        <w:t>)</w:t>
      </w:r>
      <w:r w:rsidR="2FC30F7B" w:rsidRPr="00CE39FB">
        <w:rPr>
          <w:noProof/>
        </w:rPr>
        <w:t xml:space="preserve">, operators of critical infrastructures). The information exchanged among participants in a Cross-border SOC could include data from networks and sensors, threat intelligence feeds, indicators of compromise, and contextualised information about incidents, threats and vulnerabilities. </w:t>
      </w:r>
      <w:r w:rsidR="2FC30F7B" w:rsidRPr="00CE39FB">
        <w:rPr>
          <w:rFonts w:eastAsia="Times New Roman"/>
          <w:noProof/>
        </w:rPr>
        <w:t xml:space="preserve">In addition, Cross-border SOCs should also enter into cooperation agreements with other Cross-border SOCs. </w:t>
      </w:r>
    </w:p>
    <w:p w14:paraId="43087F3C" w14:textId="5B3DC5E6" w:rsidR="0065712F" w:rsidRPr="00CE39FB" w:rsidRDefault="007B0110" w:rsidP="007B0110">
      <w:pPr>
        <w:pStyle w:val="ManualConsidrant"/>
        <w:rPr>
          <w:noProof/>
        </w:rPr>
      </w:pPr>
      <w:r w:rsidRPr="007B0110">
        <w:rPr>
          <w:noProof/>
        </w:rPr>
        <w:t>(17)</w:t>
      </w:r>
      <w:r w:rsidRPr="007B0110">
        <w:rPr>
          <w:noProof/>
        </w:rPr>
        <w:tab/>
      </w:r>
      <w:r w:rsidR="4A6BE624" w:rsidRPr="00CE39FB">
        <w:rPr>
          <w:noProof/>
        </w:rPr>
        <w:t xml:space="preserve">Shared situational awareness among relevant authorities is an indispensable prerequisite for Union-wide preparedness and coordination with regards to </w:t>
      </w:r>
      <w:r w:rsidR="1163338A" w:rsidRPr="00CE39FB">
        <w:rPr>
          <w:noProof/>
        </w:rPr>
        <w:t>significant and large-scale cybersecurity</w:t>
      </w:r>
      <w:r w:rsidR="6547814B" w:rsidRPr="00CE39FB">
        <w:rPr>
          <w:noProof/>
        </w:rPr>
        <w:t xml:space="preserve"> incidents.</w:t>
      </w:r>
      <w:r w:rsidR="4A6BE624" w:rsidRPr="00CE39FB">
        <w:rPr>
          <w:noProof/>
        </w:rPr>
        <w:t xml:space="preserve"> Directive (EU) 2022/2555 establishes</w:t>
      </w:r>
      <w:r w:rsidR="007322FD" w:rsidRPr="00CE39FB">
        <w:rPr>
          <w:noProof/>
        </w:rPr>
        <w:t xml:space="preserve"> </w:t>
      </w:r>
      <w:r w:rsidR="370851BC" w:rsidRPr="00CE39FB">
        <w:rPr>
          <w:noProof/>
        </w:rPr>
        <w:t xml:space="preserve">the </w:t>
      </w:r>
      <w:r w:rsidR="4A6BE624" w:rsidRPr="00CE39FB">
        <w:rPr>
          <w:noProof/>
        </w:rPr>
        <w:t>EU–CyCLONe to support the coordinated management of large-scale cybersecurity incidents and crises at operational level and to ensure the regular exchange of relevant information among Member States and Union institutions, bodies and agencies.</w:t>
      </w:r>
      <w:r w:rsidR="007322FD" w:rsidRPr="00CE39FB">
        <w:rPr>
          <w:noProof/>
        </w:rPr>
        <w:t xml:space="preserve"> </w:t>
      </w:r>
      <w:r w:rsidR="0065712F" w:rsidRPr="00CE39FB">
        <w:rPr>
          <w:noProof/>
        </w:rPr>
        <w:t xml:space="preserve">Recommendation (EU) 2017/1584 on coordinated response to large-scale cybersecurity incidents and crises addresses the role of all relevant actors. Directive (EU) 2022/2555 also recalls the Commission’s responsibilities in the Union Civil Protection Mechanism </w:t>
      </w:r>
      <w:r w:rsidR="00D369E4">
        <w:rPr>
          <w:noProof/>
        </w:rPr>
        <w:t xml:space="preserve">(‘UCPM’) </w:t>
      </w:r>
      <w:r w:rsidR="0065712F" w:rsidRPr="00CE39FB">
        <w:rPr>
          <w:noProof/>
        </w:rPr>
        <w:t xml:space="preserve">established by Decision 1313/2013/EU of the European Parliament and of the Council, as well as for providing analytical reports for the </w:t>
      </w:r>
      <w:r w:rsidR="00D369E4">
        <w:rPr>
          <w:noProof/>
        </w:rPr>
        <w:t>Integrated Political Crisis Response Mechanism (‘</w:t>
      </w:r>
      <w:r w:rsidR="0065712F" w:rsidRPr="00CE39FB">
        <w:rPr>
          <w:noProof/>
        </w:rPr>
        <w:t>IPCR</w:t>
      </w:r>
      <w:r w:rsidR="00D369E4">
        <w:rPr>
          <w:noProof/>
        </w:rPr>
        <w:t>’)</w:t>
      </w:r>
      <w:r w:rsidR="0065712F" w:rsidRPr="00CE39FB">
        <w:rPr>
          <w:noProof/>
        </w:rPr>
        <w:t xml:space="preserve"> arrangements under Implementing Decision (EU) 2018/1993.</w:t>
      </w:r>
      <w:r w:rsidR="4A6BE624" w:rsidRPr="00CE39FB">
        <w:rPr>
          <w:noProof/>
        </w:rPr>
        <w:t xml:space="preserve"> Therefore, in situations where </w:t>
      </w:r>
      <w:r w:rsidR="007322FD" w:rsidRPr="00CE39FB">
        <w:rPr>
          <w:noProof/>
        </w:rPr>
        <w:t>C</w:t>
      </w:r>
      <w:r w:rsidR="4A6BE624" w:rsidRPr="00CE39FB">
        <w:rPr>
          <w:noProof/>
        </w:rPr>
        <w:t>ross-border SOCs obtain information related to a</w:t>
      </w:r>
      <w:r w:rsidR="7E75EC6C" w:rsidRPr="00CE39FB">
        <w:rPr>
          <w:noProof/>
        </w:rPr>
        <w:t xml:space="preserve"> potential </w:t>
      </w:r>
      <w:r w:rsidR="00677440" w:rsidRPr="00CE39FB">
        <w:rPr>
          <w:noProof/>
        </w:rPr>
        <w:t>or</w:t>
      </w:r>
      <w:r w:rsidR="4A6BE624" w:rsidRPr="00CE39FB">
        <w:rPr>
          <w:noProof/>
        </w:rPr>
        <w:t xml:space="preserve"> ongoing large-scale </w:t>
      </w:r>
      <w:r w:rsidR="3ADAD544" w:rsidRPr="00CE39FB">
        <w:rPr>
          <w:noProof/>
        </w:rPr>
        <w:t xml:space="preserve">cybersecurity </w:t>
      </w:r>
      <w:r w:rsidR="4A6BE624" w:rsidRPr="00CE39FB">
        <w:rPr>
          <w:noProof/>
        </w:rPr>
        <w:t>incident, they</w:t>
      </w:r>
      <w:r w:rsidR="007322FD" w:rsidRPr="00CE39FB">
        <w:rPr>
          <w:noProof/>
        </w:rPr>
        <w:t xml:space="preserve"> </w:t>
      </w:r>
      <w:r w:rsidR="4A6BE624" w:rsidRPr="00CE39FB">
        <w:rPr>
          <w:noProof/>
        </w:rPr>
        <w:t xml:space="preserve">should provide relevant information to </w:t>
      </w:r>
      <w:r w:rsidR="55A82171" w:rsidRPr="00CE39FB">
        <w:rPr>
          <w:noProof/>
        </w:rPr>
        <w:t>EU</w:t>
      </w:r>
      <w:r w:rsidR="2D88584C" w:rsidRPr="00CE39FB">
        <w:rPr>
          <w:noProof/>
        </w:rPr>
        <w:t>-</w:t>
      </w:r>
      <w:r w:rsidR="55A82171" w:rsidRPr="00CE39FB">
        <w:rPr>
          <w:noProof/>
        </w:rPr>
        <w:t>CyCLONe</w:t>
      </w:r>
      <w:r w:rsidR="008C607A" w:rsidRPr="00CE39FB">
        <w:rPr>
          <w:noProof/>
        </w:rPr>
        <w:t>, the CSIRTs network</w:t>
      </w:r>
      <w:r w:rsidR="55A82171" w:rsidRPr="00CE39FB">
        <w:rPr>
          <w:noProof/>
        </w:rPr>
        <w:t xml:space="preserve"> and</w:t>
      </w:r>
      <w:r w:rsidR="4A6BE624" w:rsidRPr="00CE39FB">
        <w:rPr>
          <w:noProof/>
        </w:rPr>
        <w:t xml:space="preserve"> the Commission. </w:t>
      </w:r>
      <w:r w:rsidR="4A6BE624" w:rsidRPr="00EC7FF9">
        <w:rPr>
          <w:noProof/>
        </w:rPr>
        <w:t xml:space="preserve">In particular, depending on the situation, information to be shared could include technical information, information about the nature and motives of the attacker or potential attacker, and higher-level non-technical information </w:t>
      </w:r>
      <w:r w:rsidR="3768F855" w:rsidRPr="00EC7FF9">
        <w:rPr>
          <w:rStyle w:val="normaltextrun"/>
          <w:noProof/>
        </w:rPr>
        <w:t xml:space="preserve">about </w:t>
      </w:r>
      <w:r w:rsidR="00F170A6" w:rsidRPr="00EC7FF9">
        <w:rPr>
          <w:rStyle w:val="normaltextrun"/>
          <w:noProof/>
        </w:rPr>
        <w:t>a potential or ongoing large-scale cybersecurity</w:t>
      </w:r>
      <w:r w:rsidR="3768F855" w:rsidRPr="00EC7FF9">
        <w:rPr>
          <w:rStyle w:val="normaltextrun"/>
          <w:noProof/>
        </w:rPr>
        <w:t xml:space="preserve"> incident</w:t>
      </w:r>
      <w:r w:rsidR="4A6BE624" w:rsidRPr="00EC7FF9">
        <w:rPr>
          <w:noProof/>
        </w:rPr>
        <w:t>.</w:t>
      </w:r>
      <w:r w:rsidR="4A6BE624" w:rsidRPr="00CE39FB">
        <w:rPr>
          <w:noProof/>
        </w:rPr>
        <w:t xml:space="preserve"> In this context, due regard should be paid to the need-to-know principle and to the potentially sensitive nature of the information shared.  </w:t>
      </w:r>
    </w:p>
    <w:p w14:paraId="3805EB34" w14:textId="6BDDDE7F" w:rsidR="00B87393" w:rsidRPr="00CE39FB" w:rsidRDefault="007B0110" w:rsidP="007B0110">
      <w:pPr>
        <w:pStyle w:val="ManualConsidrant"/>
        <w:rPr>
          <w:noProof/>
        </w:rPr>
      </w:pPr>
      <w:r w:rsidRPr="007B0110">
        <w:rPr>
          <w:noProof/>
        </w:rPr>
        <w:t>(18)</w:t>
      </w:r>
      <w:r w:rsidRPr="007B0110">
        <w:rPr>
          <w:noProof/>
        </w:rPr>
        <w:tab/>
      </w:r>
      <w:r w:rsidR="24C01E8D" w:rsidRPr="00CE39FB">
        <w:rPr>
          <w:noProof/>
        </w:rPr>
        <w:t>Entities participating in the European Cyber Shield should ensure a high</w:t>
      </w:r>
      <w:r w:rsidR="007322FD" w:rsidRPr="00CE39FB">
        <w:rPr>
          <w:noProof/>
        </w:rPr>
        <w:t>-</w:t>
      </w:r>
      <w:r w:rsidR="24C01E8D" w:rsidRPr="00CE39FB">
        <w:rPr>
          <w:noProof/>
        </w:rPr>
        <w:t>level of interoperability among themselves</w:t>
      </w:r>
      <w:r w:rsidR="00EA00AD" w:rsidRPr="00CE39FB">
        <w:rPr>
          <w:noProof/>
        </w:rPr>
        <w:t xml:space="preserve"> including, as appropriate, as regards </w:t>
      </w:r>
      <w:r w:rsidR="24C01E8D" w:rsidRPr="00CE39FB">
        <w:rPr>
          <w:noProof/>
        </w:rPr>
        <w:t xml:space="preserve">data formats, taxonomy, data handling and data analysis tools, </w:t>
      </w:r>
      <w:r w:rsidR="007322FD" w:rsidRPr="00CE39FB">
        <w:rPr>
          <w:noProof/>
        </w:rPr>
        <w:t xml:space="preserve">and </w:t>
      </w:r>
      <w:r w:rsidR="24C01E8D" w:rsidRPr="00CE39FB">
        <w:rPr>
          <w:noProof/>
        </w:rPr>
        <w:t>secure communications channels</w:t>
      </w:r>
      <w:r w:rsidR="00B87393" w:rsidRPr="00A17645">
        <w:rPr>
          <w:noProof/>
          <w:szCs w:val="24"/>
        </w:rPr>
        <w:t xml:space="preserve">, a minimum level of application layer security, situational awareness dashboard, and indicators. The adoption of a common taxonomy and the development of a template for situational reports to describe the technical cause and impacts of cybersecurity incidents should take into account the ongoing work on incident notification in the context of the implementation of </w:t>
      </w:r>
      <w:r w:rsidR="00B87393" w:rsidRPr="00A17645">
        <w:rPr>
          <w:noProof/>
          <w:color w:val="000000" w:themeColor="text1"/>
          <w:szCs w:val="24"/>
        </w:rPr>
        <w:t>Directive (EU) 2022/2555</w:t>
      </w:r>
      <w:r w:rsidR="24C01E8D" w:rsidRPr="00A17645">
        <w:rPr>
          <w:noProof/>
        </w:rPr>
        <w:t>.</w:t>
      </w:r>
      <w:r w:rsidR="24C01E8D" w:rsidRPr="008D6611">
        <w:rPr>
          <w:noProof/>
        </w:rPr>
        <w:t xml:space="preserve"> </w:t>
      </w:r>
    </w:p>
    <w:p w14:paraId="561CEB87" w14:textId="0D4E95BF" w:rsidR="001054DE" w:rsidRPr="00CE39FB" w:rsidRDefault="007B0110" w:rsidP="007B0110">
      <w:pPr>
        <w:pStyle w:val="ManualConsidrant"/>
        <w:rPr>
          <w:noProof/>
        </w:rPr>
      </w:pPr>
      <w:r w:rsidRPr="007B0110">
        <w:rPr>
          <w:noProof/>
        </w:rPr>
        <w:t>(19)</w:t>
      </w:r>
      <w:r w:rsidRPr="007B0110">
        <w:rPr>
          <w:noProof/>
        </w:rPr>
        <w:tab/>
      </w:r>
      <w:r w:rsidR="6530971A" w:rsidRPr="00CE39FB">
        <w:rPr>
          <w:noProof/>
        </w:rPr>
        <w:t xml:space="preserve">In order to enable the exchange of data on cybersecurity threats from various sources, on a large-scale basis, in a trusted environment, entities participating in the European Cyber Shield should be equipped with state-of-the-art and </w:t>
      </w:r>
      <w:r w:rsidR="001029F6" w:rsidRPr="00CE39FB">
        <w:rPr>
          <w:noProof/>
        </w:rPr>
        <w:t>highly</w:t>
      </w:r>
      <w:r w:rsidR="6530971A" w:rsidRPr="00CE39FB">
        <w:rPr>
          <w:noProof/>
        </w:rPr>
        <w:t xml:space="preserve">-secure tools, equipment and infrastructures. This should </w:t>
      </w:r>
      <w:r w:rsidR="208FA217" w:rsidRPr="00CE39FB">
        <w:rPr>
          <w:noProof/>
        </w:rPr>
        <w:t>make it possible</w:t>
      </w:r>
      <w:r w:rsidR="6530971A" w:rsidRPr="00CE39FB">
        <w:rPr>
          <w:noProof/>
        </w:rPr>
        <w:t xml:space="preserve"> to improve collective detection capacities and timely warnings to authorities</w:t>
      </w:r>
      <w:r w:rsidR="002537D0" w:rsidRPr="00CE39FB">
        <w:rPr>
          <w:noProof/>
        </w:rPr>
        <w:t xml:space="preserve"> </w:t>
      </w:r>
      <w:r w:rsidR="6530971A" w:rsidRPr="00CE39FB">
        <w:rPr>
          <w:noProof/>
        </w:rPr>
        <w:t xml:space="preserve">and relevant entities, </w:t>
      </w:r>
      <w:r w:rsidR="780FF302" w:rsidRPr="00CE39FB">
        <w:rPr>
          <w:noProof/>
        </w:rPr>
        <w:t xml:space="preserve">notably </w:t>
      </w:r>
      <w:r w:rsidR="6530971A" w:rsidRPr="00CE39FB">
        <w:rPr>
          <w:noProof/>
        </w:rPr>
        <w:t xml:space="preserve">by using the latest artificial intelligence and data analytics technologies. </w:t>
      </w:r>
    </w:p>
    <w:p w14:paraId="2E847861" w14:textId="33F65CB0" w:rsidR="00BF4B9D" w:rsidRPr="00CE39FB" w:rsidRDefault="007B0110" w:rsidP="007B0110">
      <w:pPr>
        <w:pStyle w:val="ManualConsidrant"/>
        <w:rPr>
          <w:noProof/>
        </w:rPr>
      </w:pPr>
      <w:r w:rsidRPr="007B0110">
        <w:rPr>
          <w:noProof/>
        </w:rPr>
        <w:t>(20)</w:t>
      </w:r>
      <w:r w:rsidRPr="007B0110">
        <w:rPr>
          <w:noProof/>
        </w:rPr>
        <w:tab/>
      </w:r>
      <w:r w:rsidR="1621E418" w:rsidRPr="00CE39FB">
        <w:rPr>
          <w:rStyle w:val="eop"/>
          <w:noProof/>
        </w:rPr>
        <w:t xml:space="preserve">By </w:t>
      </w:r>
      <w:r w:rsidR="1621E418" w:rsidRPr="008D6611">
        <w:rPr>
          <w:noProof/>
        </w:rPr>
        <w:t>collecting</w:t>
      </w:r>
      <w:r w:rsidR="1621E418" w:rsidRPr="00CE39FB">
        <w:rPr>
          <w:rStyle w:val="eop"/>
          <w:noProof/>
        </w:rPr>
        <w:t xml:space="preserve">, sharing and exchanging data, the European Cyber Shield should enhance </w:t>
      </w:r>
      <w:r w:rsidR="4E05376E" w:rsidRPr="00CE39FB">
        <w:rPr>
          <w:rStyle w:val="eop"/>
          <w:noProof/>
        </w:rPr>
        <w:t>the Union</w:t>
      </w:r>
      <w:r w:rsidR="1621E418" w:rsidRPr="00CE39FB">
        <w:rPr>
          <w:rStyle w:val="eop"/>
          <w:noProof/>
        </w:rPr>
        <w:t xml:space="preserve">’s technological sovereignty. The pooling of high-quality curated data should </w:t>
      </w:r>
      <w:r w:rsidR="3F3F8A9F" w:rsidRPr="00CE39FB">
        <w:rPr>
          <w:rStyle w:val="eop"/>
          <w:noProof/>
        </w:rPr>
        <w:t xml:space="preserve">also </w:t>
      </w:r>
      <w:r w:rsidR="1621E418" w:rsidRPr="00CE39FB">
        <w:rPr>
          <w:rStyle w:val="eop"/>
          <w:noProof/>
        </w:rPr>
        <w:t xml:space="preserve">contribute to the development of advanced </w:t>
      </w:r>
      <w:r w:rsidR="4E05376E" w:rsidRPr="00CE39FB">
        <w:rPr>
          <w:rStyle w:val="eop"/>
          <w:noProof/>
        </w:rPr>
        <w:t>artificial intelligence</w:t>
      </w:r>
      <w:r w:rsidR="1621E418" w:rsidRPr="00CE39FB">
        <w:rPr>
          <w:rStyle w:val="eop"/>
          <w:noProof/>
        </w:rPr>
        <w:t xml:space="preserve"> and data analytics technologies. It should be facilitated through the connection of the European Cyber Shield with the pan-European High Performance Computing infrastructure established </w:t>
      </w:r>
      <w:r w:rsidR="208FA217" w:rsidRPr="00CE39FB">
        <w:rPr>
          <w:rStyle w:val="eop"/>
          <w:noProof/>
        </w:rPr>
        <w:t>by</w:t>
      </w:r>
      <w:r w:rsidR="009F3D97" w:rsidRPr="00CE39FB">
        <w:rPr>
          <w:rStyle w:val="eop"/>
          <w:noProof/>
        </w:rPr>
        <w:t xml:space="preserve"> </w:t>
      </w:r>
      <w:r w:rsidR="1621E418" w:rsidRPr="00CE39FB">
        <w:rPr>
          <w:rStyle w:val="eop"/>
          <w:noProof/>
        </w:rPr>
        <w:t>Council Regulation (EU) 2021/1173</w:t>
      </w:r>
      <w:r w:rsidR="00262EE5" w:rsidRPr="00CE39FB">
        <w:rPr>
          <w:rStyle w:val="FootnoteReference"/>
          <w:noProof/>
        </w:rPr>
        <w:footnoteReference w:id="26"/>
      </w:r>
      <w:r w:rsidR="1621E418" w:rsidRPr="00CE39FB">
        <w:rPr>
          <w:rStyle w:val="eop"/>
          <w:noProof/>
        </w:rPr>
        <w:t>.</w:t>
      </w:r>
      <w:r w:rsidR="1621E418" w:rsidRPr="00CE39FB">
        <w:rPr>
          <w:noProof/>
        </w:rPr>
        <w:t xml:space="preserve"> </w:t>
      </w:r>
    </w:p>
    <w:p w14:paraId="2B0AEF04" w14:textId="295C1808" w:rsidR="004B666F" w:rsidRPr="0028668F" w:rsidRDefault="007B0110" w:rsidP="007B0110">
      <w:pPr>
        <w:pStyle w:val="ManualConsidrant"/>
        <w:rPr>
          <w:noProof/>
        </w:rPr>
      </w:pPr>
      <w:r w:rsidRPr="007B0110">
        <w:rPr>
          <w:noProof/>
        </w:rPr>
        <w:t>(21)</w:t>
      </w:r>
      <w:r w:rsidRPr="007B0110">
        <w:rPr>
          <w:noProof/>
        </w:rPr>
        <w:tab/>
      </w:r>
      <w:r w:rsidR="741C93EB" w:rsidRPr="008D6611">
        <w:rPr>
          <w:noProof/>
        </w:rPr>
        <w:t>While</w:t>
      </w:r>
      <w:r w:rsidR="741C93EB" w:rsidRPr="008D6611">
        <w:rPr>
          <w:rStyle w:val="eop"/>
          <w:noProof/>
        </w:rPr>
        <w:t xml:space="preserve"> the European Cyber Shield is a civilian project, t</w:t>
      </w:r>
      <w:r w:rsidR="741C93EB" w:rsidRPr="00CE39FB">
        <w:rPr>
          <w:noProof/>
        </w:rPr>
        <w:t xml:space="preserve">he cyber defence community could benefit from stronger civilian detection and situational awareness capabilities developed for the protection of critical infrastructure. </w:t>
      </w:r>
      <w:r w:rsidR="741C93EB" w:rsidRPr="008D6611">
        <w:rPr>
          <w:rStyle w:val="eop"/>
          <w:noProof/>
        </w:rPr>
        <w:t>Cross-border SOCs, with the support of the Commission and the European Cybersecurity Competence Centre</w:t>
      </w:r>
      <w:r w:rsidR="00D369E4">
        <w:rPr>
          <w:rStyle w:val="eop"/>
          <w:noProof/>
        </w:rPr>
        <w:t xml:space="preserve"> (‘ECCC’)</w:t>
      </w:r>
      <w:r w:rsidR="741C93EB" w:rsidRPr="008D6611">
        <w:rPr>
          <w:rStyle w:val="eop"/>
          <w:noProof/>
        </w:rPr>
        <w:t xml:space="preserve">, and in cooperation with the High Representative of the Union for Foreign Affairs and Security Policy (the ‘High Representative’), should gradually develop dedicated protocols and standards to allow for cooperation with the </w:t>
      </w:r>
      <w:r w:rsidR="2D8A6E28" w:rsidRPr="00CE39FB">
        <w:rPr>
          <w:rStyle w:val="eop"/>
          <w:rFonts w:eastAsia="Times New Roman"/>
          <w:noProof/>
        </w:rPr>
        <w:t xml:space="preserve">cyber </w:t>
      </w:r>
      <w:r w:rsidR="741C93EB" w:rsidRPr="008D6611">
        <w:rPr>
          <w:rStyle w:val="eop"/>
          <w:noProof/>
        </w:rPr>
        <w:t xml:space="preserve">defence community, including vetting and security conditions. </w:t>
      </w:r>
      <w:r w:rsidR="32A0E5DC" w:rsidRPr="00CE39FB">
        <w:rPr>
          <w:noProof/>
        </w:rPr>
        <w:t>The</w:t>
      </w:r>
      <w:r w:rsidR="3253FFB8" w:rsidRPr="008D6611">
        <w:rPr>
          <w:rStyle w:val="eop"/>
          <w:noProof/>
        </w:rPr>
        <w:t xml:space="preserve"> development of the European Cyber Shield should be accompanied by a </w:t>
      </w:r>
      <w:r w:rsidR="32A0E5DC" w:rsidRPr="008D6611">
        <w:rPr>
          <w:rStyle w:val="eop"/>
          <w:noProof/>
        </w:rPr>
        <w:t>reflection enabling future</w:t>
      </w:r>
      <w:r w:rsidR="741C93EB" w:rsidRPr="00CE39FB">
        <w:rPr>
          <w:noProof/>
        </w:rPr>
        <w:t xml:space="preserve"> collaboration with networks and platforms responsible for information sharing in the cyber defence community</w:t>
      </w:r>
      <w:r w:rsidR="48BEFFD1" w:rsidRPr="00CE39FB">
        <w:rPr>
          <w:noProof/>
        </w:rPr>
        <w:t xml:space="preserve">, in close cooperation with </w:t>
      </w:r>
      <w:r w:rsidR="4A8605E6" w:rsidRPr="00CE39FB">
        <w:rPr>
          <w:noProof/>
        </w:rPr>
        <w:t>the High Representative</w:t>
      </w:r>
      <w:r w:rsidR="741C93EB" w:rsidRPr="00CE39FB">
        <w:rPr>
          <w:noProof/>
        </w:rPr>
        <w:t>.</w:t>
      </w:r>
      <w:r w:rsidR="741C93EB" w:rsidRPr="0028668F">
        <w:rPr>
          <w:noProof/>
        </w:rPr>
        <w:t xml:space="preserve"> </w:t>
      </w:r>
    </w:p>
    <w:p w14:paraId="5D8034C2" w14:textId="55BD5F10" w:rsidR="00F93052" w:rsidRPr="00CE39FB" w:rsidRDefault="007B0110" w:rsidP="007B0110">
      <w:pPr>
        <w:pStyle w:val="ManualConsidrant"/>
        <w:rPr>
          <w:noProof/>
        </w:rPr>
      </w:pPr>
      <w:r w:rsidRPr="007B0110">
        <w:rPr>
          <w:noProof/>
        </w:rPr>
        <w:t>(22)</w:t>
      </w:r>
      <w:r w:rsidRPr="007B0110">
        <w:rPr>
          <w:noProof/>
        </w:rPr>
        <w:tab/>
      </w:r>
      <w:r w:rsidR="2173B692" w:rsidRPr="00CE39FB">
        <w:rPr>
          <w:rStyle w:val="eop"/>
          <w:noProof/>
        </w:rPr>
        <w:t>Information sharing</w:t>
      </w:r>
      <w:r w:rsidR="009733C0" w:rsidRPr="00CE39FB">
        <w:rPr>
          <w:rStyle w:val="eop"/>
          <w:noProof/>
        </w:rPr>
        <w:t xml:space="preserve"> among participants of </w:t>
      </w:r>
      <w:r w:rsidR="009733C0" w:rsidRPr="008D6611">
        <w:rPr>
          <w:rStyle w:val="eop"/>
          <w:noProof/>
        </w:rPr>
        <w:t>the European Cyber Shield</w:t>
      </w:r>
      <w:r w:rsidR="2173B692" w:rsidRPr="008D6611">
        <w:rPr>
          <w:rStyle w:val="eop"/>
          <w:noProof/>
        </w:rPr>
        <w:t xml:space="preserve"> should </w:t>
      </w:r>
      <w:r w:rsidR="08E5A72B" w:rsidRPr="00CE39FB">
        <w:rPr>
          <w:rStyle w:val="eop"/>
          <w:noProof/>
        </w:rPr>
        <w:t xml:space="preserve">comply with </w:t>
      </w:r>
      <w:r w:rsidR="2173B692" w:rsidRPr="00CE39FB">
        <w:rPr>
          <w:rStyle w:val="eop"/>
          <w:noProof/>
        </w:rPr>
        <w:t>existing legal requirements and in particular Union and national data protection law</w:t>
      </w:r>
      <w:r w:rsidR="14D3E75D" w:rsidRPr="00CE39FB">
        <w:rPr>
          <w:rStyle w:val="eop"/>
          <w:noProof/>
        </w:rPr>
        <w:t xml:space="preserve">, </w:t>
      </w:r>
      <w:r w:rsidR="14D3E75D" w:rsidRPr="00CE39FB">
        <w:rPr>
          <w:rFonts w:eastAsia="Times New Roman"/>
          <w:noProof/>
        </w:rPr>
        <w:t>as well as the Union rules on competition governing the exchange of information</w:t>
      </w:r>
      <w:r w:rsidR="14D3E75D" w:rsidRPr="008D6611">
        <w:rPr>
          <w:noProof/>
        </w:rPr>
        <w:t>.</w:t>
      </w:r>
      <w:r w:rsidR="00297096" w:rsidRPr="008D6611">
        <w:rPr>
          <w:noProof/>
        </w:rPr>
        <w:t xml:space="preserve"> </w:t>
      </w:r>
      <w:r w:rsidR="2173B692" w:rsidRPr="00CE39FB">
        <w:rPr>
          <w:rStyle w:val="eop"/>
          <w:noProof/>
        </w:rPr>
        <w:t>The recipient of the information should implement, insofar as the processing of personal data is necessary, technical and organisational measures that safeguard the rights and freedoms of data subjects, and destroy the data as soon as they are no longer necessary for the stated purpose and inform the body making the data available that the data have been destroyed.</w:t>
      </w:r>
      <w:r w:rsidR="2173B692" w:rsidRPr="00CE39FB">
        <w:rPr>
          <w:noProof/>
        </w:rPr>
        <w:t xml:space="preserve"> </w:t>
      </w:r>
    </w:p>
    <w:p w14:paraId="1A74DB2F" w14:textId="78A10EB0" w:rsidR="001B0F8B" w:rsidRPr="00CE39FB" w:rsidRDefault="007B0110" w:rsidP="007B0110">
      <w:pPr>
        <w:pStyle w:val="ManualConsidrant"/>
        <w:rPr>
          <w:noProof/>
        </w:rPr>
      </w:pPr>
      <w:r w:rsidRPr="007B0110">
        <w:rPr>
          <w:noProof/>
        </w:rPr>
        <w:t>(23)</w:t>
      </w:r>
      <w:r w:rsidRPr="007B0110">
        <w:rPr>
          <w:noProof/>
        </w:rPr>
        <w:tab/>
      </w:r>
      <w:r w:rsidR="54162199" w:rsidRPr="00CE39FB">
        <w:rPr>
          <w:noProof/>
        </w:rPr>
        <w:t xml:space="preserve">Without prejudice to Article 346 </w:t>
      </w:r>
      <w:r w:rsidR="5121483A" w:rsidRPr="00CE39FB">
        <w:rPr>
          <w:noProof/>
        </w:rPr>
        <w:t xml:space="preserve">of </w:t>
      </w:r>
      <w:r w:rsidR="00B962B3" w:rsidRPr="00CE39FB">
        <w:rPr>
          <w:noProof/>
        </w:rPr>
        <w:t>TFEU</w:t>
      </w:r>
      <w:r w:rsidR="54162199" w:rsidRPr="00CE39FB">
        <w:rPr>
          <w:noProof/>
        </w:rPr>
        <w:t xml:space="preserve">, the exchange of information that is confidential pursuant to Union or national rules should be limited to that which is relevant and proportionate to the purpose of that exchange. The exchange of such information should preserve the confidentiality of </w:t>
      </w:r>
      <w:r w:rsidR="08E5A72B" w:rsidRPr="00CE39FB">
        <w:rPr>
          <w:noProof/>
        </w:rPr>
        <w:t xml:space="preserve">the </w:t>
      </w:r>
      <w:r w:rsidR="54162199" w:rsidRPr="00CE39FB">
        <w:rPr>
          <w:noProof/>
        </w:rPr>
        <w:t>information and protect the security and commercial interests of the entities concerned</w:t>
      </w:r>
      <w:r w:rsidR="2E96219E" w:rsidRPr="00CE39FB">
        <w:rPr>
          <w:noProof/>
        </w:rPr>
        <w:t xml:space="preserve">, in full respect of trade and business secrets.  </w:t>
      </w:r>
    </w:p>
    <w:p w14:paraId="10095259" w14:textId="54FA0693" w:rsidR="00F3442E" w:rsidRPr="00CE39FB" w:rsidRDefault="007B0110" w:rsidP="007B0110">
      <w:pPr>
        <w:pStyle w:val="ManualConsidrant"/>
        <w:rPr>
          <w:noProof/>
        </w:rPr>
      </w:pPr>
      <w:r w:rsidRPr="007B0110">
        <w:rPr>
          <w:noProof/>
        </w:rPr>
        <w:t>(24)</w:t>
      </w:r>
      <w:r w:rsidRPr="007B0110">
        <w:rPr>
          <w:noProof/>
        </w:rPr>
        <w:tab/>
      </w:r>
      <w:r w:rsidR="2628461D" w:rsidRPr="00CE39FB">
        <w:rPr>
          <w:noProof/>
        </w:rPr>
        <w:t xml:space="preserve">In view of the increasing risks and number of cyber incidents affecting Member States, </w:t>
      </w:r>
      <w:r w:rsidR="5121483A" w:rsidRPr="00CE39FB">
        <w:rPr>
          <w:noProof/>
        </w:rPr>
        <w:t xml:space="preserve">it is necessary to </w:t>
      </w:r>
      <w:r w:rsidR="2628461D" w:rsidRPr="00CE39FB">
        <w:rPr>
          <w:noProof/>
        </w:rPr>
        <w:t xml:space="preserve">set up a crisis support instrument </w:t>
      </w:r>
      <w:r w:rsidR="00054A82" w:rsidRPr="00CE39FB">
        <w:rPr>
          <w:noProof/>
        </w:rPr>
        <w:t xml:space="preserve">to </w:t>
      </w:r>
      <w:r w:rsidR="08E5A72B" w:rsidRPr="00CE39FB">
        <w:rPr>
          <w:noProof/>
        </w:rPr>
        <w:t>improve</w:t>
      </w:r>
      <w:r w:rsidR="2628461D" w:rsidRPr="00CE39FB">
        <w:rPr>
          <w:noProof/>
        </w:rPr>
        <w:t xml:space="preserve"> the Union’s resilience to </w:t>
      </w:r>
      <w:r w:rsidR="003278AB" w:rsidRPr="00CE39FB">
        <w:rPr>
          <w:noProof/>
        </w:rPr>
        <w:t>significant</w:t>
      </w:r>
      <w:r w:rsidR="2628461D" w:rsidRPr="00CE39FB">
        <w:rPr>
          <w:noProof/>
        </w:rPr>
        <w:t xml:space="preserve"> and </w:t>
      </w:r>
      <w:r w:rsidR="003278AB" w:rsidRPr="00CE39FB">
        <w:rPr>
          <w:noProof/>
        </w:rPr>
        <w:t xml:space="preserve">large-scale cybersecurity </w:t>
      </w:r>
      <w:r w:rsidR="471A6F66" w:rsidRPr="00CE39FB">
        <w:rPr>
          <w:noProof/>
        </w:rPr>
        <w:t xml:space="preserve">incidents and </w:t>
      </w:r>
      <w:r w:rsidR="2628461D" w:rsidRPr="00CE39FB">
        <w:rPr>
          <w:noProof/>
        </w:rPr>
        <w:t xml:space="preserve">complement Member States’ actions through emergency financial support for preparedness, response and immediate recovery of essential services. </w:t>
      </w:r>
      <w:r w:rsidR="2FC4CE71" w:rsidRPr="00CE39FB">
        <w:rPr>
          <w:noProof/>
        </w:rPr>
        <w:t>That</w:t>
      </w:r>
      <w:r w:rsidR="2628461D" w:rsidRPr="00CE39FB">
        <w:rPr>
          <w:noProof/>
        </w:rPr>
        <w:t xml:space="preserve"> instrument should enable the rapid deployment of assistance in defined circumstances and under clear conditions and allow for a careful monitoring and evaluation of how resources have been used. Whilst the primary responsibility for preventing, preparing for and responding to cybersecurity incidents and crises lies with the Member States, </w:t>
      </w:r>
      <w:r w:rsidR="00CC5D3E" w:rsidRPr="00CE39FB">
        <w:rPr>
          <w:noProof/>
        </w:rPr>
        <w:t>the Cyber Emergency</w:t>
      </w:r>
      <w:r w:rsidR="001F39DB">
        <w:rPr>
          <w:noProof/>
        </w:rPr>
        <w:t xml:space="preserve"> </w:t>
      </w:r>
      <w:r w:rsidR="00B223FC" w:rsidRPr="00CE39FB">
        <w:rPr>
          <w:noProof/>
        </w:rPr>
        <w:t>M</w:t>
      </w:r>
      <w:r w:rsidR="2628461D" w:rsidRPr="00CE39FB">
        <w:rPr>
          <w:noProof/>
        </w:rPr>
        <w:t>echanism promotes solidarity between Member States in accordance with Article 3(3) of the Treaty on European Union</w:t>
      </w:r>
      <w:r w:rsidR="00D369E4">
        <w:rPr>
          <w:noProof/>
        </w:rPr>
        <w:t xml:space="preserve"> (‘TEU’)</w:t>
      </w:r>
      <w:r w:rsidR="00F3442E" w:rsidRPr="00CE39FB">
        <w:rPr>
          <w:noProof/>
        </w:rPr>
        <w:t>.</w:t>
      </w:r>
    </w:p>
    <w:p w14:paraId="50A8E39E" w14:textId="39AD9517" w:rsidR="003E6BB5" w:rsidRPr="00CE39FB" w:rsidRDefault="007B0110" w:rsidP="007B0110">
      <w:pPr>
        <w:pStyle w:val="ManualConsidrant"/>
        <w:rPr>
          <w:noProof/>
        </w:rPr>
      </w:pPr>
      <w:r w:rsidRPr="007B0110">
        <w:rPr>
          <w:noProof/>
        </w:rPr>
        <w:t>(25)</w:t>
      </w:r>
      <w:r w:rsidRPr="007B0110">
        <w:rPr>
          <w:noProof/>
        </w:rPr>
        <w:tab/>
      </w:r>
      <w:r w:rsidR="30143E1B" w:rsidRPr="00CE39FB">
        <w:rPr>
          <w:noProof/>
        </w:rPr>
        <w:t xml:space="preserve">The Cyber Emergency Mechanism should provide support to Member States complementing their own </w:t>
      </w:r>
      <w:r w:rsidR="5C241E6C" w:rsidRPr="00CE39FB">
        <w:rPr>
          <w:noProof/>
        </w:rPr>
        <w:t>measures and resources</w:t>
      </w:r>
      <w:r w:rsidR="566F0B91" w:rsidRPr="00CE39FB">
        <w:rPr>
          <w:noProof/>
        </w:rPr>
        <w:t>,</w:t>
      </w:r>
      <w:r w:rsidR="5C241E6C" w:rsidRPr="00CE39FB">
        <w:rPr>
          <w:noProof/>
        </w:rPr>
        <w:t xml:space="preserve"> </w:t>
      </w:r>
      <w:r w:rsidR="30143E1B" w:rsidRPr="00CE39FB">
        <w:rPr>
          <w:noProof/>
        </w:rPr>
        <w:t xml:space="preserve"> and other existing support options in case of response to and immediate recovery from significant and large-scale cybersecurity incidents, such as the services provided by </w:t>
      </w:r>
      <w:r w:rsidR="00D369E4">
        <w:rPr>
          <w:noProof/>
        </w:rPr>
        <w:t>the European Union Agency for Cybersecurity (‘</w:t>
      </w:r>
      <w:r w:rsidR="30143E1B" w:rsidRPr="00CE39FB">
        <w:rPr>
          <w:noProof/>
        </w:rPr>
        <w:t>ENISA</w:t>
      </w:r>
      <w:r w:rsidR="00D369E4">
        <w:rPr>
          <w:noProof/>
        </w:rPr>
        <w:t>’)</w:t>
      </w:r>
      <w:r w:rsidR="30143E1B" w:rsidRPr="00CE39FB">
        <w:rPr>
          <w:noProof/>
        </w:rPr>
        <w:t xml:space="preserve"> in accordance with its mandate, the coordinated response and the assistance from the CSIRTs network, the mitigation support from </w:t>
      </w:r>
      <w:r w:rsidR="370851BC" w:rsidRPr="00CE39FB">
        <w:rPr>
          <w:noProof/>
        </w:rPr>
        <w:t xml:space="preserve">the </w:t>
      </w:r>
      <w:r w:rsidR="30143E1B" w:rsidRPr="00CE39FB">
        <w:rPr>
          <w:noProof/>
        </w:rPr>
        <w:t xml:space="preserve">EU-CyCLONe, </w:t>
      </w:r>
      <w:r w:rsidR="2F8ACAD6" w:rsidRPr="00CE39FB">
        <w:rPr>
          <w:noProof/>
        </w:rPr>
        <w:t xml:space="preserve">as well as </w:t>
      </w:r>
      <w:r w:rsidR="30143E1B" w:rsidRPr="00CE39FB">
        <w:rPr>
          <w:noProof/>
        </w:rPr>
        <w:t xml:space="preserve">mutual assistance between Member States including </w:t>
      </w:r>
      <w:r w:rsidR="328D4326" w:rsidRPr="00CE39FB">
        <w:rPr>
          <w:rFonts w:eastAsia="Times New Roman"/>
          <w:noProof/>
        </w:rPr>
        <w:t xml:space="preserve">in the context of Article 42(7) </w:t>
      </w:r>
      <w:r w:rsidR="00D42582" w:rsidRPr="00CE39FB">
        <w:rPr>
          <w:rFonts w:eastAsia="Times New Roman"/>
          <w:noProof/>
        </w:rPr>
        <w:t xml:space="preserve">of </w:t>
      </w:r>
      <w:r w:rsidR="00D369E4">
        <w:rPr>
          <w:rFonts w:eastAsia="Times New Roman"/>
          <w:noProof/>
        </w:rPr>
        <w:t>TEU</w:t>
      </w:r>
      <w:r w:rsidR="328D4326" w:rsidRPr="00CE39FB">
        <w:rPr>
          <w:rFonts w:eastAsia="Times New Roman"/>
          <w:noProof/>
        </w:rPr>
        <w:t>,</w:t>
      </w:r>
      <w:r w:rsidR="004D4095" w:rsidRPr="00CE39FB">
        <w:rPr>
          <w:rFonts w:eastAsia="Times New Roman"/>
          <w:noProof/>
        </w:rPr>
        <w:t xml:space="preserve"> </w:t>
      </w:r>
      <w:r w:rsidR="30143E1B" w:rsidRPr="00CE39FB">
        <w:rPr>
          <w:noProof/>
        </w:rPr>
        <w:t>the PESCO Cyber Rapid Response Teams</w:t>
      </w:r>
      <w:r w:rsidR="005E6B86" w:rsidRPr="00CE39FB">
        <w:rPr>
          <w:rStyle w:val="FootnoteReference"/>
          <w:rFonts w:eastAsiaTheme="minorEastAsia"/>
          <w:noProof/>
        </w:rPr>
        <w:footnoteReference w:id="27"/>
      </w:r>
      <w:r w:rsidR="30143E1B" w:rsidRPr="00CE39FB">
        <w:rPr>
          <w:noProof/>
        </w:rPr>
        <w:t xml:space="preserve"> and Hybrid Rapid Response Teams. It should address the need to ensure that specialised means are available to support preparedness and response to cybersecurity incidents across the Union</w:t>
      </w:r>
      <w:r w:rsidR="22097E02" w:rsidRPr="00CE39FB">
        <w:rPr>
          <w:noProof/>
        </w:rPr>
        <w:t xml:space="preserve"> and in </w:t>
      </w:r>
      <w:r w:rsidR="1FAAD88F" w:rsidRPr="00CE39FB">
        <w:rPr>
          <w:noProof/>
        </w:rPr>
        <w:t>third</w:t>
      </w:r>
      <w:r w:rsidR="22097E02" w:rsidRPr="00CE39FB">
        <w:rPr>
          <w:noProof/>
        </w:rPr>
        <w:t xml:space="preserve"> countries</w:t>
      </w:r>
      <w:r w:rsidR="30143E1B" w:rsidRPr="00CE39FB">
        <w:rPr>
          <w:noProof/>
        </w:rPr>
        <w:t xml:space="preserve">. </w:t>
      </w:r>
    </w:p>
    <w:p w14:paraId="7A310294" w14:textId="4B679A43" w:rsidR="003C7106" w:rsidRPr="00CE39FB" w:rsidRDefault="007B0110" w:rsidP="007B0110">
      <w:pPr>
        <w:pStyle w:val="ManualConsidrant"/>
        <w:rPr>
          <w:noProof/>
        </w:rPr>
      </w:pPr>
      <w:r w:rsidRPr="007B0110">
        <w:rPr>
          <w:noProof/>
        </w:rPr>
        <w:t>(26)</w:t>
      </w:r>
      <w:r w:rsidRPr="007B0110">
        <w:rPr>
          <w:noProof/>
        </w:rPr>
        <w:tab/>
      </w:r>
      <w:r w:rsidR="6AAE3E3A" w:rsidRPr="00CE39FB">
        <w:rPr>
          <w:noProof/>
        </w:rPr>
        <w:t xml:space="preserve">This instrument is without prejudice to procedures and frameworks to coordinate crisis response at Union level, in particular the </w:t>
      </w:r>
      <w:r w:rsidR="00D369E4">
        <w:rPr>
          <w:noProof/>
        </w:rPr>
        <w:t>UCPM</w:t>
      </w:r>
      <w:r w:rsidR="003C7106" w:rsidRPr="00CE39FB">
        <w:rPr>
          <w:rStyle w:val="FootnoteReference"/>
          <w:noProof/>
        </w:rPr>
        <w:footnoteReference w:id="28"/>
      </w:r>
      <w:r w:rsidR="6AAE3E3A" w:rsidRPr="00CE39FB">
        <w:rPr>
          <w:noProof/>
        </w:rPr>
        <w:t>, IPCR</w:t>
      </w:r>
      <w:r w:rsidR="003C7106" w:rsidRPr="00CE39FB">
        <w:rPr>
          <w:rStyle w:val="FootnoteReference"/>
          <w:noProof/>
        </w:rPr>
        <w:footnoteReference w:id="29"/>
      </w:r>
      <w:r w:rsidR="6AAE3E3A" w:rsidRPr="00CE39FB">
        <w:rPr>
          <w:rStyle w:val="FootnoteReference"/>
          <w:noProof/>
        </w:rPr>
        <w:t>,</w:t>
      </w:r>
      <w:r w:rsidR="6AAE3E3A" w:rsidRPr="00CE39FB">
        <w:rPr>
          <w:noProof/>
        </w:rPr>
        <w:t xml:space="preserve"> and Directive (EU) 2022/2555.</w:t>
      </w:r>
      <w:r w:rsidR="6AAE3E3A" w:rsidRPr="0028668F">
        <w:rPr>
          <w:noProof/>
        </w:rPr>
        <w:t xml:space="preserve"> </w:t>
      </w:r>
      <w:r w:rsidR="169C3F19" w:rsidRPr="00CE39FB">
        <w:rPr>
          <w:noProof/>
        </w:rPr>
        <w:t xml:space="preserve">It </w:t>
      </w:r>
      <w:r w:rsidR="1686C888" w:rsidRPr="00CE39FB">
        <w:rPr>
          <w:noProof/>
        </w:rPr>
        <w:t>may</w:t>
      </w:r>
      <w:r w:rsidR="3B5F0AFC" w:rsidRPr="00CE39FB">
        <w:rPr>
          <w:noProof/>
        </w:rPr>
        <w:t xml:space="preserve"> contribute</w:t>
      </w:r>
      <w:r w:rsidR="1686C888" w:rsidRPr="00CE39FB">
        <w:rPr>
          <w:noProof/>
        </w:rPr>
        <w:t xml:space="preserve"> to</w:t>
      </w:r>
      <w:r w:rsidR="3B5F0AFC" w:rsidRPr="00CE39FB">
        <w:rPr>
          <w:noProof/>
        </w:rPr>
        <w:t xml:space="preserve"> or co</w:t>
      </w:r>
      <w:r w:rsidR="1686C888" w:rsidRPr="00CE39FB">
        <w:rPr>
          <w:noProof/>
        </w:rPr>
        <w:t>m</w:t>
      </w:r>
      <w:r w:rsidR="3B5F0AFC" w:rsidRPr="00CE39FB">
        <w:rPr>
          <w:noProof/>
        </w:rPr>
        <w:t>plement</w:t>
      </w:r>
      <w:r w:rsidR="169C3F19" w:rsidRPr="00CE39FB">
        <w:rPr>
          <w:noProof/>
        </w:rPr>
        <w:t xml:space="preserve"> actions implemented in the context of Article 42(7) of </w:t>
      </w:r>
      <w:r w:rsidR="00D369E4">
        <w:rPr>
          <w:noProof/>
        </w:rPr>
        <w:t>TEU</w:t>
      </w:r>
      <w:r w:rsidR="169C3F19" w:rsidRPr="00CE39FB">
        <w:rPr>
          <w:noProof/>
        </w:rPr>
        <w:t xml:space="preserve"> or in situations defined in Article 222 of </w:t>
      </w:r>
      <w:r w:rsidR="00D369E4">
        <w:rPr>
          <w:noProof/>
        </w:rPr>
        <w:t>TFEU</w:t>
      </w:r>
      <w:r w:rsidR="169C3F19" w:rsidRPr="00CE39FB">
        <w:rPr>
          <w:noProof/>
        </w:rPr>
        <w:t>.</w:t>
      </w:r>
      <w:r w:rsidR="3EF85EB9" w:rsidRPr="00CE39FB">
        <w:rPr>
          <w:noProof/>
        </w:rPr>
        <w:t xml:space="preserve"> The use of this</w:t>
      </w:r>
      <w:r w:rsidR="55390D55" w:rsidRPr="00CE39FB">
        <w:rPr>
          <w:noProof/>
        </w:rPr>
        <w:t xml:space="preserve"> </w:t>
      </w:r>
      <w:r w:rsidR="5CEAF2FE" w:rsidRPr="00CE39FB">
        <w:rPr>
          <w:noProof/>
        </w:rPr>
        <w:t>instrument</w:t>
      </w:r>
      <w:r w:rsidR="3EF85EB9" w:rsidRPr="00CE39FB">
        <w:rPr>
          <w:noProof/>
        </w:rPr>
        <w:t xml:space="preserve"> should also be </w:t>
      </w:r>
      <w:r w:rsidR="503932F8" w:rsidRPr="00CE39FB">
        <w:rPr>
          <w:noProof/>
        </w:rPr>
        <w:t>coordinated</w:t>
      </w:r>
      <w:r w:rsidR="3EF85EB9" w:rsidRPr="00CE39FB">
        <w:rPr>
          <w:noProof/>
        </w:rPr>
        <w:t xml:space="preserve"> with the implementation of Cyber Diplomacy </w:t>
      </w:r>
      <w:r w:rsidR="04BDCF00" w:rsidRPr="00CE39FB">
        <w:rPr>
          <w:noProof/>
        </w:rPr>
        <w:t>T</w:t>
      </w:r>
      <w:r w:rsidR="3EF85EB9" w:rsidRPr="00CE39FB">
        <w:rPr>
          <w:noProof/>
        </w:rPr>
        <w:t>oolbox’s measures</w:t>
      </w:r>
      <w:r w:rsidR="242BB9FD" w:rsidRPr="00CE39FB">
        <w:rPr>
          <w:noProof/>
        </w:rPr>
        <w:t>, where appropriate</w:t>
      </w:r>
      <w:r w:rsidR="0238A153" w:rsidRPr="00CE39FB">
        <w:rPr>
          <w:noProof/>
        </w:rPr>
        <w:t>.</w:t>
      </w:r>
      <w:r w:rsidR="169C3F19" w:rsidRPr="00CE39FB">
        <w:rPr>
          <w:noProof/>
        </w:rPr>
        <w:t xml:space="preserve">  </w:t>
      </w:r>
    </w:p>
    <w:p w14:paraId="453CF455" w14:textId="33484427" w:rsidR="005B71C4" w:rsidRPr="00CE39FB" w:rsidRDefault="007B0110" w:rsidP="007B0110">
      <w:pPr>
        <w:pStyle w:val="ManualConsidrant"/>
        <w:rPr>
          <w:noProof/>
        </w:rPr>
      </w:pPr>
      <w:r w:rsidRPr="007B0110">
        <w:rPr>
          <w:noProof/>
        </w:rPr>
        <w:t>(27)</w:t>
      </w:r>
      <w:r w:rsidRPr="007B0110">
        <w:rPr>
          <w:noProof/>
        </w:rPr>
        <w:tab/>
      </w:r>
      <w:r w:rsidR="3B0E7722" w:rsidRPr="00CE39FB">
        <w:rPr>
          <w:noProof/>
        </w:rPr>
        <w:t xml:space="preserve">Assistance provided under this Regulation should be in support of, and complementary to, the actions taken </w:t>
      </w:r>
      <w:r w:rsidR="0067322B" w:rsidRPr="00CE39FB">
        <w:rPr>
          <w:noProof/>
        </w:rPr>
        <w:t>by Member States at national level</w:t>
      </w:r>
      <w:r w:rsidR="3B0E7722" w:rsidRPr="00CE39FB">
        <w:rPr>
          <w:noProof/>
        </w:rPr>
        <w:t xml:space="preserve">. To this end, close cooperation and consultation between the Commission and the affected Member State should be ensured. </w:t>
      </w:r>
      <w:r w:rsidR="005B71C4" w:rsidRPr="00CE39FB">
        <w:rPr>
          <w:noProof/>
        </w:rPr>
        <w:t xml:space="preserve">When requesting support under the Cyber Emergency Mechanism, the Member State should provide relevant information justifying the need for support. </w:t>
      </w:r>
    </w:p>
    <w:p w14:paraId="4E76316D" w14:textId="725FD0B0" w:rsidR="00802E01" w:rsidRPr="00CE39FB" w:rsidRDefault="007B0110" w:rsidP="007B0110">
      <w:pPr>
        <w:pStyle w:val="ManualConsidrant"/>
        <w:rPr>
          <w:noProof/>
        </w:rPr>
      </w:pPr>
      <w:r w:rsidRPr="007B0110">
        <w:rPr>
          <w:noProof/>
        </w:rPr>
        <w:t>(28)</w:t>
      </w:r>
      <w:r w:rsidRPr="007B0110">
        <w:rPr>
          <w:noProof/>
        </w:rPr>
        <w:tab/>
      </w:r>
      <w:r w:rsidR="003E28EF" w:rsidRPr="00CE39FB">
        <w:rPr>
          <w:noProof/>
        </w:rPr>
        <w:t xml:space="preserve">Directive (EU) 2022/2555 requires Member States to designate </w:t>
      </w:r>
      <w:r w:rsidR="00A836D3" w:rsidRPr="00CE39FB">
        <w:rPr>
          <w:noProof/>
        </w:rPr>
        <w:t xml:space="preserve">or establish one or more </w:t>
      </w:r>
      <w:r w:rsidR="003E28EF" w:rsidRPr="00CE39FB">
        <w:rPr>
          <w:noProof/>
        </w:rPr>
        <w:t xml:space="preserve">cyber crisis management authorities and ensure they have adequate resources to carry out their tasks in </w:t>
      </w:r>
      <w:r w:rsidR="00E747B7" w:rsidRPr="00CE39FB">
        <w:rPr>
          <w:noProof/>
        </w:rPr>
        <w:t xml:space="preserve">an </w:t>
      </w:r>
      <w:r w:rsidR="003E28EF" w:rsidRPr="00CE39FB">
        <w:rPr>
          <w:noProof/>
        </w:rPr>
        <w:t xml:space="preserve">effective and efficient manner. It also requires Member States to </w:t>
      </w:r>
      <w:r w:rsidR="00E747B7" w:rsidRPr="00CE39FB">
        <w:rPr>
          <w:noProof/>
        </w:rPr>
        <w:t xml:space="preserve">identify </w:t>
      </w:r>
      <w:r w:rsidR="003E28EF" w:rsidRPr="00CE39FB">
        <w:rPr>
          <w:noProof/>
        </w:rPr>
        <w:t>capabilities, assets and procedures that can be deployed in the case of a crisis as well as to adopt a national large-scale cybersecurity incident and crisis response plan where the objectives of and arrangements for the management of large-scale cybersecurity incidents and crises are set out.  Member States are also required to establish one or more CSIRTs tasked with incident</w:t>
      </w:r>
      <w:r w:rsidR="00553779" w:rsidRPr="00CE39FB">
        <w:rPr>
          <w:noProof/>
        </w:rPr>
        <w:t xml:space="preserve"> handling responsibilities in accordance with a well-defined process</w:t>
      </w:r>
      <w:r w:rsidR="00282071" w:rsidRPr="00CE39FB">
        <w:rPr>
          <w:noProof/>
        </w:rPr>
        <w:t xml:space="preserve"> and covering at least the sectors, subsectors and types of entities under the scope of that Directive, </w:t>
      </w:r>
      <w:r w:rsidR="003E28EF" w:rsidRPr="00CE39FB">
        <w:rPr>
          <w:noProof/>
        </w:rPr>
        <w:t>and</w:t>
      </w:r>
      <w:r w:rsidR="00282071" w:rsidRPr="00CE39FB">
        <w:rPr>
          <w:noProof/>
        </w:rPr>
        <w:t xml:space="preserve"> to</w:t>
      </w:r>
      <w:r w:rsidR="003E28EF" w:rsidRPr="00CE39FB">
        <w:rPr>
          <w:noProof/>
        </w:rPr>
        <w:t xml:space="preserve"> ensure they have adequate resources to carry out effectively their tasks. This Regulation is without prejudice to the Commission’s role in ensuring the compliance by Member States with the obligations of Directive (EU) 2022/2555</w:t>
      </w:r>
      <w:r w:rsidR="00983870" w:rsidRPr="00CE39FB">
        <w:rPr>
          <w:noProof/>
        </w:rPr>
        <w:t>.</w:t>
      </w:r>
      <w:r w:rsidR="00A06F78" w:rsidRPr="00CE39FB">
        <w:rPr>
          <w:noProof/>
        </w:rPr>
        <w:t xml:space="preserve"> </w:t>
      </w:r>
      <w:r w:rsidR="277DF733" w:rsidRPr="00CE39FB">
        <w:rPr>
          <w:noProof/>
        </w:rPr>
        <w:t xml:space="preserve">The Cyber Emergency Mechanism should provide assistance for actions aimed at reinforcing preparedness as well as incident response actions to mitigate the impact of </w:t>
      </w:r>
      <w:r w:rsidR="49732059" w:rsidRPr="00CE39FB">
        <w:rPr>
          <w:noProof/>
        </w:rPr>
        <w:t xml:space="preserve">significant and large-scale cybersecurity </w:t>
      </w:r>
      <w:r w:rsidR="277DF733" w:rsidRPr="00CE39FB">
        <w:rPr>
          <w:noProof/>
        </w:rPr>
        <w:t>incidents, to support immediate recovery and/or restore the functioning of essential services.</w:t>
      </w:r>
    </w:p>
    <w:p w14:paraId="2753068E" w14:textId="3E6ABA15" w:rsidR="0037736F" w:rsidRPr="00CE39FB" w:rsidRDefault="007B0110" w:rsidP="007B0110">
      <w:pPr>
        <w:pStyle w:val="ManualConsidrant"/>
        <w:rPr>
          <w:noProof/>
        </w:rPr>
      </w:pPr>
      <w:r w:rsidRPr="007B0110">
        <w:rPr>
          <w:noProof/>
        </w:rPr>
        <w:t>(29)</w:t>
      </w:r>
      <w:r w:rsidRPr="007B0110">
        <w:rPr>
          <w:noProof/>
        </w:rPr>
        <w:tab/>
      </w:r>
      <w:r w:rsidR="001D3D97" w:rsidRPr="00CE39FB">
        <w:rPr>
          <w:noProof/>
        </w:rPr>
        <w:t xml:space="preserve">As part of the preparedness actions, to promote a consistent approach and strengthen security across the </w:t>
      </w:r>
      <w:r w:rsidR="5121483A" w:rsidRPr="00CE39FB">
        <w:rPr>
          <w:noProof/>
        </w:rPr>
        <w:t>Union</w:t>
      </w:r>
      <w:r w:rsidR="001D3D97" w:rsidRPr="00CE39FB">
        <w:rPr>
          <w:noProof/>
        </w:rPr>
        <w:t xml:space="preserve"> and its internal market, support should be provided for testing and assessing cybersecurity</w:t>
      </w:r>
      <w:r w:rsidR="0019132C" w:rsidRPr="00CE39FB">
        <w:rPr>
          <w:noProof/>
        </w:rPr>
        <w:t xml:space="preserve"> of</w:t>
      </w:r>
      <w:r w:rsidR="0045405A" w:rsidRPr="00CE39FB">
        <w:rPr>
          <w:noProof/>
        </w:rPr>
        <w:t xml:space="preserve"> </w:t>
      </w:r>
      <w:r w:rsidR="003C2C4E" w:rsidRPr="00CE39FB">
        <w:rPr>
          <w:noProof/>
        </w:rPr>
        <w:t>entities</w:t>
      </w:r>
      <w:r w:rsidR="00E30B56" w:rsidRPr="00CE39FB">
        <w:rPr>
          <w:noProof/>
        </w:rPr>
        <w:t xml:space="preserve"> operating in highly critical sectors</w:t>
      </w:r>
      <w:r w:rsidR="003C2C4E" w:rsidRPr="00CE39FB">
        <w:rPr>
          <w:noProof/>
        </w:rPr>
        <w:t xml:space="preserve"> </w:t>
      </w:r>
      <w:r w:rsidR="00500963" w:rsidRPr="00CE39FB">
        <w:rPr>
          <w:noProof/>
        </w:rPr>
        <w:t>identified pursuant to Directive (EU) 2022/2555</w:t>
      </w:r>
      <w:r w:rsidR="001D3D97" w:rsidRPr="00CE39FB">
        <w:rPr>
          <w:noProof/>
        </w:rPr>
        <w:t xml:space="preserve"> in a coordinated manner. For this purpose, the Commission, with the support of ENISA and in cooperation with the NIS Cooperation Group</w:t>
      </w:r>
      <w:r w:rsidR="6FEF7CF7" w:rsidRPr="00CE39FB">
        <w:rPr>
          <w:noProof/>
        </w:rPr>
        <w:t xml:space="preserve"> established by</w:t>
      </w:r>
      <w:r w:rsidR="5C61DA20" w:rsidRPr="00CE39FB">
        <w:rPr>
          <w:noProof/>
        </w:rPr>
        <w:t xml:space="preserve"> Directive (EU) 2022/2555</w:t>
      </w:r>
      <w:r w:rsidR="001D3D97" w:rsidRPr="00CE39FB">
        <w:rPr>
          <w:noProof/>
        </w:rPr>
        <w:t xml:space="preserve">, should regularly identify relevant sectors or subsectors, which should be eligible to receive financial support for coordinated testing at </w:t>
      </w:r>
      <w:r w:rsidR="08E5A72B" w:rsidRPr="00CE39FB">
        <w:rPr>
          <w:noProof/>
        </w:rPr>
        <w:t xml:space="preserve">Union </w:t>
      </w:r>
      <w:r w:rsidR="001D3D97" w:rsidRPr="00CE39FB">
        <w:rPr>
          <w:noProof/>
        </w:rPr>
        <w:t xml:space="preserve">level. The sectors or subsectors should be selected from Annex I </w:t>
      </w:r>
      <w:r w:rsidR="5121483A" w:rsidRPr="00CE39FB">
        <w:rPr>
          <w:noProof/>
        </w:rPr>
        <w:t xml:space="preserve">to </w:t>
      </w:r>
      <w:r w:rsidR="001D3D97" w:rsidRPr="00CE39FB">
        <w:rPr>
          <w:noProof/>
        </w:rPr>
        <w:t xml:space="preserve">Directive (EU) 2022/2555 (‘Sectors of High Criticality’). The coordinated testing exercises should be based on common risk scenarios and methodologies. The selection of sectors and development of risk scenarios should take into account relevant </w:t>
      </w:r>
      <w:r w:rsidR="3B46E715" w:rsidRPr="00CE39FB">
        <w:rPr>
          <w:noProof/>
        </w:rPr>
        <w:t>Union</w:t>
      </w:r>
      <w:r w:rsidR="001D3D97" w:rsidRPr="00CE39FB">
        <w:rPr>
          <w:noProof/>
        </w:rPr>
        <w:t>-wide risk assessments and risk scenarios</w:t>
      </w:r>
      <w:r w:rsidR="0037736F" w:rsidRPr="00CE39FB">
        <w:rPr>
          <w:noProof/>
        </w:rPr>
        <w:t>,</w:t>
      </w:r>
      <w:r w:rsidR="004D402A" w:rsidRPr="004D402A">
        <w:rPr>
          <w:noProof/>
        </w:rPr>
        <w:t xml:space="preserve"> including the need to avoid duplication</w:t>
      </w:r>
      <w:r w:rsidR="004D402A">
        <w:rPr>
          <w:noProof/>
        </w:rPr>
        <w:t>,</w:t>
      </w:r>
      <w:r w:rsidR="0037736F" w:rsidRPr="00CE39FB">
        <w:rPr>
          <w:noProof/>
        </w:rPr>
        <w:t xml:space="preserve"> such as the risk evaluation and risk scenarios called for in the Council conclusions on the development of the European Union's cyber posture to be conducted by the Commission, the High Representative and the NIS Cooperation </w:t>
      </w:r>
      <w:r w:rsidR="00D369E4">
        <w:rPr>
          <w:noProof/>
        </w:rPr>
        <w:t>G</w:t>
      </w:r>
      <w:r w:rsidR="0037736F" w:rsidRPr="00CE39FB">
        <w:rPr>
          <w:noProof/>
        </w:rPr>
        <w:t>roup, in coordination with relevant civilian and military bodies and agencies and established networks, including the EU CyCLONe, as well as the risk assessment of communications networks and infrastructures requested by the Joint Ministerial Call of Nevers and conducted by the NIS Cooperation Group, with the support of the Commission and ENISA, and in cooperation with the Body of European Regulators for Electronic Communications (BEREC)</w:t>
      </w:r>
      <w:r w:rsidR="0072183B">
        <w:rPr>
          <w:noProof/>
        </w:rPr>
        <w:t>,</w:t>
      </w:r>
      <w:r w:rsidR="0037736F" w:rsidRPr="00CE39FB">
        <w:rPr>
          <w:noProof/>
        </w:rPr>
        <w:t xml:space="preserve"> the coordinated risk assessments to be conducted under Article 22 of Directive (EU) 2022/2555</w:t>
      </w:r>
      <w:r w:rsidR="0072183B">
        <w:rPr>
          <w:noProof/>
        </w:rPr>
        <w:t xml:space="preserve"> and </w:t>
      </w:r>
      <w:r w:rsidR="0072183B" w:rsidRPr="0072183B">
        <w:rPr>
          <w:noProof/>
        </w:rPr>
        <w:t>digital operational resilience testing</w:t>
      </w:r>
      <w:r w:rsidR="0072183B">
        <w:rPr>
          <w:noProof/>
        </w:rPr>
        <w:t xml:space="preserve"> as provided for in</w:t>
      </w:r>
      <w:r w:rsidR="0072183B" w:rsidRPr="0072183B">
        <w:rPr>
          <w:noProof/>
        </w:rPr>
        <w:t xml:space="preserve"> Regulation (EU) 2022/2554 of the European Parliament and of the Council</w:t>
      </w:r>
      <w:r w:rsidR="00FD6473">
        <w:rPr>
          <w:rStyle w:val="FootnoteReference"/>
          <w:noProof/>
        </w:rPr>
        <w:footnoteReference w:id="30"/>
      </w:r>
      <w:r w:rsidR="0037736F" w:rsidRPr="00CE39FB">
        <w:rPr>
          <w:noProof/>
        </w:rPr>
        <w:t xml:space="preserve">. The selection of sectors should also take into account </w:t>
      </w:r>
      <w:r w:rsidR="0037736F" w:rsidRPr="00CE39FB">
        <w:rPr>
          <w:rFonts w:eastAsiaTheme="minorEastAsia"/>
          <w:noProof/>
        </w:rPr>
        <w:t>the Council Recommendation on a Union-wide coordinated approach to strengthen the resilience of critical infrastructure.</w:t>
      </w:r>
      <w:r w:rsidR="0037736F" w:rsidRPr="00CE39FB">
        <w:rPr>
          <w:noProof/>
        </w:rPr>
        <w:t xml:space="preserve"> </w:t>
      </w:r>
    </w:p>
    <w:p w14:paraId="372F34E7" w14:textId="0FA18CD7" w:rsidR="00CD3D63" w:rsidRPr="00CE39FB" w:rsidRDefault="007B0110" w:rsidP="007B0110">
      <w:pPr>
        <w:pStyle w:val="ManualConsidrant"/>
        <w:rPr>
          <w:noProof/>
        </w:rPr>
      </w:pPr>
      <w:r w:rsidRPr="007B0110">
        <w:rPr>
          <w:noProof/>
        </w:rPr>
        <w:t>(30)</w:t>
      </w:r>
      <w:r w:rsidRPr="007B0110">
        <w:rPr>
          <w:noProof/>
        </w:rPr>
        <w:tab/>
      </w:r>
      <w:r w:rsidR="0191FFD8" w:rsidRPr="00CE39FB">
        <w:rPr>
          <w:noProof/>
        </w:rPr>
        <w:t>In addition, the Cyber Emergency Mechanism should offer support for other preparedness actions and support preparedness in other sectors, not covered by the coordinated testing of entities</w:t>
      </w:r>
      <w:r w:rsidR="00B514EB" w:rsidRPr="00CE39FB">
        <w:rPr>
          <w:noProof/>
        </w:rPr>
        <w:t xml:space="preserve"> operating in highly critical sectors</w:t>
      </w:r>
      <w:r w:rsidR="0191FFD8" w:rsidRPr="00CE39FB">
        <w:rPr>
          <w:noProof/>
        </w:rPr>
        <w:t>. Th</w:t>
      </w:r>
      <w:r w:rsidR="08E5A72B" w:rsidRPr="00CE39FB">
        <w:rPr>
          <w:noProof/>
        </w:rPr>
        <w:t>o</w:t>
      </w:r>
      <w:r w:rsidR="0191FFD8" w:rsidRPr="00CE39FB">
        <w:rPr>
          <w:noProof/>
        </w:rPr>
        <w:t xml:space="preserve">se actions could </w:t>
      </w:r>
      <w:r w:rsidR="5C671011" w:rsidRPr="00CE39FB">
        <w:rPr>
          <w:noProof/>
        </w:rPr>
        <w:t>include</w:t>
      </w:r>
      <w:r w:rsidR="0191FFD8" w:rsidRPr="00CE39FB">
        <w:rPr>
          <w:noProof/>
        </w:rPr>
        <w:t xml:space="preserve"> </w:t>
      </w:r>
      <w:r w:rsidR="08D2D6B7" w:rsidRPr="00CE39FB">
        <w:rPr>
          <w:noProof/>
        </w:rPr>
        <w:t>various types</w:t>
      </w:r>
      <w:r w:rsidR="7E97D86F" w:rsidRPr="00CE39FB">
        <w:rPr>
          <w:noProof/>
        </w:rPr>
        <w:t xml:space="preserve"> of</w:t>
      </w:r>
      <w:r w:rsidR="0191FFD8" w:rsidRPr="00CE39FB">
        <w:rPr>
          <w:noProof/>
        </w:rPr>
        <w:t xml:space="preserve"> national preparedness activities. </w:t>
      </w:r>
    </w:p>
    <w:p w14:paraId="290D480D" w14:textId="64B26592" w:rsidR="00FE687A" w:rsidRPr="00CE39FB" w:rsidRDefault="007B0110" w:rsidP="007B0110">
      <w:pPr>
        <w:pStyle w:val="ManualConsidrant"/>
        <w:rPr>
          <w:noProof/>
        </w:rPr>
      </w:pPr>
      <w:r w:rsidRPr="007B0110">
        <w:rPr>
          <w:noProof/>
        </w:rPr>
        <w:t>(31)</w:t>
      </w:r>
      <w:r w:rsidRPr="007B0110">
        <w:rPr>
          <w:noProof/>
        </w:rPr>
        <w:tab/>
      </w:r>
      <w:r w:rsidR="64FE1E6F" w:rsidRPr="00CE39FB">
        <w:rPr>
          <w:noProof/>
        </w:rPr>
        <w:t xml:space="preserve">The Cyber Emergency Mechanism should </w:t>
      </w:r>
      <w:r w:rsidR="5C671011" w:rsidRPr="00CE39FB">
        <w:rPr>
          <w:noProof/>
        </w:rPr>
        <w:t>also</w:t>
      </w:r>
      <w:r w:rsidR="64FE1E6F" w:rsidRPr="00CE39FB">
        <w:rPr>
          <w:noProof/>
        </w:rPr>
        <w:t xml:space="preserve"> provide support for incident response actions to mitigate the impact of </w:t>
      </w:r>
      <w:r w:rsidR="30F5839C" w:rsidRPr="00CE39FB">
        <w:rPr>
          <w:noProof/>
        </w:rPr>
        <w:t xml:space="preserve">significant and large-scale cybersecurity </w:t>
      </w:r>
      <w:r w:rsidR="64FE1E6F" w:rsidRPr="00CE39FB">
        <w:rPr>
          <w:noProof/>
        </w:rPr>
        <w:t xml:space="preserve">incidents, to support immediate recovery or restore the functioning of essential services. </w:t>
      </w:r>
      <w:r w:rsidR="665D15A6" w:rsidRPr="00CE39FB">
        <w:rPr>
          <w:noProof/>
        </w:rPr>
        <w:t>Where appropriate, i</w:t>
      </w:r>
      <w:r w:rsidR="0F2B4C84" w:rsidRPr="00CE39FB">
        <w:rPr>
          <w:noProof/>
        </w:rPr>
        <w:t xml:space="preserve">t should complement the </w:t>
      </w:r>
      <w:r w:rsidR="006D78D2">
        <w:rPr>
          <w:noProof/>
        </w:rPr>
        <w:t>UCPM</w:t>
      </w:r>
      <w:r w:rsidR="0F2B4C84" w:rsidRPr="00CE39FB">
        <w:rPr>
          <w:noProof/>
        </w:rPr>
        <w:t xml:space="preserve"> to ensure a comprehensive approach to respond to the impacts of cyber incidents on citizens.</w:t>
      </w:r>
      <w:r w:rsidR="064E340F" w:rsidRPr="00CE39FB">
        <w:rPr>
          <w:noProof/>
        </w:rPr>
        <w:t xml:space="preserve"> </w:t>
      </w:r>
    </w:p>
    <w:p w14:paraId="7D91F528" w14:textId="42A4F363" w:rsidR="00F27A38" w:rsidRPr="00CE39FB" w:rsidRDefault="007B0110" w:rsidP="007B0110">
      <w:pPr>
        <w:pStyle w:val="ManualConsidrant"/>
        <w:rPr>
          <w:noProof/>
        </w:rPr>
      </w:pPr>
      <w:r w:rsidRPr="007B0110">
        <w:rPr>
          <w:noProof/>
        </w:rPr>
        <w:t>(32)</w:t>
      </w:r>
      <w:r w:rsidRPr="007B0110">
        <w:rPr>
          <w:noProof/>
        </w:rPr>
        <w:tab/>
      </w:r>
      <w:r w:rsidR="6DFDCB3F" w:rsidRPr="00CE39FB">
        <w:rPr>
          <w:noProof/>
        </w:rPr>
        <w:t xml:space="preserve">The Cyber Emergency Mechanism should support assistance provided by Member States to </w:t>
      </w:r>
      <w:r w:rsidR="00BC3110" w:rsidRPr="00CE39FB">
        <w:rPr>
          <w:noProof/>
        </w:rPr>
        <w:t>a</w:t>
      </w:r>
      <w:r w:rsidR="4491C915" w:rsidRPr="00CE39FB">
        <w:rPr>
          <w:noProof/>
        </w:rPr>
        <w:t xml:space="preserve"> </w:t>
      </w:r>
      <w:r w:rsidR="6DFDCB3F" w:rsidRPr="00CE39FB">
        <w:rPr>
          <w:noProof/>
        </w:rPr>
        <w:t>Member State affected by a significant or large-scale cybersecurity incident, including by the CSIRTs network</w:t>
      </w:r>
      <w:r w:rsidR="4491C915" w:rsidRPr="00CE39FB">
        <w:rPr>
          <w:noProof/>
        </w:rPr>
        <w:t xml:space="preserve"> </w:t>
      </w:r>
      <w:r w:rsidR="00590929" w:rsidRPr="00CE39FB">
        <w:rPr>
          <w:noProof/>
        </w:rPr>
        <w:t>set out</w:t>
      </w:r>
      <w:r w:rsidR="6DFDCB3F" w:rsidRPr="00CE39FB">
        <w:rPr>
          <w:noProof/>
        </w:rPr>
        <w:t xml:space="preserve"> </w:t>
      </w:r>
      <w:r w:rsidR="0019132C" w:rsidRPr="00CE39FB">
        <w:rPr>
          <w:noProof/>
        </w:rPr>
        <w:t xml:space="preserve">in </w:t>
      </w:r>
      <w:r w:rsidR="6DFDCB3F" w:rsidRPr="00CE39FB">
        <w:rPr>
          <w:noProof/>
        </w:rPr>
        <w:t xml:space="preserve">Article 15 of Directive (EU) 2022/2555. Member States providing assistance </w:t>
      </w:r>
      <w:r w:rsidR="5121483A" w:rsidRPr="00CE39FB">
        <w:rPr>
          <w:noProof/>
        </w:rPr>
        <w:t xml:space="preserve">should be allowed to </w:t>
      </w:r>
      <w:r w:rsidR="6DFDCB3F" w:rsidRPr="00CE39FB">
        <w:rPr>
          <w:noProof/>
        </w:rPr>
        <w:t>submit requests to cover costs related to dispatching of expert teams</w:t>
      </w:r>
      <w:r w:rsidR="7AFD2B01" w:rsidRPr="00CE39FB">
        <w:rPr>
          <w:noProof/>
        </w:rPr>
        <w:t xml:space="preserve"> in the</w:t>
      </w:r>
      <w:r w:rsidR="109767DA" w:rsidRPr="00CE39FB">
        <w:rPr>
          <w:noProof/>
        </w:rPr>
        <w:t xml:space="preserve"> framework of mutual assistance.</w:t>
      </w:r>
      <w:r w:rsidR="5121483A" w:rsidRPr="00CE39FB">
        <w:rPr>
          <w:noProof/>
        </w:rPr>
        <w:t xml:space="preserve"> </w:t>
      </w:r>
      <w:r w:rsidR="6DFDCB3F" w:rsidRPr="00CE39FB">
        <w:rPr>
          <w:noProof/>
        </w:rPr>
        <w:t xml:space="preserve">The eligible costs could include </w:t>
      </w:r>
      <w:r w:rsidR="6DFDCB3F" w:rsidRPr="008D6611">
        <w:rPr>
          <w:noProof/>
        </w:rPr>
        <w:t>travel, accommodation and daily allowance expenses of cybersecurity experts.</w:t>
      </w:r>
    </w:p>
    <w:p w14:paraId="637708F3" w14:textId="6C23F293" w:rsidR="003A0E0F" w:rsidRPr="00CE39FB" w:rsidRDefault="007B0110" w:rsidP="007B0110">
      <w:pPr>
        <w:pStyle w:val="ManualConsidrant"/>
        <w:rPr>
          <w:noProof/>
        </w:rPr>
      </w:pPr>
      <w:r w:rsidRPr="007B0110">
        <w:rPr>
          <w:noProof/>
        </w:rPr>
        <w:t>(33)</w:t>
      </w:r>
      <w:r w:rsidRPr="007B0110">
        <w:rPr>
          <w:noProof/>
        </w:rPr>
        <w:tab/>
      </w:r>
      <w:r w:rsidR="4491C915" w:rsidRPr="00CE39FB">
        <w:rPr>
          <w:noProof/>
        </w:rPr>
        <w:t>A Union-</w:t>
      </w:r>
      <w:r w:rsidR="5E10C196" w:rsidRPr="00CE39FB">
        <w:rPr>
          <w:noProof/>
        </w:rPr>
        <w:t xml:space="preserve">level Cybersecurity Reserve </w:t>
      </w:r>
      <w:r w:rsidR="4491C915" w:rsidRPr="00CE39FB">
        <w:rPr>
          <w:noProof/>
        </w:rPr>
        <w:t>should gradually be set up</w:t>
      </w:r>
      <w:r w:rsidR="00AB7D8A" w:rsidRPr="00CE39FB">
        <w:rPr>
          <w:noProof/>
        </w:rPr>
        <w:t>, consisting of</w:t>
      </w:r>
      <w:r w:rsidR="4491C915" w:rsidRPr="00CE39FB">
        <w:rPr>
          <w:noProof/>
        </w:rPr>
        <w:t xml:space="preserve"> </w:t>
      </w:r>
      <w:r w:rsidR="5E10C196" w:rsidRPr="00CE39FB">
        <w:rPr>
          <w:noProof/>
        </w:rPr>
        <w:t xml:space="preserve">services from </w:t>
      </w:r>
      <w:r w:rsidR="33E9C6CD" w:rsidRPr="00CE39FB">
        <w:rPr>
          <w:rStyle w:val="normaltextrun"/>
          <w:noProof/>
        </w:rPr>
        <w:t>private</w:t>
      </w:r>
      <w:r w:rsidR="33E9C6CD" w:rsidRPr="008D6611">
        <w:rPr>
          <w:rStyle w:val="normaltextrun"/>
          <w:noProof/>
        </w:rPr>
        <w:t xml:space="preserve"> providers </w:t>
      </w:r>
      <w:r w:rsidR="33E9C6CD" w:rsidRPr="00CE39FB">
        <w:rPr>
          <w:rStyle w:val="normaltextrun"/>
          <w:noProof/>
        </w:rPr>
        <w:t>of managed security services</w:t>
      </w:r>
      <w:r w:rsidR="5E10C196" w:rsidRPr="00CE39FB">
        <w:rPr>
          <w:noProof/>
        </w:rPr>
        <w:t xml:space="preserve"> </w:t>
      </w:r>
      <w:r w:rsidR="4491C915" w:rsidRPr="00CE39FB">
        <w:rPr>
          <w:noProof/>
        </w:rPr>
        <w:t xml:space="preserve">to support response and immediate recovery actions </w:t>
      </w:r>
      <w:r w:rsidR="5E10C196" w:rsidRPr="00CE39FB">
        <w:rPr>
          <w:noProof/>
        </w:rPr>
        <w:t xml:space="preserve">in cases of significant or large-scale cybersecurity incidents. The EU Cybersecurity Reserve should ensure the availability and readiness of services. </w:t>
      </w:r>
      <w:r w:rsidR="006E65E6" w:rsidRPr="00CE39FB">
        <w:rPr>
          <w:noProof/>
        </w:rPr>
        <w:t>The services from the EU Cybersecurity Reserve sh</w:t>
      </w:r>
      <w:r w:rsidR="002608CD" w:rsidRPr="00CE39FB">
        <w:rPr>
          <w:noProof/>
        </w:rPr>
        <w:t>ould</w:t>
      </w:r>
      <w:r w:rsidR="006E65E6" w:rsidRPr="00CE39FB">
        <w:rPr>
          <w:noProof/>
        </w:rPr>
        <w:t xml:space="preserve"> serve to support national authorities in providing assistance to affected entities</w:t>
      </w:r>
      <w:r w:rsidR="007702A5" w:rsidRPr="00CE39FB">
        <w:rPr>
          <w:noProof/>
        </w:rPr>
        <w:t xml:space="preserve"> operating in critical or highly critical sectors</w:t>
      </w:r>
      <w:r w:rsidR="006E65E6" w:rsidRPr="00CE39FB">
        <w:rPr>
          <w:noProof/>
        </w:rPr>
        <w:t xml:space="preserve"> as a complement to their own actions at national level. </w:t>
      </w:r>
      <w:r w:rsidR="5E10C196" w:rsidRPr="00CE39FB">
        <w:rPr>
          <w:noProof/>
        </w:rPr>
        <w:t>When requesting support from the EU Cybersecurity Reserve, Member States should specify the support provided to the affected entity at the national level</w:t>
      </w:r>
      <w:r w:rsidR="00684EAE" w:rsidRPr="00CE39FB">
        <w:rPr>
          <w:noProof/>
        </w:rPr>
        <w:t xml:space="preserve">, which </w:t>
      </w:r>
      <w:r w:rsidR="5E10C196" w:rsidRPr="00CE39FB">
        <w:rPr>
          <w:noProof/>
        </w:rPr>
        <w:t xml:space="preserve">should be taken into account when assessing </w:t>
      </w:r>
      <w:r w:rsidR="00684EAE" w:rsidRPr="00CE39FB">
        <w:rPr>
          <w:noProof/>
        </w:rPr>
        <w:t xml:space="preserve">the </w:t>
      </w:r>
      <w:r w:rsidR="5E10C196" w:rsidRPr="00CE39FB">
        <w:rPr>
          <w:noProof/>
        </w:rPr>
        <w:t xml:space="preserve">Member State request. </w:t>
      </w:r>
      <w:r w:rsidR="002608CD" w:rsidRPr="00CE39FB">
        <w:rPr>
          <w:noProof/>
        </w:rPr>
        <w:t>The services from the EU Cybersecurity Reserve may also serve to support Union institutions, bodies and agencies, under similar conditions. </w:t>
      </w:r>
    </w:p>
    <w:p w14:paraId="689F3136" w14:textId="2E0AB73A" w:rsidR="00280ECC" w:rsidRPr="00CE39FB" w:rsidRDefault="007B0110" w:rsidP="007B0110">
      <w:pPr>
        <w:pStyle w:val="ManualConsidrant"/>
        <w:rPr>
          <w:noProof/>
        </w:rPr>
      </w:pPr>
      <w:r w:rsidRPr="007B0110">
        <w:rPr>
          <w:noProof/>
        </w:rPr>
        <w:t>(34)</w:t>
      </w:r>
      <w:r w:rsidRPr="007B0110">
        <w:rPr>
          <w:noProof/>
        </w:rPr>
        <w:tab/>
      </w:r>
      <w:r w:rsidR="3F9ADA07" w:rsidRPr="00CE39FB">
        <w:rPr>
          <w:noProof/>
        </w:rPr>
        <w:t xml:space="preserve">For the purpose of selecting private service providers </w:t>
      </w:r>
      <w:r w:rsidR="4CF04E49" w:rsidRPr="00CE39FB">
        <w:rPr>
          <w:noProof/>
        </w:rPr>
        <w:t>to</w:t>
      </w:r>
      <w:r w:rsidR="3F9ADA07" w:rsidRPr="00CE39FB">
        <w:rPr>
          <w:noProof/>
        </w:rPr>
        <w:t xml:space="preserve"> </w:t>
      </w:r>
      <w:r w:rsidR="03DCEEA1" w:rsidRPr="00CE39FB">
        <w:rPr>
          <w:noProof/>
        </w:rPr>
        <w:t xml:space="preserve">provide </w:t>
      </w:r>
      <w:r w:rsidR="3F9ADA07" w:rsidRPr="00CE39FB">
        <w:rPr>
          <w:noProof/>
        </w:rPr>
        <w:t xml:space="preserve">services in the context of the EU Cybersecurity Reserve, it is necessary to establish a set of minimum criteria that should be included in the call for tenders to select </w:t>
      </w:r>
      <w:r w:rsidR="4C63793A" w:rsidRPr="00CE39FB">
        <w:rPr>
          <w:noProof/>
        </w:rPr>
        <w:t xml:space="preserve">these </w:t>
      </w:r>
      <w:r w:rsidR="3F9ADA07" w:rsidRPr="00CE39FB">
        <w:rPr>
          <w:noProof/>
        </w:rPr>
        <w:t xml:space="preserve">providers, so as to ensure </w:t>
      </w:r>
      <w:r w:rsidR="001D2956" w:rsidRPr="00CE39FB">
        <w:rPr>
          <w:noProof/>
        </w:rPr>
        <w:t xml:space="preserve">that </w:t>
      </w:r>
      <w:r w:rsidR="3F9ADA07" w:rsidRPr="00CE39FB">
        <w:rPr>
          <w:noProof/>
        </w:rPr>
        <w:t>the needs of Member States</w:t>
      </w:r>
      <w:r w:rsidR="4CF04E49" w:rsidRPr="00CE39FB">
        <w:rPr>
          <w:noProof/>
        </w:rPr>
        <w:t>’</w:t>
      </w:r>
      <w:r w:rsidR="3F9ADA07" w:rsidRPr="00CE39FB">
        <w:rPr>
          <w:noProof/>
        </w:rPr>
        <w:t xml:space="preserve"> authorities and entities</w:t>
      </w:r>
      <w:r w:rsidR="00BC1984" w:rsidRPr="00CE39FB">
        <w:rPr>
          <w:noProof/>
        </w:rPr>
        <w:t xml:space="preserve"> </w:t>
      </w:r>
      <w:r w:rsidR="00BC1984" w:rsidRPr="00CE39FB">
        <w:rPr>
          <w:rStyle w:val="normaltextrun"/>
          <w:noProof/>
        </w:rPr>
        <w:t>operating in critical or highly critical sectors</w:t>
      </w:r>
      <w:r w:rsidR="3F9ADA07" w:rsidRPr="00CE39FB">
        <w:rPr>
          <w:noProof/>
        </w:rPr>
        <w:t xml:space="preserve"> are met.  </w:t>
      </w:r>
    </w:p>
    <w:p w14:paraId="3E2FC3C7" w14:textId="246BD5AE" w:rsidR="00C5679C" w:rsidRPr="00CE39FB" w:rsidRDefault="007B0110" w:rsidP="007B0110">
      <w:pPr>
        <w:pStyle w:val="ManualConsidrant"/>
        <w:rPr>
          <w:noProof/>
        </w:rPr>
      </w:pPr>
      <w:r w:rsidRPr="007B0110">
        <w:rPr>
          <w:noProof/>
        </w:rPr>
        <w:t>(35)</w:t>
      </w:r>
      <w:r w:rsidRPr="007B0110">
        <w:rPr>
          <w:noProof/>
        </w:rPr>
        <w:tab/>
      </w:r>
      <w:r w:rsidR="0846D73E" w:rsidRPr="00CE39FB">
        <w:rPr>
          <w:rStyle w:val="normaltextrun"/>
          <w:noProof/>
        </w:rPr>
        <w:t>To support the establishment of the EU Cyber</w:t>
      </w:r>
      <w:r w:rsidR="66A11DC1" w:rsidRPr="00CE39FB">
        <w:rPr>
          <w:rStyle w:val="normaltextrun"/>
          <w:noProof/>
        </w:rPr>
        <w:t>security</w:t>
      </w:r>
      <w:r w:rsidR="0846D73E" w:rsidRPr="00CE39FB">
        <w:rPr>
          <w:rStyle w:val="normaltextrun"/>
          <w:noProof/>
        </w:rPr>
        <w:t xml:space="preserve"> Reserve,</w:t>
      </w:r>
      <w:r w:rsidR="5C06E0D5" w:rsidRPr="00CE39FB">
        <w:rPr>
          <w:noProof/>
        </w:rPr>
        <w:t xml:space="preserve"> the Commission </w:t>
      </w:r>
      <w:r w:rsidR="00B50AE3" w:rsidRPr="00CE39FB">
        <w:rPr>
          <w:noProof/>
        </w:rPr>
        <w:t>could</w:t>
      </w:r>
      <w:r w:rsidR="002F20FB" w:rsidRPr="00CE39FB">
        <w:rPr>
          <w:noProof/>
        </w:rPr>
        <w:t xml:space="preserve"> </w:t>
      </w:r>
      <w:r w:rsidR="5C06E0D5" w:rsidRPr="00CE39FB">
        <w:rPr>
          <w:noProof/>
        </w:rPr>
        <w:t>consider</w:t>
      </w:r>
      <w:r w:rsidR="667F8E99" w:rsidRPr="00CE39FB">
        <w:rPr>
          <w:noProof/>
        </w:rPr>
        <w:t xml:space="preserve"> requesting ENISA</w:t>
      </w:r>
      <w:r w:rsidR="5328F0B5" w:rsidRPr="00CE39FB">
        <w:rPr>
          <w:noProof/>
        </w:rPr>
        <w:t xml:space="preserve"> to</w:t>
      </w:r>
      <w:r w:rsidR="5C06E0D5" w:rsidRPr="00CE39FB">
        <w:rPr>
          <w:noProof/>
        </w:rPr>
        <w:t xml:space="preserve"> prepar</w:t>
      </w:r>
      <w:r w:rsidR="5328F0B5" w:rsidRPr="00CE39FB">
        <w:rPr>
          <w:noProof/>
        </w:rPr>
        <w:t>e</w:t>
      </w:r>
      <w:r w:rsidR="5C06E0D5" w:rsidRPr="00CE39FB">
        <w:rPr>
          <w:noProof/>
        </w:rPr>
        <w:t xml:space="preserve"> a </w:t>
      </w:r>
      <w:r w:rsidR="48EB3E16" w:rsidRPr="00CE39FB">
        <w:rPr>
          <w:noProof/>
        </w:rPr>
        <w:t xml:space="preserve">candidate </w:t>
      </w:r>
      <w:r w:rsidR="5C06E0D5" w:rsidRPr="00CE39FB">
        <w:rPr>
          <w:noProof/>
        </w:rPr>
        <w:t xml:space="preserve">certification scheme </w:t>
      </w:r>
      <w:r w:rsidR="23EFA4CA" w:rsidRPr="00CE39FB">
        <w:rPr>
          <w:noProof/>
        </w:rPr>
        <w:t>pursuant to</w:t>
      </w:r>
      <w:r w:rsidR="1109EA06" w:rsidRPr="00CE39FB">
        <w:rPr>
          <w:noProof/>
        </w:rPr>
        <w:t xml:space="preserve"> </w:t>
      </w:r>
      <w:r w:rsidR="5C06E0D5" w:rsidRPr="00CE39FB">
        <w:rPr>
          <w:noProof/>
        </w:rPr>
        <w:t xml:space="preserve">Regulation (EU) 2019/881 for managed security services in the areas covered by the Cyber Emergency Mechanism. </w:t>
      </w:r>
    </w:p>
    <w:p w14:paraId="497676FE" w14:textId="60BFD239" w:rsidR="0093330B" w:rsidRPr="00CE39FB" w:rsidRDefault="007B0110" w:rsidP="007B0110">
      <w:pPr>
        <w:pStyle w:val="ManualConsidrant"/>
        <w:rPr>
          <w:noProof/>
        </w:rPr>
      </w:pPr>
      <w:r w:rsidRPr="007B0110">
        <w:rPr>
          <w:noProof/>
        </w:rPr>
        <w:t>(36)</w:t>
      </w:r>
      <w:r w:rsidRPr="007B0110">
        <w:rPr>
          <w:noProof/>
        </w:rPr>
        <w:tab/>
      </w:r>
      <w:r w:rsidR="1E18D8B7" w:rsidRPr="00CE39FB">
        <w:rPr>
          <w:noProof/>
        </w:rPr>
        <w:t>In order to support the objectives of this Regulation of promoting shared situational awareness</w:t>
      </w:r>
      <w:r w:rsidR="000E5602" w:rsidRPr="00CE39FB">
        <w:rPr>
          <w:noProof/>
        </w:rPr>
        <w:t>, enhancing Union’s resilience</w:t>
      </w:r>
      <w:r w:rsidR="1E18D8B7" w:rsidRPr="00CE39FB">
        <w:rPr>
          <w:noProof/>
        </w:rPr>
        <w:t xml:space="preserve"> and enabling effective response to significant and large-scale cybersecurity incidents, </w:t>
      </w:r>
      <w:r w:rsidR="10FF93FC" w:rsidRPr="00CE39FB">
        <w:rPr>
          <w:noProof/>
        </w:rPr>
        <w:t xml:space="preserve">the </w:t>
      </w:r>
      <w:r w:rsidR="1E18D8B7" w:rsidRPr="00CE39FB">
        <w:rPr>
          <w:noProof/>
        </w:rPr>
        <w:t>EU</w:t>
      </w:r>
      <w:r w:rsidR="006D78D2">
        <w:rPr>
          <w:noProof/>
        </w:rPr>
        <w:t>=</w:t>
      </w:r>
      <w:r w:rsidR="1E18D8B7" w:rsidRPr="00CE39FB">
        <w:rPr>
          <w:noProof/>
        </w:rPr>
        <w:t xml:space="preserve">CyCLONe, the CSIRTs network or the Commission should be able to </w:t>
      </w:r>
      <w:r w:rsidR="23EFA4CA" w:rsidRPr="00CE39FB">
        <w:rPr>
          <w:noProof/>
        </w:rPr>
        <w:t xml:space="preserve">ask </w:t>
      </w:r>
      <w:r w:rsidR="1E18D8B7" w:rsidRPr="00CE39FB">
        <w:rPr>
          <w:noProof/>
        </w:rPr>
        <w:t xml:space="preserve">ENISA </w:t>
      </w:r>
      <w:r w:rsidR="0038607B">
        <w:rPr>
          <w:noProof/>
        </w:rPr>
        <w:t xml:space="preserve">to </w:t>
      </w:r>
      <w:r w:rsidR="000E5602" w:rsidRPr="00CE39FB">
        <w:rPr>
          <w:noProof/>
        </w:rPr>
        <w:t xml:space="preserve">review and assess </w:t>
      </w:r>
      <w:r w:rsidR="00D2544E" w:rsidRPr="00CE39FB">
        <w:rPr>
          <w:noProof/>
        </w:rPr>
        <w:t>threats, vulnerabilities and mitigation actions with respect to a specific significant or large-scale cybersecurity incident. After the completion of a review and assessment of an incident, ENISA should prepare an incident review report</w:t>
      </w:r>
      <w:r w:rsidR="1E18D8B7" w:rsidRPr="00CE39FB">
        <w:rPr>
          <w:noProof/>
        </w:rPr>
        <w:t xml:space="preserve">, </w:t>
      </w:r>
      <w:r w:rsidR="0038607B">
        <w:rPr>
          <w:noProof/>
        </w:rPr>
        <w:t>in collaboration with</w:t>
      </w:r>
      <w:r w:rsidR="23EFA4CA" w:rsidRPr="00CE39FB">
        <w:rPr>
          <w:noProof/>
        </w:rPr>
        <w:t xml:space="preserve"> </w:t>
      </w:r>
      <w:r w:rsidR="1E18D8B7" w:rsidRPr="00CE39FB">
        <w:rPr>
          <w:noProof/>
        </w:rPr>
        <w:t>relevant stakeholders</w:t>
      </w:r>
      <w:r w:rsidR="0E472E29" w:rsidRPr="00CE39FB">
        <w:rPr>
          <w:noProof/>
        </w:rPr>
        <w:t>, including representatives from the private sector, Member States</w:t>
      </w:r>
      <w:r w:rsidR="00AF2FC2">
        <w:rPr>
          <w:noProof/>
        </w:rPr>
        <w:t>,</w:t>
      </w:r>
      <w:r w:rsidR="0E472E29" w:rsidRPr="00CE39FB">
        <w:rPr>
          <w:noProof/>
        </w:rPr>
        <w:t xml:space="preserve"> the Commission</w:t>
      </w:r>
      <w:r w:rsidR="00AF2FC2" w:rsidRPr="00AF2FC2">
        <w:rPr>
          <w:noProof/>
        </w:rPr>
        <w:t xml:space="preserve"> and other relevant EU institutions, bodies and agencies</w:t>
      </w:r>
      <w:r w:rsidR="0DC96862" w:rsidRPr="00CE39FB">
        <w:rPr>
          <w:noProof/>
        </w:rPr>
        <w:t>.</w:t>
      </w:r>
      <w:r w:rsidR="1E18D8B7" w:rsidRPr="00CE39FB">
        <w:rPr>
          <w:noProof/>
        </w:rPr>
        <w:t xml:space="preserve"> </w:t>
      </w:r>
      <w:r w:rsidR="0093330B" w:rsidRPr="00CE39FB">
        <w:rPr>
          <w:noProof/>
        </w:rPr>
        <w:t xml:space="preserve">As regards the private sector, ENISA is developing channels for exchanging information with specialised providers, including providers of managed security solutions and vendors, in order to contribute to ENISA’s mission of achieving a high common level of cybersecurity across the Union. </w:t>
      </w:r>
      <w:r w:rsidR="17EEF018" w:rsidRPr="00CE39FB">
        <w:rPr>
          <w:noProof/>
        </w:rPr>
        <w:t xml:space="preserve">Building on the </w:t>
      </w:r>
      <w:r w:rsidR="0038607B">
        <w:rPr>
          <w:noProof/>
        </w:rPr>
        <w:t>collaboration with</w:t>
      </w:r>
      <w:r w:rsidR="17EEF018" w:rsidRPr="00CE39FB">
        <w:rPr>
          <w:noProof/>
        </w:rPr>
        <w:t xml:space="preserve"> stakeholders, including the private sector, t</w:t>
      </w:r>
      <w:r w:rsidR="1E18D8B7" w:rsidRPr="00CE39FB">
        <w:rPr>
          <w:noProof/>
        </w:rPr>
        <w:t xml:space="preserve">he review report on specific incidents should </w:t>
      </w:r>
      <w:r w:rsidR="5660EC8C" w:rsidRPr="00CE39FB">
        <w:rPr>
          <w:noProof/>
        </w:rPr>
        <w:t xml:space="preserve">aim at assessing the causes, impacts and mitigations of an incident, after it has occurred. </w:t>
      </w:r>
      <w:r w:rsidR="0E02DB1D" w:rsidRPr="00CE39FB">
        <w:rPr>
          <w:noProof/>
        </w:rPr>
        <w:t>P</w:t>
      </w:r>
      <w:r w:rsidR="0DC96862" w:rsidRPr="00CE39FB">
        <w:rPr>
          <w:noProof/>
        </w:rPr>
        <w:t>articular</w:t>
      </w:r>
      <w:r w:rsidR="1E18D8B7" w:rsidRPr="00CE39FB">
        <w:rPr>
          <w:noProof/>
        </w:rPr>
        <w:t xml:space="preserve"> attention</w:t>
      </w:r>
      <w:r w:rsidR="6EDBF7AE" w:rsidRPr="00CE39FB">
        <w:rPr>
          <w:noProof/>
        </w:rPr>
        <w:t xml:space="preserve"> should be paid</w:t>
      </w:r>
      <w:r w:rsidR="1E18D8B7" w:rsidRPr="00CE39FB">
        <w:rPr>
          <w:noProof/>
        </w:rPr>
        <w:t xml:space="preserve"> to the input and lessons shared by the managed security service providers that fulfil the conditions of highest professional integrity, impartiality and requisite technical expertise as required by this Regulation. The report should </w:t>
      </w:r>
      <w:r w:rsidR="00D2544E" w:rsidRPr="00CE39FB">
        <w:rPr>
          <w:noProof/>
        </w:rPr>
        <w:t xml:space="preserve">be delivered and </w:t>
      </w:r>
      <w:r w:rsidR="1E18D8B7" w:rsidRPr="00CE39FB">
        <w:rPr>
          <w:noProof/>
        </w:rPr>
        <w:t>feed in</w:t>
      </w:r>
      <w:r w:rsidR="00AF2FC2">
        <w:rPr>
          <w:noProof/>
        </w:rPr>
        <w:t>to</w:t>
      </w:r>
      <w:r w:rsidR="1E18D8B7" w:rsidRPr="00CE39FB">
        <w:rPr>
          <w:noProof/>
        </w:rPr>
        <w:t xml:space="preserve"> the work of </w:t>
      </w:r>
      <w:r w:rsidR="3B46E715" w:rsidRPr="00CE39FB">
        <w:rPr>
          <w:noProof/>
        </w:rPr>
        <w:t xml:space="preserve">the </w:t>
      </w:r>
      <w:r w:rsidR="1E18D8B7" w:rsidRPr="00CE39FB">
        <w:rPr>
          <w:noProof/>
        </w:rPr>
        <w:t>EU</w:t>
      </w:r>
      <w:r w:rsidR="006D78D2">
        <w:rPr>
          <w:noProof/>
        </w:rPr>
        <w:t>=</w:t>
      </w:r>
      <w:r w:rsidR="1E18D8B7" w:rsidRPr="00CE39FB">
        <w:rPr>
          <w:noProof/>
        </w:rPr>
        <w:t xml:space="preserve">CyCLONe, </w:t>
      </w:r>
      <w:r w:rsidR="3B46E715" w:rsidRPr="00CE39FB">
        <w:rPr>
          <w:noProof/>
        </w:rPr>
        <w:t xml:space="preserve">the </w:t>
      </w:r>
      <w:r w:rsidR="1E18D8B7" w:rsidRPr="00CE39FB">
        <w:rPr>
          <w:noProof/>
        </w:rPr>
        <w:t xml:space="preserve">CSIRTs network and the Commission. </w:t>
      </w:r>
      <w:r w:rsidR="00AF2FC2">
        <w:rPr>
          <w:noProof/>
        </w:rPr>
        <w:t>When the incident relates to a third country, it will also be shared</w:t>
      </w:r>
      <w:r w:rsidR="00E720F0">
        <w:rPr>
          <w:noProof/>
        </w:rPr>
        <w:t xml:space="preserve"> by the Commission</w:t>
      </w:r>
      <w:r w:rsidR="00AF2FC2">
        <w:rPr>
          <w:noProof/>
        </w:rPr>
        <w:t xml:space="preserve"> with the High Representative.</w:t>
      </w:r>
    </w:p>
    <w:p w14:paraId="60BFD5F9" w14:textId="4420C8D8" w:rsidR="00827A3B" w:rsidRPr="008D6611" w:rsidRDefault="007B0110" w:rsidP="007B0110">
      <w:pPr>
        <w:pStyle w:val="ManualConsidrant"/>
        <w:rPr>
          <w:noProof/>
        </w:rPr>
      </w:pPr>
      <w:bookmarkStart w:id="5" w:name="_Hlk131072080"/>
      <w:r w:rsidRPr="007B0110">
        <w:rPr>
          <w:noProof/>
        </w:rPr>
        <w:t>(37)</w:t>
      </w:r>
      <w:r w:rsidRPr="007B0110">
        <w:rPr>
          <w:noProof/>
        </w:rPr>
        <w:tab/>
      </w:r>
      <w:r w:rsidR="3A2E910B" w:rsidRPr="00CE39FB">
        <w:rPr>
          <w:noProof/>
        </w:rPr>
        <w:t>Taking into account the unpredictable nature of cybersecurity attacks and the fact that they are often not contained in a specific geographical area and pose high risk of spill-over, the strengthening of resilience of neighbouring countries</w:t>
      </w:r>
      <w:r w:rsidR="67C5216D" w:rsidRPr="00CE39FB">
        <w:rPr>
          <w:noProof/>
        </w:rPr>
        <w:t xml:space="preserve"> and their capacity to respond effectively to </w:t>
      </w:r>
      <w:r w:rsidR="1B52C432" w:rsidRPr="00CE39FB">
        <w:rPr>
          <w:noProof/>
        </w:rPr>
        <w:t>significant and large-scale cybersecurity incidents</w:t>
      </w:r>
      <w:r w:rsidR="3A2E910B" w:rsidRPr="00CE39FB">
        <w:rPr>
          <w:noProof/>
        </w:rPr>
        <w:t xml:space="preserve"> contributes to the </w:t>
      </w:r>
      <w:r w:rsidR="1CF7678F" w:rsidRPr="00CE39FB">
        <w:rPr>
          <w:noProof/>
        </w:rPr>
        <w:t xml:space="preserve">protection </w:t>
      </w:r>
      <w:r w:rsidR="3A2E910B" w:rsidRPr="00CE39FB">
        <w:rPr>
          <w:noProof/>
        </w:rPr>
        <w:t xml:space="preserve">of the Union as a whole. Therefore, </w:t>
      </w:r>
      <w:r w:rsidR="3A2E910B" w:rsidRPr="00CE39FB">
        <w:rPr>
          <w:rFonts w:eastAsia="Times New Roman"/>
          <w:noProof/>
        </w:rPr>
        <w:t xml:space="preserve">third countries associated to the </w:t>
      </w:r>
      <w:r w:rsidR="006D78D2">
        <w:rPr>
          <w:rFonts w:eastAsia="Times New Roman"/>
          <w:noProof/>
        </w:rPr>
        <w:t>DEP</w:t>
      </w:r>
      <w:r w:rsidR="3A2E910B" w:rsidRPr="00CE39FB">
        <w:rPr>
          <w:rFonts w:eastAsia="Times New Roman"/>
          <w:noProof/>
        </w:rPr>
        <w:t xml:space="preserve"> </w:t>
      </w:r>
      <w:r w:rsidR="00751830" w:rsidRPr="00CE39FB">
        <w:rPr>
          <w:rFonts w:eastAsia="Times New Roman"/>
          <w:noProof/>
        </w:rPr>
        <w:t>may</w:t>
      </w:r>
      <w:r w:rsidR="3A2E910B" w:rsidRPr="00CE39FB">
        <w:rPr>
          <w:rFonts w:eastAsia="Times New Roman"/>
          <w:noProof/>
        </w:rPr>
        <w:t xml:space="preserve"> be supported from the EU Cybersecurity Reserve</w:t>
      </w:r>
      <w:r w:rsidR="006E000E" w:rsidRPr="00CE39FB">
        <w:rPr>
          <w:rFonts w:eastAsia="Times New Roman"/>
          <w:noProof/>
        </w:rPr>
        <w:t>, where</w:t>
      </w:r>
      <w:r w:rsidR="00F1512A" w:rsidRPr="00CE39FB">
        <w:rPr>
          <w:rFonts w:eastAsia="Times New Roman"/>
          <w:noProof/>
        </w:rPr>
        <w:t xml:space="preserve"> </w:t>
      </w:r>
      <w:r w:rsidR="00F1512A" w:rsidRPr="00CE39FB">
        <w:rPr>
          <w:rStyle w:val="normaltextrun"/>
          <w:noProof/>
        </w:rPr>
        <w:t xml:space="preserve">this is provided for in the respective association agreement to </w:t>
      </w:r>
      <w:r w:rsidR="006D78D2">
        <w:rPr>
          <w:rStyle w:val="normaltextrun"/>
          <w:noProof/>
        </w:rPr>
        <w:t>DEP</w:t>
      </w:r>
      <w:r w:rsidR="3A2E910B" w:rsidRPr="00CE39FB">
        <w:rPr>
          <w:rFonts w:eastAsia="Times New Roman"/>
          <w:noProof/>
        </w:rPr>
        <w:t>.</w:t>
      </w:r>
      <w:r w:rsidR="008F40ED" w:rsidRPr="00CE39FB">
        <w:rPr>
          <w:rFonts w:eastAsia="Times New Roman"/>
          <w:noProof/>
        </w:rPr>
        <w:t xml:space="preserve"> The </w:t>
      </w:r>
      <w:r w:rsidR="004036E7" w:rsidRPr="00CE39FB">
        <w:rPr>
          <w:rFonts w:eastAsia="Times New Roman"/>
          <w:noProof/>
        </w:rPr>
        <w:t>funding</w:t>
      </w:r>
      <w:r w:rsidR="00EF6C56" w:rsidRPr="00CE39FB">
        <w:rPr>
          <w:rFonts w:eastAsia="Times New Roman"/>
          <w:noProof/>
        </w:rPr>
        <w:t xml:space="preserve"> for</w:t>
      </w:r>
      <w:r w:rsidR="008F40ED" w:rsidRPr="00CE39FB">
        <w:rPr>
          <w:rFonts w:eastAsia="Times New Roman"/>
          <w:noProof/>
        </w:rPr>
        <w:t xml:space="preserve"> associated third countr</w:t>
      </w:r>
      <w:r w:rsidR="00635D89" w:rsidRPr="00CE39FB">
        <w:rPr>
          <w:rFonts w:eastAsia="Times New Roman"/>
          <w:noProof/>
        </w:rPr>
        <w:t>ies</w:t>
      </w:r>
      <w:r w:rsidR="008F40ED" w:rsidRPr="00CE39FB">
        <w:rPr>
          <w:rFonts w:eastAsia="Times New Roman"/>
          <w:noProof/>
        </w:rPr>
        <w:t xml:space="preserve"> s</w:t>
      </w:r>
      <w:r w:rsidR="008C494C" w:rsidRPr="00CE39FB">
        <w:rPr>
          <w:rFonts w:eastAsia="Times New Roman"/>
          <w:noProof/>
        </w:rPr>
        <w:t xml:space="preserve">hould </w:t>
      </w:r>
      <w:r w:rsidR="008F40ED" w:rsidRPr="00CE39FB">
        <w:rPr>
          <w:rFonts w:eastAsia="Times New Roman"/>
          <w:noProof/>
        </w:rPr>
        <w:t xml:space="preserve">be supported </w:t>
      </w:r>
      <w:r w:rsidR="00365396" w:rsidRPr="00CE39FB">
        <w:rPr>
          <w:rFonts w:eastAsia="Times New Roman"/>
          <w:noProof/>
        </w:rPr>
        <w:t xml:space="preserve">by the Union </w:t>
      </w:r>
      <w:r w:rsidR="008F40ED" w:rsidRPr="00CE39FB">
        <w:rPr>
          <w:rFonts w:eastAsia="Times New Roman"/>
          <w:noProof/>
        </w:rPr>
        <w:t>in the framework of relevant partnerships and funding instruments for th</w:t>
      </w:r>
      <w:r w:rsidR="008C494C" w:rsidRPr="00CE39FB">
        <w:rPr>
          <w:rFonts w:eastAsia="Times New Roman"/>
          <w:noProof/>
        </w:rPr>
        <w:t>o</w:t>
      </w:r>
      <w:r w:rsidR="008F40ED" w:rsidRPr="00CE39FB">
        <w:rPr>
          <w:rFonts w:eastAsia="Times New Roman"/>
          <w:noProof/>
        </w:rPr>
        <w:t>se countries.</w:t>
      </w:r>
      <w:r w:rsidR="3A2E910B" w:rsidRPr="00CE39FB">
        <w:rPr>
          <w:rFonts w:eastAsia="Times New Roman"/>
          <w:noProof/>
        </w:rPr>
        <w:t xml:space="preserve"> The support should cover services in the area of response to and immediate recovery from significant or large-scale cybersecurity incidents. The conditions set for</w:t>
      </w:r>
      <w:r w:rsidR="00AA5870" w:rsidRPr="00CE39FB">
        <w:rPr>
          <w:rFonts w:eastAsia="Times New Roman"/>
          <w:noProof/>
        </w:rPr>
        <w:t xml:space="preserve"> </w:t>
      </w:r>
      <w:r w:rsidR="3A2E910B" w:rsidRPr="00CE39FB">
        <w:rPr>
          <w:rFonts w:eastAsia="Times New Roman"/>
          <w:noProof/>
        </w:rPr>
        <w:t xml:space="preserve">the EU Cybersecurity Reserve and trusted providers in this Regulation should apply when providing support to the third countries associated to </w:t>
      </w:r>
      <w:r w:rsidR="006D78D2">
        <w:rPr>
          <w:rFonts w:eastAsia="Times New Roman"/>
          <w:noProof/>
        </w:rPr>
        <w:t>DEP</w:t>
      </w:r>
      <w:r w:rsidR="3A2E910B" w:rsidRPr="00CE39FB">
        <w:rPr>
          <w:rFonts w:eastAsia="Times New Roman"/>
          <w:noProof/>
        </w:rPr>
        <w:t>.</w:t>
      </w:r>
    </w:p>
    <w:p w14:paraId="3A809A48" w14:textId="38C5EAB4" w:rsidR="00B50AE3" w:rsidRPr="00CE39FB" w:rsidRDefault="007B0110" w:rsidP="007B0110">
      <w:pPr>
        <w:pStyle w:val="ManualConsidrant"/>
        <w:rPr>
          <w:rFonts w:eastAsia="Times New Roman"/>
          <w:noProof/>
        </w:rPr>
      </w:pPr>
      <w:r w:rsidRPr="007B0110">
        <w:rPr>
          <w:noProof/>
        </w:rPr>
        <w:t>(38)</w:t>
      </w:r>
      <w:r w:rsidRPr="007B0110">
        <w:rPr>
          <w:noProof/>
        </w:rPr>
        <w:tab/>
      </w:r>
      <w:r w:rsidR="00B50AE3" w:rsidRPr="00CE39FB">
        <w:rPr>
          <w:noProof/>
        </w:rPr>
        <w:t>In order to ensure uniform conditions for the implementation of this Regulati</w:t>
      </w:r>
      <w:r w:rsidR="002F20FB" w:rsidRPr="00CE39FB">
        <w:rPr>
          <w:noProof/>
        </w:rPr>
        <w:t>o</w:t>
      </w:r>
      <w:r w:rsidR="00B50AE3" w:rsidRPr="00CE39FB">
        <w:rPr>
          <w:noProof/>
        </w:rPr>
        <w:t>n</w:t>
      </w:r>
      <w:r w:rsidR="00B50AE3" w:rsidRPr="00CE39FB">
        <w:rPr>
          <w:i/>
          <w:iCs/>
          <w:noProof/>
        </w:rPr>
        <w:t>,</w:t>
      </w:r>
      <w:r w:rsidR="00B50AE3" w:rsidRPr="00CE39FB">
        <w:rPr>
          <w:noProof/>
        </w:rPr>
        <w:t xml:space="preserve"> implementing powers should be conferred on the Commission to</w:t>
      </w:r>
      <w:r w:rsidR="009411FD" w:rsidRPr="00CE39FB">
        <w:rPr>
          <w:rFonts w:eastAsia="Times New Roman"/>
          <w:noProof/>
        </w:rPr>
        <w:t xml:space="preserve"> </w:t>
      </w:r>
      <w:r w:rsidR="749B6C35" w:rsidRPr="00CE39FB">
        <w:rPr>
          <w:rFonts w:eastAsia="Times New Roman"/>
          <w:noProof/>
        </w:rPr>
        <w:t>specify the conditions for th</w:t>
      </w:r>
      <w:r w:rsidR="00896DD6" w:rsidRPr="00CE39FB">
        <w:rPr>
          <w:rFonts w:eastAsia="Times New Roman"/>
          <w:noProof/>
        </w:rPr>
        <w:t>e</w:t>
      </w:r>
      <w:r w:rsidR="749B6C35" w:rsidRPr="00CE39FB">
        <w:rPr>
          <w:rFonts w:eastAsia="Times New Roman"/>
          <w:noProof/>
        </w:rPr>
        <w:t xml:space="preserve"> interoperability between Cross-bo</w:t>
      </w:r>
      <w:r w:rsidR="00EE45A7" w:rsidRPr="00CE39FB">
        <w:rPr>
          <w:rFonts w:eastAsia="Times New Roman"/>
          <w:noProof/>
        </w:rPr>
        <w:t>r</w:t>
      </w:r>
      <w:r w:rsidR="749B6C35" w:rsidRPr="00CE39FB">
        <w:rPr>
          <w:rFonts w:eastAsia="Times New Roman"/>
          <w:noProof/>
        </w:rPr>
        <w:t xml:space="preserve">der SOCs; </w:t>
      </w:r>
      <w:r w:rsidR="74CD6E5B" w:rsidRPr="00CE39FB">
        <w:rPr>
          <w:rFonts w:eastAsia="Times New Roman"/>
          <w:noProof/>
        </w:rPr>
        <w:t xml:space="preserve">determine the </w:t>
      </w:r>
      <w:r w:rsidR="50E493A2" w:rsidRPr="00CE39FB">
        <w:rPr>
          <w:rFonts w:eastAsia="Times New Roman"/>
          <w:noProof/>
        </w:rPr>
        <w:t xml:space="preserve">procedural arrangements </w:t>
      </w:r>
      <w:r w:rsidR="74CD6E5B" w:rsidRPr="00CE39FB">
        <w:rPr>
          <w:rFonts w:eastAsia="Times New Roman"/>
          <w:noProof/>
        </w:rPr>
        <w:t xml:space="preserve">for the </w:t>
      </w:r>
      <w:r w:rsidR="50E493A2" w:rsidRPr="00CE39FB">
        <w:rPr>
          <w:rFonts w:eastAsia="Times New Roman"/>
          <w:noProof/>
        </w:rPr>
        <w:t xml:space="preserve">information sharing </w:t>
      </w:r>
      <w:r w:rsidR="74CD6E5B" w:rsidRPr="00CE39FB">
        <w:rPr>
          <w:rFonts w:eastAsia="Times New Roman"/>
          <w:noProof/>
        </w:rPr>
        <w:t xml:space="preserve">related to a potential or ongoing large-scale cybersecurity incident </w:t>
      </w:r>
      <w:r w:rsidR="50E493A2" w:rsidRPr="00CE39FB">
        <w:rPr>
          <w:rFonts w:eastAsia="Times New Roman"/>
          <w:noProof/>
        </w:rPr>
        <w:t xml:space="preserve">between Cross-border SOCs and Union entities; laying down technical requirements to </w:t>
      </w:r>
      <w:r w:rsidR="74CD6E5B" w:rsidRPr="00CE39FB">
        <w:rPr>
          <w:rFonts w:eastAsia="Times New Roman"/>
          <w:noProof/>
        </w:rPr>
        <w:t xml:space="preserve">ensure </w:t>
      </w:r>
      <w:r w:rsidR="00896DD6" w:rsidRPr="00CE39FB">
        <w:rPr>
          <w:rFonts w:eastAsia="Times New Roman"/>
          <w:noProof/>
        </w:rPr>
        <w:t>security of the European Cyber Shield</w:t>
      </w:r>
      <w:r w:rsidR="50E493A2" w:rsidRPr="00CE39FB">
        <w:rPr>
          <w:rFonts w:eastAsia="Times New Roman"/>
          <w:noProof/>
        </w:rPr>
        <w:t xml:space="preserve">; specify the types and the number of response services required for the EU Cybersecurity Reserve; </w:t>
      </w:r>
      <w:r w:rsidR="00F733BB" w:rsidRPr="00CE39FB">
        <w:rPr>
          <w:rFonts w:eastAsia="Times New Roman"/>
          <w:noProof/>
        </w:rPr>
        <w:t xml:space="preserve">and, </w:t>
      </w:r>
      <w:r w:rsidR="50E493A2" w:rsidRPr="00CE39FB">
        <w:rPr>
          <w:rFonts w:eastAsia="Times New Roman"/>
          <w:noProof/>
        </w:rPr>
        <w:t xml:space="preserve">specify further the </w:t>
      </w:r>
      <w:r w:rsidR="74CD6E5B" w:rsidRPr="00CE39FB">
        <w:rPr>
          <w:rFonts w:eastAsia="Times New Roman"/>
          <w:noProof/>
        </w:rPr>
        <w:t>detailed arrangements</w:t>
      </w:r>
      <w:r w:rsidR="50E493A2" w:rsidRPr="00CE39FB">
        <w:rPr>
          <w:rFonts w:eastAsia="Times New Roman"/>
          <w:noProof/>
        </w:rPr>
        <w:t xml:space="preserve"> for allocating the EU Cybersecurity Reserve support services</w:t>
      </w:r>
      <w:r w:rsidR="6F1CA2C0" w:rsidRPr="00CE39FB">
        <w:rPr>
          <w:rFonts w:eastAsia="Times New Roman"/>
          <w:noProof/>
        </w:rPr>
        <w:t xml:space="preserve">. </w:t>
      </w:r>
      <w:r w:rsidR="00B50AE3" w:rsidRPr="00CE39FB">
        <w:rPr>
          <w:noProof/>
        </w:rPr>
        <w:t>Those powers should be</w:t>
      </w:r>
      <w:r w:rsidR="00B50AE3" w:rsidRPr="00CE39FB">
        <w:rPr>
          <w:rStyle w:val="italic1"/>
          <w:i w:val="0"/>
          <w:iCs w:val="0"/>
          <w:noProof/>
        </w:rPr>
        <w:t xml:space="preserve"> exercised </w:t>
      </w:r>
      <w:r w:rsidR="00B50AE3" w:rsidRPr="00CE39FB">
        <w:rPr>
          <w:noProof/>
        </w:rPr>
        <w:t>in accordance with Regulation (EU) 182/2011 of the European Parliament and of the Council</w:t>
      </w:r>
      <w:r w:rsidR="21E978DF" w:rsidRPr="00CE39FB">
        <w:rPr>
          <w:noProof/>
        </w:rPr>
        <w:t>.</w:t>
      </w:r>
      <w:r w:rsidR="00B50AE3" w:rsidRPr="00CE39FB">
        <w:rPr>
          <w:noProof/>
        </w:rPr>
        <w:t xml:space="preserve"> </w:t>
      </w:r>
    </w:p>
    <w:bookmarkEnd w:id="5"/>
    <w:p w14:paraId="72AB9A6A" w14:textId="5F464C5F" w:rsidR="004770F6" w:rsidRPr="00CE39FB" w:rsidRDefault="007B0110" w:rsidP="007B0110">
      <w:pPr>
        <w:pStyle w:val="ManualConsidrant"/>
        <w:rPr>
          <w:noProof/>
        </w:rPr>
      </w:pPr>
      <w:r w:rsidRPr="007B0110">
        <w:rPr>
          <w:noProof/>
        </w:rPr>
        <w:t>(39)</w:t>
      </w:r>
      <w:r w:rsidRPr="007B0110">
        <w:rPr>
          <w:noProof/>
        </w:rPr>
        <w:tab/>
      </w:r>
      <w:r w:rsidR="16C003C0" w:rsidRPr="00CE39FB">
        <w:rPr>
          <w:noProof/>
        </w:rPr>
        <w:t>T</w:t>
      </w:r>
      <w:r w:rsidR="49EAFEE9" w:rsidRPr="00CE39FB">
        <w:rPr>
          <w:noProof/>
        </w:rPr>
        <w:t xml:space="preserve">he objective of this Regulation </w:t>
      </w:r>
      <w:r w:rsidR="16C003C0" w:rsidRPr="00CE39FB">
        <w:rPr>
          <w:noProof/>
        </w:rPr>
        <w:t xml:space="preserve">can be better achieved at Union level than </w:t>
      </w:r>
      <w:r w:rsidR="49EAFEE9" w:rsidRPr="00CE39FB">
        <w:rPr>
          <w:noProof/>
        </w:rPr>
        <w:t>by the Member States</w:t>
      </w:r>
      <w:r w:rsidR="5F99F0E7" w:rsidRPr="00CE39FB">
        <w:rPr>
          <w:noProof/>
        </w:rPr>
        <w:t>.</w:t>
      </w:r>
      <w:r w:rsidR="49EAFEE9" w:rsidRPr="00CE39FB">
        <w:rPr>
          <w:noProof/>
        </w:rPr>
        <w:t xml:space="preserve"> </w:t>
      </w:r>
      <w:r w:rsidR="5F99F0E7" w:rsidRPr="00CE39FB">
        <w:rPr>
          <w:noProof/>
        </w:rPr>
        <w:t xml:space="preserve">Hence, </w:t>
      </w:r>
      <w:r w:rsidR="49EAFEE9" w:rsidRPr="00CE39FB">
        <w:rPr>
          <w:noProof/>
        </w:rPr>
        <w:t>the Union may adopt measures, in accordance with the principle</w:t>
      </w:r>
      <w:r w:rsidR="073B7651" w:rsidRPr="00CE39FB">
        <w:rPr>
          <w:noProof/>
        </w:rPr>
        <w:t>s</w:t>
      </w:r>
      <w:r w:rsidR="49EAFEE9" w:rsidRPr="00CE39FB">
        <w:rPr>
          <w:noProof/>
        </w:rPr>
        <w:t xml:space="preserve"> of subsidiarity </w:t>
      </w:r>
      <w:r w:rsidR="073B7651" w:rsidRPr="00CE39FB">
        <w:rPr>
          <w:noProof/>
        </w:rPr>
        <w:t>and proportionality</w:t>
      </w:r>
      <w:r w:rsidR="49EAFEE9" w:rsidRPr="00CE39FB">
        <w:rPr>
          <w:noProof/>
        </w:rPr>
        <w:t xml:space="preserve"> as set out in Article 5 of the Treaty on European Union. </w:t>
      </w:r>
      <w:r w:rsidR="2A770F48" w:rsidRPr="00CE39FB">
        <w:rPr>
          <w:noProof/>
        </w:rPr>
        <w:t>T</w:t>
      </w:r>
      <w:r w:rsidR="49EAFEE9" w:rsidRPr="00CE39FB">
        <w:rPr>
          <w:noProof/>
        </w:rPr>
        <w:t>his Regulation does not go beyond what is necessary in order to achieve that objective</w:t>
      </w:r>
      <w:r w:rsidR="00F733BB" w:rsidRPr="00CE39FB">
        <w:rPr>
          <w:noProof/>
        </w:rPr>
        <w:t>.</w:t>
      </w:r>
    </w:p>
    <w:p w14:paraId="3C4FC1AE" w14:textId="77777777" w:rsidR="004770F6" w:rsidRPr="00CE39FB" w:rsidRDefault="004770F6">
      <w:pPr>
        <w:pStyle w:val="Formuledadoption"/>
        <w:rPr>
          <w:noProof/>
        </w:rPr>
      </w:pPr>
      <w:r w:rsidRPr="00CE39FB">
        <w:rPr>
          <w:noProof/>
        </w:rPr>
        <w:t>HAVE ADOPTED THIS REGULATION:</w:t>
      </w:r>
    </w:p>
    <w:p w14:paraId="5AC5FCB6" w14:textId="77777777" w:rsidR="008D6E54" w:rsidRPr="008D6611" w:rsidRDefault="008D6E54" w:rsidP="008D6E54">
      <w:pPr>
        <w:pStyle w:val="Titrearticle"/>
        <w:rPr>
          <w:noProof/>
        </w:rPr>
      </w:pPr>
      <w:r w:rsidRPr="008D6611">
        <w:rPr>
          <w:b/>
          <w:noProof/>
        </w:rPr>
        <w:t>Chapter I </w:t>
      </w:r>
      <w:r w:rsidRPr="008D6611">
        <w:rPr>
          <w:noProof/>
        </w:rPr>
        <w:t>  </w:t>
      </w:r>
    </w:p>
    <w:p w14:paraId="787CBD69" w14:textId="77777777" w:rsidR="008D6E54" w:rsidRPr="008D6611" w:rsidRDefault="008D6E54" w:rsidP="008D6E54">
      <w:pPr>
        <w:pStyle w:val="Titrearticle"/>
        <w:rPr>
          <w:b/>
          <w:noProof/>
        </w:rPr>
      </w:pPr>
      <w:r w:rsidRPr="008D6611">
        <w:rPr>
          <w:b/>
          <w:noProof/>
        </w:rPr>
        <w:t>GENERAL OBJECTIVES</w:t>
      </w:r>
      <w:r w:rsidR="00686F66" w:rsidRPr="008D6611">
        <w:rPr>
          <w:b/>
          <w:noProof/>
        </w:rPr>
        <w:t>,</w:t>
      </w:r>
      <w:r w:rsidRPr="008D6611">
        <w:rPr>
          <w:b/>
          <w:noProof/>
        </w:rPr>
        <w:t xml:space="preserve"> SUBJECT MATTER, AND DEFINITIONS  </w:t>
      </w:r>
    </w:p>
    <w:p w14:paraId="647B698A" w14:textId="77777777" w:rsidR="008D6E54" w:rsidRPr="008D6611" w:rsidRDefault="008D6E54">
      <w:pPr>
        <w:pStyle w:val="Titrearticle"/>
        <w:rPr>
          <w:noProof/>
        </w:rPr>
      </w:pPr>
    </w:p>
    <w:p w14:paraId="6D8CD1D6" w14:textId="77777777" w:rsidR="004770F6" w:rsidRPr="00CE39FB" w:rsidRDefault="004770F6">
      <w:pPr>
        <w:pStyle w:val="Titrearticle"/>
        <w:rPr>
          <w:noProof/>
          <w:szCs w:val="24"/>
        </w:rPr>
      </w:pPr>
      <w:r w:rsidRPr="00CE39FB">
        <w:rPr>
          <w:noProof/>
          <w:szCs w:val="24"/>
        </w:rPr>
        <w:t>Article 1</w:t>
      </w:r>
    </w:p>
    <w:p w14:paraId="4E5ADE80" w14:textId="13736447" w:rsidR="00FF443B" w:rsidRPr="00CE39FB" w:rsidRDefault="00FF443B" w:rsidP="00FF443B">
      <w:pPr>
        <w:pStyle w:val="paragraph"/>
        <w:spacing w:beforeAutospacing="0" w:after="0" w:afterAutospacing="0"/>
        <w:ind w:left="360" w:firstLine="720"/>
        <w:jc w:val="center"/>
        <w:textAlignment w:val="baseline"/>
        <w:rPr>
          <w:noProof/>
        </w:rPr>
      </w:pPr>
      <w:r w:rsidRPr="00CE39FB">
        <w:rPr>
          <w:rStyle w:val="normaltextrun"/>
          <w:b/>
          <w:bCs/>
          <w:noProof/>
        </w:rPr>
        <w:t>Subject</w:t>
      </w:r>
      <w:r w:rsidR="00FB0C8D" w:rsidRPr="00CE39FB">
        <w:rPr>
          <w:rStyle w:val="normaltextrun"/>
          <w:b/>
          <w:bCs/>
          <w:noProof/>
        </w:rPr>
        <w:t>-</w:t>
      </w:r>
      <w:r w:rsidRPr="00CE39FB">
        <w:rPr>
          <w:rStyle w:val="normaltextrun"/>
          <w:b/>
          <w:bCs/>
          <w:noProof/>
        </w:rPr>
        <w:t>matter and objectives</w:t>
      </w:r>
      <w:r w:rsidRPr="00CE39FB">
        <w:rPr>
          <w:rStyle w:val="eop"/>
          <w:noProof/>
        </w:rPr>
        <w:t> </w:t>
      </w:r>
    </w:p>
    <w:p w14:paraId="0F16B3BD" w14:textId="77777777" w:rsidR="00FF443B" w:rsidRPr="00CE39FB" w:rsidRDefault="00FF443B" w:rsidP="00FF443B">
      <w:pPr>
        <w:pStyle w:val="paragraph"/>
        <w:spacing w:beforeAutospacing="0" w:after="0" w:afterAutospacing="0"/>
        <w:ind w:left="360" w:firstLine="720"/>
        <w:jc w:val="center"/>
        <w:textAlignment w:val="baseline"/>
        <w:rPr>
          <w:noProof/>
        </w:rPr>
      </w:pPr>
      <w:r w:rsidRPr="00CE39FB">
        <w:rPr>
          <w:rStyle w:val="eop"/>
          <w:noProof/>
        </w:rPr>
        <w:t> </w:t>
      </w:r>
    </w:p>
    <w:p w14:paraId="74FA07F7" w14:textId="77777777" w:rsidR="00FF443B" w:rsidRPr="00CE39FB" w:rsidRDefault="00684B26" w:rsidP="00684B26">
      <w:pPr>
        <w:rPr>
          <w:rFonts w:eastAsia="Times New Roman"/>
          <w:noProof/>
        </w:rPr>
      </w:pPr>
      <w:r w:rsidRPr="00CE39FB">
        <w:rPr>
          <w:rFonts w:eastAsia="Times New Roman"/>
          <w:noProof/>
        </w:rPr>
        <w:t xml:space="preserve">1. </w:t>
      </w:r>
      <w:r w:rsidR="00FF443B" w:rsidRPr="00CE39FB">
        <w:rPr>
          <w:rFonts w:eastAsia="Times New Roman"/>
          <w:noProof/>
        </w:rPr>
        <w:t xml:space="preserve">This Regulation lays down measures to strengthen capacities in the Union to detect, prepare for and respond to cybersecurity threats and incidents, </w:t>
      </w:r>
      <w:r w:rsidR="00FF443B" w:rsidRPr="00CE39FB">
        <w:rPr>
          <w:noProof/>
        </w:rPr>
        <w:t>in particular</w:t>
      </w:r>
      <w:r w:rsidR="00FF443B" w:rsidRPr="00CE39FB">
        <w:rPr>
          <w:rFonts w:eastAsia="Times New Roman"/>
          <w:noProof/>
        </w:rPr>
        <w:t xml:space="preserve"> through the following actions:</w:t>
      </w:r>
    </w:p>
    <w:p w14:paraId="37107250" w14:textId="77777777" w:rsidR="00FF443B" w:rsidRPr="00CE39FB" w:rsidRDefault="00FF443B" w:rsidP="00FF443B">
      <w:pPr>
        <w:pStyle w:val="ListParagraph"/>
        <w:ind w:left="360"/>
        <w:jc w:val="both"/>
        <w:rPr>
          <w:rFonts w:ascii="Times New Roman" w:eastAsiaTheme="minorEastAsia" w:hAnsi="Times New Roman" w:cs="Times New Roman"/>
          <w:noProof/>
          <w:sz w:val="24"/>
          <w:szCs w:val="24"/>
        </w:rPr>
      </w:pPr>
    </w:p>
    <w:p w14:paraId="0CFE29FA" w14:textId="5F063B03" w:rsidR="00FF443B" w:rsidRPr="00CE39FB" w:rsidRDefault="00FF443B" w:rsidP="00FF443B">
      <w:pPr>
        <w:pStyle w:val="ListParagraph"/>
        <w:ind w:left="851"/>
        <w:jc w:val="both"/>
        <w:rPr>
          <w:rFonts w:ascii="Times New Roman" w:eastAsiaTheme="minorEastAsia" w:hAnsi="Times New Roman" w:cs="Times New Roman"/>
          <w:noProof/>
          <w:sz w:val="24"/>
          <w:szCs w:val="24"/>
        </w:rPr>
      </w:pPr>
      <w:r w:rsidRPr="00CE39FB">
        <w:rPr>
          <w:rFonts w:ascii="Times New Roman" w:eastAsiaTheme="minorEastAsia" w:hAnsi="Times New Roman" w:cs="Times New Roman"/>
          <w:noProof/>
          <w:sz w:val="24"/>
          <w:szCs w:val="24"/>
        </w:rPr>
        <w:t>(a) the deployment of a pan-European infrastructure of Security Operation</w:t>
      </w:r>
      <w:r w:rsidR="006D78D2">
        <w:rPr>
          <w:rFonts w:ascii="Times New Roman" w:eastAsiaTheme="minorEastAsia" w:hAnsi="Times New Roman" w:cs="Times New Roman"/>
          <w:noProof/>
          <w:sz w:val="24"/>
          <w:szCs w:val="24"/>
        </w:rPr>
        <w:t>s</w:t>
      </w:r>
      <w:r w:rsidRPr="00CE39FB">
        <w:rPr>
          <w:rFonts w:ascii="Times New Roman" w:eastAsiaTheme="minorEastAsia" w:hAnsi="Times New Roman" w:cs="Times New Roman"/>
          <w:noProof/>
          <w:sz w:val="24"/>
          <w:szCs w:val="24"/>
        </w:rPr>
        <w:t xml:space="preserve"> Centres (</w:t>
      </w:r>
      <w:r w:rsidR="001C6BE4" w:rsidRPr="00CE39FB">
        <w:rPr>
          <w:rFonts w:ascii="Times New Roman" w:eastAsiaTheme="minorEastAsia" w:hAnsi="Times New Roman" w:cs="Times New Roman"/>
          <w:noProof/>
          <w:sz w:val="24"/>
          <w:szCs w:val="24"/>
        </w:rPr>
        <w:t>‘</w:t>
      </w:r>
      <w:r w:rsidRPr="00CE39FB">
        <w:rPr>
          <w:rFonts w:ascii="Times New Roman" w:eastAsiaTheme="minorEastAsia" w:hAnsi="Times New Roman" w:cs="Times New Roman"/>
          <w:noProof/>
          <w:sz w:val="24"/>
          <w:szCs w:val="24"/>
        </w:rPr>
        <w:t>European Cyber Shield</w:t>
      </w:r>
      <w:r w:rsidR="001C6BE4" w:rsidRPr="00CE39FB">
        <w:rPr>
          <w:rFonts w:ascii="Times New Roman" w:eastAsiaTheme="minorEastAsia" w:hAnsi="Times New Roman" w:cs="Times New Roman"/>
          <w:noProof/>
          <w:sz w:val="24"/>
          <w:szCs w:val="24"/>
        </w:rPr>
        <w:t>’</w:t>
      </w:r>
      <w:r w:rsidRPr="00CE39FB">
        <w:rPr>
          <w:rFonts w:ascii="Times New Roman" w:eastAsiaTheme="minorEastAsia" w:hAnsi="Times New Roman" w:cs="Times New Roman"/>
          <w:noProof/>
          <w:sz w:val="24"/>
          <w:szCs w:val="24"/>
        </w:rPr>
        <w:t xml:space="preserve">) to build and enhance common detection and situational awareness capabilities; </w:t>
      </w:r>
    </w:p>
    <w:p w14:paraId="0D9D172B" w14:textId="77777777" w:rsidR="00422D30" w:rsidRPr="00CE39FB" w:rsidRDefault="00FF443B" w:rsidP="00FF443B">
      <w:pPr>
        <w:pStyle w:val="ListParagraph"/>
        <w:ind w:left="851"/>
        <w:jc w:val="both"/>
        <w:rPr>
          <w:rFonts w:ascii="Times New Roman" w:eastAsiaTheme="minorEastAsia" w:hAnsi="Times New Roman" w:cs="Times New Roman"/>
          <w:noProof/>
          <w:sz w:val="24"/>
          <w:szCs w:val="24"/>
        </w:rPr>
      </w:pPr>
      <w:r w:rsidRPr="00CE39FB">
        <w:rPr>
          <w:rFonts w:ascii="Times New Roman" w:eastAsiaTheme="minorEastAsia" w:hAnsi="Times New Roman" w:cs="Times New Roman"/>
          <w:noProof/>
          <w:sz w:val="24"/>
          <w:szCs w:val="24"/>
        </w:rPr>
        <w:t>(b) the creation of a Cybersecurity Emergency Mechanism to support Member States in preparing for, responding to, and immediate recovery from significant and large-scale cybersecurity incidents</w:t>
      </w:r>
      <w:r w:rsidR="00422D30" w:rsidRPr="00CE39FB">
        <w:rPr>
          <w:rFonts w:ascii="Times New Roman" w:eastAsiaTheme="minorEastAsia" w:hAnsi="Times New Roman" w:cs="Times New Roman"/>
          <w:noProof/>
          <w:sz w:val="24"/>
          <w:szCs w:val="24"/>
        </w:rPr>
        <w:t>;</w:t>
      </w:r>
    </w:p>
    <w:p w14:paraId="5E8E7AB3" w14:textId="77777777" w:rsidR="00FF443B" w:rsidRPr="00CE39FB" w:rsidRDefault="00422D30" w:rsidP="00FF443B">
      <w:pPr>
        <w:pStyle w:val="ListParagraph"/>
        <w:ind w:left="851"/>
        <w:jc w:val="both"/>
        <w:rPr>
          <w:rFonts w:ascii="Times New Roman" w:eastAsiaTheme="minorEastAsia" w:hAnsi="Times New Roman" w:cs="Times New Roman"/>
          <w:noProof/>
          <w:sz w:val="24"/>
          <w:szCs w:val="24"/>
        </w:rPr>
      </w:pPr>
      <w:r w:rsidRPr="00CE39FB">
        <w:rPr>
          <w:rFonts w:ascii="Times New Roman" w:eastAsiaTheme="minorEastAsia" w:hAnsi="Times New Roman" w:cs="Times New Roman"/>
          <w:noProof/>
          <w:sz w:val="24"/>
          <w:szCs w:val="24"/>
        </w:rPr>
        <w:t xml:space="preserve">(c) </w:t>
      </w:r>
      <w:r w:rsidR="00A721E1" w:rsidRPr="00CE39FB">
        <w:rPr>
          <w:rFonts w:ascii="Times New Roman" w:eastAsiaTheme="minorEastAsia" w:hAnsi="Times New Roman" w:cs="Times New Roman"/>
          <w:noProof/>
          <w:sz w:val="24"/>
          <w:szCs w:val="24"/>
        </w:rPr>
        <w:t xml:space="preserve">the establishment of a European Cybersecurity Incident </w:t>
      </w:r>
      <w:r w:rsidR="00D46999">
        <w:rPr>
          <w:rFonts w:ascii="Times New Roman" w:eastAsiaTheme="minorEastAsia" w:hAnsi="Times New Roman" w:cs="Times New Roman"/>
          <w:noProof/>
          <w:sz w:val="24"/>
          <w:szCs w:val="24"/>
        </w:rPr>
        <w:t xml:space="preserve">Review </w:t>
      </w:r>
      <w:r w:rsidR="00A721E1" w:rsidRPr="00CE39FB">
        <w:rPr>
          <w:rFonts w:ascii="Times New Roman" w:eastAsiaTheme="minorEastAsia" w:hAnsi="Times New Roman" w:cs="Times New Roman"/>
          <w:noProof/>
          <w:sz w:val="24"/>
          <w:szCs w:val="24"/>
        </w:rPr>
        <w:t xml:space="preserve">Mechanism to review and assess significant or large-scale incidents. </w:t>
      </w:r>
    </w:p>
    <w:p w14:paraId="1B061A11" w14:textId="77777777" w:rsidR="00FF443B" w:rsidRPr="00CE39FB" w:rsidRDefault="00B12B7A" w:rsidP="00684B26">
      <w:pPr>
        <w:rPr>
          <w:rFonts w:eastAsia="Times New Roman"/>
          <w:noProof/>
          <w:szCs w:val="24"/>
        </w:rPr>
      </w:pPr>
      <w:r w:rsidRPr="00CE39FB">
        <w:rPr>
          <w:rFonts w:eastAsia="Times New Roman"/>
          <w:noProof/>
          <w:szCs w:val="24"/>
        </w:rPr>
        <w:t>2</w:t>
      </w:r>
      <w:r w:rsidR="00684B26" w:rsidRPr="00CE39FB">
        <w:rPr>
          <w:rFonts w:eastAsia="Times New Roman"/>
          <w:noProof/>
          <w:szCs w:val="24"/>
        </w:rPr>
        <w:t xml:space="preserve">. </w:t>
      </w:r>
      <w:r w:rsidR="00FF443B" w:rsidRPr="00CE39FB">
        <w:rPr>
          <w:rFonts w:eastAsia="Times New Roman"/>
          <w:noProof/>
          <w:szCs w:val="24"/>
        </w:rPr>
        <w:t xml:space="preserve">This Regulation pursues the </w:t>
      </w:r>
      <w:r w:rsidR="00C86ABD">
        <w:rPr>
          <w:rFonts w:eastAsia="Times New Roman"/>
          <w:noProof/>
          <w:szCs w:val="24"/>
        </w:rPr>
        <w:t xml:space="preserve">objective </w:t>
      </w:r>
      <w:r w:rsidR="00C86ABD" w:rsidRPr="00C86ABD">
        <w:rPr>
          <w:rFonts w:eastAsia="Times New Roman"/>
          <w:noProof/>
          <w:szCs w:val="24"/>
        </w:rPr>
        <w:t xml:space="preserve">to strengthen solidarity at Union level through </w:t>
      </w:r>
      <w:r w:rsidR="00FF443B" w:rsidRPr="00CE39FB">
        <w:rPr>
          <w:rFonts w:eastAsia="Times New Roman"/>
          <w:noProof/>
          <w:szCs w:val="24"/>
        </w:rPr>
        <w:t xml:space="preserve">following </w:t>
      </w:r>
      <w:r w:rsidR="00C86ABD">
        <w:rPr>
          <w:rFonts w:eastAsia="Times New Roman"/>
          <w:noProof/>
          <w:szCs w:val="24"/>
        </w:rPr>
        <w:t xml:space="preserve">specific </w:t>
      </w:r>
      <w:r w:rsidR="00FF443B" w:rsidRPr="00CE39FB">
        <w:rPr>
          <w:rFonts w:eastAsia="Times New Roman"/>
          <w:noProof/>
          <w:szCs w:val="24"/>
        </w:rPr>
        <w:t xml:space="preserve">objectives: </w:t>
      </w:r>
    </w:p>
    <w:p w14:paraId="5422CD60" w14:textId="33911102" w:rsidR="00FF443B" w:rsidRPr="00CE39FB" w:rsidRDefault="007B0110" w:rsidP="007B0110">
      <w:pPr>
        <w:pStyle w:val="Point0"/>
        <w:rPr>
          <w:noProof/>
        </w:rPr>
      </w:pPr>
      <w:r w:rsidRPr="007B0110">
        <w:rPr>
          <w:noProof/>
        </w:rPr>
        <w:t>(a)</w:t>
      </w:r>
      <w:r w:rsidRPr="007B0110">
        <w:rPr>
          <w:noProof/>
        </w:rPr>
        <w:tab/>
      </w:r>
      <w:r w:rsidR="00E52571" w:rsidRPr="00CE39FB">
        <w:rPr>
          <w:noProof/>
        </w:rPr>
        <w:t xml:space="preserve">to </w:t>
      </w:r>
      <w:r w:rsidR="00FF443B" w:rsidRPr="00CE39FB">
        <w:rPr>
          <w:noProof/>
        </w:rPr>
        <w:t xml:space="preserve">strengthen common </w:t>
      </w:r>
      <w:r w:rsidR="00E52571" w:rsidRPr="00CE39FB">
        <w:rPr>
          <w:noProof/>
        </w:rPr>
        <w:t xml:space="preserve">Union </w:t>
      </w:r>
      <w:r w:rsidR="00FF443B" w:rsidRPr="00CE39FB">
        <w:rPr>
          <w:noProof/>
        </w:rPr>
        <w:t xml:space="preserve">detection and situational awareness of cyber threats and incidents thus allowing to reinforce the competitive position of industry and </w:t>
      </w:r>
      <w:r w:rsidR="2F9DE413" w:rsidRPr="00CE39FB">
        <w:rPr>
          <w:noProof/>
        </w:rPr>
        <w:t>services sectors</w:t>
      </w:r>
      <w:r w:rsidR="00FF443B" w:rsidRPr="00CE39FB">
        <w:rPr>
          <w:noProof/>
        </w:rPr>
        <w:t xml:space="preserve"> in </w:t>
      </w:r>
      <w:r w:rsidR="00D92405" w:rsidRPr="00CE39FB">
        <w:rPr>
          <w:noProof/>
        </w:rPr>
        <w:t>the Union</w:t>
      </w:r>
      <w:r w:rsidR="00FF443B" w:rsidRPr="00CE39FB">
        <w:rPr>
          <w:noProof/>
        </w:rPr>
        <w:t xml:space="preserve"> across the digital economy and contribute to the Union’s technological sovereignty in the area of cybersecurity; </w:t>
      </w:r>
    </w:p>
    <w:p w14:paraId="562DB57D" w14:textId="46CB2D8D" w:rsidR="00A05920" w:rsidRPr="00CE39FB" w:rsidRDefault="007B0110" w:rsidP="007B0110">
      <w:pPr>
        <w:pStyle w:val="Point0"/>
        <w:rPr>
          <w:noProof/>
        </w:rPr>
      </w:pPr>
      <w:bookmarkStart w:id="6" w:name="_Hlk132114620"/>
      <w:r w:rsidRPr="007B0110">
        <w:rPr>
          <w:noProof/>
        </w:rPr>
        <w:t>(b)</w:t>
      </w:r>
      <w:r w:rsidRPr="007B0110">
        <w:rPr>
          <w:noProof/>
        </w:rPr>
        <w:tab/>
      </w:r>
      <w:r w:rsidR="00E52571" w:rsidRPr="00CE39FB">
        <w:rPr>
          <w:noProof/>
        </w:rPr>
        <w:t xml:space="preserve">to </w:t>
      </w:r>
      <w:r w:rsidR="00733072" w:rsidRPr="001C7B16">
        <w:rPr>
          <w:noProof/>
        </w:rPr>
        <w:t>reinforce</w:t>
      </w:r>
      <w:r w:rsidR="00733072" w:rsidRPr="00CE39FB">
        <w:rPr>
          <w:noProof/>
        </w:rPr>
        <w:t xml:space="preserve"> </w:t>
      </w:r>
      <w:r w:rsidR="00FF443B" w:rsidRPr="00CE39FB">
        <w:rPr>
          <w:noProof/>
        </w:rPr>
        <w:t>preparedness of entities</w:t>
      </w:r>
      <w:r w:rsidR="000D6F11" w:rsidRPr="00CE39FB">
        <w:rPr>
          <w:noProof/>
        </w:rPr>
        <w:t xml:space="preserve"> operating in critical and highly critical sectors</w:t>
      </w:r>
      <w:r w:rsidR="00FF443B" w:rsidRPr="00CE39FB">
        <w:rPr>
          <w:noProof/>
        </w:rPr>
        <w:t xml:space="preserve"> across the </w:t>
      </w:r>
      <w:r w:rsidR="00E52571" w:rsidRPr="00CE39FB">
        <w:rPr>
          <w:noProof/>
        </w:rPr>
        <w:t xml:space="preserve">Union </w:t>
      </w:r>
      <w:r w:rsidR="00FF443B" w:rsidRPr="00CE39FB">
        <w:rPr>
          <w:noProof/>
        </w:rPr>
        <w:t xml:space="preserve">and </w:t>
      </w:r>
      <w:r w:rsidR="00733072" w:rsidRPr="001C7B16">
        <w:rPr>
          <w:noProof/>
        </w:rPr>
        <w:t xml:space="preserve">strengthen solidarity by </w:t>
      </w:r>
      <w:r w:rsidR="00FF443B" w:rsidRPr="001C7B16">
        <w:rPr>
          <w:noProof/>
        </w:rPr>
        <w:t>develop</w:t>
      </w:r>
      <w:r w:rsidR="00733072" w:rsidRPr="001C7B16">
        <w:rPr>
          <w:noProof/>
        </w:rPr>
        <w:t>ing</w:t>
      </w:r>
      <w:r w:rsidR="00FF443B" w:rsidRPr="00CE39FB">
        <w:rPr>
          <w:noProof/>
        </w:rPr>
        <w:t xml:space="preserve"> common response capacities against significant or large-scale cybersecurity incidents, including by making</w:t>
      </w:r>
      <w:r w:rsidR="00B1791F" w:rsidRPr="00CE39FB">
        <w:rPr>
          <w:noProof/>
        </w:rPr>
        <w:t xml:space="preserve"> Union</w:t>
      </w:r>
      <w:r w:rsidR="001F39DB">
        <w:rPr>
          <w:noProof/>
        </w:rPr>
        <w:t xml:space="preserve"> </w:t>
      </w:r>
      <w:r w:rsidR="00585A1B" w:rsidRPr="00CE39FB">
        <w:rPr>
          <w:noProof/>
        </w:rPr>
        <w:t>cybersecurity</w:t>
      </w:r>
      <w:r w:rsidR="00FF443B" w:rsidRPr="00CE39FB">
        <w:rPr>
          <w:noProof/>
        </w:rPr>
        <w:t xml:space="preserve"> incident response support available for third countries associated to the Digital Europe Programme</w:t>
      </w:r>
      <w:r w:rsidR="006D78D2">
        <w:rPr>
          <w:noProof/>
        </w:rPr>
        <w:t xml:space="preserve"> (‘DEP’)</w:t>
      </w:r>
      <w:r w:rsidR="00A05920" w:rsidRPr="00CE39FB">
        <w:rPr>
          <w:noProof/>
        </w:rPr>
        <w:t>;</w:t>
      </w:r>
    </w:p>
    <w:p w14:paraId="1A9616E3" w14:textId="5D20ADC3" w:rsidR="00FF443B" w:rsidRPr="00CE39FB" w:rsidRDefault="007B0110" w:rsidP="00600994">
      <w:pPr>
        <w:pStyle w:val="Point0"/>
        <w:rPr>
          <w:noProof/>
        </w:rPr>
      </w:pPr>
      <w:bookmarkStart w:id="7" w:name="_Hlk131692067"/>
      <w:bookmarkEnd w:id="6"/>
      <w:r w:rsidRPr="007B0110">
        <w:rPr>
          <w:noProof/>
        </w:rPr>
        <w:t>(c)</w:t>
      </w:r>
      <w:r w:rsidRPr="007B0110">
        <w:rPr>
          <w:noProof/>
        </w:rPr>
        <w:tab/>
      </w:r>
      <w:r w:rsidR="00A721E1" w:rsidRPr="00CE39FB">
        <w:rPr>
          <w:noProof/>
        </w:rPr>
        <w:t>to enhance Union resilience and contribute to effective response by reviewing and assessing significant or large-scale incidents</w:t>
      </w:r>
      <w:r w:rsidR="0038607B">
        <w:rPr>
          <w:noProof/>
        </w:rPr>
        <w:t>, including</w:t>
      </w:r>
      <w:r w:rsidR="00A721E1" w:rsidRPr="00CE39FB">
        <w:rPr>
          <w:noProof/>
        </w:rPr>
        <w:t xml:space="preserve"> d</w:t>
      </w:r>
      <w:r w:rsidR="007234F8">
        <w:rPr>
          <w:noProof/>
        </w:rPr>
        <w:t>raw</w:t>
      </w:r>
      <w:r w:rsidR="0038607B">
        <w:rPr>
          <w:noProof/>
        </w:rPr>
        <w:t>ing</w:t>
      </w:r>
      <w:r w:rsidR="00A721E1" w:rsidRPr="00CE39FB">
        <w:rPr>
          <w:noProof/>
        </w:rPr>
        <w:t xml:space="preserve"> lessons learned and</w:t>
      </w:r>
      <w:r w:rsidR="007234F8">
        <w:rPr>
          <w:noProof/>
        </w:rPr>
        <w:t>, where appropriate,</w:t>
      </w:r>
      <w:r w:rsidR="00A721E1" w:rsidRPr="00CE39FB">
        <w:rPr>
          <w:noProof/>
        </w:rPr>
        <w:t xml:space="preserve"> recommendations</w:t>
      </w:r>
      <w:bookmarkEnd w:id="7"/>
      <w:r w:rsidR="00600994">
        <w:rPr>
          <w:noProof/>
        </w:rPr>
        <w:t>.</w:t>
      </w:r>
      <w:r w:rsidR="00D46999">
        <w:rPr>
          <w:noProof/>
        </w:rPr>
        <w:t>.</w:t>
      </w:r>
    </w:p>
    <w:p w14:paraId="0AF8CF92" w14:textId="77777777" w:rsidR="00FF443B" w:rsidRPr="00CE39FB" w:rsidRDefault="00B12B7A" w:rsidP="00684B26">
      <w:pPr>
        <w:rPr>
          <w:rFonts w:eastAsia="Times New Roman"/>
          <w:noProof/>
          <w:szCs w:val="24"/>
        </w:rPr>
      </w:pPr>
      <w:r w:rsidRPr="00CE39FB">
        <w:rPr>
          <w:rFonts w:eastAsia="Times New Roman"/>
          <w:noProof/>
          <w:szCs w:val="24"/>
        </w:rPr>
        <w:t>3</w:t>
      </w:r>
      <w:r w:rsidR="00684B26" w:rsidRPr="00CE39FB">
        <w:rPr>
          <w:rFonts w:eastAsia="Times New Roman"/>
          <w:noProof/>
          <w:szCs w:val="24"/>
        </w:rPr>
        <w:t xml:space="preserve">. </w:t>
      </w:r>
      <w:r w:rsidR="00FF443B" w:rsidRPr="00CE39FB">
        <w:rPr>
          <w:rFonts w:eastAsia="Times New Roman"/>
          <w:noProof/>
          <w:szCs w:val="24"/>
        </w:rPr>
        <w:t>This Regulation is without prejudice to the Member States’ primary responsibility for national security, public security, and the prevention, investigation, detection and prosecution of criminal offences.</w:t>
      </w:r>
    </w:p>
    <w:p w14:paraId="063FC3FF" w14:textId="77777777" w:rsidR="00FF443B" w:rsidRPr="00CE39FB" w:rsidRDefault="00FF443B" w:rsidP="00684B26">
      <w:pPr>
        <w:rPr>
          <w:rFonts w:eastAsia="Times New Roman"/>
          <w:noProof/>
          <w:szCs w:val="24"/>
        </w:rPr>
      </w:pPr>
    </w:p>
    <w:p w14:paraId="574ECAB4" w14:textId="77777777" w:rsidR="00FF443B" w:rsidRPr="00CE39FB" w:rsidRDefault="004770F6" w:rsidP="00FF443B">
      <w:pPr>
        <w:pStyle w:val="Titrearticle"/>
        <w:rPr>
          <w:noProof/>
          <w:szCs w:val="24"/>
        </w:rPr>
      </w:pPr>
      <w:r w:rsidRPr="00CE39FB">
        <w:rPr>
          <w:noProof/>
          <w:szCs w:val="24"/>
        </w:rPr>
        <w:t xml:space="preserve">Article </w:t>
      </w:r>
      <w:r w:rsidR="00FF443B" w:rsidRPr="00CE39FB">
        <w:rPr>
          <w:noProof/>
          <w:szCs w:val="24"/>
        </w:rPr>
        <w:t>2</w:t>
      </w:r>
    </w:p>
    <w:p w14:paraId="04C336A8" w14:textId="77777777" w:rsidR="00F23DDD" w:rsidRPr="00CE39FB" w:rsidRDefault="00F23DDD" w:rsidP="00F23DDD">
      <w:pPr>
        <w:jc w:val="center"/>
        <w:rPr>
          <w:rFonts w:eastAsiaTheme="minorEastAsia"/>
          <w:b/>
          <w:bCs/>
          <w:noProof/>
          <w:szCs w:val="24"/>
        </w:rPr>
      </w:pPr>
      <w:r w:rsidRPr="00CE39FB">
        <w:rPr>
          <w:rFonts w:eastAsiaTheme="minorEastAsia"/>
          <w:b/>
          <w:bCs/>
          <w:noProof/>
          <w:szCs w:val="24"/>
        </w:rPr>
        <w:t>Definitions</w:t>
      </w:r>
    </w:p>
    <w:p w14:paraId="501487A6" w14:textId="77777777" w:rsidR="00F23DDD" w:rsidRPr="00CE39FB" w:rsidRDefault="00F23DDD" w:rsidP="00F23DDD">
      <w:pPr>
        <w:pStyle w:val="paragraph"/>
        <w:spacing w:beforeAutospacing="0" w:after="0" w:afterAutospacing="0"/>
        <w:jc w:val="both"/>
        <w:textAlignment w:val="baseline"/>
        <w:rPr>
          <w:rStyle w:val="eop"/>
          <w:noProof/>
        </w:rPr>
      </w:pPr>
      <w:r w:rsidRPr="00CE39FB">
        <w:rPr>
          <w:rStyle w:val="normaltextrun"/>
          <w:noProof/>
        </w:rPr>
        <w:t>For the purposes of this Regulation, the following definitions apply:</w:t>
      </w:r>
      <w:r w:rsidRPr="00CE39FB">
        <w:rPr>
          <w:rStyle w:val="eop"/>
          <w:noProof/>
        </w:rPr>
        <w:t> </w:t>
      </w:r>
    </w:p>
    <w:p w14:paraId="3EA4C31F" w14:textId="77777777" w:rsidR="00F23DDD" w:rsidRPr="008D6611" w:rsidRDefault="00F23DDD" w:rsidP="00F23DDD">
      <w:pPr>
        <w:pStyle w:val="ListParagraph"/>
        <w:jc w:val="both"/>
        <w:rPr>
          <w:rFonts w:ascii="Times New Roman" w:hAnsi="Times New Roman"/>
          <w:noProof/>
          <w:sz w:val="24"/>
        </w:rPr>
      </w:pPr>
    </w:p>
    <w:p w14:paraId="51DE519B" w14:textId="36B643BC" w:rsidR="00F23DDD" w:rsidRPr="008D6611" w:rsidRDefault="007B0110" w:rsidP="007B0110">
      <w:pPr>
        <w:pStyle w:val="Point0"/>
        <w:rPr>
          <w:b/>
          <w:noProof/>
        </w:rPr>
      </w:pPr>
      <w:r w:rsidRPr="007B0110">
        <w:rPr>
          <w:noProof/>
        </w:rPr>
        <w:t>(1)</w:t>
      </w:r>
      <w:r w:rsidRPr="007B0110">
        <w:rPr>
          <w:noProof/>
        </w:rPr>
        <w:tab/>
      </w:r>
      <w:r w:rsidR="00C729E1" w:rsidRPr="00CE39FB">
        <w:rPr>
          <w:b/>
          <w:bCs/>
          <w:noProof/>
        </w:rPr>
        <w:t>‘</w:t>
      </w:r>
      <w:r w:rsidR="00F23DDD" w:rsidRPr="00CE39FB">
        <w:rPr>
          <w:b/>
          <w:bCs/>
          <w:noProof/>
        </w:rPr>
        <w:t xml:space="preserve">Cross-border </w:t>
      </w:r>
      <w:r w:rsidR="690357C3" w:rsidRPr="00CE39FB">
        <w:rPr>
          <w:b/>
          <w:bCs/>
          <w:noProof/>
        </w:rPr>
        <w:t>S</w:t>
      </w:r>
      <w:r w:rsidR="24CAC81A" w:rsidRPr="00CE39FB">
        <w:rPr>
          <w:b/>
          <w:bCs/>
          <w:noProof/>
        </w:rPr>
        <w:t>ecurity</w:t>
      </w:r>
      <w:r w:rsidR="00F23DDD" w:rsidRPr="00CE39FB">
        <w:rPr>
          <w:b/>
          <w:bCs/>
          <w:noProof/>
        </w:rPr>
        <w:t xml:space="preserve"> Operations Centre</w:t>
      </w:r>
      <w:r w:rsidR="00C729E1" w:rsidRPr="00CE39FB">
        <w:rPr>
          <w:b/>
          <w:bCs/>
          <w:noProof/>
        </w:rPr>
        <w:t>’</w:t>
      </w:r>
      <w:r w:rsidR="00F23DDD" w:rsidRPr="00CE39FB">
        <w:rPr>
          <w:b/>
          <w:bCs/>
          <w:noProof/>
        </w:rPr>
        <w:t xml:space="preserve"> (“Cross-border SOC”) </w:t>
      </w:r>
      <w:r w:rsidR="00F23DDD" w:rsidRPr="00CE39FB">
        <w:rPr>
          <w:noProof/>
        </w:rPr>
        <w:t>means a multi-country platform, that brings together in a coordinated network structure national SOCs from at least three Member States</w:t>
      </w:r>
      <w:r w:rsidR="00500C61" w:rsidRPr="00CE39FB">
        <w:rPr>
          <w:noProof/>
        </w:rPr>
        <w:t xml:space="preserve"> who form a Hosting Consortium</w:t>
      </w:r>
      <w:r w:rsidR="00F23DDD" w:rsidRPr="00CE39FB">
        <w:rPr>
          <w:noProof/>
        </w:rPr>
        <w:t>, and that is designed to prevent cyber threats and incidents and to support the production of high-quality intelligence, notably through the exchange of data from various sources, public and private, as well as through the sharing of state-of-the-art tools and jointly developing cyber detection, analysis, and prevention and protection capabilities in a trusted environment</w:t>
      </w:r>
      <w:r w:rsidR="00C729E1" w:rsidRPr="00CE39FB">
        <w:rPr>
          <w:b/>
          <w:bCs/>
          <w:noProof/>
        </w:rPr>
        <w:t>;</w:t>
      </w:r>
      <w:r w:rsidR="00F23DDD" w:rsidRPr="00CE39FB">
        <w:rPr>
          <w:b/>
          <w:bCs/>
          <w:noProof/>
        </w:rPr>
        <w:t xml:space="preserve"> </w:t>
      </w:r>
    </w:p>
    <w:p w14:paraId="58ED7CE0" w14:textId="474B8190" w:rsidR="00F23DDD" w:rsidRPr="00CE39FB" w:rsidRDefault="007B0110" w:rsidP="007B0110">
      <w:pPr>
        <w:pStyle w:val="Point0"/>
        <w:rPr>
          <w:noProof/>
        </w:rPr>
      </w:pPr>
      <w:r w:rsidRPr="007B0110">
        <w:rPr>
          <w:noProof/>
        </w:rPr>
        <w:t>(2)</w:t>
      </w:r>
      <w:r w:rsidRPr="007B0110">
        <w:rPr>
          <w:noProof/>
        </w:rPr>
        <w:tab/>
      </w:r>
      <w:r w:rsidR="00C729E1" w:rsidRPr="00CE39FB">
        <w:rPr>
          <w:b/>
          <w:bCs/>
          <w:noProof/>
        </w:rPr>
        <w:t>‘</w:t>
      </w:r>
      <w:r w:rsidR="00051856" w:rsidRPr="00CE39FB">
        <w:rPr>
          <w:b/>
          <w:bCs/>
          <w:noProof/>
        </w:rPr>
        <w:t>p</w:t>
      </w:r>
      <w:r w:rsidR="00F23DDD" w:rsidRPr="00CE39FB">
        <w:rPr>
          <w:b/>
          <w:bCs/>
          <w:noProof/>
        </w:rPr>
        <w:t>ublic body</w:t>
      </w:r>
      <w:r w:rsidR="00C729E1" w:rsidRPr="00CE39FB">
        <w:rPr>
          <w:b/>
          <w:bCs/>
          <w:noProof/>
        </w:rPr>
        <w:t>’</w:t>
      </w:r>
      <w:r w:rsidR="00F23DDD" w:rsidRPr="00CE39FB">
        <w:rPr>
          <w:b/>
          <w:bCs/>
          <w:noProof/>
        </w:rPr>
        <w:t xml:space="preserve"> </w:t>
      </w:r>
      <w:r w:rsidR="00F23DDD" w:rsidRPr="00CE39FB">
        <w:rPr>
          <w:noProof/>
        </w:rPr>
        <w:t>means a body governed by public law as defined in Article</w:t>
      </w:r>
      <w:r w:rsidR="00F23DDD" w:rsidRPr="00CE39FB">
        <w:rPr>
          <w:b/>
          <w:bCs/>
          <w:noProof/>
        </w:rPr>
        <w:t xml:space="preserve"> </w:t>
      </w:r>
      <w:r w:rsidR="00F23DDD" w:rsidRPr="00CE39FB">
        <w:rPr>
          <w:noProof/>
        </w:rPr>
        <w:t>2</w:t>
      </w:r>
      <w:r w:rsidR="002E6970" w:rsidRPr="00CE39FB">
        <w:rPr>
          <w:noProof/>
        </w:rPr>
        <w:t>(</w:t>
      </w:r>
      <w:r w:rsidR="00C729E1" w:rsidRPr="00CE39FB">
        <w:rPr>
          <w:noProof/>
        </w:rPr>
        <w:t>(</w:t>
      </w:r>
      <w:r w:rsidR="00F23DDD" w:rsidRPr="00CE39FB">
        <w:rPr>
          <w:noProof/>
        </w:rPr>
        <w:t>1</w:t>
      </w:r>
      <w:r w:rsidR="00C729E1" w:rsidRPr="00CE39FB">
        <w:rPr>
          <w:noProof/>
        </w:rPr>
        <w:t xml:space="preserve">), point </w:t>
      </w:r>
      <w:r w:rsidR="00F23DDD" w:rsidRPr="00CE39FB">
        <w:rPr>
          <w:noProof/>
        </w:rPr>
        <w:t>(4)</w:t>
      </w:r>
      <w:r w:rsidR="002E6970" w:rsidRPr="00CE39FB">
        <w:rPr>
          <w:noProof/>
        </w:rPr>
        <w:t>,</w:t>
      </w:r>
      <w:r w:rsidR="00F23DDD" w:rsidRPr="00CE39FB">
        <w:rPr>
          <w:noProof/>
        </w:rPr>
        <w:t>)</w:t>
      </w:r>
      <w:r w:rsidR="00E52571" w:rsidRPr="00CE39FB">
        <w:rPr>
          <w:noProof/>
        </w:rPr>
        <w:t>,</w:t>
      </w:r>
      <w:r w:rsidR="00F23DDD" w:rsidRPr="00CE39FB">
        <w:rPr>
          <w:noProof/>
        </w:rPr>
        <w:t xml:space="preserve"> of Directive 2014/24/EU of the European Parliament and the Council</w:t>
      </w:r>
      <w:r w:rsidR="00E52571" w:rsidRPr="00CE39FB">
        <w:rPr>
          <w:rStyle w:val="FootnoteReference"/>
          <w:noProof/>
        </w:rPr>
        <w:footnoteReference w:id="31"/>
      </w:r>
      <w:r w:rsidR="00C729E1" w:rsidRPr="00CE39FB">
        <w:rPr>
          <w:noProof/>
        </w:rPr>
        <w:t>;</w:t>
      </w:r>
    </w:p>
    <w:p w14:paraId="29DC87DA" w14:textId="32FDA263" w:rsidR="00F23DDD" w:rsidRPr="00CE39FB" w:rsidRDefault="007B0110" w:rsidP="007B0110">
      <w:pPr>
        <w:pStyle w:val="Point0"/>
        <w:rPr>
          <w:noProof/>
        </w:rPr>
      </w:pPr>
      <w:r w:rsidRPr="007B0110">
        <w:rPr>
          <w:noProof/>
        </w:rPr>
        <w:t>(3)</w:t>
      </w:r>
      <w:r w:rsidRPr="007B0110">
        <w:rPr>
          <w:noProof/>
        </w:rPr>
        <w:tab/>
      </w:r>
      <w:r w:rsidR="00C729E1" w:rsidRPr="00CE39FB">
        <w:rPr>
          <w:b/>
          <w:bCs/>
          <w:noProof/>
        </w:rPr>
        <w:t>‘</w:t>
      </w:r>
      <w:r w:rsidR="00F23DDD" w:rsidRPr="00CE39FB">
        <w:rPr>
          <w:b/>
          <w:bCs/>
          <w:noProof/>
        </w:rPr>
        <w:t>Hosting Consortium</w:t>
      </w:r>
      <w:r w:rsidR="00C729E1" w:rsidRPr="00CE39FB">
        <w:rPr>
          <w:b/>
          <w:bCs/>
          <w:noProof/>
        </w:rPr>
        <w:t>’</w:t>
      </w:r>
      <w:r w:rsidR="00F23DDD" w:rsidRPr="00CE39FB">
        <w:rPr>
          <w:noProof/>
        </w:rPr>
        <w:t xml:space="preserve"> means a consortium composed of participating </w:t>
      </w:r>
      <w:r w:rsidR="52F20125" w:rsidRPr="00CE39FB">
        <w:rPr>
          <w:noProof/>
        </w:rPr>
        <w:t>s</w:t>
      </w:r>
      <w:r w:rsidR="1DF960A3" w:rsidRPr="00CE39FB">
        <w:rPr>
          <w:noProof/>
        </w:rPr>
        <w:t>tates</w:t>
      </w:r>
      <w:r w:rsidR="2670EB5C" w:rsidRPr="00CE39FB">
        <w:rPr>
          <w:noProof/>
        </w:rPr>
        <w:t>, represented by National SOCs,</w:t>
      </w:r>
      <w:r w:rsidR="00F23DDD" w:rsidRPr="00CE39FB">
        <w:rPr>
          <w:noProof/>
        </w:rPr>
        <w:t xml:space="preserve"> that have agreed to establish and contribute to the acquisition of tools and infrastructure for, and operation of, a Cross-border SOC </w:t>
      </w:r>
      <w:r w:rsidR="00C729E1" w:rsidRPr="00CE39FB">
        <w:rPr>
          <w:noProof/>
        </w:rPr>
        <w:t>;</w:t>
      </w:r>
    </w:p>
    <w:p w14:paraId="0C546DF2" w14:textId="6C3BEB1F" w:rsidR="00F23DDD" w:rsidRDefault="007B0110" w:rsidP="007B0110">
      <w:pPr>
        <w:pStyle w:val="Point0"/>
        <w:rPr>
          <w:noProof/>
        </w:rPr>
      </w:pPr>
      <w:r w:rsidRPr="007B0110">
        <w:rPr>
          <w:noProof/>
        </w:rPr>
        <w:t>(4)</w:t>
      </w:r>
      <w:r w:rsidRPr="007B0110">
        <w:rPr>
          <w:noProof/>
        </w:rPr>
        <w:tab/>
      </w:r>
      <w:r w:rsidR="006D78D2">
        <w:rPr>
          <w:noProof/>
        </w:rPr>
        <w:t>‘</w:t>
      </w:r>
      <w:r w:rsidR="00051856" w:rsidRPr="00CE39FB">
        <w:rPr>
          <w:b/>
          <w:bCs/>
          <w:noProof/>
        </w:rPr>
        <w:t>e</w:t>
      </w:r>
      <w:r w:rsidR="00F23DDD" w:rsidRPr="00CE39FB">
        <w:rPr>
          <w:b/>
          <w:bCs/>
          <w:noProof/>
        </w:rPr>
        <w:t>ntity</w:t>
      </w:r>
      <w:r w:rsidR="006D78D2">
        <w:rPr>
          <w:b/>
          <w:bCs/>
          <w:noProof/>
        </w:rPr>
        <w:t>’</w:t>
      </w:r>
      <w:r w:rsidR="00F23DDD" w:rsidRPr="008D6611">
        <w:rPr>
          <w:b/>
          <w:noProof/>
        </w:rPr>
        <w:t xml:space="preserve"> </w:t>
      </w:r>
      <w:r w:rsidR="00F23DDD" w:rsidRPr="00CE39FB">
        <w:rPr>
          <w:noProof/>
        </w:rPr>
        <w:t xml:space="preserve">means an entity as defined in Article 6, point </w:t>
      </w:r>
      <w:r w:rsidR="000B3CB5" w:rsidRPr="00CE39FB">
        <w:rPr>
          <w:noProof/>
        </w:rPr>
        <w:t>(</w:t>
      </w:r>
      <w:r w:rsidR="00F23DDD" w:rsidRPr="00CE39FB">
        <w:rPr>
          <w:noProof/>
        </w:rPr>
        <w:t>38</w:t>
      </w:r>
      <w:r w:rsidR="000B3CB5" w:rsidRPr="00CE39FB">
        <w:rPr>
          <w:noProof/>
        </w:rPr>
        <w:t>)</w:t>
      </w:r>
      <w:r w:rsidR="00051856" w:rsidRPr="00CE39FB">
        <w:rPr>
          <w:noProof/>
        </w:rPr>
        <w:t>,</w:t>
      </w:r>
      <w:r w:rsidR="00F23DDD" w:rsidRPr="00CE39FB">
        <w:rPr>
          <w:noProof/>
        </w:rPr>
        <w:t xml:space="preserve"> of Directive (EU) 2022/2555</w:t>
      </w:r>
      <w:r w:rsidR="00F23DDD" w:rsidRPr="00CE39FB">
        <w:rPr>
          <w:i/>
          <w:iCs/>
          <w:noProof/>
        </w:rPr>
        <w:t>;</w:t>
      </w:r>
      <w:r w:rsidR="00F23DDD" w:rsidRPr="00CE39FB">
        <w:rPr>
          <w:noProof/>
        </w:rPr>
        <w:t xml:space="preserve"> </w:t>
      </w:r>
    </w:p>
    <w:p w14:paraId="51B801B1" w14:textId="145C8C8A" w:rsidR="004D402A" w:rsidRPr="00CE39FB" w:rsidRDefault="004D402A" w:rsidP="007B0110">
      <w:pPr>
        <w:pStyle w:val="Point0"/>
        <w:rPr>
          <w:noProof/>
        </w:rPr>
      </w:pPr>
      <w:r>
        <w:rPr>
          <w:noProof/>
        </w:rPr>
        <w:t>(5)</w:t>
      </w:r>
      <w:r>
        <w:rPr>
          <w:noProof/>
        </w:rPr>
        <w:tab/>
        <w:t>‘</w:t>
      </w:r>
      <w:r w:rsidRPr="005D7264">
        <w:rPr>
          <w:b/>
          <w:bCs/>
          <w:noProof/>
        </w:rPr>
        <w:t>entities operating in critical or highly critical sectors’</w:t>
      </w:r>
      <w:r>
        <w:rPr>
          <w:noProof/>
        </w:rPr>
        <w:t xml:space="preserve"> means </w:t>
      </w:r>
      <w:r w:rsidR="00AD5D36">
        <w:rPr>
          <w:noProof/>
        </w:rPr>
        <w:t xml:space="preserve">type of </w:t>
      </w:r>
      <w:r>
        <w:rPr>
          <w:noProof/>
        </w:rPr>
        <w:t xml:space="preserve">entities listed in Annex I and Annex II </w:t>
      </w:r>
      <w:r w:rsidR="00AD5D36">
        <w:rPr>
          <w:noProof/>
        </w:rPr>
        <w:t xml:space="preserve">of </w:t>
      </w:r>
      <w:r>
        <w:rPr>
          <w:noProof/>
        </w:rPr>
        <w:t>Directive (EU) 2022/2555;</w:t>
      </w:r>
    </w:p>
    <w:p w14:paraId="1E0A95C9" w14:textId="0CF47BED" w:rsidR="00BC7EF7" w:rsidRPr="005D7264" w:rsidRDefault="007B0110" w:rsidP="004D402A">
      <w:pPr>
        <w:pStyle w:val="Point0"/>
        <w:rPr>
          <w:noProof/>
        </w:rPr>
      </w:pPr>
      <w:r w:rsidRPr="007B0110">
        <w:rPr>
          <w:noProof/>
        </w:rPr>
        <w:t>(</w:t>
      </w:r>
      <w:r w:rsidR="00AD5D36">
        <w:rPr>
          <w:noProof/>
        </w:rPr>
        <w:t>6</w:t>
      </w:r>
      <w:r w:rsidRPr="007B0110">
        <w:rPr>
          <w:noProof/>
        </w:rPr>
        <w:t>)</w:t>
      </w:r>
      <w:r w:rsidRPr="007B0110">
        <w:rPr>
          <w:noProof/>
        </w:rPr>
        <w:tab/>
      </w:r>
      <w:r w:rsidR="006D78D2">
        <w:rPr>
          <w:noProof/>
        </w:rPr>
        <w:t>‘</w:t>
      </w:r>
      <w:r w:rsidR="006D78D2">
        <w:rPr>
          <w:b/>
          <w:bCs/>
          <w:noProof/>
        </w:rPr>
        <w:t>c</w:t>
      </w:r>
      <w:r w:rsidR="00BC7EF7" w:rsidRPr="00CE39FB">
        <w:rPr>
          <w:b/>
          <w:bCs/>
          <w:noProof/>
        </w:rPr>
        <w:t>yber threat</w:t>
      </w:r>
      <w:r w:rsidR="006D78D2">
        <w:rPr>
          <w:b/>
          <w:bCs/>
          <w:noProof/>
        </w:rPr>
        <w:t>’</w:t>
      </w:r>
      <w:r w:rsidR="00BC7EF7" w:rsidRPr="00CE39FB">
        <w:rPr>
          <w:b/>
          <w:bCs/>
          <w:noProof/>
        </w:rPr>
        <w:t xml:space="preserve"> </w:t>
      </w:r>
      <w:r w:rsidR="00BC7EF7" w:rsidRPr="00CE39FB">
        <w:rPr>
          <w:noProof/>
        </w:rPr>
        <w:t>means a cyber threat as defined in Article 2, point (8), of Regulation (EU) 2019/881</w:t>
      </w:r>
      <w:r w:rsidR="00CB06E2" w:rsidRPr="00CE39FB">
        <w:rPr>
          <w:noProof/>
        </w:rPr>
        <w:t>;</w:t>
      </w:r>
    </w:p>
    <w:p w14:paraId="172114B1" w14:textId="1A42DEB5" w:rsidR="00F23DDD" w:rsidRPr="00CE39FB" w:rsidRDefault="007B0110" w:rsidP="007B0110">
      <w:pPr>
        <w:pStyle w:val="Point0"/>
        <w:rPr>
          <w:b/>
          <w:bCs/>
          <w:noProof/>
        </w:rPr>
      </w:pPr>
      <w:r w:rsidRPr="007B0110">
        <w:rPr>
          <w:noProof/>
        </w:rPr>
        <w:t>(</w:t>
      </w:r>
      <w:r w:rsidR="00AD5D36">
        <w:rPr>
          <w:noProof/>
        </w:rPr>
        <w:t>7</w:t>
      </w:r>
      <w:r w:rsidRPr="007B0110">
        <w:rPr>
          <w:noProof/>
        </w:rPr>
        <w:t>)</w:t>
      </w:r>
      <w:r w:rsidRPr="007B0110">
        <w:rPr>
          <w:noProof/>
        </w:rPr>
        <w:tab/>
      </w:r>
      <w:r w:rsidR="006D78D2">
        <w:rPr>
          <w:noProof/>
        </w:rPr>
        <w:t>‘</w:t>
      </w:r>
      <w:r w:rsidR="000B3D2B" w:rsidRPr="00CE39FB">
        <w:rPr>
          <w:b/>
          <w:bCs/>
          <w:noProof/>
        </w:rPr>
        <w:t>s</w:t>
      </w:r>
      <w:r w:rsidR="00F23DDD" w:rsidRPr="00CE39FB">
        <w:rPr>
          <w:b/>
          <w:bCs/>
          <w:noProof/>
        </w:rPr>
        <w:t>ignificant cybersecurity incident</w:t>
      </w:r>
      <w:r w:rsidR="006D78D2">
        <w:rPr>
          <w:b/>
          <w:bCs/>
          <w:noProof/>
        </w:rPr>
        <w:t>’</w:t>
      </w:r>
      <w:r w:rsidR="00F23DDD" w:rsidRPr="00CE39FB">
        <w:rPr>
          <w:b/>
          <w:bCs/>
          <w:noProof/>
        </w:rPr>
        <w:t xml:space="preserve"> </w:t>
      </w:r>
      <w:r w:rsidR="00F23DDD" w:rsidRPr="00CE39FB">
        <w:rPr>
          <w:noProof/>
        </w:rPr>
        <w:t xml:space="preserve">means a cybersecurity incident </w:t>
      </w:r>
      <w:r w:rsidR="00742AB1" w:rsidRPr="00CE39FB">
        <w:rPr>
          <w:noProof/>
        </w:rPr>
        <w:t>fulfilling</w:t>
      </w:r>
      <w:r w:rsidR="00511228" w:rsidRPr="00CE39FB">
        <w:rPr>
          <w:noProof/>
        </w:rPr>
        <w:t xml:space="preserve"> criteria set out in Article 23(3) of Directive (EU) 2022/2555</w:t>
      </w:r>
      <w:r w:rsidR="000B3D2B" w:rsidRPr="00CE39FB">
        <w:rPr>
          <w:noProof/>
        </w:rPr>
        <w:t>;</w:t>
      </w:r>
    </w:p>
    <w:p w14:paraId="6B238784" w14:textId="327AAF2F" w:rsidR="00F23DDD" w:rsidRPr="00CE39FB" w:rsidRDefault="007B0110" w:rsidP="007B0110">
      <w:pPr>
        <w:pStyle w:val="Point0"/>
        <w:rPr>
          <w:noProof/>
        </w:rPr>
      </w:pPr>
      <w:r w:rsidRPr="007B0110">
        <w:rPr>
          <w:noProof/>
        </w:rPr>
        <w:t>(</w:t>
      </w:r>
      <w:r w:rsidR="00AD5D36">
        <w:rPr>
          <w:noProof/>
        </w:rPr>
        <w:t>8</w:t>
      </w:r>
      <w:r w:rsidRPr="007B0110">
        <w:rPr>
          <w:noProof/>
        </w:rPr>
        <w:t>)</w:t>
      </w:r>
      <w:r w:rsidRPr="007B0110">
        <w:rPr>
          <w:noProof/>
        </w:rPr>
        <w:tab/>
      </w:r>
      <w:r w:rsidR="006D78D2">
        <w:rPr>
          <w:noProof/>
        </w:rPr>
        <w:t>‘</w:t>
      </w:r>
      <w:r w:rsidR="00051856" w:rsidRPr="00CE39FB">
        <w:rPr>
          <w:b/>
          <w:bCs/>
          <w:noProof/>
        </w:rPr>
        <w:t>l</w:t>
      </w:r>
      <w:r w:rsidR="00F23DDD" w:rsidRPr="00CE39FB">
        <w:rPr>
          <w:b/>
          <w:bCs/>
          <w:noProof/>
        </w:rPr>
        <w:t>arge-scale cybersecurity incident</w:t>
      </w:r>
      <w:r w:rsidR="006D78D2">
        <w:rPr>
          <w:b/>
          <w:bCs/>
          <w:noProof/>
        </w:rPr>
        <w:t>’</w:t>
      </w:r>
      <w:r w:rsidR="00F23DDD" w:rsidRPr="00CE39FB">
        <w:rPr>
          <w:b/>
          <w:bCs/>
          <w:noProof/>
        </w:rPr>
        <w:t xml:space="preserve"> </w:t>
      </w:r>
      <w:r w:rsidR="00F23DDD" w:rsidRPr="00CE39FB">
        <w:rPr>
          <w:noProof/>
        </w:rPr>
        <w:t xml:space="preserve">means an incident as defined in Article 6, point </w:t>
      </w:r>
      <w:r w:rsidR="000B3CB5" w:rsidRPr="00CE39FB">
        <w:rPr>
          <w:noProof/>
        </w:rPr>
        <w:t>(</w:t>
      </w:r>
      <w:r w:rsidR="00F23DDD" w:rsidRPr="00CE39FB">
        <w:rPr>
          <w:noProof/>
        </w:rPr>
        <w:t>7</w:t>
      </w:r>
      <w:r w:rsidR="000B3CB5" w:rsidRPr="00CE39FB">
        <w:rPr>
          <w:noProof/>
        </w:rPr>
        <w:t>)</w:t>
      </w:r>
      <w:r w:rsidR="00F23DDD" w:rsidRPr="00CE39FB">
        <w:rPr>
          <w:noProof/>
        </w:rPr>
        <w:t xml:space="preserve"> of Directive (EU)2022/2555;</w:t>
      </w:r>
      <w:r w:rsidR="00051856" w:rsidRPr="00CE39FB" w:rsidDel="00051856">
        <w:rPr>
          <w:rStyle w:val="CommentReference"/>
          <w:rFonts w:eastAsia="Times New Roman"/>
          <w:noProof/>
          <w:lang w:eastAsia="en-GB"/>
        </w:rPr>
        <w:t xml:space="preserve"> </w:t>
      </w:r>
    </w:p>
    <w:p w14:paraId="4D12BC27" w14:textId="279F5BF8" w:rsidR="00F23DDD" w:rsidRPr="00CE39FB" w:rsidRDefault="007B0110" w:rsidP="007B0110">
      <w:pPr>
        <w:pStyle w:val="Point0"/>
        <w:rPr>
          <w:noProof/>
        </w:rPr>
      </w:pPr>
      <w:r w:rsidRPr="007B0110">
        <w:rPr>
          <w:noProof/>
        </w:rPr>
        <w:t>(</w:t>
      </w:r>
      <w:r w:rsidR="00AD5D36">
        <w:rPr>
          <w:noProof/>
        </w:rPr>
        <w:t>9</w:t>
      </w:r>
      <w:r w:rsidRPr="007B0110">
        <w:rPr>
          <w:noProof/>
        </w:rPr>
        <w:t>)</w:t>
      </w:r>
      <w:r w:rsidRPr="007B0110">
        <w:rPr>
          <w:noProof/>
        </w:rPr>
        <w:tab/>
      </w:r>
      <w:r w:rsidR="00CD11D1" w:rsidRPr="00CE39FB">
        <w:rPr>
          <w:b/>
          <w:bCs/>
          <w:noProof/>
        </w:rPr>
        <w:t>‘</w:t>
      </w:r>
      <w:r w:rsidR="00863F5A" w:rsidRPr="00CE39FB">
        <w:rPr>
          <w:b/>
          <w:bCs/>
          <w:noProof/>
        </w:rPr>
        <w:t>p</w:t>
      </w:r>
      <w:r w:rsidR="00F23DDD" w:rsidRPr="00CE39FB">
        <w:rPr>
          <w:b/>
          <w:bCs/>
          <w:noProof/>
        </w:rPr>
        <w:t>reparedness</w:t>
      </w:r>
      <w:r w:rsidR="00CD11D1" w:rsidRPr="00CE39FB">
        <w:rPr>
          <w:b/>
          <w:bCs/>
          <w:noProof/>
        </w:rPr>
        <w:t>’</w:t>
      </w:r>
      <w:r w:rsidR="00F23DDD" w:rsidRPr="00CE39FB">
        <w:rPr>
          <w:noProof/>
        </w:rPr>
        <w:t xml:space="preserve"> means a state of readiness and capability to ensure an effective rapid response to a significant or large-scale cybersecurity incident, obtained as a result of risk assessment and monitoring actions taken in advance; </w:t>
      </w:r>
    </w:p>
    <w:p w14:paraId="62C8FEE8" w14:textId="2797EDEC" w:rsidR="00F23DDD" w:rsidRPr="00CE39FB" w:rsidRDefault="007B0110" w:rsidP="007B0110">
      <w:pPr>
        <w:pStyle w:val="Point0"/>
        <w:rPr>
          <w:noProof/>
        </w:rPr>
      </w:pPr>
      <w:r w:rsidRPr="007B0110">
        <w:rPr>
          <w:noProof/>
        </w:rPr>
        <w:t>(</w:t>
      </w:r>
      <w:r w:rsidR="00AD5D36">
        <w:rPr>
          <w:noProof/>
        </w:rPr>
        <w:t>10</w:t>
      </w:r>
      <w:r w:rsidRPr="007B0110">
        <w:rPr>
          <w:noProof/>
        </w:rPr>
        <w:t>)</w:t>
      </w:r>
      <w:r w:rsidRPr="007B0110">
        <w:rPr>
          <w:noProof/>
        </w:rPr>
        <w:tab/>
      </w:r>
      <w:r w:rsidR="00CD11D1" w:rsidRPr="00CE39FB">
        <w:rPr>
          <w:b/>
          <w:bCs/>
          <w:noProof/>
        </w:rPr>
        <w:t>‘</w:t>
      </w:r>
      <w:r w:rsidR="00802BC0" w:rsidRPr="00CE39FB">
        <w:rPr>
          <w:b/>
          <w:bCs/>
          <w:noProof/>
        </w:rPr>
        <w:t>r</w:t>
      </w:r>
      <w:r w:rsidR="00F23DDD" w:rsidRPr="00CE39FB">
        <w:rPr>
          <w:b/>
          <w:bCs/>
          <w:noProof/>
        </w:rPr>
        <w:t>esponse</w:t>
      </w:r>
      <w:r w:rsidR="00CD11D1" w:rsidRPr="00CE39FB">
        <w:rPr>
          <w:b/>
          <w:bCs/>
          <w:noProof/>
        </w:rPr>
        <w:t>’</w:t>
      </w:r>
      <w:r w:rsidR="00F23DDD" w:rsidRPr="00CE39FB">
        <w:rPr>
          <w:noProof/>
        </w:rPr>
        <w:t xml:space="preserve"> means action in the event of a significant or large-scale cybersecurity incident, or during or after </w:t>
      </w:r>
      <w:r w:rsidR="000B3CB5" w:rsidRPr="00CE39FB">
        <w:rPr>
          <w:noProof/>
        </w:rPr>
        <w:t>such an incident</w:t>
      </w:r>
      <w:r w:rsidR="00F23DDD" w:rsidRPr="00CE39FB">
        <w:rPr>
          <w:noProof/>
        </w:rPr>
        <w:t>, to address its immediate and short-term adverse consequences; </w:t>
      </w:r>
    </w:p>
    <w:p w14:paraId="53E7E2D8" w14:textId="0A8F2C63" w:rsidR="00FF443B" w:rsidRPr="00CE39FB" w:rsidRDefault="007B0110" w:rsidP="007B0110">
      <w:pPr>
        <w:pStyle w:val="Point0"/>
        <w:rPr>
          <w:noProof/>
        </w:rPr>
      </w:pPr>
      <w:r w:rsidRPr="007B0110">
        <w:rPr>
          <w:noProof/>
        </w:rPr>
        <w:t>(1</w:t>
      </w:r>
      <w:r w:rsidR="00AD5D36">
        <w:rPr>
          <w:noProof/>
        </w:rPr>
        <w:t>1</w:t>
      </w:r>
      <w:r w:rsidRPr="007B0110">
        <w:rPr>
          <w:noProof/>
        </w:rPr>
        <w:t>)</w:t>
      </w:r>
      <w:r w:rsidRPr="007B0110">
        <w:rPr>
          <w:noProof/>
        </w:rPr>
        <w:tab/>
      </w:r>
      <w:r w:rsidR="00CD11D1" w:rsidRPr="00CE39FB">
        <w:rPr>
          <w:b/>
          <w:bCs/>
          <w:noProof/>
        </w:rPr>
        <w:t>‘</w:t>
      </w:r>
      <w:r w:rsidR="00052AD8" w:rsidRPr="00CE39FB">
        <w:rPr>
          <w:b/>
          <w:bCs/>
          <w:noProof/>
        </w:rPr>
        <w:t>t</w:t>
      </w:r>
      <w:r w:rsidR="00F23DDD" w:rsidRPr="00CE39FB">
        <w:rPr>
          <w:b/>
          <w:bCs/>
          <w:noProof/>
        </w:rPr>
        <w:t>rusted providers</w:t>
      </w:r>
      <w:r w:rsidR="00CD11D1" w:rsidRPr="00CE39FB">
        <w:rPr>
          <w:b/>
          <w:bCs/>
          <w:noProof/>
        </w:rPr>
        <w:t>’</w:t>
      </w:r>
      <w:r w:rsidR="00F23DDD" w:rsidRPr="00CE39FB">
        <w:rPr>
          <w:noProof/>
        </w:rPr>
        <w:t xml:space="preserve"> means managed security service providers as defined in Article 6, point </w:t>
      </w:r>
      <w:r w:rsidR="000B3CB5" w:rsidRPr="00CE39FB">
        <w:rPr>
          <w:noProof/>
        </w:rPr>
        <w:t>(</w:t>
      </w:r>
      <w:r w:rsidR="00F23DDD" w:rsidRPr="00CE39FB">
        <w:rPr>
          <w:noProof/>
        </w:rPr>
        <w:t>40</w:t>
      </w:r>
      <w:r w:rsidR="000B3CB5" w:rsidRPr="00CE39FB">
        <w:rPr>
          <w:noProof/>
        </w:rPr>
        <w:t>)</w:t>
      </w:r>
      <w:r w:rsidR="00052AD8" w:rsidRPr="00CE39FB">
        <w:rPr>
          <w:noProof/>
        </w:rPr>
        <w:t>,</w:t>
      </w:r>
      <w:r w:rsidR="00F23DDD" w:rsidRPr="00CE39FB">
        <w:rPr>
          <w:noProof/>
        </w:rPr>
        <w:t xml:space="preserve"> of Directive (EU) 2022/2555 selected in accordance with Article 16 </w:t>
      </w:r>
      <w:r w:rsidR="00CD11D1" w:rsidRPr="00CE39FB">
        <w:rPr>
          <w:noProof/>
        </w:rPr>
        <w:t>of this Regulation</w:t>
      </w:r>
      <w:r w:rsidR="00F23DDD" w:rsidRPr="00CE39FB">
        <w:rPr>
          <w:noProof/>
        </w:rPr>
        <w:t>.</w:t>
      </w:r>
    </w:p>
    <w:p w14:paraId="01F66D23" w14:textId="77777777" w:rsidR="00A16347" w:rsidRPr="008D6611" w:rsidRDefault="00A16347" w:rsidP="00B4195C">
      <w:pPr>
        <w:pStyle w:val="Titrearticle"/>
        <w:rPr>
          <w:b/>
          <w:noProof/>
        </w:rPr>
      </w:pPr>
    </w:p>
    <w:p w14:paraId="65C58412" w14:textId="77777777" w:rsidR="00B4195C" w:rsidRPr="008D6611" w:rsidRDefault="00B4195C" w:rsidP="00B4195C">
      <w:pPr>
        <w:pStyle w:val="Titrearticle"/>
        <w:rPr>
          <w:b/>
          <w:noProof/>
        </w:rPr>
      </w:pPr>
      <w:r w:rsidRPr="008D6611">
        <w:rPr>
          <w:b/>
          <w:noProof/>
        </w:rPr>
        <w:t>Chapter II</w:t>
      </w:r>
    </w:p>
    <w:p w14:paraId="656894C2" w14:textId="77777777" w:rsidR="00B4195C" w:rsidRPr="008D6611" w:rsidRDefault="00B4195C" w:rsidP="00B4195C">
      <w:pPr>
        <w:pStyle w:val="Titrearticle"/>
        <w:rPr>
          <w:b/>
          <w:noProof/>
        </w:rPr>
      </w:pPr>
      <w:r w:rsidRPr="008D6611">
        <w:rPr>
          <w:b/>
          <w:noProof/>
        </w:rPr>
        <w:t>THE EUROPEAN CYBER SHIELD </w:t>
      </w:r>
    </w:p>
    <w:p w14:paraId="781FCEBC" w14:textId="77777777" w:rsidR="004B3957" w:rsidRPr="008D6611" w:rsidRDefault="004B3957" w:rsidP="004B3957">
      <w:pPr>
        <w:pStyle w:val="Titrearticle"/>
        <w:rPr>
          <w:noProof/>
        </w:rPr>
      </w:pPr>
      <w:r w:rsidRPr="008D6611">
        <w:rPr>
          <w:noProof/>
        </w:rPr>
        <w:t>Article 3</w:t>
      </w:r>
    </w:p>
    <w:p w14:paraId="774AF097" w14:textId="77777777" w:rsidR="00533351" w:rsidRPr="00CE39FB" w:rsidRDefault="00675F29" w:rsidP="00533351">
      <w:pPr>
        <w:pStyle w:val="paragraph"/>
        <w:spacing w:beforeAutospacing="0" w:after="0" w:afterAutospacing="0"/>
        <w:jc w:val="center"/>
        <w:rPr>
          <w:b/>
          <w:bCs/>
          <w:noProof/>
        </w:rPr>
      </w:pPr>
      <w:r w:rsidRPr="00CE39FB">
        <w:rPr>
          <w:b/>
          <w:bCs/>
          <w:noProof/>
        </w:rPr>
        <w:t xml:space="preserve">Establishment </w:t>
      </w:r>
      <w:r w:rsidR="00533351" w:rsidRPr="00CE39FB">
        <w:rPr>
          <w:b/>
          <w:bCs/>
          <w:noProof/>
        </w:rPr>
        <w:t>of the European Cyber Shield</w:t>
      </w:r>
    </w:p>
    <w:p w14:paraId="10FCB915" w14:textId="77777777" w:rsidR="00533351" w:rsidRPr="00CE39FB" w:rsidRDefault="00533351" w:rsidP="00533351">
      <w:pPr>
        <w:pStyle w:val="paragraph"/>
        <w:spacing w:beforeAutospacing="0" w:after="0" w:afterAutospacing="0"/>
        <w:jc w:val="center"/>
        <w:rPr>
          <w:b/>
          <w:bCs/>
          <w:noProof/>
          <w:lang w:eastAsia="en-US"/>
        </w:rPr>
      </w:pPr>
    </w:p>
    <w:p w14:paraId="4A552794" w14:textId="772CE877" w:rsidR="00533351" w:rsidRPr="00CE39FB" w:rsidRDefault="00533351" w:rsidP="00684B26">
      <w:pPr>
        <w:rPr>
          <w:rFonts w:eastAsia="Times New Roman"/>
          <w:noProof/>
        </w:rPr>
      </w:pPr>
      <w:r w:rsidRPr="00CE39FB">
        <w:rPr>
          <w:rFonts w:eastAsia="Times New Roman"/>
          <w:noProof/>
        </w:rPr>
        <w:t>1. An interconnected pan-European infrastructure of Security Operation</w:t>
      </w:r>
      <w:r w:rsidR="006D78D2">
        <w:rPr>
          <w:rFonts w:eastAsia="Times New Roman"/>
          <w:noProof/>
        </w:rPr>
        <w:t>s</w:t>
      </w:r>
      <w:r w:rsidRPr="00CE39FB">
        <w:rPr>
          <w:rFonts w:eastAsia="Times New Roman"/>
          <w:noProof/>
        </w:rPr>
        <w:t xml:space="preserve"> Centres (‘European Cyber Shield’) shall be established to develop advanced capabilities for the Union to detect, analyse and process data on cyber threats and incidents in the Union</w:t>
      </w:r>
      <w:r w:rsidR="3FA1EFB5" w:rsidRPr="00CE39FB">
        <w:rPr>
          <w:rFonts w:eastAsia="Times New Roman"/>
          <w:noProof/>
        </w:rPr>
        <w:t>.</w:t>
      </w:r>
      <w:r w:rsidR="68B3E858" w:rsidRPr="00CE39FB">
        <w:rPr>
          <w:rFonts w:eastAsia="Times New Roman"/>
          <w:noProof/>
        </w:rPr>
        <w:t xml:space="preserve"> It shall consist of </w:t>
      </w:r>
      <w:r w:rsidR="7DFCAAA0" w:rsidRPr="00CE39FB">
        <w:rPr>
          <w:rFonts w:eastAsia="Times New Roman"/>
          <w:noProof/>
        </w:rPr>
        <w:t xml:space="preserve">all </w:t>
      </w:r>
      <w:r w:rsidR="35CA98E2" w:rsidRPr="00CE39FB">
        <w:rPr>
          <w:rFonts w:eastAsia="Times New Roman"/>
          <w:noProof/>
        </w:rPr>
        <w:t>National</w:t>
      </w:r>
      <w:r w:rsidR="68B3E858" w:rsidRPr="00CE39FB">
        <w:rPr>
          <w:rFonts w:eastAsia="Times New Roman"/>
          <w:noProof/>
        </w:rPr>
        <w:t xml:space="preserve"> Security Operations Centres (</w:t>
      </w:r>
      <w:r w:rsidR="006D78D2">
        <w:rPr>
          <w:rFonts w:eastAsia="Times New Roman"/>
          <w:noProof/>
        </w:rPr>
        <w:t>‘</w:t>
      </w:r>
      <w:r w:rsidR="68B3E858" w:rsidRPr="00CE39FB">
        <w:rPr>
          <w:rFonts w:eastAsia="Times New Roman"/>
          <w:noProof/>
        </w:rPr>
        <w:t>National SOCs</w:t>
      </w:r>
      <w:r w:rsidR="006D78D2">
        <w:rPr>
          <w:rFonts w:eastAsia="Times New Roman"/>
          <w:noProof/>
        </w:rPr>
        <w:t>’</w:t>
      </w:r>
      <w:r w:rsidR="35CA98E2" w:rsidRPr="00CE39FB">
        <w:rPr>
          <w:rFonts w:eastAsia="Times New Roman"/>
          <w:noProof/>
        </w:rPr>
        <w:t>)</w:t>
      </w:r>
      <w:r w:rsidR="68B3E858" w:rsidRPr="00CE39FB">
        <w:rPr>
          <w:rFonts w:eastAsia="Times New Roman"/>
          <w:noProof/>
        </w:rPr>
        <w:t xml:space="preserve"> and Cross-border </w:t>
      </w:r>
      <w:r w:rsidR="35CA98E2" w:rsidRPr="00CE39FB">
        <w:rPr>
          <w:rFonts w:eastAsia="Times New Roman"/>
          <w:noProof/>
        </w:rPr>
        <w:t>Security Operat</w:t>
      </w:r>
      <w:r w:rsidR="68B3E858" w:rsidRPr="00CE39FB">
        <w:rPr>
          <w:rFonts w:eastAsia="Times New Roman"/>
          <w:noProof/>
        </w:rPr>
        <w:t>ions Centres (</w:t>
      </w:r>
      <w:r w:rsidR="006D78D2">
        <w:rPr>
          <w:rFonts w:eastAsia="Times New Roman"/>
          <w:noProof/>
        </w:rPr>
        <w:t>‘</w:t>
      </w:r>
      <w:r w:rsidR="35CA98E2" w:rsidRPr="00CE39FB">
        <w:rPr>
          <w:rFonts w:eastAsia="Times New Roman"/>
          <w:noProof/>
        </w:rPr>
        <w:t xml:space="preserve">Cross-border </w:t>
      </w:r>
      <w:r w:rsidR="68B3E858" w:rsidRPr="00CE39FB">
        <w:rPr>
          <w:rFonts w:eastAsia="Times New Roman"/>
          <w:noProof/>
        </w:rPr>
        <w:t>SOCs</w:t>
      </w:r>
      <w:r w:rsidR="006D78D2">
        <w:rPr>
          <w:rFonts w:eastAsia="Times New Roman"/>
          <w:noProof/>
        </w:rPr>
        <w:t>’</w:t>
      </w:r>
      <w:r w:rsidR="687CDA94" w:rsidRPr="00CE39FB">
        <w:rPr>
          <w:rFonts w:eastAsia="Times New Roman"/>
          <w:noProof/>
        </w:rPr>
        <w:t>)</w:t>
      </w:r>
      <w:r w:rsidR="35CA98E2" w:rsidRPr="00CE39FB">
        <w:rPr>
          <w:rFonts w:eastAsia="Times New Roman"/>
          <w:noProof/>
        </w:rPr>
        <w:t>.</w:t>
      </w:r>
    </w:p>
    <w:p w14:paraId="3FDC4783" w14:textId="31A6878A" w:rsidR="00D94275" w:rsidRPr="00CE39FB" w:rsidRDefault="592CD3AA" w:rsidP="15A95C29">
      <w:pPr>
        <w:rPr>
          <w:rFonts w:eastAsia="Times New Roman"/>
          <w:noProof/>
        </w:rPr>
      </w:pPr>
      <w:r w:rsidRPr="00CE39FB">
        <w:rPr>
          <w:rFonts w:eastAsia="Times New Roman"/>
          <w:noProof/>
        </w:rPr>
        <w:t>Actions implementing the European Cyber Shield shall be supported by funding from the Digital Europe Programme</w:t>
      </w:r>
      <w:r w:rsidRPr="008D6611">
        <w:rPr>
          <w:noProof/>
        </w:rPr>
        <w:t xml:space="preserve"> and </w:t>
      </w:r>
      <w:r w:rsidRPr="00CE39FB">
        <w:rPr>
          <w:rFonts w:eastAsia="Times New Roman"/>
          <w:noProof/>
        </w:rPr>
        <w:t>implemented in accordance with Regulation (EU) 2021/694 and in particular Specific Objective 3 thereof.</w:t>
      </w:r>
    </w:p>
    <w:p w14:paraId="00B031E7" w14:textId="77777777" w:rsidR="00533351" w:rsidRPr="00CE39FB" w:rsidRDefault="00533351" w:rsidP="00684B26">
      <w:pPr>
        <w:rPr>
          <w:rFonts w:eastAsia="Times New Roman"/>
          <w:noProof/>
        </w:rPr>
      </w:pPr>
      <w:r w:rsidRPr="00CE39FB">
        <w:rPr>
          <w:rFonts w:eastAsia="Times New Roman"/>
          <w:noProof/>
        </w:rPr>
        <w:t>2. The European Cyber Shield shall:</w:t>
      </w:r>
    </w:p>
    <w:p w14:paraId="02771F12" w14:textId="77777777" w:rsidR="00533351" w:rsidRPr="008D6611" w:rsidRDefault="00533351" w:rsidP="00533351">
      <w:pPr>
        <w:pStyle w:val="paragraph"/>
        <w:spacing w:beforeAutospacing="0" w:afterAutospacing="0"/>
        <w:ind w:left="720"/>
        <w:jc w:val="both"/>
        <w:rPr>
          <w:noProof/>
        </w:rPr>
      </w:pPr>
      <w:r w:rsidRPr="00CE39FB">
        <w:rPr>
          <w:noProof/>
        </w:rPr>
        <w:t>(a) pool and shar</w:t>
      </w:r>
      <w:r w:rsidR="00CD11D1" w:rsidRPr="00CE39FB">
        <w:rPr>
          <w:noProof/>
        </w:rPr>
        <w:t>e</w:t>
      </w:r>
      <w:r w:rsidRPr="008D6611">
        <w:rPr>
          <w:noProof/>
        </w:rPr>
        <w:t xml:space="preserve"> data on cyber threats and incidents from various sources through cross-border SOCs; </w:t>
      </w:r>
    </w:p>
    <w:p w14:paraId="2EEFB934" w14:textId="77777777" w:rsidR="00533351" w:rsidRPr="008D6611" w:rsidRDefault="00533351" w:rsidP="00533351">
      <w:pPr>
        <w:pStyle w:val="paragraph"/>
        <w:spacing w:beforeAutospacing="0" w:afterAutospacing="0"/>
        <w:ind w:left="720"/>
        <w:jc w:val="both"/>
        <w:rPr>
          <w:noProof/>
        </w:rPr>
      </w:pPr>
      <w:r w:rsidRPr="008D6611">
        <w:rPr>
          <w:noProof/>
        </w:rPr>
        <w:t xml:space="preserve">(b) </w:t>
      </w:r>
      <w:r w:rsidRPr="00CE39FB">
        <w:rPr>
          <w:noProof/>
        </w:rPr>
        <w:t>produc</w:t>
      </w:r>
      <w:r w:rsidR="00CD11D1" w:rsidRPr="00CE39FB">
        <w:rPr>
          <w:noProof/>
        </w:rPr>
        <w:t>e</w:t>
      </w:r>
      <w:r w:rsidRPr="008D6611">
        <w:rPr>
          <w:noProof/>
        </w:rPr>
        <w:t xml:space="preserve"> high-quality, actionable information and cyber threat intelligence</w:t>
      </w:r>
      <w:r w:rsidR="4561C559" w:rsidRPr="00CE39FB">
        <w:rPr>
          <w:noProof/>
        </w:rPr>
        <w:t>, through the use of state-of-the art tools, notably Artificial Intelligence and data analytics technologies</w:t>
      </w:r>
      <w:r w:rsidRPr="008D6611">
        <w:rPr>
          <w:noProof/>
        </w:rPr>
        <w:t>;</w:t>
      </w:r>
    </w:p>
    <w:p w14:paraId="3DA0BFB1" w14:textId="77777777" w:rsidR="00533351" w:rsidRPr="008D6611" w:rsidRDefault="00533351" w:rsidP="00533351">
      <w:pPr>
        <w:pStyle w:val="paragraph"/>
        <w:spacing w:beforeAutospacing="0" w:afterAutospacing="0"/>
        <w:ind w:left="720"/>
        <w:jc w:val="both"/>
        <w:rPr>
          <w:noProof/>
        </w:rPr>
      </w:pPr>
      <w:r w:rsidRPr="008D6611">
        <w:rPr>
          <w:noProof/>
        </w:rPr>
        <w:t xml:space="preserve">(c) </w:t>
      </w:r>
      <w:r w:rsidRPr="00CE39FB">
        <w:rPr>
          <w:noProof/>
        </w:rPr>
        <w:t>contribut</w:t>
      </w:r>
      <w:r w:rsidR="00CD11D1" w:rsidRPr="00CE39FB">
        <w:rPr>
          <w:noProof/>
        </w:rPr>
        <w:t>e</w:t>
      </w:r>
      <w:r w:rsidRPr="008D6611">
        <w:rPr>
          <w:noProof/>
        </w:rPr>
        <w:t xml:space="preserve"> to better protection and response to cyber threats; </w:t>
      </w:r>
    </w:p>
    <w:p w14:paraId="5AE6B28B" w14:textId="77777777" w:rsidR="00533351" w:rsidRPr="008D6611" w:rsidRDefault="00533351" w:rsidP="00533351">
      <w:pPr>
        <w:pStyle w:val="paragraph"/>
        <w:spacing w:beforeAutospacing="0" w:afterAutospacing="0"/>
        <w:ind w:left="720"/>
        <w:jc w:val="both"/>
        <w:rPr>
          <w:noProof/>
        </w:rPr>
      </w:pPr>
      <w:r w:rsidRPr="008D6611">
        <w:rPr>
          <w:noProof/>
        </w:rPr>
        <w:t xml:space="preserve">(d) </w:t>
      </w:r>
      <w:r w:rsidRPr="00CE39FB">
        <w:rPr>
          <w:noProof/>
        </w:rPr>
        <w:t>contribut</w:t>
      </w:r>
      <w:r w:rsidR="00CD11D1" w:rsidRPr="00CE39FB">
        <w:rPr>
          <w:noProof/>
        </w:rPr>
        <w:t>e</w:t>
      </w:r>
      <w:r w:rsidRPr="008D6611">
        <w:rPr>
          <w:noProof/>
        </w:rPr>
        <w:t xml:space="preserve"> to faster detection of cyber threats and situational awareness across the Union;</w:t>
      </w:r>
    </w:p>
    <w:p w14:paraId="5F5C5A5B" w14:textId="5CAA8E1A" w:rsidR="00533351" w:rsidRPr="00CE39FB" w:rsidRDefault="00533351" w:rsidP="00533351">
      <w:pPr>
        <w:pStyle w:val="paragraph"/>
        <w:spacing w:beforeAutospacing="0" w:afterAutospacing="0"/>
        <w:ind w:left="720"/>
        <w:jc w:val="both"/>
        <w:rPr>
          <w:noProof/>
        </w:rPr>
      </w:pPr>
      <w:r w:rsidRPr="008D6611">
        <w:rPr>
          <w:noProof/>
        </w:rPr>
        <w:t xml:space="preserve">(e) </w:t>
      </w:r>
      <w:r w:rsidRPr="00CE39FB">
        <w:rPr>
          <w:noProof/>
        </w:rPr>
        <w:t>provid</w:t>
      </w:r>
      <w:r w:rsidR="00CD11D1" w:rsidRPr="00CE39FB">
        <w:rPr>
          <w:noProof/>
        </w:rPr>
        <w:t>e</w:t>
      </w:r>
      <w:r w:rsidRPr="008D6611">
        <w:rPr>
          <w:noProof/>
        </w:rPr>
        <w:t xml:space="preserve"> services and activities for the cybersecurity community</w:t>
      </w:r>
      <w:r w:rsidR="00C028DD" w:rsidRPr="00CE39FB">
        <w:rPr>
          <w:noProof/>
        </w:rPr>
        <w:t xml:space="preserve"> in the </w:t>
      </w:r>
      <w:r w:rsidR="166D7C07" w:rsidRPr="00CE39FB">
        <w:rPr>
          <w:noProof/>
        </w:rPr>
        <w:t>Union</w:t>
      </w:r>
      <w:r w:rsidRPr="008D6611">
        <w:rPr>
          <w:noProof/>
        </w:rPr>
        <w:t xml:space="preserve">, including contributing to the </w:t>
      </w:r>
      <w:r w:rsidRPr="00CE39FB">
        <w:rPr>
          <w:noProof/>
        </w:rPr>
        <w:t>development advanced artificial intelligence and data analytics tools.</w:t>
      </w:r>
    </w:p>
    <w:p w14:paraId="7503496B" w14:textId="0B29E47D" w:rsidR="00533351" w:rsidRPr="00CE39FB" w:rsidRDefault="00675F29" w:rsidP="00684B26">
      <w:pPr>
        <w:rPr>
          <w:rFonts w:eastAsia="Times New Roman"/>
          <w:noProof/>
        </w:rPr>
      </w:pPr>
      <w:r w:rsidRPr="00CE39FB">
        <w:rPr>
          <w:rFonts w:eastAsia="Times New Roman"/>
          <w:noProof/>
        </w:rPr>
        <w:t xml:space="preserve">It </w:t>
      </w:r>
      <w:r w:rsidR="00533351" w:rsidRPr="00CE39FB">
        <w:rPr>
          <w:rFonts w:eastAsia="Times New Roman"/>
          <w:noProof/>
        </w:rPr>
        <w:t xml:space="preserve">shall be </w:t>
      </w:r>
      <w:r w:rsidR="00D64D0D">
        <w:rPr>
          <w:rFonts w:eastAsia="Times New Roman"/>
          <w:noProof/>
        </w:rPr>
        <w:t>developed in cooperation with</w:t>
      </w:r>
      <w:r w:rsidR="00533351" w:rsidRPr="00CE39FB">
        <w:rPr>
          <w:rFonts w:eastAsia="Times New Roman"/>
          <w:noProof/>
        </w:rPr>
        <w:t xml:space="preserve"> the </w:t>
      </w:r>
      <w:r w:rsidR="00533351" w:rsidRPr="00CE39FB">
        <w:rPr>
          <w:noProof/>
        </w:rPr>
        <w:t>pan-European High Performance Computing infrastructure</w:t>
      </w:r>
      <w:r w:rsidR="00533351" w:rsidRPr="00CE39FB">
        <w:rPr>
          <w:rFonts w:eastAsia="Times New Roman"/>
          <w:noProof/>
        </w:rPr>
        <w:t xml:space="preserve"> established </w:t>
      </w:r>
      <w:r w:rsidR="001C6BE4" w:rsidRPr="00CE39FB">
        <w:rPr>
          <w:rFonts w:eastAsia="Times New Roman"/>
          <w:noProof/>
        </w:rPr>
        <w:t xml:space="preserve">pursuant to </w:t>
      </w:r>
      <w:r w:rsidR="00533351" w:rsidRPr="00CE39FB">
        <w:rPr>
          <w:rFonts w:eastAsia="Times New Roman"/>
          <w:noProof/>
        </w:rPr>
        <w:t>Regulation (EU) 2021/1173</w:t>
      </w:r>
      <w:r w:rsidR="00CD11D1" w:rsidRPr="00CE39FB">
        <w:rPr>
          <w:rFonts w:eastAsia="Times New Roman"/>
          <w:noProof/>
        </w:rPr>
        <w:t>.</w:t>
      </w:r>
    </w:p>
    <w:p w14:paraId="1A249173" w14:textId="77777777" w:rsidR="00533351" w:rsidRPr="00CE39FB" w:rsidRDefault="00533351" w:rsidP="00A2646D">
      <w:pPr>
        <w:pStyle w:val="Titrearticle"/>
        <w:rPr>
          <w:noProof/>
          <w:szCs w:val="24"/>
        </w:rPr>
      </w:pPr>
      <w:r w:rsidRPr="00CE39FB">
        <w:rPr>
          <w:noProof/>
          <w:szCs w:val="24"/>
        </w:rPr>
        <w:t>Article 4</w:t>
      </w:r>
    </w:p>
    <w:p w14:paraId="07EC9AC2" w14:textId="77777777" w:rsidR="00533351" w:rsidRPr="00CE39FB" w:rsidRDefault="00533351" w:rsidP="00533351">
      <w:pPr>
        <w:pStyle w:val="paragraph"/>
        <w:spacing w:beforeAutospacing="0" w:after="0" w:afterAutospacing="0"/>
        <w:jc w:val="center"/>
        <w:rPr>
          <w:rStyle w:val="eop"/>
          <w:noProof/>
        </w:rPr>
      </w:pPr>
    </w:p>
    <w:p w14:paraId="1AF9BDE0" w14:textId="6D218B8A" w:rsidR="00533351" w:rsidRPr="00CE39FB" w:rsidRDefault="00533351" w:rsidP="00533351">
      <w:pPr>
        <w:pStyle w:val="paragraph"/>
        <w:spacing w:beforeAutospacing="0" w:after="0" w:afterAutospacing="0"/>
        <w:jc w:val="center"/>
        <w:rPr>
          <w:rStyle w:val="normaltextrun"/>
          <w:b/>
          <w:bCs/>
          <w:noProof/>
        </w:rPr>
      </w:pPr>
      <w:r w:rsidRPr="00CE39FB">
        <w:rPr>
          <w:rStyle w:val="normaltextrun"/>
          <w:b/>
          <w:bCs/>
          <w:noProof/>
        </w:rPr>
        <w:t>National Security Operation</w:t>
      </w:r>
      <w:r w:rsidR="006D78D2">
        <w:rPr>
          <w:rStyle w:val="normaltextrun"/>
          <w:b/>
          <w:bCs/>
          <w:noProof/>
        </w:rPr>
        <w:t>s</w:t>
      </w:r>
      <w:r w:rsidRPr="00CE39FB">
        <w:rPr>
          <w:rStyle w:val="normaltextrun"/>
          <w:b/>
          <w:bCs/>
          <w:noProof/>
        </w:rPr>
        <w:t xml:space="preserve"> Centres</w:t>
      </w:r>
    </w:p>
    <w:p w14:paraId="79F5F318" w14:textId="77777777" w:rsidR="00313857" w:rsidRPr="00CE39FB" w:rsidRDefault="00533351" w:rsidP="0075329E">
      <w:pPr>
        <w:rPr>
          <w:rFonts w:eastAsia="Times New Roman"/>
          <w:noProof/>
        </w:rPr>
      </w:pPr>
      <w:r w:rsidRPr="00CE39FB">
        <w:rPr>
          <w:rFonts w:eastAsia="Times New Roman"/>
          <w:noProof/>
        </w:rPr>
        <w:t xml:space="preserve">1. </w:t>
      </w:r>
      <w:r w:rsidRPr="00CE39FB">
        <w:rPr>
          <w:noProof/>
        </w:rPr>
        <w:t>In order to participate in the European Cyber Shield</w:t>
      </w:r>
      <w:r w:rsidR="379EEBDC" w:rsidRPr="00CE39FB">
        <w:rPr>
          <w:rFonts w:eastAsia="Times New Roman"/>
          <w:noProof/>
        </w:rPr>
        <w:t>,</w:t>
      </w:r>
      <w:r w:rsidRPr="00CE39FB">
        <w:rPr>
          <w:rFonts w:eastAsia="Times New Roman"/>
          <w:noProof/>
        </w:rPr>
        <w:t xml:space="preserve"> </w:t>
      </w:r>
      <w:r w:rsidR="00C028DD" w:rsidRPr="00CE39FB">
        <w:rPr>
          <w:rFonts w:eastAsia="Times New Roman"/>
          <w:noProof/>
        </w:rPr>
        <w:t xml:space="preserve">each </w:t>
      </w:r>
      <w:r w:rsidRPr="00CE39FB">
        <w:rPr>
          <w:rFonts w:eastAsia="Times New Roman"/>
          <w:noProof/>
        </w:rPr>
        <w:t xml:space="preserve">Member State shall designate at least one National </w:t>
      </w:r>
      <w:r w:rsidR="00C04F83" w:rsidRPr="00CE39FB">
        <w:rPr>
          <w:rFonts w:eastAsia="Times New Roman"/>
          <w:noProof/>
        </w:rPr>
        <w:t>SOC</w:t>
      </w:r>
      <w:r w:rsidRPr="00CE39FB">
        <w:rPr>
          <w:rFonts w:eastAsia="Times New Roman"/>
          <w:noProof/>
        </w:rPr>
        <w:t>. Th</w:t>
      </w:r>
      <w:r w:rsidR="00CD11D1" w:rsidRPr="00CE39FB">
        <w:rPr>
          <w:rFonts w:eastAsia="Times New Roman"/>
          <w:noProof/>
        </w:rPr>
        <w:t>e</w:t>
      </w:r>
      <w:r w:rsidRPr="00CE39FB">
        <w:rPr>
          <w:rFonts w:eastAsia="Times New Roman"/>
          <w:noProof/>
        </w:rPr>
        <w:t xml:space="preserve"> National SOC shall be a public body</w:t>
      </w:r>
      <w:r w:rsidR="5A7E0D88" w:rsidRPr="00CE39FB">
        <w:rPr>
          <w:rFonts w:eastAsia="Times New Roman"/>
          <w:noProof/>
        </w:rPr>
        <w:t>.</w:t>
      </w:r>
      <w:r w:rsidR="1757A4DF" w:rsidRPr="00CE39FB">
        <w:rPr>
          <w:rFonts w:eastAsia="Times New Roman"/>
          <w:noProof/>
        </w:rPr>
        <w:t xml:space="preserve"> </w:t>
      </w:r>
    </w:p>
    <w:p w14:paraId="6B7BCCD0" w14:textId="77777777" w:rsidR="00533351" w:rsidRPr="00CE39FB" w:rsidRDefault="0075329E" w:rsidP="00533351">
      <w:pPr>
        <w:rPr>
          <w:rFonts w:eastAsia="Times New Roman"/>
          <w:noProof/>
        </w:rPr>
      </w:pPr>
      <w:r w:rsidRPr="00CE39FB">
        <w:rPr>
          <w:rFonts w:eastAsia="Times New Roman"/>
          <w:noProof/>
        </w:rPr>
        <w:t xml:space="preserve">It </w:t>
      </w:r>
      <w:r w:rsidR="69D865C0" w:rsidRPr="00CE39FB">
        <w:rPr>
          <w:rFonts w:eastAsia="Times New Roman"/>
          <w:noProof/>
        </w:rPr>
        <w:t>shall</w:t>
      </w:r>
      <w:r w:rsidRPr="00CE39FB">
        <w:rPr>
          <w:rFonts w:eastAsia="Times New Roman"/>
          <w:noProof/>
        </w:rPr>
        <w:t xml:space="preserve"> h</w:t>
      </w:r>
      <w:r w:rsidR="2E690D6D" w:rsidRPr="00CE39FB">
        <w:rPr>
          <w:rFonts w:eastAsia="Times New Roman"/>
          <w:noProof/>
        </w:rPr>
        <w:t>ave</w:t>
      </w:r>
      <w:r w:rsidR="00533351" w:rsidRPr="00CE39FB">
        <w:rPr>
          <w:rFonts w:eastAsia="Times New Roman"/>
          <w:noProof/>
        </w:rPr>
        <w:t xml:space="preserve"> the capacity to act as a reference point and gateway to other public and private organisations at national level for collecting and analysing information on cybersecurity threats and incidents and contributing to a Cross-border SOC. </w:t>
      </w:r>
      <w:r w:rsidRPr="00CE39FB">
        <w:rPr>
          <w:rFonts w:eastAsia="Times New Roman"/>
          <w:noProof/>
        </w:rPr>
        <w:t xml:space="preserve">It shall </w:t>
      </w:r>
      <w:r w:rsidR="59FCB396" w:rsidRPr="00CE39FB">
        <w:rPr>
          <w:rFonts w:eastAsia="Times New Roman"/>
          <w:noProof/>
        </w:rPr>
        <w:t>be equipped with state-of-the-art technologies capable of</w:t>
      </w:r>
      <w:r w:rsidR="6A204317" w:rsidRPr="00CE39FB">
        <w:rPr>
          <w:rFonts w:eastAsia="Times New Roman"/>
          <w:noProof/>
          <w:szCs w:val="24"/>
        </w:rPr>
        <w:t xml:space="preserve"> detecting,</w:t>
      </w:r>
      <w:r w:rsidR="5BFCC0EB" w:rsidRPr="00CE39FB">
        <w:rPr>
          <w:rFonts w:eastAsia="Times New Roman"/>
          <w:noProof/>
          <w:szCs w:val="24"/>
        </w:rPr>
        <w:t xml:space="preserve"> </w:t>
      </w:r>
      <w:r w:rsidR="59FCB396" w:rsidRPr="00CE39FB">
        <w:rPr>
          <w:rFonts w:eastAsia="Times New Roman"/>
          <w:noProof/>
        </w:rPr>
        <w:t>aggregating</w:t>
      </w:r>
      <w:r w:rsidR="272A3E4F" w:rsidRPr="00CE39FB">
        <w:rPr>
          <w:rFonts w:eastAsia="Times New Roman"/>
          <w:noProof/>
          <w:szCs w:val="24"/>
        </w:rPr>
        <w:t>, and analysing</w:t>
      </w:r>
      <w:r w:rsidR="59FCB396" w:rsidRPr="00CE39FB">
        <w:rPr>
          <w:rFonts w:eastAsia="Times New Roman"/>
          <w:noProof/>
        </w:rPr>
        <w:t xml:space="preserve"> data relevant to cybersecurity threats and incidents.</w:t>
      </w:r>
    </w:p>
    <w:p w14:paraId="076D3363" w14:textId="277BE49B" w:rsidR="00533351" w:rsidRPr="00CE39FB" w:rsidRDefault="00533351" w:rsidP="00533351">
      <w:pPr>
        <w:rPr>
          <w:rFonts w:eastAsia="Times New Roman"/>
          <w:noProof/>
        </w:rPr>
      </w:pPr>
      <w:r w:rsidRPr="00CE39FB">
        <w:rPr>
          <w:rFonts w:eastAsia="Times New Roman"/>
          <w:noProof/>
        </w:rPr>
        <w:t>2. Following a call for expression of interest,  National SOC</w:t>
      </w:r>
      <w:r w:rsidR="00600994">
        <w:rPr>
          <w:rFonts w:eastAsia="Times New Roman"/>
          <w:noProof/>
        </w:rPr>
        <w:t>s</w:t>
      </w:r>
      <w:r w:rsidRPr="00CE39FB">
        <w:rPr>
          <w:rFonts w:eastAsia="Times New Roman"/>
          <w:noProof/>
        </w:rPr>
        <w:t xml:space="preserve"> shall be selected</w:t>
      </w:r>
      <w:r w:rsidR="00CD11D1" w:rsidRPr="00CE39FB">
        <w:rPr>
          <w:rFonts w:eastAsia="Times New Roman"/>
          <w:noProof/>
        </w:rPr>
        <w:t xml:space="preserve"> </w:t>
      </w:r>
      <w:r w:rsidR="0D502832" w:rsidRPr="00CE39FB">
        <w:rPr>
          <w:rFonts w:eastAsia="Times New Roman"/>
          <w:noProof/>
        </w:rPr>
        <w:t xml:space="preserve">by the </w:t>
      </w:r>
      <w:r w:rsidR="3443CF4B" w:rsidRPr="00CE39FB">
        <w:rPr>
          <w:rFonts w:eastAsia="Times New Roman"/>
          <w:noProof/>
        </w:rPr>
        <w:t>European Cybersecurity Competence Centre</w:t>
      </w:r>
      <w:r w:rsidR="231D191E" w:rsidRPr="00CE39FB">
        <w:rPr>
          <w:rFonts w:eastAsia="Times New Roman"/>
          <w:noProof/>
        </w:rPr>
        <w:t xml:space="preserve"> </w:t>
      </w:r>
      <w:r w:rsidR="079CE47C" w:rsidRPr="00CE39FB">
        <w:rPr>
          <w:rFonts w:eastAsia="Times New Roman"/>
          <w:noProof/>
        </w:rPr>
        <w:t>(</w:t>
      </w:r>
      <w:r w:rsidR="006D78D2">
        <w:rPr>
          <w:rFonts w:eastAsia="Times New Roman"/>
          <w:noProof/>
        </w:rPr>
        <w:t>‘</w:t>
      </w:r>
      <w:r w:rsidR="0D502832" w:rsidRPr="00CE39FB">
        <w:rPr>
          <w:rFonts w:eastAsia="Times New Roman"/>
          <w:noProof/>
        </w:rPr>
        <w:t>ECCC</w:t>
      </w:r>
      <w:r w:rsidR="006D78D2">
        <w:rPr>
          <w:rFonts w:eastAsia="Times New Roman"/>
          <w:noProof/>
        </w:rPr>
        <w:t>’</w:t>
      </w:r>
      <w:r w:rsidR="5DBF00F7" w:rsidRPr="00CE39FB">
        <w:rPr>
          <w:rFonts w:eastAsia="Times New Roman"/>
          <w:noProof/>
        </w:rPr>
        <w:t>)</w:t>
      </w:r>
      <w:r w:rsidRPr="00CE39FB">
        <w:rPr>
          <w:rFonts w:eastAsia="Times New Roman"/>
          <w:noProof/>
        </w:rPr>
        <w:t xml:space="preserve"> to participate in a joint procurement of tools</w:t>
      </w:r>
      <w:r w:rsidR="006A7E1D" w:rsidRPr="00CE39FB">
        <w:rPr>
          <w:rFonts w:eastAsia="Times New Roman"/>
          <w:noProof/>
        </w:rPr>
        <w:t xml:space="preserve"> and infrastructures</w:t>
      </w:r>
      <w:r w:rsidRPr="00CE39FB">
        <w:rPr>
          <w:rFonts w:eastAsia="Times New Roman"/>
          <w:noProof/>
        </w:rPr>
        <w:t xml:space="preserve"> with the ECCC</w:t>
      </w:r>
      <w:r w:rsidR="00600994">
        <w:rPr>
          <w:rFonts w:eastAsia="Times New Roman"/>
          <w:noProof/>
        </w:rPr>
        <w:t>.</w:t>
      </w:r>
      <w:r w:rsidRPr="00CE39FB">
        <w:rPr>
          <w:rFonts w:eastAsia="Times New Roman"/>
          <w:noProof/>
        </w:rPr>
        <w:t xml:space="preserve"> </w:t>
      </w:r>
      <w:r w:rsidR="00600994" w:rsidRPr="00600994">
        <w:rPr>
          <w:rFonts w:eastAsia="Times New Roman"/>
          <w:noProof/>
        </w:rPr>
        <w:t xml:space="preserve">The ECCC may award grants to the selected National SOCs </w:t>
      </w:r>
      <w:r w:rsidRPr="00CE39FB">
        <w:rPr>
          <w:rFonts w:eastAsia="Times New Roman"/>
          <w:noProof/>
        </w:rPr>
        <w:t>to fund the operation of those tools</w:t>
      </w:r>
      <w:r w:rsidR="006A7E1D" w:rsidRPr="00CE39FB">
        <w:rPr>
          <w:rFonts w:eastAsia="Times New Roman"/>
          <w:noProof/>
        </w:rPr>
        <w:t xml:space="preserve"> and infrastructures</w:t>
      </w:r>
      <w:r w:rsidRPr="00CE39FB">
        <w:rPr>
          <w:rFonts w:eastAsia="Times New Roman"/>
          <w:noProof/>
        </w:rPr>
        <w:t xml:space="preserve">. The Union financial contribution shall cover up to </w:t>
      </w:r>
      <w:r w:rsidR="00FA78F1" w:rsidRPr="00CE39FB">
        <w:rPr>
          <w:rFonts w:eastAsia="Times New Roman"/>
          <w:noProof/>
        </w:rPr>
        <w:t>50</w:t>
      </w:r>
      <w:r w:rsidRPr="00CE39FB">
        <w:rPr>
          <w:rFonts w:eastAsia="Times New Roman"/>
          <w:noProof/>
        </w:rPr>
        <w:t>% of the acquisition costs of the tools</w:t>
      </w:r>
      <w:r w:rsidR="006A7E1D" w:rsidRPr="00CE39FB">
        <w:rPr>
          <w:rFonts w:eastAsia="Times New Roman"/>
          <w:noProof/>
        </w:rPr>
        <w:t xml:space="preserve"> and infrastructures</w:t>
      </w:r>
      <w:r w:rsidRPr="00CE39FB">
        <w:rPr>
          <w:rFonts w:eastAsia="Times New Roman"/>
          <w:noProof/>
        </w:rPr>
        <w:t>, and up to 50% of the operation costs, with the remaining costs to be covered by the Member State. Before launching the procedure for the acquisition of the tools</w:t>
      </w:r>
      <w:r w:rsidR="006A7E1D" w:rsidRPr="00CE39FB">
        <w:rPr>
          <w:rFonts w:eastAsia="Times New Roman"/>
          <w:noProof/>
        </w:rPr>
        <w:t xml:space="preserve"> and infrastructures</w:t>
      </w:r>
      <w:r w:rsidRPr="00CE39FB">
        <w:rPr>
          <w:rFonts w:eastAsia="Times New Roman"/>
          <w:noProof/>
        </w:rPr>
        <w:t>, the ECCC and the National SOC shall conclude a hosting and usage agreement regulating the usage of the tools</w:t>
      </w:r>
      <w:r w:rsidR="006A7E1D" w:rsidRPr="00CE39FB">
        <w:rPr>
          <w:rFonts w:eastAsia="Times New Roman"/>
          <w:noProof/>
        </w:rPr>
        <w:t xml:space="preserve"> and infrastructures</w:t>
      </w:r>
      <w:r w:rsidRPr="00CE39FB">
        <w:rPr>
          <w:rFonts w:eastAsia="Times New Roman"/>
          <w:noProof/>
        </w:rPr>
        <w:t xml:space="preserve">.   </w:t>
      </w:r>
    </w:p>
    <w:p w14:paraId="03591F21" w14:textId="77777777" w:rsidR="00533351" w:rsidRPr="00CE39FB" w:rsidRDefault="00533351" w:rsidP="00533351">
      <w:pPr>
        <w:rPr>
          <w:rFonts w:eastAsia="Times New Roman"/>
          <w:noProof/>
        </w:rPr>
      </w:pPr>
      <w:r w:rsidRPr="00CE39FB">
        <w:rPr>
          <w:rFonts w:eastAsia="Times New Roman"/>
          <w:noProof/>
        </w:rPr>
        <w:t>3. A National SOC</w:t>
      </w:r>
      <w:r w:rsidR="00C028DD" w:rsidRPr="00CE39FB">
        <w:rPr>
          <w:rFonts w:eastAsia="Times New Roman"/>
          <w:noProof/>
        </w:rPr>
        <w:t xml:space="preserve"> </w:t>
      </w:r>
      <w:r w:rsidR="00C028DD" w:rsidRPr="00CE39FB">
        <w:rPr>
          <w:rFonts w:eastAsia="Times New Roman"/>
          <w:noProof/>
          <w:szCs w:val="24"/>
        </w:rPr>
        <w:t>selected pursuant to paragraph 2</w:t>
      </w:r>
      <w:r w:rsidRPr="00CE39FB">
        <w:rPr>
          <w:rFonts w:eastAsia="Times New Roman"/>
          <w:noProof/>
        </w:rPr>
        <w:t xml:space="preserve"> shall commit to apply to participate in a Cross-border SOC within two years from the date on which the tools</w:t>
      </w:r>
      <w:r w:rsidR="006A7E1D" w:rsidRPr="00CE39FB">
        <w:rPr>
          <w:rFonts w:eastAsia="Times New Roman"/>
          <w:noProof/>
        </w:rPr>
        <w:t xml:space="preserve"> and infrastructures</w:t>
      </w:r>
      <w:r w:rsidRPr="00CE39FB">
        <w:rPr>
          <w:rFonts w:eastAsia="Times New Roman"/>
          <w:noProof/>
        </w:rPr>
        <w:t xml:space="preserve"> are acquired, or on which it receives grant funding, whichever occurs sooner. If a National SOC is not a participant in a Cross-border SOC by that time, it shall not be eligible for additional Union support</w:t>
      </w:r>
      <w:r w:rsidR="00686F66" w:rsidRPr="00CE39FB">
        <w:rPr>
          <w:rFonts w:eastAsia="Times New Roman"/>
          <w:noProof/>
        </w:rPr>
        <w:t xml:space="preserve"> under this Regulation</w:t>
      </w:r>
      <w:r w:rsidRPr="00CE39FB">
        <w:rPr>
          <w:rFonts w:eastAsia="Times New Roman"/>
          <w:noProof/>
        </w:rPr>
        <w:t>.</w:t>
      </w:r>
    </w:p>
    <w:p w14:paraId="0D0BF761" w14:textId="77777777" w:rsidR="00533351" w:rsidRPr="00CE39FB" w:rsidRDefault="00533351" w:rsidP="00A2646D">
      <w:pPr>
        <w:pStyle w:val="Titrearticle"/>
        <w:rPr>
          <w:noProof/>
          <w:szCs w:val="24"/>
        </w:rPr>
      </w:pPr>
      <w:r w:rsidRPr="00CE39FB">
        <w:rPr>
          <w:noProof/>
          <w:szCs w:val="24"/>
        </w:rPr>
        <w:t>Article 5</w:t>
      </w:r>
    </w:p>
    <w:p w14:paraId="1F1DF52B" w14:textId="77777777" w:rsidR="00533351" w:rsidRPr="00CE39FB" w:rsidRDefault="00533351" w:rsidP="00533351">
      <w:pPr>
        <w:pStyle w:val="paragraph"/>
        <w:spacing w:beforeAutospacing="0" w:after="0" w:afterAutospacing="0"/>
        <w:jc w:val="center"/>
        <w:rPr>
          <w:rStyle w:val="normaltextrun"/>
          <w:rFonts w:eastAsiaTheme="minorHAnsi"/>
          <w:b/>
          <w:noProof/>
        </w:rPr>
      </w:pPr>
    </w:p>
    <w:p w14:paraId="5B533D8C" w14:textId="381F0FF2" w:rsidR="00533351" w:rsidRPr="00CE39FB" w:rsidRDefault="00533351" w:rsidP="00533351">
      <w:pPr>
        <w:pStyle w:val="paragraph"/>
        <w:spacing w:beforeAutospacing="0" w:after="0" w:afterAutospacing="0"/>
        <w:jc w:val="center"/>
        <w:rPr>
          <w:rStyle w:val="normaltextrun"/>
          <w:b/>
          <w:bCs/>
          <w:noProof/>
        </w:rPr>
      </w:pPr>
      <w:r w:rsidRPr="00CE39FB">
        <w:rPr>
          <w:rStyle w:val="normaltextrun"/>
          <w:b/>
          <w:bCs/>
          <w:noProof/>
        </w:rPr>
        <w:t>Cross-border Security Operation</w:t>
      </w:r>
      <w:r w:rsidR="006D78D2">
        <w:rPr>
          <w:rStyle w:val="normaltextrun"/>
          <w:b/>
          <w:bCs/>
          <w:noProof/>
        </w:rPr>
        <w:t>s</w:t>
      </w:r>
      <w:r w:rsidRPr="00CE39FB">
        <w:rPr>
          <w:rStyle w:val="normaltextrun"/>
          <w:b/>
          <w:bCs/>
          <w:noProof/>
        </w:rPr>
        <w:t xml:space="preserve"> Centres</w:t>
      </w:r>
    </w:p>
    <w:p w14:paraId="236D1647" w14:textId="77777777" w:rsidR="00533351" w:rsidRPr="00CE39FB" w:rsidRDefault="00533351" w:rsidP="00533351">
      <w:pPr>
        <w:pStyle w:val="paragraph"/>
        <w:spacing w:beforeAutospacing="0" w:after="0" w:afterAutospacing="0"/>
        <w:jc w:val="center"/>
        <w:rPr>
          <w:rStyle w:val="normaltextrun"/>
          <w:b/>
          <w:bCs/>
          <w:noProof/>
        </w:rPr>
      </w:pPr>
    </w:p>
    <w:p w14:paraId="2AFC6348" w14:textId="77777777" w:rsidR="00533351" w:rsidRPr="00CE39FB" w:rsidRDefault="00684B26" w:rsidP="00684B26">
      <w:pPr>
        <w:rPr>
          <w:rFonts w:eastAsia="Times New Roman"/>
          <w:noProof/>
        </w:rPr>
      </w:pPr>
      <w:r w:rsidRPr="00CE39FB">
        <w:rPr>
          <w:rFonts w:eastAsia="Times New Roman"/>
          <w:noProof/>
        </w:rPr>
        <w:t>1</w:t>
      </w:r>
      <w:r w:rsidR="00533351" w:rsidRPr="00CE39FB">
        <w:rPr>
          <w:rFonts w:eastAsia="Times New Roman"/>
          <w:noProof/>
        </w:rPr>
        <w:t xml:space="preserve">. A Hosting Consortium consisting of </w:t>
      </w:r>
      <w:r w:rsidR="00351466" w:rsidRPr="00CE39FB">
        <w:rPr>
          <w:rFonts w:eastAsia="Times New Roman"/>
          <w:noProof/>
        </w:rPr>
        <w:t>at least three Member States</w:t>
      </w:r>
      <w:r w:rsidR="00316C84" w:rsidRPr="00CE39FB">
        <w:rPr>
          <w:rFonts w:eastAsia="Times New Roman"/>
          <w:noProof/>
        </w:rPr>
        <w:t>,</w:t>
      </w:r>
      <w:r w:rsidR="00351466" w:rsidRPr="00CE39FB">
        <w:rPr>
          <w:rFonts w:eastAsia="Times New Roman"/>
          <w:noProof/>
        </w:rPr>
        <w:t xml:space="preserve"> represented by </w:t>
      </w:r>
      <w:r w:rsidR="00533351" w:rsidRPr="00CE39FB">
        <w:rPr>
          <w:rFonts w:eastAsia="Times New Roman"/>
          <w:noProof/>
        </w:rPr>
        <w:t>National SOCs</w:t>
      </w:r>
      <w:r w:rsidR="00316C84" w:rsidRPr="00CE39FB">
        <w:rPr>
          <w:rFonts w:eastAsia="Times New Roman"/>
          <w:noProof/>
        </w:rPr>
        <w:t>,</w:t>
      </w:r>
      <w:r w:rsidR="00533351" w:rsidRPr="00CE39FB">
        <w:rPr>
          <w:rFonts w:eastAsia="Times New Roman"/>
          <w:noProof/>
        </w:rPr>
        <w:t xml:space="preserve"> </w:t>
      </w:r>
      <w:r w:rsidR="00533351" w:rsidRPr="00CE39FB">
        <w:rPr>
          <w:noProof/>
        </w:rPr>
        <w:t>committed to working</w:t>
      </w:r>
      <w:r w:rsidR="00D215CC" w:rsidRPr="00CE39FB">
        <w:rPr>
          <w:noProof/>
        </w:rPr>
        <w:t xml:space="preserve"> </w:t>
      </w:r>
      <w:r w:rsidR="00533351" w:rsidRPr="00CE39FB">
        <w:rPr>
          <w:rFonts w:eastAsia="Times New Roman"/>
          <w:noProof/>
        </w:rPr>
        <w:t xml:space="preserve">together to coordinate their cyber-detection and threat monitoring activities shall be eligible to </w:t>
      </w:r>
      <w:r w:rsidR="00533351" w:rsidRPr="00CE39FB">
        <w:rPr>
          <w:noProof/>
        </w:rPr>
        <w:t>participate in actions</w:t>
      </w:r>
      <w:r w:rsidR="00081FD2" w:rsidRPr="00CE39FB">
        <w:rPr>
          <w:noProof/>
        </w:rPr>
        <w:t xml:space="preserve"> </w:t>
      </w:r>
      <w:r w:rsidR="00533351" w:rsidRPr="00CE39FB">
        <w:rPr>
          <w:noProof/>
        </w:rPr>
        <w:t>to establish</w:t>
      </w:r>
      <w:r w:rsidR="00D215CC" w:rsidRPr="00CE39FB">
        <w:rPr>
          <w:noProof/>
        </w:rPr>
        <w:t xml:space="preserve"> </w:t>
      </w:r>
      <w:r w:rsidR="00533351" w:rsidRPr="00CE39FB">
        <w:rPr>
          <w:rFonts w:eastAsia="Times New Roman"/>
          <w:noProof/>
        </w:rPr>
        <w:t xml:space="preserve">a Cross-border SOC. </w:t>
      </w:r>
    </w:p>
    <w:p w14:paraId="2F79918E" w14:textId="65D10AB3" w:rsidR="00533351" w:rsidRPr="00CE39FB" w:rsidRDefault="00533351" w:rsidP="00684B26">
      <w:pPr>
        <w:rPr>
          <w:rFonts w:eastAsia="Times New Roman"/>
          <w:noProof/>
        </w:rPr>
      </w:pPr>
      <w:r w:rsidRPr="00CE39FB">
        <w:rPr>
          <w:rFonts w:eastAsia="Times New Roman"/>
          <w:noProof/>
        </w:rPr>
        <w:t xml:space="preserve">2. Following a call for expression of interest, a Hosting Consortium shall be selected </w:t>
      </w:r>
      <w:r w:rsidR="59451E6D" w:rsidRPr="00CE39FB">
        <w:rPr>
          <w:rFonts w:eastAsia="Times New Roman"/>
          <w:noProof/>
        </w:rPr>
        <w:t>by the ECCC</w:t>
      </w:r>
      <w:r w:rsidR="009C32EB" w:rsidRPr="00CE39FB">
        <w:rPr>
          <w:rFonts w:eastAsia="Times New Roman"/>
          <w:noProof/>
        </w:rPr>
        <w:t xml:space="preserve"> </w:t>
      </w:r>
      <w:r w:rsidRPr="00CE39FB">
        <w:rPr>
          <w:rFonts w:eastAsia="Times New Roman"/>
          <w:noProof/>
        </w:rPr>
        <w:t xml:space="preserve">to participate in a joint procurement </w:t>
      </w:r>
      <w:r w:rsidRPr="00CE39FB">
        <w:rPr>
          <w:noProof/>
        </w:rPr>
        <w:t>of tools</w:t>
      </w:r>
      <w:r w:rsidR="006A7E1D" w:rsidRPr="00CE39FB">
        <w:rPr>
          <w:noProof/>
        </w:rPr>
        <w:t xml:space="preserve"> and infrastructures</w:t>
      </w:r>
      <w:r w:rsidRPr="00CE39FB">
        <w:rPr>
          <w:rFonts w:eastAsia="Times New Roman"/>
          <w:noProof/>
        </w:rPr>
        <w:t xml:space="preserve"> with the ECCC</w:t>
      </w:r>
      <w:r w:rsidR="00600994">
        <w:rPr>
          <w:rFonts w:eastAsia="Times New Roman"/>
          <w:noProof/>
        </w:rPr>
        <w:t>. The ECCC may award to the Hosting Consortium</w:t>
      </w:r>
      <w:r w:rsidRPr="00CE39FB">
        <w:rPr>
          <w:rFonts w:eastAsia="Times New Roman"/>
          <w:noProof/>
        </w:rPr>
        <w:t xml:space="preserve"> a grant to fund the operation of the tools</w:t>
      </w:r>
      <w:r w:rsidR="006A7E1D" w:rsidRPr="00CE39FB">
        <w:rPr>
          <w:rFonts w:eastAsia="Times New Roman"/>
          <w:noProof/>
        </w:rPr>
        <w:t xml:space="preserve"> and infrastructures</w:t>
      </w:r>
      <w:r w:rsidRPr="00CE39FB">
        <w:rPr>
          <w:rFonts w:eastAsia="Times New Roman"/>
          <w:noProof/>
        </w:rPr>
        <w:t>. The Union financial contribution shall cover up to 75% of the acquisition costs of the tools</w:t>
      </w:r>
      <w:r w:rsidR="006A7E1D" w:rsidRPr="00CE39FB">
        <w:rPr>
          <w:rFonts w:eastAsia="Times New Roman"/>
          <w:noProof/>
        </w:rPr>
        <w:t xml:space="preserve"> and infrastructures</w:t>
      </w:r>
      <w:r w:rsidRPr="00CE39FB">
        <w:rPr>
          <w:rFonts w:eastAsia="Times New Roman"/>
          <w:noProof/>
        </w:rPr>
        <w:t>, and up to 50% of the operation costs</w:t>
      </w:r>
      <w:r w:rsidR="00D215CC" w:rsidRPr="00CE39FB">
        <w:rPr>
          <w:rFonts w:eastAsia="Times New Roman"/>
          <w:noProof/>
        </w:rPr>
        <w:t>,</w:t>
      </w:r>
      <w:r w:rsidRPr="00CE39FB">
        <w:rPr>
          <w:rFonts w:eastAsia="Times New Roman"/>
          <w:noProof/>
        </w:rPr>
        <w:t xml:space="preserve"> with the remaining costs to be covered by the Hosting Consortium. Before launching the procedure for the acquisition of the tools</w:t>
      </w:r>
      <w:r w:rsidR="006A7E1D" w:rsidRPr="00CE39FB">
        <w:rPr>
          <w:rFonts w:eastAsia="Times New Roman"/>
          <w:noProof/>
        </w:rPr>
        <w:t xml:space="preserve"> and infrastructures</w:t>
      </w:r>
      <w:r w:rsidRPr="00CE39FB">
        <w:rPr>
          <w:rFonts w:eastAsia="Times New Roman"/>
          <w:noProof/>
        </w:rPr>
        <w:t>, the ECCC and the Hosting Consortium shall conclude a hosting and usage agreement regulating the usage of the tools</w:t>
      </w:r>
      <w:r w:rsidR="006A7E1D" w:rsidRPr="00CE39FB">
        <w:rPr>
          <w:rFonts w:eastAsia="Times New Roman"/>
          <w:noProof/>
        </w:rPr>
        <w:t xml:space="preserve"> and infrastructures</w:t>
      </w:r>
      <w:r w:rsidRPr="00CE39FB">
        <w:rPr>
          <w:rFonts w:eastAsia="Times New Roman"/>
          <w:noProof/>
        </w:rPr>
        <w:t xml:space="preserve">.  </w:t>
      </w:r>
    </w:p>
    <w:p w14:paraId="65D1CA9A" w14:textId="77777777" w:rsidR="00533351" w:rsidRPr="00CE39FB" w:rsidRDefault="00533351" w:rsidP="00684B26">
      <w:pPr>
        <w:rPr>
          <w:rFonts w:eastAsia="Times New Roman"/>
          <w:noProof/>
        </w:rPr>
      </w:pPr>
      <w:r w:rsidRPr="00CE39FB">
        <w:rPr>
          <w:rFonts w:eastAsia="Times New Roman"/>
          <w:noProof/>
        </w:rPr>
        <w:t xml:space="preserve">3. Members of the Hosting Consortium shall conclude a written consortium agreement which sets out their internal arrangements for implementing the </w:t>
      </w:r>
      <w:r w:rsidR="00AD1EC8" w:rsidRPr="00CE39FB">
        <w:rPr>
          <w:rFonts w:eastAsia="Times New Roman"/>
          <w:noProof/>
        </w:rPr>
        <w:t>h</w:t>
      </w:r>
      <w:r w:rsidRPr="00CE39FB">
        <w:rPr>
          <w:rFonts w:eastAsia="Times New Roman"/>
          <w:noProof/>
        </w:rPr>
        <w:t xml:space="preserve">osting and </w:t>
      </w:r>
      <w:r w:rsidR="00AD1EC8" w:rsidRPr="00CE39FB">
        <w:rPr>
          <w:rFonts w:eastAsia="Times New Roman"/>
          <w:noProof/>
        </w:rPr>
        <w:t>u</w:t>
      </w:r>
      <w:r w:rsidRPr="00CE39FB">
        <w:rPr>
          <w:rFonts w:eastAsia="Times New Roman"/>
          <w:noProof/>
        </w:rPr>
        <w:t>sage Agreement.</w:t>
      </w:r>
    </w:p>
    <w:p w14:paraId="3C5663DE" w14:textId="77777777" w:rsidR="00533351" w:rsidRPr="00CE39FB" w:rsidRDefault="00533351" w:rsidP="00684B26">
      <w:pPr>
        <w:rPr>
          <w:rFonts w:eastAsia="Times New Roman"/>
          <w:noProof/>
        </w:rPr>
      </w:pPr>
      <w:r w:rsidRPr="00CE39FB">
        <w:rPr>
          <w:rFonts w:eastAsia="Times New Roman"/>
          <w:noProof/>
        </w:rPr>
        <w:t>4. A Cross-border SOC</w:t>
      </w:r>
      <w:r w:rsidR="002D4B83" w:rsidRPr="00CE39FB">
        <w:rPr>
          <w:rFonts w:eastAsia="Times New Roman"/>
          <w:noProof/>
        </w:rPr>
        <w:t xml:space="preserve"> </w:t>
      </w:r>
      <w:r w:rsidRPr="00CE39FB">
        <w:rPr>
          <w:rFonts w:eastAsia="Times New Roman"/>
          <w:noProof/>
        </w:rPr>
        <w:t xml:space="preserve">shall be represented for legal purposes by a National SOC acting as coordinating SOC, or by the Hosing Consortium </w:t>
      </w:r>
      <w:r w:rsidR="009F2945" w:rsidRPr="00CE39FB">
        <w:rPr>
          <w:rFonts w:eastAsia="Times New Roman"/>
          <w:noProof/>
        </w:rPr>
        <w:t>if</w:t>
      </w:r>
      <w:r w:rsidRPr="00CE39FB">
        <w:rPr>
          <w:rFonts w:eastAsia="Times New Roman"/>
          <w:noProof/>
        </w:rPr>
        <w:t xml:space="preserve"> it has legal personality. The co-ordinating SOC shall be responsible for compliance with the requirements of the hosting and usage agreement and of this Regulation.  </w:t>
      </w:r>
    </w:p>
    <w:p w14:paraId="59420108" w14:textId="77777777" w:rsidR="00533351" w:rsidRPr="008D6611" w:rsidRDefault="00533351" w:rsidP="00533351">
      <w:pPr>
        <w:pStyle w:val="paragraph"/>
        <w:spacing w:beforeAutospacing="0" w:after="0" w:afterAutospacing="0"/>
        <w:jc w:val="both"/>
        <w:rPr>
          <w:rStyle w:val="eop"/>
          <w:noProof/>
        </w:rPr>
      </w:pPr>
    </w:p>
    <w:p w14:paraId="542E7163" w14:textId="77777777" w:rsidR="00533351" w:rsidRPr="00CE39FB" w:rsidRDefault="00533351" w:rsidP="00A2646D">
      <w:pPr>
        <w:pStyle w:val="Titrearticle"/>
        <w:rPr>
          <w:noProof/>
        </w:rPr>
      </w:pPr>
      <w:r w:rsidRPr="00CE39FB">
        <w:rPr>
          <w:noProof/>
        </w:rPr>
        <w:t>Article 6  </w:t>
      </w:r>
    </w:p>
    <w:p w14:paraId="14C0C8DF" w14:textId="77777777" w:rsidR="00533351" w:rsidRPr="00CE39FB" w:rsidRDefault="00533351" w:rsidP="00533351">
      <w:pPr>
        <w:pStyle w:val="paragraph"/>
        <w:spacing w:beforeAutospacing="0" w:after="0" w:afterAutospacing="0"/>
        <w:jc w:val="center"/>
        <w:rPr>
          <w:noProof/>
        </w:rPr>
      </w:pPr>
    </w:p>
    <w:p w14:paraId="42E6C7B0" w14:textId="77777777" w:rsidR="00533351" w:rsidRPr="00CE39FB" w:rsidRDefault="00533351" w:rsidP="00533351">
      <w:pPr>
        <w:pStyle w:val="paragraph"/>
        <w:spacing w:beforeAutospacing="0" w:after="0" w:afterAutospacing="0"/>
        <w:jc w:val="center"/>
        <w:rPr>
          <w:rStyle w:val="normaltextrun"/>
          <w:b/>
          <w:bCs/>
          <w:noProof/>
        </w:rPr>
      </w:pPr>
      <w:r w:rsidRPr="00CE39FB">
        <w:rPr>
          <w:rStyle w:val="normaltextrun"/>
          <w:b/>
          <w:bCs/>
          <w:noProof/>
        </w:rPr>
        <w:t xml:space="preserve">Cooperation and </w:t>
      </w:r>
      <w:r w:rsidR="001D0775" w:rsidRPr="00CE39FB">
        <w:rPr>
          <w:rStyle w:val="normaltextrun"/>
          <w:b/>
          <w:bCs/>
          <w:noProof/>
        </w:rPr>
        <w:t>i</w:t>
      </w:r>
      <w:r w:rsidRPr="00CE39FB">
        <w:rPr>
          <w:rStyle w:val="normaltextrun"/>
          <w:b/>
          <w:bCs/>
          <w:noProof/>
        </w:rPr>
        <w:t xml:space="preserve">nformation </w:t>
      </w:r>
      <w:r w:rsidR="001D0775" w:rsidRPr="00CE39FB">
        <w:rPr>
          <w:rStyle w:val="normaltextrun"/>
          <w:b/>
          <w:bCs/>
          <w:noProof/>
        </w:rPr>
        <w:t>s</w:t>
      </w:r>
      <w:r w:rsidRPr="00CE39FB">
        <w:rPr>
          <w:rStyle w:val="normaltextrun"/>
          <w:b/>
          <w:bCs/>
          <w:noProof/>
        </w:rPr>
        <w:t>haring within and between cross-border SOCs</w:t>
      </w:r>
    </w:p>
    <w:p w14:paraId="2A877904" w14:textId="77777777" w:rsidR="00533351" w:rsidRPr="00CE39FB" w:rsidRDefault="00533351" w:rsidP="00533351">
      <w:pPr>
        <w:pStyle w:val="paragraph"/>
        <w:spacing w:beforeAutospacing="0" w:after="0" w:afterAutospacing="0"/>
        <w:jc w:val="center"/>
        <w:rPr>
          <w:rStyle w:val="normaltextrun"/>
          <w:b/>
          <w:bCs/>
          <w:noProof/>
        </w:rPr>
      </w:pPr>
    </w:p>
    <w:p w14:paraId="2A3A4C45" w14:textId="77777777" w:rsidR="00533351" w:rsidRPr="00CE39FB" w:rsidRDefault="00684B26" w:rsidP="00684B26">
      <w:pPr>
        <w:rPr>
          <w:rFonts w:eastAsia="Times New Roman"/>
          <w:noProof/>
        </w:rPr>
      </w:pPr>
      <w:r w:rsidRPr="00CE39FB">
        <w:rPr>
          <w:rFonts w:eastAsia="Times New Roman"/>
          <w:noProof/>
        </w:rPr>
        <w:t xml:space="preserve">1. </w:t>
      </w:r>
      <w:r w:rsidR="00533351" w:rsidRPr="00CE39FB">
        <w:rPr>
          <w:rFonts w:eastAsia="Times New Roman"/>
          <w:noProof/>
        </w:rPr>
        <w:t xml:space="preserve">Members of a Hosting Consortium shall exchange relevant information </w:t>
      </w:r>
      <w:r w:rsidR="00533351" w:rsidRPr="00CE39FB">
        <w:rPr>
          <w:noProof/>
        </w:rPr>
        <w:t>among themselves within the Cross-border SOC</w:t>
      </w:r>
      <w:r w:rsidR="00533351" w:rsidRPr="00CE39FB">
        <w:rPr>
          <w:rFonts w:eastAsia="Times New Roman"/>
          <w:noProof/>
        </w:rPr>
        <w:t xml:space="preserve"> including information relating to </w:t>
      </w:r>
      <w:r w:rsidR="00533351" w:rsidRPr="00CE39FB" w:rsidDel="2859A382">
        <w:rPr>
          <w:rFonts w:eastAsia="Times New Roman"/>
          <w:noProof/>
        </w:rPr>
        <w:t>cyber threats, near misses, vulnerabilities, techniques and procedures,</w:t>
      </w:r>
      <w:r w:rsidR="00533351" w:rsidRPr="00CE39FB">
        <w:rPr>
          <w:rFonts w:eastAsia="Times New Roman"/>
          <w:noProof/>
        </w:rPr>
        <w:t xml:space="preserve"> indicators of compromise, adversarial tactics, threat-actor-specific information, cybersecurity alerts and recommendations regarding the configuration of cybersecurity tools to detect cyber attacks, where such information sharing:</w:t>
      </w:r>
    </w:p>
    <w:p w14:paraId="198CC74A" w14:textId="137E35AF" w:rsidR="00533351" w:rsidRPr="00CE39FB" w:rsidRDefault="007B0110" w:rsidP="007B0110">
      <w:pPr>
        <w:pStyle w:val="Point0"/>
        <w:rPr>
          <w:noProof/>
        </w:rPr>
      </w:pPr>
      <w:r w:rsidRPr="007B0110">
        <w:rPr>
          <w:noProof/>
        </w:rPr>
        <w:t>(a)</w:t>
      </w:r>
      <w:r w:rsidRPr="007B0110">
        <w:rPr>
          <w:noProof/>
        </w:rPr>
        <w:tab/>
      </w:r>
      <w:r w:rsidR="002D4B83" w:rsidRPr="00CE39FB">
        <w:rPr>
          <w:noProof/>
        </w:rPr>
        <w:t>a</w:t>
      </w:r>
      <w:r w:rsidR="00533351" w:rsidRPr="00CE39FB">
        <w:rPr>
          <w:noProof/>
        </w:rPr>
        <w:t>ims to prevent, detect, respond to or recover from incidents or to mitigate their impact;</w:t>
      </w:r>
    </w:p>
    <w:p w14:paraId="48C61BA7" w14:textId="0652045E" w:rsidR="00533351" w:rsidRPr="00CE39FB" w:rsidRDefault="007B0110" w:rsidP="007B0110">
      <w:pPr>
        <w:pStyle w:val="Point0"/>
        <w:rPr>
          <w:noProof/>
        </w:rPr>
      </w:pPr>
      <w:r w:rsidRPr="007B0110">
        <w:rPr>
          <w:noProof/>
        </w:rPr>
        <w:t>(b)</w:t>
      </w:r>
      <w:r w:rsidRPr="007B0110">
        <w:rPr>
          <w:noProof/>
        </w:rPr>
        <w:tab/>
      </w:r>
      <w:r w:rsidR="002D4B83" w:rsidRPr="00CE39FB">
        <w:rPr>
          <w:noProof/>
        </w:rPr>
        <w:t>e</w:t>
      </w:r>
      <w:r w:rsidR="00533351" w:rsidRPr="00CE39FB">
        <w:rPr>
          <w:noProof/>
        </w:rPr>
        <w:t xml:space="preserve">nhances the level of cybersecurity, in particular through raising awareness in relation to </w:t>
      </w:r>
      <w:r w:rsidR="00533351" w:rsidRPr="00CE39FB" w:rsidDel="565E1BFC">
        <w:rPr>
          <w:noProof/>
        </w:rPr>
        <w:t>cyber threats</w:t>
      </w:r>
      <w:r w:rsidR="00533351" w:rsidRPr="00CE39FB">
        <w:rPr>
          <w:noProof/>
        </w:rPr>
        <w:t xml:space="preserve">, limiting or impeding the ability of such </w:t>
      </w:r>
      <w:r w:rsidR="00533351" w:rsidRPr="00CE39FB" w:rsidDel="565E1BFC">
        <w:rPr>
          <w:noProof/>
        </w:rPr>
        <w:t>threats</w:t>
      </w:r>
      <w:r w:rsidR="00533351" w:rsidRPr="00CE39FB">
        <w:rPr>
          <w:noProof/>
        </w:rPr>
        <w:t xml:space="preserve"> to spread, supporting a range of defensive capabilities, </w:t>
      </w:r>
      <w:r w:rsidR="00533351" w:rsidRPr="00CE39FB" w:rsidDel="565E1BFC">
        <w:rPr>
          <w:noProof/>
        </w:rPr>
        <w:t>vulnerability remedi</w:t>
      </w:r>
      <w:r w:rsidR="00533351" w:rsidRPr="00CE39FB" w:rsidDel="28FB1785">
        <w:rPr>
          <w:noProof/>
        </w:rPr>
        <w:t>a</w:t>
      </w:r>
      <w:r w:rsidR="00533351" w:rsidRPr="00CE39FB" w:rsidDel="565E1BFC">
        <w:rPr>
          <w:noProof/>
        </w:rPr>
        <w:t xml:space="preserve">tion and disclosure, </w:t>
      </w:r>
      <w:r w:rsidR="00533351" w:rsidRPr="00CE39FB">
        <w:rPr>
          <w:noProof/>
        </w:rPr>
        <w:t xml:space="preserve">threat detection, containment and prevention techniques, mitigation strategies, or response and recovery stages or promoting collaborative threat research between public and private entities. </w:t>
      </w:r>
    </w:p>
    <w:p w14:paraId="731FB13A" w14:textId="1D8B2BF0" w:rsidR="00533351" w:rsidRPr="00CE39FB" w:rsidRDefault="00684B26" w:rsidP="00684B26">
      <w:pPr>
        <w:rPr>
          <w:rFonts w:eastAsia="Times New Roman"/>
          <w:noProof/>
          <w:szCs w:val="24"/>
        </w:rPr>
      </w:pPr>
      <w:r w:rsidRPr="00CE39FB">
        <w:rPr>
          <w:rFonts w:eastAsia="Times New Roman"/>
          <w:noProof/>
          <w:szCs w:val="24"/>
        </w:rPr>
        <w:t xml:space="preserve">2. </w:t>
      </w:r>
      <w:r w:rsidR="00D64D0D">
        <w:rPr>
          <w:rFonts w:eastAsia="Times New Roman"/>
          <w:noProof/>
          <w:szCs w:val="24"/>
        </w:rPr>
        <w:t>The</w:t>
      </w:r>
      <w:r w:rsidR="00533351" w:rsidRPr="00CE39FB">
        <w:rPr>
          <w:rFonts w:eastAsia="Times New Roman"/>
          <w:noProof/>
          <w:szCs w:val="24"/>
        </w:rPr>
        <w:t xml:space="preserve"> written consortium agreement </w:t>
      </w:r>
      <w:r w:rsidR="00D64D0D">
        <w:rPr>
          <w:rFonts w:eastAsia="Times New Roman"/>
          <w:noProof/>
          <w:szCs w:val="24"/>
        </w:rPr>
        <w:t xml:space="preserve">referred to in Article 5(3) </w:t>
      </w:r>
      <w:r w:rsidR="00533351" w:rsidRPr="00CE39FB">
        <w:rPr>
          <w:rFonts w:eastAsia="Times New Roman"/>
          <w:noProof/>
          <w:szCs w:val="24"/>
        </w:rPr>
        <w:t xml:space="preserve"> </w:t>
      </w:r>
      <w:r w:rsidR="00081FD2" w:rsidRPr="00CE39FB">
        <w:rPr>
          <w:rFonts w:eastAsia="Times New Roman"/>
          <w:noProof/>
          <w:szCs w:val="24"/>
        </w:rPr>
        <w:t xml:space="preserve">shall </w:t>
      </w:r>
      <w:r w:rsidR="00533351" w:rsidRPr="00CE39FB">
        <w:rPr>
          <w:rFonts w:eastAsia="Times New Roman"/>
          <w:noProof/>
          <w:szCs w:val="24"/>
        </w:rPr>
        <w:t>establish:</w:t>
      </w:r>
    </w:p>
    <w:p w14:paraId="21DEFCED" w14:textId="1A2B330C" w:rsidR="00533351" w:rsidRPr="00CE39FB" w:rsidRDefault="007B0110" w:rsidP="007B0110">
      <w:pPr>
        <w:pStyle w:val="Point0"/>
        <w:rPr>
          <w:noProof/>
        </w:rPr>
      </w:pPr>
      <w:r w:rsidRPr="007B0110">
        <w:rPr>
          <w:noProof/>
        </w:rPr>
        <w:t>(a)</w:t>
      </w:r>
      <w:r w:rsidRPr="007B0110">
        <w:rPr>
          <w:noProof/>
        </w:rPr>
        <w:tab/>
      </w:r>
      <w:r w:rsidR="002D4B83" w:rsidRPr="00CE39FB">
        <w:rPr>
          <w:noProof/>
        </w:rPr>
        <w:t>a</w:t>
      </w:r>
      <w:r w:rsidR="00533351" w:rsidRPr="00CE39FB">
        <w:rPr>
          <w:noProof/>
        </w:rPr>
        <w:t xml:space="preserve"> commitment to share a significant amount of data referred to </w:t>
      </w:r>
      <w:r w:rsidR="009C32EB" w:rsidRPr="00CE39FB">
        <w:rPr>
          <w:noProof/>
        </w:rPr>
        <w:t xml:space="preserve">in </w:t>
      </w:r>
      <w:r w:rsidR="00533351" w:rsidRPr="00CE39FB">
        <w:rPr>
          <w:noProof/>
        </w:rPr>
        <w:t>paragraph 1</w:t>
      </w:r>
      <w:r w:rsidR="009F2945" w:rsidRPr="00CE39FB">
        <w:rPr>
          <w:noProof/>
        </w:rPr>
        <w:t>, and the conditions under which that information is to be exchanged</w:t>
      </w:r>
      <w:r w:rsidR="002D4B83" w:rsidRPr="00CE39FB">
        <w:rPr>
          <w:noProof/>
        </w:rPr>
        <w:t>;</w:t>
      </w:r>
    </w:p>
    <w:p w14:paraId="0299D782" w14:textId="0E34C9B7" w:rsidR="00533351" w:rsidRPr="00CE39FB" w:rsidRDefault="007B0110" w:rsidP="007B0110">
      <w:pPr>
        <w:pStyle w:val="Point0"/>
        <w:rPr>
          <w:noProof/>
        </w:rPr>
      </w:pPr>
      <w:r w:rsidRPr="007B0110">
        <w:rPr>
          <w:noProof/>
        </w:rPr>
        <w:t>(b)</w:t>
      </w:r>
      <w:r w:rsidRPr="007B0110">
        <w:rPr>
          <w:noProof/>
        </w:rPr>
        <w:tab/>
      </w:r>
      <w:r w:rsidR="002D4B83" w:rsidRPr="00CE39FB">
        <w:rPr>
          <w:noProof/>
        </w:rPr>
        <w:t>a</w:t>
      </w:r>
      <w:r w:rsidR="00533351" w:rsidRPr="00CE39FB">
        <w:rPr>
          <w:noProof/>
        </w:rPr>
        <w:t xml:space="preserve"> governance framework incentivising </w:t>
      </w:r>
      <w:r w:rsidR="12C4A9C7" w:rsidRPr="00CE39FB">
        <w:rPr>
          <w:noProof/>
        </w:rPr>
        <w:t xml:space="preserve">the </w:t>
      </w:r>
      <w:r w:rsidR="00533351" w:rsidRPr="00CE39FB">
        <w:rPr>
          <w:noProof/>
        </w:rPr>
        <w:t>sharing of information by all participants</w:t>
      </w:r>
      <w:r w:rsidR="002D4B83" w:rsidRPr="00CE39FB">
        <w:rPr>
          <w:noProof/>
        </w:rPr>
        <w:t>;</w:t>
      </w:r>
    </w:p>
    <w:p w14:paraId="62ED4DAC" w14:textId="1AF398AC" w:rsidR="00533351" w:rsidRPr="00CE39FB" w:rsidRDefault="007B0110" w:rsidP="007B0110">
      <w:pPr>
        <w:pStyle w:val="Point0"/>
        <w:rPr>
          <w:noProof/>
        </w:rPr>
      </w:pPr>
      <w:r w:rsidRPr="007B0110">
        <w:rPr>
          <w:noProof/>
        </w:rPr>
        <w:t>(c)</w:t>
      </w:r>
      <w:r w:rsidRPr="007B0110">
        <w:rPr>
          <w:noProof/>
        </w:rPr>
        <w:tab/>
      </w:r>
      <w:r w:rsidR="002D4B83" w:rsidRPr="00CE39FB">
        <w:rPr>
          <w:noProof/>
        </w:rPr>
        <w:t>t</w:t>
      </w:r>
      <w:r w:rsidR="00533351" w:rsidRPr="00CE39FB">
        <w:rPr>
          <w:noProof/>
        </w:rPr>
        <w:t>argets for contribution to the development of advanced artificial intelligence and data analytics tools.</w:t>
      </w:r>
    </w:p>
    <w:p w14:paraId="44C9A936" w14:textId="3D7814E2" w:rsidR="00533351" w:rsidRPr="00CE39FB" w:rsidRDefault="00684B26" w:rsidP="72E0A71F">
      <w:pPr>
        <w:rPr>
          <w:rFonts w:eastAsia="Times New Roman"/>
          <w:noProof/>
        </w:rPr>
      </w:pPr>
      <w:r w:rsidRPr="00CE39FB">
        <w:rPr>
          <w:rFonts w:eastAsia="Times New Roman"/>
          <w:noProof/>
        </w:rPr>
        <w:t xml:space="preserve">3. </w:t>
      </w:r>
      <w:r w:rsidR="00533351" w:rsidRPr="00CE39FB">
        <w:rPr>
          <w:rFonts w:eastAsia="Times New Roman"/>
          <w:noProof/>
        </w:rPr>
        <w:t xml:space="preserve">To encourage exchange of information between </w:t>
      </w:r>
      <w:r w:rsidR="003D7B0F" w:rsidRPr="00CE39FB">
        <w:rPr>
          <w:rFonts w:eastAsia="Times New Roman"/>
          <w:noProof/>
        </w:rPr>
        <w:t>C</w:t>
      </w:r>
      <w:r w:rsidR="00533351" w:rsidRPr="00CE39FB">
        <w:rPr>
          <w:rFonts w:eastAsia="Times New Roman"/>
          <w:noProof/>
        </w:rPr>
        <w:t xml:space="preserve">ross-border SOCs, </w:t>
      </w:r>
      <w:r w:rsidR="003D7B0F" w:rsidRPr="00CE39FB">
        <w:rPr>
          <w:rFonts w:eastAsia="Times New Roman"/>
          <w:noProof/>
        </w:rPr>
        <w:t>C</w:t>
      </w:r>
      <w:r w:rsidR="00533351" w:rsidRPr="00CE39FB">
        <w:rPr>
          <w:rFonts w:eastAsia="Times New Roman"/>
          <w:noProof/>
        </w:rPr>
        <w:t xml:space="preserve">ross-border SOCs shall ensure a high level of interoperability between themselves. </w:t>
      </w:r>
      <w:r w:rsidR="001A5210" w:rsidRPr="00CE39FB">
        <w:rPr>
          <w:rFonts w:eastAsia="Times New Roman"/>
          <w:noProof/>
        </w:rPr>
        <w:t xml:space="preserve">To facilitate the interoperability between the </w:t>
      </w:r>
      <w:r w:rsidR="003D7B0F" w:rsidRPr="00CE39FB">
        <w:rPr>
          <w:rFonts w:eastAsia="Times New Roman"/>
          <w:noProof/>
        </w:rPr>
        <w:t>C</w:t>
      </w:r>
      <w:r w:rsidR="001A5210" w:rsidRPr="00CE39FB">
        <w:rPr>
          <w:rFonts w:eastAsia="Times New Roman"/>
          <w:noProof/>
        </w:rPr>
        <w:t>ross-border SOCs</w:t>
      </w:r>
      <w:r w:rsidR="359CCF15" w:rsidRPr="00CE39FB">
        <w:rPr>
          <w:rFonts w:eastAsia="Times New Roman"/>
          <w:noProof/>
        </w:rPr>
        <w:t>, the Commission may, by means of implementing acts,</w:t>
      </w:r>
      <w:r w:rsidR="006D78D2">
        <w:rPr>
          <w:rFonts w:eastAsia="Times New Roman"/>
          <w:noProof/>
        </w:rPr>
        <w:t xml:space="preserve"> after consulting the ECCC,</w:t>
      </w:r>
      <w:r w:rsidR="359CCF15" w:rsidRPr="00CE39FB">
        <w:rPr>
          <w:rFonts w:eastAsia="Times New Roman"/>
          <w:noProof/>
        </w:rPr>
        <w:t xml:space="preserve"> specify the conditions for this interoperability.</w:t>
      </w:r>
      <w:r w:rsidR="00533351" w:rsidRPr="00CE39FB">
        <w:rPr>
          <w:rFonts w:eastAsia="Times New Roman"/>
          <w:noProof/>
        </w:rPr>
        <w:t xml:space="preserve"> </w:t>
      </w:r>
      <w:r w:rsidR="00C04F83" w:rsidRPr="00CE39FB">
        <w:rPr>
          <w:rFonts w:eastAsia="Times New Roman"/>
          <w:noProof/>
        </w:rPr>
        <w:t>Those implementing acts shall be adopted in accordance with the examination procedure referred to in Article 21(2) of this Regulation.</w:t>
      </w:r>
    </w:p>
    <w:p w14:paraId="076D526A" w14:textId="77777777" w:rsidR="00533351" w:rsidRPr="00CE39FB" w:rsidRDefault="62654832" w:rsidP="00684B26">
      <w:pPr>
        <w:rPr>
          <w:rFonts w:eastAsia="Times New Roman"/>
          <w:noProof/>
        </w:rPr>
      </w:pPr>
      <w:r w:rsidRPr="00CE39FB">
        <w:rPr>
          <w:rFonts w:eastAsia="Times New Roman"/>
          <w:noProof/>
        </w:rPr>
        <w:t xml:space="preserve">4. </w:t>
      </w:r>
      <w:r w:rsidR="00533351" w:rsidRPr="00CE39FB">
        <w:rPr>
          <w:rFonts w:eastAsia="Times New Roman"/>
          <w:noProof/>
        </w:rPr>
        <w:t xml:space="preserve">Cross-border SOCs shall conclude </w:t>
      </w:r>
      <w:r w:rsidR="00161BA3" w:rsidRPr="00CE39FB">
        <w:rPr>
          <w:rFonts w:eastAsia="Times New Roman"/>
          <w:noProof/>
        </w:rPr>
        <w:t xml:space="preserve">cooperation </w:t>
      </w:r>
      <w:r w:rsidR="008C693A" w:rsidRPr="00CE39FB">
        <w:rPr>
          <w:rFonts w:eastAsia="Times New Roman"/>
          <w:noProof/>
        </w:rPr>
        <w:t>agreements</w:t>
      </w:r>
      <w:r w:rsidR="00533351" w:rsidRPr="00CE39FB">
        <w:rPr>
          <w:rFonts w:eastAsia="Times New Roman"/>
          <w:noProof/>
        </w:rPr>
        <w:t xml:space="preserve"> with one another, specifying information sharing principles among the cross-border platforms.</w:t>
      </w:r>
    </w:p>
    <w:p w14:paraId="07FF5F2A" w14:textId="77777777" w:rsidR="00533351" w:rsidRPr="00CE39FB" w:rsidRDefault="00533351" w:rsidP="00533351">
      <w:pPr>
        <w:rPr>
          <w:rFonts w:eastAsia="Times New Roman"/>
          <w:noProof/>
          <w:szCs w:val="24"/>
        </w:rPr>
      </w:pPr>
    </w:p>
    <w:p w14:paraId="6AF279A4" w14:textId="77777777" w:rsidR="00533351" w:rsidRPr="00CE39FB" w:rsidRDefault="00533351" w:rsidP="00A2646D">
      <w:pPr>
        <w:pStyle w:val="Titrearticle"/>
        <w:rPr>
          <w:noProof/>
          <w:szCs w:val="24"/>
        </w:rPr>
      </w:pPr>
      <w:r w:rsidRPr="00CE39FB">
        <w:rPr>
          <w:noProof/>
          <w:szCs w:val="24"/>
        </w:rPr>
        <w:t>Article 7 </w:t>
      </w:r>
    </w:p>
    <w:p w14:paraId="733168EF" w14:textId="77777777" w:rsidR="00533351" w:rsidRPr="00CE39FB" w:rsidRDefault="00533351" w:rsidP="00533351">
      <w:pPr>
        <w:pStyle w:val="paragraph"/>
        <w:spacing w:beforeAutospacing="0" w:after="0" w:afterAutospacing="0"/>
        <w:ind w:left="720"/>
        <w:rPr>
          <w:noProof/>
        </w:rPr>
      </w:pPr>
    </w:p>
    <w:p w14:paraId="49938971" w14:textId="77777777" w:rsidR="00533351" w:rsidRPr="00CE39FB" w:rsidRDefault="00533351" w:rsidP="00533351">
      <w:pPr>
        <w:pStyle w:val="paragraph"/>
        <w:spacing w:beforeAutospacing="0" w:after="0" w:afterAutospacing="0"/>
        <w:ind w:left="720"/>
        <w:jc w:val="center"/>
        <w:rPr>
          <w:rStyle w:val="normaltextrun"/>
          <w:b/>
          <w:bCs/>
          <w:noProof/>
        </w:rPr>
      </w:pPr>
      <w:r w:rsidRPr="00CE39FB">
        <w:rPr>
          <w:rStyle w:val="normaltextrun"/>
          <w:b/>
          <w:bCs/>
          <w:noProof/>
        </w:rPr>
        <w:t xml:space="preserve">Cooperation and </w:t>
      </w:r>
      <w:r w:rsidR="00E074C1" w:rsidRPr="00CE39FB">
        <w:rPr>
          <w:rStyle w:val="normaltextrun"/>
          <w:b/>
          <w:bCs/>
          <w:noProof/>
        </w:rPr>
        <w:t>i</w:t>
      </w:r>
      <w:r w:rsidRPr="00CE39FB">
        <w:rPr>
          <w:rStyle w:val="normaltextrun"/>
          <w:b/>
          <w:bCs/>
          <w:noProof/>
        </w:rPr>
        <w:t xml:space="preserve">nformation </w:t>
      </w:r>
      <w:r w:rsidR="00E074C1" w:rsidRPr="00CE39FB">
        <w:rPr>
          <w:rStyle w:val="normaltextrun"/>
          <w:b/>
          <w:bCs/>
          <w:noProof/>
        </w:rPr>
        <w:t>s</w:t>
      </w:r>
      <w:r w:rsidRPr="00CE39FB">
        <w:rPr>
          <w:rStyle w:val="normaltextrun"/>
          <w:b/>
          <w:bCs/>
          <w:noProof/>
        </w:rPr>
        <w:t xml:space="preserve">haring with Union entities </w:t>
      </w:r>
    </w:p>
    <w:p w14:paraId="3C0C8E31" w14:textId="42C60023" w:rsidR="00533351" w:rsidRPr="00CE39FB" w:rsidRDefault="00C04F83" w:rsidP="00686F66">
      <w:pPr>
        <w:rPr>
          <w:noProof/>
        </w:rPr>
      </w:pPr>
      <w:r w:rsidRPr="00CE39FB">
        <w:rPr>
          <w:rFonts w:eastAsia="Times New Roman"/>
          <w:noProof/>
        </w:rPr>
        <w:t>1</w:t>
      </w:r>
      <w:r w:rsidR="00684B26" w:rsidRPr="00CE39FB">
        <w:rPr>
          <w:rFonts w:eastAsia="Times New Roman"/>
          <w:noProof/>
        </w:rPr>
        <w:t xml:space="preserve">. </w:t>
      </w:r>
      <w:r w:rsidR="00592B44" w:rsidRPr="00CE39FB">
        <w:rPr>
          <w:rFonts w:eastAsia="Times New Roman"/>
          <w:noProof/>
        </w:rPr>
        <w:t>Where t</w:t>
      </w:r>
      <w:r w:rsidR="00416C1F" w:rsidRPr="00CE39FB">
        <w:rPr>
          <w:rFonts w:eastAsia="Times New Roman"/>
          <w:noProof/>
        </w:rPr>
        <w:t xml:space="preserve">he </w:t>
      </w:r>
      <w:r w:rsidR="00533351" w:rsidRPr="00CE39FB">
        <w:rPr>
          <w:rFonts w:eastAsia="Times New Roman"/>
          <w:noProof/>
        </w:rPr>
        <w:t>Cross-border SOC</w:t>
      </w:r>
      <w:r w:rsidR="00416C1F" w:rsidRPr="00CE39FB">
        <w:rPr>
          <w:rFonts w:eastAsia="Times New Roman"/>
          <w:noProof/>
        </w:rPr>
        <w:t>s</w:t>
      </w:r>
      <w:r w:rsidR="00533351" w:rsidRPr="00CE39FB">
        <w:rPr>
          <w:rFonts w:eastAsia="Times New Roman"/>
          <w:noProof/>
        </w:rPr>
        <w:t xml:space="preserve"> </w:t>
      </w:r>
      <w:r w:rsidR="00592B44" w:rsidRPr="00CE39FB">
        <w:rPr>
          <w:rFonts w:eastAsia="Times New Roman"/>
          <w:noProof/>
        </w:rPr>
        <w:t xml:space="preserve">obtain information relating to </w:t>
      </w:r>
      <w:r w:rsidR="00956C27" w:rsidRPr="00CE39FB">
        <w:rPr>
          <w:rFonts w:eastAsia="Times New Roman"/>
          <w:noProof/>
        </w:rPr>
        <w:t>a potential or ongoing large-scale cybersecurity incident</w:t>
      </w:r>
      <w:r w:rsidR="00592B44" w:rsidRPr="00CE39FB">
        <w:rPr>
          <w:rFonts w:eastAsia="Times New Roman"/>
          <w:noProof/>
        </w:rPr>
        <w:t xml:space="preserve">, they </w:t>
      </w:r>
      <w:r w:rsidR="00533351" w:rsidRPr="00CE39FB">
        <w:rPr>
          <w:rFonts w:eastAsia="Times New Roman"/>
          <w:noProof/>
        </w:rPr>
        <w:t xml:space="preserve">shall provide </w:t>
      </w:r>
      <w:r w:rsidR="00077FA8" w:rsidRPr="00CE39FB">
        <w:rPr>
          <w:rFonts w:eastAsia="Times New Roman"/>
          <w:noProof/>
        </w:rPr>
        <w:t>relevant</w:t>
      </w:r>
      <w:r w:rsidR="00416C1F" w:rsidRPr="00CE39FB">
        <w:rPr>
          <w:rFonts w:eastAsia="Times New Roman"/>
          <w:noProof/>
        </w:rPr>
        <w:t xml:space="preserve"> </w:t>
      </w:r>
      <w:r w:rsidR="00533351" w:rsidRPr="00CE39FB">
        <w:rPr>
          <w:rFonts w:eastAsia="Times New Roman"/>
          <w:noProof/>
        </w:rPr>
        <w:t xml:space="preserve">information </w:t>
      </w:r>
      <w:r w:rsidR="002E4777" w:rsidRPr="00CE39FB">
        <w:rPr>
          <w:rFonts w:eastAsia="Times New Roman"/>
          <w:noProof/>
        </w:rPr>
        <w:t>to EU</w:t>
      </w:r>
      <w:r w:rsidR="006D78D2">
        <w:rPr>
          <w:rFonts w:eastAsia="Times New Roman"/>
          <w:noProof/>
        </w:rPr>
        <w:t>=</w:t>
      </w:r>
      <w:r w:rsidR="002E4777" w:rsidRPr="00CE39FB">
        <w:rPr>
          <w:rFonts w:eastAsia="Times New Roman"/>
          <w:noProof/>
        </w:rPr>
        <w:t xml:space="preserve">CyCLONe, the CSIRTs network and the Commission, in view </w:t>
      </w:r>
      <w:r w:rsidR="00333172" w:rsidRPr="00CE39FB">
        <w:rPr>
          <w:rFonts w:eastAsia="Times New Roman"/>
          <w:noProof/>
        </w:rPr>
        <w:t xml:space="preserve">of their respective crisis management roles in accordance with Directive (EU) 2022/2555 </w:t>
      </w:r>
      <w:r w:rsidR="00533351" w:rsidRPr="00CE39FB">
        <w:rPr>
          <w:rFonts w:eastAsia="Times New Roman"/>
          <w:noProof/>
        </w:rPr>
        <w:t>without undue delay</w:t>
      </w:r>
      <w:r w:rsidR="003D7B0F" w:rsidRPr="00CE39FB">
        <w:rPr>
          <w:rFonts w:eastAsia="Times New Roman"/>
          <w:noProof/>
        </w:rPr>
        <w:t>.</w:t>
      </w:r>
      <w:r w:rsidR="00533351" w:rsidRPr="00CE39FB">
        <w:rPr>
          <w:noProof/>
        </w:rPr>
        <w:t xml:space="preserve"> </w:t>
      </w:r>
    </w:p>
    <w:p w14:paraId="48B7B4FC" w14:textId="77777777" w:rsidR="00266F5A" w:rsidRPr="00CE39FB" w:rsidRDefault="00C04F83" w:rsidP="35B68C2B">
      <w:pPr>
        <w:rPr>
          <w:rFonts w:eastAsia="Times New Roman"/>
          <w:noProof/>
        </w:rPr>
      </w:pPr>
      <w:r w:rsidRPr="00CE39FB">
        <w:rPr>
          <w:rFonts w:eastAsia="Times New Roman"/>
          <w:noProof/>
        </w:rPr>
        <w:t>2</w:t>
      </w:r>
      <w:r w:rsidR="61401A21" w:rsidRPr="00CE39FB">
        <w:rPr>
          <w:rFonts w:eastAsia="Times New Roman"/>
          <w:noProof/>
        </w:rPr>
        <w:t xml:space="preserve">. </w:t>
      </w:r>
      <w:r w:rsidR="548EBB86" w:rsidRPr="00CE39FB">
        <w:rPr>
          <w:rFonts w:eastAsia="Times New Roman"/>
          <w:noProof/>
        </w:rPr>
        <w:t>The</w:t>
      </w:r>
      <w:r w:rsidR="304FC9A2" w:rsidRPr="00CE39FB">
        <w:rPr>
          <w:rFonts w:eastAsia="Times New Roman"/>
          <w:noProof/>
        </w:rPr>
        <w:t xml:space="preserve"> Commission may, by means of implementing acts, </w:t>
      </w:r>
      <w:r w:rsidR="548EBB86" w:rsidRPr="00CE39FB">
        <w:rPr>
          <w:rFonts w:eastAsia="Times New Roman"/>
          <w:noProof/>
        </w:rPr>
        <w:t xml:space="preserve">determine the </w:t>
      </w:r>
      <w:r w:rsidR="304FC9A2" w:rsidRPr="00CE39FB">
        <w:rPr>
          <w:rFonts w:eastAsia="Times New Roman"/>
          <w:noProof/>
        </w:rPr>
        <w:t xml:space="preserve">procedural arrangements </w:t>
      </w:r>
      <w:r w:rsidR="548EBB86" w:rsidRPr="00CE39FB">
        <w:rPr>
          <w:rFonts w:eastAsia="Times New Roman"/>
          <w:noProof/>
        </w:rPr>
        <w:t xml:space="preserve">for the </w:t>
      </w:r>
      <w:r w:rsidR="304FC9A2" w:rsidRPr="00CE39FB">
        <w:rPr>
          <w:rFonts w:eastAsia="Times New Roman"/>
          <w:noProof/>
        </w:rPr>
        <w:t>information sharing</w:t>
      </w:r>
      <w:r w:rsidR="548EBB86" w:rsidRPr="00CE39FB">
        <w:rPr>
          <w:rFonts w:eastAsia="Times New Roman"/>
          <w:noProof/>
        </w:rPr>
        <w:t xml:space="preserve"> provided for in paragraphs 1</w:t>
      </w:r>
      <w:r w:rsidR="304FC9A2" w:rsidRPr="00CE39FB">
        <w:rPr>
          <w:rFonts w:eastAsia="Times New Roman"/>
          <w:noProof/>
        </w:rPr>
        <w:t>. Those implementing acts shall be adopted in accordance with the examination procedure referred to in Article 2</w:t>
      </w:r>
      <w:r w:rsidR="149F33D6" w:rsidRPr="00CE39FB">
        <w:rPr>
          <w:rFonts w:eastAsia="Times New Roman"/>
          <w:noProof/>
        </w:rPr>
        <w:t>1</w:t>
      </w:r>
      <w:r w:rsidR="667A8995" w:rsidRPr="00CE39FB">
        <w:rPr>
          <w:rFonts w:eastAsia="Times New Roman"/>
          <w:noProof/>
        </w:rPr>
        <w:t>(2)</w:t>
      </w:r>
      <w:r w:rsidR="3EB64286" w:rsidRPr="00CE39FB">
        <w:rPr>
          <w:rFonts w:eastAsia="Times New Roman"/>
          <w:noProof/>
        </w:rPr>
        <w:t xml:space="preserve"> of this </w:t>
      </w:r>
      <w:r w:rsidR="004A7F7D" w:rsidRPr="00CE39FB">
        <w:rPr>
          <w:rFonts w:eastAsia="Times New Roman"/>
          <w:noProof/>
        </w:rPr>
        <w:t>R</w:t>
      </w:r>
      <w:r w:rsidR="3EB64286" w:rsidRPr="00CE39FB">
        <w:rPr>
          <w:rFonts w:eastAsia="Times New Roman"/>
          <w:noProof/>
        </w:rPr>
        <w:t>egulation</w:t>
      </w:r>
      <w:r w:rsidR="304FC9A2" w:rsidRPr="00CE39FB">
        <w:rPr>
          <w:rFonts w:eastAsia="Times New Roman"/>
          <w:noProof/>
        </w:rPr>
        <w:t>.</w:t>
      </w:r>
    </w:p>
    <w:p w14:paraId="4AA6F074" w14:textId="77777777" w:rsidR="00693576" w:rsidRPr="00CE39FB" w:rsidRDefault="00693576" w:rsidP="00266F5A">
      <w:pPr>
        <w:pStyle w:val="ListParagraph"/>
        <w:ind w:left="425"/>
        <w:jc w:val="both"/>
        <w:rPr>
          <w:rFonts w:ascii="Times New Roman" w:eastAsia="Times New Roman" w:hAnsi="Times New Roman" w:cs="Times New Roman"/>
          <w:noProof/>
          <w:sz w:val="24"/>
          <w:szCs w:val="24"/>
        </w:rPr>
      </w:pPr>
    </w:p>
    <w:p w14:paraId="016361DE" w14:textId="77777777" w:rsidR="00533351" w:rsidRPr="00CE39FB" w:rsidRDefault="00533351" w:rsidP="00A2646D">
      <w:pPr>
        <w:pStyle w:val="Titrearticle"/>
        <w:rPr>
          <w:rStyle w:val="eop"/>
          <w:b/>
          <w:bCs/>
          <w:noProof/>
          <w:szCs w:val="24"/>
        </w:rPr>
      </w:pPr>
      <w:r w:rsidRPr="00CE39FB">
        <w:rPr>
          <w:noProof/>
          <w:szCs w:val="24"/>
        </w:rPr>
        <w:t>Article 8</w:t>
      </w:r>
    </w:p>
    <w:p w14:paraId="5CAE3F50" w14:textId="77777777" w:rsidR="00533351" w:rsidRPr="00CE39FB" w:rsidRDefault="00533351" w:rsidP="00A16347">
      <w:pPr>
        <w:pStyle w:val="paragraph"/>
        <w:spacing w:after="0"/>
        <w:jc w:val="center"/>
        <w:rPr>
          <w:rStyle w:val="eop"/>
          <w:noProof/>
        </w:rPr>
      </w:pPr>
      <w:r w:rsidRPr="00CE39FB">
        <w:rPr>
          <w:rStyle w:val="eop"/>
          <w:b/>
          <w:bCs/>
          <w:noProof/>
        </w:rPr>
        <w:t>Security</w:t>
      </w:r>
    </w:p>
    <w:p w14:paraId="23BFCCB6" w14:textId="77777777" w:rsidR="00533351" w:rsidRPr="00CE39FB" w:rsidRDefault="00684B26" w:rsidP="00684B26">
      <w:pPr>
        <w:rPr>
          <w:rFonts w:eastAsia="Times New Roman"/>
          <w:noProof/>
        </w:rPr>
      </w:pPr>
      <w:r w:rsidRPr="00CE39FB">
        <w:rPr>
          <w:rFonts w:eastAsia="Times New Roman"/>
          <w:noProof/>
        </w:rPr>
        <w:t xml:space="preserve">1. </w:t>
      </w:r>
      <w:r w:rsidR="00533351" w:rsidRPr="00CE39FB">
        <w:rPr>
          <w:rFonts w:eastAsia="Times New Roman"/>
          <w:noProof/>
        </w:rPr>
        <w:t xml:space="preserve">Member States participating in the European Cyber Shield shall ensure a high level of data </w:t>
      </w:r>
      <w:r w:rsidR="3032E58D" w:rsidRPr="00CE39FB">
        <w:rPr>
          <w:rFonts w:eastAsia="Times New Roman"/>
          <w:noProof/>
        </w:rPr>
        <w:t>security</w:t>
      </w:r>
      <w:r w:rsidR="4AB6B1E5" w:rsidRPr="00CE39FB">
        <w:rPr>
          <w:rFonts w:eastAsia="Times New Roman"/>
          <w:noProof/>
        </w:rPr>
        <w:t xml:space="preserve"> </w:t>
      </w:r>
      <w:r w:rsidR="00533351" w:rsidRPr="00CE39FB">
        <w:rPr>
          <w:rFonts w:eastAsia="Times New Roman"/>
          <w:noProof/>
        </w:rPr>
        <w:t xml:space="preserve">and physical security of the </w:t>
      </w:r>
      <w:r w:rsidR="52FF8F10" w:rsidRPr="00CE39FB">
        <w:rPr>
          <w:rFonts w:eastAsia="Times New Roman"/>
          <w:noProof/>
        </w:rPr>
        <w:t xml:space="preserve">European Cyber Shield </w:t>
      </w:r>
      <w:r w:rsidR="00533351" w:rsidRPr="00CE39FB">
        <w:rPr>
          <w:rFonts w:eastAsia="Times New Roman"/>
          <w:noProof/>
        </w:rPr>
        <w:t>infrastructure</w:t>
      </w:r>
      <w:r w:rsidR="064ECA7F" w:rsidRPr="00CE39FB">
        <w:rPr>
          <w:rFonts w:eastAsia="Times New Roman"/>
          <w:noProof/>
        </w:rPr>
        <w:t>, and shall ensure that the</w:t>
      </w:r>
      <w:r w:rsidR="00533351" w:rsidRPr="00CE39FB">
        <w:rPr>
          <w:rFonts w:eastAsia="Times New Roman"/>
          <w:noProof/>
        </w:rPr>
        <w:t xml:space="preserve"> infrastructure shall be adequately managed and controlled in such a way as to protect it from threats and to ensure its security and that of the systems, including that of data exchanged through the infrastructure.</w:t>
      </w:r>
    </w:p>
    <w:p w14:paraId="101D2F99" w14:textId="77777777" w:rsidR="00533351" w:rsidRPr="00CE39FB" w:rsidRDefault="00684B26" w:rsidP="00684B26">
      <w:pPr>
        <w:rPr>
          <w:rFonts w:eastAsia="Times New Roman"/>
          <w:noProof/>
          <w:szCs w:val="24"/>
        </w:rPr>
      </w:pPr>
      <w:r w:rsidRPr="00CE39FB">
        <w:rPr>
          <w:rFonts w:eastAsia="Times New Roman"/>
          <w:noProof/>
          <w:szCs w:val="24"/>
        </w:rPr>
        <w:t xml:space="preserve">2. </w:t>
      </w:r>
      <w:r w:rsidR="00533351" w:rsidRPr="00CE39FB">
        <w:rPr>
          <w:rFonts w:eastAsia="Times New Roman"/>
          <w:noProof/>
          <w:szCs w:val="24"/>
        </w:rPr>
        <w:t>Member States participating in the European Cyber Shield shall ensure that the sharing of information within the European Cyber Shield with entities which are not Member State public bodies does not negatively affect the security interests of the Union.</w:t>
      </w:r>
    </w:p>
    <w:p w14:paraId="4AB7AD04" w14:textId="77777777" w:rsidR="00533351" w:rsidRPr="00CE39FB" w:rsidRDefault="00684B26" w:rsidP="00684B26">
      <w:pPr>
        <w:rPr>
          <w:rFonts w:eastAsia="Times New Roman"/>
          <w:noProof/>
        </w:rPr>
      </w:pPr>
      <w:r w:rsidRPr="00CE39FB">
        <w:rPr>
          <w:rFonts w:eastAsia="Times New Roman"/>
          <w:noProof/>
        </w:rPr>
        <w:t xml:space="preserve">3. </w:t>
      </w:r>
      <w:r w:rsidR="00533351" w:rsidRPr="00CE39FB">
        <w:rPr>
          <w:rFonts w:eastAsia="Times New Roman"/>
          <w:noProof/>
        </w:rPr>
        <w:t xml:space="preserve">The Commission may adopt implementing acts laying down technical requirements </w:t>
      </w:r>
      <w:r w:rsidR="1C80A09F" w:rsidRPr="00CE39FB">
        <w:rPr>
          <w:rFonts w:eastAsia="Times New Roman"/>
          <w:noProof/>
        </w:rPr>
        <w:t>for Member States</w:t>
      </w:r>
      <w:r w:rsidR="4AB6B1E5" w:rsidRPr="00CE39FB">
        <w:rPr>
          <w:rFonts w:eastAsia="Times New Roman"/>
          <w:noProof/>
        </w:rPr>
        <w:t xml:space="preserve"> </w:t>
      </w:r>
      <w:r w:rsidR="00533351" w:rsidRPr="00CE39FB">
        <w:rPr>
          <w:rFonts w:eastAsia="Times New Roman"/>
          <w:noProof/>
        </w:rPr>
        <w:t xml:space="preserve">to </w:t>
      </w:r>
      <w:r w:rsidR="0AFB120B" w:rsidRPr="00CE39FB">
        <w:rPr>
          <w:rFonts w:eastAsia="Times New Roman"/>
          <w:noProof/>
        </w:rPr>
        <w:t>comply</w:t>
      </w:r>
      <w:r w:rsidR="456D2D16" w:rsidRPr="00CE39FB">
        <w:rPr>
          <w:rFonts w:eastAsia="Times New Roman"/>
          <w:noProof/>
        </w:rPr>
        <w:t xml:space="preserve"> with</w:t>
      </w:r>
      <w:r w:rsidR="00533351" w:rsidRPr="00CE39FB">
        <w:rPr>
          <w:rFonts w:eastAsia="Times New Roman"/>
          <w:noProof/>
        </w:rPr>
        <w:t xml:space="preserve"> </w:t>
      </w:r>
      <w:r w:rsidR="4AB6B1E5" w:rsidRPr="00CE39FB">
        <w:rPr>
          <w:rFonts w:eastAsia="Times New Roman"/>
          <w:noProof/>
        </w:rPr>
        <w:t>the</w:t>
      </w:r>
      <w:r w:rsidR="28D0124D" w:rsidRPr="00CE39FB">
        <w:rPr>
          <w:rFonts w:eastAsia="Times New Roman"/>
          <w:noProof/>
        </w:rPr>
        <w:t>ir</w:t>
      </w:r>
      <w:r w:rsidR="00533351" w:rsidRPr="00CE39FB">
        <w:rPr>
          <w:rFonts w:eastAsia="Times New Roman"/>
          <w:noProof/>
        </w:rPr>
        <w:t xml:space="preserve"> obligation under paragraph 1 and 2. </w:t>
      </w:r>
      <w:r w:rsidR="702E8361" w:rsidRPr="00CE39FB">
        <w:rPr>
          <w:rFonts w:eastAsia="Times New Roman"/>
          <w:noProof/>
        </w:rPr>
        <w:t xml:space="preserve">Those implementing acts shall be adopted in accordance with the examination procedure referred to in Article </w:t>
      </w:r>
      <w:r w:rsidR="20704DF0" w:rsidRPr="00CE39FB">
        <w:rPr>
          <w:rFonts w:eastAsia="Times New Roman"/>
          <w:noProof/>
        </w:rPr>
        <w:t>2</w:t>
      </w:r>
      <w:r w:rsidR="480A11CD" w:rsidRPr="00CE39FB">
        <w:rPr>
          <w:rFonts w:eastAsia="Times New Roman"/>
          <w:noProof/>
        </w:rPr>
        <w:t>1</w:t>
      </w:r>
      <w:r w:rsidR="702E8361" w:rsidRPr="00CE39FB">
        <w:rPr>
          <w:rFonts w:eastAsia="Times New Roman"/>
          <w:noProof/>
        </w:rPr>
        <w:t xml:space="preserve">(2) of this </w:t>
      </w:r>
      <w:r w:rsidR="00686F66" w:rsidRPr="00CE39FB">
        <w:rPr>
          <w:rFonts w:eastAsia="Times New Roman"/>
          <w:noProof/>
        </w:rPr>
        <w:t>R</w:t>
      </w:r>
      <w:r w:rsidR="702E8361" w:rsidRPr="00CE39FB">
        <w:rPr>
          <w:rFonts w:eastAsia="Times New Roman"/>
          <w:noProof/>
        </w:rPr>
        <w:t xml:space="preserve">egulation. </w:t>
      </w:r>
      <w:r w:rsidR="00533351" w:rsidRPr="00CE39FB">
        <w:rPr>
          <w:rFonts w:eastAsia="Times New Roman"/>
          <w:noProof/>
        </w:rPr>
        <w:t>In doing so, the Commission</w:t>
      </w:r>
      <w:r w:rsidR="00111620" w:rsidRPr="00CE39FB">
        <w:rPr>
          <w:rFonts w:eastAsia="Times New Roman"/>
          <w:noProof/>
        </w:rPr>
        <w:t>, supported by the High Representative,</w:t>
      </w:r>
      <w:r w:rsidR="00533351" w:rsidRPr="00CE39FB">
        <w:rPr>
          <w:rFonts w:eastAsia="Times New Roman"/>
          <w:noProof/>
        </w:rPr>
        <w:t xml:space="preserve"> shall take into account relevant defence-level security standards, in order to facilitate cooperation with military actors.</w:t>
      </w:r>
    </w:p>
    <w:p w14:paraId="03754148" w14:textId="77777777" w:rsidR="00533351" w:rsidRPr="00CE39FB" w:rsidRDefault="00533351" w:rsidP="00533351">
      <w:pPr>
        <w:pStyle w:val="paragraph"/>
        <w:spacing w:beforeAutospacing="0" w:after="0" w:afterAutospacing="0"/>
        <w:jc w:val="both"/>
        <w:rPr>
          <w:noProof/>
        </w:rPr>
      </w:pPr>
      <w:r w:rsidRPr="00CE39FB">
        <w:rPr>
          <w:rStyle w:val="normaltextrun"/>
          <w:noProof/>
        </w:rPr>
        <w:t> </w:t>
      </w:r>
      <w:r w:rsidRPr="00CE39FB">
        <w:rPr>
          <w:rStyle w:val="eop"/>
          <w:noProof/>
        </w:rPr>
        <w:t> </w:t>
      </w:r>
    </w:p>
    <w:p w14:paraId="44561DEE" w14:textId="77777777" w:rsidR="00533351" w:rsidRPr="008D6611" w:rsidRDefault="00533351" w:rsidP="00A2646D">
      <w:pPr>
        <w:pStyle w:val="Titrearticle"/>
        <w:rPr>
          <w:b/>
          <w:noProof/>
        </w:rPr>
      </w:pPr>
      <w:r w:rsidRPr="008D6611">
        <w:rPr>
          <w:b/>
          <w:noProof/>
        </w:rPr>
        <w:t>Chapter III</w:t>
      </w:r>
    </w:p>
    <w:p w14:paraId="36C704D5" w14:textId="77777777" w:rsidR="00533351" w:rsidRPr="008D6611" w:rsidRDefault="00533351" w:rsidP="00A2646D">
      <w:pPr>
        <w:pStyle w:val="Titrearticle"/>
        <w:rPr>
          <w:b/>
          <w:noProof/>
        </w:rPr>
      </w:pPr>
      <w:bookmarkStart w:id="8" w:name="_Hlk124106015"/>
      <w:r w:rsidRPr="008D6611">
        <w:rPr>
          <w:b/>
          <w:noProof/>
        </w:rPr>
        <w:t>CYBER EMERGENCY MECHANISM</w:t>
      </w:r>
    </w:p>
    <w:bookmarkEnd w:id="8"/>
    <w:p w14:paraId="0C114343" w14:textId="77777777" w:rsidR="00533351" w:rsidRPr="00CE39FB" w:rsidRDefault="00533351" w:rsidP="00A2646D">
      <w:pPr>
        <w:pStyle w:val="Titrearticle"/>
        <w:rPr>
          <w:noProof/>
          <w:szCs w:val="24"/>
        </w:rPr>
      </w:pPr>
      <w:r w:rsidRPr="00CE39FB">
        <w:rPr>
          <w:noProof/>
          <w:szCs w:val="24"/>
        </w:rPr>
        <w:t>Article 9</w:t>
      </w:r>
    </w:p>
    <w:p w14:paraId="0D4E19B0" w14:textId="77777777" w:rsidR="00533351" w:rsidRPr="00CE39FB" w:rsidRDefault="00267D5C" w:rsidP="00533351">
      <w:pPr>
        <w:jc w:val="center"/>
        <w:rPr>
          <w:rFonts w:eastAsiaTheme="minorEastAsia"/>
          <w:b/>
          <w:bCs/>
          <w:noProof/>
          <w:szCs w:val="24"/>
        </w:rPr>
      </w:pPr>
      <w:r w:rsidRPr="00CE39FB">
        <w:rPr>
          <w:rFonts w:eastAsiaTheme="minorEastAsia"/>
          <w:b/>
          <w:bCs/>
          <w:noProof/>
          <w:szCs w:val="24"/>
        </w:rPr>
        <w:t>Establishment of the</w:t>
      </w:r>
      <w:r w:rsidRPr="008D6611">
        <w:rPr>
          <w:b/>
          <w:noProof/>
        </w:rPr>
        <w:t xml:space="preserve"> Cyber Emergency Mechanism</w:t>
      </w:r>
    </w:p>
    <w:p w14:paraId="083C3F32" w14:textId="77777777" w:rsidR="00533351" w:rsidRPr="00CE39FB" w:rsidRDefault="001F39DB" w:rsidP="00684B26">
      <w:pPr>
        <w:rPr>
          <w:rFonts w:eastAsia="Times New Roman"/>
          <w:noProof/>
        </w:rPr>
      </w:pPr>
      <w:r>
        <w:rPr>
          <w:rFonts w:eastAsia="Times New Roman"/>
          <w:noProof/>
        </w:rPr>
        <w:t xml:space="preserve">1. </w:t>
      </w:r>
      <w:r w:rsidR="001D0775" w:rsidRPr="00CE39FB">
        <w:rPr>
          <w:rFonts w:eastAsia="Times New Roman"/>
          <w:noProof/>
        </w:rPr>
        <w:t>A</w:t>
      </w:r>
      <w:r w:rsidR="00533351" w:rsidRPr="00CE39FB">
        <w:rPr>
          <w:rFonts w:eastAsia="Times New Roman"/>
          <w:noProof/>
        </w:rPr>
        <w:t xml:space="preserve"> Cyber Emergency Mechanism</w:t>
      </w:r>
      <w:r w:rsidR="000C62C9" w:rsidRPr="00CE39FB">
        <w:rPr>
          <w:rFonts w:eastAsia="Times New Roman"/>
          <w:noProof/>
        </w:rPr>
        <w:t xml:space="preserve"> </w:t>
      </w:r>
      <w:r w:rsidR="004610D1" w:rsidRPr="00CE39FB">
        <w:rPr>
          <w:rFonts w:eastAsia="Times New Roman"/>
          <w:noProof/>
        </w:rPr>
        <w:t xml:space="preserve">is </w:t>
      </w:r>
      <w:r w:rsidR="001D0775" w:rsidRPr="00CE39FB">
        <w:rPr>
          <w:rFonts w:eastAsia="Times New Roman"/>
          <w:noProof/>
        </w:rPr>
        <w:t xml:space="preserve">established </w:t>
      </w:r>
      <w:r w:rsidR="00533351" w:rsidRPr="00CE39FB">
        <w:rPr>
          <w:rFonts w:eastAsia="Times New Roman"/>
          <w:noProof/>
        </w:rPr>
        <w:t>to improve the Union’s resilience to major cybersecurity threats and prepare for and mitigate, in a spirit of solidarity, the short-term impact of significant and large-scale cybersecurity incidents (the ‘Mechanism’).</w:t>
      </w:r>
      <w:r w:rsidR="004610D1" w:rsidRPr="00CE39FB">
        <w:rPr>
          <w:rFonts w:eastAsia="Times New Roman"/>
          <w:noProof/>
        </w:rPr>
        <w:t xml:space="preserve"> </w:t>
      </w:r>
    </w:p>
    <w:p w14:paraId="0A5114DE" w14:textId="7D33FAA9" w:rsidR="00D41232" w:rsidRPr="00CE39FB" w:rsidRDefault="00D41232" w:rsidP="00D41232">
      <w:pPr>
        <w:rPr>
          <w:rFonts w:eastAsia="Times New Roman"/>
          <w:noProof/>
        </w:rPr>
      </w:pPr>
      <w:r w:rsidRPr="00CE39FB">
        <w:rPr>
          <w:rFonts w:eastAsia="Times New Roman"/>
          <w:noProof/>
          <w:szCs w:val="24"/>
        </w:rPr>
        <w:t xml:space="preserve">2. </w:t>
      </w:r>
      <w:r w:rsidRPr="00CE39FB">
        <w:rPr>
          <w:rFonts w:eastAsia="Times New Roman"/>
          <w:noProof/>
        </w:rPr>
        <w:t xml:space="preserve">Actions implementing the </w:t>
      </w:r>
      <w:r w:rsidR="006D78D2">
        <w:rPr>
          <w:rFonts w:eastAsia="Times New Roman"/>
          <w:noProof/>
        </w:rPr>
        <w:t>Cyber</w:t>
      </w:r>
      <w:r w:rsidR="006D78D2" w:rsidRPr="00CE39FB">
        <w:rPr>
          <w:rFonts w:eastAsia="Times New Roman"/>
          <w:noProof/>
        </w:rPr>
        <w:t xml:space="preserve"> </w:t>
      </w:r>
      <w:r w:rsidRPr="00CE39FB">
        <w:rPr>
          <w:rFonts w:eastAsia="Times New Roman"/>
          <w:noProof/>
        </w:rPr>
        <w:t xml:space="preserve">Emergency Mechanism shall be supported by funding from </w:t>
      </w:r>
      <w:r w:rsidR="006D78D2">
        <w:rPr>
          <w:rFonts w:eastAsia="Times New Roman"/>
          <w:noProof/>
        </w:rPr>
        <w:t>DEP</w:t>
      </w:r>
      <w:r w:rsidRPr="00CE39FB">
        <w:rPr>
          <w:rFonts w:eastAsia="Times New Roman"/>
          <w:noProof/>
        </w:rPr>
        <w:t xml:space="preserve"> and implemented in accordance with Regulation (EU) 2021/694 and in particular Specific Objective 3 thereof.</w:t>
      </w:r>
    </w:p>
    <w:p w14:paraId="639A48DC" w14:textId="77777777" w:rsidR="00A150D2" w:rsidRPr="00CE39FB" w:rsidRDefault="00A150D2" w:rsidP="00684B26">
      <w:pPr>
        <w:rPr>
          <w:rFonts w:eastAsia="Times New Roman"/>
          <w:noProof/>
        </w:rPr>
      </w:pPr>
    </w:p>
    <w:p w14:paraId="30EA1350" w14:textId="77777777" w:rsidR="00533351" w:rsidRPr="00CE39FB" w:rsidRDefault="1A0CF8EC" w:rsidP="00A2646D">
      <w:pPr>
        <w:pStyle w:val="Titrearticle"/>
        <w:rPr>
          <w:noProof/>
          <w:szCs w:val="24"/>
        </w:rPr>
      </w:pPr>
      <w:r w:rsidRPr="00CE39FB">
        <w:rPr>
          <w:rFonts w:eastAsia="Times New Roman"/>
          <w:noProof/>
        </w:rPr>
        <w:t xml:space="preserve"> </w:t>
      </w:r>
      <w:r w:rsidR="00533351" w:rsidRPr="00CE39FB">
        <w:rPr>
          <w:noProof/>
          <w:szCs w:val="24"/>
        </w:rPr>
        <w:t>Article 10</w:t>
      </w:r>
    </w:p>
    <w:p w14:paraId="1EF3B36A" w14:textId="77777777" w:rsidR="00533351" w:rsidRPr="008D6611" w:rsidRDefault="00533351" w:rsidP="00533351">
      <w:pPr>
        <w:spacing w:after="0"/>
        <w:jc w:val="center"/>
        <w:rPr>
          <w:b/>
          <w:noProof/>
        </w:rPr>
      </w:pPr>
    </w:p>
    <w:p w14:paraId="0636AAB3" w14:textId="77777777" w:rsidR="00533351" w:rsidRPr="008D6611" w:rsidRDefault="00533351" w:rsidP="00533351">
      <w:pPr>
        <w:spacing w:after="0"/>
        <w:jc w:val="center"/>
        <w:rPr>
          <w:noProof/>
        </w:rPr>
      </w:pPr>
      <w:r w:rsidRPr="008D6611">
        <w:rPr>
          <w:rStyle w:val="normaltextrun"/>
          <w:b/>
          <w:noProof/>
        </w:rPr>
        <w:t>Type of actions</w:t>
      </w:r>
    </w:p>
    <w:p w14:paraId="7A3F498D" w14:textId="77777777" w:rsidR="00533351" w:rsidRPr="008D6611" w:rsidRDefault="00533351" w:rsidP="008D6611">
      <w:pPr>
        <w:spacing w:after="0"/>
        <w:rPr>
          <w:noProof/>
        </w:rPr>
      </w:pPr>
      <w:r w:rsidRPr="008D6611">
        <w:rPr>
          <w:rStyle w:val="eop"/>
          <w:noProof/>
        </w:rPr>
        <w:t> </w:t>
      </w:r>
    </w:p>
    <w:p w14:paraId="68F58CB9" w14:textId="77777777" w:rsidR="00533351" w:rsidRPr="00CE39FB" w:rsidRDefault="00684B26" w:rsidP="00684B26">
      <w:pPr>
        <w:rPr>
          <w:rFonts w:eastAsia="Times New Roman"/>
          <w:noProof/>
          <w:szCs w:val="24"/>
        </w:rPr>
      </w:pPr>
      <w:r w:rsidRPr="00CE39FB">
        <w:rPr>
          <w:noProof/>
        </w:rPr>
        <w:t xml:space="preserve">1. </w:t>
      </w:r>
      <w:r w:rsidR="00533351" w:rsidRPr="00CE39FB">
        <w:rPr>
          <w:noProof/>
        </w:rPr>
        <w:t>The Mechanism shall support the following types of actions: </w:t>
      </w:r>
    </w:p>
    <w:p w14:paraId="2F2481A1" w14:textId="6764A3FA" w:rsidR="00533351" w:rsidRPr="008D6611" w:rsidRDefault="007B0110" w:rsidP="007B0110">
      <w:pPr>
        <w:pStyle w:val="Point0"/>
        <w:rPr>
          <w:rStyle w:val="normaltextrun"/>
          <w:noProof/>
        </w:rPr>
      </w:pPr>
      <w:r w:rsidRPr="007B0110">
        <w:rPr>
          <w:rStyle w:val="normaltextrun"/>
          <w:noProof/>
        </w:rPr>
        <w:t>(a)</w:t>
      </w:r>
      <w:r w:rsidRPr="007B0110">
        <w:rPr>
          <w:rStyle w:val="normaltextrun"/>
          <w:noProof/>
        </w:rPr>
        <w:tab/>
      </w:r>
      <w:r w:rsidR="00D02CF1" w:rsidRPr="00CE39FB">
        <w:rPr>
          <w:rStyle w:val="normaltextrun"/>
          <w:rFonts w:eastAsia="Times New Roman"/>
          <w:noProof/>
          <w:szCs w:val="24"/>
        </w:rPr>
        <w:t>p</w:t>
      </w:r>
      <w:r w:rsidR="00533351" w:rsidRPr="00CE39FB">
        <w:rPr>
          <w:rStyle w:val="normaltextrun"/>
          <w:rFonts w:eastAsia="Times New Roman"/>
          <w:noProof/>
          <w:szCs w:val="24"/>
        </w:rPr>
        <w:t>reparedness</w:t>
      </w:r>
      <w:r w:rsidR="00533351" w:rsidRPr="008D6611">
        <w:rPr>
          <w:rStyle w:val="normaltextrun"/>
          <w:noProof/>
        </w:rPr>
        <w:t xml:space="preserve"> actions, including the coordinated preparedness testing of entities </w:t>
      </w:r>
      <w:r w:rsidR="0007016B" w:rsidRPr="00CE39FB">
        <w:rPr>
          <w:rStyle w:val="normaltextrun"/>
          <w:rFonts w:eastAsia="Times New Roman"/>
          <w:noProof/>
          <w:szCs w:val="24"/>
        </w:rPr>
        <w:t xml:space="preserve">operating in highly critical sectors </w:t>
      </w:r>
      <w:r w:rsidR="00533351" w:rsidRPr="008D6611">
        <w:rPr>
          <w:rStyle w:val="normaltextrun"/>
          <w:noProof/>
        </w:rPr>
        <w:t>across the Union;</w:t>
      </w:r>
    </w:p>
    <w:p w14:paraId="268DD0F6" w14:textId="0253E429" w:rsidR="00533351" w:rsidRPr="008D6611" w:rsidRDefault="007B0110" w:rsidP="007B0110">
      <w:pPr>
        <w:pStyle w:val="Point0"/>
        <w:rPr>
          <w:noProof/>
        </w:rPr>
      </w:pPr>
      <w:r w:rsidRPr="007B0110">
        <w:rPr>
          <w:noProof/>
        </w:rPr>
        <w:t>(b)</w:t>
      </w:r>
      <w:r w:rsidRPr="007B0110">
        <w:rPr>
          <w:noProof/>
        </w:rPr>
        <w:tab/>
      </w:r>
      <w:r w:rsidR="00D02CF1" w:rsidRPr="00CE39FB">
        <w:rPr>
          <w:rStyle w:val="normaltextrun"/>
          <w:rFonts w:eastAsia="Times New Roman"/>
          <w:noProof/>
          <w:szCs w:val="24"/>
        </w:rPr>
        <w:t>r</w:t>
      </w:r>
      <w:r w:rsidR="00533351" w:rsidRPr="00CE39FB">
        <w:rPr>
          <w:rStyle w:val="normaltextrun"/>
          <w:rFonts w:eastAsia="Times New Roman"/>
          <w:noProof/>
          <w:szCs w:val="24"/>
        </w:rPr>
        <w:t>esponse</w:t>
      </w:r>
      <w:r w:rsidR="00533351" w:rsidRPr="008D6611">
        <w:rPr>
          <w:rStyle w:val="normaltextrun"/>
          <w:noProof/>
        </w:rPr>
        <w:t xml:space="preserve"> actions, supporting response to and immediate recovery from significant and large-scale</w:t>
      </w:r>
      <w:r w:rsidR="00533351" w:rsidRPr="00CE39FB">
        <w:rPr>
          <w:rStyle w:val="normaltextrun"/>
          <w:rFonts w:eastAsia="Times New Roman"/>
          <w:noProof/>
          <w:szCs w:val="24"/>
        </w:rPr>
        <w:t xml:space="preserve"> </w:t>
      </w:r>
      <w:r w:rsidR="00324247" w:rsidRPr="00CE39FB">
        <w:rPr>
          <w:rStyle w:val="normaltextrun"/>
          <w:rFonts w:eastAsia="Times New Roman"/>
          <w:noProof/>
          <w:szCs w:val="24"/>
        </w:rPr>
        <w:t>cybersecurity</w:t>
      </w:r>
      <w:r w:rsidR="00324247" w:rsidRPr="008D6611">
        <w:rPr>
          <w:rStyle w:val="normaltextrun"/>
          <w:noProof/>
        </w:rPr>
        <w:t xml:space="preserve"> </w:t>
      </w:r>
      <w:r w:rsidR="00533351" w:rsidRPr="008D6611">
        <w:rPr>
          <w:rStyle w:val="normaltextrun"/>
          <w:noProof/>
        </w:rPr>
        <w:t>incidents, to be provided by trusted providers participating in the EU Cybersecurity Reserve established under Article 12</w:t>
      </w:r>
      <w:r w:rsidR="00324247" w:rsidRPr="00CE39FB">
        <w:rPr>
          <w:rStyle w:val="normaltextrun"/>
          <w:rFonts w:eastAsia="Times New Roman"/>
          <w:noProof/>
          <w:szCs w:val="24"/>
        </w:rPr>
        <w:t>;</w:t>
      </w:r>
      <w:r w:rsidR="00533351" w:rsidRPr="008D6611">
        <w:rPr>
          <w:rStyle w:val="normaltextrun"/>
          <w:noProof/>
        </w:rPr>
        <w:t xml:space="preserve"> </w:t>
      </w:r>
    </w:p>
    <w:p w14:paraId="29962E2F" w14:textId="4E24121D" w:rsidR="00533351" w:rsidRPr="00CE39FB" w:rsidRDefault="007B0110" w:rsidP="007B0110">
      <w:pPr>
        <w:pStyle w:val="Point0"/>
        <w:rPr>
          <w:rStyle w:val="normaltextrun"/>
          <w:rFonts w:eastAsia="Times New Roman"/>
          <w:noProof/>
          <w:szCs w:val="24"/>
        </w:rPr>
      </w:pPr>
      <w:r w:rsidRPr="007B0110">
        <w:rPr>
          <w:rStyle w:val="normaltextrun"/>
          <w:noProof/>
        </w:rPr>
        <w:t>(c)</w:t>
      </w:r>
      <w:r w:rsidRPr="007B0110">
        <w:rPr>
          <w:rStyle w:val="normaltextrun"/>
          <w:noProof/>
        </w:rPr>
        <w:tab/>
      </w:r>
      <w:r w:rsidR="00D02CF1" w:rsidRPr="00CE39FB">
        <w:rPr>
          <w:rStyle w:val="normaltextrun"/>
          <w:rFonts w:eastAsia="Times New Roman"/>
          <w:noProof/>
          <w:szCs w:val="24"/>
        </w:rPr>
        <w:t>m</w:t>
      </w:r>
      <w:r w:rsidR="00533351" w:rsidRPr="00CE39FB">
        <w:rPr>
          <w:rStyle w:val="normaltextrun"/>
          <w:rFonts w:eastAsia="Times New Roman"/>
          <w:noProof/>
          <w:szCs w:val="24"/>
        </w:rPr>
        <w:t>utual</w:t>
      </w:r>
      <w:r w:rsidR="00533351" w:rsidRPr="008D6611">
        <w:rPr>
          <w:rStyle w:val="normaltextrun"/>
          <w:noProof/>
        </w:rPr>
        <w:t xml:space="preserve"> assistance actions</w:t>
      </w:r>
      <w:r w:rsidR="00620F73" w:rsidRPr="008D6611">
        <w:rPr>
          <w:rStyle w:val="normaltextrun"/>
          <w:noProof/>
        </w:rPr>
        <w:t xml:space="preserve"> </w:t>
      </w:r>
      <w:r w:rsidR="00EA262C" w:rsidRPr="008D6611">
        <w:rPr>
          <w:rStyle w:val="normaltextrun"/>
          <w:noProof/>
        </w:rPr>
        <w:t xml:space="preserve">consisting of </w:t>
      </w:r>
      <w:r w:rsidR="00E02B92" w:rsidRPr="008D6611">
        <w:rPr>
          <w:rStyle w:val="normaltextrun"/>
          <w:noProof/>
        </w:rPr>
        <w:t>the provision of assistance</w:t>
      </w:r>
      <w:r w:rsidR="00AB4F49" w:rsidRPr="008D6611">
        <w:rPr>
          <w:rStyle w:val="normaltextrun"/>
          <w:noProof/>
        </w:rPr>
        <w:t xml:space="preserve"> from national authorities</w:t>
      </w:r>
      <w:r w:rsidR="00F0764F" w:rsidRPr="008D6611">
        <w:rPr>
          <w:rStyle w:val="normaltextrun"/>
          <w:noProof/>
        </w:rPr>
        <w:t xml:space="preserve"> </w:t>
      </w:r>
      <w:r w:rsidR="00BA3940" w:rsidRPr="008D6611">
        <w:rPr>
          <w:rStyle w:val="normaltextrun"/>
          <w:noProof/>
        </w:rPr>
        <w:t xml:space="preserve">of one </w:t>
      </w:r>
      <w:r w:rsidR="00D93196" w:rsidRPr="008D6611">
        <w:rPr>
          <w:rStyle w:val="normaltextrun"/>
          <w:noProof/>
        </w:rPr>
        <w:t xml:space="preserve">Member State </w:t>
      </w:r>
      <w:r w:rsidR="00E02B92" w:rsidRPr="008D6611">
        <w:rPr>
          <w:rStyle w:val="normaltextrun"/>
          <w:noProof/>
        </w:rPr>
        <w:t>to another Member State</w:t>
      </w:r>
      <w:r w:rsidR="001F1CC5" w:rsidRPr="008D6611">
        <w:rPr>
          <w:rStyle w:val="normaltextrun"/>
          <w:noProof/>
        </w:rPr>
        <w:t xml:space="preserve">, in particular as provided for in </w:t>
      </w:r>
      <w:r w:rsidR="00CA483D" w:rsidRPr="008D6611">
        <w:rPr>
          <w:rStyle w:val="normaltextrun"/>
          <w:noProof/>
        </w:rPr>
        <w:t>Article 11(3</w:t>
      </w:r>
      <w:r w:rsidR="00CA483D" w:rsidRPr="00CE39FB">
        <w:rPr>
          <w:rStyle w:val="normaltextrun"/>
          <w:rFonts w:eastAsia="Times New Roman"/>
          <w:noProof/>
          <w:szCs w:val="24"/>
        </w:rPr>
        <w:t>)</w:t>
      </w:r>
      <w:r w:rsidR="00D02CF1" w:rsidRPr="00CE39FB">
        <w:rPr>
          <w:rStyle w:val="normaltextrun"/>
          <w:rFonts w:eastAsia="Times New Roman"/>
          <w:noProof/>
          <w:szCs w:val="24"/>
        </w:rPr>
        <w:t xml:space="preserve">, point </w:t>
      </w:r>
      <w:r w:rsidR="00CA483D" w:rsidRPr="00CE39FB">
        <w:rPr>
          <w:rStyle w:val="normaltextrun"/>
          <w:rFonts w:eastAsia="Times New Roman"/>
          <w:noProof/>
          <w:szCs w:val="24"/>
        </w:rPr>
        <w:t>(f)</w:t>
      </w:r>
      <w:r w:rsidR="002F73A1" w:rsidRPr="00CE39FB">
        <w:rPr>
          <w:rStyle w:val="normaltextrun"/>
          <w:rFonts w:eastAsia="Times New Roman"/>
          <w:noProof/>
          <w:szCs w:val="24"/>
        </w:rPr>
        <w:t>,</w:t>
      </w:r>
      <w:r w:rsidR="00CA483D" w:rsidRPr="008D6611">
        <w:rPr>
          <w:rStyle w:val="normaltextrun"/>
          <w:noProof/>
        </w:rPr>
        <w:t xml:space="preserve"> of Directive (EU) 2022/255</w:t>
      </w:r>
      <w:r w:rsidR="005A6FB7" w:rsidRPr="008D6611">
        <w:rPr>
          <w:rStyle w:val="normaltextrun"/>
          <w:noProof/>
        </w:rPr>
        <w:t>5</w:t>
      </w:r>
      <w:r w:rsidR="00533351" w:rsidRPr="008D6611">
        <w:rPr>
          <w:rStyle w:val="normaltextrun"/>
          <w:noProof/>
        </w:rPr>
        <w:t>.</w:t>
      </w:r>
    </w:p>
    <w:p w14:paraId="01767920" w14:textId="77777777" w:rsidR="00533351" w:rsidRPr="008D6611" w:rsidRDefault="00533351" w:rsidP="008D6611">
      <w:pPr>
        <w:spacing w:after="0"/>
        <w:rPr>
          <w:rStyle w:val="normaltextrun"/>
          <w:noProof/>
        </w:rPr>
      </w:pPr>
    </w:p>
    <w:p w14:paraId="39116F02" w14:textId="77777777" w:rsidR="00533351" w:rsidRPr="008D6611" w:rsidRDefault="00533351" w:rsidP="00533351">
      <w:pPr>
        <w:pStyle w:val="ListParagraph"/>
        <w:spacing w:after="0" w:line="240" w:lineRule="auto"/>
        <w:jc w:val="center"/>
        <w:rPr>
          <w:rStyle w:val="normaltextrun"/>
          <w:rFonts w:ascii="Times New Roman" w:hAnsi="Times New Roman"/>
          <w:b/>
          <w:noProof/>
          <w:sz w:val="24"/>
        </w:rPr>
      </w:pPr>
    </w:p>
    <w:p w14:paraId="6CDC63E9" w14:textId="77777777" w:rsidR="00533351" w:rsidRPr="00CE39FB" w:rsidRDefault="00533351" w:rsidP="00A2646D">
      <w:pPr>
        <w:pStyle w:val="Titrearticle"/>
        <w:rPr>
          <w:noProof/>
          <w:szCs w:val="24"/>
        </w:rPr>
      </w:pPr>
      <w:r w:rsidRPr="00CE39FB">
        <w:rPr>
          <w:noProof/>
          <w:szCs w:val="24"/>
        </w:rPr>
        <w:t>Article 11</w:t>
      </w:r>
    </w:p>
    <w:p w14:paraId="5DF1D22F" w14:textId="77777777" w:rsidR="00533351" w:rsidRPr="008D6611" w:rsidRDefault="00533351" w:rsidP="00533351">
      <w:pPr>
        <w:pStyle w:val="ListParagraph"/>
        <w:spacing w:after="0" w:line="240" w:lineRule="auto"/>
        <w:jc w:val="center"/>
        <w:rPr>
          <w:rStyle w:val="normaltextrun"/>
          <w:rFonts w:ascii="Times New Roman" w:hAnsi="Times New Roman"/>
          <w:b/>
          <w:noProof/>
          <w:sz w:val="24"/>
        </w:rPr>
      </w:pPr>
    </w:p>
    <w:p w14:paraId="21194EAF" w14:textId="77777777" w:rsidR="00533351" w:rsidRPr="008D6611" w:rsidRDefault="00533351" w:rsidP="00533351">
      <w:pPr>
        <w:pStyle w:val="ListParagraph"/>
        <w:spacing w:after="0" w:line="240" w:lineRule="auto"/>
        <w:jc w:val="center"/>
        <w:rPr>
          <w:rStyle w:val="normaltextrun"/>
          <w:rFonts w:ascii="Times New Roman" w:hAnsi="Times New Roman"/>
          <w:b/>
          <w:noProof/>
          <w:sz w:val="24"/>
        </w:rPr>
      </w:pPr>
      <w:r w:rsidRPr="008D6611">
        <w:rPr>
          <w:rStyle w:val="normaltextrun"/>
          <w:rFonts w:ascii="Times New Roman" w:hAnsi="Times New Roman"/>
          <w:b/>
          <w:noProof/>
          <w:sz w:val="24"/>
        </w:rPr>
        <w:t>Coordinated preparedness testing of entities</w:t>
      </w:r>
    </w:p>
    <w:p w14:paraId="62EC61D8" w14:textId="641AB7A9" w:rsidR="00533351" w:rsidRPr="00CE39FB" w:rsidRDefault="00684B26" w:rsidP="00684B26">
      <w:pPr>
        <w:rPr>
          <w:noProof/>
        </w:rPr>
      </w:pPr>
      <w:r w:rsidRPr="00CE39FB">
        <w:rPr>
          <w:noProof/>
        </w:rPr>
        <w:t xml:space="preserve">1. </w:t>
      </w:r>
      <w:r w:rsidR="00533351" w:rsidRPr="00CE39FB">
        <w:rPr>
          <w:noProof/>
        </w:rPr>
        <w:t>For the purpose of supporting the coordinated preparedness testing of entities referred to in Article 10(1)</w:t>
      </w:r>
      <w:r w:rsidR="009C36C0" w:rsidRPr="00CE39FB">
        <w:rPr>
          <w:noProof/>
        </w:rPr>
        <w:t xml:space="preserve">, point </w:t>
      </w:r>
      <w:r w:rsidR="00533351" w:rsidRPr="00CE39FB">
        <w:rPr>
          <w:noProof/>
        </w:rPr>
        <w:t>(a)</w:t>
      </w:r>
      <w:r w:rsidR="002F73A1" w:rsidRPr="00CE39FB">
        <w:rPr>
          <w:noProof/>
        </w:rPr>
        <w:t>,</w:t>
      </w:r>
      <w:r w:rsidR="00533351" w:rsidRPr="00CE39FB">
        <w:rPr>
          <w:noProof/>
        </w:rPr>
        <w:t xml:space="preserve"> across the Union, the Commission, after consulting the NIS Cooperation Group and ENISA, shall identify the sectors, or sub-sectors, </w:t>
      </w:r>
      <w:r w:rsidR="00324247" w:rsidRPr="00CE39FB">
        <w:rPr>
          <w:noProof/>
        </w:rPr>
        <w:t xml:space="preserve">concerned, </w:t>
      </w:r>
      <w:r w:rsidR="00533351" w:rsidRPr="00CE39FB">
        <w:rPr>
          <w:noProof/>
        </w:rPr>
        <w:t xml:space="preserve">from </w:t>
      </w:r>
      <w:r w:rsidR="00324247" w:rsidRPr="00CE39FB">
        <w:rPr>
          <w:noProof/>
        </w:rPr>
        <w:t xml:space="preserve">the Sectors of High Criticality listed </w:t>
      </w:r>
      <w:r w:rsidR="00533351" w:rsidRPr="00CE39FB">
        <w:rPr>
          <w:noProof/>
        </w:rPr>
        <w:t xml:space="preserve">in Annex I </w:t>
      </w:r>
      <w:r w:rsidR="009C36C0" w:rsidRPr="00CE39FB">
        <w:rPr>
          <w:noProof/>
        </w:rPr>
        <w:t xml:space="preserve">to </w:t>
      </w:r>
      <w:r w:rsidR="00533351" w:rsidRPr="00CE39FB">
        <w:rPr>
          <w:noProof/>
        </w:rPr>
        <w:t>Directive (EU) 2022/2555</w:t>
      </w:r>
      <w:r w:rsidR="0019656B" w:rsidRPr="00CE39FB">
        <w:rPr>
          <w:noProof/>
        </w:rPr>
        <w:t xml:space="preserve"> </w:t>
      </w:r>
      <w:r w:rsidR="00376C62" w:rsidRPr="00CE39FB">
        <w:rPr>
          <w:noProof/>
        </w:rPr>
        <w:t>from which entities</w:t>
      </w:r>
      <w:r w:rsidR="0019656B" w:rsidRPr="00CE39FB">
        <w:rPr>
          <w:noProof/>
        </w:rPr>
        <w:t xml:space="preserve"> </w:t>
      </w:r>
      <w:r w:rsidR="00915B9C" w:rsidRPr="00CE39FB">
        <w:rPr>
          <w:noProof/>
        </w:rPr>
        <w:t>may</w:t>
      </w:r>
      <w:r w:rsidR="0019656B" w:rsidRPr="00CE39FB">
        <w:rPr>
          <w:noProof/>
        </w:rPr>
        <w:t xml:space="preserve"> be subject </w:t>
      </w:r>
      <w:r w:rsidR="00376C62" w:rsidRPr="00CE39FB">
        <w:rPr>
          <w:noProof/>
        </w:rPr>
        <w:t xml:space="preserve">to </w:t>
      </w:r>
      <w:r w:rsidR="00086554" w:rsidRPr="00CE39FB">
        <w:rPr>
          <w:noProof/>
        </w:rPr>
        <w:t>the coordinated preparedness testing</w:t>
      </w:r>
      <w:r w:rsidR="00533351" w:rsidRPr="00CE39FB">
        <w:rPr>
          <w:noProof/>
        </w:rPr>
        <w:t xml:space="preserve">, taking into account existing and planned coordinated risk assessments </w:t>
      </w:r>
      <w:r w:rsidR="0072183B">
        <w:rPr>
          <w:noProof/>
        </w:rPr>
        <w:t xml:space="preserve">and resilience testing </w:t>
      </w:r>
      <w:r w:rsidR="00533351" w:rsidRPr="00CE39FB">
        <w:rPr>
          <w:noProof/>
        </w:rPr>
        <w:t>at Union level.</w:t>
      </w:r>
    </w:p>
    <w:p w14:paraId="2172863E" w14:textId="77777777" w:rsidR="00533351" w:rsidRPr="00CE39FB" w:rsidRDefault="00684B26" w:rsidP="00684B26">
      <w:pPr>
        <w:rPr>
          <w:noProof/>
        </w:rPr>
      </w:pPr>
      <w:r w:rsidRPr="00CE39FB">
        <w:rPr>
          <w:noProof/>
        </w:rPr>
        <w:t xml:space="preserve">2. </w:t>
      </w:r>
      <w:r w:rsidR="00533351" w:rsidRPr="00CE39FB">
        <w:rPr>
          <w:noProof/>
        </w:rPr>
        <w:t>The NIS Cooperation Group in cooperation with the Commission</w:t>
      </w:r>
      <w:r w:rsidR="1DC6964F" w:rsidRPr="00CE39FB">
        <w:rPr>
          <w:noProof/>
        </w:rPr>
        <w:t xml:space="preserve">, </w:t>
      </w:r>
      <w:r w:rsidR="00533351" w:rsidRPr="00CE39FB">
        <w:rPr>
          <w:noProof/>
        </w:rPr>
        <w:t xml:space="preserve">ENISA, </w:t>
      </w:r>
      <w:r w:rsidR="77446769" w:rsidRPr="00CE39FB">
        <w:rPr>
          <w:noProof/>
        </w:rPr>
        <w:t xml:space="preserve">and the High Representative, </w:t>
      </w:r>
      <w:r w:rsidR="00533351" w:rsidRPr="00CE39FB">
        <w:rPr>
          <w:noProof/>
        </w:rPr>
        <w:t xml:space="preserve">shall develop common risk scenarios and methodologies for the coordinated testing exercises. </w:t>
      </w:r>
    </w:p>
    <w:p w14:paraId="4194CC25" w14:textId="77777777" w:rsidR="00533351" w:rsidRPr="00CE39FB" w:rsidRDefault="00533351" w:rsidP="00A2646D">
      <w:pPr>
        <w:pStyle w:val="Titrearticle"/>
        <w:rPr>
          <w:noProof/>
          <w:szCs w:val="24"/>
        </w:rPr>
      </w:pPr>
      <w:r w:rsidRPr="00CE39FB">
        <w:rPr>
          <w:noProof/>
          <w:szCs w:val="24"/>
        </w:rPr>
        <w:t>Article 12</w:t>
      </w:r>
    </w:p>
    <w:p w14:paraId="04687632" w14:textId="77777777" w:rsidR="00533351" w:rsidRPr="008D6611" w:rsidRDefault="00533351" w:rsidP="00533351">
      <w:pPr>
        <w:spacing w:after="0"/>
        <w:jc w:val="center"/>
        <w:rPr>
          <w:rStyle w:val="normaltextrun"/>
          <w:b/>
          <w:noProof/>
        </w:rPr>
      </w:pPr>
    </w:p>
    <w:p w14:paraId="368B0BF8" w14:textId="77777777" w:rsidR="00533351" w:rsidRPr="008D6611" w:rsidRDefault="00533351" w:rsidP="00533351">
      <w:pPr>
        <w:spacing w:after="0"/>
        <w:jc w:val="center"/>
        <w:rPr>
          <w:rStyle w:val="normaltextrun"/>
          <w:noProof/>
        </w:rPr>
      </w:pPr>
      <w:r w:rsidRPr="008D6611">
        <w:rPr>
          <w:rStyle w:val="normaltextrun"/>
          <w:b/>
          <w:noProof/>
        </w:rPr>
        <w:t>Establishment of the EU Cybersecurity Reserve</w:t>
      </w:r>
      <w:r w:rsidRPr="008D6611">
        <w:rPr>
          <w:rStyle w:val="normaltextrun"/>
          <w:noProof/>
        </w:rPr>
        <w:t>   </w:t>
      </w:r>
    </w:p>
    <w:p w14:paraId="0F56FE97" w14:textId="77777777" w:rsidR="00533351" w:rsidRPr="008D6611" w:rsidRDefault="00533351" w:rsidP="00533351">
      <w:pPr>
        <w:spacing w:after="0"/>
        <w:jc w:val="center"/>
        <w:rPr>
          <w:rStyle w:val="normaltextrun"/>
          <w:noProof/>
        </w:rPr>
      </w:pPr>
    </w:p>
    <w:p w14:paraId="1771A400" w14:textId="77777777" w:rsidR="00533351" w:rsidRPr="00CE39FB" w:rsidRDefault="00684B26" w:rsidP="00684B26">
      <w:pPr>
        <w:rPr>
          <w:noProof/>
        </w:rPr>
      </w:pPr>
      <w:r w:rsidRPr="00CE39FB">
        <w:rPr>
          <w:noProof/>
        </w:rPr>
        <w:t xml:space="preserve">1. </w:t>
      </w:r>
      <w:r w:rsidR="00533351" w:rsidRPr="00CE39FB">
        <w:rPr>
          <w:noProof/>
        </w:rPr>
        <w:t>An EU Cybersecurity Reserve shall be established, in order to assist users referred to in paragraph 3, in responding or providing support for responding to significant or large-scale cybersecurity incidents, and immediate recovery from such incidents.</w:t>
      </w:r>
    </w:p>
    <w:p w14:paraId="7DAD4FDD" w14:textId="77777777" w:rsidR="00533351" w:rsidRPr="00CE39FB" w:rsidRDefault="00684B26" w:rsidP="00684B26">
      <w:pPr>
        <w:rPr>
          <w:noProof/>
        </w:rPr>
      </w:pPr>
      <w:r w:rsidRPr="00CE39FB">
        <w:rPr>
          <w:noProof/>
        </w:rPr>
        <w:t xml:space="preserve">2. </w:t>
      </w:r>
      <w:r w:rsidR="00533351" w:rsidRPr="00CE39FB">
        <w:rPr>
          <w:noProof/>
        </w:rPr>
        <w:t xml:space="preserve">The EU Cybersecurity Reserve shall consist of incident response services from trusted providers selected in accordance with </w:t>
      </w:r>
      <w:r w:rsidR="00552071" w:rsidRPr="00CE39FB">
        <w:rPr>
          <w:noProof/>
        </w:rPr>
        <w:t xml:space="preserve">the </w:t>
      </w:r>
      <w:r w:rsidR="00533351" w:rsidRPr="00CE39FB">
        <w:rPr>
          <w:noProof/>
        </w:rPr>
        <w:t>criteria laid down in Article 16. The Reserve shall include pre-committed services. The services shall be deployable in all Member States.   </w:t>
      </w:r>
    </w:p>
    <w:p w14:paraId="7CDDD681" w14:textId="77777777" w:rsidR="00533351" w:rsidRPr="00CE39FB" w:rsidRDefault="00684B26" w:rsidP="00684B26">
      <w:pPr>
        <w:rPr>
          <w:noProof/>
        </w:rPr>
      </w:pPr>
      <w:r w:rsidRPr="00CE39FB">
        <w:rPr>
          <w:noProof/>
        </w:rPr>
        <w:t xml:space="preserve">3. </w:t>
      </w:r>
      <w:r w:rsidR="002B30F0" w:rsidRPr="00CE39FB">
        <w:rPr>
          <w:noProof/>
        </w:rPr>
        <w:t>U</w:t>
      </w:r>
      <w:r w:rsidR="00533351" w:rsidRPr="00CE39FB">
        <w:rPr>
          <w:noProof/>
        </w:rPr>
        <w:t xml:space="preserve">sers of the services from the EU Cybersecurity Reserve </w:t>
      </w:r>
      <w:r w:rsidR="00654E33" w:rsidRPr="00CE39FB">
        <w:rPr>
          <w:noProof/>
        </w:rPr>
        <w:t xml:space="preserve">shall </w:t>
      </w:r>
      <w:r w:rsidR="00533351" w:rsidRPr="00CE39FB">
        <w:rPr>
          <w:noProof/>
        </w:rPr>
        <w:t xml:space="preserve">include: </w:t>
      </w:r>
    </w:p>
    <w:p w14:paraId="657B1191" w14:textId="77777777" w:rsidR="00533351" w:rsidRPr="00CE39FB" w:rsidRDefault="00A16620" w:rsidP="00533351">
      <w:pPr>
        <w:spacing w:after="0"/>
        <w:ind w:left="720"/>
        <w:rPr>
          <w:rStyle w:val="normaltextrun"/>
          <w:rFonts w:eastAsia="Times New Roman"/>
          <w:noProof/>
          <w:szCs w:val="24"/>
        </w:rPr>
      </w:pPr>
      <w:r w:rsidRPr="00CE39FB">
        <w:rPr>
          <w:rStyle w:val="normaltextrun"/>
          <w:rFonts w:eastAsia="Times New Roman"/>
          <w:noProof/>
          <w:szCs w:val="24"/>
        </w:rPr>
        <w:t>(</w:t>
      </w:r>
      <w:r w:rsidR="00533351" w:rsidRPr="00CE39FB">
        <w:rPr>
          <w:rStyle w:val="normaltextrun"/>
          <w:rFonts w:eastAsia="Times New Roman"/>
          <w:noProof/>
          <w:szCs w:val="24"/>
        </w:rPr>
        <w:t xml:space="preserve">a) </w:t>
      </w:r>
      <w:bookmarkStart w:id="9" w:name="_Hlk132359213"/>
      <w:r w:rsidR="00533351" w:rsidRPr="00CE39FB">
        <w:rPr>
          <w:rStyle w:val="normaltextrun"/>
          <w:rFonts w:eastAsia="Times New Roman"/>
          <w:noProof/>
          <w:szCs w:val="24"/>
        </w:rPr>
        <w:t xml:space="preserve">Member States’ </w:t>
      </w:r>
      <w:r w:rsidR="00B80292" w:rsidRPr="00CE39FB">
        <w:rPr>
          <w:rStyle w:val="normaltextrun"/>
          <w:rFonts w:eastAsia="Times New Roman"/>
          <w:noProof/>
          <w:szCs w:val="24"/>
        </w:rPr>
        <w:t xml:space="preserve">cyber crisis management authorities </w:t>
      </w:r>
      <w:r w:rsidR="00F40D17" w:rsidRPr="00CE39FB">
        <w:rPr>
          <w:rStyle w:val="normaltextrun"/>
          <w:rFonts w:eastAsia="Times New Roman"/>
          <w:noProof/>
          <w:szCs w:val="24"/>
        </w:rPr>
        <w:t xml:space="preserve">and </w:t>
      </w:r>
      <w:r w:rsidR="00533351" w:rsidRPr="00CE39FB">
        <w:rPr>
          <w:rStyle w:val="normaltextrun"/>
          <w:rFonts w:eastAsia="Times New Roman"/>
          <w:noProof/>
          <w:szCs w:val="24"/>
        </w:rPr>
        <w:t xml:space="preserve">CSIRTs </w:t>
      </w:r>
      <w:bookmarkEnd w:id="9"/>
      <w:r w:rsidR="00533351" w:rsidRPr="00CE39FB">
        <w:rPr>
          <w:rStyle w:val="normaltextrun"/>
          <w:rFonts w:eastAsia="Times New Roman"/>
          <w:noProof/>
          <w:szCs w:val="24"/>
        </w:rPr>
        <w:t xml:space="preserve">as referred to in Article </w:t>
      </w:r>
      <w:r w:rsidR="00FD6215" w:rsidRPr="00CE39FB">
        <w:rPr>
          <w:rStyle w:val="normaltextrun"/>
          <w:rFonts w:eastAsia="Times New Roman"/>
          <w:noProof/>
          <w:szCs w:val="24"/>
        </w:rPr>
        <w:t xml:space="preserve">9 (1) and (2) </w:t>
      </w:r>
      <w:r w:rsidR="00533351" w:rsidRPr="00CE39FB">
        <w:rPr>
          <w:rStyle w:val="normaltextrun"/>
          <w:rFonts w:eastAsia="Times New Roman"/>
          <w:noProof/>
          <w:szCs w:val="24"/>
        </w:rPr>
        <w:t xml:space="preserve">and </w:t>
      </w:r>
      <w:r w:rsidR="00A40C3C" w:rsidRPr="00CE39FB">
        <w:rPr>
          <w:rStyle w:val="normaltextrun"/>
          <w:rFonts w:eastAsia="Times New Roman"/>
          <w:noProof/>
          <w:szCs w:val="24"/>
        </w:rPr>
        <w:t xml:space="preserve">Article </w:t>
      </w:r>
      <w:r w:rsidR="00854D82" w:rsidRPr="00CE39FB">
        <w:rPr>
          <w:rStyle w:val="normaltextrun"/>
          <w:rFonts w:eastAsia="Times New Roman"/>
          <w:noProof/>
          <w:szCs w:val="24"/>
        </w:rPr>
        <w:t>10</w:t>
      </w:r>
      <w:r w:rsidR="00533351" w:rsidRPr="00CE39FB">
        <w:rPr>
          <w:rStyle w:val="normaltextrun"/>
          <w:rFonts w:eastAsia="Times New Roman"/>
          <w:noProof/>
          <w:szCs w:val="24"/>
        </w:rPr>
        <w:t xml:space="preserve"> of Directive (EU) 2022/2555, respectively;</w:t>
      </w:r>
    </w:p>
    <w:p w14:paraId="3D5DC782" w14:textId="77777777" w:rsidR="00533351" w:rsidRPr="00CE39FB" w:rsidRDefault="00A16620" w:rsidP="00533351">
      <w:pPr>
        <w:spacing w:after="0"/>
        <w:ind w:left="720"/>
        <w:rPr>
          <w:rStyle w:val="normaltextrun"/>
          <w:rFonts w:eastAsia="Times New Roman"/>
          <w:noProof/>
          <w:szCs w:val="24"/>
        </w:rPr>
      </w:pPr>
      <w:r w:rsidRPr="00CE39FB">
        <w:rPr>
          <w:rStyle w:val="normaltextrun"/>
          <w:rFonts w:eastAsia="Times New Roman"/>
          <w:noProof/>
          <w:szCs w:val="24"/>
        </w:rPr>
        <w:t>(</w:t>
      </w:r>
      <w:r w:rsidR="00533351" w:rsidRPr="00CE39FB">
        <w:rPr>
          <w:rStyle w:val="normaltextrun"/>
          <w:rFonts w:eastAsia="Times New Roman"/>
          <w:noProof/>
          <w:szCs w:val="24"/>
        </w:rPr>
        <w:t>b) Union institutions, bodies and agencies.</w:t>
      </w:r>
    </w:p>
    <w:p w14:paraId="51BBAC47" w14:textId="67B71EEF" w:rsidR="00533351" w:rsidRPr="00CE39FB" w:rsidRDefault="003F5A02" w:rsidP="00684B26">
      <w:pPr>
        <w:rPr>
          <w:noProof/>
        </w:rPr>
      </w:pPr>
      <w:r w:rsidRPr="00CE39FB">
        <w:rPr>
          <w:noProof/>
        </w:rPr>
        <w:t>4</w:t>
      </w:r>
      <w:r w:rsidR="00684B26" w:rsidRPr="00CE39FB">
        <w:rPr>
          <w:noProof/>
        </w:rPr>
        <w:t xml:space="preserve">. </w:t>
      </w:r>
      <w:r w:rsidR="00D55A42" w:rsidRPr="00CE39FB">
        <w:rPr>
          <w:noProof/>
        </w:rPr>
        <w:t>Users</w:t>
      </w:r>
      <w:r w:rsidR="00533351" w:rsidRPr="00CE39FB">
        <w:rPr>
          <w:noProof/>
        </w:rPr>
        <w:t xml:space="preserve"> referred to in paragraph 3</w:t>
      </w:r>
      <w:r w:rsidR="00A16620" w:rsidRPr="00CE39FB">
        <w:rPr>
          <w:noProof/>
        </w:rPr>
        <w:t xml:space="preserve">, point </w:t>
      </w:r>
      <w:r w:rsidR="00533351" w:rsidRPr="00CE39FB">
        <w:rPr>
          <w:noProof/>
        </w:rPr>
        <w:t>(a)</w:t>
      </w:r>
      <w:r w:rsidR="002F73A1" w:rsidRPr="00CE39FB">
        <w:rPr>
          <w:noProof/>
        </w:rPr>
        <w:t>,</w:t>
      </w:r>
      <w:r w:rsidR="00533351" w:rsidRPr="00CE39FB">
        <w:rPr>
          <w:noProof/>
        </w:rPr>
        <w:t xml:space="preserve"> shall use the services from the EU Cybersecurity Reserve </w:t>
      </w:r>
      <w:bookmarkStart w:id="10" w:name="_Hlk132359258"/>
      <w:r w:rsidR="00533351" w:rsidRPr="00CE39FB">
        <w:rPr>
          <w:noProof/>
        </w:rPr>
        <w:t xml:space="preserve">in order to </w:t>
      </w:r>
      <w:r w:rsidR="00782E7B" w:rsidRPr="00CE39FB">
        <w:rPr>
          <w:noProof/>
        </w:rPr>
        <w:t xml:space="preserve">respond or </w:t>
      </w:r>
      <w:r w:rsidR="00533351" w:rsidRPr="00CE39FB">
        <w:rPr>
          <w:noProof/>
        </w:rPr>
        <w:t>support response to and immediate recovery from significant or large-scale incidents affecting entities</w:t>
      </w:r>
      <w:r w:rsidR="001536A0" w:rsidRPr="00CE39FB">
        <w:rPr>
          <w:noProof/>
        </w:rPr>
        <w:t xml:space="preserve"> operating in critical or highly critical sectors</w:t>
      </w:r>
      <w:bookmarkEnd w:id="10"/>
      <w:r w:rsidR="00533351" w:rsidRPr="00CE39FB">
        <w:rPr>
          <w:noProof/>
        </w:rPr>
        <w:t>.</w:t>
      </w:r>
    </w:p>
    <w:p w14:paraId="27CD08C5" w14:textId="77777777" w:rsidR="00533351" w:rsidRPr="00CE39FB" w:rsidRDefault="00684B26" w:rsidP="00684B26">
      <w:pPr>
        <w:rPr>
          <w:noProof/>
        </w:rPr>
      </w:pPr>
      <w:r w:rsidRPr="00CE39FB">
        <w:rPr>
          <w:noProof/>
        </w:rPr>
        <w:t xml:space="preserve">5. </w:t>
      </w:r>
      <w:r w:rsidR="00533351" w:rsidRPr="00CE39FB">
        <w:rPr>
          <w:noProof/>
        </w:rPr>
        <w:t>The Commission shall have overall responsibility for the implementation of the EU Cybersecurity Reserve. The Commission shall</w:t>
      </w:r>
      <w:r w:rsidR="00D07FCE" w:rsidRPr="00CE39FB">
        <w:rPr>
          <w:noProof/>
        </w:rPr>
        <w:t xml:space="preserve"> </w:t>
      </w:r>
      <w:r w:rsidR="00533351" w:rsidRPr="00CE39FB">
        <w:rPr>
          <w:noProof/>
        </w:rPr>
        <w:t xml:space="preserve">determine the priorities and evolution of the EU Cybersecurity Reserve, in line with the requirements of </w:t>
      </w:r>
      <w:r w:rsidR="00D07FCE" w:rsidRPr="00CE39FB">
        <w:rPr>
          <w:noProof/>
        </w:rPr>
        <w:t xml:space="preserve">the </w:t>
      </w:r>
      <w:r w:rsidR="00533351" w:rsidRPr="00CE39FB">
        <w:rPr>
          <w:noProof/>
        </w:rPr>
        <w:t xml:space="preserve">users </w:t>
      </w:r>
      <w:r w:rsidR="00D07FCE" w:rsidRPr="00CE39FB">
        <w:rPr>
          <w:noProof/>
        </w:rPr>
        <w:t xml:space="preserve">referred to </w:t>
      </w:r>
      <w:r w:rsidR="00533351" w:rsidRPr="00CE39FB">
        <w:rPr>
          <w:noProof/>
        </w:rPr>
        <w:t xml:space="preserve">in paragraph 3, and shall supervise its implementation, </w:t>
      </w:r>
      <w:r w:rsidR="00B90678" w:rsidRPr="00CE39FB">
        <w:rPr>
          <w:noProof/>
        </w:rPr>
        <w:t xml:space="preserve">and </w:t>
      </w:r>
      <w:r w:rsidR="003B1B91" w:rsidRPr="00CE39FB">
        <w:rPr>
          <w:noProof/>
        </w:rPr>
        <w:t xml:space="preserve">ensure </w:t>
      </w:r>
      <w:r w:rsidR="00533351" w:rsidRPr="00CE39FB">
        <w:rPr>
          <w:noProof/>
        </w:rPr>
        <w:t xml:space="preserve">complementarity, consistency, synergies and links </w:t>
      </w:r>
      <w:r w:rsidR="00B90678" w:rsidRPr="00CE39FB">
        <w:rPr>
          <w:noProof/>
        </w:rPr>
        <w:t>with</w:t>
      </w:r>
      <w:r w:rsidR="00533351" w:rsidRPr="00CE39FB">
        <w:rPr>
          <w:noProof/>
        </w:rPr>
        <w:t xml:space="preserve"> other support actions under this Regulation as well as other Union actions and programmes. </w:t>
      </w:r>
    </w:p>
    <w:p w14:paraId="7FD63365" w14:textId="77777777" w:rsidR="00533351" w:rsidRPr="00CE39FB" w:rsidRDefault="00684B26" w:rsidP="00684B26">
      <w:pPr>
        <w:rPr>
          <w:noProof/>
        </w:rPr>
      </w:pPr>
      <w:r w:rsidRPr="00CE39FB">
        <w:rPr>
          <w:noProof/>
        </w:rPr>
        <w:t xml:space="preserve">6. </w:t>
      </w:r>
      <w:r w:rsidR="00533351" w:rsidRPr="00CE39FB">
        <w:rPr>
          <w:noProof/>
        </w:rPr>
        <w:t>The Commission may entrust</w:t>
      </w:r>
      <w:r w:rsidR="00E26C68" w:rsidRPr="00CE39FB">
        <w:rPr>
          <w:noProof/>
        </w:rPr>
        <w:t xml:space="preserve"> </w:t>
      </w:r>
      <w:r w:rsidR="00533351" w:rsidRPr="00CE39FB">
        <w:rPr>
          <w:noProof/>
        </w:rPr>
        <w:t>the operation and administration of the EU Cybersecurity Reserve</w:t>
      </w:r>
      <w:r w:rsidR="00E26C68" w:rsidRPr="00CE39FB">
        <w:rPr>
          <w:noProof/>
        </w:rPr>
        <w:t xml:space="preserve">, in full or in part, </w:t>
      </w:r>
      <w:r w:rsidR="00533351" w:rsidRPr="00CE39FB">
        <w:rPr>
          <w:noProof/>
        </w:rPr>
        <w:t>to ENISA</w:t>
      </w:r>
      <w:r w:rsidR="00E26C68" w:rsidRPr="00CE39FB">
        <w:rPr>
          <w:noProof/>
        </w:rPr>
        <w:t>, by means of contribution agreements</w:t>
      </w:r>
      <w:r w:rsidR="00533351" w:rsidRPr="00CE39FB">
        <w:rPr>
          <w:noProof/>
        </w:rPr>
        <w:t>.</w:t>
      </w:r>
    </w:p>
    <w:p w14:paraId="577EB4FB" w14:textId="3866CB23" w:rsidR="00533351" w:rsidRPr="00CE39FB" w:rsidRDefault="00684B26" w:rsidP="00684B26">
      <w:pPr>
        <w:rPr>
          <w:noProof/>
        </w:rPr>
      </w:pPr>
      <w:r w:rsidRPr="00CE39FB">
        <w:rPr>
          <w:noProof/>
        </w:rPr>
        <w:t xml:space="preserve">7. </w:t>
      </w:r>
      <w:r w:rsidR="00533351" w:rsidRPr="00CE39FB">
        <w:rPr>
          <w:noProof/>
        </w:rPr>
        <w:t xml:space="preserve">In order to support the Commission in establishing the EU Cybersecurity Reserve, ENISA shall prepare a mapping of the services needed, after consulting Member States and the Commission. </w:t>
      </w:r>
      <w:r w:rsidR="00256E1A" w:rsidRPr="00CE39FB">
        <w:rPr>
          <w:noProof/>
        </w:rPr>
        <w:t>ENISA</w:t>
      </w:r>
      <w:r w:rsidR="00A40C3C" w:rsidRPr="00CE39FB">
        <w:rPr>
          <w:noProof/>
        </w:rPr>
        <w:t xml:space="preserve"> shall </w:t>
      </w:r>
      <w:r w:rsidR="009B0238" w:rsidRPr="00CE39FB">
        <w:rPr>
          <w:noProof/>
        </w:rPr>
        <w:t>prepare</w:t>
      </w:r>
      <w:r w:rsidR="00A40C3C" w:rsidRPr="00CE39FB">
        <w:rPr>
          <w:noProof/>
        </w:rPr>
        <w:t xml:space="preserve"> a similar mapping</w:t>
      </w:r>
      <w:r w:rsidR="00256E1A" w:rsidRPr="00CE39FB">
        <w:rPr>
          <w:noProof/>
        </w:rPr>
        <w:t xml:space="preserve">, </w:t>
      </w:r>
      <w:r w:rsidR="008D06D2" w:rsidRPr="00CE39FB">
        <w:rPr>
          <w:noProof/>
        </w:rPr>
        <w:t>after consulting the Commission</w:t>
      </w:r>
      <w:r w:rsidR="00256E1A" w:rsidRPr="00CE39FB">
        <w:rPr>
          <w:noProof/>
        </w:rPr>
        <w:t>, to identify the needs of third countries</w:t>
      </w:r>
      <w:r w:rsidR="00063597" w:rsidRPr="00CE39FB">
        <w:rPr>
          <w:noProof/>
        </w:rPr>
        <w:t xml:space="preserve"> </w:t>
      </w:r>
      <w:r w:rsidR="00D46999">
        <w:rPr>
          <w:noProof/>
        </w:rPr>
        <w:t>eligible for support from</w:t>
      </w:r>
      <w:r w:rsidR="00063597" w:rsidRPr="00CE39FB">
        <w:rPr>
          <w:noProof/>
        </w:rPr>
        <w:t xml:space="preserve"> the EU Cybersecurity Reserve pursuant to Article 17</w:t>
      </w:r>
      <w:r w:rsidR="00256E1A" w:rsidRPr="00CE39FB">
        <w:rPr>
          <w:noProof/>
        </w:rPr>
        <w:t>.</w:t>
      </w:r>
      <w:r w:rsidR="00445314" w:rsidRPr="00CE39FB">
        <w:rPr>
          <w:noProof/>
        </w:rPr>
        <w:t xml:space="preserve"> The Commission</w:t>
      </w:r>
      <w:r w:rsidR="004231E0" w:rsidRPr="00CE39FB">
        <w:rPr>
          <w:noProof/>
        </w:rPr>
        <w:t>, where relevant,</w:t>
      </w:r>
      <w:r w:rsidR="00445314" w:rsidRPr="00CE39FB">
        <w:rPr>
          <w:noProof/>
        </w:rPr>
        <w:t xml:space="preserve"> </w:t>
      </w:r>
      <w:r w:rsidR="00AF2FC2">
        <w:rPr>
          <w:noProof/>
        </w:rPr>
        <w:t>shall</w:t>
      </w:r>
      <w:r w:rsidR="00AF2FC2" w:rsidRPr="00CE39FB">
        <w:rPr>
          <w:noProof/>
        </w:rPr>
        <w:t xml:space="preserve"> </w:t>
      </w:r>
      <w:r w:rsidR="004231E0" w:rsidRPr="00CE39FB">
        <w:rPr>
          <w:noProof/>
        </w:rPr>
        <w:t>consult the High Representative.</w:t>
      </w:r>
    </w:p>
    <w:p w14:paraId="32F1F4CD" w14:textId="77777777" w:rsidR="00533351" w:rsidRPr="00CE39FB" w:rsidRDefault="00684B26" w:rsidP="00684B26">
      <w:pPr>
        <w:rPr>
          <w:noProof/>
        </w:rPr>
      </w:pPr>
      <w:r w:rsidRPr="00CE39FB">
        <w:rPr>
          <w:noProof/>
        </w:rPr>
        <w:t xml:space="preserve">8. </w:t>
      </w:r>
      <w:r w:rsidR="00533351" w:rsidRPr="00CE39FB">
        <w:rPr>
          <w:noProof/>
        </w:rPr>
        <w:t>The Commission may, by means of implementing acts, specify the types and the number of response services required for the EU Cybersecurity Reserve. Those implementing acts shall be adopted in accordance with the examination procedure referred to in Article 2</w:t>
      </w:r>
      <w:r w:rsidR="00CD2EC4" w:rsidRPr="00CE39FB">
        <w:rPr>
          <w:noProof/>
        </w:rPr>
        <w:t>1</w:t>
      </w:r>
      <w:r w:rsidR="0000489E" w:rsidRPr="00CE39FB">
        <w:rPr>
          <w:noProof/>
        </w:rPr>
        <w:t>(2)</w:t>
      </w:r>
      <w:r w:rsidR="00533351" w:rsidRPr="00CE39FB">
        <w:rPr>
          <w:noProof/>
        </w:rPr>
        <w:t xml:space="preserve">.    </w:t>
      </w:r>
    </w:p>
    <w:p w14:paraId="07491A5E" w14:textId="77777777" w:rsidR="00533351" w:rsidRPr="00CE39FB" w:rsidRDefault="00533351" w:rsidP="00533351">
      <w:pPr>
        <w:jc w:val="center"/>
        <w:rPr>
          <w:rFonts w:eastAsia="Times New Roman"/>
          <w:b/>
          <w:bCs/>
          <w:noProof/>
          <w:szCs w:val="24"/>
        </w:rPr>
      </w:pPr>
    </w:p>
    <w:p w14:paraId="1A853CFA" w14:textId="77777777" w:rsidR="00533351" w:rsidRPr="00CE39FB" w:rsidRDefault="00533351" w:rsidP="00A2646D">
      <w:pPr>
        <w:pStyle w:val="Titrearticle"/>
        <w:rPr>
          <w:noProof/>
          <w:szCs w:val="24"/>
        </w:rPr>
      </w:pPr>
      <w:r w:rsidRPr="00CE39FB">
        <w:rPr>
          <w:noProof/>
          <w:szCs w:val="24"/>
        </w:rPr>
        <w:t>Article 13</w:t>
      </w:r>
    </w:p>
    <w:p w14:paraId="0480F879" w14:textId="77777777" w:rsidR="00533351" w:rsidRPr="008D6611" w:rsidRDefault="00533351" w:rsidP="00533351">
      <w:pPr>
        <w:spacing w:after="0"/>
        <w:jc w:val="center"/>
        <w:rPr>
          <w:rStyle w:val="normaltextrun"/>
          <w:b/>
          <w:noProof/>
        </w:rPr>
      </w:pPr>
      <w:r w:rsidRPr="00CE39FB">
        <w:rPr>
          <w:rStyle w:val="normaltextrun"/>
          <w:rFonts w:eastAsia="Times New Roman"/>
          <w:b/>
          <w:bCs/>
          <w:noProof/>
          <w:szCs w:val="24"/>
        </w:rPr>
        <w:t>Requests for support from the EU Cybersecurity Reserve</w:t>
      </w:r>
    </w:p>
    <w:p w14:paraId="62C8EF87" w14:textId="77777777" w:rsidR="00533351" w:rsidRPr="00CE39FB" w:rsidRDefault="00684B26" w:rsidP="00684B26">
      <w:pPr>
        <w:rPr>
          <w:noProof/>
        </w:rPr>
      </w:pPr>
      <w:r w:rsidRPr="00CE39FB">
        <w:rPr>
          <w:noProof/>
        </w:rPr>
        <w:t xml:space="preserve">1. </w:t>
      </w:r>
      <w:r w:rsidR="00A40C3C" w:rsidRPr="00CE39FB">
        <w:rPr>
          <w:noProof/>
        </w:rPr>
        <w:t xml:space="preserve">The users referred to in Article 12(3) may request </w:t>
      </w:r>
      <w:r w:rsidR="0063686C" w:rsidRPr="00CE39FB">
        <w:rPr>
          <w:noProof/>
        </w:rPr>
        <w:t>services</w:t>
      </w:r>
      <w:r w:rsidR="00533351" w:rsidRPr="00CE39FB">
        <w:rPr>
          <w:noProof/>
        </w:rPr>
        <w:t xml:space="preserve"> from the EU Cybersecurity Reserve</w:t>
      </w:r>
      <w:r w:rsidR="00A40C3C" w:rsidRPr="00CE39FB">
        <w:rPr>
          <w:noProof/>
        </w:rPr>
        <w:t xml:space="preserve"> </w:t>
      </w:r>
      <w:r w:rsidR="00533351" w:rsidRPr="00CE39FB">
        <w:rPr>
          <w:noProof/>
        </w:rPr>
        <w:t xml:space="preserve">to support response to and immediate recovery from significant or large-scale </w:t>
      </w:r>
      <w:r w:rsidR="00A40C3C" w:rsidRPr="00CE39FB">
        <w:rPr>
          <w:noProof/>
        </w:rPr>
        <w:t xml:space="preserve">cybersecurity </w:t>
      </w:r>
      <w:r w:rsidR="00533351" w:rsidRPr="00CE39FB">
        <w:rPr>
          <w:noProof/>
        </w:rPr>
        <w:t>incidents.</w:t>
      </w:r>
    </w:p>
    <w:p w14:paraId="519A0960" w14:textId="5A8BC293" w:rsidR="00533351" w:rsidRPr="00CE39FB" w:rsidRDefault="00684B26" w:rsidP="00684B26">
      <w:pPr>
        <w:rPr>
          <w:noProof/>
        </w:rPr>
      </w:pPr>
      <w:r w:rsidRPr="00CE39FB">
        <w:rPr>
          <w:noProof/>
        </w:rPr>
        <w:t xml:space="preserve">2. </w:t>
      </w:r>
      <w:r w:rsidR="00533351" w:rsidRPr="00CE39FB">
        <w:rPr>
          <w:noProof/>
        </w:rPr>
        <w:t xml:space="preserve">To receive support from the EU Cybersecurity Reserve, </w:t>
      </w:r>
      <w:r w:rsidR="000D7A07" w:rsidRPr="00CE39FB">
        <w:rPr>
          <w:noProof/>
        </w:rPr>
        <w:t xml:space="preserve">the users referred </w:t>
      </w:r>
      <w:r w:rsidR="00161A40" w:rsidRPr="00CE39FB">
        <w:rPr>
          <w:noProof/>
        </w:rPr>
        <w:t>to in Article 12(3)</w:t>
      </w:r>
      <w:r w:rsidR="00A87BDD" w:rsidRPr="00CE39FB">
        <w:rPr>
          <w:noProof/>
        </w:rPr>
        <w:t xml:space="preserve"> </w:t>
      </w:r>
      <w:r w:rsidR="004D2D6B" w:rsidRPr="00CE39FB">
        <w:rPr>
          <w:noProof/>
        </w:rPr>
        <w:t>shall</w:t>
      </w:r>
      <w:r w:rsidR="00533351" w:rsidRPr="00CE39FB">
        <w:rPr>
          <w:noProof/>
        </w:rPr>
        <w:t xml:space="preserve"> take measures</w:t>
      </w:r>
      <w:r w:rsidR="00BC383D" w:rsidRPr="00CE39FB">
        <w:rPr>
          <w:noProof/>
        </w:rPr>
        <w:t xml:space="preserve"> to mitigate the</w:t>
      </w:r>
      <w:r w:rsidR="000360F3" w:rsidRPr="00CE39FB">
        <w:rPr>
          <w:noProof/>
        </w:rPr>
        <w:t xml:space="preserve"> effects of the</w:t>
      </w:r>
      <w:r w:rsidR="00BC383D" w:rsidRPr="00CE39FB">
        <w:rPr>
          <w:noProof/>
        </w:rPr>
        <w:t xml:space="preserve"> incident for which the support is requested</w:t>
      </w:r>
      <w:r w:rsidR="00533351" w:rsidRPr="00CE39FB">
        <w:rPr>
          <w:noProof/>
        </w:rPr>
        <w:t xml:space="preserve">, including the provision of direct technical assistance, and </w:t>
      </w:r>
      <w:r w:rsidR="0092120D" w:rsidRPr="00CE39FB">
        <w:rPr>
          <w:noProof/>
        </w:rPr>
        <w:t xml:space="preserve">other </w:t>
      </w:r>
      <w:r w:rsidR="00533351" w:rsidRPr="00CE39FB">
        <w:rPr>
          <w:noProof/>
        </w:rPr>
        <w:t>resources to assist the response</w:t>
      </w:r>
      <w:r w:rsidR="006D78D2">
        <w:rPr>
          <w:noProof/>
        </w:rPr>
        <w:t xml:space="preserve"> to the incident</w:t>
      </w:r>
      <w:r w:rsidR="00533351" w:rsidRPr="00CE39FB">
        <w:rPr>
          <w:noProof/>
        </w:rPr>
        <w:t xml:space="preserve">, and immediate recovery efforts.  </w:t>
      </w:r>
    </w:p>
    <w:p w14:paraId="1D6680F8" w14:textId="3EB45878" w:rsidR="00533351" w:rsidRPr="00CE39FB" w:rsidRDefault="00684B26" w:rsidP="00684B26">
      <w:pPr>
        <w:rPr>
          <w:noProof/>
        </w:rPr>
      </w:pPr>
      <w:r w:rsidRPr="00CE39FB">
        <w:rPr>
          <w:noProof/>
        </w:rPr>
        <w:t xml:space="preserve">3. </w:t>
      </w:r>
      <w:r w:rsidR="00A40C3C" w:rsidRPr="00CE39FB">
        <w:rPr>
          <w:noProof/>
        </w:rPr>
        <w:t>R</w:t>
      </w:r>
      <w:r w:rsidR="00533351" w:rsidRPr="00CE39FB">
        <w:rPr>
          <w:noProof/>
        </w:rPr>
        <w:t>equest</w:t>
      </w:r>
      <w:r w:rsidR="00A40C3C" w:rsidRPr="00CE39FB">
        <w:rPr>
          <w:noProof/>
        </w:rPr>
        <w:t>s</w:t>
      </w:r>
      <w:r w:rsidR="00533351" w:rsidRPr="00CE39FB">
        <w:rPr>
          <w:noProof/>
        </w:rPr>
        <w:t xml:space="preserve"> for support from </w:t>
      </w:r>
      <w:r w:rsidR="001C25A1" w:rsidRPr="00CE39FB">
        <w:rPr>
          <w:noProof/>
        </w:rPr>
        <w:t>users</w:t>
      </w:r>
      <w:r w:rsidR="00533351" w:rsidRPr="00CE39FB">
        <w:rPr>
          <w:noProof/>
        </w:rPr>
        <w:t xml:space="preserve"> referred to in Article 12(3)</w:t>
      </w:r>
      <w:r w:rsidR="000721C8" w:rsidRPr="00CE39FB">
        <w:rPr>
          <w:noProof/>
        </w:rPr>
        <w:t xml:space="preserve">, point </w:t>
      </w:r>
      <w:r w:rsidR="00533351" w:rsidRPr="00CE39FB">
        <w:rPr>
          <w:noProof/>
        </w:rPr>
        <w:t>(a)</w:t>
      </w:r>
      <w:r w:rsidR="004552E8" w:rsidRPr="00CE39FB">
        <w:rPr>
          <w:noProof/>
        </w:rPr>
        <w:t>, of this Regulation</w:t>
      </w:r>
      <w:r w:rsidR="0019698F" w:rsidRPr="00CE39FB">
        <w:rPr>
          <w:noProof/>
        </w:rPr>
        <w:t xml:space="preserve"> </w:t>
      </w:r>
      <w:r w:rsidR="00533351" w:rsidRPr="00CE39FB">
        <w:rPr>
          <w:noProof/>
        </w:rPr>
        <w:t>shall be transmitted to the Commission and ENISA via the Single Point of Contact designated</w:t>
      </w:r>
      <w:r w:rsidR="008A3D72" w:rsidRPr="00CE39FB">
        <w:rPr>
          <w:noProof/>
        </w:rPr>
        <w:t xml:space="preserve"> or established</w:t>
      </w:r>
      <w:r w:rsidR="00533351" w:rsidRPr="00CE39FB">
        <w:rPr>
          <w:noProof/>
        </w:rPr>
        <w:t xml:space="preserve"> by the Member State in accordance with Article 8</w:t>
      </w:r>
      <w:r w:rsidR="00864903" w:rsidRPr="00CE39FB">
        <w:rPr>
          <w:noProof/>
        </w:rPr>
        <w:t>(</w:t>
      </w:r>
      <w:r w:rsidR="00533351" w:rsidRPr="00CE39FB">
        <w:rPr>
          <w:noProof/>
        </w:rPr>
        <w:t>3</w:t>
      </w:r>
      <w:r w:rsidR="00864903" w:rsidRPr="00CE39FB">
        <w:rPr>
          <w:noProof/>
        </w:rPr>
        <w:t>)</w:t>
      </w:r>
      <w:r w:rsidR="00533351" w:rsidRPr="00CE39FB">
        <w:rPr>
          <w:noProof/>
        </w:rPr>
        <w:t xml:space="preserve"> of Directive (EU)</w:t>
      </w:r>
      <w:r w:rsidR="006D78D2">
        <w:rPr>
          <w:noProof/>
        </w:rPr>
        <w:t xml:space="preserve"> </w:t>
      </w:r>
      <w:r w:rsidR="00533351" w:rsidRPr="00CE39FB">
        <w:rPr>
          <w:noProof/>
        </w:rPr>
        <w:t xml:space="preserve">2022/2555.  </w:t>
      </w:r>
    </w:p>
    <w:p w14:paraId="006E5C73" w14:textId="77777777" w:rsidR="00533351" w:rsidRPr="00CE39FB" w:rsidRDefault="00684B26" w:rsidP="00684B26">
      <w:pPr>
        <w:rPr>
          <w:noProof/>
        </w:rPr>
      </w:pPr>
      <w:r w:rsidRPr="00CE39FB">
        <w:rPr>
          <w:noProof/>
        </w:rPr>
        <w:t xml:space="preserve">4. </w:t>
      </w:r>
      <w:r w:rsidR="00533351" w:rsidRPr="00CE39FB">
        <w:rPr>
          <w:noProof/>
        </w:rPr>
        <w:t>Member States shall inform the CSIRTs network, and where appropriate EU-CyCLONe, about their requests for incident response and immediate recovery support</w:t>
      </w:r>
      <w:r w:rsidR="004552E8" w:rsidRPr="00CE39FB">
        <w:rPr>
          <w:noProof/>
        </w:rPr>
        <w:t xml:space="preserve"> pursuant to this </w:t>
      </w:r>
      <w:r w:rsidR="00045B3C" w:rsidRPr="00CE39FB">
        <w:rPr>
          <w:noProof/>
        </w:rPr>
        <w:t>Article.</w:t>
      </w:r>
    </w:p>
    <w:p w14:paraId="24DD5DA7" w14:textId="77777777" w:rsidR="00533351" w:rsidRPr="00CE39FB" w:rsidRDefault="00684B26" w:rsidP="00684B26">
      <w:pPr>
        <w:rPr>
          <w:noProof/>
        </w:rPr>
      </w:pPr>
      <w:r w:rsidRPr="00CE39FB">
        <w:rPr>
          <w:noProof/>
        </w:rPr>
        <w:t xml:space="preserve">5. </w:t>
      </w:r>
      <w:r w:rsidR="00533351" w:rsidRPr="00CE39FB">
        <w:rPr>
          <w:noProof/>
        </w:rPr>
        <w:t>Requests for incident response and immediate recovery support shall include:</w:t>
      </w:r>
    </w:p>
    <w:p w14:paraId="5B5E9A26" w14:textId="5AAF63E4" w:rsidR="00533351" w:rsidRPr="008D6611" w:rsidRDefault="007B0110" w:rsidP="007B0110">
      <w:pPr>
        <w:pStyle w:val="Point0"/>
        <w:rPr>
          <w:noProof/>
        </w:rPr>
      </w:pPr>
      <w:r w:rsidRPr="007B0110">
        <w:rPr>
          <w:noProof/>
        </w:rPr>
        <w:t>(a)</w:t>
      </w:r>
      <w:r w:rsidRPr="007B0110">
        <w:rPr>
          <w:noProof/>
        </w:rPr>
        <w:tab/>
      </w:r>
      <w:r w:rsidR="00533351" w:rsidRPr="00CE39FB">
        <w:rPr>
          <w:noProof/>
        </w:rPr>
        <w:t>appropriate information regarding the affected entity and potential impacts</w:t>
      </w:r>
      <w:r w:rsidR="00745FB1" w:rsidRPr="00CE39FB">
        <w:rPr>
          <w:noProof/>
        </w:rPr>
        <w:t xml:space="preserve"> </w:t>
      </w:r>
      <w:r w:rsidR="00BC383D" w:rsidRPr="00CE39FB">
        <w:rPr>
          <w:noProof/>
        </w:rPr>
        <w:t>of the incident</w:t>
      </w:r>
      <w:r w:rsidR="00B36AC7" w:rsidRPr="00CE39FB">
        <w:rPr>
          <w:noProof/>
        </w:rPr>
        <w:t xml:space="preserve"> </w:t>
      </w:r>
      <w:r w:rsidR="00745FB1" w:rsidRPr="00CE39FB">
        <w:rPr>
          <w:noProof/>
        </w:rPr>
        <w:t>and</w:t>
      </w:r>
      <w:r w:rsidR="00533351" w:rsidRPr="00CE39FB">
        <w:rPr>
          <w:noProof/>
        </w:rPr>
        <w:t xml:space="preserve"> the planned use of the requested support, including an indication of the estimated needs;</w:t>
      </w:r>
    </w:p>
    <w:p w14:paraId="574C77E9" w14:textId="2AC174ED" w:rsidR="00533351" w:rsidRPr="008D6611" w:rsidRDefault="007B0110" w:rsidP="007B0110">
      <w:pPr>
        <w:pStyle w:val="Point0"/>
        <w:rPr>
          <w:rStyle w:val="normaltextrun"/>
          <w:noProof/>
        </w:rPr>
      </w:pPr>
      <w:r w:rsidRPr="007B0110">
        <w:rPr>
          <w:rStyle w:val="normaltextrun"/>
          <w:noProof/>
        </w:rPr>
        <w:t>(b)</w:t>
      </w:r>
      <w:r w:rsidRPr="007B0110">
        <w:rPr>
          <w:rStyle w:val="normaltextrun"/>
          <w:noProof/>
        </w:rPr>
        <w:tab/>
      </w:r>
      <w:r w:rsidR="00533351" w:rsidRPr="008D6611">
        <w:rPr>
          <w:noProof/>
        </w:rPr>
        <w:t>in</w:t>
      </w:r>
      <w:r w:rsidR="00533351" w:rsidRPr="00CE39FB">
        <w:rPr>
          <w:rStyle w:val="normaltextrun"/>
          <w:rFonts w:eastAsia="Times New Roman"/>
          <w:noProof/>
          <w:szCs w:val="24"/>
        </w:rPr>
        <w:t xml:space="preserve">formation about measures taken to mitigate the </w:t>
      </w:r>
      <w:r w:rsidR="00533351" w:rsidRPr="00CE39FB">
        <w:rPr>
          <w:noProof/>
        </w:rPr>
        <w:t>incident</w:t>
      </w:r>
      <w:r w:rsidR="00533351" w:rsidRPr="00CE39FB">
        <w:rPr>
          <w:rStyle w:val="normaltextrun"/>
          <w:rFonts w:eastAsia="Times New Roman"/>
          <w:noProof/>
          <w:szCs w:val="24"/>
        </w:rPr>
        <w:t xml:space="preserve"> for which the support is requested</w:t>
      </w:r>
      <w:r w:rsidR="007277BE" w:rsidRPr="00CE39FB">
        <w:rPr>
          <w:rStyle w:val="normaltextrun"/>
          <w:rFonts w:eastAsia="Times New Roman"/>
          <w:noProof/>
          <w:szCs w:val="24"/>
        </w:rPr>
        <w:t>, as referred to in paragraph 2</w:t>
      </w:r>
      <w:r w:rsidR="00533351" w:rsidRPr="00CE39FB">
        <w:rPr>
          <w:rStyle w:val="normaltextrun"/>
          <w:rFonts w:eastAsia="Times New Roman"/>
          <w:noProof/>
          <w:szCs w:val="24"/>
        </w:rPr>
        <w:t>;</w:t>
      </w:r>
    </w:p>
    <w:p w14:paraId="2BA10E8C" w14:textId="46399978" w:rsidR="00533351" w:rsidRPr="008D6611" w:rsidRDefault="007B0110" w:rsidP="007B0110">
      <w:pPr>
        <w:pStyle w:val="Point0"/>
        <w:rPr>
          <w:noProof/>
        </w:rPr>
      </w:pPr>
      <w:r w:rsidRPr="007B0110">
        <w:rPr>
          <w:noProof/>
        </w:rPr>
        <w:t>(c)</w:t>
      </w:r>
      <w:r w:rsidRPr="007B0110">
        <w:rPr>
          <w:noProof/>
        </w:rPr>
        <w:tab/>
      </w:r>
      <w:r w:rsidR="00533351" w:rsidRPr="00CE39FB">
        <w:rPr>
          <w:noProof/>
        </w:rPr>
        <w:t>in</w:t>
      </w:r>
      <w:r w:rsidR="00533351" w:rsidRPr="00CE39FB">
        <w:rPr>
          <w:rStyle w:val="normaltextrun"/>
          <w:rFonts w:eastAsia="Times New Roman"/>
          <w:noProof/>
          <w:szCs w:val="24"/>
        </w:rPr>
        <w:t xml:space="preserve">formation about other forms of support available to the affected entity, including contractual arrangements in place for incident response and immediate recovery services, as well as insurance contracts potentially covering such type of incident. </w:t>
      </w:r>
    </w:p>
    <w:p w14:paraId="5CB7CFB9" w14:textId="77777777" w:rsidR="00533351" w:rsidRPr="00CE39FB" w:rsidRDefault="00684B26" w:rsidP="00684B26">
      <w:pPr>
        <w:rPr>
          <w:noProof/>
        </w:rPr>
      </w:pPr>
      <w:r w:rsidRPr="00CE39FB">
        <w:rPr>
          <w:noProof/>
        </w:rPr>
        <w:t xml:space="preserve">6. </w:t>
      </w:r>
      <w:r w:rsidR="00533351" w:rsidRPr="00CE39FB">
        <w:rPr>
          <w:noProof/>
        </w:rPr>
        <w:t xml:space="preserve">ENISA, in cooperation with the Commission and the NIS Cooperation </w:t>
      </w:r>
      <w:r w:rsidR="00D84F9F" w:rsidRPr="00CE39FB">
        <w:rPr>
          <w:noProof/>
        </w:rPr>
        <w:t>G</w:t>
      </w:r>
      <w:r w:rsidR="00533351" w:rsidRPr="00CE39FB">
        <w:rPr>
          <w:noProof/>
        </w:rPr>
        <w:t>roup, shall develop a template to facilitate the submission of requests for support</w:t>
      </w:r>
      <w:r w:rsidR="00ED373E" w:rsidRPr="00CE39FB">
        <w:rPr>
          <w:noProof/>
        </w:rPr>
        <w:t xml:space="preserve"> from the EU Cybersecurity Reserve</w:t>
      </w:r>
      <w:r w:rsidR="00533351" w:rsidRPr="00CE39FB">
        <w:rPr>
          <w:noProof/>
        </w:rPr>
        <w:t>.</w:t>
      </w:r>
    </w:p>
    <w:p w14:paraId="12A8D542" w14:textId="77777777" w:rsidR="00533351" w:rsidRPr="00CE39FB" w:rsidRDefault="00684B26" w:rsidP="00684B26">
      <w:pPr>
        <w:rPr>
          <w:noProof/>
        </w:rPr>
      </w:pPr>
      <w:r w:rsidRPr="00CE39FB">
        <w:rPr>
          <w:noProof/>
        </w:rPr>
        <w:t xml:space="preserve">7. </w:t>
      </w:r>
      <w:r w:rsidR="00533351" w:rsidRPr="00CE39FB">
        <w:rPr>
          <w:noProof/>
        </w:rPr>
        <w:t xml:space="preserve">The Commission may, by means of implementing acts, specify further the </w:t>
      </w:r>
      <w:r w:rsidR="009162C5" w:rsidRPr="00CE39FB">
        <w:rPr>
          <w:noProof/>
        </w:rPr>
        <w:t xml:space="preserve">detailed arrangements </w:t>
      </w:r>
      <w:r w:rsidR="00533351" w:rsidRPr="00CE39FB">
        <w:rPr>
          <w:noProof/>
        </w:rPr>
        <w:t>for allocating the EU Cybersecurity Reserve support services. Those implementing acts shall be adopted in accordance with the examination procedure referred to in Article 2</w:t>
      </w:r>
      <w:r w:rsidR="00CD2EC4" w:rsidRPr="00CE39FB">
        <w:rPr>
          <w:noProof/>
        </w:rPr>
        <w:t>1</w:t>
      </w:r>
      <w:r w:rsidR="0000489E" w:rsidRPr="00CE39FB">
        <w:rPr>
          <w:noProof/>
        </w:rPr>
        <w:t>(2)</w:t>
      </w:r>
      <w:r w:rsidR="00533351" w:rsidRPr="00CE39FB">
        <w:rPr>
          <w:noProof/>
        </w:rPr>
        <w:t>.   </w:t>
      </w:r>
    </w:p>
    <w:p w14:paraId="720A11C6" w14:textId="77777777" w:rsidR="00533351" w:rsidRPr="008D6611" w:rsidRDefault="00533351" w:rsidP="00533351">
      <w:pPr>
        <w:spacing w:after="0"/>
        <w:rPr>
          <w:rStyle w:val="normaltextrun"/>
          <w:b/>
          <w:noProof/>
        </w:rPr>
      </w:pPr>
      <w:r w:rsidRPr="00CE39FB">
        <w:rPr>
          <w:rFonts w:eastAsia="Times New Roman"/>
          <w:noProof/>
          <w:szCs w:val="24"/>
        </w:rPr>
        <w:t xml:space="preserve"> </w:t>
      </w:r>
    </w:p>
    <w:p w14:paraId="0758E01B" w14:textId="77777777" w:rsidR="00533351" w:rsidRPr="00CE39FB" w:rsidRDefault="00533351" w:rsidP="00A2646D">
      <w:pPr>
        <w:pStyle w:val="Titrearticle"/>
        <w:rPr>
          <w:noProof/>
          <w:szCs w:val="24"/>
        </w:rPr>
      </w:pPr>
      <w:r w:rsidRPr="00CE39FB">
        <w:rPr>
          <w:noProof/>
          <w:szCs w:val="24"/>
        </w:rPr>
        <w:t>Article 14</w:t>
      </w:r>
    </w:p>
    <w:p w14:paraId="779A12FE" w14:textId="77777777" w:rsidR="00533351" w:rsidRPr="008D6611" w:rsidRDefault="00533351" w:rsidP="00533351">
      <w:pPr>
        <w:spacing w:after="0"/>
        <w:jc w:val="center"/>
        <w:rPr>
          <w:noProof/>
        </w:rPr>
      </w:pPr>
      <w:r w:rsidRPr="00CE39FB">
        <w:rPr>
          <w:rStyle w:val="normaltextrun"/>
          <w:rFonts w:eastAsia="Times New Roman"/>
          <w:b/>
          <w:bCs/>
          <w:noProof/>
          <w:szCs w:val="24"/>
        </w:rPr>
        <w:t>Implementation of the support from the EU Cybersecurity Reserve</w:t>
      </w:r>
    </w:p>
    <w:p w14:paraId="6CD79A66" w14:textId="77777777" w:rsidR="00533351" w:rsidRPr="008D6611" w:rsidRDefault="00533351" w:rsidP="00533351">
      <w:pPr>
        <w:spacing w:after="0"/>
        <w:jc w:val="center"/>
        <w:rPr>
          <w:rStyle w:val="normaltextrun"/>
          <w:b/>
          <w:noProof/>
        </w:rPr>
      </w:pPr>
    </w:p>
    <w:p w14:paraId="264B2C46" w14:textId="77777777" w:rsidR="00533351" w:rsidRPr="00CE39FB" w:rsidRDefault="00684B26" w:rsidP="00684B26">
      <w:pPr>
        <w:rPr>
          <w:noProof/>
        </w:rPr>
      </w:pPr>
      <w:r w:rsidRPr="00CE39FB">
        <w:rPr>
          <w:noProof/>
        </w:rPr>
        <w:t xml:space="preserve">1. </w:t>
      </w:r>
      <w:r w:rsidR="00533351" w:rsidRPr="00CE39FB">
        <w:rPr>
          <w:noProof/>
        </w:rPr>
        <w:t>Requests for support</w:t>
      </w:r>
      <w:r w:rsidR="00BD0A60" w:rsidRPr="00CE39FB">
        <w:rPr>
          <w:noProof/>
        </w:rPr>
        <w:t xml:space="preserve"> from the EU Cyberse</w:t>
      </w:r>
      <w:r w:rsidR="00BC51C7" w:rsidRPr="00CE39FB">
        <w:rPr>
          <w:noProof/>
        </w:rPr>
        <w:t>curity Reserve</w:t>
      </w:r>
      <w:r w:rsidR="00533351" w:rsidRPr="00CE39FB">
        <w:rPr>
          <w:noProof/>
        </w:rPr>
        <w:t xml:space="preserve">, shall be assessed by the Commission, with the support of ENISA or as defined in </w:t>
      </w:r>
      <w:r w:rsidR="00540D8C" w:rsidRPr="00CE39FB">
        <w:rPr>
          <w:noProof/>
        </w:rPr>
        <w:t>contribution agreements</w:t>
      </w:r>
      <w:r w:rsidR="00533351" w:rsidRPr="00CE39FB">
        <w:rPr>
          <w:noProof/>
        </w:rPr>
        <w:t xml:space="preserve"> under Article 12(6), and a response shall be transmitted to the user</w:t>
      </w:r>
      <w:r w:rsidR="00BF78C6" w:rsidRPr="00CE39FB">
        <w:rPr>
          <w:noProof/>
        </w:rPr>
        <w:t>s</w:t>
      </w:r>
      <w:r w:rsidR="00533351" w:rsidRPr="00CE39FB">
        <w:rPr>
          <w:noProof/>
        </w:rPr>
        <w:t xml:space="preserve"> referred to in Article 12(3) without delay. </w:t>
      </w:r>
    </w:p>
    <w:p w14:paraId="2CEE3E97" w14:textId="77777777" w:rsidR="00533351" w:rsidRPr="00CE39FB" w:rsidRDefault="00684B26" w:rsidP="00684B26">
      <w:pPr>
        <w:rPr>
          <w:noProof/>
        </w:rPr>
      </w:pPr>
      <w:r w:rsidRPr="00CE39FB">
        <w:rPr>
          <w:noProof/>
        </w:rPr>
        <w:t xml:space="preserve">2. </w:t>
      </w:r>
      <w:r w:rsidR="00533351" w:rsidRPr="00CE39FB">
        <w:rPr>
          <w:noProof/>
        </w:rPr>
        <w:t xml:space="preserve">To prioritise requests, in the case of multiple </w:t>
      </w:r>
      <w:r w:rsidR="02EAB1A8" w:rsidRPr="00CE39FB">
        <w:rPr>
          <w:noProof/>
        </w:rPr>
        <w:t>concur</w:t>
      </w:r>
      <w:r w:rsidR="000360F3" w:rsidRPr="00CE39FB">
        <w:rPr>
          <w:noProof/>
        </w:rPr>
        <w:t>r</w:t>
      </w:r>
      <w:r w:rsidR="02EAB1A8" w:rsidRPr="00CE39FB">
        <w:rPr>
          <w:noProof/>
        </w:rPr>
        <w:t xml:space="preserve">ent </w:t>
      </w:r>
      <w:r w:rsidR="00533351" w:rsidRPr="00CE39FB">
        <w:rPr>
          <w:noProof/>
        </w:rPr>
        <w:t>requests</w:t>
      </w:r>
      <w:r w:rsidR="37450F92" w:rsidRPr="00CE39FB">
        <w:rPr>
          <w:noProof/>
        </w:rPr>
        <w:t>,</w:t>
      </w:r>
      <w:r w:rsidR="00533351" w:rsidRPr="00CE39FB">
        <w:rPr>
          <w:noProof/>
        </w:rPr>
        <w:t xml:space="preserve"> the following criteria shall be taken into account, where relevant: </w:t>
      </w:r>
    </w:p>
    <w:p w14:paraId="4AE3F36F" w14:textId="468DBA87" w:rsidR="00533351" w:rsidRPr="00CE39FB" w:rsidRDefault="007B0110" w:rsidP="007B0110">
      <w:pPr>
        <w:pStyle w:val="Point0"/>
        <w:rPr>
          <w:noProof/>
        </w:rPr>
      </w:pPr>
      <w:r w:rsidRPr="007B0110">
        <w:rPr>
          <w:noProof/>
        </w:rPr>
        <w:t>(a)</w:t>
      </w:r>
      <w:r w:rsidRPr="007B0110">
        <w:rPr>
          <w:noProof/>
        </w:rPr>
        <w:tab/>
      </w:r>
      <w:r w:rsidR="00533351" w:rsidRPr="00CE39FB">
        <w:rPr>
          <w:noProof/>
        </w:rPr>
        <w:t xml:space="preserve">the </w:t>
      </w:r>
      <w:r w:rsidR="4BCCB872" w:rsidRPr="00CE39FB">
        <w:rPr>
          <w:noProof/>
        </w:rPr>
        <w:t>se</w:t>
      </w:r>
      <w:r w:rsidR="171D9CCB" w:rsidRPr="00CE39FB">
        <w:rPr>
          <w:noProof/>
        </w:rPr>
        <w:t>verity</w:t>
      </w:r>
      <w:r w:rsidR="00533351" w:rsidRPr="00CE39FB">
        <w:rPr>
          <w:noProof/>
        </w:rPr>
        <w:t xml:space="preserve"> of </w:t>
      </w:r>
      <w:r w:rsidR="00F13EDF" w:rsidRPr="00CE39FB">
        <w:rPr>
          <w:noProof/>
        </w:rPr>
        <w:t xml:space="preserve">the </w:t>
      </w:r>
      <w:r w:rsidR="00533351" w:rsidRPr="00CE39FB">
        <w:rPr>
          <w:noProof/>
        </w:rPr>
        <w:t>cybersecurity incident;</w:t>
      </w:r>
    </w:p>
    <w:p w14:paraId="25FEB53A" w14:textId="51871717" w:rsidR="00533351" w:rsidRPr="00CE39FB" w:rsidRDefault="007B0110" w:rsidP="007B0110">
      <w:pPr>
        <w:pStyle w:val="Point0"/>
        <w:rPr>
          <w:noProof/>
        </w:rPr>
      </w:pPr>
      <w:r w:rsidRPr="007B0110">
        <w:rPr>
          <w:noProof/>
        </w:rPr>
        <w:t>(b)</w:t>
      </w:r>
      <w:r w:rsidRPr="007B0110">
        <w:rPr>
          <w:noProof/>
        </w:rPr>
        <w:tab/>
      </w:r>
      <w:r w:rsidR="00533351" w:rsidRPr="00CE39FB">
        <w:rPr>
          <w:noProof/>
        </w:rPr>
        <w:t xml:space="preserve">the type of entity affected, with higher priority given to incidents affecting </w:t>
      </w:r>
      <w:r w:rsidR="004A2CE5" w:rsidRPr="00CE39FB">
        <w:rPr>
          <w:noProof/>
        </w:rPr>
        <w:t xml:space="preserve">essential </w:t>
      </w:r>
      <w:r w:rsidR="00533351" w:rsidRPr="00CE39FB">
        <w:rPr>
          <w:noProof/>
        </w:rPr>
        <w:t xml:space="preserve">entities as defined </w:t>
      </w:r>
      <w:r w:rsidR="005D22EE" w:rsidRPr="00CE39FB">
        <w:rPr>
          <w:noProof/>
        </w:rPr>
        <w:t>in Article 3(1) of</w:t>
      </w:r>
      <w:r w:rsidR="00533351" w:rsidRPr="00CE39FB">
        <w:rPr>
          <w:noProof/>
        </w:rPr>
        <w:t xml:space="preserve"> Directive (EU) 2022/2555;  </w:t>
      </w:r>
    </w:p>
    <w:p w14:paraId="377B4BFC" w14:textId="283D44DA" w:rsidR="00533351" w:rsidRPr="00CE39FB" w:rsidRDefault="007B0110" w:rsidP="007B0110">
      <w:pPr>
        <w:pStyle w:val="Point0"/>
        <w:rPr>
          <w:noProof/>
        </w:rPr>
      </w:pPr>
      <w:r w:rsidRPr="007B0110">
        <w:rPr>
          <w:noProof/>
        </w:rPr>
        <w:t>(c)</w:t>
      </w:r>
      <w:r w:rsidRPr="007B0110">
        <w:rPr>
          <w:noProof/>
        </w:rPr>
        <w:tab/>
      </w:r>
      <w:r w:rsidR="00533351" w:rsidRPr="00CE39FB">
        <w:rPr>
          <w:noProof/>
        </w:rPr>
        <w:t xml:space="preserve">the potential impact on the affected Member State(s) or users; </w:t>
      </w:r>
    </w:p>
    <w:p w14:paraId="101EDB31" w14:textId="31FF3FBF" w:rsidR="00533351" w:rsidRPr="00CE39FB" w:rsidRDefault="007B0110" w:rsidP="007B0110">
      <w:pPr>
        <w:pStyle w:val="Point0"/>
        <w:rPr>
          <w:noProof/>
        </w:rPr>
      </w:pPr>
      <w:r w:rsidRPr="007B0110">
        <w:rPr>
          <w:noProof/>
        </w:rPr>
        <w:t>(d)</w:t>
      </w:r>
      <w:r w:rsidRPr="007B0110">
        <w:rPr>
          <w:noProof/>
        </w:rPr>
        <w:tab/>
      </w:r>
      <w:r w:rsidR="00533351" w:rsidRPr="00CE39FB">
        <w:rPr>
          <w:noProof/>
        </w:rPr>
        <w:t>the potential cross-border nature of the incident and the risk of spill over to other Member States or users;</w:t>
      </w:r>
    </w:p>
    <w:p w14:paraId="0ACB95B6" w14:textId="7B70D098" w:rsidR="00533351" w:rsidRPr="00CE39FB" w:rsidRDefault="007B0110" w:rsidP="007B0110">
      <w:pPr>
        <w:pStyle w:val="Point0"/>
        <w:rPr>
          <w:noProof/>
        </w:rPr>
      </w:pPr>
      <w:r w:rsidRPr="007B0110">
        <w:rPr>
          <w:noProof/>
        </w:rPr>
        <w:t>(e)</w:t>
      </w:r>
      <w:r w:rsidRPr="007B0110">
        <w:rPr>
          <w:noProof/>
        </w:rPr>
        <w:tab/>
      </w:r>
      <w:r w:rsidR="00533351" w:rsidRPr="00CE39FB">
        <w:rPr>
          <w:noProof/>
        </w:rPr>
        <w:t xml:space="preserve">the measures taken by the user to assist the response, and immediate recovery efforts, as referred in Article 13(2) and </w:t>
      </w:r>
      <w:r w:rsidR="00F13EDF" w:rsidRPr="00CE39FB">
        <w:rPr>
          <w:noProof/>
        </w:rPr>
        <w:t xml:space="preserve">Article </w:t>
      </w:r>
      <w:r w:rsidR="00533351" w:rsidRPr="00CE39FB" w:rsidDel="00A16620">
        <w:rPr>
          <w:noProof/>
        </w:rPr>
        <w:t>13</w:t>
      </w:r>
      <w:r w:rsidR="00533351" w:rsidRPr="00CE39FB">
        <w:rPr>
          <w:noProof/>
        </w:rPr>
        <w:t>(5)</w:t>
      </w:r>
      <w:r w:rsidR="00A16620" w:rsidRPr="00CE39FB">
        <w:rPr>
          <w:noProof/>
        </w:rPr>
        <w:t xml:space="preserve">, point </w:t>
      </w:r>
      <w:r w:rsidR="00533351" w:rsidRPr="00CE39FB">
        <w:rPr>
          <w:noProof/>
        </w:rPr>
        <w:t>(b).</w:t>
      </w:r>
    </w:p>
    <w:p w14:paraId="3F3B0F5B" w14:textId="77777777" w:rsidR="00533351" w:rsidRPr="00CE39FB" w:rsidRDefault="00684B26" w:rsidP="00684B26">
      <w:pPr>
        <w:rPr>
          <w:noProof/>
        </w:rPr>
      </w:pPr>
      <w:r w:rsidRPr="00CE39FB">
        <w:rPr>
          <w:noProof/>
        </w:rPr>
        <w:t>3.</w:t>
      </w:r>
      <w:r w:rsidR="00533351" w:rsidRPr="00CE39FB">
        <w:rPr>
          <w:noProof/>
        </w:rPr>
        <w:t xml:space="preserve"> </w:t>
      </w:r>
      <w:bookmarkStart w:id="11" w:name="_Hlk132359545"/>
      <w:r w:rsidR="00533351" w:rsidRPr="00CE39FB">
        <w:rPr>
          <w:noProof/>
        </w:rPr>
        <w:t xml:space="preserve">The EU Cybersecurity Reserve services shall be provided in accordance with </w:t>
      </w:r>
      <w:r w:rsidR="00110629" w:rsidRPr="00CE39FB">
        <w:rPr>
          <w:noProof/>
        </w:rPr>
        <w:t>specific</w:t>
      </w:r>
      <w:r w:rsidR="00533351" w:rsidRPr="00CE39FB">
        <w:rPr>
          <w:noProof/>
        </w:rPr>
        <w:t xml:space="preserve"> </w:t>
      </w:r>
      <w:r w:rsidR="00110629" w:rsidRPr="00CE39FB">
        <w:rPr>
          <w:noProof/>
        </w:rPr>
        <w:t>a</w:t>
      </w:r>
      <w:r w:rsidR="00533351" w:rsidRPr="00CE39FB">
        <w:rPr>
          <w:noProof/>
        </w:rPr>
        <w:t>greements between the service provider and the user to which the support under the EU Cybersecurity Reserve is provided</w:t>
      </w:r>
      <w:r w:rsidR="00F13EDF" w:rsidRPr="00CE39FB">
        <w:rPr>
          <w:noProof/>
        </w:rPr>
        <w:t xml:space="preserve">. </w:t>
      </w:r>
      <w:bookmarkEnd w:id="11"/>
      <w:r w:rsidR="00F13EDF" w:rsidRPr="00CE39FB">
        <w:rPr>
          <w:noProof/>
        </w:rPr>
        <w:t>Those agreements</w:t>
      </w:r>
      <w:r w:rsidR="00533351" w:rsidRPr="00CE39FB">
        <w:rPr>
          <w:noProof/>
        </w:rPr>
        <w:t xml:space="preserve"> shall include liability conditions</w:t>
      </w:r>
      <w:r w:rsidRPr="00CE39FB">
        <w:rPr>
          <w:noProof/>
        </w:rPr>
        <w:t>.</w:t>
      </w:r>
      <w:r w:rsidR="00533351" w:rsidRPr="00CE39FB">
        <w:rPr>
          <w:noProof/>
        </w:rPr>
        <w:t xml:space="preserve"> </w:t>
      </w:r>
    </w:p>
    <w:p w14:paraId="57C8DE4A" w14:textId="77777777" w:rsidR="00533351" w:rsidRPr="00CE39FB" w:rsidRDefault="00684B26" w:rsidP="00684B26">
      <w:pPr>
        <w:rPr>
          <w:rStyle w:val="normaltextrun"/>
          <w:noProof/>
        </w:rPr>
      </w:pPr>
      <w:r w:rsidRPr="00CE39FB">
        <w:rPr>
          <w:noProof/>
        </w:rPr>
        <w:t xml:space="preserve">4. </w:t>
      </w:r>
      <w:r w:rsidR="00533351" w:rsidRPr="00CE39FB">
        <w:rPr>
          <w:noProof/>
        </w:rPr>
        <w:t xml:space="preserve">The </w:t>
      </w:r>
      <w:r w:rsidR="00A00945" w:rsidRPr="00CE39FB">
        <w:rPr>
          <w:noProof/>
        </w:rPr>
        <w:t>a</w:t>
      </w:r>
      <w:r w:rsidR="00533351" w:rsidRPr="00CE39FB">
        <w:rPr>
          <w:noProof/>
        </w:rPr>
        <w:t>greements referred to in paragraph 3 may be based on templates prepared by ENISA, after consulting Member States.</w:t>
      </w:r>
    </w:p>
    <w:p w14:paraId="50049A9E" w14:textId="77777777" w:rsidR="00533351" w:rsidRPr="00CE39FB" w:rsidRDefault="00684B26" w:rsidP="00684B26">
      <w:pPr>
        <w:rPr>
          <w:noProof/>
        </w:rPr>
      </w:pPr>
      <w:r w:rsidRPr="00CE39FB">
        <w:rPr>
          <w:noProof/>
        </w:rPr>
        <w:t xml:space="preserve">5. </w:t>
      </w:r>
      <w:r w:rsidR="00533351" w:rsidRPr="00CE39FB">
        <w:rPr>
          <w:noProof/>
        </w:rPr>
        <w:t xml:space="preserve">The Commission and ENISA shall bear no contractual liability for </w:t>
      </w:r>
      <w:r w:rsidR="008172E4" w:rsidRPr="00CE39FB">
        <w:rPr>
          <w:noProof/>
        </w:rPr>
        <w:t>damages</w:t>
      </w:r>
      <w:r w:rsidR="00397A29" w:rsidRPr="00CE39FB">
        <w:rPr>
          <w:noProof/>
        </w:rPr>
        <w:t xml:space="preserve"> caused to third parties by</w:t>
      </w:r>
      <w:r w:rsidR="008172E4" w:rsidRPr="00CE39FB">
        <w:rPr>
          <w:noProof/>
        </w:rPr>
        <w:t xml:space="preserve"> </w:t>
      </w:r>
      <w:r w:rsidR="00533351" w:rsidRPr="00CE39FB">
        <w:rPr>
          <w:noProof/>
        </w:rPr>
        <w:t>the services provided</w:t>
      </w:r>
      <w:r w:rsidR="00E23C15" w:rsidRPr="00CE39FB">
        <w:rPr>
          <w:noProof/>
        </w:rPr>
        <w:t xml:space="preserve"> in the framework of the implementation of </w:t>
      </w:r>
      <w:r w:rsidR="00533351" w:rsidRPr="00CE39FB">
        <w:rPr>
          <w:noProof/>
        </w:rPr>
        <w:t xml:space="preserve">the EU Cybersecurity Reserve. </w:t>
      </w:r>
    </w:p>
    <w:p w14:paraId="5BAC8227" w14:textId="232E8EE0" w:rsidR="00533351" w:rsidRPr="008D6611" w:rsidRDefault="00684B26" w:rsidP="00684B26">
      <w:pPr>
        <w:spacing w:after="0"/>
        <w:rPr>
          <w:noProof/>
        </w:rPr>
      </w:pPr>
      <w:r w:rsidRPr="008D6611">
        <w:rPr>
          <w:noProof/>
        </w:rPr>
        <w:t xml:space="preserve">6. </w:t>
      </w:r>
      <w:r w:rsidR="00533351" w:rsidRPr="008D6611">
        <w:rPr>
          <w:noProof/>
        </w:rPr>
        <w:t xml:space="preserve">Within </w:t>
      </w:r>
      <w:r w:rsidR="00864903" w:rsidRPr="00CE39FB">
        <w:rPr>
          <w:rFonts w:eastAsia="Times New Roman"/>
          <w:noProof/>
          <w:szCs w:val="24"/>
        </w:rPr>
        <w:t>one</w:t>
      </w:r>
      <w:r w:rsidR="00533351" w:rsidRPr="008D6611">
        <w:rPr>
          <w:noProof/>
        </w:rPr>
        <w:t xml:space="preserve"> month from the end of the support action, the users shall </w:t>
      </w:r>
      <w:r w:rsidR="004D79CB" w:rsidRPr="00CE39FB">
        <w:rPr>
          <w:rFonts w:eastAsia="Times New Roman"/>
          <w:noProof/>
          <w:szCs w:val="24"/>
        </w:rPr>
        <w:t>provide</w:t>
      </w:r>
      <w:r w:rsidR="004D79CB" w:rsidRPr="008D6611">
        <w:rPr>
          <w:noProof/>
        </w:rPr>
        <w:t xml:space="preserve"> </w:t>
      </w:r>
      <w:r w:rsidR="00533351" w:rsidRPr="008D6611">
        <w:rPr>
          <w:noProof/>
        </w:rPr>
        <w:t xml:space="preserve">Commission and ENISA </w:t>
      </w:r>
      <w:r w:rsidR="00540D8C" w:rsidRPr="00CE39FB">
        <w:rPr>
          <w:rFonts w:eastAsia="Times New Roman"/>
          <w:noProof/>
          <w:szCs w:val="24"/>
        </w:rPr>
        <w:t xml:space="preserve">with </w:t>
      </w:r>
      <w:r w:rsidR="00533351" w:rsidRPr="008D6611">
        <w:rPr>
          <w:noProof/>
        </w:rPr>
        <w:t xml:space="preserve">a summary </w:t>
      </w:r>
      <w:r w:rsidR="004D79CB" w:rsidRPr="00CE39FB">
        <w:rPr>
          <w:rFonts w:eastAsia="Times New Roman"/>
          <w:noProof/>
          <w:szCs w:val="24"/>
        </w:rPr>
        <w:t>report</w:t>
      </w:r>
      <w:r w:rsidR="004D79CB" w:rsidRPr="008D6611">
        <w:rPr>
          <w:noProof/>
        </w:rPr>
        <w:t xml:space="preserve"> </w:t>
      </w:r>
      <w:r w:rsidR="00533351" w:rsidRPr="008D6611">
        <w:rPr>
          <w:noProof/>
        </w:rPr>
        <w:t>about the service provided, results achieved and the lessons learn</w:t>
      </w:r>
      <w:r w:rsidR="00763EBD" w:rsidRPr="001C7B16">
        <w:rPr>
          <w:noProof/>
        </w:rPr>
        <w:t>ed</w:t>
      </w:r>
      <w:r w:rsidR="00533351" w:rsidRPr="008D6611">
        <w:rPr>
          <w:noProof/>
        </w:rPr>
        <w:t xml:space="preserve">. </w:t>
      </w:r>
      <w:r w:rsidR="00AF2FC2">
        <w:rPr>
          <w:noProof/>
        </w:rPr>
        <w:t xml:space="preserve">When </w:t>
      </w:r>
      <w:r w:rsidR="00AF2FC2" w:rsidRPr="00AF2FC2">
        <w:rPr>
          <w:noProof/>
        </w:rPr>
        <w:t xml:space="preserve">the user is </w:t>
      </w:r>
      <w:r w:rsidR="00E720F0">
        <w:rPr>
          <w:noProof/>
        </w:rPr>
        <w:t xml:space="preserve">from </w:t>
      </w:r>
      <w:r w:rsidR="00AF2FC2" w:rsidRPr="00AF2FC2">
        <w:rPr>
          <w:noProof/>
        </w:rPr>
        <w:t>a third country as set out in Article 17, such report shall be shared with the High</w:t>
      </w:r>
      <w:r w:rsidR="00AF2FC2">
        <w:rPr>
          <w:noProof/>
        </w:rPr>
        <w:t xml:space="preserve"> Representative.</w:t>
      </w:r>
    </w:p>
    <w:p w14:paraId="0409FB72" w14:textId="77777777" w:rsidR="00533351" w:rsidRPr="00CE39FB" w:rsidRDefault="009E424D" w:rsidP="008D6611">
      <w:pPr>
        <w:spacing w:after="0"/>
        <w:rPr>
          <w:rFonts w:eastAsia="Times New Roman"/>
          <w:noProof/>
          <w:szCs w:val="24"/>
        </w:rPr>
      </w:pPr>
      <w:r w:rsidRPr="008D6611">
        <w:rPr>
          <w:noProof/>
        </w:rPr>
        <w:t xml:space="preserve">7. </w:t>
      </w:r>
      <w:r w:rsidR="004D79CB" w:rsidRPr="00CE39FB">
        <w:rPr>
          <w:rFonts w:eastAsia="Times New Roman"/>
          <w:noProof/>
          <w:szCs w:val="24"/>
        </w:rPr>
        <w:t>The</w:t>
      </w:r>
      <w:r w:rsidR="00533351" w:rsidRPr="008D6611">
        <w:rPr>
          <w:noProof/>
        </w:rPr>
        <w:t xml:space="preserve"> Commission shall report </w:t>
      </w:r>
      <w:r w:rsidR="00D16220" w:rsidRPr="00CE39FB">
        <w:rPr>
          <w:rFonts w:eastAsia="Times New Roman"/>
          <w:noProof/>
          <w:szCs w:val="24"/>
        </w:rPr>
        <w:t xml:space="preserve">to the NIS Cooperation Group </w:t>
      </w:r>
      <w:r w:rsidR="00533351" w:rsidRPr="008D6611">
        <w:rPr>
          <w:noProof/>
        </w:rPr>
        <w:t>about the use and the results of the support</w:t>
      </w:r>
      <w:r w:rsidR="004D79CB" w:rsidRPr="00CE39FB">
        <w:rPr>
          <w:rFonts w:eastAsia="Times New Roman"/>
          <w:noProof/>
          <w:szCs w:val="24"/>
        </w:rPr>
        <w:t>, on a regular basis</w:t>
      </w:r>
      <w:r w:rsidR="00A16347" w:rsidRPr="00CE39FB">
        <w:rPr>
          <w:rFonts w:eastAsia="Times New Roman"/>
          <w:noProof/>
          <w:szCs w:val="24"/>
        </w:rPr>
        <w:t>.</w:t>
      </w:r>
      <w:r w:rsidR="00533351" w:rsidRPr="00CE39FB">
        <w:rPr>
          <w:rFonts w:eastAsia="Times New Roman"/>
          <w:noProof/>
          <w:szCs w:val="24"/>
        </w:rPr>
        <w:t xml:space="preserve"> </w:t>
      </w:r>
    </w:p>
    <w:p w14:paraId="0DFFFFC3" w14:textId="77777777" w:rsidR="00533351" w:rsidRPr="00CE39FB" w:rsidRDefault="00533351" w:rsidP="00A2646D">
      <w:pPr>
        <w:pStyle w:val="Titrearticle"/>
        <w:rPr>
          <w:noProof/>
          <w:szCs w:val="24"/>
        </w:rPr>
      </w:pPr>
      <w:r w:rsidRPr="00CE39FB">
        <w:rPr>
          <w:noProof/>
          <w:szCs w:val="24"/>
        </w:rPr>
        <w:t>Article 15</w:t>
      </w:r>
    </w:p>
    <w:p w14:paraId="310389EC" w14:textId="77777777" w:rsidR="00533351" w:rsidRPr="00CE39FB" w:rsidRDefault="00533351" w:rsidP="00533351">
      <w:pPr>
        <w:jc w:val="center"/>
        <w:rPr>
          <w:rFonts w:eastAsia="Times New Roman"/>
          <w:b/>
          <w:bCs/>
          <w:noProof/>
          <w:szCs w:val="24"/>
        </w:rPr>
      </w:pPr>
      <w:r w:rsidRPr="00CE39FB">
        <w:rPr>
          <w:rFonts w:eastAsia="Times New Roman"/>
          <w:b/>
          <w:bCs/>
          <w:noProof/>
          <w:szCs w:val="24"/>
        </w:rPr>
        <w:t>Coordination with crisis management mechanisms</w:t>
      </w:r>
    </w:p>
    <w:p w14:paraId="6FCEF168" w14:textId="61837726" w:rsidR="00533351" w:rsidRPr="008D6611" w:rsidRDefault="00684B26" w:rsidP="00684B26">
      <w:pPr>
        <w:spacing w:after="0"/>
        <w:rPr>
          <w:noProof/>
          <w:highlight w:val="magenta"/>
        </w:rPr>
      </w:pPr>
      <w:r w:rsidRPr="008D6611">
        <w:rPr>
          <w:noProof/>
        </w:rPr>
        <w:t xml:space="preserve">1. </w:t>
      </w:r>
      <w:r w:rsidR="00533351" w:rsidRPr="008D6611">
        <w:rPr>
          <w:noProof/>
        </w:rPr>
        <w:t>In cases where significant or large-scale cybersecurity incidents originate from</w:t>
      </w:r>
      <w:r w:rsidR="0053529D" w:rsidRPr="008D6611">
        <w:rPr>
          <w:noProof/>
        </w:rPr>
        <w:t xml:space="preserve"> </w:t>
      </w:r>
      <w:r w:rsidR="00533351" w:rsidRPr="008D6611">
        <w:rPr>
          <w:noProof/>
        </w:rPr>
        <w:t xml:space="preserve">or </w:t>
      </w:r>
      <w:r w:rsidR="000B5323">
        <w:rPr>
          <w:noProof/>
        </w:rPr>
        <w:t>result in</w:t>
      </w:r>
      <w:r w:rsidR="00533351" w:rsidRPr="008D6611">
        <w:rPr>
          <w:noProof/>
        </w:rPr>
        <w:t xml:space="preserve"> disasters</w:t>
      </w:r>
      <w:r w:rsidR="000B5323" w:rsidRPr="000B5323">
        <w:rPr>
          <w:noProof/>
        </w:rPr>
        <w:t xml:space="preserve"> as defined in Decision 1313/2013/EU</w:t>
      </w:r>
      <w:r w:rsidR="00D23933">
        <w:rPr>
          <w:rStyle w:val="FootnoteReference"/>
          <w:noProof/>
        </w:rPr>
        <w:footnoteReference w:id="32"/>
      </w:r>
      <w:r w:rsidR="000B5323" w:rsidRPr="000B5323">
        <w:rPr>
          <w:noProof/>
        </w:rPr>
        <w:t xml:space="preserve">, </w:t>
      </w:r>
      <w:r w:rsidR="00533351" w:rsidRPr="008D6611">
        <w:rPr>
          <w:noProof/>
        </w:rPr>
        <w:t xml:space="preserve">the support under this Regulation for responding to such incidents shall </w:t>
      </w:r>
      <w:r w:rsidR="00037041">
        <w:rPr>
          <w:noProof/>
        </w:rPr>
        <w:t>complement</w:t>
      </w:r>
      <w:r w:rsidR="003A4FBC" w:rsidRPr="00CE39FB">
        <w:rPr>
          <w:noProof/>
        </w:rPr>
        <w:t>actions under</w:t>
      </w:r>
      <w:r w:rsidR="00533351" w:rsidRPr="00CE39FB">
        <w:rPr>
          <w:noProof/>
        </w:rPr>
        <w:t xml:space="preserve"> </w:t>
      </w:r>
      <w:r w:rsidR="00533351" w:rsidRPr="008D6611">
        <w:rPr>
          <w:noProof/>
        </w:rPr>
        <w:t>and without prejudice to Decision 1313/2013/EU</w:t>
      </w:r>
      <w:r w:rsidR="00533351" w:rsidRPr="00CE39FB">
        <w:rPr>
          <w:noProof/>
        </w:rPr>
        <w:t>.</w:t>
      </w:r>
      <w:r w:rsidR="00B25E9B" w:rsidRPr="00CE39FB">
        <w:rPr>
          <w:noProof/>
        </w:rPr>
        <w:t xml:space="preserve"> </w:t>
      </w:r>
    </w:p>
    <w:p w14:paraId="71101857" w14:textId="77777777" w:rsidR="00533351" w:rsidRPr="008D6611" w:rsidRDefault="00684B26" w:rsidP="00684B26">
      <w:pPr>
        <w:spacing w:after="0"/>
        <w:rPr>
          <w:noProof/>
        </w:rPr>
      </w:pPr>
      <w:r w:rsidRPr="008D6611">
        <w:rPr>
          <w:noProof/>
        </w:rPr>
        <w:t xml:space="preserve">2. </w:t>
      </w:r>
      <w:r w:rsidR="00533351" w:rsidRPr="008D6611">
        <w:rPr>
          <w:noProof/>
        </w:rPr>
        <w:t xml:space="preserve">In </w:t>
      </w:r>
      <w:r w:rsidR="00BA174F" w:rsidRPr="00CE39FB">
        <w:rPr>
          <w:noProof/>
        </w:rPr>
        <w:t>the event</w:t>
      </w:r>
      <w:r w:rsidR="00533351" w:rsidRPr="008D6611">
        <w:rPr>
          <w:noProof/>
        </w:rPr>
        <w:t xml:space="preserve"> of</w:t>
      </w:r>
      <w:r w:rsidR="00533351" w:rsidRPr="00CE39FB">
        <w:rPr>
          <w:noProof/>
        </w:rPr>
        <w:t xml:space="preserve"> </w:t>
      </w:r>
      <w:r w:rsidR="00BA174F" w:rsidRPr="00CE39FB">
        <w:rPr>
          <w:noProof/>
        </w:rPr>
        <w:t>a</w:t>
      </w:r>
      <w:r w:rsidR="00533351" w:rsidRPr="008D6611">
        <w:rPr>
          <w:noProof/>
        </w:rPr>
        <w:t xml:space="preserve"> large-scale, cross border cybersecurity incident where Integrated Political Crisis Response arrangements (IPCR) are triggered, the support under this Regulation for responding to such incident shall be handled </w:t>
      </w:r>
      <w:r w:rsidR="00BA174F" w:rsidRPr="00CE39FB">
        <w:rPr>
          <w:noProof/>
        </w:rPr>
        <w:t>in accordance with</w:t>
      </w:r>
      <w:r w:rsidR="00533351" w:rsidRPr="008D6611">
        <w:rPr>
          <w:noProof/>
        </w:rPr>
        <w:t xml:space="preserve"> relevant protocols and procedures under the IPCR.</w:t>
      </w:r>
    </w:p>
    <w:p w14:paraId="1182C1A9" w14:textId="71D0AF30" w:rsidR="00533351" w:rsidRPr="008D6611" w:rsidRDefault="00684B26" w:rsidP="00684B26">
      <w:pPr>
        <w:spacing w:after="0"/>
        <w:rPr>
          <w:noProof/>
        </w:rPr>
      </w:pPr>
      <w:r w:rsidRPr="008D6611">
        <w:rPr>
          <w:noProof/>
        </w:rPr>
        <w:t xml:space="preserve">3. </w:t>
      </w:r>
      <w:r w:rsidR="00533351" w:rsidRPr="008D6611">
        <w:rPr>
          <w:noProof/>
        </w:rPr>
        <w:t xml:space="preserve">In consultation with the High Representative, support under the Cyber Emergency Mechanism may complement assistance </w:t>
      </w:r>
      <w:r w:rsidR="4E04C50E" w:rsidRPr="008D6611">
        <w:rPr>
          <w:noProof/>
        </w:rPr>
        <w:t>provided</w:t>
      </w:r>
      <w:r w:rsidR="00533351" w:rsidRPr="008D6611">
        <w:rPr>
          <w:noProof/>
        </w:rPr>
        <w:t xml:space="preserve"> in the context of the Common </w:t>
      </w:r>
      <w:r w:rsidR="00AF2FC2">
        <w:rPr>
          <w:noProof/>
        </w:rPr>
        <w:t xml:space="preserve">Foreign and </w:t>
      </w:r>
      <w:r w:rsidR="00533351" w:rsidRPr="008D6611">
        <w:rPr>
          <w:noProof/>
        </w:rPr>
        <w:t>Security</w:t>
      </w:r>
      <w:r w:rsidR="00AF2FC2">
        <w:rPr>
          <w:noProof/>
        </w:rPr>
        <w:t xml:space="preserve"> Policy and Common Security</w:t>
      </w:r>
      <w:r w:rsidR="00533351" w:rsidRPr="008D6611">
        <w:rPr>
          <w:noProof/>
        </w:rPr>
        <w:t xml:space="preserve"> and Defence Policy, including </w:t>
      </w:r>
      <w:r w:rsidR="00AF2FC2">
        <w:rPr>
          <w:noProof/>
        </w:rPr>
        <w:t xml:space="preserve">through the </w:t>
      </w:r>
      <w:r w:rsidR="545C00A0" w:rsidRPr="00CE39FB">
        <w:rPr>
          <w:noProof/>
        </w:rPr>
        <w:t xml:space="preserve">Cyber </w:t>
      </w:r>
      <w:r w:rsidR="00533351" w:rsidRPr="008D6611">
        <w:rPr>
          <w:noProof/>
        </w:rPr>
        <w:t xml:space="preserve">Rapid </w:t>
      </w:r>
      <w:r w:rsidR="00AF2FC2">
        <w:rPr>
          <w:noProof/>
        </w:rPr>
        <w:t>R</w:t>
      </w:r>
      <w:r w:rsidR="00533351" w:rsidRPr="008D6611">
        <w:rPr>
          <w:noProof/>
        </w:rPr>
        <w:t xml:space="preserve">esponse </w:t>
      </w:r>
      <w:r w:rsidR="00AF2FC2">
        <w:rPr>
          <w:noProof/>
        </w:rPr>
        <w:t>T</w:t>
      </w:r>
      <w:r w:rsidR="00533351" w:rsidRPr="008D6611">
        <w:rPr>
          <w:noProof/>
        </w:rPr>
        <w:t>eams. It may also complement or contribute to assistance provided by one Member State to another Member State in the context of Article 42(7) of the Treaty on the European Union.</w:t>
      </w:r>
    </w:p>
    <w:p w14:paraId="604C3434" w14:textId="77777777" w:rsidR="00533351" w:rsidRPr="008D6611" w:rsidRDefault="00684B26" w:rsidP="00684B26">
      <w:pPr>
        <w:spacing w:after="0"/>
        <w:rPr>
          <w:noProof/>
        </w:rPr>
      </w:pPr>
      <w:r w:rsidRPr="008D6611">
        <w:rPr>
          <w:noProof/>
        </w:rPr>
        <w:t xml:space="preserve">4. </w:t>
      </w:r>
      <w:r w:rsidR="00745FB1" w:rsidRPr="00CE39FB">
        <w:rPr>
          <w:noProof/>
        </w:rPr>
        <w:t>S</w:t>
      </w:r>
      <w:r w:rsidR="00533351" w:rsidRPr="00CE39FB">
        <w:rPr>
          <w:noProof/>
        </w:rPr>
        <w:t>upport</w:t>
      </w:r>
      <w:r w:rsidR="00533351" w:rsidRPr="008D6611">
        <w:rPr>
          <w:noProof/>
        </w:rPr>
        <w:t xml:space="preserve"> under the Cyber Emergency Mechanism may form part of the joint response between the Union and Member States in situations </w:t>
      </w:r>
      <w:r w:rsidR="00745FB1" w:rsidRPr="00CE39FB">
        <w:rPr>
          <w:noProof/>
        </w:rPr>
        <w:t>referred to</w:t>
      </w:r>
      <w:r w:rsidR="0019100F" w:rsidRPr="008D6611">
        <w:rPr>
          <w:noProof/>
        </w:rPr>
        <w:t xml:space="preserve"> </w:t>
      </w:r>
      <w:r w:rsidR="00533351" w:rsidRPr="008D6611">
        <w:rPr>
          <w:noProof/>
        </w:rPr>
        <w:t xml:space="preserve">in Article 222 of the Treaty on the Functioning of the European Union.  </w:t>
      </w:r>
    </w:p>
    <w:p w14:paraId="667B977D" w14:textId="77777777" w:rsidR="00533351" w:rsidRPr="00CE39FB" w:rsidRDefault="00533351" w:rsidP="00533351">
      <w:pPr>
        <w:jc w:val="center"/>
        <w:rPr>
          <w:rFonts w:eastAsia="Times New Roman"/>
          <w:b/>
          <w:bCs/>
          <w:noProof/>
          <w:szCs w:val="24"/>
        </w:rPr>
      </w:pPr>
    </w:p>
    <w:p w14:paraId="2E6F8621" w14:textId="77777777" w:rsidR="00533351" w:rsidRPr="00CE39FB" w:rsidRDefault="00533351" w:rsidP="00A2646D">
      <w:pPr>
        <w:pStyle w:val="Titrearticle"/>
        <w:rPr>
          <w:noProof/>
        </w:rPr>
      </w:pPr>
      <w:r w:rsidRPr="00CE39FB">
        <w:rPr>
          <w:noProof/>
        </w:rPr>
        <w:t>Article 16</w:t>
      </w:r>
    </w:p>
    <w:p w14:paraId="0779732A" w14:textId="77777777" w:rsidR="00533351" w:rsidRPr="00CE39FB" w:rsidRDefault="00533351" w:rsidP="00533351">
      <w:pPr>
        <w:jc w:val="center"/>
        <w:rPr>
          <w:rFonts w:eastAsia="Times New Roman"/>
          <w:b/>
          <w:bCs/>
          <w:noProof/>
          <w:szCs w:val="24"/>
        </w:rPr>
      </w:pPr>
      <w:r w:rsidRPr="00CE39FB">
        <w:rPr>
          <w:rFonts w:eastAsia="Times New Roman"/>
          <w:b/>
          <w:bCs/>
          <w:noProof/>
          <w:szCs w:val="24"/>
        </w:rPr>
        <w:t xml:space="preserve">Trusted </w:t>
      </w:r>
      <w:r w:rsidR="00A16620" w:rsidRPr="00CE39FB">
        <w:rPr>
          <w:rFonts w:eastAsia="Times New Roman"/>
          <w:b/>
          <w:bCs/>
          <w:noProof/>
          <w:szCs w:val="24"/>
        </w:rPr>
        <w:t>p</w:t>
      </w:r>
      <w:r w:rsidRPr="00CE39FB">
        <w:rPr>
          <w:rFonts w:eastAsia="Times New Roman"/>
          <w:b/>
          <w:bCs/>
          <w:noProof/>
          <w:szCs w:val="24"/>
        </w:rPr>
        <w:t>roviders</w:t>
      </w:r>
    </w:p>
    <w:p w14:paraId="5943B732" w14:textId="77777777" w:rsidR="00533351" w:rsidRPr="008D6611" w:rsidRDefault="00472E05" w:rsidP="00684B26">
      <w:pPr>
        <w:spacing w:after="0"/>
        <w:rPr>
          <w:noProof/>
        </w:rPr>
      </w:pPr>
      <w:r w:rsidRPr="00CE39FB">
        <w:rPr>
          <w:noProof/>
        </w:rPr>
        <w:t>1</w:t>
      </w:r>
      <w:r w:rsidR="00684B26" w:rsidRPr="00CE39FB">
        <w:rPr>
          <w:noProof/>
        </w:rPr>
        <w:t>.</w:t>
      </w:r>
      <w:r w:rsidR="00684B26" w:rsidRPr="008D6611">
        <w:rPr>
          <w:noProof/>
        </w:rPr>
        <w:t xml:space="preserve"> </w:t>
      </w:r>
      <w:r w:rsidR="00533351" w:rsidRPr="008D6611">
        <w:rPr>
          <w:noProof/>
        </w:rPr>
        <w:t xml:space="preserve">In procurement procedures for the purpose of establishing the EU Cybersecurity Reserve, the contracting authority shall act </w:t>
      </w:r>
      <w:r w:rsidR="00021CD7" w:rsidRPr="008D6611">
        <w:rPr>
          <w:noProof/>
        </w:rPr>
        <w:t xml:space="preserve">in accordance with the </w:t>
      </w:r>
      <w:r w:rsidR="00021CD7" w:rsidRPr="00CE39FB">
        <w:rPr>
          <w:noProof/>
        </w:rPr>
        <w:t xml:space="preserve">principles laid down in the </w:t>
      </w:r>
      <w:r w:rsidR="00BA2605" w:rsidRPr="00CE39FB">
        <w:rPr>
          <w:noProof/>
        </w:rPr>
        <w:t xml:space="preserve">Regulation (EU, Euratom) 2018/1046 </w:t>
      </w:r>
      <w:r w:rsidR="00021CD7" w:rsidRPr="00CE39FB">
        <w:rPr>
          <w:noProof/>
        </w:rPr>
        <w:t>a</w:t>
      </w:r>
      <w:r w:rsidR="00533351" w:rsidRPr="00CE39FB">
        <w:rPr>
          <w:noProof/>
        </w:rPr>
        <w:t>n</w:t>
      </w:r>
      <w:r w:rsidR="00021CD7" w:rsidRPr="00CE39FB">
        <w:rPr>
          <w:noProof/>
        </w:rPr>
        <w:t>d</w:t>
      </w:r>
      <w:r w:rsidR="00533351" w:rsidRPr="00CE39FB">
        <w:rPr>
          <w:noProof/>
        </w:rPr>
        <w:t xml:space="preserve"> </w:t>
      </w:r>
      <w:r w:rsidR="00B96D6F" w:rsidRPr="00CE39FB">
        <w:rPr>
          <w:noProof/>
        </w:rPr>
        <w:t xml:space="preserve">in </w:t>
      </w:r>
      <w:r w:rsidR="00533351" w:rsidRPr="00CE39FB">
        <w:rPr>
          <w:noProof/>
        </w:rPr>
        <w:t xml:space="preserve">accordance with the </w:t>
      </w:r>
      <w:r w:rsidR="00533351" w:rsidRPr="008D6611">
        <w:rPr>
          <w:noProof/>
        </w:rPr>
        <w:t>following principles: </w:t>
      </w:r>
    </w:p>
    <w:p w14:paraId="15D7E810" w14:textId="6348D06D" w:rsidR="00533351" w:rsidRPr="00CE39FB" w:rsidRDefault="007B0110" w:rsidP="007B0110">
      <w:pPr>
        <w:pStyle w:val="Point0"/>
        <w:rPr>
          <w:noProof/>
        </w:rPr>
      </w:pPr>
      <w:r w:rsidRPr="007B0110">
        <w:rPr>
          <w:noProof/>
        </w:rPr>
        <w:t>(a)</w:t>
      </w:r>
      <w:r w:rsidRPr="007B0110">
        <w:rPr>
          <w:noProof/>
        </w:rPr>
        <w:tab/>
      </w:r>
      <w:r w:rsidR="00533351" w:rsidRPr="00CE39FB">
        <w:rPr>
          <w:noProof/>
        </w:rPr>
        <w:t>ensure the EU Cybersecurity Reserve includes services that may be deployed in all Member States, taking into account in particular national requirements for the provision of such services, including certification or accreditation</w:t>
      </w:r>
      <w:r w:rsidR="00021CD7" w:rsidRPr="00CE39FB">
        <w:rPr>
          <w:noProof/>
        </w:rPr>
        <w:t>;</w:t>
      </w:r>
      <w:r w:rsidR="00533351" w:rsidRPr="00CE39FB">
        <w:rPr>
          <w:noProof/>
        </w:rPr>
        <w:t> </w:t>
      </w:r>
    </w:p>
    <w:p w14:paraId="16EE5AB3" w14:textId="2E789715" w:rsidR="00533351" w:rsidRPr="00CE39FB" w:rsidRDefault="007B0110" w:rsidP="007B0110">
      <w:pPr>
        <w:pStyle w:val="Point0"/>
        <w:rPr>
          <w:noProof/>
        </w:rPr>
      </w:pPr>
      <w:r w:rsidRPr="007B0110">
        <w:rPr>
          <w:noProof/>
        </w:rPr>
        <w:t>(b)</w:t>
      </w:r>
      <w:r w:rsidRPr="007B0110">
        <w:rPr>
          <w:noProof/>
        </w:rPr>
        <w:tab/>
      </w:r>
      <w:r w:rsidR="00533351" w:rsidRPr="00CE39FB">
        <w:rPr>
          <w:noProof/>
        </w:rPr>
        <w:t>ensure the protection of the essential security interests of the Union and its Member States</w:t>
      </w:r>
      <w:r w:rsidR="00CC15DA" w:rsidRPr="00CE39FB">
        <w:rPr>
          <w:noProof/>
        </w:rPr>
        <w:t>.</w:t>
      </w:r>
    </w:p>
    <w:p w14:paraId="511A30EF" w14:textId="16E01B00" w:rsidR="15B28956" w:rsidRPr="00CE39FB" w:rsidRDefault="007B0110" w:rsidP="007B0110">
      <w:pPr>
        <w:pStyle w:val="Point0"/>
        <w:rPr>
          <w:noProof/>
        </w:rPr>
      </w:pPr>
      <w:r w:rsidRPr="007B0110">
        <w:rPr>
          <w:noProof/>
        </w:rPr>
        <w:t>(c)</w:t>
      </w:r>
      <w:r w:rsidRPr="007B0110">
        <w:rPr>
          <w:noProof/>
        </w:rPr>
        <w:tab/>
      </w:r>
      <w:r w:rsidR="51F9334E" w:rsidRPr="00CE39FB">
        <w:rPr>
          <w:noProof/>
        </w:rPr>
        <w:t xml:space="preserve">ensure that the EU Cybersecurity Reserve brings EU added value, by contributing to the objectives </w:t>
      </w:r>
      <w:r w:rsidR="45F19EF7" w:rsidRPr="00CE39FB">
        <w:rPr>
          <w:noProof/>
        </w:rPr>
        <w:t xml:space="preserve">set out in Article 3 </w:t>
      </w:r>
      <w:r w:rsidR="51F9334E" w:rsidRPr="00CE39FB">
        <w:rPr>
          <w:noProof/>
        </w:rPr>
        <w:t>of Regulation (E</w:t>
      </w:r>
      <w:r w:rsidR="7AA512CC" w:rsidRPr="00CE39FB">
        <w:rPr>
          <w:noProof/>
        </w:rPr>
        <w:t xml:space="preserve">U) 2021/694, including </w:t>
      </w:r>
      <w:r w:rsidR="282ED9E6" w:rsidRPr="00CE39FB">
        <w:rPr>
          <w:noProof/>
        </w:rPr>
        <w:t>promoting the development of cybersecurity skills in the EU.</w:t>
      </w:r>
      <w:r w:rsidR="7AA512CC" w:rsidRPr="00CE39FB">
        <w:rPr>
          <w:noProof/>
        </w:rPr>
        <w:t xml:space="preserve"> </w:t>
      </w:r>
    </w:p>
    <w:p w14:paraId="74D42B98" w14:textId="77777777" w:rsidR="00533351" w:rsidRPr="008D6611" w:rsidRDefault="00BA2605" w:rsidP="00684B26">
      <w:pPr>
        <w:spacing w:after="0"/>
        <w:rPr>
          <w:noProof/>
        </w:rPr>
      </w:pPr>
      <w:r w:rsidRPr="00CE39FB">
        <w:rPr>
          <w:noProof/>
        </w:rPr>
        <w:t>2</w:t>
      </w:r>
      <w:r w:rsidR="00684B26" w:rsidRPr="008D6611">
        <w:rPr>
          <w:noProof/>
        </w:rPr>
        <w:t>.</w:t>
      </w:r>
      <w:r w:rsidR="00533351" w:rsidRPr="008D6611">
        <w:rPr>
          <w:noProof/>
        </w:rPr>
        <w:t xml:space="preserve"> When procuring services for the EU Cybersecurity Reserve, the contracting authority shall include in the </w:t>
      </w:r>
      <w:r w:rsidR="00795110" w:rsidRPr="00CE39FB">
        <w:rPr>
          <w:noProof/>
        </w:rPr>
        <w:t>procurement documents</w:t>
      </w:r>
      <w:r w:rsidR="00795110" w:rsidRPr="008D6611">
        <w:rPr>
          <w:noProof/>
        </w:rPr>
        <w:t xml:space="preserve"> </w:t>
      </w:r>
      <w:r w:rsidR="00533351" w:rsidRPr="008D6611">
        <w:rPr>
          <w:noProof/>
        </w:rPr>
        <w:t>the following selection criteria</w:t>
      </w:r>
      <w:r w:rsidR="00021CD7" w:rsidRPr="008D6611">
        <w:rPr>
          <w:noProof/>
        </w:rPr>
        <w:t>:</w:t>
      </w:r>
      <w:r w:rsidR="00021CD7" w:rsidRPr="00CE39FB">
        <w:rPr>
          <w:noProof/>
        </w:rPr>
        <w:t xml:space="preserve"> </w:t>
      </w:r>
    </w:p>
    <w:p w14:paraId="0A996035" w14:textId="5B7E49BF" w:rsidR="00533351" w:rsidRPr="00CE39FB" w:rsidRDefault="007B0110" w:rsidP="007B0110">
      <w:pPr>
        <w:pStyle w:val="Point0"/>
        <w:rPr>
          <w:noProof/>
        </w:rPr>
      </w:pPr>
      <w:r w:rsidRPr="007B0110">
        <w:rPr>
          <w:noProof/>
        </w:rPr>
        <w:t>(a)</w:t>
      </w:r>
      <w:r w:rsidRPr="007B0110">
        <w:rPr>
          <w:noProof/>
        </w:rPr>
        <w:tab/>
      </w:r>
      <w:r w:rsidR="00037C61" w:rsidRPr="00CE39FB">
        <w:rPr>
          <w:noProof/>
        </w:rPr>
        <w:t>t</w:t>
      </w:r>
      <w:r w:rsidR="00533351" w:rsidRPr="00CE39FB">
        <w:rPr>
          <w:noProof/>
        </w:rPr>
        <w:t xml:space="preserve">he provider shall demonstrate that </w:t>
      </w:r>
      <w:r w:rsidR="00055190" w:rsidRPr="00CE39FB">
        <w:rPr>
          <w:noProof/>
        </w:rPr>
        <w:t xml:space="preserve">its </w:t>
      </w:r>
      <w:r w:rsidR="00533351" w:rsidRPr="00CE39FB">
        <w:rPr>
          <w:noProof/>
        </w:rPr>
        <w:t xml:space="preserve">personnel </w:t>
      </w:r>
      <w:r w:rsidR="00055190" w:rsidRPr="00CE39FB">
        <w:rPr>
          <w:noProof/>
        </w:rPr>
        <w:t>has</w:t>
      </w:r>
      <w:r w:rsidR="00533351" w:rsidRPr="00CE39FB">
        <w:rPr>
          <w:noProof/>
        </w:rPr>
        <w:t xml:space="preserve"> the highest degree of professional integrity, independence, responsibility, and the requisite technical competence to perform the activities in their specific field, and ensures the permanence/continuity of expertise as well as the required technical resources;  </w:t>
      </w:r>
    </w:p>
    <w:p w14:paraId="390C79A4" w14:textId="64D85D40" w:rsidR="00533351" w:rsidRPr="00CE39FB" w:rsidRDefault="007B0110" w:rsidP="007B0110">
      <w:pPr>
        <w:pStyle w:val="Point0"/>
        <w:rPr>
          <w:noProof/>
        </w:rPr>
      </w:pPr>
      <w:r w:rsidRPr="007B0110">
        <w:rPr>
          <w:noProof/>
        </w:rPr>
        <w:t>(b)</w:t>
      </w:r>
      <w:r w:rsidRPr="007B0110">
        <w:rPr>
          <w:noProof/>
        </w:rPr>
        <w:tab/>
      </w:r>
      <w:r w:rsidR="00055190" w:rsidRPr="00CE39FB">
        <w:rPr>
          <w:noProof/>
        </w:rPr>
        <w:t>the</w:t>
      </w:r>
      <w:r w:rsidR="00533351" w:rsidRPr="00CE39FB">
        <w:rPr>
          <w:noProof/>
        </w:rPr>
        <w:t xml:space="preserve"> provider, its subsidiaries and subcontractors shall have in place a framework to protect sensitive information relating to the service, and in particular evidence, findings and reports</w:t>
      </w:r>
      <w:r w:rsidR="00055190" w:rsidRPr="00CE39FB">
        <w:rPr>
          <w:noProof/>
        </w:rPr>
        <w:t>,</w:t>
      </w:r>
      <w:r w:rsidR="00533351" w:rsidRPr="00CE39FB">
        <w:rPr>
          <w:noProof/>
        </w:rPr>
        <w:t xml:space="preserve"> and is compliant with </w:t>
      </w:r>
      <w:r w:rsidR="00862037" w:rsidRPr="00CE39FB">
        <w:rPr>
          <w:noProof/>
        </w:rPr>
        <w:t xml:space="preserve">Union </w:t>
      </w:r>
      <w:r w:rsidR="00533351" w:rsidRPr="00CE39FB">
        <w:rPr>
          <w:noProof/>
        </w:rPr>
        <w:t xml:space="preserve">security rules on the protection of EU classified information;    </w:t>
      </w:r>
    </w:p>
    <w:p w14:paraId="2EA35EBF" w14:textId="0898B159" w:rsidR="00533351" w:rsidRPr="00CE39FB" w:rsidRDefault="007B0110" w:rsidP="007B0110">
      <w:pPr>
        <w:pStyle w:val="Point0"/>
        <w:rPr>
          <w:noProof/>
        </w:rPr>
      </w:pPr>
      <w:r w:rsidRPr="007B0110">
        <w:rPr>
          <w:noProof/>
        </w:rPr>
        <w:t>(c)</w:t>
      </w:r>
      <w:r w:rsidRPr="007B0110">
        <w:rPr>
          <w:noProof/>
        </w:rPr>
        <w:tab/>
      </w:r>
      <w:r w:rsidR="00037C61" w:rsidRPr="00CE39FB">
        <w:rPr>
          <w:noProof/>
        </w:rPr>
        <w:t>t</w:t>
      </w:r>
      <w:r w:rsidR="00533351" w:rsidRPr="00CE39FB">
        <w:rPr>
          <w:noProof/>
        </w:rPr>
        <w:t xml:space="preserve">he provider shall provide sufficient proof that its governing structure is transparent, not likely to compromise its impartiality and the quality of its services or to cause conflicts of interest;  </w:t>
      </w:r>
    </w:p>
    <w:p w14:paraId="4C769AE1" w14:textId="7109308E" w:rsidR="00533351" w:rsidRPr="00CE39FB" w:rsidRDefault="007B0110" w:rsidP="007B0110">
      <w:pPr>
        <w:pStyle w:val="Point0"/>
        <w:rPr>
          <w:noProof/>
        </w:rPr>
      </w:pPr>
      <w:r w:rsidRPr="007B0110">
        <w:rPr>
          <w:noProof/>
        </w:rPr>
        <w:t>(d)</w:t>
      </w:r>
      <w:r w:rsidRPr="007B0110">
        <w:rPr>
          <w:noProof/>
        </w:rPr>
        <w:tab/>
      </w:r>
      <w:r w:rsidR="00037C61" w:rsidRPr="00CE39FB">
        <w:rPr>
          <w:noProof/>
        </w:rPr>
        <w:t>t</w:t>
      </w:r>
      <w:r w:rsidR="00533351" w:rsidRPr="00CE39FB">
        <w:rPr>
          <w:noProof/>
        </w:rPr>
        <w:t xml:space="preserve">he provider shall have appropriate security clearance, at least for personnel intended for service deployment; </w:t>
      </w:r>
    </w:p>
    <w:p w14:paraId="7D208D3D" w14:textId="29D87B91" w:rsidR="00533351" w:rsidRPr="00CE39FB" w:rsidRDefault="007B0110" w:rsidP="007B0110">
      <w:pPr>
        <w:pStyle w:val="Point0"/>
        <w:rPr>
          <w:noProof/>
        </w:rPr>
      </w:pPr>
      <w:r w:rsidRPr="007B0110">
        <w:rPr>
          <w:noProof/>
        </w:rPr>
        <w:t>(e)</w:t>
      </w:r>
      <w:r w:rsidRPr="007B0110">
        <w:rPr>
          <w:noProof/>
        </w:rPr>
        <w:tab/>
      </w:r>
      <w:r w:rsidR="00037C61" w:rsidRPr="00CE39FB">
        <w:rPr>
          <w:noProof/>
        </w:rPr>
        <w:t>t</w:t>
      </w:r>
      <w:r w:rsidR="00533351" w:rsidRPr="00CE39FB">
        <w:rPr>
          <w:noProof/>
        </w:rPr>
        <w:t xml:space="preserve">he provider shall have </w:t>
      </w:r>
      <w:r w:rsidR="00037C61" w:rsidRPr="00CE39FB">
        <w:rPr>
          <w:noProof/>
        </w:rPr>
        <w:t xml:space="preserve">the </w:t>
      </w:r>
      <w:r w:rsidR="00533351" w:rsidRPr="00CE39FB">
        <w:rPr>
          <w:noProof/>
        </w:rPr>
        <w:t xml:space="preserve">relevant level of security for its IT systems; </w:t>
      </w:r>
    </w:p>
    <w:p w14:paraId="64D765C1" w14:textId="1E61D296" w:rsidR="00533351" w:rsidRPr="00CE39FB" w:rsidRDefault="007B0110" w:rsidP="007B0110">
      <w:pPr>
        <w:pStyle w:val="Point0"/>
        <w:rPr>
          <w:noProof/>
        </w:rPr>
      </w:pPr>
      <w:r w:rsidRPr="007B0110">
        <w:rPr>
          <w:noProof/>
        </w:rPr>
        <w:t>(f)</w:t>
      </w:r>
      <w:r w:rsidRPr="007B0110">
        <w:rPr>
          <w:noProof/>
        </w:rPr>
        <w:tab/>
      </w:r>
      <w:r w:rsidR="00037C61" w:rsidRPr="00CE39FB">
        <w:rPr>
          <w:noProof/>
        </w:rPr>
        <w:t>t</w:t>
      </w:r>
      <w:r w:rsidR="00533351" w:rsidRPr="00CE39FB">
        <w:rPr>
          <w:noProof/>
        </w:rPr>
        <w:t>he provider shall be equipped with the hardware and software technical equipment necessary to support the requested service;</w:t>
      </w:r>
    </w:p>
    <w:p w14:paraId="36677C0C" w14:textId="205A1739" w:rsidR="00533351" w:rsidRPr="00CE39FB" w:rsidRDefault="007B0110" w:rsidP="007B0110">
      <w:pPr>
        <w:pStyle w:val="Point0"/>
        <w:rPr>
          <w:noProof/>
        </w:rPr>
      </w:pPr>
      <w:r w:rsidRPr="007B0110">
        <w:rPr>
          <w:noProof/>
        </w:rPr>
        <w:t>(g)</w:t>
      </w:r>
      <w:r w:rsidRPr="007B0110">
        <w:rPr>
          <w:noProof/>
        </w:rPr>
        <w:tab/>
      </w:r>
      <w:r w:rsidR="00021CD7" w:rsidRPr="00CE39FB">
        <w:rPr>
          <w:noProof/>
        </w:rPr>
        <w:t>t</w:t>
      </w:r>
      <w:r w:rsidR="00533351" w:rsidRPr="00CE39FB">
        <w:rPr>
          <w:noProof/>
        </w:rPr>
        <w:t xml:space="preserve">he provider shall be able to demonstrate </w:t>
      </w:r>
      <w:r w:rsidR="00037C61" w:rsidRPr="00CE39FB">
        <w:rPr>
          <w:noProof/>
        </w:rPr>
        <w:t xml:space="preserve">that it has </w:t>
      </w:r>
      <w:r w:rsidR="00533351" w:rsidRPr="00CE39FB">
        <w:rPr>
          <w:noProof/>
        </w:rPr>
        <w:t xml:space="preserve">experience in delivering similar services to </w:t>
      </w:r>
      <w:r w:rsidR="004D402A">
        <w:rPr>
          <w:noProof/>
        </w:rPr>
        <w:t xml:space="preserve">relevant </w:t>
      </w:r>
      <w:r w:rsidR="00533351" w:rsidRPr="00CE39FB">
        <w:rPr>
          <w:noProof/>
        </w:rPr>
        <w:t>national authorities or entities</w:t>
      </w:r>
      <w:r w:rsidR="00E720F0">
        <w:rPr>
          <w:noProof/>
        </w:rPr>
        <w:t xml:space="preserve"> operating in critical or highly critical sectors</w:t>
      </w:r>
      <w:r w:rsidR="00037C61" w:rsidRPr="00CE39FB">
        <w:rPr>
          <w:noProof/>
        </w:rPr>
        <w:t>;</w:t>
      </w:r>
      <w:r w:rsidR="00533351" w:rsidRPr="00CE39FB">
        <w:rPr>
          <w:noProof/>
        </w:rPr>
        <w:t xml:space="preserve"> </w:t>
      </w:r>
    </w:p>
    <w:p w14:paraId="3B0EB785" w14:textId="255BFB4F" w:rsidR="00533351" w:rsidRPr="00CE39FB" w:rsidRDefault="007B0110" w:rsidP="007B0110">
      <w:pPr>
        <w:pStyle w:val="Point0"/>
        <w:rPr>
          <w:noProof/>
        </w:rPr>
      </w:pPr>
      <w:r w:rsidRPr="007B0110">
        <w:rPr>
          <w:noProof/>
        </w:rPr>
        <w:t>(h)</w:t>
      </w:r>
      <w:r w:rsidRPr="007B0110">
        <w:rPr>
          <w:noProof/>
        </w:rPr>
        <w:tab/>
      </w:r>
      <w:r w:rsidR="00037C61" w:rsidRPr="00CE39FB">
        <w:rPr>
          <w:noProof/>
        </w:rPr>
        <w:t>the</w:t>
      </w:r>
      <w:r w:rsidR="00533351" w:rsidRPr="00CE39FB">
        <w:rPr>
          <w:noProof/>
        </w:rPr>
        <w:t xml:space="preserve"> provider shall be able to provide the service within a short timeframe in the Member State(s) where it can deliver the service</w:t>
      </w:r>
      <w:r w:rsidR="00037C61" w:rsidRPr="00CE39FB">
        <w:rPr>
          <w:noProof/>
        </w:rPr>
        <w:t>;</w:t>
      </w:r>
    </w:p>
    <w:p w14:paraId="3EA33704" w14:textId="36F663B6" w:rsidR="00533351" w:rsidRPr="00CE39FB" w:rsidRDefault="007B0110" w:rsidP="007B0110">
      <w:pPr>
        <w:pStyle w:val="Point0"/>
        <w:rPr>
          <w:noProof/>
        </w:rPr>
      </w:pPr>
      <w:r w:rsidRPr="007B0110">
        <w:rPr>
          <w:noProof/>
        </w:rPr>
        <w:t>(i)</w:t>
      </w:r>
      <w:r w:rsidRPr="007B0110">
        <w:rPr>
          <w:noProof/>
        </w:rPr>
        <w:tab/>
      </w:r>
      <w:r w:rsidR="00037C61" w:rsidRPr="00CE39FB">
        <w:rPr>
          <w:noProof/>
        </w:rPr>
        <w:t>t</w:t>
      </w:r>
      <w:r w:rsidR="00533351" w:rsidRPr="00CE39FB">
        <w:rPr>
          <w:noProof/>
        </w:rPr>
        <w:t>he provider shall be able to provide the service in the local language of the Member State(s) where it can deliver the service</w:t>
      </w:r>
      <w:r w:rsidR="00037C61" w:rsidRPr="00CE39FB">
        <w:rPr>
          <w:noProof/>
        </w:rPr>
        <w:t>;</w:t>
      </w:r>
    </w:p>
    <w:p w14:paraId="16827C28" w14:textId="3B39B728" w:rsidR="00533351" w:rsidRPr="00CE39FB" w:rsidRDefault="007B0110" w:rsidP="007B0110">
      <w:pPr>
        <w:pStyle w:val="Point0"/>
        <w:rPr>
          <w:noProof/>
        </w:rPr>
      </w:pPr>
      <w:r w:rsidRPr="007B0110">
        <w:rPr>
          <w:noProof/>
        </w:rPr>
        <w:t>(j)</w:t>
      </w:r>
      <w:r w:rsidRPr="007B0110">
        <w:rPr>
          <w:noProof/>
        </w:rPr>
        <w:tab/>
      </w:r>
      <w:r w:rsidR="00037C61" w:rsidRPr="00CE39FB">
        <w:rPr>
          <w:noProof/>
        </w:rPr>
        <w:t>o</w:t>
      </w:r>
      <w:r w:rsidR="00533351" w:rsidRPr="00CE39FB">
        <w:rPr>
          <w:noProof/>
        </w:rPr>
        <w:t xml:space="preserve">nce an EU certification scheme for </w:t>
      </w:r>
      <w:r w:rsidR="000725FE" w:rsidRPr="00CE39FB">
        <w:rPr>
          <w:noProof/>
        </w:rPr>
        <w:t>managed</w:t>
      </w:r>
      <w:r w:rsidR="005E2BD5" w:rsidRPr="00CE39FB">
        <w:rPr>
          <w:noProof/>
        </w:rPr>
        <w:t xml:space="preserve"> security</w:t>
      </w:r>
      <w:r w:rsidR="00533351" w:rsidRPr="00CE39FB">
        <w:rPr>
          <w:noProof/>
        </w:rPr>
        <w:t xml:space="preserve"> service</w:t>
      </w:r>
      <w:r w:rsidR="005E2BD5" w:rsidRPr="00CE39FB">
        <w:rPr>
          <w:noProof/>
        </w:rPr>
        <w:t xml:space="preserve"> Regulation (EU)</w:t>
      </w:r>
      <w:r w:rsidR="0010053D" w:rsidRPr="00CE39FB">
        <w:rPr>
          <w:noProof/>
        </w:rPr>
        <w:t xml:space="preserve"> 2019/881</w:t>
      </w:r>
      <w:r w:rsidR="00533351" w:rsidRPr="00CE39FB">
        <w:rPr>
          <w:noProof/>
        </w:rPr>
        <w:t xml:space="preserve"> </w:t>
      </w:r>
      <w:r w:rsidR="00037C61" w:rsidRPr="00CE39FB">
        <w:rPr>
          <w:noProof/>
        </w:rPr>
        <w:t>is</w:t>
      </w:r>
      <w:r w:rsidR="00533351" w:rsidRPr="00CE39FB">
        <w:rPr>
          <w:noProof/>
        </w:rPr>
        <w:t xml:space="preserve"> in place, the provider shall be certified in accordance with </w:t>
      </w:r>
      <w:r w:rsidR="00037C61" w:rsidRPr="00CE39FB">
        <w:rPr>
          <w:noProof/>
        </w:rPr>
        <w:t>that</w:t>
      </w:r>
      <w:r w:rsidR="00533351" w:rsidRPr="00CE39FB">
        <w:rPr>
          <w:noProof/>
        </w:rPr>
        <w:t xml:space="preserve"> scheme. </w:t>
      </w:r>
    </w:p>
    <w:p w14:paraId="26E1CCFF" w14:textId="77777777" w:rsidR="00533351" w:rsidRPr="008D6611" w:rsidRDefault="00533351" w:rsidP="00533351">
      <w:pPr>
        <w:spacing w:after="0"/>
        <w:jc w:val="center"/>
        <w:rPr>
          <w:rStyle w:val="eop"/>
          <w:noProof/>
        </w:rPr>
      </w:pPr>
    </w:p>
    <w:p w14:paraId="3F820A89" w14:textId="77777777" w:rsidR="00533351" w:rsidRPr="00CE39FB" w:rsidRDefault="00533351" w:rsidP="00A2646D">
      <w:pPr>
        <w:pStyle w:val="Titrearticle"/>
        <w:rPr>
          <w:noProof/>
          <w:szCs w:val="24"/>
        </w:rPr>
      </w:pPr>
      <w:r w:rsidRPr="00CE39FB">
        <w:rPr>
          <w:noProof/>
          <w:szCs w:val="24"/>
        </w:rPr>
        <w:t xml:space="preserve">Article 17 </w:t>
      </w:r>
    </w:p>
    <w:p w14:paraId="7ADAF093" w14:textId="77777777" w:rsidR="00533351" w:rsidRPr="008D6611" w:rsidRDefault="00533351" w:rsidP="00533351">
      <w:pPr>
        <w:spacing w:after="0"/>
        <w:jc w:val="center"/>
        <w:rPr>
          <w:rStyle w:val="normaltextrun"/>
          <w:b/>
          <w:noProof/>
        </w:rPr>
      </w:pPr>
      <w:r w:rsidRPr="008D6611">
        <w:rPr>
          <w:rStyle w:val="normaltextrun"/>
          <w:b/>
          <w:noProof/>
        </w:rPr>
        <w:t>Support to third countries</w:t>
      </w:r>
    </w:p>
    <w:p w14:paraId="3C4C2A31" w14:textId="77777777" w:rsidR="00533351" w:rsidRPr="008D6611" w:rsidRDefault="00641107" w:rsidP="00533351">
      <w:pPr>
        <w:spacing w:after="0"/>
        <w:jc w:val="center"/>
        <w:rPr>
          <w:rStyle w:val="normaltextrun"/>
          <w:b/>
          <w:noProof/>
        </w:rPr>
      </w:pPr>
      <w:r w:rsidRPr="00CE39FB">
        <w:rPr>
          <w:rStyle w:val="normaltextrun"/>
          <w:rFonts w:eastAsia="Times New Roman"/>
          <w:b/>
          <w:bCs/>
          <w:noProof/>
          <w:szCs w:val="24"/>
        </w:rPr>
        <w:t xml:space="preserve"> </w:t>
      </w:r>
    </w:p>
    <w:p w14:paraId="50FB7E21" w14:textId="30343E04" w:rsidR="00533351" w:rsidRPr="00CE39FB" w:rsidRDefault="00684B26" w:rsidP="00684B26">
      <w:pPr>
        <w:spacing w:after="0"/>
        <w:rPr>
          <w:noProof/>
        </w:rPr>
      </w:pPr>
      <w:r w:rsidRPr="00CE39FB">
        <w:rPr>
          <w:noProof/>
        </w:rPr>
        <w:t xml:space="preserve">1. </w:t>
      </w:r>
      <w:r w:rsidR="00533351" w:rsidRPr="00CE39FB">
        <w:rPr>
          <w:noProof/>
        </w:rPr>
        <w:t>Third countries may</w:t>
      </w:r>
      <w:r w:rsidR="00D46999">
        <w:rPr>
          <w:noProof/>
        </w:rPr>
        <w:t xml:space="preserve"> request support from</w:t>
      </w:r>
      <w:r w:rsidR="00533351" w:rsidRPr="00CE39FB">
        <w:rPr>
          <w:noProof/>
        </w:rPr>
        <w:t xml:space="preserve"> the EU Cybersecurity Reserve where Association Agreements concluded regarding their participation </w:t>
      </w:r>
      <w:r w:rsidR="00A45524" w:rsidRPr="00CE39FB">
        <w:rPr>
          <w:noProof/>
        </w:rPr>
        <w:t xml:space="preserve">in </w:t>
      </w:r>
      <w:r w:rsidR="006D78D2">
        <w:rPr>
          <w:noProof/>
        </w:rPr>
        <w:t>DEP</w:t>
      </w:r>
      <w:r w:rsidR="00533351" w:rsidRPr="00CE39FB">
        <w:rPr>
          <w:noProof/>
        </w:rPr>
        <w:t xml:space="preserve"> </w:t>
      </w:r>
      <w:r w:rsidR="00D46999">
        <w:rPr>
          <w:noProof/>
        </w:rPr>
        <w:t>provide for this</w:t>
      </w:r>
      <w:r w:rsidR="00533351" w:rsidRPr="00CE39FB">
        <w:rPr>
          <w:noProof/>
        </w:rPr>
        <w:t xml:space="preserve">. </w:t>
      </w:r>
    </w:p>
    <w:p w14:paraId="5B229A25" w14:textId="77777777" w:rsidR="00533351" w:rsidRPr="00CE39FB" w:rsidRDefault="00684B26" w:rsidP="00684B26">
      <w:pPr>
        <w:spacing w:after="0"/>
        <w:rPr>
          <w:noProof/>
        </w:rPr>
      </w:pPr>
      <w:r w:rsidRPr="00CE39FB">
        <w:rPr>
          <w:noProof/>
        </w:rPr>
        <w:t xml:space="preserve">2. </w:t>
      </w:r>
      <w:r w:rsidR="00D46999">
        <w:rPr>
          <w:noProof/>
        </w:rPr>
        <w:t xml:space="preserve"> Support from</w:t>
      </w:r>
      <w:r w:rsidR="00533351" w:rsidRPr="00CE39FB">
        <w:rPr>
          <w:noProof/>
        </w:rPr>
        <w:t xml:space="preserve"> the EU Cybersecurity Reserve shall</w:t>
      </w:r>
      <w:r w:rsidR="00D46999">
        <w:rPr>
          <w:noProof/>
        </w:rPr>
        <w:t xml:space="preserve"> be</w:t>
      </w:r>
      <w:r w:rsidR="00533351" w:rsidRPr="00CE39FB">
        <w:rPr>
          <w:noProof/>
        </w:rPr>
        <w:t xml:space="preserve"> in accordance with this Regulation,</w:t>
      </w:r>
      <w:r w:rsidR="00E62AD9">
        <w:rPr>
          <w:noProof/>
        </w:rPr>
        <w:t xml:space="preserve"> </w:t>
      </w:r>
      <w:r w:rsidR="00533351" w:rsidRPr="00CE39FB">
        <w:rPr>
          <w:noProof/>
        </w:rPr>
        <w:t xml:space="preserve">and shall </w:t>
      </w:r>
      <w:r w:rsidR="00C64883" w:rsidRPr="00CE39FB">
        <w:rPr>
          <w:noProof/>
        </w:rPr>
        <w:t>comply</w:t>
      </w:r>
      <w:r w:rsidR="00533351" w:rsidRPr="00CE39FB">
        <w:rPr>
          <w:noProof/>
        </w:rPr>
        <w:t xml:space="preserve"> with </w:t>
      </w:r>
      <w:r w:rsidR="00C64883" w:rsidRPr="00CE39FB">
        <w:rPr>
          <w:noProof/>
        </w:rPr>
        <w:t>any</w:t>
      </w:r>
      <w:r w:rsidR="00996D55" w:rsidRPr="00CE39FB">
        <w:rPr>
          <w:noProof/>
        </w:rPr>
        <w:t xml:space="preserve"> </w:t>
      </w:r>
      <w:r w:rsidR="00533351" w:rsidRPr="00CE39FB">
        <w:rPr>
          <w:noProof/>
        </w:rPr>
        <w:t xml:space="preserve">specific conditions laid down in the Association Agreements </w:t>
      </w:r>
      <w:r w:rsidR="001107BF" w:rsidRPr="00CE39FB">
        <w:rPr>
          <w:noProof/>
        </w:rPr>
        <w:t>referred to in paragraph 1.</w:t>
      </w:r>
    </w:p>
    <w:p w14:paraId="59805555" w14:textId="1AF442A1" w:rsidR="00533351" w:rsidRPr="00CE39FB" w:rsidRDefault="008F40ED" w:rsidP="00684B26">
      <w:pPr>
        <w:spacing w:after="0"/>
        <w:rPr>
          <w:noProof/>
        </w:rPr>
      </w:pPr>
      <w:r w:rsidRPr="00CE39FB">
        <w:rPr>
          <w:noProof/>
        </w:rPr>
        <w:t>3</w:t>
      </w:r>
      <w:r w:rsidR="00684B26" w:rsidRPr="00CE39FB">
        <w:rPr>
          <w:noProof/>
        </w:rPr>
        <w:t xml:space="preserve">. </w:t>
      </w:r>
      <w:r w:rsidR="00533351" w:rsidRPr="00CE39FB">
        <w:rPr>
          <w:noProof/>
        </w:rPr>
        <w:t>Users from associated third countries eligible to receive services from the EU Cybersecurity Reserve shall include competent authorities such as CSIRTs and cyber crisis management authorities.</w:t>
      </w:r>
    </w:p>
    <w:p w14:paraId="2B567A31" w14:textId="77777777" w:rsidR="00533351" w:rsidRPr="00CE39FB" w:rsidRDefault="008F40ED" w:rsidP="00684B26">
      <w:pPr>
        <w:spacing w:after="0"/>
        <w:rPr>
          <w:noProof/>
        </w:rPr>
      </w:pPr>
      <w:r w:rsidRPr="00CE39FB">
        <w:rPr>
          <w:noProof/>
        </w:rPr>
        <w:t>4</w:t>
      </w:r>
      <w:r w:rsidR="00684B26" w:rsidRPr="00CE39FB">
        <w:rPr>
          <w:noProof/>
        </w:rPr>
        <w:t xml:space="preserve">. </w:t>
      </w:r>
      <w:r w:rsidR="00533351" w:rsidRPr="00CE39FB">
        <w:rPr>
          <w:noProof/>
        </w:rPr>
        <w:t xml:space="preserve">Each third country </w:t>
      </w:r>
      <w:r w:rsidR="00D46999">
        <w:rPr>
          <w:noProof/>
        </w:rPr>
        <w:t xml:space="preserve">eligible for support from </w:t>
      </w:r>
      <w:r w:rsidR="00E74CDD" w:rsidRPr="00CE39FB">
        <w:rPr>
          <w:noProof/>
        </w:rPr>
        <w:t xml:space="preserve">the EU Cybersecurity Reserve </w:t>
      </w:r>
      <w:r w:rsidR="00533351" w:rsidRPr="00CE39FB">
        <w:rPr>
          <w:noProof/>
        </w:rPr>
        <w:t xml:space="preserve">shall designate an authority </w:t>
      </w:r>
      <w:r w:rsidR="00FF2DD8" w:rsidRPr="00CE39FB">
        <w:rPr>
          <w:noProof/>
        </w:rPr>
        <w:t>to</w:t>
      </w:r>
      <w:r w:rsidR="00533351" w:rsidRPr="00CE39FB">
        <w:rPr>
          <w:noProof/>
        </w:rPr>
        <w:t xml:space="preserve"> act as a single point of contact for the purpose of this Regulation.</w:t>
      </w:r>
    </w:p>
    <w:p w14:paraId="2F9A7B40" w14:textId="77777777" w:rsidR="00533351" w:rsidRPr="00CE39FB" w:rsidRDefault="008F40ED" w:rsidP="00684B26">
      <w:pPr>
        <w:spacing w:after="0"/>
        <w:rPr>
          <w:noProof/>
        </w:rPr>
      </w:pPr>
      <w:r w:rsidRPr="00CE39FB">
        <w:rPr>
          <w:noProof/>
        </w:rPr>
        <w:t>5</w:t>
      </w:r>
      <w:r w:rsidR="00684B26" w:rsidRPr="00CE39FB">
        <w:rPr>
          <w:noProof/>
        </w:rPr>
        <w:t xml:space="preserve">. </w:t>
      </w:r>
      <w:r w:rsidR="00533351" w:rsidRPr="00CE39FB">
        <w:rPr>
          <w:noProof/>
        </w:rPr>
        <w:t>Prior to receiving any support from the EU Cybersecurity Reserve, third countries shall provide to the Commission</w:t>
      </w:r>
      <w:r w:rsidR="003A66A0" w:rsidRPr="00CE39FB">
        <w:rPr>
          <w:noProof/>
        </w:rPr>
        <w:t xml:space="preserve"> and the High Representative</w:t>
      </w:r>
      <w:r w:rsidR="00533351" w:rsidRPr="00CE39FB">
        <w:rPr>
          <w:noProof/>
        </w:rPr>
        <w:t xml:space="preserve"> information about their cyber resilience and risk management capabilities, including at least information on national measures taken to prepare for significant or large-scale cybersecurity incidents, as well as information on responsible national entities, including CSIRTs or equivalent entities, their capabilities and the resources allocated to them.  Where provisions of Articles 13 and 14 of this Regulation refer to Member States, they shall apply to third countries as </w:t>
      </w:r>
      <w:r w:rsidR="00FF2DD8" w:rsidRPr="00CE39FB">
        <w:rPr>
          <w:noProof/>
        </w:rPr>
        <w:t xml:space="preserve">set out </w:t>
      </w:r>
      <w:r w:rsidR="00533351" w:rsidRPr="00CE39FB">
        <w:rPr>
          <w:noProof/>
        </w:rPr>
        <w:t>in paragraph 1.</w:t>
      </w:r>
    </w:p>
    <w:p w14:paraId="54770ABC" w14:textId="27ACCAAB" w:rsidR="00533351" w:rsidRPr="00CE39FB" w:rsidRDefault="008F40ED" w:rsidP="00684B26">
      <w:pPr>
        <w:spacing w:after="0"/>
        <w:rPr>
          <w:noProof/>
        </w:rPr>
      </w:pPr>
      <w:r w:rsidRPr="00CE39FB">
        <w:rPr>
          <w:noProof/>
        </w:rPr>
        <w:t>6</w:t>
      </w:r>
      <w:r w:rsidR="00684B26" w:rsidRPr="00CE39FB">
        <w:rPr>
          <w:noProof/>
        </w:rPr>
        <w:t xml:space="preserve">. </w:t>
      </w:r>
      <w:r w:rsidR="00533351" w:rsidRPr="00CE39FB">
        <w:rPr>
          <w:noProof/>
        </w:rPr>
        <w:t xml:space="preserve">The Commission shall </w:t>
      </w:r>
      <w:r w:rsidR="00AF2FC2">
        <w:rPr>
          <w:noProof/>
        </w:rPr>
        <w:t>coordinate with</w:t>
      </w:r>
      <w:r w:rsidR="00533351" w:rsidRPr="00CE39FB">
        <w:rPr>
          <w:noProof/>
        </w:rPr>
        <w:t xml:space="preserve"> the High Representative about the requests </w:t>
      </w:r>
      <w:r w:rsidR="00FF2DD8" w:rsidRPr="00CE39FB">
        <w:rPr>
          <w:noProof/>
        </w:rPr>
        <w:t xml:space="preserve">received </w:t>
      </w:r>
      <w:r w:rsidR="00533351" w:rsidRPr="00CE39FB">
        <w:rPr>
          <w:noProof/>
        </w:rPr>
        <w:t xml:space="preserve">and the </w:t>
      </w:r>
      <w:r w:rsidR="4A0B32A7" w:rsidRPr="00CE39FB">
        <w:rPr>
          <w:noProof/>
        </w:rPr>
        <w:t xml:space="preserve">implementation of the </w:t>
      </w:r>
      <w:r w:rsidR="00533351" w:rsidRPr="00CE39FB">
        <w:rPr>
          <w:noProof/>
        </w:rPr>
        <w:t>support granted to third countries from the EU Cybersecurity Reserve.</w:t>
      </w:r>
    </w:p>
    <w:p w14:paraId="75E3A8E2" w14:textId="77777777" w:rsidR="00E757C9" w:rsidRPr="001F39DB" w:rsidRDefault="00E757C9" w:rsidP="00E757C9">
      <w:pPr>
        <w:pStyle w:val="Titrearticle"/>
        <w:rPr>
          <w:b/>
          <w:bCs/>
          <w:noProof/>
          <w:szCs w:val="24"/>
        </w:rPr>
      </w:pPr>
      <w:r w:rsidRPr="001F39DB">
        <w:rPr>
          <w:b/>
          <w:bCs/>
          <w:noProof/>
          <w:szCs w:val="24"/>
        </w:rPr>
        <w:t>Chapter IV</w:t>
      </w:r>
    </w:p>
    <w:p w14:paraId="39D2D718" w14:textId="77777777" w:rsidR="00E757C9" w:rsidRPr="00E62AD9" w:rsidRDefault="00D46999" w:rsidP="008D6611">
      <w:pPr>
        <w:pStyle w:val="Titrearticle"/>
        <w:rPr>
          <w:b/>
          <w:bCs/>
          <w:noProof/>
        </w:rPr>
      </w:pPr>
      <w:r>
        <w:rPr>
          <w:b/>
          <w:bCs/>
          <w:noProof/>
          <w:szCs w:val="24"/>
        </w:rPr>
        <w:t>CYBERSECURITY INCIDENT REVIEW MECHANISM</w:t>
      </w:r>
    </w:p>
    <w:p w14:paraId="68928A42" w14:textId="77777777" w:rsidR="00533351" w:rsidRPr="00CE39FB" w:rsidRDefault="00533351" w:rsidP="00A2646D">
      <w:pPr>
        <w:pStyle w:val="Titrearticle"/>
        <w:rPr>
          <w:noProof/>
          <w:szCs w:val="24"/>
        </w:rPr>
      </w:pPr>
      <w:r w:rsidRPr="00CE39FB">
        <w:rPr>
          <w:noProof/>
          <w:szCs w:val="24"/>
        </w:rPr>
        <w:t>Article 18</w:t>
      </w:r>
    </w:p>
    <w:p w14:paraId="58CEFE4F" w14:textId="77777777" w:rsidR="00533351" w:rsidRPr="00CE39FB" w:rsidRDefault="000E5602" w:rsidP="00533351">
      <w:pPr>
        <w:spacing w:after="240"/>
        <w:jc w:val="center"/>
        <w:rPr>
          <w:rStyle w:val="normaltextrun"/>
          <w:rFonts w:eastAsia="Times New Roman"/>
          <w:b/>
          <w:bCs/>
          <w:noProof/>
          <w:szCs w:val="24"/>
        </w:rPr>
      </w:pPr>
      <w:r w:rsidRPr="00CE39FB">
        <w:rPr>
          <w:rStyle w:val="normaltextrun"/>
          <w:rFonts w:eastAsia="Times New Roman"/>
          <w:b/>
          <w:bCs/>
          <w:noProof/>
          <w:szCs w:val="24"/>
        </w:rPr>
        <w:t xml:space="preserve">Cybersecurity </w:t>
      </w:r>
      <w:r w:rsidR="00533351" w:rsidRPr="00CE39FB">
        <w:rPr>
          <w:rStyle w:val="normaltextrun"/>
          <w:rFonts w:eastAsia="Times New Roman"/>
          <w:b/>
          <w:bCs/>
          <w:noProof/>
          <w:szCs w:val="24"/>
        </w:rPr>
        <w:t xml:space="preserve">Incident Review </w:t>
      </w:r>
      <w:r w:rsidR="0047310D" w:rsidRPr="00CE39FB">
        <w:rPr>
          <w:rStyle w:val="normaltextrun"/>
          <w:rFonts w:eastAsia="Times New Roman"/>
          <w:b/>
          <w:bCs/>
          <w:noProof/>
          <w:szCs w:val="24"/>
        </w:rPr>
        <w:t>Mechanism</w:t>
      </w:r>
    </w:p>
    <w:p w14:paraId="17FF11F7" w14:textId="461A3C2D" w:rsidR="00533351" w:rsidRPr="00CE39FB" w:rsidRDefault="00684B26" w:rsidP="00684B26">
      <w:pPr>
        <w:spacing w:after="0"/>
        <w:rPr>
          <w:noProof/>
        </w:rPr>
      </w:pPr>
      <w:r w:rsidRPr="00CE39FB">
        <w:rPr>
          <w:noProof/>
        </w:rPr>
        <w:t xml:space="preserve">1. </w:t>
      </w:r>
      <w:r w:rsidR="00533351" w:rsidRPr="00CE39FB">
        <w:rPr>
          <w:noProof/>
        </w:rPr>
        <w:t xml:space="preserve">At the request of the Commission, the EU-CyCLONe or the CSIRTs network, ENISA shall review and assess threats, vulnerabilities and mitigation actions with respect to a specific significant or large-scale cybersecurity incident. </w:t>
      </w:r>
      <w:r w:rsidR="00B51149" w:rsidRPr="00CE39FB">
        <w:rPr>
          <w:noProof/>
        </w:rPr>
        <w:t xml:space="preserve">Following the completion of a review and assessment of an incident, ENISA </w:t>
      </w:r>
      <w:r w:rsidR="00533351" w:rsidRPr="00CE39FB">
        <w:rPr>
          <w:noProof/>
        </w:rPr>
        <w:t xml:space="preserve">shall </w:t>
      </w:r>
      <w:r w:rsidR="00B51149" w:rsidRPr="00CE39FB">
        <w:rPr>
          <w:noProof/>
        </w:rPr>
        <w:t>deliver an incident review report</w:t>
      </w:r>
      <w:r w:rsidR="00533351" w:rsidRPr="00CE39FB">
        <w:rPr>
          <w:noProof/>
        </w:rPr>
        <w:t xml:space="preserve"> to the CSIRTs network,</w:t>
      </w:r>
      <w:r w:rsidR="00E35F25" w:rsidRPr="00CE39FB">
        <w:rPr>
          <w:noProof/>
        </w:rPr>
        <w:t xml:space="preserve"> </w:t>
      </w:r>
      <w:r w:rsidR="004C2C88" w:rsidRPr="00CE39FB">
        <w:rPr>
          <w:noProof/>
        </w:rPr>
        <w:t xml:space="preserve">the </w:t>
      </w:r>
      <w:r w:rsidR="00533351" w:rsidRPr="00CE39FB">
        <w:rPr>
          <w:noProof/>
        </w:rPr>
        <w:t>EU-CyCLONe and the Commission to support them in carrying out their tasks</w:t>
      </w:r>
      <w:r w:rsidR="00A26F1D" w:rsidRPr="00CE39FB">
        <w:rPr>
          <w:noProof/>
        </w:rPr>
        <w:t>, in particular in view of those set out</w:t>
      </w:r>
      <w:r w:rsidR="00682107" w:rsidRPr="00CE39FB">
        <w:rPr>
          <w:noProof/>
        </w:rPr>
        <w:t xml:space="preserve"> </w:t>
      </w:r>
      <w:r w:rsidR="00D819AF" w:rsidRPr="00CE39FB">
        <w:rPr>
          <w:noProof/>
        </w:rPr>
        <w:t>in</w:t>
      </w:r>
      <w:r w:rsidR="00533351" w:rsidRPr="00CE39FB">
        <w:rPr>
          <w:noProof/>
        </w:rPr>
        <w:t xml:space="preserve"> Articles 15 and 16 of Directive (EU)</w:t>
      </w:r>
      <w:r w:rsidR="006D78D2">
        <w:rPr>
          <w:noProof/>
        </w:rPr>
        <w:t xml:space="preserve"> </w:t>
      </w:r>
      <w:r w:rsidR="00533351" w:rsidRPr="00CE39FB">
        <w:rPr>
          <w:noProof/>
        </w:rPr>
        <w:t>2022/2555.</w:t>
      </w:r>
      <w:r w:rsidR="00AF2FC2" w:rsidRPr="00AF2FC2">
        <w:rPr>
          <w:noProof/>
        </w:rPr>
        <w:t xml:space="preserve"> Where relevant, the</w:t>
      </w:r>
      <w:r w:rsidR="00211973">
        <w:rPr>
          <w:noProof/>
        </w:rPr>
        <w:t xml:space="preserve"> Commission</w:t>
      </w:r>
      <w:r w:rsidR="00AF2FC2" w:rsidRPr="00AF2FC2">
        <w:rPr>
          <w:noProof/>
        </w:rPr>
        <w:t xml:space="preserve"> shall share</w:t>
      </w:r>
      <w:r w:rsidR="00211973">
        <w:rPr>
          <w:noProof/>
        </w:rPr>
        <w:t xml:space="preserve"> the report</w:t>
      </w:r>
      <w:r w:rsidR="00AF2FC2" w:rsidRPr="00AF2FC2">
        <w:rPr>
          <w:noProof/>
        </w:rPr>
        <w:t xml:space="preserve"> with the High Representative.</w:t>
      </w:r>
    </w:p>
    <w:p w14:paraId="2F60EE79" w14:textId="5E5D4B7F" w:rsidR="00533351" w:rsidRPr="00CE39FB" w:rsidRDefault="00684B26" w:rsidP="00684B26">
      <w:pPr>
        <w:spacing w:after="0"/>
        <w:rPr>
          <w:noProof/>
        </w:rPr>
      </w:pPr>
      <w:r w:rsidRPr="00CE39FB">
        <w:rPr>
          <w:noProof/>
        </w:rPr>
        <w:t xml:space="preserve">2. </w:t>
      </w:r>
      <w:r w:rsidR="00533351" w:rsidRPr="00CE39FB">
        <w:rPr>
          <w:noProof/>
        </w:rPr>
        <w:t xml:space="preserve">To prepare the incident review report referred to in paragraph 1, ENISA shall </w:t>
      </w:r>
      <w:r w:rsidR="00B51149" w:rsidRPr="00CE39FB">
        <w:rPr>
          <w:noProof/>
        </w:rPr>
        <w:t xml:space="preserve">collaborate </w:t>
      </w:r>
      <w:r w:rsidR="00533351" w:rsidRPr="00CE39FB">
        <w:rPr>
          <w:noProof/>
        </w:rPr>
        <w:t>all relevant stakeholders, including representatives of Member States, the Commission</w:t>
      </w:r>
      <w:r w:rsidR="001A5210" w:rsidRPr="00CE39FB">
        <w:rPr>
          <w:noProof/>
        </w:rPr>
        <w:t>,</w:t>
      </w:r>
      <w:r w:rsidR="00AF2FC2" w:rsidRPr="00AF2FC2">
        <w:rPr>
          <w:noProof/>
        </w:rPr>
        <w:t xml:space="preserve"> other relevant EU institutions, bodies and agencies</w:t>
      </w:r>
      <w:r w:rsidR="00AF2FC2">
        <w:rPr>
          <w:noProof/>
        </w:rPr>
        <w:t>,</w:t>
      </w:r>
      <w:r w:rsidR="00533351" w:rsidRPr="00CE39FB">
        <w:rPr>
          <w:noProof/>
        </w:rPr>
        <w:t xml:space="preserve"> managed security services providers and users of cybersecurity services. Where appropriate, ENISA shall also </w:t>
      </w:r>
      <w:r w:rsidR="00B51149" w:rsidRPr="00CE39FB">
        <w:rPr>
          <w:noProof/>
        </w:rPr>
        <w:t xml:space="preserve">collaborate with </w:t>
      </w:r>
      <w:r w:rsidR="00533351" w:rsidRPr="00CE39FB">
        <w:rPr>
          <w:noProof/>
        </w:rPr>
        <w:t>entities affected by significant or large-scale cybersecurity incidents. To support the review, ENISA may also consult other types of stakeholders. Consulted representatives shall disclose any potential conflict of interest.</w:t>
      </w:r>
    </w:p>
    <w:p w14:paraId="34A96536" w14:textId="1AC06B9F" w:rsidR="00533351" w:rsidRPr="00CE39FB" w:rsidRDefault="00684B26" w:rsidP="00323DF9">
      <w:pPr>
        <w:spacing w:after="0"/>
        <w:rPr>
          <w:noProof/>
        </w:rPr>
      </w:pPr>
      <w:bookmarkStart w:id="12" w:name="_Hlk131675085"/>
      <w:r w:rsidRPr="00CE39FB">
        <w:rPr>
          <w:noProof/>
        </w:rPr>
        <w:t xml:space="preserve">3. </w:t>
      </w:r>
      <w:r w:rsidR="00533351" w:rsidRPr="00CE39FB">
        <w:rPr>
          <w:noProof/>
        </w:rPr>
        <w:t>The report shall cover a review and analysis of the specific significant or large-scale cybersecurity incident, including the main causes, vulnerabilities</w:t>
      </w:r>
      <w:r w:rsidR="007234F8">
        <w:rPr>
          <w:noProof/>
        </w:rPr>
        <w:t xml:space="preserve"> and</w:t>
      </w:r>
      <w:r w:rsidR="00533351" w:rsidRPr="00CE39FB">
        <w:rPr>
          <w:noProof/>
        </w:rPr>
        <w:t xml:space="preserve"> lessons learn</w:t>
      </w:r>
      <w:r w:rsidR="007234F8">
        <w:rPr>
          <w:noProof/>
        </w:rPr>
        <w:t>ed</w:t>
      </w:r>
      <w:r w:rsidR="00533351" w:rsidRPr="00CE39FB">
        <w:rPr>
          <w:noProof/>
        </w:rPr>
        <w:t xml:space="preserve">. It shall protect </w:t>
      </w:r>
      <w:r w:rsidR="00EA5456">
        <w:rPr>
          <w:noProof/>
        </w:rPr>
        <w:t>confidential</w:t>
      </w:r>
      <w:r w:rsidR="00533351" w:rsidRPr="00CE39FB">
        <w:rPr>
          <w:noProof/>
        </w:rPr>
        <w:t xml:space="preserve"> information, </w:t>
      </w:r>
      <w:r w:rsidR="00323DF9" w:rsidRPr="00CE39FB">
        <w:rPr>
          <w:noProof/>
        </w:rPr>
        <w:t xml:space="preserve">in accordance with Union or national law concerning the protection of </w:t>
      </w:r>
      <w:r w:rsidR="00EA5456">
        <w:rPr>
          <w:noProof/>
        </w:rPr>
        <w:t>sensitive</w:t>
      </w:r>
      <w:r w:rsidR="00EA5456" w:rsidRPr="00CE39FB">
        <w:rPr>
          <w:noProof/>
        </w:rPr>
        <w:t xml:space="preserve"> </w:t>
      </w:r>
      <w:r w:rsidR="00323DF9" w:rsidRPr="00CE39FB">
        <w:rPr>
          <w:noProof/>
        </w:rPr>
        <w:t>or classified information</w:t>
      </w:r>
      <w:bookmarkEnd w:id="12"/>
      <w:r w:rsidR="00533351" w:rsidRPr="00CE39FB">
        <w:rPr>
          <w:noProof/>
        </w:rPr>
        <w:t xml:space="preserve">. </w:t>
      </w:r>
    </w:p>
    <w:p w14:paraId="619C8682" w14:textId="77777777" w:rsidR="00E757C9" w:rsidRPr="00CE39FB" w:rsidRDefault="00684B26" w:rsidP="00684B26">
      <w:pPr>
        <w:spacing w:after="0"/>
        <w:rPr>
          <w:noProof/>
        </w:rPr>
      </w:pPr>
      <w:r w:rsidRPr="00CE39FB">
        <w:rPr>
          <w:noProof/>
        </w:rPr>
        <w:t>4.</w:t>
      </w:r>
      <w:r w:rsidR="00E757C9" w:rsidRPr="00CE39FB">
        <w:rPr>
          <w:noProof/>
        </w:rPr>
        <w:t xml:space="preserve"> Where appropriate, the report shall draw recommendations to improve the Union’s cyber posture.</w:t>
      </w:r>
    </w:p>
    <w:p w14:paraId="4CE1046A" w14:textId="77777777" w:rsidR="00533351" w:rsidRPr="00CE39FB" w:rsidRDefault="00E757C9" w:rsidP="00684B26">
      <w:pPr>
        <w:spacing w:after="0"/>
        <w:rPr>
          <w:noProof/>
        </w:rPr>
      </w:pPr>
      <w:r w:rsidRPr="00CE39FB">
        <w:rPr>
          <w:noProof/>
        </w:rPr>
        <w:t>5.</w:t>
      </w:r>
      <w:r w:rsidR="00684B26" w:rsidRPr="00CE39FB">
        <w:rPr>
          <w:noProof/>
        </w:rPr>
        <w:t xml:space="preserve"> </w:t>
      </w:r>
      <w:r w:rsidR="00533351" w:rsidRPr="00CE39FB">
        <w:rPr>
          <w:noProof/>
        </w:rPr>
        <w:t xml:space="preserve">Where possible, a version of the report </w:t>
      </w:r>
      <w:r w:rsidR="00A02FB7" w:rsidRPr="00CE39FB">
        <w:rPr>
          <w:noProof/>
        </w:rPr>
        <w:t xml:space="preserve">shall </w:t>
      </w:r>
      <w:r w:rsidR="00533351" w:rsidRPr="00CE39FB">
        <w:rPr>
          <w:noProof/>
        </w:rPr>
        <w:t xml:space="preserve">be made available publicly. This version shall only include public information. </w:t>
      </w:r>
    </w:p>
    <w:p w14:paraId="6F733284" w14:textId="77777777" w:rsidR="00533351" w:rsidRPr="00CE39FB" w:rsidRDefault="00533351" w:rsidP="00533351">
      <w:pPr>
        <w:rPr>
          <w:noProof/>
          <w:szCs w:val="24"/>
          <w:lang w:val="en-US"/>
        </w:rPr>
      </w:pPr>
    </w:p>
    <w:p w14:paraId="3165F441" w14:textId="77777777" w:rsidR="00533351" w:rsidRPr="008D6611" w:rsidRDefault="00533351" w:rsidP="00A2646D">
      <w:pPr>
        <w:pStyle w:val="Titrearticle"/>
        <w:rPr>
          <w:b/>
          <w:noProof/>
        </w:rPr>
      </w:pPr>
      <w:r w:rsidRPr="008D6611">
        <w:rPr>
          <w:b/>
          <w:noProof/>
        </w:rPr>
        <w:t xml:space="preserve">Chapter </w:t>
      </w:r>
      <w:r w:rsidRPr="001F39DB">
        <w:rPr>
          <w:b/>
          <w:bCs/>
          <w:noProof/>
          <w:szCs w:val="24"/>
        </w:rPr>
        <w:t>V</w:t>
      </w:r>
    </w:p>
    <w:p w14:paraId="2F5836A9" w14:textId="77777777" w:rsidR="00533351" w:rsidRPr="008D6611" w:rsidRDefault="00533351" w:rsidP="00A2646D">
      <w:pPr>
        <w:pStyle w:val="Titrearticle"/>
        <w:rPr>
          <w:b/>
          <w:noProof/>
        </w:rPr>
      </w:pPr>
      <w:r w:rsidRPr="008D6611">
        <w:rPr>
          <w:b/>
          <w:noProof/>
        </w:rPr>
        <w:t>FINAL PROVISIONS</w:t>
      </w:r>
    </w:p>
    <w:p w14:paraId="6635AB16" w14:textId="77777777" w:rsidR="00533351" w:rsidRPr="00CE39FB" w:rsidRDefault="00533351" w:rsidP="00A2646D">
      <w:pPr>
        <w:pStyle w:val="Titrearticle"/>
        <w:rPr>
          <w:noProof/>
          <w:szCs w:val="24"/>
        </w:rPr>
      </w:pPr>
      <w:r w:rsidRPr="00CE39FB">
        <w:rPr>
          <w:noProof/>
          <w:szCs w:val="24"/>
        </w:rPr>
        <w:t>Article 19</w:t>
      </w:r>
    </w:p>
    <w:p w14:paraId="33F165F3" w14:textId="77777777" w:rsidR="00533351" w:rsidRPr="00CE39FB" w:rsidRDefault="00533351" w:rsidP="00533351">
      <w:pPr>
        <w:spacing w:after="0"/>
        <w:jc w:val="center"/>
        <w:textAlignment w:val="baseline"/>
        <w:rPr>
          <w:rFonts w:eastAsia="Times New Roman"/>
          <w:b/>
          <w:bCs/>
          <w:noProof/>
          <w:szCs w:val="24"/>
        </w:rPr>
      </w:pPr>
      <w:r w:rsidRPr="008D6611">
        <w:rPr>
          <w:b/>
          <w:noProof/>
        </w:rPr>
        <w:t xml:space="preserve">Amendments to Regulation (EU) 2021/694 </w:t>
      </w:r>
    </w:p>
    <w:p w14:paraId="4EE0F7E3" w14:textId="77777777" w:rsidR="00533351" w:rsidRPr="00CE39FB" w:rsidRDefault="00533351" w:rsidP="00533351">
      <w:pPr>
        <w:spacing w:after="0"/>
        <w:jc w:val="center"/>
        <w:textAlignment w:val="baseline"/>
        <w:rPr>
          <w:rFonts w:eastAsia="Times New Roman"/>
          <w:b/>
          <w:bCs/>
          <w:noProof/>
          <w:szCs w:val="24"/>
        </w:rPr>
      </w:pPr>
    </w:p>
    <w:p w14:paraId="2792ACC9" w14:textId="77777777" w:rsidR="00533351" w:rsidRPr="008D6611" w:rsidRDefault="004E1ED1" w:rsidP="008D6611">
      <w:pPr>
        <w:spacing w:after="240"/>
        <w:rPr>
          <w:noProof/>
        </w:rPr>
      </w:pPr>
      <w:r w:rsidRPr="00CE39FB">
        <w:rPr>
          <w:rFonts w:eastAsia="Times New Roman"/>
          <w:noProof/>
          <w:szCs w:val="24"/>
        </w:rPr>
        <w:t>Regulation</w:t>
      </w:r>
      <w:r w:rsidRPr="008D6611">
        <w:rPr>
          <w:noProof/>
        </w:rPr>
        <w:t xml:space="preserve"> (EU) </w:t>
      </w:r>
      <w:r w:rsidRPr="00CE39FB">
        <w:rPr>
          <w:rFonts w:eastAsia="Times New Roman"/>
          <w:noProof/>
          <w:szCs w:val="24"/>
        </w:rPr>
        <w:t>2021/694 is amended as follows:</w:t>
      </w:r>
    </w:p>
    <w:p w14:paraId="40FB7562" w14:textId="638F924F" w:rsidR="00533351" w:rsidRPr="00CE39FB" w:rsidRDefault="007B0110" w:rsidP="007B0110">
      <w:pPr>
        <w:pStyle w:val="Point0"/>
        <w:rPr>
          <w:noProof/>
        </w:rPr>
      </w:pPr>
      <w:r w:rsidRPr="007B0110">
        <w:rPr>
          <w:noProof/>
        </w:rPr>
        <w:t>(1)</w:t>
      </w:r>
      <w:r w:rsidRPr="007B0110">
        <w:rPr>
          <w:noProof/>
        </w:rPr>
        <w:tab/>
      </w:r>
      <w:r w:rsidR="00533351" w:rsidRPr="00CE39FB">
        <w:rPr>
          <w:noProof/>
        </w:rPr>
        <w:t>Article 6 is amended as follows:</w:t>
      </w:r>
    </w:p>
    <w:p w14:paraId="09D30CB1" w14:textId="77777777" w:rsidR="00533351" w:rsidRPr="008D6611" w:rsidRDefault="00533351" w:rsidP="00533351">
      <w:pPr>
        <w:pStyle w:val="ListParagraph"/>
        <w:spacing w:after="240"/>
        <w:jc w:val="both"/>
        <w:rPr>
          <w:rFonts w:ascii="Times New Roman" w:hAnsi="Times New Roman"/>
          <w:noProof/>
          <w:sz w:val="24"/>
        </w:rPr>
      </w:pPr>
    </w:p>
    <w:p w14:paraId="009A9ED9" w14:textId="39894E5A" w:rsidR="004E1ED1" w:rsidRPr="00CE39FB" w:rsidRDefault="007B0110" w:rsidP="007B0110">
      <w:pPr>
        <w:pStyle w:val="Point0"/>
        <w:rPr>
          <w:noProof/>
        </w:rPr>
      </w:pPr>
      <w:r w:rsidRPr="007B0110">
        <w:rPr>
          <w:noProof/>
        </w:rPr>
        <w:t>(a)</w:t>
      </w:r>
      <w:r w:rsidRPr="007B0110">
        <w:rPr>
          <w:noProof/>
        </w:rPr>
        <w:tab/>
      </w:r>
      <w:r w:rsidR="00533351" w:rsidRPr="00CE39FB">
        <w:rPr>
          <w:noProof/>
        </w:rPr>
        <w:t>paragraph 1</w:t>
      </w:r>
      <w:r w:rsidR="004E1ED1" w:rsidRPr="00CE39FB">
        <w:rPr>
          <w:noProof/>
        </w:rPr>
        <w:t xml:space="preserve"> is amended as follows:</w:t>
      </w:r>
    </w:p>
    <w:p w14:paraId="46CC9551" w14:textId="6357C765" w:rsidR="00533351" w:rsidRPr="00CE39FB" w:rsidRDefault="007B0110" w:rsidP="007B0110">
      <w:pPr>
        <w:pStyle w:val="Point0"/>
        <w:rPr>
          <w:noProof/>
        </w:rPr>
      </w:pPr>
      <w:r w:rsidRPr="007B0110">
        <w:rPr>
          <w:noProof/>
        </w:rPr>
        <w:t>(1)</w:t>
      </w:r>
      <w:r w:rsidRPr="007B0110">
        <w:rPr>
          <w:noProof/>
        </w:rPr>
        <w:tab/>
      </w:r>
      <w:r w:rsidR="00533351" w:rsidRPr="00CE39FB">
        <w:rPr>
          <w:noProof/>
        </w:rPr>
        <w:t xml:space="preserve">the following point (aa) </w:t>
      </w:r>
      <w:r w:rsidR="004E1ED1" w:rsidRPr="00CE39FB">
        <w:rPr>
          <w:noProof/>
        </w:rPr>
        <w:t>is inserted</w:t>
      </w:r>
      <w:r w:rsidR="00533351" w:rsidRPr="00CE39FB">
        <w:rPr>
          <w:noProof/>
        </w:rPr>
        <w:t xml:space="preserve">: </w:t>
      </w:r>
    </w:p>
    <w:p w14:paraId="31891DE4" w14:textId="77777777" w:rsidR="00533351" w:rsidRPr="008D6611" w:rsidRDefault="00533351" w:rsidP="00533351">
      <w:pPr>
        <w:pStyle w:val="ListParagraph"/>
        <w:spacing w:after="0"/>
        <w:textAlignment w:val="baseline"/>
        <w:rPr>
          <w:rFonts w:ascii="Times New Roman" w:hAnsi="Times New Roman"/>
          <w:noProof/>
          <w:sz w:val="24"/>
        </w:rPr>
      </w:pPr>
    </w:p>
    <w:p w14:paraId="744C947C" w14:textId="77777777" w:rsidR="004E1ED1" w:rsidRPr="008D6611" w:rsidRDefault="00533351" w:rsidP="00533351">
      <w:pPr>
        <w:spacing w:after="0"/>
        <w:ind w:left="360"/>
        <w:textAlignment w:val="baseline"/>
        <w:rPr>
          <w:noProof/>
        </w:rPr>
      </w:pPr>
      <w:r w:rsidRPr="008D6611">
        <w:rPr>
          <w:noProof/>
        </w:rPr>
        <w:t xml:space="preserve"> ‘(aa) </w:t>
      </w:r>
      <w:r w:rsidR="004E1ED1" w:rsidRPr="00CE39FB">
        <w:rPr>
          <w:rFonts w:eastAsia="Times New Roman"/>
          <w:noProof/>
          <w:szCs w:val="24"/>
        </w:rPr>
        <w:t>s</w:t>
      </w:r>
      <w:r w:rsidRPr="00CE39FB">
        <w:rPr>
          <w:rFonts w:eastAsia="Times New Roman"/>
          <w:noProof/>
          <w:szCs w:val="24"/>
        </w:rPr>
        <w:t>upport</w:t>
      </w:r>
      <w:r w:rsidRPr="008D6611">
        <w:rPr>
          <w:noProof/>
        </w:rPr>
        <w:t xml:space="preserve"> the development of an EU Cyber Shield, including the development, deployment and operation of National and Cross-border SOCs platforms that contribute to situational awareness</w:t>
      </w:r>
      <w:r w:rsidR="00AD1EC8" w:rsidRPr="008D6611">
        <w:rPr>
          <w:noProof/>
        </w:rPr>
        <w:t xml:space="preserve"> </w:t>
      </w:r>
      <w:r w:rsidR="00AD1EC8" w:rsidRPr="00CE39FB">
        <w:rPr>
          <w:rFonts w:eastAsia="Times New Roman"/>
          <w:noProof/>
          <w:szCs w:val="24"/>
        </w:rPr>
        <w:t>in the Union</w:t>
      </w:r>
      <w:r w:rsidR="001F39DB">
        <w:rPr>
          <w:rFonts w:eastAsia="Times New Roman"/>
          <w:noProof/>
          <w:szCs w:val="24"/>
        </w:rPr>
        <w:t xml:space="preserve"> </w:t>
      </w:r>
      <w:r w:rsidRPr="008D6611">
        <w:rPr>
          <w:noProof/>
        </w:rPr>
        <w:t xml:space="preserve">and to </w:t>
      </w:r>
      <w:r w:rsidRPr="00CE39FB">
        <w:rPr>
          <w:rFonts w:eastAsia="Times New Roman"/>
          <w:noProof/>
          <w:szCs w:val="24"/>
        </w:rPr>
        <w:t>enhanc</w:t>
      </w:r>
      <w:r w:rsidR="004E1ED1" w:rsidRPr="00CE39FB">
        <w:rPr>
          <w:rFonts w:eastAsia="Times New Roman"/>
          <w:noProof/>
          <w:szCs w:val="24"/>
        </w:rPr>
        <w:t>ing the</w:t>
      </w:r>
      <w:r w:rsidRPr="008D6611">
        <w:rPr>
          <w:noProof/>
        </w:rPr>
        <w:t xml:space="preserve"> cyber threat intelligence capacities of the Union’</w:t>
      </w:r>
      <w:r w:rsidR="004E1ED1" w:rsidRPr="00CE39FB">
        <w:rPr>
          <w:rFonts w:eastAsia="Times New Roman"/>
          <w:noProof/>
          <w:szCs w:val="24"/>
        </w:rPr>
        <w:t>;</w:t>
      </w:r>
    </w:p>
    <w:p w14:paraId="38E93F06" w14:textId="2B5B299A" w:rsidR="00533351" w:rsidRPr="00CE39FB" w:rsidRDefault="007B0110" w:rsidP="007B0110">
      <w:pPr>
        <w:pStyle w:val="Point0"/>
        <w:rPr>
          <w:noProof/>
        </w:rPr>
      </w:pPr>
      <w:r w:rsidRPr="007B0110">
        <w:rPr>
          <w:noProof/>
        </w:rPr>
        <w:t>(2)</w:t>
      </w:r>
      <w:r w:rsidRPr="007B0110">
        <w:rPr>
          <w:noProof/>
        </w:rPr>
        <w:tab/>
      </w:r>
      <w:r w:rsidR="004E1ED1" w:rsidRPr="00CE39FB">
        <w:rPr>
          <w:noProof/>
        </w:rPr>
        <w:t>the following point (g) is added:</w:t>
      </w:r>
    </w:p>
    <w:p w14:paraId="6723AB42" w14:textId="77777777" w:rsidR="004E1ED1" w:rsidRPr="00CE39FB" w:rsidRDefault="004E1ED1" w:rsidP="000811A5">
      <w:pPr>
        <w:pStyle w:val="ListParagraph"/>
        <w:spacing w:after="0"/>
        <w:ind w:left="1570"/>
        <w:textAlignment w:val="baseline"/>
        <w:rPr>
          <w:noProof/>
        </w:rPr>
      </w:pPr>
    </w:p>
    <w:p w14:paraId="5E6DFA43" w14:textId="77777777" w:rsidR="00533351" w:rsidRPr="008D6611" w:rsidRDefault="00533351" w:rsidP="00533351">
      <w:pPr>
        <w:spacing w:after="0"/>
        <w:ind w:left="360"/>
        <w:textAlignment w:val="baseline"/>
        <w:rPr>
          <w:noProof/>
        </w:rPr>
      </w:pPr>
      <w:r w:rsidRPr="00CE39FB">
        <w:rPr>
          <w:rFonts w:eastAsia="Times New Roman"/>
          <w:noProof/>
          <w:szCs w:val="24"/>
        </w:rPr>
        <w:t xml:space="preserve">‘(g) </w:t>
      </w:r>
      <w:r w:rsidR="004E1ED1" w:rsidRPr="00CE39FB">
        <w:rPr>
          <w:rFonts w:eastAsia="Times New Roman"/>
          <w:noProof/>
          <w:szCs w:val="24"/>
        </w:rPr>
        <w:t>e</w:t>
      </w:r>
      <w:r w:rsidRPr="00CE39FB">
        <w:rPr>
          <w:rFonts w:eastAsia="Times New Roman"/>
          <w:noProof/>
          <w:szCs w:val="24"/>
        </w:rPr>
        <w:t>stablish</w:t>
      </w:r>
      <w:r w:rsidRPr="008D6611">
        <w:rPr>
          <w:noProof/>
        </w:rPr>
        <w:t xml:space="preserve"> and operate a Cyber Emergency Mechanism to support Member States in preparing for and responding to significant cybersecurity incidents, complementary to national resources and capabilities and other forms of support available at Union level, including the establishment of an EU Cybersecurity Reserve’</w:t>
      </w:r>
      <w:r w:rsidR="004E1ED1" w:rsidRPr="00CE39FB">
        <w:rPr>
          <w:rFonts w:eastAsia="Times New Roman"/>
          <w:noProof/>
          <w:szCs w:val="24"/>
        </w:rPr>
        <w:t>;</w:t>
      </w:r>
    </w:p>
    <w:p w14:paraId="3C26BCC6" w14:textId="77777777" w:rsidR="00533351" w:rsidRPr="008D6611" w:rsidRDefault="00533351" w:rsidP="00533351">
      <w:pPr>
        <w:spacing w:after="0"/>
        <w:ind w:left="360"/>
        <w:rPr>
          <w:noProof/>
        </w:rPr>
      </w:pPr>
    </w:p>
    <w:p w14:paraId="3524C901" w14:textId="7DFB438B" w:rsidR="00533351" w:rsidRPr="00CE39FB" w:rsidRDefault="007B0110" w:rsidP="007B0110">
      <w:pPr>
        <w:pStyle w:val="Point0"/>
        <w:rPr>
          <w:noProof/>
        </w:rPr>
      </w:pPr>
      <w:r w:rsidRPr="007B0110">
        <w:rPr>
          <w:noProof/>
        </w:rPr>
        <w:t>(a)</w:t>
      </w:r>
      <w:r w:rsidRPr="007B0110">
        <w:rPr>
          <w:noProof/>
        </w:rPr>
        <w:tab/>
      </w:r>
      <w:r w:rsidR="00533351" w:rsidRPr="00CE39FB">
        <w:rPr>
          <w:noProof/>
        </w:rPr>
        <w:t>Paragraph 2 is replaced by the following:</w:t>
      </w:r>
    </w:p>
    <w:p w14:paraId="5F3FF35E" w14:textId="77777777" w:rsidR="00533351" w:rsidRPr="008D6611" w:rsidRDefault="00533351" w:rsidP="00533351">
      <w:pPr>
        <w:spacing w:after="240"/>
        <w:ind w:left="360"/>
        <w:textAlignment w:val="baseline"/>
        <w:rPr>
          <w:noProof/>
        </w:rPr>
      </w:pPr>
      <w:r w:rsidRPr="008D6611">
        <w:rPr>
          <w:noProof/>
        </w:rPr>
        <w:t>‘</w:t>
      </w:r>
      <w:r w:rsidR="00A02FB7" w:rsidRPr="00CE39FB">
        <w:rPr>
          <w:rFonts w:eastAsia="Times New Roman"/>
          <w:noProof/>
        </w:rPr>
        <w:t xml:space="preserve">2. </w:t>
      </w:r>
      <w:r w:rsidRPr="008D6611">
        <w:rPr>
          <w:noProof/>
        </w:rPr>
        <w:t>The actions under Specific Objective 3 shall be implemented primarily through the European Cybersecurity Industrial, technology and research Competence Centre and the Network of National Coordination Centres, in accordance with</w:t>
      </w:r>
      <w:r w:rsidR="007C29C1" w:rsidRPr="008D6611">
        <w:rPr>
          <w:noProof/>
        </w:rPr>
        <w:t xml:space="preserve"> Regulation</w:t>
      </w:r>
      <w:r w:rsidR="007C29C1" w:rsidRPr="00CE39FB">
        <w:rPr>
          <w:rFonts w:eastAsia="Times New Roman"/>
          <w:noProof/>
        </w:rPr>
        <w:t xml:space="preserve"> (EU) 2021/887 of the European Parliament and of the Council</w:t>
      </w:r>
      <w:r w:rsidR="003E1756" w:rsidRPr="00CE39FB">
        <w:rPr>
          <w:rStyle w:val="FootnoteReference"/>
          <w:rFonts w:eastAsia="Times New Roman"/>
          <w:noProof/>
        </w:rPr>
        <w:footnoteReference w:id="33"/>
      </w:r>
      <w:r w:rsidRPr="008D6611">
        <w:rPr>
          <w:noProof/>
        </w:rPr>
        <w:t xml:space="preserve"> with the exception of actions implementing the EU Cybersecurity Reserve, which shall be implemented by the Commission</w:t>
      </w:r>
      <w:r w:rsidR="001168A8" w:rsidRPr="00CE39FB">
        <w:rPr>
          <w:rFonts w:eastAsia="Times New Roman"/>
          <w:bCs/>
          <w:iCs/>
          <w:noProof/>
        </w:rPr>
        <w:t xml:space="preserve"> </w:t>
      </w:r>
      <w:r w:rsidR="007045C1" w:rsidRPr="00CE39FB">
        <w:rPr>
          <w:rFonts w:eastAsia="Times New Roman"/>
          <w:bCs/>
          <w:iCs/>
          <w:noProof/>
        </w:rPr>
        <w:t>and</w:t>
      </w:r>
      <w:r w:rsidRPr="008D6611">
        <w:rPr>
          <w:noProof/>
        </w:rPr>
        <w:t xml:space="preserve"> ENISA.</w:t>
      </w:r>
      <w:r w:rsidR="00037C61" w:rsidRPr="00CE39FB">
        <w:rPr>
          <w:rFonts w:eastAsia="Times New Roman"/>
          <w:b/>
          <w:noProof/>
        </w:rPr>
        <w:t>';</w:t>
      </w:r>
      <w:r w:rsidRPr="008D6611">
        <w:rPr>
          <w:b/>
          <w:i/>
          <w:noProof/>
        </w:rPr>
        <w:t xml:space="preserve"> </w:t>
      </w:r>
    </w:p>
    <w:p w14:paraId="33684C58" w14:textId="77777777" w:rsidR="00533351" w:rsidRPr="008D6611" w:rsidRDefault="00533351" w:rsidP="00533351">
      <w:pPr>
        <w:spacing w:after="240"/>
        <w:ind w:left="360"/>
        <w:rPr>
          <w:i/>
          <w:noProof/>
        </w:rPr>
      </w:pPr>
    </w:p>
    <w:p w14:paraId="434594B9" w14:textId="77777777" w:rsidR="00533351" w:rsidRPr="008D6611" w:rsidRDefault="00533351" w:rsidP="00533351">
      <w:pPr>
        <w:spacing w:after="240"/>
        <w:ind w:left="360"/>
        <w:rPr>
          <w:noProof/>
        </w:rPr>
      </w:pPr>
      <w:r w:rsidRPr="008D6611">
        <w:rPr>
          <w:noProof/>
        </w:rPr>
        <w:t>(2) Article 9 is amended as follows:</w:t>
      </w:r>
    </w:p>
    <w:p w14:paraId="5F67655B" w14:textId="6238D191" w:rsidR="00533351" w:rsidRPr="008D6611" w:rsidRDefault="00533351" w:rsidP="00533351">
      <w:pPr>
        <w:spacing w:after="240"/>
        <w:ind w:left="360"/>
        <w:rPr>
          <w:noProof/>
        </w:rPr>
      </w:pPr>
      <w:r w:rsidRPr="008D6611">
        <w:rPr>
          <w:noProof/>
        </w:rPr>
        <w:t>(a) in paragraph 2, points (b</w:t>
      </w:r>
      <w:r w:rsidRPr="00CE39FB">
        <w:rPr>
          <w:rFonts w:eastAsia="Times New Roman"/>
          <w:noProof/>
          <w:szCs w:val="24"/>
        </w:rPr>
        <w:t>)</w:t>
      </w:r>
      <w:r w:rsidR="004E1ED1" w:rsidRPr="00CE39FB">
        <w:rPr>
          <w:rFonts w:eastAsia="Times New Roman"/>
          <w:noProof/>
          <w:szCs w:val="24"/>
        </w:rPr>
        <w:t>, (c) and</w:t>
      </w:r>
      <w:r w:rsidRPr="00CE39FB">
        <w:rPr>
          <w:rFonts w:eastAsia="Times New Roman"/>
          <w:noProof/>
          <w:szCs w:val="24"/>
        </w:rPr>
        <w:t xml:space="preserve"> </w:t>
      </w:r>
      <w:r w:rsidRPr="008D6611">
        <w:rPr>
          <w:noProof/>
        </w:rPr>
        <w:t>(d) are replaced by the following:</w:t>
      </w:r>
    </w:p>
    <w:p w14:paraId="1CA84055" w14:textId="77777777" w:rsidR="00533351" w:rsidRPr="008D6611" w:rsidRDefault="004E1ED1" w:rsidP="00533351">
      <w:pPr>
        <w:spacing w:after="240"/>
        <w:ind w:left="360" w:firstLine="720"/>
        <w:rPr>
          <w:noProof/>
        </w:rPr>
      </w:pPr>
      <w:r w:rsidRPr="00CE39FB">
        <w:rPr>
          <w:rFonts w:eastAsia="Times New Roman"/>
          <w:noProof/>
          <w:szCs w:val="24"/>
        </w:rPr>
        <w:t>‘</w:t>
      </w:r>
      <w:r w:rsidR="00533351" w:rsidRPr="00CE39FB">
        <w:rPr>
          <w:rFonts w:eastAsia="Times New Roman"/>
          <w:noProof/>
          <w:szCs w:val="24"/>
        </w:rPr>
        <w:t>(</w:t>
      </w:r>
      <w:r w:rsidR="00533351" w:rsidRPr="008D6611">
        <w:rPr>
          <w:noProof/>
        </w:rPr>
        <w:t xml:space="preserve">b), EUR </w:t>
      </w:r>
      <w:r w:rsidR="00A16347" w:rsidRPr="008D6611">
        <w:rPr>
          <w:noProof/>
        </w:rPr>
        <w:t>1 776 956 000</w:t>
      </w:r>
      <w:r w:rsidR="00533351" w:rsidRPr="008D6611">
        <w:rPr>
          <w:noProof/>
        </w:rPr>
        <w:t xml:space="preserve"> for Specific Objective 2 – Artificial Intelligence;</w:t>
      </w:r>
    </w:p>
    <w:p w14:paraId="7DB8C269" w14:textId="77777777" w:rsidR="00533351" w:rsidRPr="008D6611" w:rsidRDefault="00533351" w:rsidP="00533351">
      <w:pPr>
        <w:spacing w:after="240"/>
        <w:ind w:left="360" w:firstLine="720"/>
        <w:rPr>
          <w:noProof/>
        </w:rPr>
      </w:pPr>
      <w:r w:rsidRPr="008D6611">
        <w:rPr>
          <w:noProof/>
        </w:rPr>
        <w:t xml:space="preserve">(c), EUR </w:t>
      </w:r>
      <w:r w:rsidR="00A16347" w:rsidRPr="008D6611">
        <w:rPr>
          <w:noProof/>
        </w:rPr>
        <w:t xml:space="preserve">1 629 566 000 </w:t>
      </w:r>
      <w:r w:rsidRPr="008D6611">
        <w:rPr>
          <w:noProof/>
        </w:rPr>
        <w:t>for Specific Objective 3 – Cybersecurity and Trust;</w:t>
      </w:r>
    </w:p>
    <w:p w14:paraId="34072590" w14:textId="77777777" w:rsidR="00533351" w:rsidRPr="008D6611" w:rsidRDefault="00533351" w:rsidP="00533351">
      <w:pPr>
        <w:spacing w:after="240"/>
        <w:ind w:left="360" w:firstLine="720"/>
        <w:rPr>
          <w:noProof/>
        </w:rPr>
      </w:pPr>
      <w:r w:rsidRPr="008D6611">
        <w:rPr>
          <w:noProof/>
        </w:rPr>
        <w:t xml:space="preserve">(d), EUR </w:t>
      </w:r>
      <w:r w:rsidR="00A16347" w:rsidRPr="008D6611">
        <w:rPr>
          <w:noProof/>
        </w:rPr>
        <w:t xml:space="preserve">482 347 000 </w:t>
      </w:r>
      <w:r w:rsidRPr="008D6611">
        <w:rPr>
          <w:noProof/>
        </w:rPr>
        <w:t xml:space="preserve">for Specific Objective 4 – Advanced Digital </w:t>
      </w:r>
      <w:r w:rsidRPr="00CE39FB">
        <w:rPr>
          <w:rFonts w:eastAsia="Times New Roman"/>
          <w:noProof/>
          <w:szCs w:val="24"/>
        </w:rPr>
        <w:t>Skills</w:t>
      </w:r>
      <w:r w:rsidR="004E1ED1" w:rsidRPr="00CE39FB">
        <w:rPr>
          <w:rFonts w:eastAsia="Times New Roman"/>
          <w:noProof/>
          <w:szCs w:val="24"/>
        </w:rPr>
        <w:t>’</w:t>
      </w:r>
      <w:r w:rsidRPr="008D6611">
        <w:rPr>
          <w:noProof/>
        </w:rPr>
        <w:t>;</w:t>
      </w:r>
    </w:p>
    <w:p w14:paraId="1138E30D" w14:textId="77777777" w:rsidR="00533351" w:rsidRPr="008D6611" w:rsidRDefault="00533351" w:rsidP="00533351">
      <w:pPr>
        <w:spacing w:after="240"/>
        <w:ind w:left="360"/>
        <w:rPr>
          <w:noProof/>
        </w:rPr>
      </w:pPr>
      <w:r w:rsidRPr="008D6611">
        <w:rPr>
          <w:noProof/>
        </w:rPr>
        <w:t>(b) the following paragraph 8 is added:</w:t>
      </w:r>
    </w:p>
    <w:p w14:paraId="4E6B261D" w14:textId="77777777" w:rsidR="00533351" w:rsidRPr="00CE39FB" w:rsidRDefault="00037C61" w:rsidP="00533351">
      <w:pPr>
        <w:spacing w:after="240"/>
        <w:ind w:left="360"/>
        <w:rPr>
          <w:rFonts w:eastAsia="Times New Roman"/>
          <w:noProof/>
          <w:szCs w:val="24"/>
        </w:rPr>
      </w:pPr>
      <w:r w:rsidRPr="00CE39FB">
        <w:rPr>
          <w:rFonts w:eastAsia="Times New Roman"/>
          <w:noProof/>
          <w:szCs w:val="24"/>
        </w:rPr>
        <w:t>‘</w:t>
      </w:r>
      <w:r w:rsidR="00533351" w:rsidRPr="008D6611">
        <w:rPr>
          <w:noProof/>
        </w:rPr>
        <w:t xml:space="preserve">8. </w:t>
      </w:r>
      <w:r w:rsidR="002D63FD" w:rsidRPr="00CE39FB">
        <w:rPr>
          <w:rFonts w:eastAsia="Times New Roman"/>
          <w:noProof/>
          <w:szCs w:val="24"/>
        </w:rPr>
        <w:t>By derogation</w:t>
      </w:r>
      <w:r w:rsidR="00533351" w:rsidRPr="008D6611">
        <w:rPr>
          <w:noProof/>
        </w:rPr>
        <w:t xml:space="preserve"> to </w:t>
      </w:r>
      <w:r w:rsidR="00533351" w:rsidRPr="00CE39FB">
        <w:rPr>
          <w:rFonts w:eastAsia="Times New Roman"/>
          <w:noProof/>
          <w:szCs w:val="24"/>
        </w:rPr>
        <w:t xml:space="preserve">Article 12(4) of </w:t>
      </w:r>
      <w:r w:rsidR="00B616C5" w:rsidRPr="00CE39FB">
        <w:rPr>
          <w:noProof/>
        </w:rPr>
        <w:t>Regulation (EU, Euratom) 2018/1046</w:t>
      </w:r>
      <w:r w:rsidR="00533351" w:rsidRPr="00CE39FB">
        <w:rPr>
          <w:rFonts w:eastAsia="Times New Roman"/>
          <w:noProof/>
          <w:szCs w:val="24"/>
        </w:rPr>
        <w:t>, unused commitment and payment appropriations for actions pursuing the objectives set out in Article 6</w:t>
      </w:r>
      <w:r w:rsidRPr="00CE39FB">
        <w:rPr>
          <w:rFonts w:eastAsia="Times New Roman"/>
          <w:noProof/>
          <w:szCs w:val="24"/>
        </w:rPr>
        <w:t>(1), point (g)</w:t>
      </w:r>
      <w:r w:rsidR="007A187A" w:rsidRPr="00CE39FB">
        <w:rPr>
          <w:rFonts w:eastAsia="Times New Roman"/>
          <w:noProof/>
          <w:szCs w:val="24"/>
        </w:rPr>
        <w:t xml:space="preserve"> of this Regulation</w:t>
      </w:r>
      <w:r w:rsidRPr="00CE39FB">
        <w:rPr>
          <w:rFonts w:eastAsia="Times New Roman"/>
          <w:noProof/>
          <w:szCs w:val="24"/>
        </w:rPr>
        <w:t>,</w:t>
      </w:r>
      <w:r w:rsidR="00533351" w:rsidRPr="00CE39FB">
        <w:rPr>
          <w:rFonts w:eastAsia="Times New Roman"/>
          <w:noProof/>
          <w:szCs w:val="24"/>
        </w:rPr>
        <w:t xml:space="preserve"> shall be automatically carried over and may be committed and paid up to 31 December of the following </w:t>
      </w:r>
      <w:r w:rsidR="00D17FDF" w:rsidRPr="00CE39FB">
        <w:rPr>
          <w:rFonts w:eastAsia="Times New Roman"/>
          <w:noProof/>
          <w:szCs w:val="24"/>
        </w:rPr>
        <w:t>financial</w:t>
      </w:r>
      <w:r w:rsidR="00533351" w:rsidRPr="00CE39FB">
        <w:rPr>
          <w:rFonts w:eastAsia="Times New Roman"/>
          <w:noProof/>
          <w:szCs w:val="24"/>
        </w:rPr>
        <w:t xml:space="preserve"> year.</w:t>
      </w:r>
      <w:r w:rsidRPr="00CE39FB">
        <w:rPr>
          <w:rFonts w:eastAsia="Times New Roman"/>
          <w:noProof/>
          <w:szCs w:val="24"/>
        </w:rPr>
        <w:t>’;</w:t>
      </w:r>
    </w:p>
    <w:p w14:paraId="7FA20FCE" w14:textId="77777777" w:rsidR="00932540" w:rsidRPr="00CE39FB" w:rsidRDefault="00932540" w:rsidP="00932540">
      <w:pPr>
        <w:spacing w:after="240"/>
        <w:rPr>
          <w:rFonts w:eastAsia="Times New Roman"/>
          <w:noProof/>
          <w:szCs w:val="24"/>
        </w:rPr>
      </w:pPr>
      <w:r w:rsidRPr="008D6611">
        <w:rPr>
          <w:noProof/>
        </w:rPr>
        <w:t>(</w:t>
      </w:r>
      <w:r w:rsidR="0028668F">
        <w:rPr>
          <w:rFonts w:eastAsia="Times New Roman"/>
          <w:noProof/>
          <w:szCs w:val="24"/>
        </w:rPr>
        <w:t>3</w:t>
      </w:r>
      <w:r w:rsidRPr="008D6611">
        <w:rPr>
          <w:noProof/>
        </w:rPr>
        <w:t xml:space="preserve">) In Article </w:t>
      </w:r>
      <w:r w:rsidRPr="00CE39FB">
        <w:rPr>
          <w:rFonts w:eastAsia="Times New Roman"/>
          <w:noProof/>
          <w:szCs w:val="24"/>
        </w:rPr>
        <w:t>14, paragraph 2 is replaced by</w:t>
      </w:r>
      <w:r w:rsidRPr="008D6611">
        <w:rPr>
          <w:noProof/>
        </w:rPr>
        <w:t xml:space="preserve"> the following</w:t>
      </w:r>
      <w:r w:rsidRPr="00CE39FB">
        <w:rPr>
          <w:rFonts w:eastAsia="Times New Roman"/>
          <w:noProof/>
          <w:szCs w:val="24"/>
        </w:rPr>
        <w:t xml:space="preserve">: </w:t>
      </w:r>
    </w:p>
    <w:p w14:paraId="074559E9" w14:textId="38CC94B2" w:rsidR="00932540" w:rsidRPr="00CE39FB" w:rsidRDefault="00932540" w:rsidP="00E62AD9">
      <w:pPr>
        <w:pStyle w:val="oj-normal"/>
        <w:shd w:val="clear" w:color="auto" w:fill="FFFFFF"/>
        <w:spacing w:after="0" w:line="312" w:lineRule="atLeast"/>
        <w:ind w:left="720"/>
        <w:jc w:val="both"/>
        <w:rPr>
          <w:noProof/>
        </w:rPr>
      </w:pPr>
      <w:r w:rsidRPr="00CE39FB">
        <w:rPr>
          <w:noProof/>
        </w:rPr>
        <w:t xml:space="preserve">“2.  The Programme may provide funding in any of the forms laid down in the </w:t>
      </w:r>
      <w:r w:rsidR="00E62AD9">
        <w:rPr>
          <w:noProof/>
        </w:rPr>
        <w:t>F</w:t>
      </w:r>
      <w:r w:rsidRPr="00CE39FB">
        <w:rPr>
          <w:noProof/>
        </w:rPr>
        <w:t>inancial Regulation, including in particular through procurement as a primary form, or grants and prizes.</w:t>
      </w:r>
    </w:p>
    <w:p w14:paraId="0A96EDBB" w14:textId="77777777" w:rsidR="00932540" w:rsidRPr="00CE39FB" w:rsidRDefault="00932540" w:rsidP="00932540">
      <w:pPr>
        <w:shd w:val="clear" w:color="auto" w:fill="FFFFFF"/>
        <w:spacing w:after="0" w:line="312" w:lineRule="atLeast"/>
        <w:ind w:left="720"/>
        <w:rPr>
          <w:rFonts w:eastAsia="Times New Roman"/>
          <w:noProof/>
          <w:szCs w:val="24"/>
          <w:lang w:eastAsia="en-IE"/>
        </w:rPr>
      </w:pPr>
      <w:r w:rsidRPr="00CE39FB">
        <w:rPr>
          <w:rFonts w:eastAsia="Times New Roman"/>
          <w:noProof/>
          <w:szCs w:val="24"/>
          <w:lang w:eastAsia="en-IE"/>
        </w:rPr>
        <w:t>Where the achievement of the objective of an action requires the procurement of innovative goods and services, grants may be awarded only to beneficiaries that are contracting authorities or contracting entities as defined in Directives 2014/24/EU </w:t>
      </w:r>
      <w:hyperlink r:id="rId13" w:anchor="ntr27-L_2021166EN.01000101-E0027" w:history="1">
        <w:r w:rsidRPr="00CE39FB">
          <w:rPr>
            <w:rFonts w:eastAsia="Times New Roman"/>
            <w:noProof/>
            <w:szCs w:val="24"/>
            <w:vertAlign w:val="superscript"/>
            <w:lang w:eastAsia="en-IE"/>
          </w:rPr>
          <w:t>27</w:t>
        </w:r>
      </w:hyperlink>
      <w:r w:rsidRPr="00CE39FB">
        <w:rPr>
          <w:rFonts w:eastAsia="Times New Roman"/>
          <w:noProof/>
          <w:szCs w:val="24"/>
          <w:lang w:eastAsia="en-IE"/>
        </w:rPr>
        <w:t> and 2014/25/EU </w:t>
      </w:r>
      <w:hyperlink r:id="rId14" w:anchor="ntr28-L_2021166EN.01000101-E0028" w:history="1">
        <w:r w:rsidRPr="00CE39FB">
          <w:rPr>
            <w:rFonts w:eastAsia="Times New Roman"/>
            <w:noProof/>
            <w:szCs w:val="24"/>
            <w:vertAlign w:val="superscript"/>
            <w:lang w:eastAsia="en-IE"/>
          </w:rPr>
          <w:t>28</w:t>
        </w:r>
      </w:hyperlink>
      <w:r w:rsidRPr="00CE39FB">
        <w:rPr>
          <w:rFonts w:eastAsia="Times New Roman"/>
          <w:noProof/>
          <w:szCs w:val="24"/>
          <w:lang w:eastAsia="en-IE"/>
        </w:rPr>
        <w:t> of the European Parliament and of the Council.</w:t>
      </w:r>
    </w:p>
    <w:p w14:paraId="5B2AC73E" w14:textId="77777777" w:rsidR="00932540" w:rsidRPr="00CE39FB" w:rsidRDefault="00932540" w:rsidP="00932540">
      <w:pPr>
        <w:shd w:val="clear" w:color="auto" w:fill="FFFFFF"/>
        <w:spacing w:after="0" w:line="312" w:lineRule="atLeast"/>
        <w:ind w:left="720"/>
        <w:rPr>
          <w:rFonts w:eastAsia="Times New Roman"/>
          <w:noProof/>
          <w:szCs w:val="24"/>
          <w:lang w:eastAsia="en-IE"/>
        </w:rPr>
      </w:pPr>
      <w:r w:rsidRPr="00CE39FB">
        <w:rPr>
          <w:rFonts w:eastAsia="Times New Roman"/>
          <w:noProof/>
          <w:szCs w:val="24"/>
          <w:lang w:eastAsia="en-IE"/>
        </w:rPr>
        <w:t>Where the supply of innovative goods or services that are not yet available on a large-scale commercial basis is necessary to achieve the objectives of an action, the contracting authority or the contracting entity may authorise the award of multiple contracts within the same procurement procedure.</w:t>
      </w:r>
    </w:p>
    <w:p w14:paraId="132A8B17" w14:textId="77777777" w:rsidR="00932540" w:rsidRPr="00CE39FB" w:rsidRDefault="00932540" w:rsidP="00932540">
      <w:pPr>
        <w:shd w:val="clear" w:color="auto" w:fill="FFFFFF"/>
        <w:spacing w:after="0" w:line="312" w:lineRule="atLeast"/>
        <w:ind w:left="720"/>
        <w:rPr>
          <w:rFonts w:eastAsia="Times New Roman"/>
          <w:noProof/>
          <w:szCs w:val="24"/>
          <w:lang w:eastAsia="en-IE"/>
        </w:rPr>
      </w:pPr>
      <w:r w:rsidRPr="00CE39FB">
        <w:rPr>
          <w:rFonts w:eastAsia="Times New Roman"/>
          <w:noProof/>
          <w:szCs w:val="24"/>
          <w:lang w:eastAsia="en-IE"/>
        </w:rPr>
        <w:t>For duly justified reasons of public security, the contracting authority or the contracting entity may require that the place of performance of the contract be situated within the territory of the Union.</w:t>
      </w:r>
    </w:p>
    <w:p w14:paraId="6226A49B" w14:textId="1B715585" w:rsidR="00932540" w:rsidRPr="00CE39FB" w:rsidRDefault="00932540" w:rsidP="00932540">
      <w:pPr>
        <w:shd w:val="clear" w:color="auto" w:fill="FFFFFF"/>
        <w:spacing w:after="0" w:line="312" w:lineRule="atLeast"/>
        <w:ind w:left="720"/>
        <w:rPr>
          <w:noProof/>
        </w:rPr>
      </w:pPr>
      <w:r w:rsidRPr="00CE39FB">
        <w:rPr>
          <w:noProof/>
        </w:rPr>
        <w:t>When implementing procurement procedures for the EU Cybersecurity Reserve established by Article 1</w:t>
      </w:r>
      <w:r w:rsidR="008D57EB" w:rsidRPr="00CE39FB">
        <w:rPr>
          <w:noProof/>
        </w:rPr>
        <w:t>2</w:t>
      </w:r>
      <w:r w:rsidRPr="00CE39FB">
        <w:rPr>
          <w:noProof/>
        </w:rPr>
        <w:t xml:space="preserve"> of Regulation (EU) 2023/XX, the Commission and ENISA may act as a central purchasing body to procure on behalf of or in the name of third countries associated to the Programme in line with Article 10. The Commission and ENISA may also act as wholesaler, by buying, stocking and reselling or donating supplies and services, including rentals, to those third countries. By derogation from Article 169(3) of Regulation (EU). XXX/XXXX [FR Recast], the request from a single third country is sufficient to mandate the Commission or ENISA to act.</w:t>
      </w:r>
    </w:p>
    <w:p w14:paraId="7F85B16F" w14:textId="65EA9586" w:rsidR="00DE0ACE" w:rsidRPr="00CE39FB" w:rsidRDefault="00DE0ACE" w:rsidP="00DE0ACE">
      <w:pPr>
        <w:shd w:val="clear" w:color="auto" w:fill="FFFFFF"/>
        <w:spacing w:after="0" w:line="312" w:lineRule="atLeast"/>
        <w:ind w:left="720"/>
        <w:rPr>
          <w:rFonts w:eastAsia="Times New Roman"/>
          <w:noProof/>
          <w:szCs w:val="24"/>
          <w:lang w:eastAsia="en-IE"/>
        </w:rPr>
      </w:pPr>
      <w:r w:rsidRPr="00CE39FB">
        <w:rPr>
          <w:noProof/>
        </w:rPr>
        <w:t>When implementing procurement procedures for the EU Cybersecurity Reserve established by Article 1</w:t>
      </w:r>
      <w:r w:rsidR="00BA71DD" w:rsidRPr="00CE39FB">
        <w:rPr>
          <w:noProof/>
        </w:rPr>
        <w:t>2</w:t>
      </w:r>
      <w:r w:rsidRPr="00CE39FB">
        <w:rPr>
          <w:noProof/>
        </w:rPr>
        <w:t xml:space="preserve"> of Regulation (EU) 2023/XX, the Commission and ENISA may act as a central purchasing body to procure on behalf of or in the name of </w:t>
      </w:r>
      <w:r w:rsidR="00BA71DD" w:rsidRPr="00CE39FB">
        <w:rPr>
          <w:noProof/>
        </w:rPr>
        <w:t>Union institutions, bodies and agencies</w:t>
      </w:r>
      <w:r w:rsidRPr="00CE39FB">
        <w:rPr>
          <w:noProof/>
        </w:rPr>
        <w:t xml:space="preserve">. The Commission and ENISA may also act as wholesaler, by buying, stocking and reselling or donating supplies and services, including rentals, to </w:t>
      </w:r>
      <w:r w:rsidR="005C4F9B" w:rsidRPr="00CE39FB">
        <w:rPr>
          <w:noProof/>
        </w:rPr>
        <w:t>Union institutions, bodies and agencies</w:t>
      </w:r>
      <w:r w:rsidRPr="00CE39FB">
        <w:rPr>
          <w:noProof/>
        </w:rPr>
        <w:t xml:space="preserve">. By derogation from Article 169(3) of Regulation (EU) XXX/XXXX [FR Recast], the request from a single </w:t>
      </w:r>
      <w:r w:rsidR="008442CA" w:rsidRPr="00CE39FB">
        <w:rPr>
          <w:noProof/>
        </w:rPr>
        <w:t>Union institution, body or agency</w:t>
      </w:r>
      <w:r w:rsidRPr="00CE39FB">
        <w:rPr>
          <w:noProof/>
        </w:rPr>
        <w:t xml:space="preserve"> is sufficient to mandate the Commission or ENISA to act.</w:t>
      </w:r>
    </w:p>
    <w:p w14:paraId="46F4FB71" w14:textId="77777777" w:rsidR="00932540" w:rsidRPr="00CE39FB" w:rsidRDefault="00932540" w:rsidP="00932540">
      <w:pPr>
        <w:shd w:val="clear" w:color="auto" w:fill="FFFFFF"/>
        <w:spacing w:after="0" w:line="312" w:lineRule="atLeast"/>
        <w:ind w:left="720"/>
        <w:rPr>
          <w:rFonts w:eastAsia="Times New Roman"/>
          <w:noProof/>
          <w:szCs w:val="24"/>
          <w:lang w:eastAsia="en-IE"/>
        </w:rPr>
      </w:pPr>
      <w:r w:rsidRPr="00CE39FB">
        <w:rPr>
          <w:rFonts w:eastAsia="Times New Roman"/>
          <w:noProof/>
          <w:szCs w:val="24"/>
          <w:lang w:eastAsia="en-IE"/>
        </w:rPr>
        <w:t>The Programme may also provide financing in the form of financial instruments within blending operations.”</w:t>
      </w:r>
    </w:p>
    <w:p w14:paraId="3F5EEB4D" w14:textId="77777777" w:rsidR="00533351" w:rsidRPr="00CE39FB" w:rsidRDefault="00533351" w:rsidP="00533351">
      <w:pPr>
        <w:spacing w:after="240"/>
        <w:ind w:left="360"/>
        <w:rPr>
          <w:rFonts w:eastAsia="Times New Roman"/>
          <w:noProof/>
        </w:rPr>
      </w:pPr>
    </w:p>
    <w:p w14:paraId="3775CD3A" w14:textId="77777777" w:rsidR="26C0E6F4" w:rsidRPr="008D6611" w:rsidRDefault="4B9600F7" w:rsidP="26C0E6F4">
      <w:pPr>
        <w:spacing w:after="240"/>
        <w:ind w:left="360"/>
        <w:rPr>
          <w:noProof/>
        </w:rPr>
      </w:pPr>
      <w:r w:rsidRPr="00CE39FB">
        <w:rPr>
          <w:rFonts w:eastAsia="Times New Roman"/>
          <w:noProof/>
        </w:rPr>
        <w:t>(</w:t>
      </w:r>
      <w:r w:rsidR="0028668F">
        <w:rPr>
          <w:rFonts w:eastAsia="Times New Roman"/>
          <w:noProof/>
        </w:rPr>
        <w:t>4</w:t>
      </w:r>
      <w:r w:rsidRPr="00CE39FB">
        <w:rPr>
          <w:rFonts w:eastAsia="Times New Roman"/>
          <w:noProof/>
        </w:rPr>
        <w:t>) The following article 16a</w:t>
      </w:r>
      <w:r w:rsidRPr="008D6611">
        <w:rPr>
          <w:noProof/>
        </w:rPr>
        <w:t xml:space="preserve"> is added:</w:t>
      </w:r>
    </w:p>
    <w:p w14:paraId="3D4F0542" w14:textId="77777777" w:rsidR="0BACEF7C" w:rsidRPr="008D6611" w:rsidRDefault="4B9600F7" w:rsidP="008D6611">
      <w:pPr>
        <w:ind w:left="360"/>
        <w:rPr>
          <w:noProof/>
        </w:rPr>
      </w:pPr>
      <w:r w:rsidRPr="008D6611">
        <w:rPr>
          <w:noProof/>
        </w:rPr>
        <w:t xml:space="preserve">In the case of actions implementing the </w:t>
      </w:r>
      <w:r w:rsidRPr="00CE39FB">
        <w:rPr>
          <w:noProof/>
        </w:rPr>
        <w:t>European Cyber Shield</w:t>
      </w:r>
      <w:r w:rsidRPr="008D6611">
        <w:rPr>
          <w:noProof/>
        </w:rPr>
        <w:t xml:space="preserve"> established by Article </w:t>
      </w:r>
      <w:r w:rsidRPr="00CE39FB">
        <w:rPr>
          <w:noProof/>
        </w:rPr>
        <w:t>3</w:t>
      </w:r>
      <w:r w:rsidRPr="008D6611">
        <w:rPr>
          <w:noProof/>
        </w:rPr>
        <w:t xml:space="preserve"> of Regulation (EU) 2023/XX, the applicable rules shall be </w:t>
      </w:r>
      <w:r w:rsidRPr="00CE39FB">
        <w:rPr>
          <w:noProof/>
        </w:rPr>
        <w:t xml:space="preserve">those </w:t>
      </w:r>
      <w:r w:rsidRPr="008D6611">
        <w:rPr>
          <w:noProof/>
        </w:rPr>
        <w:t xml:space="preserve">set </w:t>
      </w:r>
      <w:r w:rsidRPr="00CE39FB">
        <w:rPr>
          <w:noProof/>
        </w:rPr>
        <w:t xml:space="preserve">out </w:t>
      </w:r>
      <w:r w:rsidRPr="008D6611">
        <w:rPr>
          <w:noProof/>
        </w:rPr>
        <w:t xml:space="preserve">in </w:t>
      </w:r>
      <w:r w:rsidRPr="00CE39FB">
        <w:rPr>
          <w:noProof/>
        </w:rPr>
        <w:t>Articles 4 and 5</w:t>
      </w:r>
      <w:r w:rsidRPr="008D6611">
        <w:rPr>
          <w:noProof/>
        </w:rPr>
        <w:t xml:space="preserve"> of Regulation (EU) 2023/XX. In the case of conflict between the provisions of this Regulation and </w:t>
      </w:r>
      <w:r w:rsidRPr="00CE39FB">
        <w:rPr>
          <w:noProof/>
        </w:rPr>
        <w:t>Articles 4 and 5</w:t>
      </w:r>
      <w:r w:rsidRPr="008D6611">
        <w:rPr>
          <w:noProof/>
        </w:rPr>
        <w:t xml:space="preserve"> of Regulation (EU) 2023/XX, the latter shall prevail and apply to those specific actions.</w:t>
      </w:r>
    </w:p>
    <w:p w14:paraId="1B8990FE" w14:textId="77777777" w:rsidR="00533351" w:rsidRPr="008D6611" w:rsidRDefault="00533351" w:rsidP="00533351">
      <w:pPr>
        <w:spacing w:after="240"/>
        <w:ind w:left="360"/>
        <w:rPr>
          <w:b/>
          <w:noProof/>
        </w:rPr>
      </w:pPr>
    </w:p>
    <w:p w14:paraId="078C15DA" w14:textId="77777777" w:rsidR="00533351" w:rsidRPr="008D6611" w:rsidRDefault="00533351" w:rsidP="00533351">
      <w:pPr>
        <w:spacing w:after="240"/>
        <w:ind w:left="360"/>
        <w:rPr>
          <w:b/>
          <w:noProof/>
        </w:rPr>
      </w:pPr>
      <w:r w:rsidRPr="00CE39FB">
        <w:rPr>
          <w:rFonts w:eastAsia="Times New Roman"/>
          <w:noProof/>
        </w:rPr>
        <w:t>(</w:t>
      </w:r>
      <w:r w:rsidR="0028668F">
        <w:rPr>
          <w:rFonts w:eastAsia="Times New Roman"/>
          <w:noProof/>
        </w:rPr>
        <w:t>5</w:t>
      </w:r>
      <w:r w:rsidRPr="008D6611">
        <w:rPr>
          <w:noProof/>
        </w:rPr>
        <w:t>) Article 19 is replaced by the following:</w:t>
      </w:r>
    </w:p>
    <w:p w14:paraId="242EFACE" w14:textId="77777777" w:rsidR="007828D9" w:rsidRPr="008D6611" w:rsidRDefault="00037C61" w:rsidP="7219A540">
      <w:pPr>
        <w:spacing w:after="240"/>
        <w:ind w:left="360"/>
        <w:rPr>
          <w:noProof/>
          <w:highlight w:val="yellow"/>
        </w:rPr>
      </w:pPr>
      <w:r w:rsidRPr="00CE39FB">
        <w:rPr>
          <w:rFonts w:eastAsia="Times New Roman"/>
          <w:noProof/>
        </w:rPr>
        <w:t>‘</w:t>
      </w:r>
      <w:r w:rsidR="00533351" w:rsidRPr="008D6611">
        <w:rPr>
          <w:noProof/>
        </w:rPr>
        <w:t>Grants under the Programme shall be awarded and managed in accordance with Title VIII of the Financial Regulation and may cover up to 100 % of the eligible costs, without prejudice to the co-financing principle as laid down in Article 190 of the Financial Regulation. Such grants shall be awarded and managed as specified for each specific objective.</w:t>
      </w:r>
    </w:p>
    <w:p w14:paraId="1C79CFAE" w14:textId="77777777" w:rsidR="00600994" w:rsidRDefault="00600994" w:rsidP="00533351">
      <w:pPr>
        <w:spacing w:after="240"/>
        <w:ind w:left="360"/>
        <w:rPr>
          <w:noProof/>
        </w:rPr>
      </w:pPr>
      <w:r w:rsidRPr="00600994">
        <w:rPr>
          <w:noProof/>
        </w:rPr>
        <w:t>Support in the form of grants may be awarded directly by the ECCC without a call for proposals to the National SOCs referred to in Article 4 of Regulation XXXX and the Hosting Consortium referred to in Article 5 of Regulation XXXX, in accordance with Article 195(1), point (d) of the Financial Regulation</w:t>
      </w:r>
      <w:r>
        <w:rPr>
          <w:noProof/>
        </w:rPr>
        <w:t>.</w:t>
      </w:r>
    </w:p>
    <w:p w14:paraId="39586390" w14:textId="34D64DF7" w:rsidR="00533351" w:rsidRPr="008D6611" w:rsidRDefault="00533351" w:rsidP="00533351">
      <w:pPr>
        <w:spacing w:after="240"/>
        <w:ind w:left="360"/>
        <w:rPr>
          <w:noProof/>
        </w:rPr>
      </w:pPr>
      <w:r w:rsidRPr="008D6611">
        <w:rPr>
          <w:noProof/>
        </w:rPr>
        <w:t xml:space="preserve">Support in the form of grants for the Cyber Emergency Mechanism as set out in Article 10 of Regulation </w:t>
      </w:r>
      <w:r w:rsidRPr="008D6611">
        <w:rPr>
          <w:noProof/>
          <w:highlight w:val="yellow"/>
        </w:rPr>
        <w:t>XXXX</w:t>
      </w:r>
      <w:r w:rsidRPr="008D6611">
        <w:rPr>
          <w:noProof/>
        </w:rPr>
        <w:t xml:space="preserve"> may be awarded directly by the ECCC to Member States without a call for proposals, in accordance with Article 195(1), point (d</w:t>
      </w:r>
      <w:r w:rsidRPr="00CE39FB">
        <w:rPr>
          <w:rFonts w:eastAsia="Times New Roman"/>
          <w:noProof/>
          <w:szCs w:val="24"/>
        </w:rPr>
        <w:t>)</w:t>
      </w:r>
      <w:r w:rsidRPr="008D6611">
        <w:rPr>
          <w:noProof/>
        </w:rPr>
        <w:t xml:space="preserve"> of </w:t>
      </w:r>
      <w:r w:rsidR="007A187A" w:rsidRPr="00CE39FB">
        <w:rPr>
          <w:rFonts w:eastAsia="Times New Roman"/>
          <w:noProof/>
          <w:szCs w:val="24"/>
        </w:rPr>
        <w:t xml:space="preserve">the Financial </w:t>
      </w:r>
      <w:r w:rsidRPr="008D6611">
        <w:rPr>
          <w:noProof/>
        </w:rPr>
        <w:t>Regulation.</w:t>
      </w:r>
    </w:p>
    <w:p w14:paraId="0EF06408" w14:textId="77777777" w:rsidR="003718DD" w:rsidRPr="00CE39FB" w:rsidRDefault="003718DD" w:rsidP="00533351">
      <w:pPr>
        <w:spacing w:after="240"/>
        <w:ind w:left="360"/>
        <w:rPr>
          <w:rFonts w:eastAsia="Times New Roman"/>
          <w:noProof/>
          <w:szCs w:val="24"/>
        </w:rPr>
      </w:pPr>
      <w:r w:rsidRPr="00CE39FB">
        <w:rPr>
          <w:noProof/>
        </w:rPr>
        <w:t xml:space="preserve">For actions specified </w:t>
      </w:r>
      <w:r w:rsidR="002A714D" w:rsidRPr="00CE39FB">
        <w:rPr>
          <w:noProof/>
        </w:rPr>
        <w:t>in Article 10(</w:t>
      </w:r>
      <w:r w:rsidRPr="00CE39FB">
        <w:rPr>
          <w:noProof/>
        </w:rPr>
        <w:t>1</w:t>
      </w:r>
      <w:r w:rsidR="002A714D" w:rsidRPr="00CE39FB">
        <w:rPr>
          <w:noProof/>
        </w:rPr>
        <w:t>)</w:t>
      </w:r>
      <w:r w:rsidRPr="00CE39FB">
        <w:rPr>
          <w:noProof/>
        </w:rPr>
        <w:t>, point (c)</w:t>
      </w:r>
      <w:r w:rsidR="002A714D" w:rsidRPr="00CE39FB">
        <w:rPr>
          <w:noProof/>
        </w:rPr>
        <w:t xml:space="preserve"> of Regulation 202X/XXXX</w:t>
      </w:r>
      <w:r w:rsidRPr="00CE39FB">
        <w:rPr>
          <w:noProof/>
        </w:rPr>
        <w:t xml:space="preserve">, the ECCC shall inform the Commission and ENISA about Member States’ requests for direct grants without a call for proposals. </w:t>
      </w:r>
    </w:p>
    <w:p w14:paraId="373A3CC8" w14:textId="73771715" w:rsidR="00533351" w:rsidRPr="008D6611" w:rsidRDefault="00533351" w:rsidP="00533351">
      <w:pPr>
        <w:spacing w:after="240"/>
        <w:ind w:left="360"/>
        <w:rPr>
          <w:noProof/>
        </w:rPr>
      </w:pPr>
      <w:r w:rsidRPr="008D6611">
        <w:rPr>
          <w:noProof/>
        </w:rPr>
        <w:t>For the support of mutual assistance for response to a significant or large-scale cybersecurity incident as defined in Article 10(</w:t>
      </w:r>
      <w:r w:rsidR="00631E69" w:rsidRPr="00CE39FB">
        <w:rPr>
          <w:rFonts w:eastAsia="Times New Roman"/>
          <w:noProof/>
        </w:rPr>
        <w:t>c</w:t>
      </w:r>
      <w:r w:rsidRPr="00CE39FB">
        <w:rPr>
          <w:rFonts w:eastAsia="Times New Roman"/>
          <w:noProof/>
        </w:rPr>
        <w:t>)</w:t>
      </w:r>
      <w:r w:rsidR="00037C61" w:rsidRPr="00CE39FB">
        <w:rPr>
          <w:rFonts w:eastAsia="Times New Roman"/>
          <w:noProof/>
        </w:rPr>
        <w:t>,</w:t>
      </w:r>
      <w:r w:rsidRPr="008D6611">
        <w:rPr>
          <w:noProof/>
        </w:rPr>
        <w:t xml:space="preserve"> of Regulation </w:t>
      </w:r>
      <w:r w:rsidRPr="008D6611">
        <w:rPr>
          <w:noProof/>
          <w:highlight w:val="yellow"/>
        </w:rPr>
        <w:t>XXXX</w:t>
      </w:r>
      <w:r w:rsidRPr="008D6611">
        <w:rPr>
          <w:noProof/>
        </w:rPr>
        <w:t xml:space="preserve">, and in accordance with </w:t>
      </w:r>
      <w:r w:rsidRPr="00CE39FB">
        <w:rPr>
          <w:rFonts w:eastAsia="Times New Roman"/>
          <w:noProof/>
        </w:rPr>
        <w:t>Article 193(2)</w:t>
      </w:r>
      <w:r w:rsidR="00037C61" w:rsidRPr="00CE39FB">
        <w:rPr>
          <w:rFonts w:eastAsia="Times New Roman"/>
          <w:noProof/>
        </w:rPr>
        <w:t xml:space="preserve">, </w:t>
      </w:r>
      <w:r w:rsidR="00037C61" w:rsidRPr="008D6611">
        <w:rPr>
          <w:noProof/>
        </w:rPr>
        <w:t>second subparagraph</w:t>
      </w:r>
      <w:r w:rsidR="00037C61" w:rsidRPr="00CE39FB">
        <w:rPr>
          <w:rFonts w:eastAsia="Times New Roman"/>
          <w:noProof/>
        </w:rPr>
        <w:t>, point (a),</w:t>
      </w:r>
      <w:r w:rsidRPr="008D6611">
        <w:rPr>
          <w:noProof/>
        </w:rPr>
        <w:t xml:space="preserve"> of the Financial Regulation, in duly justified cases, </w:t>
      </w:r>
      <w:r w:rsidR="00F87185" w:rsidRPr="00CE39FB">
        <w:rPr>
          <w:rFonts w:eastAsia="Times New Roman"/>
          <w:noProof/>
        </w:rPr>
        <w:t>the</w:t>
      </w:r>
      <w:r w:rsidRPr="008D6611">
        <w:rPr>
          <w:noProof/>
        </w:rPr>
        <w:t xml:space="preserve"> costs may be considered to be eligible even if they were  incurred before the grant application was submitted.”</w:t>
      </w:r>
      <w:r w:rsidR="00037C61" w:rsidRPr="00CE39FB">
        <w:rPr>
          <w:rFonts w:eastAsia="Times New Roman"/>
          <w:noProof/>
        </w:rPr>
        <w:t>;</w:t>
      </w:r>
      <w:r w:rsidRPr="00CE39FB">
        <w:rPr>
          <w:rFonts w:eastAsia="Times New Roman"/>
          <w:noProof/>
        </w:rPr>
        <w:t xml:space="preserve">  </w:t>
      </w:r>
    </w:p>
    <w:p w14:paraId="503A8F22" w14:textId="77777777" w:rsidR="00533351" w:rsidRPr="008D6611" w:rsidRDefault="00533351" w:rsidP="00533351">
      <w:pPr>
        <w:spacing w:after="240"/>
        <w:ind w:left="360"/>
        <w:rPr>
          <w:noProof/>
        </w:rPr>
      </w:pPr>
    </w:p>
    <w:p w14:paraId="7191FA51" w14:textId="77777777" w:rsidR="00533351" w:rsidRPr="00CE39FB" w:rsidRDefault="00533351" w:rsidP="00533351">
      <w:pPr>
        <w:rPr>
          <w:noProof/>
        </w:rPr>
      </w:pPr>
      <w:r w:rsidRPr="008D6611">
        <w:rPr>
          <w:noProof/>
        </w:rPr>
        <w:t>(</w:t>
      </w:r>
      <w:r w:rsidR="0028668F">
        <w:rPr>
          <w:rFonts w:eastAsia="Times New Roman"/>
          <w:noProof/>
        </w:rPr>
        <w:t>6</w:t>
      </w:r>
      <w:r w:rsidRPr="00CE39FB">
        <w:rPr>
          <w:rFonts w:eastAsia="Times New Roman"/>
          <w:noProof/>
        </w:rPr>
        <w:t>) Annex</w:t>
      </w:r>
      <w:r w:rsidR="00037C61" w:rsidRPr="00CE39FB">
        <w:rPr>
          <w:rFonts w:eastAsia="Times New Roman"/>
          <w:noProof/>
        </w:rPr>
        <w:t>es</w:t>
      </w:r>
      <w:r w:rsidRPr="008D6611">
        <w:rPr>
          <w:noProof/>
        </w:rPr>
        <w:t xml:space="preserve"> I and II are amended in accordance with the Annex to this Regulation</w:t>
      </w:r>
      <w:r w:rsidR="00037C61" w:rsidRPr="00CE39FB">
        <w:rPr>
          <w:rFonts w:eastAsia="Times New Roman"/>
          <w:noProof/>
        </w:rPr>
        <w:t>.</w:t>
      </w:r>
      <w:r w:rsidRPr="00CE39FB">
        <w:rPr>
          <w:noProof/>
        </w:rPr>
        <w:br/>
      </w:r>
    </w:p>
    <w:p w14:paraId="083CF602" w14:textId="77777777" w:rsidR="00533351" w:rsidRPr="00CE39FB" w:rsidRDefault="00533351" w:rsidP="00A2646D">
      <w:pPr>
        <w:pStyle w:val="Titrearticle"/>
        <w:rPr>
          <w:noProof/>
          <w:szCs w:val="24"/>
        </w:rPr>
      </w:pPr>
      <w:r w:rsidRPr="00CE39FB">
        <w:rPr>
          <w:noProof/>
          <w:szCs w:val="24"/>
        </w:rPr>
        <w:t>Article 20</w:t>
      </w:r>
    </w:p>
    <w:p w14:paraId="25B65284" w14:textId="77777777" w:rsidR="00533351" w:rsidRPr="00CE39FB" w:rsidRDefault="00533351" w:rsidP="00533351">
      <w:pPr>
        <w:pStyle w:val="paragraph"/>
        <w:shd w:val="clear" w:color="auto" w:fill="FFFFFF" w:themeFill="background1"/>
        <w:spacing w:beforeAutospacing="0" w:after="0" w:afterAutospacing="0"/>
        <w:jc w:val="center"/>
        <w:textAlignment w:val="baseline"/>
        <w:rPr>
          <w:noProof/>
        </w:rPr>
      </w:pPr>
      <w:r w:rsidRPr="008D6611">
        <w:rPr>
          <w:rStyle w:val="eop"/>
          <w:noProof/>
        </w:rPr>
        <w:t> </w:t>
      </w:r>
      <w:r w:rsidRPr="008D6611">
        <w:rPr>
          <w:rStyle w:val="normaltextrun"/>
          <w:b/>
          <w:noProof/>
        </w:rPr>
        <w:t xml:space="preserve">Evaluation </w:t>
      </w:r>
      <w:r w:rsidRPr="008D6611">
        <w:rPr>
          <w:rStyle w:val="eop"/>
          <w:noProof/>
        </w:rPr>
        <w:t> </w:t>
      </w:r>
    </w:p>
    <w:p w14:paraId="5E8856BC" w14:textId="77777777" w:rsidR="00533351" w:rsidRPr="00CE39FB" w:rsidRDefault="00533351" w:rsidP="00533351">
      <w:pPr>
        <w:pStyle w:val="paragraph"/>
        <w:spacing w:beforeAutospacing="0" w:after="0" w:afterAutospacing="0"/>
        <w:jc w:val="center"/>
        <w:textAlignment w:val="baseline"/>
        <w:rPr>
          <w:noProof/>
        </w:rPr>
      </w:pPr>
      <w:r w:rsidRPr="00CE39FB">
        <w:rPr>
          <w:rStyle w:val="eop"/>
          <w:noProof/>
        </w:rPr>
        <w:t> </w:t>
      </w:r>
    </w:p>
    <w:p w14:paraId="2F7460C3" w14:textId="77777777" w:rsidR="00533351" w:rsidRPr="00CE39FB" w:rsidRDefault="00533351" w:rsidP="00533351">
      <w:pPr>
        <w:pStyle w:val="paragraph"/>
        <w:spacing w:beforeAutospacing="0" w:after="0" w:afterAutospacing="0"/>
        <w:jc w:val="both"/>
        <w:textAlignment w:val="baseline"/>
        <w:rPr>
          <w:rStyle w:val="eop"/>
          <w:noProof/>
        </w:rPr>
      </w:pPr>
      <w:r w:rsidRPr="00CE39FB">
        <w:rPr>
          <w:noProof/>
        </w:rPr>
        <w:t xml:space="preserve">By </w:t>
      </w:r>
      <w:r w:rsidR="00037C61" w:rsidRPr="00CE39FB">
        <w:rPr>
          <w:noProof/>
        </w:rPr>
        <w:t>[</w:t>
      </w:r>
      <w:r w:rsidRPr="00CE39FB">
        <w:rPr>
          <w:noProof/>
        </w:rPr>
        <w:t>four years after the date of application of this Regulation</w:t>
      </w:r>
      <w:r w:rsidR="00037C61" w:rsidRPr="00CE39FB">
        <w:rPr>
          <w:noProof/>
        </w:rPr>
        <w:t>]</w:t>
      </w:r>
      <w:r w:rsidRPr="00CE39FB">
        <w:rPr>
          <w:rStyle w:val="normaltextrun"/>
          <w:noProof/>
        </w:rPr>
        <w:t xml:space="preserve">, the Commission shall submit a report on the evaluation and review of this Regulation to the European Parliament and to the Council. </w:t>
      </w:r>
    </w:p>
    <w:p w14:paraId="1EB0D2FD" w14:textId="77777777" w:rsidR="00533351" w:rsidRPr="008D6611" w:rsidRDefault="00533351" w:rsidP="008D6611">
      <w:pPr>
        <w:pStyle w:val="paragraph"/>
        <w:spacing w:beforeAutospacing="0" w:after="0" w:afterAutospacing="0"/>
        <w:jc w:val="both"/>
        <w:rPr>
          <w:rStyle w:val="eop"/>
          <w:noProof/>
        </w:rPr>
      </w:pPr>
    </w:p>
    <w:p w14:paraId="009AE598" w14:textId="77777777" w:rsidR="00533351" w:rsidRPr="00CE39FB" w:rsidRDefault="001F39DB" w:rsidP="00A2646D">
      <w:pPr>
        <w:pStyle w:val="Titrearticle"/>
        <w:rPr>
          <w:noProof/>
          <w:szCs w:val="24"/>
        </w:rPr>
      </w:pPr>
      <w:r>
        <w:rPr>
          <w:noProof/>
          <w:szCs w:val="24"/>
        </w:rPr>
        <w:t>A</w:t>
      </w:r>
      <w:r w:rsidR="00533351" w:rsidRPr="00CE39FB">
        <w:rPr>
          <w:noProof/>
          <w:szCs w:val="24"/>
        </w:rPr>
        <w:t>rticle 2</w:t>
      </w:r>
      <w:r w:rsidR="00700C34" w:rsidRPr="00CE39FB">
        <w:rPr>
          <w:noProof/>
          <w:szCs w:val="24"/>
        </w:rPr>
        <w:t>1</w:t>
      </w:r>
    </w:p>
    <w:p w14:paraId="516695BD" w14:textId="77777777" w:rsidR="00533351" w:rsidRPr="00CE39FB" w:rsidRDefault="00533351" w:rsidP="00533351">
      <w:pPr>
        <w:pStyle w:val="paragraph"/>
        <w:spacing w:beforeAutospacing="0" w:after="0" w:afterAutospacing="0"/>
        <w:jc w:val="center"/>
        <w:textAlignment w:val="baseline"/>
        <w:rPr>
          <w:noProof/>
        </w:rPr>
      </w:pPr>
      <w:r w:rsidRPr="00CE39FB">
        <w:rPr>
          <w:rStyle w:val="normaltextrun"/>
          <w:b/>
          <w:bCs/>
          <w:noProof/>
        </w:rPr>
        <w:t>Committee procedure</w:t>
      </w:r>
      <w:r w:rsidRPr="00CE39FB">
        <w:rPr>
          <w:rStyle w:val="eop"/>
          <w:noProof/>
        </w:rPr>
        <w:t> </w:t>
      </w:r>
    </w:p>
    <w:p w14:paraId="678B633A" w14:textId="77777777" w:rsidR="00533351" w:rsidRPr="00CE39FB" w:rsidRDefault="00533351" w:rsidP="00533351">
      <w:pPr>
        <w:pStyle w:val="paragraph"/>
        <w:spacing w:beforeAutospacing="0" w:after="0" w:afterAutospacing="0"/>
        <w:textAlignment w:val="baseline"/>
        <w:rPr>
          <w:noProof/>
        </w:rPr>
      </w:pPr>
      <w:r w:rsidRPr="008D6611">
        <w:rPr>
          <w:rStyle w:val="eop"/>
          <w:noProof/>
        </w:rPr>
        <w:t> </w:t>
      </w:r>
    </w:p>
    <w:p w14:paraId="696A9F21" w14:textId="77777777" w:rsidR="00533351" w:rsidRPr="00CE39FB" w:rsidRDefault="00533351" w:rsidP="000A6843">
      <w:pPr>
        <w:pStyle w:val="paragraph"/>
        <w:numPr>
          <w:ilvl w:val="0"/>
          <w:numId w:val="16"/>
        </w:numPr>
        <w:spacing w:beforeAutospacing="0" w:after="0" w:afterAutospacing="0"/>
        <w:jc w:val="both"/>
        <w:rPr>
          <w:rStyle w:val="eop"/>
          <w:noProof/>
        </w:rPr>
      </w:pPr>
      <w:r w:rsidRPr="00CE39FB">
        <w:rPr>
          <w:rStyle w:val="eop"/>
          <w:noProof/>
        </w:rPr>
        <w:t>The Commission shall be assisted by</w:t>
      </w:r>
      <w:r w:rsidRPr="008D6611">
        <w:rPr>
          <w:noProof/>
        </w:rPr>
        <w:t xml:space="preserve"> the Digital Europe Programme Coordination Committee established by Regulation (EU) 2021/694</w:t>
      </w:r>
      <w:r w:rsidRPr="00CE39FB">
        <w:rPr>
          <w:rStyle w:val="eop"/>
          <w:noProof/>
        </w:rPr>
        <w:t xml:space="preserve">. That committee shall be a committee within the meaning of Regulation (EU) 182/2011. </w:t>
      </w:r>
    </w:p>
    <w:p w14:paraId="3A67A6E1" w14:textId="77777777" w:rsidR="00533351" w:rsidRPr="00CE39FB" w:rsidRDefault="00533351" w:rsidP="000A6843">
      <w:pPr>
        <w:pStyle w:val="paragraph"/>
        <w:numPr>
          <w:ilvl w:val="0"/>
          <w:numId w:val="16"/>
        </w:numPr>
        <w:spacing w:beforeAutospacing="0" w:after="0" w:afterAutospacing="0"/>
        <w:jc w:val="both"/>
        <w:rPr>
          <w:rStyle w:val="eop"/>
          <w:noProof/>
        </w:rPr>
      </w:pPr>
      <w:r w:rsidRPr="00CE39FB">
        <w:rPr>
          <w:rStyle w:val="eop"/>
          <w:noProof/>
        </w:rPr>
        <w:t xml:space="preserve"> Where reference is made to this paragraph, Article 5 of Regulation (EU) 182/2011 shall apply. </w:t>
      </w:r>
    </w:p>
    <w:p w14:paraId="3579E32D" w14:textId="77777777" w:rsidR="00533351" w:rsidRDefault="00533351" w:rsidP="00533351">
      <w:pPr>
        <w:pStyle w:val="paragraph"/>
        <w:spacing w:beforeAutospacing="0" w:after="0" w:afterAutospacing="0"/>
        <w:jc w:val="center"/>
        <w:textAlignment w:val="baseline"/>
        <w:rPr>
          <w:rStyle w:val="normaltextrun"/>
          <w:b/>
          <w:bCs/>
          <w:noProof/>
        </w:rPr>
      </w:pPr>
    </w:p>
    <w:p w14:paraId="200CFC3B" w14:textId="77777777" w:rsidR="001F39DB" w:rsidRDefault="001F39DB" w:rsidP="00533351">
      <w:pPr>
        <w:pStyle w:val="paragraph"/>
        <w:spacing w:beforeAutospacing="0" w:after="0" w:afterAutospacing="0"/>
        <w:jc w:val="center"/>
        <w:textAlignment w:val="baseline"/>
        <w:rPr>
          <w:rStyle w:val="normaltextrun"/>
          <w:b/>
          <w:bCs/>
          <w:noProof/>
        </w:rPr>
      </w:pPr>
    </w:p>
    <w:p w14:paraId="2D3536D5" w14:textId="77777777" w:rsidR="001F39DB" w:rsidRPr="00CE39FB" w:rsidRDefault="001F39DB" w:rsidP="00533351">
      <w:pPr>
        <w:pStyle w:val="paragraph"/>
        <w:spacing w:beforeAutospacing="0" w:after="0" w:afterAutospacing="0"/>
        <w:jc w:val="center"/>
        <w:textAlignment w:val="baseline"/>
        <w:rPr>
          <w:rStyle w:val="normaltextrun"/>
          <w:b/>
          <w:bCs/>
          <w:noProof/>
        </w:rPr>
      </w:pPr>
    </w:p>
    <w:p w14:paraId="6D854339" w14:textId="77777777" w:rsidR="00533351" w:rsidRPr="00CE39FB" w:rsidRDefault="00533351" w:rsidP="00A2646D">
      <w:pPr>
        <w:pStyle w:val="Titrearticle"/>
        <w:rPr>
          <w:noProof/>
          <w:szCs w:val="24"/>
        </w:rPr>
      </w:pPr>
      <w:r w:rsidRPr="00CE39FB">
        <w:rPr>
          <w:noProof/>
          <w:szCs w:val="24"/>
        </w:rPr>
        <w:t>Article 2</w:t>
      </w:r>
      <w:r w:rsidR="00700C34" w:rsidRPr="00CE39FB">
        <w:rPr>
          <w:noProof/>
          <w:szCs w:val="24"/>
        </w:rPr>
        <w:t>2</w:t>
      </w:r>
    </w:p>
    <w:p w14:paraId="2C70C43D" w14:textId="77777777" w:rsidR="00533351" w:rsidRPr="00CE39FB" w:rsidRDefault="00533351" w:rsidP="00533351">
      <w:pPr>
        <w:pStyle w:val="paragraph"/>
        <w:spacing w:beforeAutospacing="0" w:after="0" w:afterAutospacing="0"/>
        <w:jc w:val="center"/>
        <w:textAlignment w:val="baseline"/>
        <w:rPr>
          <w:b/>
          <w:bCs/>
          <w:noProof/>
        </w:rPr>
      </w:pPr>
    </w:p>
    <w:p w14:paraId="7D252C9A" w14:textId="77777777" w:rsidR="00533351" w:rsidRPr="00CE39FB" w:rsidRDefault="00533351" w:rsidP="00533351">
      <w:pPr>
        <w:pStyle w:val="paragraph"/>
        <w:spacing w:beforeAutospacing="0" w:after="0" w:afterAutospacing="0"/>
        <w:jc w:val="center"/>
        <w:textAlignment w:val="baseline"/>
        <w:rPr>
          <w:rStyle w:val="normaltextrun"/>
          <w:b/>
          <w:bCs/>
          <w:noProof/>
        </w:rPr>
      </w:pPr>
      <w:r w:rsidRPr="00CE39FB">
        <w:rPr>
          <w:rStyle w:val="normaltextrun"/>
          <w:b/>
          <w:bCs/>
          <w:noProof/>
        </w:rPr>
        <w:t> Entry into force</w:t>
      </w:r>
    </w:p>
    <w:p w14:paraId="162D04FC" w14:textId="77777777" w:rsidR="00533351" w:rsidRPr="00CE39FB" w:rsidRDefault="00533351" w:rsidP="00533351">
      <w:pPr>
        <w:pStyle w:val="paragraph"/>
        <w:spacing w:beforeAutospacing="0" w:after="0" w:afterAutospacing="0"/>
        <w:jc w:val="center"/>
        <w:textAlignment w:val="baseline"/>
        <w:rPr>
          <w:noProof/>
        </w:rPr>
      </w:pPr>
      <w:r w:rsidRPr="00CE39FB">
        <w:rPr>
          <w:rStyle w:val="eop"/>
          <w:noProof/>
        </w:rPr>
        <w:t> </w:t>
      </w:r>
    </w:p>
    <w:p w14:paraId="582506E5" w14:textId="77777777" w:rsidR="004B3957" w:rsidRPr="00CE39FB" w:rsidRDefault="004B3957" w:rsidP="004B3957">
      <w:pPr>
        <w:rPr>
          <w:noProof/>
          <w:szCs w:val="24"/>
        </w:rPr>
      </w:pPr>
    </w:p>
    <w:p w14:paraId="1F8666BF" w14:textId="77777777" w:rsidR="004770F6" w:rsidRPr="00CE39FB" w:rsidRDefault="004770F6">
      <w:pPr>
        <w:rPr>
          <w:noProof/>
        </w:rPr>
      </w:pPr>
      <w:r w:rsidRPr="00CE39FB">
        <w:rPr>
          <w:noProof/>
        </w:rPr>
        <w:t xml:space="preserve">This Regulation shall enter into force on the </w:t>
      </w:r>
      <w:r w:rsidR="006C76E7" w:rsidRPr="00CE39FB">
        <w:rPr>
          <w:noProof/>
        </w:rPr>
        <w:t xml:space="preserve">twentieth </w:t>
      </w:r>
      <w:r w:rsidRPr="00CE39FB">
        <w:rPr>
          <w:noProof/>
        </w:rPr>
        <w:t xml:space="preserve">day </w:t>
      </w:r>
      <w:r w:rsidR="00EB701B" w:rsidRPr="00CE39FB">
        <w:rPr>
          <w:noProof/>
        </w:rPr>
        <w:t>following that of</w:t>
      </w:r>
      <w:r w:rsidR="006C76E7" w:rsidRPr="00CE39FB">
        <w:rPr>
          <w:noProof/>
        </w:rPr>
        <w:t xml:space="preserve"> </w:t>
      </w:r>
      <w:r w:rsidRPr="00CE39FB">
        <w:rPr>
          <w:noProof/>
        </w:rPr>
        <w:t xml:space="preserve">its publication in the </w:t>
      </w:r>
      <w:r w:rsidRPr="00CE39FB">
        <w:rPr>
          <w:i/>
          <w:noProof/>
        </w:rPr>
        <w:t>Official Journal of the European Union</w:t>
      </w:r>
      <w:r w:rsidRPr="00CE39FB">
        <w:rPr>
          <w:noProof/>
        </w:rPr>
        <w:t>.</w:t>
      </w:r>
    </w:p>
    <w:p w14:paraId="022061EA" w14:textId="77777777" w:rsidR="004770F6" w:rsidRPr="00CE39FB" w:rsidRDefault="004770F6">
      <w:pPr>
        <w:pStyle w:val="Applicationdirecte"/>
        <w:rPr>
          <w:noProof/>
          <w:szCs w:val="24"/>
        </w:rPr>
      </w:pPr>
      <w:r w:rsidRPr="00CE39FB">
        <w:rPr>
          <w:noProof/>
          <w:szCs w:val="24"/>
        </w:rPr>
        <w:t>This Regulation shall be binding in its entirety and directly applicable in all Member States.</w:t>
      </w:r>
    </w:p>
    <w:p w14:paraId="2F590E26" w14:textId="726BA58D" w:rsidR="004770F6" w:rsidRPr="00CE39FB" w:rsidRDefault="000775C8" w:rsidP="00E377BC">
      <w:pPr>
        <w:pStyle w:val="Fait"/>
        <w:rPr>
          <w:noProof/>
        </w:rPr>
      </w:pPr>
      <w:r w:rsidRPr="000775C8">
        <w:t>Done at Strasbourg,</w:t>
      </w:r>
    </w:p>
    <w:p w14:paraId="06808DDE" w14:textId="77777777" w:rsidR="004770F6" w:rsidRPr="00CE39FB" w:rsidRDefault="004770F6" w:rsidP="00E377BC">
      <w:pPr>
        <w:pStyle w:val="Institutionquisigne"/>
        <w:rPr>
          <w:noProof/>
          <w:szCs w:val="24"/>
        </w:rPr>
      </w:pPr>
      <w:r w:rsidRPr="00CE39FB">
        <w:rPr>
          <w:noProof/>
          <w:szCs w:val="24"/>
        </w:rPr>
        <w:t>For the European Parliament</w:t>
      </w:r>
      <w:r w:rsidRPr="00CE39FB">
        <w:rPr>
          <w:noProof/>
          <w:szCs w:val="24"/>
        </w:rPr>
        <w:tab/>
        <w:t>For the Council</w:t>
      </w:r>
    </w:p>
    <w:p w14:paraId="0CCF41C3" w14:textId="77777777" w:rsidR="004770F6" w:rsidRPr="00CE39FB" w:rsidRDefault="004770F6" w:rsidP="004770F6">
      <w:pPr>
        <w:pStyle w:val="Personnequisigne"/>
        <w:rPr>
          <w:noProof/>
          <w:szCs w:val="24"/>
        </w:rPr>
      </w:pPr>
      <w:r w:rsidRPr="00CE39FB">
        <w:rPr>
          <w:noProof/>
          <w:szCs w:val="24"/>
        </w:rPr>
        <w:t>The President</w:t>
      </w:r>
      <w:r w:rsidRPr="00CE39FB">
        <w:rPr>
          <w:noProof/>
          <w:szCs w:val="24"/>
        </w:rPr>
        <w:tab/>
        <w:t>The President</w:t>
      </w:r>
    </w:p>
    <w:p w14:paraId="061A8D97" w14:textId="77777777" w:rsidR="00025B4F" w:rsidRPr="008D6611" w:rsidRDefault="00025B4F" w:rsidP="004770F6">
      <w:pPr>
        <w:rPr>
          <w:noProof/>
        </w:rPr>
        <w:sectPr w:rsidR="00025B4F" w:rsidRPr="008D6611" w:rsidSect="00E17AC8">
          <w:footnotePr>
            <w:numRestart w:val="eachSect"/>
          </w:footnotePr>
          <w:pgSz w:w="11907" w:h="16839"/>
          <w:pgMar w:top="1134" w:right="1417" w:bottom="1134" w:left="1417" w:header="709" w:footer="709" w:gutter="0"/>
          <w:cols w:space="708"/>
          <w:docGrid w:linePitch="360"/>
        </w:sectPr>
      </w:pPr>
    </w:p>
    <w:p w14:paraId="43B692BA" w14:textId="77777777" w:rsidR="004770F6" w:rsidRPr="00CE39FB" w:rsidRDefault="004770F6">
      <w:pPr>
        <w:pStyle w:val="Fichefinanciretitre"/>
        <w:keepNext/>
        <w:rPr>
          <w:noProof/>
        </w:rPr>
      </w:pPr>
      <w:bookmarkStart w:id="13" w:name="_TocB7751C055C4744A28A002AAF436526DF"/>
      <w:r w:rsidRPr="00CE39FB">
        <w:rPr>
          <w:noProof/>
        </w:rPr>
        <w:t>LEGISLATIVE FINANCIAL STATEMENT</w:t>
      </w:r>
      <w:bookmarkEnd w:id="13"/>
    </w:p>
    <w:p w14:paraId="4E27BE3D" w14:textId="77777777" w:rsidR="004770F6" w:rsidRPr="00CE39FB" w:rsidRDefault="004770F6">
      <w:pPr>
        <w:pStyle w:val="ManualHeading1"/>
        <w:rPr>
          <w:noProof/>
        </w:rPr>
      </w:pPr>
      <w:r w:rsidRPr="00CE39FB">
        <w:rPr>
          <w:noProof/>
        </w:rPr>
        <w:t>1.</w:t>
      </w:r>
      <w:r w:rsidRPr="00CE39FB">
        <w:rPr>
          <w:noProof/>
        </w:rPr>
        <w:tab/>
        <w:t>FRAMEWORK OF THE PROPOSAL/INITIATIVE</w:t>
      </w:r>
    </w:p>
    <w:p w14:paraId="65BA0DBD" w14:textId="77777777" w:rsidR="004770F6" w:rsidRPr="00CE39FB" w:rsidRDefault="004770F6">
      <w:pPr>
        <w:pStyle w:val="ManualHeading2"/>
        <w:rPr>
          <w:noProof/>
        </w:rPr>
      </w:pPr>
      <w:r w:rsidRPr="00CE39FB">
        <w:rPr>
          <w:noProof/>
        </w:rPr>
        <w:t>1.1.</w:t>
      </w:r>
      <w:r w:rsidRPr="00CE39FB">
        <w:rPr>
          <w:noProof/>
        </w:rPr>
        <w:tab/>
        <w:t>Title of the proposal/initiative</w:t>
      </w:r>
    </w:p>
    <w:p w14:paraId="2DADF4DC" w14:textId="77777777" w:rsidR="004770F6" w:rsidRPr="00CE39FB" w:rsidRDefault="004770F6">
      <w:pPr>
        <w:pStyle w:val="ManualHeading2"/>
        <w:rPr>
          <w:noProof/>
        </w:rPr>
      </w:pPr>
      <w:r w:rsidRPr="00CE39FB">
        <w:rPr>
          <w:noProof/>
        </w:rPr>
        <w:t>1.2.</w:t>
      </w:r>
      <w:r w:rsidRPr="00CE39FB">
        <w:rPr>
          <w:noProof/>
        </w:rPr>
        <w:tab/>
        <w:t>Policy area(s) concerned</w:t>
      </w:r>
    </w:p>
    <w:p w14:paraId="059776AA" w14:textId="77777777" w:rsidR="004770F6" w:rsidRPr="00CE39FB" w:rsidRDefault="004770F6">
      <w:pPr>
        <w:pStyle w:val="ManualHeading2"/>
        <w:rPr>
          <w:noProof/>
        </w:rPr>
      </w:pPr>
      <w:r w:rsidRPr="00CE39FB">
        <w:rPr>
          <w:noProof/>
        </w:rPr>
        <w:t>1.3.</w:t>
      </w:r>
      <w:r w:rsidRPr="00CE39FB">
        <w:rPr>
          <w:noProof/>
        </w:rPr>
        <w:tab/>
        <w:t>The proposal/initiative relates to:</w:t>
      </w:r>
    </w:p>
    <w:p w14:paraId="1EB009F6" w14:textId="77777777" w:rsidR="004770F6" w:rsidRPr="00CE39FB" w:rsidRDefault="004770F6">
      <w:pPr>
        <w:pStyle w:val="ManualHeading2"/>
        <w:rPr>
          <w:noProof/>
        </w:rPr>
      </w:pPr>
      <w:r w:rsidRPr="00CE39FB">
        <w:rPr>
          <w:noProof/>
        </w:rPr>
        <w:t>1.4.</w:t>
      </w:r>
      <w:r w:rsidRPr="00CE39FB">
        <w:rPr>
          <w:noProof/>
        </w:rPr>
        <w:tab/>
        <w:t>Objective(s)</w:t>
      </w:r>
    </w:p>
    <w:p w14:paraId="627AF0AA" w14:textId="77777777" w:rsidR="004770F6" w:rsidRPr="00CE39FB" w:rsidRDefault="004770F6">
      <w:pPr>
        <w:pStyle w:val="ManualHeading3"/>
        <w:rPr>
          <w:noProof/>
        </w:rPr>
      </w:pPr>
      <w:r w:rsidRPr="00CE39FB">
        <w:rPr>
          <w:noProof/>
        </w:rPr>
        <w:t>1.4.1.</w:t>
      </w:r>
      <w:r w:rsidRPr="00CE39FB">
        <w:rPr>
          <w:noProof/>
        </w:rPr>
        <w:tab/>
        <w:t>General objective(s)</w:t>
      </w:r>
    </w:p>
    <w:p w14:paraId="216FA2D8" w14:textId="77777777" w:rsidR="004770F6" w:rsidRPr="00CE39FB" w:rsidRDefault="004770F6">
      <w:pPr>
        <w:pStyle w:val="ManualHeading3"/>
        <w:rPr>
          <w:noProof/>
        </w:rPr>
      </w:pPr>
      <w:r w:rsidRPr="00CE39FB">
        <w:rPr>
          <w:noProof/>
        </w:rPr>
        <w:t>1.4.2.</w:t>
      </w:r>
      <w:r w:rsidRPr="00CE39FB">
        <w:rPr>
          <w:noProof/>
        </w:rPr>
        <w:tab/>
        <w:t>Specific objective(s)</w:t>
      </w:r>
    </w:p>
    <w:p w14:paraId="52C70053" w14:textId="77777777" w:rsidR="004770F6" w:rsidRPr="00CE39FB" w:rsidRDefault="004770F6">
      <w:pPr>
        <w:pStyle w:val="ManualHeading3"/>
        <w:rPr>
          <w:noProof/>
        </w:rPr>
      </w:pPr>
      <w:r w:rsidRPr="00CE39FB">
        <w:rPr>
          <w:noProof/>
        </w:rPr>
        <w:t>1.4.3.</w:t>
      </w:r>
      <w:r w:rsidRPr="00CE39FB">
        <w:rPr>
          <w:noProof/>
        </w:rPr>
        <w:tab/>
        <w:t>Expected result(s) and impact</w:t>
      </w:r>
    </w:p>
    <w:p w14:paraId="37645169" w14:textId="77777777" w:rsidR="004770F6" w:rsidRPr="00CE39FB" w:rsidRDefault="004770F6">
      <w:pPr>
        <w:pStyle w:val="ManualHeading3"/>
        <w:rPr>
          <w:noProof/>
        </w:rPr>
      </w:pPr>
      <w:r w:rsidRPr="00CE39FB">
        <w:rPr>
          <w:noProof/>
        </w:rPr>
        <w:t>1.4.4.</w:t>
      </w:r>
      <w:r w:rsidRPr="00CE39FB">
        <w:rPr>
          <w:noProof/>
        </w:rPr>
        <w:tab/>
        <w:t>Indicators of performance</w:t>
      </w:r>
    </w:p>
    <w:p w14:paraId="1E93FA25" w14:textId="77777777" w:rsidR="004770F6" w:rsidRPr="00CE39FB" w:rsidRDefault="004770F6">
      <w:pPr>
        <w:pStyle w:val="ManualHeading2"/>
        <w:rPr>
          <w:noProof/>
        </w:rPr>
      </w:pPr>
      <w:r w:rsidRPr="00CE39FB">
        <w:rPr>
          <w:noProof/>
        </w:rPr>
        <w:t>1.5.</w:t>
      </w:r>
      <w:r w:rsidRPr="00CE39FB">
        <w:rPr>
          <w:noProof/>
        </w:rPr>
        <w:tab/>
        <w:t>Grounds for the proposal/initiative</w:t>
      </w:r>
    </w:p>
    <w:p w14:paraId="2DF01E7B" w14:textId="77777777" w:rsidR="004770F6" w:rsidRPr="00CE39FB" w:rsidRDefault="004770F6">
      <w:pPr>
        <w:pStyle w:val="ManualHeading3"/>
        <w:rPr>
          <w:noProof/>
        </w:rPr>
      </w:pPr>
      <w:r w:rsidRPr="00CE39FB">
        <w:rPr>
          <w:noProof/>
        </w:rPr>
        <w:t>1.5.1.</w:t>
      </w:r>
      <w:r w:rsidRPr="00CE39FB">
        <w:rPr>
          <w:noProof/>
        </w:rPr>
        <w:tab/>
        <w:t>Requirement(s) to be met in the short or long term including a detailed timeline for roll-out of the implementation of the initiative</w:t>
      </w:r>
    </w:p>
    <w:p w14:paraId="6FCE21A2" w14:textId="77777777" w:rsidR="004770F6" w:rsidRPr="00CE39FB" w:rsidRDefault="004770F6">
      <w:pPr>
        <w:pStyle w:val="ManualHeading3"/>
        <w:rPr>
          <w:noProof/>
        </w:rPr>
      </w:pPr>
      <w:r w:rsidRPr="00CE39FB">
        <w:rPr>
          <w:noProof/>
        </w:rPr>
        <w:t>1.5.2.</w:t>
      </w:r>
      <w:r w:rsidRPr="00CE39FB">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51ED3298" w14:textId="77777777" w:rsidR="004770F6" w:rsidRPr="00CE39FB" w:rsidRDefault="004770F6">
      <w:pPr>
        <w:pStyle w:val="ManualHeading3"/>
        <w:rPr>
          <w:noProof/>
        </w:rPr>
      </w:pPr>
      <w:r w:rsidRPr="00CE39FB">
        <w:rPr>
          <w:noProof/>
        </w:rPr>
        <w:t>1.5.3.</w:t>
      </w:r>
      <w:r w:rsidRPr="00CE39FB">
        <w:rPr>
          <w:noProof/>
        </w:rPr>
        <w:tab/>
        <w:t>Lessons learned from similar experiences in the past</w:t>
      </w:r>
    </w:p>
    <w:p w14:paraId="13BADD0B" w14:textId="77777777" w:rsidR="004770F6" w:rsidRPr="00CE39FB" w:rsidRDefault="004770F6">
      <w:pPr>
        <w:pStyle w:val="ManualHeading3"/>
        <w:rPr>
          <w:noProof/>
        </w:rPr>
      </w:pPr>
      <w:r w:rsidRPr="00CE39FB">
        <w:rPr>
          <w:noProof/>
        </w:rPr>
        <w:t>1.5.4.</w:t>
      </w:r>
      <w:r w:rsidRPr="00CE39FB">
        <w:rPr>
          <w:noProof/>
        </w:rPr>
        <w:tab/>
        <w:t>Compatibility with the Multiannual Financial Framework and possible synergies with other appropriate instruments</w:t>
      </w:r>
    </w:p>
    <w:p w14:paraId="02BEB116" w14:textId="77777777" w:rsidR="004770F6" w:rsidRPr="00CE39FB" w:rsidRDefault="004770F6">
      <w:pPr>
        <w:pStyle w:val="ManualHeading3"/>
        <w:rPr>
          <w:noProof/>
        </w:rPr>
      </w:pPr>
      <w:r w:rsidRPr="00CE39FB">
        <w:rPr>
          <w:noProof/>
        </w:rPr>
        <w:t>1.5.5.</w:t>
      </w:r>
      <w:r w:rsidRPr="00CE39FB">
        <w:rPr>
          <w:noProof/>
        </w:rPr>
        <w:tab/>
        <w:t>Assessment of the different available financing options, including scope for redeployment</w:t>
      </w:r>
    </w:p>
    <w:p w14:paraId="689C5468" w14:textId="77777777" w:rsidR="004770F6" w:rsidRPr="00CE39FB" w:rsidRDefault="004770F6">
      <w:pPr>
        <w:pStyle w:val="ManualHeading2"/>
        <w:rPr>
          <w:noProof/>
        </w:rPr>
      </w:pPr>
      <w:r w:rsidRPr="00CE39FB">
        <w:rPr>
          <w:noProof/>
        </w:rPr>
        <w:t>1.6.</w:t>
      </w:r>
      <w:r w:rsidRPr="00CE39FB">
        <w:rPr>
          <w:noProof/>
        </w:rPr>
        <w:tab/>
        <w:t>Duration and financial impact of the proposal/initiative</w:t>
      </w:r>
    </w:p>
    <w:p w14:paraId="505F1B8F" w14:textId="77777777" w:rsidR="004770F6" w:rsidRPr="00CE39FB" w:rsidRDefault="004770F6">
      <w:pPr>
        <w:pStyle w:val="ManualHeading2"/>
        <w:rPr>
          <w:noProof/>
        </w:rPr>
      </w:pPr>
      <w:r w:rsidRPr="00CE39FB">
        <w:rPr>
          <w:noProof/>
        </w:rPr>
        <w:t>1.7.</w:t>
      </w:r>
      <w:r w:rsidRPr="00CE39FB">
        <w:rPr>
          <w:noProof/>
        </w:rPr>
        <w:tab/>
        <w:t>Method(s) of budget implementation planned</w:t>
      </w:r>
    </w:p>
    <w:p w14:paraId="6BB11E81" w14:textId="77777777" w:rsidR="004770F6" w:rsidRPr="00CE39FB" w:rsidRDefault="004770F6">
      <w:pPr>
        <w:pStyle w:val="ManualHeading1"/>
        <w:rPr>
          <w:noProof/>
        </w:rPr>
      </w:pPr>
      <w:r w:rsidRPr="00CE39FB">
        <w:rPr>
          <w:noProof/>
        </w:rPr>
        <w:t>2.</w:t>
      </w:r>
      <w:r w:rsidRPr="00CE39FB">
        <w:rPr>
          <w:noProof/>
        </w:rPr>
        <w:tab/>
        <w:t>MANAGEMENT MEASURES</w:t>
      </w:r>
    </w:p>
    <w:p w14:paraId="04EC27BD" w14:textId="77777777" w:rsidR="004770F6" w:rsidRPr="00CE39FB" w:rsidRDefault="004770F6">
      <w:pPr>
        <w:pStyle w:val="ManualHeading2"/>
        <w:rPr>
          <w:noProof/>
        </w:rPr>
      </w:pPr>
      <w:r w:rsidRPr="00CE39FB">
        <w:rPr>
          <w:noProof/>
        </w:rPr>
        <w:t>2.1.</w:t>
      </w:r>
      <w:r w:rsidRPr="00CE39FB">
        <w:rPr>
          <w:noProof/>
        </w:rPr>
        <w:tab/>
        <w:t>Monitoring and reporting rules</w:t>
      </w:r>
    </w:p>
    <w:p w14:paraId="72BD2E49" w14:textId="77777777" w:rsidR="004770F6" w:rsidRPr="00CE39FB" w:rsidRDefault="004770F6">
      <w:pPr>
        <w:pStyle w:val="ManualHeading2"/>
        <w:rPr>
          <w:noProof/>
        </w:rPr>
      </w:pPr>
      <w:r w:rsidRPr="00CE39FB">
        <w:rPr>
          <w:noProof/>
        </w:rPr>
        <w:t>2.2.</w:t>
      </w:r>
      <w:r w:rsidRPr="00CE39FB">
        <w:rPr>
          <w:noProof/>
        </w:rPr>
        <w:tab/>
        <w:t>Management and control system(s)</w:t>
      </w:r>
    </w:p>
    <w:p w14:paraId="5EA5A24D" w14:textId="77777777" w:rsidR="004770F6" w:rsidRPr="00CE39FB" w:rsidRDefault="004770F6">
      <w:pPr>
        <w:pStyle w:val="ManualHeading3"/>
        <w:rPr>
          <w:noProof/>
        </w:rPr>
      </w:pPr>
      <w:r w:rsidRPr="00CE39FB">
        <w:rPr>
          <w:noProof/>
        </w:rPr>
        <w:t>2.2.1.</w:t>
      </w:r>
      <w:r w:rsidRPr="00CE39FB">
        <w:rPr>
          <w:noProof/>
        </w:rPr>
        <w:tab/>
        <w:t>Justification of the management mode(s), the funding implementation mechanism(s), the payment modalities and the control strategy proposed</w:t>
      </w:r>
    </w:p>
    <w:p w14:paraId="13504083" w14:textId="77777777" w:rsidR="004770F6" w:rsidRPr="00CE39FB" w:rsidRDefault="004770F6">
      <w:pPr>
        <w:pStyle w:val="ManualHeading3"/>
        <w:rPr>
          <w:noProof/>
        </w:rPr>
      </w:pPr>
      <w:r w:rsidRPr="00CE39FB">
        <w:rPr>
          <w:noProof/>
        </w:rPr>
        <w:t>2.2.2.</w:t>
      </w:r>
      <w:r w:rsidRPr="00CE39FB">
        <w:rPr>
          <w:noProof/>
        </w:rPr>
        <w:tab/>
        <w:t>Information concerning the risks identified and the internal control system(s) set up to mitigate them</w:t>
      </w:r>
    </w:p>
    <w:p w14:paraId="08C7A195" w14:textId="77777777" w:rsidR="004770F6" w:rsidRPr="00CE39FB" w:rsidRDefault="004770F6">
      <w:pPr>
        <w:pStyle w:val="ManualHeading3"/>
        <w:rPr>
          <w:noProof/>
        </w:rPr>
      </w:pPr>
      <w:r w:rsidRPr="00CE39FB">
        <w:rPr>
          <w:noProof/>
        </w:rPr>
        <w:t>2.2.3.</w:t>
      </w:r>
      <w:r w:rsidRPr="00CE39FB">
        <w:rPr>
          <w:noProof/>
        </w:rPr>
        <w:tab/>
        <w:t>Estimation and justification of the cost-effectiveness of the controls (ratio of "control costs ÷ value of the related funds managed"), and assessment of the expected levels of risk of error (at payment &amp; at closure)</w:t>
      </w:r>
    </w:p>
    <w:p w14:paraId="6D8E893F" w14:textId="77777777" w:rsidR="004770F6" w:rsidRPr="00CE39FB" w:rsidRDefault="004770F6">
      <w:pPr>
        <w:pStyle w:val="ManualHeading2"/>
        <w:rPr>
          <w:noProof/>
        </w:rPr>
      </w:pPr>
      <w:r w:rsidRPr="00CE39FB">
        <w:rPr>
          <w:noProof/>
        </w:rPr>
        <w:t>2.3.</w:t>
      </w:r>
      <w:r w:rsidRPr="00CE39FB">
        <w:rPr>
          <w:noProof/>
        </w:rPr>
        <w:tab/>
        <w:t>Measures to prevent fraud and irregularities</w:t>
      </w:r>
    </w:p>
    <w:p w14:paraId="103437F7" w14:textId="77777777" w:rsidR="004770F6" w:rsidRPr="00CE39FB" w:rsidRDefault="004770F6">
      <w:pPr>
        <w:pStyle w:val="ManualHeading1"/>
        <w:rPr>
          <w:noProof/>
        </w:rPr>
      </w:pPr>
      <w:r w:rsidRPr="00CE39FB">
        <w:rPr>
          <w:noProof/>
        </w:rPr>
        <w:t>3.</w:t>
      </w:r>
      <w:r w:rsidRPr="00CE39FB">
        <w:rPr>
          <w:noProof/>
        </w:rPr>
        <w:tab/>
        <w:t>ESTIMATED FINANCIAL IMPACT OF THE PROPOSAL/INITIATIVE</w:t>
      </w:r>
    </w:p>
    <w:p w14:paraId="3E53BECB" w14:textId="77777777" w:rsidR="004770F6" w:rsidRPr="00CE39FB" w:rsidRDefault="004770F6">
      <w:pPr>
        <w:pStyle w:val="ManualHeading2"/>
        <w:rPr>
          <w:noProof/>
        </w:rPr>
      </w:pPr>
      <w:r w:rsidRPr="00CE39FB">
        <w:rPr>
          <w:noProof/>
        </w:rPr>
        <w:t>3.1.</w:t>
      </w:r>
      <w:r w:rsidRPr="00CE39FB">
        <w:rPr>
          <w:noProof/>
        </w:rPr>
        <w:tab/>
        <w:t>Heading(s) of the multiannual financial framework and expenditure budget line(s) affected</w:t>
      </w:r>
    </w:p>
    <w:p w14:paraId="2DCB5733" w14:textId="77777777" w:rsidR="004770F6" w:rsidRPr="00CE39FB" w:rsidRDefault="004770F6">
      <w:pPr>
        <w:pStyle w:val="ManualHeading2"/>
        <w:rPr>
          <w:noProof/>
        </w:rPr>
      </w:pPr>
      <w:r w:rsidRPr="00CE39FB">
        <w:rPr>
          <w:noProof/>
        </w:rPr>
        <w:t>3.2.</w:t>
      </w:r>
      <w:r w:rsidRPr="00CE39FB">
        <w:rPr>
          <w:noProof/>
        </w:rPr>
        <w:tab/>
        <w:t>Estimated financial impact of the proposal on appropriations</w:t>
      </w:r>
    </w:p>
    <w:p w14:paraId="6CDD171E" w14:textId="77777777" w:rsidR="004770F6" w:rsidRPr="00CE39FB" w:rsidRDefault="004770F6">
      <w:pPr>
        <w:pStyle w:val="ManualHeading3"/>
        <w:rPr>
          <w:noProof/>
        </w:rPr>
      </w:pPr>
      <w:r w:rsidRPr="00CE39FB">
        <w:rPr>
          <w:noProof/>
        </w:rPr>
        <w:t>3.2.1.</w:t>
      </w:r>
      <w:r w:rsidRPr="00CE39FB">
        <w:rPr>
          <w:noProof/>
        </w:rPr>
        <w:tab/>
        <w:t>Summary of estimated impact on operational appropriations</w:t>
      </w:r>
    </w:p>
    <w:p w14:paraId="78CCC0B2" w14:textId="77777777" w:rsidR="004770F6" w:rsidRPr="00CE39FB" w:rsidRDefault="004770F6">
      <w:pPr>
        <w:pStyle w:val="ManualHeading3"/>
        <w:rPr>
          <w:noProof/>
        </w:rPr>
      </w:pPr>
      <w:r w:rsidRPr="00CE39FB">
        <w:rPr>
          <w:noProof/>
        </w:rPr>
        <w:t>3.2.2.</w:t>
      </w:r>
      <w:r w:rsidRPr="00CE39FB">
        <w:rPr>
          <w:noProof/>
        </w:rPr>
        <w:tab/>
        <w:t>Estimated output funded with operational appropriations</w:t>
      </w:r>
    </w:p>
    <w:p w14:paraId="620974F5" w14:textId="77777777" w:rsidR="004770F6" w:rsidRPr="00CE39FB" w:rsidRDefault="004770F6">
      <w:pPr>
        <w:pStyle w:val="ManualHeading3"/>
        <w:rPr>
          <w:noProof/>
        </w:rPr>
      </w:pPr>
      <w:r w:rsidRPr="00CE39FB">
        <w:rPr>
          <w:noProof/>
        </w:rPr>
        <w:t>3.2.3.</w:t>
      </w:r>
      <w:r w:rsidRPr="00CE39FB">
        <w:rPr>
          <w:noProof/>
        </w:rPr>
        <w:tab/>
        <w:t>Summary of estimated impact on administrative appropriations</w:t>
      </w:r>
    </w:p>
    <w:p w14:paraId="1FD8C46E" w14:textId="77777777" w:rsidR="004770F6" w:rsidRPr="00CE39FB" w:rsidRDefault="004770F6">
      <w:pPr>
        <w:pStyle w:val="ManualHeading3"/>
        <w:rPr>
          <w:noProof/>
        </w:rPr>
      </w:pPr>
      <w:r w:rsidRPr="00CE39FB">
        <w:rPr>
          <w:noProof/>
        </w:rPr>
        <w:t>3.2.3.1.</w:t>
      </w:r>
      <w:r w:rsidRPr="00CE39FB">
        <w:rPr>
          <w:noProof/>
        </w:rPr>
        <w:tab/>
        <w:t>Estimated requirements of human resources</w:t>
      </w:r>
    </w:p>
    <w:p w14:paraId="59F4793D" w14:textId="77777777" w:rsidR="004770F6" w:rsidRPr="00CE39FB" w:rsidRDefault="004770F6">
      <w:pPr>
        <w:pStyle w:val="ManualHeading3"/>
        <w:rPr>
          <w:noProof/>
        </w:rPr>
      </w:pPr>
      <w:r w:rsidRPr="00CE39FB">
        <w:rPr>
          <w:noProof/>
        </w:rPr>
        <w:t>3.2.4.</w:t>
      </w:r>
      <w:r w:rsidRPr="00CE39FB">
        <w:rPr>
          <w:noProof/>
        </w:rPr>
        <w:tab/>
        <w:t>Compatibility with the current multiannual financial framework</w:t>
      </w:r>
    </w:p>
    <w:p w14:paraId="12DC0BBB" w14:textId="77777777" w:rsidR="004770F6" w:rsidRPr="00CE39FB" w:rsidRDefault="004770F6">
      <w:pPr>
        <w:pStyle w:val="ManualHeading3"/>
        <w:rPr>
          <w:noProof/>
        </w:rPr>
      </w:pPr>
      <w:r w:rsidRPr="00CE39FB">
        <w:rPr>
          <w:noProof/>
        </w:rPr>
        <w:t>3.2.5.</w:t>
      </w:r>
      <w:r w:rsidRPr="00CE39FB">
        <w:rPr>
          <w:noProof/>
        </w:rPr>
        <w:tab/>
        <w:t>Third-party contributions</w:t>
      </w:r>
    </w:p>
    <w:p w14:paraId="1EBAADFF" w14:textId="77777777" w:rsidR="004770F6" w:rsidRPr="00CE39FB" w:rsidRDefault="004770F6">
      <w:pPr>
        <w:pStyle w:val="ManualHeading2"/>
        <w:rPr>
          <w:noProof/>
        </w:rPr>
      </w:pPr>
      <w:r w:rsidRPr="00CE39FB">
        <w:rPr>
          <w:noProof/>
        </w:rPr>
        <w:t>3.3.</w:t>
      </w:r>
      <w:r w:rsidRPr="00CE39FB">
        <w:rPr>
          <w:noProof/>
        </w:rPr>
        <w:tab/>
        <w:t>Estimated impact on revenue</w:t>
      </w:r>
    </w:p>
    <w:p w14:paraId="7AB1D7CA" w14:textId="77777777" w:rsidR="004770F6" w:rsidRPr="00CE39FB" w:rsidRDefault="004770F6">
      <w:pPr>
        <w:rPr>
          <w:noProof/>
        </w:rPr>
        <w:sectPr w:rsidR="004770F6" w:rsidRPr="00CE39FB" w:rsidSect="00E17AC8">
          <w:pgSz w:w="11907" w:h="16840" w:code="9"/>
          <w:pgMar w:top="1134" w:right="1418" w:bottom="1134" w:left="1418" w:header="709" w:footer="709" w:gutter="0"/>
          <w:pgNumType w:start="1"/>
          <w:cols w:space="720"/>
          <w:docGrid w:linePitch="360"/>
        </w:sectPr>
      </w:pPr>
    </w:p>
    <w:p w14:paraId="13B05D84" w14:textId="77777777" w:rsidR="004770F6" w:rsidRPr="00CE39FB" w:rsidRDefault="004770F6">
      <w:pPr>
        <w:pStyle w:val="ManualHeading1"/>
        <w:rPr>
          <w:noProof/>
        </w:rPr>
      </w:pPr>
      <w:bookmarkStart w:id="14" w:name="_Toc514938007"/>
      <w:bookmarkStart w:id="15" w:name="_Toc520485025"/>
      <w:r w:rsidRPr="00CE39FB">
        <w:rPr>
          <w:noProof/>
        </w:rPr>
        <w:t>1.</w:t>
      </w:r>
      <w:r w:rsidRPr="00CE39FB">
        <w:rPr>
          <w:noProof/>
        </w:rPr>
        <w:tab/>
        <w:t>FRAMEWORK OF THE PROPOSAL/INITIATIVE</w:t>
      </w:r>
      <w:bookmarkEnd w:id="14"/>
      <w:bookmarkEnd w:id="15"/>
      <w:r w:rsidRPr="00CE39FB">
        <w:rPr>
          <w:noProof/>
        </w:rPr>
        <w:t xml:space="preserve"> </w:t>
      </w:r>
    </w:p>
    <w:p w14:paraId="7000519D" w14:textId="77777777" w:rsidR="004770F6" w:rsidRPr="00CE39FB" w:rsidRDefault="004770F6">
      <w:pPr>
        <w:pStyle w:val="ManualHeading2"/>
        <w:rPr>
          <w:noProof/>
        </w:rPr>
      </w:pPr>
      <w:bookmarkStart w:id="16" w:name="_Toc514938008"/>
      <w:bookmarkStart w:id="17" w:name="_Toc520485026"/>
      <w:r w:rsidRPr="00CE39FB">
        <w:rPr>
          <w:noProof/>
        </w:rPr>
        <w:t>1.1.</w:t>
      </w:r>
      <w:r w:rsidRPr="00CE39FB">
        <w:rPr>
          <w:noProof/>
        </w:rPr>
        <w:tab/>
        <w:t>Title of the proposal/initiative</w:t>
      </w:r>
      <w:bookmarkEnd w:id="16"/>
      <w:bookmarkEnd w:id="17"/>
    </w:p>
    <w:p w14:paraId="5747EADF" w14:textId="77777777" w:rsidR="00C52B30" w:rsidRPr="00CE39FB" w:rsidRDefault="00C52B30" w:rsidP="00C52B30">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Regulation of the European Parliament and of the Council </w:t>
      </w:r>
      <w:r w:rsidR="00C4478A" w:rsidRPr="00CE39FB">
        <w:rPr>
          <w:noProof/>
        </w:rPr>
        <w:t>laying down measures to</w:t>
      </w:r>
      <w:r w:rsidRPr="00CE39FB">
        <w:rPr>
          <w:noProof/>
        </w:rPr>
        <w:t xml:space="preserve"> strengthen solidarity and capacities in the Union to detect, prepare for and respond to cybersecurity threats and incidents </w:t>
      </w:r>
    </w:p>
    <w:p w14:paraId="7D0A4A25" w14:textId="77777777" w:rsidR="004770F6" w:rsidRPr="00CE39FB" w:rsidRDefault="004770F6">
      <w:pPr>
        <w:pStyle w:val="ManualHeading2"/>
        <w:rPr>
          <w:i/>
          <w:noProof/>
        </w:rPr>
      </w:pPr>
      <w:bookmarkStart w:id="18" w:name="_Toc514938011"/>
      <w:bookmarkStart w:id="19" w:name="_Toc520485027"/>
      <w:r w:rsidRPr="00CE39FB">
        <w:rPr>
          <w:noProof/>
        </w:rPr>
        <w:t>1.2.</w:t>
      </w:r>
      <w:r w:rsidRPr="00CE39FB">
        <w:rPr>
          <w:noProof/>
        </w:rPr>
        <w:tab/>
        <w:t>Policy area(s) concerned</w:t>
      </w:r>
      <w:bookmarkEnd w:id="18"/>
      <w:bookmarkEnd w:id="19"/>
      <w:r w:rsidRPr="00CE39FB">
        <w:rPr>
          <w:i/>
          <w:noProof/>
        </w:rPr>
        <w:t xml:space="preserve"> </w:t>
      </w:r>
    </w:p>
    <w:p w14:paraId="0ECB652E" w14:textId="77777777" w:rsidR="00275433" w:rsidRPr="00CE39FB" w:rsidRDefault="00275433" w:rsidP="00275433">
      <w:pPr>
        <w:pStyle w:val="Text1"/>
        <w:pBdr>
          <w:top w:val="single" w:sz="4" w:space="1" w:color="auto"/>
          <w:left w:val="single" w:sz="4" w:space="4" w:color="auto"/>
          <w:bottom w:val="single" w:sz="4" w:space="1" w:color="auto"/>
          <w:right w:val="single" w:sz="4" w:space="4" w:color="auto"/>
        </w:pBdr>
        <w:rPr>
          <w:noProof/>
        </w:rPr>
      </w:pPr>
      <w:r w:rsidRPr="00CE39FB">
        <w:rPr>
          <w:noProof/>
        </w:rPr>
        <w:t>A Europe fit for the Digital Age</w:t>
      </w:r>
    </w:p>
    <w:p w14:paraId="2BF55361" w14:textId="77777777" w:rsidR="00275433" w:rsidRPr="00CE39FB" w:rsidRDefault="00275433" w:rsidP="00275433">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European Strategic Investments </w:t>
      </w:r>
    </w:p>
    <w:p w14:paraId="7D8C7685" w14:textId="77777777" w:rsidR="00275433" w:rsidRPr="00CE39FB" w:rsidRDefault="00275433" w:rsidP="00275433">
      <w:pPr>
        <w:pStyle w:val="Text1"/>
        <w:pBdr>
          <w:top w:val="single" w:sz="4" w:space="1" w:color="auto"/>
          <w:left w:val="single" w:sz="4" w:space="4" w:color="auto"/>
          <w:bottom w:val="single" w:sz="4" w:space="1" w:color="auto"/>
          <w:right w:val="single" w:sz="4" w:space="4" w:color="auto"/>
        </w:pBdr>
        <w:rPr>
          <w:noProof/>
        </w:rPr>
      </w:pPr>
      <w:r w:rsidRPr="00CE39FB">
        <w:rPr>
          <w:noProof/>
        </w:rPr>
        <w:t>Activity: Shaping Europe’s digital future.</w:t>
      </w:r>
    </w:p>
    <w:p w14:paraId="10ABB4B2" w14:textId="77777777" w:rsidR="004770F6" w:rsidRPr="00CE39FB" w:rsidRDefault="004770F6">
      <w:pPr>
        <w:pStyle w:val="ManualHeading2"/>
        <w:rPr>
          <w:bCs/>
          <w:noProof/>
          <w:szCs w:val="24"/>
        </w:rPr>
      </w:pPr>
      <w:bookmarkStart w:id="20" w:name="_Toc514938014"/>
      <w:bookmarkStart w:id="21" w:name="_Toc520485028"/>
      <w:r w:rsidRPr="00CE39FB">
        <w:rPr>
          <w:noProof/>
        </w:rPr>
        <w:t>1.3.</w:t>
      </w:r>
      <w:r w:rsidRPr="00CE39FB">
        <w:rPr>
          <w:noProof/>
        </w:rPr>
        <w:tab/>
        <w:t>The proposal/initiative relates to:</w:t>
      </w:r>
      <w:bookmarkEnd w:id="20"/>
      <w:bookmarkEnd w:id="21"/>
      <w:r w:rsidRPr="00CE39FB">
        <w:rPr>
          <w:noProof/>
        </w:rPr>
        <w:t xml:space="preserve"> </w:t>
      </w:r>
    </w:p>
    <w:p w14:paraId="263FC531" w14:textId="77777777" w:rsidR="004770F6" w:rsidRPr="00CE39FB" w:rsidRDefault="00C62170">
      <w:pPr>
        <w:pStyle w:val="Text1"/>
        <w:rPr>
          <w:b/>
          <w:noProof/>
          <w:sz w:val="22"/>
        </w:rPr>
      </w:pPr>
      <w:r w:rsidRPr="00CE39FB">
        <w:rPr>
          <w:rFonts w:ascii="Wingdings" w:eastAsia="Wingdings" w:hAnsi="Wingdings" w:cs="Wingdings"/>
          <w:noProof/>
          <w:sz w:val="22"/>
        </w:rPr>
        <w:t></w:t>
      </w:r>
      <w:r w:rsidR="004770F6" w:rsidRPr="00CE39FB">
        <w:rPr>
          <w:b/>
          <w:i/>
          <w:noProof/>
          <w:sz w:val="22"/>
        </w:rPr>
        <w:t xml:space="preserve"> </w:t>
      </w:r>
      <w:r w:rsidR="004770F6" w:rsidRPr="00CE39FB">
        <w:rPr>
          <w:b/>
          <w:noProof/>
        </w:rPr>
        <w:t>a new action</w:t>
      </w:r>
      <w:r w:rsidR="004770F6" w:rsidRPr="00CE39FB">
        <w:rPr>
          <w:b/>
          <w:noProof/>
          <w:sz w:val="22"/>
        </w:rPr>
        <w:t xml:space="preserve"> </w:t>
      </w:r>
    </w:p>
    <w:p w14:paraId="777CA8F0" w14:textId="77777777" w:rsidR="004770F6" w:rsidRPr="00CE39FB" w:rsidRDefault="004770F6">
      <w:pPr>
        <w:pStyle w:val="Text1"/>
        <w:rPr>
          <w:noProof/>
          <w:sz w:val="22"/>
        </w:rPr>
      </w:pPr>
      <w:r w:rsidRPr="00CE39FB">
        <w:rPr>
          <w:rFonts w:ascii="Wingdings" w:eastAsia="Wingdings" w:hAnsi="Wingdings" w:cs="Wingdings"/>
          <w:noProof/>
          <w:sz w:val="22"/>
        </w:rPr>
        <w:t></w:t>
      </w:r>
      <w:r w:rsidRPr="00CE39FB">
        <w:rPr>
          <w:i/>
          <w:iCs/>
          <w:noProof/>
          <w:sz w:val="22"/>
        </w:rPr>
        <w:t xml:space="preserve"> </w:t>
      </w:r>
      <w:r w:rsidRPr="00CE39FB">
        <w:rPr>
          <w:b/>
          <w:bCs/>
          <w:noProof/>
        </w:rPr>
        <w:t>a new action following a pilot project/preparatory action</w:t>
      </w:r>
      <w:r w:rsidRPr="00CE39FB">
        <w:rPr>
          <w:rStyle w:val="FootnoteReference"/>
          <w:b/>
          <w:bCs/>
          <w:noProof/>
        </w:rPr>
        <w:footnoteReference w:id="34"/>
      </w:r>
      <w:r w:rsidRPr="00CE39FB">
        <w:rPr>
          <w:noProof/>
          <w:sz w:val="22"/>
        </w:rPr>
        <w:t xml:space="preserve"> </w:t>
      </w:r>
    </w:p>
    <w:p w14:paraId="0469EB9D" w14:textId="77777777" w:rsidR="004770F6" w:rsidRPr="00CE39FB" w:rsidRDefault="004770F6">
      <w:pPr>
        <w:pStyle w:val="Text1"/>
        <w:rPr>
          <w:noProof/>
          <w:sz w:val="22"/>
        </w:rPr>
      </w:pPr>
      <w:r w:rsidRPr="00CE39FB">
        <w:rPr>
          <w:rFonts w:ascii="Wingdings" w:eastAsia="Wingdings" w:hAnsi="Wingdings" w:cs="Wingdings"/>
          <w:noProof/>
          <w:sz w:val="22"/>
        </w:rPr>
        <w:t></w:t>
      </w:r>
      <w:r w:rsidRPr="00CE39FB">
        <w:rPr>
          <w:i/>
          <w:noProof/>
          <w:sz w:val="22"/>
        </w:rPr>
        <w:t xml:space="preserve"> </w:t>
      </w:r>
      <w:r w:rsidRPr="00CE39FB">
        <w:rPr>
          <w:b/>
          <w:noProof/>
        </w:rPr>
        <w:t>the extension of an existing action</w:t>
      </w:r>
      <w:r w:rsidRPr="00CE39FB">
        <w:rPr>
          <w:noProof/>
          <w:sz w:val="22"/>
        </w:rPr>
        <w:t xml:space="preserve"> </w:t>
      </w:r>
    </w:p>
    <w:p w14:paraId="6E809337" w14:textId="77777777" w:rsidR="004770F6" w:rsidRPr="00CE39FB" w:rsidRDefault="004770F6">
      <w:pPr>
        <w:pStyle w:val="Text1"/>
        <w:rPr>
          <w:noProof/>
        </w:rPr>
      </w:pPr>
      <w:r w:rsidRPr="00CE39FB">
        <w:rPr>
          <w:rFonts w:ascii="Wingdings" w:eastAsia="Wingdings" w:hAnsi="Wingdings" w:cs="Wingdings"/>
          <w:noProof/>
          <w:sz w:val="22"/>
        </w:rPr>
        <w:t></w:t>
      </w:r>
      <w:r w:rsidRPr="00CE39FB">
        <w:rPr>
          <w:i/>
          <w:noProof/>
          <w:sz w:val="22"/>
        </w:rPr>
        <w:t xml:space="preserve"> </w:t>
      </w:r>
      <w:r w:rsidRPr="00CE39FB">
        <w:rPr>
          <w:b/>
          <w:noProof/>
        </w:rPr>
        <w:t>a merger or redirection of one or more actions towards another/a new action</w:t>
      </w:r>
      <w:r w:rsidRPr="00CE39FB">
        <w:rPr>
          <w:noProof/>
        </w:rPr>
        <w:t xml:space="preserve"> </w:t>
      </w:r>
    </w:p>
    <w:p w14:paraId="559C9320" w14:textId="77777777" w:rsidR="004770F6" w:rsidRPr="00CE39FB" w:rsidRDefault="004770F6">
      <w:pPr>
        <w:pStyle w:val="ManualHeading2"/>
        <w:rPr>
          <w:bCs/>
          <w:noProof/>
          <w:szCs w:val="24"/>
        </w:rPr>
      </w:pPr>
      <w:bookmarkStart w:id="22" w:name="_Toc514938015"/>
      <w:bookmarkStart w:id="23" w:name="_Toc520485029"/>
      <w:r w:rsidRPr="00CE39FB">
        <w:rPr>
          <w:noProof/>
        </w:rPr>
        <w:t>1.4.</w:t>
      </w:r>
      <w:r w:rsidRPr="00CE39FB">
        <w:rPr>
          <w:noProof/>
        </w:rPr>
        <w:tab/>
        <w:t>Objective(s)</w:t>
      </w:r>
      <w:bookmarkEnd w:id="22"/>
      <w:bookmarkEnd w:id="23"/>
    </w:p>
    <w:p w14:paraId="72C50D10" w14:textId="77777777" w:rsidR="004770F6" w:rsidRPr="00CE39FB" w:rsidRDefault="004770F6">
      <w:pPr>
        <w:pStyle w:val="ManualHeading3"/>
        <w:rPr>
          <w:noProof/>
        </w:rPr>
      </w:pPr>
      <w:bookmarkStart w:id="24" w:name="_Toc514938016"/>
      <w:bookmarkStart w:id="25" w:name="_Toc520485030"/>
      <w:r w:rsidRPr="00CE39FB">
        <w:rPr>
          <w:noProof/>
        </w:rPr>
        <w:t>1.4.1.</w:t>
      </w:r>
      <w:r w:rsidRPr="00CE39FB">
        <w:rPr>
          <w:noProof/>
        </w:rPr>
        <w:tab/>
        <w:t>General objective(s)</w:t>
      </w:r>
      <w:bookmarkEnd w:id="24"/>
      <w:bookmarkEnd w:id="25"/>
    </w:p>
    <w:p w14:paraId="0C9301DF" w14:textId="77777777" w:rsidR="007825F2" w:rsidRPr="00CE39FB" w:rsidRDefault="007825F2" w:rsidP="007825F2">
      <w:pPr>
        <w:pStyle w:val="Text1"/>
        <w:pBdr>
          <w:top w:val="single" w:sz="4" w:space="1" w:color="auto"/>
          <w:left w:val="single" w:sz="4" w:space="4" w:color="auto"/>
          <w:bottom w:val="single" w:sz="4" w:space="1" w:color="auto"/>
          <w:right w:val="single" w:sz="4" w:space="4" w:color="auto"/>
        </w:pBdr>
        <w:rPr>
          <w:noProof/>
        </w:rPr>
      </w:pPr>
      <w:r w:rsidRPr="00CE39FB">
        <w:rPr>
          <w:noProof/>
        </w:rPr>
        <w:t>The Cyber Solidarity Act will strengthen solidarity at Union level to better detect, prepare and respond to cybersecurity threats and incidents. It aims:</w:t>
      </w:r>
    </w:p>
    <w:p w14:paraId="7EBB8094" w14:textId="77777777" w:rsidR="007825F2" w:rsidRPr="00CE39FB" w:rsidRDefault="007825F2" w:rsidP="007825F2">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(a) to </w:t>
      </w:r>
      <w:r w:rsidR="00C4478A" w:rsidRPr="00CE39FB">
        <w:rPr>
          <w:noProof/>
        </w:rPr>
        <w:t>strengthen common EU detection and situational awareness of cyber threats and incidents</w:t>
      </w:r>
      <w:r w:rsidRPr="00CE39FB">
        <w:rPr>
          <w:noProof/>
        </w:rPr>
        <w:t>;</w:t>
      </w:r>
    </w:p>
    <w:p w14:paraId="7A40B349" w14:textId="3ABD85ED" w:rsidR="00C4478A" w:rsidRPr="00CE39FB" w:rsidRDefault="007825F2" w:rsidP="007825F2">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(b) </w:t>
      </w:r>
      <w:r w:rsidRPr="001C7B16">
        <w:rPr>
          <w:noProof/>
        </w:rPr>
        <w:t xml:space="preserve">to </w:t>
      </w:r>
      <w:r w:rsidR="00733072" w:rsidRPr="001C7B16">
        <w:rPr>
          <w:noProof/>
        </w:rPr>
        <w:t xml:space="preserve">reinforce </w:t>
      </w:r>
      <w:r w:rsidR="00C4478A" w:rsidRPr="001C7B16">
        <w:rPr>
          <w:noProof/>
        </w:rPr>
        <w:t xml:space="preserve">preparedness of critical entities across the EU and </w:t>
      </w:r>
      <w:r w:rsidR="00733072" w:rsidRPr="001C7B16">
        <w:rPr>
          <w:noProof/>
        </w:rPr>
        <w:t xml:space="preserve">strenghten solidarity by </w:t>
      </w:r>
      <w:r w:rsidR="00C4478A" w:rsidRPr="001C7B16">
        <w:rPr>
          <w:noProof/>
        </w:rPr>
        <w:t>develop</w:t>
      </w:r>
      <w:r w:rsidR="00733072" w:rsidRPr="001C7B16">
        <w:rPr>
          <w:noProof/>
        </w:rPr>
        <w:t>ing</w:t>
      </w:r>
      <w:r w:rsidR="00C4478A" w:rsidRPr="00CE39FB">
        <w:rPr>
          <w:noProof/>
        </w:rPr>
        <w:t xml:space="preserve"> common response capacities against significant or large-scale cybersecurity incidents, including by via making incident response support available for third countries. associated to </w:t>
      </w:r>
      <w:r w:rsidR="006D78D2">
        <w:rPr>
          <w:noProof/>
        </w:rPr>
        <w:t>DEP</w:t>
      </w:r>
      <w:r w:rsidR="00C4478A" w:rsidRPr="00CE39FB">
        <w:rPr>
          <w:noProof/>
        </w:rPr>
        <w:t>;</w:t>
      </w:r>
    </w:p>
    <w:p w14:paraId="1F2AEBBC" w14:textId="13C7B456" w:rsidR="00D94438" w:rsidRPr="00CE39FB" w:rsidRDefault="00A721E1" w:rsidP="007825F2">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(c) </w:t>
      </w:r>
      <w:r w:rsidR="0038607B" w:rsidRPr="0038607B">
        <w:rPr>
          <w:noProof/>
        </w:rPr>
        <w:t>to enhance Union resilience and contribute to effective response by reviewing and assessing significant or large-scale incidents, including drawing lessons learned and, where appropriate, recommendations</w:t>
      </w:r>
      <w:r w:rsidR="00600994">
        <w:rPr>
          <w:noProof/>
        </w:rPr>
        <w:t>.</w:t>
      </w:r>
    </w:p>
    <w:p w14:paraId="0B7C537F" w14:textId="77777777" w:rsidR="007825F2" w:rsidRPr="00CE39FB" w:rsidRDefault="007825F2" w:rsidP="007825F2">
      <w:pPr>
        <w:pStyle w:val="Text1"/>
        <w:pBdr>
          <w:top w:val="single" w:sz="4" w:space="1" w:color="auto"/>
          <w:left w:val="single" w:sz="4" w:space="4" w:color="auto"/>
          <w:bottom w:val="single" w:sz="4" w:space="1" w:color="auto"/>
          <w:right w:val="single" w:sz="4" w:space="4" w:color="auto"/>
        </w:pBdr>
        <w:rPr>
          <w:noProof/>
        </w:rPr>
      </w:pPr>
    </w:p>
    <w:p w14:paraId="3B9BE3A9" w14:textId="77777777" w:rsidR="00C4478A" w:rsidRPr="00CE39FB" w:rsidRDefault="00C4478A" w:rsidP="00C4478A">
      <w:pPr>
        <w:pStyle w:val="Text1"/>
        <w:pBdr>
          <w:top w:val="single" w:sz="4" w:space="1" w:color="auto"/>
          <w:left w:val="single" w:sz="4" w:space="4" w:color="auto"/>
          <w:bottom w:val="single" w:sz="4" w:space="1" w:color="auto"/>
          <w:right w:val="single" w:sz="4" w:space="4" w:color="auto"/>
        </w:pBdr>
        <w:rPr>
          <w:noProof/>
        </w:rPr>
      </w:pPr>
    </w:p>
    <w:p w14:paraId="6679B0E5" w14:textId="77777777" w:rsidR="004770F6" w:rsidRPr="00CE39FB" w:rsidRDefault="004770F6">
      <w:pPr>
        <w:pStyle w:val="ManualHeading3"/>
        <w:rPr>
          <w:bCs/>
          <w:noProof/>
          <w:szCs w:val="24"/>
        </w:rPr>
      </w:pPr>
      <w:bookmarkStart w:id="26" w:name="_Toc514938018"/>
      <w:bookmarkStart w:id="27" w:name="_Toc520485031"/>
      <w:r w:rsidRPr="00CE39FB">
        <w:rPr>
          <w:noProof/>
        </w:rPr>
        <w:t>1.4.2.</w:t>
      </w:r>
      <w:r w:rsidRPr="00CE39FB">
        <w:rPr>
          <w:noProof/>
        </w:rPr>
        <w:tab/>
        <w:t>Specific objective(s)</w:t>
      </w:r>
      <w:bookmarkEnd w:id="26"/>
      <w:bookmarkEnd w:id="27"/>
    </w:p>
    <w:p w14:paraId="65842D9C" w14:textId="77777777" w:rsidR="00C26BA9" w:rsidRPr="00CE39FB" w:rsidRDefault="00C26BA9" w:rsidP="00C26BA9">
      <w:pPr>
        <w:pStyle w:val="Text1"/>
        <w:pBdr>
          <w:top w:val="single" w:sz="4" w:space="1" w:color="auto"/>
          <w:left w:val="single" w:sz="4" w:space="4" w:color="auto"/>
          <w:bottom w:val="single" w:sz="4" w:space="1" w:color="auto"/>
          <w:right w:val="single" w:sz="4" w:space="4" w:color="auto"/>
        </w:pBdr>
        <w:rPr>
          <w:noProof/>
        </w:rPr>
      </w:pPr>
      <w:r w:rsidRPr="00CE39FB">
        <w:rPr>
          <w:noProof/>
        </w:rPr>
        <w:t>The Cyber Solidarity Act will achieve the set of objectives through:</w:t>
      </w:r>
    </w:p>
    <w:p w14:paraId="1AD6B382" w14:textId="7072C4F8" w:rsidR="00C4478A" w:rsidRPr="00CE39FB" w:rsidRDefault="007B0110" w:rsidP="007B0110">
      <w:pPr>
        <w:pStyle w:val="Point1"/>
        <w:rPr>
          <w:noProof/>
        </w:rPr>
      </w:pPr>
      <w:r w:rsidRPr="007B0110">
        <w:rPr>
          <w:noProof/>
        </w:rPr>
        <w:t>(a)</w:t>
      </w:r>
      <w:r w:rsidRPr="007B0110">
        <w:rPr>
          <w:noProof/>
        </w:rPr>
        <w:tab/>
      </w:r>
      <w:r w:rsidR="00C4478A" w:rsidRPr="00CE39FB">
        <w:rPr>
          <w:noProof/>
        </w:rPr>
        <w:t xml:space="preserve">The deployment of a pan-European infrastructure of Security Operation Centres (European Cyber Shield) to build and enhance common detection and situational awareness capabilities. </w:t>
      </w:r>
    </w:p>
    <w:p w14:paraId="39B1430A" w14:textId="54C6FA07" w:rsidR="00C4478A" w:rsidRPr="00CE39FB" w:rsidRDefault="007B0110" w:rsidP="007B0110">
      <w:pPr>
        <w:pStyle w:val="Point1"/>
        <w:rPr>
          <w:noProof/>
        </w:rPr>
      </w:pPr>
      <w:r w:rsidRPr="007B0110">
        <w:rPr>
          <w:noProof/>
        </w:rPr>
        <w:t>(b)</w:t>
      </w:r>
      <w:r w:rsidRPr="007B0110">
        <w:rPr>
          <w:noProof/>
        </w:rPr>
        <w:tab/>
      </w:r>
      <w:r w:rsidR="00C4478A" w:rsidRPr="00CE39FB">
        <w:rPr>
          <w:noProof/>
        </w:rPr>
        <w:t xml:space="preserve">The creation of a Cybersecurity Emergency Mechanism to support Member States in preparing for, responding to and immediate recovery from significant and large-scale cybersecurity incidents. Support for incident response shall also be made available to European institutions, bodies, offices and agencies of the Union (EUIBAs). </w:t>
      </w:r>
    </w:p>
    <w:p w14:paraId="6065B50A" w14:textId="1A871D1F" w:rsidR="00A721E1" w:rsidRPr="00CE39FB" w:rsidRDefault="00A721E1" w:rsidP="0028668F">
      <w:pPr>
        <w:rPr>
          <w:noProof/>
        </w:rPr>
      </w:pPr>
      <w:r w:rsidRPr="00CE39FB">
        <w:rPr>
          <w:noProof/>
        </w:rPr>
        <w:t>These actions will be supported by funding from DEP, which this legislative instrument will amend in order to establish the above mentioned actions, provide for financial support for their development and clarify the conditions for benefitting from the financial support.</w:t>
      </w:r>
    </w:p>
    <w:p w14:paraId="38DF3BBE" w14:textId="77777777" w:rsidR="00A721E1" w:rsidRPr="00CE39FB" w:rsidRDefault="00A721E1" w:rsidP="0028668F">
      <w:pPr>
        <w:rPr>
          <w:noProof/>
        </w:rPr>
      </w:pPr>
    </w:p>
    <w:p w14:paraId="6703AC35" w14:textId="537BF085" w:rsidR="00C4478A" w:rsidRPr="00CE39FB" w:rsidRDefault="007B0110" w:rsidP="007B0110">
      <w:pPr>
        <w:pStyle w:val="Point1"/>
        <w:rPr>
          <w:noProof/>
        </w:rPr>
      </w:pPr>
      <w:r w:rsidRPr="007B0110">
        <w:rPr>
          <w:noProof/>
        </w:rPr>
        <w:t>(c)</w:t>
      </w:r>
      <w:r w:rsidRPr="007B0110">
        <w:rPr>
          <w:noProof/>
        </w:rPr>
        <w:tab/>
      </w:r>
      <w:r w:rsidR="00A721E1" w:rsidRPr="00CE39FB">
        <w:rPr>
          <w:noProof/>
        </w:rPr>
        <w:t>the establishment of a European Cybersecurity Incident Mechanism to review and assess significant or large-scale incidents</w:t>
      </w:r>
      <w:r w:rsidR="00C4478A" w:rsidRPr="00CE39FB">
        <w:rPr>
          <w:noProof/>
        </w:rPr>
        <w:t>.</w:t>
      </w:r>
    </w:p>
    <w:p w14:paraId="12F25256" w14:textId="77777777" w:rsidR="004770F6" w:rsidRPr="00CE39FB" w:rsidRDefault="004770F6">
      <w:pPr>
        <w:pStyle w:val="ManualHeading3"/>
        <w:rPr>
          <w:noProof/>
        </w:rPr>
      </w:pPr>
      <w:bookmarkStart w:id="28" w:name="_Toc514938019"/>
      <w:bookmarkStart w:id="29" w:name="_Toc520485032"/>
      <w:r w:rsidRPr="00CE39FB">
        <w:rPr>
          <w:noProof/>
        </w:rPr>
        <w:t>1.4.3.</w:t>
      </w:r>
      <w:r w:rsidRPr="00CE39FB">
        <w:rPr>
          <w:noProof/>
        </w:rPr>
        <w:tab/>
        <w:t>Expected result(s) and impact</w:t>
      </w:r>
      <w:bookmarkEnd w:id="28"/>
      <w:bookmarkEnd w:id="29"/>
    </w:p>
    <w:p w14:paraId="754D61FD" w14:textId="77777777" w:rsidR="004770F6" w:rsidRPr="00CE39FB" w:rsidRDefault="004770F6">
      <w:pPr>
        <w:pStyle w:val="Text1"/>
        <w:rPr>
          <w:i/>
          <w:noProof/>
          <w:sz w:val="20"/>
        </w:rPr>
      </w:pPr>
      <w:r w:rsidRPr="00CE39FB">
        <w:rPr>
          <w:i/>
          <w:noProof/>
          <w:sz w:val="20"/>
        </w:rPr>
        <w:t>Specify the effects which the proposal/initiative should have on the beneficiaries/groups targeted.</w:t>
      </w:r>
    </w:p>
    <w:p w14:paraId="34B52251" w14:textId="77777777" w:rsidR="00C61877" w:rsidRPr="00CE39FB" w:rsidRDefault="00C61877" w:rsidP="00C61877">
      <w:pPr>
        <w:pStyle w:val="Text1"/>
        <w:pBdr>
          <w:top w:val="single" w:sz="4" w:space="1" w:color="auto"/>
          <w:left w:val="single" w:sz="4" w:space="4" w:color="auto"/>
          <w:bottom w:val="single" w:sz="4" w:space="1" w:color="auto"/>
          <w:right w:val="single" w:sz="4" w:space="4" w:color="auto"/>
        </w:pBdr>
        <w:rPr>
          <w:noProof/>
        </w:rPr>
      </w:pPr>
      <w:r w:rsidRPr="00CE39FB">
        <w:rPr>
          <w:noProof/>
        </w:rPr>
        <w:t>The proposal would bring significant benefits to the various stakeholders. The European Cyber Shield will improve cyber threat detection capabilities of the Member States. The Cyber Emergency Mechanism will complement Member States’ actions through emergency support for preparedness, response and immediate recovery/ restoring the functioning of essential services.</w:t>
      </w:r>
    </w:p>
    <w:p w14:paraId="23F25D90" w14:textId="4C74F778" w:rsidR="00C61877" w:rsidRPr="00CE39FB" w:rsidRDefault="00C61877" w:rsidP="00C61877">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These actions will strengthen the competitive position of industry and business in Europe across the digitised economy and supporting their digital transformation, by reinforcing the level of cybersecurity in the Digital Single Market. In particular, it aims at increasing the resilience of citizens, businesses and entities operating </w:t>
      </w:r>
      <w:r w:rsidR="005B3171" w:rsidRPr="00CE39FB">
        <w:rPr>
          <w:noProof/>
        </w:rPr>
        <w:t>in critical or highly critical sectors</w:t>
      </w:r>
      <w:r w:rsidRPr="00CE39FB">
        <w:rPr>
          <w:noProof/>
        </w:rPr>
        <w:t xml:space="preserve"> against the growing cybersecurity threats, which can have devastating societal and economic impacts. It will do so by investing in tools that will support a faster detection and response to cybersecurity threats and incidents, and will assist Member States in better preparing to, as well as responding to significant and large-scale cybersecurity incidents. This should also support endowing Europe with stronger capacities in these areas, notably as regards the collection and analysis of data on cybersecurity threats and incidents.</w:t>
      </w:r>
    </w:p>
    <w:p w14:paraId="23FC1283" w14:textId="77777777" w:rsidR="004770F6" w:rsidRPr="00CE39FB" w:rsidRDefault="004770F6">
      <w:pPr>
        <w:pStyle w:val="ManualHeading3"/>
        <w:rPr>
          <w:noProof/>
          <w:szCs w:val="24"/>
        </w:rPr>
      </w:pPr>
      <w:bookmarkStart w:id="30" w:name="_Toc514938023"/>
      <w:bookmarkStart w:id="31" w:name="_Toc520485033"/>
      <w:r w:rsidRPr="00CE39FB">
        <w:rPr>
          <w:noProof/>
        </w:rPr>
        <w:t>1.4.4.</w:t>
      </w:r>
      <w:r w:rsidRPr="00CE39FB">
        <w:rPr>
          <w:noProof/>
        </w:rPr>
        <w:tab/>
        <w:t>Indicators of performance</w:t>
      </w:r>
      <w:bookmarkEnd w:id="30"/>
      <w:bookmarkEnd w:id="31"/>
    </w:p>
    <w:p w14:paraId="185F0415" w14:textId="77777777" w:rsidR="004770F6" w:rsidRPr="00CE39FB" w:rsidRDefault="004770F6">
      <w:pPr>
        <w:pStyle w:val="Text1"/>
        <w:rPr>
          <w:i/>
          <w:noProof/>
          <w:sz w:val="20"/>
        </w:rPr>
      </w:pPr>
      <w:r w:rsidRPr="00CE39FB">
        <w:rPr>
          <w:i/>
          <w:noProof/>
          <w:sz w:val="20"/>
        </w:rPr>
        <w:t>Specify the indicators for monitoring progress and achievements.</w:t>
      </w:r>
    </w:p>
    <w:p w14:paraId="102C60F7" w14:textId="77777777" w:rsidR="00D60598" w:rsidRPr="00CE39FB" w:rsidRDefault="00D60598" w:rsidP="00D60598">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In order to promote solidarity at the Union level, several indicators could be taken into account: </w:t>
      </w:r>
    </w:p>
    <w:p w14:paraId="11909436" w14:textId="29C7079E" w:rsidR="00D60598" w:rsidRPr="00CE39FB" w:rsidRDefault="007B0110" w:rsidP="007B0110">
      <w:pPr>
        <w:pStyle w:val="Point1"/>
        <w:rPr>
          <w:noProof/>
        </w:rPr>
      </w:pPr>
      <w:r w:rsidRPr="007B0110">
        <w:rPr>
          <w:noProof/>
        </w:rPr>
        <w:t>(1)</w:t>
      </w:r>
      <w:r w:rsidRPr="007B0110">
        <w:rPr>
          <w:noProof/>
        </w:rPr>
        <w:tab/>
      </w:r>
      <w:r w:rsidR="00D60598" w:rsidRPr="008D6611">
        <w:rPr>
          <w:noProof/>
        </w:rPr>
        <w:t>The number of cybersecurity infrastructure, or tools, or both jointly procured</w:t>
      </w:r>
    </w:p>
    <w:p w14:paraId="7292A319" w14:textId="7156CB6D" w:rsidR="00D60598" w:rsidRPr="00CE39FB" w:rsidRDefault="007B0110" w:rsidP="007B0110">
      <w:pPr>
        <w:pStyle w:val="Point1"/>
        <w:rPr>
          <w:noProof/>
        </w:rPr>
      </w:pPr>
      <w:r w:rsidRPr="007B0110">
        <w:rPr>
          <w:noProof/>
        </w:rPr>
        <w:t>(2)</w:t>
      </w:r>
      <w:r w:rsidRPr="007B0110">
        <w:rPr>
          <w:noProof/>
        </w:rPr>
        <w:tab/>
      </w:r>
      <w:r w:rsidR="00D60598" w:rsidRPr="00CE39FB">
        <w:rPr>
          <w:noProof/>
        </w:rPr>
        <w:t xml:space="preserve">The Number of actions supporting preparedness and response to cybersecurity incidents under the Cyber Emergency Mechanism. </w:t>
      </w:r>
    </w:p>
    <w:p w14:paraId="7E87DADB" w14:textId="77777777" w:rsidR="004770F6" w:rsidRPr="00CE39FB" w:rsidRDefault="004770F6">
      <w:pPr>
        <w:pStyle w:val="ManualHeading2"/>
        <w:rPr>
          <w:bCs/>
          <w:noProof/>
          <w:szCs w:val="24"/>
        </w:rPr>
      </w:pPr>
      <w:bookmarkStart w:id="32" w:name="_Toc514938025"/>
      <w:bookmarkStart w:id="33" w:name="_Toc520485034"/>
      <w:r w:rsidRPr="00CE39FB">
        <w:rPr>
          <w:noProof/>
        </w:rPr>
        <w:t>1.5.</w:t>
      </w:r>
      <w:r w:rsidRPr="00CE39FB">
        <w:rPr>
          <w:noProof/>
        </w:rPr>
        <w:tab/>
        <w:t>Grounds for the proposal/initiative</w:t>
      </w:r>
      <w:bookmarkEnd w:id="32"/>
      <w:bookmarkEnd w:id="33"/>
      <w:r w:rsidRPr="00CE39FB">
        <w:rPr>
          <w:noProof/>
        </w:rPr>
        <w:t xml:space="preserve"> </w:t>
      </w:r>
    </w:p>
    <w:p w14:paraId="3CE40F9A" w14:textId="77777777" w:rsidR="004770F6" w:rsidRPr="00CE39FB" w:rsidRDefault="004770F6">
      <w:pPr>
        <w:pStyle w:val="ManualHeading3"/>
        <w:rPr>
          <w:noProof/>
        </w:rPr>
      </w:pPr>
      <w:bookmarkStart w:id="34" w:name="_Toc514938026"/>
      <w:bookmarkStart w:id="35" w:name="_Toc520485035"/>
      <w:r w:rsidRPr="00CE39FB">
        <w:rPr>
          <w:noProof/>
        </w:rPr>
        <w:t>1.5.1.</w:t>
      </w:r>
      <w:r w:rsidRPr="00CE39FB">
        <w:rPr>
          <w:noProof/>
        </w:rPr>
        <w:tab/>
        <w:t>Requirement(s) to be met in the short or long term including a detailed timeline for roll-out of the implementation of the initiative</w:t>
      </w:r>
      <w:bookmarkEnd w:id="34"/>
      <w:bookmarkEnd w:id="35"/>
    </w:p>
    <w:p w14:paraId="14374D28" w14:textId="77777777" w:rsidR="00FC64D6" w:rsidRPr="00CE39FB" w:rsidRDefault="00FC64D6" w:rsidP="00FC64D6">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The Regulation should be fully applicable shortly after its adoption, i.e. </w:t>
      </w:r>
      <w:r w:rsidR="00C4478A" w:rsidRPr="00CE39FB">
        <w:rPr>
          <w:noProof/>
        </w:rPr>
        <w:t xml:space="preserve">on the twentieth </w:t>
      </w:r>
      <w:r w:rsidRPr="00CE39FB">
        <w:rPr>
          <w:noProof/>
        </w:rPr>
        <w:t xml:space="preserve"> day following that of its publication in the Official Journal of the European Union. </w:t>
      </w:r>
    </w:p>
    <w:p w14:paraId="2897B294" w14:textId="77777777" w:rsidR="004770F6" w:rsidRPr="00CE39FB" w:rsidRDefault="004770F6">
      <w:pPr>
        <w:pStyle w:val="ManualHeading3"/>
        <w:rPr>
          <w:bCs/>
          <w:noProof/>
          <w:szCs w:val="24"/>
        </w:rPr>
      </w:pPr>
      <w:bookmarkStart w:id="36" w:name="_Toc514938029"/>
      <w:bookmarkStart w:id="37" w:name="_Toc520485036"/>
      <w:r w:rsidRPr="00CE39FB">
        <w:rPr>
          <w:noProof/>
        </w:rPr>
        <w:t>1.5.2.</w:t>
      </w:r>
      <w:r w:rsidRPr="00CE39FB">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36"/>
      <w:bookmarkEnd w:id="37"/>
    </w:p>
    <w:p w14:paraId="5EAA9056" w14:textId="77777777" w:rsidR="001F39DB" w:rsidRPr="001F39DB" w:rsidRDefault="001F39DB" w:rsidP="008D6611">
      <w:pPr>
        <w:pStyle w:val="ManualHeading3"/>
        <w:rPr>
          <w:noProof/>
        </w:rPr>
      </w:pPr>
      <w:r>
        <w:rPr>
          <w:iCs/>
          <w:noProof/>
        </w:rPr>
        <w:tab/>
      </w:r>
      <w:r w:rsidR="00C4478A" w:rsidRPr="00E62AD9">
        <w:rPr>
          <w:i w:val="0"/>
          <w:iCs/>
          <w:noProof/>
        </w:rPr>
        <w:t>The strong cross-border nature of cybersecurity threats in general and the growing number of risks and incidents, which have spill-over effects across borders, sectors, and products, mean that the objectives of the present intervention cannot effectively be achieved by Member States alone</w:t>
      </w:r>
      <w:r w:rsidR="00C4478A" w:rsidRPr="00763EBD">
        <w:rPr>
          <w:i w:val="0"/>
          <w:iCs/>
          <w:noProof/>
        </w:rPr>
        <w:t xml:space="preserve"> </w:t>
      </w:r>
      <w:r w:rsidR="00C4478A" w:rsidRPr="001F39DB">
        <w:rPr>
          <w:i w:val="0"/>
          <w:iCs/>
          <w:noProof/>
        </w:rPr>
        <w:t xml:space="preserve">and require common action and </w:t>
      </w:r>
      <w:r w:rsidR="00C4478A" w:rsidRPr="001F39DB">
        <w:rPr>
          <w:i w:val="0"/>
          <w:noProof/>
        </w:rPr>
        <w:t xml:space="preserve">solidarity at Union </w:t>
      </w:r>
      <w:r w:rsidR="00C4478A" w:rsidRPr="001F39DB">
        <w:rPr>
          <w:i w:val="0"/>
          <w:iCs/>
          <w:noProof/>
        </w:rPr>
        <w:t>level</w:t>
      </w:r>
      <w:r w:rsidR="00763EBD">
        <w:rPr>
          <w:i w:val="0"/>
          <w:iCs/>
          <w:noProof/>
        </w:rPr>
        <w:t xml:space="preserve">. </w:t>
      </w:r>
      <w:r w:rsidR="00C4478A" w:rsidRPr="001F39DB">
        <w:rPr>
          <w:i w:val="0"/>
          <w:iCs/>
          <w:noProof/>
        </w:rPr>
        <w:t>The</w:t>
      </w:r>
      <w:r w:rsidR="00C4478A" w:rsidRPr="001F39DB">
        <w:rPr>
          <w:i w:val="0"/>
          <w:noProof/>
        </w:rPr>
        <w:t xml:space="preserve"> experience of countering cyber-threats stemming from the war against Ukraine, together with the lessons learn</w:t>
      </w:r>
      <w:r w:rsidR="00763EBD" w:rsidRPr="001C7B16">
        <w:rPr>
          <w:i w:val="0"/>
          <w:noProof/>
        </w:rPr>
        <w:t>ed</w:t>
      </w:r>
      <w:r w:rsidR="00C4478A" w:rsidRPr="001F39DB">
        <w:rPr>
          <w:i w:val="0"/>
          <w:noProof/>
        </w:rPr>
        <w:t xml:space="preserve"> from a cybersecurity exercise conducted under the French Presidency (EU CyCLES), showed that concrete mutual support mechanisms, </w:t>
      </w:r>
      <w:r w:rsidR="00C4478A" w:rsidRPr="001F39DB">
        <w:rPr>
          <w:i w:val="0"/>
          <w:iCs/>
          <w:noProof/>
        </w:rPr>
        <w:t>notably</w:t>
      </w:r>
      <w:r w:rsidR="00C4478A" w:rsidRPr="001F39DB">
        <w:rPr>
          <w:i w:val="0"/>
          <w:noProof/>
        </w:rPr>
        <w:t xml:space="preserve"> cooperation with the private sector, should be developed to achieve solidarity at EU level. </w:t>
      </w:r>
      <w:r w:rsidR="00C4478A" w:rsidRPr="001F39DB">
        <w:rPr>
          <w:i w:val="0"/>
          <w:iCs/>
          <w:noProof/>
        </w:rPr>
        <w:t>Against this background, the Council Conclusions of 23 May 2022 on the development of the European Union’s cyber posture calls upon the Commission to present a proposal on a new</w:t>
      </w:r>
      <w:r w:rsidR="00C4478A" w:rsidRPr="001F39DB">
        <w:rPr>
          <w:i w:val="0"/>
          <w:noProof/>
        </w:rPr>
        <w:t xml:space="preserve"> Emergency </w:t>
      </w:r>
      <w:r w:rsidR="00C4478A" w:rsidRPr="001F39DB">
        <w:rPr>
          <w:i w:val="0"/>
          <w:iCs/>
          <w:noProof/>
        </w:rPr>
        <w:t>Response Fund for Cybersecurity. Support and actions at Union level to better detect cybersecurity threats, and to increase preparedness and response capacities provide added value because it avoids duplication of efforts across the Union and Member States. It would lead to a better exploitation of existing assets and to greater coordination and exchange</w:t>
      </w:r>
      <w:r w:rsidR="00C4478A" w:rsidRPr="001F39DB">
        <w:rPr>
          <w:i w:val="0"/>
          <w:noProof/>
        </w:rPr>
        <w:t xml:space="preserve"> of </w:t>
      </w:r>
      <w:r w:rsidR="00C4478A" w:rsidRPr="001F39DB">
        <w:rPr>
          <w:i w:val="0"/>
          <w:iCs/>
          <w:noProof/>
        </w:rPr>
        <w:t xml:space="preserve">information on lessons </w:t>
      </w:r>
      <w:r w:rsidR="00C4478A" w:rsidRPr="001C7B16">
        <w:rPr>
          <w:i w:val="0"/>
          <w:iCs/>
          <w:noProof/>
        </w:rPr>
        <w:t>learn</w:t>
      </w:r>
      <w:r w:rsidR="00763EBD" w:rsidRPr="001C7B16">
        <w:rPr>
          <w:i w:val="0"/>
          <w:iCs/>
          <w:noProof/>
        </w:rPr>
        <w:t>ed</w:t>
      </w:r>
      <w:r w:rsidR="00C4478A" w:rsidRPr="001C7B16">
        <w:rPr>
          <w:i w:val="0"/>
          <w:iCs/>
          <w:noProof/>
        </w:rPr>
        <w:t>.</w:t>
      </w:r>
      <w:r w:rsidR="00C4478A" w:rsidRPr="001F39DB">
        <w:rPr>
          <w:i w:val="0"/>
          <w:iCs/>
          <w:noProof/>
        </w:rPr>
        <w:t xml:space="preserve"> </w:t>
      </w:r>
      <w:bookmarkStart w:id="38" w:name="_Toc514938030"/>
      <w:bookmarkStart w:id="39" w:name="_Toc520485037"/>
    </w:p>
    <w:p w14:paraId="50701267" w14:textId="77777777" w:rsidR="004770F6" w:rsidRPr="00CE39FB" w:rsidRDefault="004770F6">
      <w:pPr>
        <w:pStyle w:val="ManualHeading3"/>
        <w:rPr>
          <w:noProof/>
        </w:rPr>
      </w:pPr>
      <w:r w:rsidRPr="00CE39FB">
        <w:rPr>
          <w:noProof/>
        </w:rPr>
        <w:t>1.5.3.</w:t>
      </w:r>
      <w:r w:rsidRPr="00CE39FB">
        <w:rPr>
          <w:noProof/>
        </w:rPr>
        <w:tab/>
        <w:t>Lessons learned from similar experiences in the past</w:t>
      </w:r>
      <w:bookmarkEnd w:id="38"/>
      <w:bookmarkEnd w:id="39"/>
    </w:p>
    <w:p w14:paraId="767EC71E" w14:textId="3E468754" w:rsidR="00A042EB" w:rsidRPr="00CE39FB" w:rsidRDefault="00A042EB" w:rsidP="00A042EB">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Regarding situational awareness and detection under the European Cyber Shield, a call for expression of interest to jointly procure tools and infrastructure to establish Cross-border SOCs, and a call for grants to enable capacity building of SOCs serving public and private organisations, were held under </w:t>
      </w:r>
      <w:r w:rsidR="006D78D2">
        <w:rPr>
          <w:noProof/>
        </w:rPr>
        <w:t>DEP</w:t>
      </w:r>
      <w:r w:rsidRPr="00CE39FB">
        <w:rPr>
          <w:noProof/>
        </w:rPr>
        <w:t xml:space="preserve"> cybersecurity work programme 2021-2022. </w:t>
      </w:r>
    </w:p>
    <w:p w14:paraId="78A9B199" w14:textId="77777777" w:rsidR="001F39DB" w:rsidRPr="001F39DB" w:rsidRDefault="001F39DB" w:rsidP="008D6611">
      <w:pPr>
        <w:pStyle w:val="ManualHeading3"/>
        <w:rPr>
          <w:noProof/>
        </w:rPr>
      </w:pPr>
      <w:r>
        <w:rPr>
          <w:i w:val="0"/>
          <w:iCs/>
          <w:noProof/>
        </w:rPr>
        <w:tab/>
      </w:r>
      <w:r w:rsidR="00CA30B7" w:rsidRPr="001F39DB">
        <w:rPr>
          <w:i w:val="0"/>
          <w:iCs/>
          <w:noProof/>
        </w:rPr>
        <w:t>As regards</w:t>
      </w:r>
      <w:r w:rsidR="00CA30B7" w:rsidRPr="001F39DB">
        <w:rPr>
          <w:i w:val="0"/>
          <w:noProof/>
        </w:rPr>
        <w:t xml:space="preserve"> preparedness and incident response</w:t>
      </w:r>
      <w:r w:rsidR="00CA30B7" w:rsidRPr="001F39DB">
        <w:rPr>
          <w:i w:val="0"/>
          <w:iCs/>
          <w:noProof/>
        </w:rPr>
        <w:t xml:space="preserve">, </w:t>
      </w:r>
      <w:r w:rsidR="00CA30B7" w:rsidRPr="001F39DB">
        <w:rPr>
          <w:i w:val="0"/>
          <w:noProof/>
        </w:rPr>
        <w:t xml:space="preserve">the </w:t>
      </w:r>
      <w:r w:rsidR="00CA30B7" w:rsidRPr="001F39DB">
        <w:rPr>
          <w:i w:val="0"/>
          <w:iCs/>
          <w:noProof/>
        </w:rPr>
        <w:t xml:space="preserve">Commission has set up a </w:t>
      </w:r>
      <w:r w:rsidR="00CA30B7" w:rsidRPr="001F39DB">
        <w:rPr>
          <w:i w:val="0"/>
          <w:noProof/>
        </w:rPr>
        <w:t xml:space="preserve">short-term programme </w:t>
      </w:r>
      <w:r w:rsidR="00CA30B7" w:rsidRPr="001F39DB">
        <w:rPr>
          <w:i w:val="0"/>
          <w:iCs/>
          <w:noProof/>
        </w:rPr>
        <w:t>to support Member States, through additional</w:t>
      </w:r>
      <w:r w:rsidR="00CA30B7" w:rsidRPr="001F39DB">
        <w:rPr>
          <w:i w:val="0"/>
          <w:noProof/>
        </w:rPr>
        <w:t xml:space="preserve"> funding</w:t>
      </w:r>
      <w:r w:rsidR="00CA30B7" w:rsidRPr="001F39DB">
        <w:rPr>
          <w:i w:val="0"/>
          <w:iCs/>
          <w:noProof/>
        </w:rPr>
        <w:t xml:space="preserve"> allocated to ENISA, in order to immediately reinforce preparedness and capacities to respond to major cyber incident. Services covered include preparedness actions, such as penetration testing of critical entities in order to identify vulnerabilities. It also strengthens possibilities to assist Member States in case of a major incident affecting critical entities.</w:t>
      </w:r>
      <w:r w:rsidR="00CA30B7" w:rsidRPr="001F39DB">
        <w:rPr>
          <w:i w:val="0"/>
          <w:noProof/>
        </w:rPr>
        <w:t xml:space="preserve"> The implementation </w:t>
      </w:r>
      <w:r w:rsidR="00CA30B7" w:rsidRPr="001F39DB">
        <w:rPr>
          <w:i w:val="0"/>
          <w:iCs/>
          <w:noProof/>
        </w:rPr>
        <w:t xml:space="preserve">by ENISA </w:t>
      </w:r>
      <w:r w:rsidR="00CA30B7" w:rsidRPr="001F39DB">
        <w:rPr>
          <w:i w:val="0"/>
          <w:noProof/>
        </w:rPr>
        <w:t xml:space="preserve">of this </w:t>
      </w:r>
      <w:r w:rsidR="00CA30B7" w:rsidRPr="001F39DB">
        <w:rPr>
          <w:i w:val="0"/>
          <w:iCs/>
          <w:noProof/>
        </w:rPr>
        <w:t xml:space="preserve">short-term </w:t>
      </w:r>
      <w:r w:rsidR="00CA30B7" w:rsidRPr="001F39DB">
        <w:rPr>
          <w:i w:val="0"/>
          <w:noProof/>
        </w:rPr>
        <w:t xml:space="preserve">programme is </w:t>
      </w:r>
      <w:r w:rsidR="00CA30B7" w:rsidRPr="001F39DB">
        <w:rPr>
          <w:i w:val="0"/>
          <w:iCs/>
          <w:noProof/>
        </w:rPr>
        <w:t xml:space="preserve">under way and has already </w:t>
      </w:r>
      <w:r w:rsidR="00CA30B7" w:rsidRPr="001F39DB">
        <w:rPr>
          <w:i w:val="0"/>
          <w:noProof/>
        </w:rPr>
        <w:t xml:space="preserve">provided </w:t>
      </w:r>
      <w:r w:rsidR="00CA30B7" w:rsidRPr="001F39DB">
        <w:rPr>
          <w:i w:val="0"/>
          <w:iCs/>
          <w:noProof/>
        </w:rPr>
        <w:t>relevant valuable insights that have been taken into account in the preparation of this Regulation</w:t>
      </w:r>
    </w:p>
    <w:p w14:paraId="210F2369" w14:textId="77777777" w:rsidR="004770F6" w:rsidRPr="00CE39FB" w:rsidRDefault="00CA30B7">
      <w:pPr>
        <w:pStyle w:val="ManualHeading3"/>
        <w:rPr>
          <w:noProof/>
        </w:rPr>
      </w:pPr>
      <w:r w:rsidRPr="00CE39FB" w:rsidDel="00CA30B7">
        <w:rPr>
          <w:noProof/>
        </w:rPr>
        <w:t xml:space="preserve"> </w:t>
      </w:r>
      <w:bookmarkStart w:id="40" w:name="_Toc514938033"/>
      <w:bookmarkStart w:id="41" w:name="_Toc520485038"/>
      <w:r w:rsidR="004770F6" w:rsidRPr="00CE39FB">
        <w:rPr>
          <w:noProof/>
        </w:rPr>
        <w:t>1.5.4.</w:t>
      </w:r>
      <w:r w:rsidR="004770F6" w:rsidRPr="00CE39FB">
        <w:rPr>
          <w:noProof/>
        </w:rPr>
        <w:tab/>
        <w:t>Compatibility with the Multiannual Financial Framework and possible synergies with other appropriate instruments</w:t>
      </w:r>
      <w:bookmarkEnd w:id="40"/>
      <w:bookmarkEnd w:id="41"/>
    </w:p>
    <w:p w14:paraId="5CCE2B1D" w14:textId="6606802F" w:rsidR="002C385A" w:rsidRPr="00CE39FB" w:rsidRDefault="002C385A" w:rsidP="002C385A">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The Cyber Solidarity Act will build upon actions currently supported by the Union and Member States to enhance situational awareness and cyber threat detection, and to respond to large-scale and cross border cybersecurity incidents. In addition, the instrument is consistent with other frameworks of crisis management, including the IPCR, the Common Security and Defence Policy, including </w:t>
      </w:r>
      <w:r w:rsidR="00DC5994" w:rsidRPr="00CE39FB">
        <w:rPr>
          <w:noProof/>
        </w:rPr>
        <w:t xml:space="preserve">Cyber </w:t>
      </w:r>
      <w:r w:rsidRPr="00CE39FB">
        <w:rPr>
          <w:noProof/>
        </w:rPr>
        <w:t xml:space="preserve">Rapid Response Teams, and the assistance provided by one Member State to another Member State in the context of Article 42(7) of the Treaty on the European Union. The new proposal would also complement and support structures developed under other cybersecurity instruments such as the </w:t>
      </w:r>
      <w:r w:rsidRPr="00CE39FB">
        <w:rPr>
          <w:rFonts w:eastAsia="Times New Roman"/>
          <w:noProof/>
        </w:rPr>
        <w:t xml:space="preserve">Directive (EU) 2022/2555 (NIS2 Directive) </w:t>
      </w:r>
      <w:r w:rsidRPr="00CE39FB">
        <w:rPr>
          <w:noProof/>
        </w:rPr>
        <w:t xml:space="preserve">or Regulation 2019/881 (the Cybersecurity Act). </w:t>
      </w:r>
    </w:p>
    <w:p w14:paraId="6C58EBAC" w14:textId="77777777" w:rsidR="004770F6" w:rsidRPr="00CE39FB" w:rsidRDefault="004770F6">
      <w:pPr>
        <w:pStyle w:val="ManualHeading3"/>
        <w:rPr>
          <w:noProof/>
        </w:rPr>
      </w:pPr>
      <w:bookmarkStart w:id="42" w:name="_Toc514938036"/>
      <w:bookmarkStart w:id="43" w:name="_Toc520485039"/>
      <w:r w:rsidRPr="00CE39FB">
        <w:rPr>
          <w:noProof/>
        </w:rPr>
        <w:t>1.5.5.</w:t>
      </w:r>
      <w:r w:rsidRPr="00CE39FB">
        <w:rPr>
          <w:noProof/>
        </w:rPr>
        <w:tab/>
        <w:t>Assessment of the different available financing options, including scope for redeployment</w:t>
      </w:r>
      <w:bookmarkEnd w:id="42"/>
      <w:bookmarkEnd w:id="43"/>
    </w:p>
    <w:p w14:paraId="2A561428" w14:textId="77777777" w:rsidR="004770F6" w:rsidRPr="00CE39FB" w:rsidRDefault="00CA30B7">
      <w:pPr>
        <w:pStyle w:val="Text1"/>
        <w:rPr>
          <w:noProof/>
        </w:rPr>
      </w:pPr>
      <w:r w:rsidRPr="00CE39FB">
        <w:rPr>
          <w:noProof/>
        </w:rPr>
        <w:t>The management of the action areas assigned to ENISA fits its existing mandate and general tasks. These action areas may require specific profiles or new assignments, but these can be absorbed by the existing resources of ENISA and resolved through reallocation or linking of various assignments. ENISA is currently implementing a short-term programme that was set up in 2022 by the Commission to immediately reinforce preparedness and capacities to respond to major cyber incident. Services covered include possibilities to assist Member States in case of a major incident affecting critical entities. The implementation by ENISA of this short-term programme is under way and has already provided relevant valuable insights that have been taken into account in the preparation of this Regulation Resources allocated for the short-term programme could also be used in the context of this Regulation.</w:t>
      </w:r>
    </w:p>
    <w:p w14:paraId="435000F2" w14:textId="77777777" w:rsidR="004770F6" w:rsidRPr="00CE39FB" w:rsidRDefault="004770F6">
      <w:pPr>
        <w:pStyle w:val="ManualHeading2"/>
        <w:rPr>
          <w:bCs/>
          <w:noProof/>
          <w:szCs w:val="24"/>
        </w:rPr>
      </w:pPr>
      <w:r w:rsidRPr="00CE39FB">
        <w:rPr>
          <w:noProof/>
        </w:rPr>
        <w:br w:type="page"/>
      </w:r>
      <w:bookmarkStart w:id="44" w:name="_Toc514938039"/>
      <w:bookmarkStart w:id="45" w:name="_Toc520485040"/>
      <w:r w:rsidRPr="00CE39FB">
        <w:rPr>
          <w:noProof/>
        </w:rPr>
        <w:t>1.6.</w:t>
      </w:r>
      <w:r w:rsidRPr="00CE39FB">
        <w:rPr>
          <w:noProof/>
        </w:rPr>
        <w:tab/>
        <w:t>Duration and financial impact of the proposal/initiative</w:t>
      </w:r>
      <w:bookmarkEnd w:id="44"/>
      <w:bookmarkEnd w:id="45"/>
    </w:p>
    <w:p w14:paraId="6F412984" w14:textId="77777777" w:rsidR="004770F6" w:rsidRPr="00CE39FB" w:rsidRDefault="00560670">
      <w:pPr>
        <w:pStyle w:val="Text1"/>
        <w:rPr>
          <w:noProof/>
        </w:rPr>
      </w:pPr>
      <w:r w:rsidRPr="00CE39FB">
        <w:rPr>
          <w:rFonts w:ascii="Wingdings" w:eastAsia="Wingdings" w:hAnsi="Wingdings" w:cs="Wingdings"/>
          <w:noProof/>
        </w:rPr>
        <w:t></w:t>
      </w:r>
      <w:r w:rsidR="004770F6" w:rsidRPr="00CE39FB">
        <w:rPr>
          <w:b/>
          <w:i/>
          <w:noProof/>
        </w:rPr>
        <w:t xml:space="preserve"> </w:t>
      </w:r>
      <w:r w:rsidR="004770F6" w:rsidRPr="00CE39FB">
        <w:rPr>
          <w:b/>
          <w:noProof/>
        </w:rPr>
        <w:t xml:space="preserve">limited duration </w:t>
      </w:r>
    </w:p>
    <w:p w14:paraId="31E2927B" w14:textId="77777777" w:rsidR="004770F6" w:rsidRPr="00CE39FB" w:rsidRDefault="009F6736" w:rsidP="000A6843">
      <w:pPr>
        <w:pStyle w:val="ListDash2"/>
        <w:rPr>
          <w:noProof/>
        </w:rPr>
      </w:pPr>
      <w:r w:rsidRPr="00CE39FB">
        <w:rPr>
          <w:rFonts w:ascii="Wingdings" w:eastAsia="Wingdings" w:hAnsi="Wingdings" w:cs="Wingdings"/>
          <w:noProof/>
        </w:rPr>
        <w:t></w:t>
      </w:r>
      <w:r w:rsidR="004770F6" w:rsidRPr="00CE39FB">
        <w:rPr>
          <w:noProof/>
        </w:rPr>
        <w:tab/>
      </w:r>
      <w:r w:rsidR="003B59BB" w:rsidRPr="00CE39FB">
        <w:rPr>
          <w:noProof/>
        </w:rPr>
        <w:t>in effect from date of adoption of the proposal for a Regulation of the European Parliament and of the Council on strengthening solidarity and capacities in the Union to detect, prepare for and respond to cybersecurity threats and incidents (‘the Cyber Solidarity Act’)</w:t>
      </w:r>
    </w:p>
    <w:p w14:paraId="5C1A5751" w14:textId="77777777" w:rsidR="004770F6" w:rsidRPr="00CE39FB" w:rsidRDefault="00F6289C" w:rsidP="000A6843">
      <w:pPr>
        <w:pStyle w:val="ListDash2"/>
        <w:rPr>
          <w:noProof/>
        </w:rPr>
      </w:pPr>
      <w:r w:rsidRPr="00CE39FB">
        <w:rPr>
          <w:rFonts w:ascii="Wingdings" w:eastAsia="Wingdings" w:hAnsi="Wingdings" w:cs="Wingdings"/>
          <w:noProof/>
        </w:rPr>
        <w:t></w:t>
      </w:r>
      <w:r w:rsidR="004770F6" w:rsidRPr="00CE39FB">
        <w:rPr>
          <w:noProof/>
        </w:rPr>
        <w:tab/>
      </w:r>
      <w:r w:rsidR="00A17F5C" w:rsidRPr="00CE39FB">
        <w:rPr>
          <w:noProof/>
        </w:rPr>
        <w:t>Financial impact from 2023 to 2027 for commitment appropriations and from 2023 to 2031 for payment appropriations</w:t>
      </w:r>
      <w:r w:rsidR="00A17F5C" w:rsidRPr="00CE39FB">
        <w:rPr>
          <w:rStyle w:val="FootnoteReference"/>
          <w:noProof/>
        </w:rPr>
        <w:footnoteReference w:id="35"/>
      </w:r>
      <w:r w:rsidR="00A17F5C" w:rsidRPr="00CE39FB">
        <w:rPr>
          <w:noProof/>
        </w:rPr>
        <w:t>.</w:t>
      </w:r>
    </w:p>
    <w:p w14:paraId="7994A812" w14:textId="77777777" w:rsidR="004770F6" w:rsidRPr="00CE39FB" w:rsidRDefault="004770F6">
      <w:pPr>
        <w:pStyle w:val="Text1"/>
        <w:rPr>
          <w:noProof/>
        </w:rPr>
      </w:pPr>
      <w:r w:rsidRPr="00CE39FB">
        <w:rPr>
          <w:rFonts w:ascii="Wingdings" w:eastAsia="Wingdings" w:hAnsi="Wingdings" w:cs="Wingdings"/>
          <w:noProof/>
        </w:rPr>
        <w:t></w:t>
      </w:r>
      <w:r w:rsidRPr="00CE39FB">
        <w:rPr>
          <w:b/>
          <w:i/>
          <w:noProof/>
        </w:rPr>
        <w:t xml:space="preserve"> </w:t>
      </w:r>
      <w:r w:rsidRPr="00CE39FB">
        <w:rPr>
          <w:b/>
          <w:noProof/>
        </w:rPr>
        <w:t>unlimited duration</w:t>
      </w:r>
    </w:p>
    <w:p w14:paraId="5700BF16" w14:textId="77777777" w:rsidR="004770F6" w:rsidRPr="00CE39FB" w:rsidRDefault="004770F6" w:rsidP="000A6843">
      <w:pPr>
        <w:pStyle w:val="ListDash1"/>
        <w:rPr>
          <w:noProof/>
        </w:rPr>
      </w:pPr>
      <w:r w:rsidRPr="00CE39FB">
        <w:rPr>
          <w:noProof/>
        </w:rPr>
        <w:t>Implementation with a start-up period from YYYY to YYYY,</w:t>
      </w:r>
    </w:p>
    <w:p w14:paraId="52AF9545" w14:textId="77777777" w:rsidR="004770F6" w:rsidRPr="00CE39FB" w:rsidRDefault="004770F6" w:rsidP="000A6843">
      <w:pPr>
        <w:pStyle w:val="ListDash1"/>
        <w:rPr>
          <w:noProof/>
        </w:rPr>
      </w:pPr>
      <w:r w:rsidRPr="00CE39FB">
        <w:rPr>
          <w:noProof/>
        </w:rPr>
        <w:t>followed by full-scale operation.</w:t>
      </w:r>
    </w:p>
    <w:p w14:paraId="34FE4F95" w14:textId="77777777" w:rsidR="004770F6" w:rsidRPr="00CE39FB" w:rsidRDefault="004770F6">
      <w:pPr>
        <w:pStyle w:val="ManualHeading2"/>
        <w:rPr>
          <w:bCs/>
          <w:noProof/>
          <w:szCs w:val="24"/>
        </w:rPr>
      </w:pPr>
      <w:bookmarkStart w:id="46" w:name="_Toc514938040"/>
      <w:bookmarkStart w:id="47" w:name="_Toc520485041"/>
      <w:r w:rsidRPr="00CE39FB">
        <w:rPr>
          <w:noProof/>
        </w:rPr>
        <w:t>1.7.</w:t>
      </w:r>
      <w:r w:rsidRPr="00CE39FB">
        <w:rPr>
          <w:noProof/>
        </w:rPr>
        <w:tab/>
        <w:t>Method(s) of budget implementation planned</w:t>
      </w:r>
      <w:r w:rsidRPr="00CE39FB">
        <w:rPr>
          <w:rStyle w:val="FootnoteReference"/>
          <w:noProof/>
        </w:rPr>
        <w:footnoteReference w:id="36"/>
      </w:r>
      <w:bookmarkEnd w:id="46"/>
      <w:bookmarkEnd w:id="47"/>
      <w:r w:rsidRPr="00CE39FB">
        <w:rPr>
          <w:rStyle w:val="FootnoteReference"/>
          <w:noProof/>
        </w:rPr>
        <w:t xml:space="preserve"> </w:t>
      </w:r>
    </w:p>
    <w:p w14:paraId="1B3FE6F7" w14:textId="77777777" w:rsidR="004770F6" w:rsidRPr="00CE39FB" w:rsidRDefault="00DB592A">
      <w:pPr>
        <w:pStyle w:val="Text1"/>
        <w:rPr>
          <w:noProof/>
        </w:rPr>
      </w:pPr>
      <w:r w:rsidRPr="00CE39FB">
        <w:rPr>
          <w:rFonts w:ascii="Wingdings" w:eastAsia="Wingdings" w:hAnsi="Wingdings" w:cs="Wingdings"/>
          <w:noProof/>
        </w:rPr>
        <w:t></w:t>
      </w:r>
      <w:r w:rsidR="004770F6" w:rsidRPr="00CE39FB">
        <w:rPr>
          <w:i/>
          <w:noProof/>
        </w:rPr>
        <w:t xml:space="preserve"> </w:t>
      </w:r>
      <w:r w:rsidR="004770F6" w:rsidRPr="00CE39FB">
        <w:rPr>
          <w:b/>
          <w:noProof/>
        </w:rPr>
        <w:t>Direct management</w:t>
      </w:r>
      <w:r w:rsidR="004770F6" w:rsidRPr="00CE39FB">
        <w:rPr>
          <w:noProof/>
        </w:rPr>
        <w:t xml:space="preserve"> by the Commission</w:t>
      </w:r>
    </w:p>
    <w:p w14:paraId="7D8C516B" w14:textId="77777777" w:rsidR="004770F6" w:rsidRPr="00CE39FB" w:rsidRDefault="00B94921" w:rsidP="000A6843">
      <w:pPr>
        <w:pStyle w:val="ListDash2"/>
        <w:rPr>
          <w:rFonts w:cs="EUAlbertina"/>
          <w:noProof/>
        </w:rPr>
      </w:pPr>
      <w:r w:rsidRPr="00CE39FB">
        <w:rPr>
          <w:rFonts w:ascii="Wingdings" w:eastAsia="Wingdings" w:hAnsi="Wingdings" w:cs="Wingdings"/>
          <w:noProof/>
        </w:rPr>
        <w:t></w:t>
      </w:r>
      <w:r w:rsidR="004770F6" w:rsidRPr="00CE39FB">
        <w:rPr>
          <w:noProof/>
        </w:rPr>
        <w:t xml:space="preserve"> by its departments, including by its staff in the Union delegations; </w:t>
      </w:r>
    </w:p>
    <w:p w14:paraId="0B1C5ED9"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ab/>
        <w:t xml:space="preserve">by the executive agencies </w:t>
      </w:r>
    </w:p>
    <w:p w14:paraId="5A6F70BD" w14:textId="77777777" w:rsidR="004770F6" w:rsidRPr="00CE39FB" w:rsidRDefault="004770F6">
      <w:pPr>
        <w:pStyle w:val="Text1"/>
        <w:rPr>
          <w:noProof/>
        </w:rPr>
      </w:pPr>
      <w:r w:rsidRPr="00CE39FB">
        <w:rPr>
          <w:rFonts w:ascii="Wingdings" w:eastAsia="Wingdings" w:hAnsi="Wingdings" w:cs="Wingdings"/>
          <w:noProof/>
        </w:rPr>
        <w:t></w:t>
      </w:r>
      <w:r w:rsidRPr="00CE39FB">
        <w:rPr>
          <w:b/>
          <w:i/>
          <w:noProof/>
        </w:rPr>
        <w:t xml:space="preserve"> </w:t>
      </w:r>
      <w:r w:rsidRPr="00CE39FB">
        <w:rPr>
          <w:b/>
          <w:noProof/>
        </w:rPr>
        <w:t>Shared management</w:t>
      </w:r>
      <w:r w:rsidRPr="00CE39FB">
        <w:rPr>
          <w:noProof/>
        </w:rPr>
        <w:t xml:space="preserve"> with the Member States </w:t>
      </w:r>
    </w:p>
    <w:p w14:paraId="0044EE90" w14:textId="77777777" w:rsidR="004770F6" w:rsidRPr="00CE39FB" w:rsidRDefault="00A95A6A">
      <w:pPr>
        <w:pStyle w:val="Text1"/>
        <w:rPr>
          <w:noProof/>
        </w:rPr>
      </w:pPr>
      <w:r w:rsidRPr="00CE39FB">
        <w:rPr>
          <w:rFonts w:ascii="Wingdings" w:eastAsia="Wingdings" w:hAnsi="Wingdings" w:cs="Wingdings"/>
          <w:noProof/>
        </w:rPr>
        <w:t></w:t>
      </w:r>
      <w:r w:rsidR="004770F6" w:rsidRPr="00CE39FB">
        <w:rPr>
          <w:i/>
          <w:noProof/>
        </w:rPr>
        <w:t xml:space="preserve"> </w:t>
      </w:r>
      <w:r w:rsidR="004770F6" w:rsidRPr="00CE39FB">
        <w:rPr>
          <w:b/>
          <w:noProof/>
        </w:rPr>
        <w:t>Indirect management</w:t>
      </w:r>
      <w:r w:rsidR="004770F6" w:rsidRPr="00CE39FB">
        <w:rPr>
          <w:noProof/>
        </w:rPr>
        <w:t xml:space="preserve"> by entrusting budget implementation tasks to:</w:t>
      </w:r>
    </w:p>
    <w:p w14:paraId="6F80AD00"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 xml:space="preserve"> third countries or the bodies they have designated;</w:t>
      </w:r>
    </w:p>
    <w:p w14:paraId="3679DD07"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 xml:space="preserve"> international organisations and their agencies (to be specified);</w:t>
      </w:r>
    </w:p>
    <w:p w14:paraId="7C21195A"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 xml:space="preserve"> the EIB and the European Investment Fund;</w:t>
      </w:r>
    </w:p>
    <w:p w14:paraId="1CD67A4C" w14:textId="77777777" w:rsidR="004770F6" w:rsidRPr="00CE39FB" w:rsidRDefault="0014210D" w:rsidP="000A6843">
      <w:pPr>
        <w:pStyle w:val="ListDash2"/>
        <w:rPr>
          <w:noProof/>
        </w:rPr>
      </w:pPr>
      <w:r w:rsidRPr="00CE39FB">
        <w:rPr>
          <w:rFonts w:ascii="Wingdings" w:eastAsia="Wingdings" w:hAnsi="Wingdings" w:cs="Wingdings"/>
          <w:noProof/>
        </w:rPr>
        <w:t></w:t>
      </w:r>
      <w:r w:rsidR="004770F6" w:rsidRPr="00CE39FB">
        <w:rPr>
          <w:noProof/>
        </w:rPr>
        <w:t xml:space="preserve"> bodies referred to in Articles 70 and 71 of the Financial Regulation;</w:t>
      </w:r>
    </w:p>
    <w:p w14:paraId="6B1E7EF6"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 xml:space="preserve"> public law bodies;</w:t>
      </w:r>
    </w:p>
    <w:p w14:paraId="0BF99CE8"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 xml:space="preserve"> bodies governed by private law with a public service mission to the extent that they are provided with adequate financial guarantees;</w:t>
      </w:r>
    </w:p>
    <w:p w14:paraId="02051560"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 xml:space="preserve"> bodies governed by the private law of a Member State that are entrusted with the implementation of a public-private partnership and that are provided with adequate financial guarantees;</w:t>
      </w:r>
    </w:p>
    <w:p w14:paraId="1811B3FB" w14:textId="77777777" w:rsidR="004770F6" w:rsidRPr="00CE39FB" w:rsidRDefault="004770F6" w:rsidP="000A6843">
      <w:pPr>
        <w:pStyle w:val="ListDash2"/>
        <w:rPr>
          <w:noProof/>
        </w:rPr>
      </w:pPr>
      <w:r w:rsidRPr="00CE39FB">
        <w:rPr>
          <w:rFonts w:ascii="Wingdings" w:eastAsia="Wingdings" w:hAnsi="Wingdings" w:cs="Wingdings"/>
          <w:noProof/>
        </w:rPr>
        <w:t></w:t>
      </w:r>
      <w:r w:rsidRPr="00CE39FB">
        <w:rPr>
          <w:noProof/>
        </w:rPr>
        <w:t xml:space="preserve"> bodies or persons entrusted with the implementation of specific actions in the CFSP pursuant to Title V of the TEU, and identified in the relevant basic act.</w:t>
      </w:r>
    </w:p>
    <w:p w14:paraId="7A326F30" w14:textId="77777777" w:rsidR="004770F6" w:rsidRPr="00CE39FB" w:rsidRDefault="004770F6" w:rsidP="000A6843">
      <w:pPr>
        <w:pStyle w:val="ListDash2"/>
        <w:rPr>
          <w:i/>
          <w:noProof/>
          <w:sz w:val="18"/>
          <w:u w:val="single"/>
        </w:rPr>
      </w:pPr>
      <w:r w:rsidRPr="00CE39FB">
        <w:rPr>
          <w:i/>
          <w:noProof/>
          <w:sz w:val="18"/>
        </w:rPr>
        <w:t>If more than one management mode is indicated, please provide details in the ‘Comments’ section.</w:t>
      </w:r>
    </w:p>
    <w:p w14:paraId="7BE06E75" w14:textId="77777777" w:rsidR="004770F6" w:rsidRPr="00CE39FB" w:rsidRDefault="004770F6">
      <w:pPr>
        <w:rPr>
          <w:noProof/>
        </w:rPr>
      </w:pPr>
      <w:r w:rsidRPr="00CE39FB">
        <w:rPr>
          <w:noProof/>
        </w:rPr>
        <w:t xml:space="preserve">Comments </w:t>
      </w:r>
    </w:p>
    <w:p w14:paraId="6BFA7F9A" w14:textId="1D515548" w:rsidR="00BF2FA6" w:rsidRPr="00CE39FB" w:rsidRDefault="00BF2FA6" w:rsidP="00BF2FA6">
      <w:pPr>
        <w:pBdr>
          <w:top w:val="single" w:sz="4" w:space="1" w:color="auto"/>
          <w:left w:val="single" w:sz="4" w:space="4" w:color="auto"/>
          <w:bottom w:val="single" w:sz="4" w:space="1" w:color="auto"/>
          <w:right w:val="single" w:sz="4" w:space="4" w:color="auto"/>
        </w:pBdr>
        <w:rPr>
          <w:noProof/>
        </w:rPr>
      </w:pPr>
      <w:r w:rsidRPr="00CE39FB">
        <w:rPr>
          <w:noProof/>
        </w:rPr>
        <w:t xml:space="preserve">The actions related to the European Cyber Shield will be implemented by the ECCC. Until the ECCC has the capacity to implement its own budget, the European Commission will implement the actions in direct management on behalf of the ECCC. The ECCC may select entities based on calls for expression of interest to participate in joint procurement of tools. The ECCC may award grants for the operation of these tools. </w:t>
      </w:r>
    </w:p>
    <w:p w14:paraId="03FE35F4" w14:textId="77777777" w:rsidR="00BF2FA6" w:rsidRPr="00CE39FB" w:rsidRDefault="00BF2FA6" w:rsidP="00BF2FA6">
      <w:pPr>
        <w:pBdr>
          <w:top w:val="single" w:sz="4" w:space="1" w:color="auto"/>
          <w:left w:val="single" w:sz="4" w:space="4" w:color="auto"/>
          <w:bottom w:val="single" w:sz="4" w:space="1" w:color="auto"/>
          <w:right w:val="single" w:sz="4" w:space="4" w:color="auto"/>
        </w:pBdr>
        <w:rPr>
          <w:noProof/>
        </w:rPr>
      </w:pPr>
      <w:r w:rsidRPr="00CE39FB">
        <w:rPr>
          <w:noProof/>
        </w:rPr>
        <w:t xml:space="preserve">Moreover, the ECCC may award grants for preparedness actions under the Cybersecurity Emergency Mechanism. </w:t>
      </w:r>
    </w:p>
    <w:p w14:paraId="4A68809F" w14:textId="6A59C436" w:rsidR="00BF2FA6" w:rsidRPr="00CE39FB" w:rsidRDefault="0A726609" w:rsidP="7305907C">
      <w:pPr>
        <w:pBdr>
          <w:top w:val="single" w:sz="4" w:space="1" w:color="auto"/>
          <w:left w:val="single" w:sz="4" w:space="4" w:color="auto"/>
          <w:bottom w:val="single" w:sz="4" w:space="1" w:color="auto"/>
          <w:right w:val="single" w:sz="4" w:space="4" w:color="auto"/>
        </w:pBdr>
        <w:rPr>
          <w:noProof/>
        </w:rPr>
      </w:pPr>
      <w:r w:rsidRPr="00CE39FB">
        <w:rPr>
          <w:rFonts w:eastAsia="Times New Roman"/>
          <w:noProof/>
        </w:rPr>
        <w:t>The Commission shall have overall responsibility for the implementation of the EU Cybersecurity Reserve. The Commission may entrust, in full or in part, by means of contribution agreements, the operation and administration of the EU Cybersecurity Reserve to ENISA.</w:t>
      </w:r>
      <w:r w:rsidRPr="00CE39FB">
        <w:rPr>
          <w:noProof/>
        </w:rPr>
        <w:t xml:space="preserve"> The assigned actions of this Regulation to ENISA are in line with its existing mandate. Those action</w:t>
      </w:r>
      <w:r w:rsidR="4DFB53C6" w:rsidRPr="00CE39FB">
        <w:rPr>
          <w:noProof/>
        </w:rPr>
        <w:t>s</w:t>
      </w:r>
      <w:r w:rsidRPr="00CE39FB">
        <w:rPr>
          <w:noProof/>
        </w:rPr>
        <w:t xml:space="preserve"> include : (i) Supporting the NIS Cooperation Group in developing the preparedness actions according to risk assessments; (ii) Supporting the Commission in establishing and supervising the implementation of the EU Cybersecurity Reserve, including receiving and processing the requests for support; (i</w:t>
      </w:r>
      <w:r w:rsidR="00CA30B7" w:rsidRPr="00CE39FB">
        <w:rPr>
          <w:noProof/>
        </w:rPr>
        <w:t>ii</w:t>
      </w:r>
      <w:r w:rsidRPr="00CE39FB">
        <w:rPr>
          <w:noProof/>
        </w:rPr>
        <w:t xml:space="preserve">) Developping templates to facilitate the submission of requests for support and </w:t>
      </w:r>
      <w:r w:rsidR="006D78D2">
        <w:rPr>
          <w:noProof/>
        </w:rPr>
        <w:t>specific agreements</w:t>
      </w:r>
      <w:r w:rsidRPr="00CE39FB">
        <w:rPr>
          <w:noProof/>
        </w:rPr>
        <w:t xml:space="preserve"> to be concluded between the service provider and the user to which the support under the EU Cybersecurity Reserve is provided; (</w:t>
      </w:r>
      <w:r w:rsidR="00CA30B7" w:rsidRPr="00CE39FB">
        <w:rPr>
          <w:noProof/>
        </w:rPr>
        <w:t>i</w:t>
      </w:r>
      <w:r w:rsidRPr="00CE39FB">
        <w:rPr>
          <w:noProof/>
        </w:rPr>
        <w:t>v) reviewing and assessing threats, vulnerabilities and mitigation actions with respect to a specific significant or large-scale cybersecurity incidents</w:t>
      </w:r>
      <w:r w:rsidR="0055065A" w:rsidRPr="00CE39FB">
        <w:rPr>
          <w:noProof/>
        </w:rPr>
        <w:t xml:space="preserve"> and preparing reports thereof</w:t>
      </w:r>
      <w:r w:rsidRPr="00CE39FB">
        <w:rPr>
          <w:noProof/>
        </w:rPr>
        <w:t xml:space="preserve">.  </w:t>
      </w:r>
    </w:p>
    <w:p w14:paraId="261B2955" w14:textId="77777777" w:rsidR="00BF2FA6" w:rsidRPr="00CE39FB" w:rsidRDefault="04B59F0E" w:rsidP="7305907C">
      <w:pPr>
        <w:pBdr>
          <w:top w:val="single" w:sz="4" w:space="1" w:color="auto"/>
          <w:left w:val="single" w:sz="4" w:space="4" w:color="auto"/>
          <w:bottom w:val="single" w:sz="4" w:space="1" w:color="auto"/>
          <w:right w:val="single" w:sz="4" w:space="4" w:color="auto"/>
        </w:pBdr>
        <w:rPr>
          <w:noProof/>
        </w:rPr>
        <w:sectPr w:rsidR="00BF2FA6" w:rsidRPr="00CE39FB" w:rsidSect="00E17AC8">
          <w:pgSz w:w="11907" w:h="16840" w:code="9"/>
          <w:pgMar w:top="1134" w:right="1418" w:bottom="1134" w:left="1418" w:header="709" w:footer="709" w:gutter="0"/>
          <w:cols w:space="708"/>
          <w:docGrid w:linePitch="360"/>
        </w:sectPr>
      </w:pPr>
      <w:r w:rsidRPr="00CE39FB">
        <w:rPr>
          <w:rFonts w:eastAsia="Times New Roman"/>
          <w:noProof/>
        </w:rPr>
        <w:t xml:space="preserve">All these assignments are estimated to about 7 FTEs from the existing resources of ENISA, building already on expertise and preparatory work that it is currently done by ENISA within the pilot of the emergency support for preparedness and incident response. </w:t>
      </w:r>
      <w:r w:rsidRPr="00CE39FB">
        <w:rPr>
          <w:noProof/>
        </w:rPr>
        <w:t xml:space="preserve"> </w:t>
      </w:r>
    </w:p>
    <w:p w14:paraId="7B0D65FC" w14:textId="77777777" w:rsidR="004770F6" w:rsidRPr="00CE39FB" w:rsidRDefault="004770F6">
      <w:pPr>
        <w:rPr>
          <w:noProof/>
        </w:rPr>
        <w:sectPr w:rsidR="004770F6" w:rsidRPr="00CE39FB" w:rsidSect="00E17AC8">
          <w:pgSz w:w="11907" w:h="16840" w:code="9"/>
          <w:pgMar w:top="1134" w:right="1418" w:bottom="1134" w:left="1418" w:header="709" w:footer="709" w:gutter="0"/>
          <w:cols w:space="708"/>
          <w:docGrid w:linePitch="360"/>
        </w:sectPr>
      </w:pPr>
    </w:p>
    <w:p w14:paraId="4C0E7905" w14:textId="77777777" w:rsidR="004770F6" w:rsidRPr="00CE39FB" w:rsidRDefault="004770F6">
      <w:pPr>
        <w:pStyle w:val="ManualHeading1"/>
        <w:rPr>
          <w:bCs/>
          <w:noProof/>
          <w:szCs w:val="24"/>
        </w:rPr>
      </w:pPr>
      <w:bookmarkStart w:id="48" w:name="_Toc514938041"/>
      <w:bookmarkStart w:id="49" w:name="_Toc520485042"/>
      <w:r w:rsidRPr="00CE39FB">
        <w:rPr>
          <w:noProof/>
        </w:rPr>
        <w:t>2.</w:t>
      </w:r>
      <w:r w:rsidRPr="00CE39FB">
        <w:rPr>
          <w:noProof/>
        </w:rPr>
        <w:tab/>
        <w:t>MANAGEMENT MEASURES</w:t>
      </w:r>
      <w:bookmarkEnd w:id="48"/>
      <w:bookmarkEnd w:id="49"/>
      <w:r w:rsidRPr="00CE39FB">
        <w:rPr>
          <w:noProof/>
        </w:rPr>
        <w:t xml:space="preserve"> </w:t>
      </w:r>
    </w:p>
    <w:p w14:paraId="6245940C" w14:textId="77777777" w:rsidR="004770F6" w:rsidRPr="00CE39FB" w:rsidRDefault="004770F6">
      <w:pPr>
        <w:pStyle w:val="ManualHeading2"/>
        <w:rPr>
          <w:noProof/>
        </w:rPr>
      </w:pPr>
      <w:bookmarkStart w:id="50" w:name="_Toc514938042"/>
      <w:bookmarkStart w:id="51" w:name="_Toc520485043"/>
      <w:r w:rsidRPr="00CE39FB">
        <w:rPr>
          <w:noProof/>
        </w:rPr>
        <w:t>2.1.</w:t>
      </w:r>
      <w:r w:rsidRPr="00CE39FB">
        <w:rPr>
          <w:noProof/>
        </w:rPr>
        <w:tab/>
        <w:t>Monitoring and reporting rules</w:t>
      </w:r>
      <w:bookmarkEnd w:id="50"/>
      <w:bookmarkEnd w:id="51"/>
      <w:r w:rsidRPr="00CE39FB">
        <w:rPr>
          <w:noProof/>
        </w:rPr>
        <w:t xml:space="preserve"> </w:t>
      </w:r>
    </w:p>
    <w:p w14:paraId="224D8B65" w14:textId="77777777" w:rsidR="004770F6" w:rsidRPr="00CE39FB" w:rsidRDefault="004770F6">
      <w:pPr>
        <w:pStyle w:val="Text1"/>
        <w:rPr>
          <w:i/>
          <w:noProof/>
          <w:sz w:val="20"/>
        </w:rPr>
      </w:pPr>
      <w:r w:rsidRPr="00CE39FB">
        <w:rPr>
          <w:i/>
          <w:noProof/>
          <w:sz w:val="20"/>
        </w:rPr>
        <w:t>Specify frequency and conditions.</w:t>
      </w:r>
    </w:p>
    <w:p w14:paraId="13E95EE9" w14:textId="77777777" w:rsidR="008556D0" w:rsidRPr="00CE39FB" w:rsidRDefault="008556D0" w:rsidP="008556D0">
      <w:pPr>
        <w:pStyle w:val="Text1"/>
        <w:pBdr>
          <w:top w:val="single" w:sz="4" w:space="1" w:color="auto"/>
          <w:left w:val="single" w:sz="4" w:space="4" w:color="auto"/>
          <w:bottom w:val="single" w:sz="4" w:space="1" w:color="auto"/>
          <w:right w:val="single" w:sz="4" w:space="4" w:color="auto"/>
        </w:pBdr>
        <w:rPr>
          <w:noProof/>
        </w:rPr>
      </w:pPr>
      <w:r w:rsidRPr="00CE39FB">
        <w:rPr>
          <w:noProof/>
        </w:rPr>
        <w:t>The Commission will monitor the implementation, the application and the compliance with these new provisions with a view to assessing their effectiveness. The Commission shall submit a report on the evaluation and review of this Regulation to the European Parliament and to the Council by four years after the date of its application.</w:t>
      </w:r>
    </w:p>
    <w:p w14:paraId="7AEAD37A" w14:textId="77777777" w:rsidR="004770F6" w:rsidRPr="00CE39FB" w:rsidRDefault="004770F6">
      <w:pPr>
        <w:pStyle w:val="ManualHeading2"/>
        <w:rPr>
          <w:bCs/>
          <w:noProof/>
          <w:szCs w:val="24"/>
        </w:rPr>
      </w:pPr>
      <w:bookmarkStart w:id="52" w:name="_Toc514938045"/>
      <w:bookmarkStart w:id="53" w:name="_Toc520485044"/>
      <w:r w:rsidRPr="00CE39FB">
        <w:rPr>
          <w:noProof/>
        </w:rPr>
        <w:t>2.2.</w:t>
      </w:r>
      <w:r w:rsidRPr="00CE39FB">
        <w:rPr>
          <w:noProof/>
        </w:rPr>
        <w:tab/>
        <w:t>Management and control system(s)</w:t>
      </w:r>
      <w:bookmarkEnd w:id="52"/>
      <w:bookmarkEnd w:id="53"/>
      <w:r w:rsidRPr="00CE39FB">
        <w:rPr>
          <w:noProof/>
        </w:rPr>
        <w:t xml:space="preserve"> </w:t>
      </w:r>
    </w:p>
    <w:p w14:paraId="1DBFF06D" w14:textId="77777777" w:rsidR="004770F6" w:rsidRPr="00CE39FB" w:rsidRDefault="004770F6">
      <w:pPr>
        <w:pStyle w:val="ManualHeading3"/>
        <w:rPr>
          <w:noProof/>
        </w:rPr>
      </w:pPr>
      <w:bookmarkStart w:id="54" w:name="_Toc514938046"/>
      <w:bookmarkStart w:id="55" w:name="_Toc520485045"/>
      <w:r w:rsidRPr="00CE39FB">
        <w:rPr>
          <w:noProof/>
        </w:rPr>
        <w:t>2.2.1.</w:t>
      </w:r>
      <w:r w:rsidRPr="00CE39FB">
        <w:rPr>
          <w:noProof/>
        </w:rPr>
        <w:tab/>
        <w:t>Justification of the management mode(s), the funding implementation mechanism(s), the payment modalities and the control strategy proposed</w:t>
      </w:r>
      <w:bookmarkEnd w:id="54"/>
      <w:bookmarkEnd w:id="55"/>
    </w:p>
    <w:p w14:paraId="677737DF" w14:textId="77777777" w:rsidR="00960B6E" w:rsidRPr="00CE39FB" w:rsidRDefault="00960B6E" w:rsidP="00960B6E">
      <w:pPr>
        <w:pStyle w:val="Text1"/>
        <w:pBdr>
          <w:top w:val="single" w:sz="4" w:space="1" w:color="auto"/>
          <w:left w:val="single" w:sz="4" w:space="4" w:color="auto"/>
          <w:bottom w:val="single" w:sz="4" w:space="1" w:color="auto"/>
          <w:right w:val="single" w:sz="4" w:space="4" w:color="auto"/>
        </w:pBdr>
        <w:rPr>
          <w:noProof/>
        </w:rPr>
      </w:pPr>
      <w:r w:rsidRPr="00CE39FB">
        <w:rPr>
          <w:rFonts w:eastAsia="Times New Roman"/>
          <w:noProof/>
        </w:rPr>
        <w:t>The Regulation introduces a framework for implementing EU funding with a view  to increasing cybersecurity resilience through actions enhancing the detection, response and recovery capabilities in case of significant and large-scale cybersecurity incidents.</w:t>
      </w:r>
      <w:r w:rsidRPr="008D6611">
        <w:rPr>
          <w:noProof/>
        </w:rPr>
        <w:t xml:space="preserve"> </w:t>
      </w:r>
      <w:r w:rsidRPr="00CE39FB">
        <w:rPr>
          <w:noProof/>
        </w:rPr>
        <w:t xml:space="preserve">The units within DG CNECT in charge of the policy field will manage the implementation of the Directive. </w:t>
      </w:r>
    </w:p>
    <w:p w14:paraId="63A761A4" w14:textId="10C940E2" w:rsidR="00960B6E" w:rsidRPr="00CE39FB" w:rsidRDefault="00960B6E" w:rsidP="00960B6E">
      <w:pPr>
        <w:pStyle w:val="Text1"/>
        <w:pBdr>
          <w:top w:val="single" w:sz="4" w:space="1" w:color="auto"/>
          <w:left w:val="single" w:sz="4" w:space="4" w:color="auto"/>
          <w:bottom w:val="single" w:sz="4" w:space="1" w:color="auto"/>
          <w:right w:val="single" w:sz="4" w:space="4" w:color="auto"/>
        </w:pBdr>
        <w:rPr>
          <w:rFonts w:eastAsia="Times New Roman"/>
          <w:noProof/>
        </w:rPr>
      </w:pPr>
      <w:r w:rsidRPr="00CE39FB">
        <w:rPr>
          <w:rFonts w:eastAsia="Times New Roman"/>
          <w:noProof/>
        </w:rPr>
        <w:t>In order to face the new tasks, it is necessary to appropriately resource the Commission’s services. The enforcement of the new Regulation is estimated to require 6 FTEs (3 AD and 3 CA) to cover the following tasks:</w:t>
      </w:r>
    </w:p>
    <w:p w14:paraId="2759C58B" w14:textId="77777777" w:rsidR="00FE594E" w:rsidRPr="00CE39FB" w:rsidRDefault="00FE594E" w:rsidP="006414CE">
      <w:pPr>
        <w:pStyle w:val="Bullet1"/>
        <w:numPr>
          <w:ilvl w:val="0"/>
          <w:numId w:val="19"/>
        </w:numPr>
        <w:rPr>
          <w:noProof/>
        </w:rPr>
      </w:pPr>
      <w:r w:rsidRPr="00CE39FB">
        <w:rPr>
          <w:noProof/>
        </w:rPr>
        <w:t>Determining preparedness actions according to risk assessments;</w:t>
      </w:r>
    </w:p>
    <w:p w14:paraId="39FC2DBA" w14:textId="77777777" w:rsidR="00FE594E" w:rsidRPr="00CE39FB" w:rsidRDefault="00FE594E" w:rsidP="006414CE">
      <w:pPr>
        <w:pStyle w:val="Bullet1"/>
        <w:rPr>
          <w:noProof/>
        </w:rPr>
      </w:pPr>
      <w:r w:rsidRPr="00CE39FB">
        <w:rPr>
          <w:noProof/>
        </w:rPr>
        <w:t>Ensuring interoperability between Cross-border SOC platforms;</w:t>
      </w:r>
    </w:p>
    <w:p w14:paraId="1A73164F" w14:textId="77777777" w:rsidR="00FE594E" w:rsidRPr="00CE39FB" w:rsidRDefault="00FE594E" w:rsidP="006414CE">
      <w:pPr>
        <w:pStyle w:val="Bullet1"/>
        <w:rPr>
          <w:noProof/>
        </w:rPr>
      </w:pPr>
      <w:r w:rsidRPr="00CE39FB">
        <w:rPr>
          <w:noProof/>
        </w:rPr>
        <w:t>Elaborating potential Implementing Acts (two for SOCs and two for the Cybersecurity Emergency Mechanism);</w:t>
      </w:r>
    </w:p>
    <w:p w14:paraId="4C2B9117" w14:textId="77777777" w:rsidR="00FE594E" w:rsidRPr="00CE39FB" w:rsidRDefault="00FE594E" w:rsidP="006414CE">
      <w:pPr>
        <w:pStyle w:val="Bullet1"/>
        <w:rPr>
          <w:noProof/>
        </w:rPr>
      </w:pPr>
      <w:r w:rsidRPr="00CE39FB">
        <w:rPr>
          <w:noProof/>
        </w:rPr>
        <w:t>Managing the Hosting and Usage Agreements for SOCs;</w:t>
      </w:r>
    </w:p>
    <w:p w14:paraId="3E6A08A1" w14:textId="77777777" w:rsidR="00FE594E" w:rsidRPr="00CE39FB" w:rsidRDefault="00FE594E" w:rsidP="006414CE">
      <w:pPr>
        <w:pStyle w:val="Bullet1"/>
        <w:rPr>
          <w:noProof/>
        </w:rPr>
      </w:pPr>
      <w:r w:rsidRPr="00CE39FB">
        <w:rPr>
          <w:noProof/>
        </w:rPr>
        <w:t>Establishing and managing the EU Cybersecurity Reserve, directly or via a contribution agreement to ENISA. In case of contribution agreement to ENISA, elaborating and supervising the implementation of the contribution agreement for the tasks assigned to ENISA;</w:t>
      </w:r>
    </w:p>
    <w:p w14:paraId="04D9EA33" w14:textId="77777777" w:rsidR="00FE594E" w:rsidRPr="00CE39FB" w:rsidRDefault="00FE594E" w:rsidP="006414CE">
      <w:pPr>
        <w:pStyle w:val="Bullet1"/>
        <w:rPr>
          <w:noProof/>
        </w:rPr>
      </w:pPr>
      <w:r w:rsidRPr="00CE39FB">
        <w:rPr>
          <w:noProof/>
        </w:rPr>
        <w:t>Participating in the consultation groups convened by ENISA to review</w:t>
      </w:r>
      <w:r w:rsidR="0055065A" w:rsidRPr="00CE39FB">
        <w:rPr>
          <w:noProof/>
        </w:rPr>
        <w:t xml:space="preserve"> and assess</w:t>
      </w:r>
      <w:r w:rsidRPr="00CE39FB">
        <w:rPr>
          <w:noProof/>
        </w:rPr>
        <w:t xml:space="preserve"> significant and large-scale cybersecurity incidents</w:t>
      </w:r>
      <w:r w:rsidR="0055065A" w:rsidRPr="00CE39FB">
        <w:rPr>
          <w:noProof/>
        </w:rPr>
        <w:t xml:space="preserve"> and preparing the reports</w:t>
      </w:r>
      <w:r w:rsidRPr="00CE39FB">
        <w:rPr>
          <w:noProof/>
        </w:rPr>
        <w:t xml:space="preserve">. </w:t>
      </w:r>
    </w:p>
    <w:p w14:paraId="36FA549C" w14:textId="77777777" w:rsidR="004770F6" w:rsidRPr="00CE39FB" w:rsidRDefault="004770F6">
      <w:pPr>
        <w:pStyle w:val="ManualHeading3"/>
        <w:rPr>
          <w:bCs/>
          <w:noProof/>
          <w:szCs w:val="24"/>
        </w:rPr>
      </w:pPr>
      <w:bookmarkStart w:id="56" w:name="_Toc514938047"/>
      <w:bookmarkStart w:id="57" w:name="_Toc520485046"/>
      <w:r w:rsidRPr="00CE39FB">
        <w:rPr>
          <w:noProof/>
        </w:rPr>
        <w:t>2.2.2.</w:t>
      </w:r>
      <w:r w:rsidRPr="00CE39FB">
        <w:rPr>
          <w:noProof/>
        </w:rPr>
        <w:tab/>
        <w:t>Information concerning the risks identified and the internal control system(s) set up to mitigate them</w:t>
      </w:r>
      <w:bookmarkEnd w:id="56"/>
      <w:bookmarkEnd w:id="57"/>
    </w:p>
    <w:p w14:paraId="3C8CB359" w14:textId="13CADBD8" w:rsidR="00D06CA1" w:rsidRPr="00CE39FB" w:rsidRDefault="00D06CA1" w:rsidP="00D06CA1">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A risk identified for the European Cyber Shield is that Member States do not share a sufficient amount of relevant cyber threat information either within the Cross-border SOC platforms, or between Cross-border platforms and other relevant entities at EU level. In order to mitigate these risks, the allocation of funding will follow a call for expression of interest where Member States commit to sharing a certain amount of information with the EU level. This commitment will then be formalised in a hosting and usage agreement, which will give the </w:t>
      </w:r>
      <w:r w:rsidR="0086410D">
        <w:rPr>
          <w:noProof/>
        </w:rPr>
        <w:t>ECCC</w:t>
      </w:r>
      <w:r w:rsidRPr="00CE39FB">
        <w:rPr>
          <w:noProof/>
        </w:rPr>
        <w:t xml:space="preserve"> the powers to conduct audits to ensure the jointly procured tools and infrastructure are being used in accordance with the agreement. Commitments to a high level of information sharing within the Cross-border SOCs will be formalised in a consortium agreement.</w:t>
      </w:r>
    </w:p>
    <w:p w14:paraId="7CC92C87" w14:textId="6860BAB8" w:rsidR="005776E1" w:rsidRPr="00CE39FB" w:rsidRDefault="00D06CA1" w:rsidP="00D06CA1">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A risk identified for the Cyber Emergency Mechanism is that users participating in the mechanism do not take sufficient measures  to ensure preparedness in the face of cyber attacks. For that reason, to be able to receive support from the EU Cybersecurity Reserve, users are obliged to take such preparedness measures. When submitting the requests for support to the EU Cybersercurity Reserve, users need to explain what measures have been taken already to respond to the incident, which will be taken into account </w:t>
      </w:r>
      <w:r w:rsidR="005776E1" w:rsidRPr="00CE39FB">
        <w:rPr>
          <w:noProof/>
        </w:rPr>
        <w:t xml:space="preserve">during assessment of the requests to the EU Cybersecurity Reserve.  </w:t>
      </w:r>
    </w:p>
    <w:p w14:paraId="4CBE3705" w14:textId="77777777" w:rsidR="004770F6" w:rsidRPr="00CE39FB" w:rsidRDefault="004770F6">
      <w:pPr>
        <w:pStyle w:val="ManualHeading3"/>
        <w:rPr>
          <w:noProof/>
        </w:rPr>
      </w:pPr>
      <w:bookmarkStart w:id="58" w:name="_Toc514938048"/>
      <w:bookmarkStart w:id="59" w:name="_Toc520485047"/>
      <w:r w:rsidRPr="00CE39FB">
        <w:rPr>
          <w:noProof/>
        </w:rPr>
        <w:t>2.2.3.</w:t>
      </w:r>
      <w:r w:rsidRPr="00CE39FB">
        <w:rPr>
          <w:noProof/>
        </w:rPr>
        <w:tab/>
        <w:t>Estimation and justification of the cost-effectiveness of the controls (ratio of "control costs ÷ value of the related funds managed"), and assessment of the expected levels of risk of error (at payment &amp; at closure)</w:t>
      </w:r>
      <w:bookmarkEnd w:id="58"/>
      <w:bookmarkEnd w:id="59"/>
      <w:r w:rsidRPr="00CE39FB">
        <w:rPr>
          <w:noProof/>
        </w:rPr>
        <w:t xml:space="preserve"> </w:t>
      </w:r>
    </w:p>
    <w:p w14:paraId="38519DF3" w14:textId="77777777" w:rsidR="00A80B21" w:rsidRPr="00CE39FB" w:rsidRDefault="00A80B21" w:rsidP="00A80B21">
      <w:pPr>
        <w:pStyle w:val="Text1"/>
        <w:pBdr>
          <w:top w:val="single" w:sz="4" w:space="1" w:color="auto"/>
          <w:left w:val="single" w:sz="4" w:space="4" w:color="auto"/>
          <w:bottom w:val="single" w:sz="4" w:space="1" w:color="auto"/>
          <w:right w:val="single" w:sz="4" w:space="4" w:color="auto"/>
        </w:pBdr>
        <w:rPr>
          <w:noProof/>
        </w:rPr>
      </w:pPr>
      <w:r w:rsidRPr="00CE39FB">
        <w:rPr>
          <w:noProof/>
        </w:rPr>
        <w:t>As the rules for participation in the Digital Europe programme applicable to the support under the Cyber Solidarity Act are similar to those that the Commission will use in its work programmes, and with a population of beneficiaries with a similar risk profile to those of programmes under direct management, it can be expected that the error margin will be similar to that foreseen by the Commission for the Digital Europe programme,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recofvery measures have been taken into account.</w:t>
      </w:r>
    </w:p>
    <w:p w14:paraId="2E2532AB" w14:textId="77777777" w:rsidR="004770F6" w:rsidRPr="00CE39FB" w:rsidRDefault="004770F6">
      <w:pPr>
        <w:pStyle w:val="ManualHeading2"/>
        <w:rPr>
          <w:bCs/>
          <w:noProof/>
          <w:szCs w:val="24"/>
        </w:rPr>
      </w:pPr>
      <w:bookmarkStart w:id="60" w:name="_Toc514938049"/>
      <w:bookmarkStart w:id="61" w:name="_Toc520485048"/>
      <w:r w:rsidRPr="00CE39FB">
        <w:rPr>
          <w:noProof/>
        </w:rPr>
        <w:t>2.3.</w:t>
      </w:r>
      <w:r w:rsidRPr="00CE39FB">
        <w:rPr>
          <w:noProof/>
        </w:rPr>
        <w:tab/>
        <w:t>Measures to prevent fraud and irregularities</w:t>
      </w:r>
      <w:bookmarkEnd w:id="60"/>
      <w:bookmarkEnd w:id="61"/>
      <w:r w:rsidRPr="00CE39FB">
        <w:rPr>
          <w:noProof/>
        </w:rPr>
        <w:t xml:space="preserve"> </w:t>
      </w:r>
    </w:p>
    <w:p w14:paraId="64159738" w14:textId="77777777" w:rsidR="004770F6" w:rsidRPr="00CE39FB" w:rsidRDefault="004770F6">
      <w:pPr>
        <w:pStyle w:val="Text1"/>
        <w:rPr>
          <w:i/>
          <w:noProof/>
          <w:sz w:val="20"/>
        </w:rPr>
      </w:pPr>
      <w:r w:rsidRPr="00CE39FB">
        <w:rPr>
          <w:i/>
          <w:noProof/>
          <w:sz w:val="20"/>
        </w:rPr>
        <w:t>Specify existing or envisaged prevention and protection measures, e.g. from the Anti-Fraud Strategy.</w:t>
      </w:r>
    </w:p>
    <w:p w14:paraId="2B573C07" w14:textId="61E80919" w:rsidR="005054A4" w:rsidRPr="00CE39FB" w:rsidRDefault="005054A4" w:rsidP="005054A4">
      <w:pPr>
        <w:pStyle w:val="Text1"/>
        <w:pBdr>
          <w:top w:val="single" w:sz="4" w:space="1" w:color="auto"/>
          <w:left w:val="single" w:sz="4" w:space="4" w:color="auto"/>
          <w:bottom w:val="single" w:sz="4" w:space="1" w:color="auto"/>
          <w:right w:val="single" w:sz="4" w:space="4" w:color="auto"/>
        </w:pBdr>
        <w:rPr>
          <w:noProof/>
        </w:rPr>
      </w:pPr>
      <w:r w:rsidRPr="00CE39FB">
        <w:rPr>
          <w:noProof/>
        </w:rPr>
        <w:t xml:space="preserve">In the case of the European Cyber Shield, the </w:t>
      </w:r>
      <w:r w:rsidR="0086410D">
        <w:rPr>
          <w:noProof/>
        </w:rPr>
        <w:t>ECCC</w:t>
      </w:r>
      <w:r w:rsidRPr="00CE39FB">
        <w:rPr>
          <w:noProof/>
        </w:rPr>
        <w:t xml:space="preserve"> will have the power of audit, on the basis of access to information and on-the-spot checks, of the jointly procured tools and infrastructures, in accordance with the hosting and usage agreement to be signed between the hosting consortium and the ECCC.</w:t>
      </w:r>
    </w:p>
    <w:p w14:paraId="4CA6959C" w14:textId="77777777" w:rsidR="005054A4" w:rsidRPr="00CE39FB" w:rsidRDefault="005054A4" w:rsidP="005054A4">
      <w:pPr>
        <w:pStyle w:val="Text1"/>
        <w:pBdr>
          <w:top w:val="single" w:sz="4" w:space="1" w:color="auto"/>
          <w:left w:val="single" w:sz="4" w:space="4" w:color="auto"/>
          <w:bottom w:val="single" w:sz="4" w:space="1" w:color="auto"/>
          <w:right w:val="single" w:sz="4" w:space="4" w:color="auto"/>
        </w:pBdr>
        <w:rPr>
          <w:noProof/>
        </w:rPr>
      </w:pPr>
      <w:r w:rsidRPr="00CE39FB">
        <w:rPr>
          <w:noProof/>
        </w:rPr>
        <w:t>The existing fraud prevention measures applicable to the Union institutions, bodies and agencies will cover the additional appropriations necessary for this Regulation.</w:t>
      </w:r>
    </w:p>
    <w:p w14:paraId="2DC65CF0" w14:textId="77777777" w:rsidR="004770F6" w:rsidRPr="00CE39FB" w:rsidRDefault="004770F6">
      <w:pPr>
        <w:rPr>
          <w:noProof/>
        </w:rPr>
        <w:sectPr w:rsidR="004770F6" w:rsidRPr="00CE39FB" w:rsidSect="00E17AC8">
          <w:pgSz w:w="11907" w:h="16840" w:code="9"/>
          <w:pgMar w:top="1134" w:right="1418" w:bottom="1134" w:left="1418" w:header="709" w:footer="709" w:gutter="0"/>
          <w:cols w:space="708"/>
          <w:docGrid w:linePitch="360"/>
        </w:sectPr>
      </w:pPr>
    </w:p>
    <w:p w14:paraId="2DE81FCE" w14:textId="77777777" w:rsidR="004770F6" w:rsidRPr="00CE39FB" w:rsidRDefault="004770F6">
      <w:pPr>
        <w:pStyle w:val="ManualHeading1"/>
        <w:rPr>
          <w:bCs/>
          <w:noProof/>
          <w:szCs w:val="24"/>
        </w:rPr>
      </w:pPr>
      <w:bookmarkStart w:id="62" w:name="_Toc514938050"/>
      <w:bookmarkStart w:id="63" w:name="_Toc520485049"/>
      <w:r w:rsidRPr="00CE39FB">
        <w:rPr>
          <w:noProof/>
        </w:rPr>
        <w:t>3.</w:t>
      </w:r>
      <w:r w:rsidRPr="00CE39FB">
        <w:rPr>
          <w:noProof/>
        </w:rPr>
        <w:tab/>
        <w:t>ESTIMATED FINANCIAL IMPACT OF THE PROPOSAL/INITIATIVE</w:t>
      </w:r>
      <w:bookmarkEnd w:id="62"/>
      <w:bookmarkEnd w:id="63"/>
      <w:r w:rsidRPr="00CE39FB">
        <w:rPr>
          <w:noProof/>
        </w:rPr>
        <w:t xml:space="preserve"> </w:t>
      </w:r>
    </w:p>
    <w:p w14:paraId="3D18F9A7" w14:textId="77777777" w:rsidR="004770F6" w:rsidRPr="00CE39FB" w:rsidRDefault="004770F6">
      <w:pPr>
        <w:pStyle w:val="ManualHeading2"/>
        <w:rPr>
          <w:noProof/>
        </w:rPr>
      </w:pPr>
      <w:bookmarkStart w:id="64" w:name="_Toc514938051"/>
      <w:bookmarkStart w:id="65" w:name="_Toc520485050"/>
      <w:r w:rsidRPr="00CE39FB">
        <w:rPr>
          <w:noProof/>
        </w:rPr>
        <w:t>3.1.</w:t>
      </w:r>
      <w:r w:rsidRPr="00CE39FB">
        <w:rPr>
          <w:noProof/>
        </w:rPr>
        <w:tab/>
        <w:t>Heading(s) of the multiannual financial framework and expenditure budget line(s) affected</w:t>
      </w:r>
      <w:bookmarkEnd w:id="64"/>
      <w:bookmarkEnd w:id="65"/>
      <w:r w:rsidRPr="00CE39FB">
        <w:rPr>
          <w:noProof/>
        </w:rPr>
        <w:t xml:space="preserve"> </w:t>
      </w:r>
    </w:p>
    <w:p w14:paraId="022E5104" w14:textId="77777777" w:rsidR="004770F6" w:rsidRPr="00CE39FB" w:rsidRDefault="004770F6" w:rsidP="000A6843">
      <w:pPr>
        <w:pStyle w:val="ListBullet1"/>
        <w:rPr>
          <w:noProof/>
        </w:rPr>
      </w:pPr>
      <w:r w:rsidRPr="00CE39FB">
        <w:rPr>
          <w:noProof/>
        </w:rPr>
        <w:t xml:space="preserve">Existing budget lines </w:t>
      </w:r>
    </w:p>
    <w:p w14:paraId="45E6B5A8" w14:textId="77777777" w:rsidR="004770F6" w:rsidRPr="00CE39FB" w:rsidRDefault="004770F6">
      <w:pPr>
        <w:pStyle w:val="Text1"/>
        <w:rPr>
          <w:i/>
          <w:noProof/>
        </w:rPr>
      </w:pPr>
      <w:r w:rsidRPr="00CE39FB">
        <w:rPr>
          <w:i/>
          <w:noProof/>
          <w:u w:val="single"/>
        </w:rPr>
        <w:t>In order</w:t>
      </w:r>
      <w:r w:rsidRPr="00CE39FB">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E39FB" w:rsidRPr="00CE39FB" w14:paraId="280426ED" w14:textId="77777777" w:rsidTr="59744C64">
        <w:tc>
          <w:tcPr>
            <w:tcW w:w="1080" w:type="dxa"/>
            <w:vMerge w:val="restart"/>
            <w:vAlign w:val="center"/>
          </w:tcPr>
          <w:p w14:paraId="3ED3D882" w14:textId="77777777" w:rsidR="00022AED" w:rsidRPr="008D6611" w:rsidRDefault="00022AED">
            <w:pPr>
              <w:spacing w:before="60" w:after="60"/>
              <w:jc w:val="center"/>
              <w:rPr>
                <w:noProof/>
              </w:rPr>
            </w:pPr>
            <w:r w:rsidRPr="008D6611">
              <w:rPr>
                <w:noProof/>
                <w:sz w:val="18"/>
              </w:rPr>
              <w:t>Heading of multiannual financial framework</w:t>
            </w:r>
          </w:p>
        </w:tc>
        <w:tc>
          <w:tcPr>
            <w:tcW w:w="3960" w:type="dxa"/>
            <w:vAlign w:val="center"/>
          </w:tcPr>
          <w:p w14:paraId="6025C1F9" w14:textId="77777777" w:rsidR="00022AED" w:rsidRPr="00CE39FB" w:rsidRDefault="00022AED">
            <w:pPr>
              <w:spacing w:before="60" w:after="60"/>
              <w:jc w:val="center"/>
              <w:rPr>
                <w:noProof/>
              </w:rPr>
            </w:pPr>
            <w:r w:rsidRPr="00CE39FB">
              <w:rPr>
                <w:noProof/>
                <w:sz w:val="20"/>
              </w:rPr>
              <w:t>Budget line</w:t>
            </w:r>
          </w:p>
        </w:tc>
        <w:tc>
          <w:tcPr>
            <w:tcW w:w="1080" w:type="dxa"/>
            <w:vAlign w:val="center"/>
          </w:tcPr>
          <w:p w14:paraId="238F69FD" w14:textId="77777777" w:rsidR="00022AED" w:rsidRPr="00CE39FB" w:rsidRDefault="00022AED">
            <w:pPr>
              <w:spacing w:before="60" w:after="60"/>
              <w:jc w:val="center"/>
              <w:rPr>
                <w:noProof/>
              </w:rPr>
            </w:pPr>
            <w:r w:rsidRPr="00CE39FB">
              <w:rPr>
                <w:noProof/>
                <w:sz w:val="18"/>
              </w:rPr>
              <w:t xml:space="preserve">Type of </w:t>
            </w:r>
            <w:r w:rsidRPr="00CE39FB">
              <w:rPr>
                <w:noProof/>
                <w:sz w:val="22"/>
              </w:rPr>
              <w:br/>
            </w:r>
            <w:r w:rsidRPr="00CE39FB">
              <w:rPr>
                <w:noProof/>
                <w:sz w:val="18"/>
              </w:rPr>
              <w:t>expenditure</w:t>
            </w:r>
          </w:p>
        </w:tc>
        <w:tc>
          <w:tcPr>
            <w:tcW w:w="4440" w:type="dxa"/>
            <w:gridSpan w:val="4"/>
            <w:vAlign w:val="center"/>
          </w:tcPr>
          <w:p w14:paraId="4FE1E467" w14:textId="77777777" w:rsidR="00022AED" w:rsidRPr="00CE39FB" w:rsidRDefault="00022AED">
            <w:pPr>
              <w:spacing w:before="60" w:after="60"/>
              <w:jc w:val="center"/>
              <w:rPr>
                <w:noProof/>
              </w:rPr>
            </w:pPr>
            <w:r w:rsidRPr="00CE39FB">
              <w:rPr>
                <w:noProof/>
                <w:sz w:val="20"/>
              </w:rPr>
              <w:t xml:space="preserve">Contribution </w:t>
            </w:r>
          </w:p>
        </w:tc>
      </w:tr>
      <w:tr w:rsidR="00CE39FB" w:rsidRPr="00CE39FB" w14:paraId="08B37E3A" w14:textId="77777777" w:rsidTr="59744C64">
        <w:tc>
          <w:tcPr>
            <w:tcW w:w="1080" w:type="dxa"/>
            <w:vMerge/>
            <w:vAlign w:val="center"/>
          </w:tcPr>
          <w:p w14:paraId="42560DF7" w14:textId="77777777" w:rsidR="00022AED" w:rsidRPr="00CE39FB" w:rsidRDefault="00022AED">
            <w:pPr>
              <w:jc w:val="center"/>
              <w:rPr>
                <w:noProof/>
              </w:rPr>
            </w:pPr>
          </w:p>
        </w:tc>
        <w:tc>
          <w:tcPr>
            <w:tcW w:w="3960" w:type="dxa"/>
            <w:vAlign w:val="center"/>
          </w:tcPr>
          <w:p w14:paraId="7A629B96" w14:textId="77777777" w:rsidR="00022AED" w:rsidRPr="00CE39FB" w:rsidRDefault="00022AED">
            <w:pPr>
              <w:rPr>
                <w:noProof/>
              </w:rPr>
            </w:pPr>
            <w:r w:rsidRPr="00CE39FB">
              <w:rPr>
                <w:noProof/>
                <w:sz w:val="20"/>
              </w:rPr>
              <w:t xml:space="preserve">Number </w:t>
            </w:r>
            <w:r w:rsidRPr="00CE39FB">
              <w:rPr>
                <w:noProof/>
                <w:sz w:val="22"/>
              </w:rPr>
              <w:br/>
            </w:r>
          </w:p>
        </w:tc>
        <w:tc>
          <w:tcPr>
            <w:tcW w:w="1080" w:type="dxa"/>
            <w:vAlign w:val="center"/>
          </w:tcPr>
          <w:p w14:paraId="33F7C80C" w14:textId="77777777" w:rsidR="00022AED" w:rsidRPr="00CE39FB" w:rsidRDefault="6E7321E5">
            <w:pPr>
              <w:jc w:val="center"/>
              <w:rPr>
                <w:noProof/>
              </w:rPr>
            </w:pPr>
            <w:r w:rsidRPr="00CE39FB">
              <w:rPr>
                <w:noProof/>
                <w:sz w:val="18"/>
                <w:szCs w:val="18"/>
              </w:rPr>
              <w:t>Diff./Non-diff.</w:t>
            </w:r>
            <w:r w:rsidR="00022AED" w:rsidRPr="00CE39FB">
              <w:rPr>
                <w:rStyle w:val="FootnoteReference"/>
                <w:noProof/>
                <w:sz w:val="18"/>
                <w:szCs w:val="18"/>
              </w:rPr>
              <w:footnoteReference w:id="37"/>
            </w:r>
          </w:p>
        </w:tc>
        <w:tc>
          <w:tcPr>
            <w:tcW w:w="956" w:type="dxa"/>
            <w:vAlign w:val="center"/>
          </w:tcPr>
          <w:p w14:paraId="43C24642" w14:textId="77777777" w:rsidR="00022AED" w:rsidRPr="00CE39FB" w:rsidRDefault="6E7321E5">
            <w:pPr>
              <w:jc w:val="center"/>
              <w:rPr>
                <w:b/>
                <w:noProof/>
                <w:sz w:val="18"/>
              </w:rPr>
            </w:pPr>
            <w:r w:rsidRPr="00CE39FB">
              <w:rPr>
                <w:noProof/>
                <w:sz w:val="18"/>
                <w:szCs w:val="18"/>
              </w:rPr>
              <w:t>from EFTA countries</w:t>
            </w:r>
            <w:r w:rsidR="00022AED" w:rsidRPr="00CE39FB">
              <w:rPr>
                <w:rStyle w:val="FootnoteReference"/>
                <w:noProof/>
                <w:sz w:val="18"/>
                <w:szCs w:val="18"/>
              </w:rPr>
              <w:footnoteReference w:id="38"/>
            </w:r>
          </w:p>
        </w:tc>
        <w:tc>
          <w:tcPr>
            <w:tcW w:w="1080" w:type="dxa"/>
            <w:vAlign w:val="center"/>
          </w:tcPr>
          <w:p w14:paraId="0F0E19E9" w14:textId="77777777" w:rsidR="00022AED" w:rsidRPr="008D6611" w:rsidRDefault="6E7321E5">
            <w:pPr>
              <w:jc w:val="center"/>
              <w:rPr>
                <w:noProof/>
                <w:sz w:val="18"/>
              </w:rPr>
            </w:pPr>
            <w:r w:rsidRPr="008D6611">
              <w:rPr>
                <w:noProof/>
                <w:sz w:val="18"/>
              </w:rPr>
              <w:t>from candidate countries and potential candidates</w:t>
            </w:r>
            <w:r w:rsidR="00022AED" w:rsidRPr="00CE39FB">
              <w:rPr>
                <w:rStyle w:val="FootnoteReference"/>
                <w:noProof/>
                <w:sz w:val="18"/>
                <w:szCs w:val="18"/>
              </w:rPr>
              <w:footnoteReference w:id="39"/>
            </w:r>
          </w:p>
        </w:tc>
        <w:tc>
          <w:tcPr>
            <w:tcW w:w="956" w:type="dxa"/>
            <w:vAlign w:val="center"/>
          </w:tcPr>
          <w:p w14:paraId="2B04C182" w14:textId="77777777" w:rsidR="00022AED" w:rsidRPr="00CE39FB" w:rsidRDefault="00022AED">
            <w:pPr>
              <w:jc w:val="center"/>
              <w:rPr>
                <w:noProof/>
                <w:sz w:val="18"/>
              </w:rPr>
            </w:pPr>
            <w:r w:rsidRPr="00CE39FB">
              <w:rPr>
                <w:noProof/>
                <w:sz w:val="18"/>
              </w:rPr>
              <w:t>fromother third countries</w:t>
            </w:r>
          </w:p>
        </w:tc>
        <w:tc>
          <w:tcPr>
            <w:tcW w:w="1448" w:type="dxa"/>
            <w:vAlign w:val="center"/>
          </w:tcPr>
          <w:p w14:paraId="7080651A" w14:textId="77777777" w:rsidR="00022AED" w:rsidRPr="00CE39FB" w:rsidRDefault="00022AED">
            <w:pPr>
              <w:jc w:val="center"/>
              <w:rPr>
                <w:noProof/>
              </w:rPr>
            </w:pPr>
            <w:r w:rsidRPr="008D6611">
              <w:rPr>
                <w:noProof/>
                <w:sz w:val="18"/>
              </w:rPr>
              <w:t>other assigned revenue</w:t>
            </w:r>
          </w:p>
        </w:tc>
      </w:tr>
      <w:tr w:rsidR="00CE39FB" w:rsidRPr="00CE39FB" w14:paraId="367EC54D" w14:textId="77777777" w:rsidTr="59744C64">
        <w:tc>
          <w:tcPr>
            <w:tcW w:w="1080" w:type="dxa"/>
            <w:vAlign w:val="center"/>
          </w:tcPr>
          <w:p w14:paraId="68FE1A36" w14:textId="77777777" w:rsidR="00022AED" w:rsidRPr="008D6611" w:rsidRDefault="00022AED">
            <w:pPr>
              <w:jc w:val="center"/>
              <w:rPr>
                <w:noProof/>
              </w:rPr>
            </w:pPr>
            <w:r w:rsidRPr="008D6611">
              <w:rPr>
                <w:noProof/>
              </w:rPr>
              <w:t>1</w:t>
            </w:r>
          </w:p>
        </w:tc>
        <w:tc>
          <w:tcPr>
            <w:tcW w:w="3960" w:type="dxa"/>
            <w:vAlign w:val="center"/>
          </w:tcPr>
          <w:p w14:paraId="77406AB9" w14:textId="77777777" w:rsidR="00022AED" w:rsidRPr="00CE39FB" w:rsidRDefault="00022AED">
            <w:pPr>
              <w:spacing w:before="60"/>
              <w:rPr>
                <w:noProof/>
              </w:rPr>
            </w:pPr>
            <w:r w:rsidRPr="00CE39FB">
              <w:rPr>
                <w:noProof/>
                <w:sz w:val="22"/>
                <w:lang w:eastAsia="en-GB"/>
              </w:rPr>
              <w:t>02 04 01 10 - Digital Europe programme - Cybersecurity</w:t>
            </w:r>
          </w:p>
        </w:tc>
        <w:tc>
          <w:tcPr>
            <w:tcW w:w="1080" w:type="dxa"/>
            <w:vAlign w:val="center"/>
          </w:tcPr>
          <w:p w14:paraId="7D4B24A1" w14:textId="77777777" w:rsidR="00022AED" w:rsidRPr="008D6611" w:rsidRDefault="00022AED">
            <w:pPr>
              <w:jc w:val="center"/>
              <w:rPr>
                <w:noProof/>
              </w:rPr>
            </w:pPr>
            <w:r w:rsidRPr="00CE39FB">
              <w:rPr>
                <w:noProof/>
                <w:sz w:val="22"/>
              </w:rPr>
              <w:t>Diff.</w:t>
            </w:r>
          </w:p>
        </w:tc>
        <w:tc>
          <w:tcPr>
            <w:tcW w:w="956" w:type="dxa"/>
            <w:vAlign w:val="center"/>
          </w:tcPr>
          <w:p w14:paraId="46C92435" w14:textId="77777777" w:rsidR="00022AED" w:rsidRPr="00CE39FB" w:rsidRDefault="00022AED">
            <w:pPr>
              <w:jc w:val="center"/>
              <w:rPr>
                <w:noProof/>
                <w:sz w:val="20"/>
                <w:szCs w:val="20"/>
              </w:rPr>
            </w:pPr>
            <w:r w:rsidRPr="00CE39FB">
              <w:rPr>
                <w:noProof/>
                <w:sz w:val="20"/>
                <w:szCs w:val="20"/>
              </w:rPr>
              <w:t>YES</w:t>
            </w:r>
          </w:p>
        </w:tc>
        <w:tc>
          <w:tcPr>
            <w:tcW w:w="1080" w:type="dxa"/>
            <w:vAlign w:val="center"/>
          </w:tcPr>
          <w:p w14:paraId="2D7ED880" w14:textId="77777777" w:rsidR="00022AED" w:rsidRPr="00CE39FB" w:rsidRDefault="00022AED">
            <w:pPr>
              <w:jc w:val="center"/>
              <w:rPr>
                <w:noProof/>
                <w:sz w:val="20"/>
                <w:szCs w:val="20"/>
              </w:rPr>
            </w:pPr>
            <w:r w:rsidRPr="00CE39FB">
              <w:rPr>
                <w:noProof/>
                <w:sz w:val="20"/>
                <w:szCs w:val="20"/>
              </w:rPr>
              <w:t>YES</w:t>
            </w:r>
          </w:p>
        </w:tc>
        <w:tc>
          <w:tcPr>
            <w:tcW w:w="956" w:type="dxa"/>
            <w:vAlign w:val="center"/>
          </w:tcPr>
          <w:p w14:paraId="764478C5" w14:textId="77777777" w:rsidR="00022AED" w:rsidRPr="00CE39FB" w:rsidRDefault="00022AED">
            <w:pPr>
              <w:jc w:val="center"/>
              <w:rPr>
                <w:noProof/>
                <w:sz w:val="20"/>
                <w:szCs w:val="20"/>
              </w:rPr>
            </w:pPr>
            <w:r w:rsidRPr="00CE39FB">
              <w:rPr>
                <w:noProof/>
                <w:sz w:val="20"/>
                <w:szCs w:val="20"/>
              </w:rPr>
              <w:t>NO</w:t>
            </w:r>
          </w:p>
        </w:tc>
        <w:tc>
          <w:tcPr>
            <w:tcW w:w="1448" w:type="dxa"/>
            <w:vAlign w:val="center"/>
          </w:tcPr>
          <w:p w14:paraId="3BDA0857" w14:textId="77777777" w:rsidR="00022AED" w:rsidRPr="00CE39FB" w:rsidRDefault="00022AED">
            <w:pPr>
              <w:jc w:val="center"/>
              <w:rPr>
                <w:noProof/>
                <w:sz w:val="20"/>
                <w:szCs w:val="20"/>
              </w:rPr>
            </w:pPr>
            <w:r w:rsidRPr="00CE39FB">
              <w:rPr>
                <w:noProof/>
                <w:sz w:val="20"/>
                <w:szCs w:val="20"/>
              </w:rPr>
              <w:t>NO</w:t>
            </w:r>
          </w:p>
        </w:tc>
      </w:tr>
      <w:tr w:rsidR="00CE39FB" w:rsidRPr="00CE39FB" w14:paraId="7AE50A74" w14:textId="77777777" w:rsidTr="59744C64">
        <w:tc>
          <w:tcPr>
            <w:tcW w:w="1080" w:type="dxa"/>
            <w:vAlign w:val="center"/>
          </w:tcPr>
          <w:p w14:paraId="3863F0B1" w14:textId="77777777" w:rsidR="00022AED" w:rsidRPr="008D6611" w:rsidRDefault="00022AED">
            <w:pPr>
              <w:jc w:val="center"/>
              <w:rPr>
                <w:noProof/>
              </w:rPr>
            </w:pPr>
            <w:r w:rsidRPr="008D6611">
              <w:rPr>
                <w:noProof/>
              </w:rPr>
              <w:t>1</w:t>
            </w:r>
          </w:p>
        </w:tc>
        <w:tc>
          <w:tcPr>
            <w:tcW w:w="3960" w:type="dxa"/>
            <w:vAlign w:val="center"/>
          </w:tcPr>
          <w:p w14:paraId="6D158858" w14:textId="77777777" w:rsidR="00022AED" w:rsidRPr="00CE39FB" w:rsidRDefault="00022AED">
            <w:pPr>
              <w:spacing w:before="60"/>
              <w:rPr>
                <w:noProof/>
                <w:sz w:val="22"/>
                <w:lang w:eastAsia="en-GB"/>
              </w:rPr>
            </w:pPr>
            <w:r w:rsidRPr="00CE39FB">
              <w:rPr>
                <w:noProof/>
                <w:sz w:val="22"/>
                <w:lang w:eastAsia="en-GB"/>
              </w:rPr>
              <w:t>02 04 01 11 - Digital Europe programme - European Cybersecurity Industrial, Technology and Research Competence Centre</w:t>
            </w:r>
          </w:p>
        </w:tc>
        <w:tc>
          <w:tcPr>
            <w:tcW w:w="1080" w:type="dxa"/>
            <w:vAlign w:val="center"/>
          </w:tcPr>
          <w:p w14:paraId="6E1C9433" w14:textId="77777777" w:rsidR="00022AED" w:rsidRPr="00CE39FB" w:rsidRDefault="00022AED">
            <w:pPr>
              <w:jc w:val="center"/>
              <w:rPr>
                <w:noProof/>
                <w:sz w:val="22"/>
              </w:rPr>
            </w:pPr>
            <w:r w:rsidRPr="00CE39FB">
              <w:rPr>
                <w:noProof/>
                <w:sz w:val="22"/>
              </w:rPr>
              <w:t>Diff</w:t>
            </w:r>
          </w:p>
        </w:tc>
        <w:tc>
          <w:tcPr>
            <w:tcW w:w="956" w:type="dxa"/>
            <w:vAlign w:val="center"/>
          </w:tcPr>
          <w:p w14:paraId="596E48A9" w14:textId="77777777" w:rsidR="00022AED" w:rsidRPr="00CE39FB" w:rsidRDefault="00022AED">
            <w:pPr>
              <w:jc w:val="center"/>
              <w:rPr>
                <w:noProof/>
                <w:sz w:val="20"/>
                <w:szCs w:val="20"/>
              </w:rPr>
            </w:pPr>
            <w:r w:rsidRPr="00CE39FB">
              <w:rPr>
                <w:noProof/>
                <w:sz w:val="20"/>
                <w:szCs w:val="20"/>
              </w:rPr>
              <w:t>YES</w:t>
            </w:r>
          </w:p>
        </w:tc>
        <w:tc>
          <w:tcPr>
            <w:tcW w:w="1080" w:type="dxa"/>
            <w:vAlign w:val="center"/>
          </w:tcPr>
          <w:p w14:paraId="76E65707" w14:textId="77777777" w:rsidR="00022AED" w:rsidRPr="00CE39FB" w:rsidRDefault="00022AED">
            <w:pPr>
              <w:jc w:val="center"/>
              <w:rPr>
                <w:noProof/>
                <w:sz w:val="20"/>
                <w:szCs w:val="20"/>
              </w:rPr>
            </w:pPr>
            <w:r w:rsidRPr="00CE39FB">
              <w:rPr>
                <w:noProof/>
                <w:sz w:val="20"/>
                <w:szCs w:val="20"/>
              </w:rPr>
              <w:t>YES</w:t>
            </w:r>
          </w:p>
        </w:tc>
        <w:tc>
          <w:tcPr>
            <w:tcW w:w="956" w:type="dxa"/>
            <w:vAlign w:val="center"/>
          </w:tcPr>
          <w:p w14:paraId="7DA5AD5D" w14:textId="77777777" w:rsidR="00022AED" w:rsidRPr="00CE39FB" w:rsidRDefault="00022AED">
            <w:pPr>
              <w:jc w:val="center"/>
              <w:rPr>
                <w:noProof/>
                <w:sz w:val="20"/>
                <w:szCs w:val="20"/>
              </w:rPr>
            </w:pPr>
            <w:r w:rsidRPr="00CE39FB">
              <w:rPr>
                <w:noProof/>
                <w:sz w:val="20"/>
                <w:szCs w:val="20"/>
              </w:rPr>
              <w:t>NO</w:t>
            </w:r>
          </w:p>
        </w:tc>
        <w:tc>
          <w:tcPr>
            <w:tcW w:w="1448" w:type="dxa"/>
            <w:vAlign w:val="center"/>
          </w:tcPr>
          <w:p w14:paraId="57F8B282" w14:textId="77777777" w:rsidR="00022AED" w:rsidRPr="00CE39FB" w:rsidRDefault="00022AED">
            <w:pPr>
              <w:jc w:val="center"/>
              <w:rPr>
                <w:noProof/>
                <w:sz w:val="20"/>
                <w:szCs w:val="20"/>
              </w:rPr>
            </w:pPr>
            <w:r w:rsidRPr="00CE39FB">
              <w:rPr>
                <w:noProof/>
                <w:sz w:val="20"/>
                <w:szCs w:val="20"/>
              </w:rPr>
              <w:t>NO</w:t>
            </w:r>
          </w:p>
        </w:tc>
      </w:tr>
      <w:tr w:rsidR="00CE39FB" w:rsidRPr="00CE39FB" w14:paraId="1B9F657E" w14:textId="77777777" w:rsidTr="59744C64">
        <w:tc>
          <w:tcPr>
            <w:tcW w:w="1080" w:type="dxa"/>
            <w:vAlign w:val="center"/>
          </w:tcPr>
          <w:p w14:paraId="3FCEED31" w14:textId="77777777" w:rsidR="00022AED" w:rsidRPr="008D6611" w:rsidRDefault="00022AED">
            <w:pPr>
              <w:jc w:val="center"/>
              <w:rPr>
                <w:noProof/>
              </w:rPr>
            </w:pPr>
            <w:r w:rsidRPr="008D6611">
              <w:rPr>
                <w:noProof/>
              </w:rPr>
              <w:t>1</w:t>
            </w:r>
          </w:p>
        </w:tc>
        <w:tc>
          <w:tcPr>
            <w:tcW w:w="3960" w:type="dxa"/>
            <w:vAlign w:val="center"/>
          </w:tcPr>
          <w:p w14:paraId="006E3DC2" w14:textId="77777777" w:rsidR="00022AED" w:rsidRPr="00CE39FB" w:rsidRDefault="00022AED">
            <w:pPr>
              <w:spacing w:before="60"/>
              <w:rPr>
                <w:noProof/>
                <w:sz w:val="22"/>
                <w:lang w:val="fr-BE" w:eastAsia="en-GB"/>
              </w:rPr>
            </w:pPr>
            <w:r w:rsidRPr="00CE39FB">
              <w:rPr>
                <w:noProof/>
                <w:sz w:val="22"/>
                <w:lang w:val="fr-BE" w:eastAsia="en-GB"/>
              </w:rPr>
              <w:t>02 04 03 - Digital Europe programme - Artificial intelligence</w:t>
            </w:r>
          </w:p>
        </w:tc>
        <w:tc>
          <w:tcPr>
            <w:tcW w:w="1080" w:type="dxa"/>
            <w:vAlign w:val="center"/>
          </w:tcPr>
          <w:p w14:paraId="2043DD7F" w14:textId="77777777" w:rsidR="00022AED" w:rsidRPr="00CE39FB" w:rsidRDefault="00022AED">
            <w:pPr>
              <w:jc w:val="center"/>
              <w:rPr>
                <w:noProof/>
                <w:sz w:val="22"/>
                <w:lang w:val="fr-BE"/>
              </w:rPr>
            </w:pPr>
            <w:r w:rsidRPr="00CE39FB">
              <w:rPr>
                <w:noProof/>
                <w:sz w:val="22"/>
                <w:lang w:val="fr-BE"/>
              </w:rPr>
              <w:t>Diff</w:t>
            </w:r>
          </w:p>
        </w:tc>
        <w:tc>
          <w:tcPr>
            <w:tcW w:w="956" w:type="dxa"/>
            <w:vAlign w:val="center"/>
          </w:tcPr>
          <w:p w14:paraId="66951672" w14:textId="77777777" w:rsidR="00022AED" w:rsidRPr="00CE39FB" w:rsidRDefault="00022AED">
            <w:pPr>
              <w:jc w:val="center"/>
              <w:rPr>
                <w:noProof/>
                <w:sz w:val="20"/>
                <w:szCs w:val="20"/>
                <w:lang w:val="fr-BE"/>
              </w:rPr>
            </w:pPr>
            <w:r w:rsidRPr="00CE39FB">
              <w:rPr>
                <w:noProof/>
                <w:sz w:val="20"/>
                <w:szCs w:val="20"/>
                <w:lang w:val="fr-BE"/>
              </w:rPr>
              <w:t>YES</w:t>
            </w:r>
          </w:p>
        </w:tc>
        <w:tc>
          <w:tcPr>
            <w:tcW w:w="1080" w:type="dxa"/>
            <w:vAlign w:val="center"/>
          </w:tcPr>
          <w:p w14:paraId="008AF96F" w14:textId="77777777" w:rsidR="00022AED" w:rsidRPr="00CE39FB" w:rsidRDefault="00022AED">
            <w:pPr>
              <w:jc w:val="center"/>
              <w:rPr>
                <w:noProof/>
                <w:sz w:val="20"/>
                <w:szCs w:val="20"/>
                <w:lang w:val="fr-BE"/>
              </w:rPr>
            </w:pPr>
            <w:r w:rsidRPr="00CE39FB">
              <w:rPr>
                <w:noProof/>
                <w:sz w:val="20"/>
                <w:szCs w:val="20"/>
                <w:lang w:val="fr-BE"/>
              </w:rPr>
              <w:t>YES</w:t>
            </w:r>
          </w:p>
        </w:tc>
        <w:tc>
          <w:tcPr>
            <w:tcW w:w="956" w:type="dxa"/>
            <w:vAlign w:val="center"/>
          </w:tcPr>
          <w:p w14:paraId="6E8FC33B" w14:textId="77777777" w:rsidR="00022AED" w:rsidRPr="00CE39FB" w:rsidRDefault="00022AED">
            <w:pPr>
              <w:jc w:val="center"/>
              <w:rPr>
                <w:noProof/>
                <w:sz w:val="20"/>
                <w:szCs w:val="20"/>
                <w:lang w:val="fr-BE"/>
              </w:rPr>
            </w:pPr>
            <w:r w:rsidRPr="00CE39FB">
              <w:rPr>
                <w:noProof/>
                <w:sz w:val="20"/>
                <w:szCs w:val="20"/>
                <w:lang w:val="fr-BE"/>
              </w:rPr>
              <w:t>NO</w:t>
            </w:r>
          </w:p>
        </w:tc>
        <w:tc>
          <w:tcPr>
            <w:tcW w:w="1448" w:type="dxa"/>
            <w:vAlign w:val="center"/>
          </w:tcPr>
          <w:p w14:paraId="1C419936" w14:textId="77777777" w:rsidR="00022AED" w:rsidRPr="00CE39FB" w:rsidRDefault="00022AED">
            <w:pPr>
              <w:jc w:val="center"/>
              <w:rPr>
                <w:noProof/>
                <w:sz w:val="20"/>
                <w:szCs w:val="20"/>
                <w:lang w:val="fr-BE"/>
              </w:rPr>
            </w:pPr>
            <w:r w:rsidRPr="00CE39FB">
              <w:rPr>
                <w:noProof/>
                <w:sz w:val="20"/>
                <w:szCs w:val="20"/>
                <w:lang w:val="fr-BE"/>
              </w:rPr>
              <w:t>NO</w:t>
            </w:r>
          </w:p>
        </w:tc>
      </w:tr>
      <w:tr w:rsidR="00CE39FB" w:rsidRPr="00CE39FB" w14:paraId="4D5FE8BE" w14:textId="77777777" w:rsidTr="59744C64">
        <w:tc>
          <w:tcPr>
            <w:tcW w:w="1080" w:type="dxa"/>
            <w:vAlign w:val="center"/>
          </w:tcPr>
          <w:p w14:paraId="4D054114" w14:textId="77777777" w:rsidR="00022AED" w:rsidRPr="008D6611" w:rsidRDefault="00022AED">
            <w:pPr>
              <w:jc w:val="center"/>
              <w:rPr>
                <w:noProof/>
              </w:rPr>
            </w:pPr>
            <w:r w:rsidRPr="008D6611">
              <w:rPr>
                <w:noProof/>
              </w:rPr>
              <w:t>1</w:t>
            </w:r>
          </w:p>
        </w:tc>
        <w:tc>
          <w:tcPr>
            <w:tcW w:w="3960" w:type="dxa"/>
            <w:vAlign w:val="center"/>
          </w:tcPr>
          <w:p w14:paraId="5D9E7FD8" w14:textId="77777777" w:rsidR="00022AED" w:rsidRPr="00CE39FB" w:rsidRDefault="00022AED">
            <w:pPr>
              <w:spacing w:before="60"/>
              <w:rPr>
                <w:noProof/>
                <w:sz w:val="22"/>
                <w:lang w:val="fr-BE" w:eastAsia="en-GB"/>
              </w:rPr>
            </w:pPr>
            <w:r w:rsidRPr="00CE39FB">
              <w:rPr>
                <w:noProof/>
                <w:sz w:val="22"/>
                <w:lang w:eastAsia="en-GB"/>
              </w:rPr>
              <w:t>02 04 04 - Digital Europe programme – Skills</w:t>
            </w:r>
          </w:p>
        </w:tc>
        <w:tc>
          <w:tcPr>
            <w:tcW w:w="1080" w:type="dxa"/>
            <w:vAlign w:val="center"/>
          </w:tcPr>
          <w:p w14:paraId="249B6AAC" w14:textId="77777777" w:rsidR="00022AED" w:rsidRPr="00CE39FB" w:rsidRDefault="00022AED">
            <w:pPr>
              <w:jc w:val="center"/>
              <w:rPr>
                <w:noProof/>
                <w:sz w:val="22"/>
                <w:lang w:val="fr-BE"/>
              </w:rPr>
            </w:pPr>
            <w:r w:rsidRPr="00CE39FB">
              <w:rPr>
                <w:noProof/>
                <w:sz w:val="22"/>
                <w:lang w:val="fr-BE"/>
              </w:rPr>
              <w:t>Diff</w:t>
            </w:r>
          </w:p>
        </w:tc>
        <w:tc>
          <w:tcPr>
            <w:tcW w:w="956" w:type="dxa"/>
            <w:vAlign w:val="center"/>
          </w:tcPr>
          <w:p w14:paraId="7957FCDB" w14:textId="77777777" w:rsidR="00022AED" w:rsidRPr="00CE39FB" w:rsidRDefault="00022AED">
            <w:pPr>
              <w:jc w:val="center"/>
              <w:rPr>
                <w:noProof/>
                <w:sz w:val="20"/>
                <w:szCs w:val="20"/>
                <w:lang w:val="fr-BE"/>
              </w:rPr>
            </w:pPr>
            <w:r w:rsidRPr="00CE39FB">
              <w:rPr>
                <w:noProof/>
                <w:sz w:val="20"/>
                <w:szCs w:val="20"/>
                <w:lang w:val="fr-BE"/>
              </w:rPr>
              <w:t>YES</w:t>
            </w:r>
          </w:p>
        </w:tc>
        <w:tc>
          <w:tcPr>
            <w:tcW w:w="1080" w:type="dxa"/>
            <w:vAlign w:val="center"/>
          </w:tcPr>
          <w:p w14:paraId="3F8C5C7D" w14:textId="77777777" w:rsidR="00022AED" w:rsidRPr="00CE39FB" w:rsidRDefault="00022AED">
            <w:pPr>
              <w:jc w:val="center"/>
              <w:rPr>
                <w:noProof/>
                <w:sz w:val="20"/>
                <w:szCs w:val="20"/>
                <w:lang w:val="fr-BE"/>
              </w:rPr>
            </w:pPr>
            <w:r w:rsidRPr="00CE39FB">
              <w:rPr>
                <w:noProof/>
                <w:sz w:val="20"/>
                <w:szCs w:val="20"/>
                <w:lang w:val="fr-BE"/>
              </w:rPr>
              <w:t>YES</w:t>
            </w:r>
          </w:p>
        </w:tc>
        <w:tc>
          <w:tcPr>
            <w:tcW w:w="956" w:type="dxa"/>
            <w:vAlign w:val="center"/>
          </w:tcPr>
          <w:p w14:paraId="06C4F5DD" w14:textId="77777777" w:rsidR="00022AED" w:rsidRPr="00CE39FB" w:rsidRDefault="00022AED">
            <w:pPr>
              <w:jc w:val="center"/>
              <w:rPr>
                <w:noProof/>
                <w:sz w:val="20"/>
                <w:szCs w:val="20"/>
                <w:lang w:val="fr-BE"/>
              </w:rPr>
            </w:pPr>
            <w:r w:rsidRPr="00CE39FB">
              <w:rPr>
                <w:noProof/>
                <w:sz w:val="20"/>
                <w:szCs w:val="20"/>
                <w:lang w:val="fr-BE"/>
              </w:rPr>
              <w:t>NO</w:t>
            </w:r>
          </w:p>
        </w:tc>
        <w:tc>
          <w:tcPr>
            <w:tcW w:w="1448" w:type="dxa"/>
            <w:vAlign w:val="center"/>
          </w:tcPr>
          <w:p w14:paraId="4D18D994" w14:textId="77777777" w:rsidR="00022AED" w:rsidRPr="00CE39FB" w:rsidRDefault="00022AED">
            <w:pPr>
              <w:jc w:val="center"/>
              <w:rPr>
                <w:noProof/>
                <w:sz w:val="20"/>
                <w:szCs w:val="20"/>
                <w:lang w:val="fr-BE"/>
              </w:rPr>
            </w:pPr>
            <w:r w:rsidRPr="00CE39FB">
              <w:rPr>
                <w:noProof/>
                <w:sz w:val="20"/>
                <w:szCs w:val="20"/>
                <w:lang w:val="fr-BE"/>
              </w:rPr>
              <w:t>NO</w:t>
            </w:r>
          </w:p>
        </w:tc>
      </w:tr>
      <w:tr w:rsidR="00CE39FB" w:rsidRPr="00CE39FB" w14:paraId="186BE23B" w14:textId="77777777" w:rsidTr="59744C64">
        <w:tc>
          <w:tcPr>
            <w:tcW w:w="1080" w:type="dxa"/>
            <w:vAlign w:val="center"/>
          </w:tcPr>
          <w:p w14:paraId="7370A307" w14:textId="77777777" w:rsidR="00022AED" w:rsidRPr="008D6611" w:rsidRDefault="00022AED">
            <w:pPr>
              <w:jc w:val="center"/>
              <w:rPr>
                <w:noProof/>
              </w:rPr>
            </w:pPr>
            <w:r w:rsidRPr="008D6611">
              <w:rPr>
                <w:noProof/>
              </w:rPr>
              <w:t>1</w:t>
            </w:r>
          </w:p>
        </w:tc>
        <w:tc>
          <w:tcPr>
            <w:tcW w:w="3960" w:type="dxa"/>
            <w:vAlign w:val="center"/>
          </w:tcPr>
          <w:p w14:paraId="432B33DC" w14:textId="77777777" w:rsidR="00022AED" w:rsidRPr="00CE39FB" w:rsidRDefault="00022AED">
            <w:pPr>
              <w:spacing w:before="60"/>
              <w:rPr>
                <w:noProof/>
                <w:sz w:val="22"/>
                <w:lang w:eastAsia="en-GB"/>
              </w:rPr>
            </w:pPr>
            <w:r w:rsidRPr="00CE39FB">
              <w:rPr>
                <w:noProof/>
                <w:sz w:val="22"/>
                <w:lang w:eastAsia="en-GB"/>
              </w:rPr>
              <w:t>02 01 30 -  Support expenditure for the Digital Europe programme</w:t>
            </w:r>
          </w:p>
        </w:tc>
        <w:tc>
          <w:tcPr>
            <w:tcW w:w="1080" w:type="dxa"/>
            <w:vAlign w:val="center"/>
          </w:tcPr>
          <w:p w14:paraId="6B71638C" w14:textId="77777777" w:rsidR="00022AED" w:rsidRPr="00CE39FB" w:rsidRDefault="00022AED">
            <w:pPr>
              <w:jc w:val="center"/>
              <w:rPr>
                <w:noProof/>
                <w:sz w:val="22"/>
                <w:lang w:val="fr-BE"/>
              </w:rPr>
            </w:pPr>
            <w:r w:rsidRPr="00CE39FB">
              <w:rPr>
                <w:noProof/>
                <w:sz w:val="22"/>
                <w:lang w:val="fr-BE"/>
              </w:rPr>
              <w:t>Non Diff</w:t>
            </w:r>
          </w:p>
        </w:tc>
        <w:tc>
          <w:tcPr>
            <w:tcW w:w="956" w:type="dxa"/>
            <w:vAlign w:val="center"/>
          </w:tcPr>
          <w:p w14:paraId="7804EFE3" w14:textId="77777777" w:rsidR="00022AED" w:rsidRPr="00CE39FB" w:rsidRDefault="00022AED">
            <w:pPr>
              <w:jc w:val="center"/>
              <w:rPr>
                <w:noProof/>
                <w:sz w:val="20"/>
                <w:szCs w:val="20"/>
                <w:lang w:val="fr-BE"/>
              </w:rPr>
            </w:pPr>
            <w:r w:rsidRPr="00CE39FB">
              <w:rPr>
                <w:noProof/>
                <w:sz w:val="20"/>
                <w:szCs w:val="20"/>
                <w:lang w:val="fr-BE"/>
              </w:rPr>
              <w:t>YES</w:t>
            </w:r>
          </w:p>
        </w:tc>
        <w:tc>
          <w:tcPr>
            <w:tcW w:w="1080" w:type="dxa"/>
            <w:vAlign w:val="center"/>
          </w:tcPr>
          <w:p w14:paraId="7073C562" w14:textId="77777777" w:rsidR="00022AED" w:rsidRPr="00CE39FB" w:rsidRDefault="00022AED">
            <w:pPr>
              <w:jc w:val="center"/>
              <w:rPr>
                <w:noProof/>
                <w:sz w:val="20"/>
                <w:szCs w:val="20"/>
                <w:lang w:val="fr-BE"/>
              </w:rPr>
            </w:pPr>
            <w:r w:rsidRPr="00CE39FB">
              <w:rPr>
                <w:noProof/>
                <w:sz w:val="20"/>
                <w:szCs w:val="20"/>
                <w:lang w:val="fr-BE"/>
              </w:rPr>
              <w:t>YES</w:t>
            </w:r>
          </w:p>
        </w:tc>
        <w:tc>
          <w:tcPr>
            <w:tcW w:w="956" w:type="dxa"/>
            <w:vAlign w:val="center"/>
          </w:tcPr>
          <w:p w14:paraId="24682C6D" w14:textId="77777777" w:rsidR="00022AED" w:rsidRPr="00CE39FB" w:rsidRDefault="00022AED">
            <w:pPr>
              <w:jc w:val="center"/>
              <w:rPr>
                <w:noProof/>
                <w:sz w:val="20"/>
                <w:szCs w:val="20"/>
                <w:lang w:val="fr-BE"/>
              </w:rPr>
            </w:pPr>
            <w:r w:rsidRPr="00CE39FB">
              <w:rPr>
                <w:noProof/>
                <w:sz w:val="20"/>
                <w:szCs w:val="20"/>
                <w:lang w:val="fr-BE"/>
              </w:rPr>
              <w:t>NO</w:t>
            </w:r>
          </w:p>
        </w:tc>
        <w:tc>
          <w:tcPr>
            <w:tcW w:w="1448" w:type="dxa"/>
            <w:vAlign w:val="center"/>
          </w:tcPr>
          <w:p w14:paraId="4B7D13C2" w14:textId="77777777" w:rsidR="00022AED" w:rsidRPr="00CE39FB" w:rsidRDefault="00022AED">
            <w:pPr>
              <w:jc w:val="center"/>
              <w:rPr>
                <w:noProof/>
                <w:sz w:val="20"/>
                <w:szCs w:val="20"/>
                <w:lang w:val="fr-BE"/>
              </w:rPr>
            </w:pPr>
            <w:r w:rsidRPr="00CE39FB">
              <w:rPr>
                <w:noProof/>
                <w:sz w:val="20"/>
                <w:szCs w:val="20"/>
                <w:lang w:val="fr-BE"/>
              </w:rPr>
              <w:t>NO</w:t>
            </w:r>
          </w:p>
        </w:tc>
      </w:tr>
    </w:tbl>
    <w:p w14:paraId="7DD2A25C" w14:textId="77777777" w:rsidR="004770F6" w:rsidRPr="00CE39FB" w:rsidRDefault="004770F6">
      <w:pPr>
        <w:rPr>
          <w:noProof/>
        </w:rPr>
        <w:sectPr w:rsidR="004770F6" w:rsidRPr="00CE39FB" w:rsidSect="00E17AC8">
          <w:pgSz w:w="11907" w:h="16840" w:code="1"/>
          <w:pgMar w:top="1134" w:right="1418" w:bottom="1134" w:left="1418" w:header="709" w:footer="709" w:gutter="0"/>
          <w:cols w:space="708"/>
          <w:docGrid w:linePitch="360"/>
        </w:sectPr>
      </w:pPr>
    </w:p>
    <w:p w14:paraId="14AB94B7" w14:textId="77777777" w:rsidR="004770F6" w:rsidRPr="00CE39FB" w:rsidRDefault="004770F6">
      <w:pPr>
        <w:pStyle w:val="ManualHeading2"/>
        <w:rPr>
          <w:bCs/>
          <w:noProof/>
          <w:szCs w:val="24"/>
        </w:rPr>
      </w:pPr>
      <w:bookmarkStart w:id="66" w:name="_Toc514938052"/>
      <w:bookmarkStart w:id="67" w:name="_Toc520485051"/>
      <w:r w:rsidRPr="00CE39FB">
        <w:rPr>
          <w:noProof/>
        </w:rPr>
        <w:t>3.2.</w:t>
      </w:r>
      <w:r w:rsidRPr="00CE39FB">
        <w:rPr>
          <w:noProof/>
        </w:rPr>
        <w:tab/>
        <w:t>Estimated financial impact of the proposal on appropriations</w:t>
      </w:r>
      <w:bookmarkEnd w:id="66"/>
      <w:bookmarkEnd w:id="67"/>
      <w:r w:rsidRPr="00CE39FB">
        <w:rPr>
          <w:noProof/>
        </w:rPr>
        <w:t xml:space="preserve"> </w:t>
      </w:r>
    </w:p>
    <w:p w14:paraId="1574FC89" w14:textId="77777777" w:rsidR="004770F6" w:rsidRPr="00CE39FB" w:rsidRDefault="004770F6">
      <w:pPr>
        <w:pStyle w:val="ManualHeading3"/>
        <w:rPr>
          <w:noProof/>
        </w:rPr>
      </w:pPr>
      <w:bookmarkStart w:id="68" w:name="_Toc514938053"/>
      <w:bookmarkStart w:id="69" w:name="_Toc520485052"/>
      <w:r w:rsidRPr="00CE39FB">
        <w:rPr>
          <w:noProof/>
        </w:rPr>
        <w:t>3.2.1.</w:t>
      </w:r>
      <w:r w:rsidRPr="00CE39FB">
        <w:rPr>
          <w:noProof/>
        </w:rPr>
        <w:tab/>
        <w:t>Summary of estimated impact on operational appropriations</w:t>
      </w:r>
      <w:bookmarkEnd w:id="68"/>
      <w:bookmarkEnd w:id="69"/>
      <w:r w:rsidRPr="00CE39FB">
        <w:rPr>
          <w:noProof/>
        </w:rPr>
        <w:t xml:space="preserve"> </w:t>
      </w:r>
    </w:p>
    <w:p w14:paraId="4408D542" w14:textId="77777777" w:rsidR="004770F6" w:rsidRPr="00CE39FB" w:rsidRDefault="004770F6" w:rsidP="000A6843">
      <w:pPr>
        <w:pStyle w:val="ListDash1"/>
        <w:rPr>
          <w:noProof/>
        </w:rPr>
      </w:pPr>
      <w:r w:rsidRPr="00CE39FB">
        <w:rPr>
          <w:rFonts w:ascii="Wingdings" w:eastAsia="Wingdings" w:hAnsi="Wingdings" w:cs="Wingdings"/>
          <w:noProof/>
        </w:rPr>
        <w:t></w:t>
      </w:r>
      <w:r w:rsidRPr="00CE39FB">
        <w:rPr>
          <w:noProof/>
        </w:rPr>
        <w:tab/>
        <w:t xml:space="preserve">The proposal/initiative does not require the use of operational appropriations </w:t>
      </w:r>
    </w:p>
    <w:p w14:paraId="21EA1560" w14:textId="77777777" w:rsidR="004770F6" w:rsidRPr="00CE39FB" w:rsidRDefault="00E97651" w:rsidP="000A6843">
      <w:pPr>
        <w:pStyle w:val="ListDash1"/>
        <w:rPr>
          <w:noProof/>
        </w:rPr>
      </w:pPr>
      <w:r w:rsidRPr="00CE39FB">
        <w:rPr>
          <w:noProof/>
          <w:bdr w:val="single" w:sz="4" w:space="0" w:color="auto"/>
        </w:rPr>
        <w:t>X</w:t>
      </w:r>
      <w:r w:rsidR="004770F6" w:rsidRPr="00CE39FB">
        <w:rPr>
          <w:noProof/>
        </w:rPr>
        <w:tab/>
        <w:t>The proposal/initiative requires the use of operational appropriations, as explained below:</w:t>
      </w:r>
    </w:p>
    <w:p w14:paraId="2C42D9E5" w14:textId="77777777" w:rsidR="004770F6" w:rsidRPr="008D6611" w:rsidRDefault="004770F6">
      <w:pPr>
        <w:jc w:val="right"/>
        <w:rPr>
          <w:noProof/>
          <w:sz w:val="18"/>
        </w:rPr>
      </w:pPr>
      <w:r w:rsidRPr="008D6611">
        <w:rPr>
          <w:noProof/>
          <w:sz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E39FB" w:rsidRPr="00CE39FB" w14:paraId="12750A5C" w14:textId="77777777">
        <w:trPr>
          <w:jc w:val="center"/>
        </w:trPr>
        <w:tc>
          <w:tcPr>
            <w:tcW w:w="4744" w:type="dxa"/>
            <w:shd w:val="thinDiagStripe" w:color="C0C0C0" w:fill="auto"/>
            <w:vAlign w:val="center"/>
          </w:tcPr>
          <w:p w14:paraId="1BADEDC0" w14:textId="77777777" w:rsidR="004770F6" w:rsidRPr="008D6611" w:rsidRDefault="004770F6">
            <w:pPr>
              <w:spacing w:before="60" w:after="60"/>
              <w:jc w:val="center"/>
              <w:rPr>
                <w:b/>
                <w:noProof/>
              </w:rPr>
            </w:pPr>
            <w:r w:rsidRPr="008D6611">
              <w:rPr>
                <w:b/>
                <w:noProof/>
                <w:sz w:val="22"/>
              </w:rPr>
              <w:t xml:space="preserve">Heading of multiannual financial </w:t>
            </w:r>
            <w:r w:rsidRPr="008D6611">
              <w:rPr>
                <w:noProof/>
                <w:sz w:val="22"/>
              </w:rPr>
              <w:br/>
            </w:r>
            <w:r w:rsidRPr="008D6611">
              <w:rPr>
                <w:b/>
                <w:noProof/>
                <w:sz w:val="22"/>
              </w:rPr>
              <w:t xml:space="preserve">framework </w:t>
            </w:r>
          </w:p>
        </w:tc>
        <w:tc>
          <w:tcPr>
            <w:tcW w:w="1080" w:type="dxa"/>
            <w:vAlign w:val="center"/>
          </w:tcPr>
          <w:p w14:paraId="7A86A421" w14:textId="77777777" w:rsidR="004770F6" w:rsidRPr="00CE39FB" w:rsidRDefault="004770F6">
            <w:pPr>
              <w:spacing w:before="60" w:after="60"/>
              <w:jc w:val="center"/>
              <w:rPr>
                <w:noProof/>
              </w:rPr>
            </w:pPr>
            <w:r w:rsidRPr="00CE39FB">
              <w:rPr>
                <w:noProof/>
                <w:sz w:val="22"/>
              </w:rPr>
              <w:t>Number</w:t>
            </w:r>
          </w:p>
        </w:tc>
        <w:tc>
          <w:tcPr>
            <w:tcW w:w="7817" w:type="dxa"/>
            <w:vAlign w:val="center"/>
          </w:tcPr>
          <w:p w14:paraId="1A538DD6" w14:textId="77777777" w:rsidR="004770F6" w:rsidRPr="00CE39FB" w:rsidRDefault="00F11B62">
            <w:pPr>
              <w:spacing w:before="60" w:after="60"/>
              <w:rPr>
                <w:noProof/>
              </w:rPr>
            </w:pPr>
            <w:r w:rsidRPr="00CE39FB">
              <w:rPr>
                <w:noProof/>
              </w:rPr>
              <w:t>1</w:t>
            </w:r>
            <w:r w:rsidRPr="00CE39FB">
              <w:rPr>
                <w:b/>
                <w:noProof/>
                <w:sz w:val="22"/>
                <w:lang w:eastAsia="en-GB"/>
              </w:rPr>
              <w:t xml:space="preserve"> Single Market, Innovation and Digital</w:t>
            </w:r>
          </w:p>
        </w:tc>
      </w:tr>
    </w:tbl>
    <w:p w14:paraId="2F1B2711" w14:textId="77777777" w:rsidR="00F92F9D" w:rsidRPr="00CE39FB" w:rsidRDefault="00F92F9D" w:rsidP="00F92F9D">
      <w:pPr>
        <w:rPr>
          <w:noProof/>
          <w:sz w:val="16"/>
        </w:rPr>
      </w:pPr>
      <w:r w:rsidRPr="00CE39FB">
        <w:rPr>
          <w:noProof/>
          <w:lang w:eastAsia="en-GB"/>
        </w:rPr>
        <w:t>The proposal will not increase the total level of commitments under the Digital Europe Programme. Indeed, the contribution to this initiative is a redistribution of the commitments coming from SO2 and SO4 to reinforce the budget of SO3 and ECCC.</w:t>
      </w:r>
      <w:r w:rsidR="00224AA4" w:rsidRPr="00CE39FB">
        <w:rPr>
          <w:noProof/>
        </w:rPr>
        <w:t xml:space="preserve"> </w:t>
      </w:r>
      <w:r w:rsidR="00224AA4" w:rsidRPr="00CE39FB">
        <w:rPr>
          <w:noProof/>
          <w:lang w:eastAsia="en-GB"/>
        </w:rPr>
        <w:t>Any increase of commitments under the Digital Europe Programme stemming from a revision of the MFF could be used for the purpose of this initiative.</w:t>
      </w:r>
    </w:p>
    <w:p w14:paraId="3FB68121" w14:textId="77777777" w:rsidR="004770F6" w:rsidRPr="00CE39FB" w:rsidRDefault="004770F6">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CE39FB" w:rsidRPr="00CE39FB" w14:paraId="4A05DC2D" w14:textId="77777777" w:rsidTr="59744C64">
        <w:tc>
          <w:tcPr>
            <w:tcW w:w="3960" w:type="dxa"/>
            <w:vAlign w:val="center"/>
          </w:tcPr>
          <w:p w14:paraId="5784B38A" w14:textId="77777777" w:rsidR="00400463" w:rsidRPr="00CE39FB" w:rsidRDefault="00400463">
            <w:pPr>
              <w:jc w:val="center"/>
              <w:rPr>
                <w:noProof/>
              </w:rPr>
            </w:pPr>
            <w:r w:rsidRPr="00CE39FB">
              <w:rPr>
                <w:noProof/>
                <w:sz w:val="22"/>
              </w:rPr>
              <w:t>DG CONNECT</w:t>
            </w:r>
          </w:p>
        </w:tc>
        <w:tc>
          <w:tcPr>
            <w:tcW w:w="1560" w:type="dxa"/>
            <w:gridSpan w:val="2"/>
          </w:tcPr>
          <w:p w14:paraId="18E8AC32" w14:textId="77777777" w:rsidR="00400463" w:rsidRPr="00CE39FB" w:rsidRDefault="00400463">
            <w:pPr>
              <w:rPr>
                <w:noProof/>
                <w:sz w:val="20"/>
              </w:rPr>
            </w:pPr>
          </w:p>
        </w:tc>
        <w:tc>
          <w:tcPr>
            <w:tcW w:w="534" w:type="dxa"/>
          </w:tcPr>
          <w:p w14:paraId="3122C5B1" w14:textId="77777777" w:rsidR="00400463" w:rsidRPr="00CE39FB" w:rsidRDefault="00400463">
            <w:pPr>
              <w:jc w:val="center"/>
              <w:rPr>
                <w:noProof/>
                <w:sz w:val="20"/>
              </w:rPr>
            </w:pPr>
          </w:p>
        </w:tc>
        <w:tc>
          <w:tcPr>
            <w:tcW w:w="868" w:type="dxa"/>
            <w:vAlign w:val="center"/>
          </w:tcPr>
          <w:p w14:paraId="1E06F4BD" w14:textId="77777777" w:rsidR="00400463" w:rsidRPr="00CE39FB" w:rsidRDefault="00400463">
            <w:pPr>
              <w:jc w:val="center"/>
              <w:rPr>
                <w:noProof/>
                <w:sz w:val="20"/>
              </w:rPr>
            </w:pPr>
            <w:r w:rsidRPr="00CE39FB">
              <w:rPr>
                <w:noProof/>
                <w:sz w:val="20"/>
              </w:rPr>
              <w:t>Year</w:t>
            </w:r>
            <w:r w:rsidRPr="00CE39FB">
              <w:rPr>
                <w:noProof/>
                <w:sz w:val="22"/>
              </w:rPr>
              <w:br/>
            </w:r>
            <w:r w:rsidRPr="00CE39FB">
              <w:rPr>
                <w:b/>
                <w:noProof/>
                <w:sz w:val="20"/>
              </w:rPr>
              <w:t>2025</w:t>
            </w:r>
          </w:p>
        </w:tc>
        <w:tc>
          <w:tcPr>
            <w:tcW w:w="868" w:type="dxa"/>
            <w:vAlign w:val="center"/>
          </w:tcPr>
          <w:p w14:paraId="0BE7BD8C" w14:textId="77777777" w:rsidR="00400463" w:rsidRPr="00CE39FB" w:rsidRDefault="00400463">
            <w:pPr>
              <w:jc w:val="center"/>
              <w:rPr>
                <w:noProof/>
                <w:sz w:val="20"/>
              </w:rPr>
            </w:pPr>
            <w:r w:rsidRPr="00CE39FB">
              <w:rPr>
                <w:noProof/>
                <w:sz w:val="20"/>
              </w:rPr>
              <w:t>Year</w:t>
            </w:r>
            <w:r w:rsidRPr="00CE39FB">
              <w:rPr>
                <w:noProof/>
                <w:sz w:val="22"/>
              </w:rPr>
              <w:br/>
            </w:r>
            <w:r w:rsidRPr="00CE39FB">
              <w:rPr>
                <w:b/>
                <w:noProof/>
                <w:sz w:val="20"/>
              </w:rPr>
              <w:t>2026</w:t>
            </w:r>
          </w:p>
        </w:tc>
        <w:tc>
          <w:tcPr>
            <w:tcW w:w="868" w:type="dxa"/>
            <w:vAlign w:val="center"/>
          </w:tcPr>
          <w:p w14:paraId="545F50E4" w14:textId="77777777" w:rsidR="00400463" w:rsidRPr="00CE39FB" w:rsidRDefault="00400463">
            <w:pPr>
              <w:jc w:val="center"/>
              <w:rPr>
                <w:noProof/>
                <w:sz w:val="20"/>
              </w:rPr>
            </w:pPr>
            <w:r w:rsidRPr="00CE39FB">
              <w:rPr>
                <w:noProof/>
                <w:sz w:val="20"/>
              </w:rPr>
              <w:t>Year</w:t>
            </w:r>
            <w:r w:rsidRPr="00CE39FB">
              <w:rPr>
                <w:noProof/>
                <w:sz w:val="22"/>
              </w:rPr>
              <w:br/>
            </w:r>
            <w:r w:rsidRPr="00CE39FB">
              <w:rPr>
                <w:b/>
                <w:noProof/>
                <w:sz w:val="20"/>
              </w:rPr>
              <w:t>2027</w:t>
            </w:r>
          </w:p>
        </w:tc>
        <w:tc>
          <w:tcPr>
            <w:tcW w:w="868" w:type="dxa"/>
            <w:vAlign w:val="center"/>
          </w:tcPr>
          <w:p w14:paraId="67AF1B09" w14:textId="77777777" w:rsidR="00400463" w:rsidRPr="00CE39FB" w:rsidRDefault="791D52F5">
            <w:pPr>
              <w:jc w:val="center"/>
              <w:rPr>
                <w:noProof/>
                <w:sz w:val="20"/>
                <w:highlight w:val="yellow"/>
              </w:rPr>
            </w:pPr>
            <w:r w:rsidRPr="00CE39FB">
              <w:rPr>
                <w:noProof/>
                <w:sz w:val="20"/>
                <w:szCs w:val="20"/>
              </w:rPr>
              <w:t>Year</w:t>
            </w:r>
            <w:r w:rsidR="00400463" w:rsidRPr="00CE39FB">
              <w:rPr>
                <w:noProof/>
                <w:sz w:val="22"/>
              </w:rPr>
              <w:br/>
            </w:r>
            <w:r w:rsidRPr="00CE39FB">
              <w:rPr>
                <w:b/>
                <w:bCs/>
                <w:noProof/>
                <w:sz w:val="20"/>
                <w:szCs w:val="20"/>
              </w:rPr>
              <w:t>2028+</w:t>
            </w:r>
          </w:p>
        </w:tc>
        <w:tc>
          <w:tcPr>
            <w:tcW w:w="2604" w:type="dxa"/>
            <w:gridSpan w:val="3"/>
            <w:vAlign w:val="center"/>
          </w:tcPr>
          <w:p w14:paraId="43AD0ACD" w14:textId="77777777" w:rsidR="00400463" w:rsidRPr="008D6611" w:rsidRDefault="00400463">
            <w:pPr>
              <w:jc w:val="center"/>
              <w:rPr>
                <w:b/>
                <w:noProof/>
                <w:sz w:val="18"/>
              </w:rPr>
            </w:pPr>
            <w:r w:rsidRPr="008D6611">
              <w:rPr>
                <w:noProof/>
                <w:sz w:val="18"/>
              </w:rPr>
              <w:t>Enter as many years as necessary to show the duration of the impact (see point 1.6)</w:t>
            </w:r>
          </w:p>
        </w:tc>
        <w:tc>
          <w:tcPr>
            <w:tcW w:w="1777" w:type="dxa"/>
            <w:vAlign w:val="center"/>
          </w:tcPr>
          <w:p w14:paraId="60842ED7" w14:textId="77777777" w:rsidR="00400463" w:rsidRPr="00CE39FB" w:rsidRDefault="00400463">
            <w:pPr>
              <w:jc w:val="center"/>
              <w:rPr>
                <w:b/>
                <w:noProof/>
                <w:sz w:val="20"/>
              </w:rPr>
            </w:pPr>
            <w:r w:rsidRPr="00CE39FB">
              <w:rPr>
                <w:b/>
                <w:noProof/>
                <w:sz w:val="20"/>
              </w:rPr>
              <w:t>TOTAL</w:t>
            </w:r>
          </w:p>
        </w:tc>
      </w:tr>
      <w:tr w:rsidR="00CE39FB" w:rsidRPr="00CE39FB" w14:paraId="707B0FDB" w14:textId="77777777" w:rsidTr="59744C64">
        <w:trPr>
          <w:trHeight w:val="213"/>
        </w:trPr>
        <w:tc>
          <w:tcPr>
            <w:tcW w:w="6054" w:type="dxa"/>
            <w:gridSpan w:val="4"/>
            <w:vAlign w:val="center"/>
          </w:tcPr>
          <w:p w14:paraId="5DDC7DAB" w14:textId="77777777" w:rsidR="00400463" w:rsidRPr="00CE39FB" w:rsidRDefault="00400463">
            <w:pPr>
              <w:spacing w:before="20" w:after="20"/>
              <w:rPr>
                <w:noProof/>
                <w:sz w:val="21"/>
              </w:rPr>
            </w:pPr>
            <w:r w:rsidRPr="00CE39FB">
              <w:rPr>
                <w:rFonts w:ascii="Wingdings" w:eastAsia="Wingdings" w:hAnsi="Wingdings" w:cs="Wingdings"/>
                <w:noProof/>
                <w:sz w:val="21"/>
              </w:rPr>
              <w:t>□</w:t>
            </w:r>
            <w:r w:rsidRPr="00CE39FB">
              <w:rPr>
                <w:noProof/>
                <w:sz w:val="21"/>
              </w:rPr>
              <w:t xml:space="preserve"> Operational appropriations </w:t>
            </w:r>
          </w:p>
        </w:tc>
        <w:tc>
          <w:tcPr>
            <w:tcW w:w="868" w:type="dxa"/>
            <w:vAlign w:val="center"/>
          </w:tcPr>
          <w:p w14:paraId="6ECDE25C" w14:textId="77777777" w:rsidR="00400463" w:rsidRPr="00CE39FB" w:rsidRDefault="00400463">
            <w:pPr>
              <w:rPr>
                <w:noProof/>
                <w:sz w:val="20"/>
              </w:rPr>
            </w:pPr>
          </w:p>
        </w:tc>
        <w:tc>
          <w:tcPr>
            <w:tcW w:w="868" w:type="dxa"/>
            <w:vAlign w:val="center"/>
          </w:tcPr>
          <w:p w14:paraId="6B71CA12" w14:textId="77777777" w:rsidR="00400463" w:rsidRPr="00CE39FB" w:rsidRDefault="00400463">
            <w:pPr>
              <w:rPr>
                <w:noProof/>
                <w:sz w:val="20"/>
              </w:rPr>
            </w:pPr>
          </w:p>
        </w:tc>
        <w:tc>
          <w:tcPr>
            <w:tcW w:w="868" w:type="dxa"/>
            <w:vAlign w:val="center"/>
          </w:tcPr>
          <w:p w14:paraId="07620F0D" w14:textId="77777777" w:rsidR="00400463" w:rsidRPr="00CE39FB" w:rsidRDefault="00400463">
            <w:pPr>
              <w:rPr>
                <w:noProof/>
                <w:sz w:val="20"/>
              </w:rPr>
            </w:pPr>
          </w:p>
        </w:tc>
        <w:tc>
          <w:tcPr>
            <w:tcW w:w="868" w:type="dxa"/>
            <w:vAlign w:val="center"/>
          </w:tcPr>
          <w:p w14:paraId="57E81899" w14:textId="77777777" w:rsidR="00400463" w:rsidRPr="00CE39FB" w:rsidRDefault="00400463">
            <w:pPr>
              <w:rPr>
                <w:noProof/>
                <w:sz w:val="20"/>
              </w:rPr>
            </w:pPr>
          </w:p>
        </w:tc>
        <w:tc>
          <w:tcPr>
            <w:tcW w:w="868" w:type="dxa"/>
            <w:vAlign w:val="center"/>
          </w:tcPr>
          <w:p w14:paraId="7E048C3B" w14:textId="77777777" w:rsidR="00400463" w:rsidRPr="00CE39FB" w:rsidRDefault="00400463">
            <w:pPr>
              <w:rPr>
                <w:noProof/>
                <w:sz w:val="20"/>
              </w:rPr>
            </w:pPr>
          </w:p>
        </w:tc>
        <w:tc>
          <w:tcPr>
            <w:tcW w:w="868" w:type="dxa"/>
            <w:vAlign w:val="center"/>
          </w:tcPr>
          <w:p w14:paraId="0F84ADCB" w14:textId="77777777" w:rsidR="00400463" w:rsidRPr="00CE39FB" w:rsidRDefault="00400463">
            <w:pPr>
              <w:rPr>
                <w:noProof/>
                <w:sz w:val="20"/>
              </w:rPr>
            </w:pPr>
          </w:p>
        </w:tc>
        <w:tc>
          <w:tcPr>
            <w:tcW w:w="868" w:type="dxa"/>
            <w:vAlign w:val="center"/>
          </w:tcPr>
          <w:p w14:paraId="700C100C" w14:textId="77777777" w:rsidR="00400463" w:rsidRPr="00CE39FB" w:rsidRDefault="00400463">
            <w:pPr>
              <w:rPr>
                <w:b/>
                <w:noProof/>
                <w:sz w:val="20"/>
              </w:rPr>
            </w:pPr>
          </w:p>
        </w:tc>
        <w:tc>
          <w:tcPr>
            <w:tcW w:w="1777" w:type="dxa"/>
            <w:vAlign w:val="center"/>
          </w:tcPr>
          <w:p w14:paraId="19D08B42" w14:textId="77777777" w:rsidR="00400463" w:rsidRPr="00CE39FB" w:rsidRDefault="00400463">
            <w:pPr>
              <w:rPr>
                <w:b/>
                <w:noProof/>
                <w:sz w:val="20"/>
              </w:rPr>
            </w:pPr>
          </w:p>
        </w:tc>
      </w:tr>
      <w:tr w:rsidR="00CE39FB" w:rsidRPr="00CE39FB" w14:paraId="2FF12F8A" w14:textId="77777777" w:rsidTr="59744C64">
        <w:trPr>
          <w:trHeight w:val="277"/>
        </w:trPr>
        <w:tc>
          <w:tcPr>
            <w:tcW w:w="3960" w:type="dxa"/>
            <w:vMerge w:val="restart"/>
            <w:vAlign w:val="center"/>
          </w:tcPr>
          <w:p w14:paraId="3C1C3D32" w14:textId="77777777" w:rsidR="00400463" w:rsidRPr="00CE39FB" w:rsidRDefault="791D52F5">
            <w:pPr>
              <w:rPr>
                <w:noProof/>
                <w:sz w:val="20"/>
              </w:rPr>
            </w:pPr>
            <w:r w:rsidRPr="00CE39FB">
              <w:rPr>
                <w:noProof/>
                <w:sz w:val="20"/>
                <w:szCs w:val="20"/>
              </w:rPr>
              <w:t>Budget line</w:t>
            </w:r>
            <w:r w:rsidR="00400463" w:rsidRPr="00CE39FB">
              <w:rPr>
                <w:rStyle w:val="FootnoteReference"/>
                <w:noProof/>
                <w:sz w:val="20"/>
                <w:szCs w:val="20"/>
              </w:rPr>
              <w:footnoteReference w:id="40"/>
            </w:r>
            <w:r w:rsidRPr="00CE39FB">
              <w:rPr>
                <w:noProof/>
                <w:sz w:val="20"/>
                <w:szCs w:val="20"/>
              </w:rPr>
              <w:t xml:space="preserve"> 02.040110 (redistribution from 02.0403 and 02.0404)</w:t>
            </w:r>
          </w:p>
        </w:tc>
        <w:tc>
          <w:tcPr>
            <w:tcW w:w="1440" w:type="dxa"/>
            <w:vAlign w:val="center"/>
          </w:tcPr>
          <w:p w14:paraId="22646BBA" w14:textId="77777777" w:rsidR="00400463" w:rsidRPr="00CE39FB" w:rsidRDefault="00400463">
            <w:pPr>
              <w:spacing w:before="20" w:after="20"/>
              <w:rPr>
                <w:noProof/>
                <w:sz w:val="18"/>
              </w:rPr>
            </w:pPr>
            <w:r w:rsidRPr="00CE39FB">
              <w:rPr>
                <w:noProof/>
                <w:sz w:val="18"/>
              </w:rPr>
              <w:t>Commitments</w:t>
            </w:r>
          </w:p>
        </w:tc>
        <w:tc>
          <w:tcPr>
            <w:tcW w:w="654" w:type="dxa"/>
            <w:gridSpan w:val="2"/>
            <w:vAlign w:val="center"/>
          </w:tcPr>
          <w:p w14:paraId="018579C5" w14:textId="77777777" w:rsidR="00400463" w:rsidRPr="00CE39FB" w:rsidRDefault="00400463">
            <w:pPr>
              <w:spacing w:before="20" w:after="20"/>
              <w:jc w:val="center"/>
              <w:rPr>
                <w:noProof/>
                <w:sz w:val="14"/>
              </w:rPr>
            </w:pPr>
            <w:r w:rsidRPr="00CE39FB">
              <w:rPr>
                <w:noProof/>
                <w:sz w:val="14"/>
              </w:rPr>
              <w:t>(1a)</w:t>
            </w:r>
          </w:p>
        </w:tc>
        <w:tc>
          <w:tcPr>
            <w:tcW w:w="868" w:type="dxa"/>
            <w:vAlign w:val="center"/>
          </w:tcPr>
          <w:p w14:paraId="789D1AB5" w14:textId="77777777" w:rsidR="00400463" w:rsidRPr="00CE39FB" w:rsidRDefault="00400463">
            <w:pPr>
              <w:spacing w:before="20" w:after="20"/>
              <w:jc w:val="right"/>
              <w:rPr>
                <w:noProof/>
                <w:sz w:val="20"/>
              </w:rPr>
            </w:pPr>
            <w:r w:rsidRPr="00CE39FB">
              <w:rPr>
                <w:noProof/>
                <w:sz w:val="20"/>
              </w:rPr>
              <w:t>15,000</w:t>
            </w:r>
          </w:p>
        </w:tc>
        <w:tc>
          <w:tcPr>
            <w:tcW w:w="868" w:type="dxa"/>
            <w:vAlign w:val="center"/>
          </w:tcPr>
          <w:p w14:paraId="3E168F09" w14:textId="77777777" w:rsidR="00400463" w:rsidRPr="00CE39FB" w:rsidRDefault="00400463">
            <w:pPr>
              <w:spacing w:before="20" w:after="20"/>
              <w:jc w:val="right"/>
              <w:rPr>
                <w:noProof/>
                <w:sz w:val="20"/>
                <w:szCs w:val="20"/>
              </w:rPr>
            </w:pPr>
            <w:r w:rsidRPr="00CE39FB">
              <w:rPr>
                <w:noProof/>
                <w:sz w:val="20"/>
                <w:szCs w:val="20"/>
              </w:rPr>
              <w:t>15,000</w:t>
            </w:r>
          </w:p>
        </w:tc>
        <w:tc>
          <w:tcPr>
            <w:tcW w:w="868" w:type="dxa"/>
            <w:vAlign w:val="center"/>
          </w:tcPr>
          <w:p w14:paraId="027A2643" w14:textId="77777777" w:rsidR="00400463" w:rsidRPr="00CE39FB" w:rsidRDefault="00400463">
            <w:pPr>
              <w:spacing w:before="20" w:after="20"/>
              <w:jc w:val="right"/>
              <w:rPr>
                <w:noProof/>
                <w:sz w:val="20"/>
                <w:szCs w:val="20"/>
              </w:rPr>
            </w:pPr>
            <w:r w:rsidRPr="00CE39FB">
              <w:rPr>
                <w:noProof/>
                <w:sz w:val="20"/>
                <w:szCs w:val="20"/>
              </w:rPr>
              <w:t>6,000</w:t>
            </w:r>
          </w:p>
        </w:tc>
        <w:tc>
          <w:tcPr>
            <w:tcW w:w="868" w:type="dxa"/>
            <w:vAlign w:val="center"/>
          </w:tcPr>
          <w:p w14:paraId="231A9196" w14:textId="77777777" w:rsidR="00400463" w:rsidRPr="00CE39FB" w:rsidRDefault="00400463">
            <w:pPr>
              <w:spacing w:before="20" w:after="20"/>
              <w:jc w:val="right"/>
              <w:rPr>
                <w:noProof/>
                <w:sz w:val="20"/>
              </w:rPr>
            </w:pPr>
            <w:r w:rsidRPr="00CE39FB">
              <w:rPr>
                <w:noProof/>
                <w:sz w:val="20"/>
              </w:rPr>
              <w:t>p.m.</w:t>
            </w:r>
          </w:p>
        </w:tc>
        <w:tc>
          <w:tcPr>
            <w:tcW w:w="868" w:type="dxa"/>
            <w:vAlign w:val="center"/>
          </w:tcPr>
          <w:p w14:paraId="4D4FF8A4" w14:textId="77777777" w:rsidR="00400463" w:rsidRPr="00CE39FB" w:rsidRDefault="00400463">
            <w:pPr>
              <w:spacing w:before="20" w:after="20"/>
              <w:jc w:val="right"/>
              <w:rPr>
                <w:noProof/>
                <w:sz w:val="20"/>
              </w:rPr>
            </w:pPr>
          </w:p>
        </w:tc>
        <w:tc>
          <w:tcPr>
            <w:tcW w:w="868" w:type="dxa"/>
            <w:vAlign w:val="center"/>
          </w:tcPr>
          <w:p w14:paraId="1002918F" w14:textId="77777777" w:rsidR="00400463" w:rsidRPr="00CE39FB" w:rsidRDefault="00400463">
            <w:pPr>
              <w:spacing w:before="20" w:after="20"/>
              <w:jc w:val="right"/>
              <w:rPr>
                <w:noProof/>
                <w:sz w:val="20"/>
              </w:rPr>
            </w:pPr>
          </w:p>
        </w:tc>
        <w:tc>
          <w:tcPr>
            <w:tcW w:w="868" w:type="dxa"/>
            <w:vAlign w:val="center"/>
          </w:tcPr>
          <w:p w14:paraId="4D96D697" w14:textId="77777777" w:rsidR="00400463" w:rsidRPr="00CE39FB" w:rsidRDefault="00400463">
            <w:pPr>
              <w:spacing w:before="20" w:after="20"/>
              <w:jc w:val="right"/>
              <w:rPr>
                <w:b/>
                <w:noProof/>
                <w:sz w:val="20"/>
              </w:rPr>
            </w:pPr>
          </w:p>
        </w:tc>
        <w:tc>
          <w:tcPr>
            <w:tcW w:w="1777" w:type="dxa"/>
            <w:vAlign w:val="center"/>
          </w:tcPr>
          <w:p w14:paraId="2EB34F2D" w14:textId="77777777" w:rsidR="00400463" w:rsidRPr="00CE39FB" w:rsidRDefault="00400463">
            <w:pPr>
              <w:spacing w:before="20" w:after="20"/>
              <w:jc w:val="right"/>
              <w:rPr>
                <w:b/>
                <w:noProof/>
                <w:sz w:val="20"/>
              </w:rPr>
            </w:pPr>
            <w:r w:rsidRPr="00CE39FB">
              <w:rPr>
                <w:b/>
                <w:noProof/>
                <w:sz w:val="20"/>
              </w:rPr>
              <w:t>36,000</w:t>
            </w:r>
          </w:p>
        </w:tc>
      </w:tr>
      <w:tr w:rsidR="00CE39FB" w:rsidRPr="00CE39FB" w14:paraId="5A1F3BCC" w14:textId="77777777" w:rsidTr="59744C64">
        <w:tc>
          <w:tcPr>
            <w:tcW w:w="3960" w:type="dxa"/>
            <w:vMerge/>
          </w:tcPr>
          <w:p w14:paraId="52B991D4" w14:textId="77777777" w:rsidR="00400463" w:rsidRPr="00CE39FB" w:rsidRDefault="00400463">
            <w:pPr>
              <w:jc w:val="center"/>
              <w:rPr>
                <w:noProof/>
                <w:sz w:val="20"/>
              </w:rPr>
            </w:pPr>
          </w:p>
        </w:tc>
        <w:tc>
          <w:tcPr>
            <w:tcW w:w="1440" w:type="dxa"/>
            <w:vAlign w:val="center"/>
          </w:tcPr>
          <w:p w14:paraId="341C63E8" w14:textId="77777777" w:rsidR="00400463" w:rsidRPr="00CE39FB" w:rsidRDefault="00400463">
            <w:pPr>
              <w:spacing w:before="20" w:after="20"/>
              <w:rPr>
                <w:noProof/>
                <w:sz w:val="18"/>
              </w:rPr>
            </w:pPr>
            <w:r w:rsidRPr="00CE39FB">
              <w:rPr>
                <w:noProof/>
                <w:sz w:val="18"/>
              </w:rPr>
              <w:t>Payments</w:t>
            </w:r>
          </w:p>
        </w:tc>
        <w:tc>
          <w:tcPr>
            <w:tcW w:w="654" w:type="dxa"/>
            <w:gridSpan w:val="2"/>
            <w:vAlign w:val="center"/>
          </w:tcPr>
          <w:p w14:paraId="403198B8" w14:textId="77777777" w:rsidR="00400463" w:rsidRPr="00CE39FB" w:rsidRDefault="00400463">
            <w:pPr>
              <w:spacing w:before="20" w:after="20"/>
              <w:jc w:val="center"/>
              <w:rPr>
                <w:noProof/>
                <w:sz w:val="14"/>
              </w:rPr>
            </w:pPr>
            <w:r w:rsidRPr="00CE39FB">
              <w:rPr>
                <w:noProof/>
                <w:sz w:val="14"/>
              </w:rPr>
              <w:t>(2a)</w:t>
            </w:r>
          </w:p>
        </w:tc>
        <w:tc>
          <w:tcPr>
            <w:tcW w:w="868" w:type="dxa"/>
            <w:vAlign w:val="center"/>
          </w:tcPr>
          <w:p w14:paraId="49BC91BA" w14:textId="77777777" w:rsidR="00400463" w:rsidRPr="00CE39FB" w:rsidRDefault="00400463">
            <w:pPr>
              <w:spacing w:before="20" w:after="20"/>
              <w:jc w:val="right"/>
              <w:rPr>
                <w:noProof/>
                <w:sz w:val="20"/>
              </w:rPr>
            </w:pPr>
            <w:r w:rsidRPr="00CE39FB">
              <w:rPr>
                <w:noProof/>
                <w:sz w:val="20"/>
              </w:rPr>
              <w:t>15,000</w:t>
            </w:r>
          </w:p>
        </w:tc>
        <w:tc>
          <w:tcPr>
            <w:tcW w:w="868" w:type="dxa"/>
            <w:vAlign w:val="center"/>
          </w:tcPr>
          <w:p w14:paraId="622F5FF7" w14:textId="77777777" w:rsidR="00400463" w:rsidRPr="00CE39FB" w:rsidRDefault="00400463">
            <w:pPr>
              <w:spacing w:before="20" w:after="20"/>
              <w:jc w:val="right"/>
              <w:rPr>
                <w:noProof/>
                <w:sz w:val="20"/>
              </w:rPr>
            </w:pPr>
            <w:r w:rsidRPr="00CE39FB">
              <w:rPr>
                <w:noProof/>
                <w:sz w:val="20"/>
                <w:szCs w:val="20"/>
              </w:rPr>
              <w:t>15,000</w:t>
            </w:r>
          </w:p>
        </w:tc>
        <w:tc>
          <w:tcPr>
            <w:tcW w:w="868" w:type="dxa"/>
            <w:vAlign w:val="center"/>
          </w:tcPr>
          <w:p w14:paraId="4E8166F0" w14:textId="77777777" w:rsidR="00400463" w:rsidRPr="00CE39FB" w:rsidRDefault="00400463">
            <w:pPr>
              <w:spacing w:before="20" w:after="20"/>
              <w:jc w:val="right"/>
              <w:rPr>
                <w:noProof/>
                <w:sz w:val="20"/>
              </w:rPr>
            </w:pPr>
            <w:r w:rsidRPr="00CE39FB">
              <w:rPr>
                <w:noProof/>
                <w:sz w:val="20"/>
                <w:szCs w:val="20"/>
              </w:rPr>
              <w:t>6,000</w:t>
            </w:r>
          </w:p>
        </w:tc>
        <w:tc>
          <w:tcPr>
            <w:tcW w:w="868" w:type="dxa"/>
            <w:vAlign w:val="center"/>
          </w:tcPr>
          <w:p w14:paraId="5556E7B8" w14:textId="77777777" w:rsidR="00400463" w:rsidRPr="00CE39FB" w:rsidRDefault="00400463">
            <w:pPr>
              <w:spacing w:before="20" w:after="20"/>
              <w:jc w:val="right"/>
              <w:rPr>
                <w:noProof/>
                <w:sz w:val="20"/>
              </w:rPr>
            </w:pPr>
          </w:p>
        </w:tc>
        <w:tc>
          <w:tcPr>
            <w:tcW w:w="868" w:type="dxa"/>
            <w:vAlign w:val="center"/>
          </w:tcPr>
          <w:p w14:paraId="02045238" w14:textId="77777777" w:rsidR="00400463" w:rsidRPr="00CE39FB" w:rsidRDefault="00400463">
            <w:pPr>
              <w:spacing w:before="20" w:after="20"/>
              <w:jc w:val="right"/>
              <w:rPr>
                <w:noProof/>
                <w:sz w:val="20"/>
              </w:rPr>
            </w:pPr>
          </w:p>
        </w:tc>
        <w:tc>
          <w:tcPr>
            <w:tcW w:w="868" w:type="dxa"/>
            <w:vAlign w:val="center"/>
          </w:tcPr>
          <w:p w14:paraId="7AD2CFAF" w14:textId="77777777" w:rsidR="00400463" w:rsidRPr="00CE39FB" w:rsidRDefault="00400463">
            <w:pPr>
              <w:spacing w:before="20" w:after="20"/>
              <w:jc w:val="right"/>
              <w:rPr>
                <w:noProof/>
                <w:sz w:val="20"/>
              </w:rPr>
            </w:pPr>
          </w:p>
        </w:tc>
        <w:tc>
          <w:tcPr>
            <w:tcW w:w="868" w:type="dxa"/>
            <w:vAlign w:val="center"/>
          </w:tcPr>
          <w:p w14:paraId="04766644" w14:textId="77777777" w:rsidR="00400463" w:rsidRPr="00CE39FB" w:rsidRDefault="00400463">
            <w:pPr>
              <w:spacing w:before="20" w:after="20"/>
              <w:jc w:val="right"/>
              <w:rPr>
                <w:b/>
                <w:noProof/>
                <w:sz w:val="20"/>
              </w:rPr>
            </w:pPr>
          </w:p>
        </w:tc>
        <w:tc>
          <w:tcPr>
            <w:tcW w:w="1777" w:type="dxa"/>
            <w:vAlign w:val="center"/>
          </w:tcPr>
          <w:p w14:paraId="4D3DE24B" w14:textId="77777777" w:rsidR="00400463" w:rsidRPr="00CE39FB" w:rsidRDefault="00400463">
            <w:pPr>
              <w:spacing w:before="20" w:after="20"/>
              <w:jc w:val="right"/>
              <w:rPr>
                <w:b/>
                <w:noProof/>
                <w:sz w:val="20"/>
              </w:rPr>
            </w:pPr>
            <w:r w:rsidRPr="00CE39FB">
              <w:rPr>
                <w:b/>
                <w:noProof/>
                <w:sz w:val="20"/>
              </w:rPr>
              <w:t>36,000</w:t>
            </w:r>
          </w:p>
        </w:tc>
      </w:tr>
      <w:tr w:rsidR="00CE39FB" w:rsidRPr="00CE39FB" w14:paraId="2AA5B335" w14:textId="77777777" w:rsidTr="59744C64">
        <w:tc>
          <w:tcPr>
            <w:tcW w:w="3960" w:type="dxa"/>
            <w:vMerge w:val="restart"/>
            <w:vAlign w:val="center"/>
          </w:tcPr>
          <w:p w14:paraId="7B45F82B" w14:textId="77777777" w:rsidR="00400463" w:rsidRPr="00CE39FB" w:rsidRDefault="00400463">
            <w:pPr>
              <w:rPr>
                <w:noProof/>
              </w:rPr>
            </w:pPr>
            <w:r w:rsidRPr="00CE39FB">
              <w:rPr>
                <w:noProof/>
                <w:sz w:val="20"/>
              </w:rPr>
              <w:t>Budget line 02.040111.02 (redistribution from 02.0403 and 02.0404)</w:t>
            </w:r>
          </w:p>
        </w:tc>
        <w:tc>
          <w:tcPr>
            <w:tcW w:w="1440" w:type="dxa"/>
            <w:vAlign w:val="center"/>
          </w:tcPr>
          <w:p w14:paraId="464E7B83" w14:textId="77777777" w:rsidR="00400463" w:rsidRPr="00CE39FB" w:rsidRDefault="00400463">
            <w:pPr>
              <w:spacing w:before="20" w:after="20"/>
              <w:rPr>
                <w:noProof/>
                <w:sz w:val="18"/>
              </w:rPr>
            </w:pPr>
            <w:r w:rsidRPr="00CE39FB">
              <w:rPr>
                <w:noProof/>
                <w:sz w:val="18"/>
              </w:rPr>
              <w:t>Commitments</w:t>
            </w:r>
          </w:p>
        </w:tc>
        <w:tc>
          <w:tcPr>
            <w:tcW w:w="654" w:type="dxa"/>
            <w:gridSpan w:val="2"/>
            <w:vAlign w:val="center"/>
          </w:tcPr>
          <w:p w14:paraId="4BE52E06" w14:textId="77777777" w:rsidR="00400463" w:rsidRPr="00CE39FB" w:rsidRDefault="00400463">
            <w:pPr>
              <w:spacing w:before="20" w:after="20"/>
              <w:jc w:val="center"/>
              <w:rPr>
                <w:noProof/>
                <w:sz w:val="14"/>
              </w:rPr>
            </w:pPr>
            <w:r w:rsidRPr="00CE39FB">
              <w:rPr>
                <w:noProof/>
                <w:sz w:val="14"/>
              </w:rPr>
              <w:t>(1b)</w:t>
            </w:r>
          </w:p>
        </w:tc>
        <w:tc>
          <w:tcPr>
            <w:tcW w:w="868" w:type="dxa"/>
            <w:vAlign w:val="center"/>
          </w:tcPr>
          <w:p w14:paraId="3223896D" w14:textId="77777777" w:rsidR="00400463" w:rsidRPr="00CE39FB" w:rsidRDefault="00400463">
            <w:pPr>
              <w:spacing w:before="20" w:after="20"/>
              <w:jc w:val="right"/>
              <w:rPr>
                <w:noProof/>
                <w:sz w:val="20"/>
              </w:rPr>
            </w:pPr>
            <w:r w:rsidRPr="00CE39FB">
              <w:rPr>
                <w:noProof/>
                <w:sz w:val="20"/>
              </w:rPr>
              <w:t>13,000</w:t>
            </w:r>
          </w:p>
        </w:tc>
        <w:tc>
          <w:tcPr>
            <w:tcW w:w="868" w:type="dxa"/>
            <w:vAlign w:val="center"/>
          </w:tcPr>
          <w:p w14:paraId="185BEDFF" w14:textId="77777777" w:rsidR="00400463" w:rsidRPr="00CE39FB" w:rsidRDefault="00400463">
            <w:pPr>
              <w:spacing w:before="20" w:after="20"/>
              <w:jc w:val="right"/>
              <w:rPr>
                <w:noProof/>
                <w:sz w:val="20"/>
              </w:rPr>
            </w:pPr>
            <w:r w:rsidRPr="00CE39FB">
              <w:rPr>
                <w:noProof/>
                <w:sz w:val="20"/>
              </w:rPr>
              <w:t>23,000</w:t>
            </w:r>
          </w:p>
        </w:tc>
        <w:tc>
          <w:tcPr>
            <w:tcW w:w="868" w:type="dxa"/>
            <w:vAlign w:val="center"/>
          </w:tcPr>
          <w:p w14:paraId="19C6097C" w14:textId="77777777" w:rsidR="00400463" w:rsidRPr="00CE39FB" w:rsidRDefault="00400463">
            <w:pPr>
              <w:spacing w:before="20" w:after="20"/>
              <w:jc w:val="right"/>
              <w:rPr>
                <w:noProof/>
                <w:sz w:val="20"/>
              </w:rPr>
            </w:pPr>
            <w:r w:rsidRPr="00CE39FB">
              <w:rPr>
                <w:noProof/>
                <w:sz w:val="20"/>
              </w:rPr>
              <w:t>28,000</w:t>
            </w:r>
          </w:p>
        </w:tc>
        <w:tc>
          <w:tcPr>
            <w:tcW w:w="868" w:type="dxa"/>
            <w:vAlign w:val="center"/>
          </w:tcPr>
          <w:p w14:paraId="5D669636" w14:textId="77777777" w:rsidR="00400463" w:rsidRPr="00CE39FB" w:rsidRDefault="00400463">
            <w:pPr>
              <w:spacing w:before="20" w:after="20"/>
              <w:jc w:val="right"/>
              <w:rPr>
                <w:noProof/>
                <w:sz w:val="20"/>
              </w:rPr>
            </w:pPr>
            <w:r w:rsidRPr="00CE39FB">
              <w:rPr>
                <w:noProof/>
                <w:sz w:val="20"/>
              </w:rPr>
              <w:t>p.m.</w:t>
            </w:r>
          </w:p>
        </w:tc>
        <w:tc>
          <w:tcPr>
            <w:tcW w:w="868" w:type="dxa"/>
            <w:vAlign w:val="center"/>
          </w:tcPr>
          <w:p w14:paraId="439D905A" w14:textId="77777777" w:rsidR="00400463" w:rsidRPr="00CE39FB" w:rsidRDefault="00400463">
            <w:pPr>
              <w:spacing w:before="20" w:after="20"/>
              <w:jc w:val="right"/>
              <w:rPr>
                <w:noProof/>
                <w:sz w:val="20"/>
              </w:rPr>
            </w:pPr>
          </w:p>
        </w:tc>
        <w:tc>
          <w:tcPr>
            <w:tcW w:w="868" w:type="dxa"/>
            <w:vAlign w:val="center"/>
          </w:tcPr>
          <w:p w14:paraId="0EB79468" w14:textId="77777777" w:rsidR="00400463" w:rsidRPr="00CE39FB" w:rsidRDefault="00400463">
            <w:pPr>
              <w:spacing w:before="20" w:after="20"/>
              <w:jc w:val="right"/>
              <w:rPr>
                <w:noProof/>
                <w:sz w:val="20"/>
              </w:rPr>
            </w:pPr>
          </w:p>
        </w:tc>
        <w:tc>
          <w:tcPr>
            <w:tcW w:w="868" w:type="dxa"/>
            <w:vAlign w:val="center"/>
          </w:tcPr>
          <w:p w14:paraId="33C506BD" w14:textId="77777777" w:rsidR="00400463" w:rsidRPr="00CE39FB" w:rsidRDefault="00400463">
            <w:pPr>
              <w:spacing w:before="20" w:after="20"/>
              <w:jc w:val="right"/>
              <w:rPr>
                <w:b/>
                <w:noProof/>
                <w:sz w:val="20"/>
              </w:rPr>
            </w:pPr>
          </w:p>
        </w:tc>
        <w:tc>
          <w:tcPr>
            <w:tcW w:w="1777" w:type="dxa"/>
            <w:vAlign w:val="center"/>
          </w:tcPr>
          <w:p w14:paraId="28A059E7" w14:textId="77777777" w:rsidR="00400463" w:rsidRPr="00CE39FB" w:rsidRDefault="00400463">
            <w:pPr>
              <w:spacing w:before="20" w:after="20"/>
              <w:jc w:val="right"/>
              <w:rPr>
                <w:b/>
                <w:noProof/>
                <w:sz w:val="20"/>
              </w:rPr>
            </w:pPr>
            <w:r w:rsidRPr="00CE39FB">
              <w:rPr>
                <w:b/>
                <w:noProof/>
                <w:sz w:val="20"/>
              </w:rPr>
              <w:t>64,000</w:t>
            </w:r>
          </w:p>
        </w:tc>
      </w:tr>
      <w:tr w:rsidR="00CE39FB" w:rsidRPr="00CE39FB" w14:paraId="15D6426F" w14:textId="77777777" w:rsidTr="59744C64">
        <w:tc>
          <w:tcPr>
            <w:tcW w:w="3960" w:type="dxa"/>
            <w:vMerge/>
          </w:tcPr>
          <w:p w14:paraId="31D8CC40" w14:textId="77777777" w:rsidR="00400463" w:rsidRPr="00CE39FB" w:rsidRDefault="00400463">
            <w:pPr>
              <w:jc w:val="center"/>
              <w:rPr>
                <w:noProof/>
                <w:sz w:val="20"/>
              </w:rPr>
            </w:pPr>
          </w:p>
        </w:tc>
        <w:tc>
          <w:tcPr>
            <w:tcW w:w="1440" w:type="dxa"/>
            <w:vAlign w:val="center"/>
          </w:tcPr>
          <w:p w14:paraId="65207E7A" w14:textId="77777777" w:rsidR="00400463" w:rsidRPr="00CE39FB" w:rsidRDefault="00400463">
            <w:pPr>
              <w:spacing w:before="20" w:after="20"/>
              <w:rPr>
                <w:noProof/>
                <w:sz w:val="18"/>
              </w:rPr>
            </w:pPr>
            <w:r w:rsidRPr="00CE39FB">
              <w:rPr>
                <w:noProof/>
                <w:sz w:val="18"/>
              </w:rPr>
              <w:t>Payments</w:t>
            </w:r>
          </w:p>
        </w:tc>
        <w:tc>
          <w:tcPr>
            <w:tcW w:w="654" w:type="dxa"/>
            <w:gridSpan w:val="2"/>
            <w:vAlign w:val="center"/>
          </w:tcPr>
          <w:p w14:paraId="2AA0F63F" w14:textId="77777777" w:rsidR="00400463" w:rsidRPr="00CE39FB" w:rsidRDefault="00400463">
            <w:pPr>
              <w:spacing w:before="20" w:after="20"/>
              <w:jc w:val="center"/>
              <w:rPr>
                <w:noProof/>
                <w:sz w:val="14"/>
              </w:rPr>
            </w:pPr>
            <w:r w:rsidRPr="00CE39FB">
              <w:rPr>
                <w:noProof/>
                <w:sz w:val="14"/>
              </w:rPr>
              <w:t>(2b)</w:t>
            </w:r>
          </w:p>
        </w:tc>
        <w:tc>
          <w:tcPr>
            <w:tcW w:w="868" w:type="dxa"/>
            <w:vAlign w:val="center"/>
          </w:tcPr>
          <w:p w14:paraId="7C13A640" w14:textId="77777777" w:rsidR="00400463" w:rsidRPr="00CE39FB" w:rsidRDefault="00400463">
            <w:pPr>
              <w:spacing w:before="20" w:after="20"/>
              <w:jc w:val="right"/>
              <w:rPr>
                <w:noProof/>
                <w:sz w:val="20"/>
              </w:rPr>
            </w:pPr>
            <w:r w:rsidRPr="00CE39FB">
              <w:rPr>
                <w:noProof/>
                <w:sz w:val="20"/>
              </w:rPr>
              <w:t>8,450</w:t>
            </w:r>
          </w:p>
        </w:tc>
        <w:tc>
          <w:tcPr>
            <w:tcW w:w="868" w:type="dxa"/>
            <w:vAlign w:val="center"/>
          </w:tcPr>
          <w:p w14:paraId="18DDDD83" w14:textId="77777777" w:rsidR="00400463" w:rsidRPr="00CE39FB" w:rsidRDefault="00400463">
            <w:pPr>
              <w:spacing w:before="20" w:after="20"/>
              <w:jc w:val="right"/>
              <w:rPr>
                <w:noProof/>
                <w:sz w:val="20"/>
              </w:rPr>
            </w:pPr>
            <w:r w:rsidRPr="00CE39FB">
              <w:rPr>
                <w:noProof/>
                <w:sz w:val="20"/>
              </w:rPr>
              <w:t>18,200</w:t>
            </w:r>
          </w:p>
        </w:tc>
        <w:tc>
          <w:tcPr>
            <w:tcW w:w="868" w:type="dxa"/>
            <w:vAlign w:val="center"/>
          </w:tcPr>
          <w:p w14:paraId="1287B299" w14:textId="77777777" w:rsidR="00400463" w:rsidRPr="00CE39FB" w:rsidRDefault="00400463">
            <w:pPr>
              <w:spacing w:before="20" w:after="20"/>
              <w:jc w:val="right"/>
              <w:rPr>
                <w:noProof/>
                <w:sz w:val="20"/>
              </w:rPr>
            </w:pPr>
            <w:r w:rsidRPr="00CE39FB">
              <w:rPr>
                <w:noProof/>
                <w:sz w:val="20"/>
              </w:rPr>
              <w:t>25,250</w:t>
            </w:r>
          </w:p>
        </w:tc>
        <w:tc>
          <w:tcPr>
            <w:tcW w:w="868" w:type="dxa"/>
            <w:vAlign w:val="center"/>
          </w:tcPr>
          <w:p w14:paraId="7ADB6069" w14:textId="77777777" w:rsidR="00400463" w:rsidRPr="00CE39FB" w:rsidRDefault="00400463">
            <w:pPr>
              <w:spacing w:before="20" w:after="20"/>
              <w:jc w:val="right"/>
              <w:rPr>
                <w:noProof/>
                <w:sz w:val="20"/>
              </w:rPr>
            </w:pPr>
            <w:r w:rsidRPr="00CE39FB">
              <w:rPr>
                <w:noProof/>
                <w:sz w:val="20"/>
              </w:rPr>
              <w:t>12,100</w:t>
            </w:r>
          </w:p>
        </w:tc>
        <w:tc>
          <w:tcPr>
            <w:tcW w:w="868" w:type="dxa"/>
            <w:vAlign w:val="center"/>
          </w:tcPr>
          <w:p w14:paraId="4D0E8B43" w14:textId="77777777" w:rsidR="00400463" w:rsidRPr="00CE39FB" w:rsidRDefault="00400463">
            <w:pPr>
              <w:spacing w:before="20" w:after="20"/>
              <w:jc w:val="right"/>
              <w:rPr>
                <w:noProof/>
                <w:sz w:val="20"/>
              </w:rPr>
            </w:pPr>
          </w:p>
        </w:tc>
        <w:tc>
          <w:tcPr>
            <w:tcW w:w="868" w:type="dxa"/>
            <w:vAlign w:val="center"/>
          </w:tcPr>
          <w:p w14:paraId="42017191" w14:textId="77777777" w:rsidR="00400463" w:rsidRPr="00CE39FB" w:rsidRDefault="00400463">
            <w:pPr>
              <w:spacing w:before="20" w:after="20"/>
              <w:jc w:val="right"/>
              <w:rPr>
                <w:noProof/>
                <w:sz w:val="20"/>
              </w:rPr>
            </w:pPr>
          </w:p>
        </w:tc>
        <w:tc>
          <w:tcPr>
            <w:tcW w:w="868" w:type="dxa"/>
            <w:vAlign w:val="center"/>
          </w:tcPr>
          <w:p w14:paraId="4C6E948D" w14:textId="77777777" w:rsidR="00400463" w:rsidRPr="00CE39FB" w:rsidRDefault="00400463">
            <w:pPr>
              <w:spacing w:before="20" w:after="20"/>
              <w:jc w:val="right"/>
              <w:rPr>
                <w:b/>
                <w:noProof/>
                <w:sz w:val="20"/>
              </w:rPr>
            </w:pPr>
          </w:p>
        </w:tc>
        <w:tc>
          <w:tcPr>
            <w:tcW w:w="1777" w:type="dxa"/>
            <w:vAlign w:val="center"/>
          </w:tcPr>
          <w:p w14:paraId="4945CD00" w14:textId="77777777" w:rsidR="00400463" w:rsidRPr="00CE39FB" w:rsidRDefault="00400463">
            <w:pPr>
              <w:spacing w:before="20" w:after="20"/>
              <w:jc w:val="right"/>
              <w:rPr>
                <w:b/>
                <w:noProof/>
                <w:sz w:val="20"/>
              </w:rPr>
            </w:pPr>
            <w:r w:rsidRPr="00CE39FB">
              <w:rPr>
                <w:b/>
                <w:noProof/>
                <w:sz w:val="20"/>
              </w:rPr>
              <w:t>64,000</w:t>
            </w:r>
          </w:p>
        </w:tc>
      </w:tr>
      <w:tr w:rsidR="00CE39FB" w:rsidRPr="00CE39FB" w14:paraId="23DB1D11" w14:textId="77777777" w:rsidTr="59744C64">
        <w:trPr>
          <w:trHeight w:val="231"/>
        </w:trPr>
        <w:tc>
          <w:tcPr>
            <w:tcW w:w="6054" w:type="dxa"/>
            <w:gridSpan w:val="4"/>
            <w:vAlign w:val="center"/>
          </w:tcPr>
          <w:p w14:paraId="57BF5019" w14:textId="77777777" w:rsidR="00400463" w:rsidRPr="008D6611" w:rsidRDefault="791D52F5">
            <w:pPr>
              <w:spacing w:before="20" w:after="20"/>
              <w:rPr>
                <w:noProof/>
              </w:rPr>
            </w:pPr>
            <w:r w:rsidRPr="008D6611">
              <w:rPr>
                <w:noProof/>
                <w:sz w:val="21"/>
              </w:rPr>
              <w:t>Appropriations of an administrative nature financed from the envelope of specific programmes</w:t>
            </w:r>
            <w:r w:rsidR="00400463" w:rsidRPr="00CE39FB">
              <w:rPr>
                <w:rStyle w:val="FootnoteReference"/>
                <w:noProof/>
                <w:sz w:val="21"/>
                <w:szCs w:val="21"/>
              </w:rPr>
              <w:footnoteReference w:id="41"/>
            </w:r>
            <w:r w:rsidRPr="008D6611">
              <w:rPr>
                <w:noProof/>
                <w:sz w:val="21"/>
              </w:rPr>
              <w:t xml:space="preserve"> </w:t>
            </w:r>
          </w:p>
        </w:tc>
        <w:tc>
          <w:tcPr>
            <w:tcW w:w="868" w:type="dxa"/>
            <w:vAlign w:val="center"/>
          </w:tcPr>
          <w:p w14:paraId="6170BCA0" w14:textId="77777777" w:rsidR="00400463" w:rsidRPr="008D6611" w:rsidRDefault="00400463">
            <w:pPr>
              <w:rPr>
                <w:b/>
                <w:noProof/>
                <w:sz w:val="20"/>
              </w:rPr>
            </w:pPr>
          </w:p>
        </w:tc>
        <w:tc>
          <w:tcPr>
            <w:tcW w:w="868" w:type="dxa"/>
            <w:vAlign w:val="center"/>
          </w:tcPr>
          <w:p w14:paraId="3D013565" w14:textId="77777777" w:rsidR="00400463" w:rsidRPr="008D6611" w:rsidRDefault="00400463">
            <w:pPr>
              <w:rPr>
                <w:b/>
                <w:noProof/>
                <w:sz w:val="20"/>
              </w:rPr>
            </w:pPr>
          </w:p>
        </w:tc>
        <w:tc>
          <w:tcPr>
            <w:tcW w:w="868" w:type="dxa"/>
            <w:vAlign w:val="center"/>
          </w:tcPr>
          <w:p w14:paraId="726A336A" w14:textId="77777777" w:rsidR="00400463" w:rsidRPr="008D6611" w:rsidRDefault="00400463">
            <w:pPr>
              <w:rPr>
                <w:b/>
                <w:noProof/>
                <w:sz w:val="20"/>
              </w:rPr>
            </w:pPr>
          </w:p>
        </w:tc>
        <w:tc>
          <w:tcPr>
            <w:tcW w:w="868" w:type="dxa"/>
            <w:vAlign w:val="center"/>
          </w:tcPr>
          <w:p w14:paraId="6F434D89" w14:textId="77777777" w:rsidR="00400463" w:rsidRPr="008D6611" w:rsidRDefault="00400463">
            <w:pPr>
              <w:rPr>
                <w:b/>
                <w:noProof/>
                <w:sz w:val="20"/>
              </w:rPr>
            </w:pPr>
          </w:p>
        </w:tc>
        <w:tc>
          <w:tcPr>
            <w:tcW w:w="868" w:type="dxa"/>
            <w:vAlign w:val="center"/>
          </w:tcPr>
          <w:p w14:paraId="04026D7F" w14:textId="77777777" w:rsidR="00400463" w:rsidRPr="008D6611" w:rsidRDefault="00400463">
            <w:pPr>
              <w:rPr>
                <w:b/>
                <w:noProof/>
                <w:sz w:val="20"/>
              </w:rPr>
            </w:pPr>
          </w:p>
        </w:tc>
        <w:tc>
          <w:tcPr>
            <w:tcW w:w="868" w:type="dxa"/>
            <w:vAlign w:val="center"/>
          </w:tcPr>
          <w:p w14:paraId="6C2F43D3" w14:textId="77777777" w:rsidR="00400463" w:rsidRPr="008D6611" w:rsidRDefault="00400463">
            <w:pPr>
              <w:rPr>
                <w:b/>
                <w:noProof/>
                <w:sz w:val="20"/>
              </w:rPr>
            </w:pPr>
          </w:p>
        </w:tc>
        <w:tc>
          <w:tcPr>
            <w:tcW w:w="868" w:type="dxa"/>
            <w:vAlign w:val="center"/>
          </w:tcPr>
          <w:p w14:paraId="6C49F9AC" w14:textId="77777777" w:rsidR="00400463" w:rsidRPr="008D6611" w:rsidRDefault="00400463">
            <w:pPr>
              <w:rPr>
                <w:b/>
                <w:noProof/>
                <w:sz w:val="20"/>
              </w:rPr>
            </w:pPr>
          </w:p>
        </w:tc>
        <w:tc>
          <w:tcPr>
            <w:tcW w:w="1777" w:type="dxa"/>
            <w:vAlign w:val="center"/>
          </w:tcPr>
          <w:p w14:paraId="6CFC3DC8" w14:textId="77777777" w:rsidR="00400463" w:rsidRPr="008D6611" w:rsidRDefault="00400463">
            <w:pPr>
              <w:rPr>
                <w:b/>
                <w:noProof/>
                <w:sz w:val="20"/>
              </w:rPr>
            </w:pPr>
          </w:p>
        </w:tc>
      </w:tr>
      <w:tr w:rsidR="00CE39FB" w:rsidRPr="00CE39FB" w14:paraId="1F97E108" w14:textId="77777777" w:rsidTr="59744C64">
        <w:trPr>
          <w:trHeight w:val="319"/>
        </w:trPr>
        <w:tc>
          <w:tcPr>
            <w:tcW w:w="3960" w:type="dxa"/>
            <w:vAlign w:val="center"/>
          </w:tcPr>
          <w:p w14:paraId="27F6CEF3" w14:textId="77777777" w:rsidR="00400463" w:rsidRPr="00CE39FB" w:rsidRDefault="00400463">
            <w:pPr>
              <w:spacing w:before="60" w:after="60"/>
              <w:rPr>
                <w:noProof/>
              </w:rPr>
            </w:pPr>
            <w:r w:rsidRPr="00CE39FB">
              <w:rPr>
                <w:noProof/>
                <w:sz w:val="20"/>
              </w:rPr>
              <w:t>Budget line 02.0130</w:t>
            </w:r>
          </w:p>
        </w:tc>
        <w:tc>
          <w:tcPr>
            <w:tcW w:w="1440" w:type="dxa"/>
            <w:vAlign w:val="center"/>
          </w:tcPr>
          <w:p w14:paraId="426DF57A" w14:textId="77777777" w:rsidR="00400463" w:rsidRPr="00CE39FB" w:rsidRDefault="00400463">
            <w:pPr>
              <w:spacing w:before="40" w:after="40"/>
              <w:jc w:val="right"/>
              <w:rPr>
                <w:noProof/>
                <w:sz w:val="18"/>
              </w:rPr>
            </w:pPr>
          </w:p>
        </w:tc>
        <w:tc>
          <w:tcPr>
            <w:tcW w:w="654" w:type="dxa"/>
            <w:gridSpan w:val="2"/>
            <w:vAlign w:val="center"/>
          </w:tcPr>
          <w:p w14:paraId="0F6F21D0" w14:textId="77777777" w:rsidR="00400463" w:rsidRPr="00CE39FB" w:rsidRDefault="00400463">
            <w:pPr>
              <w:spacing w:before="40" w:after="40"/>
              <w:jc w:val="center"/>
              <w:rPr>
                <w:noProof/>
                <w:sz w:val="14"/>
              </w:rPr>
            </w:pPr>
            <w:r w:rsidRPr="00CE39FB">
              <w:rPr>
                <w:noProof/>
                <w:sz w:val="14"/>
              </w:rPr>
              <w:t>(3)</w:t>
            </w:r>
          </w:p>
        </w:tc>
        <w:tc>
          <w:tcPr>
            <w:tcW w:w="868" w:type="dxa"/>
            <w:vAlign w:val="center"/>
          </w:tcPr>
          <w:p w14:paraId="3570EFE5" w14:textId="77777777" w:rsidR="00400463" w:rsidRPr="00CE39FB" w:rsidRDefault="00400463">
            <w:pPr>
              <w:spacing w:before="40" w:after="40"/>
              <w:jc w:val="right"/>
              <w:rPr>
                <w:bCs/>
                <w:noProof/>
                <w:sz w:val="20"/>
              </w:rPr>
            </w:pPr>
            <w:r w:rsidRPr="00CE39FB">
              <w:rPr>
                <w:bCs/>
                <w:noProof/>
                <w:sz w:val="20"/>
              </w:rPr>
              <w:t>0,150</w:t>
            </w:r>
          </w:p>
        </w:tc>
        <w:tc>
          <w:tcPr>
            <w:tcW w:w="868" w:type="dxa"/>
            <w:vAlign w:val="center"/>
          </w:tcPr>
          <w:p w14:paraId="48AFFB08" w14:textId="77777777" w:rsidR="00400463" w:rsidRPr="00CE39FB" w:rsidRDefault="00400463">
            <w:pPr>
              <w:spacing w:before="40" w:after="40"/>
              <w:jc w:val="right"/>
              <w:rPr>
                <w:bCs/>
                <w:noProof/>
                <w:sz w:val="20"/>
              </w:rPr>
            </w:pPr>
            <w:r w:rsidRPr="00CE39FB">
              <w:rPr>
                <w:bCs/>
                <w:noProof/>
                <w:sz w:val="20"/>
              </w:rPr>
              <w:t>0,150</w:t>
            </w:r>
          </w:p>
        </w:tc>
        <w:tc>
          <w:tcPr>
            <w:tcW w:w="868" w:type="dxa"/>
            <w:vAlign w:val="center"/>
          </w:tcPr>
          <w:p w14:paraId="223E4FC1" w14:textId="77777777" w:rsidR="00400463" w:rsidRPr="00CE39FB" w:rsidRDefault="00400463">
            <w:pPr>
              <w:spacing w:before="40" w:after="40"/>
              <w:jc w:val="right"/>
              <w:rPr>
                <w:bCs/>
                <w:noProof/>
                <w:sz w:val="20"/>
              </w:rPr>
            </w:pPr>
            <w:r w:rsidRPr="00CE39FB">
              <w:rPr>
                <w:bCs/>
                <w:noProof/>
                <w:sz w:val="20"/>
              </w:rPr>
              <w:t>0,150</w:t>
            </w:r>
          </w:p>
        </w:tc>
        <w:tc>
          <w:tcPr>
            <w:tcW w:w="868" w:type="dxa"/>
            <w:vAlign w:val="center"/>
          </w:tcPr>
          <w:p w14:paraId="4B865D87" w14:textId="77777777" w:rsidR="00400463" w:rsidRPr="00CE39FB" w:rsidRDefault="00400463">
            <w:pPr>
              <w:spacing w:before="40" w:after="40"/>
              <w:jc w:val="right"/>
              <w:rPr>
                <w:bCs/>
                <w:noProof/>
                <w:sz w:val="20"/>
              </w:rPr>
            </w:pPr>
            <w:r w:rsidRPr="00CE39FB">
              <w:rPr>
                <w:bCs/>
                <w:noProof/>
                <w:sz w:val="20"/>
              </w:rPr>
              <w:t>p.m.</w:t>
            </w:r>
          </w:p>
        </w:tc>
        <w:tc>
          <w:tcPr>
            <w:tcW w:w="868" w:type="dxa"/>
            <w:vAlign w:val="center"/>
          </w:tcPr>
          <w:p w14:paraId="7CBEE9A4" w14:textId="77777777" w:rsidR="00400463" w:rsidRPr="00CE39FB" w:rsidRDefault="00400463">
            <w:pPr>
              <w:spacing w:before="40" w:after="40"/>
              <w:jc w:val="right"/>
              <w:rPr>
                <w:bCs/>
                <w:noProof/>
                <w:sz w:val="20"/>
              </w:rPr>
            </w:pPr>
          </w:p>
        </w:tc>
        <w:tc>
          <w:tcPr>
            <w:tcW w:w="868" w:type="dxa"/>
            <w:vAlign w:val="center"/>
          </w:tcPr>
          <w:p w14:paraId="43164478" w14:textId="77777777" w:rsidR="00400463" w:rsidRPr="00CE39FB" w:rsidRDefault="00400463">
            <w:pPr>
              <w:spacing w:before="40" w:after="40"/>
              <w:jc w:val="right"/>
              <w:rPr>
                <w:bCs/>
                <w:noProof/>
                <w:sz w:val="20"/>
              </w:rPr>
            </w:pPr>
          </w:p>
        </w:tc>
        <w:tc>
          <w:tcPr>
            <w:tcW w:w="868" w:type="dxa"/>
            <w:vAlign w:val="center"/>
          </w:tcPr>
          <w:p w14:paraId="484D8E3A" w14:textId="77777777" w:rsidR="00400463" w:rsidRPr="00CE39FB" w:rsidRDefault="00400463">
            <w:pPr>
              <w:spacing w:before="40" w:after="40"/>
              <w:jc w:val="right"/>
              <w:rPr>
                <w:bCs/>
                <w:noProof/>
                <w:sz w:val="20"/>
              </w:rPr>
            </w:pPr>
          </w:p>
        </w:tc>
        <w:tc>
          <w:tcPr>
            <w:tcW w:w="1777" w:type="dxa"/>
            <w:vAlign w:val="center"/>
          </w:tcPr>
          <w:p w14:paraId="625630B8" w14:textId="77777777" w:rsidR="00400463" w:rsidRPr="00CE39FB" w:rsidRDefault="00400463">
            <w:pPr>
              <w:spacing w:before="40" w:after="40"/>
              <w:jc w:val="right"/>
              <w:rPr>
                <w:bCs/>
                <w:noProof/>
                <w:sz w:val="20"/>
              </w:rPr>
            </w:pPr>
            <w:r w:rsidRPr="00CE39FB">
              <w:rPr>
                <w:bCs/>
                <w:noProof/>
                <w:sz w:val="20"/>
              </w:rPr>
              <w:t>0,450</w:t>
            </w:r>
          </w:p>
        </w:tc>
      </w:tr>
      <w:tr w:rsidR="00CE39FB" w:rsidRPr="00CE39FB" w14:paraId="649EECC9" w14:textId="77777777" w:rsidTr="59744C64">
        <w:tc>
          <w:tcPr>
            <w:tcW w:w="3960" w:type="dxa"/>
            <w:vMerge w:val="restart"/>
            <w:vAlign w:val="center"/>
          </w:tcPr>
          <w:p w14:paraId="20A0AFBF" w14:textId="77777777" w:rsidR="00400463" w:rsidRPr="00CE39FB" w:rsidRDefault="00400463">
            <w:pPr>
              <w:jc w:val="center"/>
              <w:rPr>
                <w:b/>
                <w:noProof/>
              </w:rPr>
            </w:pPr>
            <w:r w:rsidRPr="00CE39FB">
              <w:rPr>
                <w:b/>
                <w:noProof/>
                <w:sz w:val="22"/>
              </w:rPr>
              <w:t>TOTAL appropriations</w:t>
            </w:r>
            <w:r w:rsidRPr="00CE39FB">
              <w:rPr>
                <w:noProof/>
                <w:sz w:val="22"/>
              </w:rPr>
              <w:br/>
            </w:r>
            <w:r w:rsidRPr="00CE39FB">
              <w:rPr>
                <w:b/>
                <w:noProof/>
                <w:sz w:val="22"/>
              </w:rPr>
              <w:t>for DG CONNECT</w:t>
            </w:r>
          </w:p>
        </w:tc>
        <w:tc>
          <w:tcPr>
            <w:tcW w:w="1440" w:type="dxa"/>
            <w:vAlign w:val="center"/>
          </w:tcPr>
          <w:p w14:paraId="4F8302EF" w14:textId="77777777" w:rsidR="00400463" w:rsidRPr="00CE39FB" w:rsidRDefault="00400463">
            <w:pPr>
              <w:rPr>
                <w:noProof/>
                <w:sz w:val="18"/>
              </w:rPr>
            </w:pPr>
            <w:r w:rsidRPr="00CE39FB">
              <w:rPr>
                <w:noProof/>
                <w:sz w:val="18"/>
              </w:rPr>
              <w:t>Commitments</w:t>
            </w:r>
          </w:p>
        </w:tc>
        <w:tc>
          <w:tcPr>
            <w:tcW w:w="654" w:type="dxa"/>
            <w:gridSpan w:val="2"/>
            <w:vAlign w:val="center"/>
          </w:tcPr>
          <w:p w14:paraId="70146EC7" w14:textId="77777777" w:rsidR="00400463" w:rsidRPr="00CE39FB" w:rsidRDefault="00400463">
            <w:pPr>
              <w:jc w:val="center"/>
              <w:rPr>
                <w:noProof/>
                <w:sz w:val="14"/>
              </w:rPr>
            </w:pPr>
            <w:r w:rsidRPr="00CE39FB">
              <w:rPr>
                <w:noProof/>
                <w:sz w:val="14"/>
              </w:rPr>
              <w:t>=1a+1b +3</w:t>
            </w:r>
          </w:p>
        </w:tc>
        <w:tc>
          <w:tcPr>
            <w:tcW w:w="868" w:type="dxa"/>
            <w:vAlign w:val="center"/>
          </w:tcPr>
          <w:p w14:paraId="5AEAADF8" w14:textId="77777777" w:rsidR="00400463" w:rsidRPr="00CE39FB" w:rsidRDefault="00400463">
            <w:pPr>
              <w:spacing w:before="20" w:after="20"/>
              <w:jc w:val="right"/>
              <w:rPr>
                <w:b/>
                <w:bCs/>
                <w:noProof/>
                <w:sz w:val="20"/>
              </w:rPr>
            </w:pPr>
            <w:r w:rsidRPr="00CE39FB">
              <w:rPr>
                <w:b/>
                <w:bCs/>
                <w:noProof/>
                <w:sz w:val="20"/>
              </w:rPr>
              <w:t>28,150</w:t>
            </w:r>
          </w:p>
        </w:tc>
        <w:tc>
          <w:tcPr>
            <w:tcW w:w="868" w:type="dxa"/>
            <w:vAlign w:val="center"/>
          </w:tcPr>
          <w:p w14:paraId="7820EFA9" w14:textId="77777777" w:rsidR="00400463" w:rsidRPr="00CE39FB" w:rsidRDefault="00400463">
            <w:pPr>
              <w:spacing w:before="20" w:after="20"/>
              <w:jc w:val="right"/>
              <w:rPr>
                <w:b/>
                <w:bCs/>
                <w:noProof/>
                <w:sz w:val="20"/>
              </w:rPr>
            </w:pPr>
            <w:r w:rsidRPr="00CE39FB">
              <w:rPr>
                <w:b/>
                <w:bCs/>
                <w:noProof/>
                <w:sz w:val="20"/>
              </w:rPr>
              <w:t>38,150</w:t>
            </w:r>
          </w:p>
        </w:tc>
        <w:tc>
          <w:tcPr>
            <w:tcW w:w="868" w:type="dxa"/>
            <w:vAlign w:val="center"/>
          </w:tcPr>
          <w:p w14:paraId="22972E2B" w14:textId="77777777" w:rsidR="00400463" w:rsidRPr="00CE39FB" w:rsidRDefault="00400463">
            <w:pPr>
              <w:spacing w:before="20" w:after="20"/>
              <w:jc w:val="right"/>
              <w:rPr>
                <w:b/>
                <w:bCs/>
                <w:noProof/>
                <w:sz w:val="20"/>
              </w:rPr>
            </w:pPr>
            <w:r w:rsidRPr="00CE39FB">
              <w:rPr>
                <w:b/>
                <w:bCs/>
                <w:noProof/>
                <w:sz w:val="20"/>
              </w:rPr>
              <w:t>34,150</w:t>
            </w:r>
          </w:p>
        </w:tc>
        <w:tc>
          <w:tcPr>
            <w:tcW w:w="868" w:type="dxa"/>
            <w:vAlign w:val="center"/>
          </w:tcPr>
          <w:p w14:paraId="1CD2E032" w14:textId="77777777" w:rsidR="00400463" w:rsidRPr="00CE39FB" w:rsidRDefault="00400463">
            <w:pPr>
              <w:spacing w:before="20" w:after="20"/>
              <w:jc w:val="right"/>
              <w:rPr>
                <w:b/>
                <w:bCs/>
                <w:noProof/>
                <w:sz w:val="20"/>
              </w:rPr>
            </w:pPr>
            <w:r w:rsidRPr="00CE39FB">
              <w:rPr>
                <w:b/>
                <w:bCs/>
                <w:noProof/>
                <w:sz w:val="20"/>
              </w:rPr>
              <w:t>p.m.</w:t>
            </w:r>
          </w:p>
        </w:tc>
        <w:tc>
          <w:tcPr>
            <w:tcW w:w="868" w:type="dxa"/>
            <w:vAlign w:val="center"/>
          </w:tcPr>
          <w:p w14:paraId="60EF96F5" w14:textId="77777777" w:rsidR="00400463" w:rsidRPr="00CE39FB" w:rsidRDefault="00400463">
            <w:pPr>
              <w:spacing w:before="20" w:after="20"/>
              <w:jc w:val="right"/>
              <w:rPr>
                <w:b/>
                <w:bCs/>
                <w:noProof/>
                <w:sz w:val="20"/>
              </w:rPr>
            </w:pPr>
          </w:p>
        </w:tc>
        <w:tc>
          <w:tcPr>
            <w:tcW w:w="868" w:type="dxa"/>
            <w:vAlign w:val="center"/>
          </w:tcPr>
          <w:p w14:paraId="627F2911" w14:textId="77777777" w:rsidR="00400463" w:rsidRPr="00CE39FB" w:rsidRDefault="00400463">
            <w:pPr>
              <w:spacing w:before="20" w:after="20"/>
              <w:jc w:val="right"/>
              <w:rPr>
                <w:noProof/>
                <w:sz w:val="20"/>
              </w:rPr>
            </w:pPr>
          </w:p>
        </w:tc>
        <w:tc>
          <w:tcPr>
            <w:tcW w:w="868" w:type="dxa"/>
            <w:vAlign w:val="center"/>
          </w:tcPr>
          <w:p w14:paraId="435758E0" w14:textId="77777777" w:rsidR="00400463" w:rsidRPr="00CE39FB" w:rsidRDefault="00400463">
            <w:pPr>
              <w:spacing w:before="20" w:after="20"/>
              <w:jc w:val="right"/>
              <w:rPr>
                <w:b/>
                <w:noProof/>
                <w:sz w:val="20"/>
              </w:rPr>
            </w:pPr>
          </w:p>
        </w:tc>
        <w:tc>
          <w:tcPr>
            <w:tcW w:w="1777" w:type="dxa"/>
            <w:vAlign w:val="center"/>
          </w:tcPr>
          <w:p w14:paraId="08F97234" w14:textId="77777777" w:rsidR="00400463" w:rsidRPr="00CE39FB" w:rsidRDefault="00400463">
            <w:pPr>
              <w:spacing w:before="20" w:after="20"/>
              <w:jc w:val="right"/>
              <w:rPr>
                <w:b/>
                <w:noProof/>
                <w:sz w:val="20"/>
              </w:rPr>
            </w:pPr>
            <w:r w:rsidRPr="00CE39FB">
              <w:rPr>
                <w:b/>
                <w:noProof/>
                <w:sz w:val="20"/>
              </w:rPr>
              <w:t>100,450</w:t>
            </w:r>
          </w:p>
        </w:tc>
      </w:tr>
      <w:tr w:rsidR="00CE39FB" w:rsidRPr="00CE39FB" w14:paraId="760C9843" w14:textId="77777777" w:rsidTr="59744C64">
        <w:tc>
          <w:tcPr>
            <w:tcW w:w="3960" w:type="dxa"/>
            <w:vMerge/>
          </w:tcPr>
          <w:p w14:paraId="3FEEC831" w14:textId="77777777" w:rsidR="00400463" w:rsidRPr="00CE39FB" w:rsidRDefault="00400463">
            <w:pPr>
              <w:rPr>
                <w:noProof/>
                <w:sz w:val="20"/>
              </w:rPr>
            </w:pPr>
          </w:p>
        </w:tc>
        <w:tc>
          <w:tcPr>
            <w:tcW w:w="1440" w:type="dxa"/>
            <w:vAlign w:val="center"/>
          </w:tcPr>
          <w:p w14:paraId="4682CC3A" w14:textId="77777777" w:rsidR="00400463" w:rsidRPr="00CE39FB" w:rsidRDefault="00400463">
            <w:pPr>
              <w:rPr>
                <w:noProof/>
                <w:sz w:val="18"/>
              </w:rPr>
            </w:pPr>
            <w:r w:rsidRPr="00CE39FB">
              <w:rPr>
                <w:noProof/>
                <w:sz w:val="18"/>
              </w:rPr>
              <w:t>Payments</w:t>
            </w:r>
          </w:p>
        </w:tc>
        <w:tc>
          <w:tcPr>
            <w:tcW w:w="654" w:type="dxa"/>
            <w:gridSpan w:val="2"/>
            <w:vAlign w:val="center"/>
          </w:tcPr>
          <w:p w14:paraId="22E1B167" w14:textId="77777777" w:rsidR="00400463" w:rsidRPr="00CE39FB" w:rsidRDefault="00400463">
            <w:pPr>
              <w:jc w:val="center"/>
              <w:rPr>
                <w:noProof/>
                <w:sz w:val="14"/>
              </w:rPr>
            </w:pPr>
            <w:r w:rsidRPr="00CE39FB">
              <w:rPr>
                <w:noProof/>
                <w:sz w:val="14"/>
              </w:rPr>
              <w:t>=2a+2b</w:t>
            </w:r>
          </w:p>
          <w:p w14:paraId="475F7836" w14:textId="77777777" w:rsidR="00400463" w:rsidRPr="00CE39FB" w:rsidRDefault="00400463">
            <w:pPr>
              <w:jc w:val="center"/>
              <w:rPr>
                <w:noProof/>
                <w:sz w:val="14"/>
              </w:rPr>
            </w:pPr>
            <w:r w:rsidRPr="00CE39FB">
              <w:rPr>
                <w:noProof/>
                <w:sz w:val="14"/>
              </w:rPr>
              <w:t>+3</w:t>
            </w:r>
          </w:p>
        </w:tc>
        <w:tc>
          <w:tcPr>
            <w:tcW w:w="868" w:type="dxa"/>
            <w:vAlign w:val="center"/>
          </w:tcPr>
          <w:p w14:paraId="34938782" w14:textId="77777777" w:rsidR="00400463" w:rsidRPr="00CE39FB" w:rsidRDefault="00400463">
            <w:pPr>
              <w:spacing w:before="20" w:after="20"/>
              <w:jc w:val="right"/>
              <w:rPr>
                <w:b/>
                <w:bCs/>
                <w:noProof/>
                <w:sz w:val="20"/>
              </w:rPr>
            </w:pPr>
            <w:r w:rsidRPr="00CE39FB">
              <w:rPr>
                <w:b/>
                <w:bCs/>
                <w:noProof/>
                <w:sz w:val="20"/>
              </w:rPr>
              <w:t>23,600</w:t>
            </w:r>
          </w:p>
        </w:tc>
        <w:tc>
          <w:tcPr>
            <w:tcW w:w="868" w:type="dxa"/>
            <w:vAlign w:val="center"/>
          </w:tcPr>
          <w:p w14:paraId="1AC2628A" w14:textId="77777777" w:rsidR="00400463" w:rsidRPr="00CE39FB" w:rsidRDefault="00400463">
            <w:pPr>
              <w:spacing w:before="20" w:after="20"/>
              <w:jc w:val="right"/>
              <w:rPr>
                <w:b/>
                <w:bCs/>
                <w:noProof/>
                <w:sz w:val="20"/>
              </w:rPr>
            </w:pPr>
            <w:r w:rsidRPr="00CE39FB">
              <w:rPr>
                <w:b/>
                <w:bCs/>
                <w:noProof/>
                <w:sz w:val="20"/>
              </w:rPr>
              <w:t>33,350</w:t>
            </w:r>
          </w:p>
        </w:tc>
        <w:tc>
          <w:tcPr>
            <w:tcW w:w="868" w:type="dxa"/>
            <w:vAlign w:val="center"/>
          </w:tcPr>
          <w:p w14:paraId="2E4B1995" w14:textId="77777777" w:rsidR="00400463" w:rsidRPr="00CE39FB" w:rsidRDefault="00400463">
            <w:pPr>
              <w:spacing w:before="20" w:after="20"/>
              <w:jc w:val="right"/>
              <w:rPr>
                <w:b/>
                <w:bCs/>
                <w:noProof/>
                <w:sz w:val="20"/>
              </w:rPr>
            </w:pPr>
            <w:r w:rsidRPr="00CE39FB">
              <w:rPr>
                <w:b/>
                <w:bCs/>
                <w:noProof/>
                <w:sz w:val="20"/>
              </w:rPr>
              <w:t>31,400</w:t>
            </w:r>
          </w:p>
        </w:tc>
        <w:tc>
          <w:tcPr>
            <w:tcW w:w="868" w:type="dxa"/>
            <w:vAlign w:val="center"/>
          </w:tcPr>
          <w:p w14:paraId="12212D9E" w14:textId="77777777" w:rsidR="00400463" w:rsidRPr="00CE39FB" w:rsidRDefault="00400463">
            <w:pPr>
              <w:spacing w:before="20" w:after="20"/>
              <w:jc w:val="right"/>
              <w:rPr>
                <w:b/>
                <w:bCs/>
                <w:noProof/>
                <w:sz w:val="20"/>
              </w:rPr>
            </w:pPr>
            <w:r w:rsidRPr="00CE39FB">
              <w:rPr>
                <w:b/>
                <w:bCs/>
                <w:noProof/>
                <w:sz w:val="20"/>
              </w:rPr>
              <w:t>12,100</w:t>
            </w:r>
          </w:p>
        </w:tc>
        <w:tc>
          <w:tcPr>
            <w:tcW w:w="868" w:type="dxa"/>
            <w:vAlign w:val="center"/>
          </w:tcPr>
          <w:p w14:paraId="1DDFBAA0" w14:textId="77777777" w:rsidR="00400463" w:rsidRPr="00CE39FB" w:rsidRDefault="00400463">
            <w:pPr>
              <w:spacing w:before="20" w:after="20"/>
              <w:jc w:val="right"/>
              <w:rPr>
                <w:b/>
                <w:bCs/>
                <w:noProof/>
                <w:sz w:val="20"/>
              </w:rPr>
            </w:pPr>
          </w:p>
        </w:tc>
        <w:tc>
          <w:tcPr>
            <w:tcW w:w="868" w:type="dxa"/>
            <w:vAlign w:val="center"/>
          </w:tcPr>
          <w:p w14:paraId="2B0756C1" w14:textId="77777777" w:rsidR="00400463" w:rsidRPr="00CE39FB" w:rsidRDefault="00400463">
            <w:pPr>
              <w:spacing w:before="20" w:after="20"/>
              <w:jc w:val="right"/>
              <w:rPr>
                <w:noProof/>
                <w:sz w:val="20"/>
              </w:rPr>
            </w:pPr>
          </w:p>
        </w:tc>
        <w:tc>
          <w:tcPr>
            <w:tcW w:w="868" w:type="dxa"/>
            <w:vAlign w:val="center"/>
          </w:tcPr>
          <w:p w14:paraId="539800A8" w14:textId="77777777" w:rsidR="00400463" w:rsidRPr="00CE39FB" w:rsidRDefault="00400463">
            <w:pPr>
              <w:spacing w:before="20" w:after="20"/>
              <w:jc w:val="right"/>
              <w:rPr>
                <w:b/>
                <w:noProof/>
                <w:sz w:val="20"/>
              </w:rPr>
            </w:pPr>
          </w:p>
        </w:tc>
        <w:tc>
          <w:tcPr>
            <w:tcW w:w="1777" w:type="dxa"/>
            <w:vAlign w:val="center"/>
          </w:tcPr>
          <w:p w14:paraId="095DFF02" w14:textId="77777777" w:rsidR="00400463" w:rsidRPr="00CE39FB" w:rsidRDefault="00400463">
            <w:pPr>
              <w:spacing w:before="20" w:after="20"/>
              <w:jc w:val="right"/>
              <w:rPr>
                <w:b/>
                <w:noProof/>
                <w:sz w:val="20"/>
              </w:rPr>
            </w:pPr>
            <w:r w:rsidRPr="00CE39FB">
              <w:rPr>
                <w:b/>
                <w:noProof/>
                <w:sz w:val="20"/>
              </w:rPr>
              <w:t>100,450</w:t>
            </w:r>
          </w:p>
        </w:tc>
      </w:tr>
    </w:tbl>
    <w:p w14:paraId="5C3A2671" w14:textId="77777777" w:rsidR="004770F6" w:rsidRPr="00CE39FB" w:rsidRDefault="004770F6">
      <w:pPr>
        <w:rPr>
          <w:noProof/>
        </w:rPr>
      </w:pPr>
      <w:r w:rsidRPr="00CE39FB">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E39FB" w:rsidRPr="00CE39FB" w14:paraId="3982B9BD" w14:textId="77777777">
        <w:trPr>
          <w:trHeight w:val="277"/>
        </w:trPr>
        <w:tc>
          <w:tcPr>
            <w:tcW w:w="3960" w:type="dxa"/>
            <w:vMerge w:val="restart"/>
            <w:vAlign w:val="center"/>
          </w:tcPr>
          <w:p w14:paraId="3DE1B0AA" w14:textId="77777777" w:rsidR="00AA40E0" w:rsidRPr="00CE39FB" w:rsidRDefault="00AA40E0" w:rsidP="007B69F2">
            <w:pPr>
              <w:spacing w:before="20" w:after="20"/>
              <w:rPr>
                <w:noProof/>
              </w:rPr>
            </w:pPr>
            <w:r w:rsidRPr="00CE39FB">
              <w:rPr>
                <w:noProof/>
                <w:sz w:val="22"/>
              </w:rPr>
              <w:br w:type="page"/>
            </w:r>
            <w:r w:rsidRPr="00CE39FB">
              <w:rPr>
                <w:rFonts w:ascii="Wingdings" w:eastAsia="Wingdings" w:hAnsi="Wingdings" w:cs="Wingdings"/>
                <w:noProof/>
                <w:sz w:val="21"/>
              </w:rPr>
              <w:t>□</w:t>
            </w:r>
            <w:r w:rsidRPr="00CE39FB">
              <w:rPr>
                <w:noProof/>
                <w:sz w:val="21"/>
              </w:rPr>
              <w:t xml:space="preserve"> TOTAL operational appropriations </w:t>
            </w:r>
          </w:p>
        </w:tc>
        <w:tc>
          <w:tcPr>
            <w:tcW w:w="1440" w:type="dxa"/>
            <w:vAlign w:val="center"/>
          </w:tcPr>
          <w:p w14:paraId="16434E04" w14:textId="77777777" w:rsidR="00AA40E0" w:rsidRPr="00CE39FB" w:rsidRDefault="00AA40E0" w:rsidP="007B69F2">
            <w:pPr>
              <w:spacing w:beforeLines="20" w:before="48" w:afterLines="20" w:after="48"/>
              <w:rPr>
                <w:noProof/>
                <w:sz w:val="18"/>
              </w:rPr>
            </w:pPr>
            <w:r w:rsidRPr="00CE39FB">
              <w:rPr>
                <w:noProof/>
                <w:sz w:val="18"/>
              </w:rPr>
              <w:t>Commitments</w:t>
            </w:r>
          </w:p>
        </w:tc>
        <w:tc>
          <w:tcPr>
            <w:tcW w:w="654" w:type="dxa"/>
            <w:vAlign w:val="center"/>
          </w:tcPr>
          <w:p w14:paraId="2F14A447" w14:textId="77777777" w:rsidR="00AA40E0" w:rsidRPr="00CE39FB" w:rsidRDefault="00AA40E0" w:rsidP="007B69F2">
            <w:pPr>
              <w:spacing w:beforeLines="20" w:before="48" w:afterLines="20" w:after="48"/>
              <w:jc w:val="center"/>
              <w:rPr>
                <w:noProof/>
                <w:sz w:val="14"/>
              </w:rPr>
            </w:pPr>
            <w:r w:rsidRPr="00CE39FB">
              <w:rPr>
                <w:noProof/>
                <w:sz w:val="14"/>
              </w:rPr>
              <w:t>(4)</w:t>
            </w:r>
          </w:p>
        </w:tc>
        <w:tc>
          <w:tcPr>
            <w:tcW w:w="868" w:type="dxa"/>
            <w:vAlign w:val="center"/>
          </w:tcPr>
          <w:p w14:paraId="45EF13CE" w14:textId="77777777" w:rsidR="00AA40E0" w:rsidRPr="00CE39FB" w:rsidRDefault="00AA40E0" w:rsidP="007B69F2">
            <w:pPr>
              <w:spacing w:before="20" w:after="20"/>
              <w:jc w:val="right"/>
              <w:rPr>
                <w:noProof/>
                <w:sz w:val="20"/>
              </w:rPr>
            </w:pPr>
            <w:r w:rsidRPr="00CE39FB">
              <w:rPr>
                <w:noProof/>
                <w:sz w:val="20"/>
              </w:rPr>
              <w:t>28,000</w:t>
            </w:r>
          </w:p>
        </w:tc>
        <w:tc>
          <w:tcPr>
            <w:tcW w:w="868" w:type="dxa"/>
            <w:vAlign w:val="center"/>
          </w:tcPr>
          <w:p w14:paraId="7FD7A1C5" w14:textId="77777777" w:rsidR="00AA40E0" w:rsidRPr="00CE39FB" w:rsidRDefault="00AA40E0" w:rsidP="007B69F2">
            <w:pPr>
              <w:spacing w:before="20" w:after="20"/>
              <w:jc w:val="right"/>
              <w:rPr>
                <w:noProof/>
                <w:sz w:val="20"/>
              </w:rPr>
            </w:pPr>
            <w:r w:rsidRPr="00CE39FB">
              <w:rPr>
                <w:noProof/>
                <w:sz w:val="20"/>
              </w:rPr>
              <w:t>38,000</w:t>
            </w:r>
          </w:p>
        </w:tc>
        <w:tc>
          <w:tcPr>
            <w:tcW w:w="868" w:type="dxa"/>
            <w:vAlign w:val="center"/>
          </w:tcPr>
          <w:p w14:paraId="0E65FDE7" w14:textId="77777777" w:rsidR="00AA40E0" w:rsidRPr="00CE39FB" w:rsidRDefault="00AA40E0" w:rsidP="007B69F2">
            <w:pPr>
              <w:spacing w:before="20" w:after="20"/>
              <w:jc w:val="right"/>
              <w:rPr>
                <w:noProof/>
                <w:sz w:val="20"/>
              </w:rPr>
            </w:pPr>
            <w:r w:rsidRPr="00CE39FB">
              <w:rPr>
                <w:noProof/>
                <w:sz w:val="20"/>
              </w:rPr>
              <w:t>34,000</w:t>
            </w:r>
          </w:p>
        </w:tc>
        <w:tc>
          <w:tcPr>
            <w:tcW w:w="868" w:type="dxa"/>
            <w:vAlign w:val="center"/>
          </w:tcPr>
          <w:p w14:paraId="79CA39CB" w14:textId="77777777" w:rsidR="00AA40E0" w:rsidRPr="00CE39FB" w:rsidRDefault="00AA40E0" w:rsidP="007B69F2">
            <w:pPr>
              <w:spacing w:before="20" w:after="20"/>
              <w:jc w:val="right"/>
              <w:rPr>
                <w:noProof/>
                <w:sz w:val="20"/>
              </w:rPr>
            </w:pPr>
            <w:r w:rsidRPr="00CE39FB">
              <w:rPr>
                <w:noProof/>
                <w:sz w:val="20"/>
              </w:rPr>
              <w:t>p.m.</w:t>
            </w:r>
          </w:p>
        </w:tc>
        <w:tc>
          <w:tcPr>
            <w:tcW w:w="868" w:type="dxa"/>
            <w:vAlign w:val="center"/>
          </w:tcPr>
          <w:p w14:paraId="5E180765" w14:textId="77777777" w:rsidR="00AA40E0" w:rsidRPr="00CE39FB" w:rsidRDefault="00AA40E0" w:rsidP="007B69F2">
            <w:pPr>
              <w:spacing w:before="20" w:after="20"/>
              <w:jc w:val="right"/>
              <w:rPr>
                <w:noProof/>
                <w:sz w:val="20"/>
              </w:rPr>
            </w:pPr>
          </w:p>
        </w:tc>
        <w:tc>
          <w:tcPr>
            <w:tcW w:w="868" w:type="dxa"/>
            <w:vAlign w:val="center"/>
          </w:tcPr>
          <w:p w14:paraId="5AE0A833" w14:textId="77777777" w:rsidR="00AA40E0" w:rsidRPr="00CE39FB" w:rsidRDefault="00AA40E0" w:rsidP="007B69F2">
            <w:pPr>
              <w:spacing w:before="20" w:after="20"/>
              <w:jc w:val="right"/>
              <w:rPr>
                <w:noProof/>
                <w:sz w:val="20"/>
              </w:rPr>
            </w:pPr>
          </w:p>
        </w:tc>
        <w:tc>
          <w:tcPr>
            <w:tcW w:w="868" w:type="dxa"/>
            <w:vAlign w:val="center"/>
          </w:tcPr>
          <w:p w14:paraId="77A185B0" w14:textId="77777777" w:rsidR="00AA40E0" w:rsidRPr="00CE39FB" w:rsidRDefault="00AA40E0" w:rsidP="007B69F2">
            <w:pPr>
              <w:spacing w:before="20" w:after="20"/>
              <w:jc w:val="right"/>
              <w:rPr>
                <w:b/>
                <w:noProof/>
                <w:sz w:val="20"/>
              </w:rPr>
            </w:pPr>
          </w:p>
        </w:tc>
        <w:tc>
          <w:tcPr>
            <w:tcW w:w="1777" w:type="dxa"/>
            <w:vAlign w:val="center"/>
          </w:tcPr>
          <w:p w14:paraId="0A92B6FD" w14:textId="77777777" w:rsidR="00AA40E0" w:rsidRPr="00CE39FB" w:rsidRDefault="00AA40E0" w:rsidP="007B69F2">
            <w:pPr>
              <w:spacing w:before="20" w:after="20"/>
              <w:jc w:val="right"/>
              <w:rPr>
                <w:b/>
                <w:noProof/>
                <w:sz w:val="20"/>
              </w:rPr>
            </w:pPr>
            <w:r w:rsidRPr="00CE39FB">
              <w:rPr>
                <w:b/>
                <w:noProof/>
                <w:sz w:val="20"/>
              </w:rPr>
              <w:t>100,000</w:t>
            </w:r>
          </w:p>
        </w:tc>
      </w:tr>
      <w:tr w:rsidR="00CE39FB" w:rsidRPr="00CE39FB" w14:paraId="39ACA706" w14:textId="77777777">
        <w:tc>
          <w:tcPr>
            <w:tcW w:w="3960" w:type="dxa"/>
            <w:vMerge/>
          </w:tcPr>
          <w:p w14:paraId="671C597B" w14:textId="77777777" w:rsidR="00AA40E0" w:rsidRPr="00CE39FB" w:rsidRDefault="00AA40E0" w:rsidP="007B69F2">
            <w:pPr>
              <w:jc w:val="center"/>
              <w:rPr>
                <w:noProof/>
                <w:sz w:val="20"/>
              </w:rPr>
            </w:pPr>
          </w:p>
        </w:tc>
        <w:tc>
          <w:tcPr>
            <w:tcW w:w="1440" w:type="dxa"/>
            <w:vAlign w:val="center"/>
          </w:tcPr>
          <w:p w14:paraId="45A1AB02" w14:textId="77777777" w:rsidR="00AA40E0" w:rsidRPr="00CE39FB" w:rsidRDefault="00AA40E0" w:rsidP="007B69F2">
            <w:pPr>
              <w:spacing w:beforeLines="20" w:before="48" w:afterLines="20" w:after="48"/>
              <w:rPr>
                <w:noProof/>
                <w:sz w:val="18"/>
              </w:rPr>
            </w:pPr>
            <w:r w:rsidRPr="00CE39FB">
              <w:rPr>
                <w:noProof/>
                <w:sz w:val="18"/>
              </w:rPr>
              <w:t>Payments</w:t>
            </w:r>
          </w:p>
        </w:tc>
        <w:tc>
          <w:tcPr>
            <w:tcW w:w="654" w:type="dxa"/>
            <w:vAlign w:val="center"/>
          </w:tcPr>
          <w:p w14:paraId="662A5812" w14:textId="77777777" w:rsidR="00AA40E0" w:rsidRPr="00CE39FB" w:rsidRDefault="00AA40E0" w:rsidP="007B69F2">
            <w:pPr>
              <w:spacing w:beforeLines="20" w:before="48" w:afterLines="20" w:after="48"/>
              <w:jc w:val="center"/>
              <w:rPr>
                <w:noProof/>
                <w:sz w:val="14"/>
              </w:rPr>
            </w:pPr>
            <w:r w:rsidRPr="00CE39FB">
              <w:rPr>
                <w:noProof/>
                <w:sz w:val="14"/>
              </w:rPr>
              <w:t>(5)</w:t>
            </w:r>
          </w:p>
        </w:tc>
        <w:tc>
          <w:tcPr>
            <w:tcW w:w="868" w:type="dxa"/>
            <w:vAlign w:val="center"/>
          </w:tcPr>
          <w:p w14:paraId="01819D69" w14:textId="77777777" w:rsidR="00AA40E0" w:rsidRPr="00CE39FB" w:rsidRDefault="00AA40E0" w:rsidP="007B69F2">
            <w:pPr>
              <w:spacing w:before="20" w:after="20"/>
              <w:jc w:val="right"/>
              <w:rPr>
                <w:noProof/>
                <w:sz w:val="20"/>
              </w:rPr>
            </w:pPr>
            <w:r w:rsidRPr="00CE39FB">
              <w:rPr>
                <w:noProof/>
                <w:sz w:val="20"/>
              </w:rPr>
              <w:t>23,450</w:t>
            </w:r>
          </w:p>
        </w:tc>
        <w:tc>
          <w:tcPr>
            <w:tcW w:w="868" w:type="dxa"/>
            <w:vAlign w:val="center"/>
          </w:tcPr>
          <w:p w14:paraId="648063B7" w14:textId="77777777" w:rsidR="00AA40E0" w:rsidRPr="00CE39FB" w:rsidRDefault="00AA40E0" w:rsidP="007B69F2">
            <w:pPr>
              <w:spacing w:before="20" w:after="20"/>
              <w:jc w:val="right"/>
              <w:rPr>
                <w:noProof/>
                <w:sz w:val="20"/>
              </w:rPr>
            </w:pPr>
            <w:r w:rsidRPr="00CE39FB">
              <w:rPr>
                <w:noProof/>
                <w:sz w:val="20"/>
              </w:rPr>
              <w:t>33,200</w:t>
            </w:r>
          </w:p>
        </w:tc>
        <w:tc>
          <w:tcPr>
            <w:tcW w:w="868" w:type="dxa"/>
            <w:vAlign w:val="center"/>
          </w:tcPr>
          <w:p w14:paraId="2C7E4185" w14:textId="77777777" w:rsidR="00AA40E0" w:rsidRPr="00CE39FB" w:rsidRDefault="00AA40E0" w:rsidP="007B69F2">
            <w:pPr>
              <w:spacing w:before="20" w:after="20"/>
              <w:jc w:val="right"/>
              <w:rPr>
                <w:noProof/>
                <w:sz w:val="20"/>
              </w:rPr>
            </w:pPr>
            <w:r w:rsidRPr="00CE39FB">
              <w:rPr>
                <w:noProof/>
                <w:sz w:val="20"/>
              </w:rPr>
              <w:t>31,250</w:t>
            </w:r>
          </w:p>
        </w:tc>
        <w:tc>
          <w:tcPr>
            <w:tcW w:w="868" w:type="dxa"/>
            <w:vAlign w:val="center"/>
          </w:tcPr>
          <w:p w14:paraId="02A448B0" w14:textId="77777777" w:rsidR="00AA40E0" w:rsidRPr="00CE39FB" w:rsidRDefault="00AA40E0" w:rsidP="007B69F2">
            <w:pPr>
              <w:spacing w:before="20" w:after="20"/>
              <w:jc w:val="right"/>
              <w:rPr>
                <w:noProof/>
                <w:sz w:val="20"/>
              </w:rPr>
            </w:pPr>
            <w:r w:rsidRPr="00CE39FB">
              <w:rPr>
                <w:noProof/>
                <w:sz w:val="20"/>
              </w:rPr>
              <w:t>12,100</w:t>
            </w:r>
          </w:p>
        </w:tc>
        <w:tc>
          <w:tcPr>
            <w:tcW w:w="868" w:type="dxa"/>
            <w:vAlign w:val="center"/>
          </w:tcPr>
          <w:p w14:paraId="73853258" w14:textId="77777777" w:rsidR="00AA40E0" w:rsidRPr="00CE39FB" w:rsidRDefault="00AA40E0" w:rsidP="007B69F2">
            <w:pPr>
              <w:spacing w:before="20" w:after="20"/>
              <w:jc w:val="right"/>
              <w:rPr>
                <w:noProof/>
                <w:sz w:val="20"/>
              </w:rPr>
            </w:pPr>
          </w:p>
        </w:tc>
        <w:tc>
          <w:tcPr>
            <w:tcW w:w="868" w:type="dxa"/>
            <w:vAlign w:val="center"/>
          </w:tcPr>
          <w:p w14:paraId="57E952D4" w14:textId="77777777" w:rsidR="00AA40E0" w:rsidRPr="00CE39FB" w:rsidRDefault="00AA40E0" w:rsidP="007B69F2">
            <w:pPr>
              <w:spacing w:before="20" w:after="20"/>
              <w:jc w:val="right"/>
              <w:rPr>
                <w:noProof/>
                <w:sz w:val="20"/>
              </w:rPr>
            </w:pPr>
          </w:p>
        </w:tc>
        <w:tc>
          <w:tcPr>
            <w:tcW w:w="868" w:type="dxa"/>
            <w:vAlign w:val="center"/>
          </w:tcPr>
          <w:p w14:paraId="2D1B7F56" w14:textId="77777777" w:rsidR="00AA40E0" w:rsidRPr="00CE39FB" w:rsidRDefault="00AA40E0" w:rsidP="007B69F2">
            <w:pPr>
              <w:spacing w:before="20" w:after="20"/>
              <w:jc w:val="right"/>
              <w:rPr>
                <w:b/>
                <w:noProof/>
                <w:sz w:val="20"/>
              </w:rPr>
            </w:pPr>
          </w:p>
        </w:tc>
        <w:tc>
          <w:tcPr>
            <w:tcW w:w="1777" w:type="dxa"/>
            <w:vAlign w:val="center"/>
          </w:tcPr>
          <w:p w14:paraId="12F0C470" w14:textId="77777777" w:rsidR="00AA40E0" w:rsidRPr="00CE39FB" w:rsidRDefault="00AA40E0" w:rsidP="007B69F2">
            <w:pPr>
              <w:spacing w:before="20" w:after="20"/>
              <w:jc w:val="right"/>
              <w:rPr>
                <w:b/>
                <w:noProof/>
                <w:sz w:val="20"/>
              </w:rPr>
            </w:pPr>
            <w:r w:rsidRPr="00CE39FB">
              <w:rPr>
                <w:b/>
                <w:noProof/>
                <w:sz w:val="20"/>
              </w:rPr>
              <w:t>100,000</w:t>
            </w:r>
          </w:p>
        </w:tc>
      </w:tr>
      <w:tr w:rsidR="00CE39FB" w:rsidRPr="00CE39FB" w14:paraId="517E9712" w14:textId="77777777">
        <w:trPr>
          <w:trHeight w:val="533"/>
        </w:trPr>
        <w:tc>
          <w:tcPr>
            <w:tcW w:w="5400" w:type="dxa"/>
            <w:gridSpan w:val="2"/>
            <w:vAlign w:val="center"/>
          </w:tcPr>
          <w:p w14:paraId="2F905CB5" w14:textId="77777777" w:rsidR="00AA40E0" w:rsidRPr="008D6611" w:rsidRDefault="00AA40E0" w:rsidP="007B69F2">
            <w:pPr>
              <w:spacing w:beforeLines="20" w:before="48" w:afterLines="20" w:after="48"/>
              <w:rPr>
                <w:noProof/>
              </w:rPr>
            </w:pPr>
            <w:r w:rsidRPr="00CE39FB">
              <w:rPr>
                <w:rFonts w:ascii="Wingdings" w:eastAsia="Wingdings" w:hAnsi="Wingdings" w:cs="Wingdings"/>
                <w:noProof/>
                <w:sz w:val="21"/>
              </w:rPr>
              <w:t>□</w:t>
            </w:r>
            <w:r w:rsidRPr="008D6611">
              <w:rPr>
                <w:noProof/>
                <w:sz w:val="21"/>
              </w:rPr>
              <w:t xml:space="preserve"> TOTAL appropriations of an administrative nature financed from the envelope for specific programmes </w:t>
            </w:r>
          </w:p>
        </w:tc>
        <w:tc>
          <w:tcPr>
            <w:tcW w:w="654" w:type="dxa"/>
            <w:vAlign w:val="center"/>
          </w:tcPr>
          <w:p w14:paraId="50416930" w14:textId="77777777" w:rsidR="00AA40E0" w:rsidRPr="00CE39FB" w:rsidRDefault="00AA40E0" w:rsidP="007B69F2">
            <w:pPr>
              <w:spacing w:beforeLines="20" w:before="48" w:afterLines="20" w:after="48"/>
              <w:jc w:val="center"/>
              <w:rPr>
                <w:noProof/>
                <w:sz w:val="14"/>
              </w:rPr>
            </w:pPr>
            <w:r w:rsidRPr="00CE39FB">
              <w:rPr>
                <w:noProof/>
                <w:sz w:val="14"/>
              </w:rPr>
              <w:t>(6)</w:t>
            </w:r>
          </w:p>
        </w:tc>
        <w:tc>
          <w:tcPr>
            <w:tcW w:w="868" w:type="dxa"/>
            <w:vAlign w:val="center"/>
          </w:tcPr>
          <w:p w14:paraId="786D43AE" w14:textId="77777777" w:rsidR="00AA40E0" w:rsidRPr="00CE39FB" w:rsidRDefault="00AA40E0" w:rsidP="007B69F2">
            <w:pPr>
              <w:spacing w:before="20" w:after="20"/>
              <w:jc w:val="right"/>
              <w:rPr>
                <w:bCs/>
                <w:noProof/>
                <w:sz w:val="20"/>
              </w:rPr>
            </w:pPr>
            <w:r w:rsidRPr="00CE39FB">
              <w:rPr>
                <w:bCs/>
                <w:noProof/>
                <w:sz w:val="20"/>
              </w:rPr>
              <w:t>0,150</w:t>
            </w:r>
          </w:p>
        </w:tc>
        <w:tc>
          <w:tcPr>
            <w:tcW w:w="868" w:type="dxa"/>
            <w:vAlign w:val="center"/>
          </w:tcPr>
          <w:p w14:paraId="12CA63F9" w14:textId="77777777" w:rsidR="00AA40E0" w:rsidRPr="00CE39FB" w:rsidRDefault="00AA40E0" w:rsidP="007B69F2">
            <w:pPr>
              <w:spacing w:before="20" w:after="20"/>
              <w:jc w:val="right"/>
              <w:rPr>
                <w:bCs/>
                <w:noProof/>
                <w:sz w:val="20"/>
              </w:rPr>
            </w:pPr>
            <w:r w:rsidRPr="00CE39FB">
              <w:rPr>
                <w:bCs/>
                <w:noProof/>
                <w:sz w:val="20"/>
              </w:rPr>
              <w:t>0,150</w:t>
            </w:r>
          </w:p>
        </w:tc>
        <w:tc>
          <w:tcPr>
            <w:tcW w:w="868" w:type="dxa"/>
            <w:vAlign w:val="center"/>
          </w:tcPr>
          <w:p w14:paraId="796A0160" w14:textId="77777777" w:rsidR="00AA40E0" w:rsidRPr="00CE39FB" w:rsidRDefault="00AA40E0" w:rsidP="007B69F2">
            <w:pPr>
              <w:spacing w:before="20" w:after="20"/>
              <w:jc w:val="right"/>
              <w:rPr>
                <w:bCs/>
                <w:noProof/>
                <w:sz w:val="20"/>
              </w:rPr>
            </w:pPr>
            <w:r w:rsidRPr="00CE39FB">
              <w:rPr>
                <w:bCs/>
                <w:noProof/>
                <w:sz w:val="20"/>
              </w:rPr>
              <w:t>0,150</w:t>
            </w:r>
          </w:p>
        </w:tc>
        <w:tc>
          <w:tcPr>
            <w:tcW w:w="868" w:type="dxa"/>
            <w:vAlign w:val="center"/>
          </w:tcPr>
          <w:p w14:paraId="72C3A95F" w14:textId="77777777" w:rsidR="00AA40E0" w:rsidRPr="00CE39FB" w:rsidRDefault="00AA40E0" w:rsidP="007B69F2">
            <w:pPr>
              <w:spacing w:before="20" w:after="20"/>
              <w:jc w:val="right"/>
              <w:rPr>
                <w:bCs/>
                <w:noProof/>
                <w:sz w:val="20"/>
              </w:rPr>
            </w:pPr>
            <w:r w:rsidRPr="00CE39FB">
              <w:rPr>
                <w:bCs/>
                <w:noProof/>
                <w:sz w:val="20"/>
              </w:rPr>
              <w:t>p.m.</w:t>
            </w:r>
          </w:p>
        </w:tc>
        <w:tc>
          <w:tcPr>
            <w:tcW w:w="868" w:type="dxa"/>
            <w:vAlign w:val="center"/>
          </w:tcPr>
          <w:p w14:paraId="5745981F" w14:textId="77777777" w:rsidR="00AA40E0" w:rsidRPr="00CE39FB" w:rsidRDefault="00AA40E0" w:rsidP="007B69F2">
            <w:pPr>
              <w:spacing w:before="20" w:after="20"/>
              <w:jc w:val="right"/>
              <w:rPr>
                <w:b/>
                <w:noProof/>
                <w:sz w:val="20"/>
              </w:rPr>
            </w:pPr>
          </w:p>
        </w:tc>
        <w:tc>
          <w:tcPr>
            <w:tcW w:w="868" w:type="dxa"/>
            <w:vAlign w:val="center"/>
          </w:tcPr>
          <w:p w14:paraId="23E9CBC8" w14:textId="77777777" w:rsidR="00AA40E0" w:rsidRPr="00CE39FB" w:rsidRDefault="00AA40E0" w:rsidP="007B69F2">
            <w:pPr>
              <w:spacing w:before="20" w:after="20"/>
              <w:jc w:val="right"/>
              <w:rPr>
                <w:b/>
                <w:noProof/>
                <w:sz w:val="20"/>
              </w:rPr>
            </w:pPr>
          </w:p>
        </w:tc>
        <w:tc>
          <w:tcPr>
            <w:tcW w:w="868" w:type="dxa"/>
            <w:vAlign w:val="center"/>
          </w:tcPr>
          <w:p w14:paraId="5B3B8E6C" w14:textId="77777777" w:rsidR="00AA40E0" w:rsidRPr="00CE39FB" w:rsidRDefault="00AA40E0" w:rsidP="007B69F2">
            <w:pPr>
              <w:spacing w:before="20" w:after="20"/>
              <w:jc w:val="right"/>
              <w:rPr>
                <w:b/>
                <w:noProof/>
                <w:sz w:val="20"/>
              </w:rPr>
            </w:pPr>
          </w:p>
        </w:tc>
        <w:tc>
          <w:tcPr>
            <w:tcW w:w="1777" w:type="dxa"/>
            <w:vAlign w:val="center"/>
          </w:tcPr>
          <w:p w14:paraId="16D3AC1D" w14:textId="77777777" w:rsidR="00AA40E0" w:rsidRPr="00CE39FB" w:rsidRDefault="00AA40E0" w:rsidP="007B69F2">
            <w:pPr>
              <w:spacing w:before="20" w:after="20"/>
              <w:jc w:val="right"/>
              <w:rPr>
                <w:b/>
                <w:noProof/>
                <w:sz w:val="20"/>
              </w:rPr>
            </w:pPr>
            <w:r w:rsidRPr="00CE39FB">
              <w:rPr>
                <w:b/>
                <w:noProof/>
                <w:sz w:val="20"/>
              </w:rPr>
              <w:t>0,450</w:t>
            </w:r>
          </w:p>
        </w:tc>
      </w:tr>
      <w:tr w:rsidR="00CE39FB" w:rsidRPr="00CE39FB" w14:paraId="319FD6DE" w14:textId="77777777">
        <w:tc>
          <w:tcPr>
            <w:tcW w:w="3960" w:type="dxa"/>
            <w:vMerge w:val="restart"/>
            <w:shd w:val="thinDiagStripe" w:color="C0C0C0" w:fill="auto"/>
            <w:vAlign w:val="center"/>
          </w:tcPr>
          <w:p w14:paraId="007672C5" w14:textId="77777777" w:rsidR="00AA40E0" w:rsidRPr="008D6611" w:rsidRDefault="00AA40E0">
            <w:pPr>
              <w:jc w:val="center"/>
              <w:rPr>
                <w:b/>
                <w:noProof/>
              </w:rPr>
            </w:pPr>
            <w:r w:rsidRPr="008D6611">
              <w:rPr>
                <w:b/>
                <w:noProof/>
                <w:sz w:val="22"/>
              </w:rPr>
              <w:t xml:space="preserve">TOTAL appropriations </w:t>
            </w:r>
            <w:r w:rsidRPr="008D6611">
              <w:rPr>
                <w:noProof/>
                <w:sz w:val="22"/>
              </w:rPr>
              <w:br/>
            </w:r>
            <w:r w:rsidRPr="008D6611">
              <w:rPr>
                <w:b/>
                <w:noProof/>
                <w:sz w:val="22"/>
              </w:rPr>
              <w:t>under HEADING 1</w:t>
            </w:r>
            <w:r w:rsidRPr="008D6611">
              <w:rPr>
                <w:noProof/>
                <w:sz w:val="22"/>
              </w:rPr>
              <w:br/>
              <w:t>of the multiannual financial framework</w:t>
            </w:r>
          </w:p>
        </w:tc>
        <w:tc>
          <w:tcPr>
            <w:tcW w:w="1440" w:type="dxa"/>
            <w:vAlign w:val="center"/>
          </w:tcPr>
          <w:p w14:paraId="5B1DB240" w14:textId="77777777" w:rsidR="00AA40E0" w:rsidRPr="00CE39FB" w:rsidRDefault="00AA40E0">
            <w:pPr>
              <w:rPr>
                <w:noProof/>
                <w:sz w:val="18"/>
              </w:rPr>
            </w:pPr>
            <w:r w:rsidRPr="00CE39FB">
              <w:rPr>
                <w:noProof/>
                <w:sz w:val="18"/>
              </w:rPr>
              <w:t>Commitments</w:t>
            </w:r>
          </w:p>
        </w:tc>
        <w:tc>
          <w:tcPr>
            <w:tcW w:w="654" w:type="dxa"/>
            <w:vAlign w:val="center"/>
          </w:tcPr>
          <w:p w14:paraId="1D4C346B" w14:textId="77777777" w:rsidR="00AA40E0" w:rsidRPr="00CE39FB" w:rsidRDefault="00AA40E0">
            <w:pPr>
              <w:jc w:val="center"/>
              <w:rPr>
                <w:noProof/>
                <w:sz w:val="14"/>
              </w:rPr>
            </w:pPr>
            <w:r w:rsidRPr="00CE39FB">
              <w:rPr>
                <w:noProof/>
                <w:sz w:val="14"/>
              </w:rPr>
              <w:t>=4+ 6</w:t>
            </w:r>
          </w:p>
        </w:tc>
        <w:tc>
          <w:tcPr>
            <w:tcW w:w="868" w:type="dxa"/>
            <w:vAlign w:val="center"/>
          </w:tcPr>
          <w:p w14:paraId="0F83B2C8" w14:textId="77777777" w:rsidR="00AA40E0" w:rsidRPr="00CE39FB" w:rsidRDefault="00AA40E0">
            <w:pPr>
              <w:spacing w:before="20" w:after="20"/>
              <w:jc w:val="right"/>
              <w:rPr>
                <w:b/>
                <w:bCs/>
                <w:noProof/>
                <w:sz w:val="20"/>
              </w:rPr>
            </w:pPr>
            <w:r w:rsidRPr="00CE39FB">
              <w:rPr>
                <w:b/>
                <w:bCs/>
                <w:noProof/>
                <w:sz w:val="20"/>
              </w:rPr>
              <w:t>28,150</w:t>
            </w:r>
          </w:p>
        </w:tc>
        <w:tc>
          <w:tcPr>
            <w:tcW w:w="868" w:type="dxa"/>
            <w:vAlign w:val="center"/>
          </w:tcPr>
          <w:p w14:paraId="4A6E6830" w14:textId="77777777" w:rsidR="00AA40E0" w:rsidRPr="00CE39FB" w:rsidRDefault="00AA40E0">
            <w:pPr>
              <w:spacing w:before="20" w:after="20"/>
              <w:jc w:val="right"/>
              <w:rPr>
                <w:b/>
                <w:bCs/>
                <w:noProof/>
                <w:sz w:val="20"/>
              </w:rPr>
            </w:pPr>
            <w:r w:rsidRPr="00CE39FB">
              <w:rPr>
                <w:b/>
                <w:bCs/>
                <w:noProof/>
                <w:sz w:val="20"/>
              </w:rPr>
              <w:t>38,150</w:t>
            </w:r>
          </w:p>
        </w:tc>
        <w:tc>
          <w:tcPr>
            <w:tcW w:w="868" w:type="dxa"/>
            <w:vAlign w:val="center"/>
          </w:tcPr>
          <w:p w14:paraId="089FE8DC" w14:textId="77777777" w:rsidR="00AA40E0" w:rsidRPr="00CE39FB" w:rsidRDefault="00AA40E0">
            <w:pPr>
              <w:spacing w:before="20" w:after="20"/>
              <w:jc w:val="right"/>
              <w:rPr>
                <w:b/>
                <w:bCs/>
                <w:noProof/>
                <w:sz w:val="20"/>
              </w:rPr>
            </w:pPr>
            <w:r w:rsidRPr="00CE39FB">
              <w:rPr>
                <w:b/>
                <w:bCs/>
                <w:noProof/>
                <w:sz w:val="20"/>
              </w:rPr>
              <w:t>34,150</w:t>
            </w:r>
          </w:p>
        </w:tc>
        <w:tc>
          <w:tcPr>
            <w:tcW w:w="868" w:type="dxa"/>
            <w:vAlign w:val="center"/>
          </w:tcPr>
          <w:p w14:paraId="79B4F737" w14:textId="77777777" w:rsidR="00AA40E0" w:rsidRPr="00CE39FB" w:rsidRDefault="00AA40E0">
            <w:pPr>
              <w:spacing w:before="20" w:after="20"/>
              <w:jc w:val="right"/>
              <w:rPr>
                <w:b/>
                <w:bCs/>
                <w:noProof/>
                <w:sz w:val="20"/>
              </w:rPr>
            </w:pPr>
            <w:r w:rsidRPr="00CE39FB">
              <w:rPr>
                <w:b/>
                <w:bCs/>
                <w:noProof/>
                <w:sz w:val="20"/>
              </w:rPr>
              <w:t>p.m.</w:t>
            </w:r>
          </w:p>
        </w:tc>
        <w:tc>
          <w:tcPr>
            <w:tcW w:w="868" w:type="dxa"/>
            <w:vAlign w:val="center"/>
          </w:tcPr>
          <w:p w14:paraId="2E7CFB22" w14:textId="77777777" w:rsidR="00AA40E0" w:rsidRPr="00CE39FB" w:rsidRDefault="00AA40E0">
            <w:pPr>
              <w:spacing w:before="20" w:after="20"/>
              <w:jc w:val="right"/>
              <w:rPr>
                <w:b/>
                <w:bCs/>
                <w:noProof/>
                <w:sz w:val="20"/>
              </w:rPr>
            </w:pPr>
          </w:p>
        </w:tc>
        <w:tc>
          <w:tcPr>
            <w:tcW w:w="868" w:type="dxa"/>
            <w:vAlign w:val="center"/>
          </w:tcPr>
          <w:p w14:paraId="0BBB0E76" w14:textId="77777777" w:rsidR="00AA40E0" w:rsidRPr="00CE39FB" w:rsidRDefault="00AA40E0">
            <w:pPr>
              <w:spacing w:before="20" w:after="20"/>
              <w:jc w:val="right"/>
              <w:rPr>
                <w:b/>
                <w:bCs/>
                <w:noProof/>
                <w:sz w:val="20"/>
              </w:rPr>
            </w:pPr>
          </w:p>
        </w:tc>
        <w:tc>
          <w:tcPr>
            <w:tcW w:w="868" w:type="dxa"/>
            <w:vAlign w:val="center"/>
          </w:tcPr>
          <w:p w14:paraId="222686CE" w14:textId="77777777" w:rsidR="00AA40E0" w:rsidRPr="00CE39FB" w:rsidRDefault="00AA40E0">
            <w:pPr>
              <w:spacing w:before="20" w:after="20"/>
              <w:jc w:val="right"/>
              <w:rPr>
                <w:b/>
                <w:bCs/>
                <w:noProof/>
                <w:sz w:val="20"/>
              </w:rPr>
            </w:pPr>
          </w:p>
        </w:tc>
        <w:tc>
          <w:tcPr>
            <w:tcW w:w="1777" w:type="dxa"/>
            <w:vAlign w:val="center"/>
          </w:tcPr>
          <w:p w14:paraId="3B0E60AE" w14:textId="77777777" w:rsidR="00AA40E0" w:rsidRPr="00CE39FB" w:rsidRDefault="00AA40E0">
            <w:pPr>
              <w:spacing w:before="20" w:after="20"/>
              <w:jc w:val="right"/>
              <w:rPr>
                <w:b/>
                <w:noProof/>
                <w:sz w:val="20"/>
              </w:rPr>
            </w:pPr>
            <w:r w:rsidRPr="00CE39FB">
              <w:rPr>
                <w:b/>
                <w:noProof/>
                <w:sz w:val="20"/>
              </w:rPr>
              <w:t>100,450</w:t>
            </w:r>
          </w:p>
        </w:tc>
      </w:tr>
      <w:tr w:rsidR="00CE39FB" w:rsidRPr="00CE39FB" w14:paraId="339F00FC" w14:textId="77777777">
        <w:tc>
          <w:tcPr>
            <w:tcW w:w="3960" w:type="dxa"/>
            <w:vMerge/>
            <w:shd w:val="thinDiagStripe" w:color="C0C0C0" w:fill="auto"/>
          </w:tcPr>
          <w:p w14:paraId="5C02CC74" w14:textId="77777777" w:rsidR="00AA40E0" w:rsidRPr="00CE39FB" w:rsidRDefault="00AA40E0">
            <w:pPr>
              <w:rPr>
                <w:noProof/>
                <w:sz w:val="20"/>
              </w:rPr>
            </w:pPr>
          </w:p>
        </w:tc>
        <w:tc>
          <w:tcPr>
            <w:tcW w:w="1440" w:type="dxa"/>
            <w:vAlign w:val="center"/>
          </w:tcPr>
          <w:p w14:paraId="726A54C1" w14:textId="77777777" w:rsidR="00AA40E0" w:rsidRPr="00CE39FB" w:rsidRDefault="00AA40E0">
            <w:pPr>
              <w:rPr>
                <w:noProof/>
                <w:sz w:val="18"/>
              </w:rPr>
            </w:pPr>
            <w:r w:rsidRPr="00CE39FB">
              <w:rPr>
                <w:noProof/>
                <w:sz w:val="18"/>
              </w:rPr>
              <w:t>Payments</w:t>
            </w:r>
          </w:p>
        </w:tc>
        <w:tc>
          <w:tcPr>
            <w:tcW w:w="654" w:type="dxa"/>
            <w:vAlign w:val="center"/>
          </w:tcPr>
          <w:p w14:paraId="74426F6A" w14:textId="77777777" w:rsidR="00AA40E0" w:rsidRPr="00CE39FB" w:rsidRDefault="00AA40E0">
            <w:pPr>
              <w:jc w:val="center"/>
              <w:rPr>
                <w:noProof/>
                <w:sz w:val="14"/>
              </w:rPr>
            </w:pPr>
            <w:r w:rsidRPr="00CE39FB">
              <w:rPr>
                <w:noProof/>
                <w:sz w:val="14"/>
              </w:rPr>
              <w:t>=5+ 6</w:t>
            </w:r>
          </w:p>
        </w:tc>
        <w:tc>
          <w:tcPr>
            <w:tcW w:w="868" w:type="dxa"/>
            <w:vAlign w:val="center"/>
          </w:tcPr>
          <w:p w14:paraId="33B926BA" w14:textId="77777777" w:rsidR="00AA40E0" w:rsidRPr="00CE39FB" w:rsidRDefault="00AA40E0">
            <w:pPr>
              <w:spacing w:before="20" w:after="20"/>
              <w:jc w:val="right"/>
              <w:rPr>
                <w:b/>
                <w:bCs/>
                <w:noProof/>
                <w:sz w:val="20"/>
              </w:rPr>
            </w:pPr>
            <w:r w:rsidRPr="00CE39FB">
              <w:rPr>
                <w:b/>
                <w:bCs/>
                <w:noProof/>
                <w:sz w:val="20"/>
              </w:rPr>
              <w:t>23,600</w:t>
            </w:r>
          </w:p>
        </w:tc>
        <w:tc>
          <w:tcPr>
            <w:tcW w:w="868" w:type="dxa"/>
            <w:vAlign w:val="center"/>
          </w:tcPr>
          <w:p w14:paraId="610F72BA" w14:textId="77777777" w:rsidR="00AA40E0" w:rsidRPr="00CE39FB" w:rsidRDefault="00AA40E0">
            <w:pPr>
              <w:spacing w:before="20" w:after="20"/>
              <w:jc w:val="right"/>
              <w:rPr>
                <w:b/>
                <w:bCs/>
                <w:noProof/>
                <w:sz w:val="20"/>
              </w:rPr>
            </w:pPr>
            <w:r w:rsidRPr="00CE39FB">
              <w:rPr>
                <w:b/>
                <w:bCs/>
                <w:noProof/>
                <w:sz w:val="20"/>
              </w:rPr>
              <w:t>33,350</w:t>
            </w:r>
          </w:p>
        </w:tc>
        <w:tc>
          <w:tcPr>
            <w:tcW w:w="868" w:type="dxa"/>
            <w:vAlign w:val="center"/>
          </w:tcPr>
          <w:p w14:paraId="28B13C83" w14:textId="77777777" w:rsidR="00AA40E0" w:rsidRPr="00CE39FB" w:rsidRDefault="00AA40E0">
            <w:pPr>
              <w:spacing w:before="20" w:after="20"/>
              <w:jc w:val="right"/>
              <w:rPr>
                <w:b/>
                <w:bCs/>
                <w:noProof/>
                <w:sz w:val="20"/>
              </w:rPr>
            </w:pPr>
            <w:r w:rsidRPr="00CE39FB">
              <w:rPr>
                <w:b/>
                <w:bCs/>
                <w:noProof/>
                <w:sz w:val="20"/>
              </w:rPr>
              <w:t>31,400</w:t>
            </w:r>
          </w:p>
        </w:tc>
        <w:tc>
          <w:tcPr>
            <w:tcW w:w="868" w:type="dxa"/>
            <w:vAlign w:val="center"/>
          </w:tcPr>
          <w:p w14:paraId="326B397E" w14:textId="77777777" w:rsidR="00AA40E0" w:rsidRPr="00CE39FB" w:rsidRDefault="00AA40E0">
            <w:pPr>
              <w:spacing w:before="20" w:after="20"/>
              <w:jc w:val="right"/>
              <w:rPr>
                <w:b/>
                <w:bCs/>
                <w:noProof/>
                <w:sz w:val="20"/>
              </w:rPr>
            </w:pPr>
            <w:r w:rsidRPr="00CE39FB">
              <w:rPr>
                <w:b/>
                <w:bCs/>
                <w:noProof/>
                <w:sz w:val="20"/>
              </w:rPr>
              <w:t>12,100</w:t>
            </w:r>
          </w:p>
        </w:tc>
        <w:tc>
          <w:tcPr>
            <w:tcW w:w="868" w:type="dxa"/>
            <w:vAlign w:val="center"/>
          </w:tcPr>
          <w:p w14:paraId="568970B0" w14:textId="77777777" w:rsidR="00AA40E0" w:rsidRPr="00CE39FB" w:rsidRDefault="00AA40E0">
            <w:pPr>
              <w:spacing w:before="20" w:after="20"/>
              <w:jc w:val="right"/>
              <w:rPr>
                <w:b/>
                <w:bCs/>
                <w:noProof/>
                <w:sz w:val="20"/>
              </w:rPr>
            </w:pPr>
          </w:p>
        </w:tc>
        <w:tc>
          <w:tcPr>
            <w:tcW w:w="868" w:type="dxa"/>
            <w:vAlign w:val="center"/>
          </w:tcPr>
          <w:p w14:paraId="71B4E893" w14:textId="77777777" w:rsidR="00AA40E0" w:rsidRPr="00CE39FB" w:rsidRDefault="00AA40E0">
            <w:pPr>
              <w:spacing w:before="20" w:after="20"/>
              <w:jc w:val="right"/>
              <w:rPr>
                <w:b/>
                <w:bCs/>
                <w:noProof/>
                <w:sz w:val="20"/>
              </w:rPr>
            </w:pPr>
          </w:p>
        </w:tc>
        <w:tc>
          <w:tcPr>
            <w:tcW w:w="868" w:type="dxa"/>
            <w:vAlign w:val="center"/>
          </w:tcPr>
          <w:p w14:paraId="444B4B09" w14:textId="77777777" w:rsidR="00AA40E0" w:rsidRPr="00CE39FB" w:rsidRDefault="00AA40E0">
            <w:pPr>
              <w:spacing w:before="20" w:after="20"/>
              <w:jc w:val="right"/>
              <w:rPr>
                <w:b/>
                <w:bCs/>
                <w:noProof/>
                <w:sz w:val="20"/>
              </w:rPr>
            </w:pPr>
          </w:p>
        </w:tc>
        <w:tc>
          <w:tcPr>
            <w:tcW w:w="1777" w:type="dxa"/>
            <w:vAlign w:val="center"/>
          </w:tcPr>
          <w:p w14:paraId="178A6706" w14:textId="77777777" w:rsidR="00AA40E0" w:rsidRPr="00CE39FB" w:rsidRDefault="00AA40E0">
            <w:pPr>
              <w:spacing w:before="20" w:after="20"/>
              <w:jc w:val="right"/>
              <w:rPr>
                <w:b/>
                <w:noProof/>
                <w:sz w:val="20"/>
              </w:rPr>
            </w:pPr>
            <w:r w:rsidRPr="00CE39FB">
              <w:rPr>
                <w:b/>
                <w:noProof/>
                <w:sz w:val="20"/>
              </w:rPr>
              <w:t>100,450</w:t>
            </w:r>
          </w:p>
        </w:tc>
      </w:tr>
    </w:tbl>
    <w:p w14:paraId="75F59909" w14:textId="77777777" w:rsidR="00AA40E0" w:rsidRPr="008D6611" w:rsidRDefault="00AA40E0">
      <w:pPr>
        <w:spacing w:after="40"/>
        <w:rPr>
          <w:b/>
          <w:noProof/>
          <w:sz w:val="22"/>
          <w:u w:val="single"/>
        </w:rPr>
      </w:pPr>
    </w:p>
    <w:p w14:paraId="69FCF823" w14:textId="77777777" w:rsidR="004770F6" w:rsidRPr="008D6611" w:rsidRDefault="004770F6">
      <w:pPr>
        <w:spacing w:after="40"/>
        <w:rPr>
          <w:b/>
          <w:noProof/>
          <w:sz w:val="22"/>
          <w:u w:val="single"/>
        </w:rPr>
      </w:pPr>
      <w:r w:rsidRPr="008D6611">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E39FB" w:rsidRPr="00CE39FB" w14:paraId="34A71569"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28C838F3" w14:textId="77777777" w:rsidR="00027A49" w:rsidRPr="008D6611" w:rsidRDefault="00027A49">
            <w:pPr>
              <w:spacing w:before="20" w:after="20"/>
              <w:rPr>
                <w:noProof/>
              </w:rPr>
            </w:pPr>
            <w:r w:rsidRPr="00CE39FB">
              <w:rPr>
                <w:rFonts w:ascii="Wingdings" w:eastAsia="Wingdings" w:hAnsi="Wingdings" w:cs="Wingdings"/>
                <w:noProof/>
                <w:sz w:val="21"/>
              </w:rPr>
              <w:t>□</w:t>
            </w:r>
            <w:r w:rsidRPr="008D6611">
              <w:rPr>
                <w:noProof/>
                <w:sz w:val="21"/>
              </w:rPr>
              <w:t xml:space="preserve"> TOTAL operational appropriations (all operational headings)</w:t>
            </w:r>
          </w:p>
        </w:tc>
        <w:tc>
          <w:tcPr>
            <w:tcW w:w="1440" w:type="dxa"/>
            <w:tcBorders>
              <w:top w:val="single" w:sz="4" w:space="0" w:color="auto"/>
            </w:tcBorders>
            <w:vAlign w:val="center"/>
          </w:tcPr>
          <w:p w14:paraId="243D7AC6" w14:textId="77777777" w:rsidR="00027A49" w:rsidRPr="00CE39FB" w:rsidRDefault="00027A49">
            <w:pPr>
              <w:spacing w:beforeLines="20" w:before="48" w:afterLines="20" w:after="48"/>
              <w:rPr>
                <w:noProof/>
                <w:sz w:val="18"/>
              </w:rPr>
            </w:pPr>
            <w:r w:rsidRPr="00CE39FB">
              <w:rPr>
                <w:noProof/>
                <w:sz w:val="18"/>
              </w:rPr>
              <w:t>Commitments</w:t>
            </w:r>
          </w:p>
        </w:tc>
        <w:tc>
          <w:tcPr>
            <w:tcW w:w="654" w:type="dxa"/>
            <w:tcBorders>
              <w:top w:val="single" w:sz="4" w:space="0" w:color="auto"/>
            </w:tcBorders>
            <w:vAlign w:val="center"/>
          </w:tcPr>
          <w:p w14:paraId="659BD61E" w14:textId="77777777" w:rsidR="00027A49" w:rsidRPr="00CE39FB" w:rsidRDefault="00027A49">
            <w:pPr>
              <w:spacing w:beforeLines="20" w:before="48" w:afterLines="20" w:after="48"/>
              <w:jc w:val="center"/>
              <w:rPr>
                <w:noProof/>
                <w:sz w:val="14"/>
              </w:rPr>
            </w:pPr>
            <w:r w:rsidRPr="00CE39FB">
              <w:rPr>
                <w:noProof/>
                <w:sz w:val="14"/>
              </w:rPr>
              <w:t>(4)</w:t>
            </w:r>
          </w:p>
        </w:tc>
        <w:tc>
          <w:tcPr>
            <w:tcW w:w="868" w:type="dxa"/>
            <w:tcBorders>
              <w:top w:val="single" w:sz="4" w:space="0" w:color="auto"/>
            </w:tcBorders>
            <w:vAlign w:val="center"/>
          </w:tcPr>
          <w:p w14:paraId="26723516" w14:textId="77777777" w:rsidR="00027A49" w:rsidRPr="00CE39FB" w:rsidRDefault="00027A49">
            <w:pPr>
              <w:spacing w:before="20" w:after="20"/>
              <w:jc w:val="right"/>
              <w:rPr>
                <w:noProof/>
                <w:sz w:val="20"/>
              </w:rPr>
            </w:pPr>
            <w:r w:rsidRPr="00CE39FB">
              <w:rPr>
                <w:noProof/>
                <w:sz w:val="20"/>
              </w:rPr>
              <w:t>28,000</w:t>
            </w:r>
          </w:p>
        </w:tc>
        <w:tc>
          <w:tcPr>
            <w:tcW w:w="868" w:type="dxa"/>
            <w:tcBorders>
              <w:top w:val="single" w:sz="4" w:space="0" w:color="auto"/>
            </w:tcBorders>
            <w:vAlign w:val="center"/>
          </w:tcPr>
          <w:p w14:paraId="066B4DF5" w14:textId="77777777" w:rsidR="00027A49" w:rsidRPr="00CE39FB" w:rsidRDefault="00027A49">
            <w:pPr>
              <w:spacing w:before="20" w:after="20"/>
              <w:jc w:val="right"/>
              <w:rPr>
                <w:noProof/>
                <w:sz w:val="20"/>
              </w:rPr>
            </w:pPr>
            <w:r w:rsidRPr="00CE39FB">
              <w:rPr>
                <w:noProof/>
                <w:sz w:val="20"/>
              </w:rPr>
              <w:t>38,000</w:t>
            </w:r>
          </w:p>
        </w:tc>
        <w:tc>
          <w:tcPr>
            <w:tcW w:w="868" w:type="dxa"/>
            <w:tcBorders>
              <w:top w:val="single" w:sz="4" w:space="0" w:color="auto"/>
            </w:tcBorders>
            <w:vAlign w:val="center"/>
          </w:tcPr>
          <w:p w14:paraId="5D9A75FC" w14:textId="77777777" w:rsidR="00027A49" w:rsidRPr="00CE39FB" w:rsidRDefault="00027A49">
            <w:pPr>
              <w:spacing w:before="20" w:after="20"/>
              <w:jc w:val="right"/>
              <w:rPr>
                <w:noProof/>
                <w:sz w:val="20"/>
              </w:rPr>
            </w:pPr>
            <w:r w:rsidRPr="00CE39FB">
              <w:rPr>
                <w:noProof/>
                <w:sz w:val="20"/>
              </w:rPr>
              <w:t>34,000</w:t>
            </w:r>
          </w:p>
        </w:tc>
        <w:tc>
          <w:tcPr>
            <w:tcW w:w="868" w:type="dxa"/>
            <w:tcBorders>
              <w:top w:val="single" w:sz="4" w:space="0" w:color="auto"/>
            </w:tcBorders>
            <w:vAlign w:val="center"/>
          </w:tcPr>
          <w:p w14:paraId="09AD376A" w14:textId="77777777" w:rsidR="00027A49" w:rsidRPr="00CE39FB" w:rsidRDefault="00027A49">
            <w:pPr>
              <w:spacing w:before="20" w:after="20"/>
              <w:jc w:val="right"/>
              <w:rPr>
                <w:noProof/>
                <w:sz w:val="20"/>
              </w:rPr>
            </w:pPr>
            <w:r w:rsidRPr="00CE39FB">
              <w:rPr>
                <w:noProof/>
                <w:sz w:val="20"/>
              </w:rPr>
              <w:t>p.m.</w:t>
            </w:r>
          </w:p>
        </w:tc>
        <w:tc>
          <w:tcPr>
            <w:tcW w:w="868" w:type="dxa"/>
            <w:tcBorders>
              <w:top w:val="single" w:sz="4" w:space="0" w:color="auto"/>
            </w:tcBorders>
            <w:vAlign w:val="center"/>
          </w:tcPr>
          <w:p w14:paraId="5533A271" w14:textId="77777777" w:rsidR="00027A49" w:rsidRPr="00CE39FB" w:rsidRDefault="00027A49">
            <w:pPr>
              <w:spacing w:before="20" w:after="20"/>
              <w:jc w:val="right"/>
              <w:rPr>
                <w:noProof/>
                <w:sz w:val="20"/>
              </w:rPr>
            </w:pPr>
          </w:p>
        </w:tc>
        <w:tc>
          <w:tcPr>
            <w:tcW w:w="868" w:type="dxa"/>
            <w:tcBorders>
              <w:top w:val="single" w:sz="4" w:space="0" w:color="auto"/>
            </w:tcBorders>
            <w:vAlign w:val="center"/>
          </w:tcPr>
          <w:p w14:paraId="38EBA716" w14:textId="77777777" w:rsidR="00027A49" w:rsidRPr="00CE39FB" w:rsidRDefault="00027A49">
            <w:pPr>
              <w:spacing w:before="20" w:after="20"/>
              <w:jc w:val="right"/>
              <w:rPr>
                <w:noProof/>
                <w:sz w:val="20"/>
              </w:rPr>
            </w:pPr>
          </w:p>
        </w:tc>
        <w:tc>
          <w:tcPr>
            <w:tcW w:w="868" w:type="dxa"/>
            <w:tcBorders>
              <w:top w:val="single" w:sz="4" w:space="0" w:color="auto"/>
            </w:tcBorders>
            <w:vAlign w:val="center"/>
          </w:tcPr>
          <w:p w14:paraId="4375CF42" w14:textId="77777777" w:rsidR="00027A49" w:rsidRPr="00CE39FB" w:rsidRDefault="00027A49">
            <w:pPr>
              <w:spacing w:before="20" w:after="20"/>
              <w:jc w:val="right"/>
              <w:rPr>
                <w:b/>
                <w:noProof/>
                <w:sz w:val="20"/>
              </w:rPr>
            </w:pPr>
          </w:p>
        </w:tc>
        <w:tc>
          <w:tcPr>
            <w:tcW w:w="1777" w:type="dxa"/>
            <w:tcBorders>
              <w:top w:val="single" w:sz="4" w:space="0" w:color="auto"/>
              <w:right w:val="single" w:sz="4" w:space="0" w:color="auto"/>
            </w:tcBorders>
            <w:vAlign w:val="center"/>
          </w:tcPr>
          <w:p w14:paraId="199CEFC5" w14:textId="77777777" w:rsidR="00027A49" w:rsidRPr="00CE39FB" w:rsidRDefault="00027A49">
            <w:pPr>
              <w:spacing w:before="20" w:after="20"/>
              <w:jc w:val="right"/>
              <w:rPr>
                <w:b/>
                <w:noProof/>
                <w:sz w:val="20"/>
              </w:rPr>
            </w:pPr>
            <w:r w:rsidRPr="00CE39FB">
              <w:rPr>
                <w:b/>
                <w:noProof/>
                <w:sz w:val="20"/>
              </w:rPr>
              <w:t>100,000</w:t>
            </w:r>
          </w:p>
        </w:tc>
      </w:tr>
      <w:tr w:rsidR="00CE39FB" w:rsidRPr="00CE39FB" w14:paraId="63992348" w14:textId="77777777">
        <w:tc>
          <w:tcPr>
            <w:tcW w:w="3960" w:type="dxa"/>
            <w:vMerge/>
            <w:tcBorders>
              <w:top w:val="single" w:sz="4" w:space="0" w:color="FF0000"/>
              <w:left w:val="single" w:sz="4" w:space="0" w:color="auto"/>
              <w:bottom w:val="single" w:sz="4" w:space="0" w:color="FF0000"/>
            </w:tcBorders>
          </w:tcPr>
          <w:p w14:paraId="08ED2382" w14:textId="77777777" w:rsidR="00027A49" w:rsidRPr="00CE39FB" w:rsidRDefault="00027A49">
            <w:pPr>
              <w:jc w:val="center"/>
              <w:rPr>
                <w:noProof/>
                <w:sz w:val="20"/>
              </w:rPr>
            </w:pPr>
          </w:p>
        </w:tc>
        <w:tc>
          <w:tcPr>
            <w:tcW w:w="1440" w:type="dxa"/>
            <w:vAlign w:val="center"/>
          </w:tcPr>
          <w:p w14:paraId="0C77D4D9" w14:textId="77777777" w:rsidR="00027A49" w:rsidRPr="00CE39FB" w:rsidRDefault="00027A49">
            <w:pPr>
              <w:spacing w:beforeLines="20" w:before="48" w:afterLines="20" w:after="48"/>
              <w:rPr>
                <w:noProof/>
                <w:sz w:val="18"/>
              </w:rPr>
            </w:pPr>
            <w:r w:rsidRPr="00CE39FB">
              <w:rPr>
                <w:noProof/>
                <w:sz w:val="18"/>
              </w:rPr>
              <w:t>Payments</w:t>
            </w:r>
          </w:p>
        </w:tc>
        <w:tc>
          <w:tcPr>
            <w:tcW w:w="654" w:type="dxa"/>
            <w:vAlign w:val="center"/>
          </w:tcPr>
          <w:p w14:paraId="6C2D3929" w14:textId="77777777" w:rsidR="00027A49" w:rsidRPr="00CE39FB" w:rsidRDefault="00027A49">
            <w:pPr>
              <w:spacing w:beforeLines="20" w:before="48" w:afterLines="20" w:after="48"/>
              <w:jc w:val="center"/>
              <w:rPr>
                <w:noProof/>
                <w:sz w:val="14"/>
              </w:rPr>
            </w:pPr>
            <w:r w:rsidRPr="00CE39FB">
              <w:rPr>
                <w:noProof/>
                <w:sz w:val="14"/>
              </w:rPr>
              <w:t>(5)</w:t>
            </w:r>
          </w:p>
        </w:tc>
        <w:tc>
          <w:tcPr>
            <w:tcW w:w="868" w:type="dxa"/>
            <w:vAlign w:val="center"/>
          </w:tcPr>
          <w:p w14:paraId="1DF6B9CE" w14:textId="77777777" w:rsidR="00027A49" w:rsidRPr="00CE39FB" w:rsidRDefault="00027A49">
            <w:pPr>
              <w:spacing w:before="20" w:after="20"/>
              <w:jc w:val="right"/>
              <w:rPr>
                <w:noProof/>
                <w:sz w:val="20"/>
              </w:rPr>
            </w:pPr>
            <w:r w:rsidRPr="00CE39FB">
              <w:rPr>
                <w:noProof/>
                <w:sz w:val="20"/>
              </w:rPr>
              <w:t>23,450</w:t>
            </w:r>
          </w:p>
        </w:tc>
        <w:tc>
          <w:tcPr>
            <w:tcW w:w="868" w:type="dxa"/>
            <w:vAlign w:val="center"/>
          </w:tcPr>
          <w:p w14:paraId="1D42DA7F" w14:textId="77777777" w:rsidR="00027A49" w:rsidRPr="00CE39FB" w:rsidRDefault="00027A49">
            <w:pPr>
              <w:spacing w:before="20" w:after="20"/>
              <w:jc w:val="right"/>
              <w:rPr>
                <w:noProof/>
                <w:sz w:val="20"/>
              </w:rPr>
            </w:pPr>
            <w:r w:rsidRPr="00CE39FB">
              <w:rPr>
                <w:noProof/>
                <w:sz w:val="20"/>
              </w:rPr>
              <w:t>33,200</w:t>
            </w:r>
          </w:p>
        </w:tc>
        <w:tc>
          <w:tcPr>
            <w:tcW w:w="868" w:type="dxa"/>
            <w:vAlign w:val="center"/>
          </w:tcPr>
          <w:p w14:paraId="28C4F8A1" w14:textId="77777777" w:rsidR="00027A49" w:rsidRPr="00CE39FB" w:rsidRDefault="00027A49">
            <w:pPr>
              <w:spacing w:before="20" w:after="20"/>
              <w:jc w:val="right"/>
              <w:rPr>
                <w:noProof/>
                <w:sz w:val="20"/>
              </w:rPr>
            </w:pPr>
            <w:r w:rsidRPr="00CE39FB">
              <w:rPr>
                <w:noProof/>
                <w:sz w:val="20"/>
              </w:rPr>
              <w:t>31,250</w:t>
            </w:r>
          </w:p>
        </w:tc>
        <w:tc>
          <w:tcPr>
            <w:tcW w:w="868" w:type="dxa"/>
            <w:vAlign w:val="center"/>
          </w:tcPr>
          <w:p w14:paraId="2782FEB3" w14:textId="77777777" w:rsidR="00027A49" w:rsidRPr="00CE39FB" w:rsidRDefault="00027A49">
            <w:pPr>
              <w:spacing w:before="20" w:after="20"/>
              <w:jc w:val="right"/>
              <w:rPr>
                <w:noProof/>
                <w:sz w:val="20"/>
              </w:rPr>
            </w:pPr>
            <w:r w:rsidRPr="00CE39FB">
              <w:rPr>
                <w:noProof/>
                <w:sz w:val="20"/>
              </w:rPr>
              <w:t>12,100</w:t>
            </w:r>
          </w:p>
        </w:tc>
        <w:tc>
          <w:tcPr>
            <w:tcW w:w="868" w:type="dxa"/>
            <w:vAlign w:val="center"/>
          </w:tcPr>
          <w:p w14:paraId="6771D412" w14:textId="77777777" w:rsidR="00027A49" w:rsidRPr="00CE39FB" w:rsidRDefault="00027A49">
            <w:pPr>
              <w:spacing w:before="20" w:after="20"/>
              <w:jc w:val="right"/>
              <w:rPr>
                <w:noProof/>
                <w:sz w:val="20"/>
              </w:rPr>
            </w:pPr>
          </w:p>
        </w:tc>
        <w:tc>
          <w:tcPr>
            <w:tcW w:w="868" w:type="dxa"/>
            <w:vAlign w:val="center"/>
          </w:tcPr>
          <w:p w14:paraId="14E1957A" w14:textId="77777777" w:rsidR="00027A49" w:rsidRPr="00CE39FB" w:rsidRDefault="00027A49">
            <w:pPr>
              <w:spacing w:before="20" w:after="20"/>
              <w:jc w:val="right"/>
              <w:rPr>
                <w:noProof/>
                <w:sz w:val="20"/>
              </w:rPr>
            </w:pPr>
          </w:p>
        </w:tc>
        <w:tc>
          <w:tcPr>
            <w:tcW w:w="868" w:type="dxa"/>
            <w:vAlign w:val="center"/>
          </w:tcPr>
          <w:p w14:paraId="2D30221E" w14:textId="77777777" w:rsidR="00027A49" w:rsidRPr="00CE39FB" w:rsidRDefault="00027A49">
            <w:pPr>
              <w:spacing w:before="20" w:after="20"/>
              <w:jc w:val="right"/>
              <w:rPr>
                <w:b/>
                <w:noProof/>
                <w:sz w:val="20"/>
              </w:rPr>
            </w:pPr>
          </w:p>
        </w:tc>
        <w:tc>
          <w:tcPr>
            <w:tcW w:w="1777" w:type="dxa"/>
            <w:tcBorders>
              <w:right w:val="single" w:sz="4" w:space="0" w:color="auto"/>
            </w:tcBorders>
            <w:vAlign w:val="center"/>
          </w:tcPr>
          <w:p w14:paraId="2A99A69A" w14:textId="77777777" w:rsidR="00027A49" w:rsidRPr="00CE39FB" w:rsidRDefault="00027A49">
            <w:pPr>
              <w:spacing w:before="20" w:after="20"/>
              <w:jc w:val="right"/>
              <w:rPr>
                <w:b/>
                <w:noProof/>
                <w:sz w:val="20"/>
              </w:rPr>
            </w:pPr>
            <w:r w:rsidRPr="00CE39FB">
              <w:rPr>
                <w:b/>
                <w:noProof/>
                <w:sz w:val="20"/>
              </w:rPr>
              <w:t>100,000</w:t>
            </w:r>
          </w:p>
        </w:tc>
      </w:tr>
      <w:tr w:rsidR="00CE39FB" w:rsidRPr="00CE39FB" w14:paraId="63F77EA8"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04EB69FC" w14:textId="77777777" w:rsidR="00027A49" w:rsidRPr="008D6611" w:rsidRDefault="00027A49">
            <w:pPr>
              <w:spacing w:beforeLines="20" w:before="48" w:afterLines="20" w:after="48"/>
              <w:rPr>
                <w:noProof/>
              </w:rPr>
            </w:pPr>
            <w:r w:rsidRPr="008D6611">
              <w:rPr>
                <w:noProof/>
                <w:sz w:val="21"/>
              </w:rPr>
              <w:t xml:space="preserve"> TOTAL appropriations of an administrative nature financed from the envelope for specific programmes (all operational headings)</w:t>
            </w:r>
          </w:p>
        </w:tc>
        <w:tc>
          <w:tcPr>
            <w:tcW w:w="654" w:type="dxa"/>
            <w:vAlign w:val="center"/>
          </w:tcPr>
          <w:p w14:paraId="564DA071" w14:textId="77777777" w:rsidR="00027A49" w:rsidRPr="008D6611" w:rsidRDefault="00027A49">
            <w:pPr>
              <w:rPr>
                <w:noProof/>
              </w:rPr>
            </w:pPr>
          </w:p>
          <w:p w14:paraId="7B10FC38" w14:textId="77777777" w:rsidR="00027A49" w:rsidRPr="00CE39FB" w:rsidRDefault="00027A49">
            <w:pPr>
              <w:spacing w:beforeLines="20" w:before="48" w:afterLines="20" w:after="48"/>
              <w:jc w:val="center"/>
              <w:rPr>
                <w:noProof/>
                <w:sz w:val="14"/>
              </w:rPr>
            </w:pPr>
            <w:r w:rsidRPr="00CE39FB">
              <w:rPr>
                <w:noProof/>
                <w:sz w:val="14"/>
              </w:rPr>
              <w:t>(6)</w:t>
            </w:r>
          </w:p>
        </w:tc>
        <w:tc>
          <w:tcPr>
            <w:tcW w:w="868" w:type="dxa"/>
            <w:vAlign w:val="center"/>
          </w:tcPr>
          <w:p w14:paraId="55A8E322" w14:textId="77777777" w:rsidR="00027A49" w:rsidRPr="00CE39FB" w:rsidRDefault="00027A49">
            <w:pPr>
              <w:spacing w:before="20" w:after="20"/>
              <w:jc w:val="right"/>
              <w:rPr>
                <w:bCs/>
                <w:noProof/>
                <w:sz w:val="20"/>
              </w:rPr>
            </w:pPr>
            <w:r w:rsidRPr="00CE39FB">
              <w:rPr>
                <w:bCs/>
                <w:noProof/>
                <w:sz w:val="20"/>
              </w:rPr>
              <w:t>0,150</w:t>
            </w:r>
          </w:p>
        </w:tc>
        <w:tc>
          <w:tcPr>
            <w:tcW w:w="868" w:type="dxa"/>
            <w:vAlign w:val="center"/>
          </w:tcPr>
          <w:p w14:paraId="4B1E73AE" w14:textId="77777777" w:rsidR="00027A49" w:rsidRPr="00CE39FB" w:rsidRDefault="00027A49">
            <w:pPr>
              <w:spacing w:before="20" w:after="20"/>
              <w:jc w:val="right"/>
              <w:rPr>
                <w:bCs/>
                <w:noProof/>
                <w:sz w:val="20"/>
              </w:rPr>
            </w:pPr>
            <w:r w:rsidRPr="00CE39FB">
              <w:rPr>
                <w:bCs/>
                <w:noProof/>
                <w:sz w:val="20"/>
              </w:rPr>
              <w:t>0,150</w:t>
            </w:r>
          </w:p>
        </w:tc>
        <w:tc>
          <w:tcPr>
            <w:tcW w:w="868" w:type="dxa"/>
            <w:vAlign w:val="center"/>
          </w:tcPr>
          <w:p w14:paraId="6A48BC5D" w14:textId="77777777" w:rsidR="00027A49" w:rsidRPr="00CE39FB" w:rsidRDefault="00027A49">
            <w:pPr>
              <w:spacing w:before="20" w:after="20"/>
              <w:jc w:val="right"/>
              <w:rPr>
                <w:bCs/>
                <w:noProof/>
                <w:sz w:val="20"/>
              </w:rPr>
            </w:pPr>
            <w:r w:rsidRPr="00CE39FB">
              <w:rPr>
                <w:bCs/>
                <w:noProof/>
                <w:sz w:val="20"/>
              </w:rPr>
              <w:t>0,150</w:t>
            </w:r>
          </w:p>
        </w:tc>
        <w:tc>
          <w:tcPr>
            <w:tcW w:w="868" w:type="dxa"/>
            <w:vAlign w:val="center"/>
          </w:tcPr>
          <w:p w14:paraId="036F3A0B" w14:textId="77777777" w:rsidR="00027A49" w:rsidRPr="00CE39FB" w:rsidRDefault="00027A49">
            <w:pPr>
              <w:spacing w:before="20" w:after="20"/>
              <w:jc w:val="right"/>
              <w:rPr>
                <w:bCs/>
                <w:noProof/>
                <w:sz w:val="20"/>
              </w:rPr>
            </w:pPr>
          </w:p>
        </w:tc>
        <w:tc>
          <w:tcPr>
            <w:tcW w:w="868" w:type="dxa"/>
            <w:vAlign w:val="center"/>
          </w:tcPr>
          <w:p w14:paraId="5D126DF1" w14:textId="77777777" w:rsidR="00027A49" w:rsidRPr="00CE39FB" w:rsidRDefault="00027A49">
            <w:pPr>
              <w:spacing w:before="20" w:after="20"/>
              <w:jc w:val="right"/>
              <w:rPr>
                <w:bCs/>
                <w:noProof/>
                <w:sz w:val="20"/>
              </w:rPr>
            </w:pPr>
          </w:p>
        </w:tc>
        <w:tc>
          <w:tcPr>
            <w:tcW w:w="868" w:type="dxa"/>
            <w:vAlign w:val="center"/>
          </w:tcPr>
          <w:p w14:paraId="2710AE5D" w14:textId="77777777" w:rsidR="00027A49" w:rsidRPr="00CE39FB" w:rsidRDefault="00027A49">
            <w:pPr>
              <w:spacing w:before="20" w:after="20"/>
              <w:jc w:val="right"/>
              <w:rPr>
                <w:b/>
                <w:noProof/>
                <w:sz w:val="20"/>
              </w:rPr>
            </w:pPr>
          </w:p>
        </w:tc>
        <w:tc>
          <w:tcPr>
            <w:tcW w:w="868" w:type="dxa"/>
            <w:vAlign w:val="center"/>
          </w:tcPr>
          <w:p w14:paraId="45FDEA45" w14:textId="77777777" w:rsidR="00027A49" w:rsidRPr="00CE39FB" w:rsidRDefault="00027A49">
            <w:pPr>
              <w:spacing w:before="20" w:after="20"/>
              <w:jc w:val="right"/>
              <w:rPr>
                <w:b/>
                <w:noProof/>
                <w:sz w:val="20"/>
              </w:rPr>
            </w:pPr>
          </w:p>
        </w:tc>
        <w:tc>
          <w:tcPr>
            <w:tcW w:w="1777" w:type="dxa"/>
            <w:vAlign w:val="center"/>
          </w:tcPr>
          <w:p w14:paraId="391133A8" w14:textId="77777777" w:rsidR="00027A49" w:rsidRPr="00CE39FB" w:rsidRDefault="00027A49">
            <w:pPr>
              <w:spacing w:before="20" w:after="20"/>
              <w:jc w:val="right"/>
              <w:rPr>
                <w:b/>
                <w:noProof/>
                <w:sz w:val="20"/>
              </w:rPr>
            </w:pPr>
            <w:r w:rsidRPr="00CE39FB">
              <w:rPr>
                <w:b/>
                <w:noProof/>
                <w:sz w:val="20"/>
              </w:rPr>
              <w:t>0,450</w:t>
            </w:r>
          </w:p>
        </w:tc>
      </w:tr>
      <w:tr w:rsidR="00CE39FB" w:rsidRPr="00CE39FB" w14:paraId="3E24B510" w14:textId="7777777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8C2EFF0" w14:textId="77777777" w:rsidR="00027A49" w:rsidRPr="008D6611" w:rsidRDefault="00027A49">
            <w:pPr>
              <w:jc w:val="center"/>
              <w:rPr>
                <w:b/>
                <w:noProof/>
              </w:rPr>
            </w:pPr>
            <w:r w:rsidRPr="008D6611">
              <w:rPr>
                <w:b/>
                <w:noProof/>
                <w:sz w:val="22"/>
              </w:rPr>
              <w:t xml:space="preserve">TOTAL appropriations </w:t>
            </w:r>
            <w:r w:rsidRPr="008D6611">
              <w:rPr>
                <w:noProof/>
                <w:sz w:val="22"/>
              </w:rPr>
              <w:br/>
            </w:r>
            <w:r w:rsidRPr="008D6611">
              <w:rPr>
                <w:b/>
                <w:noProof/>
                <w:sz w:val="22"/>
              </w:rPr>
              <w:t>under HEADINGS 1 to 6</w:t>
            </w:r>
            <w:r w:rsidRPr="008D6611">
              <w:rPr>
                <w:noProof/>
                <w:sz w:val="22"/>
              </w:rPr>
              <w:br/>
              <w:t>of the multiannual financial framework</w:t>
            </w:r>
            <w:r w:rsidRPr="008D6611">
              <w:rPr>
                <w:noProof/>
                <w:sz w:val="22"/>
              </w:rPr>
              <w:br/>
            </w:r>
            <w:r w:rsidRPr="008D6611">
              <w:rPr>
                <w:noProof/>
                <w:sz w:val="20"/>
              </w:rPr>
              <w:t>(Reference amount)</w:t>
            </w:r>
          </w:p>
        </w:tc>
        <w:tc>
          <w:tcPr>
            <w:tcW w:w="1440" w:type="dxa"/>
            <w:vAlign w:val="center"/>
          </w:tcPr>
          <w:p w14:paraId="597B9C28" w14:textId="77777777" w:rsidR="00027A49" w:rsidRPr="00CE39FB" w:rsidRDefault="00027A49">
            <w:pPr>
              <w:rPr>
                <w:noProof/>
                <w:sz w:val="18"/>
              </w:rPr>
            </w:pPr>
            <w:r w:rsidRPr="00CE39FB">
              <w:rPr>
                <w:noProof/>
                <w:sz w:val="18"/>
              </w:rPr>
              <w:t>Commitments</w:t>
            </w:r>
          </w:p>
        </w:tc>
        <w:tc>
          <w:tcPr>
            <w:tcW w:w="654" w:type="dxa"/>
            <w:vAlign w:val="center"/>
          </w:tcPr>
          <w:p w14:paraId="76229FCB" w14:textId="77777777" w:rsidR="00027A49" w:rsidRPr="00CE39FB" w:rsidRDefault="00027A49">
            <w:pPr>
              <w:jc w:val="center"/>
              <w:rPr>
                <w:noProof/>
                <w:sz w:val="14"/>
              </w:rPr>
            </w:pPr>
            <w:r w:rsidRPr="00CE39FB">
              <w:rPr>
                <w:noProof/>
                <w:sz w:val="14"/>
              </w:rPr>
              <w:t>=4+ 6</w:t>
            </w:r>
          </w:p>
        </w:tc>
        <w:tc>
          <w:tcPr>
            <w:tcW w:w="868" w:type="dxa"/>
            <w:vAlign w:val="center"/>
          </w:tcPr>
          <w:p w14:paraId="295912DA" w14:textId="77777777" w:rsidR="00027A49" w:rsidRPr="00CE39FB" w:rsidRDefault="00027A49">
            <w:pPr>
              <w:spacing w:before="20" w:after="20"/>
              <w:jc w:val="right"/>
              <w:rPr>
                <w:b/>
                <w:bCs/>
                <w:noProof/>
                <w:sz w:val="20"/>
              </w:rPr>
            </w:pPr>
            <w:r w:rsidRPr="00CE39FB">
              <w:rPr>
                <w:b/>
                <w:bCs/>
                <w:noProof/>
                <w:sz w:val="20"/>
              </w:rPr>
              <w:t>28,150</w:t>
            </w:r>
          </w:p>
        </w:tc>
        <w:tc>
          <w:tcPr>
            <w:tcW w:w="868" w:type="dxa"/>
            <w:vAlign w:val="center"/>
          </w:tcPr>
          <w:p w14:paraId="59350272" w14:textId="77777777" w:rsidR="00027A49" w:rsidRPr="00CE39FB" w:rsidRDefault="00027A49">
            <w:pPr>
              <w:spacing w:before="20" w:after="20"/>
              <w:jc w:val="right"/>
              <w:rPr>
                <w:b/>
                <w:bCs/>
                <w:noProof/>
                <w:sz w:val="20"/>
              </w:rPr>
            </w:pPr>
            <w:r w:rsidRPr="00CE39FB">
              <w:rPr>
                <w:b/>
                <w:bCs/>
                <w:noProof/>
                <w:sz w:val="20"/>
              </w:rPr>
              <w:t>38,150</w:t>
            </w:r>
          </w:p>
        </w:tc>
        <w:tc>
          <w:tcPr>
            <w:tcW w:w="868" w:type="dxa"/>
            <w:vAlign w:val="center"/>
          </w:tcPr>
          <w:p w14:paraId="61ABB3AB" w14:textId="77777777" w:rsidR="00027A49" w:rsidRPr="00CE39FB" w:rsidRDefault="00027A49">
            <w:pPr>
              <w:spacing w:before="20" w:after="20"/>
              <w:jc w:val="right"/>
              <w:rPr>
                <w:b/>
                <w:bCs/>
                <w:noProof/>
                <w:sz w:val="20"/>
              </w:rPr>
            </w:pPr>
            <w:r w:rsidRPr="00CE39FB">
              <w:rPr>
                <w:b/>
                <w:bCs/>
                <w:noProof/>
                <w:sz w:val="20"/>
              </w:rPr>
              <w:t>34,150</w:t>
            </w:r>
          </w:p>
        </w:tc>
        <w:tc>
          <w:tcPr>
            <w:tcW w:w="868" w:type="dxa"/>
            <w:vAlign w:val="center"/>
          </w:tcPr>
          <w:p w14:paraId="13188250" w14:textId="77777777" w:rsidR="00027A49" w:rsidRPr="00CE39FB" w:rsidRDefault="00027A49">
            <w:pPr>
              <w:spacing w:before="20" w:after="20"/>
              <w:jc w:val="right"/>
              <w:rPr>
                <w:b/>
                <w:bCs/>
                <w:noProof/>
                <w:sz w:val="20"/>
              </w:rPr>
            </w:pPr>
            <w:r w:rsidRPr="00CE39FB">
              <w:rPr>
                <w:b/>
                <w:bCs/>
                <w:noProof/>
                <w:sz w:val="20"/>
              </w:rPr>
              <w:t>p.m.</w:t>
            </w:r>
          </w:p>
        </w:tc>
        <w:tc>
          <w:tcPr>
            <w:tcW w:w="868" w:type="dxa"/>
            <w:vAlign w:val="center"/>
          </w:tcPr>
          <w:p w14:paraId="2E4BECB6" w14:textId="77777777" w:rsidR="00027A49" w:rsidRPr="00CE39FB" w:rsidRDefault="00027A49">
            <w:pPr>
              <w:spacing w:before="20" w:after="20"/>
              <w:jc w:val="right"/>
              <w:rPr>
                <w:b/>
                <w:bCs/>
                <w:noProof/>
                <w:sz w:val="20"/>
              </w:rPr>
            </w:pPr>
          </w:p>
        </w:tc>
        <w:tc>
          <w:tcPr>
            <w:tcW w:w="868" w:type="dxa"/>
            <w:vAlign w:val="center"/>
          </w:tcPr>
          <w:p w14:paraId="31C4DE0E" w14:textId="77777777" w:rsidR="00027A49" w:rsidRPr="00CE39FB" w:rsidRDefault="00027A49">
            <w:pPr>
              <w:spacing w:before="20" w:after="20"/>
              <w:jc w:val="right"/>
              <w:rPr>
                <w:noProof/>
                <w:sz w:val="20"/>
              </w:rPr>
            </w:pPr>
          </w:p>
        </w:tc>
        <w:tc>
          <w:tcPr>
            <w:tcW w:w="868" w:type="dxa"/>
            <w:vAlign w:val="center"/>
          </w:tcPr>
          <w:p w14:paraId="6887940D" w14:textId="77777777" w:rsidR="00027A49" w:rsidRPr="00CE39FB" w:rsidRDefault="00027A49">
            <w:pPr>
              <w:spacing w:before="20" w:after="20"/>
              <w:jc w:val="right"/>
              <w:rPr>
                <w:b/>
                <w:noProof/>
                <w:sz w:val="20"/>
              </w:rPr>
            </w:pPr>
          </w:p>
        </w:tc>
        <w:tc>
          <w:tcPr>
            <w:tcW w:w="1777" w:type="dxa"/>
            <w:tcBorders>
              <w:right w:val="single" w:sz="4" w:space="0" w:color="auto"/>
            </w:tcBorders>
            <w:vAlign w:val="center"/>
          </w:tcPr>
          <w:p w14:paraId="3447B62D" w14:textId="77777777" w:rsidR="00027A49" w:rsidRPr="00CE39FB" w:rsidRDefault="00027A49">
            <w:pPr>
              <w:spacing w:before="20" w:after="20"/>
              <w:jc w:val="right"/>
              <w:rPr>
                <w:b/>
                <w:noProof/>
                <w:sz w:val="20"/>
              </w:rPr>
            </w:pPr>
            <w:r w:rsidRPr="00CE39FB">
              <w:rPr>
                <w:b/>
                <w:noProof/>
                <w:sz w:val="20"/>
              </w:rPr>
              <w:t>100,450</w:t>
            </w:r>
          </w:p>
        </w:tc>
      </w:tr>
      <w:tr w:rsidR="00CE39FB" w:rsidRPr="00CE39FB" w14:paraId="30FC0AA4" w14:textId="77777777">
        <w:tc>
          <w:tcPr>
            <w:tcW w:w="3960" w:type="dxa"/>
            <w:vMerge/>
            <w:tcBorders>
              <w:top w:val="single" w:sz="4" w:space="0" w:color="FF0000"/>
              <w:left w:val="single" w:sz="4" w:space="0" w:color="auto"/>
              <w:bottom w:val="single" w:sz="4" w:space="0" w:color="auto"/>
            </w:tcBorders>
            <w:shd w:val="thinDiagStripe" w:color="C0C0C0" w:fill="auto"/>
          </w:tcPr>
          <w:p w14:paraId="2143030D" w14:textId="77777777" w:rsidR="00027A49" w:rsidRPr="00CE39FB" w:rsidRDefault="00027A49">
            <w:pPr>
              <w:rPr>
                <w:noProof/>
                <w:sz w:val="20"/>
              </w:rPr>
            </w:pPr>
          </w:p>
        </w:tc>
        <w:tc>
          <w:tcPr>
            <w:tcW w:w="1440" w:type="dxa"/>
            <w:tcBorders>
              <w:bottom w:val="single" w:sz="4" w:space="0" w:color="auto"/>
            </w:tcBorders>
            <w:vAlign w:val="center"/>
          </w:tcPr>
          <w:p w14:paraId="22D8D434" w14:textId="77777777" w:rsidR="00027A49" w:rsidRPr="00CE39FB" w:rsidRDefault="00027A49">
            <w:pPr>
              <w:rPr>
                <w:noProof/>
                <w:sz w:val="18"/>
              </w:rPr>
            </w:pPr>
            <w:r w:rsidRPr="00CE39FB">
              <w:rPr>
                <w:noProof/>
                <w:sz w:val="18"/>
              </w:rPr>
              <w:t>Payments</w:t>
            </w:r>
          </w:p>
        </w:tc>
        <w:tc>
          <w:tcPr>
            <w:tcW w:w="654" w:type="dxa"/>
            <w:tcBorders>
              <w:bottom w:val="single" w:sz="4" w:space="0" w:color="auto"/>
            </w:tcBorders>
            <w:vAlign w:val="center"/>
          </w:tcPr>
          <w:p w14:paraId="7351977E" w14:textId="77777777" w:rsidR="00027A49" w:rsidRPr="00CE39FB" w:rsidRDefault="00027A49">
            <w:pPr>
              <w:jc w:val="center"/>
              <w:rPr>
                <w:noProof/>
                <w:sz w:val="14"/>
              </w:rPr>
            </w:pPr>
            <w:r w:rsidRPr="00CE39FB">
              <w:rPr>
                <w:noProof/>
                <w:sz w:val="14"/>
              </w:rPr>
              <w:t>=5+ 6</w:t>
            </w:r>
          </w:p>
        </w:tc>
        <w:tc>
          <w:tcPr>
            <w:tcW w:w="868" w:type="dxa"/>
            <w:tcBorders>
              <w:bottom w:val="single" w:sz="4" w:space="0" w:color="auto"/>
            </w:tcBorders>
            <w:vAlign w:val="center"/>
          </w:tcPr>
          <w:p w14:paraId="1C2DBD5A" w14:textId="77777777" w:rsidR="00027A49" w:rsidRPr="00CE39FB" w:rsidRDefault="00027A49">
            <w:pPr>
              <w:spacing w:before="20" w:after="20"/>
              <w:jc w:val="right"/>
              <w:rPr>
                <w:b/>
                <w:bCs/>
                <w:noProof/>
                <w:sz w:val="20"/>
              </w:rPr>
            </w:pPr>
            <w:r w:rsidRPr="00CE39FB">
              <w:rPr>
                <w:b/>
                <w:bCs/>
                <w:noProof/>
                <w:sz w:val="20"/>
              </w:rPr>
              <w:t>23,600</w:t>
            </w:r>
          </w:p>
        </w:tc>
        <w:tc>
          <w:tcPr>
            <w:tcW w:w="868" w:type="dxa"/>
            <w:tcBorders>
              <w:bottom w:val="single" w:sz="4" w:space="0" w:color="auto"/>
            </w:tcBorders>
            <w:vAlign w:val="center"/>
          </w:tcPr>
          <w:p w14:paraId="21C5F3D9" w14:textId="77777777" w:rsidR="00027A49" w:rsidRPr="00CE39FB" w:rsidRDefault="00027A49">
            <w:pPr>
              <w:spacing w:before="20" w:after="20"/>
              <w:jc w:val="right"/>
              <w:rPr>
                <w:b/>
                <w:bCs/>
                <w:noProof/>
                <w:sz w:val="20"/>
              </w:rPr>
            </w:pPr>
            <w:r w:rsidRPr="00CE39FB">
              <w:rPr>
                <w:b/>
                <w:bCs/>
                <w:noProof/>
                <w:sz w:val="20"/>
              </w:rPr>
              <w:t>33,350</w:t>
            </w:r>
          </w:p>
        </w:tc>
        <w:tc>
          <w:tcPr>
            <w:tcW w:w="868" w:type="dxa"/>
            <w:tcBorders>
              <w:bottom w:val="single" w:sz="4" w:space="0" w:color="auto"/>
            </w:tcBorders>
            <w:vAlign w:val="center"/>
          </w:tcPr>
          <w:p w14:paraId="4228909E" w14:textId="77777777" w:rsidR="00027A49" w:rsidRPr="00CE39FB" w:rsidRDefault="00027A49">
            <w:pPr>
              <w:spacing w:before="20" w:after="20"/>
              <w:jc w:val="right"/>
              <w:rPr>
                <w:b/>
                <w:bCs/>
                <w:noProof/>
                <w:sz w:val="20"/>
              </w:rPr>
            </w:pPr>
            <w:r w:rsidRPr="00CE39FB">
              <w:rPr>
                <w:b/>
                <w:bCs/>
                <w:noProof/>
                <w:sz w:val="20"/>
              </w:rPr>
              <w:t>31,400</w:t>
            </w:r>
          </w:p>
        </w:tc>
        <w:tc>
          <w:tcPr>
            <w:tcW w:w="868" w:type="dxa"/>
            <w:tcBorders>
              <w:bottom w:val="single" w:sz="4" w:space="0" w:color="auto"/>
            </w:tcBorders>
            <w:vAlign w:val="center"/>
          </w:tcPr>
          <w:p w14:paraId="2940CD80" w14:textId="77777777" w:rsidR="00027A49" w:rsidRPr="00CE39FB" w:rsidRDefault="00027A49">
            <w:pPr>
              <w:spacing w:before="20" w:after="20"/>
              <w:jc w:val="right"/>
              <w:rPr>
                <w:b/>
                <w:bCs/>
                <w:noProof/>
                <w:sz w:val="20"/>
              </w:rPr>
            </w:pPr>
            <w:r w:rsidRPr="00CE39FB">
              <w:rPr>
                <w:b/>
                <w:bCs/>
                <w:noProof/>
                <w:sz w:val="20"/>
              </w:rPr>
              <w:t>12,100</w:t>
            </w:r>
          </w:p>
        </w:tc>
        <w:tc>
          <w:tcPr>
            <w:tcW w:w="868" w:type="dxa"/>
            <w:tcBorders>
              <w:bottom w:val="single" w:sz="4" w:space="0" w:color="auto"/>
            </w:tcBorders>
            <w:vAlign w:val="center"/>
          </w:tcPr>
          <w:p w14:paraId="361861A5" w14:textId="77777777" w:rsidR="00027A49" w:rsidRPr="00CE39FB" w:rsidRDefault="00027A49">
            <w:pPr>
              <w:spacing w:before="20" w:after="20"/>
              <w:jc w:val="right"/>
              <w:rPr>
                <w:b/>
                <w:bCs/>
                <w:noProof/>
                <w:sz w:val="20"/>
              </w:rPr>
            </w:pPr>
          </w:p>
        </w:tc>
        <w:tc>
          <w:tcPr>
            <w:tcW w:w="868" w:type="dxa"/>
            <w:tcBorders>
              <w:bottom w:val="single" w:sz="4" w:space="0" w:color="auto"/>
            </w:tcBorders>
            <w:vAlign w:val="center"/>
          </w:tcPr>
          <w:p w14:paraId="6066CEFB" w14:textId="77777777" w:rsidR="00027A49" w:rsidRPr="00CE39FB" w:rsidRDefault="00027A49">
            <w:pPr>
              <w:spacing w:before="20" w:after="20"/>
              <w:jc w:val="right"/>
              <w:rPr>
                <w:noProof/>
                <w:sz w:val="20"/>
              </w:rPr>
            </w:pPr>
          </w:p>
        </w:tc>
        <w:tc>
          <w:tcPr>
            <w:tcW w:w="868" w:type="dxa"/>
            <w:tcBorders>
              <w:bottom w:val="single" w:sz="4" w:space="0" w:color="auto"/>
            </w:tcBorders>
            <w:vAlign w:val="center"/>
          </w:tcPr>
          <w:p w14:paraId="631F5D6E" w14:textId="77777777" w:rsidR="00027A49" w:rsidRPr="00CE39FB" w:rsidRDefault="00027A49">
            <w:pPr>
              <w:spacing w:before="20" w:after="20"/>
              <w:jc w:val="right"/>
              <w:rPr>
                <w:b/>
                <w:noProof/>
                <w:sz w:val="20"/>
              </w:rPr>
            </w:pPr>
          </w:p>
        </w:tc>
        <w:tc>
          <w:tcPr>
            <w:tcW w:w="1777" w:type="dxa"/>
            <w:tcBorders>
              <w:bottom w:val="single" w:sz="4" w:space="0" w:color="auto"/>
              <w:right w:val="single" w:sz="4" w:space="0" w:color="auto"/>
            </w:tcBorders>
            <w:vAlign w:val="center"/>
          </w:tcPr>
          <w:p w14:paraId="45503487" w14:textId="77777777" w:rsidR="00027A49" w:rsidRPr="00CE39FB" w:rsidRDefault="00027A49">
            <w:pPr>
              <w:spacing w:before="20" w:after="20"/>
              <w:jc w:val="right"/>
              <w:rPr>
                <w:b/>
                <w:noProof/>
                <w:sz w:val="20"/>
              </w:rPr>
            </w:pPr>
            <w:r w:rsidRPr="00CE39FB">
              <w:rPr>
                <w:b/>
                <w:noProof/>
                <w:sz w:val="20"/>
              </w:rPr>
              <w:t>100,450</w:t>
            </w:r>
          </w:p>
        </w:tc>
      </w:tr>
    </w:tbl>
    <w:p w14:paraId="5031091F" w14:textId="77777777" w:rsidR="004770F6" w:rsidRPr="00CE39FB" w:rsidRDefault="004770F6">
      <w:pPr>
        <w:rPr>
          <w:noProof/>
        </w:rPr>
      </w:pPr>
    </w:p>
    <w:p w14:paraId="0437D869" w14:textId="77777777" w:rsidR="004770F6" w:rsidRPr="00CE39FB" w:rsidRDefault="004770F6">
      <w:pPr>
        <w:spacing w:before="0" w:after="0"/>
        <w:jc w:val="left"/>
        <w:rPr>
          <w:noProof/>
        </w:rPr>
      </w:pPr>
      <w:r w:rsidRPr="00CE39FB">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E39FB" w:rsidRPr="00CE39FB" w14:paraId="0645DAED" w14:textId="77777777">
        <w:trPr>
          <w:jc w:val="center"/>
        </w:trPr>
        <w:tc>
          <w:tcPr>
            <w:tcW w:w="4744" w:type="dxa"/>
            <w:shd w:val="thinDiagStripe" w:color="C0C0C0" w:fill="auto"/>
            <w:vAlign w:val="center"/>
          </w:tcPr>
          <w:p w14:paraId="6D75E811" w14:textId="77777777" w:rsidR="004770F6" w:rsidRPr="008D6611" w:rsidRDefault="004770F6">
            <w:pPr>
              <w:spacing w:before="60" w:after="60"/>
              <w:jc w:val="center"/>
              <w:rPr>
                <w:b/>
                <w:noProof/>
              </w:rPr>
            </w:pPr>
            <w:r w:rsidRPr="008D6611">
              <w:rPr>
                <w:noProof/>
                <w:sz w:val="22"/>
              </w:rPr>
              <w:br w:type="page"/>
            </w:r>
            <w:r w:rsidRPr="008D6611">
              <w:rPr>
                <w:b/>
                <w:noProof/>
                <w:sz w:val="22"/>
              </w:rPr>
              <w:t xml:space="preserve">Heading of multiannual financial </w:t>
            </w:r>
            <w:r w:rsidRPr="008D6611">
              <w:rPr>
                <w:noProof/>
                <w:sz w:val="22"/>
              </w:rPr>
              <w:br/>
            </w:r>
            <w:r w:rsidRPr="008D6611">
              <w:rPr>
                <w:b/>
                <w:noProof/>
                <w:sz w:val="22"/>
              </w:rPr>
              <w:t xml:space="preserve">framework </w:t>
            </w:r>
          </w:p>
        </w:tc>
        <w:tc>
          <w:tcPr>
            <w:tcW w:w="1080" w:type="dxa"/>
            <w:shd w:val="thinDiagStripe" w:color="C0C0C0" w:fill="auto"/>
            <w:vAlign w:val="center"/>
          </w:tcPr>
          <w:p w14:paraId="5F54CFA8" w14:textId="77777777" w:rsidR="004770F6" w:rsidRPr="00CE39FB" w:rsidRDefault="004770F6">
            <w:pPr>
              <w:spacing w:before="60" w:after="60"/>
              <w:jc w:val="center"/>
              <w:rPr>
                <w:noProof/>
              </w:rPr>
            </w:pPr>
            <w:r w:rsidRPr="00CE39FB">
              <w:rPr>
                <w:b/>
                <w:noProof/>
                <w:sz w:val="22"/>
              </w:rPr>
              <w:t>7</w:t>
            </w:r>
          </w:p>
        </w:tc>
        <w:tc>
          <w:tcPr>
            <w:tcW w:w="7817" w:type="dxa"/>
            <w:vAlign w:val="center"/>
          </w:tcPr>
          <w:p w14:paraId="53AF470F" w14:textId="77777777" w:rsidR="004770F6" w:rsidRPr="00CE39FB" w:rsidRDefault="004770F6">
            <w:pPr>
              <w:spacing w:before="60" w:after="60"/>
              <w:rPr>
                <w:noProof/>
              </w:rPr>
            </w:pPr>
            <w:r w:rsidRPr="00CE39FB">
              <w:rPr>
                <w:noProof/>
                <w:sz w:val="22"/>
              </w:rPr>
              <w:t>‘Administrative expenditure’</w:t>
            </w:r>
          </w:p>
        </w:tc>
      </w:tr>
    </w:tbl>
    <w:p w14:paraId="40EC6CB8" w14:textId="77777777" w:rsidR="004770F6" w:rsidRPr="008D6611" w:rsidRDefault="004770F6">
      <w:pPr>
        <w:jc w:val="left"/>
        <w:rPr>
          <w:noProof/>
          <w:sz w:val="20"/>
        </w:rPr>
      </w:pPr>
      <w:r w:rsidRPr="008D6611">
        <w:rPr>
          <w:noProof/>
        </w:rPr>
        <w:t xml:space="preserve">This section should be filled in using the 'budget data of an administrative nature' to be firstly introduced in the </w:t>
      </w:r>
      <w:hyperlink r:id="rId15" w:history="1">
        <w:r w:rsidRPr="008D6611">
          <w:rPr>
            <w:rStyle w:val="Hyperlink"/>
            <w:noProof/>
            <w:color w:val="auto"/>
          </w:rPr>
          <w:t>Annex to the Legislative Financial Statement</w:t>
        </w:r>
      </w:hyperlink>
      <w:r w:rsidRPr="008D6611">
        <w:rPr>
          <w:noProof/>
        </w:rPr>
        <w:t xml:space="preserve"> (Annex 5 to the Commission decision on the internal rules for the implementation of the Commission section of the general budget of the European Union), which is uploaded to DECIDE for interservice consultation purposes.</w:t>
      </w:r>
    </w:p>
    <w:p w14:paraId="4913B8A4" w14:textId="77777777" w:rsidR="004770F6" w:rsidRPr="008D6611" w:rsidRDefault="004770F6">
      <w:pPr>
        <w:jc w:val="right"/>
        <w:rPr>
          <w:noProof/>
          <w:sz w:val="20"/>
        </w:rPr>
      </w:pPr>
      <w:r w:rsidRPr="008D6611">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E39FB" w:rsidRPr="00CE39FB" w14:paraId="7A9708E2" w14:textId="77777777" w:rsidTr="59744C64">
        <w:tc>
          <w:tcPr>
            <w:tcW w:w="3960" w:type="dxa"/>
            <w:tcBorders>
              <w:top w:val="nil"/>
              <w:left w:val="nil"/>
              <w:right w:val="nil"/>
            </w:tcBorders>
            <w:vAlign w:val="center"/>
          </w:tcPr>
          <w:p w14:paraId="149F57B4" w14:textId="77777777" w:rsidR="00C82085" w:rsidRPr="008D6611" w:rsidRDefault="00C82085" w:rsidP="007B69F2">
            <w:pPr>
              <w:jc w:val="center"/>
              <w:rPr>
                <w:noProof/>
              </w:rPr>
            </w:pPr>
          </w:p>
        </w:tc>
        <w:tc>
          <w:tcPr>
            <w:tcW w:w="1560" w:type="dxa"/>
            <w:tcBorders>
              <w:top w:val="nil"/>
              <w:left w:val="nil"/>
              <w:right w:val="nil"/>
            </w:tcBorders>
          </w:tcPr>
          <w:p w14:paraId="3FF44BFD" w14:textId="77777777" w:rsidR="00C82085" w:rsidRPr="008D6611" w:rsidRDefault="00C82085" w:rsidP="007B69F2">
            <w:pPr>
              <w:rPr>
                <w:noProof/>
                <w:sz w:val="20"/>
              </w:rPr>
            </w:pPr>
          </w:p>
        </w:tc>
        <w:tc>
          <w:tcPr>
            <w:tcW w:w="534" w:type="dxa"/>
            <w:tcBorders>
              <w:top w:val="nil"/>
              <w:left w:val="nil"/>
            </w:tcBorders>
          </w:tcPr>
          <w:p w14:paraId="1A13FA36" w14:textId="77777777" w:rsidR="00C82085" w:rsidRPr="008D6611" w:rsidRDefault="00C82085" w:rsidP="007B69F2">
            <w:pPr>
              <w:jc w:val="center"/>
              <w:rPr>
                <w:noProof/>
                <w:sz w:val="20"/>
              </w:rPr>
            </w:pPr>
          </w:p>
        </w:tc>
        <w:tc>
          <w:tcPr>
            <w:tcW w:w="868" w:type="dxa"/>
            <w:vAlign w:val="center"/>
          </w:tcPr>
          <w:p w14:paraId="0B72A02B" w14:textId="77777777" w:rsidR="00C82085" w:rsidRPr="00CE39FB" w:rsidRDefault="00C82085" w:rsidP="007B69F2">
            <w:pPr>
              <w:jc w:val="center"/>
              <w:rPr>
                <w:noProof/>
                <w:sz w:val="20"/>
              </w:rPr>
            </w:pPr>
            <w:r w:rsidRPr="00CE39FB">
              <w:rPr>
                <w:noProof/>
                <w:sz w:val="20"/>
              </w:rPr>
              <w:t>Year</w:t>
            </w:r>
          </w:p>
          <w:p w14:paraId="47774E17" w14:textId="77777777" w:rsidR="00C82085" w:rsidRPr="00CE39FB" w:rsidRDefault="00C82085" w:rsidP="007B69F2">
            <w:pPr>
              <w:jc w:val="center"/>
              <w:rPr>
                <w:noProof/>
                <w:sz w:val="20"/>
              </w:rPr>
            </w:pPr>
            <w:r w:rsidRPr="00CE39FB">
              <w:rPr>
                <w:b/>
                <w:noProof/>
                <w:sz w:val="20"/>
              </w:rPr>
              <w:t>2025</w:t>
            </w:r>
          </w:p>
        </w:tc>
        <w:tc>
          <w:tcPr>
            <w:tcW w:w="868" w:type="dxa"/>
            <w:vAlign w:val="center"/>
          </w:tcPr>
          <w:p w14:paraId="46FB923C" w14:textId="77777777" w:rsidR="00C82085" w:rsidRPr="00CE39FB" w:rsidRDefault="00C82085" w:rsidP="007B69F2">
            <w:pPr>
              <w:jc w:val="center"/>
              <w:rPr>
                <w:b/>
                <w:noProof/>
                <w:sz w:val="20"/>
              </w:rPr>
            </w:pPr>
            <w:r w:rsidRPr="00CE39FB">
              <w:rPr>
                <w:noProof/>
                <w:sz w:val="20"/>
              </w:rPr>
              <w:t>Year</w:t>
            </w:r>
          </w:p>
          <w:p w14:paraId="3C25E562" w14:textId="77777777" w:rsidR="00C82085" w:rsidRPr="00CE39FB" w:rsidRDefault="00C82085" w:rsidP="007B69F2">
            <w:pPr>
              <w:jc w:val="center"/>
              <w:rPr>
                <w:noProof/>
                <w:sz w:val="20"/>
              </w:rPr>
            </w:pPr>
            <w:r w:rsidRPr="00CE39FB">
              <w:rPr>
                <w:b/>
                <w:noProof/>
                <w:sz w:val="20"/>
              </w:rPr>
              <w:t>2026</w:t>
            </w:r>
          </w:p>
        </w:tc>
        <w:tc>
          <w:tcPr>
            <w:tcW w:w="868" w:type="dxa"/>
            <w:vAlign w:val="center"/>
          </w:tcPr>
          <w:p w14:paraId="14DDB56C" w14:textId="77777777" w:rsidR="00C82085" w:rsidRPr="00CE39FB" w:rsidRDefault="00C82085" w:rsidP="007B69F2">
            <w:pPr>
              <w:jc w:val="center"/>
              <w:rPr>
                <w:b/>
                <w:noProof/>
                <w:sz w:val="20"/>
              </w:rPr>
            </w:pPr>
            <w:r w:rsidRPr="00CE39FB">
              <w:rPr>
                <w:noProof/>
                <w:sz w:val="20"/>
              </w:rPr>
              <w:t>Year</w:t>
            </w:r>
          </w:p>
          <w:p w14:paraId="1885BB64" w14:textId="77777777" w:rsidR="00C82085" w:rsidRPr="00CE39FB" w:rsidRDefault="00C82085" w:rsidP="007B69F2">
            <w:pPr>
              <w:jc w:val="center"/>
              <w:rPr>
                <w:noProof/>
                <w:sz w:val="20"/>
              </w:rPr>
            </w:pPr>
            <w:r w:rsidRPr="00CE39FB">
              <w:rPr>
                <w:b/>
                <w:noProof/>
                <w:sz w:val="20"/>
              </w:rPr>
              <w:t>2027</w:t>
            </w:r>
          </w:p>
        </w:tc>
        <w:tc>
          <w:tcPr>
            <w:tcW w:w="868" w:type="dxa"/>
            <w:vAlign w:val="center"/>
          </w:tcPr>
          <w:p w14:paraId="5D72A5EC" w14:textId="77777777" w:rsidR="00C82085" w:rsidRPr="00CE39FB" w:rsidRDefault="127897C8" w:rsidP="007B69F2">
            <w:pPr>
              <w:jc w:val="center"/>
              <w:rPr>
                <w:noProof/>
                <w:sz w:val="20"/>
              </w:rPr>
            </w:pPr>
            <w:r w:rsidRPr="00CE39FB">
              <w:rPr>
                <w:noProof/>
                <w:sz w:val="20"/>
                <w:szCs w:val="20"/>
              </w:rPr>
              <w:t>Year</w:t>
            </w:r>
            <w:r w:rsidR="00C82085" w:rsidRPr="00CE39FB">
              <w:rPr>
                <w:noProof/>
                <w:sz w:val="22"/>
              </w:rPr>
              <w:br/>
            </w:r>
            <w:r w:rsidRPr="00CE39FB">
              <w:rPr>
                <w:b/>
                <w:bCs/>
                <w:noProof/>
                <w:sz w:val="20"/>
                <w:szCs w:val="20"/>
              </w:rPr>
              <w:t>2028+</w:t>
            </w:r>
          </w:p>
        </w:tc>
        <w:tc>
          <w:tcPr>
            <w:tcW w:w="2604" w:type="dxa"/>
            <w:gridSpan w:val="3"/>
            <w:vAlign w:val="center"/>
          </w:tcPr>
          <w:p w14:paraId="12542A3A" w14:textId="77777777" w:rsidR="00C82085" w:rsidRPr="008D6611" w:rsidRDefault="00C82085" w:rsidP="007B69F2">
            <w:pPr>
              <w:jc w:val="center"/>
              <w:rPr>
                <w:b/>
                <w:noProof/>
                <w:sz w:val="18"/>
              </w:rPr>
            </w:pPr>
            <w:r w:rsidRPr="008D6611">
              <w:rPr>
                <w:noProof/>
                <w:sz w:val="18"/>
              </w:rPr>
              <w:t xml:space="preserve">Enter as many years as necessary to show the duration of the impact (see point 1.6) </w:t>
            </w:r>
          </w:p>
        </w:tc>
        <w:tc>
          <w:tcPr>
            <w:tcW w:w="1777" w:type="dxa"/>
            <w:vAlign w:val="center"/>
          </w:tcPr>
          <w:p w14:paraId="41E49E3B" w14:textId="77777777" w:rsidR="00C82085" w:rsidRPr="00CE39FB" w:rsidRDefault="00C82085" w:rsidP="007B69F2">
            <w:pPr>
              <w:jc w:val="center"/>
              <w:rPr>
                <w:b/>
                <w:noProof/>
                <w:sz w:val="20"/>
              </w:rPr>
            </w:pPr>
            <w:r w:rsidRPr="00CE39FB">
              <w:rPr>
                <w:b/>
                <w:noProof/>
                <w:sz w:val="20"/>
              </w:rPr>
              <w:t>TOTAL</w:t>
            </w:r>
          </w:p>
        </w:tc>
      </w:tr>
      <w:tr w:rsidR="00CE39FB" w:rsidRPr="00CE39FB" w14:paraId="290F15FB" w14:textId="77777777" w:rsidTr="59744C64">
        <w:trPr>
          <w:gridAfter w:val="10"/>
          <w:wAfter w:w="9947" w:type="dxa"/>
        </w:trPr>
        <w:tc>
          <w:tcPr>
            <w:tcW w:w="3960" w:type="dxa"/>
            <w:vAlign w:val="center"/>
          </w:tcPr>
          <w:p w14:paraId="0F3CC2EF" w14:textId="77777777" w:rsidR="00C82085" w:rsidRPr="00CE39FB" w:rsidRDefault="00C82085">
            <w:pPr>
              <w:spacing w:before="60" w:after="60"/>
              <w:jc w:val="center"/>
              <w:rPr>
                <w:noProof/>
              </w:rPr>
            </w:pPr>
            <w:r w:rsidRPr="00CE39FB">
              <w:rPr>
                <w:noProof/>
                <w:sz w:val="22"/>
              </w:rPr>
              <w:t>DG: CONNECT</w:t>
            </w:r>
          </w:p>
        </w:tc>
      </w:tr>
      <w:tr w:rsidR="00CE39FB" w:rsidRPr="00CE39FB" w14:paraId="5B496D3B" w14:textId="77777777" w:rsidTr="59744C64">
        <w:trPr>
          <w:trHeight w:val="313"/>
        </w:trPr>
        <w:tc>
          <w:tcPr>
            <w:tcW w:w="6054" w:type="dxa"/>
            <w:gridSpan w:val="3"/>
            <w:vAlign w:val="center"/>
          </w:tcPr>
          <w:p w14:paraId="42CAF8C7" w14:textId="77777777" w:rsidR="00C82085" w:rsidRPr="00CE39FB" w:rsidRDefault="00C82085">
            <w:pPr>
              <w:spacing w:before="20" w:after="20"/>
              <w:rPr>
                <w:noProof/>
              </w:rPr>
            </w:pPr>
            <w:r w:rsidRPr="00CE39FB">
              <w:rPr>
                <w:rFonts w:ascii="Wingdings" w:eastAsia="Wingdings" w:hAnsi="Wingdings" w:cs="Wingdings"/>
                <w:noProof/>
                <w:sz w:val="22"/>
              </w:rPr>
              <w:t>□</w:t>
            </w:r>
            <w:r w:rsidRPr="00CE39FB">
              <w:rPr>
                <w:noProof/>
                <w:sz w:val="22"/>
              </w:rPr>
              <w:t xml:space="preserve"> Human resources </w:t>
            </w:r>
          </w:p>
        </w:tc>
        <w:tc>
          <w:tcPr>
            <w:tcW w:w="868" w:type="dxa"/>
            <w:vAlign w:val="center"/>
          </w:tcPr>
          <w:p w14:paraId="7FB6C5C7" w14:textId="77777777" w:rsidR="00C82085" w:rsidRPr="00CE39FB" w:rsidRDefault="00C82085">
            <w:pPr>
              <w:spacing w:before="20" w:after="20"/>
              <w:jc w:val="right"/>
              <w:rPr>
                <w:noProof/>
                <w:sz w:val="20"/>
              </w:rPr>
            </w:pPr>
            <w:r w:rsidRPr="00CE39FB">
              <w:rPr>
                <w:noProof/>
                <w:sz w:val="20"/>
              </w:rPr>
              <w:t>0,786</w:t>
            </w:r>
          </w:p>
        </w:tc>
        <w:tc>
          <w:tcPr>
            <w:tcW w:w="868" w:type="dxa"/>
            <w:vAlign w:val="center"/>
          </w:tcPr>
          <w:p w14:paraId="21CE5B2E" w14:textId="77777777" w:rsidR="00C82085" w:rsidRPr="00CE39FB" w:rsidRDefault="00C82085">
            <w:pPr>
              <w:spacing w:before="20" w:after="20"/>
              <w:jc w:val="right"/>
              <w:rPr>
                <w:noProof/>
                <w:sz w:val="20"/>
              </w:rPr>
            </w:pPr>
            <w:r w:rsidRPr="00CE39FB">
              <w:rPr>
                <w:noProof/>
                <w:sz w:val="20"/>
              </w:rPr>
              <w:t>0,786</w:t>
            </w:r>
          </w:p>
        </w:tc>
        <w:tc>
          <w:tcPr>
            <w:tcW w:w="868" w:type="dxa"/>
            <w:vAlign w:val="center"/>
          </w:tcPr>
          <w:p w14:paraId="048CBF2B" w14:textId="77777777" w:rsidR="00C82085" w:rsidRPr="00CE39FB" w:rsidRDefault="00C82085">
            <w:pPr>
              <w:spacing w:before="20" w:after="20"/>
              <w:jc w:val="right"/>
              <w:rPr>
                <w:noProof/>
                <w:sz w:val="20"/>
              </w:rPr>
            </w:pPr>
            <w:r w:rsidRPr="00CE39FB">
              <w:rPr>
                <w:noProof/>
                <w:sz w:val="20"/>
              </w:rPr>
              <w:t>0,786</w:t>
            </w:r>
          </w:p>
        </w:tc>
        <w:tc>
          <w:tcPr>
            <w:tcW w:w="868" w:type="dxa"/>
            <w:vAlign w:val="center"/>
          </w:tcPr>
          <w:p w14:paraId="268E84BA" w14:textId="77777777" w:rsidR="00C82085" w:rsidRPr="00CE39FB" w:rsidRDefault="00C82085">
            <w:pPr>
              <w:spacing w:before="20" w:after="20"/>
              <w:jc w:val="right"/>
              <w:rPr>
                <w:noProof/>
                <w:sz w:val="20"/>
              </w:rPr>
            </w:pPr>
            <w:r w:rsidRPr="00CE39FB">
              <w:rPr>
                <w:noProof/>
                <w:sz w:val="20"/>
              </w:rPr>
              <w:t>p.m.</w:t>
            </w:r>
          </w:p>
        </w:tc>
        <w:tc>
          <w:tcPr>
            <w:tcW w:w="868" w:type="dxa"/>
            <w:vAlign w:val="center"/>
          </w:tcPr>
          <w:p w14:paraId="44869E93" w14:textId="77777777" w:rsidR="00C82085" w:rsidRPr="00CE39FB" w:rsidRDefault="00C82085">
            <w:pPr>
              <w:spacing w:before="20" w:after="20"/>
              <w:jc w:val="right"/>
              <w:rPr>
                <w:noProof/>
                <w:sz w:val="20"/>
              </w:rPr>
            </w:pPr>
          </w:p>
        </w:tc>
        <w:tc>
          <w:tcPr>
            <w:tcW w:w="868" w:type="dxa"/>
            <w:vAlign w:val="center"/>
          </w:tcPr>
          <w:p w14:paraId="7B7E406B" w14:textId="77777777" w:rsidR="00C82085" w:rsidRPr="00CE39FB" w:rsidRDefault="00C82085">
            <w:pPr>
              <w:spacing w:before="20" w:after="20"/>
              <w:jc w:val="right"/>
              <w:rPr>
                <w:noProof/>
                <w:sz w:val="20"/>
              </w:rPr>
            </w:pPr>
          </w:p>
        </w:tc>
        <w:tc>
          <w:tcPr>
            <w:tcW w:w="868" w:type="dxa"/>
            <w:vAlign w:val="center"/>
          </w:tcPr>
          <w:p w14:paraId="357A52F7" w14:textId="77777777" w:rsidR="00C82085" w:rsidRPr="00CE39FB" w:rsidRDefault="00C82085">
            <w:pPr>
              <w:spacing w:before="20" w:after="20"/>
              <w:jc w:val="right"/>
              <w:rPr>
                <w:b/>
                <w:noProof/>
                <w:sz w:val="20"/>
              </w:rPr>
            </w:pPr>
          </w:p>
        </w:tc>
        <w:tc>
          <w:tcPr>
            <w:tcW w:w="1777" w:type="dxa"/>
            <w:vAlign w:val="center"/>
          </w:tcPr>
          <w:p w14:paraId="30CD9E94" w14:textId="77777777" w:rsidR="00C82085" w:rsidRPr="00CE39FB" w:rsidRDefault="00C82085">
            <w:pPr>
              <w:spacing w:before="20" w:after="20"/>
              <w:jc w:val="right"/>
              <w:rPr>
                <w:b/>
                <w:noProof/>
                <w:sz w:val="20"/>
              </w:rPr>
            </w:pPr>
            <w:r w:rsidRPr="00CE39FB">
              <w:rPr>
                <w:b/>
                <w:noProof/>
                <w:sz w:val="20"/>
              </w:rPr>
              <w:t>2,358</w:t>
            </w:r>
          </w:p>
        </w:tc>
      </w:tr>
      <w:tr w:rsidR="00CE39FB" w:rsidRPr="00CE39FB" w14:paraId="1DD2A362" w14:textId="77777777" w:rsidTr="59744C64">
        <w:trPr>
          <w:trHeight w:val="351"/>
        </w:trPr>
        <w:tc>
          <w:tcPr>
            <w:tcW w:w="6054" w:type="dxa"/>
            <w:gridSpan w:val="3"/>
            <w:vAlign w:val="center"/>
          </w:tcPr>
          <w:p w14:paraId="2AF045A1" w14:textId="77777777" w:rsidR="00C82085" w:rsidRPr="00CE39FB" w:rsidRDefault="00C82085">
            <w:pPr>
              <w:spacing w:before="20" w:after="20"/>
              <w:rPr>
                <w:noProof/>
              </w:rPr>
            </w:pPr>
            <w:r w:rsidRPr="00CE39FB">
              <w:rPr>
                <w:rFonts w:ascii="Wingdings" w:eastAsia="Wingdings" w:hAnsi="Wingdings" w:cs="Wingdings"/>
                <w:noProof/>
                <w:sz w:val="22"/>
              </w:rPr>
              <w:t>□</w:t>
            </w:r>
            <w:r w:rsidRPr="00CE39FB">
              <w:rPr>
                <w:noProof/>
                <w:sz w:val="22"/>
              </w:rPr>
              <w:t xml:space="preserve"> Other administrative expenditure </w:t>
            </w:r>
          </w:p>
        </w:tc>
        <w:tc>
          <w:tcPr>
            <w:tcW w:w="868" w:type="dxa"/>
            <w:vAlign w:val="center"/>
          </w:tcPr>
          <w:p w14:paraId="5EABF91E" w14:textId="77777777" w:rsidR="00C82085" w:rsidRPr="00CE39FB" w:rsidRDefault="00C82085">
            <w:pPr>
              <w:spacing w:before="20" w:after="20"/>
              <w:jc w:val="right"/>
              <w:rPr>
                <w:bCs/>
                <w:noProof/>
                <w:sz w:val="20"/>
              </w:rPr>
            </w:pPr>
            <w:r w:rsidRPr="00CE39FB">
              <w:rPr>
                <w:bCs/>
                <w:noProof/>
                <w:sz w:val="20"/>
              </w:rPr>
              <w:t>0,035</w:t>
            </w:r>
          </w:p>
        </w:tc>
        <w:tc>
          <w:tcPr>
            <w:tcW w:w="868" w:type="dxa"/>
            <w:vAlign w:val="center"/>
          </w:tcPr>
          <w:p w14:paraId="0680E69E" w14:textId="77777777" w:rsidR="00C82085" w:rsidRPr="00CE39FB" w:rsidRDefault="00C82085">
            <w:pPr>
              <w:spacing w:before="20" w:after="20"/>
              <w:jc w:val="right"/>
              <w:rPr>
                <w:bCs/>
                <w:noProof/>
                <w:sz w:val="20"/>
              </w:rPr>
            </w:pPr>
            <w:r w:rsidRPr="00CE39FB">
              <w:rPr>
                <w:bCs/>
                <w:noProof/>
                <w:sz w:val="20"/>
              </w:rPr>
              <w:t>0,035</w:t>
            </w:r>
          </w:p>
        </w:tc>
        <w:tc>
          <w:tcPr>
            <w:tcW w:w="868" w:type="dxa"/>
            <w:vAlign w:val="center"/>
          </w:tcPr>
          <w:p w14:paraId="1A1BF266" w14:textId="77777777" w:rsidR="00C82085" w:rsidRPr="00CE39FB" w:rsidRDefault="00C82085">
            <w:pPr>
              <w:spacing w:before="20" w:after="20"/>
              <w:jc w:val="right"/>
              <w:rPr>
                <w:bCs/>
                <w:noProof/>
                <w:sz w:val="20"/>
              </w:rPr>
            </w:pPr>
            <w:r w:rsidRPr="00CE39FB">
              <w:rPr>
                <w:bCs/>
                <w:noProof/>
                <w:sz w:val="20"/>
              </w:rPr>
              <w:t>0,035</w:t>
            </w:r>
          </w:p>
        </w:tc>
        <w:tc>
          <w:tcPr>
            <w:tcW w:w="868" w:type="dxa"/>
            <w:vAlign w:val="center"/>
          </w:tcPr>
          <w:p w14:paraId="3D2EF2F8" w14:textId="77777777" w:rsidR="00C82085" w:rsidRPr="00CE39FB" w:rsidRDefault="00C82085">
            <w:pPr>
              <w:spacing w:before="20" w:after="20"/>
              <w:jc w:val="right"/>
              <w:rPr>
                <w:b/>
                <w:noProof/>
                <w:sz w:val="20"/>
              </w:rPr>
            </w:pPr>
            <w:r w:rsidRPr="00CE39FB">
              <w:rPr>
                <w:noProof/>
                <w:sz w:val="20"/>
              </w:rPr>
              <w:t>p.m.</w:t>
            </w:r>
          </w:p>
        </w:tc>
        <w:tc>
          <w:tcPr>
            <w:tcW w:w="868" w:type="dxa"/>
            <w:vAlign w:val="center"/>
          </w:tcPr>
          <w:p w14:paraId="4D2BEB9C" w14:textId="77777777" w:rsidR="00C82085" w:rsidRPr="00CE39FB" w:rsidRDefault="00C82085">
            <w:pPr>
              <w:spacing w:before="20" w:after="20"/>
              <w:jc w:val="right"/>
              <w:rPr>
                <w:b/>
                <w:noProof/>
                <w:sz w:val="20"/>
              </w:rPr>
            </w:pPr>
          </w:p>
        </w:tc>
        <w:tc>
          <w:tcPr>
            <w:tcW w:w="868" w:type="dxa"/>
            <w:vAlign w:val="center"/>
          </w:tcPr>
          <w:p w14:paraId="28FA9F82" w14:textId="77777777" w:rsidR="00C82085" w:rsidRPr="00CE39FB" w:rsidRDefault="00C82085">
            <w:pPr>
              <w:spacing w:before="20" w:after="20"/>
              <w:jc w:val="right"/>
              <w:rPr>
                <w:b/>
                <w:noProof/>
                <w:sz w:val="20"/>
              </w:rPr>
            </w:pPr>
          </w:p>
        </w:tc>
        <w:tc>
          <w:tcPr>
            <w:tcW w:w="868" w:type="dxa"/>
            <w:vAlign w:val="center"/>
          </w:tcPr>
          <w:p w14:paraId="31C5FDEB" w14:textId="77777777" w:rsidR="00C82085" w:rsidRPr="00CE39FB" w:rsidRDefault="00C82085">
            <w:pPr>
              <w:spacing w:before="20" w:after="20"/>
              <w:jc w:val="right"/>
              <w:rPr>
                <w:b/>
                <w:noProof/>
                <w:sz w:val="20"/>
              </w:rPr>
            </w:pPr>
          </w:p>
        </w:tc>
        <w:tc>
          <w:tcPr>
            <w:tcW w:w="1777" w:type="dxa"/>
            <w:vAlign w:val="center"/>
          </w:tcPr>
          <w:p w14:paraId="13AAE2FC" w14:textId="77777777" w:rsidR="00C82085" w:rsidRPr="00CE39FB" w:rsidRDefault="00C82085">
            <w:pPr>
              <w:spacing w:before="20" w:after="20"/>
              <w:jc w:val="right"/>
              <w:rPr>
                <w:b/>
                <w:noProof/>
                <w:sz w:val="20"/>
              </w:rPr>
            </w:pPr>
            <w:r w:rsidRPr="00CE39FB">
              <w:rPr>
                <w:b/>
                <w:noProof/>
                <w:sz w:val="20"/>
              </w:rPr>
              <w:t>0,105</w:t>
            </w:r>
          </w:p>
        </w:tc>
      </w:tr>
      <w:tr w:rsidR="00CE39FB" w:rsidRPr="00CE39FB" w14:paraId="6E169CAF" w14:textId="77777777" w:rsidTr="59744C64">
        <w:tc>
          <w:tcPr>
            <w:tcW w:w="3960" w:type="dxa"/>
            <w:vAlign w:val="center"/>
          </w:tcPr>
          <w:p w14:paraId="34D2A52B" w14:textId="77777777" w:rsidR="00C82085" w:rsidRPr="00CE39FB" w:rsidRDefault="00C82085">
            <w:pPr>
              <w:jc w:val="center"/>
              <w:rPr>
                <w:b/>
                <w:noProof/>
              </w:rPr>
            </w:pPr>
            <w:r w:rsidRPr="00CE39FB">
              <w:rPr>
                <w:b/>
                <w:noProof/>
                <w:sz w:val="22"/>
              </w:rPr>
              <w:t>TOTAL DG CONNECT</w:t>
            </w:r>
          </w:p>
        </w:tc>
        <w:tc>
          <w:tcPr>
            <w:tcW w:w="2094" w:type="dxa"/>
            <w:gridSpan w:val="2"/>
            <w:vAlign w:val="center"/>
          </w:tcPr>
          <w:p w14:paraId="10172FCD" w14:textId="77777777" w:rsidR="00C82085" w:rsidRPr="00CE39FB" w:rsidRDefault="00C82085">
            <w:pPr>
              <w:rPr>
                <w:noProof/>
                <w:sz w:val="14"/>
              </w:rPr>
            </w:pPr>
            <w:r w:rsidRPr="00CE39FB">
              <w:rPr>
                <w:noProof/>
                <w:sz w:val="18"/>
              </w:rPr>
              <w:t xml:space="preserve">Appropriations </w:t>
            </w:r>
          </w:p>
        </w:tc>
        <w:tc>
          <w:tcPr>
            <w:tcW w:w="868" w:type="dxa"/>
            <w:vAlign w:val="center"/>
          </w:tcPr>
          <w:p w14:paraId="64918265" w14:textId="77777777" w:rsidR="00C82085" w:rsidRPr="00CE39FB" w:rsidRDefault="00C82085">
            <w:pPr>
              <w:spacing w:before="60" w:after="60"/>
              <w:jc w:val="right"/>
              <w:rPr>
                <w:b/>
                <w:bCs/>
                <w:noProof/>
                <w:sz w:val="20"/>
              </w:rPr>
            </w:pPr>
            <w:r w:rsidRPr="00CE39FB">
              <w:rPr>
                <w:b/>
                <w:bCs/>
                <w:noProof/>
                <w:sz w:val="20"/>
              </w:rPr>
              <w:t>0,821</w:t>
            </w:r>
          </w:p>
        </w:tc>
        <w:tc>
          <w:tcPr>
            <w:tcW w:w="868" w:type="dxa"/>
            <w:vAlign w:val="center"/>
          </w:tcPr>
          <w:p w14:paraId="3D443C00" w14:textId="77777777" w:rsidR="00C82085" w:rsidRPr="00CE39FB" w:rsidRDefault="00C82085">
            <w:pPr>
              <w:spacing w:before="20" w:after="20"/>
              <w:jc w:val="right"/>
              <w:rPr>
                <w:noProof/>
                <w:sz w:val="20"/>
              </w:rPr>
            </w:pPr>
            <w:r w:rsidRPr="00CE39FB">
              <w:rPr>
                <w:b/>
                <w:bCs/>
                <w:noProof/>
                <w:sz w:val="20"/>
              </w:rPr>
              <w:t>0,821</w:t>
            </w:r>
          </w:p>
        </w:tc>
        <w:tc>
          <w:tcPr>
            <w:tcW w:w="868" w:type="dxa"/>
            <w:vAlign w:val="center"/>
          </w:tcPr>
          <w:p w14:paraId="7DBEA7A2" w14:textId="77777777" w:rsidR="00C82085" w:rsidRPr="00CE39FB" w:rsidRDefault="00C82085">
            <w:pPr>
              <w:spacing w:before="20" w:after="20"/>
              <w:jc w:val="right"/>
              <w:rPr>
                <w:noProof/>
                <w:sz w:val="20"/>
              </w:rPr>
            </w:pPr>
            <w:r w:rsidRPr="00CE39FB">
              <w:rPr>
                <w:b/>
                <w:bCs/>
                <w:noProof/>
                <w:sz w:val="20"/>
              </w:rPr>
              <w:t>0,821</w:t>
            </w:r>
          </w:p>
        </w:tc>
        <w:tc>
          <w:tcPr>
            <w:tcW w:w="868" w:type="dxa"/>
            <w:vAlign w:val="center"/>
          </w:tcPr>
          <w:p w14:paraId="1631F7AD" w14:textId="77777777" w:rsidR="00C82085" w:rsidRPr="00CE39FB" w:rsidRDefault="00C82085">
            <w:pPr>
              <w:spacing w:before="20" w:after="20"/>
              <w:jc w:val="right"/>
              <w:rPr>
                <w:noProof/>
                <w:sz w:val="20"/>
              </w:rPr>
            </w:pPr>
          </w:p>
        </w:tc>
        <w:tc>
          <w:tcPr>
            <w:tcW w:w="868" w:type="dxa"/>
            <w:vAlign w:val="center"/>
          </w:tcPr>
          <w:p w14:paraId="15F76B36" w14:textId="77777777" w:rsidR="00C82085" w:rsidRPr="00CE39FB" w:rsidRDefault="00C82085">
            <w:pPr>
              <w:spacing w:before="20" w:after="20"/>
              <w:jc w:val="right"/>
              <w:rPr>
                <w:noProof/>
                <w:sz w:val="20"/>
              </w:rPr>
            </w:pPr>
          </w:p>
        </w:tc>
        <w:tc>
          <w:tcPr>
            <w:tcW w:w="868" w:type="dxa"/>
            <w:vAlign w:val="center"/>
          </w:tcPr>
          <w:p w14:paraId="4FD8B568" w14:textId="77777777" w:rsidR="00C82085" w:rsidRPr="00CE39FB" w:rsidRDefault="00C82085">
            <w:pPr>
              <w:spacing w:before="20" w:after="20"/>
              <w:jc w:val="right"/>
              <w:rPr>
                <w:noProof/>
                <w:sz w:val="20"/>
              </w:rPr>
            </w:pPr>
          </w:p>
        </w:tc>
        <w:tc>
          <w:tcPr>
            <w:tcW w:w="868" w:type="dxa"/>
            <w:vAlign w:val="center"/>
          </w:tcPr>
          <w:p w14:paraId="47B438DD" w14:textId="77777777" w:rsidR="00C82085" w:rsidRPr="00CE39FB" w:rsidRDefault="00C82085">
            <w:pPr>
              <w:spacing w:before="20" w:after="20"/>
              <w:jc w:val="right"/>
              <w:rPr>
                <w:b/>
                <w:noProof/>
                <w:sz w:val="20"/>
              </w:rPr>
            </w:pPr>
          </w:p>
        </w:tc>
        <w:tc>
          <w:tcPr>
            <w:tcW w:w="1777" w:type="dxa"/>
            <w:vAlign w:val="center"/>
          </w:tcPr>
          <w:p w14:paraId="67F64735" w14:textId="77777777" w:rsidR="00C82085" w:rsidRPr="00CE39FB" w:rsidRDefault="00C82085">
            <w:pPr>
              <w:spacing w:before="20" w:after="20"/>
              <w:jc w:val="right"/>
              <w:rPr>
                <w:b/>
                <w:noProof/>
                <w:sz w:val="20"/>
              </w:rPr>
            </w:pPr>
            <w:r w:rsidRPr="00CE39FB">
              <w:rPr>
                <w:b/>
                <w:noProof/>
                <w:sz w:val="20"/>
              </w:rPr>
              <w:t>2,463</w:t>
            </w:r>
          </w:p>
        </w:tc>
      </w:tr>
    </w:tbl>
    <w:p w14:paraId="7485DD02" w14:textId="77777777" w:rsidR="004770F6" w:rsidRPr="00CE39FB" w:rsidRDefault="004770F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CE39FB" w:rsidRPr="00CE39FB" w14:paraId="6629DC5E" w14:textId="77777777">
        <w:tc>
          <w:tcPr>
            <w:tcW w:w="3960" w:type="dxa"/>
            <w:shd w:val="thinDiagStripe" w:color="C0C0C0" w:fill="auto"/>
            <w:vAlign w:val="center"/>
          </w:tcPr>
          <w:p w14:paraId="4E7C843F" w14:textId="77777777" w:rsidR="00381AD6" w:rsidRPr="008D6611" w:rsidRDefault="00381AD6">
            <w:pPr>
              <w:jc w:val="center"/>
              <w:rPr>
                <w:b/>
                <w:noProof/>
              </w:rPr>
            </w:pPr>
            <w:r w:rsidRPr="008D6611">
              <w:rPr>
                <w:b/>
                <w:noProof/>
                <w:sz w:val="22"/>
              </w:rPr>
              <w:t>TOTAL appropriations</w:t>
            </w:r>
            <w:r w:rsidRPr="008D6611">
              <w:rPr>
                <w:noProof/>
                <w:sz w:val="22"/>
              </w:rPr>
              <w:br/>
            </w:r>
            <w:r w:rsidRPr="008D6611">
              <w:rPr>
                <w:b/>
                <w:noProof/>
                <w:sz w:val="22"/>
              </w:rPr>
              <w:t>under HEADING 7</w:t>
            </w:r>
            <w:r w:rsidRPr="008D6611">
              <w:rPr>
                <w:noProof/>
                <w:sz w:val="22"/>
              </w:rPr>
              <w:br/>
              <w:t>of the multiannual financial framework</w:t>
            </w:r>
            <w:r w:rsidRPr="008D6611">
              <w:rPr>
                <w:b/>
                <w:noProof/>
                <w:sz w:val="22"/>
              </w:rPr>
              <w:t xml:space="preserve"> </w:t>
            </w:r>
          </w:p>
        </w:tc>
        <w:tc>
          <w:tcPr>
            <w:tcW w:w="2094" w:type="dxa"/>
            <w:vAlign w:val="center"/>
          </w:tcPr>
          <w:p w14:paraId="19EA3BBB" w14:textId="77777777" w:rsidR="00381AD6" w:rsidRPr="00CE39FB" w:rsidRDefault="00381AD6">
            <w:pPr>
              <w:spacing w:before="40" w:after="40"/>
              <w:rPr>
                <w:noProof/>
              </w:rPr>
            </w:pPr>
            <w:r w:rsidRPr="00CE39FB">
              <w:rPr>
                <w:noProof/>
                <w:sz w:val="18"/>
              </w:rPr>
              <w:t>(Total commitments = Total payments)</w:t>
            </w:r>
          </w:p>
        </w:tc>
        <w:tc>
          <w:tcPr>
            <w:tcW w:w="868" w:type="dxa"/>
            <w:vAlign w:val="center"/>
          </w:tcPr>
          <w:p w14:paraId="4A023C6A" w14:textId="77777777" w:rsidR="00381AD6" w:rsidRPr="00CE39FB" w:rsidRDefault="00381AD6">
            <w:pPr>
              <w:spacing w:before="20" w:after="20"/>
              <w:jc w:val="right"/>
              <w:rPr>
                <w:noProof/>
                <w:sz w:val="20"/>
              </w:rPr>
            </w:pPr>
            <w:r w:rsidRPr="00CE39FB">
              <w:rPr>
                <w:b/>
                <w:bCs/>
                <w:noProof/>
                <w:sz w:val="20"/>
              </w:rPr>
              <w:t>0,821</w:t>
            </w:r>
          </w:p>
        </w:tc>
        <w:tc>
          <w:tcPr>
            <w:tcW w:w="868" w:type="dxa"/>
            <w:vAlign w:val="center"/>
          </w:tcPr>
          <w:p w14:paraId="52D49349" w14:textId="77777777" w:rsidR="00381AD6" w:rsidRPr="00CE39FB" w:rsidRDefault="00381AD6">
            <w:pPr>
              <w:spacing w:before="20" w:after="20"/>
              <w:jc w:val="right"/>
              <w:rPr>
                <w:noProof/>
                <w:sz w:val="20"/>
              </w:rPr>
            </w:pPr>
            <w:r w:rsidRPr="00CE39FB">
              <w:rPr>
                <w:b/>
                <w:bCs/>
                <w:noProof/>
                <w:sz w:val="20"/>
              </w:rPr>
              <w:t>0,821</w:t>
            </w:r>
          </w:p>
        </w:tc>
        <w:tc>
          <w:tcPr>
            <w:tcW w:w="868" w:type="dxa"/>
            <w:vAlign w:val="center"/>
          </w:tcPr>
          <w:p w14:paraId="40233D1F" w14:textId="77777777" w:rsidR="00381AD6" w:rsidRPr="00CE39FB" w:rsidRDefault="00381AD6">
            <w:pPr>
              <w:spacing w:before="20" w:after="20"/>
              <w:jc w:val="right"/>
              <w:rPr>
                <w:noProof/>
                <w:sz w:val="20"/>
              </w:rPr>
            </w:pPr>
            <w:r w:rsidRPr="00CE39FB">
              <w:rPr>
                <w:b/>
                <w:bCs/>
                <w:noProof/>
                <w:sz w:val="20"/>
              </w:rPr>
              <w:t>0,821</w:t>
            </w:r>
          </w:p>
        </w:tc>
        <w:tc>
          <w:tcPr>
            <w:tcW w:w="868" w:type="dxa"/>
            <w:vAlign w:val="center"/>
          </w:tcPr>
          <w:p w14:paraId="22ECB3CB" w14:textId="77777777" w:rsidR="00381AD6" w:rsidRPr="00CE39FB" w:rsidRDefault="00381AD6">
            <w:pPr>
              <w:spacing w:before="20" w:after="20"/>
              <w:jc w:val="right"/>
              <w:rPr>
                <w:noProof/>
                <w:sz w:val="20"/>
              </w:rPr>
            </w:pPr>
          </w:p>
        </w:tc>
        <w:tc>
          <w:tcPr>
            <w:tcW w:w="868" w:type="dxa"/>
            <w:vAlign w:val="center"/>
          </w:tcPr>
          <w:p w14:paraId="6DBA2AF1" w14:textId="77777777" w:rsidR="00381AD6" w:rsidRPr="00CE39FB" w:rsidRDefault="00381AD6">
            <w:pPr>
              <w:spacing w:before="20" w:after="20"/>
              <w:jc w:val="right"/>
              <w:rPr>
                <w:noProof/>
                <w:sz w:val="20"/>
              </w:rPr>
            </w:pPr>
          </w:p>
        </w:tc>
        <w:tc>
          <w:tcPr>
            <w:tcW w:w="868" w:type="dxa"/>
            <w:vAlign w:val="center"/>
          </w:tcPr>
          <w:p w14:paraId="1A0E423C" w14:textId="77777777" w:rsidR="00381AD6" w:rsidRPr="00CE39FB" w:rsidRDefault="00381AD6">
            <w:pPr>
              <w:spacing w:before="20" w:after="20"/>
              <w:jc w:val="right"/>
              <w:rPr>
                <w:noProof/>
                <w:sz w:val="20"/>
              </w:rPr>
            </w:pPr>
          </w:p>
        </w:tc>
        <w:tc>
          <w:tcPr>
            <w:tcW w:w="868" w:type="dxa"/>
            <w:vAlign w:val="center"/>
          </w:tcPr>
          <w:p w14:paraId="300FB3D1" w14:textId="77777777" w:rsidR="00381AD6" w:rsidRPr="00CE39FB" w:rsidRDefault="00381AD6">
            <w:pPr>
              <w:spacing w:before="20" w:after="20"/>
              <w:jc w:val="right"/>
              <w:rPr>
                <w:b/>
                <w:noProof/>
                <w:sz w:val="20"/>
              </w:rPr>
            </w:pPr>
          </w:p>
        </w:tc>
        <w:tc>
          <w:tcPr>
            <w:tcW w:w="1777" w:type="dxa"/>
            <w:vAlign w:val="center"/>
          </w:tcPr>
          <w:p w14:paraId="65721F5B" w14:textId="77777777" w:rsidR="00381AD6" w:rsidRPr="00CE39FB" w:rsidRDefault="00381AD6">
            <w:pPr>
              <w:spacing w:before="20" w:after="20"/>
              <w:jc w:val="right"/>
              <w:rPr>
                <w:b/>
                <w:noProof/>
                <w:sz w:val="20"/>
              </w:rPr>
            </w:pPr>
            <w:r w:rsidRPr="00CE39FB">
              <w:rPr>
                <w:b/>
                <w:noProof/>
                <w:sz w:val="20"/>
              </w:rPr>
              <w:t>2,463</w:t>
            </w:r>
          </w:p>
        </w:tc>
      </w:tr>
    </w:tbl>
    <w:p w14:paraId="6EF7FB15" w14:textId="77777777" w:rsidR="004770F6" w:rsidRPr="008D6611" w:rsidRDefault="004770F6">
      <w:pPr>
        <w:jc w:val="right"/>
        <w:rPr>
          <w:noProof/>
          <w:sz w:val="20"/>
        </w:rPr>
      </w:pPr>
      <w:r w:rsidRPr="008D6611">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E39FB" w:rsidRPr="00CE39FB" w14:paraId="5B7CFD78" w14:textId="77777777" w:rsidTr="59744C64">
        <w:tc>
          <w:tcPr>
            <w:tcW w:w="3960" w:type="dxa"/>
            <w:tcBorders>
              <w:top w:val="nil"/>
              <w:left w:val="nil"/>
              <w:right w:val="nil"/>
            </w:tcBorders>
            <w:vAlign w:val="center"/>
          </w:tcPr>
          <w:p w14:paraId="3A6834EA" w14:textId="77777777" w:rsidR="0081101D" w:rsidRPr="008D6611" w:rsidRDefault="0081101D">
            <w:pPr>
              <w:jc w:val="center"/>
              <w:rPr>
                <w:noProof/>
              </w:rPr>
            </w:pPr>
          </w:p>
        </w:tc>
        <w:tc>
          <w:tcPr>
            <w:tcW w:w="1560" w:type="dxa"/>
            <w:tcBorders>
              <w:top w:val="nil"/>
              <w:left w:val="nil"/>
              <w:right w:val="nil"/>
            </w:tcBorders>
          </w:tcPr>
          <w:p w14:paraId="4AC2B838" w14:textId="77777777" w:rsidR="0081101D" w:rsidRPr="008D6611" w:rsidRDefault="0081101D">
            <w:pPr>
              <w:rPr>
                <w:noProof/>
                <w:sz w:val="20"/>
              </w:rPr>
            </w:pPr>
          </w:p>
        </w:tc>
        <w:tc>
          <w:tcPr>
            <w:tcW w:w="534" w:type="dxa"/>
            <w:tcBorders>
              <w:top w:val="nil"/>
              <w:left w:val="nil"/>
            </w:tcBorders>
          </w:tcPr>
          <w:p w14:paraId="2B221390" w14:textId="77777777" w:rsidR="0081101D" w:rsidRPr="008D6611" w:rsidRDefault="0081101D">
            <w:pPr>
              <w:jc w:val="center"/>
              <w:rPr>
                <w:noProof/>
                <w:sz w:val="20"/>
              </w:rPr>
            </w:pPr>
          </w:p>
        </w:tc>
        <w:tc>
          <w:tcPr>
            <w:tcW w:w="868" w:type="dxa"/>
            <w:vAlign w:val="center"/>
          </w:tcPr>
          <w:p w14:paraId="55553F46" w14:textId="77777777" w:rsidR="0081101D" w:rsidRPr="00CE39FB" w:rsidRDefault="0081101D">
            <w:pPr>
              <w:jc w:val="center"/>
              <w:rPr>
                <w:noProof/>
                <w:sz w:val="20"/>
              </w:rPr>
            </w:pPr>
            <w:r w:rsidRPr="00CE39FB">
              <w:rPr>
                <w:noProof/>
                <w:sz w:val="20"/>
              </w:rPr>
              <w:t>Year</w:t>
            </w:r>
          </w:p>
          <w:p w14:paraId="4269309A" w14:textId="77777777" w:rsidR="0081101D" w:rsidRPr="00CE39FB" w:rsidRDefault="0081101D">
            <w:pPr>
              <w:jc w:val="center"/>
              <w:rPr>
                <w:noProof/>
                <w:sz w:val="20"/>
              </w:rPr>
            </w:pPr>
            <w:r w:rsidRPr="00CE39FB">
              <w:rPr>
                <w:b/>
                <w:noProof/>
                <w:sz w:val="20"/>
              </w:rPr>
              <w:t>2025</w:t>
            </w:r>
          </w:p>
        </w:tc>
        <w:tc>
          <w:tcPr>
            <w:tcW w:w="868" w:type="dxa"/>
            <w:vAlign w:val="center"/>
          </w:tcPr>
          <w:p w14:paraId="587A6B6C" w14:textId="77777777" w:rsidR="0081101D" w:rsidRPr="00CE39FB" w:rsidRDefault="0081101D">
            <w:pPr>
              <w:jc w:val="center"/>
              <w:rPr>
                <w:b/>
                <w:noProof/>
                <w:sz w:val="20"/>
              </w:rPr>
            </w:pPr>
            <w:r w:rsidRPr="00CE39FB">
              <w:rPr>
                <w:noProof/>
                <w:sz w:val="20"/>
              </w:rPr>
              <w:t>Year</w:t>
            </w:r>
          </w:p>
          <w:p w14:paraId="6B77E227" w14:textId="77777777" w:rsidR="0081101D" w:rsidRPr="00CE39FB" w:rsidRDefault="0081101D">
            <w:pPr>
              <w:jc w:val="center"/>
              <w:rPr>
                <w:noProof/>
                <w:sz w:val="20"/>
              </w:rPr>
            </w:pPr>
            <w:r w:rsidRPr="00CE39FB">
              <w:rPr>
                <w:b/>
                <w:noProof/>
                <w:sz w:val="20"/>
              </w:rPr>
              <w:t>2026</w:t>
            </w:r>
          </w:p>
        </w:tc>
        <w:tc>
          <w:tcPr>
            <w:tcW w:w="868" w:type="dxa"/>
            <w:vAlign w:val="center"/>
          </w:tcPr>
          <w:p w14:paraId="712BDCCA" w14:textId="77777777" w:rsidR="0081101D" w:rsidRPr="00CE39FB" w:rsidRDefault="0081101D">
            <w:pPr>
              <w:jc w:val="center"/>
              <w:rPr>
                <w:b/>
                <w:noProof/>
                <w:sz w:val="20"/>
              </w:rPr>
            </w:pPr>
            <w:r w:rsidRPr="00CE39FB">
              <w:rPr>
                <w:noProof/>
                <w:sz w:val="20"/>
              </w:rPr>
              <w:t>Year</w:t>
            </w:r>
          </w:p>
          <w:p w14:paraId="3AC21D81" w14:textId="77777777" w:rsidR="0081101D" w:rsidRPr="00CE39FB" w:rsidRDefault="0081101D">
            <w:pPr>
              <w:jc w:val="center"/>
              <w:rPr>
                <w:noProof/>
                <w:sz w:val="20"/>
              </w:rPr>
            </w:pPr>
            <w:r w:rsidRPr="00CE39FB">
              <w:rPr>
                <w:b/>
                <w:noProof/>
                <w:sz w:val="20"/>
              </w:rPr>
              <w:t>2027</w:t>
            </w:r>
          </w:p>
        </w:tc>
        <w:tc>
          <w:tcPr>
            <w:tcW w:w="868" w:type="dxa"/>
            <w:vAlign w:val="center"/>
          </w:tcPr>
          <w:p w14:paraId="43F2BBE6" w14:textId="77777777" w:rsidR="0081101D" w:rsidRPr="00CE39FB" w:rsidRDefault="5A61F46A">
            <w:pPr>
              <w:jc w:val="center"/>
              <w:rPr>
                <w:noProof/>
                <w:sz w:val="20"/>
              </w:rPr>
            </w:pPr>
            <w:r w:rsidRPr="00CE39FB">
              <w:rPr>
                <w:noProof/>
                <w:sz w:val="20"/>
                <w:szCs w:val="20"/>
              </w:rPr>
              <w:t>Year</w:t>
            </w:r>
            <w:r w:rsidR="0081101D" w:rsidRPr="00CE39FB">
              <w:rPr>
                <w:noProof/>
                <w:sz w:val="22"/>
              </w:rPr>
              <w:br/>
            </w:r>
            <w:r w:rsidRPr="00CE39FB">
              <w:rPr>
                <w:b/>
                <w:bCs/>
                <w:noProof/>
                <w:sz w:val="20"/>
                <w:szCs w:val="20"/>
              </w:rPr>
              <w:t>2028+</w:t>
            </w:r>
          </w:p>
        </w:tc>
        <w:tc>
          <w:tcPr>
            <w:tcW w:w="2604" w:type="dxa"/>
            <w:gridSpan w:val="3"/>
            <w:vAlign w:val="center"/>
          </w:tcPr>
          <w:p w14:paraId="521F3ED2" w14:textId="77777777" w:rsidR="0081101D" w:rsidRPr="008D6611" w:rsidRDefault="0081101D">
            <w:pPr>
              <w:jc w:val="center"/>
              <w:rPr>
                <w:b/>
                <w:noProof/>
                <w:sz w:val="18"/>
              </w:rPr>
            </w:pPr>
            <w:r w:rsidRPr="008D6611">
              <w:rPr>
                <w:noProof/>
                <w:sz w:val="18"/>
              </w:rPr>
              <w:t>Enter as many years as necessary to show the duration of the impact (see point 1.6)</w:t>
            </w:r>
          </w:p>
        </w:tc>
        <w:tc>
          <w:tcPr>
            <w:tcW w:w="1777" w:type="dxa"/>
            <w:vAlign w:val="center"/>
          </w:tcPr>
          <w:p w14:paraId="13B9D715" w14:textId="77777777" w:rsidR="0081101D" w:rsidRPr="00CE39FB" w:rsidRDefault="0081101D">
            <w:pPr>
              <w:jc w:val="center"/>
              <w:rPr>
                <w:b/>
                <w:noProof/>
                <w:sz w:val="20"/>
              </w:rPr>
            </w:pPr>
            <w:r w:rsidRPr="00CE39FB">
              <w:rPr>
                <w:b/>
                <w:noProof/>
                <w:sz w:val="20"/>
              </w:rPr>
              <w:t>TOTAL</w:t>
            </w:r>
          </w:p>
        </w:tc>
      </w:tr>
      <w:tr w:rsidR="00CE39FB" w:rsidRPr="00CE39FB" w14:paraId="2FF04EF8" w14:textId="77777777" w:rsidTr="59744C64">
        <w:tc>
          <w:tcPr>
            <w:tcW w:w="3960" w:type="dxa"/>
            <w:vMerge w:val="restart"/>
            <w:shd w:val="clear" w:color="auto" w:fill="C0C0C0"/>
            <w:vAlign w:val="center"/>
          </w:tcPr>
          <w:p w14:paraId="6514D150" w14:textId="77777777" w:rsidR="0081101D" w:rsidRPr="008D6611" w:rsidRDefault="0081101D">
            <w:pPr>
              <w:jc w:val="center"/>
              <w:rPr>
                <w:b/>
                <w:noProof/>
              </w:rPr>
            </w:pPr>
            <w:r w:rsidRPr="008D6611">
              <w:rPr>
                <w:b/>
                <w:noProof/>
                <w:sz w:val="22"/>
              </w:rPr>
              <w:t xml:space="preserve">TOTAL appropriations </w:t>
            </w:r>
            <w:r w:rsidRPr="008D6611">
              <w:rPr>
                <w:noProof/>
                <w:sz w:val="22"/>
              </w:rPr>
              <w:br/>
            </w:r>
            <w:r w:rsidRPr="008D6611">
              <w:rPr>
                <w:b/>
                <w:noProof/>
                <w:sz w:val="22"/>
              </w:rPr>
              <w:t>under HEADINGS 1 to 7</w:t>
            </w:r>
            <w:r w:rsidRPr="008D6611">
              <w:rPr>
                <w:noProof/>
                <w:sz w:val="22"/>
              </w:rPr>
              <w:br/>
              <w:t>of the multiannual financial framework</w:t>
            </w:r>
            <w:r w:rsidRPr="008D6611">
              <w:rPr>
                <w:b/>
                <w:noProof/>
                <w:sz w:val="22"/>
              </w:rPr>
              <w:t xml:space="preserve"> </w:t>
            </w:r>
          </w:p>
        </w:tc>
        <w:tc>
          <w:tcPr>
            <w:tcW w:w="2094" w:type="dxa"/>
            <w:gridSpan w:val="2"/>
            <w:vAlign w:val="center"/>
          </w:tcPr>
          <w:p w14:paraId="6AAED967" w14:textId="77777777" w:rsidR="0081101D" w:rsidRPr="00CE39FB" w:rsidRDefault="0081101D">
            <w:pPr>
              <w:rPr>
                <w:noProof/>
                <w:sz w:val="14"/>
              </w:rPr>
            </w:pPr>
            <w:r w:rsidRPr="00CE39FB">
              <w:rPr>
                <w:noProof/>
                <w:sz w:val="18"/>
              </w:rPr>
              <w:t>Commitments</w:t>
            </w:r>
          </w:p>
        </w:tc>
        <w:tc>
          <w:tcPr>
            <w:tcW w:w="868" w:type="dxa"/>
            <w:vAlign w:val="center"/>
          </w:tcPr>
          <w:p w14:paraId="50D74179" w14:textId="77777777" w:rsidR="0081101D" w:rsidRPr="00CE39FB" w:rsidRDefault="0081101D">
            <w:pPr>
              <w:spacing w:before="60" w:after="60"/>
              <w:jc w:val="right"/>
              <w:rPr>
                <w:b/>
                <w:bCs/>
                <w:noProof/>
                <w:sz w:val="20"/>
              </w:rPr>
            </w:pPr>
            <w:r w:rsidRPr="00CE39FB">
              <w:rPr>
                <w:b/>
                <w:bCs/>
                <w:noProof/>
                <w:sz w:val="20"/>
              </w:rPr>
              <w:t>28,971</w:t>
            </w:r>
          </w:p>
        </w:tc>
        <w:tc>
          <w:tcPr>
            <w:tcW w:w="868" w:type="dxa"/>
            <w:vAlign w:val="center"/>
          </w:tcPr>
          <w:p w14:paraId="6CF79EDD" w14:textId="77777777" w:rsidR="0081101D" w:rsidRPr="00CE39FB" w:rsidRDefault="0081101D">
            <w:pPr>
              <w:spacing w:before="60" w:after="60"/>
              <w:jc w:val="right"/>
              <w:rPr>
                <w:b/>
                <w:bCs/>
                <w:noProof/>
                <w:sz w:val="20"/>
              </w:rPr>
            </w:pPr>
            <w:r w:rsidRPr="00CE39FB">
              <w:rPr>
                <w:b/>
                <w:bCs/>
                <w:noProof/>
                <w:sz w:val="20"/>
              </w:rPr>
              <w:t>38,971</w:t>
            </w:r>
          </w:p>
        </w:tc>
        <w:tc>
          <w:tcPr>
            <w:tcW w:w="868" w:type="dxa"/>
            <w:vAlign w:val="center"/>
          </w:tcPr>
          <w:p w14:paraId="7296714E" w14:textId="77777777" w:rsidR="0081101D" w:rsidRPr="00CE39FB" w:rsidRDefault="0081101D">
            <w:pPr>
              <w:spacing w:before="60" w:after="60"/>
              <w:jc w:val="right"/>
              <w:rPr>
                <w:b/>
                <w:bCs/>
                <w:noProof/>
                <w:sz w:val="20"/>
              </w:rPr>
            </w:pPr>
            <w:r w:rsidRPr="00CE39FB">
              <w:rPr>
                <w:b/>
                <w:bCs/>
                <w:noProof/>
                <w:sz w:val="20"/>
              </w:rPr>
              <w:t>34,971</w:t>
            </w:r>
          </w:p>
        </w:tc>
        <w:tc>
          <w:tcPr>
            <w:tcW w:w="868" w:type="dxa"/>
            <w:vAlign w:val="center"/>
          </w:tcPr>
          <w:p w14:paraId="1085A244" w14:textId="77777777" w:rsidR="0081101D" w:rsidRPr="00CE39FB" w:rsidRDefault="0081101D">
            <w:pPr>
              <w:spacing w:before="60" w:after="60"/>
              <w:jc w:val="right"/>
              <w:rPr>
                <w:b/>
                <w:bCs/>
                <w:noProof/>
                <w:sz w:val="20"/>
              </w:rPr>
            </w:pPr>
            <w:r w:rsidRPr="00CE39FB">
              <w:rPr>
                <w:b/>
                <w:bCs/>
                <w:noProof/>
                <w:sz w:val="20"/>
              </w:rPr>
              <w:t>p.m.</w:t>
            </w:r>
          </w:p>
        </w:tc>
        <w:tc>
          <w:tcPr>
            <w:tcW w:w="868" w:type="dxa"/>
            <w:vAlign w:val="center"/>
          </w:tcPr>
          <w:p w14:paraId="71AED7F4" w14:textId="77777777" w:rsidR="0081101D" w:rsidRPr="00CE39FB" w:rsidRDefault="0081101D">
            <w:pPr>
              <w:spacing w:before="60" w:after="60"/>
              <w:jc w:val="right"/>
              <w:rPr>
                <w:noProof/>
                <w:sz w:val="20"/>
              </w:rPr>
            </w:pPr>
          </w:p>
        </w:tc>
        <w:tc>
          <w:tcPr>
            <w:tcW w:w="868" w:type="dxa"/>
            <w:vAlign w:val="center"/>
          </w:tcPr>
          <w:p w14:paraId="5B9F8FE5" w14:textId="77777777" w:rsidR="0081101D" w:rsidRPr="00CE39FB" w:rsidRDefault="0081101D">
            <w:pPr>
              <w:spacing w:before="60" w:after="60"/>
              <w:jc w:val="right"/>
              <w:rPr>
                <w:noProof/>
                <w:sz w:val="20"/>
              </w:rPr>
            </w:pPr>
          </w:p>
        </w:tc>
        <w:tc>
          <w:tcPr>
            <w:tcW w:w="868" w:type="dxa"/>
            <w:vAlign w:val="center"/>
          </w:tcPr>
          <w:p w14:paraId="13601F88" w14:textId="77777777" w:rsidR="0081101D" w:rsidRPr="00CE39FB" w:rsidRDefault="0081101D">
            <w:pPr>
              <w:spacing w:before="60" w:after="60"/>
              <w:jc w:val="right"/>
              <w:rPr>
                <w:b/>
                <w:noProof/>
                <w:sz w:val="20"/>
              </w:rPr>
            </w:pPr>
          </w:p>
        </w:tc>
        <w:tc>
          <w:tcPr>
            <w:tcW w:w="1777" w:type="dxa"/>
            <w:vAlign w:val="center"/>
          </w:tcPr>
          <w:p w14:paraId="69A667FD" w14:textId="77777777" w:rsidR="0081101D" w:rsidRPr="00CE39FB" w:rsidRDefault="0081101D">
            <w:pPr>
              <w:spacing w:before="60" w:after="60"/>
              <w:jc w:val="right"/>
              <w:rPr>
                <w:b/>
                <w:noProof/>
                <w:sz w:val="20"/>
              </w:rPr>
            </w:pPr>
            <w:r w:rsidRPr="00CE39FB">
              <w:rPr>
                <w:b/>
                <w:noProof/>
                <w:sz w:val="20"/>
              </w:rPr>
              <w:t>102,913</w:t>
            </w:r>
          </w:p>
        </w:tc>
      </w:tr>
      <w:tr w:rsidR="00CE39FB" w:rsidRPr="00CE39FB" w14:paraId="367CABAE" w14:textId="77777777" w:rsidTr="008D6611">
        <w:tc>
          <w:tcPr>
            <w:tcW w:w="3960" w:type="dxa"/>
            <w:vMerge/>
          </w:tcPr>
          <w:p w14:paraId="311255D0" w14:textId="77777777" w:rsidR="0081101D" w:rsidRPr="00CE39FB" w:rsidRDefault="0081101D">
            <w:pPr>
              <w:rPr>
                <w:noProof/>
                <w:sz w:val="20"/>
              </w:rPr>
            </w:pPr>
          </w:p>
        </w:tc>
        <w:tc>
          <w:tcPr>
            <w:tcW w:w="2094" w:type="dxa"/>
            <w:gridSpan w:val="2"/>
            <w:vAlign w:val="center"/>
          </w:tcPr>
          <w:p w14:paraId="2772DE9C" w14:textId="77777777" w:rsidR="0081101D" w:rsidRPr="00CE39FB" w:rsidRDefault="0081101D">
            <w:pPr>
              <w:rPr>
                <w:noProof/>
                <w:sz w:val="14"/>
              </w:rPr>
            </w:pPr>
            <w:r w:rsidRPr="00CE39FB">
              <w:rPr>
                <w:noProof/>
                <w:sz w:val="18"/>
              </w:rPr>
              <w:t>Payments</w:t>
            </w:r>
          </w:p>
        </w:tc>
        <w:tc>
          <w:tcPr>
            <w:tcW w:w="868" w:type="dxa"/>
            <w:vAlign w:val="center"/>
          </w:tcPr>
          <w:p w14:paraId="7CD2DC89" w14:textId="77777777" w:rsidR="0081101D" w:rsidRPr="00CE39FB" w:rsidRDefault="0081101D">
            <w:pPr>
              <w:spacing w:before="60" w:after="60"/>
              <w:jc w:val="right"/>
              <w:rPr>
                <w:b/>
                <w:bCs/>
                <w:noProof/>
                <w:sz w:val="20"/>
              </w:rPr>
            </w:pPr>
            <w:r w:rsidRPr="00CE39FB">
              <w:rPr>
                <w:b/>
                <w:bCs/>
                <w:noProof/>
                <w:sz w:val="20"/>
              </w:rPr>
              <w:t>24,421</w:t>
            </w:r>
          </w:p>
        </w:tc>
        <w:tc>
          <w:tcPr>
            <w:tcW w:w="868" w:type="dxa"/>
            <w:vAlign w:val="center"/>
          </w:tcPr>
          <w:p w14:paraId="40637A1E" w14:textId="77777777" w:rsidR="0081101D" w:rsidRPr="00CE39FB" w:rsidRDefault="0081101D">
            <w:pPr>
              <w:spacing w:before="60" w:after="60"/>
              <w:jc w:val="right"/>
              <w:rPr>
                <w:b/>
                <w:bCs/>
                <w:noProof/>
                <w:sz w:val="20"/>
              </w:rPr>
            </w:pPr>
            <w:r w:rsidRPr="00CE39FB">
              <w:rPr>
                <w:b/>
                <w:bCs/>
                <w:noProof/>
                <w:sz w:val="20"/>
              </w:rPr>
              <w:t>34,171</w:t>
            </w:r>
          </w:p>
        </w:tc>
        <w:tc>
          <w:tcPr>
            <w:tcW w:w="868" w:type="dxa"/>
            <w:vAlign w:val="center"/>
          </w:tcPr>
          <w:p w14:paraId="43509E99" w14:textId="77777777" w:rsidR="0081101D" w:rsidRPr="00CE39FB" w:rsidRDefault="0081101D">
            <w:pPr>
              <w:spacing w:before="60" w:after="60"/>
              <w:jc w:val="right"/>
              <w:rPr>
                <w:b/>
                <w:bCs/>
                <w:noProof/>
                <w:sz w:val="20"/>
              </w:rPr>
            </w:pPr>
            <w:r w:rsidRPr="00CE39FB">
              <w:rPr>
                <w:b/>
                <w:bCs/>
                <w:noProof/>
                <w:sz w:val="20"/>
              </w:rPr>
              <w:t>32,221</w:t>
            </w:r>
          </w:p>
        </w:tc>
        <w:tc>
          <w:tcPr>
            <w:tcW w:w="868" w:type="dxa"/>
            <w:vAlign w:val="center"/>
          </w:tcPr>
          <w:p w14:paraId="06E13B49" w14:textId="77777777" w:rsidR="0081101D" w:rsidRPr="00CE39FB" w:rsidRDefault="0081101D">
            <w:pPr>
              <w:spacing w:before="60" w:after="60"/>
              <w:jc w:val="right"/>
              <w:rPr>
                <w:b/>
                <w:bCs/>
                <w:noProof/>
                <w:sz w:val="20"/>
              </w:rPr>
            </w:pPr>
            <w:r w:rsidRPr="00CE39FB">
              <w:rPr>
                <w:b/>
                <w:bCs/>
                <w:noProof/>
                <w:sz w:val="20"/>
              </w:rPr>
              <w:t>12,100</w:t>
            </w:r>
          </w:p>
        </w:tc>
        <w:tc>
          <w:tcPr>
            <w:tcW w:w="868" w:type="dxa"/>
            <w:vAlign w:val="center"/>
          </w:tcPr>
          <w:p w14:paraId="09AC21FC" w14:textId="77777777" w:rsidR="0081101D" w:rsidRPr="00CE39FB" w:rsidRDefault="0081101D">
            <w:pPr>
              <w:spacing w:before="60" w:after="60"/>
              <w:jc w:val="right"/>
              <w:rPr>
                <w:noProof/>
                <w:sz w:val="20"/>
              </w:rPr>
            </w:pPr>
          </w:p>
        </w:tc>
        <w:tc>
          <w:tcPr>
            <w:tcW w:w="868" w:type="dxa"/>
            <w:vAlign w:val="center"/>
          </w:tcPr>
          <w:p w14:paraId="2BA07872" w14:textId="77777777" w:rsidR="0081101D" w:rsidRPr="00CE39FB" w:rsidRDefault="0081101D">
            <w:pPr>
              <w:spacing w:before="60" w:after="60"/>
              <w:jc w:val="right"/>
              <w:rPr>
                <w:noProof/>
                <w:sz w:val="20"/>
              </w:rPr>
            </w:pPr>
          </w:p>
        </w:tc>
        <w:tc>
          <w:tcPr>
            <w:tcW w:w="868" w:type="dxa"/>
            <w:vAlign w:val="center"/>
          </w:tcPr>
          <w:p w14:paraId="46397439" w14:textId="77777777" w:rsidR="0081101D" w:rsidRPr="00CE39FB" w:rsidRDefault="0081101D">
            <w:pPr>
              <w:spacing w:before="60" w:after="60"/>
              <w:jc w:val="right"/>
              <w:rPr>
                <w:b/>
                <w:noProof/>
                <w:sz w:val="20"/>
              </w:rPr>
            </w:pPr>
          </w:p>
        </w:tc>
        <w:tc>
          <w:tcPr>
            <w:tcW w:w="1777" w:type="dxa"/>
            <w:vAlign w:val="center"/>
          </w:tcPr>
          <w:p w14:paraId="252C7B23" w14:textId="77777777" w:rsidR="0081101D" w:rsidRPr="00CE39FB" w:rsidRDefault="0081101D">
            <w:pPr>
              <w:spacing w:before="60" w:after="60"/>
              <w:jc w:val="right"/>
              <w:rPr>
                <w:b/>
                <w:noProof/>
                <w:sz w:val="20"/>
              </w:rPr>
            </w:pPr>
            <w:r w:rsidRPr="00CE39FB">
              <w:rPr>
                <w:b/>
                <w:noProof/>
                <w:sz w:val="20"/>
              </w:rPr>
              <w:t>102,913</w:t>
            </w:r>
          </w:p>
        </w:tc>
      </w:tr>
    </w:tbl>
    <w:p w14:paraId="67D3145D" w14:textId="77777777" w:rsidR="004770F6" w:rsidRPr="00CE39FB" w:rsidRDefault="004770F6">
      <w:pPr>
        <w:rPr>
          <w:noProof/>
        </w:rPr>
      </w:pPr>
    </w:p>
    <w:p w14:paraId="27C1320B" w14:textId="77777777" w:rsidR="004770F6" w:rsidRPr="00CE39FB" w:rsidRDefault="004770F6">
      <w:pPr>
        <w:pStyle w:val="ManualHeading3"/>
        <w:rPr>
          <w:bCs/>
          <w:noProof/>
          <w:szCs w:val="24"/>
        </w:rPr>
      </w:pPr>
      <w:bookmarkStart w:id="70" w:name="_Toc514938054"/>
      <w:bookmarkStart w:id="71" w:name="_Toc520485053"/>
      <w:r w:rsidRPr="00CE39FB">
        <w:rPr>
          <w:noProof/>
        </w:rPr>
        <w:t>3.2.2.</w:t>
      </w:r>
      <w:r w:rsidRPr="00CE39FB">
        <w:rPr>
          <w:noProof/>
        </w:rPr>
        <w:tab/>
        <w:t>Estimated output funded with operational appropriations</w:t>
      </w:r>
      <w:bookmarkEnd w:id="70"/>
      <w:bookmarkEnd w:id="71"/>
      <w:r w:rsidRPr="00CE39FB">
        <w:rPr>
          <w:noProof/>
        </w:rPr>
        <w:t xml:space="preserve"> </w:t>
      </w:r>
    </w:p>
    <w:p w14:paraId="39A985F2" w14:textId="77777777" w:rsidR="004770F6" w:rsidRPr="008D6611" w:rsidRDefault="004770F6">
      <w:pPr>
        <w:jc w:val="right"/>
        <w:rPr>
          <w:noProof/>
          <w:sz w:val="20"/>
        </w:rPr>
      </w:pPr>
      <w:r w:rsidRPr="008D6611">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CE39FB" w:rsidRPr="00CE39FB" w14:paraId="728A6A82" w14:textId="77777777" w:rsidTr="59744C64">
        <w:trPr>
          <w:jc w:val="center"/>
        </w:trPr>
        <w:tc>
          <w:tcPr>
            <w:tcW w:w="1423" w:type="dxa"/>
            <w:vMerge w:val="restart"/>
            <w:vAlign w:val="center"/>
          </w:tcPr>
          <w:p w14:paraId="3784665D" w14:textId="77777777" w:rsidR="004770F6" w:rsidRPr="00CE39FB" w:rsidRDefault="004770F6">
            <w:pPr>
              <w:ind w:right="-29"/>
              <w:jc w:val="center"/>
              <w:rPr>
                <w:b/>
                <w:noProof/>
                <w:sz w:val="18"/>
                <w:szCs w:val="18"/>
              </w:rPr>
            </w:pPr>
            <w:r w:rsidRPr="00CE39FB">
              <w:rPr>
                <w:b/>
                <w:noProof/>
                <w:sz w:val="18"/>
              </w:rPr>
              <w:t xml:space="preserve">Indicate objectives and outputs </w:t>
            </w:r>
          </w:p>
          <w:p w14:paraId="6D57C244" w14:textId="77777777" w:rsidR="004770F6" w:rsidRPr="00CE39FB" w:rsidRDefault="004770F6">
            <w:pPr>
              <w:ind w:right="-29"/>
              <w:jc w:val="center"/>
              <w:rPr>
                <w:b/>
                <w:noProof/>
                <w:sz w:val="18"/>
                <w:szCs w:val="18"/>
              </w:rPr>
            </w:pPr>
          </w:p>
          <w:p w14:paraId="5AC4ABA7" w14:textId="77777777" w:rsidR="004770F6" w:rsidRPr="00CE39FB" w:rsidRDefault="004770F6">
            <w:pPr>
              <w:ind w:right="-29"/>
              <w:jc w:val="center"/>
              <w:rPr>
                <w:noProof/>
                <w:sz w:val="18"/>
                <w:szCs w:val="18"/>
              </w:rPr>
            </w:pPr>
            <w:r w:rsidRPr="00CE39FB">
              <w:rPr>
                <w:rFonts w:ascii="Wingdings" w:eastAsia="Wingdings" w:hAnsi="Wingdings" w:cs="Wingdings"/>
                <w:noProof/>
                <w:sz w:val="18"/>
              </w:rPr>
              <w:t></w:t>
            </w:r>
          </w:p>
        </w:tc>
        <w:tc>
          <w:tcPr>
            <w:tcW w:w="720" w:type="dxa"/>
            <w:vAlign w:val="center"/>
          </w:tcPr>
          <w:p w14:paraId="45FA16BC" w14:textId="77777777" w:rsidR="004770F6" w:rsidRPr="00CE39FB" w:rsidRDefault="004770F6">
            <w:pPr>
              <w:ind w:right="-29"/>
              <w:jc w:val="center"/>
              <w:rPr>
                <w:noProof/>
                <w:sz w:val="18"/>
                <w:szCs w:val="18"/>
              </w:rPr>
            </w:pPr>
          </w:p>
        </w:tc>
        <w:tc>
          <w:tcPr>
            <w:tcW w:w="701" w:type="dxa"/>
            <w:vAlign w:val="center"/>
          </w:tcPr>
          <w:p w14:paraId="264707CF" w14:textId="77777777" w:rsidR="004770F6" w:rsidRPr="00CE39FB" w:rsidRDefault="004770F6">
            <w:pPr>
              <w:ind w:right="-29"/>
              <w:jc w:val="center"/>
              <w:rPr>
                <w:noProof/>
                <w:sz w:val="18"/>
                <w:szCs w:val="18"/>
              </w:rPr>
            </w:pPr>
          </w:p>
        </w:tc>
        <w:tc>
          <w:tcPr>
            <w:tcW w:w="1224" w:type="dxa"/>
            <w:gridSpan w:val="2"/>
            <w:tcBorders>
              <w:left w:val="nil"/>
            </w:tcBorders>
            <w:vAlign w:val="center"/>
          </w:tcPr>
          <w:p w14:paraId="0E035E0E" w14:textId="77777777" w:rsidR="004770F6" w:rsidRPr="00CE39FB" w:rsidRDefault="004770F6">
            <w:pPr>
              <w:ind w:right="-29"/>
              <w:jc w:val="center"/>
              <w:rPr>
                <w:noProof/>
                <w:sz w:val="18"/>
                <w:szCs w:val="18"/>
              </w:rPr>
            </w:pPr>
            <w:r w:rsidRPr="00CE39FB">
              <w:rPr>
                <w:noProof/>
                <w:sz w:val="18"/>
              </w:rPr>
              <w:t>Year</w:t>
            </w:r>
            <w:r w:rsidRPr="00CE39FB">
              <w:rPr>
                <w:noProof/>
                <w:sz w:val="22"/>
              </w:rPr>
              <w:br/>
            </w:r>
            <w:r w:rsidRPr="00CE39FB">
              <w:rPr>
                <w:b/>
                <w:noProof/>
                <w:sz w:val="18"/>
              </w:rPr>
              <w:t>N</w:t>
            </w:r>
          </w:p>
        </w:tc>
        <w:tc>
          <w:tcPr>
            <w:tcW w:w="1260" w:type="dxa"/>
            <w:gridSpan w:val="2"/>
            <w:vAlign w:val="center"/>
          </w:tcPr>
          <w:p w14:paraId="323BE7FF" w14:textId="77777777" w:rsidR="004770F6" w:rsidRPr="00CE39FB" w:rsidRDefault="004770F6">
            <w:pPr>
              <w:ind w:right="-29"/>
              <w:jc w:val="center"/>
              <w:rPr>
                <w:noProof/>
                <w:sz w:val="18"/>
                <w:szCs w:val="18"/>
              </w:rPr>
            </w:pPr>
            <w:r w:rsidRPr="00CE39FB">
              <w:rPr>
                <w:noProof/>
                <w:sz w:val="18"/>
              </w:rPr>
              <w:t>Year</w:t>
            </w:r>
            <w:r w:rsidRPr="00CE39FB">
              <w:rPr>
                <w:noProof/>
                <w:sz w:val="22"/>
              </w:rPr>
              <w:br/>
            </w:r>
            <w:r w:rsidRPr="00CE39FB">
              <w:rPr>
                <w:b/>
                <w:noProof/>
                <w:sz w:val="18"/>
              </w:rPr>
              <w:t>N+1</w:t>
            </w:r>
          </w:p>
        </w:tc>
        <w:tc>
          <w:tcPr>
            <w:tcW w:w="1440" w:type="dxa"/>
            <w:gridSpan w:val="2"/>
            <w:vAlign w:val="center"/>
          </w:tcPr>
          <w:p w14:paraId="3F400238" w14:textId="77777777" w:rsidR="004770F6" w:rsidRPr="00CE39FB" w:rsidRDefault="004770F6">
            <w:pPr>
              <w:ind w:right="-29"/>
              <w:jc w:val="center"/>
              <w:rPr>
                <w:noProof/>
                <w:sz w:val="18"/>
                <w:szCs w:val="18"/>
              </w:rPr>
            </w:pPr>
            <w:r w:rsidRPr="00CE39FB">
              <w:rPr>
                <w:noProof/>
                <w:sz w:val="18"/>
              </w:rPr>
              <w:t>Year</w:t>
            </w:r>
            <w:r w:rsidRPr="00CE39FB">
              <w:rPr>
                <w:noProof/>
                <w:sz w:val="22"/>
              </w:rPr>
              <w:br/>
            </w:r>
            <w:r w:rsidRPr="00CE39FB">
              <w:rPr>
                <w:b/>
                <w:noProof/>
                <w:sz w:val="18"/>
              </w:rPr>
              <w:t>N+2</w:t>
            </w:r>
          </w:p>
        </w:tc>
        <w:tc>
          <w:tcPr>
            <w:tcW w:w="1620" w:type="dxa"/>
            <w:gridSpan w:val="3"/>
            <w:vAlign w:val="center"/>
          </w:tcPr>
          <w:p w14:paraId="15A1FD5B" w14:textId="77777777" w:rsidR="004770F6" w:rsidRPr="00CE39FB" w:rsidRDefault="004770F6">
            <w:pPr>
              <w:ind w:right="-29"/>
              <w:jc w:val="center"/>
              <w:rPr>
                <w:noProof/>
                <w:sz w:val="18"/>
                <w:szCs w:val="18"/>
              </w:rPr>
            </w:pPr>
            <w:r w:rsidRPr="00CE39FB">
              <w:rPr>
                <w:noProof/>
                <w:sz w:val="18"/>
              </w:rPr>
              <w:t>Year</w:t>
            </w:r>
            <w:r w:rsidRPr="00CE39FB">
              <w:rPr>
                <w:noProof/>
                <w:sz w:val="22"/>
              </w:rPr>
              <w:br/>
            </w:r>
            <w:r w:rsidRPr="00CE39FB">
              <w:rPr>
                <w:b/>
                <w:noProof/>
                <w:sz w:val="18"/>
              </w:rPr>
              <w:t>N+3</w:t>
            </w:r>
          </w:p>
        </w:tc>
        <w:tc>
          <w:tcPr>
            <w:tcW w:w="3600" w:type="dxa"/>
            <w:gridSpan w:val="6"/>
            <w:vAlign w:val="center"/>
          </w:tcPr>
          <w:p w14:paraId="02814BD4" w14:textId="77777777" w:rsidR="004770F6" w:rsidRPr="008D6611" w:rsidRDefault="004770F6">
            <w:pPr>
              <w:jc w:val="center"/>
              <w:rPr>
                <w:noProof/>
                <w:sz w:val="18"/>
              </w:rPr>
            </w:pPr>
            <w:r w:rsidRPr="008D6611">
              <w:rPr>
                <w:noProof/>
                <w:sz w:val="18"/>
              </w:rPr>
              <w:t>Enter as many years as necessary to show the duration of the impact (see point 1.6)</w:t>
            </w:r>
          </w:p>
        </w:tc>
        <w:tc>
          <w:tcPr>
            <w:tcW w:w="1620" w:type="dxa"/>
            <w:gridSpan w:val="2"/>
            <w:tcBorders>
              <w:left w:val="nil"/>
              <w:bottom w:val="nil"/>
            </w:tcBorders>
            <w:vAlign w:val="center"/>
          </w:tcPr>
          <w:p w14:paraId="3546A73C" w14:textId="77777777" w:rsidR="004770F6" w:rsidRPr="00CE39FB" w:rsidRDefault="004770F6">
            <w:pPr>
              <w:ind w:right="-29"/>
              <w:jc w:val="center"/>
              <w:rPr>
                <w:noProof/>
                <w:sz w:val="18"/>
                <w:szCs w:val="18"/>
              </w:rPr>
            </w:pPr>
            <w:r w:rsidRPr="00CE39FB">
              <w:rPr>
                <w:b/>
                <w:noProof/>
                <w:sz w:val="18"/>
              </w:rPr>
              <w:t>TOTAL</w:t>
            </w:r>
          </w:p>
        </w:tc>
      </w:tr>
      <w:tr w:rsidR="00CE39FB" w:rsidRPr="00CE39FB" w14:paraId="31C11BCC" w14:textId="77777777" w:rsidTr="59744C64">
        <w:trPr>
          <w:jc w:val="center"/>
        </w:trPr>
        <w:tc>
          <w:tcPr>
            <w:tcW w:w="1423" w:type="dxa"/>
            <w:vMerge/>
            <w:vAlign w:val="center"/>
          </w:tcPr>
          <w:p w14:paraId="4324F988" w14:textId="77777777" w:rsidR="004770F6" w:rsidRPr="00CE39FB" w:rsidRDefault="004770F6">
            <w:pPr>
              <w:ind w:right="-29"/>
              <w:jc w:val="center"/>
              <w:rPr>
                <w:noProof/>
                <w:sz w:val="18"/>
                <w:szCs w:val="18"/>
              </w:rPr>
            </w:pPr>
          </w:p>
        </w:tc>
        <w:tc>
          <w:tcPr>
            <w:tcW w:w="12185" w:type="dxa"/>
            <w:gridSpan w:val="19"/>
            <w:vAlign w:val="center"/>
          </w:tcPr>
          <w:p w14:paraId="7C85BD6E" w14:textId="77777777" w:rsidR="004770F6" w:rsidRPr="00CE39FB" w:rsidRDefault="004770F6">
            <w:pPr>
              <w:spacing w:before="60" w:after="60"/>
              <w:ind w:right="-29"/>
              <w:jc w:val="center"/>
              <w:rPr>
                <w:noProof/>
                <w:sz w:val="18"/>
                <w:szCs w:val="18"/>
              </w:rPr>
            </w:pPr>
            <w:r w:rsidRPr="00CE39FB">
              <w:rPr>
                <w:b/>
                <w:noProof/>
                <w:sz w:val="18"/>
              </w:rPr>
              <w:t>OUTPUTS</w:t>
            </w:r>
          </w:p>
        </w:tc>
      </w:tr>
      <w:tr w:rsidR="00C96586" w:rsidRPr="00CE39FB" w14:paraId="1C6C5F28" w14:textId="77777777" w:rsidTr="59744C64">
        <w:trPr>
          <w:cantSplit/>
          <w:trHeight w:val="1134"/>
          <w:jc w:val="center"/>
        </w:trPr>
        <w:tc>
          <w:tcPr>
            <w:tcW w:w="1423" w:type="dxa"/>
            <w:vMerge/>
            <w:vAlign w:val="center"/>
          </w:tcPr>
          <w:p w14:paraId="58543E3E" w14:textId="77777777" w:rsidR="004770F6" w:rsidRPr="00CE39FB" w:rsidRDefault="004770F6">
            <w:pPr>
              <w:rPr>
                <w:noProof/>
                <w:sz w:val="18"/>
                <w:szCs w:val="18"/>
              </w:rPr>
            </w:pPr>
          </w:p>
        </w:tc>
        <w:tc>
          <w:tcPr>
            <w:tcW w:w="720" w:type="dxa"/>
            <w:vAlign w:val="center"/>
          </w:tcPr>
          <w:p w14:paraId="32E4C843" w14:textId="77777777" w:rsidR="004770F6" w:rsidRPr="00CE39FB" w:rsidRDefault="004770F6">
            <w:pPr>
              <w:jc w:val="center"/>
              <w:rPr>
                <w:noProof/>
                <w:sz w:val="18"/>
                <w:szCs w:val="18"/>
              </w:rPr>
            </w:pPr>
            <w:r w:rsidRPr="00CE39FB">
              <w:rPr>
                <w:noProof/>
                <w:sz w:val="18"/>
                <w:szCs w:val="18"/>
              </w:rPr>
              <w:t>Type</w:t>
            </w:r>
            <w:r w:rsidRPr="00CE39FB">
              <w:rPr>
                <w:rStyle w:val="FootnoteReference"/>
                <w:noProof/>
                <w:sz w:val="18"/>
                <w:szCs w:val="18"/>
              </w:rPr>
              <w:footnoteReference w:id="42"/>
            </w:r>
          </w:p>
          <w:p w14:paraId="0DE36FDC" w14:textId="77777777" w:rsidR="004770F6" w:rsidRPr="00CE39FB" w:rsidRDefault="004770F6">
            <w:pPr>
              <w:spacing w:before="0" w:after="0"/>
              <w:jc w:val="center"/>
              <w:rPr>
                <w:noProof/>
                <w:sz w:val="18"/>
                <w:szCs w:val="18"/>
              </w:rPr>
            </w:pPr>
          </w:p>
        </w:tc>
        <w:tc>
          <w:tcPr>
            <w:tcW w:w="701" w:type="dxa"/>
            <w:vAlign w:val="center"/>
          </w:tcPr>
          <w:p w14:paraId="69470344" w14:textId="77777777" w:rsidR="004770F6" w:rsidRPr="00CE39FB" w:rsidRDefault="004770F6">
            <w:pPr>
              <w:jc w:val="center"/>
              <w:rPr>
                <w:noProof/>
                <w:sz w:val="18"/>
                <w:szCs w:val="18"/>
              </w:rPr>
            </w:pPr>
            <w:r w:rsidRPr="00CE39FB">
              <w:rPr>
                <w:noProof/>
                <w:sz w:val="18"/>
              </w:rPr>
              <w:t>Average cost</w:t>
            </w:r>
          </w:p>
        </w:tc>
        <w:tc>
          <w:tcPr>
            <w:tcW w:w="504" w:type="dxa"/>
            <w:tcBorders>
              <w:left w:val="nil"/>
              <w:right w:val="dashSmallGap" w:sz="4" w:space="0" w:color="auto"/>
            </w:tcBorders>
            <w:shd w:val="clear" w:color="auto" w:fill="auto"/>
            <w:textDirection w:val="btLr"/>
            <w:vAlign w:val="center"/>
          </w:tcPr>
          <w:p w14:paraId="64553852" w14:textId="77777777" w:rsidR="004770F6" w:rsidRPr="00CE39FB" w:rsidRDefault="004770F6">
            <w:pPr>
              <w:ind w:left="113" w:right="113"/>
              <w:jc w:val="center"/>
              <w:rPr>
                <w:noProof/>
                <w:sz w:val="18"/>
                <w:szCs w:val="18"/>
              </w:rPr>
            </w:pPr>
            <w:r w:rsidRPr="00CE39FB">
              <w:rPr>
                <w:noProof/>
                <w:sz w:val="18"/>
              </w:rPr>
              <w:t>No</w:t>
            </w:r>
          </w:p>
        </w:tc>
        <w:tc>
          <w:tcPr>
            <w:tcW w:w="720" w:type="dxa"/>
            <w:tcBorders>
              <w:left w:val="dashSmallGap" w:sz="4" w:space="0" w:color="auto"/>
            </w:tcBorders>
            <w:shd w:val="clear" w:color="auto" w:fill="auto"/>
            <w:vAlign w:val="center"/>
          </w:tcPr>
          <w:p w14:paraId="345E7BDB" w14:textId="77777777" w:rsidR="004770F6" w:rsidRPr="00CE39FB" w:rsidRDefault="004770F6">
            <w:pPr>
              <w:jc w:val="center"/>
              <w:rPr>
                <w:noProof/>
                <w:sz w:val="18"/>
                <w:szCs w:val="18"/>
              </w:rPr>
            </w:pPr>
            <w:r w:rsidRPr="00CE39FB">
              <w:rPr>
                <w:noProof/>
                <w:sz w:val="18"/>
              </w:rPr>
              <w:t>Cost</w:t>
            </w:r>
          </w:p>
        </w:tc>
        <w:tc>
          <w:tcPr>
            <w:tcW w:w="540" w:type="dxa"/>
            <w:tcBorders>
              <w:right w:val="dashSmallGap" w:sz="4" w:space="0" w:color="auto"/>
            </w:tcBorders>
            <w:shd w:val="clear" w:color="auto" w:fill="auto"/>
            <w:textDirection w:val="btLr"/>
            <w:vAlign w:val="center"/>
          </w:tcPr>
          <w:p w14:paraId="27C240C6" w14:textId="77777777" w:rsidR="004770F6" w:rsidRPr="00CE39FB" w:rsidRDefault="004770F6">
            <w:pPr>
              <w:ind w:left="113" w:right="113"/>
              <w:jc w:val="center"/>
              <w:rPr>
                <w:noProof/>
                <w:sz w:val="18"/>
                <w:szCs w:val="18"/>
              </w:rPr>
            </w:pPr>
            <w:r w:rsidRPr="00CE39FB">
              <w:rPr>
                <w:noProof/>
                <w:sz w:val="18"/>
              </w:rPr>
              <w:t>No</w:t>
            </w:r>
          </w:p>
        </w:tc>
        <w:tc>
          <w:tcPr>
            <w:tcW w:w="720" w:type="dxa"/>
            <w:tcBorders>
              <w:left w:val="dashSmallGap" w:sz="4" w:space="0" w:color="auto"/>
            </w:tcBorders>
            <w:shd w:val="clear" w:color="auto" w:fill="auto"/>
            <w:vAlign w:val="center"/>
          </w:tcPr>
          <w:p w14:paraId="623BB8F4" w14:textId="77777777" w:rsidR="004770F6" w:rsidRPr="00CE39FB" w:rsidRDefault="004770F6">
            <w:pPr>
              <w:jc w:val="center"/>
              <w:rPr>
                <w:noProof/>
                <w:sz w:val="18"/>
                <w:szCs w:val="18"/>
              </w:rPr>
            </w:pPr>
            <w:r w:rsidRPr="00CE39FB">
              <w:rPr>
                <w:noProof/>
                <w:sz w:val="18"/>
              </w:rPr>
              <w:t>Cost</w:t>
            </w:r>
          </w:p>
        </w:tc>
        <w:tc>
          <w:tcPr>
            <w:tcW w:w="720" w:type="dxa"/>
            <w:tcBorders>
              <w:right w:val="dashSmallGap" w:sz="4" w:space="0" w:color="auto"/>
            </w:tcBorders>
            <w:shd w:val="clear" w:color="auto" w:fill="auto"/>
            <w:textDirection w:val="btLr"/>
            <w:vAlign w:val="center"/>
          </w:tcPr>
          <w:p w14:paraId="28335E5B" w14:textId="77777777" w:rsidR="004770F6" w:rsidRPr="00CE39FB" w:rsidRDefault="004770F6">
            <w:pPr>
              <w:ind w:left="113" w:right="113"/>
              <w:jc w:val="center"/>
              <w:rPr>
                <w:noProof/>
                <w:sz w:val="18"/>
                <w:szCs w:val="18"/>
              </w:rPr>
            </w:pPr>
            <w:r w:rsidRPr="00CE39FB">
              <w:rPr>
                <w:noProof/>
                <w:sz w:val="18"/>
              </w:rPr>
              <w:t>No</w:t>
            </w:r>
          </w:p>
        </w:tc>
        <w:tc>
          <w:tcPr>
            <w:tcW w:w="720" w:type="dxa"/>
            <w:tcBorders>
              <w:left w:val="dashSmallGap" w:sz="4" w:space="0" w:color="auto"/>
            </w:tcBorders>
            <w:shd w:val="clear" w:color="auto" w:fill="auto"/>
            <w:vAlign w:val="center"/>
          </w:tcPr>
          <w:p w14:paraId="55B78A3F" w14:textId="77777777" w:rsidR="004770F6" w:rsidRPr="00CE39FB" w:rsidRDefault="004770F6">
            <w:pPr>
              <w:jc w:val="center"/>
              <w:rPr>
                <w:noProof/>
                <w:sz w:val="18"/>
                <w:szCs w:val="18"/>
              </w:rPr>
            </w:pPr>
            <w:r w:rsidRPr="00CE39FB">
              <w:rPr>
                <w:noProof/>
                <w:sz w:val="18"/>
              </w:rPr>
              <w:t>Cost</w:t>
            </w:r>
          </w:p>
        </w:tc>
        <w:tc>
          <w:tcPr>
            <w:tcW w:w="900" w:type="dxa"/>
            <w:tcBorders>
              <w:right w:val="dashSmallGap" w:sz="4" w:space="0" w:color="auto"/>
            </w:tcBorders>
            <w:shd w:val="clear" w:color="auto" w:fill="auto"/>
            <w:textDirection w:val="btLr"/>
            <w:vAlign w:val="center"/>
          </w:tcPr>
          <w:p w14:paraId="7D3F6DC5" w14:textId="77777777" w:rsidR="004770F6" w:rsidRPr="00CE39FB" w:rsidRDefault="004770F6">
            <w:pPr>
              <w:ind w:left="113" w:right="113"/>
              <w:jc w:val="center"/>
              <w:rPr>
                <w:noProof/>
                <w:sz w:val="18"/>
                <w:szCs w:val="18"/>
              </w:rPr>
            </w:pPr>
            <w:r w:rsidRPr="00CE39FB">
              <w:rPr>
                <w:noProof/>
                <w:sz w:val="18"/>
              </w:rPr>
              <w:t>No</w:t>
            </w:r>
          </w:p>
        </w:tc>
        <w:tc>
          <w:tcPr>
            <w:tcW w:w="720" w:type="dxa"/>
            <w:gridSpan w:val="2"/>
            <w:tcBorders>
              <w:left w:val="dashSmallGap" w:sz="4" w:space="0" w:color="auto"/>
            </w:tcBorders>
            <w:shd w:val="clear" w:color="auto" w:fill="auto"/>
            <w:vAlign w:val="center"/>
          </w:tcPr>
          <w:p w14:paraId="05632B6F" w14:textId="77777777" w:rsidR="004770F6" w:rsidRPr="00CE39FB" w:rsidRDefault="004770F6">
            <w:pPr>
              <w:jc w:val="center"/>
              <w:rPr>
                <w:noProof/>
                <w:sz w:val="18"/>
                <w:szCs w:val="18"/>
              </w:rPr>
            </w:pPr>
            <w:r w:rsidRPr="00CE39FB">
              <w:rPr>
                <w:noProof/>
                <w:sz w:val="18"/>
              </w:rPr>
              <w:t>Cost</w:t>
            </w:r>
          </w:p>
        </w:tc>
        <w:tc>
          <w:tcPr>
            <w:tcW w:w="540" w:type="dxa"/>
            <w:tcBorders>
              <w:right w:val="dashSmallGap" w:sz="4" w:space="0" w:color="auto"/>
            </w:tcBorders>
            <w:shd w:val="clear" w:color="auto" w:fill="auto"/>
            <w:textDirection w:val="btLr"/>
            <w:vAlign w:val="center"/>
          </w:tcPr>
          <w:p w14:paraId="48860762" w14:textId="77777777" w:rsidR="004770F6" w:rsidRPr="00CE39FB" w:rsidRDefault="004770F6">
            <w:pPr>
              <w:ind w:left="113" w:right="113"/>
              <w:jc w:val="center"/>
              <w:rPr>
                <w:noProof/>
                <w:sz w:val="18"/>
                <w:szCs w:val="18"/>
              </w:rPr>
            </w:pPr>
            <w:r w:rsidRPr="00CE39FB">
              <w:rPr>
                <w:noProof/>
                <w:sz w:val="18"/>
              </w:rPr>
              <w:t>No</w:t>
            </w:r>
          </w:p>
        </w:tc>
        <w:tc>
          <w:tcPr>
            <w:tcW w:w="648" w:type="dxa"/>
            <w:tcBorders>
              <w:left w:val="dashSmallGap" w:sz="4" w:space="0" w:color="auto"/>
            </w:tcBorders>
            <w:shd w:val="clear" w:color="auto" w:fill="auto"/>
            <w:vAlign w:val="center"/>
          </w:tcPr>
          <w:p w14:paraId="58D60E12" w14:textId="77777777" w:rsidR="004770F6" w:rsidRPr="00CE39FB" w:rsidRDefault="004770F6">
            <w:pPr>
              <w:jc w:val="center"/>
              <w:rPr>
                <w:noProof/>
                <w:sz w:val="18"/>
                <w:szCs w:val="18"/>
              </w:rPr>
            </w:pPr>
            <w:r w:rsidRPr="00CE39FB">
              <w:rPr>
                <w:noProof/>
                <w:sz w:val="18"/>
              </w:rPr>
              <w:t>Cost</w:t>
            </w:r>
          </w:p>
        </w:tc>
        <w:tc>
          <w:tcPr>
            <w:tcW w:w="432" w:type="dxa"/>
            <w:tcBorders>
              <w:right w:val="dashSmallGap" w:sz="4" w:space="0" w:color="auto"/>
            </w:tcBorders>
            <w:shd w:val="clear" w:color="auto" w:fill="auto"/>
            <w:textDirection w:val="btLr"/>
            <w:vAlign w:val="center"/>
          </w:tcPr>
          <w:p w14:paraId="26E6AFB8" w14:textId="77777777" w:rsidR="004770F6" w:rsidRPr="00CE39FB" w:rsidRDefault="004770F6">
            <w:pPr>
              <w:ind w:left="113" w:right="113"/>
              <w:jc w:val="center"/>
              <w:rPr>
                <w:noProof/>
                <w:sz w:val="18"/>
                <w:szCs w:val="18"/>
              </w:rPr>
            </w:pPr>
            <w:r w:rsidRPr="00CE39FB">
              <w:rPr>
                <w:noProof/>
                <w:sz w:val="18"/>
              </w:rPr>
              <w:t>No</w:t>
            </w:r>
          </w:p>
        </w:tc>
        <w:tc>
          <w:tcPr>
            <w:tcW w:w="720" w:type="dxa"/>
            <w:tcBorders>
              <w:left w:val="dashSmallGap" w:sz="4" w:space="0" w:color="auto"/>
            </w:tcBorders>
            <w:shd w:val="clear" w:color="auto" w:fill="auto"/>
            <w:vAlign w:val="center"/>
          </w:tcPr>
          <w:p w14:paraId="7AEFDDE3" w14:textId="77777777" w:rsidR="004770F6" w:rsidRPr="00CE39FB" w:rsidRDefault="004770F6">
            <w:pPr>
              <w:jc w:val="center"/>
              <w:rPr>
                <w:noProof/>
                <w:sz w:val="18"/>
                <w:szCs w:val="18"/>
              </w:rPr>
            </w:pPr>
            <w:r w:rsidRPr="00CE39FB">
              <w:rPr>
                <w:noProof/>
                <w:sz w:val="18"/>
              </w:rPr>
              <w:t>Cost</w:t>
            </w:r>
          </w:p>
        </w:tc>
        <w:tc>
          <w:tcPr>
            <w:tcW w:w="540" w:type="dxa"/>
            <w:tcBorders>
              <w:right w:val="dashSmallGap" w:sz="4" w:space="0" w:color="auto"/>
            </w:tcBorders>
            <w:shd w:val="clear" w:color="auto" w:fill="auto"/>
            <w:textDirection w:val="btLr"/>
            <w:vAlign w:val="center"/>
          </w:tcPr>
          <w:p w14:paraId="5F204892" w14:textId="77777777" w:rsidR="004770F6" w:rsidRPr="00CE39FB" w:rsidRDefault="004770F6">
            <w:pPr>
              <w:ind w:left="113" w:right="113"/>
              <w:jc w:val="center"/>
              <w:rPr>
                <w:noProof/>
                <w:sz w:val="18"/>
                <w:szCs w:val="18"/>
              </w:rPr>
            </w:pPr>
            <w:r w:rsidRPr="00CE39FB">
              <w:rPr>
                <w:noProof/>
                <w:sz w:val="18"/>
              </w:rPr>
              <w:t>No</w:t>
            </w:r>
          </w:p>
        </w:tc>
        <w:tc>
          <w:tcPr>
            <w:tcW w:w="720" w:type="dxa"/>
            <w:tcBorders>
              <w:left w:val="dashSmallGap" w:sz="4" w:space="0" w:color="auto"/>
            </w:tcBorders>
            <w:shd w:val="clear" w:color="auto" w:fill="auto"/>
            <w:vAlign w:val="center"/>
          </w:tcPr>
          <w:p w14:paraId="748CF3A9" w14:textId="77777777" w:rsidR="004770F6" w:rsidRPr="00CE39FB" w:rsidRDefault="004770F6">
            <w:pPr>
              <w:jc w:val="center"/>
              <w:rPr>
                <w:noProof/>
                <w:sz w:val="18"/>
                <w:szCs w:val="18"/>
              </w:rPr>
            </w:pPr>
            <w:r w:rsidRPr="00CE39FB">
              <w:rPr>
                <w:noProof/>
                <w:sz w:val="18"/>
              </w:rPr>
              <w:t>Cost</w:t>
            </w:r>
          </w:p>
        </w:tc>
        <w:tc>
          <w:tcPr>
            <w:tcW w:w="720" w:type="dxa"/>
            <w:tcBorders>
              <w:right w:val="dashSmallGap" w:sz="4" w:space="0" w:color="auto"/>
            </w:tcBorders>
            <w:shd w:val="clear" w:color="auto" w:fill="auto"/>
            <w:vAlign w:val="center"/>
          </w:tcPr>
          <w:p w14:paraId="5E6C8671" w14:textId="77777777" w:rsidR="004770F6" w:rsidRPr="00CE39FB" w:rsidRDefault="004770F6">
            <w:pPr>
              <w:jc w:val="center"/>
              <w:rPr>
                <w:noProof/>
                <w:sz w:val="18"/>
                <w:szCs w:val="18"/>
              </w:rPr>
            </w:pPr>
            <w:r w:rsidRPr="00CE39FB">
              <w:rPr>
                <w:noProof/>
                <w:sz w:val="18"/>
              </w:rPr>
              <w:t>Total No</w:t>
            </w:r>
          </w:p>
        </w:tc>
        <w:tc>
          <w:tcPr>
            <w:tcW w:w="900" w:type="dxa"/>
            <w:tcBorders>
              <w:left w:val="dashSmallGap" w:sz="4" w:space="0" w:color="auto"/>
            </w:tcBorders>
            <w:shd w:val="clear" w:color="auto" w:fill="auto"/>
            <w:vAlign w:val="center"/>
          </w:tcPr>
          <w:p w14:paraId="046E7432" w14:textId="77777777" w:rsidR="004770F6" w:rsidRPr="00CE39FB" w:rsidRDefault="004770F6">
            <w:pPr>
              <w:jc w:val="center"/>
              <w:rPr>
                <w:noProof/>
                <w:sz w:val="18"/>
                <w:szCs w:val="18"/>
              </w:rPr>
            </w:pPr>
            <w:r w:rsidRPr="00CE39FB">
              <w:rPr>
                <w:noProof/>
                <w:sz w:val="18"/>
              </w:rPr>
              <w:t>Total cost</w:t>
            </w:r>
          </w:p>
        </w:tc>
      </w:tr>
      <w:tr w:rsidR="00CE39FB" w:rsidRPr="00CE39FB" w14:paraId="62CE86F4" w14:textId="77777777" w:rsidTr="59744C64">
        <w:trPr>
          <w:jc w:val="center"/>
        </w:trPr>
        <w:tc>
          <w:tcPr>
            <w:tcW w:w="2844" w:type="dxa"/>
            <w:gridSpan w:val="3"/>
            <w:vAlign w:val="center"/>
          </w:tcPr>
          <w:p w14:paraId="048B55D4" w14:textId="77777777" w:rsidR="004770F6" w:rsidRPr="00CE39FB" w:rsidRDefault="004770F6">
            <w:pPr>
              <w:spacing w:before="60" w:after="60"/>
              <w:ind w:right="-29"/>
              <w:jc w:val="center"/>
              <w:rPr>
                <w:noProof/>
                <w:sz w:val="18"/>
                <w:szCs w:val="18"/>
              </w:rPr>
            </w:pPr>
            <w:r w:rsidRPr="00CE39FB">
              <w:rPr>
                <w:noProof/>
                <w:sz w:val="18"/>
                <w:szCs w:val="18"/>
              </w:rPr>
              <w:t>SPECIFIC OBJECTIVE No 1</w:t>
            </w:r>
            <w:r w:rsidRPr="00CE39FB">
              <w:rPr>
                <w:rStyle w:val="FootnoteReference"/>
                <w:noProof/>
                <w:sz w:val="18"/>
                <w:szCs w:val="18"/>
              </w:rPr>
              <w:footnoteReference w:id="43"/>
            </w:r>
            <w:r w:rsidRPr="00CE39FB">
              <w:rPr>
                <w:noProof/>
                <w:sz w:val="18"/>
                <w:szCs w:val="18"/>
              </w:rPr>
              <w:t>…</w:t>
            </w:r>
          </w:p>
        </w:tc>
        <w:tc>
          <w:tcPr>
            <w:tcW w:w="504" w:type="dxa"/>
            <w:tcBorders>
              <w:top w:val="nil"/>
              <w:left w:val="nil"/>
              <w:bottom w:val="nil"/>
              <w:right w:val="nil"/>
            </w:tcBorders>
          </w:tcPr>
          <w:p w14:paraId="706866C0"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703AD18D" w14:textId="77777777" w:rsidR="004770F6" w:rsidRPr="00CE39FB" w:rsidRDefault="004770F6">
            <w:pPr>
              <w:spacing w:before="60" w:after="60"/>
              <w:ind w:right="-29"/>
              <w:jc w:val="center"/>
              <w:rPr>
                <w:noProof/>
                <w:sz w:val="18"/>
                <w:szCs w:val="18"/>
              </w:rPr>
            </w:pPr>
          </w:p>
        </w:tc>
        <w:tc>
          <w:tcPr>
            <w:tcW w:w="540" w:type="dxa"/>
            <w:tcBorders>
              <w:top w:val="nil"/>
              <w:left w:val="nil"/>
              <w:bottom w:val="nil"/>
              <w:right w:val="nil"/>
            </w:tcBorders>
          </w:tcPr>
          <w:p w14:paraId="1B860D87"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00C1BEE7"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23C542A4"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619A5330" w14:textId="77777777" w:rsidR="004770F6" w:rsidRPr="00CE39FB" w:rsidRDefault="004770F6">
            <w:pPr>
              <w:spacing w:before="60" w:after="60"/>
              <w:ind w:right="-29"/>
              <w:jc w:val="center"/>
              <w:rPr>
                <w:noProof/>
                <w:sz w:val="18"/>
                <w:szCs w:val="18"/>
              </w:rPr>
            </w:pPr>
          </w:p>
        </w:tc>
        <w:tc>
          <w:tcPr>
            <w:tcW w:w="900" w:type="dxa"/>
            <w:tcBorders>
              <w:top w:val="nil"/>
              <w:left w:val="nil"/>
              <w:bottom w:val="nil"/>
              <w:right w:val="nil"/>
            </w:tcBorders>
          </w:tcPr>
          <w:p w14:paraId="787633F6" w14:textId="77777777" w:rsidR="004770F6" w:rsidRPr="00CE39FB" w:rsidRDefault="004770F6">
            <w:pPr>
              <w:spacing w:before="60" w:after="60"/>
              <w:ind w:right="-29"/>
              <w:jc w:val="center"/>
              <w:rPr>
                <w:noProof/>
                <w:sz w:val="18"/>
                <w:szCs w:val="18"/>
              </w:rPr>
            </w:pPr>
          </w:p>
        </w:tc>
        <w:tc>
          <w:tcPr>
            <w:tcW w:w="720" w:type="dxa"/>
            <w:gridSpan w:val="2"/>
            <w:tcBorders>
              <w:top w:val="nil"/>
              <w:left w:val="nil"/>
              <w:bottom w:val="nil"/>
              <w:right w:val="nil"/>
            </w:tcBorders>
          </w:tcPr>
          <w:p w14:paraId="69B44C84" w14:textId="77777777" w:rsidR="004770F6" w:rsidRPr="00CE39FB" w:rsidRDefault="004770F6">
            <w:pPr>
              <w:spacing w:before="60" w:after="60"/>
              <w:ind w:right="-29"/>
              <w:jc w:val="center"/>
              <w:rPr>
                <w:noProof/>
                <w:sz w:val="18"/>
                <w:szCs w:val="18"/>
              </w:rPr>
            </w:pPr>
          </w:p>
        </w:tc>
        <w:tc>
          <w:tcPr>
            <w:tcW w:w="540" w:type="dxa"/>
            <w:tcBorders>
              <w:top w:val="nil"/>
              <w:left w:val="nil"/>
              <w:bottom w:val="nil"/>
              <w:right w:val="nil"/>
            </w:tcBorders>
          </w:tcPr>
          <w:p w14:paraId="44E85060" w14:textId="77777777" w:rsidR="004770F6" w:rsidRPr="00CE39FB" w:rsidRDefault="004770F6">
            <w:pPr>
              <w:spacing w:before="60" w:after="60"/>
              <w:ind w:right="-29"/>
              <w:jc w:val="center"/>
              <w:rPr>
                <w:noProof/>
                <w:sz w:val="18"/>
                <w:szCs w:val="18"/>
              </w:rPr>
            </w:pPr>
          </w:p>
        </w:tc>
        <w:tc>
          <w:tcPr>
            <w:tcW w:w="648" w:type="dxa"/>
            <w:tcBorders>
              <w:top w:val="nil"/>
              <w:left w:val="nil"/>
              <w:bottom w:val="nil"/>
              <w:right w:val="nil"/>
            </w:tcBorders>
          </w:tcPr>
          <w:p w14:paraId="1F604659" w14:textId="77777777" w:rsidR="004770F6" w:rsidRPr="00CE39FB" w:rsidRDefault="004770F6">
            <w:pPr>
              <w:spacing w:before="60" w:after="60"/>
              <w:ind w:right="-29"/>
              <w:jc w:val="center"/>
              <w:rPr>
                <w:noProof/>
                <w:sz w:val="18"/>
                <w:szCs w:val="18"/>
              </w:rPr>
            </w:pPr>
          </w:p>
        </w:tc>
        <w:tc>
          <w:tcPr>
            <w:tcW w:w="432" w:type="dxa"/>
            <w:tcBorders>
              <w:top w:val="nil"/>
              <w:left w:val="nil"/>
              <w:bottom w:val="nil"/>
              <w:right w:val="nil"/>
            </w:tcBorders>
          </w:tcPr>
          <w:p w14:paraId="4B778525"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433BBADA" w14:textId="77777777" w:rsidR="004770F6" w:rsidRPr="00CE39FB" w:rsidRDefault="004770F6">
            <w:pPr>
              <w:spacing w:before="60" w:after="60"/>
              <w:ind w:right="-29"/>
              <w:jc w:val="center"/>
              <w:rPr>
                <w:noProof/>
                <w:sz w:val="18"/>
                <w:szCs w:val="18"/>
              </w:rPr>
            </w:pPr>
          </w:p>
        </w:tc>
        <w:tc>
          <w:tcPr>
            <w:tcW w:w="540" w:type="dxa"/>
            <w:tcBorders>
              <w:top w:val="nil"/>
              <w:left w:val="nil"/>
              <w:bottom w:val="nil"/>
              <w:right w:val="nil"/>
            </w:tcBorders>
          </w:tcPr>
          <w:p w14:paraId="657C11F0"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63C90EBC"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33472760" w14:textId="77777777" w:rsidR="004770F6" w:rsidRPr="00CE39FB" w:rsidRDefault="004770F6">
            <w:pPr>
              <w:spacing w:before="60" w:after="60"/>
              <w:ind w:right="-29"/>
              <w:jc w:val="center"/>
              <w:rPr>
                <w:noProof/>
                <w:sz w:val="18"/>
                <w:szCs w:val="18"/>
              </w:rPr>
            </w:pPr>
          </w:p>
        </w:tc>
        <w:tc>
          <w:tcPr>
            <w:tcW w:w="900" w:type="dxa"/>
            <w:tcBorders>
              <w:top w:val="nil"/>
              <w:left w:val="nil"/>
              <w:bottom w:val="nil"/>
              <w:right w:val="nil"/>
            </w:tcBorders>
          </w:tcPr>
          <w:p w14:paraId="4BBE68FD" w14:textId="77777777" w:rsidR="004770F6" w:rsidRPr="00CE39FB" w:rsidRDefault="004770F6">
            <w:pPr>
              <w:spacing w:before="60" w:after="60"/>
              <w:ind w:right="-29"/>
              <w:jc w:val="center"/>
              <w:rPr>
                <w:noProof/>
                <w:sz w:val="18"/>
                <w:szCs w:val="18"/>
              </w:rPr>
            </w:pPr>
          </w:p>
        </w:tc>
      </w:tr>
      <w:tr w:rsidR="00CE39FB" w:rsidRPr="00CE39FB" w14:paraId="5404D4F7" w14:textId="77777777" w:rsidTr="59744C64">
        <w:trPr>
          <w:trHeight w:hRule="exact" w:val="369"/>
          <w:jc w:val="center"/>
        </w:trPr>
        <w:tc>
          <w:tcPr>
            <w:tcW w:w="1423" w:type="dxa"/>
          </w:tcPr>
          <w:p w14:paraId="281C1EB3" w14:textId="77777777" w:rsidR="004770F6" w:rsidRPr="00CE39FB" w:rsidRDefault="004770F6">
            <w:pPr>
              <w:ind w:right="-29"/>
              <w:jc w:val="center"/>
              <w:rPr>
                <w:noProof/>
                <w:sz w:val="18"/>
                <w:szCs w:val="18"/>
              </w:rPr>
            </w:pPr>
            <w:r w:rsidRPr="00CE39FB">
              <w:rPr>
                <w:noProof/>
                <w:sz w:val="18"/>
              </w:rPr>
              <w:t>- Output</w:t>
            </w:r>
          </w:p>
        </w:tc>
        <w:tc>
          <w:tcPr>
            <w:tcW w:w="720" w:type="dxa"/>
          </w:tcPr>
          <w:p w14:paraId="59D28D9F" w14:textId="77777777" w:rsidR="004770F6" w:rsidRPr="00CE39FB" w:rsidRDefault="004770F6">
            <w:pPr>
              <w:ind w:right="-29"/>
              <w:jc w:val="center"/>
              <w:rPr>
                <w:noProof/>
                <w:sz w:val="18"/>
                <w:szCs w:val="18"/>
              </w:rPr>
            </w:pPr>
          </w:p>
        </w:tc>
        <w:tc>
          <w:tcPr>
            <w:tcW w:w="701" w:type="dxa"/>
          </w:tcPr>
          <w:p w14:paraId="7D8FE95F" w14:textId="77777777" w:rsidR="004770F6" w:rsidRPr="00CE39FB" w:rsidRDefault="004770F6">
            <w:pPr>
              <w:ind w:right="-29"/>
              <w:jc w:val="center"/>
              <w:rPr>
                <w:noProof/>
                <w:sz w:val="18"/>
                <w:szCs w:val="18"/>
              </w:rPr>
            </w:pPr>
          </w:p>
        </w:tc>
        <w:tc>
          <w:tcPr>
            <w:tcW w:w="504" w:type="dxa"/>
            <w:tcBorders>
              <w:right w:val="dashSmallGap" w:sz="4" w:space="0" w:color="auto"/>
            </w:tcBorders>
          </w:tcPr>
          <w:p w14:paraId="14F8CED6" w14:textId="77777777" w:rsidR="004770F6" w:rsidRPr="00CE39FB" w:rsidRDefault="004770F6">
            <w:pPr>
              <w:ind w:right="-29"/>
              <w:jc w:val="center"/>
              <w:rPr>
                <w:noProof/>
                <w:sz w:val="18"/>
                <w:szCs w:val="18"/>
              </w:rPr>
            </w:pPr>
          </w:p>
        </w:tc>
        <w:tc>
          <w:tcPr>
            <w:tcW w:w="720" w:type="dxa"/>
            <w:tcBorders>
              <w:left w:val="dashSmallGap" w:sz="4" w:space="0" w:color="auto"/>
            </w:tcBorders>
          </w:tcPr>
          <w:p w14:paraId="28239BD2" w14:textId="77777777" w:rsidR="004770F6" w:rsidRPr="00CE39FB" w:rsidRDefault="004770F6">
            <w:pPr>
              <w:ind w:right="-29"/>
              <w:jc w:val="center"/>
              <w:rPr>
                <w:noProof/>
                <w:sz w:val="18"/>
                <w:szCs w:val="18"/>
              </w:rPr>
            </w:pPr>
          </w:p>
        </w:tc>
        <w:tc>
          <w:tcPr>
            <w:tcW w:w="540" w:type="dxa"/>
            <w:tcBorders>
              <w:right w:val="dashSmallGap" w:sz="4" w:space="0" w:color="auto"/>
            </w:tcBorders>
          </w:tcPr>
          <w:p w14:paraId="791D83FA" w14:textId="77777777" w:rsidR="004770F6" w:rsidRPr="00CE39FB" w:rsidRDefault="004770F6">
            <w:pPr>
              <w:ind w:right="-29"/>
              <w:jc w:val="center"/>
              <w:rPr>
                <w:noProof/>
                <w:sz w:val="18"/>
                <w:szCs w:val="18"/>
              </w:rPr>
            </w:pPr>
          </w:p>
        </w:tc>
        <w:tc>
          <w:tcPr>
            <w:tcW w:w="720" w:type="dxa"/>
            <w:tcBorders>
              <w:left w:val="dashSmallGap" w:sz="4" w:space="0" w:color="auto"/>
            </w:tcBorders>
          </w:tcPr>
          <w:p w14:paraId="7C5D12F7" w14:textId="77777777" w:rsidR="004770F6" w:rsidRPr="00CE39FB" w:rsidRDefault="004770F6">
            <w:pPr>
              <w:ind w:right="-29"/>
              <w:jc w:val="center"/>
              <w:rPr>
                <w:noProof/>
                <w:sz w:val="18"/>
                <w:szCs w:val="18"/>
              </w:rPr>
            </w:pPr>
          </w:p>
        </w:tc>
        <w:tc>
          <w:tcPr>
            <w:tcW w:w="720" w:type="dxa"/>
            <w:tcBorders>
              <w:right w:val="dashSmallGap" w:sz="4" w:space="0" w:color="auto"/>
            </w:tcBorders>
          </w:tcPr>
          <w:p w14:paraId="19AD8565" w14:textId="77777777" w:rsidR="004770F6" w:rsidRPr="00CE39FB" w:rsidRDefault="004770F6">
            <w:pPr>
              <w:ind w:right="-29"/>
              <w:jc w:val="center"/>
              <w:rPr>
                <w:noProof/>
                <w:sz w:val="18"/>
                <w:szCs w:val="18"/>
              </w:rPr>
            </w:pPr>
          </w:p>
        </w:tc>
        <w:tc>
          <w:tcPr>
            <w:tcW w:w="720" w:type="dxa"/>
            <w:tcBorders>
              <w:left w:val="dashSmallGap" w:sz="4" w:space="0" w:color="auto"/>
            </w:tcBorders>
          </w:tcPr>
          <w:p w14:paraId="30E32A51" w14:textId="77777777" w:rsidR="004770F6" w:rsidRPr="00CE39FB" w:rsidRDefault="004770F6">
            <w:pPr>
              <w:ind w:right="-29"/>
              <w:jc w:val="center"/>
              <w:rPr>
                <w:noProof/>
                <w:sz w:val="18"/>
                <w:szCs w:val="18"/>
              </w:rPr>
            </w:pPr>
          </w:p>
        </w:tc>
        <w:tc>
          <w:tcPr>
            <w:tcW w:w="900" w:type="dxa"/>
            <w:tcBorders>
              <w:right w:val="dashSmallGap" w:sz="4" w:space="0" w:color="auto"/>
            </w:tcBorders>
          </w:tcPr>
          <w:p w14:paraId="15DB28DD" w14:textId="77777777" w:rsidR="004770F6" w:rsidRPr="00CE39FB" w:rsidRDefault="004770F6">
            <w:pPr>
              <w:ind w:right="-29"/>
              <w:jc w:val="center"/>
              <w:rPr>
                <w:noProof/>
                <w:sz w:val="18"/>
                <w:szCs w:val="18"/>
              </w:rPr>
            </w:pPr>
          </w:p>
        </w:tc>
        <w:tc>
          <w:tcPr>
            <w:tcW w:w="720" w:type="dxa"/>
            <w:gridSpan w:val="2"/>
            <w:tcBorders>
              <w:left w:val="dashSmallGap" w:sz="4" w:space="0" w:color="auto"/>
            </w:tcBorders>
          </w:tcPr>
          <w:p w14:paraId="13BB6C0C" w14:textId="77777777" w:rsidR="004770F6" w:rsidRPr="00CE39FB" w:rsidRDefault="004770F6">
            <w:pPr>
              <w:ind w:right="-29"/>
              <w:jc w:val="center"/>
              <w:rPr>
                <w:noProof/>
                <w:sz w:val="18"/>
                <w:szCs w:val="18"/>
              </w:rPr>
            </w:pPr>
          </w:p>
        </w:tc>
        <w:tc>
          <w:tcPr>
            <w:tcW w:w="540" w:type="dxa"/>
            <w:tcBorders>
              <w:right w:val="dashSmallGap" w:sz="4" w:space="0" w:color="auto"/>
            </w:tcBorders>
          </w:tcPr>
          <w:p w14:paraId="182CBFF5" w14:textId="77777777" w:rsidR="004770F6" w:rsidRPr="00CE39FB" w:rsidRDefault="004770F6">
            <w:pPr>
              <w:ind w:right="-29"/>
              <w:jc w:val="center"/>
              <w:rPr>
                <w:noProof/>
                <w:sz w:val="18"/>
                <w:szCs w:val="18"/>
              </w:rPr>
            </w:pPr>
          </w:p>
        </w:tc>
        <w:tc>
          <w:tcPr>
            <w:tcW w:w="648" w:type="dxa"/>
            <w:tcBorders>
              <w:left w:val="dashSmallGap" w:sz="4" w:space="0" w:color="auto"/>
            </w:tcBorders>
          </w:tcPr>
          <w:p w14:paraId="07CCEB4E" w14:textId="77777777" w:rsidR="004770F6" w:rsidRPr="00CE39FB" w:rsidRDefault="004770F6">
            <w:pPr>
              <w:ind w:right="-29"/>
              <w:jc w:val="center"/>
              <w:rPr>
                <w:noProof/>
                <w:sz w:val="18"/>
                <w:szCs w:val="18"/>
              </w:rPr>
            </w:pPr>
          </w:p>
        </w:tc>
        <w:tc>
          <w:tcPr>
            <w:tcW w:w="432" w:type="dxa"/>
            <w:tcBorders>
              <w:right w:val="dashSmallGap" w:sz="4" w:space="0" w:color="auto"/>
            </w:tcBorders>
          </w:tcPr>
          <w:p w14:paraId="5B6BC5E2" w14:textId="77777777" w:rsidR="004770F6" w:rsidRPr="00CE39FB" w:rsidRDefault="004770F6">
            <w:pPr>
              <w:ind w:right="-29"/>
              <w:jc w:val="center"/>
              <w:rPr>
                <w:noProof/>
                <w:sz w:val="18"/>
                <w:szCs w:val="18"/>
              </w:rPr>
            </w:pPr>
          </w:p>
        </w:tc>
        <w:tc>
          <w:tcPr>
            <w:tcW w:w="720" w:type="dxa"/>
            <w:tcBorders>
              <w:left w:val="dashSmallGap" w:sz="4" w:space="0" w:color="auto"/>
            </w:tcBorders>
          </w:tcPr>
          <w:p w14:paraId="509351EE" w14:textId="77777777" w:rsidR="004770F6" w:rsidRPr="00CE39FB" w:rsidRDefault="004770F6">
            <w:pPr>
              <w:ind w:right="-29"/>
              <w:jc w:val="center"/>
              <w:rPr>
                <w:noProof/>
                <w:sz w:val="18"/>
                <w:szCs w:val="18"/>
              </w:rPr>
            </w:pPr>
          </w:p>
        </w:tc>
        <w:tc>
          <w:tcPr>
            <w:tcW w:w="540" w:type="dxa"/>
            <w:tcBorders>
              <w:right w:val="dashSmallGap" w:sz="4" w:space="0" w:color="auto"/>
            </w:tcBorders>
          </w:tcPr>
          <w:p w14:paraId="3EBB07B4" w14:textId="77777777" w:rsidR="004770F6" w:rsidRPr="00CE39FB" w:rsidRDefault="004770F6">
            <w:pPr>
              <w:ind w:right="-29"/>
              <w:jc w:val="center"/>
              <w:rPr>
                <w:noProof/>
                <w:sz w:val="18"/>
                <w:szCs w:val="18"/>
              </w:rPr>
            </w:pPr>
          </w:p>
        </w:tc>
        <w:tc>
          <w:tcPr>
            <w:tcW w:w="720" w:type="dxa"/>
            <w:tcBorders>
              <w:left w:val="dashSmallGap" w:sz="4" w:space="0" w:color="auto"/>
            </w:tcBorders>
          </w:tcPr>
          <w:p w14:paraId="282361FA" w14:textId="77777777" w:rsidR="004770F6" w:rsidRPr="00CE39FB" w:rsidRDefault="004770F6">
            <w:pPr>
              <w:ind w:right="-29"/>
              <w:jc w:val="center"/>
              <w:rPr>
                <w:noProof/>
                <w:sz w:val="18"/>
                <w:szCs w:val="18"/>
              </w:rPr>
            </w:pPr>
          </w:p>
        </w:tc>
        <w:tc>
          <w:tcPr>
            <w:tcW w:w="720" w:type="dxa"/>
          </w:tcPr>
          <w:p w14:paraId="707288A3" w14:textId="77777777" w:rsidR="004770F6" w:rsidRPr="00CE39FB" w:rsidRDefault="004770F6">
            <w:pPr>
              <w:ind w:right="-29"/>
              <w:jc w:val="center"/>
              <w:rPr>
                <w:noProof/>
                <w:sz w:val="18"/>
                <w:szCs w:val="18"/>
              </w:rPr>
            </w:pPr>
          </w:p>
        </w:tc>
        <w:tc>
          <w:tcPr>
            <w:tcW w:w="900" w:type="dxa"/>
          </w:tcPr>
          <w:p w14:paraId="74F0C6BA" w14:textId="77777777" w:rsidR="004770F6" w:rsidRPr="00CE39FB" w:rsidRDefault="004770F6">
            <w:pPr>
              <w:ind w:right="-29"/>
              <w:jc w:val="center"/>
              <w:rPr>
                <w:noProof/>
                <w:sz w:val="18"/>
                <w:szCs w:val="18"/>
              </w:rPr>
            </w:pPr>
          </w:p>
        </w:tc>
      </w:tr>
      <w:tr w:rsidR="00CE39FB" w:rsidRPr="00CE39FB" w14:paraId="45484C8A" w14:textId="77777777" w:rsidTr="59744C64">
        <w:trPr>
          <w:trHeight w:hRule="exact" w:val="369"/>
          <w:jc w:val="center"/>
        </w:trPr>
        <w:tc>
          <w:tcPr>
            <w:tcW w:w="1423" w:type="dxa"/>
          </w:tcPr>
          <w:p w14:paraId="586AEA43" w14:textId="77777777" w:rsidR="004770F6" w:rsidRPr="00CE39FB" w:rsidRDefault="004770F6">
            <w:pPr>
              <w:ind w:right="-29"/>
              <w:jc w:val="center"/>
              <w:rPr>
                <w:noProof/>
                <w:sz w:val="18"/>
                <w:szCs w:val="18"/>
              </w:rPr>
            </w:pPr>
            <w:r w:rsidRPr="00CE39FB">
              <w:rPr>
                <w:noProof/>
                <w:sz w:val="18"/>
              </w:rPr>
              <w:t>- Output</w:t>
            </w:r>
          </w:p>
        </w:tc>
        <w:tc>
          <w:tcPr>
            <w:tcW w:w="720" w:type="dxa"/>
          </w:tcPr>
          <w:p w14:paraId="18A9E0B6" w14:textId="77777777" w:rsidR="004770F6" w:rsidRPr="00CE39FB" w:rsidRDefault="004770F6">
            <w:pPr>
              <w:ind w:right="-29"/>
              <w:jc w:val="center"/>
              <w:rPr>
                <w:noProof/>
                <w:sz w:val="18"/>
                <w:szCs w:val="18"/>
              </w:rPr>
            </w:pPr>
          </w:p>
        </w:tc>
        <w:tc>
          <w:tcPr>
            <w:tcW w:w="701" w:type="dxa"/>
          </w:tcPr>
          <w:p w14:paraId="481E6DD3" w14:textId="77777777" w:rsidR="004770F6" w:rsidRPr="00CE39FB" w:rsidRDefault="004770F6">
            <w:pPr>
              <w:ind w:right="-29"/>
              <w:jc w:val="center"/>
              <w:rPr>
                <w:noProof/>
                <w:sz w:val="18"/>
                <w:szCs w:val="18"/>
              </w:rPr>
            </w:pPr>
          </w:p>
        </w:tc>
        <w:tc>
          <w:tcPr>
            <w:tcW w:w="504" w:type="dxa"/>
            <w:tcBorders>
              <w:right w:val="dashSmallGap" w:sz="4" w:space="0" w:color="auto"/>
            </w:tcBorders>
          </w:tcPr>
          <w:p w14:paraId="52680AF9" w14:textId="77777777" w:rsidR="004770F6" w:rsidRPr="00CE39FB" w:rsidRDefault="004770F6">
            <w:pPr>
              <w:ind w:right="-29"/>
              <w:jc w:val="center"/>
              <w:rPr>
                <w:noProof/>
                <w:sz w:val="18"/>
                <w:szCs w:val="18"/>
              </w:rPr>
            </w:pPr>
          </w:p>
        </w:tc>
        <w:tc>
          <w:tcPr>
            <w:tcW w:w="720" w:type="dxa"/>
            <w:tcBorders>
              <w:left w:val="dashSmallGap" w:sz="4" w:space="0" w:color="auto"/>
            </w:tcBorders>
          </w:tcPr>
          <w:p w14:paraId="7C79CBB1" w14:textId="77777777" w:rsidR="004770F6" w:rsidRPr="00CE39FB" w:rsidRDefault="004770F6">
            <w:pPr>
              <w:ind w:right="-29"/>
              <w:jc w:val="center"/>
              <w:rPr>
                <w:noProof/>
                <w:sz w:val="18"/>
                <w:szCs w:val="18"/>
              </w:rPr>
            </w:pPr>
          </w:p>
        </w:tc>
        <w:tc>
          <w:tcPr>
            <w:tcW w:w="540" w:type="dxa"/>
            <w:tcBorders>
              <w:right w:val="dashSmallGap" w:sz="4" w:space="0" w:color="auto"/>
            </w:tcBorders>
          </w:tcPr>
          <w:p w14:paraId="67885250" w14:textId="77777777" w:rsidR="004770F6" w:rsidRPr="00CE39FB" w:rsidRDefault="004770F6">
            <w:pPr>
              <w:ind w:right="-29"/>
              <w:jc w:val="center"/>
              <w:rPr>
                <w:noProof/>
                <w:sz w:val="18"/>
                <w:szCs w:val="18"/>
              </w:rPr>
            </w:pPr>
          </w:p>
        </w:tc>
        <w:tc>
          <w:tcPr>
            <w:tcW w:w="720" w:type="dxa"/>
            <w:tcBorders>
              <w:left w:val="dashSmallGap" w:sz="4" w:space="0" w:color="auto"/>
            </w:tcBorders>
          </w:tcPr>
          <w:p w14:paraId="73CAC191" w14:textId="77777777" w:rsidR="004770F6" w:rsidRPr="00CE39FB" w:rsidRDefault="004770F6">
            <w:pPr>
              <w:ind w:right="-29"/>
              <w:jc w:val="center"/>
              <w:rPr>
                <w:noProof/>
                <w:sz w:val="18"/>
                <w:szCs w:val="18"/>
              </w:rPr>
            </w:pPr>
          </w:p>
        </w:tc>
        <w:tc>
          <w:tcPr>
            <w:tcW w:w="720" w:type="dxa"/>
            <w:tcBorders>
              <w:right w:val="dashSmallGap" w:sz="4" w:space="0" w:color="auto"/>
            </w:tcBorders>
          </w:tcPr>
          <w:p w14:paraId="4470D734" w14:textId="77777777" w:rsidR="004770F6" w:rsidRPr="00CE39FB" w:rsidRDefault="004770F6">
            <w:pPr>
              <w:ind w:right="-29"/>
              <w:jc w:val="center"/>
              <w:rPr>
                <w:noProof/>
                <w:sz w:val="18"/>
                <w:szCs w:val="18"/>
              </w:rPr>
            </w:pPr>
          </w:p>
        </w:tc>
        <w:tc>
          <w:tcPr>
            <w:tcW w:w="720" w:type="dxa"/>
            <w:tcBorders>
              <w:left w:val="dashSmallGap" w:sz="4" w:space="0" w:color="auto"/>
            </w:tcBorders>
          </w:tcPr>
          <w:p w14:paraId="37FCC5BA" w14:textId="77777777" w:rsidR="004770F6" w:rsidRPr="00CE39FB" w:rsidRDefault="004770F6">
            <w:pPr>
              <w:ind w:right="-29"/>
              <w:jc w:val="center"/>
              <w:rPr>
                <w:noProof/>
                <w:sz w:val="18"/>
                <w:szCs w:val="18"/>
              </w:rPr>
            </w:pPr>
          </w:p>
        </w:tc>
        <w:tc>
          <w:tcPr>
            <w:tcW w:w="900" w:type="dxa"/>
            <w:tcBorders>
              <w:right w:val="dashSmallGap" w:sz="4" w:space="0" w:color="auto"/>
            </w:tcBorders>
          </w:tcPr>
          <w:p w14:paraId="773A3042" w14:textId="77777777" w:rsidR="004770F6" w:rsidRPr="00CE39FB" w:rsidRDefault="004770F6">
            <w:pPr>
              <w:ind w:right="-29"/>
              <w:jc w:val="center"/>
              <w:rPr>
                <w:noProof/>
                <w:sz w:val="18"/>
                <w:szCs w:val="18"/>
              </w:rPr>
            </w:pPr>
          </w:p>
        </w:tc>
        <w:tc>
          <w:tcPr>
            <w:tcW w:w="720" w:type="dxa"/>
            <w:gridSpan w:val="2"/>
            <w:tcBorders>
              <w:left w:val="dashSmallGap" w:sz="4" w:space="0" w:color="auto"/>
            </w:tcBorders>
          </w:tcPr>
          <w:p w14:paraId="0E5A3CF4" w14:textId="77777777" w:rsidR="004770F6" w:rsidRPr="00CE39FB" w:rsidRDefault="004770F6">
            <w:pPr>
              <w:ind w:right="-29"/>
              <w:jc w:val="center"/>
              <w:rPr>
                <w:noProof/>
                <w:sz w:val="18"/>
                <w:szCs w:val="18"/>
              </w:rPr>
            </w:pPr>
          </w:p>
        </w:tc>
        <w:tc>
          <w:tcPr>
            <w:tcW w:w="540" w:type="dxa"/>
            <w:tcBorders>
              <w:right w:val="dashSmallGap" w:sz="4" w:space="0" w:color="auto"/>
            </w:tcBorders>
          </w:tcPr>
          <w:p w14:paraId="36E1228D" w14:textId="77777777" w:rsidR="004770F6" w:rsidRPr="00CE39FB" w:rsidRDefault="004770F6">
            <w:pPr>
              <w:ind w:right="-29"/>
              <w:jc w:val="center"/>
              <w:rPr>
                <w:noProof/>
                <w:sz w:val="18"/>
                <w:szCs w:val="18"/>
              </w:rPr>
            </w:pPr>
          </w:p>
        </w:tc>
        <w:tc>
          <w:tcPr>
            <w:tcW w:w="648" w:type="dxa"/>
            <w:tcBorders>
              <w:left w:val="dashSmallGap" w:sz="4" w:space="0" w:color="auto"/>
            </w:tcBorders>
          </w:tcPr>
          <w:p w14:paraId="75F740C1" w14:textId="77777777" w:rsidR="004770F6" w:rsidRPr="00CE39FB" w:rsidRDefault="004770F6">
            <w:pPr>
              <w:ind w:right="-29"/>
              <w:jc w:val="center"/>
              <w:rPr>
                <w:noProof/>
                <w:sz w:val="18"/>
                <w:szCs w:val="18"/>
              </w:rPr>
            </w:pPr>
          </w:p>
        </w:tc>
        <w:tc>
          <w:tcPr>
            <w:tcW w:w="432" w:type="dxa"/>
            <w:tcBorders>
              <w:right w:val="dashSmallGap" w:sz="4" w:space="0" w:color="auto"/>
            </w:tcBorders>
          </w:tcPr>
          <w:p w14:paraId="297C1B89" w14:textId="77777777" w:rsidR="004770F6" w:rsidRPr="00CE39FB" w:rsidRDefault="004770F6">
            <w:pPr>
              <w:ind w:right="-29"/>
              <w:jc w:val="center"/>
              <w:rPr>
                <w:noProof/>
                <w:sz w:val="18"/>
                <w:szCs w:val="18"/>
              </w:rPr>
            </w:pPr>
          </w:p>
        </w:tc>
        <w:tc>
          <w:tcPr>
            <w:tcW w:w="720" w:type="dxa"/>
            <w:tcBorders>
              <w:left w:val="dashSmallGap" w:sz="4" w:space="0" w:color="auto"/>
            </w:tcBorders>
          </w:tcPr>
          <w:p w14:paraId="19390E25" w14:textId="77777777" w:rsidR="004770F6" w:rsidRPr="00CE39FB" w:rsidRDefault="004770F6">
            <w:pPr>
              <w:ind w:right="-29"/>
              <w:jc w:val="center"/>
              <w:rPr>
                <w:noProof/>
                <w:sz w:val="18"/>
                <w:szCs w:val="18"/>
              </w:rPr>
            </w:pPr>
          </w:p>
        </w:tc>
        <w:tc>
          <w:tcPr>
            <w:tcW w:w="540" w:type="dxa"/>
            <w:tcBorders>
              <w:right w:val="dashSmallGap" w:sz="4" w:space="0" w:color="auto"/>
            </w:tcBorders>
          </w:tcPr>
          <w:p w14:paraId="3CE05DD6" w14:textId="77777777" w:rsidR="004770F6" w:rsidRPr="00CE39FB" w:rsidRDefault="004770F6">
            <w:pPr>
              <w:ind w:right="-29"/>
              <w:jc w:val="center"/>
              <w:rPr>
                <w:noProof/>
                <w:sz w:val="18"/>
                <w:szCs w:val="18"/>
              </w:rPr>
            </w:pPr>
          </w:p>
        </w:tc>
        <w:tc>
          <w:tcPr>
            <w:tcW w:w="720" w:type="dxa"/>
            <w:tcBorders>
              <w:left w:val="dashSmallGap" w:sz="4" w:space="0" w:color="auto"/>
            </w:tcBorders>
          </w:tcPr>
          <w:p w14:paraId="067C9DA8" w14:textId="77777777" w:rsidR="004770F6" w:rsidRPr="00CE39FB" w:rsidRDefault="004770F6">
            <w:pPr>
              <w:ind w:right="-29"/>
              <w:jc w:val="center"/>
              <w:rPr>
                <w:noProof/>
                <w:sz w:val="18"/>
                <w:szCs w:val="18"/>
              </w:rPr>
            </w:pPr>
          </w:p>
        </w:tc>
        <w:tc>
          <w:tcPr>
            <w:tcW w:w="720" w:type="dxa"/>
          </w:tcPr>
          <w:p w14:paraId="75B8F15F" w14:textId="77777777" w:rsidR="004770F6" w:rsidRPr="00CE39FB" w:rsidRDefault="004770F6">
            <w:pPr>
              <w:ind w:right="-29"/>
              <w:jc w:val="center"/>
              <w:rPr>
                <w:noProof/>
                <w:sz w:val="18"/>
                <w:szCs w:val="18"/>
              </w:rPr>
            </w:pPr>
          </w:p>
        </w:tc>
        <w:tc>
          <w:tcPr>
            <w:tcW w:w="900" w:type="dxa"/>
          </w:tcPr>
          <w:p w14:paraId="5310C451" w14:textId="77777777" w:rsidR="004770F6" w:rsidRPr="00CE39FB" w:rsidRDefault="004770F6">
            <w:pPr>
              <w:ind w:right="-29"/>
              <w:jc w:val="center"/>
              <w:rPr>
                <w:noProof/>
                <w:sz w:val="18"/>
                <w:szCs w:val="18"/>
              </w:rPr>
            </w:pPr>
          </w:p>
        </w:tc>
      </w:tr>
      <w:tr w:rsidR="00CE39FB" w:rsidRPr="00CE39FB" w14:paraId="4B32A869" w14:textId="77777777" w:rsidTr="59744C64">
        <w:trPr>
          <w:trHeight w:hRule="exact" w:val="369"/>
          <w:jc w:val="center"/>
        </w:trPr>
        <w:tc>
          <w:tcPr>
            <w:tcW w:w="1423" w:type="dxa"/>
          </w:tcPr>
          <w:p w14:paraId="01AD204E" w14:textId="77777777" w:rsidR="004770F6" w:rsidRPr="00CE39FB" w:rsidRDefault="004770F6">
            <w:pPr>
              <w:ind w:right="-29"/>
              <w:jc w:val="center"/>
              <w:rPr>
                <w:noProof/>
                <w:sz w:val="18"/>
                <w:szCs w:val="18"/>
              </w:rPr>
            </w:pPr>
            <w:r w:rsidRPr="00CE39FB">
              <w:rPr>
                <w:noProof/>
                <w:sz w:val="18"/>
              </w:rPr>
              <w:t>- Output</w:t>
            </w:r>
          </w:p>
        </w:tc>
        <w:tc>
          <w:tcPr>
            <w:tcW w:w="720" w:type="dxa"/>
          </w:tcPr>
          <w:p w14:paraId="69BCFF77" w14:textId="77777777" w:rsidR="004770F6" w:rsidRPr="00CE39FB" w:rsidRDefault="004770F6">
            <w:pPr>
              <w:ind w:right="-29"/>
              <w:jc w:val="center"/>
              <w:rPr>
                <w:noProof/>
                <w:sz w:val="18"/>
                <w:szCs w:val="18"/>
              </w:rPr>
            </w:pPr>
          </w:p>
        </w:tc>
        <w:tc>
          <w:tcPr>
            <w:tcW w:w="701" w:type="dxa"/>
          </w:tcPr>
          <w:p w14:paraId="12A15BBE" w14:textId="77777777" w:rsidR="004770F6" w:rsidRPr="00CE39FB" w:rsidRDefault="004770F6">
            <w:pPr>
              <w:ind w:right="-29"/>
              <w:jc w:val="center"/>
              <w:rPr>
                <w:noProof/>
                <w:sz w:val="18"/>
                <w:szCs w:val="18"/>
              </w:rPr>
            </w:pPr>
          </w:p>
        </w:tc>
        <w:tc>
          <w:tcPr>
            <w:tcW w:w="504" w:type="dxa"/>
          </w:tcPr>
          <w:p w14:paraId="53493488" w14:textId="77777777" w:rsidR="004770F6" w:rsidRPr="00CE39FB" w:rsidRDefault="004770F6">
            <w:pPr>
              <w:ind w:right="-29"/>
              <w:jc w:val="center"/>
              <w:rPr>
                <w:noProof/>
                <w:sz w:val="18"/>
                <w:szCs w:val="18"/>
              </w:rPr>
            </w:pPr>
          </w:p>
        </w:tc>
        <w:tc>
          <w:tcPr>
            <w:tcW w:w="720" w:type="dxa"/>
          </w:tcPr>
          <w:p w14:paraId="3A711B33" w14:textId="77777777" w:rsidR="004770F6" w:rsidRPr="00CE39FB" w:rsidRDefault="004770F6">
            <w:pPr>
              <w:ind w:right="-29"/>
              <w:jc w:val="center"/>
              <w:rPr>
                <w:noProof/>
                <w:sz w:val="18"/>
                <w:szCs w:val="18"/>
              </w:rPr>
            </w:pPr>
          </w:p>
        </w:tc>
        <w:tc>
          <w:tcPr>
            <w:tcW w:w="540" w:type="dxa"/>
          </w:tcPr>
          <w:p w14:paraId="202D4C8B" w14:textId="77777777" w:rsidR="004770F6" w:rsidRPr="00CE39FB" w:rsidRDefault="004770F6">
            <w:pPr>
              <w:ind w:right="-29"/>
              <w:jc w:val="center"/>
              <w:rPr>
                <w:noProof/>
                <w:sz w:val="18"/>
                <w:szCs w:val="18"/>
              </w:rPr>
            </w:pPr>
          </w:p>
        </w:tc>
        <w:tc>
          <w:tcPr>
            <w:tcW w:w="720" w:type="dxa"/>
          </w:tcPr>
          <w:p w14:paraId="04DE423F" w14:textId="77777777" w:rsidR="004770F6" w:rsidRPr="00CE39FB" w:rsidRDefault="004770F6">
            <w:pPr>
              <w:ind w:right="-29"/>
              <w:jc w:val="center"/>
              <w:rPr>
                <w:noProof/>
                <w:sz w:val="18"/>
                <w:szCs w:val="18"/>
              </w:rPr>
            </w:pPr>
          </w:p>
        </w:tc>
        <w:tc>
          <w:tcPr>
            <w:tcW w:w="720" w:type="dxa"/>
          </w:tcPr>
          <w:p w14:paraId="5DA024E1" w14:textId="77777777" w:rsidR="004770F6" w:rsidRPr="00CE39FB" w:rsidRDefault="004770F6">
            <w:pPr>
              <w:ind w:right="-29"/>
              <w:jc w:val="center"/>
              <w:rPr>
                <w:noProof/>
                <w:sz w:val="18"/>
                <w:szCs w:val="18"/>
              </w:rPr>
            </w:pPr>
          </w:p>
        </w:tc>
        <w:tc>
          <w:tcPr>
            <w:tcW w:w="720" w:type="dxa"/>
          </w:tcPr>
          <w:p w14:paraId="63B3BC34" w14:textId="77777777" w:rsidR="004770F6" w:rsidRPr="00CE39FB" w:rsidRDefault="004770F6">
            <w:pPr>
              <w:ind w:right="-29"/>
              <w:jc w:val="center"/>
              <w:rPr>
                <w:noProof/>
                <w:sz w:val="18"/>
                <w:szCs w:val="18"/>
              </w:rPr>
            </w:pPr>
          </w:p>
        </w:tc>
        <w:tc>
          <w:tcPr>
            <w:tcW w:w="900" w:type="dxa"/>
          </w:tcPr>
          <w:p w14:paraId="01480963" w14:textId="77777777" w:rsidR="004770F6" w:rsidRPr="00CE39FB" w:rsidRDefault="004770F6">
            <w:pPr>
              <w:ind w:right="-29"/>
              <w:jc w:val="center"/>
              <w:rPr>
                <w:noProof/>
                <w:sz w:val="18"/>
                <w:szCs w:val="18"/>
              </w:rPr>
            </w:pPr>
          </w:p>
        </w:tc>
        <w:tc>
          <w:tcPr>
            <w:tcW w:w="720" w:type="dxa"/>
            <w:gridSpan w:val="2"/>
          </w:tcPr>
          <w:p w14:paraId="439CBD0F" w14:textId="77777777" w:rsidR="004770F6" w:rsidRPr="00CE39FB" w:rsidRDefault="004770F6">
            <w:pPr>
              <w:ind w:right="-29"/>
              <w:jc w:val="center"/>
              <w:rPr>
                <w:noProof/>
                <w:sz w:val="18"/>
                <w:szCs w:val="18"/>
              </w:rPr>
            </w:pPr>
          </w:p>
        </w:tc>
        <w:tc>
          <w:tcPr>
            <w:tcW w:w="540" w:type="dxa"/>
          </w:tcPr>
          <w:p w14:paraId="6F0DB4BA" w14:textId="77777777" w:rsidR="004770F6" w:rsidRPr="00CE39FB" w:rsidRDefault="004770F6">
            <w:pPr>
              <w:ind w:right="-29"/>
              <w:jc w:val="center"/>
              <w:rPr>
                <w:noProof/>
                <w:sz w:val="18"/>
                <w:szCs w:val="18"/>
              </w:rPr>
            </w:pPr>
          </w:p>
        </w:tc>
        <w:tc>
          <w:tcPr>
            <w:tcW w:w="648" w:type="dxa"/>
          </w:tcPr>
          <w:p w14:paraId="7BDB256C" w14:textId="77777777" w:rsidR="004770F6" w:rsidRPr="00CE39FB" w:rsidRDefault="004770F6">
            <w:pPr>
              <w:ind w:right="-29"/>
              <w:jc w:val="center"/>
              <w:rPr>
                <w:noProof/>
                <w:sz w:val="18"/>
                <w:szCs w:val="18"/>
              </w:rPr>
            </w:pPr>
          </w:p>
        </w:tc>
        <w:tc>
          <w:tcPr>
            <w:tcW w:w="432" w:type="dxa"/>
          </w:tcPr>
          <w:p w14:paraId="2137A921" w14:textId="77777777" w:rsidR="004770F6" w:rsidRPr="00CE39FB" w:rsidRDefault="004770F6">
            <w:pPr>
              <w:ind w:right="-29"/>
              <w:jc w:val="center"/>
              <w:rPr>
                <w:noProof/>
                <w:sz w:val="18"/>
                <w:szCs w:val="18"/>
              </w:rPr>
            </w:pPr>
          </w:p>
        </w:tc>
        <w:tc>
          <w:tcPr>
            <w:tcW w:w="720" w:type="dxa"/>
          </w:tcPr>
          <w:p w14:paraId="6F602B6E" w14:textId="77777777" w:rsidR="004770F6" w:rsidRPr="00CE39FB" w:rsidRDefault="004770F6">
            <w:pPr>
              <w:ind w:right="-29"/>
              <w:jc w:val="center"/>
              <w:rPr>
                <w:noProof/>
                <w:sz w:val="18"/>
                <w:szCs w:val="18"/>
              </w:rPr>
            </w:pPr>
          </w:p>
        </w:tc>
        <w:tc>
          <w:tcPr>
            <w:tcW w:w="540" w:type="dxa"/>
          </w:tcPr>
          <w:p w14:paraId="576F0FFF" w14:textId="77777777" w:rsidR="004770F6" w:rsidRPr="00CE39FB" w:rsidRDefault="004770F6">
            <w:pPr>
              <w:ind w:right="-29"/>
              <w:jc w:val="center"/>
              <w:rPr>
                <w:noProof/>
                <w:sz w:val="18"/>
                <w:szCs w:val="18"/>
              </w:rPr>
            </w:pPr>
          </w:p>
        </w:tc>
        <w:tc>
          <w:tcPr>
            <w:tcW w:w="720" w:type="dxa"/>
          </w:tcPr>
          <w:p w14:paraId="5AC59F59" w14:textId="77777777" w:rsidR="004770F6" w:rsidRPr="00CE39FB" w:rsidRDefault="004770F6">
            <w:pPr>
              <w:ind w:right="-29"/>
              <w:jc w:val="center"/>
              <w:rPr>
                <w:noProof/>
                <w:sz w:val="18"/>
                <w:szCs w:val="18"/>
              </w:rPr>
            </w:pPr>
          </w:p>
        </w:tc>
        <w:tc>
          <w:tcPr>
            <w:tcW w:w="720" w:type="dxa"/>
          </w:tcPr>
          <w:p w14:paraId="6A7F00E1" w14:textId="77777777" w:rsidR="004770F6" w:rsidRPr="00CE39FB" w:rsidRDefault="004770F6">
            <w:pPr>
              <w:ind w:right="-29"/>
              <w:jc w:val="center"/>
              <w:rPr>
                <w:noProof/>
                <w:sz w:val="18"/>
                <w:szCs w:val="18"/>
              </w:rPr>
            </w:pPr>
          </w:p>
        </w:tc>
        <w:tc>
          <w:tcPr>
            <w:tcW w:w="900" w:type="dxa"/>
          </w:tcPr>
          <w:p w14:paraId="2551B8FE" w14:textId="77777777" w:rsidR="004770F6" w:rsidRPr="00CE39FB" w:rsidRDefault="004770F6">
            <w:pPr>
              <w:ind w:right="-29"/>
              <w:jc w:val="center"/>
              <w:rPr>
                <w:noProof/>
                <w:sz w:val="18"/>
                <w:szCs w:val="18"/>
              </w:rPr>
            </w:pPr>
          </w:p>
        </w:tc>
      </w:tr>
      <w:tr w:rsidR="00CE39FB" w:rsidRPr="00CE39FB" w14:paraId="60F868F9" w14:textId="77777777" w:rsidTr="59744C64">
        <w:trPr>
          <w:trHeight w:val="77"/>
          <w:jc w:val="center"/>
        </w:trPr>
        <w:tc>
          <w:tcPr>
            <w:tcW w:w="2844" w:type="dxa"/>
            <w:gridSpan w:val="3"/>
            <w:tcBorders>
              <w:bottom w:val="single" w:sz="12" w:space="0" w:color="auto"/>
            </w:tcBorders>
            <w:vAlign w:val="center"/>
          </w:tcPr>
          <w:p w14:paraId="7173B090" w14:textId="77777777" w:rsidR="004770F6" w:rsidRPr="008D6611" w:rsidRDefault="004770F6">
            <w:pPr>
              <w:ind w:right="-29"/>
              <w:jc w:val="center"/>
              <w:rPr>
                <w:noProof/>
                <w:sz w:val="18"/>
              </w:rPr>
            </w:pPr>
            <w:r w:rsidRPr="008D6611">
              <w:rPr>
                <w:noProof/>
                <w:sz w:val="18"/>
              </w:rPr>
              <w:t>Subtotal for specific objective No 1</w:t>
            </w:r>
          </w:p>
        </w:tc>
        <w:tc>
          <w:tcPr>
            <w:tcW w:w="504" w:type="dxa"/>
            <w:tcBorders>
              <w:bottom w:val="single" w:sz="12" w:space="0" w:color="auto"/>
            </w:tcBorders>
          </w:tcPr>
          <w:p w14:paraId="7E497E24" w14:textId="77777777" w:rsidR="004770F6" w:rsidRPr="008D6611" w:rsidRDefault="004770F6">
            <w:pPr>
              <w:ind w:right="-29"/>
              <w:jc w:val="center"/>
              <w:rPr>
                <w:noProof/>
                <w:sz w:val="18"/>
              </w:rPr>
            </w:pPr>
          </w:p>
        </w:tc>
        <w:tc>
          <w:tcPr>
            <w:tcW w:w="720" w:type="dxa"/>
            <w:tcBorders>
              <w:bottom w:val="single" w:sz="12" w:space="0" w:color="auto"/>
            </w:tcBorders>
          </w:tcPr>
          <w:p w14:paraId="647938C4" w14:textId="77777777" w:rsidR="004770F6" w:rsidRPr="008D6611" w:rsidRDefault="004770F6">
            <w:pPr>
              <w:ind w:right="-29"/>
              <w:jc w:val="center"/>
              <w:rPr>
                <w:noProof/>
                <w:sz w:val="18"/>
              </w:rPr>
            </w:pPr>
          </w:p>
        </w:tc>
        <w:tc>
          <w:tcPr>
            <w:tcW w:w="540" w:type="dxa"/>
            <w:tcBorders>
              <w:bottom w:val="single" w:sz="12" w:space="0" w:color="auto"/>
            </w:tcBorders>
          </w:tcPr>
          <w:p w14:paraId="1983A3A1" w14:textId="77777777" w:rsidR="004770F6" w:rsidRPr="008D6611" w:rsidRDefault="004770F6">
            <w:pPr>
              <w:ind w:right="-29"/>
              <w:jc w:val="center"/>
              <w:rPr>
                <w:noProof/>
                <w:sz w:val="18"/>
              </w:rPr>
            </w:pPr>
          </w:p>
        </w:tc>
        <w:tc>
          <w:tcPr>
            <w:tcW w:w="720" w:type="dxa"/>
            <w:tcBorders>
              <w:bottom w:val="single" w:sz="12" w:space="0" w:color="auto"/>
            </w:tcBorders>
          </w:tcPr>
          <w:p w14:paraId="6A290498" w14:textId="77777777" w:rsidR="004770F6" w:rsidRPr="008D6611" w:rsidRDefault="004770F6">
            <w:pPr>
              <w:ind w:right="-29"/>
              <w:jc w:val="center"/>
              <w:rPr>
                <w:noProof/>
                <w:sz w:val="18"/>
              </w:rPr>
            </w:pPr>
          </w:p>
        </w:tc>
        <w:tc>
          <w:tcPr>
            <w:tcW w:w="720" w:type="dxa"/>
            <w:tcBorders>
              <w:bottom w:val="single" w:sz="12" w:space="0" w:color="auto"/>
            </w:tcBorders>
          </w:tcPr>
          <w:p w14:paraId="42A22265" w14:textId="77777777" w:rsidR="004770F6" w:rsidRPr="008D6611" w:rsidRDefault="004770F6">
            <w:pPr>
              <w:ind w:right="-29"/>
              <w:jc w:val="center"/>
              <w:rPr>
                <w:noProof/>
                <w:sz w:val="18"/>
              </w:rPr>
            </w:pPr>
          </w:p>
        </w:tc>
        <w:tc>
          <w:tcPr>
            <w:tcW w:w="720" w:type="dxa"/>
            <w:tcBorders>
              <w:bottom w:val="single" w:sz="12" w:space="0" w:color="auto"/>
            </w:tcBorders>
          </w:tcPr>
          <w:p w14:paraId="610E5B19" w14:textId="77777777" w:rsidR="004770F6" w:rsidRPr="008D6611" w:rsidRDefault="004770F6">
            <w:pPr>
              <w:ind w:right="-29"/>
              <w:jc w:val="center"/>
              <w:rPr>
                <w:noProof/>
                <w:sz w:val="18"/>
              </w:rPr>
            </w:pPr>
          </w:p>
        </w:tc>
        <w:tc>
          <w:tcPr>
            <w:tcW w:w="900" w:type="dxa"/>
            <w:tcBorders>
              <w:bottom w:val="single" w:sz="12" w:space="0" w:color="auto"/>
            </w:tcBorders>
          </w:tcPr>
          <w:p w14:paraId="7EC9C930" w14:textId="77777777" w:rsidR="004770F6" w:rsidRPr="008D6611" w:rsidRDefault="004770F6">
            <w:pPr>
              <w:ind w:right="-29"/>
              <w:jc w:val="center"/>
              <w:rPr>
                <w:noProof/>
                <w:sz w:val="18"/>
              </w:rPr>
            </w:pPr>
          </w:p>
        </w:tc>
        <w:tc>
          <w:tcPr>
            <w:tcW w:w="720" w:type="dxa"/>
            <w:gridSpan w:val="2"/>
            <w:tcBorders>
              <w:bottom w:val="single" w:sz="12" w:space="0" w:color="auto"/>
            </w:tcBorders>
          </w:tcPr>
          <w:p w14:paraId="1E3820FD" w14:textId="77777777" w:rsidR="004770F6" w:rsidRPr="008D6611" w:rsidRDefault="004770F6">
            <w:pPr>
              <w:ind w:right="-29"/>
              <w:jc w:val="center"/>
              <w:rPr>
                <w:noProof/>
                <w:sz w:val="18"/>
              </w:rPr>
            </w:pPr>
          </w:p>
        </w:tc>
        <w:tc>
          <w:tcPr>
            <w:tcW w:w="540" w:type="dxa"/>
            <w:tcBorders>
              <w:bottom w:val="single" w:sz="12" w:space="0" w:color="auto"/>
            </w:tcBorders>
          </w:tcPr>
          <w:p w14:paraId="6A5648C6" w14:textId="77777777" w:rsidR="004770F6" w:rsidRPr="008D6611" w:rsidRDefault="004770F6">
            <w:pPr>
              <w:ind w:right="-29"/>
              <w:jc w:val="center"/>
              <w:rPr>
                <w:noProof/>
                <w:sz w:val="18"/>
              </w:rPr>
            </w:pPr>
          </w:p>
        </w:tc>
        <w:tc>
          <w:tcPr>
            <w:tcW w:w="648" w:type="dxa"/>
            <w:tcBorders>
              <w:bottom w:val="single" w:sz="12" w:space="0" w:color="auto"/>
            </w:tcBorders>
          </w:tcPr>
          <w:p w14:paraId="0B32BCFC" w14:textId="77777777" w:rsidR="004770F6" w:rsidRPr="008D6611" w:rsidRDefault="004770F6">
            <w:pPr>
              <w:ind w:right="-29"/>
              <w:jc w:val="center"/>
              <w:rPr>
                <w:noProof/>
                <w:sz w:val="18"/>
              </w:rPr>
            </w:pPr>
          </w:p>
        </w:tc>
        <w:tc>
          <w:tcPr>
            <w:tcW w:w="432" w:type="dxa"/>
            <w:tcBorders>
              <w:bottom w:val="single" w:sz="12" w:space="0" w:color="auto"/>
            </w:tcBorders>
          </w:tcPr>
          <w:p w14:paraId="3488B5FC" w14:textId="77777777" w:rsidR="004770F6" w:rsidRPr="008D6611" w:rsidRDefault="004770F6">
            <w:pPr>
              <w:ind w:right="-29"/>
              <w:jc w:val="center"/>
              <w:rPr>
                <w:noProof/>
                <w:sz w:val="18"/>
              </w:rPr>
            </w:pPr>
          </w:p>
        </w:tc>
        <w:tc>
          <w:tcPr>
            <w:tcW w:w="720" w:type="dxa"/>
            <w:tcBorders>
              <w:bottom w:val="single" w:sz="12" w:space="0" w:color="auto"/>
            </w:tcBorders>
          </w:tcPr>
          <w:p w14:paraId="7BBA655A" w14:textId="77777777" w:rsidR="004770F6" w:rsidRPr="008D6611" w:rsidRDefault="004770F6">
            <w:pPr>
              <w:ind w:right="-29"/>
              <w:jc w:val="center"/>
              <w:rPr>
                <w:noProof/>
                <w:sz w:val="18"/>
              </w:rPr>
            </w:pPr>
          </w:p>
        </w:tc>
        <w:tc>
          <w:tcPr>
            <w:tcW w:w="540" w:type="dxa"/>
            <w:tcBorders>
              <w:bottom w:val="single" w:sz="12" w:space="0" w:color="auto"/>
            </w:tcBorders>
          </w:tcPr>
          <w:p w14:paraId="38CF219C" w14:textId="77777777" w:rsidR="004770F6" w:rsidRPr="008D6611" w:rsidRDefault="004770F6">
            <w:pPr>
              <w:ind w:right="-29"/>
              <w:jc w:val="center"/>
              <w:rPr>
                <w:noProof/>
                <w:sz w:val="18"/>
              </w:rPr>
            </w:pPr>
          </w:p>
        </w:tc>
        <w:tc>
          <w:tcPr>
            <w:tcW w:w="720" w:type="dxa"/>
            <w:tcBorders>
              <w:bottom w:val="single" w:sz="12" w:space="0" w:color="auto"/>
            </w:tcBorders>
          </w:tcPr>
          <w:p w14:paraId="7D493782" w14:textId="77777777" w:rsidR="004770F6" w:rsidRPr="008D6611" w:rsidRDefault="004770F6">
            <w:pPr>
              <w:ind w:right="-29"/>
              <w:jc w:val="center"/>
              <w:rPr>
                <w:noProof/>
                <w:sz w:val="18"/>
              </w:rPr>
            </w:pPr>
          </w:p>
        </w:tc>
        <w:tc>
          <w:tcPr>
            <w:tcW w:w="720" w:type="dxa"/>
            <w:tcBorders>
              <w:bottom w:val="single" w:sz="12" w:space="0" w:color="auto"/>
            </w:tcBorders>
          </w:tcPr>
          <w:p w14:paraId="7CE36E42" w14:textId="77777777" w:rsidR="004770F6" w:rsidRPr="008D6611" w:rsidRDefault="004770F6">
            <w:pPr>
              <w:ind w:right="-29"/>
              <w:jc w:val="center"/>
              <w:rPr>
                <w:noProof/>
                <w:sz w:val="18"/>
              </w:rPr>
            </w:pPr>
          </w:p>
        </w:tc>
        <w:tc>
          <w:tcPr>
            <w:tcW w:w="900" w:type="dxa"/>
            <w:tcBorders>
              <w:bottom w:val="single" w:sz="12" w:space="0" w:color="auto"/>
            </w:tcBorders>
          </w:tcPr>
          <w:p w14:paraId="3C09D9E1" w14:textId="77777777" w:rsidR="004770F6" w:rsidRPr="008D6611" w:rsidRDefault="004770F6">
            <w:pPr>
              <w:ind w:right="-29"/>
              <w:jc w:val="center"/>
              <w:rPr>
                <w:noProof/>
                <w:sz w:val="18"/>
              </w:rPr>
            </w:pPr>
          </w:p>
        </w:tc>
      </w:tr>
      <w:tr w:rsidR="00CE39FB" w:rsidRPr="00CE39FB" w14:paraId="7DD82B0D" w14:textId="77777777" w:rsidTr="59744C64">
        <w:trPr>
          <w:jc w:val="center"/>
        </w:trPr>
        <w:tc>
          <w:tcPr>
            <w:tcW w:w="2844" w:type="dxa"/>
            <w:gridSpan w:val="3"/>
            <w:vAlign w:val="center"/>
          </w:tcPr>
          <w:p w14:paraId="34E0094D" w14:textId="77777777" w:rsidR="004770F6" w:rsidRPr="00CE39FB" w:rsidRDefault="004770F6">
            <w:pPr>
              <w:spacing w:before="60" w:after="60"/>
              <w:ind w:right="-29"/>
              <w:jc w:val="center"/>
              <w:rPr>
                <w:noProof/>
                <w:sz w:val="18"/>
                <w:szCs w:val="18"/>
              </w:rPr>
            </w:pPr>
            <w:r w:rsidRPr="00CE39FB">
              <w:rPr>
                <w:noProof/>
                <w:sz w:val="18"/>
              </w:rPr>
              <w:t>SPECIFIC OBJECTIVE No 2 ...</w:t>
            </w:r>
          </w:p>
        </w:tc>
        <w:tc>
          <w:tcPr>
            <w:tcW w:w="504" w:type="dxa"/>
            <w:tcBorders>
              <w:top w:val="nil"/>
              <w:left w:val="nil"/>
              <w:bottom w:val="nil"/>
              <w:right w:val="nil"/>
            </w:tcBorders>
          </w:tcPr>
          <w:p w14:paraId="11D19795"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30B0E2FB" w14:textId="77777777" w:rsidR="004770F6" w:rsidRPr="00CE39FB" w:rsidRDefault="004770F6">
            <w:pPr>
              <w:spacing w:before="60" w:after="60"/>
              <w:ind w:right="-29"/>
              <w:jc w:val="center"/>
              <w:rPr>
                <w:noProof/>
                <w:sz w:val="18"/>
                <w:szCs w:val="18"/>
              </w:rPr>
            </w:pPr>
          </w:p>
        </w:tc>
        <w:tc>
          <w:tcPr>
            <w:tcW w:w="540" w:type="dxa"/>
            <w:tcBorders>
              <w:top w:val="nil"/>
              <w:left w:val="nil"/>
              <w:bottom w:val="nil"/>
              <w:right w:val="nil"/>
            </w:tcBorders>
          </w:tcPr>
          <w:p w14:paraId="0D008556"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6807F906"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14E951A5"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55EDE116" w14:textId="77777777" w:rsidR="004770F6" w:rsidRPr="00CE39FB" w:rsidRDefault="004770F6">
            <w:pPr>
              <w:spacing w:before="60" w:after="60"/>
              <w:ind w:right="-29"/>
              <w:jc w:val="center"/>
              <w:rPr>
                <w:noProof/>
                <w:sz w:val="18"/>
                <w:szCs w:val="18"/>
              </w:rPr>
            </w:pPr>
          </w:p>
        </w:tc>
        <w:tc>
          <w:tcPr>
            <w:tcW w:w="900" w:type="dxa"/>
            <w:tcBorders>
              <w:top w:val="nil"/>
              <w:left w:val="nil"/>
              <w:bottom w:val="nil"/>
              <w:right w:val="nil"/>
            </w:tcBorders>
          </w:tcPr>
          <w:p w14:paraId="21E0E109" w14:textId="77777777" w:rsidR="004770F6" w:rsidRPr="00CE39FB" w:rsidRDefault="004770F6">
            <w:pPr>
              <w:spacing w:before="60" w:after="60"/>
              <w:ind w:right="-29"/>
              <w:jc w:val="center"/>
              <w:rPr>
                <w:noProof/>
                <w:sz w:val="18"/>
                <w:szCs w:val="18"/>
              </w:rPr>
            </w:pPr>
          </w:p>
        </w:tc>
        <w:tc>
          <w:tcPr>
            <w:tcW w:w="720" w:type="dxa"/>
            <w:gridSpan w:val="2"/>
            <w:tcBorders>
              <w:top w:val="nil"/>
              <w:left w:val="nil"/>
              <w:bottom w:val="nil"/>
              <w:right w:val="nil"/>
            </w:tcBorders>
          </w:tcPr>
          <w:p w14:paraId="4B25DA27" w14:textId="77777777" w:rsidR="004770F6" w:rsidRPr="00CE39FB" w:rsidRDefault="004770F6">
            <w:pPr>
              <w:spacing w:before="60" w:after="60"/>
              <w:ind w:right="-29"/>
              <w:jc w:val="center"/>
              <w:rPr>
                <w:noProof/>
                <w:sz w:val="18"/>
                <w:szCs w:val="18"/>
              </w:rPr>
            </w:pPr>
          </w:p>
        </w:tc>
        <w:tc>
          <w:tcPr>
            <w:tcW w:w="540" w:type="dxa"/>
            <w:tcBorders>
              <w:top w:val="nil"/>
              <w:left w:val="nil"/>
              <w:bottom w:val="nil"/>
              <w:right w:val="nil"/>
            </w:tcBorders>
          </w:tcPr>
          <w:p w14:paraId="062EF9BD" w14:textId="77777777" w:rsidR="004770F6" w:rsidRPr="00CE39FB" w:rsidRDefault="004770F6">
            <w:pPr>
              <w:spacing w:before="60" w:after="60"/>
              <w:ind w:right="-29"/>
              <w:jc w:val="center"/>
              <w:rPr>
                <w:noProof/>
                <w:sz w:val="18"/>
                <w:szCs w:val="18"/>
              </w:rPr>
            </w:pPr>
          </w:p>
        </w:tc>
        <w:tc>
          <w:tcPr>
            <w:tcW w:w="648" w:type="dxa"/>
            <w:tcBorders>
              <w:top w:val="nil"/>
              <w:left w:val="nil"/>
              <w:bottom w:val="nil"/>
              <w:right w:val="nil"/>
            </w:tcBorders>
          </w:tcPr>
          <w:p w14:paraId="532F8CE5" w14:textId="77777777" w:rsidR="004770F6" w:rsidRPr="00CE39FB" w:rsidRDefault="004770F6">
            <w:pPr>
              <w:spacing w:before="60" w:after="60"/>
              <w:ind w:right="-29"/>
              <w:jc w:val="center"/>
              <w:rPr>
                <w:noProof/>
                <w:sz w:val="18"/>
                <w:szCs w:val="18"/>
              </w:rPr>
            </w:pPr>
          </w:p>
        </w:tc>
        <w:tc>
          <w:tcPr>
            <w:tcW w:w="432" w:type="dxa"/>
            <w:tcBorders>
              <w:top w:val="nil"/>
              <w:left w:val="nil"/>
              <w:bottom w:val="nil"/>
              <w:right w:val="nil"/>
            </w:tcBorders>
          </w:tcPr>
          <w:p w14:paraId="623D00BC"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59521A71" w14:textId="77777777" w:rsidR="004770F6" w:rsidRPr="00CE39FB" w:rsidRDefault="004770F6">
            <w:pPr>
              <w:spacing w:before="60" w:after="60"/>
              <w:ind w:right="-29"/>
              <w:jc w:val="center"/>
              <w:rPr>
                <w:noProof/>
                <w:sz w:val="18"/>
                <w:szCs w:val="18"/>
              </w:rPr>
            </w:pPr>
          </w:p>
        </w:tc>
        <w:tc>
          <w:tcPr>
            <w:tcW w:w="540" w:type="dxa"/>
            <w:tcBorders>
              <w:top w:val="nil"/>
              <w:left w:val="nil"/>
              <w:bottom w:val="nil"/>
              <w:right w:val="nil"/>
            </w:tcBorders>
          </w:tcPr>
          <w:p w14:paraId="3DCD3B57"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056A4DBA" w14:textId="77777777" w:rsidR="004770F6" w:rsidRPr="00CE39FB" w:rsidRDefault="004770F6">
            <w:pPr>
              <w:spacing w:before="60" w:after="60"/>
              <w:ind w:right="-29"/>
              <w:jc w:val="center"/>
              <w:rPr>
                <w:noProof/>
                <w:sz w:val="18"/>
                <w:szCs w:val="18"/>
              </w:rPr>
            </w:pPr>
          </w:p>
        </w:tc>
        <w:tc>
          <w:tcPr>
            <w:tcW w:w="720" w:type="dxa"/>
            <w:tcBorders>
              <w:top w:val="nil"/>
              <w:left w:val="nil"/>
              <w:bottom w:val="nil"/>
              <w:right w:val="nil"/>
            </w:tcBorders>
          </w:tcPr>
          <w:p w14:paraId="5A34993B" w14:textId="77777777" w:rsidR="004770F6" w:rsidRPr="00CE39FB" w:rsidRDefault="004770F6">
            <w:pPr>
              <w:spacing w:before="60" w:after="60"/>
              <w:ind w:right="-29"/>
              <w:jc w:val="center"/>
              <w:rPr>
                <w:noProof/>
                <w:sz w:val="18"/>
                <w:szCs w:val="18"/>
              </w:rPr>
            </w:pPr>
          </w:p>
        </w:tc>
        <w:tc>
          <w:tcPr>
            <w:tcW w:w="900" w:type="dxa"/>
            <w:tcBorders>
              <w:top w:val="nil"/>
              <w:left w:val="nil"/>
              <w:bottom w:val="nil"/>
              <w:right w:val="nil"/>
            </w:tcBorders>
          </w:tcPr>
          <w:p w14:paraId="2EE76345" w14:textId="77777777" w:rsidR="004770F6" w:rsidRPr="00CE39FB" w:rsidRDefault="004770F6">
            <w:pPr>
              <w:spacing w:before="60" w:after="60"/>
              <w:ind w:right="-29"/>
              <w:jc w:val="center"/>
              <w:rPr>
                <w:noProof/>
                <w:sz w:val="18"/>
                <w:szCs w:val="18"/>
              </w:rPr>
            </w:pPr>
          </w:p>
        </w:tc>
      </w:tr>
      <w:tr w:rsidR="00CE39FB" w:rsidRPr="00CE39FB" w14:paraId="57C585C4" w14:textId="77777777" w:rsidTr="59744C64">
        <w:trPr>
          <w:trHeight w:hRule="exact" w:val="369"/>
          <w:jc w:val="center"/>
        </w:trPr>
        <w:tc>
          <w:tcPr>
            <w:tcW w:w="1423" w:type="dxa"/>
          </w:tcPr>
          <w:p w14:paraId="68F87B85" w14:textId="77777777" w:rsidR="004770F6" w:rsidRPr="00CE39FB" w:rsidRDefault="004770F6">
            <w:pPr>
              <w:ind w:right="-29"/>
              <w:jc w:val="center"/>
              <w:rPr>
                <w:noProof/>
                <w:sz w:val="18"/>
                <w:szCs w:val="18"/>
              </w:rPr>
            </w:pPr>
            <w:r w:rsidRPr="00CE39FB">
              <w:rPr>
                <w:noProof/>
                <w:sz w:val="18"/>
              </w:rPr>
              <w:t>- Output</w:t>
            </w:r>
          </w:p>
        </w:tc>
        <w:tc>
          <w:tcPr>
            <w:tcW w:w="720" w:type="dxa"/>
          </w:tcPr>
          <w:p w14:paraId="1FA78971" w14:textId="77777777" w:rsidR="004770F6" w:rsidRPr="00CE39FB" w:rsidRDefault="004770F6">
            <w:pPr>
              <w:ind w:right="-29"/>
              <w:jc w:val="center"/>
              <w:rPr>
                <w:noProof/>
                <w:sz w:val="18"/>
                <w:szCs w:val="18"/>
              </w:rPr>
            </w:pPr>
          </w:p>
        </w:tc>
        <w:tc>
          <w:tcPr>
            <w:tcW w:w="701" w:type="dxa"/>
          </w:tcPr>
          <w:p w14:paraId="79506BA5" w14:textId="77777777" w:rsidR="004770F6" w:rsidRPr="00CE39FB" w:rsidRDefault="004770F6">
            <w:pPr>
              <w:ind w:right="-29"/>
              <w:jc w:val="center"/>
              <w:rPr>
                <w:noProof/>
                <w:sz w:val="18"/>
                <w:szCs w:val="18"/>
              </w:rPr>
            </w:pPr>
          </w:p>
        </w:tc>
        <w:tc>
          <w:tcPr>
            <w:tcW w:w="504" w:type="dxa"/>
          </w:tcPr>
          <w:p w14:paraId="1D3E909B" w14:textId="77777777" w:rsidR="004770F6" w:rsidRPr="00CE39FB" w:rsidRDefault="004770F6">
            <w:pPr>
              <w:ind w:right="-29"/>
              <w:jc w:val="center"/>
              <w:rPr>
                <w:noProof/>
                <w:sz w:val="18"/>
                <w:szCs w:val="18"/>
              </w:rPr>
            </w:pPr>
          </w:p>
        </w:tc>
        <w:tc>
          <w:tcPr>
            <w:tcW w:w="720" w:type="dxa"/>
          </w:tcPr>
          <w:p w14:paraId="043E40EF" w14:textId="77777777" w:rsidR="004770F6" w:rsidRPr="00CE39FB" w:rsidRDefault="004770F6">
            <w:pPr>
              <w:ind w:right="-29"/>
              <w:jc w:val="center"/>
              <w:rPr>
                <w:noProof/>
                <w:sz w:val="18"/>
                <w:szCs w:val="18"/>
              </w:rPr>
            </w:pPr>
          </w:p>
        </w:tc>
        <w:tc>
          <w:tcPr>
            <w:tcW w:w="540" w:type="dxa"/>
          </w:tcPr>
          <w:p w14:paraId="634DD442" w14:textId="77777777" w:rsidR="004770F6" w:rsidRPr="00CE39FB" w:rsidRDefault="004770F6">
            <w:pPr>
              <w:ind w:right="-29"/>
              <w:jc w:val="center"/>
              <w:rPr>
                <w:noProof/>
                <w:sz w:val="18"/>
                <w:szCs w:val="18"/>
              </w:rPr>
            </w:pPr>
          </w:p>
        </w:tc>
        <w:tc>
          <w:tcPr>
            <w:tcW w:w="720" w:type="dxa"/>
          </w:tcPr>
          <w:p w14:paraId="3BD4D419" w14:textId="77777777" w:rsidR="004770F6" w:rsidRPr="00CE39FB" w:rsidRDefault="004770F6">
            <w:pPr>
              <w:ind w:right="-29"/>
              <w:jc w:val="center"/>
              <w:rPr>
                <w:noProof/>
                <w:sz w:val="18"/>
                <w:szCs w:val="18"/>
              </w:rPr>
            </w:pPr>
          </w:p>
        </w:tc>
        <w:tc>
          <w:tcPr>
            <w:tcW w:w="720" w:type="dxa"/>
          </w:tcPr>
          <w:p w14:paraId="6ED9A10A" w14:textId="77777777" w:rsidR="004770F6" w:rsidRPr="00CE39FB" w:rsidRDefault="004770F6">
            <w:pPr>
              <w:ind w:right="-29"/>
              <w:jc w:val="center"/>
              <w:rPr>
                <w:noProof/>
                <w:sz w:val="18"/>
                <w:szCs w:val="18"/>
              </w:rPr>
            </w:pPr>
          </w:p>
        </w:tc>
        <w:tc>
          <w:tcPr>
            <w:tcW w:w="720" w:type="dxa"/>
          </w:tcPr>
          <w:p w14:paraId="2E03F44B" w14:textId="77777777" w:rsidR="004770F6" w:rsidRPr="00CE39FB" w:rsidRDefault="004770F6">
            <w:pPr>
              <w:ind w:right="-29"/>
              <w:jc w:val="center"/>
              <w:rPr>
                <w:noProof/>
                <w:sz w:val="18"/>
                <w:szCs w:val="18"/>
              </w:rPr>
            </w:pPr>
          </w:p>
        </w:tc>
        <w:tc>
          <w:tcPr>
            <w:tcW w:w="900" w:type="dxa"/>
          </w:tcPr>
          <w:p w14:paraId="68BFBE3B" w14:textId="77777777" w:rsidR="004770F6" w:rsidRPr="00CE39FB" w:rsidRDefault="004770F6">
            <w:pPr>
              <w:ind w:right="-29"/>
              <w:jc w:val="center"/>
              <w:rPr>
                <w:noProof/>
                <w:sz w:val="18"/>
                <w:szCs w:val="18"/>
              </w:rPr>
            </w:pPr>
          </w:p>
        </w:tc>
        <w:tc>
          <w:tcPr>
            <w:tcW w:w="720" w:type="dxa"/>
            <w:gridSpan w:val="2"/>
          </w:tcPr>
          <w:p w14:paraId="1EF1C73C" w14:textId="77777777" w:rsidR="004770F6" w:rsidRPr="00CE39FB" w:rsidRDefault="004770F6">
            <w:pPr>
              <w:ind w:right="-29"/>
              <w:jc w:val="center"/>
              <w:rPr>
                <w:noProof/>
                <w:sz w:val="18"/>
                <w:szCs w:val="18"/>
              </w:rPr>
            </w:pPr>
          </w:p>
        </w:tc>
        <w:tc>
          <w:tcPr>
            <w:tcW w:w="540" w:type="dxa"/>
          </w:tcPr>
          <w:p w14:paraId="3C750E8E" w14:textId="77777777" w:rsidR="004770F6" w:rsidRPr="00CE39FB" w:rsidRDefault="004770F6">
            <w:pPr>
              <w:ind w:right="-29"/>
              <w:jc w:val="center"/>
              <w:rPr>
                <w:noProof/>
                <w:sz w:val="18"/>
                <w:szCs w:val="18"/>
              </w:rPr>
            </w:pPr>
          </w:p>
        </w:tc>
        <w:tc>
          <w:tcPr>
            <w:tcW w:w="648" w:type="dxa"/>
          </w:tcPr>
          <w:p w14:paraId="71BC3B8B" w14:textId="77777777" w:rsidR="004770F6" w:rsidRPr="00CE39FB" w:rsidRDefault="004770F6">
            <w:pPr>
              <w:ind w:right="-29"/>
              <w:jc w:val="center"/>
              <w:rPr>
                <w:noProof/>
                <w:sz w:val="18"/>
                <w:szCs w:val="18"/>
              </w:rPr>
            </w:pPr>
          </w:p>
        </w:tc>
        <w:tc>
          <w:tcPr>
            <w:tcW w:w="432" w:type="dxa"/>
          </w:tcPr>
          <w:p w14:paraId="5D453B28" w14:textId="77777777" w:rsidR="004770F6" w:rsidRPr="00CE39FB" w:rsidRDefault="004770F6">
            <w:pPr>
              <w:ind w:right="-29"/>
              <w:jc w:val="center"/>
              <w:rPr>
                <w:noProof/>
                <w:sz w:val="18"/>
                <w:szCs w:val="18"/>
              </w:rPr>
            </w:pPr>
          </w:p>
        </w:tc>
        <w:tc>
          <w:tcPr>
            <w:tcW w:w="720" w:type="dxa"/>
          </w:tcPr>
          <w:p w14:paraId="43FB4A84" w14:textId="77777777" w:rsidR="004770F6" w:rsidRPr="00CE39FB" w:rsidRDefault="004770F6">
            <w:pPr>
              <w:ind w:right="-29"/>
              <w:jc w:val="center"/>
              <w:rPr>
                <w:noProof/>
                <w:sz w:val="18"/>
                <w:szCs w:val="18"/>
              </w:rPr>
            </w:pPr>
          </w:p>
        </w:tc>
        <w:tc>
          <w:tcPr>
            <w:tcW w:w="540" w:type="dxa"/>
          </w:tcPr>
          <w:p w14:paraId="1A6693C1" w14:textId="77777777" w:rsidR="004770F6" w:rsidRPr="00CE39FB" w:rsidRDefault="004770F6">
            <w:pPr>
              <w:ind w:right="-29"/>
              <w:jc w:val="center"/>
              <w:rPr>
                <w:noProof/>
                <w:sz w:val="18"/>
                <w:szCs w:val="18"/>
              </w:rPr>
            </w:pPr>
          </w:p>
        </w:tc>
        <w:tc>
          <w:tcPr>
            <w:tcW w:w="720" w:type="dxa"/>
          </w:tcPr>
          <w:p w14:paraId="6C3F18DF" w14:textId="77777777" w:rsidR="004770F6" w:rsidRPr="00CE39FB" w:rsidRDefault="004770F6">
            <w:pPr>
              <w:ind w:right="-29"/>
              <w:jc w:val="center"/>
              <w:rPr>
                <w:noProof/>
                <w:sz w:val="18"/>
                <w:szCs w:val="18"/>
              </w:rPr>
            </w:pPr>
          </w:p>
        </w:tc>
        <w:tc>
          <w:tcPr>
            <w:tcW w:w="720" w:type="dxa"/>
          </w:tcPr>
          <w:p w14:paraId="4BAA00F9" w14:textId="77777777" w:rsidR="004770F6" w:rsidRPr="00CE39FB" w:rsidRDefault="004770F6">
            <w:pPr>
              <w:ind w:right="-29"/>
              <w:jc w:val="center"/>
              <w:rPr>
                <w:noProof/>
                <w:sz w:val="18"/>
                <w:szCs w:val="18"/>
              </w:rPr>
            </w:pPr>
          </w:p>
        </w:tc>
        <w:tc>
          <w:tcPr>
            <w:tcW w:w="900" w:type="dxa"/>
          </w:tcPr>
          <w:p w14:paraId="53F421E7" w14:textId="77777777" w:rsidR="004770F6" w:rsidRPr="00CE39FB" w:rsidRDefault="004770F6">
            <w:pPr>
              <w:ind w:right="-29"/>
              <w:jc w:val="center"/>
              <w:rPr>
                <w:noProof/>
                <w:sz w:val="18"/>
                <w:szCs w:val="18"/>
              </w:rPr>
            </w:pPr>
          </w:p>
        </w:tc>
      </w:tr>
      <w:tr w:rsidR="00CE39FB" w:rsidRPr="00CE39FB" w14:paraId="14498691" w14:textId="77777777" w:rsidTr="59744C64">
        <w:trPr>
          <w:jc w:val="center"/>
        </w:trPr>
        <w:tc>
          <w:tcPr>
            <w:tcW w:w="2844" w:type="dxa"/>
            <w:gridSpan w:val="3"/>
            <w:tcBorders>
              <w:bottom w:val="single" w:sz="12" w:space="0" w:color="auto"/>
            </w:tcBorders>
            <w:vAlign w:val="center"/>
          </w:tcPr>
          <w:p w14:paraId="4FA98ACA" w14:textId="77777777" w:rsidR="004770F6" w:rsidRPr="008D6611" w:rsidRDefault="004770F6">
            <w:pPr>
              <w:jc w:val="center"/>
              <w:rPr>
                <w:noProof/>
                <w:sz w:val="18"/>
              </w:rPr>
            </w:pPr>
            <w:r w:rsidRPr="008D6611">
              <w:rPr>
                <w:noProof/>
                <w:sz w:val="18"/>
              </w:rPr>
              <w:t>Subtotal for specific objective No 2</w:t>
            </w:r>
          </w:p>
        </w:tc>
        <w:tc>
          <w:tcPr>
            <w:tcW w:w="504" w:type="dxa"/>
            <w:tcBorders>
              <w:bottom w:val="single" w:sz="12" w:space="0" w:color="auto"/>
            </w:tcBorders>
          </w:tcPr>
          <w:p w14:paraId="363E5860" w14:textId="77777777" w:rsidR="004770F6" w:rsidRPr="008D6611" w:rsidRDefault="004770F6">
            <w:pPr>
              <w:ind w:right="-29"/>
              <w:jc w:val="center"/>
              <w:rPr>
                <w:noProof/>
                <w:sz w:val="18"/>
              </w:rPr>
            </w:pPr>
          </w:p>
        </w:tc>
        <w:tc>
          <w:tcPr>
            <w:tcW w:w="720" w:type="dxa"/>
            <w:tcBorders>
              <w:bottom w:val="single" w:sz="12" w:space="0" w:color="auto"/>
            </w:tcBorders>
          </w:tcPr>
          <w:p w14:paraId="10D1316C" w14:textId="77777777" w:rsidR="004770F6" w:rsidRPr="008D6611" w:rsidRDefault="004770F6">
            <w:pPr>
              <w:ind w:right="-29"/>
              <w:jc w:val="center"/>
              <w:rPr>
                <w:noProof/>
                <w:sz w:val="18"/>
              </w:rPr>
            </w:pPr>
          </w:p>
        </w:tc>
        <w:tc>
          <w:tcPr>
            <w:tcW w:w="540" w:type="dxa"/>
            <w:tcBorders>
              <w:bottom w:val="single" w:sz="12" w:space="0" w:color="auto"/>
            </w:tcBorders>
          </w:tcPr>
          <w:p w14:paraId="4461A7D8" w14:textId="77777777" w:rsidR="004770F6" w:rsidRPr="008D6611" w:rsidRDefault="004770F6">
            <w:pPr>
              <w:ind w:right="-29"/>
              <w:jc w:val="center"/>
              <w:rPr>
                <w:noProof/>
                <w:sz w:val="18"/>
              </w:rPr>
            </w:pPr>
          </w:p>
        </w:tc>
        <w:tc>
          <w:tcPr>
            <w:tcW w:w="720" w:type="dxa"/>
            <w:tcBorders>
              <w:bottom w:val="single" w:sz="12" w:space="0" w:color="auto"/>
            </w:tcBorders>
          </w:tcPr>
          <w:p w14:paraId="7170D85E" w14:textId="77777777" w:rsidR="004770F6" w:rsidRPr="008D6611" w:rsidRDefault="004770F6">
            <w:pPr>
              <w:ind w:right="-29"/>
              <w:jc w:val="center"/>
              <w:rPr>
                <w:noProof/>
                <w:sz w:val="18"/>
              </w:rPr>
            </w:pPr>
          </w:p>
        </w:tc>
        <w:tc>
          <w:tcPr>
            <w:tcW w:w="720" w:type="dxa"/>
            <w:tcBorders>
              <w:bottom w:val="single" w:sz="12" w:space="0" w:color="auto"/>
            </w:tcBorders>
          </w:tcPr>
          <w:p w14:paraId="11297241" w14:textId="77777777" w:rsidR="004770F6" w:rsidRPr="008D6611" w:rsidRDefault="004770F6">
            <w:pPr>
              <w:ind w:right="-29"/>
              <w:jc w:val="center"/>
              <w:rPr>
                <w:noProof/>
                <w:sz w:val="18"/>
              </w:rPr>
            </w:pPr>
          </w:p>
        </w:tc>
        <w:tc>
          <w:tcPr>
            <w:tcW w:w="720" w:type="dxa"/>
            <w:tcBorders>
              <w:bottom w:val="single" w:sz="12" w:space="0" w:color="auto"/>
            </w:tcBorders>
          </w:tcPr>
          <w:p w14:paraId="7E10F4DC" w14:textId="77777777" w:rsidR="004770F6" w:rsidRPr="008D6611" w:rsidRDefault="004770F6">
            <w:pPr>
              <w:ind w:right="-29"/>
              <w:jc w:val="center"/>
              <w:rPr>
                <w:noProof/>
                <w:sz w:val="18"/>
              </w:rPr>
            </w:pPr>
          </w:p>
        </w:tc>
        <w:tc>
          <w:tcPr>
            <w:tcW w:w="951" w:type="dxa"/>
            <w:gridSpan w:val="2"/>
            <w:tcBorders>
              <w:bottom w:val="single" w:sz="12" w:space="0" w:color="auto"/>
            </w:tcBorders>
          </w:tcPr>
          <w:p w14:paraId="6B8EA689" w14:textId="77777777" w:rsidR="004770F6" w:rsidRPr="008D6611" w:rsidRDefault="004770F6">
            <w:pPr>
              <w:ind w:right="-29"/>
              <w:jc w:val="center"/>
              <w:rPr>
                <w:noProof/>
                <w:sz w:val="18"/>
              </w:rPr>
            </w:pPr>
          </w:p>
        </w:tc>
        <w:tc>
          <w:tcPr>
            <w:tcW w:w="669" w:type="dxa"/>
            <w:tcBorders>
              <w:bottom w:val="single" w:sz="12" w:space="0" w:color="auto"/>
            </w:tcBorders>
          </w:tcPr>
          <w:p w14:paraId="5A97D778" w14:textId="77777777" w:rsidR="004770F6" w:rsidRPr="008D6611" w:rsidRDefault="004770F6">
            <w:pPr>
              <w:ind w:right="-29"/>
              <w:jc w:val="center"/>
              <w:rPr>
                <w:noProof/>
                <w:sz w:val="18"/>
              </w:rPr>
            </w:pPr>
          </w:p>
        </w:tc>
        <w:tc>
          <w:tcPr>
            <w:tcW w:w="540" w:type="dxa"/>
            <w:tcBorders>
              <w:bottom w:val="single" w:sz="12" w:space="0" w:color="auto"/>
            </w:tcBorders>
          </w:tcPr>
          <w:p w14:paraId="0E32009F" w14:textId="77777777" w:rsidR="004770F6" w:rsidRPr="008D6611" w:rsidRDefault="004770F6">
            <w:pPr>
              <w:ind w:right="-29"/>
              <w:jc w:val="center"/>
              <w:rPr>
                <w:noProof/>
                <w:sz w:val="18"/>
              </w:rPr>
            </w:pPr>
          </w:p>
        </w:tc>
        <w:tc>
          <w:tcPr>
            <w:tcW w:w="648" w:type="dxa"/>
            <w:tcBorders>
              <w:bottom w:val="single" w:sz="12" w:space="0" w:color="auto"/>
            </w:tcBorders>
          </w:tcPr>
          <w:p w14:paraId="2F4E8810" w14:textId="77777777" w:rsidR="004770F6" w:rsidRPr="008D6611" w:rsidRDefault="004770F6">
            <w:pPr>
              <w:ind w:right="-29"/>
              <w:jc w:val="center"/>
              <w:rPr>
                <w:noProof/>
                <w:sz w:val="18"/>
              </w:rPr>
            </w:pPr>
          </w:p>
        </w:tc>
        <w:tc>
          <w:tcPr>
            <w:tcW w:w="432" w:type="dxa"/>
            <w:tcBorders>
              <w:bottom w:val="single" w:sz="12" w:space="0" w:color="auto"/>
            </w:tcBorders>
          </w:tcPr>
          <w:p w14:paraId="72C69F68" w14:textId="77777777" w:rsidR="004770F6" w:rsidRPr="008D6611" w:rsidRDefault="004770F6">
            <w:pPr>
              <w:ind w:right="-29"/>
              <w:jc w:val="center"/>
              <w:rPr>
                <w:noProof/>
                <w:sz w:val="18"/>
              </w:rPr>
            </w:pPr>
          </w:p>
        </w:tc>
        <w:tc>
          <w:tcPr>
            <w:tcW w:w="720" w:type="dxa"/>
            <w:tcBorders>
              <w:bottom w:val="single" w:sz="12" w:space="0" w:color="auto"/>
            </w:tcBorders>
          </w:tcPr>
          <w:p w14:paraId="48DE5191" w14:textId="77777777" w:rsidR="004770F6" w:rsidRPr="008D6611" w:rsidRDefault="004770F6">
            <w:pPr>
              <w:ind w:right="-29"/>
              <w:jc w:val="center"/>
              <w:rPr>
                <w:noProof/>
                <w:sz w:val="18"/>
              </w:rPr>
            </w:pPr>
          </w:p>
        </w:tc>
        <w:tc>
          <w:tcPr>
            <w:tcW w:w="540" w:type="dxa"/>
            <w:tcBorders>
              <w:bottom w:val="single" w:sz="12" w:space="0" w:color="auto"/>
            </w:tcBorders>
          </w:tcPr>
          <w:p w14:paraId="13EBFA06" w14:textId="77777777" w:rsidR="004770F6" w:rsidRPr="008D6611" w:rsidRDefault="004770F6">
            <w:pPr>
              <w:ind w:right="-29"/>
              <w:jc w:val="center"/>
              <w:rPr>
                <w:noProof/>
                <w:sz w:val="18"/>
              </w:rPr>
            </w:pPr>
          </w:p>
        </w:tc>
        <w:tc>
          <w:tcPr>
            <w:tcW w:w="720" w:type="dxa"/>
            <w:tcBorders>
              <w:bottom w:val="single" w:sz="12" w:space="0" w:color="auto"/>
            </w:tcBorders>
          </w:tcPr>
          <w:p w14:paraId="5EE3838E" w14:textId="77777777" w:rsidR="004770F6" w:rsidRPr="008D6611" w:rsidRDefault="004770F6">
            <w:pPr>
              <w:ind w:right="-29"/>
              <w:jc w:val="center"/>
              <w:rPr>
                <w:noProof/>
                <w:sz w:val="18"/>
              </w:rPr>
            </w:pPr>
          </w:p>
        </w:tc>
        <w:tc>
          <w:tcPr>
            <w:tcW w:w="720" w:type="dxa"/>
            <w:tcBorders>
              <w:bottom w:val="single" w:sz="12" w:space="0" w:color="auto"/>
            </w:tcBorders>
          </w:tcPr>
          <w:p w14:paraId="593AD472" w14:textId="77777777" w:rsidR="004770F6" w:rsidRPr="008D6611" w:rsidRDefault="004770F6">
            <w:pPr>
              <w:ind w:right="-29"/>
              <w:jc w:val="center"/>
              <w:rPr>
                <w:noProof/>
                <w:sz w:val="18"/>
              </w:rPr>
            </w:pPr>
          </w:p>
        </w:tc>
        <w:tc>
          <w:tcPr>
            <w:tcW w:w="900" w:type="dxa"/>
            <w:tcBorders>
              <w:bottom w:val="single" w:sz="12" w:space="0" w:color="auto"/>
            </w:tcBorders>
          </w:tcPr>
          <w:p w14:paraId="40F50EE7" w14:textId="77777777" w:rsidR="004770F6" w:rsidRPr="008D6611" w:rsidRDefault="004770F6">
            <w:pPr>
              <w:ind w:right="-29"/>
              <w:jc w:val="center"/>
              <w:rPr>
                <w:noProof/>
                <w:sz w:val="18"/>
              </w:rPr>
            </w:pPr>
          </w:p>
        </w:tc>
      </w:tr>
      <w:tr w:rsidR="00CE39FB" w:rsidRPr="00CE39FB" w14:paraId="291FE465" w14:textId="77777777" w:rsidTr="59744C64">
        <w:trPr>
          <w:jc w:val="center"/>
        </w:trPr>
        <w:tc>
          <w:tcPr>
            <w:tcW w:w="2844" w:type="dxa"/>
            <w:gridSpan w:val="3"/>
            <w:tcBorders>
              <w:top w:val="single" w:sz="12" w:space="0" w:color="auto"/>
              <w:left w:val="single" w:sz="12" w:space="0" w:color="auto"/>
              <w:bottom w:val="single" w:sz="12" w:space="0" w:color="auto"/>
            </w:tcBorders>
            <w:vAlign w:val="center"/>
          </w:tcPr>
          <w:p w14:paraId="63BC2990" w14:textId="77777777" w:rsidR="004770F6" w:rsidRPr="00CE39FB" w:rsidRDefault="004770F6">
            <w:pPr>
              <w:ind w:right="-29"/>
              <w:jc w:val="center"/>
              <w:rPr>
                <w:noProof/>
                <w:sz w:val="18"/>
                <w:szCs w:val="18"/>
              </w:rPr>
            </w:pPr>
            <w:r w:rsidRPr="00CE39FB">
              <w:rPr>
                <w:b/>
                <w:noProof/>
                <w:sz w:val="18"/>
              </w:rPr>
              <w:t>TOTALS</w:t>
            </w:r>
          </w:p>
        </w:tc>
        <w:tc>
          <w:tcPr>
            <w:tcW w:w="504" w:type="dxa"/>
            <w:tcBorders>
              <w:top w:val="single" w:sz="12" w:space="0" w:color="auto"/>
              <w:bottom w:val="single" w:sz="12" w:space="0" w:color="auto"/>
            </w:tcBorders>
          </w:tcPr>
          <w:p w14:paraId="44935EB1" w14:textId="77777777" w:rsidR="004770F6" w:rsidRPr="00CE39FB" w:rsidRDefault="004770F6">
            <w:pPr>
              <w:spacing w:before="180" w:after="180"/>
              <w:ind w:right="-29"/>
              <w:jc w:val="center"/>
              <w:rPr>
                <w:noProof/>
                <w:sz w:val="18"/>
                <w:szCs w:val="18"/>
              </w:rPr>
            </w:pPr>
          </w:p>
        </w:tc>
        <w:tc>
          <w:tcPr>
            <w:tcW w:w="720" w:type="dxa"/>
            <w:tcBorders>
              <w:top w:val="single" w:sz="12" w:space="0" w:color="auto"/>
              <w:bottom w:val="single" w:sz="12" w:space="0" w:color="auto"/>
            </w:tcBorders>
          </w:tcPr>
          <w:p w14:paraId="64A47CEC" w14:textId="77777777" w:rsidR="004770F6" w:rsidRPr="00CE39FB" w:rsidRDefault="004770F6">
            <w:pPr>
              <w:spacing w:before="180" w:after="180"/>
              <w:ind w:right="-29"/>
              <w:jc w:val="center"/>
              <w:rPr>
                <w:noProof/>
                <w:sz w:val="18"/>
                <w:szCs w:val="18"/>
              </w:rPr>
            </w:pPr>
          </w:p>
        </w:tc>
        <w:tc>
          <w:tcPr>
            <w:tcW w:w="540" w:type="dxa"/>
            <w:tcBorders>
              <w:top w:val="single" w:sz="12" w:space="0" w:color="auto"/>
              <w:bottom w:val="single" w:sz="12" w:space="0" w:color="auto"/>
            </w:tcBorders>
          </w:tcPr>
          <w:p w14:paraId="155954A9" w14:textId="77777777" w:rsidR="004770F6" w:rsidRPr="00CE39FB" w:rsidRDefault="004770F6">
            <w:pPr>
              <w:spacing w:before="180" w:after="180"/>
              <w:ind w:right="-29"/>
              <w:jc w:val="center"/>
              <w:rPr>
                <w:noProof/>
                <w:sz w:val="18"/>
                <w:szCs w:val="18"/>
              </w:rPr>
            </w:pPr>
          </w:p>
        </w:tc>
        <w:tc>
          <w:tcPr>
            <w:tcW w:w="720" w:type="dxa"/>
            <w:tcBorders>
              <w:top w:val="single" w:sz="12" w:space="0" w:color="auto"/>
              <w:bottom w:val="single" w:sz="12" w:space="0" w:color="auto"/>
            </w:tcBorders>
          </w:tcPr>
          <w:p w14:paraId="1F119297" w14:textId="77777777" w:rsidR="004770F6" w:rsidRPr="00CE39FB" w:rsidRDefault="004770F6">
            <w:pPr>
              <w:spacing w:before="180" w:after="180"/>
              <w:ind w:right="-29"/>
              <w:jc w:val="center"/>
              <w:rPr>
                <w:noProof/>
                <w:sz w:val="18"/>
                <w:szCs w:val="18"/>
              </w:rPr>
            </w:pPr>
          </w:p>
        </w:tc>
        <w:tc>
          <w:tcPr>
            <w:tcW w:w="720" w:type="dxa"/>
            <w:tcBorders>
              <w:top w:val="single" w:sz="12" w:space="0" w:color="auto"/>
              <w:bottom w:val="single" w:sz="12" w:space="0" w:color="auto"/>
            </w:tcBorders>
          </w:tcPr>
          <w:p w14:paraId="0031715E" w14:textId="77777777" w:rsidR="004770F6" w:rsidRPr="00CE39FB" w:rsidRDefault="004770F6">
            <w:pPr>
              <w:spacing w:before="180" w:after="180"/>
              <w:ind w:right="-29"/>
              <w:jc w:val="center"/>
              <w:rPr>
                <w:noProof/>
                <w:sz w:val="18"/>
                <w:szCs w:val="18"/>
              </w:rPr>
            </w:pPr>
          </w:p>
        </w:tc>
        <w:tc>
          <w:tcPr>
            <w:tcW w:w="720" w:type="dxa"/>
            <w:tcBorders>
              <w:top w:val="single" w:sz="12" w:space="0" w:color="auto"/>
              <w:bottom w:val="single" w:sz="12" w:space="0" w:color="auto"/>
            </w:tcBorders>
          </w:tcPr>
          <w:p w14:paraId="03D6D3B5" w14:textId="77777777" w:rsidR="004770F6" w:rsidRPr="00CE39FB" w:rsidRDefault="004770F6">
            <w:pPr>
              <w:spacing w:before="180" w:after="180"/>
              <w:ind w:right="-29"/>
              <w:jc w:val="center"/>
              <w:rPr>
                <w:noProof/>
                <w:sz w:val="18"/>
                <w:szCs w:val="18"/>
              </w:rPr>
            </w:pPr>
          </w:p>
        </w:tc>
        <w:tc>
          <w:tcPr>
            <w:tcW w:w="900" w:type="dxa"/>
            <w:tcBorders>
              <w:top w:val="single" w:sz="12" w:space="0" w:color="auto"/>
              <w:bottom w:val="single" w:sz="12" w:space="0" w:color="auto"/>
            </w:tcBorders>
          </w:tcPr>
          <w:p w14:paraId="63846ED7" w14:textId="77777777" w:rsidR="004770F6" w:rsidRPr="00CE39FB" w:rsidRDefault="004770F6">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6A9D1D22" w14:textId="77777777" w:rsidR="004770F6" w:rsidRPr="00CE39FB" w:rsidRDefault="004770F6">
            <w:pPr>
              <w:spacing w:before="180" w:after="180"/>
              <w:ind w:right="-29"/>
              <w:jc w:val="center"/>
              <w:rPr>
                <w:noProof/>
                <w:sz w:val="18"/>
                <w:szCs w:val="18"/>
              </w:rPr>
            </w:pPr>
          </w:p>
        </w:tc>
        <w:tc>
          <w:tcPr>
            <w:tcW w:w="540" w:type="dxa"/>
            <w:tcBorders>
              <w:top w:val="single" w:sz="12" w:space="0" w:color="auto"/>
              <w:bottom w:val="single" w:sz="12" w:space="0" w:color="auto"/>
            </w:tcBorders>
          </w:tcPr>
          <w:p w14:paraId="2873920C" w14:textId="77777777" w:rsidR="004770F6" w:rsidRPr="00CE39FB" w:rsidRDefault="004770F6">
            <w:pPr>
              <w:spacing w:before="180" w:after="180"/>
              <w:ind w:right="-29"/>
              <w:jc w:val="center"/>
              <w:rPr>
                <w:noProof/>
                <w:sz w:val="18"/>
                <w:szCs w:val="18"/>
              </w:rPr>
            </w:pPr>
          </w:p>
        </w:tc>
        <w:tc>
          <w:tcPr>
            <w:tcW w:w="648" w:type="dxa"/>
            <w:tcBorders>
              <w:top w:val="single" w:sz="12" w:space="0" w:color="auto"/>
              <w:bottom w:val="single" w:sz="12" w:space="0" w:color="auto"/>
            </w:tcBorders>
          </w:tcPr>
          <w:p w14:paraId="74B69106" w14:textId="77777777" w:rsidR="004770F6" w:rsidRPr="00CE39FB" w:rsidRDefault="004770F6">
            <w:pPr>
              <w:spacing w:before="180" w:after="180"/>
              <w:ind w:right="-29"/>
              <w:jc w:val="center"/>
              <w:rPr>
                <w:noProof/>
                <w:sz w:val="18"/>
                <w:szCs w:val="18"/>
              </w:rPr>
            </w:pPr>
          </w:p>
        </w:tc>
        <w:tc>
          <w:tcPr>
            <w:tcW w:w="432" w:type="dxa"/>
            <w:tcBorders>
              <w:top w:val="single" w:sz="12" w:space="0" w:color="auto"/>
              <w:bottom w:val="single" w:sz="12" w:space="0" w:color="auto"/>
            </w:tcBorders>
          </w:tcPr>
          <w:p w14:paraId="1AE69C00" w14:textId="77777777" w:rsidR="004770F6" w:rsidRPr="00CE39FB" w:rsidRDefault="004770F6">
            <w:pPr>
              <w:spacing w:before="180" w:after="180"/>
              <w:ind w:right="-29"/>
              <w:jc w:val="center"/>
              <w:rPr>
                <w:noProof/>
                <w:sz w:val="18"/>
                <w:szCs w:val="18"/>
              </w:rPr>
            </w:pPr>
          </w:p>
        </w:tc>
        <w:tc>
          <w:tcPr>
            <w:tcW w:w="720" w:type="dxa"/>
            <w:tcBorders>
              <w:top w:val="single" w:sz="12" w:space="0" w:color="auto"/>
              <w:bottom w:val="single" w:sz="12" w:space="0" w:color="auto"/>
            </w:tcBorders>
          </w:tcPr>
          <w:p w14:paraId="1BFB798E" w14:textId="77777777" w:rsidR="004770F6" w:rsidRPr="00CE39FB" w:rsidRDefault="004770F6">
            <w:pPr>
              <w:spacing w:before="180" w:after="180"/>
              <w:ind w:right="-29"/>
              <w:jc w:val="center"/>
              <w:rPr>
                <w:noProof/>
                <w:sz w:val="18"/>
                <w:szCs w:val="18"/>
              </w:rPr>
            </w:pPr>
          </w:p>
        </w:tc>
        <w:tc>
          <w:tcPr>
            <w:tcW w:w="540" w:type="dxa"/>
            <w:tcBorders>
              <w:top w:val="single" w:sz="12" w:space="0" w:color="auto"/>
              <w:bottom w:val="single" w:sz="12" w:space="0" w:color="auto"/>
            </w:tcBorders>
          </w:tcPr>
          <w:p w14:paraId="1972EFFD" w14:textId="77777777" w:rsidR="004770F6" w:rsidRPr="00CE39FB" w:rsidRDefault="004770F6">
            <w:pPr>
              <w:spacing w:before="180" w:after="180"/>
              <w:ind w:right="-29"/>
              <w:jc w:val="center"/>
              <w:rPr>
                <w:noProof/>
                <w:sz w:val="18"/>
                <w:szCs w:val="18"/>
              </w:rPr>
            </w:pPr>
          </w:p>
        </w:tc>
        <w:tc>
          <w:tcPr>
            <w:tcW w:w="720" w:type="dxa"/>
            <w:tcBorders>
              <w:top w:val="single" w:sz="12" w:space="0" w:color="auto"/>
              <w:bottom w:val="single" w:sz="12" w:space="0" w:color="auto"/>
            </w:tcBorders>
          </w:tcPr>
          <w:p w14:paraId="696D879D" w14:textId="77777777" w:rsidR="004770F6" w:rsidRPr="00CE39FB" w:rsidRDefault="004770F6">
            <w:pPr>
              <w:spacing w:before="180" w:after="180"/>
              <w:ind w:right="-29"/>
              <w:jc w:val="center"/>
              <w:rPr>
                <w:noProof/>
                <w:sz w:val="18"/>
                <w:szCs w:val="18"/>
              </w:rPr>
            </w:pPr>
          </w:p>
        </w:tc>
        <w:tc>
          <w:tcPr>
            <w:tcW w:w="720" w:type="dxa"/>
            <w:tcBorders>
              <w:top w:val="single" w:sz="12" w:space="0" w:color="auto"/>
              <w:bottom w:val="single" w:sz="12" w:space="0" w:color="auto"/>
            </w:tcBorders>
          </w:tcPr>
          <w:p w14:paraId="29F86F8C" w14:textId="77777777" w:rsidR="004770F6" w:rsidRPr="00CE39FB" w:rsidRDefault="004770F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3ADC1BB6" w14:textId="77777777" w:rsidR="004770F6" w:rsidRPr="00CE39FB" w:rsidRDefault="004770F6">
            <w:pPr>
              <w:spacing w:before="180" w:after="180"/>
              <w:ind w:right="-29"/>
              <w:jc w:val="center"/>
              <w:rPr>
                <w:noProof/>
                <w:sz w:val="18"/>
                <w:szCs w:val="18"/>
              </w:rPr>
            </w:pPr>
          </w:p>
        </w:tc>
      </w:tr>
    </w:tbl>
    <w:p w14:paraId="4789B0E9" w14:textId="77777777" w:rsidR="004770F6" w:rsidRPr="00CE39FB" w:rsidRDefault="004770F6">
      <w:pPr>
        <w:rPr>
          <w:noProof/>
        </w:rPr>
        <w:sectPr w:rsidR="004770F6" w:rsidRPr="00CE39FB" w:rsidSect="00E17AC8">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0854B9A8" w14:textId="77777777" w:rsidR="004770F6" w:rsidRPr="00CE39FB" w:rsidRDefault="004770F6">
      <w:pPr>
        <w:pStyle w:val="ManualHeading3"/>
        <w:rPr>
          <w:bCs/>
          <w:noProof/>
          <w:szCs w:val="24"/>
        </w:rPr>
      </w:pPr>
      <w:bookmarkStart w:id="72" w:name="_Toc514938055"/>
      <w:bookmarkStart w:id="73" w:name="_Toc520485054"/>
      <w:r w:rsidRPr="00CE39FB">
        <w:rPr>
          <w:noProof/>
        </w:rPr>
        <w:t>3.2.3.</w:t>
      </w:r>
      <w:r w:rsidRPr="00CE39FB">
        <w:rPr>
          <w:noProof/>
        </w:rPr>
        <w:tab/>
        <w:t>Summary of estimated impact on administrative appropriations</w:t>
      </w:r>
      <w:bookmarkEnd w:id="72"/>
      <w:bookmarkEnd w:id="73"/>
      <w:r w:rsidRPr="00CE39FB">
        <w:rPr>
          <w:noProof/>
        </w:rPr>
        <w:t xml:space="preserve"> </w:t>
      </w:r>
    </w:p>
    <w:p w14:paraId="356321CC" w14:textId="77777777" w:rsidR="004770F6" w:rsidRPr="00CE39FB" w:rsidRDefault="004770F6" w:rsidP="000A6843">
      <w:pPr>
        <w:pStyle w:val="ListDash1"/>
        <w:rPr>
          <w:noProof/>
        </w:rPr>
      </w:pPr>
      <w:r w:rsidRPr="00CE39FB">
        <w:rPr>
          <w:rFonts w:ascii="Wingdings" w:eastAsia="Wingdings" w:hAnsi="Wingdings" w:cs="Wingdings"/>
          <w:noProof/>
        </w:rPr>
        <w:t></w:t>
      </w:r>
      <w:r w:rsidRPr="00CE39FB">
        <w:rPr>
          <w:noProof/>
        </w:rPr>
        <w:tab/>
        <w:t xml:space="preserve">The proposal/initiative does not require the use of appropriations of an administrative nature </w:t>
      </w:r>
    </w:p>
    <w:p w14:paraId="371458B1" w14:textId="77777777" w:rsidR="004770F6" w:rsidRPr="00CE39FB" w:rsidRDefault="00105BD6" w:rsidP="000A6843">
      <w:pPr>
        <w:pStyle w:val="ListDash1"/>
        <w:rPr>
          <w:noProof/>
        </w:rPr>
      </w:pPr>
      <w:r w:rsidRPr="00CE39FB">
        <w:rPr>
          <w:noProof/>
          <w:bdr w:val="single" w:sz="4" w:space="0" w:color="auto"/>
        </w:rPr>
        <w:t>X</w:t>
      </w:r>
      <w:r w:rsidR="004770F6" w:rsidRPr="00CE39FB">
        <w:rPr>
          <w:noProof/>
        </w:rPr>
        <w:tab/>
        <w:t>The proposal/initiative requires the use of appropriations of an administrative nature, as explained below:</w:t>
      </w:r>
    </w:p>
    <w:p w14:paraId="229B4004" w14:textId="77777777" w:rsidR="004770F6" w:rsidRPr="008D6611" w:rsidRDefault="004770F6">
      <w:pPr>
        <w:jc w:val="right"/>
        <w:rPr>
          <w:noProof/>
          <w:sz w:val="20"/>
        </w:rPr>
      </w:pPr>
      <w:r w:rsidRPr="008D6611">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CE39FB" w:rsidRPr="00CE39FB" w14:paraId="307AAF33" w14:textId="77777777">
        <w:trPr>
          <w:trHeight w:val="585"/>
        </w:trPr>
        <w:tc>
          <w:tcPr>
            <w:tcW w:w="1980" w:type="dxa"/>
          </w:tcPr>
          <w:p w14:paraId="38F39865" w14:textId="77777777" w:rsidR="004A2EB0" w:rsidRPr="008D6611" w:rsidRDefault="004A2EB0">
            <w:pPr>
              <w:spacing w:before="60" w:after="60" w:line="200" w:lineRule="exact"/>
              <w:rPr>
                <w:noProof/>
                <w:sz w:val="16"/>
              </w:rPr>
            </w:pPr>
          </w:p>
        </w:tc>
        <w:tc>
          <w:tcPr>
            <w:tcW w:w="1080" w:type="dxa"/>
            <w:vAlign w:val="center"/>
          </w:tcPr>
          <w:p w14:paraId="742A2458" w14:textId="77777777" w:rsidR="004A2EB0" w:rsidRPr="00CE39FB" w:rsidRDefault="004A2EB0">
            <w:pPr>
              <w:spacing w:before="60" w:after="60" w:line="200" w:lineRule="exact"/>
              <w:jc w:val="center"/>
              <w:rPr>
                <w:noProof/>
                <w:sz w:val="16"/>
                <w:szCs w:val="16"/>
              </w:rPr>
            </w:pPr>
            <w:r w:rsidRPr="00CE39FB">
              <w:rPr>
                <w:noProof/>
                <w:sz w:val="16"/>
                <w:szCs w:val="16"/>
              </w:rPr>
              <w:t>Year</w:t>
            </w:r>
            <w:r w:rsidRPr="00CE39FB">
              <w:rPr>
                <w:noProof/>
                <w:sz w:val="16"/>
                <w:szCs w:val="16"/>
              </w:rPr>
              <w:br/>
              <w:t>2025</w:t>
            </w:r>
          </w:p>
        </w:tc>
        <w:tc>
          <w:tcPr>
            <w:tcW w:w="1080" w:type="dxa"/>
            <w:vAlign w:val="center"/>
          </w:tcPr>
          <w:p w14:paraId="0FC13304" w14:textId="77777777" w:rsidR="004A2EB0" w:rsidRPr="00CE39FB" w:rsidRDefault="004A2EB0">
            <w:pPr>
              <w:spacing w:before="60" w:after="60" w:line="200" w:lineRule="exact"/>
              <w:jc w:val="center"/>
              <w:rPr>
                <w:noProof/>
                <w:sz w:val="16"/>
                <w:szCs w:val="16"/>
              </w:rPr>
            </w:pPr>
            <w:r w:rsidRPr="00CE39FB">
              <w:rPr>
                <w:noProof/>
                <w:sz w:val="16"/>
                <w:szCs w:val="16"/>
              </w:rPr>
              <w:t>Year r</w:t>
            </w:r>
            <w:r w:rsidRPr="00CE39FB">
              <w:rPr>
                <w:noProof/>
                <w:sz w:val="16"/>
                <w:szCs w:val="16"/>
              </w:rPr>
              <w:br/>
              <w:t>2026</w:t>
            </w:r>
          </w:p>
        </w:tc>
        <w:tc>
          <w:tcPr>
            <w:tcW w:w="1080" w:type="dxa"/>
            <w:vAlign w:val="center"/>
          </w:tcPr>
          <w:p w14:paraId="01CEDB6D" w14:textId="77777777" w:rsidR="004A2EB0" w:rsidRPr="00CE39FB" w:rsidRDefault="004A2EB0">
            <w:pPr>
              <w:spacing w:before="60" w:after="60" w:line="200" w:lineRule="exact"/>
              <w:jc w:val="center"/>
              <w:rPr>
                <w:noProof/>
                <w:sz w:val="16"/>
                <w:szCs w:val="16"/>
              </w:rPr>
            </w:pPr>
            <w:r w:rsidRPr="00CE39FB">
              <w:rPr>
                <w:noProof/>
                <w:sz w:val="16"/>
                <w:szCs w:val="16"/>
              </w:rPr>
              <w:t>Year</w:t>
            </w:r>
            <w:r w:rsidRPr="00CE39FB">
              <w:rPr>
                <w:noProof/>
                <w:sz w:val="16"/>
                <w:szCs w:val="16"/>
              </w:rPr>
              <w:br/>
              <w:t>2027</w:t>
            </w:r>
          </w:p>
        </w:tc>
        <w:tc>
          <w:tcPr>
            <w:tcW w:w="1080" w:type="dxa"/>
            <w:vAlign w:val="center"/>
          </w:tcPr>
          <w:p w14:paraId="77C49632" w14:textId="77777777" w:rsidR="004A2EB0" w:rsidRPr="00CE39FB" w:rsidRDefault="004A2EB0">
            <w:pPr>
              <w:spacing w:before="60" w:after="60" w:line="200" w:lineRule="exact"/>
              <w:jc w:val="center"/>
              <w:rPr>
                <w:noProof/>
                <w:sz w:val="16"/>
                <w:szCs w:val="16"/>
              </w:rPr>
            </w:pPr>
            <w:r w:rsidRPr="00CE39FB">
              <w:rPr>
                <w:noProof/>
                <w:sz w:val="16"/>
                <w:szCs w:val="16"/>
              </w:rPr>
              <w:t>Year</w:t>
            </w:r>
            <w:r w:rsidRPr="00CE39FB">
              <w:rPr>
                <w:noProof/>
                <w:sz w:val="16"/>
                <w:szCs w:val="16"/>
              </w:rPr>
              <w:br/>
              <w:t>N+3</w:t>
            </w:r>
          </w:p>
        </w:tc>
        <w:tc>
          <w:tcPr>
            <w:tcW w:w="3240" w:type="dxa"/>
            <w:vAlign w:val="center"/>
          </w:tcPr>
          <w:p w14:paraId="4BC305CF" w14:textId="77777777" w:rsidR="004A2EB0" w:rsidRPr="008D6611" w:rsidRDefault="004A2EB0">
            <w:pPr>
              <w:spacing w:line="200" w:lineRule="exact"/>
              <w:jc w:val="center"/>
              <w:rPr>
                <w:b/>
                <w:noProof/>
                <w:sz w:val="16"/>
              </w:rPr>
            </w:pPr>
            <w:r w:rsidRPr="008D6611">
              <w:rPr>
                <w:noProof/>
                <w:sz w:val="16"/>
              </w:rPr>
              <w:t>Enter as many years as necessary to show the duration of the impact (see point 1.6)</w:t>
            </w:r>
          </w:p>
        </w:tc>
        <w:tc>
          <w:tcPr>
            <w:tcW w:w="1080" w:type="dxa"/>
            <w:vAlign w:val="center"/>
          </w:tcPr>
          <w:p w14:paraId="13C2BA88" w14:textId="77777777" w:rsidR="004A2EB0" w:rsidRPr="00CE39FB" w:rsidRDefault="004A2EB0">
            <w:pPr>
              <w:spacing w:before="60" w:after="60" w:line="200" w:lineRule="exact"/>
              <w:jc w:val="center"/>
              <w:rPr>
                <w:b/>
                <w:noProof/>
                <w:sz w:val="16"/>
                <w:szCs w:val="16"/>
              </w:rPr>
            </w:pPr>
            <w:r w:rsidRPr="00CE39FB">
              <w:rPr>
                <w:b/>
                <w:noProof/>
                <w:sz w:val="16"/>
              </w:rPr>
              <w:t>TOTAL</w:t>
            </w:r>
          </w:p>
        </w:tc>
      </w:tr>
    </w:tbl>
    <w:p w14:paraId="6DA00F6A" w14:textId="77777777" w:rsidR="004770F6" w:rsidRPr="00CE39FB" w:rsidRDefault="004770F6">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E39FB" w:rsidRPr="00CE39FB" w14:paraId="4A5F9A3B" w14:textId="77777777">
        <w:trPr>
          <w:trHeight w:val="585"/>
        </w:trPr>
        <w:tc>
          <w:tcPr>
            <w:tcW w:w="1980" w:type="dxa"/>
            <w:shd w:val="clear" w:color="auto" w:fill="CCCCCC"/>
            <w:vAlign w:val="center"/>
          </w:tcPr>
          <w:p w14:paraId="307C582F" w14:textId="77777777" w:rsidR="00EB232F" w:rsidRPr="008D6611" w:rsidRDefault="00EB232F">
            <w:pPr>
              <w:spacing w:before="60" w:after="60" w:line="200" w:lineRule="exact"/>
              <w:jc w:val="center"/>
              <w:rPr>
                <w:b/>
                <w:noProof/>
                <w:sz w:val="16"/>
              </w:rPr>
            </w:pPr>
            <w:bookmarkStart w:id="74" w:name="_Hlk131007507"/>
            <w:r w:rsidRPr="008D6611">
              <w:rPr>
                <w:b/>
                <w:noProof/>
                <w:sz w:val="16"/>
              </w:rPr>
              <w:t>HEADING 7</w:t>
            </w:r>
            <w:r w:rsidRPr="008D6611">
              <w:rPr>
                <w:noProof/>
                <w:sz w:val="22"/>
              </w:rPr>
              <w:br/>
            </w:r>
            <w:r w:rsidRPr="008D6611">
              <w:rPr>
                <w:b/>
                <w:noProof/>
                <w:sz w:val="16"/>
              </w:rPr>
              <w:t>of the multiannual financial framework</w:t>
            </w:r>
          </w:p>
        </w:tc>
        <w:tc>
          <w:tcPr>
            <w:tcW w:w="1080" w:type="dxa"/>
            <w:vAlign w:val="center"/>
          </w:tcPr>
          <w:p w14:paraId="2D4FD486" w14:textId="77777777" w:rsidR="00EB232F" w:rsidRPr="008D6611" w:rsidRDefault="00EB232F">
            <w:pPr>
              <w:spacing w:before="60" w:after="60" w:line="200" w:lineRule="exact"/>
              <w:jc w:val="right"/>
              <w:rPr>
                <w:noProof/>
                <w:sz w:val="16"/>
              </w:rPr>
            </w:pPr>
          </w:p>
        </w:tc>
        <w:tc>
          <w:tcPr>
            <w:tcW w:w="1080" w:type="dxa"/>
            <w:vAlign w:val="center"/>
          </w:tcPr>
          <w:p w14:paraId="6A98DD29" w14:textId="77777777" w:rsidR="00EB232F" w:rsidRPr="008D6611" w:rsidRDefault="00EB232F">
            <w:pPr>
              <w:spacing w:before="60" w:after="60" w:line="200" w:lineRule="exact"/>
              <w:jc w:val="right"/>
              <w:rPr>
                <w:noProof/>
                <w:sz w:val="16"/>
              </w:rPr>
            </w:pPr>
          </w:p>
        </w:tc>
        <w:tc>
          <w:tcPr>
            <w:tcW w:w="1080" w:type="dxa"/>
            <w:vAlign w:val="center"/>
          </w:tcPr>
          <w:p w14:paraId="05696EDA" w14:textId="77777777" w:rsidR="00EB232F" w:rsidRPr="008D6611" w:rsidRDefault="00EB232F">
            <w:pPr>
              <w:spacing w:before="60" w:after="60" w:line="200" w:lineRule="exact"/>
              <w:jc w:val="right"/>
              <w:rPr>
                <w:noProof/>
                <w:sz w:val="16"/>
              </w:rPr>
            </w:pPr>
          </w:p>
        </w:tc>
        <w:tc>
          <w:tcPr>
            <w:tcW w:w="1080" w:type="dxa"/>
            <w:vAlign w:val="center"/>
          </w:tcPr>
          <w:p w14:paraId="38CE4576" w14:textId="77777777" w:rsidR="00EB232F" w:rsidRPr="008D6611" w:rsidRDefault="00EB232F">
            <w:pPr>
              <w:spacing w:before="60" w:after="60" w:line="200" w:lineRule="exact"/>
              <w:jc w:val="right"/>
              <w:rPr>
                <w:noProof/>
                <w:sz w:val="16"/>
              </w:rPr>
            </w:pPr>
          </w:p>
        </w:tc>
        <w:tc>
          <w:tcPr>
            <w:tcW w:w="1080" w:type="dxa"/>
            <w:vAlign w:val="center"/>
          </w:tcPr>
          <w:p w14:paraId="5C4B9668" w14:textId="77777777" w:rsidR="00EB232F" w:rsidRPr="008D6611" w:rsidRDefault="00EB232F">
            <w:pPr>
              <w:spacing w:before="60" w:after="60" w:line="200" w:lineRule="exact"/>
              <w:jc w:val="right"/>
              <w:rPr>
                <w:noProof/>
                <w:sz w:val="16"/>
              </w:rPr>
            </w:pPr>
          </w:p>
        </w:tc>
        <w:tc>
          <w:tcPr>
            <w:tcW w:w="1080" w:type="dxa"/>
            <w:vAlign w:val="center"/>
          </w:tcPr>
          <w:p w14:paraId="5AD60C1D" w14:textId="77777777" w:rsidR="00EB232F" w:rsidRPr="008D6611" w:rsidRDefault="00EB232F">
            <w:pPr>
              <w:spacing w:before="60" w:after="60" w:line="200" w:lineRule="exact"/>
              <w:jc w:val="right"/>
              <w:rPr>
                <w:noProof/>
                <w:sz w:val="16"/>
              </w:rPr>
            </w:pPr>
          </w:p>
        </w:tc>
        <w:tc>
          <w:tcPr>
            <w:tcW w:w="1080" w:type="dxa"/>
            <w:vAlign w:val="center"/>
          </w:tcPr>
          <w:p w14:paraId="609BA9CC" w14:textId="77777777" w:rsidR="00EB232F" w:rsidRPr="008D6611" w:rsidRDefault="00EB232F">
            <w:pPr>
              <w:spacing w:before="60" w:after="60" w:line="200" w:lineRule="exact"/>
              <w:jc w:val="right"/>
              <w:rPr>
                <w:b/>
                <w:noProof/>
                <w:sz w:val="16"/>
              </w:rPr>
            </w:pPr>
          </w:p>
        </w:tc>
        <w:tc>
          <w:tcPr>
            <w:tcW w:w="1080" w:type="dxa"/>
            <w:vAlign w:val="center"/>
          </w:tcPr>
          <w:p w14:paraId="4ECDDB37" w14:textId="77777777" w:rsidR="00EB232F" w:rsidRPr="008D6611" w:rsidRDefault="00EB232F">
            <w:pPr>
              <w:spacing w:before="60" w:after="60" w:line="200" w:lineRule="exact"/>
              <w:jc w:val="right"/>
              <w:rPr>
                <w:b/>
                <w:noProof/>
                <w:sz w:val="16"/>
              </w:rPr>
            </w:pPr>
          </w:p>
        </w:tc>
      </w:tr>
      <w:tr w:rsidR="00CE39FB" w:rsidRPr="00CE39FB" w14:paraId="277752AD" w14:textId="77777777">
        <w:trPr>
          <w:trHeight w:val="585"/>
        </w:trPr>
        <w:tc>
          <w:tcPr>
            <w:tcW w:w="1980" w:type="dxa"/>
            <w:vAlign w:val="center"/>
          </w:tcPr>
          <w:p w14:paraId="50ACADB0" w14:textId="77777777" w:rsidR="00EB232F" w:rsidRPr="00CE39FB" w:rsidRDefault="00EB232F">
            <w:pPr>
              <w:spacing w:before="60" w:after="60" w:line="200" w:lineRule="exact"/>
              <w:ind w:left="72"/>
              <w:jc w:val="left"/>
              <w:rPr>
                <w:noProof/>
                <w:sz w:val="16"/>
                <w:szCs w:val="16"/>
              </w:rPr>
            </w:pPr>
            <w:r w:rsidRPr="00CE39FB">
              <w:rPr>
                <w:noProof/>
                <w:sz w:val="16"/>
              </w:rPr>
              <w:t xml:space="preserve">Human resources </w:t>
            </w:r>
          </w:p>
        </w:tc>
        <w:tc>
          <w:tcPr>
            <w:tcW w:w="1080" w:type="dxa"/>
            <w:vAlign w:val="center"/>
          </w:tcPr>
          <w:p w14:paraId="0B901421" w14:textId="77777777" w:rsidR="00EB232F" w:rsidRPr="008D6611" w:rsidRDefault="00EB232F">
            <w:pPr>
              <w:spacing w:before="60" w:after="60" w:line="200" w:lineRule="exact"/>
              <w:jc w:val="right"/>
              <w:rPr>
                <w:noProof/>
                <w:sz w:val="16"/>
              </w:rPr>
            </w:pPr>
            <w:r w:rsidRPr="008D6611">
              <w:rPr>
                <w:noProof/>
                <w:sz w:val="16"/>
              </w:rPr>
              <w:t>0,786</w:t>
            </w:r>
          </w:p>
        </w:tc>
        <w:tc>
          <w:tcPr>
            <w:tcW w:w="1080" w:type="dxa"/>
            <w:vAlign w:val="center"/>
          </w:tcPr>
          <w:p w14:paraId="3160EBA3" w14:textId="77777777" w:rsidR="00EB232F" w:rsidRPr="008D6611" w:rsidRDefault="00EB232F">
            <w:pPr>
              <w:spacing w:before="60" w:after="60" w:line="200" w:lineRule="exact"/>
              <w:jc w:val="right"/>
              <w:rPr>
                <w:noProof/>
                <w:sz w:val="16"/>
              </w:rPr>
            </w:pPr>
            <w:r w:rsidRPr="008D6611">
              <w:rPr>
                <w:noProof/>
                <w:sz w:val="16"/>
              </w:rPr>
              <w:t>0,786</w:t>
            </w:r>
          </w:p>
        </w:tc>
        <w:tc>
          <w:tcPr>
            <w:tcW w:w="1080" w:type="dxa"/>
            <w:vAlign w:val="center"/>
          </w:tcPr>
          <w:p w14:paraId="6E3CA826" w14:textId="77777777" w:rsidR="00EB232F" w:rsidRPr="008D6611" w:rsidRDefault="00EB232F">
            <w:pPr>
              <w:spacing w:before="60" w:after="60" w:line="200" w:lineRule="exact"/>
              <w:jc w:val="right"/>
              <w:rPr>
                <w:noProof/>
                <w:sz w:val="16"/>
              </w:rPr>
            </w:pPr>
            <w:r w:rsidRPr="008D6611">
              <w:rPr>
                <w:noProof/>
                <w:sz w:val="16"/>
              </w:rPr>
              <w:t>0,786</w:t>
            </w:r>
          </w:p>
        </w:tc>
        <w:tc>
          <w:tcPr>
            <w:tcW w:w="1080" w:type="dxa"/>
            <w:vAlign w:val="center"/>
          </w:tcPr>
          <w:p w14:paraId="280BB523" w14:textId="77777777" w:rsidR="00EB232F" w:rsidRPr="00CE39FB" w:rsidRDefault="00EB232F">
            <w:pPr>
              <w:spacing w:before="60" w:after="60" w:line="200" w:lineRule="exact"/>
              <w:jc w:val="right"/>
              <w:rPr>
                <w:noProof/>
                <w:sz w:val="16"/>
                <w:szCs w:val="18"/>
              </w:rPr>
            </w:pPr>
          </w:p>
        </w:tc>
        <w:tc>
          <w:tcPr>
            <w:tcW w:w="1080" w:type="dxa"/>
            <w:vAlign w:val="center"/>
          </w:tcPr>
          <w:p w14:paraId="6430D8F4" w14:textId="77777777" w:rsidR="00EB232F" w:rsidRPr="00CE39FB" w:rsidRDefault="00EB232F">
            <w:pPr>
              <w:spacing w:before="60" w:after="60" w:line="200" w:lineRule="exact"/>
              <w:jc w:val="right"/>
              <w:rPr>
                <w:noProof/>
                <w:sz w:val="16"/>
                <w:szCs w:val="18"/>
              </w:rPr>
            </w:pPr>
          </w:p>
        </w:tc>
        <w:tc>
          <w:tcPr>
            <w:tcW w:w="1080" w:type="dxa"/>
            <w:vAlign w:val="center"/>
          </w:tcPr>
          <w:p w14:paraId="40FFEF4B" w14:textId="77777777" w:rsidR="00EB232F" w:rsidRPr="00CE39FB" w:rsidRDefault="00EB232F">
            <w:pPr>
              <w:spacing w:before="60" w:after="60" w:line="200" w:lineRule="exact"/>
              <w:jc w:val="right"/>
              <w:rPr>
                <w:noProof/>
                <w:sz w:val="16"/>
                <w:szCs w:val="18"/>
              </w:rPr>
            </w:pPr>
          </w:p>
        </w:tc>
        <w:tc>
          <w:tcPr>
            <w:tcW w:w="1080" w:type="dxa"/>
            <w:vAlign w:val="center"/>
          </w:tcPr>
          <w:p w14:paraId="358BE43E" w14:textId="77777777" w:rsidR="00EB232F" w:rsidRPr="00CE39FB" w:rsidRDefault="00EB232F">
            <w:pPr>
              <w:spacing w:before="60" w:after="60" w:line="200" w:lineRule="exact"/>
              <w:jc w:val="right"/>
              <w:rPr>
                <w:b/>
                <w:noProof/>
                <w:sz w:val="16"/>
                <w:szCs w:val="18"/>
              </w:rPr>
            </w:pPr>
          </w:p>
        </w:tc>
        <w:tc>
          <w:tcPr>
            <w:tcW w:w="1080" w:type="dxa"/>
            <w:vAlign w:val="center"/>
          </w:tcPr>
          <w:p w14:paraId="52BFE9C0" w14:textId="77777777" w:rsidR="00EB232F" w:rsidRPr="00CE39FB" w:rsidRDefault="00EB232F">
            <w:pPr>
              <w:spacing w:before="60" w:after="60" w:line="200" w:lineRule="exact"/>
              <w:jc w:val="right"/>
              <w:rPr>
                <w:b/>
                <w:noProof/>
                <w:sz w:val="16"/>
                <w:szCs w:val="18"/>
              </w:rPr>
            </w:pPr>
            <w:r w:rsidRPr="00CE39FB">
              <w:rPr>
                <w:b/>
                <w:noProof/>
                <w:sz w:val="16"/>
                <w:szCs w:val="18"/>
              </w:rPr>
              <w:t>2,358</w:t>
            </w:r>
          </w:p>
        </w:tc>
      </w:tr>
      <w:tr w:rsidR="00CE39FB" w:rsidRPr="00CE39FB" w14:paraId="3709FECC" w14:textId="77777777">
        <w:trPr>
          <w:trHeight w:val="585"/>
        </w:trPr>
        <w:tc>
          <w:tcPr>
            <w:tcW w:w="1980" w:type="dxa"/>
            <w:vAlign w:val="center"/>
          </w:tcPr>
          <w:p w14:paraId="27AB8E37" w14:textId="77777777" w:rsidR="00EB232F" w:rsidRPr="00CE39FB" w:rsidRDefault="00EB232F">
            <w:pPr>
              <w:spacing w:before="60" w:after="60" w:line="200" w:lineRule="exact"/>
              <w:ind w:left="72"/>
              <w:jc w:val="left"/>
              <w:rPr>
                <w:noProof/>
                <w:sz w:val="16"/>
                <w:szCs w:val="16"/>
              </w:rPr>
            </w:pPr>
            <w:r w:rsidRPr="00CE39FB">
              <w:rPr>
                <w:noProof/>
                <w:sz w:val="16"/>
              </w:rPr>
              <w:t xml:space="preserve">Other administrative expenditure </w:t>
            </w:r>
          </w:p>
        </w:tc>
        <w:tc>
          <w:tcPr>
            <w:tcW w:w="1080" w:type="dxa"/>
            <w:vAlign w:val="center"/>
          </w:tcPr>
          <w:p w14:paraId="7B7BA5E0" w14:textId="77777777" w:rsidR="00EB232F" w:rsidRPr="008D6611" w:rsidRDefault="00EB232F">
            <w:pPr>
              <w:spacing w:before="60" w:after="60" w:line="200" w:lineRule="exact"/>
              <w:jc w:val="right"/>
              <w:rPr>
                <w:noProof/>
                <w:sz w:val="16"/>
              </w:rPr>
            </w:pPr>
            <w:r w:rsidRPr="008D6611">
              <w:rPr>
                <w:noProof/>
                <w:sz w:val="16"/>
              </w:rPr>
              <w:t>0,035</w:t>
            </w:r>
          </w:p>
        </w:tc>
        <w:tc>
          <w:tcPr>
            <w:tcW w:w="1080" w:type="dxa"/>
            <w:vAlign w:val="center"/>
          </w:tcPr>
          <w:p w14:paraId="519770AB" w14:textId="77777777" w:rsidR="00EB232F" w:rsidRPr="008D6611" w:rsidRDefault="00EB232F">
            <w:pPr>
              <w:spacing w:before="60" w:after="60" w:line="200" w:lineRule="exact"/>
              <w:jc w:val="right"/>
              <w:rPr>
                <w:noProof/>
                <w:sz w:val="16"/>
              </w:rPr>
            </w:pPr>
            <w:r w:rsidRPr="008D6611">
              <w:rPr>
                <w:noProof/>
                <w:sz w:val="16"/>
              </w:rPr>
              <w:t>0,035</w:t>
            </w:r>
          </w:p>
        </w:tc>
        <w:tc>
          <w:tcPr>
            <w:tcW w:w="1080" w:type="dxa"/>
            <w:vAlign w:val="center"/>
          </w:tcPr>
          <w:p w14:paraId="39CA3859" w14:textId="77777777" w:rsidR="00EB232F" w:rsidRPr="008D6611" w:rsidRDefault="00EB232F">
            <w:pPr>
              <w:spacing w:before="60" w:after="60" w:line="200" w:lineRule="exact"/>
              <w:jc w:val="right"/>
              <w:rPr>
                <w:noProof/>
                <w:sz w:val="16"/>
              </w:rPr>
            </w:pPr>
            <w:r w:rsidRPr="008D6611">
              <w:rPr>
                <w:noProof/>
                <w:sz w:val="16"/>
              </w:rPr>
              <w:t>0,035</w:t>
            </w:r>
          </w:p>
        </w:tc>
        <w:tc>
          <w:tcPr>
            <w:tcW w:w="1080" w:type="dxa"/>
            <w:vAlign w:val="center"/>
          </w:tcPr>
          <w:p w14:paraId="1DE07B36" w14:textId="77777777" w:rsidR="00EB232F" w:rsidRPr="00CE39FB" w:rsidRDefault="00EB232F">
            <w:pPr>
              <w:spacing w:before="60" w:after="60" w:line="200" w:lineRule="exact"/>
              <w:jc w:val="right"/>
              <w:rPr>
                <w:noProof/>
                <w:sz w:val="16"/>
                <w:szCs w:val="18"/>
              </w:rPr>
            </w:pPr>
          </w:p>
        </w:tc>
        <w:tc>
          <w:tcPr>
            <w:tcW w:w="1080" w:type="dxa"/>
            <w:vAlign w:val="center"/>
          </w:tcPr>
          <w:p w14:paraId="47E38808" w14:textId="77777777" w:rsidR="00EB232F" w:rsidRPr="00CE39FB" w:rsidRDefault="00EB232F">
            <w:pPr>
              <w:spacing w:before="60" w:after="60" w:line="200" w:lineRule="exact"/>
              <w:jc w:val="right"/>
              <w:rPr>
                <w:noProof/>
                <w:sz w:val="16"/>
                <w:szCs w:val="18"/>
              </w:rPr>
            </w:pPr>
          </w:p>
        </w:tc>
        <w:tc>
          <w:tcPr>
            <w:tcW w:w="1080" w:type="dxa"/>
            <w:vAlign w:val="center"/>
          </w:tcPr>
          <w:p w14:paraId="7EE66455" w14:textId="77777777" w:rsidR="00EB232F" w:rsidRPr="00CE39FB" w:rsidRDefault="00EB232F">
            <w:pPr>
              <w:spacing w:before="60" w:after="60" w:line="200" w:lineRule="exact"/>
              <w:jc w:val="right"/>
              <w:rPr>
                <w:noProof/>
                <w:sz w:val="16"/>
                <w:szCs w:val="18"/>
              </w:rPr>
            </w:pPr>
          </w:p>
        </w:tc>
        <w:tc>
          <w:tcPr>
            <w:tcW w:w="1080" w:type="dxa"/>
            <w:vAlign w:val="center"/>
          </w:tcPr>
          <w:p w14:paraId="67A41161" w14:textId="77777777" w:rsidR="00EB232F" w:rsidRPr="00CE39FB" w:rsidRDefault="00EB232F">
            <w:pPr>
              <w:spacing w:before="60" w:after="60" w:line="200" w:lineRule="exact"/>
              <w:jc w:val="right"/>
              <w:rPr>
                <w:b/>
                <w:noProof/>
                <w:sz w:val="16"/>
                <w:szCs w:val="18"/>
              </w:rPr>
            </w:pPr>
          </w:p>
        </w:tc>
        <w:tc>
          <w:tcPr>
            <w:tcW w:w="1080" w:type="dxa"/>
            <w:vAlign w:val="center"/>
          </w:tcPr>
          <w:p w14:paraId="1C3BA3DC" w14:textId="77777777" w:rsidR="00EB232F" w:rsidRPr="00CE39FB" w:rsidRDefault="00EB232F">
            <w:pPr>
              <w:spacing w:before="60" w:after="60" w:line="200" w:lineRule="exact"/>
              <w:jc w:val="right"/>
              <w:rPr>
                <w:b/>
                <w:noProof/>
                <w:sz w:val="16"/>
                <w:szCs w:val="18"/>
              </w:rPr>
            </w:pPr>
            <w:r w:rsidRPr="00CE39FB">
              <w:rPr>
                <w:b/>
                <w:noProof/>
                <w:sz w:val="16"/>
                <w:szCs w:val="18"/>
              </w:rPr>
              <w:t>0,105</w:t>
            </w:r>
          </w:p>
        </w:tc>
      </w:tr>
      <w:tr w:rsidR="00CE39FB" w:rsidRPr="00CE39FB" w14:paraId="03CEFA48" w14:textId="77777777">
        <w:trPr>
          <w:trHeight w:val="585"/>
        </w:trPr>
        <w:tc>
          <w:tcPr>
            <w:tcW w:w="1980" w:type="dxa"/>
            <w:shd w:val="clear" w:color="auto" w:fill="CCCCCC"/>
            <w:vAlign w:val="center"/>
          </w:tcPr>
          <w:p w14:paraId="1580A3B7" w14:textId="77777777" w:rsidR="00EB232F" w:rsidRPr="008D6611" w:rsidRDefault="00EB232F">
            <w:pPr>
              <w:spacing w:before="60" w:after="60" w:line="200" w:lineRule="exact"/>
              <w:jc w:val="center"/>
              <w:rPr>
                <w:b/>
                <w:noProof/>
                <w:sz w:val="16"/>
              </w:rPr>
            </w:pPr>
            <w:r w:rsidRPr="008D6611">
              <w:rPr>
                <w:b/>
                <w:noProof/>
                <w:sz w:val="16"/>
              </w:rPr>
              <w:t>Subtotal HEADING 7</w:t>
            </w:r>
            <w:r w:rsidRPr="008D6611">
              <w:rPr>
                <w:noProof/>
                <w:sz w:val="22"/>
              </w:rPr>
              <w:br/>
            </w:r>
            <w:r w:rsidRPr="008D6611">
              <w:rPr>
                <w:b/>
                <w:noProof/>
                <w:sz w:val="16"/>
              </w:rPr>
              <w:t xml:space="preserve">of the multiannual financial framework </w:t>
            </w:r>
          </w:p>
        </w:tc>
        <w:tc>
          <w:tcPr>
            <w:tcW w:w="1080" w:type="dxa"/>
            <w:vAlign w:val="center"/>
          </w:tcPr>
          <w:p w14:paraId="03156186" w14:textId="77777777" w:rsidR="00EB232F" w:rsidRPr="008D6611" w:rsidRDefault="00EB232F">
            <w:pPr>
              <w:spacing w:before="60" w:after="60" w:line="200" w:lineRule="exact"/>
              <w:jc w:val="right"/>
              <w:rPr>
                <w:b/>
                <w:noProof/>
                <w:sz w:val="16"/>
              </w:rPr>
            </w:pPr>
            <w:r w:rsidRPr="00CE39FB">
              <w:rPr>
                <w:b/>
                <w:bCs/>
                <w:noProof/>
                <w:sz w:val="16"/>
                <w:szCs w:val="18"/>
              </w:rPr>
              <w:t>0,821</w:t>
            </w:r>
          </w:p>
        </w:tc>
        <w:tc>
          <w:tcPr>
            <w:tcW w:w="1080" w:type="dxa"/>
            <w:vAlign w:val="center"/>
          </w:tcPr>
          <w:p w14:paraId="664B1470" w14:textId="77777777" w:rsidR="00EB232F" w:rsidRPr="008D6611" w:rsidRDefault="00EB232F">
            <w:pPr>
              <w:spacing w:before="60" w:after="60" w:line="200" w:lineRule="exact"/>
              <w:jc w:val="right"/>
              <w:rPr>
                <w:noProof/>
                <w:sz w:val="16"/>
              </w:rPr>
            </w:pPr>
            <w:r w:rsidRPr="00CE39FB">
              <w:rPr>
                <w:b/>
                <w:bCs/>
                <w:noProof/>
                <w:sz w:val="16"/>
                <w:szCs w:val="18"/>
              </w:rPr>
              <w:t>0,821</w:t>
            </w:r>
          </w:p>
        </w:tc>
        <w:tc>
          <w:tcPr>
            <w:tcW w:w="1080" w:type="dxa"/>
            <w:vAlign w:val="center"/>
          </w:tcPr>
          <w:p w14:paraId="695C06D2" w14:textId="77777777" w:rsidR="00EB232F" w:rsidRPr="008D6611" w:rsidRDefault="00EB232F">
            <w:pPr>
              <w:spacing w:before="60" w:after="60" w:line="200" w:lineRule="exact"/>
              <w:jc w:val="right"/>
              <w:rPr>
                <w:noProof/>
                <w:sz w:val="16"/>
              </w:rPr>
            </w:pPr>
            <w:r w:rsidRPr="00CE39FB">
              <w:rPr>
                <w:b/>
                <w:bCs/>
                <w:noProof/>
                <w:sz w:val="16"/>
                <w:szCs w:val="18"/>
              </w:rPr>
              <w:t>0,821</w:t>
            </w:r>
          </w:p>
        </w:tc>
        <w:tc>
          <w:tcPr>
            <w:tcW w:w="1080" w:type="dxa"/>
            <w:vAlign w:val="center"/>
          </w:tcPr>
          <w:p w14:paraId="0A7E99FB" w14:textId="77777777" w:rsidR="00EB232F" w:rsidRPr="008D6611" w:rsidRDefault="00EB232F">
            <w:pPr>
              <w:spacing w:before="60" w:after="60" w:line="200" w:lineRule="exact"/>
              <w:jc w:val="right"/>
              <w:rPr>
                <w:noProof/>
                <w:sz w:val="16"/>
              </w:rPr>
            </w:pPr>
          </w:p>
        </w:tc>
        <w:tc>
          <w:tcPr>
            <w:tcW w:w="1080" w:type="dxa"/>
            <w:vAlign w:val="center"/>
          </w:tcPr>
          <w:p w14:paraId="35E5F70B" w14:textId="77777777" w:rsidR="00EB232F" w:rsidRPr="008D6611" w:rsidRDefault="00EB232F">
            <w:pPr>
              <w:spacing w:before="60" w:after="60" w:line="200" w:lineRule="exact"/>
              <w:jc w:val="right"/>
              <w:rPr>
                <w:noProof/>
                <w:sz w:val="16"/>
              </w:rPr>
            </w:pPr>
          </w:p>
        </w:tc>
        <w:tc>
          <w:tcPr>
            <w:tcW w:w="1080" w:type="dxa"/>
            <w:vAlign w:val="center"/>
          </w:tcPr>
          <w:p w14:paraId="52433810" w14:textId="77777777" w:rsidR="00EB232F" w:rsidRPr="008D6611" w:rsidRDefault="00EB232F">
            <w:pPr>
              <w:spacing w:before="60" w:after="60" w:line="200" w:lineRule="exact"/>
              <w:jc w:val="right"/>
              <w:rPr>
                <w:noProof/>
                <w:sz w:val="16"/>
              </w:rPr>
            </w:pPr>
          </w:p>
        </w:tc>
        <w:tc>
          <w:tcPr>
            <w:tcW w:w="1080" w:type="dxa"/>
            <w:vAlign w:val="center"/>
          </w:tcPr>
          <w:p w14:paraId="77CA9A32" w14:textId="77777777" w:rsidR="00EB232F" w:rsidRPr="008D6611" w:rsidRDefault="00EB232F">
            <w:pPr>
              <w:spacing w:before="60" w:after="60" w:line="200" w:lineRule="exact"/>
              <w:jc w:val="right"/>
              <w:rPr>
                <w:b/>
                <w:noProof/>
                <w:sz w:val="16"/>
              </w:rPr>
            </w:pPr>
          </w:p>
        </w:tc>
        <w:tc>
          <w:tcPr>
            <w:tcW w:w="1080" w:type="dxa"/>
            <w:vAlign w:val="center"/>
          </w:tcPr>
          <w:p w14:paraId="328A6EF2" w14:textId="77777777" w:rsidR="00EB232F" w:rsidRPr="008D6611" w:rsidRDefault="00EB232F">
            <w:pPr>
              <w:spacing w:before="60" w:after="60" w:line="200" w:lineRule="exact"/>
              <w:jc w:val="right"/>
              <w:rPr>
                <w:b/>
                <w:noProof/>
                <w:sz w:val="16"/>
              </w:rPr>
            </w:pPr>
            <w:r w:rsidRPr="008D6611">
              <w:rPr>
                <w:b/>
                <w:noProof/>
                <w:sz w:val="16"/>
              </w:rPr>
              <w:t>2,463</w:t>
            </w:r>
          </w:p>
        </w:tc>
      </w:tr>
      <w:bookmarkEnd w:id="74"/>
    </w:tbl>
    <w:p w14:paraId="366450C2" w14:textId="77777777" w:rsidR="004770F6" w:rsidRPr="008D6611" w:rsidRDefault="004770F6">
      <w:pPr>
        <w:spacing w:line="200" w:lineRule="exact"/>
        <w:rPr>
          <w:noProof/>
          <w:sz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E39FB" w:rsidRPr="00CE39FB" w14:paraId="41159ECF" w14:textId="77777777" w:rsidTr="59744C64">
        <w:trPr>
          <w:trHeight w:val="585"/>
        </w:trPr>
        <w:tc>
          <w:tcPr>
            <w:tcW w:w="1980" w:type="dxa"/>
            <w:shd w:val="clear" w:color="auto" w:fill="CCCCCC"/>
            <w:vAlign w:val="center"/>
          </w:tcPr>
          <w:p w14:paraId="417AE995" w14:textId="77777777" w:rsidR="003751D9" w:rsidRPr="008D6611" w:rsidRDefault="58BCF6B0">
            <w:pPr>
              <w:spacing w:before="60" w:after="60" w:line="200" w:lineRule="exact"/>
              <w:jc w:val="center"/>
              <w:rPr>
                <w:noProof/>
                <w:sz w:val="16"/>
              </w:rPr>
            </w:pPr>
            <w:bookmarkStart w:id="75" w:name="_Hlk131007538"/>
            <w:r w:rsidRPr="008D6611">
              <w:rPr>
                <w:b/>
                <w:noProof/>
                <w:sz w:val="16"/>
              </w:rPr>
              <w:t>Outside HEADING 7</w:t>
            </w:r>
            <w:r w:rsidR="003751D9" w:rsidRPr="00CE39FB">
              <w:rPr>
                <w:rStyle w:val="FootnoteReference"/>
                <w:b/>
                <w:bCs/>
                <w:noProof/>
                <w:sz w:val="16"/>
                <w:szCs w:val="16"/>
              </w:rPr>
              <w:footnoteReference w:id="44"/>
            </w:r>
            <w:r w:rsidR="003751D9" w:rsidRPr="008D6611">
              <w:rPr>
                <w:noProof/>
                <w:sz w:val="22"/>
              </w:rPr>
              <w:br/>
            </w:r>
            <w:r w:rsidRPr="008D6611">
              <w:rPr>
                <w:b/>
                <w:noProof/>
                <w:sz w:val="16"/>
              </w:rPr>
              <w:t xml:space="preserve">of the multiannual financial framework </w:t>
            </w:r>
          </w:p>
          <w:p w14:paraId="235FE16E" w14:textId="77777777" w:rsidR="003751D9" w:rsidRPr="008D6611" w:rsidRDefault="003751D9">
            <w:pPr>
              <w:spacing w:before="0" w:after="0" w:line="200" w:lineRule="exact"/>
              <w:jc w:val="center"/>
              <w:rPr>
                <w:b/>
                <w:noProof/>
                <w:sz w:val="16"/>
              </w:rPr>
            </w:pPr>
          </w:p>
        </w:tc>
        <w:tc>
          <w:tcPr>
            <w:tcW w:w="1080" w:type="dxa"/>
            <w:vAlign w:val="center"/>
          </w:tcPr>
          <w:p w14:paraId="30580CCF" w14:textId="77777777" w:rsidR="003751D9" w:rsidRPr="008D6611" w:rsidRDefault="003751D9">
            <w:pPr>
              <w:spacing w:before="60" w:after="60" w:line="200" w:lineRule="exact"/>
              <w:jc w:val="right"/>
              <w:rPr>
                <w:noProof/>
                <w:sz w:val="16"/>
              </w:rPr>
            </w:pPr>
          </w:p>
        </w:tc>
        <w:tc>
          <w:tcPr>
            <w:tcW w:w="1080" w:type="dxa"/>
            <w:vAlign w:val="center"/>
          </w:tcPr>
          <w:p w14:paraId="3CF01E7E" w14:textId="77777777" w:rsidR="003751D9" w:rsidRPr="008D6611" w:rsidRDefault="003751D9">
            <w:pPr>
              <w:spacing w:before="60" w:after="60" w:line="200" w:lineRule="exact"/>
              <w:jc w:val="right"/>
              <w:rPr>
                <w:noProof/>
                <w:sz w:val="16"/>
              </w:rPr>
            </w:pPr>
          </w:p>
        </w:tc>
        <w:tc>
          <w:tcPr>
            <w:tcW w:w="1080" w:type="dxa"/>
            <w:vAlign w:val="center"/>
          </w:tcPr>
          <w:p w14:paraId="62CE9193" w14:textId="77777777" w:rsidR="003751D9" w:rsidRPr="008D6611" w:rsidRDefault="003751D9">
            <w:pPr>
              <w:spacing w:before="60" w:after="60" w:line="200" w:lineRule="exact"/>
              <w:jc w:val="right"/>
              <w:rPr>
                <w:noProof/>
                <w:sz w:val="16"/>
              </w:rPr>
            </w:pPr>
          </w:p>
        </w:tc>
        <w:tc>
          <w:tcPr>
            <w:tcW w:w="1080" w:type="dxa"/>
            <w:vAlign w:val="center"/>
          </w:tcPr>
          <w:p w14:paraId="29B3B162" w14:textId="77777777" w:rsidR="003751D9" w:rsidRPr="008D6611" w:rsidRDefault="003751D9">
            <w:pPr>
              <w:spacing w:before="60" w:after="60" w:line="200" w:lineRule="exact"/>
              <w:jc w:val="right"/>
              <w:rPr>
                <w:noProof/>
                <w:sz w:val="16"/>
              </w:rPr>
            </w:pPr>
          </w:p>
        </w:tc>
        <w:tc>
          <w:tcPr>
            <w:tcW w:w="1080" w:type="dxa"/>
            <w:vAlign w:val="center"/>
          </w:tcPr>
          <w:p w14:paraId="6DA8D58A" w14:textId="77777777" w:rsidR="003751D9" w:rsidRPr="008D6611" w:rsidRDefault="003751D9">
            <w:pPr>
              <w:spacing w:before="60" w:after="60" w:line="200" w:lineRule="exact"/>
              <w:jc w:val="right"/>
              <w:rPr>
                <w:noProof/>
                <w:sz w:val="16"/>
              </w:rPr>
            </w:pPr>
          </w:p>
        </w:tc>
        <w:tc>
          <w:tcPr>
            <w:tcW w:w="1080" w:type="dxa"/>
            <w:vAlign w:val="center"/>
          </w:tcPr>
          <w:p w14:paraId="01150047" w14:textId="77777777" w:rsidR="003751D9" w:rsidRPr="008D6611" w:rsidRDefault="003751D9">
            <w:pPr>
              <w:spacing w:before="60" w:after="60" w:line="200" w:lineRule="exact"/>
              <w:jc w:val="right"/>
              <w:rPr>
                <w:noProof/>
                <w:sz w:val="16"/>
              </w:rPr>
            </w:pPr>
          </w:p>
        </w:tc>
        <w:tc>
          <w:tcPr>
            <w:tcW w:w="1080" w:type="dxa"/>
            <w:vAlign w:val="center"/>
          </w:tcPr>
          <w:p w14:paraId="1DB86210" w14:textId="77777777" w:rsidR="003751D9" w:rsidRPr="008D6611" w:rsidRDefault="003751D9">
            <w:pPr>
              <w:spacing w:before="60" w:after="60" w:line="200" w:lineRule="exact"/>
              <w:jc w:val="right"/>
              <w:rPr>
                <w:b/>
                <w:noProof/>
                <w:sz w:val="16"/>
              </w:rPr>
            </w:pPr>
          </w:p>
        </w:tc>
        <w:tc>
          <w:tcPr>
            <w:tcW w:w="1080" w:type="dxa"/>
            <w:vAlign w:val="center"/>
          </w:tcPr>
          <w:p w14:paraId="4596B11E" w14:textId="77777777" w:rsidR="003751D9" w:rsidRPr="008D6611" w:rsidRDefault="003751D9">
            <w:pPr>
              <w:spacing w:before="60" w:after="60" w:line="200" w:lineRule="exact"/>
              <w:jc w:val="right"/>
              <w:rPr>
                <w:b/>
                <w:noProof/>
                <w:sz w:val="16"/>
              </w:rPr>
            </w:pPr>
          </w:p>
        </w:tc>
      </w:tr>
      <w:tr w:rsidR="00CE39FB" w:rsidRPr="00CE39FB" w14:paraId="7DA610B1" w14:textId="77777777" w:rsidTr="59744C64">
        <w:trPr>
          <w:trHeight w:val="585"/>
        </w:trPr>
        <w:tc>
          <w:tcPr>
            <w:tcW w:w="1980" w:type="dxa"/>
            <w:vAlign w:val="center"/>
          </w:tcPr>
          <w:p w14:paraId="757A3154" w14:textId="77777777" w:rsidR="003751D9" w:rsidRPr="00CE39FB" w:rsidRDefault="003751D9">
            <w:pPr>
              <w:spacing w:before="60" w:after="60" w:line="200" w:lineRule="exact"/>
              <w:ind w:left="72"/>
              <w:jc w:val="left"/>
              <w:rPr>
                <w:noProof/>
                <w:sz w:val="16"/>
                <w:szCs w:val="16"/>
              </w:rPr>
            </w:pPr>
            <w:r w:rsidRPr="00CE39FB">
              <w:rPr>
                <w:noProof/>
                <w:sz w:val="16"/>
              </w:rPr>
              <w:t xml:space="preserve">Human resources </w:t>
            </w:r>
          </w:p>
        </w:tc>
        <w:tc>
          <w:tcPr>
            <w:tcW w:w="1080" w:type="dxa"/>
            <w:vAlign w:val="center"/>
          </w:tcPr>
          <w:p w14:paraId="6BC36451" w14:textId="77777777" w:rsidR="003751D9" w:rsidRPr="00CE39FB" w:rsidRDefault="003751D9">
            <w:pPr>
              <w:spacing w:before="60" w:after="60" w:line="200" w:lineRule="exact"/>
              <w:jc w:val="right"/>
              <w:rPr>
                <w:noProof/>
                <w:sz w:val="16"/>
                <w:szCs w:val="16"/>
              </w:rPr>
            </w:pPr>
          </w:p>
        </w:tc>
        <w:tc>
          <w:tcPr>
            <w:tcW w:w="1080" w:type="dxa"/>
            <w:vAlign w:val="center"/>
          </w:tcPr>
          <w:p w14:paraId="41EC5A8E" w14:textId="77777777" w:rsidR="003751D9" w:rsidRPr="00CE39FB" w:rsidRDefault="003751D9">
            <w:pPr>
              <w:spacing w:before="60" w:after="60" w:line="200" w:lineRule="exact"/>
              <w:jc w:val="right"/>
              <w:rPr>
                <w:noProof/>
                <w:sz w:val="16"/>
                <w:szCs w:val="16"/>
              </w:rPr>
            </w:pPr>
          </w:p>
        </w:tc>
        <w:tc>
          <w:tcPr>
            <w:tcW w:w="1080" w:type="dxa"/>
            <w:vAlign w:val="center"/>
          </w:tcPr>
          <w:p w14:paraId="235ADF6A" w14:textId="77777777" w:rsidR="003751D9" w:rsidRPr="00CE39FB" w:rsidRDefault="003751D9">
            <w:pPr>
              <w:spacing w:before="60" w:after="60" w:line="200" w:lineRule="exact"/>
              <w:jc w:val="right"/>
              <w:rPr>
                <w:noProof/>
                <w:sz w:val="16"/>
                <w:szCs w:val="16"/>
              </w:rPr>
            </w:pPr>
          </w:p>
        </w:tc>
        <w:tc>
          <w:tcPr>
            <w:tcW w:w="1080" w:type="dxa"/>
            <w:vAlign w:val="center"/>
          </w:tcPr>
          <w:p w14:paraId="7039B993" w14:textId="77777777" w:rsidR="003751D9" w:rsidRPr="00CE39FB" w:rsidRDefault="003751D9">
            <w:pPr>
              <w:spacing w:before="60" w:after="60" w:line="200" w:lineRule="exact"/>
              <w:jc w:val="right"/>
              <w:rPr>
                <w:noProof/>
                <w:sz w:val="16"/>
                <w:szCs w:val="16"/>
              </w:rPr>
            </w:pPr>
          </w:p>
        </w:tc>
        <w:tc>
          <w:tcPr>
            <w:tcW w:w="1080" w:type="dxa"/>
            <w:vAlign w:val="center"/>
          </w:tcPr>
          <w:p w14:paraId="719134F6" w14:textId="77777777" w:rsidR="003751D9" w:rsidRPr="00CE39FB" w:rsidRDefault="003751D9">
            <w:pPr>
              <w:spacing w:before="60" w:after="60" w:line="200" w:lineRule="exact"/>
              <w:jc w:val="right"/>
              <w:rPr>
                <w:noProof/>
                <w:sz w:val="16"/>
                <w:szCs w:val="16"/>
              </w:rPr>
            </w:pPr>
          </w:p>
        </w:tc>
        <w:tc>
          <w:tcPr>
            <w:tcW w:w="1080" w:type="dxa"/>
            <w:vAlign w:val="center"/>
          </w:tcPr>
          <w:p w14:paraId="6AA9A53F" w14:textId="77777777" w:rsidR="003751D9" w:rsidRPr="00CE39FB" w:rsidRDefault="003751D9">
            <w:pPr>
              <w:spacing w:before="60" w:after="60" w:line="200" w:lineRule="exact"/>
              <w:jc w:val="right"/>
              <w:rPr>
                <w:noProof/>
                <w:sz w:val="16"/>
                <w:szCs w:val="16"/>
              </w:rPr>
            </w:pPr>
          </w:p>
        </w:tc>
        <w:tc>
          <w:tcPr>
            <w:tcW w:w="1080" w:type="dxa"/>
            <w:vAlign w:val="center"/>
          </w:tcPr>
          <w:p w14:paraId="093540AD" w14:textId="77777777" w:rsidR="003751D9" w:rsidRPr="00CE39FB" w:rsidRDefault="003751D9">
            <w:pPr>
              <w:spacing w:before="60" w:after="60" w:line="200" w:lineRule="exact"/>
              <w:jc w:val="right"/>
              <w:rPr>
                <w:b/>
                <w:noProof/>
                <w:sz w:val="16"/>
                <w:szCs w:val="16"/>
              </w:rPr>
            </w:pPr>
          </w:p>
        </w:tc>
        <w:tc>
          <w:tcPr>
            <w:tcW w:w="1080" w:type="dxa"/>
            <w:vAlign w:val="center"/>
          </w:tcPr>
          <w:p w14:paraId="5AFED7B5" w14:textId="77777777" w:rsidR="003751D9" w:rsidRPr="00CE39FB" w:rsidRDefault="003751D9">
            <w:pPr>
              <w:spacing w:before="60" w:after="60" w:line="200" w:lineRule="exact"/>
              <w:jc w:val="right"/>
              <w:rPr>
                <w:b/>
                <w:noProof/>
                <w:sz w:val="16"/>
                <w:szCs w:val="16"/>
              </w:rPr>
            </w:pPr>
          </w:p>
        </w:tc>
      </w:tr>
      <w:tr w:rsidR="00CE39FB" w:rsidRPr="00CE39FB" w14:paraId="703FFF5C" w14:textId="77777777" w:rsidTr="59744C64">
        <w:trPr>
          <w:trHeight w:val="585"/>
        </w:trPr>
        <w:tc>
          <w:tcPr>
            <w:tcW w:w="1980" w:type="dxa"/>
            <w:vAlign w:val="center"/>
          </w:tcPr>
          <w:p w14:paraId="66DB639D" w14:textId="77777777" w:rsidR="003751D9" w:rsidRPr="008D6611" w:rsidRDefault="003751D9">
            <w:pPr>
              <w:spacing w:before="60" w:after="60" w:line="200" w:lineRule="exact"/>
              <w:ind w:left="72"/>
              <w:jc w:val="left"/>
              <w:rPr>
                <w:noProof/>
                <w:sz w:val="16"/>
              </w:rPr>
            </w:pPr>
            <w:r w:rsidRPr="008D6611">
              <w:rPr>
                <w:noProof/>
                <w:sz w:val="16"/>
              </w:rPr>
              <w:t xml:space="preserve">Other expenditure </w:t>
            </w:r>
            <w:r w:rsidRPr="008D6611">
              <w:rPr>
                <w:noProof/>
                <w:sz w:val="22"/>
              </w:rPr>
              <w:br/>
            </w:r>
            <w:r w:rsidRPr="008D6611">
              <w:rPr>
                <w:noProof/>
                <w:sz w:val="16"/>
              </w:rPr>
              <w:t>of an administrative nature</w:t>
            </w:r>
          </w:p>
        </w:tc>
        <w:tc>
          <w:tcPr>
            <w:tcW w:w="1080" w:type="dxa"/>
            <w:vAlign w:val="center"/>
          </w:tcPr>
          <w:p w14:paraId="09896E0E" w14:textId="77777777" w:rsidR="003751D9" w:rsidRPr="008D6611" w:rsidRDefault="003751D9">
            <w:pPr>
              <w:spacing w:before="60" w:after="60" w:line="200" w:lineRule="exact"/>
              <w:jc w:val="right"/>
              <w:rPr>
                <w:noProof/>
                <w:sz w:val="16"/>
              </w:rPr>
            </w:pPr>
            <w:r w:rsidRPr="008D6611">
              <w:rPr>
                <w:noProof/>
                <w:sz w:val="16"/>
              </w:rPr>
              <w:t>0,150</w:t>
            </w:r>
          </w:p>
        </w:tc>
        <w:tc>
          <w:tcPr>
            <w:tcW w:w="1080" w:type="dxa"/>
            <w:vAlign w:val="center"/>
          </w:tcPr>
          <w:p w14:paraId="784FD7C3" w14:textId="77777777" w:rsidR="003751D9" w:rsidRPr="008D6611" w:rsidRDefault="003751D9">
            <w:pPr>
              <w:spacing w:before="60" w:after="60" w:line="200" w:lineRule="exact"/>
              <w:jc w:val="right"/>
              <w:rPr>
                <w:noProof/>
                <w:sz w:val="16"/>
              </w:rPr>
            </w:pPr>
            <w:r w:rsidRPr="008D6611">
              <w:rPr>
                <w:noProof/>
                <w:sz w:val="16"/>
              </w:rPr>
              <w:t>0,150</w:t>
            </w:r>
          </w:p>
        </w:tc>
        <w:tc>
          <w:tcPr>
            <w:tcW w:w="1080" w:type="dxa"/>
            <w:vAlign w:val="center"/>
          </w:tcPr>
          <w:p w14:paraId="2A155B63" w14:textId="77777777" w:rsidR="003751D9" w:rsidRPr="008D6611" w:rsidRDefault="003751D9">
            <w:pPr>
              <w:spacing w:before="60" w:after="60" w:line="200" w:lineRule="exact"/>
              <w:jc w:val="right"/>
              <w:rPr>
                <w:noProof/>
                <w:sz w:val="16"/>
              </w:rPr>
            </w:pPr>
            <w:r w:rsidRPr="008D6611">
              <w:rPr>
                <w:noProof/>
                <w:sz w:val="16"/>
              </w:rPr>
              <w:t>0,150</w:t>
            </w:r>
          </w:p>
        </w:tc>
        <w:tc>
          <w:tcPr>
            <w:tcW w:w="1080" w:type="dxa"/>
            <w:vAlign w:val="center"/>
          </w:tcPr>
          <w:p w14:paraId="105FAF12" w14:textId="77777777" w:rsidR="003751D9" w:rsidRPr="008D6611" w:rsidRDefault="003751D9">
            <w:pPr>
              <w:spacing w:before="60" w:after="60" w:line="200" w:lineRule="exact"/>
              <w:jc w:val="right"/>
              <w:rPr>
                <w:noProof/>
                <w:sz w:val="16"/>
              </w:rPr>
            </w:pPr>
          </w:p>
        </w:tc>
        <w:tc>
          <w:tcPr>
            <w:tcW w:w="1080" w:type="dxa"/>
            <w:vAlign w:val="center"/>
          </w:tcPr>
          <w:p w14:paraId="41CC11AB" w14:textId="77777777" w:rsidR="003751D9" w:rsidRPr="008D6611" w:rsidRDefault="003751D9">
            <w:pPr>
              <w:spacing w:before="60" w:after="60" w:line="200" w:lineRule="exact"/>
              <w:jc w:val="right"/>
              <w:rPr>
                <w:noProof/>
                <w:sz w:val="16"/>
              </w:rPr>
            </w:pPr>
          </w:p>
        </w:tc>
        <w:tc>
          <w:tcPr>
            <w:tcW w:w="1080" w:type="dxa"/>
            <w:vAlign w:val="center"/>
          </w:tcPr>
          <w:p w14:paraId="4CCE9594" w14:textId="77777777" w:rsidR="003751D9" w:rsidRPr="008D6611" w:rsidRDefault="003751D9">
            <w:pPr>
              <w:spacing w:before="60" w:after="60" w:line="200" w:lineRule="exact"/>
              <w:jc w:val="right"/>
              <w:rPr>
                <w:noProof/>
                <w:sz w:val="16"/>
              </w:rPr>
            </w:pPr>
          </w:p>
        </w:tc>
        <w:tc>
          <w:tcPr>
            <w:tcW w:w="1080" w:type="dxa"/>
            <w:vAlign w:val="center"/>
          </w:tcPr>
          <w:p w14:paraId="2C4D1B0B" w14:textId="77777777" w:rsidR="003751D9" w:rsidRPr="008D6611" w:rsidRDefault="003751D9">
            <w:pPr>
              <w:spacing w:before="60" w:after="60" w:line="200" w:lineRule="exact"/>
              <w:jc w:val="right"/>
              <w:rPr>
                <w:b/>
                <w:noProof/>
                <w:sz w:val="16"/>
              </w:rPr>
            </w:pPr>
          </w:p>
        </w:tc>
        <w:tc>
          <w:tcPr>
            <w:tcW w:w="1080" w:type="dxa"/>
            <w:vAlign w:val="center"/>
          </w:tcPr>
          <w:p w14:paraId="25134B64" w14:textId="77777777" w:rsidR="003751D9" w:rsidRPr="008D6611" w:rsidRDefault="003751D9">
            <w:pPr>
              <w:spacing w:before="60" w:after="60" w:line="200" w:lineRule="exact"/>
              <w:jc w:val="right"/>
              <w:rPr>
                <w:b/>
                <w:noProof/>
                <w:sz w:val="16"/>
              </w:rPr>
            </w:pPr>
            <w:r w:rsidRPr="008D6611">
              <w:rPr>
                <w:b/>
                <w:noProof/>
                <w:sz w:val="16"/>
              </w:rPr>
              <w:t>0,450</w:t>
            </w:r>
          </w:p>
        </w:tc>
      </w:tr>
      <w:tr w:rsidR="00CE39FB" w:rsidRPr="00CE39FB" w14:paraId="128A837D" w14:textId="77777777" w:rsidTr="59744C64">
        <w:trPr>
          <w:trHeight w:val="585"/>
        </w:trPr>
        <w:tc>
          <w:tcPr>
            <w:tcW w:w="1980" w:type="dxa"/>
            <w:shd w:val="clear" w:color="auto" w:fill="CCCCCC"/>
            <w:vAlign w:val="center"/>
          </w:tcPr>
          <w:p w14:paraId="623469ED" w14:textId="77777777" w:rsidR="003751D9" w:rsidRPr="008D6611" w:rsidRDefault="003751D9">
            <w:pPr>
              <w:spacing w:before="60" w:after="60" w:line="200" w:lineRule="exact"/>
              <w:jc w:val="center"/>
              <w:rPr>
                <w:b/>
                <w:noProof/>
                <w:sz w:val="16"/>
              </w:rPr>
            </w:pPr>
            <w:r w:rsidRPr="008D6611">
              <w:rPr>
                <w:b/>
                <w:noProof/>
                <w:sz w:val="16"/>
              </w:rPr>
              <w:t xml:space="preserve">Subtotal </w:t>
            </w:r>
            <w:r w:rsidRPr="008D6611">
              <w:rPr>
                <w:noProof/>
                <w:sz w:val="22"/>
              </w:rPr>
              <w:br/>
            </w:r>
            <w:r w:rsidRPr="008D6611">
              <w:rPr>
                <w:b/>
                <w:noProof/>
                <w:sz w:val="16"/>
              </w:rPr>
              <w:t>outside HEADING 7</w:t>
            </w:r>
            <w:r w:rsidRPr="008D6611">
              <w:rPr>
                <w:noProof/>
                <w:sz w:val="22"/>
              </w:rPr>
              <w:br/>
            </w:r>
            <w:r w:rsidRPr="008D6611">
              <w:rPr>
                <w:b/>
                <w:noProof/>
                <w:sz w:val="16"/>
              </w:rPr>
              <w:t xml:space="preserve">of the multiannual financial framework </w:t>
            </w:r>
          </w:p>
        </w:tc>
        <w:tc>
          <w:tcPr>
            <w:tcW w:w="1080" w:type="dxa"/>
            <w:vAlign w:val="center"/>
          </w:tcPr>
          <w:p w14:paraId="0FD08C88" w14:textId="77777777" w:rsidR="003751D9" w:rsidRPr="008D6611" w:rsidRDefault="003751D9">
            <w:pPr>
              <w:spacing w:before="60" w:after="60" w:line="200" w:lineRule="exact"/>
              <w:jc w:val="right"/>
              <w:rPr>
                <w:b/>
                <w:noProof/>
                <w:sz w:val="16"/>
              </w:rPr>
            </w:pPr>
            <w:r w:rsidRPr="008D6611">
              <w:rPr>
                <w:b/>
                <w:noProof/>
                <w:sz w:val="16"/>
              </w:rPr>
              <w:t>0,150</w:t>
            </w:r>
          </w:p>
        </w:tc>
        <w:tc>
          <w:tcPr>
            <w:tcW w:w="1080" w:type="dxa"/>
            <w:vAlign w:val="center"/>
          </w:tcPr>
          <w:p w14:paraId="4EABF24E" w14:textId="77777777" w:rsidR="003751D9" w:rsidRPr="008D6611" w:rsidRDefault="003751D9">
            <w:pPr>
              <w:spacing w:before="60" w:after="60" w:line="200" w:lineRule="exact"/>
              <w:jc w:val="right"/>
              <w:rPr>
                <w:b/>
                <w:noProof/>
                <w:sz w:val="16"/>
              </w:rPr>
            </w:pPr>
            <w:r w:rsidRPr="008D6611">
              <w:rPr>
                <w:b/>
                <w:noProof/>
                <w:sz w:val="16"/>
              </w:rPr>
              <w:t>0,150</w:t>
            </w:r>
          </w:p>
        </w:tc>
        <w:tc>
          <w:tcPr>
            <w:tcW w:w="1080" w:type="dxa"/>
            <w:vAlign w:val="center"/>
          </w:tcPr>
          <w:p w14:paraId="357B7D51" w14:textId="77777777" w:rsidR="003751D9" w:rsidRPr="008D6611" w:rsidRDefault="003751D9">
            <w:pPr>
              <w:spacing w:before="60" w:after="60" w:line="200" w:lineRule="exact"/>
              <w:jc w:val="right"/>
              <w:rPr>
                <w:b/>
                <w:noProof/>
                <w:sz w:val="16"/>
              </w:rPr>
            </w:pPr>
            <w:r w:rsidRPr="008D6611">
              <w:rPr>
                <w:b/>
                <w:noProof/>
                <w:sz w:val="16"/>
              </w:rPr>
              <w:t>0,150</w:t>
            </w:r>
          </w:p>
        </w:tc>
        <w:tc>
          <w:tcPr>
            <w:tcW w:w="1080" w:type="dxa"/>
            <w:vAlign w:val="center"/>
          </w:tcPr>
          <w:p w14:paraId="5D83643E" w14:textId="77777777" w:rsidR="003751D9" w:rsidRPr="008D6611" w:rsidRDefault="003751D9">
            <w:pPr>
              <w:spacing w:before="60" w:after="60" w:line="200" w:lineRule="exact"/>
              <w:jc w:val="right"/>
              <w:rPr>
                <w:b/>
                <w:noProof/>
                <w:sz w:val="16"/>
              </w:rPr>
            </w:pPr>
          </w:p>
        </w:tc>
        <w:tc>
          <w:tcPr>
            <w:tcW w:w="1080" w:type="dxa"/>
            <w:vAlign w:val="center"/>
          </w:tcPr>
          <w:p w14:paraId="14A973DF" w14:textId="77777777" w:rsidR="003751D9" w:rsidRPr="008D6611" w:rsidRDefault="003751D9">
            <w:pPr>
              <w:spacing w:before="60" w:after="60" w:line="200" w:lineRule="exact"/>
              <w:jc w:val="right"/>
              <w:rPr>
                <w:b/>
                <w:noProof/>
                <w:sz w:val="16"/>
              </w:rPr>
            </w:pPr>
          </w:p>
        </w:tc>
        <w:tc>
          <w:tcPr>
            <w:tcW w:w="1080" w:type="dxa"/>
            <w:vAlign w:val="center"/>
          </w:tcPr>
          <w:p w14:paraId="43CEE137" w14:textId="77777777" w:rsidR="003751D9" w:rsidRPr="008D6611" w:rsidRDefault="003751D9">
            <w:pPr>
              <w:spacing w:before="60" w:after="60" w:line="200" w:lineRule="exact"/>
              <w:jc w:val="right"/>
              <w:rPr>
                <w:b/>
                <w:noProof/>
                <w:sz w:val="16"/>
              </w:rPr>
            </w:pPr>
          </w:p>
        </w:tc>
        <w:tc>
          <w:tcPr>
            <w:tcW w:w="1080" w:type="dxa"/>
            <w:vAlign w:val="center"/>
          </w:tcPr>
          <w:p w14:paraId="72A2E573" w14:textId="77777777" w:rsidR="003751D9" w:rsidRPr="008D6611" w:rsidRDefault="003751D9">
            <w:pPr>
              <w:spacing w:before="60" w:after="60" w:line="200" w:lineRule="exact"/>
              <w:jc w:val="right"/>
              <w:rPr>
                <w:b/>
                <w:noProof/>
                <w:sz w:val="16"/>
              </w:rPr>
            </w:pPr>
          </w:p>
        </w:tc>
        <w:tc>
          <w:tcPr>
            <w:tcW w:w="1080" w:type="dxa"/>
            <w:vAlign w:val="center"/>
          </w:tcPr>
          <w:p w14:paraId="6E497140" w14:textId="77777777" w:rsidR="003751D9" w:rsidRPr="008D6611" w:rsidRDefault="003751D9">
            <w:pPr>
              <w:spacing w:before="60" w:after="60" w:line="200" w:lineRule="exact"/>
              <w:jc w:val="right"/>
              <w:rPr>
                <w:b/>
                <w:noProof/>
                <w:sz w:val="16"/>
              </w:rPr>
            </w:pPr>
            <w:r w:rsidRPr="008D6611">
              <w:rPr>
                <w:b/>
                <w:noProof/>
                <w:sz w:val="16"/>
              </w:rPr>
              <w:t>0,450</w:t>
            </w:r>
          </w:p>
        </w:tc>
      </w:tr>
      <w:bookmarkEnd w:id="75"/>
    </w:tbl>
    <w:p w14:paraId="66E300CA" w14:textId="77777777" w:rsidR="004770F6" w:rsidRPr="008D6611" w:rsidRDefault="004770F6">
      <w:pPr>
        <w:spacing w:line="200" w:lineRule="exact"/>
        <w:rPr>
          <w:noProof/>
          <w:sz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E39FB" w:rsidRPr="00CE39FB" w14:paraId="687B8986"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2DA22FEF" w14:textId="77777777" w:rsidR="00080B71" w:rsidRPr="00CE39FB" w:rsidRDefault="00080B71">
            <w:pPr>
              <w:spacing w:before="60" w:after="60" w:line="200" w:lineRule="exact"/>
              <w:jc w:val="center"/>
              <w:rPr>
                <w:noProof/>
                <w:sz w:val="16"/>
                <w:szCs w:val="16"/>
              </w:rPr>
            </w:pPr>
            <w:r w:rsidRPr="00CE39FB">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4215A28A" w14:textId="77777777" w:rsidR="00080B71" w:rsidRPr="00CE39FB" w:rsidRDefault="00080B71">
            <w:pPr>
              <w:spacing w:before="60" w:after="60" w:line="200" w:lineRule="exact"/>
              <w:jc w:val="right"/>
              <w:rPr>
                <w:b/>
                <w:noProof/>
                <w:sz w:val="16"/>
                <w:szCs w:val="16"/>
              </w:rPr>
            </w:pPr>
            <w:r w:rsidRPr="00CE39FB">
              <w:rPr>
                <w:b/>
                <w:noProof/>
                <w:sz w:val="16"/>
                <w:szCs w:val="16"/>
              </w:rPr>
              <w:t>0,971</w:t>
            </w:r>
          </w:p>
        </w:tc>
        <w:tc>
          <w:tcPr>
            <w:tcW w:w="1080" w:type="dxa"/>
            <w:tcBorders>
              <w:top w:val="single" w:sz="12" w:space="0" w:color="auto"/>
              <w:left w:val="single" w:sz="2" w:space="0" w:color="auto"/>
              <w:bottom w:val="single" w:sz="12" w:space="0" w:color="auto"/>
              <w:right w:val="single" w:sz="2" w:space="0" w:color="auto"/>
            </w:tcBorders>
            <w:vAlign w:val="center"/>
          </w:tcPr>
          <w:p w14:paraId="5309633F" w14:textId="77777777" w:rsidR="00080B71" w:rsidRPr="00CE39FB" w:rsidRDefault="00080B71">
            <w:pPr>
              <w:spacing w:before="60" w:after="60" w:line="200" w:lineRule="exact"/>
              <w:jc w:val="right"/>
              <w:rPr>
                <w:b/>
                <w:noProof/>
                <w:sz w:val="16"/>
                <w:szCs w:val="16"/>
              </w:rPr>
            </w:pPr>
            <w:r w:rsidRPr="00CE39FB">
              <w:rPr>
                <w:b/>
                <w:noProof/>
                <w:sz w:val="16"/>
                <w:szCs w:val="16"/>
              </w:rPr>
              <w:t>0,971</w:t>
            </w:r>
          </w:p>
        </w:tc>
        <w:tc>
          <w:tcPr>
            <w:tcW w:w="1080" w:type="dxa"/>
            <w:tcBorders>
              <w:top w:val="single" w:sz="12" w:space="0" w:color="auto"/>
              <w:left w:val="single" w:sz="2" w:space="0" w:color="auto"/>
              <w:bottom w:val="single" w:sz="12" w:space="0" w:color="auto"/>
              <w:right w:val="single" w:sz="2" w:space="0" w:color="auto"/>
            </w:tcBorders>
            <w:vAlign w:val="center"/>
          </w:tcPr>
          <w:p w14:paraId="2A313CEF" w14:textId="77777777" w:rsidR="00080B71" w:rsidRPr="00CE39FB" w:rsidRDefault="00080B71">
            <w:pPr>
              <w:spacing w:before="60" w:after="60" w:line="200" w:lineRule="exact"/>
              <w:jc w:val="right"/>
              <w:rPr>
                <w:b/>
                <w:noProof/>
                <w:sz w:val="16"/>
                <w:szCs w:val="16"/>
              </w:rPr>
            </w:pPr>
            <w:r w:rsidRPr="00CE39FB">
              <w:rPr>
                <w:b/>
                <w:noProof/>
                <w:sz w:val="16"/>
                <w:szCs w:val="16"/>
              </w:rPr>
              <w:t>0,971</w:t>
            </w:r>
          </w:p>
        </w:tc>
        <w:tc>
          <w:tcPr>
            <w:tcW w:w="1080" w:type="dxa"/>
            <w:tcBorders>
              <w:top w:val="single" w:sz="12" w:space="0" w:color="auto"/>
              <w:left w:val="single" w:sz="2" w:space="0" w:color="auto"/>
              <w:bottom w:val="single" w:sz="12" w:space="0" w:color="auto"/>
              <w:right w:val="single" w:sz="2" w:space="0" w:color="auto"/>
            </w:tcBorders>
            <w:vAlign w:val="center"/>
          </w:tcPr>
          <w:p w14:paraId="3DFB5685" w14:textId="77777777" w:rsidR="00080B71" w:rsidRPr="00CE39FB" w:rsidRDefault="00080B7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E3300E8" w14:textId="77777777" w:rsidR="00080B71" w:rsidRPr="00CE39FB" w:rsidRDefault="00080B7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5B6C742" w14:textId="77777777" w:rsidR="00080B71" w:rsidRPr="00CE39FB" w:rsidRDefault="00080B7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006F5EF" w14:textId="77777777" w:rsidR="00080B71" w:rsidRPr="00CE39FB" w:rsidRDefault="00080B7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6615AC30" w14:textId="77777777" w:rsidR="00080B71" w:rsidRPr="00CE39FB" w:rsidRDefault="00080B71">
            <w:pPr>
              <w:spacing w:before="60" w:after="60" w:line="200" w:lineRule="exact"/>
              <w:jc w:val="right"/>
              <w:rPr>
                <w:b/>
                <w:noProof/>
                <w:sz w:val="16"/>
                <w:szCs w:val="16"/>
              </w:rPr>
            </w:pPr>
            <w:r w:rsidRPr="00CE39FB">
              <w:rPr>
                <w:b/>
                <w:noProof/>
                <w:sz w:val="16"/>
                <w:szCs w:val="16"/>
              </w:rPr>
              <w:t>2,913</w:t>
            </w:r>
          </w:p>
        </w:tc>
      </w:tr>
    </w:tbl>
    <w:p w14:paraId="6657BC95" w14:textId="77777777" w:rsidR="004770F6" w:rsidRPr="008D6611" w:rsidRDefault="004770F6">
      <w:pPr>
        <w:rPr>
          <w:noProof/>
          <w:sz w:val="18"/>
        </w:rPr>
      </w:pPr>
      <w:r w:rsidRPr="008D6611">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4EEA9757" w14:textId="77777777" w:rsidR="004770F6" w:rsidRPr="008D6611" w:rsidRDefault="004770F6">
      <w:pPr>
        <w:rPr>
          <w:noProof/>
          <w:sz w:val="18"/>
        </w:rPr>
        <w:sectPr w:rsidR="004770F6" w:rsidRPr="008D6611" w:rsidSect="00E17AC8">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18BCBE13" w14:textId="77777777" w:rsidR="004770F6" w:rsidRPr="00CE39FB" w:rsidRDefault="004770F6">
      <w:pPr>
        <w:pStyle w:val="ManualHeading4"/>
        <w:rPr>
          <w:bCs/>
          <w:noProof/>
          <w:szCs w:val="24"/>
        </w:rPr>
      </w:pPr>
      <w:bookmarkStart w:id="76" w:name="_Toc82C9CE6E4E1F470F8F09B4938A67F539"/>
      <w:r w:rsidRPr="00CE39FB">
        <w:rPr>
          <w:noProof/>
        </w:rPr>
        <w:t>3.2.3.1.</w:t>
      </w:r>
      <w:r w:rsidRPr="00CE39FB">
        <w:rPr>
          <w:noProof/>
        </w:rPr>
        <w:tab/>
        <w:t xml:space="preserve">Estimated requirements of human resources </w:t>
      </w:r>
      <w:bookmarkEnd w:id="76"/>
    </w:p>
    <w:p w14:paraId="1BD48DBC" w14:textId="77777777" w:rsidR="004770F6" w:rsidRPr="00CE39FB" w:rsidRDefault="004770F6" w:rsidP="000A6843">
      <w:pPr>
        <w:pStyle w:val="ListDash1"/>
        <w:rPr>
          <w:noProof/>
        </w:rPr>
      </w:pPr>
      <w:r w:rsidRPr="00CE39FB">
        <w:rPr>
          <w:rFonts w:ascii="Wingdings" w:eastAsia="Wingdings" w:hAnsi="Wingdings" w:cs="Wingdings"/>
          <w:noProof/>
        </w:rPr>
        <w:t></w:t>
      </w:r>
      <w:r w:rsidRPr="00CE39FB">
        <w:rPr>
          <w:noProof/>
        </w:rPr>
        <w:tab/>
        <w:t xml:space="preserve">The proposal/initiative does not require the use of human resources. </w:t>
      </w:r>
    </w:p>
    <w:p w14:paraId="444E2CEE" w14:textId="77777777" w:rsidR="004770F6" w:rsidRPr="00CE39FB" w:rsidRDefault="00D73CAE" w:rsidP="000A6843">
      <w:pPr>
        <w:pStyle w:val="ListDash1"/>
        <w:rPr>
          <w:noProof/>
        </w:rPr>
      </w:pPr>
      <w:r w:rsidRPr="00CE39FB">
        <w:rPr>
          <w:noProof/>
          <w:bdr w:val="single" w:sz="4" w:space="0" w:color="auto"/>
        </w:rPr>
        <w:t>X</w:t>
      </w:r>
      <w:r w:rsidR="004770F6" w:rsidRPr="00CE39FB">
        <w:rPr>
          <w:noProof/>
        </w:rPr>
        <w:tab/>
        <w:t>The proposal/initiative requires the use of human resources, as explained below:</w:t>
      </w:r>
    </w:p>
    <w:p w14:paraId="061E72D1" w14:textId="77777777" w:rsidR="004770F6" w:rsidRPr="008D6611" w:rsidRDefault="004770F6">
      <w:pPr>
        <w:spacing w:after="60"/>
        <w:jc w:val="right"/>
        <w:rPr>
          <w:i/>
          <w:noProof/>
          <w:sz w:val="20"/>
        </w:rPr>
      </w:pPr>
      <w:r w:rsidRPr="008D6611">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CE39FB" w:rsidRPr="00CE39FB" w14:paraId="7882E08F" w14:textId="77777777" w:rsidTr="59744C64">
        <w:trPr>
          <w:gridBefore w:val="1"/>
          <w:wBefore w:w="15" w:type="dxa"/>
          <w:trHeight w:val="289"/>
          <w:jc w:val="center"/>
        </w:trPr>
        <w:tc>
          <w:tcPr>
            <w:tcW w:w="4754" w:type="dxa"/>
            <w:gridSpan w:val="2"/>
            <w:shd w:val="clear" w:color="auto" w:fill="auto"/>
          </w:tcPr>
          <w:p w14:paraId="592772EC" w14:textId="77777777" w:rsidR="008852B0" w:rsidRPr="00CE39FB" w:rsidRDefault="008852B0">
            <w:pPr>
              <w:pStyle w:val="Text1"/>
              <w:spacing w:before="40" w:after="40"/>
              <w:ind w:left="0"/>
              <w:jc w:val="center"/>
              <w:rPr>
                <w:i/>
                <w:noProof/>
                <w:sz w:val="16"/>
                <w:szCs w:val="16"/>
              </w:rPr>
            </w:pPr>
          </w:p>
        </w:tc>
        <w:tc>
          <w:tcPr>
            <w:tcW w:w="731" w:type="dxa"/>
            <w:shd w:val="clear" w:color="auto" w:fill="auto"/>
            <w:vAlign w:val="center"/>
          </w:tcPr>
          <w:p w14:paraId="5970AE03" w14:textId="77777777" w:rsidR="008852B0" w:rsidRPr="00CE39FB" w:rsidRDefault="008852B0">
            <w:pPr>
              <w:spacing w:before="20" w:after="20"/>
              <w:jc w:val="center"/>
              <w:rPr>
                <w:noProof/>
                <w:sz w:val="16"/>
                <w:szCs w:val="16"/>
              </w:rPr>
            </w:pPr>
            <w:r w:rsidRPr="00CE39FB">
              <w:rPr>
                <w:noProof/>
                <w:sz w:val="16"/>
              </w:rPr>
              <w:t>Year</w:t>
            </w:r>
            <w:r w:rsidRPr="00CE39FB">
              <w:rPr>
                <w:noProof/>
                <w:sz w:val="22"/>
              </w:rPr>
              <w:br/>
            </w:r>
            <w:r w:rsidRPr="00CE39FB">
              <w:rPr>
                <w:b/>
                <w:noProof/>
                <w:sz w:val="16"/>
              </w:rPr>
              <w:t>2025</w:t>
            </w:r>
          </w:p>
        </w:tc>
        <w:tc>
          <w:tcPr>
            <w:tcW w:w="731" w:type="dxa"/>
            <w:shd w:val="clear" w:color="auto" w:fill="auto"/>
            <w:vAlign w:val="center"/>
          </w:tcPr>
          <w:p w14:paraId="52D0809B" w14:textId="77777777" w:rsidR="008852B0" w:rsidRPr="00CE39FB" w:rsidRDefault="008852B0">
            <w:pPr>
              <w:spacing w:before="20" w:after="20"/>
              <w:jc w:val="center"/>
              <w:rPr>
                <w:noProof/>
                <w:sz w:val="16"/>
                <w:szCs w:val="16"/>
              </w:rPr>
            </w:pPr>
            <w:r w:rsidRPr="00CE39FB">
              <w:rPr>
                <w:noProof/>
                <w:sz w:val="16"/>
              </w:rPr>
              <w:t>Year</w:t>
            </w:r>
            <w:r w:rsidRPr="00CE39FB">
              <w:rPr>
                <w:noProof/>
                <w:sz w:val="22"/>
              </w:rPr>
              <w:br/>
            </w:r>
            <w:r w:rsidRPr="00CE39FB">
              <w:rPr>
                <w:b/>
                <w:noProof/>
                <w:sz w:val="16"/>
              </w:rPr>
              <w:t>2026</w:t>
            </w:r>
          </w:p>
        </w:tc>
        <w:tc>
          <w:tcPr>
            <w:tcW w:w="731" w:type="dxa"/>
            <w:shd w:val="clear" w:color="auto" w:fill="auto"/>
            <w:vAlign w:val="center"/>
          </w:tcPr>
          <w:p w14:paraId="23E29A25" w14:textId="77777777" w:rsidR="008852B0" w:rsidRPr="00CE39FB" w:rsidRDefault="008852B0">
            <w:pPr>
              <w:spacing w:before="20" w:after="20"/>
              <w:jc w:val="center"/>
              <w:rPr>
                <w:noProof/>
                <w:sz w:val="16"/>
                <w:szCs w:val="16"/>
              </w:rPr>
            </w:pPr>
            <w:r w:rsidRPr="00CE39FB">
              <w:rPr>
                <w:noProof/>
                <w:sz w:val="16"/>
                <w:szCs w:val="16"/>
              </w:rPr>
              <w:t>Year 2027</w:t>
            </w:r>
          </w:p>
        </w:tc>
        <w:tc>
          <w:tcPr>
            <w:tcW w:w="731" w:type="dxa"/>
            <w:shd w:val="clear" w:color="auto" w:fill="auto"/>
            <w:vAlign w:val="center"/>
          </w:tcPr>
          <w:p w14:paraId="47403D21" w14:textId="77777777" w:rsidR="008852B0" w:rsidRPr="00CE39FB" w:rsidRDefault="008852B0">
            <w:pPr>
              <w:spacing w:before="20" w:after="20"/>
              <w:jc w:val="center"/>
              <w:rPr>
                <w:noProof/>
                <w:sz w:val="16"/>
                <w:szCs w:val="16"/>
              </w:rPr>
            </w:pPr>
            <w:r w:rsidRPr="00CE39FB">
              <w:rPr>
                <w:noProof/>
                <w:sz w:val="16"/>
                <w:szCs w:val="16"/>
              </w:rPr>
              <w:t xml:space="preserve">Year </w:t>
            </w:r>
            <w:r w:rsidRPr="00CE39FB">
              <w:rPr>
                <w:b/>
                <w:noProof/>
                <w:sz w:val="16"/>
                <w:szCs w:val="16"/>
              </w:rPr>
              <w:t>N+3</w:t>
            </w:r>
          </w:p>
        </w:tc>
        <w:tc>
          <w:tcPr>
            <w:tcW w:w="2193" w:type="dxa"/>
            <w:gridSpan w:val="3"/>
            <w:shd w:val="clear" w:color="auto" w:fill="auto"/>
            <w:vAlign w:val="center"/>
          </w:tcPr>
          <w:p w14:paraId="067603F7" w14:textId="77777777" w:rsidR="008852B0" w:rsidRPr="008D6611" w:rsidRDefault="008852B0">
            <w:pPr>
              <w:jc w:val="center"/>
              <w:rPr>
                <w:b/>
                <w:noProof/>
                <w:sz w:val="16"/>
              </w:rPr>
            </w:pPr>
            <w:r w:rsidRPr="008D6611">
              <w:rPr>
                <w:noProof/>
                <w:sz w:val="16"/>
              </w:rPr>
              <w:t>Enter as many years as necessary to show the duration of the impact (see point 1.6)</w:t>
            </w:r>
          </w:p>
        </w:tc>
      </w:tr>
      <w:tr w:rsidR="00CE39FB" w:rsidRPr="00CE39FB" w14:paraId="72B3ECC6" w14:textId="77777777" w:rsidTr="59744C64">
        <w:trPr>
          <w:gridBefore w:val="1"/>
          <w:wBefore w:w="15" w:type="dxa"/>
          <w:trHeight w:val="289"/>
          <w:jc w:val="center"/>
        </w:trPr>
        <w:tc>
          <w:tcPr>
            <w:tcW w:w="9871" w:type="dxa"/>
            <w:gridSpan w:val="9"/>
            <w:shd w:val="clear" w:color="auto" w:fill="auto"/>
          </w:tcPr>
          <w:p w14:paraId="4FEDD93E" w14:textId="77777777" w:rsidR="008852B0" w:rsidRPr="008D6611" w:rsidRDefault="008852B0">
            <w:pPr>
              <w:jc w:val="left"/>
              <w:rPr>
                <w:noProof/>
                <w:sz w:val="16"/>
              </w:rPr>
            </w:pPr>
            <w:r w:rsidRPr="00CE39FB">
              <w:rPr>
                <w:rFonts w:ascii="Wingdings" w:eastAsia="Wingdings" w:hAnsi="Wingdings" w:cs="Wingdings"/>
                <w:b/>
                <w:noProof/>
                <w:sz w:val="16"/>
              </w:rPr>
              <w:t>□</w:t>
            </w:r>
            <w:r w:rsidRPr="008D6611">
              <w:rPr>
                <w:b/>
                <w:noProof/>
                <w:sz w:val="16"/>
              </w:rPr>
              <w:t xml:space="preserve"> Establishment plan posts (officials and temporary staff)</w:t>
            </w:r>
          </w:p>
        </w:tc>
      </w:tr>
      <w:tr w:rsidR="00CE39FB" w:rsidRPr="00CE39FB" w14:paraId="06C33939" w14:textId="77777777" w:rsidTr="59744C64">
        <w:trPr>
          <w:gridBefore w:val="1"/>
          <w:wBefore w:w="15" w:type="dxa"/>
          <w:trHeight w:val="289"/>
          <w:jc w:val="center"/>
        </w:trPr>
        <w:tc>
          <w:tcPr>
            <w:tcW w:w="4754" w:type="dxa"/>
            <w:gridSpan w:val="2"/>
            <w:shd w:val="clear" w:color="auto" w:fill="auto"/>
            <w:vAlign w:val="center"/>
          </w:tcPr>
          <w:p w14:paraId="7B8F4C2E" w14:textId="77777777" w:rsidR="008852B0" w:rsidRPr="00CE39FB" w:rsidRDefault="008852B0">
            <w:pPr>
              <w:pStyle w:val="Text1"/>
              <w:spacing w:beforeLines="20" w:before="48" w:afterLines="20" w:after="48"/>
              <w:ind w:left="134"/>
              <w:jc w:val="left"/>
              <w:rPr>
                <w:b/>
                <w:noProof/>
                <w:sz w:val="16"/>
                <w:szCs w:val="16"/>
              </w:rPr>
            </w:pPr>
            <w:r w:rsidRPr="00CE39FB">
              <w:rPr>
                <w:noProof/>
                <w:sz w:val="16"/>
              </w:rPr>
              <w:t>20 01 02 01</w:t>
            </w:r>
            <w:r w:rsidRPr="008D6611">
              <w:rPr>
                <w:rFonts w:ascii="Arial Narrow" w:hAnsi="Arial Narrow"/>
                <w:noProof/>
                <w:sz w:val="20"/>
              </w:rPr>
              <w:t xml:space="preserve"> </w:t>
            </w:r>
            <w:r w:rsidRPr="00CE39FB">
              <w:rPr>
                <w:noProof/>
                <w:sz w:val="16"/>
              </w:rPr>
              <w:t>(Headquarters and Commission’s Representation Offices)</w:t>
            </w:r>
          </w:p>
        </w:tc>
        <w:tc>
          <w:tcPr>
            <w:tcW w:w="731" w:type="dxa"/>
            <w:shd w:val="clear" w:color="auto" w:fill="auto"/>
            <w:vAlign w:val="center"/>
          </w:tcPr>
          <w:p w14:paraId="436A8269" w14:textId="77777777" w:rsidR="008852B0" w:rsidRPr="008D6611" w:rsidRDefault="008852B0">
            <w:pPr>
              <w:spacing w:beforeLines="20" w:before="48" w:afterLines="20" w:after="48"/>
              <w:jc w:val="center"/>
              <w:rPr>
                <w:noProof/>
                <w:sz w:val="16"/>
              </w:rPr>
            </w:pPr>
            <w:r w:rsidRPr="008D6611">
              <w:rPr>
                <w:noProof/>
                <w:sz w:val="16"/>
              </w:rPr>
              <w:t>3</w:t>
            </w:r>
          </w:p>
        </w:tc>
        <w:tc>
          <w:tcPr>
            <w:tcW w:w="731" w:type="dxa"/>
            <w:shd w:val="clear" w:color="auto" w:fill="auto"/>
            <w:vAlign w:val="center"/>
          </w:tcPr>
          <w:p w14:paraId="6819E02A" w14:textId="77777777" w:rsidR="008852B0" w:rsidRPr="008D6611" w:rsidRDefault="008852B0">
            <w:pPr>
              <w:spacing w:beforeLines="20" w:before="48" w:afterLines="20" w:after="48"/>
              <w:jc w:val="center"/>
              <w:rPr>
                <w:noProof/>
                <w:sz w:val="16"/>
              </w:rPr>
            </w:pPr>
            <w:r w:rsidRPr="008D6611">
              <w:rPr>
                <w:noProof/>
                <w:sz w:val="16"/>
              </w:rPr>
              <w:t>3</w:t>
            </w:r>
          </w:p>
        </w:tc>
        <w:tc>
          <w:tcPr>
            <w:tcW w:w="731" w:type="dxa"/>
            <w:shd w:val="clear" w:color="auto" w:fill="auto"/>
            <w:vAlign w:val="center"/>
          </w:tcPr>
          <w:p w14:paraId="43B9AC49" w14:textId="77777777" w:rsidR="008852B0" w:rsidRPr="008D6611" w:rsidRDefault="008852B0">
            <w:pPr>
              <w:spacing w:beforeLines="20" w:before="48" w:afterLines="20" w:after="48"/>
              <w:jc w:val="center"/>
              <w:rPr>
                <w:noProof/>
                <w:sz w:val="16"/>
              </w:rPr>
            </w:pPr>
            <w:r w:rsidRPr="008D6611">
              <w:rPr>
                <w:noProof/>
                <w:sz w:val="16"/>
              </w:rPr>
              <w:t>3</w:t>
            </w:r>
          </w:p>
        </w:tc>
        <w:tc>
          <w:tcPr>
            <w:tcW w:w="731" w:type="dxa"/>
            <w:shd w:val="clear" w:color="auto" w:fill="auto"/>
            <w:vAlign w:val="center"/>
          </w:tcPr>
          <w:p w14:paraId="45133E1E"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0E42D753"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354B3723"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218F0518" w14:textId="77777777" w:rsidR="008852B0" w:rsidRPr="008D6611" w:rsidRDefault="008852B0">
            <w:pPr>
              <w:spacing w:beforeLines="20" w:before="48" w:afterLines="20" w:after="48"/>
              <w:jc w:val="center"/>
              <w:rPr>
                <w:noProof/>
                <w:sz w:val="16"/>
              </w:rPr>
            </w:pPr>
          </w:p>
        </w:tc>
      </w:tr>
      <w:tr w:rsidR="00CE39FB" w:rsidRPr="00CE39FB" w14:paraId="007BFFE6" w14:textId="77777777" w:rsidTr="59744C64">
        <w:trPr>
          <w:gridBefore w:val="1"/>
          <w:wBefore w:w="15" w:type="dxa"/>
          <w:trHeight w:val="289"/>
          <w:jc w:val="center"/>
        </w:trPr>
        <w:tc>
          <w:tcPr>
            <w:tcW w:w="4754" w:type="dxa"/>
            <w:gridSpan w:val="2"/>
            <w:shd w:val="clear" w:color="auto" w:fill="auto"/>
            <w:vAlign w:val="center"/>
          </w:tcPr>
          <w:p w14:paraId="0A76E879" w14:textId="77777777" w:rsidR="008852B0" w:rsidRPr="00CE39FB" w:rsidRDefault="008852B0">
            <w:pPr>
              <w:pStyle w:val="Text1"/>
              <w:spacing w:beforeLines="20" w:before="48" w:afterLines="20" w:after="48"/>
              <w:ind w:left="134"/>
              <w:jc w:val="left"/>
              <w:rPr>
                <w:noProof/>
                <w:sz w:val="16"/>
              </w:rPr>
            </w:pPr>
            <w:r w:rsidRPr="00CE39FB">
              <w:rPr>
                <w:noProof/>
                <w:sz w:val="16"/>
              </w:rPr>
              <w:t>20 01 02 03 (Delegations)</w:t>
            </w:r>
          </w:p>
        </w:tc>
        <w:tc>
          <w:tcPr>
            <w:tcW w:w="731" w:type="dxa"/>
            <w:shd w:val="clear" w:color="auto" w:fill="auto"/>
            <w:vAlign w:val="center"/>
          </w:tcPr>
          <w:p w14:paraId="0EC1163E"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07F096A"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4498E686"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38D0734E"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FE43BE6"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61DAA1BF"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1B7C0943" w14:textId="77777777" w:rsidR="008852B0" w:rsidRPr="00CE39FB" w:rsidRDefault="008852B0">
            <w:pPr>
              <w:spacing w:beforeLines="20" w:before="48" w:afterLines="20" w:after="48"/>
              <w:jc w:val="center"/>
              <w:rPr>
                <w:noProof/>
                <w:sz w:val="16"/>
                <w:szCs w:val="16"/>
              </w:rPr>
            </w:pPr>
          </w:p>
        </w:tc>
      </w:tr>
      <w:tr w:rsidR="00CE39FB" w:rsidRPr="00CE39FB" w14:paraId="1280BBFA" w14:textId="77777777" w:rsidTr="59744C64">
        <w:trPr>
          <w:gridBefore w:val="1"/>
          <w:wBefore w:w="15" w:type="dxa"/>
          <w:trHeight w:val="289"/>
          <w:jc w:val="center"/>
        </w:trPr>
        <w:tc>
          <w:tcPr>
            <w:tcW w:w="4754" w:type="dxa"/>
            <w:gridSpan w:val="2"/>
            <w:shd w:val="clear" w:color="auto" w:fill="auto"/>
            <w:vAlign w:val="center"/>
          </w:tcPr>
          <w:p w14:paraId="3014C2A5" w14:textId="77777777" w:rsidR="008852B0" w:rsidRPr="00CE39FB" w:rsidRDefault="008852B0">
            <w:pPr>
              <w:pStyle w:val="Text1"/>
              <w:spacing w:beforeLines="20" w:before="48" w:afterLines="20" w:after="48"/>
              <w:ind w:left="134"/>
              <w:jc w:val="left"/>
              <w:rPr>
                <w:noProof/>
                <w:sz w:val="16"/>
                <w:szCs w:val="16"/>
              </w:rPr>
            </w:pPr>
            <w:r w:rsidRPr="00CE39FB">
              <w:rPr>
                <w:noProof/>
                <w:sz w:val="16"/>
              </w:rPr>
              <w:t>01 01 01 01</w:t>
            </w:r>
            <w:r w:rsidRPr="008D6611">
              <w:rPr>
                <w:rFonts w:ascii="Arial Narrow" w:hAnsi="Arial Narrow"/>
                <w:noProof/>
                <w:sz w:val="20"/>
              </w:rPr>
              <w:t xml:space="preserve"> </w:t>
            </w:r>
            <w:r w:rsidRPr="00CE39FB">
              <w:rPr>
                <w:noProof/>
                <w:sz w:val="16"/>
              </w:rPr>
              <w:t xml:space="preserve"> (Indirect research)</w:t>
            </w:r>
          </w:p>
        </w:tc>
        <w:tc>
          <w:tcPr>
            <w:tcW w:w="731" w:type="dxa"/>
            <w:shd w:val="clear" w:color="auto" w:fill="auto"/>
            <w:vAlign w:val="center"/>
          </w:tcPr>
          <w:p w14:paraId="277BEE3D"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86F6546"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448D1F16"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74EE5951"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76E57FD1"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D657DD1"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1998B5BC" w14:textId="77777777" w:rsidR="008852B0" w:rsidRPr="00CE39FB" w:rsidRDefault="008852B0">
            <w:pPr>
              <w:spacing w:beforeLines="20" w:before="48" w:afterLines="20" w:after="48"/>
              <w:jc w:val="center"/>
              <w:rPr>
                <w:noProof/>
                <w:sz w:val="16"/>
                <w:szCs w:val="16"/>
              </w:rPr>
            </w:pPr>
          </w:p>
        </w:tc>
      </w:tr>
      <w:tr w:rsidR="00CE39FB" w:rsidRPr="00CE39FB" w14:paraId="74F19C35" w14:textId="77777777" w:rsidTr="59744C64">
        <w:trPr>
          <w:gridBefore w:val="1"/>
          <w:wBefore w:w="15" w:type="dxa"/>
          <w:trHeight w:val="289"/>
          <w:jc w:val="center"/>
        </w:trPr>
        <w:tc>
          <w:tcPr>
            <w:tcW w:w="4754" w:type="dxa"/>
            <w:gridSpan w:val="2"/>
            <w:shd w:val="clear" w:color="auto" w:fill="auto"/>
            <w:vAlign w:val="center"/>
          </w:tcPr>
          <w:p w14:paraId="6FB80EA7" w14:textId="77777777" w:rsidR="008852B0" w:rsidRPr="00CE39FB" w:rsidRDefault="008852B0">
            <w:pPr>
              <w:pStyle w:val="Text1"/>
              <w:spacing w:beforeLines="20" w:before="48" w:afterLines="20" w:after="48"/>
              <w:ind w:left="134"/>
              <w:jc w:val="left"/>
              <w:rPr>
                <w:noProof/>
                <w:sz w:val="16"/>
                <w:szCs w:val="16"/>
              </w:rPr>
            </w:pPr>
            <w:r w:rsidRPr="00CE39FB">
              <w:rPr>
                <w:noProof/>
                <w:sz w:val="16"/>
              </w:rPr>
              <w:t xml:space="preserve"> 01 01 01 11 (Direct research)</w:t>
            </w:r>
          </w:p>
        </w:tc>
        <w:tc>
          <w:tcPr>
            <w:tcW w:w="731" w:type="dxa"/>
            <w:shd w:val="clear" w:color="auto" w:fill="auto"/>
            <w:vAlign w:val="center"/>
          </w:tcPr>
          <w:p w14:paraId="03171CA6"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8B2C913"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6DD89D4B"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A172A5A"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5C08BF2"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6C5A72B"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77AAF7CE" w14:textId="77777777" w:rsidR="008852B0" w:rsidRPr="00CE39FB" w:rsidRDefault="008852B0">
            <w:pPr>
              <w:spacing w:beforeLines="20" w:before="48" w:afterLines="20" w:after="48"/>
              <w:jc w:val="center"/>
              <w:rPr>
                <w:noProof/>
                <w:sz w:val="16"/>
                <w:szCs w:val="16"/>
              </w:rPr>
            </w:pPr>
          </w:p>
        </w:tc>
      </w:tr>
      <w:tr w:rsidR="00CE39FB" w:rsidRPr="00CE39FB" w14:paraId="71851292" w14:textId="77777777" w:rsidTr="59744C64">
        <w:trPr>
          <w:gridBefore w:val="1"/>
          <w:wBefore w:w="15" w:type="dxa"/>
          <w:trHeight w:val="289"/>
          <w:jc w:val="center"/>
        </w:trPr>
        <w:tc>
          <w:tcPr>
            <w:tcW w:w="4754" w:type="dxa"/>
            <w:gridSpan w:val="2"/>
            <w:shd w:val="clear" w:color="auto" w:fill="auto"/>
            <w:vAlign w:val="center"/>
          </w:tcPr>
          <w:p w14:paraId="74029F8D" w14:textId="77777777" w:rsidR="008852B0" w:rsidRPr="00CE39FB" w:rsidRDefault="008852B0">
            <w:pPr>
              <w:pStyle w:val="Text1"/>
              <w:spacing w:beforeLines="20" w:before="48" w:afterLines="20" w:after="48"/>
              <w:ind w:left="134"/>
              <w:jc w:val="left"/>
              <w:rPr>
                <w:noProof/>
                <w:sz w:val="16"/>
              </w:rPr>
            </w:pPr>
            <w:r w:rsidRPr="00CE39FB">
              <w:rPr>
                <w:noProof/>
                <w:sz w:val="16"/>
              </w:rPr>
              <w:t>Other budget lines (specify)</w:t>
            </w:r>
          </w:p>
        </w:tc>
        <w:tc>
          <w:tcPr>
            <w:tcW w:w="731" w:type="dxa"/>
            <w:shd w:val="clear" w:color="auto" w:fill="auto"/>
            <w:vAlign w:val="center"/>
          </w:tcPr>
          <w:p w14:paraId="23AFDFA2"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D23039F"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334EC653"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701B36A4"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F0C1F46"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6F189745"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1D701FEA" w14:textId="77777777" w:rsidR="008852B0" w:rsidRPr="00CE39FB" w:rsidRDefault="008852B0">
            <w:pPr>
              <w:spacing w:beforeLines="20" w:before="48" w:afterLines="20" w:after="48"/>
              <w:jc w:val="center"/>
              <w:rPr>
                <w:noProof/>
                <w:sz w:val="16"/>
                <w:szCs w:val="16"/>
              </w:rPr>
            </w:pPr>
          </w:p>
        </w:tc>
      </w:tr>
      <w:tr w:rsidR="00CE39FB" w:rsidRPr="00CE39FB" w14:paraId="5EF75EC5" w14:textId="77777777" w:rsidTr="59744C64">
        <w:trPr>
          <w:trHeight w:val="248"/>
          <w:jc w:val="center"/>
        </w:trPr>
        <w:tc>
          <w:tcPr>
            <w:tcW w:w="9886" w:type="dxa"/>
            <w:gridSpan w:val="10"/>
            <w:shd w:val="clear" w:color="auto" w:fill="auto"/>
            <w:vAlign w:val="center"/>
          </w:tcPr>
          <w:p w14:paraId="19265E95" w14:textId="77777777" w:rsidR="008852B0" w:rsidRPr="00CE39FB" w:rsidRDefault="7D4342D6">
            <w:pPr>
              <w:pStyle w:val="Text1"/>
              <w:spacing w:before="60" w:after="60"/>
              <w:ind w:left="0"/>
              <w:jc w:val="left"/>
              <w:rPr>
                <w:b/>
                <w:noProof/>
                <w:sz w:val="16"/>
                <w:szCs w:val="16"/>
              </w:rPr>
            </w:pPr>
            <w:r w:rsidRPr="00CE39FB">
              <w:rPr>
                <w:rFonts w:ascii="Wingdings" w:eastAsia="Wingdings" w:hAnsi="Wingdings" w:cs="Wingdings"/>
                <w:b/>
                <w:bCs/>
                <w:noProof/>
                <w:sz w:val="16"/>
                <w:szCs w:val="16"/>
              </w:rPr>
              <w:t>□</w:t>
            </w:r>
            <w:r w:rsidRPr="00CE39FB">
              <w:rPr>
                <w:b/>
                <w:bCs/>
                <w:noProof/>
                <w:sz w:val="16"/>
                <w:szCs w:val="16"/>
              </w:rPr>
              <w:t xml:space="preserve"> External staff (in Full Time Equivalent unit: FTE)</w:t>
            </w:r>
            <w:r w:rsidR="008852B0" w:rsidRPr="00CE39FB">
              <w:rPr>
                <w:rStyle w:val="FootnoteReference"/>
                <w:b/>
                <w:bCs/>
                <w:noProof/>
                <w:sz w:val="16"/>
                <w:szCs w:val="16"/>
              </w:rPr>
              <w:footnoteReference w:id="45"/>
            </w:r>
          </w:p>
          <w:p w14:paraId="70073133" w14:textId="77777777" w:rsidR="008852B0" w:rsidRPr="00CE39FB" w:rsidRDefault="008852B0">
            <w:pPr>
              <w:pStyle w:val="Text1"/>
              <w:spacing w:before="0" w:after="0"/>
              <w:ind w:left="0"/>
              <w:jc w:val="left"/>
              <w:rPr>
                <w:noProof/>
                <w:sz w:val="16"/>
                <w:szCs w:val="16"/>
              </w:rPr>
            </w:pPr>
          </w:p>
        </w:tc>
      </w:tr>
      <w:tr w:rsidR="00CE39FB" w:rsidRPr="00CE39FB" w14:paraId="0B419C4E" w14:textId="77777777" w:rsidTr="59744C64">
        <w:trPr>
          <w:gridBefore w:val="1"/>
          <w:wBefore w:w="15" w:type="dxa"/>
          <w:trHeight w:val="289"/>
          <w:jc w:val="center"/>
        </w:trPr>
        <w:tc>
          <w:tcPr>
            <w:tcW w:w="4754" w:type="dxa"/>
            <w:gridSpan w:val="2"/>
            <w:shd w:val="clear" w:color="auto" w:fill="auto"/>
            <w:vAlign w:val="center"/>
          </w:tcPr>
          <w:p w14:paraId="52FBA579" w14:textId="77777777" w:rsidR="008852B0" w:rsidRPr="00CE39FB" w:rsidRDefault="008852B0">
            <w:pPr>
              <w:pStyle w:val="Text1"/>
              <w:spacing w:beforeLines="20" w:before="48" w:afterLines="20" w:after="48"/>
              <w:ind w:left="136"/>
              <w:jc w:val="left"/>
              <w:rPr>
                <w:b/>
                <w:noProof/>
                <w:sz w:val="16"/>
                <w:szCs w:val="16"/>
              </w:rPr>
            </w:pPr>
            <w:r w:rsidRPr="00CE39FB">
              <w:rPr>
                <w:noProof/>
                <w:sz w:val="16"/>
              </w:rPr>
              <w:t>20 02 01</w:t>
            </w:r>
            <w:r w:rsidRPr="008D6611">
              <w:rPr>
                <w:rFonts w:ascii="Arial Narrow" w:hAnsi="Arial Narrow"/>
                <w:noProof/>
                <w:sz w:val="20"/>
              </w:rPr>
              <w:t xml:space="preserve"> </w:t>
            </w:r>
            <w:r w:rsidRPr="00CE39FB">
              <w:rPr>
                <w:noProof/>
                <w:sz w:val="16"/>
              </w:rPr>
              <w:t>(AC, END, INT from the ‘global envelope’)</w:t>
            </w:r>
          </w:p>
        </w:tc>
        <w:tc>
          <w:tcPr>
            <w:tcW w:w="731" w:type="dxa"/>
            <w:shd w:val="clear" w:color="auto" w:fill="auto"/>
            <w:vAlign w:val="center"/>
          </w:tcPr>
          <w:p w14:paraId="1B08011B" w14:textId="77777777" w:rsidR="008852B0" w:rsidRPr="008D6611" w:rsidRDefault="008852B0">
            <w:pPr>
              <w:spacing w:beforeLines="20" w:before="48" w:afterLines="20" w:after="48"/>
              <w:jc w:val="center"/>
              <w:rPr>
                <w:noProof/>
                <w:sz w:val="16"/>
              </w:rPr>
            </w:pPr>
            <w:r w:rsidRPr="008D6611">
              <w:rPr>
                <w:noProof/>
                <w:sz w:val="16"/>
              </w:rPr>
              <w:t>3</w:t>
            </w:r>
          </w:p>
        </w:tc>
        <w:tc>
          <w:tcPr>
            <w:tcW w:w="731" w:type="dxa"/>
            <w:shd w:val="clear" w:color="auto" w:fill="auto"/>
            <w:vAlign w:val="center"/>
          </w:tcPr>
          <w:p w14:paraId="1D1F1CBD" w14:textId="77777777" w:rsidR="008852B0" w:rsidRPr="008D6611" w:rsidRDefault="008852B0">
            <w:pPr>
              <w:spacing w:beforeLines="20" w:before="48" w:afterLines="20" w:after="48"/>
              <w:jc w:val="center"/>
              <w:rPr>
                <w:noProof/>
                <w:sz w:val="16"/>
              </w:rPr>
            </w:pPr>
            <w:r w:rsidRPr="008D6611">
              <w:rPr>
                <w:noProof/>
                <w:sz w:val="16"/>
              </w:rPr>
              <w:t>3</w:t>
            </w:r>
          </w:p>
        </w:tc>
        <w:tc>
          <w:tcPr>
            <w:tcW w:w="731" w:type="dxa"/>
            <w:shd w:val="clear" w:color="auto" w:fill="auto"/>
            <w:vAlign w:val="center"/>
          </w:tcPr>
          <w:p w14:paraId="4D9E2D6A" w14:textId="77777777" w:rsidR="008852B0" w:rsidRPr="008D6611" w:rsidRDefault="008852B0">
            <w:pPr>
              <w:spacing w:beforeLines="20" w:before="48" w:afterLines="20" w:after="48"/>
              <w:jc w:val="center"/>
              <w:rPr>
                <w:noProof/>
                <w:sz w:val="16"/>
              </w:rPr>
            </w:pPr>
            <w:r w:rsidRPr="008D6611">
              <w:rPr>
                <w:noProof/>
                <w:sz w:val="16"/>
              </w:rPr>
              <w:t>3</w:t>
            </w:r>
          </w:p>
        </w:tc>
        <w:tc>
          <w:tcPr>
            <w:tcW w:w="731" w:type="dxa"/>
            <w:shd w:val="clear" w:color="auto" w:fill="auto"/>
            <w:vAlign w:val="center"/>
          </w:tcPr>
          <w:p w14:paraId="48412289"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05D6B23F"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1880D183"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20F25207" w14:textId="77777777" w:rsidR="008852B0" w:rsidRPr="008D6611" w:rsidRDefault="008852B0">
            <w:pPr>
              <w:spacing w:beforeLines="20" w:before="48" w:afterLines="20" w:after="48"/>
              <w:jc w:val="center"/>
              <w:rPr>
                <w:noProof/>
                <w:sz w:val="16"/>
              </w:rPr>
            </w:pPr>
          </w:p>
        </w:tc>
      </w:tr>
      <w:tr w:rsidR="00CE39FB" w:rsidRPr="00CE39FB" w14:paraId="2B29290E" w14:textId="77777777" w:rsidTr="59744C64">
        <w:trPr>
          <w:gridBefore w:val="1"/>
          <w:wBefore w:w="15" w:type="dxa"/>
          <w:trHeight w:val="289"/>
          <w:jc w:val="center"/>
        </w:trPr>
        <w:tc>
          <w:tcPr>
            <w:tcW w:w="4754" w:type="dxa"/>
            <w:gridSpan w:val="2"/>
            <w:shd w:val="clear" w:color="auto" w:fill="auto"/>
            <w:vAlign w:val="center"/>
          </w:tcPr>
          <w:p w14:paraId="6F1613EE" w14:textId="77777777" w:rsidR="008852B0" w:rsidRPr="00CE39FB" w:rsidRDefault="008852B0">
            <w:pPr>
              <w:pStyle w:val="Text1"/>
              <w:spacing w:beforeLines="20" w:before="48" w:afterLines="20" w:after="48"/>
              <w:ind w:left="136"/>
              <w:jc w:val="left"/>
              <w:rPr>
                <w:noProof/>
                <w:sz w:val="16"/>
              </w:rPr>
            </w:pPr>
            <w:r w:rsidRPr="00CE39FB">
              <w:rPr>
                <w:noProof/>
                <w:sz w:val="16"/>
              </w:rPr>
              <w:t>20 02 03 (AC, AL, END, INT and JPD in the delegations)</w:t>
            </w:r>
          </w:p>
        </w:tc>
        <w:tc>
          <w:tcPr>
            <w:tcW w:w="731" w:type="dxa"/>
            <w:shd w:val="clear" w:color="auto" w:fill="auto"/>
            <w:vAlign w:val="center"/>
          </w:tcPr>
          <w:p w14:paraId="3D07891F"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6524473F"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3BCE25B0"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6E8896B1"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090A08A1"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60F9B392"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666AD2E3" w14:textId="77777777" w:rsidR="008852B0" w:rsidRPr="008D6611" w:rsidRDefault="008852B0">
            <w:pPr>
              <w:spacing w:beforeLines="20" w:before="48" w:afterLines="20" w:after="48"/>
              <w:jc w:val="center"/>
              <w:rPr>
                <w:noProof/>
                <w:sz w:val="16"/>
              </w:rPr>
            </w:pPr>
          </w:p>
        </w:tc>
      </w:tr>
      <w:tr w:rsidR="00CE39FB" w:rsidRPr="00CE39FB" w14:paraId="577DF397" w14:textId="77777777" w:rsidTr="59744C64">
        <w:trPr>
          <w:gridBefore w:val="1"/>
          <w:wBefore w:w="15" w:type="dxa"/>
          <w:trHeight w:val="289"/>
          <w:jc w:val="center"/>
        </w:trPr>
        <w:tc>
          <w:tcPr>
            <w:tcW w:w="2376" w:type="dxa"/>
            <w:vMerge w:val="restart"/>
            <w:shd w:val="clear" w:color="auto" w:fill="auto"/>
            <w:vAlign w:val="center"/>
          </w:tcPr>
          <w:p w14:paraId="6518C8B6" w14:textId="77777777" w:rsidR="008852B0" w:rsidRPr="00CE39FB" w:rsidRDefault="7D4342D6">
            <w:pPr>
              <w:pStyle w:val="Text1"/>
              <w:spacing w:beforeLines="20" w:before="48" w:afterLines="20" w:after="48"/>
              <w:ind w:left="136"/>
              <w:jc w:val="left"/>
              <w:rPr>
                <w:b/>
                <w:noProof/>
                <w:sz w:val="16"/>
                <w:szCs w:val="16"/>
              </w:rPr>
            </w:pPr>
            <w:r w:rsidRPr="00CE39FB">
              <w:rPr>
                <w:b/>
                <w:bCs/>
                <w:noProof/>
                <w:sz w:val="16"/>
                <w:szCs w:val="16"/>
              </w:rPr>
              <w:t>XX</w:t>
            </w:r>
            <w:r w:rsidRPr="00CE39FB">
              <w:rPr>
                <w:noProof/>
                <w:sz w:val="16"/>
                <w:szCs w:val="16"/>
              </w:rPr>
              <w:t xml:space="preserve"> 01  xx </w:t>
            </w:r>
            <w:r w:rsidRPr="00CE39FB">
              <w:rPr>
                <w:b/>
                <w:bCs/>
                <w:noProof/>
                <w:sz w:val="16"/>
                <w:szCs w:val="16"/>
              </w:rPr>
              <w:t xml:space="preserve">yy zz </w:t>
            </w:r>
            <w:r w:rsidRPr="00CE39FB">
              <w:rPr>
                <w:b/>
                <w:bCs/>
                <w:i/>
                <w:iCs/>
                <w:noProof/>
                <w:sz w:val="16"/>
                <w:szCs w:val="16"/>
              </w:rPr>
              <w:t xml:space="preserve"> </w:t>
            </w:r>
            <w:r w:rsidR="008852B0" w:rsidRPr="00CE39FB">
              <w:rPr>
                <w:rStyle w:val="FootnoteReference"/>
                <w:b/>
                <w:bCs/>
                <w:i/>
                <w:iCs/>
                <w:noProof/>
                <w:sz w:val="16"/>
                <w:szCs w:val="16"/>
              </w:rPr>
              <w:footnoteReference w:id="46"/>
            </w:r>
          </w:p>
          <w:p w14:paraId="02D8EB07" w14:textId="77777777" w:rsidR="008852B0" w:rsidRPr="00CE39FB" w:rsidRDefault="008852B0">
            <w:pPr>
              <w:pStyle w:val="Text1"/>
              <w:spacing w:beforeLines="20" w:before="48" w:afterLines="20" w:after="48"/>
              <w:ind w:left="136"/>
              <w:jc w:val="left"/>
              <w:rPr>
                <w:b/>
                <w:noProof/>
                <w:sz w:val="16"/>
                <w:szCs w:val="16"/>
              </w:rPr>
            </w:pPr>
          </w:p>
        </w:tc>
        <w:tc>
          <w:tcPr>
            <w:tcW w:w="2378" w:type="dxa"/>
            <w:shd w:val="clear" w:color="auto" w:fill="auto"/>
            <w:vAlign w:val="center"/>
          </w:tcPr>
          <w:p w14:paraId="56BD1726" w14:textId="77777777" w:rsidR="008852B0" w:rsidRPr="00CE39FB" w:rsidRDefault="008852B0">
            <w:pPr>
              <w:pStyle w:val="Text1"/>
              <w:spacing w:beforeLines="20" w:before="48" w:afterLines="20" w:after="48"/>
              <w:ind w:left="136"/>
              <w:jc w:val="left"/>
              <w:rPr>
                <w:b/>
                <w:noProof/>
                <w:sz w:val="16"/>
                <w:szCs w:val="16"/>
              </w:rPr>
            </w:pPr>
            <w:r w:rsidRPr="00CE39FB">
              <w:rPr>
                <w:noProof/>
                <w:sz w:val="16"/>
              </w:rPr>
              <w:t>- at Headquarters</w:t>
            </w:r>
          </w:p>
          <w:p w14:paraId="2F2E0212" w14:textId="77777777" w:rsidR="008852B0" w:rsidRPr="00CE39FB" w:rsidRDefault="008852B0">
            <w:pPr>
              <w:pStyle w:val="Text1"/>
              <w:spacing w:beforeLines="20" w:before="48" w:afterLines="20" w:after="48"/>
              <w:ind w:left="136"/>
              <w:jc w:val="left"/>
              <w:rPr>
                <w:b/>
                <w:noProof/>
                <w:sz w:val="16"/>
                <w:szCs w:val="16"/>
              </w:rPr>
            </w:pPr>
          </w:p>
        </w:tc>
        <w:tc>
          <w:tcPr>
            <w:tcW w:w="731" w:type="dxa"/>
            <w:shd w:val="clear" w:color="auto" w:fill="auto"/>
            <w:vAlign w:val="center"/>
          </w:tcPr>
          <w:p w14:paraId="13124149" w14:textId="77777777" w:rsidR="008852B0" w:rsidRPr="00CE39FB" w:rsidRDefault="008852B0">
            <w:pPr>
              <w:pStyle w:val="Text1"/>
              <w:spacing w:beforeLines="20" w:before="48" w:afterLines="20" w:after="48"/>
              <w:ind w:left="0"/>
              <w:rPr>
                <w:noProof/>
                <w:sz w:val="16"/>
                <w:szCs w:val="16"/>
              </w:rPr>
            </w:pPr>
          </w:p>
        </w:tc>
        <w:tc>
          <w:tcPr>
            <w:tcW w:w="731" w:type="dxa"/>
            <w:shd w:val="clear" w:color="auto" w:fill="auto"/>
            <w:vAlign w:val="center"/>
          </w:tcPr>
          <w:p w14:paraId="3E5F51B4"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69CE4B77"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A3215B5"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E7795CC"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CBA932B"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0CACAD38" w14:textId="77777777" w:rsidR="008852B0" w:rsidRPr="00CE39FB" w:rsidRDefault="008852B0">
            <w:pPr>
              <w:spacing w:beforeLines="20" w:before="48" w:afterLines="20" w:after="48"/>
              <w:jc w:val="center"/>
              <w:rPr>
                <w:noProof/>
                <w:sz w:val="16"/>
                <w:szCs w:val="16"/>
              </w:rPr>
            </w:pPr>
          </w:p>
        </w:tc>
      </w:tr>
      <w:tr w:rsidR="00CE39FB" w:rsidRPr="00CE39FB" w14:paraId="0FFE4433" w14:textId="77777777" w:rsidTr="008D6611">
        <w:trPr>
          <w:gridBefore w:val="1"/>
          <w:wBefore w:w="15" w:type="dxa"/>
          <w:trHeight w:val="289"/>
          <w:jc w:val="center"/>
        </w:trPr>
        <w:tc>
          <w:tcPr>
            <w:tcW w:w="2376" w:type="dxa"/>
            <w:vMerge/>
            <w:vAlign w:val="center"/>
          </w:tcPr>
          <w:p w14:paraId="15F6D52E" w14:textId="77777777" w:rsidR="008852B0" w:rsidRPr="00CE39FB" w:rsidRDefault="008852B0">
            <w:pPr>
              <w:pStyle w:val="Text1"/>
              <w:spacing w:beforeLines="20" w:before="48" w:afterLines="20" w:after="48"/>
              <w:ind w:left="136"/>
              <w:jc w:val="left"/>
              <w:rPr>
                <w:b/>
                <w:noProof/>
                <w:sz w:val="16"/>
                <w:szCs w:val="16"/>
              </w:rPr>
            </w:pPr>
          </w:p>
        </w:tc>
        <w:tc>
          <w:tcPr>
            <w:tcW w:w="2378" w:type="dxa"/>
            <w:shd w:val="clear" w:color="auto" w:fill="auto"/>
            <w:vAlign w:val="center"/>
          </w:tcPr>
          <w:p w14:paraId="395CF9B6" w14:textId="77777777" w:rsidR="008852B0" w:rsidRPr="00CE39FB" w:rsidRDefault="008852B0">
            <w:pPr>
              <w:pStyle w:val="Text1"/>
              <w:spacing w:beforeLines="20" w:before="48" w:afterLines="20" w:after="48"/>
              <w:ind w:left="136"/>
              <w:jc w:val="left"/>
              <w:rPr>
                <w:b/>
                <w:noProof/>
                <w:sz w:val="16"/>
                <w:szCs w:val="16"/>
              </w:rPr>
            </w:pPr>
            <w:r w:rsidRPr="00CE39FB">
              <w:rPr>
                <w:noProof/>
                <w:sz w:val="16"/>
              </w:rPr>
              <w:t xml:space="preserve">- in Delegations </w:t>
            </w:r>
          </w:p>
        </w:tc>
        <w:tc>
          <w:tcPr>
            <w:tcW w:w="731" w:type="dxa"/>
            <w:shd w:val="clear" w:color="auto" w:fill="auto"/>
            <w:vAlign w:val="center"/>
          </w:tcPr>
          <w:p w14:paraId="3EE49734" w14:textId="77777777" w:rsidR="008852B0" w:rsidRPr="00CE39FB" w:rsidRDefault="008852B0">
            <w:pPr>
              <w:pStyle w:val="Text1"/>
              <w:spacing w:beforeLines="20" w:before="48" w:afterLines="20" w:after="48"/>
              <w:ind w:left="0"/>
              <w:rPr>
                <w:noProof/>
                <w:sz w:val="16"/>
                <w:szCs w:val="16"/>
              </w:rPr>
            </w:pPr>
          </w:p>
        </w:tc>
        <w:tc>
          <w:tcPr>
            <w:tcW w:w="731" w:type="dxa"/>
            <w:shd w:val="clear" w:color="auto" w:fill="auto"/>
            <w:vAlign w:val="center"/>
          </w:tcPr>
          <w:p w14:paraId="628988CB"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151CAF5"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49E3F278"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48D9BAC9"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63DF9F03"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14E428CF" w14:textId="77777777" w:rsidR="008852B0" w:rsidRPr="00CE39FB" w:rsidRDefault="008852B0">
            <w:pPr>
              <w:spacing w:beforeLines="20" w:before="48" w:afterLines="20" w:after="48"/>
              <w:jc w:val="center"/>
              <w:rPr>
                <w:noProof/>
                <w:sz w:val="16"/>
                <w:szCs w:val="16"/>
              </w:rPr>
            </w:pPr>
          </w:p>
        </w:tc>
      </w:tr>
      <w:tr w:rsidR="00CE39FB" w:rsidRPr="00CE39FB" w14:paraId="1F9A6E7A" w14:textId="77777777" w:rsidTr="59744C64">
        <w:trPr>
          <w:gridBefore w:val="1"/>
          <w:wBefore w:w="15" w:type="dxa"/>
          <w:trHeight w:val="289"/>
          <w:jc w:val="center"/>
        </w:trPr>
        <w:tc>
          <w:tcPr>
            <w:tcW w:w="4754" w:type="dxa"/>
            <w:gridSpan w:val="2"/>
            <w:shd w:val="clear" w:color="auto" w:fill="auto"/>
            <w:vAlign w:val="center"/>
          </w:tcPr>
          <w:p w14:paraId="288B1871" w14:textId="77777777" w:rsidR="008852B0" w:rsidRPr="00CE39FB" w:rsidRDefault="008852B0">
            <w:pPr>
              <w:pStyle w:val="Text1"/>
              <w:spacing w:beforeLines="20" w:before="48" w:afterLines="20" w:after="48"/>
              <w:ind w:left="136"/>
              <w:jc w:val="left"/>
              <w:rPr>
                <w:noProof/>
                <w:sz w:val="16"/>
                <w:szCs w:val="16"/>
              </w:rPr>
            </w:pPr>
            <w:r w:rsidRPr="00CE39FB">
              <w:rPr>
                <w:noProof/>
                <w:sz w:val="16"/>
              </w:rPr>
              <w:t>01 01 01 02</w:t>
            </w:r>
            <w:r w:rsidRPr="008D6611">
              <w:rPr>
                <w:rFonts w:ascii="Arial Narrow" w:hAnsi="Arial Narrow"/>
                <w:noProof/>
                <w:sz w:val="20"/>
              </w:rPr>
              <w:t xml:space="preserve"> </w:t>
            </w:r>
            <w:r w:rsidRPr="00CE39FB">
              <w:rPr>
                <w:noProof/>
                <w:sz w:val="16"/>
                <w:szCs w:val="16"/>
              </w:rPr>
              <w:t>(AC, END, INT - Indirect research)</w:t>
            </w:r>
          </w:p>
        </w:tc>
        <w:tc>
          <w:tcPr>
            <w:tcW w:w="731" w:type="dxa"/>
            <w:shd w:val="clear" w:color="auto" w:fill="auto"/>
            <w:vAlign w:val="center"/>
          </w:tcPr>
          <w:p w14:paraId="7B357E90"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4E456082"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5694415A"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109C09A4"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4D2A9A4A"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766DEE2F"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72577117" w14:textId="77777777" w:rsidR="008852B0" w:rsidRPr="008D6611" w:rsidRDefault="008852B0">
            <w:pPr>
              <w:spacing w:beforeLines="20" w:before="48" w:afterLines="20" w:after="48"/>
              <w:jc w:val="center"/>
              <w:rPr>
                <w:noProof/>
                <w:sz w:val="16"/>
              </w:rPr>
            </w:pPr>
          </w:p>
        </w:tc>
      </w:tr>
      <w:tr w:rsidR="00CE39FB" w:rsidRPr="00CE39FB" w14:paraId="5791426C" w14:textId="77777777" w:rsidTr="59744C64">
        <w:trPr>
          <w:gridBefore w:val="1"/>
          <w:wBefore w:w="15" w:type="dxa"/>
          <w:trHeight w:val="289"/>
          <w:jc w:val="center"/>
        </w:trPr>
        <w:tc>
          <w:tcPr>
            <w:tcW w:w="4754" w:type="dxa"/>
            <w:gridSpan w:val="2"/>
            <w:shd w:val="clear" w:color="auto" w:fill="auto"/>
            <w:vAlign w:val="center"/>
          </w:tcPr>
          <w:p w14:paraId="028D0030" w14:textId="77777777" w:rsidR="008852B0" w:rsidRPr="008D6611" w:rsidRDefault="008852B0">
            <w:pPr>
              <w:pStyle w:val="Text1"/>
              <w:spacing w:beforeLines="20" w:before="48" w:afterLines="20" w:after="48"/>
              <w:ind w:left="136"/>
              <w:jc w:val="left"/>
              <w:rPr>
                <w:noProof/>
                <w:sz w:val="16"/>
              </w:rPr>
            </w:pPr>
            <w:r w:rsidRPr="00CE39FB">
              <w:rPr>
                <w:noProof/>
                <w:sz w:val="16"/>
              </w:rPr>
              <w:t xml:space="preserve"> 01 01 01 12 (AC, END, INT - Direct research)</w:t>
            </w:r>
          </w:p>
        </w:tc>
        <w:tc>
          <w:tcPr>
            <w:tcW w:w="731" w:type="dxa"/>
            <w:shd w:val="clear" w:color="auto" w:fill="auto"/>
            <w:vAlign w:val="center"/>
          </w:tcPr>
          <w:p w14:paraId="764CD7F3"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7D056D0D"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54359285"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2642C977"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6B37A934"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51631AF6" w14:textId="77777777" w:rsidR="008852B0" w:rsidRPr="008D6611" w:rsidRDefault="008852B0">
            <w:pPr>
              <w:spacing w:beforeLines="20" w:before="48" w:afterLines="20" w:after="48"/>
              <w:jc w:val="center"/>
              <w:rPr>
                <w:noProof/>
                <w:sz w:val="16"/>
              </w:rPr>
            </w:pPr>
          </w:p>
        </w:tc>
        <w:tc>
          <w:tcPr>
            <w:tcW w:w="731" w:type="dxa"/>
            <w:shd w:val="clear" w:color="auto" w:fill="auto"/>
            <w:vAlign w:val="center"/>
          </w:tcPr>
          <w:p w14:paraId="620E3EEF" w14:textId="77777777" w:rsidR="008852B0" w:rsidRPr="008D6611" w:rsidRDefault="008852B0">
            <w:pPr>
              <w:spacing w:beforeLines="20" w:before="48" w:afterLines="20" w:after="48"/>
              <w:jc w:val="center"/>
              <w:rPr>
                <w:noProof/>
                <w:sz w:val="16"/>
              </w:rPr>
            </w:pPr>
          </w:p>
        </w:tc>
      </w:tr>
      <w:tr w:rsidR="00CE39FB" w:rsidRPr="00CE39FB" w14:paraId="06C217A6" w14:textId="77777777" w:rsidTr="59744C64">
        <w:trPr>
          <w:gridBefore w:val="1"/>
          <w:wBefore w:w="15" w:type="dxa"/>
          <w:trHeight w:val="289"/>
          <w:jc w:val="center"/>
        </w:trPr>
        <w:tc>
          <w:tcPr>
            <w:tcW w:w="4754" w:type="dxa"/>
            <w:gridSpan w:val="2"/>
            <w:shd w:val="clear" w:color="auto" w:fill="auto"/>
            <w:vAlign w:val="center"/>
          </w:tcPr>
          <w:p w14:paraId="7AADFCC7" w14:textId="77777777" w:rsidR="008852B0" w:rsidRPr="00CE39FB" w:rsidRDefault="008852B0">
            <w:pPr>
              <w:pStyle w:val="Text1"/>
              <w:spacing w:beforeLines="20" w:before="48" w:afterLines="20" w:after="48"/>
              <w:ind w:left="136"/>
              <w:jc w:val="left"/>
              <w:rPr>
                <w:noProof/>
                <w:sz w:val="16"/>
              </w:rPr>
            </w:pPr>
            <w:r w:rsidRPr="00CE39FB">
              <w:rPr>
                <w:noProof/>
                <w:sz w:val="16"/>
              </w:rPr>
              <w:t>Other budget lines (specify)</w:t>
            </w:r>
          </w:p>
        </w:tc>
        <w:tc>
          <w:tcPr>
            <w:tcW w:w="731" w:type="dxa"/>
            <w:shd w:val="clear" w:color="auto" w:fill="auto"/>
            <w:vAlign w:val="center"/>
          </w:tcPr>
          <w:p w14:paraId="7FC74C6F"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1BCC3F21"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059E91C2"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F4A7EDE"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57F1D7C0"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73EEB711" w14:textId="77777777" w:rsidR="008852B0" w:rsidRPr="00CE39FB" w:rsidRDefault="008852B0">
            <w:pPr>
              <w:spacing w:beforeLines="20" w:before="48" w:afterLines="20" w:after="48"/>
              <w:jc w:val="center"/>
              <w:rPr>
                <w:noProof/>
                <w:sz w:val="16"/>
                <w:szCs w:val="16"/>
              </w:rPr>
            </w:pPr>
          </w:p>
        </w:tc>
        <w:tc>
          <w:tcPr>
            <w:tcW w:w="731" w:type="dxa"/>
            <w:shd w:val="clear" w:color="auto" w:fill="auto"/>
            <w:vAlign w:val="center"/>
          </w:tcPr>
          <w:p w14:paraId="27F1EA9C" w14:textId="77777777" w:rsidR="008852B0" w:rsidRPr="00CE39FB" w:rsidRDefault="008852B0">
            <w:pPr>
              <w:spacing w:beforeLines="20" w:before="48" w:afterLines="20" w:after="48"/>
              <w:jc w:val="center"/>
              <w:rPr>
                <w:noProof/>
                <w:sz w:val="16"/>
                <w:szCs w:val="16"/>
              </w:rPr>
            </w:pPr>
          </w:p>
        </w:tc>
      </w:tr>
      <w:tr w:rsidR="00CE39FB" w:rsidRPr="00CE39FB" w14:paraId="0ECD06E9" w14:textId="77777777" w:rsidTr="59744C64">
        <w:trPr>
          <w:gridBefore w:val="1"/>
          <w:wBefore w:w="15" w:type="dxa"/>
          <w:trHeight w:val="289"/>
          <w:jc w:val="center"/>
        </w:trPr>
        <w:tc>
          <w:tcPr>
            <w:tcW w:w="4754" w:type="dxa"/>
            <w:gridSpan w:val="2"/>
            <w:tcBorders>
              <w:top w:val="double" w:sz="4" w:space="0" w:color="auto"/>
            </w:tcBorders>
            <w:shd w:val="clear" w:color="auto" w:fill="auto"/>
            <w:vAlign w:val="center"/>
          </w:tcPr>
          <w:p w14:paraId="5F11FEE3" w14:textId="77777777" w:rsidR="008852B0" w:rsidRPr="00CE39FB" w:rsidRDefault="008852B0">
            <w:pPr>
              <w:pStyle w:val="Text1"/>
              <w:spacing w:beforeLines="20" w:before="48" w:afterLines="20" w:after="48"/>
              <w:ind w:left="136"/>
              <w:jc w:val="left"/>
              <w:rPr>
                <w:noProof/>
                <w:sz w:val="16"/>
                <w:szCs w:val="16"/>
              </w:rPr>
            </w:pPr>
            <w:r w:rsidRPr="00CE39FB">
              <w:rPr>
                <w:b/>
                <w:noProof/>
                <w:sz w:val="16"/>
              </w:rPr>
              <w:t>TOTAL</w:t>
            </w:r>
          </w:p>
        </w:tc>
        <w:tc>
          <w:tcPr>
            <w:tcW w:w="731" w:type="dxa"/>
            <w:tcBorders>
              <w:top w:val="double" w:sz="4" w:space="0" w:color="auto"/>
            </w:tcBorders>
            <w:shd w:val="clear" w:color="auto" w:fill="auto"/>
            <w:vAlign w:val="center"/>
          </w:tcPr>
          <w:p w14:paraId="506C4486" w14:textId="77777777" w:rsidR="008852B0" w:rsidRPr="00CE39FB" w:rsidRDefault="008852B0">
            <w:pPr>
              <w:spacing w:beforeLines="20" w:before="48" w:afterLines="20" w:after="48"/>
              <w:jc w:val="center"/>
              <w:rPr>
                <w:b/>
                <w:noProof/>
                <w:sz w:val="16"/>
                <w:szCs w:val="16"/>
              </w:rPr>
            </w:pPr>
            <w:r w:rsidRPr="00CE39FB">
              <w:rPr>
                <w:b/>
                <w:noProof/>
                <w:sz w:val="16"/>
                <w:szCs w:val="16"/>
              </w:rPr>
              <w:t>6</w:t>
            </w:r>
          </w:p>
        </w:tc>
        <w:tc>
          <w:tcPr>
            <w:tcW w:w="731" w:type="dxa"/>
            <w:tcBorders>
              <w:top w:val="double" w:sz="4" w:space="0" w:color="auto"/>
            </w:tcBorders>
            <w:shd w:val="clear" w:color="auto" w:fill="auto"/>
            <w:vAlign w:val="center"/>
          </w:tcPr>
          <w:p w14:paraId="648D9E65" w14:textId="77777777" w:rsidR="008852B0" w:rsidRPr="00CE39FB" w:rsidRDefault="008852B0">
            <w:pPr>
              <w:spacing w:beforeLines="20" w:before="48" w:afterLines="20" w:after="48"/>
              <w:jc w:val="center"/>
              <w:rPr>
                <w:b/>
                <w:noProof/>
                <w:sz w:val="16"/>
                <w:szCs w:val="16"/>
              </w:rPr>
            </w:pPr>
            <w:r w:rsidRPr="00CE39FB">
              <w:rPr>
                <w:b/>
                <w:noProof/>
                <w:sz w:val="16"/>
                <w:szCs w:val="16"/>
              </w:rPr>
              <w:t>6</w:t>
            </w:r>
          </w:p>
        </w:tc>
        <w:tc>
          <w:tcPr>
            <w:tcW w:w="731" w:type="dxa"/>
            <w:tcBorders>
              <w:top w:val="double" w:sz="4" w:space="0" w:color="auto"/>
            </w:tcBorders>
            <w:shd w:val="clear" w:color="auto" w:fill="auto"/>
            <w:vAlign w:val="center"/>
          </w:tcPr>
          <w:p w14:paraId="2802811A" w14:textId="77777777" w:rsidR="008852B0" w:rsidRPr="00CE39FB" w:rsidRDefault="008852B0">
            <w:pPr>
              <w:spacing w:beforeLines="20" w:before="48" w:afterLines="20" w:after="48"/>
              <w:jc w:val="center"/>
              <w:rPr>
                <w:b/>
                <w:noProof/>
                <w:sz w:val="16"/>
                <w:szCs w:val="16"/>
              </w:rPr>
            </w:pPr>
            <w:r w:rsidRPr="00CE39FB">
              <w:rPr>
                <w:b/>
                <w:noProof/>
                <w:sz w:val="16"/>
                <w:szCs w:val="16"/>
              </w:rPr>
              <w:t>6</w:t>
            </w:r>
          </w:p>
        </w:tc>
        <w:tc>
          <w:tcPr>
            <w:tcW w:w="731" w:type="dxa"/>
            <w:tcBorders>
              <w:top w:val="double" w:sz="4" w:space="0" w:color="auto"/>
            </w:tcBorders>
            <w:shd w:val="clear" w:color="auto" w:fill="auto"/>
            <w:vAlign w:val="center"/>
          </w:tcPr>
          <w:p w14:paraId="031F9851" w14:textId="77777777" w:rsidR="008852B0" w:rsidRPr="00CE39FB" w:rsidRDefault="008852B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E23150B" w14:textId="77777777" w:rsidR="008852B0" w:rsidRPr="00CE39FB" w:rsidRDefault="008852B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2EB3AFD" w14:textId="77777777" w:rsidR="008852B0" w:rsidRPr="00CE39FB" w:rsidRDefault="008852B0">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542CD5C" w14:textId="77777777" w:rsidR="008852B0" w:rsidRPr="00CE39FB" w:rsidRDefault="008852B0">
            <w:pPr>
              <w:spacing w:beforeLines="20" w:before="48" w:afterLines="20" w:after="48"/>
              <w:jc w:val="center"/>
              <w:rPr>
                <w:b/>
                <w:noProof/>
                <w:sz w:val="16"/>
                <w:szCs w:val="16"/>
              </w:rPr>
            </w:pPr>
          </w:p>
        </w:tc>
      </w:tr>
    </w:tbl>
    <w:p w14:paraId="6A8ECCDE" w14:textId="77777777" w:rsidR="004770F6" w:rsidRPr="00CE39FB" w:rsidRDefault="004770F6">
      <w:pPr>
        <w:pStyle w:val="Text1"/>
        <w:spacing w:before="60" w:after="60"/>
        <w:ind w:left="851"/>
        <w:rPr>
          <w:noProof/>
          <w:sz w:val="18"/>
          <w:szCs w:val="18"/>
        </w:rPr>
      </w:pPr>
      <w:r w:rsidRPr="00CE39FB">
        <w:rPr>
          <w:b/>
          <w:noProof/>
          <w:sz w:val="18"/>
          <w:szCs w:val="18"/>
        </w:rPr>
        <w:t>XX</w:t>
      </w:r>
      <w:r w:rsidRPr="00CE39FB">
        <w:rPr>
          <w:noProof/>
          <w:sz w:val="18"/>
          <w:szCs w:val="18"/>
        </w:rPr>
        <w:t xml:space="preserve"> is the policy area or budget title concerned.</w:t>
      </w:r>
    </w:p>
    <w:p w14:paraId="035651A5" w14:textId="77777777" w:rsidR="004770F6" w:rsidRPr="00CE39FB" w:rsidRDefault="004770F6">
      <w:pPr>
        <w:pStyle w:val="Text1"/>
        <w:rPr>
          <w:noProof/>
          <w:sz w:val="18"/>
          <w:szCs w:val="18"/>
        </w:rPr>
      </w:pPr>
      <w:r w:rsidRPr="00CE39FB">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2186D71F" w14:textId="77777777" w:rsidR="004770F6" w:rsidRPr="008D6611" w:rsidRDefault="004770F6">
      <w:pPr>
        <w:rPr>
          <w:noProof/>
          <w:sz w:val="20"/>
        </w:rPr>
      </w:pPr>
      <w:r w:rsidRPr="008D6611">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E39FB" w:rsidRPr="00CE39FB" w14:paraId="197B45E7" w14:textId="77777777">
        <w:tc>
          <w:tcPr>
            <w:tcW w:w="3240" w:type="dxa"/>
          </w:tcPr>
          <w:p w14:paraId="4CF7923C" w14:textId="77777777" w:rsidR="002F7E98" w:rsidRPr="00CE39FB" w:rsidRDefault="002F7E98">
            <w:pPr>
              <w:rPr>
                <w:noProof/>
                <w:sz w:val="20"/>
              </w:rPr>
            </w:pPr>
            <w:r w:rsidRPr="00CE39FB">
              <w:rPr>
                <w:noProof/>
                <w:sz w:val="20"/>
              </w:rPr>
              <w:t>Officials and temporary staff</w:t>
            </w:r>
          </w:p>
        </w:tc>
        <w:tc>
          <w:tcPr>
            <w:tcW w:w="7200" w:type="dxa"/>
          </w:tcPr>
          <w:p w14:paraId="50B1D6B2" w14:textId="77777777" w:rsidR="002F7E98" w:rsidRPr="00CE39FB" w:rsidRDefault="002F7E98" w:rsidP="000A6843">
            <w:pPr>
              <w:pStyle w:val="ListParagraph"/>
              <w:numPr>
                <w:ilvl w:val="0"/>
                <w:numId w:val="18"/>
              </w:numPr>
              <w:spacing w:after="0" w:line="240" w:lineRule="auto"/>
              <w:contextualSpacing w:val="0"/>
              <w:rPr>
                <w:rFonts w:ascii="Times New Roman" w:hAnsi="Times New Roman" w:cs="Times New Roman"/>
                <w:noProof/>
                <w:sz w:val="20"/>
              </w:rPr>
            </w:pPr>
            <w:r w:rsidRPr="00CE39FB">
              <w:rPr>
                <w:rFonts w:ascii="Times New Roman" w:hAnsi="Times New Roman" w:cs="Times New Roman"/>
                <w:noProof/>
                <w:sz w:val="20"/>
              </w:rPr>
              <w:t>determining preparedness actions according to risk assessments (art 11)</w:t>
            </w:r>
          </w:p>
          <w:p w14:paraId="51864EC4" w14:textId="77777777" w:rsidR="002F7E98" w:rsidRPr="00CE39FB" w:rsidRDefault="6226D55D" w:rsidP="000A6843">
            <w:pPr>
              <w:pStyle w:val="ListParagraph"/>
              <w:numPr>
                <w:ilvl w:val="0"/>
                <w:numId w:val="18"/>
              </w:numPr>
              <w:spacing w:after="0" w:line="240" w:lineRule="auto"/>
              <w:rPr>
                <w:rFonts w:ascii="Times New Roman" w:hAnsi="Times New Roman" w:cs="Times New Roman"/>
                <w:noProof/>
                <w:sz w:val="20"/>
                <w:szCs w:val="20"/>
              </w:rPr>
            </w:pPr>
            <w:r w:rsidRPr="00CE39FB">
              <w:rPr>
                <w:rFonts w:ascii="Times New Roman" w:hAnsi="Times New Roman" w:cs="Times New Roman"/>
                <w:noProof/>
                <w:sz w:val="20"/>
                <w:szCs w:val="20"/>
              </w:rPr>
              <w:t xml:space="preserve"> Elaborating potential Implementing Acts (two for SOCs and two for the Cybersecurity Emergency Mechanism)  </w:t>
            </w:r>
          </w:p>
          <w:p w14:paraId="2888A8D2" w14:textId="77777777" w:rsidR="002F7E98" w:rsidRPr="00CE39FB" w:rsidRDefault="6226D55D" w:rsidP="000A6843">
            <w:pPr>
              <w:pStyle w:val="ListParagraph"/>
              <w:numPr>
                <w:ilvl w:val="0"/>
                <w:numId w:val="18"/>
              </w:numPr>
              <w:spacing w:after="0" w:line="240" w:lineRule="auto"/>
              <w:contextualSpacing w:val="0"/>
              <w:rPr>
                <w:rFonts w:ascii="Times New Roman" w:eastAsia="Times New Roman" w:hAnsi="Times New Roman" w:cs="Times New Roman"/>
                <w:noProof/>
                <w:sz w:val="20"/>
                <w:szCs w:val="20"/>
              </w:rPr>
            </w:pPr>
            <w:r w:rsidRPr="00CE39FB">
              <w:rPr>
                <w:rFonts w:ascii="Times New Roman" w:eastAsia="Times New Roman" w:hAnsi="Times New Roman" w:cs="Times New Roman"/>
                <w:noProof/>
                <w:sz w:val="20"/>
                <w:szCs w:val="20"/>
              </w:rPr>
              <w:t xml:space="preserve">Managing the Hosting and Usage Agreements for SOCs;   </w:t>
            </w:r>
          </w:p>
          <w:p w14:paraId="1DC13E2F" w14:textId="77777777" w:rsidR="002F7E98" w:rsidRPr="00CE39FB" w:rsidRDefault="6226D55D" w:rsidP="000A6843">
            <w:pPr>
              <w:pStyle w:val="ListParagraph"/>
              <w:numPr>
                <w:ilvl w:val="0"/>
                <w:numId w:val="18"/>
              </w:numPr>
              <w:spacing w:after="0" w:line="240" w:lineRule="auto"/>
              <w:contextualSpacing w:val="0"/>
              <w:rPr>
                <w:rFonts w:ascii="Times New Roman" w:eastAsia="Times New Roman" w:hAnsi="Times New Roman" w:cs="Times New Roman"/>
                <w:noProof/>
                <w:sz w:val="20"/>
                <w:szCs w:val="20"/>
              </w:rPr>
            </w:pPr>
            <w:r w:rsidRPr="00CE39FB">
              <w:rPr>
                <w:rFonts w:ascii="Times New Roman" w:eastAsia="Times New Roman" w:hAnsi="Times New Roman" w:cs="Times New Roman"/>
                <w:noProof/>
                <w:sz w:val="20"/>
                <w:szCs w:val="20"/>
              </w:rPr>
              <w:t>Establishing and managing the EU Cybersecurity Reserve, directly or via a contribution agreement to ENISA.</w:t>
            </w:r>
          </w:p>
        </w:tc>
      </w:tr>
      <w:tr w:rsidR="00CE39FB" w:rsidRPr="00CE39FB" w14:paraId="40E44D7D" w14:textId="77777777">
        <w:tc>
          <w:tcPr>
            <w:tcW w:w="3240" w:type="dxa"/>
          </w:tcPr>
          <w:p w14:paraId="29356491" w14:textId="77777777" w:rsidR="002F7E98" w:rsidRPr="00CE39FB" w:rsidRDefault="002F7E98">
            <w:pPr>
              <w:spacing w:before="60" w:after="60"/>
              <w:rPr>
                <w:noProof/>
                <w:sz w:val="20"/>
              </w:rPr>
            </w:pPr>
            <w:r w:rsidRPr="00CE39FB">
              <w:rPr>
                <w:noProof/>
                <w:sz w:val="20"/>
              </w:rPr>
              <w:t>External staff</w:t>
            </w:r>
          </w:p>
        </w:tc>
        <w:tc>
          <w:tcPr>
            <w:tcW w:w="7200" w:type="dxa"/>
          </w:tcPr>
          <w:p w14:paraId="005FEA9E" w14:textId="77777777" w:rsidR="002F7E98" w:rsidRPr="00CE39FB" w:rsidRDefault="002F7E98">
            <w:pPr>
              <w:rPr>
                <w:noProof/>
                <w:sz w:val="20"/>
              </w:rPr>
            </w:pPr>
            <w:r w:rsidRPr="00CE39FB">
              <w:rPr>
                <w:noProof/>
                <w:sz w:val="20"/>
              </w:rPr>
              <w:t>Under the supervision of an official,</w:t>
            </w:r>
          </w:p>
          <w:p w14:paraId="7AB85E00" w14:textId="77777777" w:rsidR="002F7E98" w:rsidRPr="00CE39FB" w:rsidRDefault="002F7E98" w:rsidP="000A6843">
            <w:pPr>
              <w:pStyle w:val="ListParagraph"/>
              <w:numPr>
                <w:ilvl w:val="0"/>
                <w:numId w:val="17"/>
              </w:numPr>
              <w:spacing w:after="0" w:line="240" w:lineRule="auto"/>
              <w:contextualSpacing w:val="0"/>
              <w:rPr>
                <w:rFonts w:ascii="Times New Roman" w:hAnsi="Times New Roman" w:cs="Times New Roman"/>
                <w:noProof/>
                <w:sz w:val="20"/>
              </w:rPr>
            </w:pPr>
            <w:r w:rsidRPr="00CE39FB">
              <w:rPr>
                <w:rFonts w:ascii="Times New Roman" w:hAnsi="Times New Roman" w:cs="Times New Roman"/>
                <w:noProof/>
                <w:sz w:val="20"/>
              </w:rPr>
              <w:t>determining preparedness actions according to risk assessments (art 11)</w:t>
            </w:r>
          </w:p>
          <w:p w14:paraId="0DFB2575" w14:textId="77777777" w:rsidR="002F7E98" w:rsidRPr="00CE39FB" w:rsidRDefault="6AC5CDB9" w:rsidP="000A6843">
            <w:pPr>
              <w:pStyle w:val="ListParagraph"/>
              <w:numPr>
                <w:ilvl w:val="0"/>
                <w:numId w:val="17"/>
              </w:numPr>
              <w:spacing w:after="0" w:line="240" w:lineRule="auto"/>
              <w:rPr>
                <w:rFonts w:ascii="Times New Roman" w:eastAsia="Times New Roman" w:hAnsi="Times New Roman" w:cs="Times New Roman"/>
                <w:noProof/>
                <w:sz w:val="20"/>
                <w:szCs w:val="20"/>
              </w:rPr>
            </w:pPr>
            <w:r w:rsidRPr="00CE39FB">
              <w:rPr>
                <w:rFonts w:ascii="Times New Roman" w:hAnsi="Times New Roman" w:cs="Times New Roman"/>
                <w:noProof/>
                <w:sz w:val="20"/>
                <w:szCs w:val="20"/>
              </w:rPr>
              <w:t xml:space="preserve"> Elaborating potential Implementing Acts (two for SOCs </w:t>
            </w:r>
            <w:r w:rsidRPr="00CE39FB">
              <w:rPr>
                <w:rFonts w:ascii="Times New Roman" w:eastAsia="Times New Roman" w:hAnsi="Times New Roman" w:cs="Times New Roman"/>
                <w:noProof/>
                <w:sz w:val="20"/>
                <w:szCs w:val="20"/>
              </w:rPr>
              <w:t xml:space="preserve">and two for the Cybersecurity Emergency Mechanism) </w:t>
            </w:r>
          </w:p>
          <w:p w14:paraId="76D8BA50" w14:textId="77777777" w:rsidR="002F7E98" w:rsidRPr="00CE39FB" w:rsidRDefault="6AC5CDB9" w:rsidP="000A6843">
            <w:pPr>
              <w:pStyle w:val="ListParagraph"/>
              <w:numPr>
                <w:ilvl w:val="0"/>
                <w:numId w:val="17"/>
              </w:numPr>
              <w:spacing w:after="0" w:line="240" w:lineRule="auto"/>
              <w:contextualSpacing w:val="0"/>
              <w:rPr>
                <w:rFonts w:ascii="Times New Roman" w:eastAsia="Times New Roman" w:hAnsi="Times New Roman" w:cs="Times New Roman"/>
                <w:noProof/>
                <w:sz w:val="20"/>
                <w:szCs w:val="20"/>
              </w:rPr>
            </w:pPr>
            <w:r w:rsidRPr="00CE39FB">
              <w:rPr>
                <w:rFonts w:ascii="Times New Roman" w:eastAsia="Times New Roman" w:hAnsi="Times New Roman" w:cs="Times New Roman"/>
                <w:noProof/>
                <w:sz w:val="20"/>
                <w:szCs w:val="20"/>
              </w:rPr>
              <w:t xml:space="preserve">Managing the Hosting and Usage Agreements for SOCs;  </w:t>
            </w:r>
          </w:p>
          <w:p w14:paraId="737093D5" w14:textId="77777777" w:rsidR="002F7E98" w:rsidRPr="00CE39FB" w:rsidRDefault="6AC5CDB9" w:rsidP="000A6843">
            <w:pPr>
              <w:pStyle w:val="ListParagraph"/>
              <w:numPr>
                <w:ilvl w:val="0"/>
                <w:numId w:val="17"/>
              </w:numPr>
              <w:spacing w:after="0" w:line="240" w:lineRule="auto"/>
              <w:contextualSpacing w:val="0"/>
              <w:rPr>
                <w:rFonts w:ascii="Times New Roman" w:eastAsia="Times New Roman" w:hAnsi="Times New Roman" w:cs="Times New Roman"/>
                <w:noProof/>
                <w:sz w:val="20"/>
                <w:szCs w:val="20"/>
              </w:rPr>
            </w:pPr>
            <w:r w:rsidRPr="00CE39FB">
              <w:rPr>
                <w:rFonts w:ascii="Times New Roman" w:eastAsia="Times New Roman" w:hAnsi="Times New Roman" w:cs="Times New Roman"/>
                <w:noProof/>
                <w:sz w:val="20"/>
                <w:szCs w:val="20"/>
              </w:rPr>
              <w:t>Establishing and managing the EU Cybersecurity Reserve, directly or via a contribution agreement to ENISA.</w:t>
            </w:r>
          </w:p>
        </w:tc>
      </w:tr>
    </w:tbl>
    <w:p w14:paraId="117D78AC" w14:textId="77777777" w:rsidR="004770F6" w:rsidRPr="00CE39FB" w:rsidRDefault="004770F6">
      <w:pPr>
        <w:rPr>
          <w:noProof/>
        </w:rPr>
        <w:sectPr w:rsidR="004770F6" w:rsidRPr="00CE39FB" w:rsidSect="00E17AC8">
          <w:pgSz w:w="11907" w:h="16840"/>
          <w:pgMar w:top="1134" w:right="1418" w:bottom="1134" w:left="1418" w:header="709" w:footer="709" w:gutter="0"/>
          <w:cols w:space="708"/>
          <w:docGrid w:linePitch="360"/>
        </w:sectPr>
      </w:pPr>
    </w:p>
    <w:p w14:paraId="158B242C" w14:textId="77777777" w:rsidR="004770F6" w:rsidRPr="00CE39FB" w:rsidRDefault="004770F6">
      <w:pPr>
        <w:pStyle w:val="ManualHeading3"/>
        <w:rPr>
          <w:noProof/>
        </w:rPr>
      </w:pPr>
      <w:bookmarkStart w:id="77" w:name="_Toc514938056"/>
      <w:bookmarkStart w:id="78" w:name="_Toc520485055"/>
      <w:r w:rsidRPr="00CE39FB">
        <w:rPr>
          <w:noProof/>
        </w:rPr>
        <w:t>3.2.4.</w:t>
      </w:r>
      <w:r w:rsidRPr="00CE39FB">
        <w:rPr>
          <w:noProof/>
        </w:rPr>
        <w:tab/>
        <w:t>Compatibility with the current multiannual financial framework</w:t>
      </w:r>
      <w:bookmarkEnd w:id="77"/>
      <w:bookmarkEnd w:id="78"/>
      <w:r w:rsidRPr="00CE39FB">
        <w:rPr>
          <w:noProof/>
        </w:rPr>
        <w:t xml:space="preserve"> </w:t>
      </w:r>
    </w:p>
    <w:p w14:paraId="15F75C9E" w14:textId="77777777" w:rsidR="004770F6" w:rsidRPr="00CE39FB" w:rsidRDefault="004770F6">
      <w:pPr>
        <w:pStyle w:val="Text1"/>
        <w:rPr>
          <w:noProof/>
        </w:rPr>
      </w:pPr>
      <w:r w:rsidRPr="00CE39FB">
        <w:rPr>
          <w:noProof/>
        </w:rPr>
        <w:t>The proposal/initiative:</w:t>
      </w:r>
    </w:p>
    <w:p w14:paraId="4DA8C874" w14:textId="77777777" w:rsidR="004770F6" w:rsidRPr="00CE39FB" w:rsidRDefault="005B62E2" w:rsidP="000A6843">
      <w:pPr>
        <w:pStyle w:val="ListDash1"/>
        <w:rPr>
          <w:noProof/>
        </w:rPr>
      </w:pPr>
      <w:r w:rsidRPr="00CE39FB">
        <w:rPr>
          <w:noProof/>
          <w:bdr w:val="single" w:sz="4" w:space="0" w:color="auto"/>
        </w:rPr>
        <w:t>X</w:t>
      </w:r>
      <w:r w:rsidR="004770F6" w:rsidRPr="00CE39FB">
        <w:rPr>
          <w:noProof/>
        </w:rPr>
        <w:tab/>
        <w:t>can be fully financed through redeployment within the relevant heading of the Multiannual Financial Framework (MFF).</w:t>
      </w:r>
    </w:p>
    <w:p w14:paraId="5F1EE6AD" w14:textId="77777777" w:rsidR="004770F6" w:rsidRPr="00CE39FB" w:rsidRDefault="004770F6">
      <w:pPr>
        <w:pStyle w:val="Text1"/>
        <w:pBdr>
          <w:top w:val="single" w:sz="4" w:space="1" w:color="auto"/>
          <w:left w:val="single" w:sz="4" w:space="4" w:color="auto"/>
          <w:bottom w:val="single" w:sz="4" w:space="1" w:color="auto"/>
          <w:right w:val="single" w:sz="4" w:space="4" w:color="auto"/>
        </w:pBdr>
        <w:rPr>
          <w:noProof/>
          <w:sz w:val="20"/>
        </w:rPr>
      </w:pPr>
      <w:r w:rsidRPr="00CE39FB">
        <w:rPr>
          <w:noProof/>
          <w:sz w:val="20"/>
        </w:rPr>
        <w:t>Explain what reprogramming is required, specifying the budget lines concerned and the corresponding amounts.</w:t>
      </w:r>
      <w:r w:rsidRPr="00CE39FB">
        <w:rPr>
          <w:noProof/>
        </w:rPr>
        <w:t xml:space="preserve"> </w:t>
      </w:r>
      <w:r w:rsidRPr="00CE39FB">
        <w:rPr>
          <w:noProof/>
          <w:sz w:val="20"/>
        </w:rPr>
        <w:t>Please provide an excel table in the case of major reprogramming.</w:t>
      </w:r>
    </w:p>
    <w:p w14:paraId="3F846133" w14:textId="77777777" w:rsidR="00A536F1" w:rsidRPr="00CE39FB" w:rsidRDefault="00EF783E" w:rsidP="00A2054A">
      <w:pPr>
        <w:rPr>
          <w:noProof/>
        </w:rPr>
      </w:pPr>
      <w:r w:rsidRPr="008D6611">
        <w:rPr>
          <w:noProof/>
          <w:lang w:eastAsia="en-GB"/>
        </w:rPr>
        <w:drawing>
          <wp:inline distT="0" distB="0" distL="0" distR="0" wp14:anchorId="2EEB511B" wp14:editId="149353D9">
            <wp:extent cx="5761355" cy="2977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1355" cy="2977515"/>
                    </a:xfrm>
                    <a:prstGeom prst="rect">
                      <a:avLst/>
                    </a:prstGeom>
                    <a:noFill/>
                    <a:ln>
                      <a:noFill/>
                    </a:ln>
                  </pic:spPr>
                </pic:pic>
              </a:graphicData>
            </a:graphic>
          </wp:inline>
        </w:drawing>
      </w:r>
    </w:p>
    <w:p w14:paraId="5491C003" w14:textId="77777777" w:rsidR="004770F6" w:rsidRPr="00CE39FB" w:rsidRDefault="004770F6" w:rsidP="000A6843">
      <w:pPr>
        <w:pStyle w:val="ListDash1"/>
        <w:rPr>
          <w:noProof/>
        </w:rPr>
      </w:pPr>
      <w:r w:rsidRPr="00CE39FB">
        <w:rPr>
          <w:rFonts w:ascii="Wingdings" w:eastAsia="Wingdings" w:hAnsi="Wingdings" w:cs="Wingdings"/>
          <w:noProof/>
        </w:rPr>
        <w:t></w:t>
      </w:r>
      <w:r w:rsidRPr="00CE39FB">
        <w:rPr>
          <w:noProof/>
        </w:rPr>
        <w:tab/>
        <w:t>requires use of the unallocated margin under the relevant heading of the MFF and/or use of the special instruments as defined in the MFF Regulation.</w:t>
      </w:r>
    </w:p>
    <w:p w14:paraId="76800ECD" w14:textId="77777777" w:rsidR="004770F6" w:rsidRPr="00CE39FB" w:rsidRDefault="004770F6">
      <w:pPr>
        <w:pStyle w:val="Text1"/>
        <w:pBdr>
          <w:top w:val="single" w:sz="4" w:space="1" w:color="auto"/>
          <w:left w:val="single" w:sz="4" w:space="4" w:color="auto"/>
          <w:bottom w:val="single" w:sz="4" w:space="1" w:color="auto"/>
          <w:right w:val="single" w:sz="4" w:space="4" w:color="auto"/>
        </w:pBdr>
        <w:rPr>
          <w:noProof/>
          <w:sz w:val="20"/>
        </w:rPr>
      </w:pPr>
      <w:r w:rsidRPr="00CE39FB">
        <w:rPr>
          <w:noProof/>
          <w:sz w:val="20"/>
        </w:rPr>
        <w:t>Explain what is required, specifying the headings and budget lines concerned, the corresponding amounts, and the instruments proposed to be used.</w:t>
      </w:r>
    </w:p>
    <w:p w14:paraId="29C4B4E7" w14:textId="77777777" w:rsidR="004770F6" w:rsidRPr="00CE39FB" w:rsidRDefault="004770F6" w:rsidP="000A6843">
      <w:pPr>
        <w:pStyle w:val="ListDash1"/>
        <w:rPr>
          <w:noProof/>
        </w:rPr>
      </w:pPr>
      <w:r w:rsidRPr="00CE39FB">
        <w:rPr>
          <w:rFonts w:ascii="Wingdings" w:eastAsia="Wingdings" w:hAnsi="Wingdings" w:cs="Wingdings"/>
          <w:noProof/>
        </w:rPr>
        <w:t></w:t>
      </w:r>
      <w:r w:rsidRPr="00CE39FB">
        <w:rPr>
          <w:noProof/>
        </w:rPr>
        <w:tab/>
        <w:t>requires a revision of the MFF.</w:t>
      </w:r>
    </w:p>
    <w:p w14:paraId="7A5CC114" w14:textId="77777777" w:rsidR="004770F6" w:rsidRPr="00CE39FB" w:rsidRDefault="004770F6">
      <w:pPr>
        <w:pStyle w:val="Text1"/>
        <w:pBdr>
          <w:top w:val="single" w:sz="4" w:space="1" w:color="auto"/>
          <w:left w:val="single" w:sz="4" w:space="4" w:color="auto"/>
          <w:bottom w:val="single" w:sz="4" w:space="1" w:color="auto"/>
          <w:right w:val="single" w:sz="4" w:space="4" w:color="auto"/>
        </w:pBdr>
        <w:rPr>
          <w:noProof/>
          <w:sz w:val="20"/>
        </w:rPr>
      </w:pPr>
      <w:r w:rsidRPr="00CE39FB">
        <w:rPr>
          <w:noProof/>
          <w:sz w:val="20"/>
        </w:rPr>
        <w:t>Explain what is required, specifying the headings and budget lines concerned and the corresponding amounts.</w:t>
      </w:r>
    </w:p>
    <w:p w14:paraId="53682130" w14:textId="77777777" w:rsidR="004770F6" w:rsidRPr="00CE39FB" w:rsidRDefault="004770F6">
      <w:pPr>
        <w:pStyle w:val="ManualHeading3"/>
        <w:rPr>
          <w:bCs/>
          <w:noProof/>
          <w:szCs w:val="24"/>
        </w:rPr>
      </w:pPr>
      <w:bookmarkStart w:id="79" w:name="_Toc514938058"/>
      <w:bookmarkStart w:id="80" w:name="_Toc520485056"/>
      <w:r w:rsidRPr="00CE39FB">
        <w:rPr>
          <w:noProof/>
        </w:rPr>
        <w:t>3.2.5.</w:t>
      </w:r>
      <w:r w:rsidRPr="00CE39FB">
        <w:rPr>
          <w:noProof/>
        </w:rPr>
        <w:tab/>
        <w:t>Third-party contributions</w:t>
      </w:r>
      <w:bookmarkEnd w:id="79"/>
      <w:bookmarkEnd w:id="80"/>
      <w:r w:rsidRPr="00CE39FB">
        <w:rPr>
          <w:noProof/>
        </w:rPr>
        <w:t xml:space="preserve"> </w:t>
      </w:r>
    </w:p>
    <w:p w14:paraId="5CCE1144" w14:textId="77777777" w:rsidR="004770F6" w:rsidRPr="00CE39FB" w:rsidRDefault="004770F6">
      <w:pPr>
        <w:pStyle w:val="Text1"/>
        <w:rPr>
          <w:noProof/>
        </w:rPr>
      </w:pPr>
      <w:r w:rsidRPr="00CE39FB">
        <w:rPr>
          <w:noProof/>
        </w:rPr>
        <w:t>The proposal/initiative:</w:t>
      </w:r>
    </w:p>
    <w:p w14:paraId="68794DF2" w14:textId="77777777" w:rsidR="004770F6" w:rsidRPr="00CE39FB" w:rsidRDefault="00C2262F" w:rsidP="000A6843">
      <w:pPr>
        <w:pStyle w:val="ListDash1"/>
        <w:rPr>
          <w:noProof/>
        </w:rPr>
      </w:pPr>
      <w:r w:rsidRPr="00CE39FB">
        <w:rPr>
          <w:noProof/>
          <w:bdr w:val="single" w:sz="4" w:space="0" w:color="auto"/>
        </w:rPr>
        <w:t>X</w:t>
      </w:r>
      <w:r w:rsidR="004770F6" w:rsidRPr="00CE39FB">
        <w:rPr>
          <w:noProof/>
        </w:rPr>
        <w:tab/>
        <w:t>does not provide for co-financing by third parties</w:t>
      </w:r>
    </w:p>
    <w:p w14:paraId="10B01A81" w14:textId="77777777" w:rsidR="004770F6" w:rsidRPr="00CE39FB" w:rsidRDefault="004770F6" w:rsidP="000A6843">
      <w:pPr>
        <w:pStyle w:val="ListDash1"/>
        <w:rPr>
          <w:noProof/>
        </w:rPr>
      </w:pPr>
      <w:r w:rsidRPr="00CE39FB">
        <w:rPr>
          <w:rFonts w:ascii="Wingdings" w:eastAsia="Wingdings" w:hAnsi="Wingdings" w:cs="Wingdings"/>
          <w:noProof/>
        </w:rPr>
        <w:t></w:t>
      </w:r>
      <w:r w:rsidRPr="00CE39FB">
        <w:rPr>
          <w:noProof/>
        </w:rPr>
        <w:tab/>
        <w:t>provides for the co-financing by third parties estimated below:</w:t>
      </w:r>
    </w:p>
    <w:p w14:paraId="4EF57551" w14:textId="77777777" w:rsidR="004770F6" w:rsidRPr="008D6611" w:rsidRDefault="004770F6">
      <w:pPr>
        <w:jc w:val="right"/>
        <w:rPr>
          <w:noProof/>
          <w:sz w:val="20"/>
        </w:rPr>
      </w:pPr>
      <w:r w:rsidRPr="008D6611">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CE39FB" w:rsidRPr="00CE39FB" w14:paraId="6694F8AF" w14:textId="77777777" w:rsidTr="59744C64">
        <w:trPr>
          <w:cantSplit/>
        </w:trPr>
        <w:tc>
          <w:tcPr>
            <w:tcW w:w="2340" w:type="dxa"/>
          </w:tcPr>
          <w:p w14:paraId="39A295F1" w14:textId="77777777" w:rsidR="004770F6" w:rsidRPr="008D6611" w:rsidRDefault="004770F6">
            <w:pPr>
              <w:spacing w:before="60" w:after="60"/>
              <w:rPr>
                <w:noProof/>
                <w:sz w:val="20"/>
              </w:rPr>
            </w:pPr>
          </w:p>
        </w:tc>
        <w:tc>
          <w:tcPr>
            <w:tcW w:w="964" w:type="dxa"/>
            <w:vAlign w:val="center"/>
          </w:tcPr>
          <w:p w14:paraId="2D5F1F82" w14:textId="77777777" w:rsidR="004770F6" w:rsidRPr="00CE39FB" w:rsidRDefault="004770F6">
            <w:pPr>
              <w:jc w:val="center"/>
              <w:rPr>
                <w:noProof/>
                <w:sz w:val="20"/>
              </w:rPr>
            </w:pPr>
            <w:r w:rsidRPr="00CE39FB">
              <w:rPr>
                <w:noProof/>
                <w:sz w:val="20"/>
                <w:szCs w:val="20"/>
              </w:rPr>
              <w:t>Year</w:t>
            </w:r>
            <w:r w:rsidRPr="00CE39FB">
              <w:rPr>
                <w:noProof/>
                <w:sz w:val="22"/>
              </w:rPr>
              <w:br/>
            </w:r>
            <w:r w:rsidRPr="00CE39FB">
              <w:rPr>
                <w:b/>
                <w:bCs/>
                <w:noProof/>
                <w:sz w:val="20"/>
                <w:szCs w:val="20"/>
              </w:rPr>
              <w:t>N</w:t>
            </w:r>
            <w:r w:rsidRPr="00CE39FB">
              <w:rPr>
                <w:rStyle w:val="FootnoteReference"/>
                <w:b/>
                <w:bCs/>
                <w:noProof/>
                <w:sz w:val="20"/>
                <w:szCs w:val="20"/>
              </w:rPr>
              <w:footnoteReference w:id="47"/>
            </w:r>
          </w:p>
        </w:tc>
        <w:tc>
          <w:tcPr>
            <w:tcW w:w="964" w:type="dxa"/>
            <w:vAlign w:val="center"/>
          </w:tcPr>
          <w:p w14:paraId="354899B7" w14:textId="77777777" w:rsidR="004770F6" w:rsidRPr="00CE39FB" w:rsidRDefault="004770F6">
            <w:pPr>
              <w:jc w:val="center"/>
              <w:rPr>
                <w:noProof/>
                <w:sz w:val="20"/>
              </w:rPr>
            </w:pPr>
            <w:r w:rsidRPr="00CE39FB">
              <w:rPr>
                <w:noProof/>
                <w:sz w:val="20"/>
              </w:rPr>
              <w:t>Year</w:t>
            </w:r>
            <w:r w:rsidRPr="00CE39FB">
              <w:rPr>
                <w:noProof/>
                <w:sz w:val="22"/>
              </w:rPr>
              <w:br/>
            </w:r>
            <w:r w:rsidRPr="00CE39FB">
              <w:rPr>
                <w:b/>
                <w:noProof/>
                <w:sz w:val="20"/>
              </w:rPr>
              <w:t>N+1</w:t>
            </w:r>
          </w:p>
        </w:tc>
        <w:tc>
          <w:tcPr>
            <w:tcW w:w="964" w:type="dxa"/>
            <w:vAlign w:val="center"/>
          </w:tcPr>
          <w:p w14:paraId="3D3DD301" w14:textId="77777777" w:rsidR="004770F6" w:rsidRPr="00CE39FB" w:rsidRDefault="004770F6">
            <w:pPr>
              <w:jc w:val="center"/>
              <w:rPr>
                <w:noProof/>
                <w:sz w:val="20"/>
              </w:rPr>
            </w:pPr>
            <w:r w:rsidRPr="00CE39FB">
              <w:rPr>
                <w:noProof/>
                <w:sz w:val="20"/>
              </w:rPr>
              <w:t>Year</w:t>
            </w:r>
            <w:r w:rsidRPr="00CE39FB">
              <w:rPr>
                <w:noProof/>
                <w:sz w:val="22"/>
              </w:rPr>
              <w:br/>
            </w:r>
            <w:r w:rsidRPr="00CE39FB">
              <w:rPr>
                <w:b/>
                <w:noProof/>
                <w:sz w:val="20"/>
              </w:rPr>
              <w:t>N+2</w:t>
            </w:r>
          </w:p>
        </w:tc>
        <w:tc>
          <w:tcPr>
            <w:tcW w:w="964" w:type="dxa"/>
            <w:vAlign w:val="center"/>
          </w:tcPr>
          <w:p w14:paraId="07D498D2" w14:textId="77777777" w:rsidR="004770F6" w:rsidRPr="00CE39FB" w:rsidRDefault="004770F6">
            <w:pPr>
              <w:jc w:val="center"/>
              <w:rPr>
                <w:noProof/>
                <w:sz w:val="20"/>
              </w:rPr>
            </w:pPr>
            <w:r w:rsidRPr="00CE39FB">
              <w:rPr>
                <w:noProof/>
                <w:sz w:val="20"/>
              </w:rPr>
              <w:t>Year</w:t>
            </w:r>
            <w:r w:rsidRPr="00CE39FB">
              <w:rPr>
                <w:noProof/>
                <w:sz w:val="22"/>
              </w:rPr>
              <w:br/>
            </w:r>
            <w:r w:rsidRPr="00CE39FB">
              <w:rPr>
                <w:b/>
                <w:noProof/>
                <w:sz w:val="20"/>
              </w:rPr>
              <w:t>N+3</w:t>
            </w:r>
          </w:p>
        </w:tc>
        <w:tc>
          <w:tcPr>
            <w:tcW w:w="2892" w:type="dxa"/>
            <w:gridSpan w:val="3"/>
            <w:vAlign w:val="center"/>
          </w:tcPr>
          <w:p w14:paraId="01F76066" w14:textId="77777777" w:rsidR="004770F6" w:rsidRPr="008D6611" w:rsidRDefault="004770F6">
            <w:pPr>
              <w:jc w:val="center"/>
              <w:rPr>
                <w:b/>
                <w:noProof/>
                <w:sz w:val="20"/>
              </w:rPr>
            </w:pPr>
            <w:r w:rsidRPr="008D6611">
              <w:rPr>
                <w:noProof/>
                <w:sz w:val="20"/>
              </w:rPr>
              <w:t>Enter as many years as necessary to show the duration of the impact (see point 1.6)</w:t>
            </w:r>
          </w:p>
        </w:tc>
        <w:tc>
          <w:tcPr>
            <w:tcW w:w="1158" w:type="dxa"/>
            <w:vAlign w:val="center"/>
          </w:tcPr>
          <w:p w14:paraId="0A39CDB3" w14:textId="77777777" w:rsidR="004770F6" w:rsidRPr="00CE39FB" w:rsidRDefault="004770F6">
            <w:pPr>
              <w:spacing w:before="60" w:after="60"/>
              <w:jc w:val="center"/>
              <w:rPr>
                <w:noProof/>
                <w:sz w:val="20"/>
              </w:rPr>
            </w:pPr>
            <w:r w:rsidRPr="00CE39FB">
              <w:rPr>
                <w:noProof/>
                <w:sz w:val="20"/>
              </w:rPr>
              <w:t>Total</w:t>
            </w:r>
          </w:p>
        </w:tc>
      </w:tr>
      <w:tr w:rsidR="00CE39FB" w:rsidRPr="00CE39FB" w14:paraId="4F3F19BC" w14:textId="77777777" w:rsidTr="59744C64">
        <w:trPr>
          <w:cantSplit/>
        </w:trPr>
        <w:tc>
          <w:tcPr>
            <w:tcW w:w="2340" w:type="dxa"/>
          </w:tcPr>
          <w:p w14:paraId="7C154C4B" w14:textId="77777777" w:rsidR="004770F6" w:rsidRPr="008D6611" w:rsidRDefault="004770F6">
            <w:pPr>
              <w:rPr>
                <w:noProof/>
              </w:rPr>
            </w:pPr>
            <w:r w:rsidRPr="008D6611">
              <w:rPr>
                <w:noProof/>
                <w:sz w:val="20"/>
              </w:rPr>
              <w:t>Specify the co-financing body</w:t>
            </w:r>
            <w:r w:rsidRPr="008D6611">
              <w:rPr>
                <w:i/>
                <w:noProof/>
                <w:sz w:val="20"/>
              </w:rPr>
              <w:t xml:space="preserve"> </w:t>
            </w:r>
          </w:p>
        </w:tc>
        <w:tc>
          <w:tcPr>
            <w:tcW w:w="964" w:type="dxa"/>
            <w:vAlign w:val="center"/>
          </w:tcPr>
          <w:p w14:paraId="581CDE64" w14:textId="77777777" w:rsidR="004770F6" w:rsidRPr="008D6611" w:rsidRDefault="004770F6">
            <w:pPr>
              <w:spacing w:before="60" w:after="60"/>
              <w:jc w:val="center"/>
              <w:rPr>
                <w:noProof/>
                <w:sz w:val="20"/>
              </w:rPr>
            </w:pPr>
          </w:p>
        </w:tc>
        <w:tc>
          <w:tcPr>
            <w:tcW w:w="964" w:type="dxa"/>
            <w:vAlign w:val="center"/>
          </w:tcPr>
          <w:p w14:paraId="668C99FD" w14:textId="77777777" w:rsidR="004770F6" w:rsidRPr="008D6611" w:rsidRDefault="004770F6">
            <w:pPr>
              <w:spacing w:before="60" w:after="60"/>
              <w:jc w:val="center"/>
              <w:rPr>
                <w:noProof/>
                <w:sz w:val="20"/>
              </w:rPr>
            </w:pPr>
          </w:p>
        </w:tc>
        <w:tc>
          <w:tcPr>
            <w:tcW w:w="964" w:type="dxa"/>
            <w:vAlign w:val="center"/>
          </w:tcPr>
          <w:p w14:paraId="3AFC5BD2" w14:textId="77777777" w:rsidR="004770F6" w:rsidRPr="008D6611" w:rsidRDefault="004770F6">
            <w:pPr>
              <w:spacing w:before="60" w:after="60"/>
              <w:jc w:val="center"/>
              <w:rPr>
                <w:noProof/>
                <w:sz w:val="20"/>
              </w:rPr>
            </w:pPr>
          </w:p>
        </w:tc>
        <w:tc>
          <w:tcPr>
            <w:tcW w:w="964" w:type="dxa"/>
            <w:vAlign w:val="center"/>
          </w:tcPr>
          <w:p w14:paraId="7E5B6A1E" w14:textId="77777777" w:rsidR="004770F6" w:rsidRPr="008D6611" w:rsidRDefault="004770F6">
            <w:pPr>
              <w:spacing w:before="60" w:after="60"/>
              <w:jc w:val="center"/>
              <w:rPr>
                <w:noProof/>
                <w:sz w:val="20"/>
              </w:rPr>
            </w:pPr>
          </w:p>
        </w:tc>
        <w:tc>
          <w:tcPr>
            <w:tcW w:w="964" w:type="dxa"/>
            <w:vAlign w:val="center"/>
          </w:tcPr>
          <w:p w14:paraId="1402F125" w14:textId="77777777" w:rsidR="004770F6" w:rsidRPr="008D6611" w:rsidRDefault="004770F6">
            <w:pPr>
              <w:spacing w:before="60" w:after="60"/>
              <w:jc w:val="center"/>
              <w:rPr>
                <w:noProof/>
                <w:sz w:val="20"/>
              </w:rPr>
            </w:pPr>
          </w:p>
        </w:tc>
        <w:tc>
          <w:tcPr>
            <w:tcW w:w="964" w:type="dxa"/>
            <w:vAlign w:val="center"/>
          </w:tcPr>
          <w:p w14:paraId="4FE9CFD0" w14:textId="77777777" w:rsidR="004770F6" w:rsidRPr="008D6611" w:rsidRDefault="004770F6">
            <w:pPr>
              <w:spacing w:before="60" w:after="60"/>
              <w:jc w:val="center"/>
              <w:rPr>
                <w:noProof/>
                <w:sz w:val="20"/>
              </w:rPr>
            </w:pPr>
          </w:p>
        </w:tc>
        <w:tc>
          <w:tcPr>
            <w:tcW w:w="964" w:type="dxa"/>
            <w:vAlign w:val="center"/>
          </w:tcPr>
          <w:p w14:paraId="57D64151" w14:textId="77777777" w:rsidR="004770F6" w:rsidRPr="008D6611" w:rsidRDefault="004770F6">
            <w:pPr>
              <w:spacing w:before="60" w:after="60"/>
              <w:jc w:val="center"/>
              <w:rPr>
                <w:noProof/>
                <w:sz w:val="20"/>
              </w:rPr>
            </w:pPr>
          </w:p>
        </w:tc>
        <w:tc>
          <w:tcPr>
            <w:tcW w:w="1158" w:type="dxa"/>
            <w:vAlign w:val="center"/>
          </w:tcPr>
          <w:p w14:paraId="5194A9B3" w14:textId="77777777" w:rsidR="004770F6" w:rsidRPr="008D6611" w:rsidRDefault="004770F6">
            <w:pPr>
              <w:spacing w:before="60" w:after="60"/>
              <w:jc w:val="center"/>
              <w:rPr>
                <w:noProof/>
                <w:sz w:val="20"/>
              </w:rPr>
            </w:pPr>
          </w:p>
        </w:tc>
      </w:tr>
      <w:tr w:rsidR="00CE39FB" w:rsidRPr="00CE39FB" w14:paraId="1D56DA8A" w14:textId="77777777" w:rsidTr="59744C64">
        <w:trPr>
          <w:cantSplit/>
        </w:trPr>
        <w:tc>
          <w:tcPr>
            <w:tcW w:w="2340" w:type="dxa"/>
          </w:tcPr>
          <w:p w14:paraId="42CB15BE" w14:textId="77777777" w:rsidR="004770F6" w:rsidRPr="00CE39FB" w:rsidRDefault="004770F6">
            <w:pPr>
              <w:spacing w:before="60" w:after="60"/>
              <w:jc w:val="left"/>
              <w:rPr>
                <w:noProof/>
                <w:sz w:val="20"/>
              </w:rPr>
            </w:pPr>
            <w:r w:rsidRPr="00CE39FB">
              <w:rPr>
                <w:noProof/>
                <w:sz w:val="20"/>
              </w:rPr>
              <w:t xml:space="preserve">TOTAL appropriations co-financed </w:t>
            </w:r>
          </w:p>
        </w:tc>
        <w:tc>
          <w:tcPr>
            <w:tcW w:w="964" w:type="dxa"/>
            <w:vAlign w:val="center"/>
          </w:tcPr>
          <w:p w14:paraId="040DE8B4" w14:textId="77777777" w:rsidR="004770F6" w:rsidRPr="00CE39FB" w:rsidRDefault="004770F6">
            <w:pPr>
              <w:spacing w:before="60" w:after="60"/>
              <w:jc w:val="center"/>
              <w:rPr>
                <w:noProof/>
                <w:sz w:val="20"/>
              </w:rPr>
            </w:pPr>
          </w:p>
        </w:tc>
        <w:tc>
          <w:tcPr>
            <w:tcW w:w="964" w:type="dxa"/>
            <w:vAlign w:val="center"/>
          </w:tcPr>
          <w:p w14:paraId="24A4EA3B" w14:textId="77777777" w:rsidR="004770F6" w:rsidRPr="00CE39FB" w:rsidRDefault="004770F6">
            <w:pPr>
              <w:spacing w:before="60" w:after="60"/>
              <w:jc w:val="center"/>
              <w:rPr>
                <w:noProof/>
                <w:sz w:val="20"/>
              </w:rPr>
            </w:pPr>
          </w:p>
        </w:tc>
        <w:tc>
          <w:tcPr>
            <w:tcW w:w="964" w:type="dxa"/>
            <w:vAlign w:val="center"/>
          </w:tcPr>
          <w:p w14:paraId="65BA8CAF" w14:textId="77777777" w:rsidR="004770F6" w:rsidRPr="00CE39FB" w:rsidRDefault="004770F6">
            <w:pPr>
              <w:spacing w:before="60" w:after="60"/>
              <w:jc w:val="center"/>
              <w:rPr>
                <w:noProof/>
                <w:sz w:val="20"/>
              </w:rPr>
            </w:pPr>
          </w:p>
        </w:tc>
        <w:tc>
          <w:tcPr>
            <w:tcW w:w="964" w:type="dxa"/>
            <w:vAlign w:val="center"/>
          </w:tcPr>
          <w:p w14:paraId="40B3F8B4" w14:textId="77777777" w:rsidR="004770F6" w:rsidRPr="00CE39FB" w:rsidRDefault="004770F6">
            <w:pPr>
              <w:spacing w:before="60" w:after="60"/>
              <w:jc w:val="center"/>
              <w:rPr>
                <w:noProof/>
                <w:sz w:val="20"/>
              </w:rPr>
            </w:pPr>
          </w:p>
        </w:tc>
        <w:tc>
          <w:tcPr>
            <w:tcW w:w="964" w:type="dxa"/>
            <w:vAlign w:val="center"/>
          </w:tcPr>
          <w:p w14:paraId="5358F724" w14:textId="77777777" w:rsidR="004770F6" w:rsidRPr="00CE39FB" w:rsidRDefault="004770F6">
            <w:pPr>
              <w:spacing w:before="60" w:after="60"/>
              <w:jc w:val="center"/>
              <w:rPr>
                <w:noProof/>
                <w:sz w:val="20"/>
              </w:rPr>
            </w:pPr>
          </w:p>
        </w:tc>
        <w:tc>
          <w:tcPr>
            <w:tcW w:w="964" w:type="dxa"/>
            <w:vAlign w:val="center"/>
          </w:tcPr>
          <w:p w14:paraId="170E138C" w14:textId="77777777" w:rsidR="004770F6" w:rsidRPr="00CE39FB" w:rsidRDefault="004770F6">
            <w:pPr>
              <w:spacing w:before="60" w:after="60"/>
              <w:jc w:val="center"/>
              <w:rPr>
                <w:noProof/>
                <w:sz w:val="20"/>
              </w:rPr>
            </w:pPr>
          </w:p>
        </w:tc>
        <w:tc>
          <w:tcPr>
            <w:tcW w:w="964" w:type="dxa"/>
            <w:vAlign w:val="center"/>
          </w:tcPr>
          <w:p w14:paraId="121091D1" w14:textId="77777777" w:rsidR="004770F6" w:rsidRPr="00CE39FB" w:rsidRDefault="004770F6">
            <w:pPr>
              <w:spacing w:before="60" w:after="60"/>
              <w:jc w:val="center"/>
              <w:rPr>
                <w:noProof/>
                <w:sz w:val="20"/>
              </w:rPr>
            </w:pPr>
          </w:p>
        </w:tc>
        <w:tc>
          <w:tcPr>
            <w:tcW w:w="1158" w:type="dxa"/>
            <w:vAlign w:val="center"/>
          </w:tcPr>
          <w:p w14:paraId="20B6BBFF" w14:textId="77777777" w:rsidR="004770F6" w:rsidRPr="00CE39FB" w:rsidRDefault="004770F6">
            <w:pPr>
              <w:spacing w:before="60" w:after="60"/>
              <w:jc w:val="center"/>
              <w:rPr>
                <w:noProof/>
                <w:sz w:val="20"/>
              </w:rPr>
            </w:pPr>
          </w:p>
        </w:tc>
      </w:tr>
    </w:tbl>
    <w:p w14:paraId="280A9CC0" w14:textId="77777777" w:rsidR="004770F6" w:rsidRPr="00CE39FB" w:rsidRDefault="004770F6">
      <w:pPr>
        <w:rPr>
          <w:noProof/>
        </w:rPr>
      </w:pPr>
      <w:r w:rsidRPr="00CE39FB">
        <w:rPr>
          <w:noProof/>
        </w:rPr>
        <w:br/>
      </w:r>
    </w:p>
    <w:p w14:paraId="3A2C4991" w14:textId="77777777" w:rsidR="004770F6" w:rsidRPr="00CE39FB" w:rsidRDefault="004770F6">
      <w:pPr>
        <w:pStyle w:val="ManualHeading2"/>
        <w:rPr>
          <w:bCs/>
          <w:noProof/>
          <w:szCs w:val="24"/>
        </w:rPr>
      </w:pPr>
      <w:r w:rsidRPr="00CE39FB">
        <w:rPr>
          <w:noProof/>
        </w:rPr>
        <w:br w:type="page"/>
      </w:r>
      <w:bookmarkStart w:id="81" w:name="_Toc514938059"/>
      <w:bookmarkStart w:id="82" w:name="_Toc520485057"/>
      <w:r w:rsidRPr="00CE39FB">
        <w:rPr>
          <w:noProof/>
        </w:rPr>
        <w:t>3.3.</w:t>
      </w:r>
      <w:r w:rsidRPr="00CE39FB">
        <w:rPr>
          <w:noProof/>
        </w:rPr>
        <w:tab/>
        <w:t>Estimated impact on revenue</w:t>
      </w:r>
      <w:bookmarkEnd w:id="81"/>
      <w:bookmarkEnd w:id="82"/>
      <w:r w:rsidRPr="00CE39FB">
        <w:rPr>
          <w:noProof/>
        </w:rPr>
        <w:t xml:space="preserve"> </w:t>
      </w:r>
    </w:p>
    <w:p w14:paraId="500F1505" w14:textId="77777777" w:rsidR="004770F6" w:rsidRPr="00CE39FB" w:rsidRDefault="003D6B9C" w:rsidP="000A6843">
      <w:pPr>
        <w:pStyle w:val="ListDash1"/>
        <w:rPr>
          <w:noProof/>
        </w:rPr>
      </w:pPr>
      <w:r w:rsidRPr="00CE39FB">
        <w:rPr>
          <w:noProof/>
          <w:bdr w:val="single" w:sz="4" w:space="0" w:color="auto"/>
        </w:rPr>
        <w:t>X</w:t>
      </w:r>
      <w:r w:rsidR="004770F6" w:rsidRPr="00CE39FB">
        <w:rPr>
          <w:noProof/>
        </w:rPr>
        <w:tab/>
        <w:t>The proposal/initiative has no financial impact on revenue.</w:t>
      </w:r>
    </w:p>
    <w:p w14:paraId="6DA63662" w14:textId="77777777" w:rsidR="004770F6" w:rsidRPr="00CE39FB" w:rsidRDefault="004770F6" w:rsidP="000A6843">
      <w:pPr>
        <w:pStyle w:val="ListDash1"/>
        <w:rPr>
          <w:noProof/>
        </w:rPr>
      </w:pPr>
      <w:r w:rsidRPr="00CE39FB">
        <w:rPr>
          <w:rFonts w:ascii="Wingdings" w:eastAsia="Wingdings" w:hAnsi="Wingdings" w:cs="Wingdings"/>
          <w:noProof/>
        </w:rPr>
        <w:t></w:t>
      </w:r>
      <w:r w:rsidRPr="00CE39FB">
        <w:rPr>
          <w:noProof/>
        </w:rPr>
        <w:tab/>
        <w:t>The proposal/initiative has the following financial impact:</w:t>
      </w:r>
    </w:p>
    <w:p w14:paraId="1C813814" w14:textId="77777777" w:rsidR="004770F6" w:rsidRPr="00CE39FB" w:rsidRDefault="004770F6" w:rsidP="000A6843">
      <w:pPr>
        <w:pStyle w:val="ListNumberLevel3"/>
        <w:rPr>
          <w:noProof/>
        </w:rPr>
      </w:pPr>
      <w:r w:rsidRPr="00CE39FB">
        <w:rPr>
          <w:rFonts w:ascii="Wingdings" w:eastAsia="Wingdings" w:hAnsi="Wingdings" w:cs="Wingdings"/>
          <w:noProof/>
        </w:rPr>
        <w:t></w:t>
      </w:r>
      <w:r w:rsidRPr="00CE39FB">
        <w:rPr>
          <w:noProof/>
        </w:rPr>
        <w:tab/>
        <w:t xml:space="preserve">on own resources </w:t>
      </w:r>
    </w:p>
    <w:p w14:paraId="24510F17" w14:textId="77777777" w:rsidR="004770F6" w:rsidRPr="00CE39FB" w:rsidRDefault="004770F6" w:rsidP="000A6843">
      <w:pPr>
        <w:pStyle w:val="ListNumberLevel3"/>
        <w:rPr>
          <w:noProof/>
        </w:rPr>
      </w:pPr>
      <w:r w:rsidRPr="00CE39FB">
        <w:rPr>
          <w:rFonts w:ascii="Wingdings" w:eastAsia="Wingdings" w:hAnsi="Wingdings" w:cs="Wingdings"/>
          <w:noProof/>
        </w:rPr>
        <w:t></w:t>
      </w:r>
      <w:r w:rsidRPr="00CE39FB">
        <w:rPr>
          <w:noProof/>
        </w:rPr>
        <w:tab/>
        <w:t>on other revenue</w:t>
      </w:r>
    </w:p>
    <w:p w14:paraId="54BCA532" w14:textId="77777777" w:rsidR="004770F6" w:rsidRPr="00CE39FB" w:rsidRDefault="004770F6" w:rsidP="000A6843">
      <w:pPr>
        <w:pStyle w:val="ListNumberLevel3"/>
        <w:rPr>
          <w:noProof/>
        </w:rPr>
      </w:pPr>
      <w:r w:rsidRPr="00CE39FB">
        <w:rPr>
          <w:noProof/>
        </w:rPr>
        <w:t xml:space="preserve">please indicate, if the revenue is assigned to expenditure lines </w:t>
      </w:r>
      <w:r w:rsidRPr="00CE39FB">
        <w:rPr>
          <w:rFonts w:ascii="Wingdings" w:eastAsia="Wingdings" w:hAnsi="Wingdings" w:cs="Wingdings"/>
          <w:noProof/>
        </w:rPr>
        <w:t></w:t>
      </w:r>
      <w:r w:rsidRPr="00CE39FB">
        <w:rPr>
          <w:noProof/>
        </w:rPr>
        <w:tab/>
      </w:r>
    </w:p>
    <w:p w14:paraId="641A3FB6" w14:textId="77777777" w:rsidR="004770F6" w:rsidRPr="008D6611" w:rsidRDefault="004770F6">
      <w:pPr>
        <w:ind w:left="4320"/>
        <w:rPr>
          <w:i/>
          <w:noProof/>
          <w:sz w:val="20"/>
        </w:rPr>
      </w:pPr>
      <w:r w:rsidRPr="008D6611">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CE39FB" w:rsidRPr="00CE39FB" w14:paraId="6FE0FDC2" w14:textId="77777777" w:rsidTr="59744C64">
        <w:trPr>
          <w:trHeight w:val="388"/>
        </w:trPr>
        <w:tc>
          <w:tcPr>
            <w:tcW w:w="2144" w:type="dxa"/>
            <w:vMerge w:val="restart"/>
            <w:vAlign w:val="center"/>
          </w:tcPr>
          <w:p w14:paraId="5E0B0D12" w14:textId="77777777" w:rsidR="004770F6" w:rsidRPr="00CE39FB" w:rsidRDefault="004770F6">
            <w:pPr>
              <w:spacing w:before="40" w:after="40"/>
              <w:rPr>
                <w:noProof/>
                <w:sz w:val="18"/>
              </w:rPr>
            </w:pPr>
            <w:r w:rsidRPr="00CE39FB">
              <w:rPr>
                <w:noProof/>
                <w:sz w:val="18"/>
              </w:rPr>
              <w:t>Budget revenue line:</w:t>
            </w:r>
          </w:p>
        </w:tc>
        <w:tc>
          <w:tcPr>
            <w:tcW w:w="1325" w:type="dxa"/>
            <w:vMerge w:val="restart"/>
            <w:vAlign w:val="center"/>
          </w:tcPr>
          <w:p w14:paraId="69015137" w14:textId="77777777" w:rsidR="004770F6" w:rsidRPr="008D6611" w:rsidRDefault="004770F6">
            <w:pPr>
              <w:jc w:val="center"/>
              <w:rPr>
                <w:noProof/>
                <w:sz w:val="18"/>
              </w:rPr>
            </w:pPr>
            <w:r w:rsidRPr="008D6611">
              <w:rPr>
                <w:noProof/>
                <w:sz w:val="18"/>
              </w:rPr>
              <w:t>Appropriations available for the current financial year</w:t>
            </w:r>
          </w:p>
        </w:tc>
        <w:tc>
          <w:tcPr>
            <w:tcW w:w="7151" w:type="dxa"/>
            <w:gridSpan w:val="7"/>
            <w:vAlign w:val="center"/>
          </w:tcPr>
          <w:p w14:paraId="72959779" w14:textId="77777777" w:rsidR="004770F6" w:rsidRPr="008D6611" w:rsidRDefault="004770F6">
            <w:pPr>
              <w:jc w:val="center"/>
              <w:rPr>
                <w:noProof/>
                <w:sz w:val="18"/>
              </w:rPr>
            </w:pPr>
            <w:r w:rsidRPr="008D6611">
              <w:rPr>
                <w:noProof/>
                <w:sz w:val="18"/>
              </w:rPr>
              <w:t>Impact of the proposal/initiative</w:t>
            </w:r>
            <w:r w:rsidRPr="00CE39FB">
              <w:rPr>
                <w:rStyle w:val="FootnoteReference"/>
                <w:noProof/>
                <w:sz w:val="18"/>
                <w:szCs w:val="18"/>
              </w:rPr>
              <w:footnoteReference w:id="48"/>
            </w:r>
          </w:p>
        </w:tc>
      </w:tr>
      <w:tr w:rsidR="00CE39FB" w:rsidRPr="00CE39FB" w14:paraId="23740E8B" w14:textId="77777777" w:rsidTr="59744C64">
        <w:trPr>
          <w:trHeight w:val="388"/>
        </w:trPr>
        <w:tc>
          <w:tcPr>
            <w:tcW w:w="2144" w:type="dxa"/>
            <w:vMerge/>
          </w:tcPr>
          <w:p w14:paraId="2573DE9C" w14:textId="77777777" w:rsidR="004770F6" w:rsidRPr="008D6611" w:rsidRDefault="004770F6">
            <w:pPr>
              <w:spacing w:before="40" w:after="40"/>
              <w:rPr>
                <w:noProof/>
                <w:sz w:val="18"/>
              </w:rPr>
            </w:pPr>
          </w:p>
        </w:tc>
        <w:tc>
          <w:tcPr>
            <w:tcW w:w="1325" w:type="dxa"/>
            <w:vMerge/>
          </w:tcPr>
          <w:p w14:paraId="692FC622" w14:textId="77777777" w:rsidR="004770F6" w:rsidRPr="008D6611" w:rsidRDefault="004770F6">
            <w:pPr>
              <w:spacing w:beforeLines="40" w:before="96" w:afterLines="40" w:after="96"/>
              <w:rPr>
                <w:i/>
                <w:noProof/>
                <w:sz w:val="18"/>
              </w:rPr>
            </w:pPr>
          </w:p>
        </w:tc>
        <w:tc>
          <w:tcPr>
            <w:tcW w:w="1031" w:type="dxa"/>
            <w:vAlign w:val="center"/>
          </w:tcPr>
          <w:p w14:paraId="68D100C8" w14:textId="77777777" w:rsidR="004770F6" w:rsidRPr="00CE39FB" w:rsidRDefault="004770F6">
            <w:pPr>
              <w:jc w:val="center"/>
              <w:rPr>
                <w:noProof/>
                <w:sz w:val="18"/>
              </w:rPr>
            </w:pPr>
            <w:r w:rsidRPr="00CE39FB">
              <w:rPr>
                <w:noProof/>
                <w:sz w:val="18"/>
              </w:rPr>
              <w:t>Year</w:t>
            </w:r>
            <w:r w:rsidRPr="00CE39FB">
              <w:rPr>
                <w:noProof/>
                <w:sz w:val="22"/>
              </w:rPr>
              <w:br/>
            </w:r>
            <w:r w:rsidRPr="00CE39FB">
              <w:rPr>
                <w:b/>
                <w:noProof/>
                <w:sz w:val="18"/>
              </w:rPr>
              <w:t>N</w:t>
            </w:r>
          </w:p>
        </w:tc>
        <w:tc>
          <w:tcPr>
            <w:tcW w:w="900" w:type="dxa"/>
            <w:vAlign w:val="center"/>
          </w:tcPr>
          <w:p w14:paraId="3517F138" w14:textId="77777777" w:rsidR="004770F6" w:rsidRPr="00CE39FB" w:rsidRDefault="004770F6">
            <w:pPr>
              <w:jc w:val="center"/>
              <w:rPr>
                <w:noProof/>
                <w:sz w:val="18"/>
              </w:rPr>
            </w:pPr>
            <w:r w:rsidRPr="00CE39FB">
              <w:rPr>
                <w:noProof/>
                <w:sz w:val="18"/>
              </w:rPr>
              <w:t>Year</w:t>
            </w:r>
            <w:r w:rsidRPr="00CE39FB">
              <w:rPr>
                <w:noProof/>
                <w:sz w:val="22"/>
              </w:rPr>
              <w:br/>
            </w:r>
            <w:r w:rsidRPr="00CE39FB">
              <w:rPr>
                <w:b/>
                <w:noProof/>
                <w:sz w:val="18"/>
              </w:rPr>
              <w:t>N+1</w:t>
            </w:r>
          </w:p>
        </w:tc>
        <w:tc>
          <w:tcPr>
            <w:tcW w:w="900" w:type="dxa"/>
            <w:vAlign w:val="center"/>
          </w:tcPr>
          <w:p w14:paraId="728DAEC8" w14:textId="77777777" w:rsidR="004770F6" w:rsidRPr="00CE39FB" w:rsidRDefault="004770F6">
            <w:pPr>
              <w:jc w:val="center"/>
              <w:rPr>
                <w:noProof/>
                <w:sz w:val="18"/>
              </w:rPr>
            </w:pPr>
            <w:r w:rsidRPr="00CE39FB">
              <w:rPr>
                <w:noProof/>
                <w:sz w:val="18"/>
              </w:rPr>
              <w:t>Year</w:t>
            </w:r>
            <w:r w:rsidRPr="00CE39FB">
              <w:rPr>
                <w:noProof/>
                <w:sz w:val="22"/>
              </w:rPr>
              <w:br/>
            </w:r>
            <w:r w:rsidRPr="00CE39FB">
              <w:rPr>
                <w:b/>
                <w:noProof/>
                <w:sz w:val="18"/>
              </w:rPr>
              <w:t>N+2</w:t>
            </w:r>
          </w:p>
        </w:tc>
        <w:tc>
          <w:tcPr>
            <w:tcW w:w="1080" w:type="dxa"/>
            <w:vAlign w:val="center"/>
          </w:tcPr>
          <w:p w14:paraId="40772CC3" w14:textId="77777777" w:rsidR="004770F6" w:rsidRPr="00CE39FB" w:rsidRDefault="004770F6">
            <w:pPr>
              <w:jc w:val="center"/>
              <w:rPr>
                <w:noProof/>
                <w:sz w:val="18"/>
              </w:rPr>
            </w:pPr>
            <w:r w:rsidRPr="00CE39FB">
              <w:rPr>
                <w:noProof/>
                <w:sz w:val="18"/>
              </w:rPr>
              <w:t>Year</w:t>
            </w:r>
            <w:r w:rsidRPr="00CE39FB">
              <w:rPr>
                <w:noProof/>
                <w:sz w:val="22"/>
              </w:rPr>
              <w:br/>
            </w:r>
            <w:r w:rsidRPr="00CE39FB">
              <w:rPr>
                <w:b/>
                <w:noProof/>
                <w:sz w:val="18"/>
              </w:rPr>
              <w:t>N+3</w:t>
            </w:r>
          </w:p>
        </w:tc>
        <w:tc>
          <w:tcPr>
            <w:tcW w:w="3240" w:type="dxa"/>
            <w:gridSpan w:val="3"/>
            <w:vAlign w:val="center"/>
          </w:tcPr>
          <w:p w14:paraId="36FD034A" w14:textId="77777777" w:rsidR="004770F6" w:rsidRPr="008D6611" w:rsidRDefault="004770F6">
            <w:pPr>
              <w:jc w:val="center"/>
              <w:rPr>
                <w:b/>
                <w:noProof/>
                <w:sz w:val="18"/>
              </w:rPr>
            </w:pPr>
            <w:r w:rsidRPr="008D6611">
              <w:rPr>
                <w:noProof/>
                <w:sz w:val="18"/>
              </w:rPr>
              <w:t>Enter as many years as necessary to show the duration of the impact (see point 1.6)</w:t>
            </w:r>
          </w:p>
        </w:tc>
      </w:tr>
      <w:tr w:rsidR="00CE39FB" w:rsidRPr="00CE39FB" w14:paraId="4EA7B446" w14:textId="77777777" w:rsidTr="59744C64">
        <w:trPr>
          <w:trHeight w:val="388"/>
        </w:trPr>
        <w:tc>
          <w:tcPr>
            <w:tcW w:w="2144" w:type="dxa"/>
            <w:vAlign w:val="center"/>
          </w:tcPr>
          <w:p w14:paraId="365EAA1C" w14:textId="77777777" w:rsidR="004770F6" w:rsidRPr="00CE39FB" w:rsidRDefault="004770F6">
            <w:pPr>
              <w:spacing w:before="40" w:after="40"/>
              <w:rPr>
                <w:noProof/>
                <w:sz w:val="18"/>
              </w:rPr>
            </w:pPr>
            <w:r w:rsidRPr="00CE39FB">
              <w:rPr>
                <w:noProof/>
                <w:sz w:val="18"/>
              </w:rPr>
              <w:t>Article ………….</w:t>
            </w:r>
          </w:p>
        </w:tc>
        <w:tc>
          <w:tcPr>
            <w:tcW w:w="1325" w:type="dxa"/>
          </w:tcPr>
          <w:p w14:paraId="68B0D62D" w14:textId="77777777" w:rsidR="004770F6" w:rsidRPr="00CE39FB" w:rsidRDefault="004770F6">
            <w:pPr>
              <w:spacing w:beforeLines="40" w:before="96" w:afterLines="40" w:after="96"/>
              <w:jc w:val="center"/>
              <w:rPr>
                <w:i/>
                <w:noProof/>
                <w:sz w:val="18"/>
              </w:rPr>
            </w:pPr>
          </w:p>
        </w:tc>
        <w:tc>
          <w:tcPr>
            <w:tcW w:w="1031" w:type="dxa"/>
          </w:tcPr>
          <w:p w14:paraId="63156CAA" w14:textId="77777777" w:rsidR="004770F6" w:rsidRPr="00CE39FB" w:rsidRDefault="004770F6">
            <w:pPr>
              <w:spacing w:beforeLines="40" w:before="96" w:afterLines="40" w:after="96"/>
              <w:jc w:val="center"/>
              <w:rPr>
                <w:noProof/>
                <w:sz w:val="18"/>
              </w:rPr>
            </w:pPr>
          </w:p>
        </w:tc>
        <w:tc>
          <w:tcPr>
            <w:tcW w:w="900" w:type="dxa"/>
          </w:tcPr>
          <w:p w14:paraId="47F69A50" w14:textId="77777777" w:rsidR="004770F6" w:rsidRPr="00CE39FB" w:rsidRDefault="004770F6">
            <w:pPr>
              <w:spacing w:beforeLines="40" w:before="96" w:afterLines="40" w:after="96"/>
              <w:jc w:val="center"/>
              <w:rPr>
                <w:noProof/>
                <w:sz w:val="18"/>
              </w:rPr>
            </w:pPr>
          </w:p>
        </w:tc>
        <w:tc>
          <w:tcPr>
            <w:tcW w:w="900" w:type="dxa"/>
          </w:tcPr>
          <w:p w14:paraId="5A8ABFC2" w14:textId="77777777" w:rsidR="004770F6" w:rsidRPr="00CE39FB" w:rsidRDefault="004770F6">
            <w:pPr>
              <w:spacing w:beforeLines="40" w:before="96" w:afterLines="40" w:after="96"/>
              <w:jc w:val="center"/>
              <w:rPr>
                <w:noProof/>
                <w:sz w:val="18"/>
              </w:rPr>
            </w:pPr>
          </w:p>
        </w:tc>
        <w:tc>
          <w:tcPr>
            <w:tcW w:w="1080" w:type="dxa"/>
          </w:tcPr>
          <w:p w14:paraId="17EB675F" w14:textId="77777777" w:rsidR="004770F6" w:rsidRPr="00CE39FB" w:rsidRDefault="004770F6">
            <w:pPr>
              <w:spacing w:beforeLines="40" w:before="96" w:afterLines="40" w:after="96"/>
              <w:jc w:val="center"/>
              <w:rPr>
                <w:noProof/>
                <w:sz w:val="18"/>
              </w:rPr>
            </w:pPr>
          </w:p>
        </w:tc>
        <w:tc>
          <w:tcPr>
            <w:tcW w:w="1080" w:type="dxa"/>
          </w:tcPr>
          <w:p w14:paraId="3CE95E96" w14:textId="77777777" w:rsidR="004770F6" w:rsidRPr="00CE39FB" w:rsidRDefault="004770F6">
            <w:pPr>
              <w:spacing w:beforeLines="40" w:before="96" w:afterLines="40" w:after="96"/>
              <w:jc w:val="center"/>
              <w:rPr>
                <w:noProof/>
                <w:sz w:val="18"/>
              </w:rPr>
            </w:pPr>
          </w:p>
        </w:tc>
        <w:tc>
          <w:tcPr>
            <w:tcW w:w="1080" w:type="dxa"/>
          </w:tcPr>
          <w:p w14:paraId="5FDE675F" w14:textId="77777777" w:rsidR="004770F6" w:rsidRPr="00CE39FB" w:rsidRDefault="004770F6">
            <w:pPr>
              <w:spacing w:beforeLines="40" w:before="96" w:afterLines="40" w:after="96"/>
              <w:jc w:val="center"/>
              <w:rPr>
                <w:noProof/>
                <w:sz w:val="18"/>
              </w:rPr>
            </w:pPr>
          </w:p>
        </w:tc>
        <w:tc>
          <w:tcPr>
            <w:tcW w:w="1080" w:type="dxa"/>
          </w:tcPr>
          <w:p w14:paraId="7230A144" w14:textId="77777777" w:rsidR="004770F6" w:rsidRPr="00CE39FB" w:rsidRDefault="004770F6">
            <w:pPr>
              <w:spacing w:beforeLines="40" w:before="96" w:afterLines="40" w:after="96"/>
              <w:jc w:val="center"/>
              <w:rPr>
                <w:noProof/>
                <w:sz w:val="18"/>
              </w:rPr>
            </w:pPr>
          </w:p>
        </w:tc>
      </w:tr>
    </w:tbl>
    <w:p w14:paraId="12BBC3F7" w14:textId="77777777" w:rsidR="004770F6" w:rsidRPr="00CE39FB" w:rsidRDefault="004770F6">
      <w:pPr>
        <w:pStyle w:val="Text1"/>
        <w:rPr>
          <w:noProof/>
          <w:sz w:val="20"/>
        </w:rPr>
      </w:pPr>
      <w:r w:rsidRPr="00CE39FB">
        <w:rPr>
          <w:noProof/>
          <w:sz w:val="20"/>
        </w:rPr>
        <w:t>For assigned revenue, specify the budget expenditure line(s) affected.</w:t>
      </w:r>
    </w:p>
    <w:p w14:paraId="485988BC" w14:textId="77777777" w:rsidR="004770F6" w:rsidRPr="00CE39FB" w:rsidRDefault="004770F6">
      <w:pPr>
        <w:pStyle w:val="Text1"/>
        <w:pBdr>
          <w:top w:val="single" w:sz="4" w:space="1" w:color="auto"/>
          <w:left w:val="single" w:sz="4" w:space="4" w:color="auto"/>
          <w:bottom w:val="single" w:sz="4" w:space="1" w:color="auto"/>
          <w:right w:val="single" w:sz="4" w:space="4" w:color="auto"/>
        </w:pBdr>
        <w:rPr>
          <w:noProof/>
        </w:rPr>
      </w:pPr>
      <w:r w:rsidRPr="0028668F">
        <w:rPr>
          <w:noProof/>
        </w:rPr>
        <w:t>[…]</w:t>
      </w:r>
    </w:p>
    <w:p w14:paraId="2DDF825E" w14:textId="77777777" w:rsidR="004770F6" w:rsidRPr="00CE39FB" w:rsidRDefault="004770F6">
      <w:pPr>
        <w:pStyle w:val="Text1"/>
        <w:rPr>
          <w:noProof/>
          <w:sz w:val="20"/>
        </w:rPr>
      </w:pPr>
      <w:r w:rsidRPr="00CE39FB">
        <w:rPr>
          <w:noProof/>
          <w:sz w:val="20"/>
        </w:rPr>
        <w:t>Other remarks (e.g. method/formula used for calculating the impact on revenue or any other information).</w:t>
      </w:r>
    </w:p>
    <w:p w14:paraId="72992377" w14:textId="77777777" w:rsidR="004770F6" w:rsidRPr="0028668F" w:rsidRDefault="004770F6">
      <w:pPr>
        <w:pStyle w:val="Text1"/>
        <w:pBdr>
          <w:top w:val="single" w:sz="4" w:space="1" w:color="auto"/>
          <w:left w:val="single" w:sz="4" w:space="4" w:color="auto"/>
          <w:bottom w:val="single" w:sz="4" w:space="1" w:color="auto"/>
          <w:right w:val="single" w:sz="4" w:space="4" w:color="auto"/>
        </w:pBdr>
        <w:rPr>
          <w:noProof/>
        </w:rPr>
      </w:pPr>
      <w:r w:rsidRPr="0028668F">
        <w:rPr>
          <w:noProof/>
        </w:rPr>
        <w:t>[…]</w:t>
      </w:r>
    </w:p>
    <w:sectPr w:rsidR="004770F6" w:rsidRPr="0028668F" w:rsidSect="00E17AC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BDBB2" w14:textId="77777777" w:rsidR="00F93D53" w:rsidRDefault="00F93D53" w:rsidP="004770F6">
      <w:pPr>
        <w:spacing w:before="0" w:after="0"/>
      </w:pPr>
      <w:r>
        <w:separator/>
      </w:r>
    </w:p>
  </w:endnote>
  <w:endnote w:type="continuationSeparator" w:id="0">
    <w:p w14:paraId="50D4E175" w14:textId="77777777" w:rsidR="00F93D53" w:rsidRDefault="00F93D53" w:rsidP="004770F6">
      <w:pPr>
        <w:spacing w:before="0" w:after="0"/>
      </w:pPr>
      <w:r>
        <w:continuationSeparator/>
      </w:r>
    </w:p>
  </w:endnote>
  <w:endnote w:type="continuationNotice" w:id="1">
    <w:p w14:paraId="779828A6" w14:textId="77777777" w:rsidR="00F93D53" w:rsidRDefault="00F93D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Bahnschrift Light"/>
    <w:charset w:val="00"/>
    <w:family w:val="swiss"/>
    <w:pitch w:val="variable"/>
    <w:sig w:usb0="00000001" w:usb1="5000E0F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8E65F" w14:textId="4F664C6B" w:rsidR="00F21EC4" w:rsidRPr="00E17AC8" w:rsidRDefault="00E17AC8" w:rsidP="00E17AC8">
    <w:pPr>
      <w:pStyle w:val="Footer"/>
      <w:rPr>
        <w:rFonts w:ascii="Arial" w:hAnsi="Arial" w:cs="Arial"/>
        <w:b/>
        <w:sz w:val="48"/>
      </w:rPr>
    </w:pPr>
    <w:r w:rsidRPr="00E17AC8">
      <w:rPr>
        <w:rFonts w:ascii="Arial" w:hAnsi="Arial" w:cs="Arial"/>
        <w:b/>
        <w:sz w:val="48"/>
      </w:rPr>
      <w:t>EN</w:t>
    </w:r>
    <w:r w:rsidRPr="00E17AC8">
      <w:rPr>
        <w:rFonts w:ascii="Arial" w:hAnsi="Arial" w:cs="Arial"/>
        <w:b/>
        <w:sz w:val="48"/>
      </w:rPr>
      <w:tab/>
    </w:r>
    <w:r w:rsidRPr="00E17AC8">
      <w:rPr>
        <w:rFonts w:ascii="Arial" w:hAnsi="Arial" w:cs="Arial"/>
        <w:b/>
        <w:sz w:val="48"/>
      </w:rPr>
      <w:tab/>
    </w:r>
    <w:r w:rsidRPr="00E17AC8">
      <w:tab/>
    </w:r>
    <w:r w:rsidRPr="00E17AC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B644" w14:textId="339FD168" w:rsidR="00E17AC8" w:rsidRPr="00E17AC8" w:rsidRDefault="00E17AC8" w:rsidP="00E17AC8">
    <w:pPr>
      <w:pStyle w:val="Footer"/>
      <w:rPr>
        <w:rFonts w:ascii="Arial" w:hAnsi="Arial" w:cs="Arial"/>
        <w:b/>
        <w:sz w:val="48"/>
      </w:rPr>
    </w:pPr>
    <w:r w:rsidRPr="00E17AC8">
      <w:rPr>
        <w:rFonts w:ascii="Arial" w:hAnsi="Arial" w:cs="Arial"/>
        <w:b/>
        <w:sz w:val="48"/>
      </w:rPr>
      <w:t>EN</w:t>
    </w:r>
    <w:r w:rsidRPr="00E17AC8">
      <w:rPr>
        <w:rFonts w:ascii="Arial" w:hAnsi="Arial" w:cs="Arial"/>
        <w:b/>
        <w:sz w:val="48"/>
      </w:rPr>
      <w:tab/>
    </w:r>
    <w:r>
      <w:fldChar w:fldCharType="begin"/>
    </w:r>
    <w:r>
      <w:instrText xml:space="preserve"> PAGE  \* MERGEFORMAT </w:instrText>
    </w:r>
    <w:r>
      <w:fldChar w:fldCharType="separate"/>
    </w:r>
    <w:r w:rsidR="00E377BC">
      <w:rPr>
        <w:noProof/>
      </w:rPr>
      <w:t>36</w:t>
    </w:r>
    <w:r>
      <w:fldChar w:fldCharType="end"/>
    </w:r>
    <w:r>
      <w:tab/>
    </w:r>
    <w:r w:rsidRPr="00E17AC8">
      <w:tab/>
    </w:r>
    <w:r w:rsidRPr="00E17AC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CF44" w14:textId="77777777" w:rsidR="00E17AC8" w:rsidRPr="00E17AC8" w:rsidRDefault="00E17AC8" w:rsidP="00E17A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D175" w14:textId="7F66AAFF" w:rsidR="00E17AC8" w:rsidRPr="00E17AC8" w:rsidRDefault="00E17AC8" w:rsidP="00E17AC8">
    <w:pPr>
      <w:pStyle w:val="FooterLandscape"/>
      <w:rPr>
        <w:rFonts w:ascii="Arial" w:hAnsi="Arial" w:cs="Arial"/>
        <w:b/>
        <w:sz w:val="48"/>
      </w:rPr>
    </w:pPr>
    <w:r w:rsidRPr="00E17AC8">
      <w:rPr>
        <w:rFonts w:ascii="Arial" w:hAnsi="Arial" w:cs="Arial"/>
        <w:b/>
        <w:sz w:val="48"/>
      </w:rPr>
      <w:t>EN</w:t>
    </w:r>
    <w:r w:rsidRPr="00E17AC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17AC8">
      <w:tab/>
    </w:r>
    <w:r w:rsidRPr="00E17AC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86088" w14:textId="77777777" w:rsidR="00E17AC8" w:rsidRPr="00E17AC8" w:rsidRDefault="00E17AC8" w:rsidP="00E17AC8">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F49D" w14:textId="778418B4" w:rsidR="00E02C08" w:rsidRPr="00E17AC8" w:rsidRDefault="00E17AC8" w:rsidP="00E17AC8">
    <w:pPr>
      <w:pStyle w:val="Footer"/>
      <w:rPr>
        <w:rFonts w:ascii="Arial" w:hAnsi="Arial" w:cs="Arial"/>
        <w:b/>
        <w:sz w:val="48"/>
      </w:rPr>
    </w:pPr>
    <w:r w:rsidRPr="00E17AC8">
      <w:rPr>
        <w:rFonts w:ascii="Arial" w:hAnsi="Arial" w:cs="Arial"/>
        <w:b/>
        <w:sz w:val="48"/>
      </w:rPr>
      <w:t>EN</w:t>
    </w:r>
    <w:r w:rsidRPr="00E17AC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17AC8">
      <w:tab/>
    </w:r>
    <w:r w:rsidRPr="00E17AC8">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6F8F" w14:textId="77777777" w:rsidR="00E17AC8" w:rsidRPr="00E17AC8" w:rsidRDefault="00E17AC8" w:rsidP="00E1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4EDB8" w14:textId="77777777" w:rsidR="00F93D53" w:rsidRDefault="00F93D53" w:rsidP="004770F6">
      <w:pPr>
        <w:spacing w:before="0" w:after="0"/>
      </w:pPr>
      <w:r>
        <w:separator/>
      </w:r>
    </w:p>
  </w:footnote>
  <w:footnote w:type="continuationSeparator" w:id="0">
    <w:p w14:paraId="20A12C9A" w14:textId="77777777" w:rsidR="00F93D53" w:rsidRDefault="00F93D53" w:rsidP="004770F6">
      <w:pPr>
        <w:spacing w:before="0" w:after="0"/>
      </w:pPr>
      <w:r>
        <w:continuationSeparator/>
      </w:r>
    </w:p>
  </w:footnote>
  <w:footnote w:type="continuationNotice" w:id="1">
    <w:p w14:paraId="369F788E" w14:textId="77777777" w:rsidR="00F93D53" w:rsidRDefault="00F93D53">
      <w:pPr>
        <w:spacing w:before="0" w:after="0"/>
      </w:pPr>
    </w:p>
  </w:footnote>
  <w:footnote w:id="2">
    <w:p w14:paraId="20132C64" w14:textId="02821841" w:rsidR="00BD7021" w:rsidRPr="00BD7021" w:rsidRDefault="00BD7021">
      <w:pPr>
        <w:pStyle w:val="FootnoteText"/>
      </w:pPr>
      <w:r>
        <w:rPr>
          <w:rStyle w:val="FootnoteReference"/>
        </w:rPr>
        <w:footnoteRef/>
      </w:r>
      <w:r w:rsidRPr="00BD7021">
        <w:tab/>
      </w:r>
      <w:r w:rsidRPr="7305907C">
        <w:t>According to a report by Ponemon Institute and IBM Security, the average time to identify a breach in 2022 was 207 days, with an additional 70 days to contain. At the same time, in 2022, data breaches with a lifecycle of more than 200 days had an average cost of €4.86 million, compared to €3.74 million when under 200 day. (‘Cost of a data breach 2022”, https://www.ibm.com/reports/data-breach)</w:t>
      </w:r>
    </w:p>
  </w:footnote>
  <w:footnote w:id="3">
    <w:p w14:paraId="071423EB" w14:textId="77777777" w:rsidR="00B44E34" w:rsidRPr="00F137CD" w:rsidRDefault="00B44E34">
      <w:pPr>
        <w:pStyle w:val="FootnoteText"/>
      </w:pPr>
      <w:r w:rsidRPr="0028668F">
        <w:rPr>
          <w:rStyle w:val="FootnoteReference"/>
        </w:rPr>
        <w:footnoteRef/>
      </w:r>
      <w:r w:rsidR="0028668F">
        <w:tab/>
      </w:r>
      <w:r w:rsidRPr="00B44E34">
        <w:t>Council conclusions on the development of the European Union's cyber posture approved by the Council at its meeting on 23 May 2022, (9364/22</w:t>
      </w:r>
      <w:r>
        <w:t xml:space="preserve"> </w:t>
      </w:r>
    </w:p>
  </w:footnote>
  <w:footnote w:id="4">
    <w:p w14:paraId="1CFFE95F" w14:textId="3ABFE441" w:rsidR="00BD7021" w:rsidRPr="00BD7021" w:rsidRDefault="00BD7021">
      <w:pPr>
        <w:pStyle w:val="FootnoteText"/>
      </w:pPr>
      <w:r>
        <w:rPr>
          <w:rStyle w:val="FootnoteReference"/>
        </w:rPr>
        <w:footnoteRef/>
      </w:r>
      <w:r w:rsidRPr="00BD7021">
        <w:tab/>
      </w:r>
      <w:r w:rsidRPr="008D6611">
        <w:t>Joint Communication to the European Parliament and the Council</w:t>
      </w:r>
      <w:r w:rsidRPr="00D36F30">
        <w:t>,</w:t>
      </w:r>
      <w:r w:rsidRPr="008D6611">
        <w:t xml:space="preserve"> The EU's Cybersecurity Strategy for the Digital Decade, JOIN202018 final</w:t>
      </w:r>
      <w:r w:rsidRPr="00D36F30">
        <w:t>.</w:t>
      </w:r>
    </w:p>
  </w:footnote>
  <w:footnote w:id="5">
    <w:p w14:paraId="651E2217" w14:textId="77777777" w:rsidR="00E16D52" w:rsidRPr="008D6611" w:rsidRDefault="00E16D52" w:rsidP="00E16D52">
      <w:pPr>
        <w:pStyle w:val="FootnoteText"/>
        <w:ind w:left="0" w:firstLine="0"/>
      </w:pPr>
      <w:r w:rsidRPr="0028668F">
        <w:rPr>
          <w:rStyle w:val="FootnoteReference"/>
        </w:rPr>
        <w:footnoteRef/>
      </w:r>
      <w:r w:rsidR="0028668F">
        <w:tab/>
      </w:r>
      <w:r w:rsidRPr="008D6611">
        <w:t>Joint Communication to the European Parliament and the Council</w:t>
      </w:r>
      <w:r w:rsidRPr="00E16D52">
        <w:t>,</w:t>
      </w:r>
      <w:r w:rsidRPr="008D6611">
        <w:t xml:space="preserve"> EU Policy on Cyber Defence, JOIN(2022) 49 final</w:t>
      </w:r>
      <w:r w:rsidRPr="00E16D52">
        <w:t>.</w:t>
      </w:r>
    </w:p>
  </w:footnote>
  <w:footnote w:id="6">
    <w:p w14:paraId="500EAD9D" w14:textId="77777777" w:rsidR="004C546C" w:rsidRPr="008D6611" w:rsidRDefault="004C546C" w:rsidP="00DB6F8B">
      <w:pPr>
        <w:pStyle w:val="FootnoteText"/>
        <w:ind w:left="0" w:firstLine="0"/>
      </w:pPr>
      <w:r w:rsidRPr="0028668F">
        <w:rPr>
          <w:rStyle w:val="FootnoteReference"/>
        </w:rPr>
        <w:footnoteRef/>
      </w:r>
      <w:r w:rsidR="0028668F">
        <w:tab/>
      </w:r>
      <w:r w:rsidR="00B5166A" w:rsidRPr="008D6611">
        <w:t>Directive (EU) 2022/2555 of the European Parliament and of the Council of 14 December 2022 on measures for a high common level of cybersecurity across the Union, amending Regulation (EU) No 910/2014 and Directive (EU) 2018/1972, and repealing Directive (EU) 2016/1148 (NIS 2 Directive).</w:t>
      </w:r>
    </w:p>
  </w:footnote>
  <w:footnote w:id="7">
    <w:p w14:paraId="5E273108" w14:textId="77777777" w:rsidR="00B5166A" w:rsidRPr="00B5166A" w:rsidRDefault="00B5166A" w:rsidP="00DB6F8B">
      <w:pPr>
        <w:pStyle w:val="FootnoteText"/>
        <w:ind w:left="0" w:firstLine="0"/>
      </w:pPr>
      <w:r w:rsidRPr="0028668F">
        <w:rPr>
          <w:rStyle w:val="FootnoteReference"/>
        </w:rPr>
        <w:footnoteRef/>
      </w:r>
      <w:r w:rsidR="0028668F">
        <w:tab/>
      </w:r>
      <w:r w:rsidR="00DB6F8B" w:rsidRPr="008D6611">
        <w:t>Regulation (EU) 2019/881 of the European Parliament and of the Council of 17 April 2019 on ENISA (the European Union Agency for Cybersecurity) and on information and communications technology cybersecurity certification and repealing Regulation (EU) No 526/2013 (Cybersecurity Act)</w:t>
      </w:r>
      <w:r w:rsidR="00DB6F8B" w:rsidRPr="00DB6F8B">
        <w:t>.</w:t>
      </w:r>
    </w:p>
  </w:footnote>
  <w:footnote w:id="8">
    <w:p w14:paraId="2090E74F" w14:textId="77777777" w:rsidR="00ED25BB" w:rsidRPr="00ED25BB" w:rsidRDefault="00ED25BB" w:rsidP="00E50E48">
      <w:pPr>
        <w:pStyle w:val="FootnoteText"/>
        <w:ind w:left="0" w:firstLine="0"/>
      </w:pPr>
      <w:r w:rsidRPr="0028668F">
        <w:rPr>
          <w:rStyle w:val="FootnoteReference"/>
        </w:rPr>
        <w:footnoteRef/>
      </w:r>
      <w:r w:rsidR="0028668F">
        <w:tab/>
      </w:r>
      <w:r w:rsidRPr="008D6611">
        <w:t>Directive 2013/40/EU of the European Parliament and of the Council of 12 August 2013 on attacks against information systems and replacing Council Framework Decision 2005/222/JHA</w:t>
      </w:r>
      <w:r w:rsidRPr="00ED25BB">
        <w:t>.</w:t>
      </w:r>
    </w:p>
  </w:footnote>
  <w:footnote w:id="9">
    <w:p w14:paraId="72068EA6" w14:textId="77777777" w:rsidR="00E801E4" w:rsidRPr="00E801E4" w:rsidRDefault="00E801E4" w:rsidP="008D5ACB">
      <w:pPr>
        <w:pStyle w:val="FootnoteText"/>
        <w:ind w:left="0" w:firstLine="0"/>
      </w:pPr>
      <w:r w:rsidRPr="0028668F">
        <w:rPr>
          <w:rStyle w:val="FootnoteReference"/>
        </w:rPr>
        <w:footnoteRef/>
      </w:r>
      <w:r w:rsidR="0028668F">
        <w:tab/>
      </w:r>
      <w:r w:rsidR="008D5ACB" w:rsidRPr="008D6611">
        <w:t>Proposal for a Regulation of the European Parliament and of the Council on horizontal cybersecurity requirements for products with digital elements and amending Regulation (EU) 2019/1020, COM/2022/454 final</w:t>
      </w:r>
      <w:r w:rsidR="008D5ACB" w:rsidRPr="008D5ACB">
        <w:t>.</w:t>
      </w:r>
    </w:p>
  </w:footnote>
  <w:footnote w:id="10">
    <w:p w14:paraId="009B650E" w14:textId="77777777" w:rsidR="00BD3205" w:rsidRPr="0071409E" w:rsidRDefault="00BD3205" w:rsidP="00BD3205">
      <w:pPr>
        <w:pStyle w:val="FootnoteText"/>
        <w:ind w:left="0" w:firstLine="0"/>
        <w:rPr>
          <w:lang w:val="en-US"/>
        </w:rPr>
      </w:pPr>
      <w:r w:rsidRPr="0028668F">
        <w:rPr>
          <w:rStyle w:val="FootnoteReference"/>
        </w:rPr>
        <w:footnoteRef/>
      </w:r>
      <w:r w:rsidR="0028668F">
        <w:tab/>
      </w:r>
      <w:r w:rsidR="009721A5" w:rsidRPr="009721A5">
        <w:t>Council Recommendation of 8 December 2022 on a Union-wide coordinated approach to strengthen the resilience of critical infrastructure (Text with EEA relevance) 2023/C 20/01.</w:t>
      </w:r>
    </w:p>
  </w:footnote>
  <w:footnote w:id="11">
    <w:p w14:paraId="6480692E" w14:textId="77777777" w:rsidR="33B6D1CD" w:rsidRPr="008D6611" w:rsidRDefault="33B6D1CD" w:rsidP="008D6611">
      <w:pPr>
        <w:spacing w:after="240"/>
      </w:pPr>
      <w:r w:rsidRPr="0028668F">
        <w:rPr>
          <w:rStyle w:val="FootnoteReference"/>
        </w:rPr>
        <w:footnoteRef/>
      </w:r>
      <w:r w:rsidR="0028668F">
        <w:tab/>
      </w:r>
      <w:r w:rsidR="00DF5F86" w:rsidRPr="008D6611">
        <w:t>Decision No 1313/2013/EU of the European Parliament and of the Council of 17 December 2013 on a Union Civil Protection Mechanism (Text with EEA relevance)</w:t>
      </w:r>
      <w:r w:rsidR="00DF5F86" w:rsidRPr="008D6611">
        <w:rPr>
          <w:sz w:val="20"/>
        </w:rPr>
        <w:t>.</w:t>
      </w:r>
      <w:r>
        <w:t xml:space="preserve"> </w:t>
      </w:r>
    </w:p>
  </w:footnote>
  <w:footnote w:id="12">
    <w:p w14:paraId="2D4FF22A" w14:textId="77777777" w:rsidR="33B6D1CD" w:rsidRPr="008D6611" w:rsidRDefault="33B6D1CD" w:rsidP="008D6611">
      <w:pPr>
        <w:pStyle w:val="FootnoteText"/>
        <w:rPr>
          <w:color w:val="000000" w:themeColor="text1"/>
        </w:rPr>
      </w:pPr>
      <w:r w:rsidRPr="0028668F">
        <w:rPr>
          <w:rStyle w:val="FootnoteReference"/>
        </w:rPr>
        <w:footnoteRef/>
      </w:r>
      <w:r w:rsidR="0028668F">
        <w:tab/>
      </w:r>
      <w:r w:rsidRPr="008D6611">
        <w:t>Regulation (EU) 2021/836 of the European Parliament and of the Council of 20 May 2021 amending Decision No 1313/2013/EU on a Union Civil Protection Mechanism (Text with EEA relevance)</w:t>
      </w:r>
      <w:r w:rsidRPr="00DF5F86">
        <w:rPr>
          <w:rFonts w:eastAsia="Times New Roman"/>
        </w:rPr>
        <w:t>.</w:t>
      </w:r>
    </w:p>
  </w:footnote>
  <w:footnote w:id="13">
    <w:p w14:paraId="6F09FC23" w14:textId="77777777" w:rsidR="004A0D3F" w:rsidRPr="000811A5" w:rsidRDefault="004A0D3F">
      <w:pPr>
        <w:pStyle w:val="FootnoteText"/>
      </w:pPr>
      <w:r w:rsidRPr="0028668F">
        <w:rPr>
          <w:rStyle w:val="FootnoteReference"/>
        </w:rPr>
        <w:footnoteRef/>
      </w:r>
      <w:r w:rsidR="0028668F">
        <w:tab/>
      </w:r>
      <w:r>
        <w:rPr>
          <w:color w:val="333333"/>
          <w:sz w:val="19"/>
          <w:szCs w:val="19"/>
          <w:shd w:val="clear" w:color="auto" w:fill="FFFFFF"/>
        </w:rPr>
        <w:t>Regulation (EU, Euratom) 2018/1046 of the European Parliament and of the Council of 18 July 2018 on the financial rules applicable to the general budget of the Union (OJ L 193, 30.7.2018, p. 1).</w:t>
      </w:r>
    </w:p>
  </w:footnote>
  <w:footnote w:id="14">
    <w:p w14:paraId="6D1AC479" w14:textId="77777777" w:rsidR="004A0D3F" w:rsidRPr="0072183B" w:rsidRDefault="004A0D3F">
      <w:pPr>
        <w:pStyle w:val="FootnoteText"/>
        <w:rPr>
          <w:lang w:val="pl-PL"/>
        </w:rPr>
      </w:pPr>
      <w:r w:rsidRPr="0028668F">
        <w:rPr>
          <w:rStyle w:val="FootnoteReference"/>
        </w:rPr>
        <w:footnoteRef/>
      </w:r>
      <w:r w:rsidR="0028668F" w:rsidRPr="0072183B">
        <w:rPr>
          <w:lang w:val="pl-PL"/>
        </w:rPr>
        <w:tab/>
      </w:r>
      <w:r w:rsidRPr="0072183B">
        <w:rPr>
          <w:lang w:val="pl-PL"/>
        </w:rPr>
        <w:t>OJ C […], […], p. […].</w:t>
      </w:r>
    </w:p>
  </w:footnote>
  <w:footnote w:id="15">
    <w:p w14:paraId="36F0363E" w14:textId="7739A9ED" w:rsidR="000B3CB5" w:rsidRPr="0072183B" w:rsidRDefault="000B3CB5">
      <w:pPr>
        <w:pStyle w:val="FootnoteText"/>
        <w:rPr>
          <w:lang w:val="pl-PL"/>
        </w:rPr>
      </w:pPr>
      <w:r>
        <w:rPr>
          <w:rStyle w:val="FootnoteReference"/>
        </w:rPr>
        <w:footnoteRef/>
      </w:r>
      <w:r w:rsidRPr="0072183B">
        <w:rPr>
          <w:lang w:val="pl-PL"/>
        </w:rPr>
        <w:tab/>
        <w:t>OJ C , , p. .</w:t>
      </w:r>
    </w:p>
  </w:footnote>
  <w:footnote w:id="16">
    <w:p w14:paraId="385DABBC" w14:textId="58B4FEF5" w:rsidR="000B3CB5" w:rsidRPr="00E720F0" w:rsidRDefault="000B3CB5">
      <w:pPr>
        <w:pStyle w:val="FootnoteText"/>
        <w:rPr>
          <w:lang w:val="pl-PL"/>
        </w:rPr>
      </w:pPr>
      <w:r>
        <w:rPr>
          <w:rStyle w:val="FootnoteReference"/>
        </w:rPr>
        <w:footnoteRef/>
      </w:r>
      <w:r w:rsidRPr="00E720F0">
        <w:rPr>
          <w:lang w:val="pl-PL"/>
        </w:rPr>
        <w:tab/>
        <w:t>OJ C , , p. .</w:t>
      </w:r>
    </w:p>
  </w:footnote>
  <w:footnote w:id="17">
    <w:p w14:paraId="7CD3FF0C" w14:textId="423ABF64" w:rsidR="0072183B" w:rsidRPr="005D7264" w:rsidRDefault="0072183B">
      <w:pPr>
        <w:pStyle w:val="FootnoteText"/>
        <w:rPr>
          <w:lang w:val="pl-PL"/>
        </w:rPr>
      </w:pPr>
      <w:r w:rsidRPr="00E02C08">
        <w:rPr>
          <w:rStyle w:val="FootnoteReference"/>
        </w:rPr>
        <w:footnoteRef/>
      </w:r>
      <w:r w:rsidR="00E02C08">
        <w:rPr>
          <w:lang w:val="pl-PL"/>
        </w:rPr>
        <w:tab/>
      </w:r>
      <w:r w:rsidRPr="005D7264">
        <w:rPr>
          <w:lang w:val="pl-PL"/>
        </w:rPr>
        <w:t>https://futureu.europa.eu/en/</w:t>
      </w:r>
    </w:p>
  </w:footnote>
  <w:footnote w:id="18">
    <w:p w14:paraId="7C922283" w14:textId="77777777" w:rsidR="000B3CB5" w:rsidRPr="00686F66" w:rsidRDefault="000B3CB5">
      <w:pPr>
        <w:pStyle w:val="FootnoteText"/>
      </w:pPr>
      <w:r w:rsidRPr="0028668F">
        <w:rPr>
          <w:rStyle w:val="FootnoteReference"/>
        </w:rPr>
        <w:footnoteRef/>
      </w:r>
      <w:r w:rsidR="0028668F">
        <w:tab/>
      </w:r>
      <w:r w:rsidR="00AD71E9" w:rsidRPr="00AD71E9">
        <w:t>Directive (EU) 2022/2555 of the European Parliament and of the Council of 14 December 2022 on measures for a high common level of cybersecurity across the Union, amending Regulation (EU) No 910/2014 and Directive (EU) 2018/1972, and repealing Directive (EU) 2016/1148</w:t>
      </w:r>
      <w:r w:rsidR="00AD71E9" w:rsidRPr="00AD71E9" w:rsidDel="00AD71E9">
        <w:t xml:space="preserve"> </w:t>
      </w:r>
      <w:r w:rsidRPr="00686F66">
        <w:t>(</w:t>
      </w:r>
      <w:r w:rsidR="009518FB" w:rsidRPr="002D26CC">
        <w:t>OJ L 333, 27.12.2022</w:t>
      </w:r>
      <w:r w:rsidRPr="004A79F1">
        <w:t>).</w:t>
      </w:r>
    </w:p>
  </w:footnote>
  <w:footnote w:id="19">
    <w:p w14:paraId="0D42E5EB" w14:textId="77777777" w:rsidR="000B3CB5" w:rsidRPr="00686F66" w:rsidRDefault="000B3CB5">
      <w:pPr>
        <w:pStyle w:val="FootnoteText"/>
      </w:pPr>
      <w:r w:rsidRPr="0028668F">
        <w:rPr>
          <w:rStyle w:val="FootnoteReference"/>
        </w:rPr>
        <w:footnoteRef/>
      </w:r>
      <w:r w:rsidR="0028668F">
        <w:tab/>
      </w:r>
      <w:r w:rsidRPr="00686F66">
        <w:t>Commission Recommendation (EU) 2017/1584 of 13 September 2017 on coordinated response to large-scale cybersecurity incidents and crises (OJ L 239, 19.9.2017, p. 36).</w:t>
      </w:r>
    </w:p>
  </w:footnote>
  <w:footnote w:id="20">
    <w:p w14:paraId="5A7B1241" w14:textId="77777777" w:rsidR="000B3CB5" w:rsidRPr="00686F66" w:rsidRDefault="000B3CB5">
      <w:pPr>
        <w:pStyle w:val="FootnoteText"/>
      </w:pPr>
      <w:r w:rsidRPr="0028668F">
        <w:rPr>
          <w:rStyle w:val="FootnoteReference"/>
        </w:rPr>
        <w:footnoteRef/>
      </w:r>
      <w:r w:rsidR="0028668F">
        <w:tab/>
      </w:r>
      <w:r w:rsidRPr="00686F66">
        <w:t>Directive 2013/40/EU of the European Parliament and of the Council of 12 August 2013 on attacks against information systems and replacing Council Framework Decision 2005/222/JHA (</w:t>
      </w:r>
      <w:r w:rsidRPr="00686F66">
        <w:rPr>
          <w:rStyle w:val="Emphasis"/>
          <w:i w:val="0"/>
          <w:iCs w:val="0"/>
          <w:color w:val="333333"/>
          <w:shd w:val="clear" w:color="auto" w:fill="FFFFFF"/>
        </w:rPr>
        <w:t>J L 218, 14.8.2013, p. 8).</w:t>
      </w:r>
    </w:p>
  </w:footnote>
  <w:footnote w:id="21">
    <w:p w14:paraId="3E78360F" w14:textId="77777777" w:rsidR="000B3CB5" w:rsidRPr="00686F66" w:rsidRDefault="000B3CB5">
      <w:pPr>
        <w:pStyle w:val="FootnoteText"/>
      </w:pPr>
      <w:r w:rsidRPr="0028668F">
        <w:rPr>
          <w:rStyle w:val="FootnoteReference"/>
        </w:rPr>
        <w:footnoteRef/>
      </w:r>
      <w:r w:rsidR="0028668F">
        <w:tab/>
      </w:r>
      <w:r w:rsidRPr="00686F66">
        <w:t>Regulation (EU) 2019/881 of the European Parliament and of the Council of 17 April 2019 on ENISA (the European Union Agency for Cybersecurity) and on information and communications technology cybersecurity certification and repealing Regulation (EU) No 526/2013 (Cybersecurity Act)  (OJ L 151, 7.6.2019, p. 15).</w:t>
      </w:r>
    </w:p>
  </w:footnote>
  <w:footnote w:id="22">
    <w:p w14:paraId="24BEAD40" w14:textId="77777777" w:rsidR="009836AB" w:rsidRPr="00686F66" w:rsidRDefault="009836AB" w:rsidP="009836AB">
      <w:pPr>
        <w:pStyle w:val="FootnoteText"/>
      </w:pPr>
      <w:r w:rsidRPr="0028668F">
        <w:rPr>
          <w:rStyle w:val="FootnoteReference"/>
        </w:rPr>
        <w:footnoteRef/>
      </w:r>
      <w:r w:rsidR="0028668F">
        <w:tab/>
      </w:r>
      <w:r>
        <w:t>Council conclusions on the development of the European Union's cyber posture approved by the Council at its meeting on 23 May 2022</w:t>
      </w:r>
      <w:r w:rsidR="005550CA">
        <w:t>, (9364/22)</w:t>
      </w:r>
      <w:r w:rsidR="008F021F">
        <w:t xml:space="preserve"> </w:t>
      </w:r>
    </w:p>
  </w:footnote>
  <w:footnote w:id="23">
    <w:p w14:paraId="420934E2" w14:textId="77777777" w:rsidR="00F30F56" w:rsidRPr="00686F66" w:rsidRDefault="00F30F56" w:rsidP="00F30F56">
      <w:pPr>
        <w:pStyle w:val="FootnoteText"/>
      </w:pPr>
      <w:r w:rsidRPr="0028668F">
        <w:rPr>
          <w:rStyle w:val="FootnoteReference"/>
        </w:rPr>
        <w:footnoteRef/>
      </w:r>
      <w:r w:rsidR="0028668F">
        <w:tab/>
      </w:r>
      <w:r>
        <w:t>Join Communication to the European Parliament and the Council EU Policy on Cyber Defence JOIN/2022/49 final</w:t>
      </w:r>
    </w:p>
  </w:footnote>
  <w:footnote w:id="24">
    <w:p w14:paraId="763EAAA0" w14:textId="77777777" w:rsidR="000B3CB5" w:rsidRPr="00686F66" w:rsidRDefault="000B3CB5">
      <w:pPr>
        <w:pStyle w:val="FootnoteText"/>
      </w:pPr>
      <w:r w:rsidRPr="0028668F">
        <w:rPr>
          <w:rStyle w:val="FootnoteReference"/>
        </w:rPr>
        <w:footnoteRef/>
      </w:r>
      <w:r w:rsidR="0028668F">
        <w:tab/>
      </w:r>
      <w:r w:rsidRPr="00686F66">
        <w:t>Regulation (EU) 2021/694 of the European Parliament and of the Council of 29 April 2021 establishing the Digital Europe Programme and repealing Decision (EU) 2015/2240 </w:t>
      </w:r>
      <w:r>
        <w:t>(</w:t>
      </w:r>
      <w:r w:rsidRPr="00686F66">
        <w:t>OJ L 166, 11.5.2021, p. 1</w:t>
      </w:r>
      <w:r>
        <w:t>).</w:t>
      </w:r>
    </w:p>
  </w:footnote>
  <w:footnote w:id="25">
    <w:p w14:paraId="5D24A4E0" w14:textId="77777777" w:rsidR="000B3CB5" w:rsidRDefault="000B3CB5">
      <w:pPr>
        <w:pStyle w:val="FootnoteText"/>
        <w:ind w:left="375" w:hanging="375"/>
      </w:pPr>
      <w:r w:rsidRPr="0028668F">
        <w:rPr>
          <w:rStyle w:val="FootnoteReference"/>
        </w:rPr>
        <w:footnoteRef/>
      </w:r>
      <w:r w:rsidR="0028668F">
        <w:tab/>
      </w:r>
      <w:r>
        <w:t xml:space="preserve">Directive (EU) 2022/2555 of the European Parliament and of the Council of 14 December 2022 on measures for a high common level of cybersecurity across the Union, amending Regulation (EU) No 910/2014 and Directive (EU) 2018/1972, and repealing Directive (EU) 2016/1148 (NIS 2 Directive) </w:t>
      </w:r>
      <w:hyperlink r:id="rId1" w:history="1">
        <w:r w:rsidRPr="006E20C3">
          <w:rPr>
            <w:rStyle w:val="Hyperlink"/>
          </w:rPr>
          <w:t>(OJ L 333, 27.12.2022, p. 80)</w:t>
        </w:r>
      </w:hyperlink>
      <w:r>
        <w:t>.</w:t>
      </w:r>
    </w:p>
  </w:footnote>
  <w:footnote w:id="26">
    <w:p w14:paraId="61D5FCD1" w14:textId="77777777" w:rsidR="000B3CB5" w:rsidRDefault="000B3CB5">
      <w:pPr>
        <w:pStyle w:val="FootnoteText"/>
        <w:ind w:left="375" w:hanging="375"/>
      </w:pPr>
      <w:r w:rsidRPr="0028668F">
        <w:rPr>
          <w:rStyle w:val="FootnoteReference"/>
        </w:rPr>
        <w:footnoteRef/>
      </w:r>
      <w:r w:rsidR="0028668F">
        <w:tab/>
      </w:r>
      <w:r>
        <w:t xml:space="preserve">Council Regulation (EU) 2021/1173 of 13 July 2021 on establishing the European High Performance Computing Joint Undertaking and repealing Regulation (EU) 2018/1488 </w:t>
      </w:r>
      <w:hyperlink r:id="rId2" w:history="1">
        <w:r w:rsidRPr="006E20C3">
          <w:rPr>
            <w:rStyle w:val="Hyperlink"/>
          </w:rPr>
          <w:t>(OJ L 256, 19.7.2021, p. 3)</w:t>
        </w:r>
      </w:hyperlink>
      <w:r>
        <w:t>.</w:t>
      </w:r>
    </w:p>
  </w:footnote>
  <w:footnote w:id="27">
    <w:p w14:paraId="6950B6CA" w14:textId="77777777" w:rsidR="005E6B86" w:rsidRPr="00686F66" w:rsidRDefault="005E6B86">
      <w:pPr>
        <w:pStyle w:val="FootnoteText"/>
      </w:pPr>
      <w:r w:rsidRPr="0028668F">
        <w:rPr>
          <w:rStyle w:val="FootnoteReference"/>
        </w:rPr>
        <w:footnoteRef/>
      </w:r>
      <w:r w:rsidR="0028668F">
        <w:tab/>
      </w:r>
      <w:r w:rsidRPr="005E6B86">
        <w:t>COUNCIL DECISION (CFSP) 2017/ 2315 - of 11 December 2017 - establishing permanent structured cooperation (PESCO) and determining the list of participating Member States</w:t>
      </w:r>
      <w:r>
        <w:t>.</w:t>
      </w:r>
    </w:p>
  </w:footnote>
  <w:footnote w:id="28">
    <w:p w14:paraId="58814D8E" w14:textId="77777777" w:rsidR="000B3CB5" w:rsidRDefault="000B3CB5" w:rsidP="003C7106">
      <w:pPr>
        <w:pStyle w:val="FootnoteText"/>
      </w:pPr>
      <w:r w:rsidRPr="007409A7">
        <w:rPr>
          <w:rStyle w:val="FootnoteReference"/>
        </w:rPr>
        <w:footnoteRef/>
      </w:r>
      <w:r>
        <w:tab/>
      </w:r>
      <w:r w:rsidR="0019132C" w:rsidRPr="008D6611">
        <w:t xml:space="preserve">Decision No 1313/2013/EU </w:t>
      </w:r>
      <w:r w:rsidR="0019132C" w:rsidRPr="0019132C">
        <w:t xml:space="preserve">of the European Parliament and of the Council of 17 December 2013 </w:t>
      </w:r>
      <w:r w:rsidR="0019132C" w:rsidRPr="008D6611">
        <w:t>on a Union Civil Protection Mechanism</w:t>
      </w:r>
      <w:r w:rsidR="0019132C" w:rsidRPr="0019132C">
        <w:t xml:space="preserve"> (OJ L 347, 20.12.2013, p. 924).</w:t>
      </w:r>
    </w:p>
  </w:footnote>
  <w:footnote w:id="29">
    <w:p w14:paraId="7389292F" w14:textId="77777777" w:rsidR="000B3CB5" w:rsidRDefault="000B3CB5" w:rsidP="003C7106">
      <w:pPr>
        <w:pStyle w:val="FootnoteText"/>
      </w:pPr>
      <w:r w:rsidRPr="007409A7">
        <w:rPr>
          <w:rStyle w:val="FootnoteReference"/>
        </w:rPr>
        <w:footnoteRef/>
      </w:r>
      <w:r>
        <w:tab/>
      </w:r>
      <w:r w:rsidRPr="008D6611">
        <w:t xml:space="preserve">Integrated Political Crisis Response arrangements (IPCR) and in accordance </w:t>
      </w:r>
      <w:r w:rsidRPr="0019132C">
        <w:rPr>
          <w:rFonts w:eastAsia="Times New Roman"/>
        </w:rPr>
        <w:t>with</w:t>
      </w:r>
      <w:r w:rsidRPr="008D6611">
        <w:t xml:space="preserve"> Commission Recommendation (EU) 2017/1584 of 13 September 2017 on coordinated response to large-scale cybersecurity incidents and crises.</w:t>
      </w:r>
    </w:p>
  </w:footnote>
  <w:footnote w:id="30">
    <w:p w14:paraId="09F5B514" w14:textId="78785CDF" w:rsidR="00FD6473" w:rsidRPr="00FD6473" w:rsidRDefault="00FD6473">
      <w:pPr>
        <w:pStyle w:val="FootnoteText"/>
        <w:rPr>
          <w:lang w:val="en-IE"/>
        </w:rPr>
      </w:pPr>
      <w:r w:rsidRPr="00E02C08">
        <w:rPr>
          <w:rStyle w:val="FootnoteReference"/>
        </w:rPr>
        <w:footnoteRef/>
      </w:r>
      <w:r w:rsidR="00E02C08">
        <w:tab/>
      </w:r>
      <w:r w:rsidRPr="00FD6473">
        <w:t>Regulation (EU) 2022/2554 of the European Parliament and of the Council of 14 December 2022 on digital operational resilience for the financial sector and amending Regulations (EC) No 1060/2009, (EU) No 648/2012, (EU) No 600/2014, (EU) No 909/2014 and (EU) 2016/1011</w:t>
      </w:r>
    </w:p>
  </w:footnote>
  <w:footnote w:id="31">
    <w:p w14:paraId="6FFDDFCA" w14:textId="77777777" w:rsidR="000B3CB5" w:rsidRDefault="000B3CB5">
      <w:pPr>
        <w:pStyle w:val="FootnoteText"/>
      </w:pPr>
      <w:r w:rsidRPr="0028668F">
        <w:rPr>
          <w:rStyle w:val="FootnoteReference"/>
        </w:rPr>
        <w:footnoteRef/>
      </w:r>
      <w:r w:rsidR="0028668F">
        <w:tab/>
      </w:r>
      <w:r w:rsidRPr="00686F66">
        <w:rPr>
          <w:bCs/>
        </w:rPr>
        <w:t>Directive 2014/24/EU of the European Parliament and of the Council of 26 February 2014 on public procurement and repealing Directive 2004/18/EC</w:t>
      </w:r>
      <w:r>
        <w:rPr>
          <w:bCs/>
        </w:rPr>
        <w:t xml:space="preserve"> (OJ L </w:t>
      </w:r>
      <w:r w:rsidRPr="009C6A1C">
        <w:rPr>
          <w:bCs/>
        </w:rPr>
        <w:t>94 28.3.2014, p. 65</w:t>
      </w:r>
      <w:r>
        <w:rPr>
          <w:bCs/>
        </w:rPr>
        <w:t>).</w:t>
      </w:r>
    </w:p>
  </w:footnote>
  <w:footnote w:id="32">
    <w:p w14:paraId="0E9F0B66" w14:textId="767C5C80" w:rsidR="00D23933" w:rsidRPr="005D7264" w:rsidRDefault="00D23933">
      <w:pPr>
        <w:pStyle w:val="FootnoteText"/>
        <w:rPr>
          <w:lang w:val="en-IE"/>
        </w:rPr>
      </w:pPr>
      <w:r w:rsidRPr="00E02C08">
        <w:rPr>
          <w:rStyle w:val="FootnoteReference"/>
        </w:rPr>
        <w:footnoteRef/>
      </w:r>
      <w:r w:rsidR="00E02C08">
        <w:tab/>
      </w:r>
      <w:r w:rsidRPr="00D23933">
        <w:t>Decision No 1313/2013/EU of the European Parliament and of the Council of 17 December 2013 on a Union Civil Protection Mechanism (OJ L 347, 20.12.2013, p. 924).</w:t>
      </w:r>
    </w:p>
  </w:footnote>
  <w:footnote w:id="33">
    <w:p w14:paraId="22137F9F" w14:textId="77777777" w:rsidR="003E1756" w:rsidRPr="000811A5" w:rsidRDefault="003E1756" w:rsidP="003E1756">
      <w:pPr>
        <w:pStyle w:val="FootnoteText"/>
      </w:pPr>
      <w:r w:rsidRPr="0028668F">
        <w:rPr>
          <w:rStyle w:val="FootnoteReference"/>
        </w:rPr>
        <w:footnoteRef/>
      </w:r>
      <w:r w:rsidR="0028668F">
        <w:tab/>
      </w:r>
      <w:r>
        <w:t>Regulation (EU) 2021/887 of the European Parliament and of the Council of 20 May 2021 establishing the European Cybersecurity Industrial, Technology and Research Competence Centre and the Network of National Coordination Centres</w:t>
      </w:r>
      <w:r w:rsidR="00A4211B">
        <w:t>, (OJ L 202, 8.6.2021, p. 1-31).</w:t>
      </w:r>
    </w:p>
  </w:footnote>
  <w:footnote w:id="34">
    <w:p w14:paraId="6113C236" w14:textId="77777777" w:rsidR="000B3CB5" w:rsidRDefault="000B3CB5">
      <w:pPr>
        <w:pStyle w:val="FootnoteText"/>
        <w:rPr>
          <w:szCs w:val="24"/>
        </w:rPr>
      </w:pPr>
      <w:r>
        <w:rPr>
          <w:rStyle w:val="FootnoteReference"/>
        </w:rPr>
        <w:footnoteRef/>
      </w:r>
      <w:r>
        <w:tab/>
        <w:t>As referred to in Article 58(2)(a) or (b) of the Financial Regulation.</w:t>
      </w:r>
    </w:p>
  </w:footnote>
  <w:footnote w:id="35">
    <w:p w14:paraId="4E0E8E72" w14:textId="77777777" w:rsidR="000B3CB5" w:rsidRDefault="000B3CB5" w:rsidP="00A17F5C">
      <w:pPr>
        <w:pStyle w:val="FootnoteText"/>
      </w:pPr>
      <w:r w:rsidRPr="007409A7">
        <w:rPr>
          <w:rStyle w:val="FootnoteReference"/>
        </w:rPr>
        <w:footnoteRef/>
      </w:r>
      <w:r>
        <w:tab/>
        <w:t>The actions in the Act should be supported by the next Multiannual Financial Framework.</w:t>
      </w:r>
    </w:p>
  </w:footnote>
  <w:footnote w:id="36">
    <w:p w14:paraId="1F7B9CC8" w14:textId="77777777" w:rsidR="000B3CB5" w:rsidRDefault="000B3CB5">
      <w:pPr>
        <w:pStyle w:val="FootnoteText"/>
        <w:jc w:val="left"/>
        <w:rPr>
          <w:szCs w:val="24"/>
        </w:rPr>
      </w:pPr>
      <w:r>
        <w:rPr>
          <w:rStyle w:val="FootnoteReference"/>
        </w:rPr>
        <w:footnoteRef/>
      </w:r>
      <w:r>
        <w:tab/>
        <w:t xml:space="preserve">Details of budget implementation methods and references to the Financial Regulation may be found on the BUDGpedia site: </w:t>
      </w:r>
      <w:hyperlink r:id="rId3" w:history="1">
        <w:r w:rsidRPr="00974254">
          <w:rPr>
            <w:rStyle w:val="Hyperlink"/>
          </w:rPr>
          <w:t>https://myintracomm.ec.europa.eu/corp/budget/financial-rules/budget-implementation/Pages/implementation-methods.aspx</w:t>
        </w:r>
      </w:hyperlink>
    </w:p>
  </w:footnote>
  <w:footnote w:id="37">
    <w:p w14:paraId="643A77AD" w14:textId="77777777" w:rsidR="000B3CB5" w:rsidRDefault="000B3CB5" w:rsidP="00022AED">
      <w:pPr>
        <w:pStyle w:val="FootnoteText"/>
        <w:rPr>
          <w:szCs w:val="24"/>
        </w:rPr>
      </w:pPr>
      <w:r>
        <w:rPr>
          <w:rStyle w:val="FootnoteReference"/>
        </w:rPr>
        <w:footnoteRef/>
      </w:r>
      <w:r>
        <w:tab/>
        <w:t>Diff. = Differentiated appropriations / Non-diff. = Non-differentiated appropriations.</w:t>
      </w:r>
    </w:p>
  </w:footnote>
  <w:footnote w:id="38">
    <w:p w14:paraId="320E0B94" w14:textId="77777777" w:rsidR="000B3CB5" w:rsidRDefault="000B3CB5" w:rsidP="00022AED">
      <w:pPr>
        <w:pStyle w:val="FootnoteText"/>
        <w:rPr>
          <w:szCs w:val="24"/>
        </w:rPr>
      </w:pPr>
      <w:r>
        <w:rPr>
          <w:rStyle w:val="FootnoteReference"/>
        </w:rPr>
        <w:footnoteRef/>
      </w:r>
      <w:r>
        <w:tab/>
        <w:t xml:space="preserve">EFTA: European Free Trade Association. </w:t>
      </w:r>
    </w:p>
  </w:footnote>
  <w:footnote w:id="39">
    <w:p w14:paraId="5FDEFD89" w14:textId="77777777" w:rsidR="000B3CB5" w:rsidRDefault="000B3CB5" w:rsidP="00022AED">
      <w:pPr>
        <w:pStyle w:val="FootnoteText"/>
      </w:pPr>
      <w:r>
        <w:rPr>
          <w:rStyle w:val="FootnoteReference"/>
        </w:rPr>
        <w:footnoteRef/>
      </w:r>
      <w:r>
        <w:tab/>
        <w:t>Candidate countries and, where applicable, potential candidate countries.</w:t>
      </w:r>
    </w:p>
  </w:footnote>
  <w:footnote w:id="40">
    <w:p w14:paraId="08B169A2" w14:textId="77777777" w:rsidR="000B3CB5" w:rsidRPr="001A68DA" w:rsidRDefault="000B3CB5" w:rsidP="00400463">
      <w:pPr>
        <w:pStyle w:val="FootnoteText"/>
        <w:rPr>
          <w:sz w:val="18"/>
          <w:szCs w:val="18"/>
        </w:rPr>
      </w:pPr>
      <w:r w:rsidRPr="008C43A5">
        <w:rPr>
          <w:rStyle w:val="FootnoteReference"/>
        </w:rPr>
        <w:footnoteRef/>
      </w:r>
      <w:r>
        <w:rPr>
          <w:sz w:val="18"/>
          <w:szCs w:val="18"/>
        </w:rPr>
        <w:tab/>
      </w:r>
      <w:r w:rsidRPr="007974DD">
        <w:rPr>
          <w:sz w:val="18"/>
          <w:szCs w:val="18"/>
        </w:rPr>
        <w:t>According to the official budget nomenclature</w:t>
      </w:r>
      <w:r>
        <w:rPr>
          <w:sz w:val="18"/>
          <w:szCs w:val="18"/>
        </w:rPr>
        <w:t>.</w:t>
      </w:r>
    </w:p>
  </w:footnote>
  <w:footnote w:id="41">
    <w:p w14:paraId="192E1ECE" w14:textId="77777777" w:rsidR="000B3CB5" w:rsidRDefault="000B3CB5" w:rsidP="00400463">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42">
    <w:p w14:paraId="19608C18" w14:textId="77777777" w:rsidR="000B3CB5" w:rsidRDefault="000B3CB5">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43">
    <w:p w14:paraId="27EB4498" w14:textId="77777777" w:rsidR="000B3CB5" w:rsidRDefault="000B3CB5">
      <w:pPr>
        <w:pStyle w:val="FootnoteText"/>
        <w:rPr>
          <w:szCs w:val="24"/>
        </w:rPr>
      </w:pPr>
      <w:r>
        <w:rPr>
          <w:rStyle w:val="FootnoteReference"/>
        </w:rPr>
        <w:footnoteRef/>
      </w:r>
      <w:r>
        <w:tab/>
        <w:t xml:space="preserve">As described in point 1.4.2. ‘Specific objective(s)…’ </w:t>
      </w:r>
    </w:p>
  </w:footnote>
  <w:footnote w:id="44">
    <w:p w14:paraId="07B346D3" w14:textId="77777777" w:rsidR="000B3CB5" w:rsidRDefault="000B3CB5" w:rsidP="003751D9">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45">
    <w:p w14:paraId="03B0CAB2" w14:textId="77777777" w:rsidR="000B3CB5" w:rsidRDefault="000B3CB5" w:rsidP="008852B0">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46">
    <w:p w14:paraId="305CD16D" w14:textId="77777777" w:rsidR="000B3CB5" w:rsidRDefault="000B3CB5" w:rsidP="008852B0">
      <w:pPr>
        <w:pStyle w:val="FootnoteText"/>
        <w:rPr>
          <w:szCs w:val="24"/>
        </w:rPr>
      </w:pPr>
      <w:r>
        <w:rPr>
          <w:rStyle w:val="FootnoteReference"/>
        </w:rPr>
        <w:footnoteRef/>
      </w:r>
      <w:r>
        <w:tab/>
        <w:t>Sub-ceiling for external staff covered by operational appropriations (former ‘BA’ lines).</w:t>
      </w:r>
    </w:p>
  </w:footnote>
  <w:footnote w:id="47">
    <w:p w14:paraId="73DB165D" w14:textId="77777777" w:rsidR="000B3CB5" w:rsidRDefault="000B3CB5">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48">
    <w:p w14:paraId="36F5F0D6" w14:textId="77777777" w:rsidR="000B3CB5" w:rsidRDefault="000B3CB5">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65D7" w14:textId="77777777" w:rsidR="00E17AC8" w:rsidRPr="00E17AC8" w:rsidRDefault="00E17AC8" w:rsidP="00E17AC8">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9937" w14:textId="77777777" w:rsidR="00E17AC8" w:rsidRPr="00E17AC8" w:rsidRDefault="00E17AC8" w:rsidP="00E17AC8">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529F" w14:textId="77777777" w:rsidR="00E02C08" w:rsidRPr="00E02C08" w:rsidRDefault="00E02C08" w:rsidP="00E17A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04A2" w14:textId="77777777" w:rsidR="00E17AC8" w:rsidRPr="00E17AC8" w:rsidRDefault="00E17AC8" w:rsidP="00E17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0C36733"/>
    <w:multiLevelType w:val="hybridMultilevel"/>
    <w:tmpl w:val="0F28E850"/>
    <w:lvl w:ilvl="0" w:tplc="FFFFFFFF">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3CFD0BD"/>
    <w:multiLevelType w:val="hybridMultilevel"/>
    <w:tmpl w:val="FFFFFFFF"/>
    <w:lvl w:ilvl="0" w:tplc="FFFFFFFF">
      <w:start w:val="1"/>
      <w:numFmt w:val="decimal"/>
      <w:lvlText w:val="%1."/>
      <w:lvlJc w:val="left"/>
      <w:pPr>
        <w:ind w:left="720" w:hanging="360"/>
      </w:pPr>
    </w:lvl>
    <w:lvl w:ilvl="1" w:tplc="4E520D28">
      <w:start w:val="1"/>
      <w:numFmt w:val="lowerLetter"/>
      <w:lvlText w:val="%2."/>
      <w:lvlJc w:val="left"/>
      <w:pPr>
        <w:ind w:left="1440" w:hanging="360"/>
      </w:pPr>
    </w:lvl>
    <w:lvl w:ilvl="2" w:tplc="F93AD202">
      <w:start w:val="1"/>
      <w:numFmt w:val="lowerRoman"/>
      <w:lvlText w:val="%3."/>
      <w:lvlJc w:val="right"/>
      <w:pPr>
        <w:ind w:left="2160" w:hanging="180"/>
      </w:pPr>
    </w:lvl>
    <w:lvl w:ilvl="3" w:tplc="466CEB8E">
      <w:start w:val="1"/>
      <w:numFmt w:val="decimal"/>
      <w:lvlText w:val="%4."/>
      <w:lvlJc w:val="left"/>
      <w:pPr>
        <w:ind w:left="2880" w:hanging="360"/>
      </w:pPr>
    </w:lvl>
    <w:lvl w:ilvl="4" w:tplc="36F85438">
      <w:start w:val="1"/>
      <w:numFmt w:val="lowerLetter"/>
      <w:lvlText w:val="%5."/>
      <w:lvlJc w:val="left"/>
      <w:pPr>
        <w:ind w:left="3600" w:hanging="360"/>
      </w:pPr>
    </w:lvl>
    <w:lvl w:ilvl="5" w:tplc="842C198A">
      <w:start w:val="1"/>
      <w:numFmt w:val="lowerRoman"/>
      <w:lvlText w:val="%6."/>
      <w:lvlJc w:val="right"/>
      <w:pPr>
        <w:ind w:left="4320" w:hanging="180"/>
      </w:pPr>
    </w:lvl>
    <w:lvl w:ilvl="6" w:tplc="3954C514">
      <w:start w:val="1"/>
      <w:numFmt w:val="decimal"/>
      <w:lvlText w:val="%7."/>
      <w:lvlJc w:val="left"/>
      <w:pPr>
        <w:ind w:left="5040" w:hanging="360"/>
      </w:pPr>
    </w:lvl>
    <w:lvl w:ilvl="7" w:tplc="1EF2A51A">
      <w:start w:val="1"/>
      <w:numFmt w:val="lowerLetter"/>
      <w:lvlText w:val="%8."/>
      <w:lvlJc w:val="left"/>
      <w:pPr>
        <w:ind w:left="5760" w:hanging="360"/>
      </w:pPr>
    </w:lvl>
    <w:lvl w:ilvl="8" w:tplc="87320290">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4878F5"/>
    <w:multiLevelType w:val="hybridMultilevel"/>
    <w:tmpl w:val="00C858B8"/>
    <w:lvl w:ilvl="0" w:tplc="FFFFFFFF">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7"/>
  </w:num>
  <w:num w:numId="4">
    <w:abstractNumId w:val="17"/>
  </w:num>
  <w:num w:numId="5">
    <w:abstractNumId w:val="16"/>
  </w:num>
  <w:num w:numId="6">
    <w:abstractNumId w:val="29"/>
  </w:num>
  <w:num w:numId="7">
    <w:abstractNumId w:val="24"/>
  </w:num>
  <w:num w:numId="8">
    <w:abstractNumId w:val="30"/>
  </w:num>
  <w:num w:numId="9">
    <w:abstractNumId w:val="31"/>
  </w:num>
  <w:num w:numId="10">
    <w:abstractNumId w:val="1"/>
  </w:num>
  <w:num w:numId="11">
    <w:abstractNumId w:val="10"/>
  </w:num>
  <w:num w:numId="12">
    <w:abstractNumId w:val="2"/>
  </w:num>
  <w:num w:numId="13">
    <w:abstractNumId w:val="11"/>
  </w:num>
  <w:num w:numId="14">
    <w:abstractNumId w:val="8"/>
  </w:num>
  <w:num w:numId="15">
    <w:abstractNumId w:val="18"/>
  </w:num>
  <w:num w:numId="16">
    <w:abstractNumId w:val="25"/>
  </w:num>
  <w:num w:numId="17">
    <w:abstractNumId w:val="9"/>
  </w:num>
  <w:num w:numId="18">
    <w:abstractNumId w:val="27"/>
  </w:num>
  <w:num w:numId="19">
    <w:abstractNumId w:val="21"/>
    <w:lvlOverride w:ilvl="0">
      <w:startOverride w:val="1"/>
    </w:lvlOverride>
  </w:num>
  <w:num w:numId="20">
    <w:abstractNumId w:val="15"/>
    <w:lvlOverride w:ilvl="0">
      <w:startOverride w:val="1"/>
    </w:lvlOverride>
  </w:num>
  <w:num w:numId="21">
    <w:abstractNumId w:val="23"/>
  </w:num>
  <w:num w:numId="22">
    <w:abstractNumId w:val="12"/>
  </w:num>
  <w:num w:numId="23">
    <w:abstractNumId w:val="28"/>
  </w:num>
  <w:num w:numId="24">
    <w:abstractNumId w:val="6"/>
  </w:num>
  <w:num w:numId="25">
    <w:abstractNumId w:val="13"/>
  </w:num>
  <w:num w:numId="26">
    <w:abstractNumId w:val="14"/>
  </w:num>
  <w:num w:numId="27">
    <w:abstractNumId w:val="4"/>
  </w:num>
  <w:num w:numId="28">
    <w:abstractNumId w:val="26"/>
  </w:num>
  <w:num w:numId="29">
    <w:abstractNumId w:val="3"/>
  </w:num>
  <w:num w:numId="30">
    <w:abstractNumId w:val="15"/>
  </w:num>
  <w:num w:numId="31">
    <w:abstractNumId w:val="21"/>
  </w:num>
  <w:num w:numId="32">
    <w:abstractNumId w:val="22"/>
  </w:num>
  <w:num w:numId="33">
    <w:abstractNumId w:val="5"/>
  </w:num>
  <w:num w:numId="34">
    <w:abstractNumId w:val="19"/>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l-PL"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BE" w:vendorID="64" w:dllVersion="6"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17 11:18: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FA609845-03E6-483F-8FBC-CDAB54F48D10"/>
    <w:docVar w:name="LW_COVERPAGE_TYPE" w:val="1"/>
    <w:docVar w:name="LW_CROSSREFERENCE" w:val="&lt;UNUSED&gt;"/>
    <w:docVar w:name="LW_DocType" w:val="COM"/>
    <w:docVar w:name="LW_EMISSION" w:val="18.4.2023"/>
    <w:docVar w:name="LW_EMISSION_ISODATE" w:val="2023-04-18"/>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09"/>
    <w:docVar w:name="LW_REF.II.NEW.CP_YEAR" w:val="2023"/>
    <w:docVar w:name="LW_REF.INST.NEW" w:val="COM"/>
    <w:docVar w:name="LW_REF.INST.NEW_ADOPTED" w:val="final"/>
    <w:docVar w:name="LW_REF.INST.NEW_TEXT" w:val="(2023) 2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measures to strengthen solidarity and capacities in the Union to detect, prepare for and respond to cybersecurity threats and incidents"/>
    <w:docVar w:name="LW_TYPE.DOC.CP" w:val="REGULATION OF THE EUROPEAN PARLIAMENT AND OF THE COUNCIL"/>
    <w:docVar w:name="LwApiVersions" w:val="LW4CoDe 1.23.2.0; LW 8.0, Build 20211117"/>
  </w:docVars>
  <w:rsids>
    <w:rsidRoot w:val="004770F6"/>
    <w:rsid w:val="00000B59"/>
    <w:rsid w:val="00000EB3"/>
    <w:rsid w:val="00001BB7"/>
    <w:rsid w:val="00001C3D"/>
    <w:rsid w:val="000031E2"/>
    <w:rsid w:val="00003B28"/>
    <w:rsid w:val="0000489E"/>
    <w:rsid w:val="00005F4E"/>
    <w:rsid w:val="00005FF2"/>
    <w:rsid w:val="00006E5A"/>
    <w:rsid w:val="00006F5B"/>
    <w:rsid w:val="00007D92"/>
    <w:rsid w:val="00010645"/>
    <w:rsid w:val="00010856"/>
    <w:rsid w:val="000114F9"/>
    <w:rsid w:val="00011B0F"/>
    <w:rsid w:val="0001543A"/>
    <w:rsid w:val="00016CC6"/>
    <w:rsid w:val="00017141"/>
    <w:rsid w:val="000173F1"/>
    <w:rsid w:val="00020974"/>
    <w:rsid w:val="000217F2"/>
    <w:rsid w:val="00021CD7"/>
    <w:rsid w:val="0002247C"/>
    <w:rsid w:val="00022AED"/>
    <w:rsid w:val="0002343B"/>
    <w:rsid w:val="000239F8"/>
    <w:rsid w:val="00023CFE"/>
    <w:rsid w:val="000242AA"/>
    <w:rsid w:val="00024A2B"/>
    <w:rsid w:val="000252C4"/>
    <w:rsid w:val="000252E5"/>
    <w:rsid w:val="00025732"/>
    <w:rsid w:val="00025B4F"/>
    <w:rsid w:val="00026E18"/>
    <w:rsid w:val="000271C0"/>
    <w:rsid w:val="000271DE"/>
    <w:rsid w:val="00027A49"/>
    <w:rsid w:val="0003031C"/>
    <w:rsid w:val="0003068D"/>
    <w:rsid w:val="000317B4"/>
    <w:rsid w:val="000317BC"/>
    <w:rsid w:val="00032078"/>
    <w:rsid w:val="00032806"/>
    <w:rsid w:val="0003384B"/>
    <w:rsid w:val="00033AB9"/>
    <w:rsid w:val="000360F3"/>
    <w:rsid w:val="000369E1"/>
    <w:rsid w:val="00037041"/>
    <w:rsid w:val="000370C9"/>
    <w:rsid w:val="00037C61"/>
    <w:rsid w:val="00037EEA"/>
    <w:rsid w:val="0003BEC1"/>
    <w:rsid w:val="000404DA"/>
    <w:rsid w:val="000408D9"/>
    <w:rsid w:val="000414E8"/>
    <w:rsid w:val="0004213F"/>
    <w:rsid w:val="00042369"/>
    <w:rsid w:val="00043B4E"/>
    <w:rsid w:val="00043BFA"/>
    <w:rsid w:val="00043E4A"/>
    <w:rsid w:val="000448D6"/>
    <w:rsid w:val="00044CB1"/>
    <w:rsid w:val="00045243"/>
    <w:rsid w:val="000455C2"/>
    <w:rsid w:val="00045B3C"/>
    <w:rsid w:val="000504FB"/>
    <w:rsid w:val="00050BC9"/>
    <w:rsid w:val="00051856"/>
    <w:rsid w:val="00052920"/>
    <w:rsid w:val="00052AD8"/>
    <w:rsid w:val="00052E3F"/>
    <w:rsid w:val="00053476"/>
    <w:rsid w:val="00053E70"/>
    <w:rsid w:val="00054A82"/>
    <w:rsid w:val="00054F58"/>
    <w:rsid w:val="00055190"/>
    <w:rsid w:val="00060F00"/>
    <w:rsid w:val="0006223C"/>
    <w:rsid w:val="00063597"/>
    <w:rsid w:val="0006381E"/>
    <w:rsid w:val="00063B03"/>
    <w:rsid w:val="0006432D"/>
    <w:rsid w:val="0006507D"/>
    <w:rsid w:val="0006547B"/>
    <w:rsid w:val="00066A28"/>
    <w:rsid w:val="00067147"/>
    <w:rsid w:val="00067E4B"/>
    <w:rsid w:val="0006F724"/>
    <w:rsid w:val="000700DA"/>
    <w:rsid w:val="0007016B"/>
    <w:rsid w:val="00070198"/>
    <w:rsid w:val="00070B47"/>
    <w:rsid w:val="00071AFF"/>
    <w:rsid w:val="000721C8"/>
    <w:rsid w:val="000725FE"/>
    <w:rsid w:val="00072DAB"/>
    <w:rsid w:val="000730B5"/>
    <w:rsid w:val="00073B6A"/>
    <w:rsid w:val="000740A7"/>
    <w:rsid w:val="0007594B"/>
    <w:rsid w:val="000773A2"/>
    <w:rsid w:val="000775C8"/>
    <w:rsid w:val="0007770C"/>
    <w:rsid w:val="00077713"/>
    <w:rsid w:val="00077C0F"/>
    <w:rsid w:val="00077E79"/>
    <w:rsid w:val="00077FA8"/>
    <w:rsid w:val="00080155"/>
    <w:rsid w:val="0008067E"/>
    <w:rsid w:val="0008085F"/>
    <w:rsid w:val="00080B71"/>
    <w:rsid w:val="00080F34"/>
    <w:rsid w:val="000811A5"/>
    <w:rsid w:val="00081FD2"/>
    <w:rsid w:val="000830E3"/>
    <w:rsid w:val="00083E2E"/>
    <w:rsid w:val="0008480B"/>
    <w:rsid w:val="00085155"/>
    <w:rsid w:val="00086554"/>
    <w:rsid w:val="00087438"/>
    <w:rsid w:val="00087BDC"/>
    <w:rsid w:val="0009096F"/>
    <w:rsid w:val="00090FD9"/>
    <w:rsid w:val="000912AC"/>
    <w:rsid w:val="00091919"/>
    <w:rsid w:val="00091B3C"/>
    <w:rsid w:val="00092393"/>
    <w:rsid w:val="00093643"/>
    <w:rsid w:val="000940BD"/>
    <w:rsid w:val="00094A7E"/>
    <w:rsid w:val="00094E26"/>
    <w:rsid w:val="000960E6"/>
    <w:rsid w:val="0009621B"/>
    <w:rsid w:val="00097874"/>
    <w:rsid w:val="000A0839"/>
    <w:rsid w:val="000A0B2D"/>
    <w:rsid w:val="000A37C6"/>
    <w:rsid w:val="000A3A10"/>
    <w:rsid w:val="000A4BFC"/>
    <w:rsid w:val="000A551F"/>
    <w:rsid w:val="000A5AC2"/>
    <w:rsid w:val="000A65DD"/>
    <w:rsid w:val="000A6802"/>
    <w:rsid w:val="000A6843"/>
    <w:rsid w:val="000A7367"/>
    <w:rsid w:val="000A7C87"/>
    <w:rsid w:val="000B0773"/>
    <w:rsid w:val="000B08CC"/>
    <w:rsid w:val="000B1663"/>
    <w:rsid w:val="000B2232"/>
    <w:rsid w:val="000B303C"/>
    <w:rsid w:val="000B3CB5"/>
    <w:rsid w:val="000B3D2B"/>
    <w:rsid w:val="000B41E3"/>
    <w:rsid w:val="000B50DB"/>
    <w:rsid w:val="000B5323"/>
    <w:rsid w:val="000B5A27"/>
    <w:rsid w:val="000B60A4"/>
    <w:rsid w:val="000C10A3"/>
    <w:rsid w:val="000C1A96"/>
    <w:rsid w:val="000C2FC8"/>
    <w:rsid w:val="000C3A83"/>
    <w:rsid w:val="000C3D1A"/>
    <w:rsid w:val="000C446D"/>
    <w:rsid w:val="000C4CC5"/>
    <w:rsid w:val="000C62C9"/>
    <w:rsid w:val="000C69E6"/>
    <w:rsid w:val="000D2074"/>
    <w:rsid w:val="000D20AF"/>
    <w:rsid w:val="000D32D3"/>
    <w:rsid w:val="000D49F9"/>
    <w:rsid w:val="000D4FD5"/>
    <w:rsid w:val="000D52EC"/>
    <w:rsid w:val="000D6C48"/>
    <w:rsid w:val="000D6ED2"/>
    <w:rsid w:val="000D6F11"/>
    <w:rsid w:val="000D7A07"/>
    <w:rsid w:val="000E04D8"/>
    <w:rsid w:val="000E093B"/>
    <w:rsid w:val="000E0DCF"/>
    <w:rsid w:val="000E1DB2"/>
    <w:rsid w:val="000E2AE6"/>
    <w:rsid w:val="000E5080"/>
    <w:rsid w:val="000E5602"/>
    <w:rsid w:val="000E60A5"/>
    <w:rsid w:val="000E7BA3"/>
    <w:rsid w:val="000F0954"/>
    <w:rsid w:val="000F0CBF"/>
    <w:rsid w:val="000F0CCF"/>
    <w:rsid w:val="000F173E"/>
    <w:rsid w:val="000F1EF7"/>
    <w:rsid w:val="000F275A"/>
    <w:rsid w:val="000F2B30"/>
    <w:rsid w:val="000F321D"/>
    <w:rsid w:val="000F386D"/>
    <w:rsid w:val="000F4049"/>
    <w:rsid w:val="000F5BC5"/>
    <w:rsid w:val="000F5ED1"/>
    <w:rsid w:val="000F78BC"/>
    <w:rsid w:val="0010053D"/>
    <w:rsid w:val="00100E2D"/>
    <w:rsid w:val="00101429"/>
    <w:rsid w:val="001029F6"/>
    <w:rsid w:val="001052E2"/>
    <w:rsid w:val="001054DE"/>
    <w:rsid w:val="00105A23"/>
    <w:rsid w:val="00105BD6"/>
    <w:rsid w:val="001065F5"/>
    <w:rsid w:val="001066A9"/>
    <w:rsid w:val="00110629"/>
    <w:rsid w:val="001107BF"/>
    <w:rsid w:val="00111620"/>
    <w:rsid w:val="001116A7"/>
    <w:rsid w:val="0011219B"/>
    <w:rsid w:val="00114175"/>
    <w:rsid w:val="00114907"/>
    <w:rsid w:val="00114A1C"/>
    <w:rsid w:val="00115D59"/>
    <w:rsid w:val="001168A8"/>
    <w:rsid w:val="00116DFB"/>
    <w:rsid w:val="001173DF"/>
    <w:rsid w:val="00117CA7"/>
    <w:rsid w:val="00117E03"/>
    <w:rsid w:val="00120490"/>
    <w:rsid w:val="00121603"/>
    <w:rsid w:val="00121905"/>
    <w:rsid w:val="00121B32"/>
    <w:rsid w:val="00121FD6"/>
    <w:rsid w:val="00122649"/>
    <w:rsid w:val="00122DF9"/>
    <w:rsid w:val="001238EF"/>
    <w:rsid w:val="00123E30"/>
    <w:rsid w:val="001246F0"/>
    <w:rsid w:val="00125F80"/>
    <w:rsid w:val="0013132C"/>
    <w:rsid w:val="001319D4"/>
    <w:rsid w:val="001322CC"/>
    <w:rsid w:val="001329B7"/>
    <w:rsid w:val="00132F84"/>
    <w:rsid w:val="001330AC"/>
    <w:rsid w:val="00133312"/>
    <w:rsid w:val="00133A3B"/>
    <w:rsid w:val="00134205"/>
    <w:rsid w:val="00134448"/>
    <w:rsid w:val="00134D3E"/>
    <w:rsid w:val="00134E29"/>
    <w:rsid w:val="0013531C"/>
    <w:rsid w:val="00136AFA"/>
    <w:rsid w:val="00140541"/>
    <w:rsid w:val="00140E7C"/>
    <w:rsid w:val="0014210D"/>
    <w:rsid w:val="00143213"/>
    <w:rsid w:val="00143291"/>
    <w:rsid w:val="00143E0F"/>
    <w:rsid w:val="00146202"/>
    <w:rsid w:val="001463B2"/>
    <w:rsid w:val="00146783"/>
    <w:rsid w:val="00147262"/>
    <w:rsid w:val="00152225"/>
    <w:rsid w:val="001536A0"/>
    <w:rsid w:val="00154834"/>
    <w:rsid w:val="0015488E"/>
    <w:rsid w:val="001550B3"/>
    <w:rsid w:val="00161A40"/>
    <w:rsid w:val="00161BA3"/>
    <w:rsid w:val="00163185"/>
    <w:rsid w:val="0016318A"/>
    <w:rsid w:val="00163AAD"/>
    <w:rsid w:val="00164C74"/>
    <w:rsid w:val="001659D3"/>
    <w:rsid w:val="00165D5E"/>
    <w:rsid w:val="0016649A"/>
    <w:rsid w:val="00166B55"/>
    <w:rsid w:val="001701D5"/>
    <w:rsid w:val="00170EA0"/>
    <w:rsid w:val="00172E0F"/>
    <w:rsid w:val="00172F09"/>
    <w:rsid w:val="0017374E"/>
    <w:rsid w:val="00174BD6"/>
    <w:rsid w:val="00175642"/>
    <w:rsid w:val="00176856"/>
    <w:rsid w:val="0017724E"/>
    <w:rsid w:val="00177BBA"/>
    <w:rsid w:val="001802FE"/>
    <w:rsid w:val="00180D3A"/>
    <w:rsid w:val="00183680"/>
    <w:rsid w:val="00183E3C"/>
    <w:rsid w:val="00184C10"/>
    <w:rsid w:val="00184D46"/>
    <w:rsid w:val="0018755A"/>
    <w:rsid w:val="00187A4A"/>
    <w:rsid w:val="00187F1A"/>
    <w:rsid w:val="0019045E"/>
    <w:rsid w:val="0019100F"/>
    <w:rsid w:val="00191049"/>
    <w:rsid w:val="0019132C"/>
    <w:rsid w:val="00191CAD"/>
    <w:rsid w:val="00192283"/>
    <w:rsid w:val="001926B7"/>
    <w:rsid w:val="00193105"/>
    <w:rsid w:val="0019656B"/>
    <w:rsid w:val="0019698F"/>
    <w:rsid w:val="00197613"/>
    <w:rsid w:val="001A0B27"/>
    <w:rsid w:val="001A2FAD"/>
    <w:rsid w:val="001A5028"/>
    <w:rsid w:val="001A5210"/>
    <w:rsid w:val="001A563E"/>
    <w:rsid w:val="001A5B1F"/>
    <w:rsid w:val="001A610C"/>
    <w:rsid w:val="001A643A"/>
    <w:rsid w:val="001A65BB"/>
    <w:rsid w:val="001B0501"/>
    <w:rsid w:val="001B082C"/>
    <w:rsid w:val="001B0F66"/>
    <w:rsid w:val="001B0F8B"/>
    <w:rsid w:val="001B181C"/>
    <w:rsid w:val="001B1F2A"/>
    <w:rsid w:val="001B7D35"/>
    <w:rsid w:val="001C03E2"/>
    <w:rsid w:val="001C25A1"/>
    <w:rsid w:val="001C3686"/>
    <w:rsid w:val="001C3EB4"/>
    <w:rsid w:val="001C4A1D"/>
    <w:rsid w:val="001C4DF1"/>
    <w:rsid w:val="001C501C"/>
    <w:rsid w:val="001C5EBE"/>
    <w:rsid w:val="001C6283"/>
    <w:rsid w:val="001C6BE4"/>
    <w:rsid w:val="001C6FCB"/>
    <w:rsid w:val="001C7B16"/>
    <w:rsid w:val="001C7BDA"/>
    <w:rsid w:val="001CBFDA"/>
    <w:rsid w:val="001D0775"/>
    <w:rsid w:val="001D2956"/>
    <w:rsid w:val="001D37FB"/>
    <w:rsid w:val="001D3D97"/>
    <w:rsid w:val="001D3FAD"/>
    <w:rsid w:val="001E0D11"/>
    <w:rsid w:val="001E32B6"/>
    <w:rsid w:val="001E3FA6"/>
    <w:rsid w:val="001E4649"/>
    <w:rsid w:val="001E4C28"/>
    <w:rsid w:val="001E523C"/>
    <w:rsid w:val="001E7A7A"/>
    <w:rsid w:val="001F0233"/>
    <w:rsid w:val="001F0F3A"/>
    <w:rsid w:val="001F1CC5"/>
    <w:rsid w:val="001F39DB"/>
    <w:rsid w:val="001F47B1"/>
    <w:rsid w:val="001F489E"/>
    <w:rsid w:val="001F4EA4"/>
    <w:rsid w:val="001F4EBF"/>
    <w:rsid w:val="001F555D"/>
    <w:rsid w:val="001F5A54"/>
    <w:rsid w:val="001F6463"/>
    <w:rsid w:val="001F721F"/>
    <w:rsid w:val="002001E1"/>
    <w:rsid w:val="002005FF"/>
    <w:rsid w:val="00200A2C"/>
    <w:rsid w:val="00201569"/>
    <w:rsid w:val="00201DC6"/>
    <w:rsid w:val="00201F06"/>
    <w:rsid w:val="00203CF6"/>
    <w:rsid w:val="00204253"/>
    <w:rsid w:val="0020470C"/>
    <w:rsid w:val="00205237"/>
    <w:rsid w:val="00205365"/>
    <w:rsid w:val="0020589C"/>
    <w:rsid w:val="0020631A"/>
    <w:rsid w:val="00207D58"/>
    <w:rsid w:val="0021074A"/>
    <w:rsid w:val="00211114"/>
    <w:rsid w:val="00211973"/>
    <w:rsid w:val="00212046"/>
    <w:rsid w:val="00212119"/>
    <w:rsid w:val="0021654F"/>
    <w:rsid w:val="002168C5"/>
    <w:rsid w:val="002176E0"/>
    <w:rsid w:val="002212C0"/>
    <w:rsid w:val="00221334"/>
    <w:rsid w:val="0022133D"/>
    <w:rsid w:val="002219EF"/>
    <w:rsid w:val="002226E8"/>
    <w:rsid w:val="0022273A"/>
    <w:rsid w:val="0022295B"/>
    <w:rsid w:val="00222EA3"/>
    <w:rsid w:val="00224628"/>
    <w:rsid w:val="00224AA4"/>
    <w:rsid w:val="002309A7"/>
    <w:rsid w:val="002315A4"/>
    <w:rsid w:val="0023204E"/>
    <w:rsid w:val="00233DC7"/>
    <w:rsid w:val="00234095"/>
    <w:rsid w:val="002353BF"/>
    <w:rsid w:val="002356BC"/>
    <w:rsid w:val="0023684D"/>
    <w:rsid w:val="00236A0B"/>
    <w:rsid w:val="00236A36"/>
    <w:rsid w:val="00236E31"/>
    <w:rsid w:val="002404CB"/>
    <w:rsid w:val="00240CB3"/>
    <w:rsid w:val="00241106"/>
    <w:rsid w:val="00241822"/>
    <w:rsid w:val="00242B6F"/>
    <w:rsid w:val="002446BD"/>
    <w:rsid w:val="00244A18"/>
    <w:rsid w:val="00245DD6"/>
    <w:rsid w:val="00245EA5"/>
    <w:rsid w:val="00245FD3"/>
    <w:rsid w:val="002464D7"/>
    <w:rsid w:val="0024748D"/>
    <w:rsid w:val="00247779"/>
    <w:rsid w:val="0025027B"/>
    <w:rsid w:val="00250D57"/>
    <w:rsid w:val="00251564"/>
    <w:rsid w:val="00251693"/>
    <w:rsid w:val="00251E81"/>
    <w:rsid w:val="002521D9"/>
    <w:rsid w:val="0025246D"/>
    <w:rsid w:val="0025257C"/>
    <w:rsid w:val="00252AF8"/>
    <w:rsid w:val="002537D0"/>
    <w:rsid w:val="0025484D"/>
    <w:rsid w:val="00255DDC"/>
    <w:rsid w:val="00256E1A"/>
    <w:rsid w:val="002571CD"/>
    <w:rsid w:val="00260162"/>
    <w:rsid w:val="002608CD"/>
    <w:rsid w:val="00260CD1"/>
    <w:rsid w:val="00262EE5"/>
    <w:rsid w:val="0026311C"/>
    <w:rsid w:val="00263FBB"/>
    <w:rsid w:val="00265FE6"/>
    <w:rsid w:val="00266F5A"/>
    <w:rsid w:val="002670A9"/>
    <w:rsid w:val="00267D5C"/>
    <w:rsid w:val="0027120C"/>
    <w:rsid w:val="00275433"/>
    <w:rsid w:val="00275B4D"/>
    <w:rsid w:val="0027629C"/>
    <w:rsid w:val="002766CA"/>
    <w:rsid w:val="00277B9F"/>
    <w:rsid w:val="00280ECC"/>
    <w:rsid w:val="00282071"/>
    <w:rsid w:val="00282D2F"/>
    <w:rsid w:val="00283C1C"/>
    <w:rsid w:val="0028410A"/>
    <w:rsid w:val="00284489"/>
    <w:rsid w:val="00284E58"/>
    <w:rsid w:val="00284E6B"/>
    <w:rsid w:val="00285981"/>
    <w:rsid w:val="00285B5A"/>
    <w:rsid w:val="00285BEE"/>
    <w:rsid w:val="0028668F"/>
    <w:rsid w:val="00286936"/>
    <w:rsid w:val="00286975"/>
    <w:rsid w:val="00287413"/>
    <w:rsid w:val="0028779D"/>
    <w:rsid w:val="00290FB8"/>
    <w:rsid w:val="002945DF"/>
    <w:rsid w:val="00295046"/>
    <w:rsid w:val="0029533F"/>
    <w:rsid w:val="00297096"/>
    <w:rsid w:val="00297608"/>
    <w:rsid w:val="00297D80"/>
    <w:rsid w:val="002A0F81"/>
    <w:rsid w:val="002A11D5"/>
    <w:rsid w:val="002A292D"/>
    <w:rsid w:val="002A2B49"/>
    <w:rsid w:val="002A4437"/>
    <w:rsid w:val="002A47E7"/>
    <w:rsid w:val="002A4A49"/>
    <w:rsid w:val="002A6807"/>
    <w:rsid w:val="002A6E0A"/>
    <w:rsid w:val="002A6E38"/>
    <w:rsid w:val="002A714D"/>
    <w:rsid w:val="002A7458"/>
    <w:rsid w:val="002B09AF"/>
    <w:rsid w:val="002B0B2B"/>
    <w:rsid w:val="002B1133"/>
    <w:rsid w:val="002B1F52"/>
    <w:rsid w:val="002B2AAA"/>
    <w:rsid w:val="002B30AF"/>
    <w:rsid w:val="002B30F0"/>
    <w:rsid w:val="002B456F"/>
    <w:rsid w:val="002B56A8"/>
    <w:rsid w:val="002B6C47"/>
    <w:rsid w:val="002B7829"/>
    <w:rsid w:val="002B7BAB"/>
    <w:rsid w:val="002C299B"/>
    <w:rsid w:val="002C35C7"/>
    <w:rsid w:val="002C381E"/>
    <w:rsid w:val="002C385A"/>
    <w:rsid w:val="002C3C49"/>
    <w:rsid w:val="002C5896"/>
    <w:rsid w:val="002C5B1C"/>
    <w:rsid w:val="002C5BE1"/>
    <w:rsid w:val="002C665E"/>
    <w:rsid w:val="002C713B"/>
    <w:rsid w:val="002C7AC0"/>
    <w:rsid w:val="002C7EC1"/>
    <w:rsid w:val="002D1D44"/>
    <w:rsid w:val="002D26CC"/>
    <w:rsid w:val="002D37E2"/>
    <w:rsid w:val="002D3AE5"/>
    <w:rsid w:val="002D42B1"/>
    <w:rsid w:val="002D4B83"/>
    <w:rsid w:val="002D585F"/>
    <w:rsid w:val="002D5DC8"/>
    <w:rsid w:val="002D636E"/>
    <w:rsid w:val="002D63FD"/>
    <w:rsid w:val="002D6D32"/>
    <w:rsid w:val="002D74B2"/>
    <w:rsid w:val="002E199A"/>
    <w:rsid w:val="002E4777"/>
    <w:rsid w:val="002E4C6B"/>
    <w:rsid w:val="002E5FFF"/>
    <w:rsid w:val="002E6970"/>
    <w:rsid w:val="002F07E9"/>
    <w:rsid w:val="002F09F3"/>
    <w:rsid w:val="002F0C1E"/>
    <w:rsid w:val="002F192D"/>
    <w:rsid w:val="002F20FB"/>
    <w:rsid w:val="002F26DC"/>
    <w:rsid w:val="002F2CAC"/>
    <w:rsid w:val="002F400F"/>
    <w:rsid w:val="002F437D"/>
    <w:rsid w:val="002F4723"/>
    <w:rsid w:val="002F5A6B"/>
    <w:rsid w:val="002F6345"/>
    <w:rsid w:val="002F6716"/>
    <w:rsid w:val="002F73A1"/>
    <w:rsid w:val="002F7E98"/>
    <w:rsid w:val="0030013E"/>
    <w:rsid w:val="0030053A"/>
    <w:rsid w:val="00302F7E"/>
    <w:rsid w:val="00303DED"/>
    <w:rsid w:val="0030417C"/>
    <w:rsid w:val="00304C97"/>
    <w:rsid w:val="00305154"/>
    <w:rsid w:val="00305405"/>
    <w:rsid w:val="003075C4"/>
    <w:rsid w:val="003076AA"/>
    <w:rsid w:val="00307C15"/>
    <w:rsid w:val="0030A7CB"/>
    <w:rsid w:val="003107F6"/>
    <w:rsid w:val="00310ACF"/>
    <w:rsid w:val="00310CB9"/>
    <w:rsid w:val="00310CFC"/>
    <w:rsid w:val="0031148D"/>
    <w:rsid w:val="00311A10"/>
    <w:rsid w:val="00311D53"/>
    <w:rsid w:val="00311E10"/>
    <w:rsid w:val="003124D3"/>
    <w:rsid w:val="00313102"/>
    <w:rsid w:val="00313857"/>
    <w:rsid w:val="00313A73"/>
    <w:rsid w:val="00313CF5"/>
    <w:rsid w:val="00314054"/>
    <w:rsid w:val="00314B39"/>
    <w:rsid w:val="00315085"/>
    <w:rsid w:val="00316C84"/>
    <w:rsid w:val="003170E2"/>
    <w:rsid w:val="00317619"/>
    <w:rsid w:val="00320634"/>
    <w:rsid w:val="00321262"/>
    <w:rsid w:val="00321B3A"/>
    <w:rsid w:val="00322572"/>
    <w:rsid w:val="00323DF9"/>
    <w:rsid w:val="00324247"/>
    <w:rsid w:val="003242E9"/>
    <w:rsid w:val="00324580"/>
    <w:rsid w:val="003261FE"/>
    <w:rsid w:val="00326C4D"/>
    <w:rsid w:val="00327039"/>
    <w:rsid w:val="003278AB"/>
    <w:rsid w:val="00327CAE"/>
    <w:rsid w:val="00330F40"/>
    <w:rsid w:val="00333172"/>
    <w:rsid w:val="0033344A"/>
    <w:rsid w:val="0033428E"/>
    <w:rsid w:val="00336EC1"/>
    <w:rsid w:val="00337068"/>
    <w:rsid w:val="003405CE"/>
    <w:rsid w:val="0034071D"/>
    <w:rsid w:val="00341EBB"/>
    <w:rsid w:val="00342741"/>
    <w:rsid w:val="003433D1"/>
    <w:rsid w:val="00343648"/>
    <w:rsid w:val="00343E78"/>
    <w:rsid w:val="00345B56"/>
    <w:rsid w:val="00345FD1"/>
    <w:rsid w:val="00346D1B"/>
    <w:rsid w:val="00347157"/>
    <w:rsid w:val="0034771A"/>
    <w:rsid w:val="00350668"/>
    <w:rsid w:val="00351466"/>
    <w:rsid w:val="0035200F"/>
    <w:rsid w:val="00352255"/>
    <w:rsid w:val="00353182"/>
    <w:rsid w:val="0035382C"/>
    <w:rsid w:val="003563F6"/>
    <w:rsid w:val="00357D64"/>
    <w:rsid w:val="00361A07"/>
    <w:rsid w:val="00363065"/>
    <w:rsid w:val="0036369B"/>
    <w:rsid w:val="003636D0"/>
    <w:rsid w:val="00363878"/>
    <w:rsid w:val="00363AD3"/>
    <w:rsid w:val="003646B9"/>
    <w:rsid w:val="0036471E"/>
    <w:rsid w:val="00364D0C"/>
    <w:rsid w:val="00365396"/>
    <w:rsid w:val="00366B8C"/>
    <w:rsid w:val="00367D6D"/>
    <w:rsid w:val="003703D5"/>
    <w:rsid w:val="003718DD"/>
    <w:rsid w:val="00371BE7"/>
    <w:rsid w:val="0037217A"/>
    <w:rsid w:val="003724BF"/>
    <w:rsid w:val="003743BF"/>
    <w:rsid w:val="00375111"/>
    <w:rsid w:val="003751D9"/>
    <w:rsid w:val="00375A17"/>
    <w:rsid w:val="00375E5E"/>
    <w:rsid w:val="00375E9F"/>
    <w:rsid w:val="00376C62"/>
    <w:rsid w:val="00376D42"/>
    <w:rsid w:val="0037728F"/>
    <w:rsid w:val="0037736F"/>
    <w:rsid w:val="00377494"/>
    <w:rsid w:val="00377EB5"/>
    <w:rsid w:val="00381008"/>
    <w:rsid w:val="00381AD6"/>
    <w:rsid w:val="003839F4"/>
    <w:rsid w:val="00384423"/>
    <w:rsid w:val="003846CE"/>
    <w:rsid w:val="0038481B"/>
    <w:rsid w:val="0038537D"/>
    <w:rsid w:val="0038543C"/>
    <w:rsid w:val="0038607B"/>
    <w:rsid w:val="003875F9"/>
    <w:rsid w:val="00391107"/>
    <w:rsid w:val="003926D9"/>
    <w:rsid w:val="0039312E"/>
    <w:rsid w:val="00393371"/>
    <w:rsid w:val="00394A23"/>
    <w:rsid w:val="00396357"/>
    <w:rsid w:val="00397A29"/>
    <w:rsid w:val="003A0E0F"/>
    <w:rsid w:val="003A18D4"/>
    <w:rsid w:val="003A3ABA"/>
    <w:rsid w:val="003A3C22"/>
    <w:rsid w:val="003A4103"/>
    <w:rsid w:val="003A4FBC"/>
    <w:rsid w:val="003A55F7"/>
    <w:rsid w:val="003A5E83"/>
    <w:rsid w:val="003A6101"/>
    <w:rsid w:val="003A66A0"/>
    <w:rsid w:val="003A6A5D"/>
    <w:rsid w:val="003B00F9"/>
    <w:rsid w:val="003B0536"/>
    <w:rsid w:val="003B06A2"/>
    <w:rsid w:val="003B1785"/>
    <w:rsid w:val="003B1B91"/>
    <w:rsid w:val="003B1F29"/>
    <w:rsid w:val="003B39D5"/>
    <w:rsid w:val="003B47D9"/>
    <w:rsid w:val="003B59BB"/>
    <w:rsid w:val="003B5E63"/>
    <w:rsid w:val="003B6015"/>
    <w:rsid w:val="003C09FF"/>
    <w:rsid w:val="003C13F7"/>
    <w:rsid w:val="003C1F43"/>
    <w:rsid w:val="003C2C4E"/>
    <w:rsid w:val="003C3873"/>
    <w:rsid w:val="003C3AB5"/>
    <w:rsid w:val="003C7106"/>
    <w:rsid w:val="003C76BC"/>
    <w:rsid w:val="003D0CAE"/>
    <w:rsid w:val="003D1153"/>
    <w:rsid w:val="003D1427"/>
    <w:rsid w:val="003D199D"/>
    <w:rsid w:val="003D25FE"/>
    <w:rsid w:val="003D3360"/>
    <w:rsid w:val="003D34FF"/>
    <w:rsid w:val="003D392F"/>
    <w:rsid w:val="003D4BE5"/>
    <w:rsid w:val="003D6563"/>
    <w:rsid w:val="003D6B9C"/>
    <w:rsid w:val="003D7B0F"/>
    <w:rsid w:val="003E1394"/>
    <w:rsid w:val="003E1756"/>
    <w:rsid w:val="003E23D8"/>
    <w:rsid w:val="003E28EF"/>
    <w:rsid w:val="003E3BC4"/>
    <w:rsid w:val="003E4616"/>
    <w:rsid w:val="003E512A"/>
    <w:rsid w:val="003E5E22"/>
    <w:rsid w:val="003E5E49"/>
    <w:rsid w:val="003E695A"/>
    <w:rsid w:val="003E6B4F"/>
    <w:rsid w:val="003E6BB5"/>
    <w:rsid w:val="003E7104"/>
    <w:rsid w:val="003E77B2"/>
    <w:rsid w:val="003F0A1E"/>
    <w:rsid w:val="003F13D6"/>
    <w:rsid w:val="003F1D05"/>
    <w:rsid w:val="003F3269"/>
    <w:rsid w:val="003F3983"/>
    <w:rsid w:val="003F4494"/>
    <w:rsid w:val="003F4607"/>
    <w:rsid w:val="003F54F9"/>
    <w:rsid w:val="003F5910"/>
    <w:rsid w:val="003F5A02"/>
    <w:rsid w:val="003F609F"/>
    <w:rsid w:val="003F6C22"/>
    <w:rsid w:val="003F6D54"/>
    <w:rsid w:val="003F7539"/>
    <w:rsid w:val="003F7DBF"/>
    <w:rsid w:val="0040039C"/>
    <w:rsid w:val="00400463"/>
    <w:rsid w:val="00400492"/>
    <w:rsid w:val="004011CD"/>
    <w:rsid w:val="00401BEF"/>
    <w:rsid w:val="004030A9"/>
    <w:rsid w:val="00403403"/>
    <w:rsid w:val="004036E7"/>
    <w:rsid w:val="00404169"/>
    <w:rsid w:val="004041A3"/>
    <w:rsid w:val="004047EE"/>
    <w:rsid w:val="00405B19"/>
    <w:rsid w:val="00407510"/>
    <w:rsid w:val="0040766C"/>
    <w:rsid w:val="0040DA54"/>
    <w:rsid w:val="00410D36"/>
    <w:rsid w:val="00412562"/>
    <w:rsid w:val="00413027"/>
    <w:rsid w:val="00413515"/>
    <w:rsid w:val="00413AE6"/>
    <w:rsid w:val="004147E6"/>
    <w:rsid w:val="00414B79"/>
    <w:rsid w:val="00415CDA"/>
    <w:rsid w:val="00416A4F"/>
    <w:rsid w:val="00416C1F"/>
    <w:rsid w:val="00416DAA"/>
    <w:rsid w:val="00421E9C"/>
    <w:rsid w:val="00422D30"/>
    <w:rsid w:val="004231E0"/>
    <w:rsid w:val="00424AEF"/>
    <w:rsid w:val="004253FB"/>
    <w:rsid w:val="0042648E"/>
    <w:rsid w:val="00427930"/>
    <w:rsid w:val="00430F48"/>
    <w:rsid w:val="00431871"/>
    <w:rsid w:val="00432C97"/>
    <w:rsid w:val="00432EAE"/>
    <w:rsid w:val="00433C2B"/>
    <w:rsid w:val="00433F94"/>
    <w:rsid w:val="00434109"/>
    <w:rsid w:val="00434152"/>
    <w:rsid w:val="0043578E"/>
    <w:rsid w:val="00435CCE"/>
    <w:rsid w:val="004370A0"/>
    <w:rsid w:val="00440255"/>
    <w:rsid w:val="00441C6B"/>
    <w:rsid w:val="004429B5"/>
    <w:rsid w:val="004430FE"/>
    <w:rsid w:val="00443574"/>
    <w:rsid w:val="00443750"/>
    <w:rsid w:val="00443A9A"/>
    <w:rsid w:val="00443AE3"/>
    <w:rsid w:val="00443B0F"/>
    <w:rsid w:val="00445314"/>
    <w:rsid w:val="00445A35"/>
    <w:rsid w:val="00445ABB"/>
    <w:rsid w:val="00445C29"/>
    <w:rsid w:val="00449533"/>
    <w:rsid w:val="004500E8"/>
    <w:rsid w:val="004504F4"/>
    <w:rsid w:val="0045067F"/>
    <w:rsid w:val="0045166A"/>
    <w:rsid w:val="004519CA"/>
    <w:rsid w:val="00452D76"/>
    <w:rsid w:val="0045405A"/>
    <w:rsid w:val="00454329"/>
    <w:rsid w:val="00454CF3"/>
    <w:rsid w:val="004551D4"/>
    <w:rsid w:val="004552E8"/>
    <w:rsid w:val="00455F8A"/>
    <w:rsid w:val="004560BD"/>
    <w:rsid w:val="004565BC"/>
    <w:rsid w:val="00456EE2"/>
    <w:rsid w:val="00457CEE"/>
    <w:rsid w:val="004610D1"/>
    <w:rsid w:val="004612D4"/>
    <w:rsid w:val="00462EB0"/>
    <w:rsid w:val="004653E9"/>
    <w:rsid w:val="004670AD"/>
    <w:rsid w:val="0046799E"/>
    <w:rsid w:val="00470771"/>
    <w:rsid w:val="0047098F"/>
    <w:rsid w:val="00471842"/>
    <w:rsid w:val="00472BBD"/>
    <w:rsid w:val="00472E05"/>
    <w:rsid w:val="00472E69"/>
    <w:rsid w:val="0047310D"/>
    <w:rsid w:val="004734FC"/>
    <w:rsid w:val="004740FB"/>
    <w:rsid w:val="00474F23"/>
    <w:rsid w:val="00476CDD"/>
    <w:rsid w:val="004770F6"/>
    <w:rsid w:val="004773E1"/>
    <w:rsid w:val="00480139"/>
    <w:rsid w:val="004820CE"/>
    <w:rsid w:val="00482664"/>
    <w:rsid w:val="00485909"/>
    <w:rsid w:val="00486641"/>
    <w:rsid w:val="0048696F"/>
    <w:rsid w:val="00487625"/>
    <w:rsid w:val="004879D5"/>
    <w:rsid w:val="00487A8A"/>
    <w:rsid w:val="00490874"/>
    <w:rsid w:val="00491546"/>
    <w:rsid w:val="00492A60"/>
    <w:rsid w:val="00492BDF"/>
    <w:rsid w:val="004936D2"/>
    <w:rsid w:val="00494152"/>
    <w:rsid w:val="00496567"/>
    <w:rsid w:val="004A0D3F"/>
    <w:rsid w:val="004A232A"/>
    <w:rsid w:val="004A2A4E"/>
    <w:rsid w:val="004A2CE5"/>
    <w:rsid w:val="004A2EB0"/>
    <w:rsid w:val="004A3179"/>
    <w:rsid w:val="004A37F6"/>
    <w:rsid w:val="004A3B6F"/>
    <w:rsid w:val="004A4104"/>
    <w:rsid w:val="004A4174"/>
    <w:rsid w:val="004A440E"/>
    <w:rsid w:val="004A4A3D"/>
    <w:rsid w:val="004A4E26"/>
    <w:rsid w:val="004A7686"/>
    <w:rsid w:val="004A79F1"/>
    <w:rsid w:val="004A7F7D"/>
    <w:rsid w:val="004B0DD9"/>
    <w:rsid w:val="004B328E"/>
    <w:rsid w:val="004B35EC"/>
    <w:rsid w:val="004B3957"/>
    <w:rsid w:val="004B5196"/>
    <w:rsid w:val="004B5294"/>
    <w:rsid w:val="004B56C9"/>
    <w:rsid w:val="004B5BA1"/>
    <w:rsid w:val="004B5F82"/>
    <w:rsid w:val="004B666F"/>
    <w:rsid w:val="004B6E2C"/>
    <w:rsid w:val="004B6F8C"/>
    <w:rsid w:val="004B784B"/>
    <w:rsid w:val="004C0734"/>
    <w:rsid w:val="004C133C"/>
    <w:rsid w:val="004C1ABA"/>
    <w:rsid w:val="004C1F4F"/>
    <w:rsid w:val="004C2C88"/>
    <w:rsid w:val="004C546C"/>
    <w:rsid w:val="004C5D95"/>
    <w:rsid w:val="004C721D"/>
    <w:rsid w:val="004D01D1"/>
    <w:rsid w:val="004D0F59"/>
    <w:rsid w:val="004D14E2"/>
    <w:rsid w:val="004D17C8"/>
    <w:rsid w:val="004D18A8"/>
    <w:rsid w:val="004D1A66"/>
    <w:rsid w:val="004D1CE2"/>
    <w:rsid w:val="004D2D6B"/>
    <w:rsid w:val="004D2E2A"/>
    <w:rsid w:val="004D402A"/>
    <w:rsid w:val="004D4095"/>
    <w:rsid w:val="004D45B0"/>
    <w:rsid w:val="004D5CB3"/>
    <w:rsid w:val="004D6898"/>
    <w:rsid w:val="004D6E48"/>
    <w:rsid w:val="004D71C5"/>
    <w:rsid w:val="004D7707"/>
    <w:rsid w:val="004D79CB"/>
    <w:rsid w:val="004E0667"/>
    <w:rsid w:val="004E0D83"/>
    <w:rsid w:val="004E1ED1"/>
    <w:rsid w:val="004E22D0"/>
    <w:rsid w:val="004E305C"/>
    <w:rsid w:val="004E352D"/>
    <w:rsid w:val="004E3A24"/>
    <w:rsid w:val="004E6676"/>
    <w:rsid w:val="004E7223"/>
    <w:rsid w:val="004E7334"/>
    <w:rsid w:val="004E7F29"/>
    <w:rsid w:val="004F1A70"/>
    <w:rsid w:val="004F1DE0"/>
    <w:rsid w:val="004F217D"/>
    <w:rsid w:val="004F2427"/>
    <w:rsid w:val="004F5227"/>
    <w:rsid w:val="004F7E9E"/>
    <w:rsid w:val="00500963"/>
    <w:rsid w:val="00500C61"/>
    <w:rsid w:val="005018DF"/>
    <w:rsid w:val="00502872"/>
    <w:rsid w:val="00502E63"/>
    <w:rsid w:val="00504874"/>
    <w:rsid w:val="005049D3"/>
    <w:rsid w:val="005054A4"/>
    <w:rsid w:val="00506769"/>
    <w:rsid w:val="005075BF"/>
    <w:rsid w:val="00511228"/>
    <w:rsid w:val="00512808"/>
    <w:rsid w:val="00512EEF"/>
    <w:rsid w:val="005150A2"/>
    <w:rsid w:val="00517740"/>
    <w:rsid w:val="0052090C"/>
    <w:rsid w:val="00520EB6"/>
    <w:rsid w:val="00521965"/>
    <w:rsid w:val="00522BC2"/>
    <w:rsid w:val="00524BCC"/>
    <w:rsid w:val="005250CF"/>
    <w:rsid w:val="0052559A"/>
    <w:rsid w:val="005260F3"/>
    <w:rsid w:val="005261D2"/>
    <w:rsid w:val="00526D49"/>
    <w:rsid w:val="0053095B"/>
    <w:rsid w:val="00530C9E"/>
    <w:rsid w:val="005324AB"/>
    <w:rsid w:val="0053252F"/>
    <w:rsid w:val="00532F08"/>
    <w:rsid w:val="00533351"/>
    <w:rsid w:val="00533946"/>
    <w:rsid w:val="00533EDA"/>
    <w:rsid w:val="0053529D"/>
    <w:rsid w:val="00535F8C"/>
    <w:rsid w:val="005361D8"/>
    <w:rsid w:val="00536CF4"/>
    <w:rsid w:val="00537064"/>
    <w:rsid w:val="005379B5"/>
    <w:rsid w:val="00540D8C"/>
    <w:rsid w:val="00542632"/>
    <w:rsid w:val="00542B57"/>
    <w:rsid w:val="00544449"/>
    <w:rsid w:val="00546FA8"/>
    <w:rsid w:val="0055065A"/>
    <w:rsid w:val="005511DA"/>
    <w:rsid w:val="00551877"/>
    <w:rsid w:val="0055198E"/>
    <w:rsid w:val="00551CC8"/>
    <w:rsid w:val="00552071"/>
    <w:rsid w:val="00552374"/>
    <w:rsid w:val="00552839"/>
    <w:rsid w:val="00553779"/>
    <w:rsid w:val="00553A06"/>
    <w:rsid w:val="005550CA"/>
    <w:rsid w:val="005567B2"/>
    <w:rsid w:val="005567DA"/>
    <w:rsid w:val="005605C8"/>
    <w:rsid w:val="00560670"/>
    <w:rsid w:val="00561AA0"/>
    <w:rsid w:val="00563C41"/>
    <w:rsid w:val="00564410"/>
    <w:rsid w:val="00564511"/>
    <w:rsid w:val="0056740C"/>
    <w:rsid w:val="0056771A"/>
    <w:rsid w:val="00567F3B"/>
    <w:rsid w:val="00571AC4"/>
    <w:rsid w:val="005725B9"/>
    <w:rsid w:val="005776E1"/>
    <w:rsid w:val="00580988"/>
    <w:rsid w:val="00582470"/>
    <w:rsid w:val="00583E29"/>
    <w:rsid w:val="0058474A"/>
    <w:rsid w:val="00585A1B"/>
    <w:rsid w:val="00586727"/>
    <w:rsid w:val="00586CA3"/>
    <w:rsid w:val="005872F1"/>
    <w:rsid w:val="00587BCC"/>
    <w:rsid w:val="00587E41"/>
    <w:rsid w:val="00590929"/>
    <w:rsid w:val="00592B44"/>
    <w:rsid w:val="00593897"/>
    <w:rsid w:val="00595750"/>
    <w:rsid w:val="00596317"/>
    <w:rsid w:val="00596C26"/>
    <w:rsid w:val="005A1A93"/>
    <w:rsid w:val="005A38A9"/>
    <w:rsid w:val="005A392A"/>
    <w:rsid w:val="005A4115"/>
    <w:rsid w:val="005A4EF1"/>
    <w:rsid w:val="005A5970"/>
    <w:rsid w:val="005A65FB"/>
    <w:rsid w:val="005A6FB7"/>
    <w:rsid w:val="005A71C4"/>
    <w:rsid w:val="005A75A1"/>
    <w:rsid w:val="005A7B8E"/>
    <w:rsid w:val="005A7CC5"/>
    <w:rsid w:val="005B0D15"/>
    <w:rsid w:val="005B1EB6"/>
    <w:rsid w:val="005B2564"/>
    <w:rsid w:val="005B2BDF"/>
    <w:rsid w:val="005B3171"/>
    <w:rsid w:val="005B3515"/>
    <w:rsid w:val="005B3827"/>
    <w:rsid w:val="005B3E70"/>
    <w:rsid w:val="005B62E2"/>
    <w:rsid w:val="005B633B"/>
    <w:rsid w:val="005B65A1"/>
    <w:rsid w:val="005B6C0D"/>
    <w:rsid w:val="005B6D5A"/>
    <w:rsid w:val="005B71C4"/>
    <w:rsid w:val="005B7946"/>
    <w:rsid w:val="005B7E62"/>
    <w:rsid w:val="005C13B7"/>
    <w:rsid w:val="005C14A5"/>
    <w:rsid w:val="005C1A36"/>
    <w:rsid w:val="005C4921"/>
    <w:rsid w:val="005C4F9B"/>
    <w:rsid w:val="005C5803"/>
    <w:rsid w:val="005C76F8"/>
    <w:rsid w:val="005C7837"/>
    <w:rsid w:val="005D082C"/>
    <w:rsid w:val="005D0919"/>
    <w:rsid w:val="005D1DD5"/>
    <w:rsid w:val="005D22EE"/>
    <w:rsid w:val="005D2DE9"/>
    <w:rsid w:val="005D2E58"/>
    <w:rsid w:val="005D31A2"/>
    <w:rsid w:val="005D40EA"/>
    <w:rsid w:val="005D4457"/>
    <w:rsid w:val="005D4E7A"/>
    <w:rsid w:val="005D4F43"/>
    <w:rsid w:val="005D58C1"/>
    <w:rsid w:val="005D634C"/>
    <w:rsid w:val="005D7264"/>
    <w:rsid w:val="005D77F6"/>
    <w:rsid w:val="005D7AD4"/>
    <w:rsid w:val="005E0A9C"/>
    <w:rsid w:val="005E15EC"/>
    <w:rsid w:val="005E1704"/>
    <w:rsid w:val="005E1977"/>
    <w:rsid w:val="005E2BD5"/>
    <w:rsid w:val="005E310A"/>
    <w:rsid w:val="005E3819"/>
    <w:rsid w:val="005E4075"/>
    <w:rsid w:val="005E4EEA"/>
    <w:rsid w:val="005E5299"/>
    <w:rsid w:val="005E5383"/>
    <w:rsid w:val="005E6B86"/>
    <w:rsid w:val="005E7288"/>
    <w:rsid w:val="005F0269"/>
    <w:rsid w:val="005F0A09"/>
    <w:rsid w:val="005F0E16"/>
    <w:rsid w:val="005F485A"/>
    <w:rsid w:val="005F68C3"/>
    <w:rsid w:val="005F749E"/>
    <w:rsid w:val="005F7A27"/>
    <w:rsid w:val="00600994"/>
    <w:rsid w:val="00602280"/>
    <w:rsid w:val="00602972"/>
    <w:rsid w:val="00602A35"/>
    <w:rsid w:val="00603DA9"/>
    <w:rsid w:val="00605526"/>
    <w:rsid w:val="00605BDB"/>
    <w:rsid w:val="00606AF9"/>
    <w:rsid w:val="00606D57"/>
    <w:rsid w:val="00607302"/>
    <w:rsid w:val="006075B6"/>
    <w:rsid w:val="006113A5"/>
    <w:rsid w:val="0061277E"/>
    <w:rsid w:val="0061326C"/>
    <w:rsid w:val="00613719"/>
    <w:rsid w:val="006142C1"/>
    <w:rsid w:val="00614873"/>
    <w:rsid w:val="006149A3"/>
    <w:rsid w:val="00616641"/>
    <w:rsid w:val="006178E9"/>
    <w:rsid w:val="0062071A"/>
    <w:rsid w:val="00620F73"/>
    <w:rsid w:val="00621371"/>
    <w:rsid w:val="00621B57"/>
    <w:rsid w:val="00623CDB"/>
    <w:rsid w:val="00624419"/>
    <w:rsid w:val="006254D0"/>
    <w:rsid w:val="00625FE9"/>
    <w:rsid w:val="00626123"/>
    <w:rsid w:val="00630C30"/>
    <w:rsid w:val="00631E69"/>
    <w:rsid w:val="00632222"/>
    <w:rsid w:val="00632885"/>
    <w:rsid w:val="00633BCC"/>
    <w:rsid w:val="00635245"/>
    <w:rsid w:val="006353F2"/>
    <w:rsid w:val="00635BAF"/>
    <w:rsid w:val="00635D89"/>
    <w:rsid w:val="0063686C"/>
    <w:rsid w:val="006373BD"/>
    <w:rsid w:val="00637CBF"/>
    <w:rsid w:val="00637F03"/>
    <w:rsid w:val="0064026C"/>
    <w:rsid w:val="00640AF6"/>
    <w:rsid w:val="00641107"/>
    <w:rsid w:val="006414CE"/>
    <w:rsid w:val="00641B6C"/>
    <w:rsid w:val="006427EA"/>
    <w:rsid w:val="00643AE7"/>
    <w:rsid w:val="00646061"/>
    <w:rsid w:val="00647192"/>
    <w:rsid w:val="006474C1"/>
    <w:rsid w:val="0064758D"/>
    <w:rsid w:val="006513AF"/>
    <w:rsid w:val="0065174A"/>
    <w:rsid w:val="0065273D"/>
    <w:rsid w:val="00653ECC"/>
    <w:rsid w:val="00654E33"/>
    <w:rsid w:val="00655EF9"/>
    <w:rsid w:val="00656417"/>
    <w:rsid w:val="0065702A"/>
    <w:rsid w:val="0065712F"/>
    <w:rsid w:val="0066028E"/>
    <w:rsid w:val="00660ACF"/>
    <w:rsid w:val="006610A1"/>
    <w:rsid w:val="00661893"/>
    <w:rsid w:val="006626A6"/>
    <w:rsid w:val="00666557"/>
    <w:rsid w:val="00666BDA"/>
    <w:rsid w:val="00666DB5"/>
    <w:rsid w:val="006675A1"/>
    <w:rsid w:val="0066780A"/>
    <w:rsid w:val="00667B1B"/>
    <w:rsid w:val="00671AB8"/>
    <w:rsid w:val="00672E31"/>
    <w:rsid w:val="0067322B"/>
    <w:rsid w:val="0067334E"/>
    <w:rsid w:val="006745B7"/>
    <w:rsid w:val="00674779"/>
    <w:rsid w:val="00675232"/>
    <w:rsid w:val="00675F29"/>
    <w:rsid w:val="0067619A"/>
    <w:rsid w:val="00676A6D"/>
    <w:rsid w:val="00676E45"/>
    <w:rsid w:val="00677440"/>
    <w:rsid w:val="006808E3"/>
    <w:rsid w:val="00682107"/>
    <w:rsid w:val="006825AB"/>
    <w:rsid w:val="00682B37"/>
    <w:rsid w:val="00682FF6"/>
    <w:rsid w:val="0068362E"/>
    <w:rsid w:val="00683C11"/>
    <w:rsid w:val="00683CCA"/>
    <w:rsid w:val="00684B26"/>
    <w:rsid w:val="00684C15"/>
    <w:rsid w:val="00684EAE"/>
    <w:rsid w:val="00686F66"/>
    <w:rsid w:val="00687EA4"/>
    <w:rsid w:val="00687F90"/>
    <w:rsid w:val="006902CA"/>
    <w:rsid w:val="006916E6"/>
    <w:rsid w:val="006927D2"/>
    <w:rsid w:val="00693576"/>
    <w:rsid w:val="006936E9"/>
    <w:rsid w:val="00693E44"/>
    <w:rsid w:val="00695B3A"/>
    <w:rsid w:val="00696AA3"/>
    <w:rsid w:val="00697995"/>
    <w:rsid w:val="006A066A"/>
    <w:rsid w:val="006A2E42"/>
    <w:rsid w:val="006A43BB"/>
    <w:rsid w:val="006A4B65"/>
    <w:rsid w:val="006A6113"/>
    <w:rsid w:val="006A665D"/>
    <w:rsid w:val="006A6706"/>
    <w:rsid w:val="006A7E1D"/>
    <w:rsid w:val="006B0645"/>
    <w:rsid w:val="006B1CB8"/>
    <w:rsid w:val="006B1FD6"/>
    <w:rsid w:val="006B2C16"/>
    <w:rsid w:val="006B3441"/>
    <w:rsid w:val="006B3D2C"/>
    <w:rsid w:val="006B4200"/>
    <w:rsid w:val="006B5376"/>
    <w:rsid w:val="006B6194"/>
    <w:rsid w:val="006B6B3A"/>
    <w:rsid w:val="006B77A0"/>
    <w:rsid w:val="006B7CEB"/>
    <w:rsid w:val="006C0961"/>
    <w:rsid w:val="006C115E"/>
    <w:rsid w:val="006C1221"/>
    <w:rsid w:val="006C4B2E"/>
    <w:rsid w:val="006C51F9"/>
    <w:rsid w:val="006C5422"/>
    <w:rsid w:val="006C5506"/>
    <w:rsid w:val="006C64E5"/>
    <w:rsid w:val="006C76E7"/>
    <w:rsid w:val="006C795C"/>
    <w:rsid w:val="006D0495"/>
    <w:rsid w:val="006D0AB4"/>
    <w:rsid w:val="006D1231"/>
    <w:rsid w:val="006D2D6B"/>
    <w:rsid w:val="006D2DA8"/>
    <w:rsid w:val="006D3C60"/>
    <w:rsid w:val="006D5534"/>
    <w:rsid w:val="006D5616"/>
    <w:rsid w:val="006D78D2"/>
    <w:rsid w:val="006D7C0E"/>
    <w:rsid w:val="006D7C94"/>
    <w:rsid w:val="006E000E"/>
    <w:rsid w:val="006E05A1"/>
    <w:rsid w:val="006E0640"/>
    <w:rsid w:val="006E1088"/>
    <w:rsid w:val="006E22A3"/>
    <w:rsid w:val="006E2BA2"/>
    <w:rsid w:val="006E3DC1"/>
    <w:rsid w:val="006E4191"/>
    <w:rsid w:val="006E443C"/>
    <w:rsid w:val="006E65E6"/>
    <w:rsid w:val="006F3294"/>
    <w:rsid w:val="006F35A1"/>
    <w:rsid w:val="006F3618"/>
    <w:rsid w:val="006F387D"/>
    <w:rsid w:val="006F39AD"/>
    <w:rsid w:val="006F5AE5"/>
    <w:rsid w:val="006F5CDC"/>
    <w:rsid w:val="006F6267"/>
    <w:rsid w:val="006F6FA6"/>
    <w:rsid w:val="006F7A4B"/>
    <w:rsid w:val="007001B3"/>
    <w:rsid w:val="00700BFD"/>
    <w:rsid w:val="00700C34"/>
    <w:rsid w:val="00701586"/>
    <w:rsid w:val="0070215C"/>
    <w:rsid w:val="00703157"/>
    <w:rsid w:val="007045C1"/>
    <w:rsid w:val="00704944"/>
    <w:rsid w:val="007054C8"/>
    <w:rsid w:val="007064AB"/>
    <w:rsid w:val="00710B5A"/>
    <w:rsid w:val="00712754"/>
    <w:rsid w:val="007128C7"/>
    <w:rsid w:val="00712D2F"/>
    <w:rsid w:val="007137FF"/>
    <w:rsid w:val="00713FB8"/>
    <w:rsid w:val="0071409E"/>
    <w:rsid w:val="00714320"/>
    <w:rsid w:val="00715C53"/>
    <w:rsid w:val="007169A9"/>
    <w:rsid w:val="007179C5"/>
    <w:rsid w:val="00717E99"/>
    <w:rsid w:val="0072028A"/>
    <w:rsid w:val="0072183B"/>
    <w:rsid w:val="00721A86"/>
    <w:rsid w:val="0072254B"/>
    <w:rsid w:val="0072277C"/>
    <w:rsid w:val="007234F8"/>
    <w:rsid w:val="00724BD6"/>
    <w:rsid w:val="00725070"/>
    <w:rsid w:val="007277BE"/>
    <w:rsid w:val="00730660"/>
    <w:rsid w:val="00732222"/>
    <w:rsid w:val="007322FD"/>
    <w:rsid w:val="00733072"/>
    <w:rsid w:val="0073469D"/>
    <w:rsid w:val="00734CFD"/>
    <w:rsid w:val="00735167"/>
    <w:rsid w:val="00735BC5"/>
    <w:rsid w:val="007367A0"/>
    <w:rsid w:val="00736C92"/>
    <w:rsid w:val="00736F4F"/>
    <w:rsid w:val="007373A2"/>
    <w:rsid w:val="007409A7"/>
    <w:rsid w:val="007413DF"/>
    <w:rsid w:val="0074258F"/>
    <w:rsid w:val="00742820"/>
    <w:rsid w:val="00742880"/>
    <w:rsid w:val="00742A7B"/>
    <w:rsid w:val="00742AB1"/>
    <w:rsid w:val="00742D86"/>
    <w:rsid w:val="00744457"/>
    <w:rsid w:val="0074538C"/>
    <w:rsid w:val="00745FB1"/>
    <w:rsid w:val="00746E3B"/>
    <w:rsid w:val="0074764C"/>
    <w:rsid w:val="0074788A"/>
    <w:rsid w:val="00747A32"/>
    <w:rsid w:val="00751830"/>
    <w:rsid w:val="00752AE9"/>
    <w:rsid w:val="00752D97"/>
    <w:rsid w:val="0075329E"/>
    <w:rsid w:val="00754721"/>
    <w:rsid w:val="0075721E"/>
    <w:rsid w:val="00757AA8"/>
    <w:rsid w:val="0076018D"/>
    <w:rsid w:val="007604D2"/>
    <w:rsid w:val="00760B02"/>
    <w:rsid w:val="00761399"/>
    <w:rsid w:val="00762B11"/>
    <w:rsid w:val="00762D70"/>
    <w:rsid w:val="00763EBD"/>
    <w:rsid w:val="00764204"/>
    <w:rsid w:val="00765754"/>
    <w:rsid w:val="0076579D"/>
    <w:rsid w:val="0076780C"/>
    <w:rsid w:val="0076F415"/>
    <w:rsid w:val="007702A5"/>
    <w:rsid w:val="007707B1"/>
    <w:rsid w:val="00771173"/>
    <w:rsid w:val="00771771"/>
    <w:rsid w:val="00773331"/>
    <w:rsid w:val="0077379C"/>
    <w:rsid w:val="00773B86"/>
    <w:rsid w:val="00774A7E"/>
    <w:rsid w:val="00775CA5"/>
    <w:rsid w:val="007766C1"/>
    <w:rsid w:val="00776E48"/>
    <w:rsid w:val="00777590"/>
    <w:rsid w:val="007824D3"/>
    <w:rsid w:val="007825F2"/>
    <w:rsid w:val="007828D9"/>
    <w:rsid w:val="00782E7B"/>
    <w:rsid w:val="00783336"/>
    <w:rsid w:val="00783AE7"/>
    <w:rsid w:val="00784ACF"/>
    <w:rsid w:val="007852E6"/>
    <w:rsid w:val="00785A31"/>
    <w:rsid w:val="00786A79"/>
    <w:rsid w:val="00786B0F"/>
    <w:rsid w:val="00792B65"/>
    <w:rsid w:val="007932EF"/>
    <w:rsid w:val="007946DF"/>
    <w:rsid w:val="00795110"/>
    <w:rsid w:val="007951BA"/>
    <w:rsid w:val="00795A7A"/>
    <w:rsid w:val="0079607D"/>
    <w:rsid w:val="00797D1F"/>
    <w:rsid w:val="007A089B"/>
    <w:rsid w:val="007A187A"/>
    <w:rsid w:val="007A1F01"/>
    <w:rsid w:val="007A322A"/>
    <w:rsid w:val="007A357A"/>
    <w:rsid w:val="007A35EE"/>
    <w:rsid w:val="007A47E7"/>
    <w:rsid w:val="007A5BC2"/>
    <w:rsid w:val="007A7419"/>
    <w:rsid w:val="007B0110"/>
    <w:rsid w:val="007B103F"/>
    <w:rsid w:val="007B13F9"/>
    <w:rsid w:val="007B26FD"/>
    <w:rsid w:val="007B33DA"/>
    <w:rsid w:val="007B599C"/>
    <w:rsid w:val="007B5B20"/>
    <w:rsid w:val="007B69EA"/>
    <w:rsid w:val="007B69F2"/>
    <w:rsid w:val="007C064A"/>
    <w:rsid w:val="007C077D"/>
    <w:rsid w:val="007C151F"/>
    <w:rsid w:val="007C1A92"/>
    <w:rsid w:val="007C2324"/>
    <w:rsid w:val="007C29C1"/>
    <w:rsid w:val="007C2C61"/>
    <w:rsid w:val="007C31A4"/>
    <w:rsid w:val="007C3466"/>
    <w:rsid w:val="007C414B"/>
    <w:rsid w:val="007C4942"/>
    <w:rsid w:val="007C53EF"/>
    <w:rsid w:val="007C556A"/>
    <w:rsid w:val="007C5F33"/>
    <w:rsid w:val="007C76CB"/>
    <w:rsid w:val="007C7AEB"/>
    <w:rsid w:val="007C7BB0"/>
    <w:rsid w:val="007D05DF"/>
    <w:rsid w:val="007D06B3"/>
    <w:rsid w:val="007D15B9"/>
    <w:rsid w:val="007D29C3"/>
    <w:rsid w:val="007D2A32"/>
    <w:rsid w:val="007D3155"/>
    <w:rsid w:val="007D36C5"/>
    <w:rsid w:val="007D389B"/>
    <w:rsid w:val="007D3E01"/>
    <w:rsid w:val="007D5221"/>
    <w:rsid w:val="007D5E98"/>
    <w:rsid w:val="007E0499"/>
    <w:rsid w:val="007E05B0"/>
    <w:rsid w:val="007E0644"/>
    <w:rsid w:val="007E0D25"/>
    <w:rsid w:val="007E10F6"/>
    <w:rsid w:val="007E1183"/>
    <w:rsid w:val="007E1658"/>
    <w:rsid w:val="007E19E3"/>
    <w:rsid w:val="007E3685"/>
    <w:rsid w:val="007E3D18"/>
    <w:rsid w:val="007E48D6"/>
    <w:rsid w:val="007F1437"/>
    <w:rsid w:val="007F152F"/>
    <w:rsid w:val="007F1CCB"/>
    <w:rsid w:val="007F1E0C"/>
    <w:rsid w:val="007F24CD"/>
    <w:rsid w:val="007F32E9"/>
    <w:rsid w:val="007F4C99"/>
    <w:rsid w:val="007F55B4"/>
    <w:rsid w:val="00801251"/>
    <w:rsid w:val="008023ED"/>
    <w:rsid w:val="008028C0"/>
    <w:rsid w:val="00802BC0"/>
    <w:rsid w:val="00802E01"/>
    <w:rsid w:val="008036C6"/>
    <w:rsid w:val="00806A22"/>
    <w:rsid w:val="00806D90"/>
    <w:rsid w:val="008070A5"/>
    <w:rsid w:val="00807A3B"/>
    <w:rsid w:val="0081101D"/>
    <w:rsid w:val="00811791"/>
    <w:rsid w:val="00813204"/>
    <w:rsid w:val="00814F66"/>
    <w:rsid w:val="00815B67"/>
    <w:rsid w:val="00815E7A"/>
    <w:rsid w:val="00817265"/>
    <w:rsid w:val="008172E4"/>
    <w:rsid w:val="00817BB7"/>
    <w:rsid w:val="00820A37"/>
    <w:rsid w:val="00820E57"/>
    <w:rsid w:val="00823990"/>
    <w:rsid w:val="00823F97"/>
    <w:rsid w:val="008245D4"/>
    <w:rsid w:val="00825040"/>
    <w:rsid w:val="008251F1"/>
    <w:rsid w:val="008254EC"/>
    <w:rsid w:val="00825733"/>
    <w:rsid w:val="008265F7"/>
    <w:rsid w:val="008277B6"/>
    <w:rsid w:val="00827A3B"/>
    <w:rsid w:val="00831D86"/>
    <w:rsid w:val="00833252"/>
    <w:rsid w:val="00833CF6"/>
    <w:rsid w:val="00833FD2"/>
    <w:rsid w:val="00834126"/>
    <w:rsid w:val="008362D4"/>
    <w:rsid w:val="0083666C"/>
    <w:rsid w:val="00836EA7"/>
    <w:rsid w:val="00837784"/>
    <w:rsid w:val="008379E8"/>
    <w:rsid w:val="00837D91"/>
    <w:rsid w:val="00840B1C"/>
    <w:rsid w:val="0084154E"/>
    <w:rsid w:val="00841560"/>
    <w:rsid w:val="00842935"/>
    <w:rsid w:val="008442CA"/>
    <w:rsid w:val="00845198"/>
    <w:rsid w:val="0084531F"/>
    <w:rsid w:val="008457AE"/>
    <w:rsid w:val="00845A7F"/>
    <w:rsid w:val="008478C2"/>
    <w:rsid w:val="00850635"/>
    <w:rsid w:val="00850997"/>
    <w:rsid w:val="00850E60"/>
    <w:rsid w:val="0085115B"/>
    <w:rsid w:val="008516A2"/>
    <w:rsid w:val="00851CCD"/>
    <w:rsid w:val="0085270C"/>
    <w:rsid w:val="008539A5"/>
    <w:rsid w:val="00853BEC"/>
    <w:rsid w:val="00854CD3"/>
    <w:rsid w:val="00854D82"/>
    <w:rsid w:val="00854EBF"/>
    <w:rsid w:val="0085542D"/>
    <w:rsid w:val="008556D0"/>
    <w:rsid w:val="0085605F"/>
    <w:rsid w:val="00856652"/>
    <w:rsid w:val="00862037"/>
    <w:rsid w:val="008623BA"/>
    <w:rsid w:val="008632D0"/>
    <w:rsid w:val="00863F5A"/>
    <w:rsid w:val="0086410D"/>
    <w:rsid w:val="00864635"/>
    <w:rsid w:val="00864903"/>
    <w:rsid w:val="008661A6"/>
    <w:rsid w:val="008661B6"/>
    <w:rsid w:val="00866600"/>
    <w:rsid w:val="00866852"/>
    <w:rsid w:val="00867177"/>
    <w:rsid w:val="00867888"/>
    <w:rsid w:val="0087056A"/>
    <w:rsid w:val="00870A2B"/>
    <w:rsid w:val="00870A35"/>
    <w:rsid w:val="00870ACC"/>
    <w:rsid w:val="00871610"/>
    <w:rsid w:val="008718CD"/>
    <w:rsid w:val="00872212"/>
    <w:rsid w:val="00872FD7"/>
    <w:rsid w:val="00873A7D"/>
    <w:rsid w:val="00874D22"/>
    <w:rsid w:val="00875831"/>
    <w:rsid w:val="00875C37"/>
    <w:rsid w:val="00877AB4"/>
    <w:rsid w:val="00880534"/>
    <w:rsid w:val="00881F14"/>
    <w:rsid w:val="008829A6"/>
    <w:rsid w:val="008841C8"/>
    <w:rsid w:val="00884A0A"/>
    <w:rsid w:val="008852B0"/>
    <w:rsid w:val="0088570B"/>
    <w:rsid w:val="00886B93"/>
    <w:rsid w:val="00887CE7"/>
    <w:rsid w:val="008901A2"/>
    <w:rsid w:val="00891632"/>
    <w:rsid w:val="00891674"/>
    <w:rsid w:val="00894764"/>
    <w:rsid w:val="00894C1A"/>
    <w:rsid w:val="00895012"/>
    <w:rsid w:val="00896CBA"/>
    <w:rsid w:val="00896DD6"/>
    <w:rsid w:val="00897677"/>
    <w:rsid w:val="008A18C1"/>
    <w:rsid w:val="008A2348"/>
    <w:rsid w:val="008A2914"/>
    <w:rsid w:val="008A2C51"/>
    <w:rsid w:val="008A3833"/>
    <w:rsid w:val="008A3D72"/>
    <w:rsid w:val="008A5BD6"/>
    <w:rsid w:val="008A5F5E"/>
    <w:rsid w:val="008A70DB"/>
    <w:rsid w:val="008A79B2"/>
    <w:rsid w:val="008A7C80"/>
    <w:rsid w:val="008A7F83"/>
    <w:rsid w:val="008B03E2"/>
    <w:rsid w:val="008B153B"/>
    <w:rsid w:val="008B2795"/>
    <w:rsid w:val="008B2D9D"/>
    <w:rsid w:val="008B339F"/>
    <w:rsid w:val="008B4054"/>
    <w:rsid w:val="008B420A"/>
    <w:rsid w:val="008B4300"/>
    <w:rsid w:val="008B499F"/>
    <w:rsid w:val="008B54C8"/>
    <w:rsid w:val="008B5D8C"/>
    <w:rsid w:val="008B6C28"/>
    <w:rsid w:val="008B6EEC"/>
    <w:rsid w:val="008B73FF"/>
    <w:rsid w:val="008C0385"/>
    <w:rsid w:val="008C1C69"/>
    <w:rsid w:val="008C38F5"/>
    <w:rsid w:val="008C494C"/>
    <w:rsid w:val="008C4F13"/>
    <w:rsid w:val="008C607A"/>
    <w:rsid w:val="008C693A"/>
    <w:rsid w:val="008C69F3"/>
    <w:rsid w:val="008C763B"/>
    <w:rsid w:val="008C7867"/>
    <w:rsid w:val="008C7A00"/>
    <w:rsid w:val="008D052B"/>
    <w:rsid w:val="008D06D2"/>
    <w:rsid w:val="008D1C5B"/>
    <w:rsid w:val="008D23E2"/>
    <w:rsid w:val="008D29CC"/>
    <w:rsid w:val="008D39F1"/>
    <w:rsid w:val="008D4FCD"/>
    <w:rsid w:val="008D57EB"/>
    <w:rsid w:val="008D5ACB"/>
    <w:rsid w:val="008D61AD"/>
    <w:rsid w:val="008D6611"/>
    <w:rsid w:val="008D6CD1"/>
    <w:rsid w:val="008D6E54"/>
    <w:rsid w:val="008D7368"/>
    <w:rsid w:val="008DB5FD"/>
    <w:rsid w:val="008E2436"/>
    <w:rsid w:val="008E3C55"/>
    <w:rsid w:val="008E4235"/>
    <w:rsid w:val="008E4D8E"/>
    <w:rsid w:val="008E5A92"/>
    <w:rsid w:val="008E5AC3"/>
    <w:rsid w:val="008E5D58"/>
    <w:rsid w:val="008E6E73"/>
    <w:rsid w:val="008E74FF"/>
    <w:rsid w:val="008E7F48"/>
    <w:rsid w:val="008F021F"/>
    <w:rsid w:val="008F102C"/>
    <w:rsid w:val="008F2FF4"/>
    <w:rsid w:val="008F3F0A"/>
    <w:rsid w:val="008F3F4A"/>
    <w:rsid w:val="008F40ED"/>
    <w:rsid w:val="008F467F"/>
    <w:rsid w:val="008F48D2"/>
    <w:rsid w:val="008F4C7C"/>
    <w:rsid w:val="008F59A7"/>
    <w:rsid w:val="008F76EB"/>
    <w:rsid w:val="009007D5"/>
    <w:rsid w:val="009012D0"/>
    <w:rsid w:val="0090207E"/>
    <w:rsid w:val="00902737"/>
    <w:rsid w:val="009030D4"/>
    <w:rsid w:val="00903572"/>
    <w:rsid w:val="00903CAA"/>
    <w:rsid w:val="0090579E"/>
    <w:rsid w:val="00905E9B"/>
    <w:rsid w:val="009108D0"/>
    <w:rsid w:val="009108D8"/>
    <w:rsid w:val="0091262E"/>
    <w:rsid w:val="00913200"/>
    <w:rsid w:val="009139C2"/>
    <w:rsid w:val="00914E04"/>
    <w:rsid w:val="00915B9C"/>
    <w:rsid w:val="009162C5"/>
    <w:rsid w:val="00917FF1"/>
    <w:rsid w:val="009203B0"/>
    <w:rsid w:val="0092120D"/>
    <w:rsid w:val="009229CA"/>
    <w:rsid w:val="00925588"/>
    <w:rsid w:val="00932540"/>
    <w:rsid w:val="00932A33"/>
    <w:rsid w:val="00932C60"/>
    <w:rsid w:val="0093330B"/>
    <w:rsid w:val="00934AA1"/>
    <w:rsid w:val="0093577A"/>
    <w:rsid w:val="009360D3"/>
    <w:rsid w:val="00936592"/>
    <w:rsid w:val="00936789"/>
    <w:rsid w:val="009377D4"/>
    <w:rsid w:val="00937E3E"/>
    <w:rsid w:val="00940C6B"/>
    <w:rsid w:val="009411FD"/>
    <w:rsid w:val="009428FD"/>
    <w:rsid w:val="00942A80"/>
    <w:rsid w:val="00943FD2"/>
    <w:rsid w:val="00944D9A"/>
    <w:rsid w:val="0094589C"/>
    <w:rsid w:val="009469B4"/>
    <w:rsid w:val="00947E8A"/>
    <w:rsid w:val="00950A7E"/>
    <w:rsid w:val="00951099"/>
    <w:rsid w:val="009513D3"/>
    <w:rsid w:val="0095170D"/>
    <w:rsid w:val="009518FB"/>
    <w:rsid w:val="00951CDA"/>
    <w:rsid w:val="0095223C"/>
    <w:rsid w:val="0095330A"/>
    <w:rsid w:val="00955BF6"/>
    <w:rsid w:val="00955F04"/>
    <w:rsid w:val="00956166"/>
    <w:rsid w:val="0095655F"/>
    <w:rsid w:val="00956C27"/>
    <w:rsid w:val="00956E73"/>
    <w:rsid w:val="00956F21"/>
    <w:rsid w:val="009574B4"/>
    <w:rsid w:val="00960B6E"/>
    <w:rsid w:val="009619DB"/>
    <w:rsid w:val="00961CD5"/>
    <w:rsid w:val="00963060"/>
    <w:rsid w:val="00963300"/>
    <w:rsid w:val="009635B6"/>
    <w:rsid w:val="009644FF"/>
    <w:rsid w:val="00965406"/>
    <w:rsid w:val="009658F3"/>
    <w:rsid w:val="00966621"/>
    <w:rsid w:val="009670A7"/>
    <w:rsid w:val="009701D8"/>
    <w:rsid w:val="00971343"/>
    <w:rsid w:val="0097160C"/>
    <w:rsid w:val="009716EA"/>
    <w:rsid w:val="009721A5"/>
    <w:rsid w:val="00972F28"/>
    <w:rsid w:val="009733C0"/>
    <w:rsid w:val="00973A63"/>
    <w:rsid w:val="00973D28"/>
    <w:rsid w:val="00976108"/>
    <w:rsid w:val="00976564"/>
    <w:rsid w:val="00976E0B"/>
    <w:rsid w:val="0097764C"/>
    <w:rsid w:val="00977C3A"/>
    <w:rsid w:val="00977F8C"/>
    <w:rsid w:val="00980175"/>
    <w:rsid w:val="00980588"/>
    <w:rsid w:val="009821FD"/>
    <w:rsid w:val="00982639"/>
    <w:rsid w:val="0098296C"/>
    <w:rsid w:val="009836AB"/>
    <w:rsid w:val="00983870"/>
    <w:rsid w:val="0098394C"/>
    <w:rsid w:val="00984CF7"/>
    <w:rsid w:val="0098542E"/>
    <w:rsid w:val="009854F4"/>
    <w:rsid w:val="009855BC"/>
    <w:rsid w:val="00985A7A"/>
    <w:rsid w:val="00985E89"/>
    <w:rsid w:val="00986074"/>
    <w:rsid w:val="00987A87"/>
    <w:rsid w:val="009942D9"/>
    <w:rsid w:val="0099522E"/>
    <w:rsid w:val="00996D55"/>
    <w:rsid w:val="009971F9"/>
    <w:rsid w:val="009A1B1B"/>
    <w:rsid w:val="009A1BAE"/>
    <w:rsid w:val="009A33AD"/>
    <w:rsid w:val="009A5268"/>
    <w:rsid w:val="009A546B"/>
    <w:rsid w:val="009A7D2C"/>
    <w:rsid w:val="009A7E73"/>
    <w:rsid w:val="009B0238"/>
    <w:rsid w:val="009B08BA"/>
    <w:rsid w:val="009B1149"/>
    <w:rsid w:val="009B33A7"/>
    <w:rsid w:val="009B38F4"/>
    <w:rsid w:val="009B3E61"/>
    <w:rsid w:val="009B471F"/>
    <w:rsid w:val="009B5188"/>
    <w:rsid w:val="009B5C2B"/>
    <w:rsid w:val="009B6453"/>
    <w:rsid w:val="009B7AC9"/>
    <w:rsid w:val="009C069F"/>
    <w:rsid w:val="009C15B6"/>
    <w:rsid w:val="009C32EB"/>
    <w:rsid w:val="009C36C0"/>
    <w:rsid w:val="009C5594"/>
    <w:rsid w:val="009C5655"/>
    <w:rsid w:val="009C5CB8"/>
    <w:rsid w:val="009C6A1C"/>
    <w:rsid w:val="009D0682"/>
    <w:rsid w:val="009D20CC"/>
    <w:rsid w:val="009D257F"/>
    <w:rsid w:val="009D3679"/>
    <w:rsid w:val="009D397F"/>
    <w:rsid w:val="009D422E"/>
    <w:rsid w:val="009D442B"/>
    <w:rsid w:val="009D5036"/>
    <w:rsid w:val="009D7024"/>
    <w:rsid w:val="009D72EB"/>
    <w:rsid w:val="009E06B0"/>
    <w:rsid w:val="009E0726"/>
    <w:rsid w:val="009E082E"/>
    <w:rsid w:val="009E08DB"/>
    <w:rsid w:val="009E2965"/>
    <w:rsid w:val="009E39FA"/>
    <w:rsid w:val="009E3D63"/>
    <w:rsid w:val="009E424D"/>
    <w:rsid w:val="009E5160"/>
    <w:rsid w:val="009E5694"/>
    <w:rsid w:val="009E5A58"/>
    <w:rsid w:val="009E61F4"/>
    <w:rsid w:val="009E6A4D"/>
    <w:rsid w:val="009E7167"/>
    <w:rsid w:val="009E728C"/>
    <w:rsid w:val="009EA04B"/>
    <w:rsid w:val="009ECC65"/>
    <w:rsid w:val="009F035B"/>
    <w:rsid w:val="009F1889"/>
    <w:rsid w:val="009F1BDB"/>
    <w:rsid w:val="009F2945"/>
    <w:rsid w:val="009F32B4"/>
    <w:rsid w:val="009F34F3"/>
    <w:rsid w:val="009F3D97"/>
    <w:rsid w:val="009F4A0A"/>
    <w:rsid w:val="009F53E5"/>
    <w:rsid w:val="009F5E11"/>
    <w:rsid w:val="009F6736"/>
    <w:rsid w:val="009FCF54"/>
    <w:rsid w:val="00A001E2"/>
    <w:rsid w:val="00A00945"/>
    <w:rsid w:val="00A00E4B"/>
    <w:rsid w:val="00A00FCA"/>
    <w:rsid w:val="00A02F7A"/>
    <w:rsid w:val="00A02FB7"/>
    <w:rsid w:val="00A03EBE"/>
    <w:rsid w:val="00A03F77"/>
    <w:rsid w:val="00A042EB"/>
    <w:rsid w:val="00A046E4"/>
    <w:rsid w:val="00A05920"/>
    <w:rsid w:val="00A068D1"/>
    <w:rsid w:val="00A068F1"/>
    <w:rsid w:val="00A06F78"/>
    <w:rsid w:val="00A108C8"/>
    <w:rsid w:val="00A11071"/>
    <w:rsid w:val="00A12B9A"/>
    <w:rsid w:val="00A150D2"/>
    <w:rsid w:val="00A15D05"/>
    <w:rsid w:val="00A15E28"/>
    <w:rsid w:val="00A161E4"/>
    <w:rsid w:val="00A16347"/>
    <w:rsid w:val="00A16620"/>
    <w:rsid w:val="00A16885"/>
    <w:rsid w:val="00A17645"/>
    <w:rsid w:val="00A17E40"/>
    <w:rsid w:val="00A17F5C"/>
    <w:rsid w:val="00A201B8"/>
    <w:rsid w:val="00A2054A"/>
    <w:rsid w:val="00A21A7B"/>
    <w:rsid w:val="00A22CC6"/>
    <w:rsid w:val="00A2375C"/>
    <w:rsid w:val="00A24788"/>
    <w:rsid w:val="00A24DBD"/>
    <w:rsid w:val="00A25C0E"/>
    <w:rsid w:val="00A25EB2"/>
    <w:rsid w:val="00A2646D"/>
    <w:rsid w:val="00A26DF8"/>
    <w:rsid w:val="00A26E9A"/>
    <w:rsid w:val="00A26F1D"/>
    <w:rsid w:val="00A26F5B"/>
    <w:rsid w:val="00A27B2C"/>
    <w:rsid w:val="00A305B4"/>
    <w:rsid w:val="00A31B3C"/>
    <w:rsid w:val="00A33A30"/>
    <w:rsid w:val="00A3431B"/>
    <w:rsid w:val="00A34856"/>
    <w:rsid w:val="00A3486A"/>
    <w:rsid w:val="00A35CA4"/>
    <w:rsid w:val="00A36163"/>
    <w:rsid w:val="00A36517"/>
    <w:rsid w:val="00A36EC7"/>
    <w:rsid w:val="00A3742F"/>
    <w:rsid w:val="00A3798A"/>
    <w:rsid w:val="00A40A48"/>
    <w:rsid w:val="00A40C3C"/>
    <w:rsid w:val="00A4211B"/>
    <w:rsid w:val="00A43BCA"/>
    <w:rsid w:val="00A441E1"/>
    <w:rsid w:val="00A4420D"/>
    <w:rsid w:val="00A45441"/>
    <w:rsid w:val="00A45524"/>
    <w:rsid w:val="00A45837"/>
    <w:rsid w:val="00A45AAF"/>
    <w:rsid w:val="00A4794A"/>
    <w:rsid w:val="00A47B5B"/>
    <w:rsid w:val="00A47D3B"/>
    <w:rsid w:val="00A51A35"/>
    <w:rsid w:val="00A523AE"/>
    <w:rsid w:val="00A53459"/>
    <w:rsid w:val="00A536F1"/>
    <w:rsid w:val="00A5385A"/>
    <w:rsid w:val="00A53D24"/>
    <w:rsid w:val="00A53E49"/>
    <w:rsid w:val="00A548BE"/>
    <w:rsid w:val="00A549CD"/>
    <w:rsid w:val="00A5696C"/>
    <w:rsid w:val="00A620BF"/>
    <w:rsid w:val="00A626D3"/>
    <w:rsid w:val="00A62E63"/>
    <w:rsid w:val="00A639EC"/>
    <w:rsid w:val="00A66C58"/>
    <w:rsid w:val="00A71284"/>
    <w:rsid w:val="00A721E1"/>
    <w:rsid w:val="00A725B7"/>
    <w:rsid w:val="00A72EEB"/>
    <w:rsid w:val="00A7383E"/>
    <w:rsid w:val="00A76090"/>
    <w:rsid w:val="00A775C0"/>
    <w:rsid w:val="00A77AA5"/>
    <w:rsid w:val="00A77AD7"/>
    <w:rsid w:val="00A80B21"/>
    <w:rsid w:val="00A80D7F"/>
    <w:rsid w:val="00A831CC"/>
    <w:rsid w:val="00A836D3"/>
    <w:rsid w:val="00A8414C"/>
    <w:rsid w:val="00A85893"/>
    <w:rsid w:val="00A85CD9"/>
    <w:rsid w:val="00A863F8"/>
    <w:rsid w:val="00A86944"/>
    <w:rsid w:val="00A87285"/>
    <w:rsid w:val="00A87BDD"/>
    <w:rsid w:val="00A87DF3"/>
    <w:rsid w:val="00A91369"/>
    <w:rsid w:val="00A919B8"/>
    <w:rsid w:val="00A91AC3"/>
    <w:rsid w:val="00A93160"/>
    <w:rsid w:val="00A94604"/>
    <w:rsid w:val="00A94B05"/>
    <w:rsid w:val="00A94CA8"/>
    <w:rsid w:val="00A95A6A"/>
    <w:rsid w:val="00A961E1"/>
    <w:rsid w:val="00A9622F"/>
    <w:rsid w:val="00A970A6"/>
    <w:rsid w:val="00AA0AC7"/>
    <w:rsid w:val="00AA12FF"/>
    <w:rsid w:val="00AA2F6D"/>
    <w:rsid w:val="00AA34E3"/>
    <w:rsid w:val="00AA3694"/>
    <w:rsid w:val="00AA3BBA"/>
    <w:rsid w:val="00AA40E0"/>
    <w:rsid w:val="00AA4F5F"/>
    <w:rsid w:val="00AA5046"/>
    <w:rsid w:val="00AA51FF"/>
    <w:rsid w:val="00AA5870"/>
    <w:rsid w:val="00AA70C4"/>
    <w:rsid w:val="00AA75B6"/>
    <w:rsid w:val="00AB075D"/>
    <w:rsid w:val="00AB1108"/>
    <w:rsid w:val="00AB1EAF"/>
    <w:rsid w:val="00AB1FEA"/>
    <w:rsid w:val="00AB2367"/>
    <w:rsid w:val="00AB29F3"/>
    <w:rsid w:val="00AB2D83"/>
    <w:rsid w:val="00AB2E81"/>
    <w:rsid w:val="00AB2F74"/>
    <w:rsid w:val="00AB4159"/>
    <w:rsid w:val="00AB4F49"/>
    <w:rsid w:val="00AB51E0"/>
    <w:rsid w:val="00AB5CBA"/>
    <w:rsid w:val="00AB5DCE"/>
    <w:rsid w:val="00AB68CC"/>
    <w:rsid w:val="00AB7D8A"/>
    <w:rsid w:val="00AB7F1F"/>
    <w:rsid w:val="00AC078F"/>
    <w:rsid w:val="00AC19CF"/>
    <w:rsid w:val="00AC3E0F"/>
    <w:rsid w:val="00AC5660"/>
    <w:rsid w:val="00AC6602"/>
    <w:rsid w:val="00AD0932"/>
    <w:rsid w:val="00AD14E7"/>
    <w:rsid w:val="00AD1E6A"/>
    <w:rsid w:val="00AD1EC8"/>
    <w:rsid w:val="00AD28F4"/>
    <w:rsid w:val="00AD2B52"/>
    <w:rsid w:val="00AD34CE"/>
    <w:rsid w:val="00AD3569"/>
    <w:rsid w:val="00AD3A3C"/>
    <w:rsid w:val="00AD4BDC"/>
    <w:rsid w:val="00AD510D"/>
    <w:rsid w:val="00AD5663"/>
    <w:rsid w:val="00AD5D36"/>
    <w:rsid w:val="00AD61A6"/>
    <w:rsid w:val="00AD66B6"/>
    <w:rsid w:val="00AD71E9"/>
    <w:rsid w:val="00AD78F6"/>
    <w:rsid w:val="00AD7D6A"/>
    <w:rsid w:val="00AE0614"/>
    <w:rsid w:val="00AE079A"/>
    <w:rsid w:val="00AE07A3"/>
    <w:rsid w:val="00AE0C6A"/>
    <w:rsid w:val="00AE0D0A"/>
    <w:rsid w:val="00AE147E"/>
    <w:rsid w:val="00AE1DE5"/>
    <w:rsid w:val="00AE2078"/>
    <w:rsid w:val="00AE209F"/>
    <w:rsid w:val="00AE3E6B"/>
    <w:rsid w:val="00AE4230"/>
    <w:rsid w:val="00AE4443"/>
    <w:rsid w:val="00AE4CC4"/>
    <w:rsid w:val="00AE5E9F"/>
    <w:rsid w:val="00AE7941"/>
    <w:rsid w:val="00AF022D"/>
    <w:rsid w:val="00AF0712"/>
    <w:rsid w:val="00AF1B51"/>
    <w:rsid w:val="00AF1E2F"/>
    <w:rsid w:val="00AF2FC2"/>
    <w:rsid w:val="00AF3A83"/>
    <w:rsid w:val="00AF42E3"/>
    <w:rsid w:val="00AF46A0"/>
    <w:rsid w:val="00AF47F9"/>
    <w:rsid w:val="00AF492A"/>
    <w:rsid w:val="00AF658D"/>
    <w:rsid w:val="00AF6E9A"/>
    <w:rsid w:val="00B00A91"/>
    <w:rsid w:val="00B01034"/>
    <w:rsid w:val="00B02516"/>
    <w:rsid w:val="00B033B9"/>
    <w:rsid w:val="00B043F5"/>
    <w:rsid w:val="00B0492E"/>
    <w:rsid w:val="00B04AD6"/>
    <w:rsid w:val="00B063D1"/>
    <w:rsid w:val="00B06822"/>
    <w:rsid w:val="00B06B7B"/>
    <w:rsid w:val="00B1031B"/>
    <w:rsid w:val="00B10957"/>
    <w:rsid w:val="00B11BA2"/>
    <w:rsid w:val="00B12B7A"/>
    <w:rsid w:val="00B138DA"/>
    <w:rsid w:val="00B14236"/>
    <w:rsid w:val="00B1450A"/>
    <w:rsid w:val="00B15529"/>
    <w:rsid w:val="00B155D6"/>
    <w:rsid w:val="00B16FE4"/>
    <w:rsid w:val="00B1791F"/>
    <w:rsid w:val="00B20268"/>
    <w:rsid w:val="00B20423"/>
    <w:rsid w:val="00B223FC"/>
    <w:rsid w:val="00B23A8C"/>
    <w:rsid w:val="00B24B01"/>
    <w:rsid w:val="00B25B89"/>
    <w:rsid w:val="00B25E9B"/>
    <w:rsid w:val="00B269BD"/>
    <w:rsid w:val="00B26D2A"/>
    <w:rsid w:val="00B26DCE"/>
    <w:rsid w:val="00B27495"/>
    <w:rsid w:val="00B2757A"/>
    <w:rsid w:val="00B27E56"/>
    <w:rsid w:val="00B306F0"/>
    <w:rsid w:val="00B32138"/>
    <w:rsid w:val="00B32A7D"/>
    <w:rsid w:val="00B32B35"/>
    <w:rsid w:val="00B32CCD"/>
    <w:rsid w:val="00B3359A"/>
    <w:rsid w:val="00B34009"/>
    <w:rsid w:val="00B34D18"/>
    <w:rsid w:val="00B34F96"/>
    <w:rsid w:val="00B358EE"/>
    <w:rsid w:val="00B36AC7"/>
    <w:rsid w:val="00B36B3D"/>
    <w:rsid w:val="00B3776D"/>
    <w:rsid w:val="00B40B88"/>
    <w:rsid w:val="00B40DC9"/>
    <w:rsid w:val="00B41870"/>
    <w:rsid w:val="00B4195C"/>
    <w:rsid w:val="00B41B88"/>
    <w:rsid w:val="00B4209E"/>
    <w:rsid w:val="00B429FC"/>
    <w:rsid w:val="00B44E34"/>
    <w:rsid w:val="00B44FCE"/>
    <w:rsid w:val="00B463DA"/>
    <w:rsid w:val="00B46A0B"/>
    <w:rsid w:val="00B505B3"/>
    <w:rsid w:val="00B508DF"/>
    <w:rsid w:val="00B50AE3"/>
    <w:rsid w:val="00B51149"/>
    <w:rsid w:val="00B514EB"/>
    <w:rsid w:val="00B5166A"/>
    <w:rsid w:val="00B53E88"/>
    <w:rsid w:val="00B542CB"/>
    <w:rsid w:val="00B555B2"/>
    <w:rsid w:val="00B5575E"/>
    <w:rsid w:val="00B55ED3"/>
    <w:rsid w:val="00B56BF7"/>
    <w:rsid w:val="00B616C5"/>
    <w:rsid w:val="00B61706"/>
    <w:rsid w:val="00B61CC6"/>
    <w:rsid w:val="00B61E93"/>
    <w:rsid w:val="00B62BE2"/>
    <w:rsid w:val="00B63A91"/>
    <w:rsid w:val="00B63C13"/>
    <w:rsid w:val="00B648D8"/>
    <w:rsid w:val="00B65E1F"/>
    <w:rsid w:val="00B663C8"/>
    <w:rsid w:val="00B718E5"/>
    <w:rsid w:val="00B71F3A"/>
    <w:rsid w:val="00B72BA8"/>
    <w:rsid w:val="00B73206"/>
    <w:rsid w:val="00B742E1"/>
    <w:rsid w:val="00B7446E"/>
    <w:rsid w:val="00B762D2"/>
    <w:rsid w:val="00B77236"/>
    <w:rsid w:val="00B77243"/>
    <w:rsid w:val="00B77275"/>
    <w:rsid w:val="00B77764"/>
    <w:rsid w:val="00B7779D"/>
    <w:rsid w:val="00B80292"/>
    <w:rsid w:val="00B834B2"/>
    <w:rsid w:val="00B85DA5"/>
    <w:rsid w:val="00B872DC"/>
    <w:rsid w:val="00B87393"/>
    <w:rsid w:val="00B87AEC"/>
    <w:rsid w:val="00B90079"/>
    <w:rsid w:val="00B90368"/>
    <w:rsid w:val="00B90678"/>
    <w:rsid w:val="00B91F8A"/>
    <w:rsid w:val="00B92432"/>
    <w:rsid w:val="00B92A28"/>
    <w:rsid w:val="00B9343A"/>
    <w:rsid w:val="00B93D08"/>
    <w:rsid w:val="00B940E0"/>
    <w:rsid w:val="00B9410B"/>
    <w:rsid w:val="00B94921"/>
    <w:rsid w:val="00B9563F"/>
    <w:rsid w:val="00B962B3"/>
    <w:rsid w:val="00B9645C"/>
    <w:rsid w:val="00B96D6F"/>
    <w:rsid w:val="00B97745"/>
    <w:rsid w:val="00BA0709"/>
    <w:rsid w:val="00BA0BF3"/>
    <w:rsid w:val="00BA174F"/>
    <w:rsid w:val="00BA1A1C"/>
    <w:rsid w:val="00BA1C7D"/>
    <w:rsid w:val="00BA2605"/>
    <w:rsid w:val="00BA2B26"/>
    <w:rsid w:val="00BA3940"/>
    <w:rsid w:val="00BA4D61"/>
    <w:rsid w:val="00BA65F0"/>
    <w:rsid w:val="00BA6A8C"/>
    <w:rsid w:val="00BA71DD"/>
    <w:rsid w:val="00BA7991"/>
    <w:rsid w:val="00BB0CCF"/>
    <w:rsid w:val="00BB11C5"/>
    <w:rsid w:val="00BB24F7"/>
    <w:rsid w:val="00BB3AE4"/>
    <w:rsid w:val="00BB4857"/>
    <w:rsid w:val="00BB52EC"/>
    <w:rsid w:val="00BB65B6"/>
    <w:rsid w:val="00BB66B1"/>
    <w:rsid w:val="00BB72C0"/>
    <w:rsid w:val="00BB7463"/>
    <w:rsid w:val="00BB74DB"/>
    <w:rsid w:val="00BC1251"/>
    <w:rsid w:val="00BC12A2"/>
    <w:rsid w:val="00BC1984"/>
    <w:rsid w:val="00BC22F3"/>
    <w:rsid w:val="00BC2751"/>
    <w:rsid w:val="00BC2F60"/>
    <w:rsid w:val="00BC3110"/>
    <w:rsid w:val="00BC383D"/>
    <w:rsid w:val="00BC3A13"/>
    <w:rsid w:val="00BC51C7"/>
    <w:rsid w:val="00BC5CEE"/>
    <w:rsid w:val="00BC7280"/>
    <w:rsid w:val="00BC7534"/>
    <w:rsid w:val="00BC7EF7"/>
    <w:rsid w:val="00BD0A60"/>
    <w:rsid w:val="00BD16BC"/>
    <w:rsid w:val="00BD2835"/>
    <w:rsid w:val="00BD3205"/>
    <w:rsid w:val="00BD4A21"/>
    <w:rsid w:val="00BD5C7E"/>
    <w:rsid w:val="00BD686B"/>
    <w:rsid w:val="00BD6A1A"/>
    <w:rsid w:val="00BD7021"/>
    <w:rsid w:val="00BE059F"/>
    <w:rsid w:val="00BE062E"/>
    <w:rsid w:val="00BE1579"/>
    <w:rsid w:val="00BE2720"/>
    <w:rsid w:val="00BE354D"/>
    <w:rsid w:val="00BE4AAE"/>
    <w:rsid w:val="00BE5261"/>
    <w:rsid w:val="00BE5E0F"/>
    <w:rsid w:val="00BE78BD"/>
    <w:rsid w:val="00BE78F4"/>
    <w:rsid w:val="00BF051B"/>
    <w:rsid w:val="00BF062D"/>
    <w:rsid w:val="00BF2D6E"/>
    <w:rsid w:val="00BF2FA6"/>
    <w:rsid w:val="00BF39B6"/>
    <w:rsid w:val="00BF4B9D"/>
    <w:rsid w:val="00BF58C9"/>
    <w:rsid w:val="00BF5B16"/>
    <w:rsid w:val="00BF6089"/>
    <w:rsid w:val="00BF691E"/>
    <w:rsid w:val="00BF78C6"/>
    <w:rsid w:val="00C000FD"/>
    <w:rsid w:val="00C00537"/>
    <w:rsid w:val="00C008E0"/>
    <w:rsid w:val="00C019F5"/>
    <w:rsid w:val="00C0247A"/>
    <w:rsid w:val="00C026EA"/>
    <w:rsid w:val="00C028DD"/>
    <w:rsid w:val="00C04139"/>
    <w:rsid w:val="00C04F83"/>
    <w:rsid w:val="00C05E69"/>
    <w:rsid w:val="00C05F5E"/>
    <w:rsid w:val="00C07186"/>
    <w:rsid w:val="00C1141C"/>
    <w:rsid w:val="00C11965"/>
    <w:rsid w:val="00C12301"/>
    <w:rsid w:val="00C13B27"/>
    <w:rsid w:val="00C14D59"/>
    <w:rsid w:val="00C152E3"/>
    <w:rsid w:val="00C15606"/>
    <w:rsid w:val="00C15F8F"/>
    <w:rsid w:val="00C171E4"/>
    <w:rsid w:val="00C17D14"/>
    <w:rsid w:val="00C2040A"/>
    <w:rsid w:val="00C2066A"/>
    <w:rsid w:val="00C210E6"/>
    <w:rsid w:val="00C21A64"/>
    <w:rsid w:val="00C2262F"/>
    <w:rsid w:val="00C227AC"/>
    <w:rsid w:val="00C247EA"/>
    <w:rsid w:val="00C25F08"/>
    <w:rsid w:val="00C26BA9"/>
    <w:rsid w:val="00C27784"/>
    <w:rsid w:val="00C278F4"/>
    <w:rsid w:val="00C27EAC"/>
    <w:rsid w:val="00C3182B"/>
    <w:rsid w:val="00C325FB"/>
    <w:rsid w:val="00C335C9"/>
    <w:rsid w:val="00C33A23"/>
    <w:rsid w:val="00C33A48"/>
    <w:rsid w:val="00C33EF6"/>
    <w:rsid w:val="00C343EC"/>
    <w:rsid w:val="00C34A25"/>
    <w:rsid w:val="00C34CF3"/>
    <w:rsid w:val="00C3517F"/>
    <w:rsid w:val="00C35BB3"/>
    <w:rsid w:val="00C372DA"/>
    <w:rsid w:val="00C37AC5"/>
    <w:rsid w:val="00C40DF5"/>
    <w:rsid w:val="00C42DF1"/>
    <w:rsid w:val="00C42F95"/>
    <w:rsid w:val="00C445BF"/>
    <w:rsid w:val="00C4478A"/>
    <w:rsid w:val="00C44E7B"/>
    <w:rsid w:val="00C456C5"/>
    <w:rsid w:val="00C45EDA"/>
    <w:rsid w:val="00C50BB3"/>
    <w:rsid w:val="00C51DDD"/>
    <w:rsid w:val="00C52252"/>
    <w:rsid w:val="00C52B30"/>
    <w:rsid w:val="00C53643"/>
    <w:rsid w:val="00C5373C"/>
    <w:rsid w:val="00C542FC"/>
    <w:rsid w:val="00C54AE2"/>
    <w:rsid w:val="00C55B09"/>
    <w:rsid w:val="00C560A9"/>
    <w:rsid w:val="00C5679C"/>
    <w:rsid w:val="00C56999"/>
    <w:rsid w:val="00C56D47"/>
    <w:rsid w:val="00C57001"/>
    <w:rsid w:val="00C57301"/>
    <w:rsid w:val="00C61589"/>
    <w:rsid w:val="00C61877"/>
    <w:rsid w:val="00C6207D"/>
    <w:rsid w:val="00C62170"/>
    <w:rsid w:val="00C62ACC"/>
    <w:rsid w:val="00C62E08"/>
    <w:rsid w:val="00C63AA1"/>
    <w:rsid w:val="00C63E89"/>
    <w:rsid w:val="00C6477C"/>
    <w:rsid w:val="00C64883"/>
    <w:rsid w:val="00C65E1B"/>
    <w:rsid w:val="00C66537"/>
    <w:rsid w:val="00C676D3"/>
    <w:rsid w:val="00C703B4"/>
    <w:rsid w:val="00C70768"/>
    <w:rsid w:val="00C7121D"/>
    <w:rsid w:val="00C71F97"/>
    <w:rsid w:val="00C71FA0"/>
    <w:rsid w:val="00C72041"/>
    <w:rsid w:val="00C729E1"/>
    <w:rsid w:val="00C735B9"/>
    <w:rsid w:val="00C760CE"/>
    <w:rsid w:val="00C819D4"/>
    <w:rsid w:val="00C82085"/>
    <w:rsid w:val="00C82D58"/>
    <w:rsid w:val="00C84C63"/>
    <w:rsid w:val="00C850D3"/>
    <w:rsid w:val="00C8540D"/>
    <w:rsid w:val="00C86ABD"/>
    <w:rsid w:val="00C906A5"/>
    <w:rsid w:val="00C907C6"/>
    <w:rsid w:val="00C910B3"/>
    <w:rsid w:val="00C91215"/>
    <w:rsid w:val="00C916FF"/>
    <w:rsid w:val="00C9177D"/>
    <w:rsid w:val="00C9190D"/>
    <w:rsid w:val="00C93372"/>
    <w:rsid w:val="00C93C77"/>
    <w:rsid w:val="00C93D8D"/>
    <w:rsid w:val="00C94393"/>
    <w:rsid w:val="00C96586"/>
    <w:rsid w:val="00C96E8D"/>
    <w:rsid w:val="00CA05E5"/>
    <w:rsid w:val="00CA1132"/>
    <w:rsid w:val="00CA138F"/>
    <w:rsid w:val="00CA175E"/>
    <w:rsid w:val="00CA30B7"/>
    <w:rsid w:val="00CA312F"/>
    <w:rsid w:val="00CA363F"/>
    <w:rsid w:val="00CA3A08"/>
    <w:rsid w:val="00CA40A5"/>
    <w:rsid w:val="00CA483D"/>
    <w:rsid w:val="00CA4F1E"/>
    <w:rsid w:val="00CA5936"/>
    <w:rsid w:val="00CA5E44"/>
    <w:rsid w:val="00CA68A1"/>
    <w:rsid w:val="00CA7458"/>
    <w:rsid w:val="00CA766F"/>
    <w:rsid w:val="00CA7D62"/>
    <w:rsid w:val="00CB06E2"/>
    <w:rsid w:val="00CB0857"/>
    <w:rsid w:val="00CB2764"/>
    <w:rsid w:val="00CB2EAB"/>
    <w:rsid w:val="00CB37CA"/>
    <w:rsid w:val="00CB3EF1"/>
    <w:rsid w:val="00CB5C03"/>
    <w:rsid w:val="00CB6BB3"/>
    <w:rsid w:val="00CB6E50"/>
    <w:rsid w:val="00CB72E3"/>
    <w:rsid w:val="00CB7C40"/>
    <w:rsid w:val="00CBF477"/>
    <w:rsid w:val="00CC058A"/>
    <w:rsid w:val="00CC0F51"/>
    <w:rsid w:val="00CC13FD"/>
    <w:rsid w:val="00CC15A0"/>
    <w:rsid w:val="00CC15DA"/>
    <w:rsid w:val="00CC3A7A"/>
    <w:rsid w:val="00CC458D"/>
    <w:rsid w:val="00CC475B"/>
    <w:rsid w:val="00CC5557"/>
    <w:rsid w:val="00CC5D3E"/>
    <w:rsid w:val="00CD00B0"/>
    <w:rsid w:val="00CD0AA0"/>
    <w:rsid w:val="00CD11D1"/>
    <w:rsid w:val="00CD2016"/>
    <w:rsid w:val="00CD2EC4"/>
    <w:rsid w:val="00CD31D5"/>
    <w:rsid w:val="00CD3631"/>
    <w:rsid w:val="00CD3CBC"/>
    <w:rsid w:val="00CD3D63"/>
    <w:rsid w:val="00CD5404"/>
    <w:rsid w:val="00CD5D86"/>
    <w:rsid w:val="00CD7047"/>
    <w:rsid w:val="00CE1E43"/>
    <w:rsid w:val="00CE2833"/>
    <w:rsid w:val="00CE2BE9"/>
    <w:rsid w:val="00CE39FB"/>
    <w:rsid w:val="00CE3BC4"/>
    <w:rsid w:val="00CE486B"/>
    <w:rsid w:val="00CE4923"/>
    <w:rsid w:val="00CE49A5"/>
    <w:rsid w:val="00CE6465"/>
    <w:rsid w:val="00CE66B3"/>
    <w:rsid w:val="00CE6C17"/>
    <w:rsid w:val="00CF03ED"/>
    <w:rsid w:val="00CF0A03"/>
    <w:rsid w:val="00CF138C"/>
    <w:rsid w:val="00CF1DA3"/>
    <w:rsid w:val="00CF2DD1"/>
    <w:rsid w:val="00CF3FC9"/>
    <w:rsid w:val="00CF45A4"/>
    <w:rsid w:val="00CF4ED4"/>
    <w:rsid w:val="00CF6CA3"/>
    <w:rsid w:val="00CF7037"/>
    <w:rsid w:val="00CF77F8"/>
    <w:rsid w:val="00CF7CC1"/>
    <w:rsid w:val="00D0015A"/>
    <w:rsid w:val="00D008FF"/>
    <w:rsid w:val="00D0295B"/>
    <w:rsid w:val="00D02CF1"/>
    <w:rsid w:val="00D02E2F"/>
    <w:rsid w:val="00D03617"/>
    <w:rsid w:val="00D044FA"/>
    <w:rsid w:val="00D0490F"/>
    <w:rsid w:val="00D04DC2"/>
    <w:rsid w:val="00D06400"/>
    <w:rsid w:val="00D06A9B"/>
    <w:rsid w:val="00D06CA1"/>
    <w:rsid w:val="00D07B0A"/>
    <w:rsid w:val="00D07D5D"/>
    <w:rsid w:val="00D07FCE"/>
    <w:rsid w:val="00D07FF3"/>
    <w:rsid w:val="00D1150B"/>
    <w:rsid w:val="00D11773"/>
    <w:rsid w:val="00D1245D"/>
    <w:rsid w:val="00D13246"/>
    <w:rsid w:val="00D13B1E"/>
    <w:rsid w:val="00D13E11"/>
    <w:rsid w:val="00D13F7C"/>
    <w:rsid w:val="00D151C7"/>
    <w:rsid w:val="00D15303"/>
    <w:rsid w:val="00D15DE2"/>
    <w:rsid w:val="00D16220"/>
    <w:rsid w:val="00D16D3A"/>
    <w:rsid w:val="00D17FDE"/>
    <w:rsid w:val="00D17FDF"/>
    <w:rsid w:val="00D1CD78"/>
    <w:rsid w:val="00D20381"/>
    <w:rsid w:val="00D20BAF"/>
    <w:rsid w:val="00D210C9"/>
    <w:rsid w:val="00D215CC"/>
    <w:rsid w:val="00D21BF6"/>
    <w:rsid w:val="00D221E6"/>
    <w:rsid w:val="00D23297"/>
    <w:rsid w:val="00D23933"/>
    <w:rsid w:val="00D24985"/>
    <w:rsid w:val="00D24E65"/>
    <w:rsid w:val="00D252E8"/>
    <w:rsid w:val="00D25331"/>
    <w:rsid w:val="00D2544E"/>
    <w:rsid w:val="00D26622"/>
    <w:rsid w:val="00D26C4D"/>
    <w:rsid w:val="00D31197"/>
    <w:rsid w:val="00D3277F"/>
    <w:rsid w:val="00D34260"/>
    <w:rsid w:val="00D34880"/>
    <w:rsid w:val="00D34B94"/>
    <w:rsid w:val="00D34C09"/>
    <w:rsid w:val="00D356EE"/>
    <w:rsid w:val="00D35957"/>
    <w:rsid w:val="00D369E4"/>
    <w:rsid w:val="00D36F30"/>
    <w:rsid w:val="00D40017"/>
    <w:rsid w:val="00D41232"/>
    <w:rsid w:val="00D41923"/>
    <w:rsid w:val="00D41EE4"/>
    <w:rsid w:val="00D42582"/>
    <w:rsid w:val="00D427A5"/>
    <w:rsid w:val="00D42980"/>
    <w:rsid w:val="00D43488"/>
    <w:rsid w:val="00D439D6"/>
    <w:rsid w:val="00D4467E"/>
    <w:rsid w:val="00D44A90"/>
    <w:rsid w:val="00D4564D"/>
    <w:rsid w:val="00D460A3"/>
    <w:rsid w:val="00D46999"/>
    <w:rsid w:val="00D479A8"/>
    <w:rsid w:val="00D479BB"/>
    <w:rsid w:val="00D50B11"/>
    <w:rsid w:val="00D51D83"/>
    <w:rsid w:val="00D52831"/>
    <w:rsid w:val="00D52EE7"/>
    <w:rsid w:val="00D54200"/>
    <w:rsid w:val="00D543E8"/>
    <w:rsid w:val="00D55342"/>
    <w:rsid w:val="00D55636"/>
    <w:rsid w:val="00D55A42"/>
    <w:rsid w:val="00D55B78"/>
    <w:rsid w:val="00D55EC3"/>
    <w:rsid w:val="00D55EF6"/>
    <w:rsid w:val="00D56A95"/>
    <w:rsid w:val="00D573FC"/>
    <w:rsid w:val="00D6038A"/>
    <w:rsid w:val="00D60598"/>
    <w:rsid w:val="00D616CB"/>
    <w:rsid w:val="00D62CA7"/>
    <w:rsid w:val="00D648DD"/>
    <w:rsid w:val="00D64D0D"/>
    <w:rsid w:val="00D6562A"/>
    <w:rsid w:val="00D65B55"/>
    <w:rsid w:val="00D6644C"/>
    <w:rsid w:val="00D66962"/>
    <w:rsid w:val="00D66B1B"/>
    <w:rsid w:val="00D67B28"/>
    <w:rsid w:val="00D7035B"/>
    <w:rsid w:val="00D71A5F"/>
    <w:rsid w:val="00D71ADF"/>
    <w:rsid w:val="00D72321"/>
    <w:rsid w:val="00D72A52"/>
    <w:rsid w:val="00D7312C"/>
    <w:rsid w:val="00D7374C"/>
    <w:rsid w:val="00D739C9"/>
    <w:rsid w:val="00D73CAE"/>
    <w:rsid w:val="00D74888"/>
    <w:rsid w:val="00D74961"/>
    <w:rsid w:val="00D754EC"/>
    <w:rsid w:val="00D819AF"/>
    <w:rsid w:val="00D82055"/>
    <w:rsid w:val="00D8394E"/>
    <w:rsid w:val="00D84121"/>
    <w:rsid w:val="00D84677"/>
    <w:rsid w:val="00D84F9F"/>
    <w:rsid w:val="00D84FD5"/>
    <w:rsid w:val="00D8528A"/>
    <w:rsid w:val="00D86454"/>
    <w:rsid w:val="00D86C2E"/>
    <w:rsid w:val="00D8724B"/>
    <w:rsid w:val="00D87305"/>
    <w:rsid w:val="00D900B8"/>
    <w:rsid w:val="00D90604"/>
    <w:rsid w:val="00D90F52"/>
    <w:rsid w:val="00D91623"/>
    <w:rsid w:val="00D91983"/>
    <w:rsid w:val="00D92405"/>
    <w:rsid w:val="00D9264B"/>
    <w:rsid w:val="00D93196"/>
    <w:rsid w:val="00D93344"/>
    <w:rsid w:val="00D93745"/>
    <w:rsid w:val="00D94275"/>
    <w:rsid w:val="00D94438"/>
    <w:rsid w:val="00D94BBF"/>
    <w:rsid w:val="00D96F06"/>
    <w:rsid w:val="00D976CB"/>
    <w:rsid w:val="00D97928"/>
    <w:rsid w:val="00D97B3C"/>
    <w:rsid w:val="00D97FCB"/>
    <w:rsid w:val="00DA1BF4"/>
    <w:rsid w:val="00DA43ED"/>
    <w:rsid w:val="00DA519B"/>
    <w:rsid w:val="00DA5261"/>
    <w:rsid w:val="00DA5D6F"/>
    <w:rsid w:val="00DA602D"/>
    <w:rsid w:val="00DA6E37"/>
    <w:rsid w:val="00DA726B"/>
    <w:rsid w:val="00DA7FFB"/>
    <w:rsid w:val="00DB23FA"/>
    <w:rsid w:val="00DB33BC"/>
    <w:rsid w:val="00DB3C2F"/>
    <w:rsid w:val="00DB4BE0"/>
    <w:rsid w:val="00DB592A"/>
    <w:rsid w:val="00DB61CC"/>
    <w:rsid w:val="00DB6211"/>
    <w:rsid w:val="00DB6B19"/>
    <w:rsid w:val="00DB6CA7"/>
    <w:rsid w:val="00DB6F8B"/>
    <w:rsid w:val="00DB72F5"/>
    <w:rsid w:val="00DB7F9E"/>
    <w:rsid w:val="00DC0C98"/>
    <w:rsid w:val="00DC111B"/>
    <w:rsid w:val="00DC2262"/>
    <w:rsid w:val="00DC38FB"/>
    <w:rsid w:val="00DC4431"/>
    <w:rsid w:val="00DC5994"/>
    <w:rsid w:val="00DD21CF"/>
    <w:rsid w:val="00DD369E"/>
    <w:rsid w:val="00DD38A4"/>
    <w:rsid w:val="00DD5272"/>
    <w:rsid w:val="00DD5DA2"/>
    <w:rsid w:val="00DD6098"/>
    <w:rsid w:val="00DD7096"/>
    <w:rsid w:val="00DD74B9"/>
    <w:rsid w:val="00DD750B"/>
    <w:rsid w:val="00DE0ACE"/>
    <w:rsid w:val="00DE1479"/>
    <w:rsid w:val="00DE2E68"/>
    <w:rsid w:val="00DE328F"/>
    <w:rsid w:val="00DE3E53"/>
    <w:rsid w:val="00DE418E"/>
    <w:rsid w:val="00DE47C2"/>
    <w:rsid w:val="00DE56A6"/>
    <w:rsid w:val="00DE5F94"/>
    <w:rsid w:val="00DE60D6"/>
    <w:rsid w:val="00DE6C74"/>
    <w:rsid w:val="00DE7017"/>
    <w:rsid w:val="00DF0C42"/>
    <w:rsid w:val="00DF1488"/>
    <w:rsid w:val="00DF15CA"/>
    <w:rsid w:val="00DF169D"/>
    <w:rsid w:val="00DF216B"/>
    <w:rsid w:val="00DF4467"/>
    <w:rsid w:val="00DF5874"/>
    <w:rsid w:val="00DF5AF5"/>
    <w:rsid w:val="00DF5C12"/>
    <w:rsid w:val="00DF5F86"/>
    <w:rsid w:val="00E0018F"/>
    <w:rsid w:val="00E0022A"/>
    <w:rsid w:val="00E01220"/>
    <w:rsid w:val="00E01A27"/>
    <w:rsid w:val="00E02209"/>
    <w:rsid w:val="00E02B92"/>
    <w:rsid w:val="00E02C08"/>
    <w:rsid w:val="00E02C53"/>
    <w:rsid w:val="00E02EC6"/>
    <w:rsid w:val="00E03165"/>
    <w:rsid w:val="00E03594"/>
    <w:rsid w:val="00E05003"/>
    <w:rsid w:val="00E051C8"/>
    <w:rsid w:val="00E05EA6"/>
    <w:rsid w:val="00E05F8A"/>
    <w:rsid w:val="00E06C00"/>
    <w:rsid w:val="00E0715A"/>
    <w:rsid w:val="00E074C1"/>
    <w:rsid w:val="00E075E7"/>
    <w:rsid w:val="00E1026E"/>
    <w:rsid w:val="00E103CA"/>
    <w:rsid w:val="00E10BB6"/>
    <w:rsid w:val="00E10F06"/>
    <w:rsid w:val="00E11950"/>
    <w:rsid w:val="00E119ED"/>
    <w:rsid w:val="00E12198"/>
    <w:rsid w:val="00E128C5"/>
    <w:rsid w:val="00E15B95"/>
    <w:rsid w:val="00E15C4A"/>
    <w:rsid w:val="00E15CA9"/>
    <w:rsid w:val="00E16D52"/>
    <w:rsid w:val="00E17AC8"/>
    <w:rsid w:val="00E204A0"/>
    <w:rsid w:val="00E21383"/>
    <w:rsid w:val="00E2241B"/>
    <w:rsid w:val="00E22A7A"/>
    <w:rsid w:val="00E234DF"/>
    <w:rsid w:val="00E23C15"/>
    <w:rsid w:val="00E23FE6"/>
    <w:rsid w:val="00E244CB"/>
    <w:rsid w:val="00E25545"/>
    <w:rsid w:val="00E25A94"/>
    <w:rsid w:val="00E26C37"/>
    <w:rsid w:val="00E26C68"/>
    <w:rsid w:val="00E27E56"/>
    <w:rsid w:val="00E30B56"/>
    <w:rsid w:val="00E31133"/>
    <w:rsid w:val="00E31750"/>
    <w:rsid w:val="00E326BB"/>
    <w:rsid w:val="00E33191"/>
    <w:rsid w:val="00E33737"/>
    <w:rsid w:val="00E34E7C"/>
    <w:rsid w:val="00E352EB"/>
    <w:rsid w:val="00E3558E"/>
    <w:rsid w:val="00E35A1E"/>
    <w:rsid w:val="00E35F25"/>
    <w:rsid w:val="00E35F7D"/>
    <w:rsid w:val="00E368C6"/>
    <w:rsid w:val="00E37708"/>
    <w:rsid w:val="00E377BC"/>
    <w:rsid w:val="00E41B81"/>
    <w:rsid w:val="00E4274E"/>
    <w:rsid w:val="00E44145"/>
    <w:rsid w:val="00E44146"/>
    <w:rsid w:val="00E452A7"/>
    <w:rsid w:val="00E46AF4"/>
    <w:rsid w:val="00E47129"/>
    <w:rsid w:val="00E47780"/>
    <w:rsid w:val="00E50133"/>
    <w:rsid w:val="00E50E48"/>
    <w:rsid w:val="00E52571"/>
    <w:rsid w:val="00E52EB9"/>
    <w:rsid w:val="00E53E26"/>
    <w:rsid w:val="00E5414B"/>
    <w:rsid w:val="00E5579F"/>
    <w:rsid w:val="00E567A6"/>
    <w:rsid w:val="00E57A25"/>
    <w:rsid w:val="00E57D24"/>
    <w:rsid w:val="00E57E85"/>
    <w:rsid w:val="00E60635"/>
    <w:rsid w:val="00E606DC"/>
    <w:rsid w:val="00E60767"/>
    <w:rsid w:val="00E62AD9"/>
    <w:rsid w:val="00E62C4D"/>
    <w:rsid w:val="00E635C2"/>
    <w:rsid w:val="00E63B70"/>
    <w:rsid w:val="00E65475"/>
    <w:rsid w:val="00E65DFE"/>
    <w:rsid w:val="00E66892"/>
    <w:rsid w:val="00E67CA2"/>
    <w:rsid w:val="00E67FD0"/>
    <w:rsid w:val="00E70D5A"/>
    <w:rsid w:val="00E7103F"/>
    <w:rsid w:val="00E720F0"/>
    <w:rsid w:val="00E735CD"/>
    <w:rsid w:val="00E73BDD"/>
    <w:rsid w:val="00E74698"/>
    <w:rsid w:val="00E747B7"/>
    <w:rsid w:val="00E74CDD"/>
    <w:rsid w:val="00E74F78"/>
    <w:rsid w:val="00E7527A"/>
    <w:rsid w:val="00E753FA"/>
    <w:rsid w:val="00E757C9"/>
    <w:rsid w:val="00E75AF2"/>
    <w:rsid w:val="00E7706D"/>
    <w:rsid w:val="00E77214"/>
    <w:rsid w:val="00E7795B"/>
    <w:rsid w:val="00E801E4"/>
    <w:rsid w:val="00E80891"/>
    <w:rsid w:val="00E80BF2"/>
    <w:rsid w:val="00E80E95"/>
    <w:rsid w:val="00E8163E"/>
    <w:rsid w:val="00E82045"/>
    <w:rsid w:val="00E84C18"/>
    <w:rsid w:val="00E86EB3"/>
    <w:rsid w:val="00E90C2C"/>
    <w:rsid w:val="00E9127E"/>
    <w:rsid w:val="00E9198D"/>
    <w:rsid w:val="00E93D84"/>
    <w:rsid w:val="00E95D2F"/>
    <w:rsid w:val="00E97651"/>
    <w:rsid w:val="00EA00AD"/>
    <w:rsid w:val="00EA012C"/>
    <w:rsid w:val="00EA02B1"/>
    <w:rsid w:val="00EA0E42"/>
    <w:rsid w:val="00EA262C"/>
    <w:rsid w:val="00EA3F97"/>
    <w:rsid w:val="00EA515B"/>
    <w:rsid w:val="00EA5456"/>
    <w:rsid w:val="00EA5708"/>
    <w:rsid w:val="00EA6DBB"/>
    <w:rsid w:val="00EA6FAD"/>
    <w:rsid w:val="00EA79F2"/>
    <w:rsid w:val="00EB00EE"/>
    <w:rsid w:val="00EB0153"/>
    <w:rsid w:val="00EB0E73"/>
    <w:rsid w:val="00EB1873"/>
    <w:rsid w:val="00EB232F"/>
    <w:rsid w:val="00EB3BA9"/>
    <w:rsid w:val="00EB4580"/>
    <w:rsid w:val="00EB4B8E"/>
    <w:rsid w:val="00EB4C08"/>
    <w:rsid w:val="00EB701B"/>
    <w:rsid w:val="00EB70F8"/>
    <w:rsid w:val="00EB7D48"/>
    <w:rsid w:val="00EB7D59"/>
    <w:rsid w:val="00EC0521"/>
    <w:rsid w:val="00EC0657"/>
    <w:rsid w:val="00EC152A"/>
    <w:rsid w:val="00EC18F4"/>
    <w:rsid w:val="00EC27A1"/>
    <w:rsid w:val="00EC326A"/>
    <w:rsid w:val="00EC5A4D"/>
    <w:rsid w:val="00EC622C"/>
    <w:rsid w:val="00EC68BC"/>
    <w:rsid w:val="00EC778B"/>
    <w:rsid w:val="00EC7FF9"/>
    <w:rsid w:val="00ED1193"/>
    <w:rsid w:val="00ED1678"/>
    <w:rsid w:val="00ED1B6F"/>
    <w:rsid w:val="00ED25BB"/>
    <w:rsid w:val="00ED275D"/>
    <w:rsid w:val="00ED373E"/>
    <w:rsid w:val="00ED392A"/>
    <w:rsid w:val="00ED4655"/>
    <w:rsid w:val="00ED47AE"/>
    <w:rsid w:val="00ED4CF0"/>
    <w:rsid w:val="00ED4CF7"/>
    <w:rsid w:val="00ED6687"/>
    <w:rsid w:val="00ED675F"/>
    <w:rsid w:val="00ED7487"/>
    <w:rsid w:val="00ED758B"/>
    <w:rsid w:val="00ED7FB4"/>
    <w:rsid w:val="00EE02E5"/>
    <w:rsid w:val="00EE2134"/>
    <w:rsid w:val="00EE2900"/>
    <w:rsid w:val="00EE3194"/>
    <w:rsid w:val="00EE45A7"/>
    <w:rsid w:val="00EE518A"/>
    <w:rsid w:val="00EE5D47"/>
    <w:rsid w:val="00EE63F2"/>
    <w:rsid w:val="00EF0868"/>
    <w:rsid w:val="00EF15EE"/>
    <w:rsid w:val="00EF26EE"/>
    <w:rsid w:val="00EF319A"/>
    <w:rsid w:val="00EF3D25"/>
    <w:rsid w:val="00EF4AD3"/>
    <w:rsid w:val="00EF50CD"/>
    <w:rsid w:val="00EF6C56"/>
    <w:rsid w:val="00EF7618"/>
    <w:rsid w:val="00EF783E"/>
    <w:rsid w:val="00EF7950"/>
    <w:rsid w:val="00EF7A84"/>
    <w:rsid w:val="00F00418"/>
    <w:rsid w:val="00F00E18"/>
    <w:rsid w:val="00F01683"/>
    <w:rsid w:val="00F03305"/>
    <w:rsid w:val="00F038B7"/>
    <w:rsid w:val="00F03B0A"/>
    <w:rsid w:val="00F03BD7"/>
    <w:rsid w:val="00F05BF7"/>
    <w:rsid w:val="00F0695C"/>
    <w:rsid w:val="00F0764F"/>
    <w:rsid w:val="00F1015C"/>
    <w:rsid w:val="00F10803"/>
    <w:rsid w:val="00F11B62"/>
    <w:rsid w:val="00F11D8C"/>
    <w:rsid w:val="00F11D99"/>
    <w:rsid w:val="00F11F19"/>
    <w:rsid w:val="00F137CD"/>
    <w:rsid w:val="00F13EDF"/>
    <w:rsid w:val="00F14A14"/>
    <w:rsid w:val="00F1503D"/>
    <w:rsid w:val="00F1512A"/>
    <w:rsid w:val="00F170A6"/>
    <w:rsid w:val="00F20FC5"/>
    <w:rsid w:val="00F21001"/>
    <w:rsid w:val="00F21EC4"/>
    <w:rsid w:val="00F22459"/>
    <w:rsid w:val="00F227FF"/>
    <w:rsid w:val="00F23DDD"/>
    <w:rsid w:val="00F240A9"/>
    <w:rsid w:val="00F247B9"/>
    <w:rsid w:val="00F250EB"/>
    <w:rsid w:val="00F26505"/>
    <w:rsid w:val="00F26D2D"/>
    <w:rsid w:val="00F276E8"/>
    <w:rsid w:val="00F278F3"/>
    <w:rsid w:val="00F2791C"/>
    <w:rsid w:val="00F27A38"/>
    <w:rsid w:val="00F30AB7"/>
    <w:rsid w:val="00F30F56"/>
    <w:rsid w:val="00F31060"/>
    <w:rsid w:val="00F312AC"/>
    <w:rsid w:val="00F31D0E"/>
    <w:rsid w:val="00F32A6F"/>
    <w:rsid w:val="00F3442E"/>
    <w:rsid w:val="00F350F3"/>
    <w:rsid w:val="00F36133"/>
    <w:rsid w:val="00F3650A"/>
    <w:rsid w:val="00F368AB"/>
    <w:rsid w:val="00F40309"/>
    <w:rsid w:val="00F40745"/>
    <w:rsid w:val="00F40D17"/>
    <w:rsid w:val="00F41AE5"/>
    <w:rsid w:val="00F431AF"/>
    <w:rsid w:val="00F44F5F"/>
    <w:rsid w:val="00F45C05"/>
    <w:rsid w:val="00F45E34"/>
    <w:rsid w:val="00F472F1"/>
    <w:rsid w:val="00F478C6"/>
    <w:rsid w:val="00F47A13"/>
    <w:rsid w:val="00F47A14"/>
    <w:rsid w:val="00F47E5E"/>
    <w:rsid w:val="00F5048D"/>
    <w:rsid w:val="00F50BBC"/>
    <w:rsid w:val="00F53170"/>
    <w:rsid w:val="00F54A01"/>
    <w:rsid w:val="00F55272"/>
    <w:rsid w:val="00F555A9"/>
    <w:rsid w:val="00F557B9"/>
    <w:rsid w:val="00F56112"/>
    <w:rsid w:val="00F56672"/>
    <w:rsid w:val="00F57BD9"/>
    <w:rsid w:val="00F6003C"/>
    <w:rsid w:val="00F60F8C"/>
    <w:rsid w:val="00F6196F"/>
    <w:rsid w:val="00F6205E"/>
    <w:rsid w:val="00F6230B"/>
    <w:rsid w:val="00F6289C"/>
    <w:rsid w:val="00F62EC6"/>
    <w:rsid w:val="00F65EF8"/>
    <w:rsid w:val="00F6679A"/>
    <w:rsid w:val="00F672AE"/>
    <w:rsid w:val="00F70643"/>
    <w:rsid w:val="00F70B76"/>
    <w:rsid w:val="00F714FB"/>
    <w:rsid w:val="00F71F28"/>
    <w:rsid w:val="00F72154"/>
    <w:rsid w:val="00F733BB"/>
    <w:rsid w:val="00F7392A"/>
    <w:rsid w:val="00F73D55"/>
    <w:rsid w:val="00F749D3"/>
    <w:rsid w:val="00F75910"/>
    <w:rsid w:val="00F76D74"/>
    <w:rsid w:val="00F7715A"/>
    <w:rsid w:val="00F774FC"/>
    <w:rsid w:val="00F80B0E"/>
    <w:rsid w:val="00F80B8F"/>
    <w:rsid w:val="00F838BE"/>
    <w:rsid w:val="00F83E58"/>
    <w:rsid w:val="00F84A49"/>
    <w:rsid w:val="00F85205"/>
    <w:rsid w:val="00F86188"/>
    <w:rsid w:val="00F87185"/>
    <w:rsid w:val="00F87232"/>
    <w:rsid w:val="00F874C8"/>
    <w:rsid w:val="00F901BC"/>
    <w:rsid w:val="00F90272"/>
    <w:rsid w:val="00F9056A"/>
    <w:rsid w:val="00F90A6A"/>
    <w:rsid w:val="00F90C19"/>
    <w:rsid w:val="00F91AED"/>
    <w:rsid w:val="00F92F9D"/>
    <w:rsid w:val="00F93052"/>
    <w:rsid w:val="00F93BDB"/>
    <w:rsid w:val="00F93D53"/>
    <w:rsid w:val="00F9582C"/>
    <w:rsid w:val="00F95AAA"/>
    <w:rsid w:val="00F962AE"/>
    <w:rsid w:val="00F9761F"/>
    <w:rsid w:val="00FA21BD"/>
    <w:rsid w:val="00FA2837"/>
    <w:rsid w:val="00FA36F6"/>
    <w:rsid w:val="00FA78F1"/>
    <w:rsid w:val="00FA7D08"/>
    <w:rsid w:val="00FB00BF"/>
    <w:rsid w:val="00FB0775"/>
    <w:rsid w:val="00FB0C8D"/>
    <w:rsid w:val="00FB134C"/>
    <w:rsid w:val="00FB265A"/>
    <w:rsid w:val="00FB2DF2"/>
    <w:rsid w:val="00FB2E01"/>
    <w:rsid w:val="00FB2E2B"/>
    <w:rsid w:val="00FB3738"/>
    <w:rsid w:val="00FC1574"/>
    <w:rsid w:val="00FC2662"/>
    <w:rsid w:val="00FC3032"/>
    <w:rsid w:val="00FC3252"/>
    <w:rsid w:val="00FC38F8"/>
    <w:rsid w:val="00FC44C2"/>
    <w:rsid w:val="00FC4901"/>
    <w:rsid w:val="00FC4D9B"/>
    <w:rsid w:val="00FC52E9"/>
    <w:rsid w:val="00FC64D6"/>
    <w:rsid w:val="00FC677D"/>
    <w:rsid w:val="00FC6BCC"/>
    <w:rsid w:val="00FC745A"/>
    <w:rsid w:val="00FC752C"/>
    <w:rsid w:val="00FC7E20"/>
    <w:rsid w:val="00FC7E5B"/>
    <w:rsid w:val="00FC8CD3"/>
    <w:rsid w:val="00FD0F8D"/>
    <w:rsid w:val="00FD2101"/>
    <w:rsid w:val="00FD3A87"/>
    <w:rsid w:val="00FD42D9"/>
    <w:rsid w:val="00FD4E9A"/>
    <w:rsid w:val="00FD5287"/>
    <w:rsid w:val="00FD5391"/>
    <w:rsid w:val="00FD562C"/>
    <w:rsid w:val="00FD6215"/>
    <w:rsid w:val="00FD6473"/>
    <w:rsid w:val="00FD65ED"/>
    <w:rsid w:val="00FD7629"/>
    <w:rsid w:val="00FD7A43"/>
    <w:rsid w:val="00FE0040"/>
    <w:rsid w:val="00FE0604"/>
    <w:rsid w:val="00FE0BC6"/>
    <w:rsid w:val="00FE21A5"/>
    <w:rsid w:val="00FE4AA4"/>
    <w:rsid w:val="00FE594E"/>
    <w:rsid w:val="00FE5F3E"/>
    <w:rsid w:val="00FE687A"/>
    <w:rsid w:val="00FE7DB4"/>
    <w:rsid w:val="00FF0971"/>
    <w:rsid w:val="00FF0EFC"/>
    <w:rsid w:val="00FF118C"/>
    <w:rsid w:val="00FF1439"/>
    <w:rsid w:val="00FF1A0A"/>
    <w:rsid w:val="00FF2DD8"/>
    <w:rsid w:val="00FF32BB"/>
    <w:rsid w:val="00FF443B"/>
    <w:rsid w:val="00FF44FD"/>
    <w:rsid w:val="00FF5838"/>
    <w:rsid w:val="00FF6A64"/>
    <w:rsid w:val="00FF7710"/>
    <w:rsid w:val="00FF78EA"/>
    <w:rsid w:val="01014243"/>
    <w:rsid w:val="01016739"/>
    <w:rsid w:val="01040EEE"/>
    <w:rsid w:val="010CFCB6"/>
    <w:rsid w:val="011535E8"/>
    <w:rsid w:val="012CC37F"/>
    <w:rsid w:val="0133F1F3"/>
    <w:rsid w:val="01389BBE"/>
    <w:rsid w:val="014211F3"/>
    <w:rsid w:val="015AD983"/>
    <w:rsid w:val="01612FD7"/>
    <w:rsid w:val="016750C3"/>
    <w:rsid w:val="016C4619"/>
    <w:rsid w:val="017184AC"/>
    <w:rsid w:val="017BEA59"/>
    <w:rsid w:val="01802D24"/>
    <w:rsid w:val="01839292"/>
    <w:rsid w:val="0191FFD8"/>
    <w:rsid w:val="01937F8C"/>
    <w:rsid w:val="01938987"/>
    <w:rsid w:val="0194EBC1"/>
    <w:rsid w:val="01A17A16"/>
    <w:rsid w:val="01A38E60"/>
    <w:rsid w:val="01A78FB0"/>
    <w:rsid w:val="01AD0583"/>
    <w:rsid w:val="01AE37F2"/>
    <w:rsid w:val="01B5D0AE"/>
    <w:rsid w:val="01BD56B7"/>
    <w:rsid w:val="01BFC602"/>
    <w:rsid w:val="01C4CF47"/>
    <w:rsid w:val="01C8A141"/>
    <w:rsid w:val="01D6BFBF"/>
    <w:rsid w:val="01D79380"/>
    <w:rsid w:val="01D7E6AC"/>
    <w:rsid w:val="01EF9F98"/>
    <w:rsid w:val="01EFFA0F"/>
    <w:rsid w:val="01FACD63"/>
    <w:rsid w:val="02117096"/>
    <w:rsid w:val="02168772"/>
    <w:rsid w:val="023404F2"/>
    <w:rsid w:val="0238A153"/>
    <w:rsid w:val="0242EBAC"/>
    <w:rsid w:val="0244AED7"/>
    <w:rsid w:val="0245C150"/>
    <w:rsid w:val="02544594"/>
    <w:rsid w:val="0257B1B9"/>
    <w:rsid w:val="025EEA3F"/>
    <w:rsid w:val="0264BE99"/>
    <w:rsid w:val="026CB184"/>
    <w:rsid w:val="027C3372"/>
    <w:rsid w:val="0282E989"/>
    <w:rsid w:val="0295468D"/>
    <w:rsid w:val="02A9948A"/>
    <w:rsid w:val="02ADA287"/>
    <w:rsid w:val="02C12679"/>
    <w:rsid w:val="02D64A16"/>
    <w:rsid w:val="02D96AE4"/>
    <w:rsid w:val="02DE932A"/>
    <w:rsid w:val="02EAB1A8"/>
    <w:rsid w:val="0305110E"/>
    <w:rsid w:val="030F9731"/>
    <w:rsid w:val="0313CCB9"/>
    <w:rsid w:val="03195358"/>
    <w:rsid w:val="033311A6"/>
    <w:rsid w:val="033752B5"/>
    <w:rsid w:val="033C7047"/>
    <w:rsid w:val="0343EA21"/>
    <w:rsid w:val="03476B7D"/>
    <w:rsid w:val="034A3BBA"/>
    <w:rsid w:val="03503AC7"/>
    <w:rsid w:val="03631104"/>
    <w:rsid w:val="036901EC"/>
    <w:rsid w:val="037404AE"/>
    <w:rsid w:val="03750027"/>
    <w:rsid w:val="0377EEEB"/>
    <w:rsid w:val="037C0F07"/>
    <w:rsid w:val="0381C1CF"/>
    <w:rsid w:val="03948F06"/>
    <w:rsid w:val="03A064C3"/>
    <w:rsid w:val="03B7693D"/>
    <w:rsid w:val="03BB13A9"/>
    <w:rsid w:val="03BBA78E"/>
    <w:rsid w:val="03BF5538"/>
    <w:rsid w:val="03C0EAB2"/>
    <w:rsid w:val="03C41A23"/>
    <w:rsid w:val="03C8D0F4"/>
    <w:rsid w:val="03DC12DF"/>
    <w:rsid w:val="03DCEEA1"/>
    <w:rsid w:val="03DD3C01"/>
    <w:rsid w:val="03DE4DFB"/>
    <w:rsid w:val="03E990A7"/>
    <w:rsid w:val="03F3CCEB"/>
    <w:rsid w:val="03F93935"/>
    <w:rsid w:val="03FD0ED6"/>
    <w:rsid w:val="03FDFADA"/>
    <w:rsid w:val="0400D5A7"/>
    <w:rsid w:val="0401A4C3"/>
    <w:rsid w:val="040D130E"/>
    <w:rsid w:val="04118EA2"/>
    <w:rsid w:val="041D32F0"/>
    <w:rsid w:val="041FD9A2"/>
    <w:rsid w:val="04212B77"/>
    <w:rsid w:val="0423B201"/>
    <w:rsid w:val="042ACD81"/>
    <w:rsid w:val="04311AF4"/>
    <w:rsid w:val="043E9190"/>
    <w:rsid w:val="0443924B"/>
    <w:rsid w:val="0444E101"/>
    <w:rsid w:val="0448AA76"/>
    <w:rsid w:val="0451DA50"/>
    <w:rsid w:val="045CC2ED"/>
    <w:rsid w:val="0460A65C"/>
    <w:rsid w:val="04645F27"/>
    <w:rsid w:val="04660F12"/>
    <w:rsid w:val="04686050"/>
    <w:rsid w:val="046F3A94"/>
    <w:rsid w:val="0477AFC0"/>
    <w:rsid w:val="047E363B"/>
    <w:rsid w:val="047E4396"/>
    <w:rsid w:val="0486129C"/>
    <w:rsid w:val="04A5CA7C"/>
    <w:rsid w:val="04A6F46F"/>
    <w:rsid w:val="04A743ED"/>
    <w:rsid w:val="04A7EEEB"/>
    <w:rsid w:val="04B59F0E"/>
    <w:rsid w:val="04BDCF00"/>
    <w:rsid w:val="04C78179"/>
    <w:rsid w:val="04CE4C48"/>
    <w:rsid w:val="04E16533"/>
    <w:rsid w:val="04FA64C0"/>
    <w:rsid w:val="04FBC9DA"/>
    <w:rsid w:val="050C69FA"/>
    <w:rsid w:val="05133B7C"/>
    <w:rsid w:val="0514ADE0"/>
    <w:rsid w:val="0517DFE9"/>
    <w:rsid w:val="05186C1A"/>
    <w:rsid w:val="051CD139"/>
    <w:rsid w:val="0524959F"/>
    <w:rsid w:val="052E2E2F"/>
    <w:rsid w:val="053001F1"/>
    <w:rsid w:val="0547A639"/>
    <w:rsid w:val="055695D4"/>
    <w:rsid w:val="055F1E2C"/>
    <w:rsid w:val="0560C32F"/>
    <w:rsid w:val="056BD6CB"/>
    <w:rsid w:val="05719576"/>
    <w:rsid w:val="0571C12D"/>
    <w:rsid w:val="05721BB4"/>
    <w:rsid w:val="0582D8B3"/>
    <w:rsid w:val="0587057D"/>
    <w:rsid w:val="05874818"/>
    <w:rsid w:val="0591BE12"/>
    <w:rsid w:val="05930C27"/>
    <w:rsid w:val="05981DAB"/>
    <w:rsid w:val="059939DE"/>
    <w:rsid w:val="05A25CF8"/>
    <w:rsid w:val="05B17687"/>
    <w:rsid w:val="05B5B6D5"/>
    <w:rsid w:val="05B6899F"/>
    <w:rsid w:val="05BAE5F5"/>
    <w:rsid w:val="05D0AA09"/>
    <w:rsid w:val="05E7459E"/>
    <w:rsid w:val="05ED66BA"/>
    <w:rsid w:val="05FCE35A"/>
    <w:rsid w:val="05FFCF3D"/>
    <w:rsid w:val="060FBF4E"/>
    <w:rsid w:val="061AD7E6"/>
    <w:rsid w:val="061F5CE3"/>
    <w:rsid w:val="0623873F"/>
    <w:rsid w:val="0626E736"/>
    <w:rsid w:val="062C333E"/>
    <w:rsid w:val="062FAB8C"/>
    <w:rsid w:val="063528F1"/>
    <w:rsid w:val="0637109B"/>
    <w:rsid w:val="063AB929"/>
    <w:rsid w:val="063FC526"/>
    <w:rsid w:val="064E340F"/>
    <w:rsid w:val="064ECA7F"/>
    <w:rsid w:val="0653BABD"/>
    <w:rsid w:val="0696DD6E"/>
    <w:rsid w:val="0696EEFE"/>
    <w:rsid w:val="069AFFAF"/>
    <w:rsid w:val="06A128E6"/>
    <w:rsid w:val="06BAF35E"/>
    <w:rsid w:val="06C9605B"/>
    <w:rsid w:val="06D4D800"/>
    <w:rsid w:val="06ECFBE4"/>
    <w:rsid w:val="06EF8E7B"/>
    <w:rsid w:val="06F2A3C8"/>
    <w:rsid w:val="06F2DBE3"/>
    <w:rsid w:val="06F5C895"/>
    <w:rsid w:val="06F712E5"/>
    <w:rsid w:val="06FD0646"/>
    <w:rsid w:val="07037919"/>
    <w:rsid w:val="070760E5"/>
    <w:rsid w:val="070B8F25"/>
    <w:rsid w:val="070EF7A3"/>
    <w:rsid w:val="0711E761"/>
    <w:rsid w:val="0729B18D"/>
    <w:rsid w:val="073021F2"/>
    <w:rsid w:val="073057A7"/>
    <w:rsid w:val="07360BFC"/>
    <w:rsid w:val="07361B0D"/>
    <w:rsid w:val="073B7651"/>
    <w:rsid w:val="073EC6CA"/>
    <w:rsid w:val="074050DE"/>
    <w:rsid w:val="074C7974"/>
    <w:rsid w:val="074EA18A"/>
    <w:rsid w:val="075106FF"/>
    <w:rsid w:val="075254A6"/>
    <w:rsid w:val="075BD895"/>
    <w:rsid w:val="075E7D22"/>
    <w:rsid w:val="07630A2E"/>
    <w:rsid w:val="07661B3C"/>
    <w:rsid w:val="07675F7D"/>
    <w:rsid w:val="076C6DE3"/>
    <w:rsid w:val="077293C1"/>
    <w:rsid w:val="0775B74A"/>
    <w:rsid w:val="07857CD4"/>
    <w:rsid w:val="078B93F9"/>
    <w:rsid w:val="078F7874"/>
    <w:rsid w:val="079402F5"/>
    <w:rsid w:val="079BA05C"/>
    <w:rsid w:val="079CE47C"/>
    <w:rsid w:val="07A059E0"/>
    <w:rsid w:val="07A68381"/>
    <w:rsid w:val="07A6FC18"/>
    <w:rsid w:val="07A719D1"/>
    <w:rsid w:val="07B48923"/>
    <w:rsid w:val="07B52CAF"/>
    <w:rsid w:val="07B62DF0"/>
    <w:rsid w:val="07BDBE26"/>
    <w:rsid w:val="07BEACDE"/>
    <w:rsid w:val="07C223E3"/>
    <w:rsid w:val="07C80730"/>
    <w:rsid w:val="07CA6A3C"/>
    <w:rsid w:val="07D1D7A2"/>
    <w:rsid w:val="07D72165"/>
    <w:rsid w:val="07DFEAD9"/>
    <w:rsid w:val="07FA4F1D"/>
    <w:rsid w:val="07FB3801"/>
    <w:rsid w:val="07FC46AF"/>
    <w:rsid w:val="080279CA"/>
    <w:rsid w:val="0804BEF2"/>
    <w:rsid w:val="08098578"/>
    <w:rsid w:val="081CF995"/>
    <w:rsid w:val="081F3645"/>
    <w:rsid w:val="082388BF"/>
    <w:rsid w:val="082AAAF5"/>
    <w:rsid w:val="082DB5FA"/>
    <w:rsid w:val="0839EED8"/>
    <w:rsid w:val="08456496"/>
    <w:rsid w:val="0846D73E"/>
    <w:rsid w:val="0848C5B1"/>
    <w:rsid w:val="08492EF2"/>
    <w:rsid w:val="084ADA09"/>
    <w:rsid w:val="085526A9"/>
    <w:rsid w:val="08586D32"/>
    <w:rsid w:val="085C1DF6"/>
    <w:rsid w:val="08631049"/>
    <w:rsid w:val="087AC480"/>
    <w:rsid w:val="08879AFE"/>
    <w:rsid w:val="08948805"/>
    <w:rsid w:val="089633EF"/>
    <w:rsid w:val="08966D50"/>
    <w:rsid w:val="08972943"/>
    <w:rsid w:val="08977334"/>
    <w:rsid w:val="0898BD5A"/>
    <w:rsid w:val="089920DA"/>
    <w:rsid w:val="089D04BB"/>
    <w:rsid w:val="08A1C7DB"/>
    <w:rsid w:val="08A7C1C2"/>
    <w:rsid w:val="08A8AC13"/>
    <w:rsid w:val="08A9C9C4"/>
    <w:rsid w:val="08AE2EBD"/>
    <w:rsid w:val="08B1A184"/>
    <w:rsid w:val="08B4D0BC"/>
    <w:rsid w:val="08BA4B9F"/>
    <w:rsid w:val="08BE87B5"/>
    <w:rsid w:val="08C29954"/>
    <w:rsid w:val="08CEC4B1"/>
    <w:rsid w:val="08CF6359"/>
    <w:rsid w:val="08D1AA8B"/>
    <w:rsid w:val="08D2D6B7"/>
    <w:rsid w:val="08E5A72B"/>
    <w:rsid w:val="08EB1CC4"/>
    <w:rsid w:val="08ECBBC5"/>
    <w:rsid w:val="08EDCDBF"/>
    <w:rsid w:val="08F58624"/>
    <w:rsid w:val="08FBFE25"/>
    <w:rsid w:val="08FE9B66"/>
    <w:rsid w:val="090E09A8"/>
    <w:rsid w:val="0912B2C8"/>
    <w:rsid w:val="0912E10E"/>
    <w:rsid w:val="091B3502"/>
    <w:rsid w:val="091D0C16"/>
    <w:rsid w:val="09249418"/>
    <w:rsid w:val="093803F8"/>
    <w:rsid w:val="093AD73E"/>
    <w:rsid w:val="09424C44"/>
    <w:rsid w:val="0944EB92"/>
    <w:rsid w:val="0959F9E5"/>
    <w:rsid w:val="095DD2CA"/>
    <w:rsid w:val="09604CB0"/>
    <w:rsid w:val="0961D59F"/>
    <w:rsid w:val="096A748B"/>
    <w:rsid w:val="09750CB8"/>
    <w:rsid w:val="0979B23B"/>
    <w:rsid w:val="098F7935"/>
    <w:rsid w:val="0994258C"/>
    <w:rsid w:val="09A235A9"/>
    <w:rsid w:val="09A9B6EA"/>
    <w:rsid w:val="09B54A8D"/>
    <w:rsid w:val="09B779B0"/>
    <w:rsid w:val="09C2515C"/>
    <w:rsid w:val="09C5E790"/>
    <w:rsid w:val="09C9B379"/>
    <w:rsid w:val="09D3AFBD"/>
    <w:rsid w:val="09D5DBD6"/>
    <w:rsid w:val="09D82B5F"/>
    <w:rsid w:val="09DAD162"/>
    <w:rsid w:val="09EE21BB"/>
    <w:rsid w:val="09EF80B0"/>
    <w:rsid w:val="09EFDC41"/>
    <w:rsid w:val="09F07226"/>
    <w:rsid w:val="09FEF8F7"/>
    <w:rsid w:val="0A00CE76"/>
    <w:rsid w:val="0A127BB6"/>
    <w:rsid w:val="0A2D8D6B"/>
    <w:rsid w:val="0A2F6FFC"/>
    <w:rsid w:val="0A36FA16"/>
    <w:rsid w:val="0A38B4EE"/>
    <w:rsid w:val="0A3D3213"/>
    <w:rsid w:val="0A3F7429"/>
    <w:rsid w:val="0A40A15A"/>
    <w:rsid w:val="0A4127CC"/>
    <w:rsid w:val="0A4536E3"/>
    <w:rsid w:val="0A465512"/>
    <w:rsid w:val="0A57D52B"/>
    <w:rsid w:val="0A679648"/>
    <w:rsid w:val="0A6A67A1"/>
    <w:rsid w:val="0A726609"/>
    <w:rsid w:val="0A850744"/>
    <w:rsid w:val="0A8C8512"/>
    <w:rsid w:val="0A988071"/>
    <w:rsid w:val="0AB85231"/>
    <w:rsid w:val="0ABC6195"/>
    <w:rsid w:val="0ABCFFA3"/>
    <w:rsid w:val="0AC792C1"/>
    <w:rsid w:val="0ACE85B9"/>
    <w:rsid w:val="0AD47B24"/>
    <w:rsid w:val="0AD59099"/>
    <w:rsid w:val="0ADB69C5"/>
    <w:rsid w:val="0AEB9E05"/>
    <w:rsid w:val="0AED7BB9"/>
    <w:rsid w:val="0AFB120B"/>
    <w:rsid w:val="0AFC45E1"/>
    <w:rsid w:val="0AFD7ED0"/>
    <w:rsid w:val="0B0F46C1"/>
    <w:rsid w:val="0B0FCFE1"/>
    <w:rsid w:val="0B24073B"/>
    <w:rsid w:val="0B2600C3"/>
    <w:rsid w:val="0B48A630"/>
    <w:rsid w:val="0B656D58"/>
    <w:rsid w:val="0B71F7B3"/>
    <w:rsid w:val="0B735D0C"/>
    <w:rsid w:val="0B7FD924"/>
    <w:rsid w:val="0B921ACD"/>
    <w:rsid w:val="0BACEF7C"/>
    <w:rsid w:val="0BAE405B"/>
    <w:rsid w:val="0BBB2616"/>
    <w:rsid w:val="0BBC4E53"/>
    <w:rsid w:val="0BBDAC2D"/>
    <w:rsid w:val="0BCA5790"/>
    <w:rsid w:val="0BE3A776"/>
    <w:rsid w:val="0BEF04EC"/>
    <w:rsid w:val="0BFFD77B"/>
    <w:rsid w:val="0C04146C"/>
    <w:rsid w:val="0C041E8A"/>
    <w:rsid w:val="0C090EE2"/>
    <w:rsid w:val="0C230D32"/>
    <w:rsid w:val="0C39CD71"/>
    <w:rsid w:val="0C4CF233"/>
    <w:rsid w:val="0C505139"/>
    <w:rsid w:val="0C52E689"/>
    <w:rsid w:val="0C5C630B"/>
    <w:rsid w:val="0C632957"/>
    <w:rsid w:val="0C66CAE5"/>
    <w:rsid w:val="0C79F41C"/>
    <w:rsid w:val="0C7C1304"/>
    <w:rsid w:val="0C7E75C7"/>
    <w:rsid w:val="0C81AE88"/>
    <w:rsid w:val="0C9F6BD7"/>
    <w:rsid w:val="0CA0A311"/>
    <w:rsid w:val="0CA13039"/>
    <w:rsid w:val="0CA2B7EF"/>
    <w:rsid w:val="0CAAEE6B"/>
    <w:rsid w:val="0CADF77B"/>
    <w:rsid w:val="0CB3F6FF"/>
    <w:rsid w:val="0CB8714D"/>
    <w:rsid w:val="0CC0BDE9"/>
    <w:rsid w:val="0CC25F82"/>
    <w:rsid w:val="0CC3F109"/>
    <w:rsid w:val="0CCB8C23"/>
    <w:rsid w:val="0CCCE1C6"/>
    <w:rsid w:val="0CD21B44"/>
    <w:rsid w:val="0CE2A1C1"/>
    <w:rsid w:val="0CEE1A51"/>
    <w:rsid w:val="0CF4BE9C"/>
    <w:rsid w:val="0D0281FE"/>
    <w:rsid w:val="0D0501FC"/>
    <w:rsid w:val="0D19FB3D"/>
    <w:rsid w:val="0D2AFBA0"/>
    <w:rsid w:val="0D337804"/>
    <w:rsid w:val="0D3D98A7"/>
    <w:rsid w:val="0D462B14"/>
    <w:rsid w:val="0D4BD5E2"/>
    <w:rsid w:val="0D4FB5F4"/>
    <w:rsid w:val="0D502832"/>
    <w:rsid w:val="0D514377"/>
    <w:rsid w:val="0D545B1D"/>
    <w:rsid w:val="0D5591B6"/>
    <w:rsid w:val="0D72ADD9"/>
    <w:rsid w:val="0D750EB1"/>
    <w:rsid w:val="0D853CC8"/>
    <w:rsid w:val="0D93A4BA"/>
    <w:rsid w:val="0D981C64"/>
    <w:rsid w:val="0D9ADA2E"/>
    <w:rsid w:val="0D9DECFB"/>
    <w:rsid w:val="0DA5F3E0"/>
    <w:rsid w:val="0DA879A2"/>
    <w:rsid w:val="0DB5E797"/>
    <w:rsid w:val="0DBF1A1B"/>
    <w:rsid w:val="0DC0E7E4"/>
    <w:rsid w:val="0DC10DCE"/>
    <w:rsid w:val="0DC57B55"/>
    <w:rsid w:val="0DC96862"/>
    <w:rsid w:val="0DD021DA"/>
    <w:rsid w:val="0DD19DCE"/>
    <w:rsid w:val="0DDFCF09"/>
    <w:rsid w:val="0DE74762"/>
    <w:rsid w:val="0DEA5802"/>
    <w:rsid w:val="0DEBBE14"/>
    <w:rsid w:val="0DF1030D"/>
    <w:rsid w:val="0DF5B103"/>
    <w:rsid w:val="0DFD5FA1"/>
    <w:rsid w:val="0E02DB1D"/>
    <w:rsid w:val="0E057FCC"/>
    <w:rsid w:val="0E15CB6F"/>
    <w:rsid w:val="0E1BC35E"/>
    <w:rsid w:val="0E296655"/>
    <w:rsid w:val="0E2CB34B"/>
    <w:rsid w:val="0E3CA970"/>
    <w:rsid w:val="0E428898"/>
    <w:rsid w:val="0E472E29"/>
    <w:rsid w:val="0E5004C7"/>
    <w:rsid w:val="0E50EED4"/>
    <w:rsid w:val="0E6342CA"/>
    <w:rsid w:val="0E6E20D2"/>
    <w:rsid w:val="0E7709F1"/>
    <w:rsid w:val="0E7E0DAC"/>
    <w:rsid w:val="0E81B5E8"/>
    <w:rsid w:val="0E84E24F"/>
    <w:rsid w:val="0E93911E"/>
    <w:rsid w:val="0E961265"/>
    <w:rsid w:val="0EA606DF"/>
    <w:rsid w:val="0EB7D810"/>
    <w:rsid w:val="0EB83D6D"/>
    <w:rsid w:val="0EBA796F"/>
    <w:rsid w:val="0ECBE6F3"/>
    <w:rsid w:val="0ED24034"/>
    <w:rsid w:val="0ED25333"/>
    <w:rsid w:val="0ED6C663"/>
    <w:rsid w:val="0EEC0A3C"/>
    <w:rsid w:val="0EEC1E6A"/>
    <w:rsid w:val="0EEDBF4C"/>
    <w:rsid w:val="0EEEF4FD"/>
    <w:rsid w:val="0EF45372"/>
    <w:rsid w:val="0EF560DF"/>
    <w:rsid w:val="0EFDFCB1"/>
    <w:rsid w:val="0F02B56D"/>
    <w:rsid w:val="0F02F6D7"/>
    <w:rsid w:val="0F098403"/>
    <w:rsid w:val="0F0C027B"/>
    <w:rsid w:val="0F13E78E"/>
    <w:rsid w:val="0F180A88"/>
    <w:rsid w:val="0F1A2F00"/>
    <w:rsid w:val="0F20C155"/>
    <w:rsid w:val="0F223B38"/>
    <w:rsid w:val="0F22D15E"/>
    <w:rsid w:val="0F230F43"/>
    <w:rsid w:val="0F28AF87"/>
    <w:rsid w:val="0F2B4C84"/>
    <w:rsid w:val="0F31753F"/>
    <w:rsid w:val="0F317C5A"/>
    <w:rsid w:val="0F3C6B62"/>
    <w:rsid w:val="0F46B454"/>
    <w:rsid w:val="0F496D5E"/>
    <w:rsid w:val="0F500AAB"/>
    <w:rsid w:val="0F52B5C0"/>
    <w:rsid w:val="0F5EFA2D"/>
    <w:rsid w:val="0F62E179"/>
    <w:rsid w:val="0F6A075A"/>
    <w:rsid w:val="0F6BC3CD"/>
    <w:rsid w:val="0F6FBD02"/>
    <w:rsid w:val="0F70FA6E"/>
    <w:rsid w:val="0F7207AF"/>
    <w:rsid w:val="0F75A027"/>
    <w:rsid w:val="0F75A3FB"/>
    <w:rsid w:val="0F7DB6C1"/>
    <w:rsid w:val="0F834700"/>
    <w:rsid w:val="0F870B8E"/>
    <w:rsid w:val="0F87FBD8"/>
    <w:rsid w:val="0F8FFA17"/>
    <w:rsid w:val="0F94E152"/>
    <w:rsid w:val="0FC080A0"/>
    <w:rsid w:val="0FC9EBF7"/>
    <w:rsid w:val="0FE2984D"/>
    <w:rsid w:val="0FE8FC78"/>
    <w:rsid w:val="1008CCE9"/>
    <w:rsid w:val="1009B4AF"/>
    <w:rsid w:val="100B8EB7"/>
    <w:rsid w:val="10104C0B"/>
    <w:rsid w:val="10108414"/>
    <w:rsid w:val="1011743E"/>
    <w:rsid w:val="1016BF75"/>
    <w:rsid w:val="1016EB89"/>
    <w:rsid w:val="1027D8E6"/>
    <w:rsid w:val="1040D3F7"/>
    <w:rsid w:val="1055E023"/>
    <w:rsid w:val="105BF0D4"/>
    <w:rsid w:val="106BE9DA"/>
    <w:rsid w:val="106E0BD3"/>
    <w:rsid w:val="10705B6D"/>
    <w:rsid w:val="1084DB21"/>
    <w:rsid w:val="108A03AB"/>
    <w:rsid w:val="108AB436"/>
    <w:rsid w:val="108C46C0"/>
    <w:rsid w:val="1091324D"/>
    <w:rsid w:val="10950588"/>
    <w:rsid w:val="109767DA"/>
    <w:rsid w:val="10A9464F"/>
    <w:rsid w:val="10B0A0AE"/>
    <w:rsid w:val="10B0F7FC"/>
    <w:rsid w:val="10B12827"/>
    <w:rsid w:val="10B4F0A6"/>
    <w:rsid w:val="10C65D2E"/>
    <w:rsid w:val="10D47F1F"/>
    <w:rsid w:val="10D66884"/>
    <w:rsid w:val="10DBFF4D"/>
    <w:rsid w:val="10EC057E"/>
    <w:rsid w:val="10FF93FC"/>
    <w:rsid w:val="1101A426"/>
    <w:rsid w:val="1109EA06"/>
    <w:rsid w:val="11122A80"/>
    <w:rsid w:val="111281EA"/>
    <w:rsid w:val="111284DD"/>
    <w:rsid w:val="1115AA4B"/>
    <w:rsid w:val="111B0070"/>
    <w:rsid w:val="112A88C8"/>
    <w:rsid w:val="112C2C24"/>
    <w:rsid w:val="112DB41B"/>
    <w:rsid w:val="1130F20C"/>
    <w:rsid w:val="1132D8E0"/>
    <w:rsid w:val="11552DA2"/>
    <w:rsid w:val="115684FA"/>
    <w:rsid w:val="1162AE79"/>
    <w:rsid w:val="1163338A"/>
    <w:rsid w:val="1166CC2A"/>
    <w:rsid w:val="116C0A03"/>
    <w:rsid w:val="116C81BF"/>
    <w:rsid w:val="11782748"/>
    <w:rsid w:val="1182612B"/>
    <w:rsid w:val="1184CCD9"/>
    <w:rsid w:val="118A078B"/>
    <w:rsid w:val="11ACA899"/>
    <w:rsid w:val="11AD4565"/>
    <w:rsid w:val="11AD85D6"/>
    <w:rsid w:val="11B6694E"/>
    <w:rsid w:val="11B7B470"/>
    <w:rsid w:val="11C5417B"/>
    <w:rsid w:val="11C90B8D"/>
    <w:rsid w:val="11D0AE63"/>
    <w:rsid w:val="11D21DF5"/>
    <w:rsid w:val="11D36805"/>
    <w:rsid w:val="11D3CF9F"/>
    <w:rsid w:val="11D5C894"/>
    <w:rsid w:val="11D665AB"/>
    <w:rsid w:val="11DEB116"/>
    <w:rsid w:val="11E82D3F"/>
    <w:rsid w:val="11EBA2F9"/>
    <w:rsid w:val="11ED0CBB"/>
    <w:rsid w:val="11FDBE92"/>
    <w:rsid w:val="120A227D"/>
    <w:rsid w:val="120B3851"/>
    <w:rsid w:val="1215F144"/>
    <w:rsid w:val="12216422"/>
    <w:rsid w:val="1226C3E0"/>
    <w:rsid w:val="122B17A5"/>
    <w:rsid w:val="12365596"/>
    <w:rsid w:val="1238D555"/>
    <w:rsid w:val="1238EF68"/>
    <w:rsid w:val="12528C71"/>
    <w:rsid w:val="125497F6"/>
    <w:rsid w:val="1265D990"/>
    <w:rsid w:val="126A9315"/>
    <w:rsid w:val="126E7F23"/>
    <w:rsid w:val="126F2126"/>
    <w:rsid w:val="12734E13"/>
    <w:rsid w:val="127491AF"/>
    <w:rsid w:val="127897C8"/>
    <w:rsid w:val="12835F9E"/>
    <w:rsid w:val="128515A2"/>
    <w:rsid w:val="128A6AB1"/>
    <w:rsid w:val="128BD32B"/>
    <w:rsid w:val="128FEBA8"/>
    <w:rsid w:val="12976C10"/>
    <w:rsid w:val="129BCDA2"/>
    <w:rsid w:val="129CFB04"/>
    <w:rsid w:val="12A4314C"/>
    <w:rsid w:val="12A92729"/>
    <w:rsid w:val="12B4DD79"/>
    <w:rsid w:val="12B63C4B"/>
    <w:rsid w:val="12B8DA9D"/>
    <w:rsid w:val="12BAE75D"/>
    <w:rsid w:val="12C4A9C7"/>
    <w:rsid w:val="12C90A7A"/>
    <w:rsid w:val="12CC403F"/>
    <w:rsid w:val="12CC4A2A"/>
    <w:rsid w:val="12CD3E31"/>
    <w:rsid w:val="12D72F85"/>
    <w:rsid w:val="12D7C0DE"/>
    <w:rsid w:val="12D8E33D"/>
    <w:rsid w:val="12D9FFDE"/>
    <w:rsid w:val="12DCABBC"/>
    <w:rsid w:val="12EB3181"/>
    <w:rsid w:val="12EF62C3"/>
    <w:rsid w:val="12F01FD3"/>
    <w:rsid w:val="12F25A0F"/>
    <w:rsid w:val="12F62BD1"/>
    <w:rsid w:val="12F80520"/>
    <w:rsid w:val="12F9DB17"/>
    <w:rsid w:val="1301B435"/>
    <w:rsid w:val="1305254A"/>
    <w:rsid w:val="1324BD26"/>
    <w:rsid w:val="1325249F"/>
    <w:rsid w:val="1326E05F"/>
    <w:rsid w:val="1337C0F4"/>
    <w:rsid w:val="1356DFC7"/>
    <w:rsid w:val="13593BFF"/>
    <w:rsid w:val="135CA5DA"/>
    <w:rsid w:val="136897B9"/>
    <w:rsid w:val="1370F59F"/>
    <w:rsid w:val="137C98C3"/>
    <w:rsid w:val="1385234F"/>
    <w:rsid w:val="138E48D8"/>
    <w:rsid w:val="13A3375F"/>
    <w:rsid w:val="13A8C6FB"/>
    <w:rsid w:val="13A9B6D6"/>
    <w:rsid w:val="13B99B37"/>
    <w:rsid w:val="13BEACC3"/>
    <w:rsid w:val="13CFB242"/>
    <w:rsid w:val="13D4F5A3"/>
    <w:rsid w:val="13D666C4"/>
    <w:rsid w:val="13D6B7E0"/>
    <w:rsid w:val="13DE94EC"/>
    <w:rsid w:val="13E3B321"/>
    <w:rsid w:val="13F51478"/>
    <w:rsid w:val="13F92640"/>
    <w:rsid w:val="1407D73B"/>
    <w:rsid w:val="140A082D"/>
    <w:rsid w:val="140AF42C"/>
    <w:rsid w:val="1425B8DC"/>
    <w:rsid w:val="1428AF59"/>
    <w:rsid w:val="142BF675"/>
    <w:rsid w:val="1430271E"/>
    <w:rsid w:val="14409F01"/>
    <w:rsid w:val="14410A1B"/>
    <w:rsid w:val="1445DFE9"/>
    <w:rsid w:val="1446F515"/>
    <w:rsid w:val="146E2B28"/>
    <w:rsid w:val="147AFB0B"/>
    <w:rsid w:val="14991212"/>
    <w:rsid w:val="149D384E"/>
    <w:rsid w:val="149F33D6"/>
    <w:rsid w:val="14C0393E"/>
    <w:rsid w:val="14CAE2C1"/>
    <w:rsid w:val="14CCA836"/>
    <w:rsid w:val="14D2ECC8"/>
    <w:rsid w:val="14D3E75D"/>
    <w:rsid w:val="14DBD1EE"/>
    <w:rsid w:val="14DE965A"/>
    <w:rsid w:val="14DE9FBB"/>
    <w:rsid w:val="14EAE04F"/>
    <w:rsid w:val="14F27CD6"/>
    <w:rsid w:val="14F3E43C"/>
    <w:rsid w:val="14F50F24"/>
    <w:rsid w:val="1505BF3B"/>
    <w:rsid w:val="150CA07C"/>
    <w:rsid w:val="150F58A7"/>
    <w:rsid w:val="1510CC22"/>
    <w:rsid w:val="1512EED8"/>
    <w:rsid w:val="1514B53C"/>
    <w:rsid w:val="152B6037"/>
    <w:rsid w:val="152DB488"/>
    <w:rsid w:val="1537120C"/>
    <w:rsid w:val="15463C1B"/>
    <w:rsid w:val="15481BAB"/>
    <w:rsid w:val="1549817A"/>
    <w:rsid w:val="154A5C13"/>
    <w:rsid w:val="155032FB"/>
    <w:rsid w:val="155179FE"/>
    <w:rsid w:val="155DC5E7"/>
    <w:rsid w:val="15656159"/>
    <w:rsid w:val="157A7BB8"/>
    <w:rsid w:val="157C8BA8"/>
    <w:rsid w:val="15870ED2"/>
    <w:rsid w:val="1589598C"/>
    <w:rsid w:val="158AA23F"/>
    <w:rsid w:val="158C7B6D"/>
    <w:rsid w:val="15942941"/>
    <w:rsid w:val="159553FD"/>
    <w:rsid w:val="1599276E"/>
    <w:rsid w:val="15A95C29"/>
    <w:rsid w:val="15AC7765"/>
    <w:rsid w:val="15AEA26F"/>
    <w:rsid w:val="15AEC9EB"/>
    <w:rsid w:val="15B28956"/>
    <w:rsid w:val="15B6A91C"/>
    <w:rsid w:val="15B70A96"/>
    <w:rsid w:val="15C029FA"/>
    <w:rsid w:val="15C773E7"/>
    <w:rsid w:val="15CAC327"/>
    <w:rsid w:val="15D15C97"/>
    <w:rsid w:val="15DF3C69"/>
    <w:rsid w:val="15E0DA98"/>
    <w:rsid w:val="15E8D2DD"/>
    <w:rsid w:val="15F4D790"/>
    <w:rsid w:val="15FF47FE"/>
    <w:rsid w:val="16049798"/>
    <w:rsid w:val="16069D44"/>
    <w:rsid w:val="160A1365"/>
    <w:rsid w:val="160AEC21"/>
    <w:rsid w:val="160C4033"/>
    <w:rsid w:val="160F6665"/>
    <w:rsid w:val="1614929E"/>
    <w:rsid w:val="1619F2E1"/>
    <w:rsid w:val="161E903E"/>
    <w:rsid w:val="1621E418"/>
    <w:rsid w:val="162297A4"/>
    <w:rsid w:val="16254DD0"/>
    <w:rsid w:val="16272979"/>
    <w:rsid w:val="16294122"/>
    <w:rsid w:val="1636EFF5"/>
    <w:rsid w:val="163CD202"/>
    <w:rsid w:val="163FF119"/>
    <w:rsid w:val="16411F1F"/>
    <w:rsid w:val="165B56F4"/>
    <w:rsid w:val="165E3B92"/>
    <w:rsid w:val="16671350"/>
    <w:rsid w:val="1667D1DA"/>
    <w:rsid w:val="166D06F2"/>
    <w:rsid w:val="166D7C07"/>
    <w:rsid w:val="166FF4C0"/>
    <w:rsid w:val="1673F2F5"/>
    <w:rsid w:val="167C712E"/>
    <w:rsid w:val="16841AD6"/>
    <w:rsid w:val="1686C888"/>
    <w:rsid w:val="1689988C"/>
    <w:rsid w:val="169C3F19"/>
    <w:rsid w:val="16B66D1E"/>
    <w:rsid w:val="16B67279"/>
    <w:rsid w:val="16B96554"/>
    <w:rsid w:val="16BDEA36"/>
    <w:rsid w:val="16C003C0"/>
    <w:rsid w:val="16C05F1D"/>
    <w:rsid w:val="16C2D545"/>
    <w:rsid w:val="16CA391D"/>
    <w:rsid w:val="16F3C0C0"/>
    <w:rsid w:val="16F65AEA"/>
    <w:rsid w:val="1703BEE8"/>
    <w:rsid w:val="1716D79A"/>
    <w:rsid w:val="171D9CCB"/>
    <w:rsid w:val="17317DF3"/>
    <w:rsid w:val="173D8963"/>
    <w:rsid w:val="1742F7A9"/>
    <w:rsid w:val="1745DC4D"/>
    <w:rsid w:val="174EB8D1"/>
    <w:rsid w:val="1752E826"/>
    <w:rsid w:val="175549FF"/>
    <w:rsid w:val="1757A4DF"/>
    <w:rsid w:val="175B0AB9"/>
    <w:rsid w:val="175BC4D5"/>
    <w:rsid w:val="176640D2"/>
    <w:rsid w:val="176A810B"/>
    <w:rsid w:val="1770CC97"/>
    <w:rsid w:val="177D697B"/>
    <w:rsid w:val="1783330D"/>
    <w:rsid w:val="1787EFF8"/>
    <w:rsid w:val="17936365"/>
    <w:rsid w:val="179444A0"/>
    <w:rsid w:val="179634AE"/>
    <w:rsid w:val="17AB10D1"/>
    <w:rsid w:val="17B0013E"/>
    <w:rsid w:val="17B0B868"/>
    <w:rsid w:val="17BD798A"/>
    <w:rsid w:val="17C4B887"/>
    <w:rsid w:val="17C67F15"/>
    <w:rsid w:val="17CB0481"/>
    <w:rsid w:val="17CD0262"/>
    <w:rsid w:val="17CD818A"/>
    <w:rsid w:val="17D1F442"/>
    <w:rsid w:val="17D49478"/>
    <w:rsid w:val="17D73C0A"/>
    <w:rsid w:val="17E5A47F"/>
    <w:rsid w:val="17EEF018"/>
    <w:rsid w:val="17F638D2"/>
    <w:rsid w:val="17FB67A7"/>
    <w:rsid w:val="17FD78DC"/>
    <w:rsid w:val="17FF7DCE"/>
    <w:rsid w:val="180506A1"/>
    <w:rsid w:val="18072B9B"/>
    <w:rsid w:val="18191A14"/>
    <w:rsid w:val="181AF183"/>
    <w:rsid w:val="181C0656"/>
    <w:rsid w:val="18242F57"/>
    <w:rsid w:val="18299F68"/>
    <w:rsid w:val="18369687"/>
    <w:rsid w:val="1839B784"/>
    <w:rsid w:val="183ACB08"/>
    <w:rsid w:val="183B4519"/>
    <w:rsid w:val="18419DB6"/>
    <w:rsid w:val="184244E9"/>
    <w:rsid w:val="1847FF37"/>
    <w:rsid w:val="18484DE9"/>
    <w:rsid w:val="184CC81B"/>
    <w:rsid w:val="18507179"/>
    <w:rsid w:val="1853C63C"/>
    <w:rsid w:val="18548F6A"/>
    <w:rsid w:val="185B3795"/>
    <w:rsid w:val="1861E8AB"/>
    <w:rsid w:val="1862CCEB"/>
    <w:rsid w:val="18683D4B"/>
    <w:rsid w:val="18691219"/>
    <w:rsid w:val="186FE77D"/>
    <w:rsid w:val="187B90B9"/>
    <w:rsid w:val="187CF8F0"/>
    <w:rsid w:val="1882A5CF"/>
    <w:rsid w:val="18924288"/>
    <w:rsid w:val="18991282"/>
    <w:rsid w:val="18A0EBB0"/>
    <w:rsid w:val="18AEDB00"/>
    <w:rsid w:val="18BE66B4"/>
    <w:rsid w:val="18C7956D"/>
    <w:rsid w:val="18CC0605"/>
    <w:rsid w:val="18CFDDC0"/>
    <w:rsid w:val="18D1770D"/>
    <w:rsid w:val="18D2236B"/>
    <w:rsid w:val="18D2AB2A"/>
    <w:rsid w:val="18D2EE38"/>
    <w:rsid w:val="18D3FC15"/>
    <w:rsid w:val="18DD2B84"/>
    <w:rsid w:val="18E6BB14"/>
    <w:rsid w:val="18EB4138"/>
    <w:rsid w:val="18EB8385"/>
    <w:rsid w:val="18EF1A1D"/>
    <w:rsid w:val="191828F9"/>
    <w:rsid w:val="19394580"/>
    <w:rsid w:val="1941D9B3"/>
    <w:rsid w:val="196BFD5E"/>
    <w:rsid w:val="1971BCBA"/>
    <w:rsid w:val="1977F4F6"/>
    <w:rsid w:val="197F2AC3"/>
    <w:rsid w:val="198D505F"/>
    <w:rsid w:val="19A887C8"/>
    <w:rsid w:val="19AACF14"/>
    <w:rsid w:val="19ADA94A"/>
    <w:rsid w:val="19AF8A81"/>
    <w:rsid w:val="19B44AF8"/>
    <w:rsid w:val="19B994AB"/>
    <w:rsid w:val="19C860FE"/>
    <w:rsid w:val="19D62F85"/>
    <w:rsid w:val="19E31BDA"/>
    <w:rsid w:val="19E866F5"/>
    <w:rsid w:val="19EB15AA"/>
    <w:rsid w:val="19ECC668"/>
    <w:rsid w:val="19F6C1DA"/>
    <w:rsid w:val="19F907CD"/>
    <w:rsid w:val="1A0B17D2"/>
    <w:rsid w:val="1A0CF8EC"/>
    <w:rsid w:val="1A0F5CA1"/>
    <w:rsid w:val="1A116577"/>
    <w:rsid w:val="1A122D4E"/>
    <w:rsid w:val="1A13789C"/>
    <w:rsid w:val="1A214949"/>
    <w:rsid w:val="1A2DB7FD"/>
    <w:rsid w:val="1A38B6AD"/>
    <w:rsid w:val="1A4006C5"/>
    <w:rsid w:val="1A55EC37"/>
    <w:rsid w:val="1A60A914"/>
    <w:rsid w:val="1A6458AE"/>
    <w:rsid w:val="1A671C97"/>
    <w:rsid w:val="1A7795D9"/>
    <w:rsid w:val="1A7BCF3C"/>
    <w:rsid w:val="1A7FF519"/>
    <w:rsid w:val="1A80FEEE"/>
    <w:rsid w:val="1A8201AC"/>
    <w:rsid w:val="1A82B4A1"/>
    <w:rsid w:val="1A82EAE2"/>
    <w:rsid w:val="1A867362"/>
    <w:rsid w:val="1A8AD7B4"/>
    <w:rsid w:val="1A8F6071"/>
    <w:rsid w:val="1AA2C7E2"/>
    <w:rsid w:val="1AABF9CD"/>
    <w:rsid w:val="1AB8AE33"/>
    <w:rsid w:val="1AC3F34E"/>
    <w:rsid w:val="1AD12D6D"/>
    <w:rsid w:val="1AD17C08"/>
    <w:rsid w:val="1AD5B6B5"/>
    <w:rsid w:val="1AD7D049"/>
    <w:rsid w:val="1ADCAFF4"/>
    <w:rsid w:val="1AE4C1BD"/>
    <w:rsid w:val="1AEE9A7F"/>
    <w:rsid w:val="1AF40556"/>
    <w:rsid w:val="1B040BE1"/>
    <w:rsid w:val="1B14C011"/>
    <w:rsid w:val="1B1BF9DB"/>
    <w:rsid w:val="1B1D0E12"/>
    <w:rsid w:val="1B2AADA5"/>
    <w:rsid w:val="1B2ADEB0"/>
    <w:rsid w:val="1B30677E"/>
    <w:rsid w:val="1B3B4076"/>
    <w:rsid w:val="1B414908"/>
    <w:rsid w:val="1B453DF9"/>
    <w:rsid w:val="1B47844E"/>
    <w:rsid w:val="1B4C4E4E"/>
    <w:rsid w:val="1B4C88FA"/>
    <w:rsid w:val="1B52C432"/>
    <w:rsid w:val="1B53C1C5"/>
    <w:rsid w:val="1B748C4E"/>
    <w:rsid w:val="1B881C0F"/>
    <w:rsid w:val="1B9ECB24"/>
    <w:rsid w:val="1BA799D8"/>
    <w:rsid w:val="1BAD11E1"/>
    <w:rsid w:val="1BAD1E50"/>
    <w:rsid w:val="1BB2791F"/>
    <w:rsid w:val="1BB98063"/>
    <w:rsid w:val="1BBC1627"/>
    <w:rsid w:val="1BC07123"/>
    <w:rsid w:val="1BC2A31C"/>
    <w:rsid w:val="1BC6B31D"/>
    <w:rsid w:val="1BC7D419"/>
    <w:rsid w:val="1BCD450A"/>
    <w:rsid w:val="1BDAA6F8"/>
    <w:rsid w:val="1BE8600E"/>
    <w:rsid w:val="1BF08F88"/>
    <w:rsid w:val="1BF1F5DC"/>
    <w:rsid w:val="1BF2A85F"/>
    <w:rsid w:val="1BF96AE2"/>
    <w:rsid w:val="1BFBAC06"/>
    <w:rsid w:val="1C062969"/>
    <w:rsid w:val="1C09E78E"/>
    <w:rsid w:val="1C16358B"/>
    <w:rsid w:val="1C1CBCFC"/>
    <w:rsid w:val="1C259FDB"/>
    <w:rsid w:val="1C2A7D9E"/>
    <w:rsid w:val="1C2ED151"/>
    <w:rsid w:val="1C3B08CD"/>
    <w:rsid w:val="1C471CBE"/>
    <w:rsid w:val="1C4766D2"/>
    <w:rsid w:val="1C480134"/>
    <w:rsid w:val="1C4BFB57"/>
    <w:rsid w:val="1C5D949C"/>
    <w:rsid w:val="1C5DFA2E"/>
    <w:rsid w:val="1C5FCF08"/>
    <w:rsid w:val="1C65BE90"/>
    <w:rsid w:val="1C66F332"/>
    <w:rsid w:val="1C72C169"/>
    <w:rsid w:val="1C72F10E"/>
    <w:rsid w:val="1C7D9EF7"/>
    <w:rsid w:val="1C80A09F"/>
    <w:rsid w:val="1C811707"/>
    <w:rsid w:val="1C8B010E"/>
    <w:rsid w:val="1C9708BA"/>
    <w:rsid w:val="1C99EE4C"/>
    <w:rsid w:val="1C9A7051"/>
    <w:rsid w:val="1CA55FC4"/>
    <w:rsid w:val="1CAD2D88"/>
    <w:rsid w:val="1CB34B52"/>
    <w:rsid w:val="1CB4C8D8"/>
    <w:rsid w:val="1CBB12F6"/>
    <w:rsid w:val="1CC6DEE0"/>
    <w:rsid w:val="1CCB46E1"/>
    <w:rsid w:val="1CDD15C5"/>
    <w:rsid w:val="1CE7A383"/>
    <w:rsid w:val="1CF706EC"/>
    <w:rsid w:val="1CF71CF1"/>
    <w:rsid w:val="1CF7678F"/>
    <w:rsid w:val="1CF8519A"/>
    <w:rsid w:val="1D0D8AD5"/>
    <w:rsid w:val="1D13DB63"/>
    <w:rsid w:val="1D25A762"/>
    <w:rsid w:val="1D2876C7"/>
    <w:rsid w:val="1D2A14BF"/>
    <w:rsid w:val="1D2BB608"/>
    <w:rsid w:val="1D369F2E"/>
    <w:rsid w:val="1D3F37DF"/>
    <w:rsid w:val="1D49EC20"/>
    <w:rsid w:val="1D5177D9"/>
    <w:rsid w:val="1D7B6BC6"/>
    <w:rsid w:val="1D7DC831"/>
    <w:rsid w:val="1D7F5E71"/>
    <w:rsid w:val="1D8C3867"/>
    <w:rsid w:val="1D92EA02"/>
    <w:rsid w:val="1DA291BF"/>
    <w:rsid w:val="1DAA0AAA"/>
    <w:rsid w:val="1DAA9723"/>
    <w:rsid w:val="1DBE1A82"/>
    <w:rsid w:val="1DBEF91B"/>
    <w:rsid w:val="1DC6964F"/>
    <w:rsid w:val="1DD52960"/>
    <w:rsid w:val="1DDDB275"/>
    <w:rsid w:val="1DE0EABD"/>
    <w:rsid w:val="1DEEB7C1"/>
    <w:rsid w:val="1DF0BACC"/>
    <w:rsid w:val="1DF3E9F1"/>
    <w:rsid w:val="1DF960A3"/>
    <w:rsid w:val="1DFBCED0"/>
    <w:rsid w:val="1E18D8B7"/>
    <w:rsid w:val="1E1921C0"/>
    <w:rsid w:val="1E1A1947"/>
    <w:rsid w:val="1E1E68FE"/>
    <w:rsid w:val="1E261778"/>
    <w:rsid w:val="1E2BA71E"/>
    <w:rsid w:val="1E46C70C"/>
    <w:rsid w:val="1E4F0CBD"/>
    <w:rsid w:val="1E5595DF"/>
    <w:rsid w:val="1E564508"/>
    <w:rsid w:val="1E5A25C5"/>
    <w:rsid w:val="1E687408"/>
    <w:rsid w:val="1E6E0D90"/>
    <w:rsid w:val="1E76FA32"/>
    <w:rsid w:val="1E7943B7"/>
    <w:rsid w:val="1E830E2E"/>
    <w:rsid w:val="1E975DDD"/>
    <w:rsid w:val="1E9BA921"/>
    <w:rsid w:val="1EA8580B"/>
    <w:rsid w:val="1EAF1B76"/>
    <w:rsid w:val="1EB0AF52"/>
    <w:rsid w:val="1EB2FDF1"/>
    <w:rsid w:val="1EB517EC"/>
    <w:rsid w:val="1EB7AEA5"/>
    <w:rsid w:val="1EC8135E"/>
    <w:rsid w:val="1ECA7321"/>
    <w:rsid w:val="1ED7B4B3"/>
    <w:rsid w:val="1EE94F46"/>
    <w:rsid w:val="1EEC7D72"/>
    <w:rsid w:val="1EF919D7"/>
    <w:rsid w:val="1EFCF830"/>
    <w:rsid w:val="1EFD3273"/>
    <w:rsid w:val="1EFD4ED6"/>
    <w:rsid w:val="1F0C4F32"/>
    <w:rsid w:val="1F132E4F"/>
    <w:rsid w:val="1F174CCB"/>
    <w:rsid w:val="1F262831"/>
    <w:rsid w:val="1F27BC7B"/>
    <w:rsid w:val="1F29B770"/>
    <w:rsid w:val="1F3304E8"/>
    <w:rsid w:val="1F36B75B"/>
    <w:rsid w:val="1F3A650F"/>
    <w:rsid w:val="1F3E18B2"/>
    <w:rsid w:val="1F4CF907"/>
    <w:rsid w:val="1F524240"/>
    <w:rsid w:val="1F538FCF"/>
    <w:rsid w:val="1F54FD28"/>
    <w:rsid w:val="1F56C113"/>
    <w:rsid w:val="1F5CDCBB"/>
    <w:rsid w:val="1F5CF684"/>
    <w:rsid w:val="1F5EA641"/>
    <w:rsid w:val="1F5F3940"/>
    <w:rsid w:val="1F670C40"/>
    <w:rsid w:val="1F6A8497"/>
    <w:rsid w:val="1F7050CD"/>
    <w:rsid w:val="1F7123F0"/>
    <w:rsid w:val="1F7BE799"/>
    <w:rsid w:val="1F893475"/>
    <w:rsid w:val="1F8B7761"/>
    <w:rsid w:val="1F95007E"/>
    <w:rsid w:val="1F9AF779"/>
    <w:rsid w:val="1F9BD3C1"/>
    <w:rsid w:val="1FA58BEF"/>
    <w:rsid w:val="1FA7C4FF"/>
    <w:rsid w:val="1FA8414B"/>
    <w:rsid w:val="1FAAD88F"/>
    <w:rsid w:val="1FB0F14C"/>
    <w:rsid w:val="1FB50A63"/>
    <w:rsid w:val="1FB96FDE"/>
    <w:rsid w:val="1FBB6010"/>
    <w:rsid w:val="1FC18132"/>
    <w:rsid w:val="1FC4F4DB"/>
    <w:rsid w:val="1FCA63DB"/>
    <w:rsid w:val="1FE18E27"/>
    <w:rsid w:val="1FEC98EC"/>
    <w:rsid w:val="1FF5018E"/>
    <w:rsid w:val="200299FD"/>
    <w:rsid w:val="20040435"/>
    <w:rsid w:val="20041836"/>
    <w:rsid w:val="20070DC8"/>
    <w:rsid w:val="200E702D"/>
    <w:rsid w:val="2017E262"/>
    <w:rsid w:val="20188783"/>
    <w:rsid w:val="20298A62"/>
    <w:rsid w:val="202E1A35"/>
    <w:rsid w:val="20355FA2"/>
    <w:rsid w:val="203B05A1"/>
    <w:rsid w:val="203C8BCE"/>
    <w:rsid w:val="2040C608"/>
    <w:rsid w:val="204A2FF7"/>
    <w:rsid w:val="20591CF5"/>
    <w:rsid w:val="205BB84E"/>
    <w:rsid w:val="20682831"/>
    <w:rsid w:val="2068AC6A"/>
    <w:rsid w:val="2069F851"/>
    <w:rsid w:val="20704DF0"/>
    <w:rsid w:val="20746851"/>
    <w:rsid w:val="208B55D5"/>
    <w:rsid w:val="208FA217"/>
    <w:rsid w:val="20A151DB"/>
    <w:rsid w:val="20B31241"/>
    <w:rsid w:val="20B724A3"/>
    <w:rsid w:val="20BA7FC2"/>
    <w:rsid w:val="20BB6D76"/>
    <w:rsid w:val="20BDB681"/>
    <w:rsid w:val="20C487B8"/>
    <w:rsid w:val="20CB2DE9"/>
    <w:rsid w:val="20CC6608"/>
    <w:rsid w:val="20CE32C8"/>
    <w:rsid w:val="20DE15F6"/>
    <w:rsid w:val="20DE23E8"/>
    <w:rsid w:val="20F5119B"/>
    <w:rsid w:val="20FCF9E3"/>
    <w:rsid w:val="20FEE594"/>
    <w:rsid w:val="2113E7E8"/>
    <w:rsid w:val="21184610"/>
    <w:rsid w:val="212191E0"/>
    <w:rsid w:val="212DAE19"/>
    <w:rsid w:val="213134A7"/>
    <w:rsid w:val="21373DF3"/>
    <w:rsid w:val="2137433E"/>
    <w:rsid w:val="2139CD98"/>
    <w:rsid w:val="21421EC6"/>
    <w:rsid w:val="2142B06B"/>
    <w:rsid w:val="214383CD"/>
    <w:rsid w:val="216289AB"/>
    <w:rsid w:val="216443EC"/>
    <w:rsid w:val="2167C9A8"/>
    <w:rsid w:val="2173B692"/>
    <w:rsid w:val="217447F8"/>
    <w:rsid w:val="21766413"/>
    <w:rsid w:val="217A27FC"/>
    <w:rsid w:val="2187CF25"/>
    <w:rsid w:val="2197CB75"/>
    <w:rsid w:val="2198CD65"/>
    <w:rsid w:val="21A38404"/>
    <w:rsid w:val="21A4468E"/>
    <w:rsid w:val="21A55D7C"/>
    <w:rsid w:val="21ABC6D8"/>
    <w:rsid w:val="21B205E4"/>
    <w:rsid w:val="21B24010"/>
    <w:rsid w:val="21CB178B"/>
    <w:rsid w:val="21D134EA"/>
    <w:rsid w:val="21D30742"/>
    <w:rsid w:val="21D67AE1"/>
    <w:rsid w:val="21D8D3AC"/>
    <w:rsid w:val="21E4F084"/>
    <w:rsid w:val="21E57FD3"/>
    <w:rsid w:val="21E735F3"/>
    <w:rsid w:val="21E978DF"/>
    <w:rsid w:val="21F03DC6"/>
    <w:rsid w:val="220048F8"/>
    <w:rsid w:val="22097E02"/>
    <w:rsid w:val="220B058F"/>
    <w:rsid w:val="220C1E91"/>
    <w:rsid w:val="2217E4C2"/>
    <w:rsid w:val="2219A6D4"/>
    <w:rsid w:val="221B553C"/>
    <w:rsid w:val="222399EA"/>
    <w:rsid w:val="223C576E"/>
    <w:rsid w:val="223FDAFC"/>
    <w:rsid w:val="2246D9E5"/>
    <w:rsid w:val="225D7C2F"/>
    <w:rsid w:val="225F22C1"/>
    <w:rsid w:val="226DEEB0"/>
    <w:rsid w:val="227124D3"/>
    <w:rsid w:val="2275D27E"/>
    <w:rsid w:val="227621FF"/>
    <w:rsid w:val="227EBDF0"/>
    <w:rsid w:val="22810E22"/>
    <w:rsid w:val="22824F3C"/>
    <w:rsid w:val="228DBAAA"/>
    <w:rsid w:val="229FD34A"/>
    <w:rsid w:val="22B1FAF7"/>
    <w:rsid w:val="22C13587"/>
    <w:rsid w:val="22C3C82C"/>
    <w:rsid w:val="22C71C29"/>
    <w:rsid w:val="22D1CA67"/>
    <w:rsid w:val="22D6FD1D"/>
    <w:rsid w:val="22DA20B7"/>
    <w:rsid w:val="22E1FC36"/>
    <w:rsid w:val="22E32333"/>
    <w:rsid w:val="22E55D9E"/>
    <w:rsid w:val="22E6621D"/>
    <w:rsid w:val="22EBEA7F"/>
    <w:rsid w:val="22EF6B74"/>
    <w:rsid w:val="22F9D482"/>
    <w:rsid w:val="22FAF4A2"/>
    <w:rsid w:val="22FD2557"/>
    <w:rsid w:val="22FFF2B5"/>
    <w:rsid w:val="230078D5"/>
    <w:rsid w:val="2315B82B"/>
    <w:rsid w:val="231D191E"/>
    <w:rsid w:val="2323B732"/>
    <w:rsid w:val="2332525A"/>
    <w:rsid w:val="2333AF07"/>
    <w:rsid w:val="233630C2"/>
    <w:rsid w:val="23524788"/>
    <w:rsid w:val="23588AAB"/>
    <w:rsid w:val="2359C784"/>
    <w:rsid w:val="235D99B8"/>
    <w:rsid w:val="23600B05"/>
    <w:rsid w:val="23627923"/>
    <w:rsid w:val="23699A6E"/>
    <w:rsid w:val="236F1F77"/>
    <w:rsid w:val="2378EFB7"/>
    <w:rsid w:val="23790F3C"/>
    <w:rsid w:val="237A3D00"/>
    <w:rsid w:val="237A4F70"/>
    <w:rsid w:val="237FCA19"/>
    <w:rsid w:val="2383C180"/>
    <w:rsid w:val="238566C9"/>
    <w:rsid w:val="2398BD38"/>
    <w:rsid w:val="239C5EAC"/>
    <w:rsid w:val="23A174ED"/>
    <w:rsid w:val="23B58D67"/>
    <w:rsid w:val="23B7645C"/>
    <w:rsid w:val="23BAA46A"/>
    <w:rsid w:val="23C13B23"/>
    <w:rsid w:val="23C2AE59"/>
    <w:rsid w:val="23CCC58E"/>
    <w:rsid w:val="23CF0B45"/>
    <w:rsid w:val="23D72E23"/>
    <w:rsid w:val="23E2EB96"/>
    <w:rsid w:val="23E85A27"/>
    <w:rsid w:val="23EA3C04"/>
    <w:rsid w:val="23EFA4CA"/>
    <w:rsid w:val="23F7ECD3"/>
    <w:rsid w:val="240087B7"/>
    <w:rsid w:val="2400D2DF"/>
    <w:rsid w:val="2407714E"/>
    <w:rsid w:val="2415CEB2"/>
    <w:rsid w:val="2419A1F6"/>
    <w:rsid w:val="24206B56"/>
    <w:rsid w:val="2427028F"/>
    <w:rsid w:val="242BB9FD"/>
    <w:rsid w:val="2431C6A6"/>
    <w:rsid w:val="24363571"/>
    <w:rsid w:val="2437791C"/>
    <w:rsid w:val="244AAAE1"/>
    <w:rsid w:val="244D79FB"/>
    <w:rsid w:val="24501439"/>
    <w:rsid w:val="24580A47"/>
    <w:rsid w:val="245DB72C"/>
    <w:rsid w:val="245F58C5"/>
    <w:rsid w:val="24608FCC"/>
    <w:rsid w:val="2468B49E"/>
    <w:rsid w:val="246FE798"/>
    <w:rsid w:val="24730695"/>
    <w:rsid w:val="2474244B"/>
    <w:rsid w:val="247CF340"/>
    <w:rsid w:val="24806B25"/>
    <w:rsid w:val="2483E1F9"/>
    <w:rsid w:val="2486E16E"/>
    <w:rsid w:val="24885668"/>
    <w:rsid w:val="248A0B58"/>
    <w:rsid w:val="248F2909"/>
    <w:rsid w:val="249C5A6E"/>
    <w:rsid w:val="24AEFBA0"/>
    <w:rsid w:val="24BAC62E"/>
    <w:rsid w:val="24BDE90E"/>
    <w:rsid w:val="24BF5CC4"/>
    <w:rsid w:val="24C01E8D"/>
    <w:rsid w:val="24C26FEF"/>
    <w:rsid w:val="24CAC81A"/>
    <w:rsid w:val="24D20B2E"/>
    <w:rsid w:val="24D29BF4"/>
    <w:rsid w:val="24D997E5"/>
    <w:rsid w:val="24E279D4"/>
    <w:rsid w:val="24ED36D4"/>
    <w:rsid w:val="24F5FBA8"/>
    <w:rsid w:val="250695A8"/>
    <w:rsid w:val="25120094"/>
    <w:rsid w:val="251356CA"/>
    <w:rsid w:val="25182A3B"/>
    <w:rsid w:val="251A8FC4"/>
    <w:rsid w:val="251AE5A3"/>
    <w:rsid w:val="25266DAC"/>
    <w:rsid w:val="253A62E9"/>
    <w:rsid w:val="254148CF"/>
    <w:rsid w:val="2558BA05"/>
    <w:rsid w:val="2559391C"/>
    <w:rsid w:val="2559AC5C"/>
    <w:rsid w:val="255EA879"/>
    <w:rsid w:val="25674800"/>
    <w:rsid w:val="256A8B61"/>
    <w:rsid w:val="256CA897"/>
    <w:rsid w:val="257D85E1"/>
    <w:rsid w:val="257DB8B5"/>
    <w:rsid w:val="25820576"/>
    <w:rsid w:val="25831FB4"/>
    <w:rsid w:val="258B97A8"/>
    <w:rsid w:val="258E27B8"/>
    <w:rsid w:val="2594722E"/>
    <w:rsid w:val="25953113"/>
    <w:rsid w:val="259DE0A1"/>
    <w:rsid w:val="259E88B2"/>
    <w:rsid w:val="25A42D11"/>
    <w:rsid w:val="25A82C0A"/>
    <w:rsid w:val="25B9621E"/>
    <w:rsid w:val="25C2849D"/>
    <w:rsid w:val="25DBE6E4"/>
    <w:rsid w:val="25DCEE3A"/>
    <w:rsid w:val="25EDE466"/>
    <w:rsid w:val="25F3098A"/>
    <w:rsid w:val="25FD5F3A"/>
    <w:rsid w:val="260369B5"/>
    <w:rsid w:val="2605073E"/>
    <w:rsid w:val="2606868D"/>
    <w:rsid w:val="2607DB79"/>
    <w:rsid w:val="2614ADE7"/>
    <w:rsid w:val="261BFFC0"/>
    <w:rsid w:val="26253FEC"/>
    <w:rsid w:val="26258B4F"/>
    <w:rsid w:val="2627CFA1"/>
    <w:rsid w:val="2628461D"/>
    <w:rsid w:val="262F6D94"/>
    <w:rsid w:val="26333F0F"/>
    <w:rsid w:val="263E65CE"/>
    <w:rsid w:val="263F16BC"/>
    <w:rsid w:val="263F3166"/>
    <w:rsid w:val="2643A4DB"/>
    <w:rsid w:val="265AD946"/>
    <w:rsid w:val="265F2941"/>
    <w:rsid w:val="26683EB5"/>
    <w:rsid w:val="26696455"/>
    <w:rsid w:val="2669984C"/>
    <w:rsid w:val="266CBD13"/>
    <w:rsid w:val="2670EB5C"/>
    <w:rsid w:val="26722A9A"/>
    <w:rsid w:val="26741C6F"/>
    <w:rsid w:val="2678D0C3"/>
    <w:rsid w:val="26825B2B"/>
    <w:rsid w:val="268323CB"/>
    <w:rsid w:val="26858382"/>
    <w:rsid w:val="26864212"/>
    <w:rsid w:val="268D9687"/>
    <w:rsid w:val="26906D58"/>
    <w:rsid w:val="26990061"/>
    <w:rsid w:val="269C5611"/>
    <w:rsid w:val="26B52D1E"/>
    <w:rsid w:val="26BA2D10"/>
    <w:rsid w:val="26BA8C34"/>
    <w:rsid w:val="26BB51C7"/>
    <w:rsid w:val="26BB7AC0"/>
    <w:rsid w:val="26C0E6F4"/>
    <w:rsid w:val="26C57D0B"/>
    <w:rsid w:val="26C64DEA"/>
    <w:rsid w:val="26CC9E98"/>
    <w:rsid w:val="26CF51DE"/>
    <w:rsid w:val="26D7C76C"/>
    <w:rsid w:val="26E13288"/>
    <w:rsid w:val="26EDC82C"/>
    <w:rsid w:val="26EFAB7C"/>
    <w:rsid w:val="26EFF47D"/>
    <w:rsid w:val="26F5973D"/>
    <w:rsid w:val="26F5B1E9"/>
    <w:rsid w:val="26F9C4DF"/>
    <w:rsid w:val="26FCBB86"/>
    <w:rsid w:val="2701BD96"/>
    <w:rsid w:val="27087831"/>
    <w:rsid w:val="270E3E55"/>
    <w:rsid w:val="27128183"/>
    <w:rsid w:val="2719566E"/>
    <w:rsid w:val="271D50F6"/>
    <w:rsid w:val="271DFF76"/>
    <w:rsid w:val="271EB62A"/>
    <w:rsid w:val="2723F2D5"/>
    <w:rsid w:val="27273AE7"/>
    <w:rsid w:val="2728A976"/>
    <w:rsid w:val="27299450"/>
    <w:rsid w:val="272A3E4F"/>
    <w:rsid w:val="272C3F84"/>
    <w:rsid w:val="272DE11E"/>
    <w:rsid w:val="2731B769"/>
    <w:rsid w:val="273954CB"/>
    <w:rsid w:val="273D4DA0"/>
    <w:rsid w:val="2743D8A0"/>
    <w:rsid w:val="2749A02E"/>
    <w:rsid w:val="275361BF"/>
    <w:rsid w:val="27557D09"/>
    <w:rsid w:val="275F3950"/>
    <w:rsid w:val="2761DC71"/>
    <w:rsid w:val="276D76EE"/>
    <w:rsid w:val="277DF733"/>
    <w:rsid w:val="27819E24"/>
    <w:rsid w:val="279D8933"/>
    <w:rsid w:val="27AA108D"/>
    <w:rsid w:val="27AAC624"/>
    <w:rsid w:val="27B1EED1"/>
    <w:rsid w:val="27B9A80C"/>
    <w:rsid w:val="27BCEBD3"/>
    <w:rsid w:val="27C1C209"/>
    <w:rsid w:val="27C24252"/>
    <w:rsid w:val="27C90014"/>
    <w:rsid w:val="27CE5626"/>
    <w:rsid w:val="27D39CCB"/>
    <w:rsid w:val="27D86EFC"/>
    <w:rsid w:val="27DE14E0"/>
    <w:rsid w:val="27E0E464"/>
    <w:rsid w:val="27FBF8EA"/>
    <w:rsid w:val="2807709B"/>
    <w:rsid w:val="28128D5E"/>
    <w:rsid w:val="282748FA"/>
    <w:rsid w:val="28284BBD"/>
    <w:rsid w:val="282ED9E6"/>
    <w:rsid w:val="283EF3E7"/>
    <w:rsid w:val="284686EB"/>
    <w:rsid w:val="2854338C"/>
    <w:rsid w:val="28573278"/>
    <w:rsid w:val="286EB6EC"/>
    <w:rsid w:val="286FF5EE"/>
    <w:rsid w:val="28722DF1"/>
    <w:rsid w:val="28726448"/>
    <w:rsid w:val="28805A98"/>
    <w:rsid w:val="28807146"/>
    <w:rsid w:val="28829943"/>
    <w:rsid w:val="28864A91"/>
    <w:rsid w:val="28882067"/>
    <w:rsid w:val="28889526"/>
    <w:rsid w:val="28900985"/>
    <w:rsid w:val="28901320"/>
    <w:rsid w:val="2891A32B"/>
    <w:rsid w:val="2891B8CA"/>
    <w:rsid w:val="2894289B"/>
    <w:rsid w:val="289BFB01"/>
    <w:rsid w:val="28A76248"/>
    <w:rsid w:val="28BD3851"/>
    <w:rsid w:val="28C15E0A"/>
    <w:rsid w:val="28C3483A"/>
    <w:rsid w:val="28C6D51F"/>
    <w:rsid w:val="28CBE687"/>
    <w:rsid w:val="28CEF1ED"/>
    <w:rsid w:val="28D0124D"/>
    <w:rsid w:val="28ECB54F"/>
    <w:rsid w:val="28F46DDE"/>
    <w:rsid w:val="28F5BD91"/>
    <w:rsid w:val="29020332"/>
    <w:rsid w:val="2902CC48"/>
    <w:rsid w:val="2902DE38"/>
    <w:rsid w:val="2905B7EA"/>
    <w:rsid w:val="2906D535"/>
    <w:rsid w:val="291056FE"/>
    <w:rsid w:val="291633F6"/>
    <w:rsid w:val="29180556"/>
    <w:rsid w:val="291F1D2C"/>
    <w:rsid w:val="29383CCB"/>
    <w:rsid w:val="293A45CB"/>
    <w:rsid w:val="293BB4BD"/>
    <w:rsid w:val="293E658E"/>
    <w:rsid w:val="2940D6EE"/>
    <w:rsid w:val="294F11FF"/>
    <w:rsid w:val="295E1009"/>
    <w:rsid w:val="2961EE33"/>
    <w:rsid w:val="29696D0A"/>
    <w:rsid w:val="296D034E"/>
    <w:rsid w:val="297568DC"/>
    <w:rsid w:val="297580C4"/>
    <w:rsid w:val="297705AE"/>
    <w:rsid w:val="297DCDFD"/>
    <w:rsid w:val="297E3CB2"/>
    <w:rsid w:val="2982ADAA"/>
    <w:rsid w:val="298F122F"/>
    <w:rsid w:val="2997BE3E"/>
    <w:rsid w:val="29995BB4"/>
    <w:rsid w:val="299C3CF7"/>
    <w:rsid w:val="29A090B9"/>
    <w:rsid w:val="29A404D6"/>
    <w:rsid w:val="29A41450"/>
    <w:rsid w:val="29A49E5C"/>
    <w:rsid w:val="29A52B1C"/>
    <w:rsid w:val="29AF06DF"/>
    <w:rsid w:val="29B1BC17"/>
    <w:rsid w:val="29B3901F"/>
    <w:rsid w:val="29BA40B5"/>
    <w:rsid w:val="29C858DF"/>
    <w:rsid w:val="29CDAD8F"/>
    <w:rsid w:val="29D526FC"/>
    <w:rsid w:val="29DB4148"/>
    <w:rsid w:val="29E42397"/>
    <w:rsid w:val="29EBFD76"/>
    <w:rsid w:val="29F46E86"/>
    <w:rsid w:val="29F4AF21"/>
    <w:rsid w:val="29FAECFA"/>
    <w:rsid w:val="29FB8A5B"/>
    <w:rsid w:val="29FF3414"/>
    <w:rsid w:val="29FFE04B"/>
    <w:rsid w:val="2A04398C"/>
    <w:rsid w:val="2A072B08"/>
    <w:rsid w:val="2A0D1821"/>
    <w:rsid w:val="2A12DC8F"/>
    <w:rsid w:val="2A1BAD82"/>
    <w:rsid w:val="2A1DAD37"/>
    <w:rsid w:val="2A2016CD"/>
    <w:rsid w:val="2A3EEA03"/>
    <w:rsid w:val="2A465E43"/>
    <w:rsid w:val="2A4A6BF4"/>
    <w:rsid w:val="2A6849DE"/>
    <w:rsid w:val="2A767402"/>
    <w:rsid w:val="2A770F48"/>
    <w:rsid w:val="2A7D4EAF"/>
    <w:rsid w:val="2A7EF028"/>
    <w:rsid w:val="2AA8814E"/>
    <w:rsid w:val="2AA8EAC3"/>
    <w:rsid w:val="2AB24657"/>
    <w:rsid w:val="2ABD67E6"/>
    <w:rsid w:val="2AC2B374"/>
    <w:rsid w:val="2AC66C5F"/>
    <w:rsid w:val="2AC6FB8E"/>
    <w:rsid w:val="2ACF4ED1"/>
    <w:rsid w:val="2AD83729"/>
    <w:rsid w:val="2ADAFC00"/>
    <w:rsid w:val="2ADCBE51"/>
    <w:rsid w:val="2AE940A6"/>
    <w:rsid w:val="2AF1540D"/>
    <w:rsid w:val="2AF69E28"/>
    <w:rsid w:val="2AFE3284"/>
    <w:rsid w:val="2AFFFE54"/>
    <w:rsid w:val="2B07EFDB"/>
    <w:rsid w:val="2B0892B2"/>
    <w:rsid w:val="2B08C17D"/>
    <w:rsid w:val="2B0C3190"/>
    <w:rsid w:val="2B223279"/>
    <w:rsid w:val="2B243407"/>
    <w:rsid w:val="2B25F13A"/>
    <w:rsid w:val="2B321E7B"/>
    <w:rsid w:val="2B3D728F"/>
    <w:rsid w:val="2B3E9F21"/>
    <w:rsid w:val="2B4BB988"/>
    <w:rsid w:val="2B5374D6"/>
    <w:rsid w:val="2B6665D1"/>
    <w:rsid w:val="2B67BEF7"/>
    <w:rsid w:val="2B6EB1C7"/>
    <w:rsid w:val="2B722327"/>
    <w:rsid w:val="2B76D9F8"/>
    <w:rsid w:val="2B88156E"/>
    <w:rsid w:val="2B979AAD"/>
    <w:rsid w:val="2BA4A1C3"/>
    <w:rsid w:val="2BB042DC"/>
    <w:rsid w:val="2BB5BFF4"/>
    <w:rsid w:val="2BB9819A"/>
    <w:rsid w:val="2BC503C3"/>
    <w:rsid w:val="2BD23119"/>
    <w:rsid w:val="2BDA13D5"/>
    <w:rsid w:val="2BDBE8AF"/>
    <w:rsid w:val="2BDCB6CE"/>
    <w:rsid w:val="2BECACEC"/>
    <w:rsid w:val="2BEE52FA"/>
    <w:rsid w:val="2BF044AE"/>
    <w:rsid w:val="2BF397A0"/>
    <w:rsid w:val="2BF4EB30"/>
    <w:rsid w:val="2BF98B23"/>
    <w:rsid w:val="2BFB3D16"/>
    <w:rsid w:val="2BFFB7D1"/>
    <w:rsid w:val="2C0BFEB0"/>
    <w:rsid w:val="2C11B1C0"/>
    <w:rsid w:val="2C166C98"/>
    <w:rsid w:val="2C1A8CD2"/>
    <w:rsid w:val="2C1B5828"/>
    <w:rsid w:val="2C1E2784"/>
    <w:rsid w:val="2C1F4472"/>
    <w:rsid w:val="2C3642AA"/>
    <w:rsid w:val="2C3665B6"/>
    <w:rsid w:val="2C3E6FB0"/>
    <w:rsid w:val="2C485E3A"/>
    <w:rsid w:val="2C5432B2"/>
    <w:rsid w:val="2C5D3C64"/>
    <w:rsid w:val="2C62F5FA"/>
    <w:rsid w:val="2C69D8B2"/>
    <w:rsid w:val="2C6D8E12"/>
    <w:rsid w:val="2C6F25A1"/>
    <w:rsid w:val="2C783803"/>
    <w:rsid w:val="2C7B6A22"/>
    <w:rsid w:val="2C7C0247"/>
    <w:rsid w:val="2C858C39"/>
    <w:rsid w:val="2C8B24F3"/>
    <w:rsid w:val="2C99D7D0"/>
    <w:rsid w:val="2C9B6F3E"/>
    <w:rsid w:val="2C9BDEE7"/>
    <w:rsid w:val="2CAEB1A7"/>
    <w:rsid w:val="2CBDE457"/>
    <w:rsid w:val="2CC67DCD"/>
    <w:rsid w:val="2CCC6873"/>
    <w:rsid w:val="2CCF92E5"/>
    <w:rsid w:val="2CD9B5F0"/>
    <w:rsid w:val="2CDE2526"/>
    <w:rsid w:val="2CE296FA"/>
    <w:rsid w:val="2CEB2418"/>
    <w:rsid w:val="2CF8821E"/>
    <w:rsid w:val="2CFE7DE6"/>
    <w:rsid w:val="2D0D888F"/>
    <w:rsid w:val="2D176C3D"/>
    <w:rsid w:val="2D18C132"/>
    <w:rsid w:val="2D2E47DA"/>
    <w:rsid w:val="2D30F285"/>
    <w:rsid w:val="2D45553B"/>
    <w:rsid w:val="2D491B35"/>
    <w:rsid w:val="2D4C1DC5"/>
    <w:rsid w:val="2D4D7A4F"/>
    <w:rsid w:val="2D51B1DE"/>
    <w:rsid w:val="2D550B77"/>
    <w:rsid w:val="2D5E2E88"/>
    <w:rsid w:val="2D5E393F"/>
    <w:rsid w:val="2D6D332D"/>
    <w:rsid w:val="2D738D73"/>
    <w:rsid w:val="2D74338B"/>
    <w:rsid w:val="2D776368"/>
    <w:rsid w:val="2D77B991"/>
    <w:rsid w:val="2D7AD29B"/>
    <w:rsid w:val="2D7CFD42"/>
    <w:rsid w:val="2D7ECD1C"/>
    <w:rsid w:val="2D86AED2"/>
    <w:rsid w:val="2D884F14"/>
    <w:rsid w:val="2D88584C"/>
    <w:rsid w:val="2D8A6E28"/>
    <w:rsid w:val="2D8BCAB1"/>
    <w:rsid w:val="2D8C4815"/>
    <w:rsid w:val="2D9048C8"/>
    <w:rsid w:val="2D9257CF"/>
    <w:rsid w:val="2D93CD05"/>
    <w:rsid w:val="2D95ED0A"/>
    <w:rsid w:val="2D9729F3"/>
    <w:rsid w:val="2DA50E6D"/>
    <w:rsid w:val="2DA85FB6"/>
    <w:rsid w:val="2DB3688E"/>
    <w:rsid w:val="2DB678A5"/>
    <w:rsid w:val="2DB9ACCB"/>
    <w:rsid w:val="2DD36381"/>
    <w:rsid w:val="2DE9D839"/>
    <w:rsid w:val="2DEA139D"/>
    <w:rsid w:val="2DF4DF02"/>
    <w:rsid w:val="2DF543B9"/>
    <w:rsid w:val="2DF6066E"/>
    <w:rsid w:val="2DF70E4E"/>
    <w:rsid w:val="2DF843F1"/>
    <w:rsid w:val="2E0242E8"/>
    <w:rsid w:val="2E07EDBD"/>
    <w:rsid w:val="2E140E0C"/>
    <w:rsid w:val="2E159C1B"/>
    <w:rsid w:val="2E18DAC2"/>
    <w:rsid w:val="2E212BE7"/>
    <w:rsid w:val="2E246F50"/>
    <w:rsid w:val="2E25174C"/>
    <w:rsid w:val="2E2B9C09"/>
    <w:rsid w:val="2E2E27BF"/>
    <w:rsid w:val="2E2E35CE"/>
    <w:rsid w:val="2E307BFF"/>
    <w:rsid w:val="2E4454B7"/>
    <w:rsid w:val="2E4738C5"/>
    <w:rsid w:val="2E55BD98"/>
    <w:rsid w:val="2E596E69"/>
    <w:rsid w:val="2E59E495"/>
    <w:rsid w:val="2E690D6D"/>
    <w:rsid w:val="2E719CC8"/>
    <w:rsid w:val="2E8571A0"/>
    <w:rsid w:val="2E88CBE6"/>
    <w:rsid w:val="2E8DC73E"/>
    <w:rsid w:val="2E9219DF"/>
    <w:rsid w:val="2E96219E"/>
    <w:rsid w:val="2E9D2B60"/>
    <w:rsid w:val="2EA1A7B5"/>
    <w:rsid w:val="2EAE15C0"/>
    <w:rsid w:val="2EB039B5"/>
    <w:rsid w:val="2EB9D7FA"/>
    <w:rsid w:val="2EBA49E5"/>
    <w:rsid w:val="2ECE51AA"/>
    <w:rsid w:val="2ED23E71"/>
    <w:rsid w:val="2ED6CA1F"/>
    <w:rsid w:val="2EE0A787"/>
    <w:rsid w:val="2EEA471F"/>
    <w:rsid w:val="2EEAAC20"/>
    <w:rsid w:val="2EF14C1E"/>
    <w:rsid w:val="2EFDF30C"/>
    <w:rsid w:val="2F099DEB"/>
    <w:rsid w:val="2F0D7265"/>
    <w:rsid w:val="2F0F6DF4"/>
    <w:rsid w:val="2F13EC9E"/>
    <w:rsid w:val="2F20BAAD"/>
    <w:rsid w:val="2F21DA1E"/>
    <w:rsid w:val="2F26A957"/>
    <w:rsid w:val="2F311656"/>
    <w:rsid w:val="2F41884B"/>
    <w:rsid w:val="2F4FF2DF"/>
    <w:rsid w:val="2F56BC39"/>
    <w:rsid w:val="2F58C61A"/>
    <w:rsid w:val="2F5E3A65"/>
    <w:rsid w:val="2F623654"/>
    <w:rsid w:val="2F628A70"/>
    <w:rsid w:val="2F630B86"/>
    <w:rsid w:val="2F6E9562"/>
    <w:rsid w:val="2F6F7BC9"/>
    <w:rsid w:val="2F71BA09"/>
    <w:rsid w:val="2F740371"/>
    <w:rsid w:val="2F796587"/>
    <w:rsid w:val="2F822A9A"/>
    <w:rsid w:val="2F8ACAD6"/>
    <w:rsid w:val="2F8F0322"/>
    <w:rsid w:val="2F905A8A"/>
    <w:rsid w:val="2F9DE413"/>
    <w:rsid w:val="2F9E4F6B"/>
    <w:rsid w:val="2FB2A9E9"/>
    <w:rsid w:val="2FB30905"/>
    <w:rsid w:val="2FB67243"/>
    <w:rsid w:val="2FBB3060"/>
    <w:rsid w:val="2FC30F7B"/>
    <w:rsid w:val="2FC37133"/>
    <w:rsid w:val="2FC4CE71"/>
    <w:rsid w:val="2FC733DB"/>
    <w:rsid w:val="2FD779BE"/>
    <w:rsid w:val="2FF3F477"/>
    <w:rsid w:val="2FF4AC57"/>
    <w:rsid w:val="2FF954B1"/>
    <w:rsid w:val="2FFE3ACE"/>
    <w:rsid w:val="2FFFF42A"/>
    <w:rsid w:val="300FE242"/>
    <w:rsid w:val="30143E1B"/>
    <w:rsid w:val="301B5C3E"/>
    <w:rsid w:val="301D997B"/>
    <w:rsid w:val="301D9E0A"/>
    <w:rsid w:val="301ECFC1"/>
    <w:rsid w:val="30209075"/>
    <w:rsid w:val="30249D7F"/>
    <w:rsid w:val="3024BC1D"/>
    <w:rsid w:val="3032E58D"/>
    <w:rsid w:val="3037EE3E"/>
    <w:rsid w:val="303A3C29"/>
    <w:rsid w:val="303ECA8B"/>
    <w:rsid w:val="3043E9F2"/>
    <w:rsid w:val="3045C91C"/>
    <w:rsid w:val="304ECD1C"/>
    <w:rsid w:val="304FC9A2"/>
    <w:rsid w:val="3050F2DF"/>
    <w:rsid w:val="3053D7C9"/>
    <w:rsid w:val="30546D7F"/>
    <w:rsid w:val="306483B6"/>
    <w:rsid w:val="3064AFDB"/>
    <w:rsid w:val="306BF832"/>
    <w:rsid w:val="306E9A0D"/>
    <w:rsid w:val="3071AF49"/>
    <w:rsid w:val="307B654C"/>
    <w:rsid w:val="3082B4AB"/>
    <w:rsid w:val="3083FC42"/>
    <w:rsid w:val="30887F48"/>
    <w:rsid w:val="308E6C7D"/>
    <w:rsid w:val="308EC4DA"/>
    <w:rsid w:val="308EF803"/>
    <w:rsid w:val="30950661"/>
    <w:rsid w:val="3095708F"/>
    <w:rsid w:val="309C0ABC"/>
    <w:rsid w:val="30A4289A"/>
    <w:rsid w:val="30A6B8FC"/>
    <w:rsid w:val="30ABE6A7"/>
    <w:rsid w:val="30B57A15"/>
    <w:rsid w:val="30BEFE53"/>
    <w:rsid w:val="30C2CA2B"/>
    <w:rsid w:val="30D69511"/>
    <w:rsid w:val="30D9817C"/>
    <w:rsid w:val="30DBCA83"/>
    <w:rsid w:val="30E73AA1"/>
    <w:rsid w:val="30E824A9"/>
    <w:rsid w:val="30EBFC62"/>
    <w:rsid w:val="30F5839C"/>
    <w:rsid w:val="30F98517"/>
    <w:rsid w:val="31028E51"/>
    <w:rsid w:val="311464FB"/>
    <w:rsid w:val="311C7FB7"/>
    <w:rsid w:val="311D9CB5"/>
    <w:rsid w:val="3126696C"/>
    <w:rsid w:val="31298B94"/>
    <w:rsid w:val="3129DB07"/>
    <w:rsid w:val="3135FE62"/>
    <w:rsid w:val="313953DC"/>
    <w:rsid w:val="313BA782"/>
    <w:rsid w:val="31460A49"/>
    <w:rsid w:val="31569A6B"/>
    <w:rsid w:val="316292FC"/>
    <w:rsid w:val="316BFCBB"/>
    <w:rsid w:val="316CE276"/>
    <w:rsid w:val="319252CD"/>
    <w:rsid w:val="319D4DB3"/>
    <w:rsid w:val="31AD25B0"/>
    <w:rsid w:val="31CE0898"/>
    <w:rsid w:val="31D80D52"/>
    <w:rsid w:val="31EB4DC8"/>
    <w:rsid w:val="31F3984C"/>
    <w:rsid w:val="31F57DD6"/>
    <w:rsid w:val="32008BC6"/>
    <w:rsid w:val="3201D333"/>
    <w:rsid w:val="3206B320"/>
    <w:rsid w:val="3207D9A4"/>
    <w:rsid w:val="320E2075"/>
    <w:rsid w:val="3210FA8D"/>
    <w:rsid w:val="3211C891"/>
    <w:rsid w:val="32278052"/>
    <w:rsid w:val="32359F35"/>
    <w:rsid w:val="32419679"/>
    <w:rsid w:val="3245EA86"/>
    <w:rsid w:val="32517435"/>
    <w:rsid w:val="3253FFB8"/>
    <w:rsid w:val="32569C42"/>
    <w:rsid w:val="3259E6CB"/>
    <w:rsid w:val="325CFA13"/>
    <w:rsid w:val="3273470D"/>
    <w:rsid w:val="327F5DC6"/>
    <w:rsid w:val="32810119"/>
    <w:rsid w:val="3283C6F5"/>
    <w:rsid w:val="32849EBE"/>
    <w:rsid w:val="32852C44"/>
    <w:rsid w:val="328C0795"/>
    <w:rsid w:val="328D4326"/>
    <w:rsid w:val="329C4120"/>
    <w:rsid w:val="32A0E5DC"/>
    <w:rsid w:val="32A5702D"/>
    <w:rsid w:val="32A84114"/>
    <w:rsid w:val="32AB8574"/>
    <w:rsid w:val="32B84AE2"/>
    <w:rsid w:val="32BA265E"/>
    <w:rsid w:val="32D5DCD0"/>
    <w:rsid w:val="32DA2465"/>
    <w:rsid w:val="32DD30E9"/>
    <w:rsid w:val="32EAD4FF"/>
    <w:rsid w:val="32F2E792"/>
    <w:rsid w:val="32F614AE"/>
    <w:rsid w:val="32F8E6AD"/>
    <w:rsid w:val="32F9F900"/>
    <w:rsid w:val="32FFB1A9"/>
    <w:rsid w:val="33129302"/>
    <w:rsid w:val="331550B6"/>
    <w:rsid w:val="331B73D1"/>
    <w:rsid w:val="331E46F5"/>
    <w:rsid w:val="3321CE1B"/>
    <w:rsid w:val="332C3EEE"/>
    <w:rsid w:val="333C76E6"/>
    <w:rsid w:val="334125C7"/>
    <w:rsid w:val="33462733"/>
    <w:rsid w:val="334F62EA"/>
    <w:rsid w:val="3350C36D"/>
    <w:rsid w:val="3355B3A6"/>
    <w:rsid w:val="3357F4F5"/>
    <w:rsid w:val="3362532D"/>
    <w:rsid w:val="337D0CFC"/>
    <w:rsid w:val="337F5C27"/>
    <w:rsid w:val="338E0748"/>
    <w:rsid w:val="33968111"/>
    <w:rsid w:val="3398BFDD"/>
    <w:rsid w:val="339AB6F7"/>
    <w:rsid w:val="33A4BCB1"/>
    <w:rsid w:val="33AF6D6F"/>
    <w:rsid w:val="33B03EE1"/>
    <w:rsid w:val="33B16608"/>
    <w:rsid w:val="33B6D1CD"/>
    <w:rsid w:val="33BBEE62"/>
    <w:rsid w:val="33BE89CD"/>
    <w:rsid w:val="33C213A8"/>
    <w:rsid w:val="33C369AD"/>
    <w:rsid w:val="33C7E005"/>
    <w:rsid w:val="33C8AC4E"/>
    <w:rsid w:val="33CEA04A"/>
    <w:rsid w:val="33E09A8C"/>
    <w:rsid w:val="33E5E52A"/>
    <w:rsid w:val="33E9C6CD"/>
    <w:rsid w:val="33EFAF49"/>
    <w:rsid w:val="33F642FB"/>
    <w:rsid w:val="33F77FC8"/>
    <w:rsid w:val="33FCBDAE"/>
    <w:rsid w:val="3401A588"/>
    <w:rsid w:val="34090B0B"/>
    <w:rsid w:val="3411ED64"/>
    <w:rsid w:val="341EC35F"/>
    <w:rsid w:val="3425937E"/>
    <w:rsid w:val="3434BBD0"/>
    <w:rsid w:val="343C2124"/>
    <w:rsid w:val="344023A7"/>
    <w:rsid w:val="3441F552"/>
    <w:rsid w:val="3443CF4B"/>
    <w:rsid w:val="344C59E8"/>
    <w:rsid w:val="344F484A"/>
    <w:rsid w:val="3454DF65"/>
    <w:rsid w:val="34564C54"/>
    <w:rsid w:val="345DA4B2"/>
    <w:rsid w:val="345DC715"/>
    <w:rsid w:val="346383AD"/>
    <w:rsid w:val="34639065"/>
    <w:rsid w:val="3465A89B"/>
    <w:rsid w:val="3469150D"/>
    <w:rsid w:val="346B1434"/>
    <w:rsid w:val="34750C46"/>
    <w:rsid w:val="3477DD71"/>
    <w:rsid w:val="3482EBC7"/>
    <w:rsid w:val="348343D6"/>
    <w:rsid w:val="348E7250"/>
    <w:rsid w:val="349BDA01"/>
    <w:rsid w:val="34A2B152"/>
    <w:rsid w:val="34A3B404"/>
    <w:rsid w:val="34B6685B"/>
    <w:rsid w:val="34B8D4C6"/>
    <w:rsid w:val="34B92B52"/>
    <w:rsid w:val="34C8D0B9"/>
    <w:rsid w:val="34C995B3"/>
    <w:rsid w:val="34CA5646"/>
    <w:rsid w:val="34CDFB0A"/>
    <w:rsid w:val="34EB9877"/>
    <w:rsid w:val="34F738A5"/>
    <w:rsid w:val="35004956"/>
    <w:rsid w:val="3504E814"/>
    <w:rsid w:val="35067757"/>
    <w:rsid w:val="350B8AD9"/>
    <w:rsid w:val="35124AA7"/>
    <w:rsid w:val="35146D04"/>
    <w:rsid w:val="3519C34A"/>
    <w:rsid w:val="351E68CA"/>
    <w:rsid w:val="351FCB46"/>
    <w:rsid w:val="3527C65C"/>
    <w:rsid w:val="352B180C"/>
    <w:rsid w:val="352CBA6B"/>
    <w:rsid w:val="352FE48C"/>
    <w:rsid w:val="35374938"/>
    <w:rsid w:val="354310AF"/>
    <w:rsid w:val="354575DE"/>
    <w:rsid w:val="35499572"/>
    <w:rsid w:val="354C4208"/>
    <w:rsid w:val="3552342C"/>
    <w:rsid w:val="3553DDCD"/>
    <w:rsid w:val="355ABE2B"/>
    <w:rsid w:val="3565EF13"/>
    <w:rsid w:val="35660021"/>
    <w:rsid w:val="357699CB"/>
    <w:rsid w:val="35775B79"/>
    <w:rsid w:val="3579F64C"/>
    <w:rsid w:val="357D750A"/>
    <w:rsid w:val="359077AE"/>
    <w:rsid w:val="3592D6D5"/>
    <w:rsid w:val="35968162"/>
    <w:rsid w:val="359B32C5"/>
    <w:rsid w:val="359CCF15"/>
    <w:rsid w:val="35A14FD0"/>
    <w:rsid w:val="35AD7CDD"/>
    <w:rsid w:val="35B68C2B"/>
    <w:rsid w:val="35BFFB02"/>
    <w:rsid w:val="35C30DED"/>
    <w:rsid w:val="35C99B6D"/>
    <w:rsid w:val="35CA98E2"/>
    <w:rsid w:val="35D360C7"/>
    <w:rsid w:val="35D5BA38"/>
    <w:rsid w:val="35D938C7"/>
    <w:rsid w:val="35EF4BE9"/>
    <w:rsid w:val="35F15998"/>
    <w:rsid w:val="35F87CAF"/>
    <w:rsid w:val="35F95A7C"/>
    <w:rsid w:val="35FDE3D6"/>
    <w:rsid w:val="3615D4B0"/>
    <w:rsid w:val="36182FE7"/>
    <w:rsid w:val="361F0CBF"/>
    <w:rsid w:val="3627E312"/>
    <w:rsid w:val="362848D0"/>
    <w:rsid w:val="362C9478"/>
    <w:rsid w:val="363612FC"/>
    <w:rsid w:val="363CC27B"/>
    <w:rsid w:val="364128E8"/>
    <w:rsid w:val="36436DB2"/>
    <w:rsid w:val="36438EA3"/>
    <w:rsid w:val="3645F5AA"/>
    <w:rsid w:val="364BE6BA"/>
    <w:rsid w:val="3656B1EC"/>
    <w:rsid w:val="365C94DE"/>
    <w:rsid w:val="3661DCC2"/>
    <w:rsid w:val="3665C102"/>
    <w:rsid w:val="366825C5"/>
    <w:rsid w:val="367D29D6"/>
    <w:rsid w:val="36897911"/>
    <w:rsid w:val="368D9FEA"/>
    <w:rsid w:val="36949C6F"/>
    <w:rsid w:val="369775BF"/>
    <w:rsid w:val="36998908"/>
    <w:rsid w:val="36A1CBEC"/>
    <w:rsid w:val="36ADC1AC"/>
    <w:rsid w:val="36AFE496"/>
    <w:rsid w:val="36C074EA"/>
    <w:rsid w:val="36C190E9"/>
    <w:rsid w:val="36CA7F55"/>
    <w:rsid w:val="36D05F5F"/>
    <w:rsid w:val="36D47D91"/>
    <w:rsid w:val="36D5AE99"/>
    <w:rsid w:val="36D8A146"/>
    <w:rsid w:val="36DC390D"/>
    <w:rsid w:val="36E5D7CF"/>
    <w:rsid w:val="36E9EA37"/>
    <w:rsid w:val="36F5189C"/>
    <w:rsid w:val="37021D95"/>
    <w:rsid w:val="370851BC"/>
    <w:rsid w:val="370E1D61"/>
    <w:rsid w:val="3711CDC4"/>
    <w:rsid w:val="3711E0CB"/>
    <w:rsid w:val="37139B71"/>
    <w:rsid w:val="3717745F"/>
    <w:rsid w:val="3723A307"/>
    <w:rsid w:val="37253DAA"/>
    <w:rsid w:val="37288417"/>
    <w:rsid w:val="372955C0"/>
    <w:rsid w:val="372DBC05"/>
    <w:rsid w:val="37450F92"/>
    <w:rsid w:val="374D7522"/>
    <w:rsid w:val="37523CD9"/>
    <w:rsid w:val="375DDE59"/>
    <w:rsid w:val="375E14F4"/>
    <w:rsid w:val="376507D9"/>
    <w:rsid w:val="376564D3"/>
    <w:rsid w:val="3768F855"/>
    <w:rsid w:val="377E4EF8"/>
    <w:rsid w:val="377EF69F"/>
    <w:rsid w:val="378290BA"/>
    <w:rsid w:val="37896FA1"/>
    <w:rsid w:val="378B2BD6"/>
    <w:rsid w:val="378BC841"/>
    <w:rsid w:val="378CFC3D"/>
    <w:rsid w:val="378D8762"/>
    <w:rsid w:val="37932022"/>
    <w:rsid w:val="3794FB85"/>
    <w:rsid w:val="379C9AF1"/>
    <w:rsid w:val="379EEBDC"/>
    <w:rsid w:val="37A005D6"/>
    <w:rsid w:val="37BCC471"/>
    <w:rsid w:val="37BFB70A"/>
    <w:rsid w:val="37C82135"/>
    <w:rsid w:val="37D09461"/>
    <w:rsid w:val="37D18A2E"/>
    <w:rsid w:val="37EAE7E0"/>
    <w:rsid w:val="37F004B8"/>
    <w:rsid w:val="37FF40B3"/>
    <w:rsid w:val="380C96B2"/>
    <w:rsid w:val="381ED878"/>
    <w:rsid w:val="3825A58C"/>
    <w:rsid w:val="3825CB23"/>
    <w:rsid w:val="382C6E00"/>
    <w:rsid w:val="3830451C"/>
    <w:rsid w:val="38384B34"/>
    <w:rsid w:val="3846B7D7"/>
    <w:rsid w:val="3855C443"/>
    <w:rsid w:val="385B05EE"/>
    <w:rsid w:val="385BD91E"/>
    <w:rsid w:val="38739616"/>
    <w:rsid w:val="387A2619"/>
    <w:rsid w:val="387DEDF7"/>
    <w:rsid w:val="387E33A7"/>
    <w:rsid w:val="388037DF"/>
    <w:rsid w:val="3882A585"/>
    <w:rsid w:val="388B4239"/>
    <w:rsid w:val="3890A791"/>
    <w:rsid w:val="3896A34C"/>
    <w:rsid w:val="389B1C8C"/>
    <w:rsid w:val="38AFB31C"/>
    <w:rsid w:val="38B931B4"/>
    <w:rsid w:val="38BA29EB"/>
    <w:rsid w:val="38C1A23A"/>
    <w:rsid w:val="38C9FBE7"/>
    <w:rsid w:val="38CC409F"/>
    <w:rsid w:val="38D296A3"/>
    <w:rsid w:val="38D2AC0D"/>
    <w:rsid w:val="38DD7025"/>
    <w:rsid w:val="38E6FA9F"/>
    <w:rsid w:val="38EC47A2"/>
    <w:rsid w:val="38FA7AA5"/>
    <w:rsid w:val="390F8AF4"/>
    <w:rsid w:val="3923BBE5"/>
    <w:rsid w:val="3924F036"/>
    <w:rsid w:val="3924FAE1"/>
    <w:rsid w:val="3929DE5F"/>
    <w:rsid w:val="392B2CAD"/>
    <w:rsid w:val="392BE2B4"/>
    <w:rsid w:val="392CBEFF"/>
    <w:rsid w:val="392E7A8F"/>
    <w:rsid w:val="393411FF"/>
    <w:rsid w:val="3936507F"/>
    <w:rsid w:val="393B234C"/>
    <w:rsid w:val="3942AA9A"/>
    <w:rsid w:val="3946FC58"/>
    <w:rsid w:val="394966D1"/>
    <w:rsid w:val="394DDFA6"/>
    <w:rsid w:val="3950EA46"/>
    <w:rsid w:val="3953AB3E"/>
    <w:rsid w:val="3959C283"/>
    <w:rsid w:val="3966B04E"/>
    <w:rsid w:val="3969F700"/>
    <w:rsid w:val="396C740F"/>
    <w:rsid w:val="3976B4DA"/>
    <w:rsid w:val="39805D7A"/>
    <w:rsid w:val="399219E6"/>
    <w:rsid w:val="3992753A"/>
    <w:rsid w:val="399304A0"/>
    <w:rsid w:val="3995FA9C"/>
    <w:rsid w:val="3998FC39"/>
    <w:rsid w:val="399CDF57"/>
    <w:rsid w:val="399D1C76"/>
    <w:rsid w:val="39BA7B88"/>
    <w:rsid w:val="39C6660D"/>
    <w:rsid w:val="39CB1C88"/>
    <w:rsid w:val="39CB2F4D"/>
    <w:rsid w:val="39CEA7F9"/>
    <w:rsid w:val="39E09F4C"/>
    <w:rsid w:val="39E1000A"/>
    <w:rsid w:val="39E355C9"/>
    <w:rsid w:val="39E4BE76"/>
    <w:rsid w:val="39ED395A"/>
    <w:rsid w:val="39FC14F7"/>
    <w:rsid w:val="3A051F4F"/>
    <w:rsid w:val="3A09613B"/>
    <w:rsid w:val="3A1116D1"/>
    <w:rsid w:val="3A1AB74B"/>
    <w:rsid w:val="3A1DC6DB"/>
    <w:rsid w:val="3A1E108D"/>
    <w:rsid w:val="3A29A8B9"/>
    <w:rsid w:val="3A2E910B"/>
    <w:rsid w:val="3A31F03A"/>
    <w:rsid w:val="3A3570D1"/>
    <w:rsid w:val="3A3DE424"/>
    <w:rsid w:val="3A41C9B6"/>
    <w:rsid w:val="3A432AF7"/>
    <w:rsid w:val="3A48D920"/>
    <w:rsid w:val="3A549631"/>
    <w:rsid w:val="3A598304"/>
    <w:rsid w:val="3A820D2D"/>
    <w:rsid w:val="3A834089"/>
    <w:rsid w:val="3A868951"/>
    <w:rsid w:val="3A886BA0"/>
    <w:rsid w:val="3A8A026C"/>
    <w:rsid w:val="3A8E86F1"/>
    <w:rsid w:val="3A957E28"/>
    <w:rsid w:val="3A982E15"/>
    <w:rsid w:val="3A9AB894"/>
    <w:rsid w:val="3AA0A203"/>
    <w:rsid w:val="3AA35BE3"/>
    <w:rsid w:val="3AA4FA30"/>
    <w:rsid w:val="3AAF80EE"/>
    <w:rsid w:val="3AB207D9"/>
    <w:rsid w:val="3AB77AFB"/>
    <w:rsid w:val="3ABD3150"/>
    <w:rsid w:val="3AC7CF66"/>
    <w:rsid w:val="3ACDD6A8"/>
    <w:rsid w:val="3ACFACEE"/>
    <w:rsid w:val="3ADAD544"/>
    <w:rsid w:val="3ADDE480"/>
    <w:rsid w:val="3AEBA654"/>
    <w:rsid w:val="3AEDA98E"/>
    <w:rsid w:val="3AFD601A"/>
    <w:rsid w:val="3AFFB0C8"/>
    <w:rsid w:val="3B016941"/>
    <w:rsid w:val="3B07E155"/>
    <w:rsid w:val="3B099E13"/>
    <w:rsid w:val="3B0B6F3C"/>
    <w:rsid w:val="3B0BF382"/>
    <w:rsid w:val="3B0E166F"/>
    <w:rsid w:val="3B0E7722"/>
    <w:rsid w:val="3B1375B7"/>
    <w:rsid w:val="3B139DEA"/>
    <w:rsid w:val="3B1E67E3"/>
    <w:rsid w:val="3B223E51"/>
    <w:rsid w:val="3B2BB5DF"/>
    <w:rsid w:val="3B2C7EB0"/>
    <w:rsid w:val="3B31A766"/>
    <w:rsid w:val="3B336394"/>
    <w:rsid w:val="3B36FC49"/>
    <w:rsid w:val="3B3AF6DC"/>
    <w:rsid w:val="3B427467"/>
    <w:rsid w:val="3B4305C6"/>
    <w:rsid w:val="3B45EAFF"/>
    <w:rsid w:val="3B46E715"/>
    <w:rsid w:val="3B5703FF"/>
    <w:rsid w:val="3B58E6AD"/>
    <w:rsid w:val="3B5F0AFC"/>
    <w:rsid w:val="3B5F7AF4"/>
    <w:rsid w:val="3B687CFF"/>
    <w:rsid w:val="3B68E2D9"/>
    <w:rsid w:val="3B6C4D89"/>
    <w:rsid w:val="3B6F3DD3"/>
    <w:rsid w:val="3B70B1FE"/>
    <w:rsid w:val="3B713412"/>
    <w:rsid w:val="3B792706"/>
    <w:rsid w:val="3B9350CF"/>
    <w:rsid w:val="3B98C33B"/>
    <w:rsid w:val="3B9C6C13"/>
    <w:rsid w:val="3B9F527D"/>
    <w:rsid w:val="3BA6B337"/>
    <w:rsid w:val="3BA87086"/>
    <w:rsid w:val="3BAFB1F8"/>
    <w:rsid w:val="3BB38C03"/>
    <w:rsid w:val="3BB4E2F2"/>
    <w:rsid w:val="3BBCD813"/>
    <w:rsid w:val="3BC6DF75"/>
    <w:rsid w:val="3BCCD545"/>
    <w:rsid w:val="3BD0B2ED"/>
    <w:rsid w:val="3BD16273"/>
    <w:rsid w:val="3BD1EC50"/>
    <w:rsid w:val="3BD6BC0D"/>
    <w:rsid w:val="3BD9C960"/>
    <w:rsid w:val="3BE4D5F6"/>
    <w:rsid w:val="3BF58DAD"/>
    <w:rsid w:val="3C0053F4"/>
    <w:rsid w:val="3C052563"/>
    <w:rsid w:val="3C16C26B"/>
    <w:rsid w:val="3C18F843"/>
    <w:rsid w:val="3C2359CE"/>
    <w:rsid w:val="3C269220"/>
    <w:rsid w:val="3C31A094"/>
    <w:rsid w:val="3C3292FA"/>
    <w:rsid w:val="3C36A3B5"/>
    <w:rsid w:val="3C383207"/>
    <w:rsid w:val="3C38A4E9"/>
    <w:rsid w:val="3C3F60E4"/>
    <w:rsid w:val="3C45B72A"/>
    <w:rsid w:val="3C462DCC"/>
    <w:rsid w:val="3C58FCE7"/>
    <w:rsid w:val="3C64ECE8"/>
    <w:rsid w:val="3C72EFC5"/>
    <w:rsid w:val="3C774A01"/>
    <w:rsid w:val="3C8DE369"/>
    <w:rsid w:val="3C8EC9FD"/>
    <w:rsid w:val="3C9E9CC6"/>
    <w:rsid w:val="3CB5EB47"/>
    <w:rsid w:val="3CB6F1BE"/>
    <w:rsid w:val="3CBD750A"/>
    <w:rsid w:val="3CBE57D2"/>
    <w:rsid w:val="3CC33B10"/>
    <w:rsid w:val="3CC402AD"/>
    <w:rsid w:val="3CCC2E48"/>
    <w:rsid w:val="3CD49B95"/>
    <w:rsid w:val="3CE0560D"/>
    <w:rsid w:val="3CF4F70F"/>
    <w:rsid w:val="3CFD9F30"/>
    <w:rsid w:val="3D055098"/>
    <w:rsid w:val="3D0BB55A"/>
    <w:rsid w:val="3D0FC728"/>
    <w:rsid w:val="3D144983"/>
    <w:rsid w:val="3D15FDC3"/>
    <w:rsid w:val="3D1779E4"/>
    <w:rsid w:val="3D2521FB"/>
    <w:rsid w:val="3D257AD1"/>
    <w:rsid w:val="3D34425A"/>
    <w:rsid w:val="3D45EBB5"/>
    <w:rsid w:val="3D468261"/>
    <w:rsid w:val="3D484AE1"/>
    <w:rsid w:val="3D484ECC"/>
    <w:rsid w:val="3D490DCA"/>
    <w:rsid w:val="3D4B7FE1"/>
    <w:rsid w:val="3D545C6D"/>
    <w:rsid w:val="3D55D4DA"/>
    <w:rsid w:val="3D5720C0"/>
    <w:rsid w:val="3D57BF6D"/>
    <w:rsid w:val="3D692115"/>
    <w:rsid w:val="3D9D1D51"/>
    <w:rsid w:val="3DB1B143"/>
    <w:rsid w:val="3DBB1C0E"/>
    <w:rsid w:val="3DC0D476"/>
    <w:rsid w:val="3DCDB95B"/>
    <w:rsid w:val="3DD1B8AC"/>
    <w:rsid w:val="3DDAF507"/>
    <w:rsid w:val="3DDDC5FF"/>
    <w:rsid w:val="3DE208B0"/>
    <w:rsid w:val="3DE38F8B"/>
    <w:rsid w:val="3DE69377"/>
    <w:rsid w:val="3DE77FAD"/>
    <w:rsid w:val="3DEB164A"/>
    <w:rsid w:val="3DEB59F0"/>
    <w:rsid w:val="3DF0FDB1"/>
    <w:rsid w:val="3DF579F5"/>
    <w:rsid w:val="3E006A2E"/>
    <w:rsid w:val="3E0ACA83"/>
    <w:rsid w:val="3E0CCE78"/>
    <w:rsid w:val="3E0FB733"/>
    <w:rsid w:val="3E10A24D"/>
    <w:rsid w:val="3E1195F7"/>
    <w:rsid w:val="3E2D97B9"/>
    <w:rsid w:val="3E307423"/>
    <w:rsid w:val="3E310F65"/>
    <w:rsid w:val="3E3235A6"/>
    <w:rsid w:val="3E3243A3"/>
    <w:rsid w:val="3E431EB1"/>
    <w:rsid w:val="3E489083"/>
    <w:rsid w:val="3E4ED9FE"/>
    <w:rsid w:val="3E506B33"/>
    <w:rsid w:val="3E565B37"/>
    <w:rsid w:val="3E6F0486"/>
    <w:rsid w:val="3E7404C8"/>
    <w:rsid w:val="3E779B74"/>
    <w:rsid w:val="3E86B0EB"/>
    <w:rsid w:val="3E95B3FB"/>
    <w:rsid w:val="3E9B54EE"/>
    <w:rsid w:val="3EB64286"/>
    <w:rsid w:val="3EBF31D4"/>
    <w:rsid w:val="3EC090C6"/>
    <w:rsid w:val="3EC1D367"/>
    <w:rsid w:val="3ECAD822"/>
    <w:rsid w:val="3ECE6515"/>
    <w:rsid w:val="3ED1FFE7"/>
    <w:rsid w:val="3ED27CC3"/>
    <w:rsid w:val="3EEF3EC5"/>
    <w:rsid w:val="3EF31FC0"/>
    <w:rsid w:val="3EF55806"/>
    <w:rsid w:val="3EF691F6"/>
    <w:rsid w:val="3EF85EB9"/>
    <w:rsid w:val="3F07B2AC"/>
    <w:rsid w:val="3F1BC566"/>
    <w:rsid w:val="3F21B141"/>
    <w:rsid w:val="3F2D94C7"/>
    <w:rsid w:val="3F340C15"/>
    <w:rsid w:val="3F344000"/>
    <w:rsid w:val="3F3A9839"/>
    <w:rsid w:val="3F3F8A9F"/>
    <w:rsid w:val="3F5173DB"/>
    <w:rsid w:val="3F52DDC3"/>
    <w:rsid w:val="3F621C99"/>
    <w:rsid w:val="3F6771EE"/>
    <w:rsid w:val="3F68DA5A"/>
    <w:rsid w:val="3F721AF3"/>
    <w:rsid w:val="3F7B5B46"/>
    <w:rsid w:val="3F819136"/>
    <w:rsid w:val="3F8F462D"/>
    <w:rsid w:val="3F99DF07"/>
    <w:rsid w:val="3F9ADA07"/>
    <w:rsid w:val="3FA1EFB5"/>
    <w:rsid w:val="3FA2E030"/>
    <w:rsid w:val="3FA3080C"/>
    <w:rsid w:val="3FA4A84B"/>
    <w:rsid w:val="3FAE3FB0"/>
    <w:rsid w:val="3FB34E95"/>
    <w:rsid w:val="3FCE238E"/>
    <w:rsid w:val="3FCF3DE1"/>
    <w:rsid w:val="3FD0854C"/>
    <w:rsid w:val="3FD1DC40"/>
    <w:rsid w:val="3FD4EEB1"/>
    <w:rsid w:val="3FD5DF9D"/>
    <w:rsid w:val="3FDA86DB"/>
    <w:rsid w:val="3FE31CC0"/>
    <w:rsid w:val="3FE8E9C8"/>
    <w:rsid w:val="3FF30E1E"/>
    <w:rsid w:val="3FF7BF05"/>
    <w:rsid w:val="3FFC12D4"/>
    <w:rsid w:val="400BFC2F"/>
    <w:rsid w:val="400C0087"/>
    <w:rsid w:val="40111951"/>
    <w:rsid w:val="401424E5"/>
    <w:rsid w:val="40196133"/>
    <w:rsid w:val="402AB831"/>
    <w:rsid w:val="4032263D"/>
    <w:rsid w:val="4034216B"/>
    <w:rsid w:val="4039B9EB"/>
    <w:rsid w:val="4042B06F"/>
    <w:rsid w:val="4043CE1C"/>
    <w:rsid w:val="404A0560"/>
    <w:rsid w:val="4059724E"/>
    <w:rsid w:val="4071640E"/>
    <w:rsid w:val="4073AAC1"/>
    <w:rsid w:val="408258AE"/>
    <w:rsid w:val="4089DEA2"/>
    <w:rsid w:val="4096D384"/>
    <w:rsid w:val="409BE0CB"/>
    <w:rsid w:val="409C781D"/>
    <w:rsid w:val="40A2C9EB"/>
    <w:rsid w:val="40A7B117"/>
    <w:rsid w:val="40ABA6D2"/>
    <w:rsid w:val="40B26719"/>
    <w:rsid w:val="40BC5BC7"/>
    <w:rsid w:val="40C86F64"/>
    <w:rsid w:val="40CF84F6"/>
    <w:rsid w:val="40D0A1C0"/>
    <w:rsid w:val="40D9248C"/>
    <w:rsid w:val="40DA8711"/>
    <w:rsid w:val="40E357AA"/>
    <w:rsid w:val="40F1D1B5"/>
    <w:rsid w:val="40F6593F"/>
    <w:rsid w:val="40FCDC8D"/>
    <w:rsid w:val="4107AF02"/>
    <w:rsid w:val="410D83C0"/>
    <w:rsid w:val="4119BE12"/>
    <w:rsid w:val="411A2A21"/>
    <w:rsid w:val="411BF5E0"/>
    <w:rsid w:val="411C5D0B"/>
    <w:rsid w:val="4124635E"/>
    <w:rsid w:val="412468D1"/>
    <w:rsid w:val="412AA76B"/>
    <w:rsid w:val="412EEB46"/>
    <w:rsid w:val="41468904"/>
    <w:rsid w:val="415088EB"/>
    <w:rsid w:val="41520476"/>
    <w:rsid w:val="41540EBE"/>
    <w:rsid w:val="4162E412"/>
    <w:rsid w:val="4165ED0B"/>
    <w:rsid w:val="41760E57"/>
    <w:rsid w:val="41786DF2"/>
    <w:rsid w:val="417B903F"/>
    <w:rsid w:val="41845208"/>
    <w:rsid w:val="4185FD55"/>
    <w:rsid w:val="41867086"/>
    <w:rsid w:val="41925360"/>
    <w:rsid w:val="41942B67"/>
    <w:rsid w:val="4197684E"/>
    <w:rsid w:val="419EB2F9"/>
    <w:rsid w:val="41BA0745"/>
    <w:rsid w:val="41BF3457"/>
    <w:rsid w:val="41BF3E49"/>
    <w:rsid w:val="41CBFFEB"/>
    <w:rsid w:val="41CF26AB"/>
    <w:rsid w:val="41DD3549"/>
    <w:rsid w:val="41E53348"/>
    <w:rsid w:val="41E5AFD4"/>
    <w:rsid w:val="41EC8B07"/>
    <w:rsid w:val="41EF8A01"/>
    <w:rsid w:val="41EFFC9D"/>
    <w:rsid w:val="41F1E459"/>
    <w:rsid w:val="41F7B41A"/>
    <w:rsid w:val="41FD6610"/>
    <w:rsid w:val="420ACCA1"/>
    <w:rsid w:val="420CC6CA"/>
    <w:rsid w:val="420D0678"/>
    <w:rsid w:val="4211EAF3"/>
    <w:rsid w:val="4216EC96"/>
    <w:rsid w:val="421B1402"/>
    <w:rsid w:val="4223BDDD"/>
    <w:rsid w:val="4225077F"/>
    <w:rsid w:val="4228C087"/>
    <w:rsid w:val="42349FFC"/>
    <w:rsid w:val="423A360E"/>
    <w:rsid w:val="423BC5F3"/>
    <w:rsid w:val="423FB722"/>
    <w:rsid w:val="4247A49A"/>
    <w:rsid w:val="4247DEA8"/>
    <w:rsid w:val="424B6FC8"/>
    <w:rsid w:val="4259979C"/>
    <w:rsid w:val="42626C7F"/>
    <w:rsid w:val="42640BE9"/>
    <w:rsid w:val="42659A09"/>
    <w:rsid w:val="4272EFB9"/>
    <w:rsid w:val="42865FC5"/>
    <w:rsid w:val="4287EA59"/>
    <w:rsid w:val="428CD222"/>
    <w:rsid w:val="4292F6C4"/>
    <w:rsid w:val="42989611"/>
    <w:rsid w:val="42ABB904"/>
    <w:rsid w:val="42ADD451"/>
    <w:rsid w:val="42B139EF"/>
    <w:rsid w:val="42B18533"/>
    <w:rsid w:val="42B9BDB3"/>
    <w:rsid w:val="42C4C768"/>
    <w:rsid w:val="42CADCB0"/>
    <w:rsid w:val="42D4D266"/>
    <w:rsid w:val="42DEDAD9"/>
    <w:rsid w:val="42E0C224"/>
    <w:rsid w:val="42EDA7AB"/>
    <w:rsid w:val="42EEC855"/>
    <w:rsid w:val="4303CA4D"/>
    <w:rsid w:val="43056C1C"/>
    <w:rsid w:val="4308FD7F"/>
    <w:rsid w:val="431120C2"/>
    <w:rsid w:val="43114518"/>
    <w:rsid w:val="43134D67"/>
    <w:rsid w:val="431552DB"/>
    <w:rsid w:val="431F34BA"/>
    <w:rsid w:val="433723B6"/>
    <w:rsid w:val="433A76DE"/>
    <w:rsid w:val="4341BDC7"/>
    <w:rsid w:val="4344F193"/>
    <w:rsid w:val="434E526F"/>
    <w:rsid w:val="434F87BC"/>
    <w:rsid w:val="435A9469"/>
    <w:rsid w:val="435CBBA3"/>
    <w:rsid w:val="435E8187"/>
    <w:rsid w:val="4367D93B"/>
    <w:rsid w:val="436D0E8F"/>
    <w:rsid w:val="436F1F41"/>
    <w:rsid w:val="43760563"/>
    <w:rsid w:val="437764A5"/>
    <w:rsid w:val="4378C224"/>
    <w:rsid w:val="437B4DFD"/>
    <w:rsid w:val="438C3D9E"/>
    <w:rsid w:val="438CC57C"/>
    <w:rsid w:val="43971177"/>
    <w:rsid w:val="43A0CD1F"/>
    <w:rsid w:val="43A7ACBE"/>
    <w:rsid w:val="43AA090A"/>
    <w:rsid w:val="43AEB95D"/>
    <w:rsid w:val="43B2955E"/>
    <w:rsid w:val="43B584AB"/>
    <w:rsid w:val="43B6B801"/>
    <w:rsid w:val="43C77F0D"/>
    <w:rsid w:val="43CC8ECD"/>
    <w:rsid w:val="43D3E1FD"/>
    <w:rsid w:val="43E27E6C"/>
    <w:rsid w:val="43E7FFAD"/>
    <w:rsid w:val="43EAB7EE"/>
    <w:rsid w:val="43F18E20"/>
    <w:rsid w:val="43FA03E3"/>
    <w:rsid w:val="43FA95A3"/>
    <w:rsid w:val="43FF8E00"/>
    <w:rsid w:val="440251CF"/>
    <w:rsid w:val="4403214E"/>
    <w:rsid w:val="440CE269"/>
    <w:rsid w:val="440E867C"/>
    <w:rsid w:val="440F45B2"/>
    <w:rsid w:val="442453A1"/>
    <w:rsid w:val="442525A7"/>
    <w:rsid w:val="4429E467"/>
    <w:rsid w:val="442BD324"/>
    <w:rsid w:val="44316B53"/>
    <w:rsid w:val="4431E2E8"/>
    <w:rsid w:val="4434452C"/>
    <w:rsid w:val="4438B108"/>
    <w:rsid w:val="443D348D"/>
    <w:rsid w:val="444CAE3D"/>
    <w:rsid w:val="445B6C96"/>
    <w:rsid w:val="445E403E"/>
    <w:rsid w:val="446369A3"/>
    <w:rsid w:val="44640AB4"/>
    <w:rsid w:val="4467C955"/>
    <w:rsid w:val="44697FFE"/>
    <w:rsid w:val="446C8FD4"/>
    <w:rsid w:val="446CD6D1"/>
    <w:rsid w:val="446FB3C2"/>
    <w:rsid w:val="447BD0EF"/>
    <w:rsid w:val="4482875C"/>
    <w:rsid w:val="448D4E50"/>
    <w:rsid w:val="4491C915"/>
    <w:rsid w:val="44A23645"/>
    <w:rsid w:val="44A71F2F"/>
    <w:rsid w:val="44ABFD15"/>
    <w:rsid w:val="44B777FD"/>
    <w:rsid w:val="44BE33CB"/>
    <w:rsid w:val="44BF8522"/>
    <w:rsid w:val="44C05800"/>
    <w:rsid w:val="44C09E1E"/>
    <w:rsid w:val="44C10F05"/>
    <w:rsid w:val="44C9D870"/>
    <w:rsid w:val="44F0095C"/>
    <w:rsid w:val="44F11355"/>
    <w:rsid w:val="44F27E23"/>
    <w:rsid w:val="44F32E4D"/>
    <w:rsid w:val="44F729D7"/>
    <w:rsid w:val="44FB9418"/>
    <w:rsid w:val="44FCF14C"/>
    <w:rsid w:val="45006F3F"/>
    <w:rsid w:val="450AF82A"/>
    <w:rsid w:val="450B6C92"/>
    <w:rsid w:val="45159822"/>
    <w:rsid w:val="451E2580"/>
    <w:rsid w:val="45240188"/>
    <w:rsid w:val="4537D55E"/>
    <w:rsid w:val="453AD9CD"/>
    <w:rsid w:val="4545B106"/>
    <w:rsid w:val="4548434B"/>
    <w:rsid w:val="45501EF8"/>
    <w:rsid w:val="45526164"/>
    <w:rsid w:val="45546009"/>
    <w:rsid w:val="45570284"/>
    <w:rsid w:val="4561C559"/>
    <w:rsid w:val="4561C7E5"/>
    <w:rsid w:val="4567DCA8"/>
    <w:rsid w:val="4568D964"/>
    <w:rsid w:val="4569935D"/>
    <w:rsid w:val="456B313F"/>
    <w:rsid w:val="456D2D16"/>
    <w:rsid w:val="4572E200"/>
    <w:rsid w:val="4574DAD2"/>
    <w:rsid w:val="45774BD9"/>
    <w:rsid w:val="45796EEF"/>
    <w:rsid w:val="457DFA3C"/>
    <w:rsid w:val="457E565C"/>
    <w:rsid w:val="457E994F"/>
    <w:rsid w:val="457EBC1E"/>
    <w:rsid w:val="4580A885"/>
    <w:rsid w:val="4582C753"/>
    <w:rsid w:val="458654BA"/>
    <w:rsid w:val="458E8176"/>
    <w:rsid w:val="458F5BB7"/>
    <w:rsid w:val="459846FB"/>
    <w:rsid w:val="45A5B858"/>
    <w:rsid w:val="45AC649C"/>
    <w:rsid w:val="45AF038D"/>
    <w:rsid w:val="45B8D5FB"/>
    <w:rsid w:val="45BA8F2F"/>
    <w:rsid w:val="45BED36E"/>
    <w:rsid w:val="45CA6E48"/>
    <w:rsid w:val="45D22D1D"/>
    <w:rsid w:val="45D38C94"/>
    <w:rsid w:val="45D48D04"/>
    <w:rsid w:val="45DFEC63"/>
    <w:rsid w:val="45E6682B"/>
    <w:rsid w:val="45E70688"/>
    <w:rsid w:val="45EAF1CD"/>
    <w:rsid w:val="45F19EF7"/>
    <w:rsid w:val="45F30628"/>
    <w:rsid w:val="45F68491"/>
    <w:rsid w:val="45F8AADD"/>
    <w:rsid w:val="45FBD68F"/>
    <w:rsid w:val="46067EEB"/>
    <w:rsid w:val="460C3A32"/>
    <w:rsid w:val="46208B01"/>
    <w:rsid w:val="46235461"/>
    <w:rsid w:val="4629EE1D"/>
    <w:rsid w:val="462C217B"/>
    <w:rsid w:val="462F5E6A"/>
    <w:rsid w:val="4634F590"/>
    <w:rsid w:val="463D19E3"/>
    <w:rsid w:val="46440540"/>
    <w:rsid w:val="4646741C"/>
    <w:rsid w:val="465498CA"/>
    <w:rsid w:val="465C2E76"/>
    <w:rsid w:val="465D5AC9"/>
    <w:rsid w:val="46627753"/>
    <w:rsid w:val="4680620F"/>
    <w:rsid w:val="4680F283"/>
    <w:rsid w:val="4683F9AD"/>
    <w:rsid w:val="468560AC"/>
    <w:rsid w:val="4688D737"/>
    <w:rsid w:val="46A35E86"/>
    <w:rsid w:val="46A49B99"/>
    <w:rsid w:val="46B281E9"/>
    <w:rsid w:val="46CA1C18"/>
    <w:rsid w:val="46CB0B34"/>
    <w:rsid w:val="46E87245"/>
    <w:rsid w:val="46FA91F0"/>
    <w:rsid w:val="4700B32F"/>
    <w:rsid w:val="4700F458"/>
    <w:rsid w:val="471A6F66"/>
    <w:rsid w:val="471EFFAF"/>
    <w:rsid w:val="4725C360"/>
    <w:rsid w:val="472A7358"/>
    <w:rsid w:val="472BD4EF"/>
    <w:rsid w:val="473E5346"/>
    <w:rsid w:val="4759C215"/>
    <w:rsid w:val="475E42A3"/>
    <w:rsid w:val="4773B6ED"/>
    <w:rsid w:val="4774C4AD"/>
    <w:rsid w:val="4781641E"/>
    <w:rsid w:val="478253FA"/>
    <w:rsid w:val="47831939"/>
    <w:rsid w:val="4790373D"/>
    <w:rsid w:val="479757B5"/>
    <w:rsid w:val="479EC9D3"/>
    <w:rsid w:val="47A7B73F"/>
    <w:rsid w:val="47B3379F"/>
    <w:rsid w:val="47B5A26C"/>
    <w:rsid w:val="47BBCA59"/>
    <w:rsid w:val="47BD828B"/>
    <w:rsid w:val="47C17A8B"/>
    <w:rsid w:val="47C6406B"/>
    <w:rsid w:val="47C996B6"/>
    <w:rsid w:val="47D34643"/>
    <w:rsid w:val="47D35805"/>
    <w:rsid w:val="47D60506"/>
    <w:rsid w:val="47D94538"/>
    <w:rsid w:val="47E216A2"/>
    <w:rsid w:val="47E57F89"/>
    <w:rsid w:val="47E6F00E"/>
    <w:rsid w:val="47ED6DFC"/>
    <w:rsid w:val="47F058DD"/>
    <w:rsid w:val="47F0EBB0"/>
    <w:rsid w:val="47F2D92F"/>
    <w:rsid w:val="47F36813"/>
    <w:rsid w:val="47FB385C"/>
    <w:rsid w:val="47FC186F"/>
    <w:rsid w:val="48000F87"/>
    <w:rsid w:val="480A11CD"/>
    <w:rsid w:val="480E4BCA"/>
    <w:rsid w:val="48194512"/>
    <w:rsid w:val="481EB360"/>
    <w:rsid w:val="481FC0F4"/>
    <w:rsid w:val="4826F6B2"/>
    <w:rsid w:val="48279614"/>
    <w:rsid w:val="482D9218"/>
    <w:rsid w:val="48367EDC"/>
    <w:rsid w:val="4839EB49"/>
    <w:rsid w:val="4844499F"/>
    <w:rsid w:val="48466125"/>
    <w:rsid w:val="484C8BE6"/>
    <w:rsid w:val="485A8AD3"/>
    <w:rsid w:val="4862FE20"/>
    <w:rsid w:val="48636FBC"/>
    <w:rsid w:val="4866F0C4"/>
    <w:rsid w:val="486A87EB"/>
    <w:rsid w:val="487241F3"/>
    <w:rsid w:val="487251B3"/>
    <w:rsid w:val="48756B70"/>
    <w:rsid w:val="487E53C9"/>
    <w:rsid w:val="487F9491"/>
    <w:rsid w:val="48812E09"/>
    <w:rsid w:val="48835663"/>
    <w:rsid w:val="48A204A9"/>
    <w:rsid w:val="48A844EC"/>
    <w:rsid w:val="48A9DC9D"/>
    <w:rsid w:val="48AB6BC4"/>
    <w:rsid w:val="48BEFFD1"/>
    <w:rsid w:val="48C56161"/>
    <w:rsid w:val="48D684A2"/>
    <w:rsid w:val="48D75531"/>
    <w:rsid w:val="48DCCD30"/>
    <w:rsid w:val="48E07FE8"/>
    <w:rsid w:val="48EA67F3"/>
    <w:rsid w:val="48EB3E16"/>
    <w:rsid w:val="48EFBB5C"/>
    <w:rsid w:val="48FAF52D"/>
    <w:rsid w:val="4908582F"/>
    <w:rsid w:val="490E3C9A"/>
    <w:rsid w:val="492AA5D1"/>
    <w:rsid w:val="4930FD4E"/>
    <w:rsid w:val="49344956"/>
    <w:rsid w:val="493CACC2"/>
    <w:rsid w:val="493EE0F4"/>
    <w:rsid w:val="49458022"/>
    <w:rsid w:val="495507EB"/>
    <w:rsid w:val="49580B8D"/>
    <w:rsid w:val="495EABE8"/>
    <w:rsid w:val="4960321B"/>
    <w:rsid w:val="496D359C"/>
    <w:rsid w:val="4971049D"/>
    <w:rsid w:val="497123BC"/>
    <w:rsid w:val="4971C3DB"/>
    <w:rsid w:val="4971F46A"/>
    <w:rsid w:val="49732059"/>
    <w:rsid w:val="497B0912"/>
    <w:rsid w:val="4988EA68"/>
    <w:rsid w:val="499D8F65"/>
    <w:rsid w:val="499E5DE0"/>
    <w:rsid w:val="499FE3C5"/>
    <w:rsid w:val="49A0EFF8"/>
    <w:rsid w:val="49AB810A"/>
    <w:rsid w:val="49D5C660"/>
    <w:rsid w:val="49E6DAB0"/>
    <w:rsid w:val="49E88C88"/>
    <w:rsid w:val="49EAFEE9"/>
    <w:rsid w:val="49ED4871"/>
    <w:rsid w:val="49EEAF88"/>
    <w:rsid w:val="49F953AD"/>
    <w:rsid w:val="49FE8406"/>
    <w:rsid w:val="4A0687DD"/>
    <w:rsid w:val="4A0B32A7"/>
    <w:rsid w:val="4A0B4EBC"/>
    <w:rsid w:val="4A139ADF"/>
    <w:rsid w:val="4A19E8A3"/>
    <w:rsid w:val="4A26E649"/>
    <w:rsid w:val="4A2D68D2"/>
    <w:rsid w:val="4A3D2D94"/>
    <w:rsid w:val="4A42EFC2"/>
    <w:rsid w:val="4A4EA88D"/>
    <w:rsid w:val="4A50EFC3"/>
    <w:rsid w:val="4A590FE2"/>
    <w:rsid w:val="4A5A8E38"/>
    <w:rsid w:val="4A5D68C7"/>
    <w:rsid w:val="4A5E27F6"/>
    <w:rsid w:val="4A656C02"/>
    <w:rsid w:val="4A6BE624"/>
    <w:rsid w:val="4A82BAD4"/>
    <w:rsid w:val="4A85699F"/>
    <w:rsid w:val="4A8605E6"/>
    <w:rsid w:val="4A876988"/>
    <w:rsid w:val="4A885AE4"/>
    <w:rsid w:val="4A923C72"/>
    <w:rsid w:val="4A960387"/>
    <w:rsid w:val="4AAADF71"/>
    <w:rsid w:val="4AB1A2C6"/>
    <w:rsid w:val="4AB36EEB"/>
    <w:rsid w:val="4AB6B1E5"/>
    <w:rsid w:val="4ABA15FE"/>
    <w:rsid w:val="4AC7A8A1"/>
    <w:rsid w:val="4AD7FA7D"/>
    <w:rsid w:val="4AE06361"/>
    <w:rsid w:val="4AE1C503"/>
    <w:rsid w:val="4AECCE43"/>
    <w:rsid w:val="4AF1C5FD"/>
    <w:rsid w:val="4AF2C788"/>
    <w:rsid w:val="4AF43E5C"/>
    <w:rsid w:val="4B11F828"/>
    <w:rsid w:val="4B191DB2"/>
    <w:rsid w:val="4B1C33F2"/>
    <w:rsid w:val="4B2F3DAB"/>
    <w:rsid w:val="4B3A4A23"/>
    <w:rsid w:val="4B3E4504"/>
    <w:rsid w:val="4B3E91EC"/>
    <w:rsid w:val="4B3F5B5B"/>
    <w:rsid w:val="4B400BA8"/>
    <w:rsid w:val="4B4A0138"/>
    <w:rsid w:val="4B52BA8F"/>
    <w:rsid w:val="4B530FD9"/>
    <w:rsid w:val="4B531370"/>
    <w:rsid w:val="4B580F12"/>
    <w:rsid w:val="4B655EC0"/>
    <w:rsid w:val="4B6A5F9D"/>
    <w:rsid w:val="4B7D58BE"/>
    <w:rsid w:val="4B9600F7"/>
    <w:rsid w:val="4B97997C"/>
    <w:rsid w:val="4BA47134"/>
    <w:rsid w:val="4BA77CD0"/>
    <w:rsid w:val="4BAAE173"/>
    <w:rsid w:val="4BB1174D"/>
    <w:rsid w:val="4BB34020"/>
    <w:rsid w:val="4BB43CD4"/>
    <w:rsid w:val="4BB9C373"/>
    <w:rsid w:val="4BBF89F8"/>
    <w:rsid w:val="4BCCB872"/>
    <w:rsid w:val="4BD79F65"/>
    <w:rsid w:val="4BD7BC47"/>
    <w:rsid w:val="4BDA0F6A"/>
    <w:rsid w:val="4BDE2133"/>
    <w:rsid w:val="4BEA4013"/>
    <w:rsid w:val="4BEC417B"/>
    <w:rsid w:val="4BF472FD"/>
    <w:rsid w:val="4C045B5C"/>
    <w:rsid w:val="4C10963B"/>
    <w:rsid w:val="4C1DCFEE"/>
    <w:rsid w:val="4C296242"/>
    <w:rsid w:val="4C2D54FC"/>
    <w:rsid w:val="4C3AD026"/>
    <w:rsid w:val="4C3D042E"/>
    <w:rsid w:val="4C41EFA6"/>
    <w:rsid w:val="4C43DD4E"/>
    <w:rsid w:val="4C443807"/>
    <w:rsid w:val="4C4E3B84"/>
    <w:rsid w:val="4C52A55D"/>
    <w:rsid w:val="4C555D91"/>
    <w:rsid w:val="4C5B2460"/>
    <w:rsid w:val="4C5DBBE2"/>
    <w:rsid w:val="4C63793A"/>
    <w:rsid w:val="4C65CD30"/>
    <w:rsid w:val="4C65CD99"/>
    <w:rsid w:val="4C691F96"/>
    <w:rsid w:val="4C6A5009"/>
    <w:rsid w:val="4C7AEF65"/>
    <w:rsid w:val="4C833BD0"/>
    <w:rsid w:val="4C872D8F"/>
    <w:rsid w:val="4C9172B3"/>
    <w:rsid w:val="4C9C4F8A"/>
    <w:rsid w:val="4CA04698"/>
    <w:rsid w:val="4CA1815F"/>
    <w:rsid w:val="4CA8EBDA"/>
    <w:rsid w:val="4CAA8570"/>
    <w:rsid w:val="4CAB2644"/>
    <w:rsid w:val="4CAE51B7"/>
    <w:rsid w:val="4CAF85D3"/>
    <w:rsid w:val="4CB5263B"/>
    <w:rsid w:val="4CBD101C"/>
    <w:rsid w:val="4CD38941"/>
    <w:rsid w:val="4CD3E96D"/>
    <w:rsid w:val="4CD4E406"/>
    <w:rsid w:val="4CD4F676"/>
    <w:rsid w:val="4CE156A8"/>
    <w:rsid w:val="4CF04E49"/>
    <w:rsid w:val="4CF3E647"/>
    <w:rsid w:val="4CF9BC89"/>
    <w:rsid w:val="4D023BBC"/>
    <w:rsid w:val="4D05A14B"/>
    <w:rsid w:val="4D103220"/>
    <w:rsid w:val="4D158204"/>
    <w:rsid w:val="4D1789D6"/>
    <w:rsid w:val="4D1B3838"/>
    <w:rsid w:val="4D1C6DB2"/>
    <w:rsid w:val="4D1DC69F"/>
    <w:rsid w:val="4D2F3869"/>
    <w:rsid w:val="4D353D33"/>
    <w:rsid w:val="4D3B42F7"/>
    <w:rsid w:val="4D43C0DB"/>
    <w:rsid w:val="4D5BBD52"/>
    <w:rsid w:val="4D600C02"/>
    <w:rsid w:val="4D6BEF39"/>
    <w:rsid w:val="4D6FD594"/>
    <w:rsid w:val="4D7BD1C7"/>
    <w:rsid w:val="4D7F9904"/>
    <w:rsid w:val="4D894374"/>
    <w:rsid w:val="4D8CD235"/>
    <w:rsid w:val="4D8DC03B"/>
    <w:rsid w:val="4D96108F"/>
    <w:rsid w:val="4D9EBE65"/>
    <w:rsid w:val="4DA40C3D"/>
    <w:rsid w:val="4DA5FB78"/>
    <w:rsid w:val="4DAA32C4"/>
    <w:rsid w:val="4DBFA67A"/>
    <w:rsid w:val="4DC61F06"/>
    <w:rsid w:val="4DC703B2"/>
    <w:rsid w:val="4DC8A162"/>
    <w:rsid w:val="4DE40371"/>
    <w:rsid w:val="4DE9785B"/>
    <w:rsid w:val="4DEA6092"/>
    <w:rsid w:val="4DEFE83A"/>
    <w:rsid w:val="4DFB53C6"/>
    <w:rsid w:val="4DFDFA4B"/>
    <w:rsid w:val="4E04C50E"/>
    <w:rsid w:val="4E05376E"/>
    <w:rsid w:val="4E0A595F"/>
    <w:rsid w:val="4E0C6D6D"/>
    <w:rsid w:val="4E144422"/>
    <w:rsid w:val="4E1580DD"/>
    <w:rsid w:val="4E1B3297"/>
    <w:rsid w:val="4E2BF9DC"/>
    <w:rsid w:val="4E3AF92E"/>
    <w:rsid w:val="4E5933BA"/>
    <w:rsid w:val="4E60927A"/>
    <w:rsid w:val="4E6708C6"/>
    <w:rsid w:val="4E684579"/>
    <w:rsid w:val="4E7704A7"/>
    <w:rsid w:val="4E7BE7D0"/>
    <w:rsid w:val="4E808E26"/>
    <w:rsid w:val="4E83DAFB"/>
    <w:rsid w:val="4E8B2623"/>
    <w:rsid w:val="4E961D4E"/>
    <w:rsid w:val="4E9B9A62"/>
    <w:rsid w:val="4EA60BF1"/>
    <w:rsid w:val="4EA923DB"/>
    <w:rsid w:val="4EAB8E80"/>
    <w:rsid w:val="4EB6D022"/>
    <w:rsid w:val="4EB773F2"/>
    <w:rsid w:val="4EBA0400"/>
    <w:rsid w:val="4EC1F04C"/>
    <w:rsid w:val="4EC36317"/>
    <w:rsid w:val="4EC43620"/>
    <w:rsid w:val="4ECD901D"/>
    <w:rsid w:val="4EDFE653"/>
    <w:rsid w:val="4EE0DAAC"/>
    <w:rsid w:val="4EE5C816"/>
    <w:rsid w:val="4F11840A"/>
    <w:rsid w:val="4F1BA171"/>
    <w:rsid w:val="4F38FEE1"/>
    <w:rsid w:val="4F3F4526"/>
    <w:rsid w:val="4F40B66C"/>
    <w:rsid w:val="4F4F83DE"/>
    <w:rsid w:val="4F54E1AE"/>
    <w:rsid w:val="4F56D592"/>
    <w:rsid w:val="4F5D52FC"/>
    <w:rsid w:val="4F624706"/>
    <w:rsid w:val="4F674117"/>
    <w:rsid w:val="4F6A9D96"/>
    <w:rsid w:val="4F6C0B05"/>
    <w:rsid w:val="4F6C2860"/>
    <w:rsid w:val="4F715016"/>
    <w:rsid w:val="4F7B20AB"/>
    <w:rsid w:val="4F89F586"/>
    <w:rsid w:val="4F92CF4A"/>
    <w:rsid w:val="4F9AF743"/>
    <w:rsid w:val="4FA1AB84"/>
    <w:rsid w:val="4FA5A890"/>
    <w:rsid w:val="4FB9FB7C"/>
    <w:rsid w:val="4FBBE807"/>
    <w:rsid w:val="4FD2FF8C"/>
    <w:rsid w:val="4FE3ECD7"/>
    <w:rsid w:val="4FE47B37"/>
    <w:rsid w:val="4FE575CC"/>
    <w:rsid w:val="4FF380BC"/>
    <w:rsid w:val="4FF7CB65"/>
    <w:rsid w:val="501E0404"/>
    <w:rsid w:val="5025F6BB"/>
    <w:rsid w:val="50330D03"/>
    <w:rsid w:val="503932F8"/>
    <w:rsid w:val="503FAC20"/>
    <w:rsid w:val="50412B9C"/>
    <w:rsid w:val="504890EC"/>
    <w:rsid w:val="5057DF18"/>
    <w:rsid w:val="50595A99"/>
    <w:rsid w:val="506109EA"/>
    <w:rsid w:val="50657BD8"/>
    <w:rsid w:val="506CC4AA"/>
    <w:rsid w:val="50711D51"/>
    <w:rsid w:val="5079361B"/>
    <w:rsid w:val="50795DAA"/>
    <w:rsid w:val="50835047"/>
    <w:rsid w:val="509560B1"/>
    <w:rsid w:val="5096245A"/>
    <w:rsid w:val="509FF346"/>
    <w:rsid w:val="50A0AFD3"/>
    <w:rsid w:val="50B34DFF"/>
    <w:rsid w:val="50C027BD"/>
    <w:rsid w:val="50C66F73"/>
    <w:rsid w:val="50CBEE1B"/>
    <w:rsid w:val="50CCA571"/>
    <w:rsid w:val="50D5510C"/>
    <w:rsid w:val="50DE7A1E"/>
    <w:rsid w:val="50E3C20A"/>
    <w:rsid w:val="50E493A2"/>
    <w:rsid w:val="50EA9BDB"/>
    <w:rsid w:val="50EBFC3A"/>
    <w:rsid w:val="50EFF922"/>
    <w:rsid w:val="50FBCDE0"/>
    <w:rsid w:val="50FD7CDF"/>
    <w:rsid w:val="5103EDEE"/>
    <w:rsid w:val="511FC6AD"/>
    <w:rsid w:val="5121483A"/>
    <w:rsid w:val="51310EFC"/>
    <w:rsid w:val="5132D6C5"/>
    <w:rsid w:val="5138A490"/>
    <w:rsid w:val="5138B6A0"/>
    <w:rsid w:val="5143946E"/>
    <w:rsid w:val="514A5721"/>
    <w:rsid w:val="514E5DF8"/>
    <w:rsid w:val="51536774"/>
    <w:rsid w:val="5165A539"/>
    <w:rsid w:val="5167B1DA"/>
    <w:rsid w:val="516EA0FB"/>
    <w:rsid w:val="517974F7"/>
    <w:rsid w:val="517C1682"/>
    <w:rsid w:val="518A13D0"/>
    <w:rsid w:val="519D6754"/>
    <w:rsid w:val="51A48C10"/>
    <w:rsid w:val="51A4FBC0"/>
    <w:rsid w:val="51ABA95D"/>
    <w:rsid w:val="51B7DC5C"/>
    <w:rsid w:val="51B81DAD"/>
    <w:rsid w:val="51BE864A"/>
    <w:rsid w:val="51C671CA"/>
    <w:rsid w:val="51CCE837"/>
    <w:rsid w:val="51D4B898"/>
    <w:rsid w:val="51D8EDB6"/>
    <w:rsid w:val="51D9A8A6"/>
    <w:rsid w:val="51ECB092"/>
    <w:rsid w:val="51F9334E"/>
    <w:rsid w:val="5204A488"/>
    <w:rsid w:val="520A3597"/>
    <w:rsid w:val="520D9608"/>
    <w:rsid w:val="520FAA2C"/>
    <w:rsid w:val="521B7740"/>
    <w:rsid w:val="52241A8C"/>
    <w:rsid w:val="522BEA20"/>
    <w:rsid w:val="5235038B"/>
    <w:rsid w:val="5235F4FA"/>
    <w:rsid w:val="52366904"/>
    <w:rsid w:val="523CDE8B"/>
    <w:rsid w:val="5243FE72"/>
    <w:rsid w:val="52467215"/>
    <w:rsid w:val="5247C12E"/>
    <w:rsid w:val="524A3233"/>
    <w:rsid w:val="524E774B"/>
    <w:rsid w:val="52591923"/>
    <w:rsid w:val="5267E791"/>
    <w:rsid w:val="526B3A7C"/>
    <w:rsid w:val="526C47B8"/>
    <w:rsid w:val="527A77AE"/>
    <w:rsid w:val="527B7217"/>
    <w:rsid w:val="52868431"/>
    <w:rsid w:val="528B47B1"/>
    <w:rsid w:val="5292CE6E"/>
    <w:rsid w:val="529F5C40"/>
    <w:rsid w:val="52ABAE13"/>
    <w:rsid w:val="52B280C9"/>
    <w:rsid w:val="52BCED8B"/>
    <w:rsid w:val="52CF8C37"/>
    <w:rsid w:val="52D05FB9"/>
    <w:rsid w:val="52F15033"/>
    <w:rsid w:val="52F20125"/>
    <w:rsid w:val="52F21806"/>
    <w:rsid w:val="52F56CE0"/>
    <w:rsid w:val="52F7556B"/>
    <w:rsid w:val="52FF8F10"/>
    <w:rsid w:val="53000789"/>
    <w:rsid w:val="530DBCBF"/>
    <w:rsid w:val="530FE3EF"/>
    <w:rsid w:val="53172595"/>
    <w:rsid w:val="5318AF7E"/>
    <w:rsid w:val="5328F0B5"/>
    <w:rsid w:val="5329AC99"/>
    <w:rsid w:val="532FF645"/>
    <w:rsid w:val="5331A251"/>
    <w:rsid w:val="533F0EA2"/>
    <w:rsid w:val="534BDD9D"/>
    <w:rsid w:val="534E8A0A"/>
    <w:rsid w:val="5356E8AD"/>
    <w:rsid w:val="53658332"/>
    <w:rsid w:val="536A55C8"/>
    <w:rsid w:val="537A80D2"/>
    <w:rsid w:val="537C1BBF"/>
    <w:rsid w:val="53800D52"/>
    <w:rsid w:val="538080EF"/>
    <w:rsid w:val="5385CDDF"/>
    <w:rsid w:val="538E7485"/>
    <w:rsid w:val="5397AEB6"/>
    <w:rsid w:val="539C0C89"/>
    <w:rsid w:val="53A30D6D"/>
    <w:rsid w:val="53B0948C"/>
    <w:rsid w:val="53BF01F3"/>
    <w:rsid w:val="53CC348B"/>
    <w:rsid w:val="53D137BE"/>
    <w:rsid w:val="53D47798"/>
    <w:rsid w:val="53DD6331"/>
    <w:rsid w:val="53E38476"/>
    <w:rsid w:val="53F2B41E"/>
    <w:rsid w:val="53F74045"/>
    <w:rsid w:val="54090BB0"/>
    <w:rsid w:val="54162199"/>
    <w:rsid w:val="54175AAC"/>
    <w:rsid w:val="541B332C"/>
    <w:rsid w:val="541F5B55"/>
    <w:rsid w:val="54201469"/>
    <w:rsid w:val="543CD6B3"/>
    <w:rsid w:val="5446D435"/>
    <w:rsid w:val="5449998F"/>
    <w:rsid w:val="544C9502"/>
    <w:rsid w:val="5450918A"/>
    <w:rsid w:val="5453922F"/>
    <w:rsid w:val="545AA2C4"/>
    <w:rsid w:val="545BFBA8"/>
    <w:rsid w:val="545C00A0"/>
    <w:rsid w:val="5461A148"/>
    <w:rsid w:val="5464F1D7"/>
    <w:rsid w:val="54664E2D"/>
    <w:rsid w:val="546FEEC9"/>
    <w:rsid w:val="54788AC0"/>
    <w:rsid w:val="547B0B3C"/>
    <w:rsid w:val="5480151B"/>
    <w:rsid w:val="548D008A"/>
    <w:rsid w:val="548EBB86"/>
    <w:rsid w:val="548FED32"/>
    <w:rsid w:val="549D5130"/>
    <w:rsid w:val="549D870A"/>
    <w:rsid w:val="549F1201"/>
    <w:rsid w:val="549F21C9"/>
    <w:rsid w:val="54A0DC32"/>
    <w:rsid w:val="54A37255"/>
    <w:rsid w:val="54A8BF92"/>
    <w:rsid w:val="54AA8484"/>
    <w:rsid w:val="54ACFF4C"/>
    <w:rsid w:val="54AF46C4"/>
    <w:rsid w:val="54BB74C4"/>
    <w:rsid w:val="54BFB391"/>
    <w:rsid w:val="54CA5EA9"/>
    <w:rsid w:val="54D7C1BE"/>
    <w:rsid w:val="54E5559F"/>
    <w:rsid w:val="54E64303"/>
    <w:rsid w:val="54E93248"/>
    <w:rsid w:val="54F0308F"/>
    <w:rsid w:val="54F52936"/>
    <w:rsid w:val="54F5BB95"/>
    <w:rsid w:val="5520768F"/>
    <w:rsid w:val="553275C9"/>
    <w:rsid w:val="55346423"/>
    <w:rsid w:val="55390D55"/>
    <w:rsid w:val="55488675"/>
    <w:rsid w:val="554ABB99"/>
    <w:rsid w:val="554F8838"/>
    <w:rsid w:val="5550FFE0"/>
    <w:rsid w:val="5552E0FE"/>
    <w:rsid w:val="555FE236"/>
    <w:rsid w:val="556C742B"/>
    <w:rsid w:val="5574748E"/>
    <w:rsid w:val="5590D75E"/>
    <w:rsid w:val="5594096E"/>
    <w:rsid w:val="55A23408"/>
    <w:rsid w:val="55A77A37"/>
    <w:rsid w:val="55A82171"/>
    <w:rsid w:val="55AF34FD"/>
    <w:rsid w:val="55BB12FD"/>
    <w:rsid w:val="55BDB0FE"/>
    <w:rsid w:val="55BED9C5"/>
    <w:rsid w:val="55CBD4A3"/>
    <w:rsid w:val="55CF0F51"/>
    <w:rsid w:val="55CF7157"/>
    <w:rsid w:val="55D256FE"/>
    <w:rsid w:val="55DA47D2"/>
    <w:rsid w:val="55DF0B1B"/>
    <w:rsid w:val="56058DF0"/>
    <w:rsid w:val="560FC225"/>
    <w:rsid w:val="56127159"/>
    <w:rsid w:val="561AD19F"/>
    <w:rsid w:val="561B7CAF"/>
    <w:rsid w:val="56295351"/>
    <w:rsid w:val="562CCB78"/>
    <w:rsid w:val="562CD401"/>
    <w:rsid w:val="5631830B"/>
    <w:rsid w:val="56324D6B"/>
    <w:rsid w:val="563963BA"/>
    <w:rsid w:val="563D7881"/>
    <w:rsid w:val="56419239"/>
    <w:rsid w:val="5653A5EA"/>
    <w:rsid w:val="565C0788"/>
    <w:rsid w:val="5660EC8C"/>
    <w:rsid w:val="566CCFB9"/>
    <w:rsid w:val="566F0B91"/>
    <w:rsid w:val="5678C957"/>
    <w:rsid w:val="567B38FF"/>
    <w:rsid w:val="5683E210"/>
    <w:rsid w:val="56845A09"/>
    <w:rsid w:val="56882A84"/>
    <w:rsid w:val="569ACA3D"/>
    <w:rsid w:val="56AA2DB6"/>
    <w:rsid w:val="56B44E12"/>
    <w:rsid w:val="56B5467A"/>
    <w:rsid w:val="56B8A722"/>
    <w:rsid w:val="56BD38AB"/>
    <w:rsid w:val="56C8F5E7"/>
    <w:rsid w:val="56D796F2"/>
    <w:rsid w:val="56D8E31A"/>
    <w:rsid w:val="56E307B3"/>
    <w:rsid w:val="56E75A85"/>
    <w:rsid w:val="56E7BCF0"/>
    <w:rsid w:val="56ECAFA7"/>
    <w:rsid w:val="56F07CAC"/>
    <w:rsid w:val="56F74920"/>
    <w:rsid w:val="570227A9"/>
    <w:rsid w:val="57051BBC"/>
    <w:rsid w:val="57127505"/>
    <w:rsid w:val="571A3CA4"/>
    <w:rsid w:val="571A4EC1"/>
    <w:rsid w:val="573D6D0A"/>
    <w:rsid w:val="57442FAD"/>
    <w:rsid w:val="574E9289"/>
    <w:rsid w:val="5755CDDC"/>
    <w:rsid w:val="57564FFD"/>
    <w:rsid w:val="57567255"/>
    <w:rsid w:val="5758C21E"/>
    <w:rsid w:val="575E0CB9"/>
    <w:rsid w:val="575FBAB9"/>
    <w:rsid w:val="5762B8D2"/>
    <w:rsid w:val="57634401"/>
    <w:rsid w:val="57642774"/>
    <w:rsid w:val="57655D68"/>
    <w:rsid w:val="5769F0E5"/>
    <w:rsid w:val="5783ADB3"/>
    <w:rsid w:val="57882F6C"/>
    <w:rsid w:val="578F0C47"/>
    <w:rsid w:val="57A58383"/>
    <w:rsid w:val="57A58C3D"/>
    <w:rsid w:val="57A6F956"/>
    <w:rsid w:val="57AB8649"/>
    <w:rsid w:val="57B0299F"/>
    <w:rsid w:val="57B02C65"/>
    <w:rsid w:val="57B3D33C"/>
    <w:rsid w:val="57B93DAD"/>
    <w:rsid w:val="57C08DE6"/>
    <w:rsid w:val="57C27FCC"/>
    <w:rsid w:val="57C45809"/>
    <w:rsid w:val="57D87C03"/>
    <w:rsid w:val="57DAD569"/>
    <w:rsid w:val="5802786C"/>
    <w:rsid w:val="580BB458"/>
    <w:rsid w:val="5810B737"/>
    <w:rsid w:val="582165CC"/>
    <w:rsid w:val="5830A0F6"/>
    <w:rsid w:val="5836E9B8"/>
    <w:rsid w:val="5843E073"/>
    <w:rsid w:val="58475881"/>
    <w:rsid w:val="5847B3B5"/>
    <w:rsid w:val="585762C2"/>
    <w:rsid w:val="58588137"/>
    <w:rsid w:val="58726F06"/>
    <w:rsid w:val="5877281E"/>
    <w:rsid w:val="58897766"/>
    <w:rsid w:val="589142A3"/>
    <w:rsid w:val="5895D1E2"/>
    <w:rsid w:val="58A0AB58"/>
    <w:rsid w:val="58B2A5BA"/>
    <w:rsid w:val="58B366B5"/>
    <w:rsid w:val="58BCF6B0"/>
    <w:rsid w:val="58C26938"/>
    <w:rsid w:val="58D013AA"/>
    <w:rsid w:val="58DA4E39"/>
    <w:rsid w:val="58DC5A31"/>
    <w:rsid w:val="58E5B454"/>
    <w:rsid w:val="58F3C978"/>
    <w:rsid w:val="58FA4F64"/>
    <w:rsid w:val="590379AB"/>
    <w:rsid w:val="5905F15D"/>
    <w:rsid w:val="5908FB18"/>
    <w:rsid w:val="590D1559"/>
    <w:rsid w:val="5917186A"/>
    <w:rsid w:val="591C11D6"/>
    <w:rsid w:val="591EA19A"/>
    <w:rsid w:val="5922C3E1"/>
    <w:rsid w:val="5928B673"/>
    <w:rsid w:val="592CD3AA"/>
    <w:rsid w:val="5937F37C"/>
    <w:rsid w:val="593CB49F"/>
    <w:rsid w:val="59401544"/>
    <w:rsid w:val="59451E6D"/>
    <w:rsid w:val="595323AF"/>
    <w:rsid w:val="5955DBED"/>
    <w:rsid w:val="5956F30F"/>
    <w:rsid w:val="595BCCA3"/>
    <w:rsid w:val="595CF588"/>
    <w:rsid w:val="5964433A"/>
    <w:rsid w:val="5969F27B"/>
    <w:rsid w:val="59744C64"/>
    <w:rsid w:val="5976519E"/>
    <w:rsid w:val="597BF9DB"/>
    <w:rsid w:val="5981CB21"/>
    <w:rsid w:val="5991523D"/>
    <w:rsid w:val="5992192C"/>
    <w:rsid w:val="59950251"/>
    <w:rsid w:val="59A99B1E"/>
    <w:rsid w:val="59AFB50E"/>
    <w:rsid w:val="59B7A147"/>
    <w:rsid w:val="59B7C3F7"/>
    <w:rsid w:val="59BB60DD"/>
    <w:rsid w:val="59BB8D80"/>
    <w:rsid w:val="59C696F1"/>
    <w:rsid w:val="59C79667"/>
    <w:rsid w:val="59CDE316"/>
    <w:rsid w:val="59D100EF"/>
    <w:rsid w:val="59D6E3EA"/>
    <w:rsid w:val="59E4C7D3"/>
    <w:rsid w:val="59E91C20"/>
    <w:rsid w:val="59EDC4C2"/>
    <w:rsid w:val="59EFAD6A"/>
    <w:rsid w:val="59EFBE27"/>
    <w:rsid w:val="59F0EBE5"/>
    <w:rsid w:val="59F4A34B"/>
    <w:rsid w:val="59F7DBB1"/>
    <w:rsid w:val="59FCB396"/>
    <w:rsid w:val="5A01B7E2"/>
    <w:rsid w:val="5A0927FB"/>
    <w:rsid w:val="5A0C7FE6"/>
    <w:rsid w:val="5A182A29"/>
    <w:rsid w:val="5A1DB254"/>
    <w:rsid w:val="5A1F9E3A"/>
    <w:rsid w:val="5A2456AC"/>
    <w:rsid w:val="5A29F120"/>
    <w:rsid w:val="5A2D0F25"/>
    <w:rsid w:val="5A2F2840"/>
    <w:rsid w:val="5A38343A"/>
    <w:rsid w:val="5A386A77"/>
    <w:rsid w:val="5A3CF443"/>
    <w:rsid w:val="5A47A237"/>
    <w:rsid w:val="5A49F12A"/>
    <w:rsid w:val="5A5D7DFC"/>
    <w:rsid w:val="5A61F46A"/>
    <w:rsid w:val="5A62A432"/>
    <w:rsid w:val="5A678641"/>
    <w:rsid w:val="5A67D31C"/>
    <w:rsid w:val="5A685831"/>
    <w:rsid w:val="5A68736E"/>
    <w:rsid w:val="5A6E119E"/>
    <w:rsid w:val="5A740371"/>
    <w:rsid w:val="5A76C26A"/>
    <w:rsid w:val="5A7A91C6"/>
    <w:rsid w:val="5A7E0D88"/>
    <w:rsid w:val="5A7E7690"/>
    <w:rsid w:val="5A94D9DF"/>
    <w:rsid w:val="5AA34051"/>
    <w:rsid w:val="5AA48028"/>
    <w:rsid w:val="5AAA2E2A"/>
    <w:rsid w:val="5AAB6997"/>
    <w:rsid w:val="5AB2C638"/>
    <w:rsid w:val="5AB90D51"/>
    <w:rsid w:val="5AC1EB5F"/>
    <w:rsid w:val="5AD5CA75"/>
    <w:rsid w:val="5ADB89DB"/>
    <w:rsid w:val="5ADF2DA6"/>
    <w:rsid w:val="5AE2279B"/>
    <w:rsid w:val="5AE308D0"/>
    <w:rsid w:val="5AEDB071"/>
    <w:rsid w:val="5AF475CB"/>
    <w:rsid w:val="5AF54B64"/>
    <w:rsid w:val="5AFA9BED"/>
    <w:rsid w:val="5B026247"/>
    <w:rsid w:val="5B038688"/>
    <w:rsid w:val="5B0FFA1C"/>
    <w:rsid w:val="5B19C77E"/>
    <w:rsid w:val="5B1A20C0"/>
    <w:rsid w:val="5B1AD380"/>
    <w:rsid w:val="5B1E0B7D"/>
    <w:rsid w:val="5B1E202A"/>
    <w:rsid w:val="5B2AA676"/>
    <w:rsid w:val="5B32514C"/>
    <w:rsid w:val="5B3ADB05"/>
    <w:rsid w:val="5B3C82AD"/>
    <w:rsid w:val="5B3E0DDD"/>
    <w:rsid w:val="5B435733"/>
    <w:rsid w:val="5B456486"/>
    <w:rsid w:val="5B5F7A93"/>
    <w:rsid w:val="5B62A768"/>
    <w:rsid w:val="5B742949"/>
    <w:rsid w:val="5B748151"/>
    <w:rsid w:val="5B754D89"/>
    <w:rsid w:val="5B80582C"/>
    <w:rsid w:val="5B8975EF"/>
    <w:rsid w:val="5B8A8CD1"/>
    <w:rsid w:val="5B8A8E84"/>
    <w:rsid w:val="5B9A5588"/>
    <w:rsid w:val="5BA40191"/>
    <w:rsid w:val="5BA8D20E"/>
    <w:rsid w:val="5BAEBEC5"/>
    <w:rsid w:val="5BBB7834"/>
    <w:rsid w:val="5BBCF7A1"/>
    <w:rsid w:val="5BBDF97B"/>
    <w:rsid w:val="5BC29E45"/>
    <w:rsid w:val="5BC57E46"/>
    <w:rsid w:val="5BD1E0D3"/>
    <w:rsid w:val="5BD3EAB5"/>
    <w:rsid w:val="5BE5CAC0"/>
    <w:rsid w:val="5BEAC6F5"/>
    <w:rsid w:val="5BFAE123"/>
    <w:rsid w:val="5BFCC0EB"/>
    <w:rsid w:val="5C06E0D5"/>
    <w:rsid w:val="5C08E96D"/>
    <w:rsid w:val="5C0B5A0E"/>
    <w:rsid w:val="5C0F50B0"/>
    <w:rsid w:val="5C0F7642"/>
    <w:rsid w:val="5C16BBBB"/>
    <w:rsid w:val="5C2019CC"/>
    <w:rsid w:val="5C241E6C"/>
    <w:rsid w:val="5C26BD63"/>
    <w:rsid w:val="5C32C508"/>
    <w:rsid w:val="5C35DB46"/>
    <w:rsid w:val="5C36E3F9"/>
    <w:rsid w:val="5C4087A3"/>
    <w:rsid w:val="5C558B8C"/>
    <w:rsid w:val="5C61DA20"/>
    <w:rsid w:val="5C669A4F"/>
    <w:rsid w:val="5C671011"/>
    <w:rsid w:val="5C6D1F03"/>
    <w:rsid w:val="5C6F0581"/>
    <w:rsid w:val="5C71967A"/>
    <w:rsid w:val="5C784EA9"/>
    <w:rsid w:val="5C79B2C0"/>
    <w:rsid w:val="5C7DF16A"/>
    <w:rsid w:val="5C806EC3"/>
    <w:rsid w:val="5C936012"/>
    <w:rsid w:val="5C95A32F"/>
    <w:rsid w:val="5C999E61"/>
    <w:rsid w:val="5C9C2B55"/>
    <w:rsid w:val="5CA6D5E4"/>
    <w:rsid w:val="5CA79F5F"/>
    <w:rsid w:val="5CB0AB56"/>
    <w:rsid w:val="5CB21C4F"/>
    <w:rsid w:val="5CB7B2E2"/>
    <w:rsid w:val="5CC2F80D"/>
    <w:rsid w:val="5CC51058"/>
    <w:rsid w:val="5CDCAAF7"/>
    <w:rsid w:val="5CDF8004"/>
    <w:rsid w:val="5CE4438B"/>
    <w:rsid w:val="5CE47D5A"/>
    <w:rsid w:val="5CEAF2FE"/>
    <w:rsid w:val="5CEDCC0C"/>
    <w:rsid w:val="5CEF8B74"/>
    <w:rsid w:val="5CF4BE7B"/>
    <w:rsid w:val="5CF519AB"/>
    <w:rsid w:val="5CFC899F"/>
    <w:rsid w:val="5CFDDD9F"/>
    <w:rsid w:val="5D09A039"/>
    <w:rsid w:val="5D13CE0E"/>
    <w:rsid w:val="5D221A67"/>
    <w:rsid w:val="5D34EDF1"/>
    <w:rsid w:val="5D356AAC"/>
    <w:rsid w:val="5D387C95"/>
    <w:rsid w:val="5D464F14"/>
    <w:rsid w:val="5D481F3B"/>
    <w:rsid w:val="5D4A9A97"/>
    <w:rsid w:val="5D4DC32D"/>
    <w:rsid w:val="5D5077F8"/>
    <w:rsid w:val="5D518DA8"/>
    <w:rsid w:val="5D521C16"/>
    <w:rsid w:val="5D55C085"/>
    <w:rsid w:val="5D5B78D0"/>
    <w:rsid w:val="5D6701DC"/>
    <w:rsid w:val="5D67E85D"/>
    <w:rsid w:val="5D697CE3"/>
    <w:rsid w:val="5D7A0A08"/>
    <w:rsid w:val="5D7E6828"/>
    <w:rsid w:val="5D814C7F"/>
    <w:rsid w:val="5D844301"/>
    <w:rsid w:val="5D87227C"/>
    <w:rsid w:val="5D929CC3"/>
    <w:rsid w:val="5D9D9879"/>
    <w:rsid w:val="5DB159D1"/>
    <w:rsid w:val="5DB15FF7"/>
    <w:rsid w:val="5DB61752"/>
    <w:rsid w:val="5DB7DAE9"/>
    <w:rsid w:val="5DBF00F7"/>
    <w:rsid w:val="5DC4F44B"/>
    <w:rsid w:val="5DED17DD"/>
    <w:rsid w:val="5DF0F957"/>
    <w:rsid w:val="5DF18B45"/>
    <w:rsid w:val="5DF33636"/>
    <w:rsid w:val="5DF68F81"/>
    <w:rsid w:val="5DF6ADCA"/>
    <w:rsid w:val="5DFA585A"/>
    <w:rsid w:val="5DFD5F04"/>
    <w:rsid w:val="5E10C196"/>
    <w:rsid w:val="5E12323F"/>
    <w:rsid w:val="5E170504"/>
    <w:rsid w:val="5E26D23B"/>
    <w:rsid w:val="5E28ACDF"/>
    <w:rsid w:val="5E2953C3"/>
    <w:rsid w:val="5E2F4E89"/>
    <w:rsid w:val="5E496FEB"/>
    <w:rsid w:val="5E4A1E8C"/>
    <w:rsid w:val="5E4EE862"/>
    <w:rsid w:val="5E512E1B"/>
    <w:rsid w:val="5E566323"/>
    <w:rsid w:val="5E5BC008"/>
    <w:rsid w:val="5E61FEA0"/>
    <w:rsid w:val="5E639F11"/>
    <w:rsid w:val="5E6597A2"/>
    <w:rsid w:val="5E6C545A"/>
    <w:rsid w:val="5E74920D"/>
    <w:rsid w:val="5E79CB27"/>
    <w:rsid w:val="5E7A91D5"/>
    <w:rsid w:val="5E7E5F7B"/>
    <w:rsid w:val="5E8E165B"/>
    <w:rsid w:val="5E950BF2"/>
    <w:rsid w:val="5EA049AC"/>
    <w:rsid w:val="5EA24D35"/>
    <w:rsid w:val="5EBF44DD"/>
    <w:rsid w:val="5EC176F2"/>
    <w:rsid w:val="5EC17FEA"/>
    <w:rsid w:val="5EC44298"/>
    <w:rsid w:val="5EC666E3"/>
    <w:rsid w:val="5EC741D9"/>
    <w:rsid w:val="5ECAAE24"/>
    <w:rsid w:val="5ECE1A06"/>
    <w:rsid w:val="5ED3AAC1"/>
    <w:rsid w:val="5EDB916E"/>
    <w:rsid w:val="5EDE6825"/>
    <w:rsid w:val="5EE46161"/>
    <w:rsid w:val="5EEA6743"/>
    <w:rsid w:val="5EEF7A52"/>
    <w:rsid w:val="5EF713D3"/>
    <w:rsid w:val="5F46BEA7"/>
    <w:rsid w:val="5F488437"/>
    <w:rsid w:val="5F4DA9C2"/>
    <w:rsid w:val="5F526D90"/>
    <w:rsid w:val="5F53A9F7"/>
    <w:rsid w:val="5F637A0A"/>
    <w:rsid w:val="5F652FD2"/>
    <w:rsid w:val="5F695C82"/>
    <w:rsid w:val="5F75995C"/>
    <w:rsid w:val="5F819953"/>
    <w:rsid w:val="5F84A584"/>
    <w:rsid w:val="5F879CA8"/>
    <w:rsid w:val="5F8A3018"/>
    <w:rsid w:val="5F8E00AB"/>
    <w:rsid w:val="5F99F0E7"/>
    <w:rsid w:val="5F9D06B1"/>
    <w:rsid w:val="5F9D6A4E"/>
    <w:rsid w:val="5FA1E80A"/>
    <w:rsid w:val="5FA40381"/>
    <w:rsid w:val="5FB0C3C4"/>
    <w:rsid w:val="5FB2B5DB"/>
    <w:rsid w:val="5FB4448D"/>
    <w:rsid w:val="5FB45CF7"/>
    <w:rsid w:val="5FB878F4"/>
    <w:rsid w:val="5FC94D5E"/>
    <w:rsid w:val="5FCE0E7B"/>
    <w:rsid w:val="5FD6997F"/>
    <w:rsid w:val="5FE371E2"/>
    <w:rsid w:val="5FEC13F9"/>
    <w:rsid w:val="5FEDC331"/>
    <w:rsid w:val="5FEEB74E"/>
    <w:rsid w:val="5FEFB116"/>
    <w:rsid w:val="5FF141F8"/>
    <w:rsid w:val="5FFECF97"/>
    <w:rsid w:val="5FFF4636"/>
    <w:rsid w:val="6005A36A"/>
    <w:rsid w:val="600F72CD"/>
    <w:rsid w:val="60128DB4"/>
    <w:rsid w:val="6012F221"/>
    <w:rsid w:val="601392D2"/>
    <w:rsid w:val="601D0189"/>
    <w:rsid w:val="60362657"/>
    <w:rsid w:val="60369046"/>
    <w:rsid w:val="60382FD1"/>
    <w:rsid w:val="60409577"/>
    <w:rsid w:val="60449F4E"/>
    <w:rsid w:val="6053441C"/>
    <w:rsid w:val="6055FC2E"/>
    <w:rsid w:val="60578C25"/>
    <w:rsid w:val="605C9755"/>
    <w:rsid w:val="60605705"/>
    <w:rsid w:val="6061CB23"/>
    <w:rsid w:val="6062AB33"/>
    <w:rsid w:val="6068B0A8"/>
    <w:rsid w:val="60725358"/>
    <w:rsid w:val="6075914F"/>
    <w:rsid w:val="607A2F5D"/>
    <w:rsid w:val="607DED3F"/>
    <w:rsid w:val="607F0AA9"/>
    <w:rsid w:val="608BF457"/>
    <w:rsid w:val="6095E112"/>
    <w:rsid w:val="6097777B"/>
    <w:rsid w:val="60B13221"/>
    <w:rsid w:val="60B7E9A6"/>
    <w:rsid w:val="60C30F70"/>
    <w:rsid w:val="60DE98FF"/>
    <w:rsid w:val="60E521EE"/>
    <w:rsid w:val="60E85953"/>
    <w:rsid w:val="60E95500"/>
    <w:rsid w:val="60EA5F3F"/>
    <w:rsid w:val="60EAFDA9"/>
    <w:rsid w:val="60F5CDA8"/>
    <w:rsid w:val="61036EE4"/>
    <w:rsid w:val="61085A10"/>
    <w:rsid w:val="61184EAC"/>
    <w:rsid w:val="61206598"/>
    <w:rsid w:val="613220C0"/>
    <w:rsid w:val="613A4C9B"/>
    <w:rsid w:val="613C846A"/>
    <w:rsid w:val="613CF61F"/>
    <w:rsid w:val="61401A21"/>
    <w:rsid w:val="61590FCE"/>
    <w:rsid w:val="6175C2D1"/>
    <w:rsid w:val="6184DA22"/>
    <w:rsid w:val="6190650E"/>
    <w:rsid w:val="6194098E"/>
    <w:rsid w:val="61A09358"/>
    <w:rsid w:val="61AFDF66"/>
    <w:rsid w:val="61B163B0"/>
    <w:rsid w:val="61C806ED"/>
    <w:rsid w:val="61D710D3"/>
    <w:rsid w:val="61DF2C00"/>
    <w:rsid w:val="61E125A7"/>
    <w:rsid w:val="61E75649"/>
    <w:rsid w:val="61ECECB9"/>
    <w:rsid w:val="61F3CF8C"/>
    <w:rsid w:val="61FB703D"/>
    <w:rsid w:val="620BD9FC"/>
    <w:rsid w:val="620F66FD"/>
    <w:rsid w:val="6220C76B"/>
    <w:rsid w:val="6226D55D"/>
    <w:rsid w:val="622A2C8D"/>
    <w:rsid w:val="622D1F46"/>
    <w:rsid w:val="622D2EA6"/>
    <w:rsid w:val="62344861"/>
    <w:rsid w:val="6234CF1C"/>
    <w:rsid w:val="6235341C"/>
    <w:rsid w:val="624642F1"/>
    <w:rsid w:val="62483B64"/>
    <w:rsid w:val="62496C0F"/>
    <w:rsid w:val="624AB852"/>
    <w:rsid w:val="624BAD06"/>
    <w:rsid w:val="624C7F50"/>
    <w:rsid w:val="624E1E09"/>
    <w:rsid w:val="624E40B7"/>
    <w:rsid w:val="6255743F"/>
    <w:rsid w:val="62568D4F"/>
    <w:rsid w:val="6257B34B"/>
    <w:rsid w:val="625FA039"/>
    <w:rsid w:val="6260E678"/>
    <w:rsid w:val="62654832"/>
    <w:rsid w:val="626BE4A6"/>
    <w:rsid w:val="626EA58B"/>
    <w:rsid w:val="626F597C"/>
    <w:rsid w:val="6272527B"/>
    <w:rsid w:val="6273E199"/>
    <w:rsid w:val="627C95E5"/>
    <w:rsid w:val="62819109"/>
    <w:rsid w:val="628330EA"/>
    <w:rsid w:val="62864D5E"/>
    <w:rsid w:val="62A16E5C"/>
    <w:rsid w:val="62A90A65"/>
    <w:rsid w:val="62AC8117"/>
    <w:rsid w:val="62B25905"/>
    <w:rsid w:val="62B992B0"/>
    <w:rsid w:val="62C09D17"/>
    <w:rsid w:val="62C5AD12"/>
    <w:rsid w:val="62CE6571"/>
    <w:rsid w:val="62D1261E"/>
    <w:rsid w:val="62D60AE6"/>
    <w:rsid w:val="62DB13D6"/>
    <w:rsid w:val="62DCAD55"/>
    <w:rsid w:val="62E5DF80"/>
    <w:rsid w:val="62EDED77"/>
    <w:rsid w:val="62EF1F62"/>
    <w:rsid w:val="62F07649"/>
    <w:rsid w:val="62F8F825"/>
    <w:rsid w:val="6306D529"/>
    <w:rsid w:val="63089457"/>
    <w:rsid w:val="630FDA32"/>
    <w:rsid w:val="63128552"/>
    <w:rsid w:val="6312CFF4"/>
    <w:rsid w:val="6316324D"/>
    <w:rsid w:val="63193A65"/>
    <w:rsid w:val="631CA83F"/>
    <w:rsid w:val="63203D62"/>
    <w:rsid w:val="632216BC"/>
    <w:rsid w:val="63267383"/>
    <w:rsid w:val="632FF3F3"/>
    <w:rsid w:val="63303593"/>
    <w:rsid w:val="6335AEE1"/>
    <w:rsid w:val="633ADBA8"/>
    <w:rsid w:val="634A96A6"/>
    <w:rsid w:val="6352DDC6"/>
    <w:rsid w:val="6353603F"/>
    <w:rsid w:val="635957F6"/>
    <w:rsid w:val="635DF7BC"/>
    <w:rsid w:val="6363C8F9"/>
    <w:rsid w:val="636680EB"/>
    <w:rsid w:val="6374E3AF"/>
    <w:rsid w:val="63878032"/>
    <w:rsid w:val="638A2FAC"/>
    <w:rsid w:val="638C291A"/>
    <w:rsid w:val="638F07DF"/>
    <w:rsid w:val="6395FCB0"/>
    <w:rsid w:val="63A6F237"/>
    <w:rsid w:val="63B03411"/>
    <w:rsid w:val="63B239E5"/>
    <w:rsid w:val="63BB4804"/>
    <w:rsid w:val="63BDEFA3"/>
    <w:rsid w:val="63C21E18"/>
    <w:rsid w:val="63D4411A"/>
    <w:rsid w:val="63DC89EE"/>
    <w:rsid w:val="63DD68FE"/>
    <w:rsid w:val="63E808AC"/>
    <w:rsid w:val="63EDC0C8"/>
    <w:rsid w:val="63EE3EB5"/>
    <w:rsid w:val="63F12400"/>
    <w:rsid w:val="64106DDC"/>
    <w:rsid w:val="64141C0E"/>
    <w:rsid w:val="641E9696"/>
    <w:rsid w:val="64207D97"/>
    <w:rsid w:val="6428D7B5"/>
    <w:rsid w:val="642C2D71"/>
    <w:rsid w:val="642EB930"/>
    <w:rsid w:val="642FFCED"/>
    <w:rsid w:val="64388273"/>
    <w:rsid w:val="643A123E"/>
    <w:rsid w:val="64422E29"/>
    <w:rsid w:val="64492374"/>
    <w:rsid w:val="64541EEC"/>
    <w:rsid w:val="64568087"/>
    <w:rsid w:val="645781F6"/>
    <w:rsid w:val="6459B5E1"/>
    <w:rsid w:val="645D55C5"/>
    <w:rsid w:val="645D96F6"/>
    <w:rsid w:val="64793AF1"/>
    <w:rsid w:val="647BACC4"/>
    <w:rsid w:val="64801B48"/>
    <w:rsid w:val="64B23C0C"/>
    <w:rsid w:val="64B522E0"/>
    <w:rsid w:val="64B6123D"/>
    <w:rsid w:val="64BA9F50"/>
    <w:rsid w:val="64BE4F80"/>
    <w:rsid w:val="64C35BBA"/>
    <w:rsid w:val="64C6E589"/>
    <w:rsid w:val="64C963AC"/>
    <w:rsid w:val="64D7D8E8"/>
    <w:rsid w:val="64DEAC65"/>
    <w:rsid w:val="64E38284"/>
    <w:rsid w:val="64E48B6B"/>
    <w:rsid w:val="64E6226D"/>
    <w:rsid w:val="64ED55C7"/>
    <w:rsid w:val="64FE1E6F"/>
    <w:rsid w:val="64FF0B2D"/>
    <w:rsid w:val="650066F6"/>
    <w:rsid w:val="650C65C6"/>
    <w:rsid w:val="650E9F62"/>
    <w:rsid w:val="650FD6FA"/>
    <w:rsid w:val="6517674F"/>
    <w:rsid w:val="65183C1C"/>
    <w:rsid w:val="651CA921"/>
    <w:rsid w:val="6526B4A0"/>
    <w:rsid w:val="652AA71E"/>
    <w:rsid w:val="6530971A"/>
    <w:rsid w:val="6532380B"/>
    <w:rsid w:val="6534BB44"/>
    <w:rsid w:val="653C6426"/>
    <w:rsid w:val="653CFBAF"/>
    <w:rsid w:val="6547814B"/>
    <w:rsid w:val="65484D8D"/>
    <w:rsid w:val="654F7F96"/>
    <w:rsid w:val="655E3322"/>
    <w:rsid w:val="6560EB4F"/>
    <w:rsid w:val="65678B7C"/>
    <w:rsid w:val="656C2DBB"/>
    <w:rsid w:val="65703ED2"/>
    <w:rsid w:val="657E0B85"/>
    <w:rsid w:val="657ED09F"/>
    <w:rsid w:val="6581D13C"/>
    <w:rsid w:val="65821AE0"/>
    <w:rsid w:val="6589BFBA"/>
    <w:rsid w:val="659AA1EE"/>
    <w:rsid w:val="659B58D2"/>
    <w:rsid w:val="659DA115"/>
    <w:rsid w:val="659E8F8A"/>
    <w:rsid w:val="65A271DA"/>
    <w:rsid w:val="65AA3CA7"/>
    <w:rsid w:val="65B10108"/>
    <w:rsid w:val="65B27228"/>
    <w:rsid w:val="65B35BFD"/>
    <w:rsid w:val="65B42C91"/>
    <w:rsid w:val="65B798DC"/>
    <w:rsid w:val="65BE3844"/>
    <w:rsid w:val="65C1A73B"/>
    <w:rsid w:val="65C58504"/>
    <w:rsid w:val="65C90BC9"/>
    <w:rsid w:val="65D6A1B7"/>
    <w:rsid w:val="65E11447"/>
    <w:rsid w:val="65FA919B"/>
    <w:rsid w:val="66011805"/>
    <w:rsid w:val="6614AB95"/>
    <w:rsid w:val="661B34FB"/>
    <w:rsid w:val="66209189"/>
    <w:rsid w:val="662212C9"/>
    <w:rsid w:val="662E3110"/>
    <w:rsid w:val="66323D16"/>
    <w:rsid w:val="663C9332"/>
    <w:rsid w:val="663FCCDD"/>
    <w:rsid w:val="664B839D"/>
    <w:rsid w:val="6655A166"/>
    <w:rsid w:val="6658F7BF"/>
    <w:rsid w:val="665CA79F"/>
    <w:rsid w:val="665D15A6"/>
    <w:rsid w:val="666C3CDF"/>
    <w:rsid w:val="666C4FC5"/>
    <w:rsid w:val="666CF7BD"/>
    <w:rsid w:val="666DE6D2"/>
    <w:rsid w:val="66700A61"/>
    <w:rsid w:val="66703415"/>
    <w:rsid w:val="6678461A"/>
    <w:rsid w:val="667A8995"/>
    <w:rsid w:val="667DF3C8"/>
    <w:rsid w:val="667F8E99"/>
    <w:rsid w:val="6684F7FD"/>
    <w:rsid w:val="66882D5D"/>
    <w:rsid w:val="6695D384"/>
    <w:rsid w:val="6698F457"/>
    <w:rsid w:val="66A11DC1"/>
    <w:rsid w:val="66A3DDA9"/>
    <w:rsid w:val="66A51051"/>
    <w:rsid w:val="66A8FC28"/>
    <w:rsid w:val="66AB5ABF"/>
    <w:rsid w:val="66ACCF68"/>
    <w:rsid w:val="66B45DE7"/>
    <w:rsid w:val="66B94EC3"/>
    <w:rsid w:val="66BE26D4"/>
    <w:rsid w:val="66C0E004"/>
    <w:rsid w:val="66C24294"/>
    <w:rsid w:val="66C336C1"/>
    <w:rsid w:val="66C3DD8C"/>
    <w:rsid w:val="66C49483"/>
    <w:rsid w:val="66C764ED"/>
    <w:rsid w:val="66CA8EC7"/>
    <w:rsid w:val="66DEBD27"/>
    <w:rsid w:val="66DED811"/>
    <w:rsid w:val="66E39F42"/>
    <w:rsid w:val="66EEED1E"/>
    <w:rsid w:val="66F16333"/>
    <w:rsid w:val="66F523DF"/>
    <w:rsid w:val="66FDD367"/>
    <w:rsid w:val="67018C26"/>
    <w:rsid w:val="670A85BB"/>
    <w:rsid w:val="6716CE9C"/>
    <w:rsid w:val="6716D55D"/>
    <w:rsid w:val="67199BF6"/>
    <w:rsid w:val="67205D42"/>
    <w:rsid w:val="67264D86"/>
    <w:rsid w:val="672D308B"/>
    <w:rsid w:val="672DD662"/>
    <w:rsid w:val="672FB2B2"/>
    <w:rsid w:val="6741A47D"/>
    <w:rsid w:val="67475806"/>
    <w:rsid w:val="674B1B4D"/>
    <w:rsid w:val="6756399B"/>
    <w:rsid w:val="676EBDC2"/>
    <w:rsid w:val="676FC901"/>
    <w:rsid w:val="677170D4"/>
    <w:rsid w:val="6778E3B9"/>
    <w:rsid w:val="677FC50C"/>
    <w:rsid w:val="67819AD1"/>
    <w:rsid w:val="6781BB69"/>
    <w:rsid w:val="6781F9DB"/>
    <w:rsid w:val="67915520"/>
    <w:rsid w:val="67980028"/>
    <w:rsid w:val="67988063"/>
    <w:rsid w:val="679D8A3F"/>
    <w:rsid w:val="679E24A4"/>
    <w:rsid w:val="67A18A07"/>
    <w:rsid w:val="67A2524B"/>
    <w:rsid w:val="67A953DE"/>
    <w:rsid w:val="67AF8450"/>
    <w:rsid w:val="67BF94BF"/>
    <w:rsid w:val="67BFF889"/>
    <w:rsid w:val="67C31357"/>
    <w:rsid w:val="67C5216D"/>
    <w:rsid w:val="67C7EAEE"/>
    <w:rsid w:val="67E4A747"/>
    <w:rsid w:val="6802777C"/>
    <w:rsid w:val="680B232A"/>
    <w:rsid w:val="680DFA91"/>
    <w:rsid w:val="6811BBC0"/>
    <w:rsid w:val="6811DA82"/>
    <w:rsid w:val="68124F79"/>
    <w:rsid w:val="68185E85"/>
    <w:rsid w:val="68191F05"/>
    <w:rsid w:val="681C4278"/>
    <w:rsid w:val="68208A13"/>
    <w:rsid w:val="6820BFB8"/>
    <w:rsid w:val="68216450"/>
    <w:rsid w:val="6826908F"/>
    <w:rsid w:val="68346C2F"/>
    <w:rsid w:val="6843B416"/>
    <w:rsid w:val="68462FD8"/>
    <w:rsid w:val="6849D756"/>
    <w:rsid w:val="68517BE0"/>
    <w:rsid w:val="6854F4AB"/>
    <w:rsid w:val="6857CC31"/>
    <w:rsid w:val="685E3C23"/>
    <w:rsid w:val="68675871"/>
    <w:rsid w:val="6873DB5F"/>
    <w:rsid w:val="687665C8"/>
    <w:rsid w:val="6877C3D2"/>
    <w:rsid w:val="687CDA94"/>
    <w:rsid w:val="688DC94A"/>
    <w:rsid w:val="689D4FC1"/>
    <w:rsid w:val="68A85544"/>
    <w:rsid w:val="68B0BAB4"/>
    <w:rsid w:val="68B16511"/>
    <w:rsid w:val="68B3E858"/>
    <w:rsid w:val="68B78B3E"/>
    <w:rsid w:val="68B89C71"/>
    <w:rsid w:val="68C58BB7"/>
    <w:rsid w:val="68CBD73B"/>
    <w:rsid w:val="68CC093B"/>
    <w:rsid w:val="68CCCF39"/>
    <w:rsid w:val="68CE46A1"/>
    <w:rsid w:val="68D7558E"/>
    <w:rsid w:val="68DADC79"/>
    <w:rsid w:val="68DC1755"/>
    <w:rsid w:val="68E4EB90"/>
    <w:rsid w:val="68E59740"/>
    <w:rsid w:val="68E83C2E"/>
    <w:rsid w:val="68F45B25"/>
    <w:rsid w:val="6902B926"/>
    <w:rsid w:val="690357C3"/>
    <w:rsid w:val="69048BF4"/>
    <w:rsid w:val="69067AFD"/>
    <w:rsid w:val="690EC40E"/>
    <w:rsid w:val="691009EC"/>
    <w:rsid w:val="691A9800"/>
    <w:rsid w:val="691E04E7"/>
    <w:rsid w:val="691E27E6"/>
    <w:rsid w:val="691FF33E"/>
    <w:rsid w:val="6929FF73"/>
    <w:rsid w:val="692C357A"/>
    <w:rsid w:val="692D1145"/>
    <w:rsid w:val="69318B22"/>
    <w:rsid w:val="693C752D"/>
    <w:rsid w:val="694853F3"/>
    <w:rsid w:val="69527803"/>
    <w:rsid w:val="6953316E"/>
    <w:rsid w:val="69570F96"/>
    <w:rsid w:val="6959EED9"/>
    <w:rsid w:val="695C1A96"/>
    <w:rsid w:val="69693263"/>
    <w:rsid w:val="6970E2D2"/>
    <w:rsid w:val="697ED739"/>
    <w:rsid w:val="69865D5C"/>
    <w:rsid w:val="698788BB"/>
    <w:rsid w:val="699243D5"/>
    <w:rsid w:val="699F12CB"/>
    <w:rsid w:val="69A2050F"/>
    <w:rsid w:val="69A4CCFB"/>
    <w:rsid w:val="69A63728"/>
    <w:rsid w:val="69ADB452"/>
    <w:rsid w:val="69B391C0"/>
    <w:rsid w:val="69B524B3"/>
    <w:rsid w:val="69BAF052"/>
    <w:rsid w:val="69BC0B38"/>
    <w:rsid w:val="69C83903"/>
    <w:rsid w:val="69D54BCF"/>
    <w:rsid w:val="69D865C0"/>
    <w:rsid w:val="69DFC2B2"/>
    <w:rsid w:val="69E10D23"/>
    <w:rsid w:val="69ED7FBD"/>
    <w:rsid w:val="69FA7B8A"/>
    <w:rsid w:val="6A059A1D"/>
    <w:rsid w:val="6A10AA97"/>
    <w:rsid w:val="6A204317"/>
    <w:rsid w:val="6A2532AA"/>
    <w:rsid w:val="6A288506"/>
    <w:rsid w:val="6A28ED94"/>
    <w:rsid w:val="6A2B8F54"/>
    <w:rsid w:val="6A378358"/>
    <w:rsid w:val="6A3DDDC1"/>
    <w:rsid w:val="6A3DF3CE"/>
    <w:rsid w:val="6A461AF7"/>
    <w:rsid w:val="6A4DA4B2"/>
    <w:rsid w:val="6A53A0CF"/>
    <w:rsid w:val="6A545DB1"/>
    <w:rsid w:val="6A6CEE32"/>
    <w:rsid w:val="6A6CF054"/>
    <w:rsid w:val="6A720D15"/>
    <w:rsid w:val="6A7357B9"/>
    <w:rsid w:val="6A738631"/>
    <w:rsid w:val="6A7D8E81"/>
    <w:rsid w:val="6A7E683B"/>
    <w:rsid w:val="6A7F3671"/>
    <w:rsid w:val="6A836EEB"/>
    <w:rsid w:val="6A842C2C"/>
    <w:rsid w:val="6A950403"/>
    <w:rsid w:val="6AA8BFBC"/>
    <w:rsid w:val="6AAD108B"/>
    <w:rsid w:val="6AAE3E3A"/>
    <w:rsid w:val="6AB234B2"/>
    <w:rsid w:val="6AB5B55A"/>
    <w:rsid w:val="6AB80555"/>
    <w:rsid w:val="6AB9B828"/>
    <w:rsid w:val="6ABA6EEA"/>
    <w:rsid w:val="6ABCE1FA"/>
    <w:rsid w:val="6AC5CDB9"/>
    <w:rsid w:val="6ACED6CE"/>
    <w:rsid w:val="6AE31455"/>
    <w:rsid w:val="6AE64F6B"/>
    <w:rsid w:val="6AEFFAB9"/>
    <w:rsid w:val="6AF6A5AC"/>
    <w:rsid w:val="6B051525"/>
    <w:rsid w:val="6B0D9CD8"/>
    <w:rsid w:val="6B0E9B83"/>
    <w:rsid w:val="6B16D55E"/>
    <w:rsid w:val="6B228FD9"/>
    <w:rsid w:val="6B23E95A"/>
    <w:rsid w:val="6B3110AB"/>
    <w:rsid w:val="6B3F50AE"/>
    <w:rsid w:val="6B445A99"/>
    <w:rsid w:val="6B44BBD0"/>
    <w:rsid w:val="6B4AF248"/>
    <w:rsid w:val="6B5ADCB8"/>
    <w:rsid w:val="6B5AF16D"/>
    <w:rsid w:val="6B5D81A2"/>
    <w:rsid w:val="6B5E1B95"/>
    <w:rsid w:val="6B62D741"/>
    <w:rsid w:val="6B7EEEC5"/>
    <w:rsid w:val="6B8427E8"/>
    <w:rsid w:val="6B89E54B"/>
    <w:rsid w:val="6B8D9F04"/>
    <w:rsid w:val="6B8E2AFB"/>
    <w:rsid w:val="6B91DC6C"/>
    <w:rsid w:val="6B93C27F"/>
    <w:rsid w:val="6B966105"/>
    <w:rsid w:val="6B98BCFD"/>
    <w:rsid w:val="6BA253B3"/>
    <w:rsid w:val="6BA93F45"/>
    <w:rsid w:val="6BB23F2C"/>
    <w:rsid w:val="6BB60781"/>
    <w:rsid w:val="6BCDA769"/>
    <w:rsid w:val="6BEB4899"/>
    <w:rsid w:val="6BF46DE5"/>
    <w:rsid w:val="6BF48E9F"/>
    <w:rsid w:val="6BF4B3AD"/>
    <w:rsid w:val="6C00CDB4"/>
    <w:rsid w:val="6C0A7195"/>
    <w:rsid w:val="6C1E6D2F"/>
    <w:rsid w:val="6C2E1CE2"/>
    <w:rsid w:val="6C2F3730"/>
    <w:rsid w:val="6C33387D"/>
    <w:rsid w:val="6C4435B5"/>
    <w:rsid w:val="6C569AAF"/>
    <w:rsid w:val="6C57F159"/>
    <w:rsid w:val="6C59DB9C"/>
    <w:rsid w:val="6C6D0974"/>
    <w:rsid w:val="6C75387B"/>
    <w:rsid w:val="6C76A172"/>
    <w:rsid w:val="6C79304F"/>
    <w:rsid w:val="6C79E2EC"/>
    <w:rsid w:val="6C7DC471"/>
    <w:rsid w:val="6C7FF4B5"/>
    <w:rsid w:val="6C818F98"/>
    <w:rsid w:val="6C85FDC5"/>
    <w:rsid w:val="6C878572"/>
    <w:rsid w:val="6C900408"/>
    <w:rsid w:val="6C97EFE1"/>
    <w:rsid w:val="6C9B67A3"/>
    <w:rsid w:val="6CA0F436"/>
    <w:rsid w:val="6CA2D4EC"/>
    <w:rsid w:val="6CA3BF99"/>
    <w:rsid w:val="6CB921F7"/>
    <w:rsid w:val="6CC2DED2"/>
    <w:rsid w:val="6CC56DF9"/>
    <w:rsid w:val="6CC96E78"/>
    <w:rsid w:val="6CCBBC25"/>
    <w:rsid w:val="6CE5803C"/>
    <w:rsid w:val="6CE9CFAF"/>
    <w:rsid w:val="6CEE828D"/>
    <w:rsid w:val="6CF41794"/>
    <w:rsid w:val="6CFEF073"/>
    <w:rsid w:val="6D0143F8"/>
    <w:rsid w:val="6D0AD67D"/>
    <w:rsid w:val="6D162137"/>
    <w:rsid w:val="6D17BB9E"/>
    <w:rsid w:val="6D1C851E"/>
    <w:rsid w:val="6D4382C3"/>
    <w:rsid w:val="6D4DC4B2"/>
    <w:rsid w:val="6D4F12F2"/>
    <w:rsid w:val="6D643D93"/>
    <w:rsid w:val="6D644DD8"/>
    <w:rsid w:val="6D649FCE"/>
    <w:rsid w:val="6D752A7C"/>
    <w:rsid w:val="6D78958E"/>
    <w:rsid w:val="6D7C8D0B"/>
    <w:rsid w:val="6D866553"/>
    <w:rsid w:val="6D897EF3"/>
    <w:rsid w:val="6D89F40A"/>
    <w:rsid w:val="6D96CD12"/>
    <w:rsid w:val="6DA1511E"/>
    <w:rsid w:val="6DAAD432"/>
    <w:rsid w:val="6DAF5CFE"/>
    <w:rsid w:val="6DBBC347"/>
    <w:rsid w:val="6DBDA54D"/>
    <w:rsid w:val="6DCBF617"/>
    <w:rsid w:val="6DCEA113"/>
    <w:rsid w:val="6DD13775"/>
    <w:rsid w:val="6DDAE47E"/>
    <w:rsid w:val="6DDD85BB"/>
    <w:rsid w:val="6DDEE5B6"/>
    <w:rsid w:val="6DE99379"/>
    <w:rsid w:val="6DEE574B"/>
    <w:rsid w:val="6DF8A27A"/>
    <w:rsid w:val="6DFB9ECB"/>
    <w:rsid w:val="6DFDCB3F"/>
    <w:rsid w:val="6E061EE9"/>
    <w:rsid w:val="6E0A5A36"/>
    <w:rsid w:val="6E170BE3"/>
    <w:rsid w:val="6E1F5D66"/>
    <w:rsid w:val="6E22E603"/>
    <w:rsid w:val="6E26734E"/>
    <w:rsid w:val="6E2AF554"/>
    <w:rsid w:val="6E3029D5"/>
    <w:rsid w:val="6E456985"/>
    <w:rsid w:val="6E46ED39"/>
    <w:rsid w:val="6E4ED580"/>
    <w:rsid w:val="6E56F1E1"/>
    <w:rsid w:val="6E5F0574"/>
    <w:rsid w:val="6E635E92"/>
    <w:rsid w:val="6E6586E0"/>
    <w:rsid w:val="6E65BE5F"/>
    <w:rsid w:val="6E65C37D"/>
    <w:rsid w:val="6E670890"/>
    <w:rsid w:val="6E708696"/>
    <w:rsid w:val="6E7321E5"/>
    <w:rsid w:val="6E756E33"/>
    <w:rsid w:val="6E76562D"/>
    <w:rsid w:val="6E79124C"/>
    <w:rsid w:val="6E7CF53D"/>
    <w:rsid w:val="6E88FEAD"/>
    <w:rsid w:val="6E8EF641"/>
    <w:rsid w:val="6EA9B4BD"/>
    <w:rsid w:val="6EB308A8"/>
    <w:rsid w:val="6EB42ADD"/>
    <w:rsid w:val="6EB85A89"/>
    <w:rsid w:val="6EBCAA47"/>
    <w:rsid w:val="6EBDD22E"/>
    <w:rsid w:val="6ECF7EC8"/>
    <w:rsid w:val="6ED1687D"/>
    <w:rsid w:val="6EDA68E4"/>
    <w:rsid w:val="6EDBF7AE"/>
    <w:rsid w:val="6EE4B596"/>
    <w:rsid w:val="6EFDAF45"/>
    <w:rsid w:val="6F0B8D6B"/>
    <w:rsid w:val="6F0CE6AE"/>
    <w:rsid w:val="6F16FF1A"/>
    <w:rsid w:val="6F191962"/>
    <w:rsid w:val="6F1CA2C0"/>
    <w:rsid w:val="6F295399"/>
    <w:rsid w:val="6F2D968C"/>
    <w:rsid w:val="6F379D46"/>
    <w:rsid w:val="6F40935F"/>
    <w:rsid w:val="6F40966E"/>
    <w:rsid w:val="6F40CD2F"/>
    <w:rsid w:val="6F542780"/>
    <w:rsid w:val="6F5757AA"/>
    <w:rsid w:val="6F5FAAB7"/>
    <w:rsid w:val="6F61D241"/>
    <w:rsid w:val="6F64656C"/>
    <w:rsid w:val="6F65A3DC"/>
    <w:rsid w:val="6F66B8A8"/>
    <w:rsid w:val="6F705195"/>
    <w:rsid w:val="6F71B0D5"/>
    <w:rsid w:val="6F74A160"/>
    <w:rsid w:val="6F7E3AE1"/>
    <w:rsid w:val="6F85BA21"/>
    <w:rsid w:val="6F8C5F1C"/>
    <w:rsid w:val="6F943B91"/>
    <w:rsid w:val="6F9DF061"/>
    <w:rsid w:val="6F9E4D20"/>
    <w:rsid w:val="6FAC34E7"/>
    <w:rsid w:val="6FAC956F"/>
    <w:rsid w:val="6FB3A529"/>
    <w:rsid w:val="6FBAC6F0"/>
    <w:rsid w:val="6FBAE135"/>
    <w:rsid w:val="6FBCAD99"/>
    <w:rsid w:val="6FBE523B"/>
    <w:rsid w:val="6FCC3094"/>
    <w:rsid w:val="6FD4853F"/>
    <w:rsid w:val="6FD655C5"/>
    <w:rsid w:val="6FDA4B48"/>
    <w:rsid w:val="6FDD242B"/>
    <w:rsid w:val="6FDDEC7E"/>
    <w:rsid w:val="6FE198F4"/>
    <w:rsid w:val="6FEF7CF7"/>
    <w:rsid w:val="70069182"/>
    <w:rsid w:val="70210DA1"/>
    <w:rsid w:val="7021CD02"/>
    <w:rsid w:val="70252E03"/>
    <w:rsid w:val="7025F384"/>
    <w:rsid w:val="7028BA55"/>
    <w:rsid w:val="702E8361"/>
    <w:rsid w:val="7032DB18"/>
    <w:rsid w:val="70357473"/>
    <w:rsid w:val="7038E888"/>
    <w:rsid w:val="703BFC7F"/>
    <w:rsid w:val="703CF704"/>
    <w:rsid w:val="703FEC8E"/>
    <w:rsid w:val="7057D3DF"/>
    <w:rsid w:val="705E6F54"/>
    <w:rsid w:val="706C211D"/>
    <w:rsid w:val="7073B4CF"/>
    <w:rsid w:val="707E9BCE"/>
    <w:rsid w:val="7081778F"/>
    <w:rsid w:val="70924138"/>
    <w:rsid w:val="7096F84F"/>
    <w:rsid w:val="70973BED"/>
    <w:rsid w:val="709C64AC"/>
    <w:rsid w:val="709F2DEB"/>
    <w:rsid w:val="70AB25EC"/>
    <w:rsid w:val="70AC4047"/>
    <w:rsid w:val="70B130BC"/>
    <w:rsid w:val="70BA18D5"/>
    <w:rsid w:val="70C6C8FB"/>
    <w:rsid w:val="70CF38D5"/>
    <w:rsid w:val="70D07C4F"/>
    <w:rsid w:val="70D44AED"/>
    <w:rsid w:val="70DEC601"/>
    <w:rsid w:val="70EAAFDD"/>
    <w:rsid w:val="70FB4D54"/>
    <w:rsid w:val="70FBA498"/>
    <w:rsid w:val="70FBB4DF"/>
    <w:rsid w:val="710AC8CC"/>
    <w:rsid w:val="7121C379"/>
    <w:rsid w:val="7128E61F"/>
    <w:rsid w:val="712A4AF9"/>
    <w:rsid w:val="713F1072"/>
    <w:rsid w:val="7146FBC8"/>
    <w:rsid w:val="714E91EB"/>
    <w:rsid w:val="714FA11A"/>
    <w:rsid w:val="716A2C7A"/>
    <w:rsid w:val="71818A7D"/>
    <w:rsid w:val="7181EBBD"/>
    <w:rsid w:val="7197AB5F"/>
    <w:rsid w:val="71A0A950"/>
    <w:rsid w:val="71A5B891"/>
    <w:rsid w:val="71A8FA84"/>
    <w:rsid w:val="71AAAE5E"/>
    <w:rsid w:val="71ABC437"/>
    <w:rsid w:val="71ADA94A"/>
    <w:rsid w:val="71B4AB1E"/>
    <w:rsid w:val="71B8AB00"/>
    <w:rsid w:val="71BBE7E6"/>
    <w:rsid w:val="71BD0E96"/>
    <w:rsid w:val="71CADED3"/>
    <w:rsid w:val="71D54176"/>
    <w:rsid w:val="71E201E6"/>
    <w:rsid w:val="71E84AF4"/>
    <w:rsid w:val="71ED3909"/>
    <w:rsid w:val="71EF350B"/>
    <w:rsid w:val="71F31334"/>
    <w:rsid w:val="71F42630"/>
    <w:rsid w:val="71F6C601"/>
    <w:rsid w:val="7219A540"/>
    <w:rsid w:val="7226BACD"/>
    <w:rsid w:val="722D8381"/>
    <w:rsid w:val="722FEF70"/>
    <w:rsid w:val="72318571"/>
    <w:rsid w:val="7234E6FA"/>
    <w:rsid w:val="723593B4"/>
    <w:rsid w:val="723A5FA8"/>
    <w:rsid w:val="724A22BB"/>
    <w:rsid w:val="724AA84C"/>
    <w:rsid w:val="725FF52D"/>
    <w:rsid w:val="7264013C"/>
    <w:rsid w:val="726484D7"/>
    <w:rsid w:val="726D5F45"/>
    <w:rsid w:val="726E207F"/>
    <w:rsid w:val="727C3E59"/>
    <w:rsid w:val="727EF166"/>
    <w:rsid w:val="729440D5"/>
    <w:rsid w:val="72991880"/>
    <w:rsid w:val="729E6233"/>
    <w:rsid w:val="72B264A3"/>
    <w:rsid w:val="72B39435"/>
    <w:rsid w:val="72BEFAA0"/>
    <w:rsid w:val="72C0D4CE"/>
    <w:rsid w:val="72C92948"/>
    <w:rsid w:val="72CC0F30"/>
    <w:rsid w:val="72DD57DF"/>
    <w:rsid w:val="72E0A71F"/>
    <w:rsid w:val="72E37BD5"/>
    <w:rsid w:val="72E3F820"/>
    <w:rsid w:val="7302C006"/>
    <w:rsid w:val="730388E5"/>
    <w:rsid w:val="73048A70"/>
    <w:rsid w:val="7305907C"/>
    <w:rsid w:val="73192516"/>
    <w:rsid w:val="7319BC8E"/>
    <w:rsid w:val="731B9F3A"/>
    <w:rsid w:val="731D4C64"/>
    <w:rsid w:val="7324F1D4"/>
    <w:rsid w:val="732ABAF3"/>
    <w:rsid w:val="732B282F"/>
    <w:rsid w:val="73394209"/>
    <w:rsid w:val="733CECD5"/>
    <w:rsid w:val="733E9DEA"/>
    <w:rsid w:val="7347BAA8"/>
    <w:rsid w:val="7352DEA7"/>
    <w:rsid w:val="735A8B2F"/>
    <w:rsid w:val="735B64D6"/>
    <w:rsid w:val="73686B6A"/>
    <w:rsid w:val="7373F5CB"/>
    <w:rsid w:val="73754A43"/>
    <w:rsid w:val="7377AFCB"/>
    <w:rsid w:val="737B0536"/>
    <w:rsid w:val="737E9660"/>
    <w:rsid w:val="73813D3F"/>
    <w:rsid w:val="7383BD68"/>
    <w:rsid w:val="738B540C"/>
    <w:rsid w:val="7391D129"/>
    <w:rsid w:val="739F4A56"/>
    <w:rsid w:val="73A875F8"/>
    <w:rsid w:val="73AD364F"/>
    <w:rsid w:val="73AF31DD"/>
    <w:rsid w:val="73B51A79"/>
    <w:rsid w:val="73BB9733"/>
    <w:rsid w:val="73C0E6AB"/>
    <w:rsid w:val="73C1F9FB"/>
    <w:rsid w:val="73C381EE"/>
    <w:rsid w:val="73C7E384"/>
    <w:rsid w:val="73C91372"/>
    <w:rsid w:val="73CD7E71"/>
    <w:rsid w:val="73CF0742"/>
    <w:rsid w:val="73D0DA70"/>
    <w:rsid w:val="73D17FEC"/>
    <w:rsid w:val="73D4A193"/>
    <w:rsid w:val="73DC4F69"/>
    <w:rsid w:val="73E388D7"/>
    <w:rsid w:val="73ED4247"/>
    <w:rsid w:val="73FBDE17"/>
    <w:rsid w:val="73FF1FBC"/>
    <w:rsid w:val="74075149"/>
    <w:rsid w:val="74083ABE"/>
    <w:rsid w:val="7409DF14"/>
    <w:rsid w:val="7412F255"/>
    <w:rsid w:val="74132A89"/>
    <w:rsid w:val="7415B1D3"/>
    <w:rsid w:val="741BF72F"/>
    <w:rsid w:val="741BFED9"/>
    <w:rsid w:val="741C93EB"/>
    <w:rsid w:val="74356CAB"/>
    <w:rsid w:val="7439E019"/>
    <w:rsid w:val="744557CC"/>
    <w:rsid w:val="744DE970"/>
    <w:rsid w:val="744F3BB8"/>
    <w:rsid w:val="74562C7F"/>
    <w:rsid w:val="746122B1"/>
    <w:rsid w:val="7471B3AD"/>
    <w:rsid w:val="747BFEE0"/>
    <w:rsid w:val="748DED2C"/>
    <w:rsid w:val="749B6C35"/>
    <w:rsid w:val="749E07D4"/>
    <w:rsid w:val="74A8961F"/>
    <w:rsid w:val="74B09A33"/>
    <w:rsid w:val="74B93749"/>
    <w:rsid w:val="74BBE7FE"/>
    <w:rsid w:val="74BD2DBD"/>
    <w:rsid w:val="74C0624E"/>
    <w:rsid w:val="74C0AE9D"/>
    <w:rsid w:val="74C5459E"/>
    <w:rsid w:val="74CB51F9"/>
    <w:rsid w:val="74CD6E5B"/>
    <w:rsid w:val="74CDC856"/>
    <w:rsid w:val="74D49C2C"/>
    <w:rsid w:val="74E1038D"/>
    <w:rsid w:val="74EB24AD"/>
    <w:rsid w:val="74F180AD"/>
    <w:rsid w:val="75002702"/>
    <w:rsid w:val="7502E4C0"/>
    <w:rsid w:val="750B3FBE"/>
    <w:rsid w:val="750D1EFE"/>
    <w:rsid w:val="750E5784"/>
    <w:rsid w:val="75124CDD"/>
    <w:rsid w:val="752563AC"/>
    <w:rsid w:val="752E5F3C"/>
    <w:rsid w:val="7534E6D4"/>
    <w:rsid w:val="75464ACB"/>
    <w:rsid w:val="754FD59B"/>
    <w:rsid w:val="7552FA00"/>
    <w:rsid w:val="755EA6DC"/>
    <w:rsid w:val="75620118"/>
    <w:rsid w:val="75655C2A"/>
    <w:rsid w:val="756C45A1"/>
    <w:rsid w:val="7576AD81"/>
    <w:rsid w:val="7576F4F3"/>
    <w:rsid w:val="757B26F0"/>
    <w:rsid w:val="757EC98D"/>
    <w:rsid w:val="757F0ADD"/>
    <w:rsid w:val="7581834C"/>
    <w:rsid w:val="75835BC5"/>
    <w:rsid w:val="7588F58D"/>
    <w:rsid w:val="7589A125"/>
    <w:rsid w:val="758F7FAB"/>
    <w:rsid w:val="759ABFC6"/>
    <w:rsid w:val="75A083FC"/>
    <w:rsid w:val="75AC348F"/>
    <w:rsid w:val="75BEC6B5"/>
    <w:rsid w:val="75C71316"/>
    <w:rsid w:val="75CFB7BD"/>
    <w:rsid w:val="75D66DDE"/>
    <w:rsid w:val="75D6C266"/>
    <w:rsid w:val="75DE4CA0"/>
    <w:rsid w:val="75E6FB06"/>
    <w:rsid w:val="75E919C1"/>
    <w:rsid w:val="75E96D52"/>
    <w:rsid w:val="75E9D384"/>
    <w:rsid w:val="75F30CB4"/>
    <w:rsid w:val="76004AF4"/>
    <w:rsid w:val="7600D628"/>
    <w:rsid w:val="760FB946"/>
    <w:rsid w:val="761431E3"/>
    <w:rsid w:val="76190B75"/>
    <w:rsid w:val="7619B178"/>
    <w:rsid w:val="7633B224"/>
    <w:rsid w:val="7634E10A"/>
    <w:rsid w:val="7654387D"/>
    <w:rsid w:val="76560AEC"/>
    <w:rsid w:val="7662A3B8"/>
    <w:rsid w:val="766EE059"/>
    <w:rsid w:val="7678EC2D"/>
    <w:rsid w:val="76804441"/>
    <w:rsid w:val="76824D91"/>
    <w:rsid w:val="7685568A"/>
    <w:rsid w:val="768C72F5"/>
    <w:rsid w:val="768FF8AF"/>
    <w:rsid w:val="76936A19"/>
    <w:rsid w:val="7694479E"/>
    <w:rsid w:val="769523DF"/>
    <w:rsid w:val="7695CB8A"/>
    <w:rsid w:val="76ABAB8E"/>
    <w:rsid w:val="76AD838D"/>
    <w:rsid w:val="76B4110F"/>
    <w:rsid w:val="76BA2E7A"/>
    <w:rsid w:val="76CAAF93"/>
    <w:rsid w:val="76CB2B7C"/>
    <w:rsid w:val="76D25B0E"/>
    <w:rsid w:val="76D6D087"/>
    <w:rsid w:val="76D740BB"/>
    <w:rsid w:val="76DA7774"/>
    <w:rsid w:val="76DC5285"/>
    <w:rsid w:val="76E47B45"/>
    <w:rsid w:val="76EB1EBE"/>
    <w:rsid w:val="76F393F4"/>
    <w:rsid w:val="77016662"/>
    <w:rsid w:val="770763A1"/>
    <w:rsid w:val="77124E3C"/>
    <w:rsid w:val="771B38AB"/>
    <w:rsid w:val="77238DC5"/>
    <w:rsid w:val="772743F8"/>
    <w:rsid w:val="772CEE68"/>
    <w:rsid w:val="773A2B79"/>
    <w:rsid w:val="773CBE91"/>
    <w:rsid w:val="774313ED"/>
    <w:rsid w:val="77446769"/>
    <w:rsid w:val="77447484"/>
    <w:rsid w:val="7745B1BF"/>
    <w:rsid w:val="77487833"/>
    <w:rsid w:val="77689FAA"/>
    <w:rsid w:val="7778D693"/>
    <w:rsid w:val="777D5241"/>
    <w:rsid w:val="77880645"/>
    <w:rsid w:val="77880847"/>
    <w:rsid w:val="778BACE7"/>
    <w:rsid w:val="778F1FD4"/>
    <w:rsid w:val="778FA11B"/>
    <w:rsid w:val="7797B35E"/>
    <w:rsid w:val="779EA5A4"/>
    <w:rsid w:val="77A6102C"/>
    <w:rsid w:val="77ADD31B"/>
    <w:rsid w:val="77AF2F4B"/>
    <w:rsid w:val="77B2E9B2"/>
    <w:rsid w:val="77B39C66"/>
    <w:rsid w:val="77B7EDB2"/>
    <w:rsid w:val="77B9FFB1"/>
    <w:rsid w:val="77BDAFE4"/>
    <w:rsid w:val="77BF58C6"/>
    <w:rsid w:val="77D6A811"/>
    <w:rsid w:val="77E2AB82"/>
    <w:rsid w:val="77E8F3AE"/>
    <w:rsid w:val="77F323BA"/>
    <w:rsid w:val="77F4F8CF"/>
    <w:rsid w:val="78062E2C"/>
    <w:rsid w:val="780B862A"/>
    <w:rsid w:val="780D4FCB"/>
    <w:rsid w:val="780FF302"/>
    <w:rsid w:val="7814BC6C"/>
    <w:rsid w:val="7816FA16"/>
    <w:rsid w:val="7817D681"/>
    <w:rsid w:val="78387C1F"/>
    <w:rsid w:val="7840CFDA"/>
    <w:rsid w:val="78439B72"/>
    <w:rsid w:val="784F9A8C"/>
    <w:rsid w:val="786BD40A"/>
    <w:rsid w:val="7870DDCC"/>
    <w:rsid w:val="788D9E69"/>
    <w:rsid w:val="78AFFB30"/>
    <w:rsid w:val="78B9A495"/>
    <w:rsid w:val="78BC7845"/>
    <w:rsid w:val="78BEFE29"/>
    <w:rsid w:val="78C19E5B"/>
    <w:rsid w:val="78C393A5"/>
    <w:rsid w:val="78C6FB9D"/>
    <w:rsid w:val="78C71E99"/>
    <w:rsid w:val="78C76F3A"/>
    <w:rsid w:val="78D5E8A3"/>
    <w:rsid w:val="78E32624"/>
    <w:rsid w:val="78E504EA"/>
    <w:rsid w:val="78E8A5B4"/>
    <w:rsid w:val="78EDC34F"/>
    <w:rsid w:val="7901BBE0"/>
    <w:rsid w:val="7904BDD8"/>
    <w:rsid w:val="79092AF7"/>
    <w:rsid w:val="790BCE84"/>
    <w:rsid w:val="790CDF5F"/>
    <w:rsid w:val="7913FEB6"/>
    <w:rsid w:val="791A4120"/>
    <w:rsid w:val="791B91CE"/>
    <w:rsid w:val="791D52F5"/>
    <w:rsid w:val="79282422"/>
    <w:rsid w:val="792B487F"/>
    <w:rsid w:val="792C5514"/>
    <w:rsid w:val="79304D88"/>
    <w:rsid w:val="79382D41"/>
    <w:rsid w:val="79439F12"/>
    <w:rsid w:val="7946F0AC"/>
    <w:rsid w:val="79503741"/>
    <w:rsid w:val="7953BE13"/>
    <w:rsid w:val="7953D5A7"/>
    <w:rsid w:val="796FEE64"/>
    <w:rsid w:val="79927B9A"/>
    <w:rsid w:val="79A3431F"/>
    <w:rsid w:val="79A988B3"/>
    <w:rsid w:val="79AEA78C"/>
    <w:rsid w:val="79B8A47A"/>
    <w:rsid w:val="79C5AB6A"/>
    <w:rsid w:val="79CC6EAF"/>
    <w:rsid w:val="79CE68AE"/>
    <w:rsid w:val="79D107D7"/>
    <w:rsid w:val="79D8EC05"/>
    <w:rsid w:val="79E40007"/>
    <w:rsid w:val="79E6D60F"/>
    <w:rsid w:val="79E8DA36"/>
    <w:rsid w:val="79F2FE74"/>
    <w:rsid w:val="79FA154E"/>
    <w:rsid w:val="7A08D09F"/>
    <w:rsid w:val="7A0F451A"/>
    <w:rsid w:val="7A11A116"/>
    <w:rsid w:val="7A25FC7A"/>
    <w:rsid w:val="7A316976"/>
    <w:rsid w:val="7A3293B0"/>
    <w:rsid w:val="7A3B9E27"/>
    <w:rsid w:val="7A407E69"/>
    <w:rsid w:val="7A47CF63"/>
    <w:rsid w:val="7A4FC141"/>
    <w:rsid w:val="7A5572BC"/>
    <w:rsid w:val="7A59C700"/>
    <w:rsid w:val="7A5A5250"/>
    <w:rsid w:val="7A64D5A1"/>
    <w:rsid w:val="7A67F62D"/>
    <w:rsid w:val="7A73C0AC"/>
    <w:rsid w:val="7A7F7A14"/>
    <w:rsid w:val="7A83566F"/>
    <w:rsid w:val="7A83AC0B"/>
    <w:rsid w:val="7A8AADE0"/>
    <w:rsid w:val="7A9531A8"/>
    <w:rsid w:val="7A95BB8F"/>
    <w:rsid w:val="7A95DB27"/>
    <w:rsid w:val="7A95F817"/>
    <w:rsid w:val="7A971178"/>
    <w:rsid w:val="7A9911B0"/>
    <w:rsid w:val="7A9BBE01"/>
    <w:rsid w:val="7A9DD0B5"/>
    <w:rsid w:val="7A9DFB83"/>
    <w:rsid w:val="7A9F3E74"/>
    <w:rsid w:val="7AA512CC"/>
    <w:rsid w:val="7AABB127"/>
    <w:rsid w:val="7AAD2FD8"/>
    <w:rsid w:val="7AC09643"/>
    <w:rsid w:val="7ACF5455"/>
    <w:rsid w:val="7AD67E62"/>
    <w:rsid w:val="7AD96D6A"/>
    <w:rsid w:val="7ADA5C2C"/>
    <w:rsid w:val="7AE6CF29"/>
    <w:rsid w:val="7AFAF105"/>
    <w:rsid w:val="7AFD2B01"/>
    <w:rsid w:val="7B050F32"/>
    <w:rsid w:val="7B08512F"/>
    <w:rsid w:val="7B0BB4E4"/>
    <w:rsid w:val="7B0C416B"/>
    <w:rsid w:val="7B139E6A"/>
    <w:rsid w:val="7B174064"/>
    <w:rsid w:val="7B1DF1D0"/>
    <w:rsid w:val="7B21B2A0"/>
    <w:rsid w:val="7B22A1E6"/>
    <w:rsid w:val="7B30385A"/>
    <w:rsid w:val="7B30E269"/>
    <w:rsid w:val="7B3585C0"/>
    <w:rsid w:val="7B3B6428"/>
    <w:rsid w:val="7B3F247D"/>
    <w:rsid w:val="7B46B41F"/>
    <w:rsid w:val="7B49A192"/>
    <w:rsid w:val="7B4C0DD9"/>
    <w:rsid w:val="7B67094D"/>
    <w:rsid w:val="7B6B1709"/>
    <w:rsid w:val="7B6D5CC7"/>
    <w:rsid w:val="7B7CD34A"/>
    <w:rsid w:val="7B843612"/>
    <w:rsid w:val="7BA342F6"/>
    <w:rsid w:val="7BA37723"/>
    <w:rsid w:val="7BAA1041"/>
    <w:rsid w:val="7BB72E12"/>
    <w:rsid w:val="7BBF91D6"/>
    <w:rsid w:val="7BC317AF"/>
    <w:rsid w:val="7BCFE2A4"/>
    <w:rsid w:val="7BD00F44"/>
    <w:rsid w:val="7BD37F9D"/>
    <w:rsid w:val="7BD4277D"/>
    <w:rsid w:val="7BDEBCAE"/>
    <w:rsid w:val="7BE2FAAD"/>
    <w:rsid w:val="7BE957BA"/>
    <w:rsid w:val="7BEEA7CE"/>
    <w:rsid w:val="7BF56424"/>
    <w:rsid w:val="7BF967F2"/>
    <w:rsid w:val="7BF9B2FF"/>
    <w:rsid w:val="7BFCAD59"/>
    <w:rsid w:val="7C0004FA"/>
    <w:rsid w:val="7C002043"/>
    <w:rsid w:val="7C03812F"/>
    <w:rsid w:val="7C07CC3B"/>
    <w:rsid w:val="7C088ABD"/>
    <w:rsid w:val="7C0C200C"/>
    <w:rsid w:val="7C10F477"/>
    <w:rsid w:val="7C12E5F0"/>
    <w:rsid w:val="7C137510"/>
    <w:rsid w:val="7C271FB5"/>
    <w:rsid w:val="7C2C87E1"/>
    <w:rsid w:val="7C2CC45A"/>
    <w:rsid w:val="7C2F187D"/>
    <w:rsid w:val="7C3AC278"/>
    <w:rsid w:val="7C3BA72B"/>
    <w:rsid w:val="7C48C1B2"/>
    <w:rsid w:val="7C49B652"/>
    <w:rsid w:val="7C4CA791"/>
    <w:rsid w:val="7C4CDD2D"/>
    <w:rsid w:val="7C4F0A7F"/>
    <w:rsid w:val="7C51E8DC"/>
    <w:rsid w:val="7C5B07F9"/>
    <w:rsid w:val="7C5DDA71"/>
    <w:rsid w:val="7C5E4983"/>
    <w:rsid w:val="7C6028FB"/>
    <w:rsid w:val="7C64B933"/>
    <w:rsid w:val="7C6E9D73"/>
    <w:rsid w:val="7C895715"/>
    <w:rsid w:val="7C951C15"/>
    <w:rsid w:val="7C9DAFE6"/>
    <w:rsid w:val="7C9EC335"/>
    <w:rsid w:val="7CABD58D"/>
    <w:rsid w:val="7CAD1C4F"/>
    <w:rsid w:val="7CAEDCFC"/>
    <w:rsid w:val="7CB1806F"/>
    <w:rsid w:val="7CBFC33B"/>
    <w:rsid w:val="7CD57015"/>
    <w:rsid w:val="7CDCDAE5"/>
    <w:rsid w:val="7CE6BBB8"/>
    <w:rsid w:val="7CE87834"/>
    <w:rsid w:val="7CEA059D"/>
    <w:rsid w:val="7CEA61B0"/>
    <w:rsid w:val="7CEB669A"/>
    <w:rsid w:val="7CF30EDE"/>
    <w:rsid w:val="7D02E4AB"/>
    <w:rsid w:val="7D11B4AC"/>
    <w:rsid w:val="7D16DB30"/>
    <w:rsid w:val="7D1BF72C"/>
    <w:rsid w:val="7D28AEEF"/>
    <w:rsid w:val="7D2F675C"/>
    <w:rsid w:val="7D4342D6"/>
    <w:rsid w:val="7D44B3ED"/>
    <w:rsid w:val="7D45FB89"/>
    <w:rsid w:val="7D4C2A74"/>
    <w:rsid w:val="7D4FF4F3"/>
    <w:rsid w:val="7D5CC914"/>
    <w:rsid w:val="7D5E79F7"/>
    <w:rsid w:val="7D5FC61A"/>
    <w:rsid w:val="7D666123"/>
    <w:rsid w:val="7D697577"/>
    <w:rsid w:val="7D6B491B"/>
    <w:rsid w:val="7D70F91D"/>
    <w:rsid w:val="7D772DF9"/>
    <w:rsid w:val="7D7ABAC3"/>
    <w:rsid w:val="7D7D4967"/>
    <w:rsid w:val="7D82BE10"/>
    <w:rsid w:val="7D96CA3B"/>
    <w:rsid w:val="7D99E744"/>
    <w:rsid w:val="7D9D3364"/>
    <w:rsid w:val="7DAD2D87"/>
    <w:rsid w:val="7DAD4967"/>
    <w:rsid w:val="7DAF1672"/>
    <w:rsid w:val="7DB51136"/>
    <w:rsid w:val="7DBD1FC4"/>
    <w:rsid w:val="7DC17289"/>
    <w:rsid w:val="7DC17392"/>
    <w:rsid w:val="7DC7CD8D"/>
    <w:rsid w:val="7DC990E3"/>
    <w:rsid w:val="7DE69ABC"/>
    <w:rsid w:val="7DEE9B96"/>
    <w:rsid w:val="7DF15060"/>
    <w:rsid w:val="7DF23539"/>
    <w:rsid w:val="7DF3FB6D"/>
    <w:rsid w:val="7DF61928"/>
    <w:rsid w:val="7DF8E3DF"/>
    <w:rsid w:val="7DFCAAA0"/>
    <w:rsid w:val="7E0565C8"/>
    <w:rsid w:val="7E0AB267"/>
    <w:rsid w:val="7E0FF7F5"/>
    <w:rsid w:val="7E10B075"/>
    <w:rsid w:val="7E21A933"/>
    <w:rsid w:val="7E2DCC94"/>
    <w:rsid w:val="7E37B727"/>
    <w:rsid w:val="7E391A12"/>
    <w:rsid w:val="7E3DD2DB"/>
    <w:rsid w:val="7E42C501"/>
    <w:rsid w:val="7E4525F9"/>
    <w:rsid w:val="7E4E920F"/>
    <w:rsid w:val="7E55B080"/>
    <w:rsid w:val="7E55E2F5"/>
    <w:rsid w:val="7E5E6AD7"/>
    <w:rsid w:val="7E665E37"/>
    <w:rsid w:val="7E6FCF14"/>
    <w:rsid w:val="7E75EC6C"/>
    <w:rsid w:val="7E97D86F"/>
    <w:rsid w:val="7E9F4EFB"/>
    <w:rsid w:val="7EA46317"/>
    <w:rsid w:val="7EADEF81"/>
    <w:rsid w:val="7EBD3FC9"/>
    <w:rsid w:val="7EBD5B26"/>
    <w:rsid w:val="7EBEA176"/>
    <w:rsid w:val="7EC5FE8D"/>
    <w:rsid w:val="7ECD5F4C"/>
    <w:rsid w:val="7ED93B43"/>
    <w:rsid w:val="7EDD49FE"/>
    <w:rsid w:val="7EE01440"/>
    <w:rsid w:val="7EE4DED5"/>
    <w:rsid w:val="7EEE1DAC"/>
    <w:rsid w:val="7EFAAE71"/>
    <w:rsid w:val="7F058095"/>
    <w:rsid w:val="7F07454B"/>
    <w:rsid w:val="7F190ABF"/>
    <w:rsid w:val="7F21E8D5"/>
    <w:rsid w:val="7F29BE8E"/>
    <w:rsid w:val="7F2A6F8A"/>
    <w:rsid w:val="7F2A937A"/>
    <w:rsid w:val="7F2EACCF"/>
    <w:rsid w:val="7F312763"/>
    <w:rsid w:val="7F352B07"/>
    <w:rsid w:val="7F390EDC"/>
    <w:rsid w:val="7F3CBC48"/>
    <w:rsid w:val="7F511271"/>
    <w:rsid w:val="7F56203D"/>
    <w:rsid w:val="7F57CD9D"/>
    <w:rsid w:val="7F634714"/>
    <w:rsid w:val="7F6416A1"/>
    <w:rsid w:val="7F67BC7B"/>
    <w:rsid w:val="7F736A62"/>
    <w:rsid w:val="7F7B3943"/>
    <w:rsid w:val="7F7C403E"/>
    <w:rsid w:val="7F80C483"/>
    <w:rsid w:val="7F819E25"/>
    <w:rsid w:val="7F83C205"/>
    <w:rsid w:val="7F89D5F9"/>
    <w:rsid w:val="7F8CDCE2"/>
    <w:rsid w:val="7F954372"/>
    <w:rsid w:val="7F9A2438"/>
    <w:rsid w:val="7FA924A1"/>
    <w:rsid w:val="7FADFEB2"/>
    <w:rsid w:val="7FAE7D20"/>
    <w:rsid w:val="7FB3639B"/>
    <w:rsid w:val="7FBCEBEA"/>
    <w:rsid w:val="7FBEDB4F"/>
    <w:rsid w:val="7FC1147C"/>
    <w:rsid w:val="7FC2EF7C"/>
    <w:rsid w:val="7FD1402D"/>
    <w:rsid w:val="7FD4155E"/>
    <w:rsid w:val="7FE75622"/>
    <w:rsid w:val="7FEFD179"/>
    <w:rsid w:val="7FF9E0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1E96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paragraph" w:styleId="Heading8">
    <w:name w:val="heading 8"/>
    <w:basedOn w:val="Normal"/>
    <w:next w:val="Normal"/>
    <w:link w:val="Heading8Char"/>
    <w:uiPriority w:val="9"/>
    <w:unhideWhenUsed/>
    <w:qFormat/>
    <w:rsid w:val="00533351"/>
    <w:pPr>
      <w:keepNext/>
      <w:keepLines/>
      <w:spacing w:before="40" w:after="0" w:line="276" w:lineRule="auto"/>
      <w:jc w:val="left"/>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533351"/>
    <w:pPr>
      <w:keepNext/>
      <w:keepLines/>
      <w:spacing w:before="40" w:after="0" w:line="276" w:lineRule="auto"/>
      <w:jc w:val="left"/>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4770F6"/>
    <w:pPr>
      <w:numPr>
        <w:numId w:val="2"/>
      </w:numPr>
    </w:pPr>
    <w:rPr>
      <w:rFonts w:eastAsia="Times New Roman"/>
      <w:lang w:eastAsia="de-DE"/>
    </w:rPr>
  </w:style>
  <w:style w:type="paragraph" w:styleId="ListNumber">
    <w:name w:val="List Number"/>
    <w:basedOn w:val="Normal"/>
    <w:rsid w:val="004770F6"/>
    <w:pPr>
      <w:numPr>
        <w:numId w:val="6"/>
      </w:numPr>
    </w:pPr>
    <w:rPr>
      <w:rFonts w:eastAsia="Times New Roman"/>
      <w:lang w:eastAsia="de-DE"/>
    </w:rPr>
  </w:style>
  <w:style w:type="paragraph" w:customStyle="1" w:styleId="ListBullet1">
    <w:name w:val="List Bullet 1"/>
    <w:basedOn w:val="Normal"/>
    <w:rsid w:val="004770F6"/>
    <w:pPr>
      <w:numPr>
        <w:numId w:val="1"/>
      </w:numPr>
    </w:pPr>
    <w:rPr>
      <w:rFonts w:eastAsia="Times New Roman"/>
      <w:lang w:eastAsia="de-DE"/>
    </w:rPr>
  </w:style>
  <w:style w:type="paragraph" w:customStyle="1" w:styleId="ListDash">
    <w:name w:val="List Dash"/>
    <w:basedOn w:val="Normal"/>
    <w:rsid w:val="004770F6"/>
    <w:pPr>
      <w:numPr>
        <w:numId w:val="3"/>
      </w:numPr>
    </w:pPr>
    <w:rPr>
      <w:rFonts w:eastAsia="Times New Roman"/>
      <w:lang w:eastAsia="de-DE"/>
    </w:rPr>
  </w:style>
  <w:style w:type="paragraph" w:customStyle="1" w:styleId="ListDash1">
    <w:name w:val="List Dash 1"/>
    <w:basedOn w:val="Normal"/>
    <w:rsid w:val="004770F6"/>
    <w:pPr>
      <w:numPr>
        <w:numId w:val="4"/>
      </w:numPr>
    </w:pPr>
    <w:rPr>
      <w:rFonts w:eastAsia="Times New Roman"/>
      <w:lang w:eastAsia="de-DE"/>
    </w:rPr>
  </w:style>
  <w:style w:type="paragraph" w:customStyle="1" w:styleId="ListDash2">
    <w:name w:val="List Dash 2"/>
    <w:basedOn w:val="Normal"/>
    <w:rsid w:val="004770F6"/>
    <w:pPr>
      <w:numPr>
        <w:numId w:val="5"/>
      </w:numPr>
    </w:pPr>
    <w:rPr>
      <w:rFonts w:eastAsia="Times New Roman"/>
      <w:lang w:eastAsia="de-DE"/>
    </w:rPr>
  </w:style>
  <w:style w:type="paragraph" w:customStyle="1" w:styleId="ListNumberLevel2">
    <w:name w:val="List Number (Level 2)"/>
    <w:basedOn w:val="Normal"/>
    <w:rsid w:val="004770F6"/>
    <w:pPr>
      <w:numPr>
        <w:ilvl w:val="1"/>
        <w:numId w:val="6"/>
      </w:numPr>
    </w:pPr>
    <w:rPr>
      <w:rFonts w:eastAsia="Times New Roman"/>
      <w:lang w:eastAsia="de-DE"/>
    </w:rPr>
  </w:style>
  <w:style w:type="paragraph" w:customStyle="1" w:styleId="ListNumberLevel3">
    <w:name w:val="List Number (Level 3)"/>
    <w:basedOn w:val="Normal"/>
    <w:rsid w:val="004770F6"/>
    <w:pPr>
      <w:numPr>
        <w:ilvl w:val="2"/>
        <w:numId w:val="6"/>
      </w:numPr>
    </w:pPr>
    <w:rPr>
      <w:rFonts w:eastAsia="Times New Roman"/>
      <w:lang w:eastAsia="de-DE"/>
    </w:rPr>
  </w:style>
  <w:style w:type="paragraph" w:customStyle="1" w:styleId="ListNumberLevel4">
    <w:name w:val="List Number (Level 4)"/>
    <w:basedOn w:val="Normal"/>
    <w:rsid w:val="004770F6"/>
    <w:pPr>
      <w:numPr>
        <w:ilvl w:val="3"/>
        <w:numId w:val="6"/>
      </w:numPr>
    </w:pPr>
    <w:rPr>
      <w:rFonts w:eastAsia="Times New Roman"/>
      <w:lang w:eastAsia="de-DE"/>
    </w:rPr>
  </w:style>
  <w:style w:type="table" w:styleId="TableGrid">
    <w:name w:val="Table Grid"/>
    <w:basedOn w:val="TableNormal"/>
    <w:uiPriority w:val="39"/>
    <w:rsid w:val="004770F6"/>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770F6"/>
    <w:rPr>
      <w:color w:val="0000FF"/>
      <w:u w:val="single"/>
    </w:rPr>
  </w:style>
  <w:style w:type="paragraph" w:styleId="ListBullet">
    <w:name w:val="List Bullet"/>
    <w:basedOn w:val="Normal"/>
    <w:uiPriority w:val="99"/>
    <w:rsid w:val="004770F6"/>
    <w:pPr>
      <w:numPr>
        <w:numId w:val="7"/>
      </w:numPr>
    </w:pPr>
    <w:rPr>
      <w:rFonts w:eastAsia="Times New Roman"/>
      <w:lang w:val="fr-FR" w:eastAsia="en-GB"/>
    </w:rPr>
  </w:style>
  <w:style w:type="paragraph" w:styleId="ListBullet2">
    <w:name w:val="List Bullet 2"/>
    <w:basedOn w:val="Normal"/>
    <w:rsid w:val="004770F6"/>
    <w:pPr>
      <w:numPr>
        <w:numId w:val="8"/>
      </w:numPr>
    </w:pPr>
    <w:rPr>
      <w:rFonts w:eastAsia="Times New Roman"/>
      <w:lang w:val="fr-FR" w:eastAsia="en-GB"/>
    </w:rPr>
  </w:style>
  <w:style w:type="paragraph" w:styleId="ListBullet3">
    <w:name w:val="List Bullet 3"/>
    <w:basedOn w:val="Normal"/>
    <w:rsid w:val="004770F6"/>
    <w:pPr>
      <w:numPr>
        <w:numId w:val="9"/>
      </w:numPr>
    </w:pPr>
    <w:rPr>
      <w:rFonts w:eastAsia="Times New Roman"/>
      <w:lang w:val="fr-FR" w:eastAsia="en-GB"/>
    </w:rPr>
  </w:style>
  <w:style w:type="paragraph" w:styleId="ListNumber2">
    <w:name w:val="List Number 2"/>
    <w:basedOn w:val="Normal"/>
    <w:rsid w:val="004770F6"/>
    <w:pPr>
      <w:numPr>
        <w:numId w:val="13"/>
      </w:numPr>
    </w:pPr>
    <w:rPr>
      <w:rFonts w:eastAsia="Times New Roman"/>
      <w:lang w:val="fr-FR" w:eastAsia="en-GB"/>
    </w:rPr>
  </w:style>
  <w:style w:type="paragraph" w:styleId="ListNumber3">
    <w:name w:val="List Number 3"/>
    <w:basedOn w:val="Normal"/>
    <w:rsid w:val="004770F6"/>
    <w:pPr>
      <w:numPr>
        <w:numId w:val="14"/>
      </w:numPr>
    </w:pPr>
    <w:rPr>
      <w:rFonts w:eastAsia="Times New Roman"/>
      <w:lang w:val="fr-FR" w:eastAsia="en-GB"/>
    </w:rPr>
  </w:style>
  <w:style w:type="paragraph" w:styleId="ListNumber4">
    <w:name w:val="List Number 4"/>
    <w:basedOn w:val="Normal"/>
    <w:rsid w:val="004770F6"/>
    <w:pPr>
      <w:numPr>
        <w:numId w:val="15"/>
      </w:numPr>
    </w:pPr>
    <w:rPr>
      <w:rFonts w:eastAsia="Times New Roman"/>
      <w:lang w:val="fr-FR" w:eastAsia="en-GB"/>
    </w:rPr>
  </w:style>
  <w:style w:type="paragraph" w:customStyle="1" w:styleId="ListDash3">
    <w:name w:val="List Dash 3"/>
    <w:basedOn w:val="Normal"/>
    <w:rsid w:val="004770F6"/>
    <w:pPr>
      <w:numPr>
        <w:numId w:val="10"/>
      </w:numPr>
    </w:pPr>
    <w:rPr>
      <w:rFonts w:eastAsia="Times New Roman"/>
      <w:lang w:val="fr-FR" w:eastAsia="en-GB"/>
    </w:rPr>
  </w:style>
  <w:style w:type="paragraph" w:customStyle="1" w:styleId="ListDash4">
    <w:name w:val="List Dash 4"/>
    <w:basedOn w:val="Normal"/>
    <w:rsid w:val="004770F6"/>
    <w:pPr>
      <w:numPr>
        <w:numId w:val="11"/>
      </w:numPr>
    </w:pPr>
    <w:rPr>
      <w:rFonts w:eastAsia="Times New Roman"/>
      <w:lang w:val="fr-FR" w:eastAsia="en-GB"/>
    </w:rPr>
  </w:style>
  <w:style w:type="paragraph" w:customStyle="1" w:styleId="ListNumber1">
    <w:name w:val="List Number 1"/>
    <w:basedOn w:val="Text1"/>
    <w:rsid w:val="004770F6"/>
    <w:pPr>
      <w:numPr>
        <w:numId w:val="12"/>
      </w:numPr>
    </w:pPr>
    <w:rPr>
      <w:rFonts w:eastAsia="Times New Roman"/>
      <w:lang w:val="fr-FR" w:eastAsia="en-GB"/>
    </w:rPr>
  </w:style>
  <w:style w:type="paragraph" w:customStyle="1" w:styleId="ListNumber1Level2">
    <w:name w:val="List Number 1 (Level 2)"/>
    <w:basedOn w:val="Text1"/>
    <w:rsid w:val="004770F6"/>
    <w:pPr>
      <w:numPr>
        <w:ilvl w:val="1"/>
        <w:numId w:val="12"/>
      </w:numPr>
    </w:pPr>
    <w:rPr>
      <w:rFonts w:eastAsia="Times New Roman"/>
      <w:lang w:val="fr-FR" w:eastAsia="en-GB"/>
    </w:rPr>
  </w:style>
  <w:style w:type="paragraph" w:customStyle="1" w:styleId="ListNumber2Level2">
    <w:name w:val="List Number 2 (Level 2)"/>
    <w:basedOn w:val="Text2"/>
    <w:rsid w:val="004770F6"/>
    <w:pPr>
      <w:numPr>
        <w:ilvl w:val="1"/>
        <w:numId w:val="13"/>
      </w:numPr>
    </w:pPr>
    <w:rPr>
      <w:rFonts w:eastAsia="Times New Roman"/>
      <w:lang w:val="fr-FR" w:eastAsia="en-GB"/>
    </w:rPr>
  </w:style>
  <w:style w:type="paragraph" w:customStyle="1" w:styleId="ListNumber3Level2">
    <w:name w:val="List Number 3 (Level 2)"/>
    <w:basedOn w:val="Text3"/>
    <w:rsid w:val="004770F6"/>
    <w:pPr>
      <w:numPr>
        <w:ilvl w:val="1"/>
        <w:numId w:val="14"/>
      </w:numPr>
    </w:pPr>
    <w:rPr>
      <w:rFonts w:eastAsia="Times New Roman"/>
      <w:lang w:val="fr-FR" w:eastAsia="en-GB"/>
    </w:rPr>
  </w:style>
  <w:style w:type="paragraph" w:customStyle="1" w:styleId="ListNumber4Level2">
    <w:name w:val="List Number 4 (Level 2)"/>
    <w:basedOn w:val="Text4"/>
    <w:rsid w:val="004770F6"/>
    <w:pPr>
      <w:numPr>
        <w:ilvl w:val="1"/>
        <w:numId w:val="15"/>
      </w:numPr>
    </w:pPr>
    <w:rPr>
      <w:rFonts w:eastAsia="Times New Roman"/>
      <w:lang w:val="fr-FR" w:eastAsia="en-GB"/>
    </w:rPr>
  </w:style>
  <w:style w:type="paragraph" w:customStyle="1" w:styleId="ListNumber1Level3">
    <w:name w:val="List Number 1 (Level 3)"/>
    <w:basedOn w:val="Text1"/>
    <w:rsid w:val="004770F6"/>
    <w:pPr>
      <w:numPr>
        <w:ilvl w:val="2"/>
        <w:numId w:val="12"/>
      </w:numPr>
    </w:pPr>
    <w:rPr>
      <w:rFonts w:eastAsia="Times New Roman"/>
      <w:lang w:val="fr-FR" w:eastAsia="en-GB"/>
    </w:rPr>
  </w:style>
  <w:style w:type="paragraph" w:customStyle="1" w:styleId="ListNumber2Level3">
    <w:name w:val="List Number 2 (Level 3)"/>
    <w:basedOn w:val="Text2"/>
    <w:rsid w:val="004770F6"/>
    <w:pPr>
      <w:numPr>
        <w:ilvl w:val="2"/>
        <w:numId w:val="13"/>
      </w:numPr>
    </w:pPr>
    <w:rPr>
      <w:rFonts w:eastAsia="Times New Roman"/>
      <w:lang w:val="fr-FR" w:eastAsia="en-GB"/>
    </w:rPr>
  </w:style>
  <w:style w:type="paragraph" w:customStyle="1" w:styleId="ListNumber3Level3">
    <w:name w:val="List Number 3 (Level 3)"/>
    <w:basedOn w:val="Text3"/>
    <w:rsid w:val="004770F6"/>
    <w:pPr>
      <w:numPr>
        <w:ilvl w:val="2"/>
        <w:numId w:val="14"/>
      </w:numPr>
    </w:pPr>
    <w:rPr>
      <w:rFonts w:eastAsia="Times New Roman"/>
      <w:lang w:val="fr-FR" w:eastAsia="en-GB"/>
    </w:rPr>
  </w:style>
  <w:style w:type="paragraph" w:customStyle="1" w:styleId="ListNumber4Level3">
    <w:name w:val="List Number 4 (Level 3)"/>
    <w:basedOn w:val="Text4"/>
    <w:rsid w:val="004770F6"/>
    <w:pPr>
      <w:numPr>
        <w:ilvl w:val="2"/>
        <w:numId w:val="15"/>
      </w:numPr>
    </w:pPr>
    <w:rPr>
      <w:rFonts w:eastAsia="Times New Roman"/>
      <w:lang w:val="fr-FR" w:eastAsia="en-GB"/>
    </w:rPr>
  </w:style>
  <w:style w:type="paragraph" w:customStyle="1" w:styleId="ListNumber1Level4">
    <w:name w:val="List Number 1 (Level 4)"/>
    <w:basedOn w:val="Text1"/>
    <w:rsid w:val="004770F6"/>
    <w:pPr>
      <w:numPr>
        <w:ilvl w:val="3"/>
        <w:numId w:val="12"/>
      </w:numPr>
    </w:pPr>
    <w:rPr>
      <w:rFonts w:eastAsia="Times New Roman"/>
      <w:lang w:val="fr-FR" w:eastAsia="en-GB"/>
    </w:rPr>
  </w:style>
  <w:style w:type="paragraph" w:customStyle="1" w:styleId="ListNumber2Level4">
    <w:name w:val="List Number 2 (Level 4)"/>
    <w:basedOn w:val="Text2"/>
    <w:rsid w:val="004770F6"/>
    <w:pPr>
      <w:numPr>
        <w:ilvl w:val="3"/>
        <w:numId w:val="13"/>
      </w:numPr>
    </w:pPr>
    <w:rPr>
      <w:rFonts w:eastAsia="Times New Roman"/>
      <w:lang w:val="fr-FR" w:eastAsia="en-GB"/>
    </w:rPr>
  </w:style>
  <w:style w:type="paragraph" w:customStyle="1" w:styleId="ListNumber3Level4">
    <w:name w:val="List Number 3 (Level 4)"/>
    <w:basedOn w:val="Text3"/>
    <w:rsid w:val="004770F6"/>
    <w:pPr>
      <w:numPr>
        <w:ilvl w:val="3"/>
        <w:numId w:val="14"/>
      </w:numPr>
    </w:pPr>
    <w:rPr>
      <w:rFonts w:eastAsia="Times New Roman"/>
      <w:lang w:val="fr-FR" w:eastAsia="en-GB"/>
    </w:rPr>
  </w:style>
  <w:style w:type="paragraph" w:customStyle="1" w:styleId="ListNumber4Level4">
    <w:name w:val="List Number 4 (Level 4)"/>
    <w:basedOn w:val="Text4"/>
    <w:rsid w:val="004770F6"/>
    <w:pPr>
      <w:numPr>
        <w:ilvl w:val="3"/>
        <w:numId w:val="15"/>
      </w:numPr>
    </w:pPr>
    <w:rPr>
      <w:rFonts w:eastAsia="Times New Roman"/>
      <w:lang w:val="fr-FR" w:eastAsia="en-GB"/>
    </w:rPr>
  </w:style>
  <w:style w:type="paragraph" w:customStyle="1" w:styleId="Annexetitreacte">
    <w:name w:val="Annexe titre (acte)"/>
    <w:basedOn w:val="Normal"/>
    <w:next w:val="Normal"/>
    <w:rsid w:val="004770F6"/>
    <w:pPr>
      <w:jc w:val="center"/>
    </w:pPr>
    <w:rPr>
      <w:rFonts w:eastAsia="Times New Roman"/>
      <w:b/>
      <w:u w:val="single"/>
      <w:lang w:val="fr-FR" w:eastAsia="en-GB"/>
    </w:rPr>
  </w:style>
  <w:style w:type="paragraph" w:customStyle="1" w:styleId="Annexetitreexposglobal">
    <w:name w:val="Annexe titre (exposé global)"/>
    <w:basedOn w:val="Normal"/>
    <w:next w:val="Normal"/>
    <w:rsid w:val="004770F6"/>
    <w:pPr>
      <w:jc w:val="center"/>
    </w:pPr>
    <w:rPr>
      <w:rFonts w:eastAsia="Times New Roman"/>
      <w:b/>
      <w:u w:val="single"/>
      <w:lang w:val="fr-FR" w:eastAsia="en-GB"/>
    </w:rPr>
  </w:style>
  <w:style w:type="paragraph" w:customStyle="1" w:styleId="Annexetitrefichefinacte">
    <w:name w:val="Annexe titre (fiche fin. acte)"/>
    <w:basedOn w:val="Normal"/>
    <w:next w:val="Normal"/>
    <w:rsid w:val="004770F6"/>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4770F6"/>
    <w:pPr>
      <w:jc w:val="center"/>
    </w:pPr>
    <w:rPr>
      <w:rFonts w:eastAsia="Times New Roman"/>
      <w:b/>
      <w:u w:val="single"/>
      <w:lang w:val="fr-FR" w:eastAsia="en-GB"/>
    </w:rPr>
  </w:style>
  <w:style w:type="paragraph" w:customStyle="1" w:styleId="Annexetitreglobale">
    <w:name w:val="Annexe titre (globale)"/>
    <w:basedOn w:val="Normal"/>
    <w:next w:val="Normal"/>
    <w:rsid w:val="004770F6"/>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4770F6"/>
    <w:pPr>
      <w:jc w:val="center"/>
    </w:pPr>
    <w:rPr>
      <w:rFonts w:eastAsia="Times New Roman"/>
      <w:b/>
      <w:u w:val="single"/>
      <w:lang w:val="fr-FR" w:eastAsia="en-GB"/>
    </w:rPr>
  </w:style>
  <w:style w:type="paragraph" w:customStyle="1" w:styleId="Langueoriginale">
    <w:name w:val="Langue originale"/>
    <w:basedOn w:val="Normal"/>
    <w:rsid w:val="004770F6"/>
    <w:pPr>
      <w:spacing w:before="360"/>
      <w:jc w:val="center"/>
    </w:pPr>
    <w:rPr>
      <w:rFonts w:eastAsia="Times New Roman"/>
      <w:caps/>
      <w:lang w:val="fr-FR" w:eastAsia="en-GB"/>
    </w:rPr>
  </w:style>
  <w:style w:type="paragraph" w:customStyle="1" w:styleId="Phrasefinale">
    <w:name w:val="Phrase finale"/>
    <w:basedOn w:val="Normal"/>
    <w:next w:val="Normal"/>
    <w:rsid w:val="004770F6"/>
    <w:pPr>
      <w:spacing w:before="360" w:after="0"/>
      <w:jc w:val="center"/>
    </w:pPr>
    <w:rPr>
      <w:rFonts w:eastAsia="Times New Roman"/>
      <w:lang w:val="fr-FR" w:eastAsia="en-GB"/>
    </w:rPr>
  </w:style>
  <w:style w:type="paragraph" w:customStyle="1" w:styleId="Prliminairetitre">
    <w:name w:val="Préliminaire titre"/>
    <w:basedOn w:val="Normal"/>
    <w:next w:val="Normal"/>
    <w:rsid w:val="004770F6"/>
    <w:pPr>
      <w:spacing w:before="360" w:after="360"/>
      <w:jc w:val="center"/>
    </w:pPr>
    <w:rPr>
      <w:rFonts w:eastAsia="Times New Roman"/>
      <w:b/>
      <w:lang w:val="fr-FR" w:eastAsia="en-GB"/>
    </w:rPr>
  </w:style>
  <w:style w:type="paragraph" w:customStyle="1" w:styleId="Prliminairetype">
    <w:name w:val="Préliminaire type"/>
    <w:basedOn w:val="Normal"/>
    <w:next w:val="Normal"/>
    <w:rsid w:val="004770F6"/>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4770F6"/>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4770F6"/>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4770F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4770F6"/>
    <w:pPr>
      <w:spacing w:before="0" w:after="0"/>
      <w:jc w:val="center"/>
    </w:pPr>
    <w:rPr>
      <w:rFonts w:eastAsia="Times New Roman"/>
      <w:b/>
      <w:lang w:val="fr-FR" w:eastAsia="en-GB"/>
    </w:rPr>
  </w:style>
  <w:style w:type="paragraph" w:customStyle="1" w:styleId="Statutprliminaire">
    <w:name w:val="Statut (préliminaire)"/>
    <w:basedOn w:val="Normal"/>
    <w:next w:val="Normal"/>
    <w:rsid w:val="004770F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4770F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4770F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4770F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4770F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4770F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4770F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4770F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4770F6"/>
    <w:pPr>
      <w:jc w:val="center"/>
    </w:pPr>
    <w:rPr>
      <w:rFonts w:eastAsia="Times New Roman"/>
      <w:b/>
      <w:u w:val="single"/>
      <w:lang w:val="fr-FR" w:eastAsia="en-GB"/>
    </w:rPr>
  </w:style>
  <w:style w:type="character" w:styleId="CommentReference">
    <w:name w:val="annotation reference"/>
    <w:uiPriority w:val="99"/>
    <w:rsid w:val="004770F6"/>
    <w:rPr>
      <w:rFonts w:cs="Times New Roman"/>
      <w:sz w:val="16"/>
      <w:szCs w:val="16"/>
    </w:rPr>
  </w:style>
  <w:style w:type="paragraph" w:styleId="CommentText">
    <w:name w:val="annotation text"/>
    <w:basedOn w:val="Normal"/>
    <w:link w:val="CommentTextChar"/>
    <w:uiPriority w:val="99"/>
    <w:rsid w:val="004770F6"/>
    <w:rPr>
      <w:rFonts w:eastAsia="Times New Roman"/>
      <w:sz w:val="20"/>
      <w:szCs w:val="20"/>
      <w:lang w:val="fr-FR" w:eastAsia="en-GB"/>
    </w:rPr>
  </w:style>
  <w:style w:type="character" w:customStyle="1" w:styleId="CommentTextChar">
    <w:name w:val="Comment Text Char"/>
    <w:basedOn w:val="DefaultParagraphFont"/>
    <w:link w:val="CommentText"/>
    <w:uiPriority w:val="99"/>
    <w:rsid w:val="004770F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4770F6"/>
    <w:rPr>
      <w:b/>
      <w:bCs/>
    </w:rPr>
  </w:style>
  <w:style w:type="character" w:customStyle="1" w:styleId="CommentSubjectChar">
    <w:name w:val="Comment Subject Char"/>
    <w:basedOn w:val="CommentTextChar"/>
    <w:link w:val="CommentSubject"/>
    <w:uiPriority w:val="99"/>
    <w:rsid w:val="004770F6"/>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rsid w:val="004770F6"/>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uiPriority w:val="99"/>
    <w:rsid w:val="004770F6"/>
    <w:rPr>
      <w:rFonts w:ascii="Tahoma" w:eastAsia="Times New Roman" w:hAnsi="Tahoma" w:cs="Tahoma"/>
      <w:sz w:val="16"/>
      <w:szCs w:val="16"/>
      <w:lang w:val="fr-FR" w:eastAsia="en-GB"/>
    </w:rPr>
  </w:style>
  <w:style w:type="paragraph" w:styleId="Caption">
    <w:name w:val="caption"/>
    <w:basedOn w:val="Normal"/>
    <w:next w:val="Normal"/>
    <w:qFormat/>
    <w:rsid w:val="004770F6"/>
    <w:rPr>
      <w:rFonts w:eastAsia="Times New Roman"/>
      <w:b/>
      <w:bCs/>
      <w:sz w:val="20"/>
      <w:szCs w:val="20"/>
      <w:lang w:val="fr-FR" w:eastAsia="en-GB"/>
    </w:rPr>
  </w:style>
  <w:style w:type="paragraph" w:styleId="TableofFigures">
    <w:name w:val="table of figures"/>
    <w:basedOn w:val="Normal"/>
    <w:next w:val="Normal"/>
    <w:rsid w:val="004770F6"/>
    <w:rPr>
      <w:rFonts w:eastAsia="Times New Roman"/>
      <w:lang w:val="fr-FR" w:eastAsia="en-GB"/>
    </w:rPr>
  </w:style>
  <w:style w:type="character" w:styleId="PageNumber">
    <w:name w:val="page number"/>
    <w:rsid w:val="004770F6"/>
  </w:style>
  <w:style w:type="character" w:customStyle="1" w:styleId="tw4winMark">
    <w:name w:val="tw4winMark"/>
    <w:rsid w:val="004770F6"/>
    <w:rPr>
      <w:vanish/>
      <w:color w:val="800080"/>
      <w:vertAlign w:val="subscript"/>
    </w:rPr>
  </w:style>
  <w:style w:type="character" w:styleId="FollowedHyperlink">
    <w:name w:val="FollowedHyperlink"/>
    <w:uiPriority w:val="99"/>
    <w:rsid w:val="004770F6"/>
    <w:rPr>
      <w:color w:val="800080"/>
      <w:u w:val="single"/>
    </w:rPr>
  </w:style>
  <w:style w:type="paragraph" w:customStyle="1" w:styleId="Sous-titreobjet">
    <w:name w:val="Sous-titre objet"/>
    <w:basedOn w:val="Normal"/>
    <w:rsid w:val="004770F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770F6"/>
  </w:style>
  <w:style w:type="paragraph" w:styleId="Revision">
    <w:name w:val="Revision"/>
    <w:hidden/>
    <w:uiPriority w:val="99"/>
    <w:semiHidden/>
    <w:rsid w:val="004770F6"/>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4770F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770F6"/>
    <w:rPr>
      <w:rFonts w:ascii="Times New Roman" w:hAnsi="Times New Roman" w:cs="Times New Roman"/>
      <w:b/>
      <w:sz w:val="28"/>
      <w:lang w:val="en-GB"/>
    </w:rPr>
  </w:style>
  <w:style w:type="character" w:customStyle="1" w:styleId="FooterCoverPageChar">
    <w:name w:val="Footer Cover Page Char"/>
    <w:link w:val="FooterCoverPage"/>
    <w:rsid w:val="004770F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4770F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770F6"/>
    <w:rPr>
      <w:rFonts w:ascii="Times New Roman" w:eastAsia="Calibri" w:hAnsi="Times New Roman" w:cs="Times New Roman"/>
      <w:sz w:val="24"/>
      <w:lang w:val="en-GB" w:eastAsia="en-GB"/>
    </w:rPr>
  </w:style>
  <w:style w:type="character" w:customStyle="1" w:styleId="FooterSensitivityChar">
    <w:name w:val="Footer Sensitivity Char"/>
    <w:rsid w:val="004770F6"/>
    <w:rPr>
      <w:rFonts w:ascii="Times New Roman" w:hAnsi="Times New Roman" w:cs="Times New Roman"/>
      <w:b/>
      <w:sz w:val="32"/>
      <w:lang w:val="en-GB"/>
    </w:rPr>
  </w:style>
  <w:style w:type="character" w:customStyle="1" w:styleId="HeaderSensitivityChar">
    <w:name w:val="Header Sensitivity Char"/>
    <w:rsid w:val="004770F6"/>
    <w:rPr>
      <w:rFonts w:ascii="Times New Roman" w:hAnsi="Times New Roman" w:cs="Times New Roman"/>
      <w:b/>
      <w:sz w:val="32"/>
      <w:lang w:val="en-GB"/>
    </w:rPr>
  </w:style>
  <w:style w:type="character" w:customStyle="1" w:styleId="HeaderSensitivityRightChar">
    <w:name w:val="Header Sensitivity Right Char"/>
    <w:rsid w:val="004770F6"/>
    <w:rPr>
      <w:rFonts w:ascii="Times New Roman" w:hAnsi="Times New Roman" w:cs="Times New Roman"/>
      <w:sz w:val="28"/>
      <w:lang w:val="en-GB"/>
    </w:rPr>
  </w:style>
  <w:style w:type="character" w:customStyle="1" w:styleId="eop">
    <w:name w:val="eop"/>
    <w:basedOn w:val="DefaultParagraphFont"/>
    <w:rsid w:val="00BF4B9D"/>
  </w:style>
  <w:style w:type="character" w:customStyle="1" w:styleId="normaltextrun">
    <w:name w:val="normaltextrun"/>
    <w:basedOn w:val="DefaultParagraphFont"/>
    <w:rsid w:val="00212119"/>
  </w:style>
  <w:style w:type="paragraph" w:customStyle="1" w:styleId="paragraph">
    <w:name w:val="paragraph"/>
    <w:basedOn w:val="Normal"/>
    <w:rsid w:val="00FF443B"/>
    <w:pPr>
      <w:spacing w:before="0" w:beforeAutospacing="1" w:after="200" w:afterAutospacing="1" w:line="276" w:lineRule="auto"/>
      <w:jc w:val="left"/>
    </w:pPr>
    <w:rPr>
      <w:rFonts w:eastAsia="Times New Roman"/>
      <w:szCs w:val="24"/>
      <w:lang w:eastAsia="en-IE"/>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3,2"/>
    <w:basedOn w:val="Normal"/>
    <w:link w:val="ListParagraphChar"/>
    <w:uiPriority w:val="34"/>
    <w:qFormat/>
    <w:rsid w:val="00FF443B"/>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link w:val="ListParagraph"/>
    <w:uiPriority w:val="34"/>
    <w:qFormat/>
    <w:rsid w:val="00FF443B"/>
    <w:rPr>
      <w:lang w:val="en-GB"/>
    </w:rPr>
  </w:style>
  <w:style w:type="character" w:customStyle="1" w:styleId="Heading8Char">
    <w:name w:val="Heading 8 Char"/>
    <w:basedOn w:val="DefaultParagraphFont"/>
    <w:link w:val="Heading8"/>
    <w:uiPriority w:val="9"/>
    <w:rsid w:val="00533351"/>
    <w:rPr>
      <w:rFonts w:asciiTheme="majorHAnsi" w:eastAsiaTheme="majorEastAsia" w:hAnsiTheme="majorHAnsi" w:cstheme="majorBidi"/>
      <w:color w:val="272727"/>
      <w:sz w:val="21"/>
      <w:szCs w:val="21"/>
      <w:lang w:val="en-GB"/>
    </w:rPr>
  </w:style>
  <w:style w:type="character" w:customStyle="1" w:styleId="Heading9Char">
    <w:name w:val="Heading 9 Char"/>
    <w:basedOn w:val="DefaultParagraphFont"/>
    <w:link w:val="Heading9"/>
    <w:uiPriority w:val="9"/>
    <w:rsid w:val="00533351"/>
    <w:rPr>
      <w:rFonts w:asciiTheme="majorHAnsi" w:eastAsiaTheme="majorEastAsia" w:hAnsiTheme="majorHAnsi" w:cstheme="majorBidi"/>
      <w:i/>
      <w:iCs/>
      <w:color w:val="272727"/>
      <w:sz w:val="21"/>
      <w:szCs w:val="21"/>
      <w:lang w:val="en-GB"/>
    </w:rPr>
  </w:style>
  <w:style w:type="paragraph" w:customStyle="1" w:styleId="sti-art">
    <w:name w:val="sti-art"/>
    <w:basedOn w:val="Normal"/>
    <w:uiPriority w:val="1"/>
    <w:rsid w:val="00533351"/>
    <w:pPr>
      <w:spacing w:before="0" w:beforeAutospacing="1" w:after="200" w:afterAutospacing="1" w:line="276" w:lineRule="auto"/>
      <w:jc w:val="left"/>
    </w:pPr>
    <w:rPr>
      <w:rFonts w:eastAsia="Times New Roman"/>
      <w:szCs w:val="24"/>
      <w:lang w:eastAsia="en-GB"/>
    </w:rPr>
  </w:style>
  <w:style w:type="paragraph" w:customStyle="1" w:styleId="li">
    <w:name w:val="li"/>
    <w:basedOn w:val="Normal"/>
    <w:uiPriority w:val="1"/>
    <w:rsid w:val="00533351"/>
    <w:pPr>
      <w:spacing w:before="0" w:beforeAutospacing="1" w:after="200" w:afterAutospacing="1" w:line="276" w:lineRule="auto"/>
      <w:jc w:val="left"/>
    </w:pPr>
    <w:rPr>
      <w:rFonts w:eastAsia="Times New Roman"/>
      <w:szCs w:val="24"/>
      <w:lang w:val="fr-BE" w:eastAsia="fr-BE"/>
    </w:rPr>
  </w:style>
  <w:style w:type="paragraph" w:customStyle="1" w:styleId="Default">
    <w:name w:val="Default"/>
    <w:rsid w:val="0053335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CM1">
    <w:name w:val="CM1"/>
    <w:basedOn w:val="Default"/>
    <w:next w:val="Default"/>
    <w:uiPriority w:val="99"/>
    <w:rsid w:val="00533351"/>
    <w:rPr>
      <w:color w:val="auto"/>
    </w:rPr>
  </w:style>
  <w:style w:type="paragraph" w:customStyle="1" w:styleId="CM3">
    <w:name w:val="CM3"/>
    <w:basedOn w:val="Default"/>
    <w:next w:val="Default"/>
    <w:uiPriority w:val="99"/>
    <w:rsid w:val="00533351"/>
    <w:rPr>
      <w:color w:val="auto"/>
    </w:rPr>
  </w:style>
  <w:style w:type="paragraph" w:customStyle="1" w:styleId="CM4">
    <w:name w:val="CM4"/>
    <w:basedOn w:val="Default"/>
    <w:next w:val="Default"/>
    <w:uiPriority w:val="99"/>
    <w:rsid w:val="00533351"/>
    <w:rPr>
      <w:color w:val="auto"/>
    </w:rPr>
  </w:style>
  <w:style w:type="character" w:customStyle="1" w:styleId="UnresolvedMention1">
    <w:name w:val="Unresolved Mention1"/>
    <w:basedOn w:val="DefaultParagraphFont"/>
    <w:uiPriority w:val="99"/>
    <w:semiHidden/>
    <w:unhideWhenUsed/>
    <w:rsid w:val="00533351"/>
    <w:rPr>
      <w:color w:val="605E5C"/>
      <w:shd w:val="clear" w:color="auto" w:fill="E1DFDD"/>
    </w:rPr>
  </w:style>
  <w:style w:type="paragraph" w:customStyle="1" w:styleId="norm">
    <w:name w:val="norm"/>
    <w:basedOn w:val="Normal"/>
    <w:uiPriority w:val="1"/>
    <w:rsid w:val="00533351"/>
    <w:pPr>
      <w:spacing w:before="0" w:beforeAutospacing="1" w:after="200" w:afterAutospacing="1" w:line="276" w:lineRule="auto"/>
      <w:jc w:val="left"/>
    </w:pPr>
    <w:rPr>
      <w:rFonts w:eastAsia="Times New Roman"/>
      <w:szCs w:val="24"/>
      <w:lang w:eastAsia="en-IE"/>
    </w:rPr>
  </w:style>
  <w:style w:type="character" w:customStyle="1" w:styleId="no-parag">
    <w:name w:val="no-parag"/>
    <w:basedOn w:val="DefaultParagraphFont"/>
    <w:rsid w:val="00533351"/>
  </w:style>
  <w:style w:type="character" w:customStyle="1" w:styleId="FootnoteTextChar1">
    <w:name w:val="Footnote Text Char1"/>
    <w:basedOn w:val="DefaultParagraphFont"/>
    <w:uiPriority w:val="99"/>
    <w:semiHidden/>
    <w:rsid w:val="00533351"/>
    <w:rPr>
      <w:sz w:val="20"/>
      <w:szCs w:val="20"/>
    </w:rPr>
  </w:style>
  <w:style w:type="character" w:customStyle="1" w:styleId="Mention1">
    <w:name w:val="Mention1"/>
    <w:basedOn w:val="DefaultParagraphFont"/>
    <w:uiPriority w:val="99"/>
    <w:unhideWhenUsed/>
    <w:rsid w:val="00533351"/>
    <w:rPr>
      <w:color w:val="2B579A"/>
      <w:shd w:val="clear" w:color="auto" w:fill="E6E6E6"/>
    </w:rPr>
  </w:style>
  <w:style w:type="character" w:customStyle="1" w:styleId="UnresolvedMention2">
    <w:name w:val="Unresolved Mention2"/>
    <w:basedOn w:val="DefaultParagraphFont"/>
    <w:uiPriority w:val="99"/>
    <w:semiHidden/>
    <w:unhideWhenUsed/>
    <w:rsid w:val="00533351"/>
    <w:rPr>
      <w:color w:val="605E5C"/>
      <w:shd w:val="clear" w:color="auto" w:fill="E1DFDD"/>
    </w:rPr>
  </w:style>
  <w:style w:type="character" w:customStyle="1" w:styleId="Mention2">
    <w:name w:val="Mention2"/>
    <w:basedOn w:val="DefaultParagraphFont"/>
    <w:uiPriority w:val="99"/>
    <w:unhideWhenUsed/>
    <w:rsid w:val="00533351"/>
    <w:rPr>
      <w:color w:val="2B579A"/>
      <w:shd w:val="clear" w:color="auto" w:fill="E6E6E6"/>
    </w:rPr>
  </w:style>
  <w:style w:type="paragraph" w:customStyle="1" w:styleId="JRCCovertitle">
    <w:name w:val="JRC_Cover_title"/>
    <w:basedOn w:val="Normal"/>
    <w:uiPriority w:val="1"/>
    <w:qFormat/>
    <w:rsid w:val="00533351"/>
    <w:pPr>
      <w:spacing w:before="600" w:after="600" w:line="640" w:lineRule="exact"/>
      <w:ind w:left="-567"/>
      <w:jc w:val="left"/>
    </w:pPr>
    <w:rPr>
      <w:rFonts w:ascii="EC Square Sans Pro" w:eastAsia="Calibri" w:hAnsi="EC Square Sans Pro"/>
      <w:sz w:val="56"/>
      <w:szCs w:val="56"/>
    </w:rPr>
  </w:style>
  <w:style w:type="paragraph" w:styleId="Title">
    <w:name w:val="Title"/>
    <w:basedOn w:val="Normal"/>
    <w:next w:val="Normal"/>
    <w:link w:val="TitleChar"/>
    <w:uiPriority w:val="10"/>
    <w:qFormat/>
    <w:rsid w:val="00533351"/>
    <w:pPr>
      <w:spacing w:before="0" w:after="0" w:line="276" w:lineRule="auto"/>
      <w:contextualSpacing/>
      <w:jc w:val="left"/>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33351"/>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00533351"/>
    <w:pPr>
      <w:spacing w:before="0" w:after="200" w:line="276" w:lineRule="auto"/>
      <w:jc w:val="left"/>
    </w:pPr>
    <w:rPr>
      <w:rFonts w:asciiTheme="minorHAnsi" w:eastAsiaTheme="minorEastAsia" w:hAnsiTheme="minorHAnsi" w:cstheme="minorBidi"/>
      <w:color w:val="5A5A5A"/>
      <w:sz w:val="22"/>
    </w:rPr>
  </w:style>
  <w:style w:type="character" w:customStyle="1" w:styleId="SubtitleChar">
    <w:name w:val="Subtitle Char"/>
    <w:basedOn w:val="DefaultParagraphFont"/>
    <w:link w:val="Subtitle"/>
    <w:uiPriority w:val="11"/>
    <w:rsid w:val="00533351"/>
    <w:rPr>
      <w:rFonts w:eastAsiaTheme="minorEastAsia"/>
      <w:color w:val="5A5A5A"/>
      <w:lang w:val="en-GB"/>
    </w:rPr>
  </w:style>
  <w:style w:type="paragraph" w:styleId="Quote">
    <w:name w:val="Quote"/>
    <w:basedOn w:val="Normal"/>
    <w:next w:val="Normal"/>
    <w:link w:val="QuoteChar"/>
    <w:uiPriority w:val="29"/>
    <w:qFormat/>
    <w:rsid w:val="00533351"/>
    <w:pPr>
      <w:spacing w:before="200" w:after="200" w:line="276" w:lineRule="auto"/>
      <w:ind w:left="864" w:right="864"/>
      <w:jc w:val="center"/>
    </w:pPr>
    <w:rPr>
      <w:rFonts w:asciiTheme="minorHAnsi" w:hAnsiTheme="minorHAnsi" w:cstheme="minorBidi"/>
      <w:i/>
      <w:iCs/>
      <w:color w:val="404040" w:themeColor="text1" w:themeTint="BF"/>
      <w:sz w:val="22"/>
    </w:rPr>
  </w:style>
  <w:style w:type="character" w:customStyle="1" w:styleId="QuoteChar">
    <w:name w:val="Quote Char"/>
    <w:basedOn w:val="DefaultParagraphFont"/>
    <w:link w:val="Quote"/>
    <w:uiPriority w:val="29"/>
    <w:rsid w:val="00533351"/>
    <w:rPr>
      <w:i/>
      <w:iCs/>
      <w:color w:val="404040" w:themeColor="text1" w:themeTint="BF"/>
      <w:lang w:val="en-GB"/>
    </w:rPr>
  </w:style>
  <w:style w:type="paragraph" w:styleId="IntenseQuote">
    <w:name w:val="Intense Quote"/>
    <w:basedOn w:val="Normal"/>
    <w:next w:val="Normal"/>
    <w:link w:val="IntenseQuoteChar"/>
    <w:uiPriority w:val="30"/>
    <w:qFormat/>
    <w:rsid w:val="00533351"/>
    <w:pPr>
      <w:spacing w:before="360" w:after="360" w:line="276" w:lineRule="auto"/>
      <w:ind w:left="864" w:right="864"/>
      <w:jc w:val="center"/>
    </w:pPr>
    <w:rPr>
      <w:rFonts w:asciiTheme="minorHAnsi" w:hAnsiTheme="minorHAnsi" w:cstheme="minorBidi"/>
      <w:i/>
      <w:iCs/>
      <w:color w:val="4F81BD" w:themeColor="accent1"/>
      <w:sz w:val="22"/>
    </w:rPr>
  </w:style>
  <w:style w:type="character" w:customStyle="1" w:styleId="IntenseQuoteChar">
    <w:name w:val="Intense Quote Char"/>
    <w:basedOn w:val="DefaultParagraphFont"/>
    <w:link w:val="IntenseQuote"/>
    <w:uiPriority w:val="30"/>
    <w:rsid w:val="00533351"/>
    <w:rPr>
      <w:i/>
      <w:iCs/>
      <w:color w:val="4F81BD" w:themeColor="accent1"/>
      <w:lang w:val="en-GB"/>
    </w:rPr>
  </w:style>
  <w:style w:type="paragraph" w:styleId="EndnoteText">
    <w:name w:val="endnote text"/>
    <w:basedOn w:val="Normal"/>
    <w:link w:val="EndnoteTextChar"/>
    <w:uiPriority w:val="99"/>
    <w:semiHidden/>
    <w:unhideWhenUsed/>
    <w:rsid w:val="00533351"/>
    <w:pPr>
      <w:spacing w:before="0" w:after="0" w:line="276" w:lineRule="auto"/>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533351"/>
    <w:rPr>
      <w:sz w:val="20"/>
      <w:szCs w:val="20"/>
      <w:lang w:val="en-GB"/>
    </w:rPr>
  </w:style>
  <w:style w:type="paragraph" w:customStyle="1" w:styleId="Normal0">
    <w:name w:val="_Normal"/>
    <w:basedOn w:val="Normal"/>
    <w:link w:val="NormalCar"/>
    <w:qFormat/>
    <w:rsid w:val="00DD5DA2"/>
    <w:pPr>
      <w:spacing w:line="240" w:lineRule="atLeast"/>
    </w:pPr>
    <w:rPr>
      <w:rFonts w:ascii="Arial" w:eastAsia="Times New Roman" w:hAnsi="Arial"/>
      <w:sz w:val="20"/>
      <w:szCs w:val="24"/>
    </w:rPr>
  </w:style>
  <w:style w:type="character" w:customStyle="1" w:styleId="NormalCar">
    <w:name w:val="_Normal Car"/>
    <w:link w:val="Normal0"/>
    <w:rsid w:val="00DD5DA2"/>
    <w:rPr>
      <w:rFonts w:ascii="Arial" w:eastAsia="Times New Roman" w:hAnsi="Arial" w:cs="Times New Roman"/>
      <w:sz w:val="20"/>
      <w:szCs w:val="24"/>
      <w:lang w:val="en-GB"/>
    </w:rPr>
  </w:style>
  <w:style w:type="character" w:customStyle="1" w:styleId="italic1">
    <w:name w:val="italic1"/>
    <w:basedOn w:val="DefaultParagraphFont"/>
    <w:rsid w:val="00B50AE3"/>
    <w:rPr>
      <w:i/>
      <w:iCs/>
    </w:rPr>
  </w:style>
  <w:style w:type="character" w:styleId="Emphasis">
    <w:name w:val="Emphasis"/>
    <w:basedOn w:val="DefaultParagraphFont"/>
    <w:uiPriority w:val="20"/>
    <w:qFormat/>
    <w:rsid w:val="00381008"/>
    <w:rPr>
      <w:i/>
      <w:iCs/>
    </w:rPr>
  </w:style>
  <w:style w:type="paragraph" w:customStyle="1" w:styleId="oj-normal">
    <w:name w:val="oj-normal"/>
    <w:basedOn w:val="Normal"/>
    <w:rsid w:val="00FD4E9A"/>
    <w:pPr>
      <w:spacing w:before="100" w:beforeAutospacing="1" w:after="100" w:afterAutospacing="1"/>
      <w:jc w:val="left"/>
    </w:pPr>
    <w:rPr>
      <w:rFonts w:eastAsia="Times New Roman"/>
      <w:szCs w:val="24"/>
      <w:lang w:val="en-US"/>
    </w:rPr>
  </w:style>
  <w:style w:type="character" w:customStyle="1" w:styleId="UnresolvedMention3">
    <w:name w:val="Unresolved Mention3"/>
    <w:basedOn w:val="DefaultParagraphFont"/>
    <w:uiPriority w:val="99"/>
    <w:unhideWhenUsed/>
    <w:rsid w:val="00D66962"/>
    <w:rPr>
      <w:color w:val="605E5C"/>
      <w:shd w:val="clear" w:color="auto" w:fill="E1DFDD"/>
    </w:rPr>
  </w:style>
  <w:style w:type="character" w:customStyle="1" w:styleId="Mention3">
    <w:name w:val="Mention3"/>
    <w:basedOn w:val="DefaultParagraphFont"/>
    <w:uiPriority w:val="99"/>
    <w:unhideWhenUsed/>
    <w:rsid w:val="00D66962"/>
    <w:rPr>
      <w:color w:val="2B579A"/>
      <w:shd w:val="clear" w:color="auto" w:fill="E1DFDD"/>
    </w:rPr>
  </w:style>
  <w:style w:type="paragraph" w:styleId="Header">
    <w:name w:val="header"/>
    <w:basedOn w:val="Normal"/>
    <w:link w:val="HeaderChar"/>
    <w:uiPriority w:val="99"/>
    <w:unhideWhenUsed/>
    <w:rsid w:val="00E17AC8"/>
    <w:pPr>
      <w:tabs>
        <w:tab w:val="center" w:pos="4535"/>
        <w:tab w:val="right" w:pos="9071"/>
      </w:tabs>
      <w:spacing w:before="0"/>
    </w:pPr>
  </w:style>
  <w:style w:type="character" w:customStyle="1" w:styleId="HeaderChar">
    <w:name w:val="Header Char"/>
    <w:basedOn w:val="DefaultParagraphFont"/>
    <w:link w:val="Header"/>
    <w:uiPriority w:val="99"/>
    <w:rsid w:val="00E17AC8"/>
    <w:rPr>
      <w:rFonts w:ascii="Times New Roman" w:hAnsi="Times New Roman" w:cs="Times New Roman"/>
      <w:sz w:val="24"/>
      <w:lang w:val="en-GB"/>
    </w:rPr>
  </w:style>
  <w:style w:type="paragraph" w:styleId="Footer">
    <w:name w:val="footer"/>
    <w:basedOn w:val="Normal"/>
    <w:link w:val="FooterChar"/>
    <w:uiPriority w:val="99"/>
    <w:unhideWhenUsed/>
    <w:rsid w:val="00E17AC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17AC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17AC8"/>
    <w:pPr>
      <w:tabs>
        <w:tab w:val="center" w:pos="7285"/>
        <w:tab w:val="right" w:pos="14003"/>
      </w:tabs>
      <w:spacing w:before="0"/>
    </w:pPr>
  </w:style>
  <w:style w:type="paragraph" w:customStyle="1" w:styleId="FooterLandscape">
    <w:name w:val="FooterLandscape"/>
    <w:basedOn w:val="Normal"/>
    <w:rsid w:val="00E17AC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17A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17AC8"/>
    <w:pPr>
      <w:spacing w:before="0"/>
      <w:jc w:val="right"/>
    </w:pPr>
    <w:rPr>
      <w:sz w:val="28"/>
    </w:rPr>
  </w:style>
  <w:style w:type="paragraph" w:customStyle="1" w:styleId="FooterSensitivity">
    <w:name w:val="Footer Sensitivity"/>
    <w:basedOn w:val="Normal"/>
    <w:rsid w:val="00E17A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732934">
      <w:bodyDiv w:val="1"/>
      <w:marLeft w:val="0"/>
      <w:marRight w:val="0"/>
      <w:marTop w:val="0"/>
      <w:marBottom w:val="0"/>
      <w:divBdr>
        <w:top w:val="none" w:sz="0" w:space="0" w:color="auto"/>
        <w:left w:val="none" w:sz="0" w:space="0" w:color="auto"/>
        <w:bottom w:val="none" w:sz="0" w:space="0" w:color="auto"/>
        <w:right w:val="none" w:sz="0" w:space="0" w:color="auto"/>
      </w:divBdr>
    </w:div>
    <w:div w:id="1542475541">
      <w:bodyDiv w:val="1"/>
      <w:marLeft w:val="0"/>
      <w:marRight w:val="0"/>
      <w:marTop w:val="0"/>
      <w:marBottom w:val="0"/>
      <w:divBdr>
        <w:top w:val="none" w:sz="0" w:space="0" w:color="auto"/>
        <w:left w:val="none" w:sz="0" w:space="0" w:color="auto"/>
        <w:bottom w:val="none" w:sz="0" w:space="0" w:color="auto"/>
        <w:right w:val="none" w:sz="0" w:space="0" w:color="auto"/>
      </w:divBdr>
      <w:divsChild>
        <w:div w:id="2110930937">
          <w:marLeft w:val="0"/>
          <w:marRight w:val="0"/>
          <w:marTop w:val="0"/>
          <w:marBottom w:val="0"/>
          <w:divBdr>
            <w:top w:val="none" w:sz="0" w:space="0" w:color="auto"/>
            <w:left w:val="none" w:sz="0" w:space="0" w:color="auto"/>
            <w:bottom w:val="none" w:sz="0" w:space="0" w:color="auto"/>
            <w:right w:val="none" w:sz="0" w:space="0" w:color="auto"/>
          </w:divBdr>
        </w:div>
      </w:divsChild>
    </w:div>
    <w:div w:id="1603146723">
      <w:bodyDiv w:val="1"/>
      <w:marLeft w:val="0"/>
      <w:marRight w:val="0"/>
      <w:marTop w:val="0"/>
      <w:marBottom w:val="0"/>
      <w:divBdr>
        <w:top w:val="none" w:sz="0" w:space="0" w:color="auto"/>
        <w:left w:val="none" w:sz="0" w:space="0" w:color="auto"/>
        <w:bottom w:val="none" w:sz="0" w:space="0" w:color="auto"/>
        <w:right w:val="none" w:sz="0" w:space="0" w:color="auto"/>
      </w:divBdr>
    </w:div>
    <w:div w:id="16879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eli/reg/2021/694"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myintracomm.ec.europa.eu/corp/budget/financial-rules/legal-framework/internal-rules/Documents/2022-5-legislative-financial-statement-annex-en.docx"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eur-lex.europa.eu/eli/reg/2021/694"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data.europa.eu/eli/reg/2021/1173/oj" TargetMode="External"/><Relationship Id="rId1" Type="http://schemas.openxmlformats.org/officeDocument/2006/relationships/hyperlink" Target="http://data.europa.eu/eli/dir/2022/2555/art_8/par_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6" ma:contentTypeDescription="Create a new document." ma:contentTypeScope="" ma:versionID="c60821e09ab3bccc25e3fa5ebe26cb13">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3149f800721b0af7de7cae94cc05d436" ns2:_="" ns3:_="">
    <xsd:import namespace="e226d4ca-1ed8-42f0-8f23-f43336c44f4f"/>
    <xsd:import namespace="5a2aaeef-7754-4071-a86d-fc61c328f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ED10-289B-4FBC-9298-F88535FD6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70AC7-EC25-45C1-9098-6F93D411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58</Pages>
  <Words>19286</Words>
  <Characters>111666</Characters>
  <Application>Microsoft Office Word</Application>
  <DocSecurity>0</DocSecurity>
  <Lines>2791</Lines>
  <Paragraphs>1064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129888</CharactersWithSpaces>
  <SharedDoc>false</SharedDoc>
  <HLinks>
    <vt:vector size="84" baseType="variant">
      <vt:variant>
        <vt:i4>6815844</vt:i4>
      </vt:variant>
      <vt:variant>
        <vt:i4>24</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1900670</vt:i4>
      </vt:variant>
      <vt:variant>
        <vt:i4>21</vt:i4>
      </vt:variant>
      <vt:variant>
        <vt:i4>0</vt:i4>
      </vt:variant>
      <vt:variant>
        <vt:i4>5</vt:i4>
      </vt:variant>
      <vt:variant>
        <vt:lpwstr>https://eur-lex.europa.eu/eli/reg/2021/694</vt:lpwstr>
      </vt:variant>
      <vt:variant>
        <vt:lpwstr>ntr28-L_2021166EN.01000101-E0028</vt:lpwstr>
      </vt:variant>
      <vt:variant>
        <vt:i4>1179761</vt:i4>
      </vt:variant>
      <vt:variant>
        <vt:i4>18</vt:i4>
      </vt:variant>
      <vt:variant>
        <vt:i4>0</vt:i4>
      </vt:variant>
      <vt:variant>
        <vt:i4>5</vt:i4>
      </vt:variant>
      <vt:variant>
        <vt:lpwstr>https://eur-lex.europa.eu/eli/reg/2021/694</vt:lpwstr>
      </vt:variant>
      <vt:variant>
        <vt:lpwstr>ntr27-L_2021166EN.01000101-E0027</vt:lpwstr>
      </vt:variant>
      <vt:variant>
        <vt:i4>6881301</vt:i4>
      </vt:variant>
      <vt:variant>
        <vt:i4>15</vt:i4>
      </vt:variant>
      <vt:variant>
        <vt:i4>0</vt:i4>
      </vt:variant>
      <vt:variant>
        <vt:i4>5</vt:i4>
      </vt:variant>
      <vt:variant>
        <vt:lpwstr>https://euc-word-edit.officeapps.live.com/we/wordeditorframe.aspx?ui=en-us&amp;rs=fr-be&amp;wopisrc=https%3A%2F%2Feceuropaeu.sharepoint.com%2Fteams%2FGRP-Septcyberpackage%2F_vti_bin%2Fwopi.ashx%2Ffiles%2F52752091199240cbbe39f1ccc3dcf9a1&amp;wdenableroaming=1&amp;mscc=1&amp;hid=6b699745-98aa-4913-8037-6833ca1088a8.0&amp;uih=teams&amp;uiembed=1&amp;wdlcid=en-us&amp;jsapi=1&amp;jsapiver=v2&amp;corrid=8c2448aa-9518-4b60-a571-2a39f4d6336f&amp;usid=8c2448aa-9518-4b60-a571-2a39f4d6336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recent.recent&amp;wdhostclicktime=1680634601154&amp;instantedit=1&amp;wopicomplete=1&amp;wdredirectionreason=Unified_SingleFlush</vt:lpwstr>
      </vt:variant>
      <vt:variant>
        <vt:lpwstr>_ftnref2</vt:lpwstr>
      </vt:variant>
      <vt:variant>
        <vt:i4>6946837</vt:i4>
      </vt:variant>
      <vt:variant>
        <vt:i4>12</vt:i4>
      </vt:variant>
      <vt:variant>
        <vt:i4>0</vt:i4>
      </vt:variant>
      <vt:variant>
        <vt:i4>5</vt:i4>
      </vt:variant>
      <vt:variant>
        <vt:lpwstr>https://euc-word-edit.officeapps.live.com/we/wordeditorframe.aspx?ui=en-us&amp;rs=fr-be&amp;wopisrc=https%3A%2F%2Feceuropaeu.sharepoint.com%2Fteams%2FGRP-Septcyberpackage%2F_vti_bin%2Fwopi.ashx%2Ffiles%2F52752091199240cbbe39f1ccc3dcf9a1&amp;wdenableroaming=1&amp;mscc=1&amp;hid=6b699745-98aa-4913-8037-6833ca1088a8.0&amp;uih=teams&amp;uiembed=1&amp;wdlcid=en-us&amp;jsapi=1&amp;jsapiver=v2&amp;corrid=8c2448aa-9518-4b60-a571-2a39f4d6336f&amp;usid=8c2448aa-9518-4b60-a571-2a39f4d6336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recent.recent&amp;wdhostclicktime=1680634601154&amp;instantedit=1&amp;wopicomplete=1&amp;wdredirectionreason=Unified_SingleFlush</vt:lpwstr>
      </vt:variant>
      <vt:variant>
        <vt:lpwstr>_ftnref1</vt:lpwstr>
      </vt:variant>
      <vt:variant>
        <vt:i4>4063233</vt:i4>
      </vt:variant>
      <vt:variant>
        <vt:i4>6</vt:i4>
      </vt:variant>
      <vt:variant>
        <vt:i4>0</vt:i4>
      </vt:variant>
      <vt:variant>
        <vt:i4>5</vt:i4>
      </vt:variant>
      <vt:variant>
        <vt:lpwstr>https://euc-word-edit.officeapps.live.com/we/wordeditorframe.aspx?ui=en-us&amp;rs=fr-be&amp;wopisrc=https%3A%2F%2Feceuropaeu.sharepoint.com%2Fteams%2FGRP-Septcyberpackage%2F_vti_bin%2Fwopi.ashx%2Ffiles%2F52752091199240cbbe39f1ccc3dcf9a1&amp;wdenableroaming=1&amp;mscc=1&amp;hid=6b699745-98aa-4913-8037-6833ca1088a8.0&amp;uih=teams&amp;uiembed=1&amp;wdlcid=en-us&amp;jsapi=1&amp;jsapiver=v2&amp;corrid=8c2448aa-9518-4b60-a571-2a39f4d6336f&amp;usid=8c2448aa-9518-4b60-a571-2a39f4d6336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recent.recent&amp;wdhostclicktime=1680634601154&amp;instantedit=1&amp;wopicomplete=1&amp;wdredirectionreason=Unified_SingleFlush</vt:lpwstr>
      </vt:variant>
      <vt:variant>
        <vt:lpwstr>_ftn2</vt:lpwstr>
      </vt:variant>
      <vt:variant>
        <vt:i4>4063233</vt:i4>
      </vt:variant>
      <vt:variant>
        <vt:i4>0</vt:i4>
      </vt:variant>
      <vt:variant>
        <vt:i4>0</vt:i4>
      </vt:variant>
      <vt:variant>
        <vt:i4>5</vt:i4>
      </vt:variant>
      <vt:variant>
        <vt:lpwstr>https://euc-word-edit.officeapps.live.com/we/wordeditorframe.aspx?ui=en-us&amp;rs=fr-be&amp;wopisrc=https%3A%2F%2Feceuropaeu.sharepoint.com%2Fteams%2FGRP-Septcyberpackage%2F_vti_bin%2Fwopi.ashx%2Ffiles%2F52752091199240cbbe39f1ccc3dcf9a1&amp;wdenableroaming=1&amp;mscc=1&amp;hid=6b699745-98aa-4913-8037-6833ca1088a8.0&amp;uih=teams&amp;uiembed=1&amp;wdlcid=en-us&amp;jsapi=1&amp;jsapiver=v2&amp;corrid=8c2448aa-9518-4b60-a571-2a39f4d6336f&amp;usid=8c2448aa-9518-4b60-a571-2a39f4d6336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recent.recent&amp;wdhostclicktime=1680634601154&amp;instantedit=1&amp;wopicomplete=1&amp;wdredirectionreason=Unified_SingleFlush</vt:lpwstr>
      </vt:variant>
      <vt:variant>
        <vt:lpwstr>_ftn1</vt:lpwstr>
      </vt:variant>
      <vt:variant>
        <vt:i4>262150</vt:i4>
      </vt:variant>
      <vt:variant>
        <vt:i4>21</vt:i4>
      </vt:variant>
      <vt:variant>
        <vt:i4>0</vt:i4>
      </vt:variant>
      <vt:variant>
        <vt:i4>5</vt:i4>
      </vt:variant>
      <vt:variant>
        <vt:lpwstr>https://myintracomm.ec.europa.eu/corp/budget/financial-rules/budget-implementation/Pages/implementation-methods.aspx</vt:lpwstr>
      </vt:variant>
      <vt:variant>
        <vt:lpwstr/>
      </vt:variant>
      <vt:variant>
        <vt:i4>7012477</vt:i4>
      </vt:variant>
      <vt:variant>
        <vt:i4>18</vt:i4>
      </vt:variant>
      <vt:variant>
        <vt:i4>0</vt:i4>
      </vt:variant>
      <vt:variant>
        <vt:i4>5</vt:i4>
      </vt:variant>
      <vt:variant>
        <vt:lpwstr>http://data.europa.eu/eli/dec/2013/1313/oj</vt:lpwstr>
      </vt:variant>
      <vt:variant>
        <vt:lpwstr/>
      </vt:variant>
      <vt:variant>
        <vt:i4>7274606</vt:i4>
      </vt:variant>
      <vt:variant>
        <vt:i4>15</vt:i4>
      </vt:variant>
      <vt:variant>
        <vt:i4>0</vt:i4>
      </vt:variant>
      <vt:variant>
        <vt:i4>5</vt:i4>
      </vt:variant>
      <vt:variant>
        <vt:lpwstr>http://data.europa.eu/eli/reg/2021/1173/oj</vt:lpwstr>
      </vt:variant>
      <vt:variant>
        <vt:lpwstr/>
      </vt:variant>
      <vt:variant>
        <vt:i4>7471219</vt:i4>
      </vt:variant>
      <vt:variant>
        <vt:i4>12</vt:i4>
      </vt:variant>
      <vt:variant>
        <vt:i4>0</vt:i4>
      </vt:variant>
      <vt:variant>
        <vt:i4>5</vt:i4>
      </vt:variant>
      <vt:variant>
        <vt:lpwstr>http://data.europa.eu/eli/dir/2022/2555/art_8/par_3/oj</vt:lpwstr>
      </vt:variant>
      <vt:variant>
        <vt:lpwstr/>
      </vt:variant>
      <vt:variant>
        <vt:i4>6946837</vt:i4>
      </vt:variant>
      <vt:variant>
        <vt:i4>6</vt:i4>
      </vt:variant>
      <vt:variant>
        <vt:i4>0</vt:i4>
      </vt:variant>
      <vt:variant>
        <vt:i4>5</vt:i4>
      </vt:variant>
      <vt:variant>
        <vt:lpwstr>https://euc-word-edit.officeapps.live.com/we/wordeditorframe.aspx?ui=en-us&amp;rs=fr-be&amp;wopisrc=https%3A%2F%2Feceuropaeu.sharepoint.com%2Fteams%2FGRP-Septcyberpackage%2F_vti_bin%2Fwopi.ashx%2Ffiles%2F52752091199240cbbe39f1ccc3dcf9a1&amp;wdenableroaming=1&amp;mscc=1&amp;hid=6b699745-98aa-4913-8037-6833ca1088a8.0&amp;uih=teams&amp;uiembed=1&amp;wdlcid=en-us&amp;jsapi=1&amp;jsapiver=v2&amp;corrid=8c2448aa-9518-4b60-a571-2a39f4d6336f&amp;usid=8c2448aa-9518-4b60-a571-2a39f4d6336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recent.recent&amp;wdhostclicktime=1680634601154&amp;instantedit=1&amp;wopicomplete=1&amp;wdredirectionreason=Unified_SingleFlush</vt:lpwstr>
      </vt:variant>
      <vt:variant>
        <vt:lpwstr>_ftnref1</vt:lpwstr>
      </vt:variant>
      <vt:variant>
        <vt:i4>6946837</vt:i4>
      </vt:variant>
      <vt:variant>
        <vt:i4>2</vt:i4>
      </vt:variant>
      <vt:variant>
        <vt:i4>0</vt:i4>
      </vt:variant>
      <vt:variant>
        <vt:i4>5</vt:i4>
      </vt:variant>
      <vt:variant>
        <vt:lpwstr>https://euc-word-edit.officeapps.live.com/we/wordeditorframe.aspx?ui=en-us&amp;rs=fr-be&amp;wopisrc=https%3A%2F%2Feceuropaeu.sharepoint.com%2Fteams%2FGRP-Septcyberpackage%2F_vti_bin%2Fwopi.ashx%2Ffiles%2F52752091199240cbbe39f1ccc3dcf9a1&amp;wdenableroaming=1&amp;mscc=1&amp;hid=6b699745-98aa-4913-8037-6833ca1088a8.0&amp;uih=teams&amp;uiembed=1&amp;wdlcid=en-us&amp;jsapi=1&amp;jsapiver=v2&amp;corrid=8c2448aa-9518-4b60-a571-2a39f4d6336f&amp;usid=8c2448aa-9518-4b60-a571-2a39f4d6336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recent.recent&amp;wdhostclicktime=1680634601154&amp;instantedit=1&amp;wopicomplete=1&amp;wdredirectionreason=Unified_SingleFlush</vt:lpwstr>
      </vt:variant>
      <vt:variant>
        <vt:lpwstr>_ftnref1</vt:lpwstr>
      </vt:variant>
      <vt:variant>
        <vt:i4>6946837</vt:i4>
      </vt:variant>
      <vt:variant>
        <vt:i4>0</vt:i4>
      </vt:variant>
      <vt:variant>
        <vt:i4>0</vt:i4>
      </vt:variant>
      <vt:variant>
        <vt:i4>5</vt:i4>
      </vt:variant>
      <vt:variant>
        <vt:lpwstr>https://euc-word-edit.officeapps.live.com/we/wordeditorframe.aspx?ui=en-us&amp;rs=fr-be&amp;wopisrc=https%3A%2F%2Feceuropaeu.sharepoint.com%2Fteams%2FGRP-Septcyberpackage%2F_vti_bin%2Fwopi.ashx%2Ffiles%2F52752091199240cbbe39f1ccc3dcf9a1&amp;wdenableroaming=1&amp;mscc=1&amp;hid=6b699745-98aa-4913-8037-6833ca1088a8.0&amp;uih=teams&amp;uiembed=1&amp;wdlcid=en-us&amp;jsapi=1&amp;jsapiver=v2&amp;corrid=8c2448aa-9518-4b60-a571-2a39f4d6336f&amp;usid=8c2448aa-9518-4b60-a571-2a39f4d6336f&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ELECTRON.recent.recent&amp;wdhostclicktime=1680634601154&amp;instantedit=1&amp;wopicomplete=1&amp;wdredirectionreason=Unified_SingleFlush</vt:lpwstr>
      </vt:variant>
      <vt:variant>
        <vt:lpwstr>_ftnref1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2023-04-17T17:06:00Z</dcterms:created>
  <dcterms:modified xsi:type="dcterms:W3CDTF">2023-04-17T17:52:00Z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2023-04-11T15:05:45Z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9bfb4df1-90ab-461c-bc6e-4753bcb7b74c</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Yellow (DQC version 03)</vt:lpwstr>
  </property>
</Properties>
</file>