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A4B75" w14:textId="326A79F2" w:rsidR="003B7796" w:rsidRPr="00C74128" w:rsidRDefault="00540894" w:rsidP="00540894">
      <w:pPr>
        <w:pStyle w:val="Pagedecouverture"/>
        <w:rPr>
          <w:noProof/>
        </w:rPr>
      </w:pPr>
      <w:r>
        <w:rPr>
          <w:noProof/>
        </w:rPr>
        <w:pict w14:anchorId="4A174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689CE6D-FE61-4AA6-AA28-33EC32048DF2" style="width:455.25pt;height:369.75pt">
            <v:imagedata r:id="rId10" o:title=""/>
          </v:shape>
        </w:pict>
      </w:r>
    </w:p>
    <w:p w14:paraId="1E8353C2" w14:textId="77777777" w:rsidR="00373CD6" w:rsidRPr="00C74128" w:rsidRDefault="00373CD6" w:rsidP="00373CD6">
      <w:pPr>
        <w:rPr>
          <w:noProof/>
        </w:rPr>
        <w:sectPr w:rsidR="00373CD6" w:rsidRPr="00C74128" w:rsidSect="00540894">
          <w:footerReference w:type="default" r:id="rId11"/>
          <w:pgSz w:w="11907" w:h="16839"/>
          <w:pgMar w:top="1134" w:right="1417" w:bottom="1134" w:left="1417" w:header="709" w:footer="709" w:gutter="0"/>
          <w:pgNumType w:start="0"/>
          <w:cols w:space="720"/>
          <w:docGrid w:linePitch="360"/>
        </w:sectPr>
      </w:pPr>
    </w:p>
    <w:p w14:paraId="1E070AA7" w14:textId="77777777" w:rsidR="003B7796" w:rsidRPr="00C74128" w:rsidRDefault="003B7796" w:rsidP="008E3FAD">
      <w:pPr>
        <w:pStyle w:val="Exposdesmotifstitre"/>
        <w:rPr>
          <w:noProof/>
        </w:rPr>
      </w:pPr>
      <w:bookmarkStart w:id="0" w:name="_GoBack"/>
      <w:bookmarkEnd w:id="0"/>
      <w:r w:rsidRPr="00C74128">
        <w:rPr>
          <w:noProof/>
        </w:rPr>
        <w:lastRenderedPageBreak/>
        <w:t>ОБЯСНИТЕЛЕН МЕМОРАНДУМ</w:t>
      </w:r>
    </w:p>
    <w:p w14:paraId="51EC13D5" w14:textId="77777777" w:rsidR="003B7796" w:rsidRPr="00C74128" w:rsidRDefault="003B7796" w:rsidP="008E3FAD">
      <w:pPr>
        <w:pStyle w:val="ManualHeading1"/>
        <w:rPr>
          <w:noProof/>
        </w:rPr>
      </w:pPr>
      <w:r w:rsidRPr="00C74128">
        <w:rPr>
          <w:noProof/>
        </w:rPr>
        <w:t>1.</w:t>
      </w:r>
      <w:r w:rsidRPr="00C74128">
        <w:rPr>
          <w:noProof/>
        </w:rPr>
        <w:tab/>
        <w:t>КОНТЕКСТ НА ПРЕДЛОЖЕНИЕТО</w:t>
      </w:r>
    </w:p>
    <w:p w14:paraId="68C1A1E0" w14:textId="77777777" w:rsidR="003B7796" w:rsidRPr="00C74128" w:rsidRDefault="003B7796" w:rsidP="008E3FAD">
      <w:pPr>
        <w:pStyle w:val="ManualHeading2"/>
        <w:rPr>
          <w:rFonts w:eastAsia="Arial Unicode MS"/>
          <w:noProof/>
        </w:rPr>
      </w:pPr>
      <w:r w:rsidRPr="00C74128">
        <w:rPr>
          <w:noProof/>
          <w:color w:val="000000"/>
          <w:u w:color="000000"/>
          <w:bdr w:val="nil"/>
        </w:rPr>
        <w:t>•</w:t>
      </w:r>
      <w:r w:rsidRPr="00C74128">
        <w:rPr>
          <w:noProof/>
        </w:rPr>
        <w:tab/>
        <w:t>Основания и цели на предложението</w:t>
      </w:r>
    </w:p>
    <w:p w14:paraId="018044B2" w14:textId="777A8EE0" w:rsidR="002715B2" w:rsidRPr="00C74128" w:rsidRDefault="002715B2" w:rsidP="00D5585B">
      <w:pPr>
        <w:rPr>
          <w:noProof/>
        </w:rPr>
      </w:pPr>
      <w:r w:rsidRPr="00C74128">
        <w:rPr>
          <w:noProof/>
        </w:rPr>
        <w:t>Една от задачите на Европейската агенция за гранична и брегова охрана (Агенцията) е да си сътрудничи с трети държави във връзка с областите, обхванати от Регламента за европейската гранична и брегова охрана (Регламент (ЕС) 2019/1896) („регламентът“), „включително чрез евентуално оперативно разполагане в трети държави на екипи за управление на границите“</w:t>
      </w:r>
      <w:r w:rsidRPr="00C74128">
        <w:rPr>
          <w:rStyle w:val="FootnoteReference"/>
          <w:noProof/>
        </w:rPr>
        <w:footnoteReference w:id="2"/>
      </w:r>
      <w:r w:rsidRPr="00C74128">
        <w:rPr>
          <w:noProof/>
        </w:rPr>
        <w:t>. По-конкретно Агенцията, като част от европейската гранична и брегова охрана, трябва да гарантира европейското интегрирано управление на границите</w:t>
      </w:r>
      <w:r w:rsidRPr="00C74128">
        <w:rPr>
          <w:rStyle w:val="FootnoteReference"/>
          <w:noProof/>
        </w:rPr>
        <w:footnoteReference w:id="3"/>
      </w:r>
      <w:r w:rsidRPr="00C74128">
        <w:rPr>
          <w:noProof/>
        </w:rPr>
        <w:t>, един от компонентите на което е сътрудничеството с трети държави в областите, обхванати от регламента, с акцент по-специално върху съседните трети държави и държавите на произход или транзитно преминаване на незаконни мигранти</w:t>
      </w:r>
      <w:r w:rsidRPr="00C74128">
        <w:rPr>
          <w:rStyle w:val="FootnoteReference"/>
          <w:noProof/>
        </w:rPr>
        <w:footnoteReference w:id="4"/>
      </w:r>
      <w:r w:rsidRPr="00C74128">
        <w:rPr>
          <w:noProof/>
        </w:rPr>
        <w:t>. Агенцията може да си сътрудничи с органите на трети държави, компетентни по въпросите, обхванати от регламента, доколкото това е необходимо за изпълнението на нейните задачи</w:t>
      </w:r>
      <w:r w:rsidRPr="00C74128">
        <w:rPr>
          <w:rStyle w:val="FootnoteReference"/>
          <w:noProof/>
        </w:rPr>
        <w:footnoteReference w:id="5"/>
      </w:r>
      <w:r w:rsidRPr="00C74128">
        <w:rPr>
          <w:noProof/>
        </w:rPr>
        <w:t>, и може да извършва действия, свързани с европейското интегрирано управление на границите на територията на трета държава, със съгласието на тази трета държава.</w:t>
      </w:r>
    </w:p>
    <w:p w14:paraId="30D81CC2" w14:textId="6E250388" w:rsidR="002715B2" w:rsidRPr="00C74128" w:rsidRDefault="002715B2" w:rsidP="002715B2">
      <w:pPr>
        <w:rPr>
          <w:rStyle w:val="CommentReference"/>
          <w:noProof/>
        </w:rPr>
      </w:pPr>
      <w:r w:rsidRPr="00C74128">
        <w:rPr>
          <w:noProof/>
        </w:rPr>
        <w:t>Съгласно член 73, параграф 3 от регламента при обстоятелства, които изискват разполагането на екипи за управление на границите от Постоянния корпус на европейската гранична и брегова охрана в трета държава, в която членовете на екипите ще упражняват изпълнителни правомощия, Съюзът сключва споразумение за статута със съответната трета държава. Такова споразумение за статута следва да се основава на образеца, който Комисията е изготвила, както е предвидено в член 76, параграф 1 от същия регламент. Комисията прие този образец на 21 декември 2021 г.</w:t>
      </w:r>
      <w:r w:rsidRPr="00C74128">
        <w:rPr>
          <w:rStyle w:val="FootnoteReference"/>
          <w:noProof/>
        </w:rPr>
        <w:footnoteReference w:id="6"/>
      </w:r>
    </w:p>
    <w:p w14:paraId="2752B61B" w14:textId="598B3310" w:rsidR="002715B2" w:rsidRPr="00C74128" w:rsidRDefault="002715B2" w:rsidP="002715B2">
      <w:pPr>
        <w:rPr>
          <w:strike/>
          <w:noProof/>
        </w:rPr>
      </w:pPr>
      <w:bookmarkStart w:id="1" w:name="_Hlk131344468"/>
      <w:r w:rsidRPr="00C74128">
        <w:rPr>
          <w:noProof/>
        </w:rPr>
        <w:t xml:space="preserve">Черна гора се намира на миграционния маршрут през </w:t>
      </w:r>
      <w:r w:rsidRPr="00C74128">
        <w:rPr>
          <w:noProof/>
          <w:color w:val="000000" w:themeColor="text1"/>
        </w:rPr>
        <w:t xml:space="preserve">Западните Балкани, по който се наблюдава значителна </w:t>
      </w:r>
      <w:r w:rsidRPr="00C74128">
        <w:rPr>
          <w:noProof/>
        </w:rPr>
        <w:t xml:space="preserve">незаконна миграция към Европейския съюз както по суша, така и през Адриатическо море. През 2022 г. Агенцията регистрира 144 118 незаконни преминавания на външните граници на Европейския съюз по маршрута през Западните Балкани. Незаконните мигранти са мишена на организирани престъпни групи, занимаващи се с контрабанда на хора, и са изложени на голям риск от нарушаване на правата на човека. Големият брой на </w:t>
      </w:r>
      <w:bookmarkEnd w:id="1"/>
      <w:r w:rsidRPr="00C74128">
        <w:rPr>
          <w:noProof/>
        </w:rPr>
        <w:t>незаконно пристигащите и молбите за убежище оказва също значителен натиск върху някои държави — членки на Европейския съюз, което води до необходимостта от общи, координирани действия на равнището на Съюза въз основа на принципите на справедливо разпределение на отговорността и на солидарност, залегнали в Пакта за миграцията и убежището</w:t>
      </w:r>
      <w:r w:rsidRPr="00C74128">
        <w:rPr>
          <w:rStyle w:val="FootnoteReference"/>
          <w:noProof/>
        </w:rPr>
        <w:footnoteReference w:id="7"/>
      </w:r>
      <w:r w:rsidRPr="00C74128">
        <w:rPr>
          <w:noProof/>
        </w:rPr>
        <w:t xml:space="preserve">. </w:t>
      </w:r>
    </w:p>
    <w:p w14:paraId="2B20E0F5" w14:textId="3E2B4581" w:rsidR="002715B2" w:rsidRPr="00C74128" w:rsidRDefault="002715B2" w:rsidP="002715B2">
      <w:pPr>
        <w:rPr>
          <w:noProof/>
        </w:rPr>
      </w:pPr>
      <w:r w:rsidRPr="00C74128">
        <w:rPr>
          <w:noProof/>
        </w:rPr>
        <w:t>През 2017 г. Европейската комисия преговаря с Черна гора за споразумение за статута въз основа на предишния Регламент за европейската гранична и брегова охрана (Регламент (ЕС) 2016/1624</w:t>
      </w:r>
      <w:r w:rsidRPr="00C74128">
        <w:rPr>
          <w:rStyle w:val="FootnoteReference"/>
          <w:noProof/>
        </w:rPr>
        <w:footnoteReference w:id="8"/>
      </w:r>
      <w:r w:rsidRPr="00C74128">
        <w:rPr>
          <w:noProof/>
        </w:rPr>
        <w:t>). Това споразумение беше подписано през октомври 2019 г.; Съветът прие съответното решение за сключването му през май 2020 г. и то влезе в сила на 1 юли 2020 г</w:t>
      </w:r>
      <w:r w:rsidR="00030BDE">
        <w:rPr>
          <w:noProof/>
          <w:lang w:val="en-US"/>
        </w:rPr>
        <w:t>.</w:t>
      </w:r>
      <w:r w:rsidRPr="00C74128">
        <w:rPr>
          <w:rStyle w:val="FootnoteReference"/>
          <w:noProof/>
        </w:rPr>
        <w:footnoteReference w:id="9"/>
      </w:r>
      <w:r w:rsidRPr="00C74128">
        <w:rPr>
          <w:noProof/>
        </w:rPr>
        <w:t xml:space="preserve"> </w:t>
      </w:r>
    </w:p>
    <w:p w14:paraId="2762E4DB" w14:textId="3F661AD5" w:rsidR="002715B2" w:rsidRPr="00C74128" w:rsidRDefault="002715B2" w:rsidP="002715B2">
      <w:pPr>
        <w:rPr>
          <w:noProof/>
        </w:rPr>
      </w:pPr>
      <w:r w:rsidRPr="00C74128">
        <w:rPr>
          <w:noProof/>
        </w:rPr>
        <w:t xml:space="preserve">Съвместните операции, провеждани въз основа на това споразумение за статута, са ограничени до границите на Черна гора с Европейския съюз — понастоящем 14 km сухопътна граница с Република Хърватия и участъци от Адриатическо море. Агенцията започна две съвместни операции в Черна гора: </w:t>
      </w:r>
      <w:r w:rsidRPr="00C74128">
        <w:rPr>
          <w:i/>
          <w:noProof/>
        </w:rPr>
        <w:t>Операция Montenegro Land</w:t>
      </w:r>
      <w:r w:rsidRPr="00C74128">
        <w:rPr>
          <w:noProof/>
        </w:rPr>
        <w:t xml:space="preserve"> по сухопътната граница на Черна гора с Хърватия (започната на 15 юли 2020 г.) и </w:t>
      </w:r>
      <w:r w:rsidRPr="00C74128">
        <w:rPr>
          <w:i/>
          <w:noProof/>
        </w:rPr>
        <w:t>операция Montenegro Sea</w:t>
      </w:r>
      <w:r w:rsidRPr="00C74128">
        <w:rPr>
          <w:noProof/>
        </w:rPr>
        <w:t xml:space="preserve"> по морската граница на Черна гора с Италия (започната на 14 октомври 2020 г.). </w:t>
      </w:r>
    </w:p>
    <w:p w14:paraId="17F274D6" w14:textId="27DE1B76" w:rsidR="002715B2" w:rsidRPr="00C74128" w:rsidRDefault="002715B2" w:rsidP="002715B2">
      <w:pPr>
        <w:rPr>
          <w:noProof/>
        </w:rPr>
      </w:pPr>
      <w:r w:rsidRPr="00C74128">
        <w:rPr>
          <w:noProof/>
        </w:rPr>
        <w:t xml:space="preserve">Още през октомври 2021 г. Министерството на вътрешните работи на Черна гора информира Европейската служба за външна дейност, че желае да започне преговори по споразумение за статута въз основа на новия Регламент (ЕС) 2019/1896 за европейската гранична и брегова охрана, който дава възможност и за съвместни операции по граници, различни от тези с Европейския съюз, за да се даде възможност за разполагане на персонал на Агенцията по цялата дължина на границите на страната. Поради това на 20 май 2022 г. службите на Комисията представиха на органите на Черна гора образеца на споразумение за статута съгласно регламента от 2019 г., като подчертаха различията по отношение на действащото понастоящем споразумение за статута. </w:t>
      </w:r>
    </w:p>
    <w:p w14:paraId="1B15F191" w14:textId="7BDCF8CE" w:rsidR="002715B2" w:rsidRPr="00C74128" w:rsidRDefault="002715B2" w:rsidP="002715B2">
      <w:pPr>
        <w:spacing w:before="0" w:after="240"/>
        <w:rPr>
          <w:noProof/>
        </w:rPr>
      </w:pPr>
      <w:r w:rsidRPr="00C74128">
        <w:rPr>
          <w:noProof/>
        </w:rPr>
        <w:t xml:space="preserve">На 18 ноември 2022 г. Съветът упълномощи Комисията да започне преговори с Черна гора, както и с Албания, Сърбия и Босна и Херцеговина, за споразумение относно оперативните дейности, които да се извършват от Европейската агенция за гранична и брегова охрана в тези държави (т.е. споразумение за статута въз основа на Регламент (ЕС) 2019/1896). На 30 ноември 2022 г. Комисията организира среща с четирите горепосочени държави, на която бяха изтъкнати основните новости в образеца на споразумение за статута. На 23 и 24 февруари 2023 г. в Подгорица Европейската комисия, от името на Европейския съюз, и Черна гора проведоха официални преговори за постигане на споразумение. Комисията счита, че целите, определени от Съвета в неговите указания за водене на преговорите, са постигнати и че споразумението е приемливо за Съюза. </w:t>
      </w:r>
    </w:p>
    <w:p w14:paraId="4AD6EB4A" w14:textId="6741EB59" w:rsidR="002715B2" w:rsidRPr="00C74128" w:rsidRDefault="002715B2" w:rsidP="002715B2">
      <w:pPr>
        <w:pBdr>
          <w:top w:val="nil"/>
          <w:left w:val="nil"/>
          <w:bottom w:val="nil"/>
          <w:right w:val="nil"/>
          <w:between w:val="nil"/>
          <w:bar w:val="nil"/>
        </w:pBdr>
        <w:spacing w:before="0" w:after="240"/>
        <w:rPr>
          <w:noProof/>
        </w:rPr>
      </w:pPr>
      <w:r w:rsidRPr="00C74128">
        <w:rPr>
          <w:noProof/>
        </w:rPr>
        <w:t>Приложеното предложение за решение на Съвета представлява правното основание за подписването на Споразумението между Европейския съюз и Черна гора относно оперативните дейности, извършвани от Европейската агенция за гранична и брегова охрана в Черна гора.</w:t>
      </w:r>
    </w:p>
    <w:p w14:paraId="37B86A33" w14:textId="77777777" w:rsidR="00750500" w:rsidRPr="00C74128" w:rsidRDefault="00750500" w:rsidP="00750500">
      <w:pPr>
        <w:rPr>
          <w:i/>
          <w:noProof/>
        </w:rPr>
      </w:pPr>
      <w:r w:rsidRPr="00C74128">
        <w:rPr>
          <w:i/>
          <w:noProof/>
        </w:rPr>
        <w:t xml:space="preserve">Положение на асоциираните към Шенген държави </w:t>
      </w:r>
    </w:p>
    <w:p w14:paraId="38CEF893" w14:textId="33C875F1" w:rsidR="00750500" w:rsidRPr="00C74128" w:rsidRDefault="00750500" w:rsidP="00750500">
      <w:pPr>
        <w:pBdr>
          <w:top w:val="nil"/>
          <w:left w:val="nil"/>
          <w:bottom w:val="nil"/>
          <w:right w:val="nil"/>
          <w:between w:val="nil"/>
          <w:bar w:val="nil"/>
        </w:pBdr>
        <w:spacing w:before="0" w:after="240"/>
        <w:rPr>
          <w:noProof/>
        </w:rPr>
      </w:pPr>
      <w:r w:rsidRPr="00C74128">
        <w:rPr>
          <w:noProof/>
        </w:rPr>
        <w:t>Настоящото предложение доразвива достиженията на правото от Шенген в областта на управлението на външните граници. При все това Съюзът няма правомощия да сключи споразумение за статута с Черна гора по начин, който обвързва Норвегия, Исландия, Швейцария и Лихтенщайн. За да се гарантира, че граничните служители и другите компетентни служители, изпратени от тези държави в Черна гора, се ползват със същия статут като предвидения в бъдещото споразумение за статута, в съвместни декларации, приложени към споразумението, следва да се посочи, че е желателно да бъдат сключени подобни споразумения между Черна гора и всяка от тези асоциирани държави.</w:t>
      </w:r>
    </w:p>
    <w:p w14:paraId="470D71CE" w14:textId="72D1C7FA" w:rsidR="00750500" w:rsidRPr="00C74128" w:rsidRDefault="00750500" w:rsidP="002715B2">
      <w:pPr>
        <w:pBdr>
          <w:top w:val="nil"/>
          <w:left w:val="nil"/>
          <w:bottom w:val="nil"/>
          <w:right w:val="nil"/>
          <w:between w:val="nil"/>
          <w:bar w:val="nil"/>
        </w:pBdr>
        <w:spacing w:before="0" w:after="240"/>
        <w:rPr>
          <w:rStyle w:val="CommentReference"/>
          <w:noProof/>
          <w:sz w:val="24"/>
          <w:szCs w:val="22"/>
        </w:rPr>
      </w:pPr>
      <w:r w:rsidRPr="00C74128">
        <w:rPr>
          <w:noProof/>
        </w:rPr>
        <w:t>Настоящото решение представлява развитие на разпоредбите на достиженията на правото от Шенген, в които Ирландия не участва в съответствие с Решение 2002/192/ЕО на Съвета</w:t>
      </w:r>
      <w:r w:rsidRPr="00C74128">
        <w:rPr>
          <w:rStyle w:val="FootnoteReference"/>
          <w:noProof/>
        </w:rPr>
        <w:footnoteReference w:id="10"/>
      </w:r>
      <w:r w:rsidRPr="00C74128">
        <w:rPr>
          <w:noProof/>
        </w:rPr>
        <w:t>. Следователно Ирландия не участва в неговото приемане и не е обвързана от него, нито от неговото прилагане. 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настоящото решение и не е обвързана от него, нито от неговото прилагане.</w:t>
      </w:r>
    </w:p>
    <w:p w14:paraId="0295A446" w14:textId="77777777" w:rsidR="003B7796" w:rsidRPr="00C74128" w:rsidRDefault="003B7796" w:rsidP="008E3FAD">
      <w:pPr>
        <w:pStyle w:val="ManualHeading2"/>
        <w:rPr>
          <w:rFonts w:eastAsia="Arial Unicode MS"/>
          <w:noProof/>
        </w:rPr>
      </w:pPr>
      <w:r w:rsidRPr="00C74128">
        <w:rPr>
          <w:noProof/>
          <w:color w:val="000000"/>
          <w:u w:color="000000"/>
          <w:bdr w:val="nil"/>
        </w:rPr>
        <w:t>•</w:t>
      </w:r>
      <w:r w:rsidRPr="00C74128">
        <w:rPr>
          <w:noProof/>
        </w:rPr>
        <w:tab/>
        <w:t>Съгласуваност с други политики на Съюза</w:t>
      </w:r>
    </w:p>
    <w:p w14:paraId="344D93F0" w14:textId="2B8293EE" w:rsidR="00263CB2" w:rsidRPr="00C74128" w:rsidRDefault="0011774E" w:rsidP="00263CB2">
      <w:pPr>
        <w:rPr>
          <w:noProof/>
        </w:rPr>
      </w:pPr>
      <w:r w:rsidRPr="00C74128">
        <w:rPr>
          <w:noProof/>
        </w:rPr>
        <w:t>Засилването на контрола на територията на Черна гора ще окаже положително въздействие върху управлението на външните граници на Съюза, както и на границите на самата Черна гора. Сключването на споразумение за статута ще бъде в съответствие с по-широките цели и приоритети за сътрудничество, определени в Споразумението за стабилизиране и асоцииране между Европейския съюз и Черна гора</w:t>
      </w:r>
      <w:r w:rsidRPr="00C74128">
        <w:rPr>
          <w:rStyle w:val="FootnoteReference"/>
          <w:noProof/>
        </w:rPr>
        <w:footnoteReference w:id="11"/>
      </w:r>
      <w:r w:rsidRPr="00C74128">
        <w:rPr>
          <w:noProof/>
        </w:rPr>
        <w:t>.</w:t>
      </w:r>
    </w:p>
    <w:p w14:paraId="2E55D99F" w14:textId="11DF0849" w:rsidR="00750500" w:rsidRPr="00C74128" w:rsidRDefault="0011774E" w:rsidP="00263CB2">
      <w:pPr>
        <w:rPr>
          <w:rFonts w:eastAsia="Arial Unicode MS"/>
          <w:noProof/>
        </w:rPr>
      </w:pPr>
      <w:r w:rsidRPr="00C74128">
        <w:rPr>
          <w:noProof/>
        </w:rPr>
        <w:t>Сключването на споразумение за статута би могло също така да подпомогне по-широките усилия и ангажименти на Европейския съюз за по-нататъшно развитие на способностите с цел да се допринесе за управлението на реакцията при кризи и да се насърчи сближаването по въпросите на външната политика и сигурността между Съюза и Черна гора.</w:t>
      </w:r>
    </w:p>
    <w:p w14:paraId="0D7D60CA" w14:textId="77777777" w:rsidR="003B7796" w:rsidRPr="00C74128" w:rsidRDefault="003B7796" w:rsidP="008E3FAD">
      <w:pPr>
        <w:pStyle w:val="ManualHeading1"/>
        <w:rPr>
          <w:noProof/>
        </w:rPr>
      </w:pPr>
      <w:r w:rsidRPr="00C74128">
        <w:rPr>
          <w:noProof/>
        </w:rPr>
        <w:t>2.</w:t>
      </w:r>
      <w:r w:rsidRPr="00C74128">
        <w:rPr>
          <w:noProof/>
        </w:rPr>
        <w:tab/>
        <w:t>ПРАВНО ОСНОВАНИЕ, СУБСИДИАРНОСТ И ПРОПОРЦИОНАЛНОСТ</w:t>
      </w:r>
    </w:p>
    <w:p w14:paraId="1DF6D62A" w14:textId="77777777" w:rsidR="003B7796" w:rsidRPr="00C74128" w:rsidRDefault="003B7796" w:rsidP="008E3FAD">
      <w:pPr>
        <w:pStyle w:val="ManualHeading2"/>
        <w:rPr>
          <w:rFonts w:eastAsia="Arial Unicode MS"/>
          <w:noProof/>
          <w:u w:color="000000"/>
          <w:bdr w:val="nil"/>
        </w:rPr>
      </w:pPr>
      <w:r w:rsidRPr="00C74128">
        <w:rPr>
          <w:noProof/>
          <w:u w:color="000000"/>
          <w:bdr w:val="nil"/>
        </w:rPr>
        <w:t>•</w:t>
      </w:r>
      <w:r w:rsidRPr="00C74128">
        <w:rPr>
          <w:noProof/>
        </w:rPr>
        <w:tab/>
      </w:r>
      <w:r w:rsidRPr="00C74128">
        <w:rPr>
          <w:noProof/>
          <w:u w:color="000000"/>
          <w:bdr w:val="nil"/>
        </w:rPr>
        <w:t>Правно основание</w:t>
      </w:r>
    </w:p>
    <w:p w14:paraId="2844147E" w14:textId="77777777" w:rsidR="0011774E" w:rsidRPr="00C74128" w:rsidRDefault="0011774E" w:rsidP="0011774E">
      <w:pPr>
        <w:autoSpaceDE w:val="0"/>
        <w:autoSpaceDN w:val="0"/>
        <w:adjustRightInd w:val="0"/>
        <w:rPr>
          <w:noProof/>
          <w:szCs w:val="24"/>
        </w:rPr>
      </w:pPr>
      <w:r w:rsidRPr="00C74128">
        <w:rPr>
          <w:noProof/>
        </w:rPr>
        <w:t xml:space="preserve">Правното основание за настоящото предложение са член 77, параграф 2, букви б) и г) и член 79, параграф 2, буква в) от ДФЕС във връзка с член 218, параграф 5 от ДФЕС. </w:t>
      </w:r>
    </w:p>
    <w:p w14:paraId="56D2F1E6" w14:textId="4CDB0535" w:rsidR="0011774E" w:rsidRPr="00C74128" w:rsidRDefault="0011774E" w:rsidP="0011774E">
      <w:pPr>
        <w:autoSpaceDE w:val="0"/>
        <w:autoSpaceDN w:val="0"/>
        <w:adjustRightInd w:val="0"/>
        <w:rPr>
          <w:noProof/>
          <w:szCs w:val="24"/>
        </w:rPr>
      </w:pPr>
      <w:r w:rsidRPr="00C74128">
        <w:rPr>
          <w:noProof/>
        </w:rPr>
        <w:t>Компетентността на Европейския съюз да сключва споразумение за статута е предвидена изрично в член 73, параграф 3 от Регламент (Е</w:t>
      </w:r>
      <w:r w:rsidR="00365687">
        <w:rPr>
          <w:noProof/>
        </w:rPr>
        <w:t>С) 2019/1896, който гласи, че „</w:t>
      </w:r>
      <w:r w:rsidRPr="00C74128">
        <w:rPr>
          <w:noProof/>
        </w:rPr>
        <w:t xml:space="preserve">при обстоятелства, които изискват разполагането на екипи за управление на границите от постоянния корпус в трета държава, в която членовете на екипите ще упражняват изпълнителни правомощия, Съюзът […] сключва споразумение за статута със съответната трета държава“. </w:t>
      </w:r>
    </w:p>
    <w:p w14:paraId="7596F35F" w14:textId="6353195D" w:rsidR="0011774E" w:rsidRPr="00C74128" w:rsidRDefault="0011774E" w:rsidP="0011774E">
      <w:pPr>
        <w:autoSpaceDE w:val="0"/>
        <w:autoSpaceDN w:val="0"/>
        <w:adjustRightInd w:val="0"/>
        <w:rPr>
          <w:noProof/>
        </w:rPr>
      </w:pPr>
      <w:r w:rsidRPr="00C74128">
        <w:rPr>
          <w:noProof/>
        </w:rPr>
        <w:t>Съгласно член 3, параграф 2 от Договора за функционирането на Европейския съюз Съюзът разполага с изключителна компетентност за сключването на международни споразумения, когато това е предвидено в законодателен акт на Съюза. В член 73, параграф 3 от Регламент (ЕС) 2019/1896 се предвижда, че Европейският съюз „сключва споразумение за статута със съответната трета държава“. Следователно споразумението, което предстои да бъде подписано и сключено с Черна гора, е от изключителната компетентност на Европейския съюз. В съответствие с член 73, параграф 3 от Регламент (ЕС) 2019/1896 предложеното споразумение за статута се основава на образеца на споразумение, приет от Комисията през декември 2021 г.,</w:t>
      </w:r>
      <w:r w:rsidRPr="00C74128">
        <w:rPr>
          <w:rStyle w:val="FootnoteReference"/>
          <w:noProof/>
        </w:rPr>
        <w:footnoteReference w:id="12"/>
      </w:r>
      <w:r w:rsidRPr="00C74128">
        <w:rPr>
          <w:noProof/>
        </w:rPr>
        <w:t>, като се взема предвид съществуващото споразумение за статута с Черна гора</w:t>
      </w:r>
      <w:r w:rsidRPr="00C74128">
        <w:rPr>
          <w:rStyle w:val="FootnoteReference"/>
          <w:noProof/>
        </w:rPr>
        <w:footnoteReference w:id="13"/>
      </w:r>
      <w:r w:rsidRPr="00C74128">
        <w:rPr>
          <w:noProof/>
        </w:rPr>
        <w:t>.</w:t>
      </w:r>
    </w:p>
    <w:p w14:paraId="5C041099" w14:textId="77777777" w:rsidR="003B7796" w:rsidRPr="00C74128" w:rsidRDefault="003B7796" w:rsidP="008E3FAD">
      <w:pPr>
        <w:pStyle w:val="ManualHeading2"/>
        <w:rPr>
          <w:rFonts w:eastAsia="Arial Unicode MS"/>
          <w:noProof/>
          <w:u w:color="000000"/>
          <w:bdr w:val="nil"/>
        </w:rPr>
      </w:pPr>
      <w:r w:rsidRPr="00C74128">
        <w:rPr>
          <w:noProof/>
          <w:u w:color="000000"/>
          <w:bdr w:val="nil"/>
        </w:rPr>
        <w:t>•</w:t>
      </w:r>
      <w:r w:rsidRPr="00C74128">
        <w:rPr>
          <w:noProof/>
        </w:rPr>
        <w:tab/>
      </w:r>
      <w:r w:rsidRPr="00C74128">
        <w:rPr>
          <w:noProof/>
          <w:u w:color="000000"/>
          <w:bdr w:val="nil"/>
        </w:rPr>
        <w:t xml:space="preserve">Субсидиарност (при неизключителна компетентност) </w:t>
      </w:r>
    </w:p>
    <w:p w14:paraId="135D5530" w14:textId="6035DCEC" w:rsidR="003913D6" w:rsidRPr="00C74128" w:rsidRDefault="0017518E" w:rsidP="53FD2246">
      <w:pPr>
        <w:keepNext/>
        <w:contextualSpacing/>
        <w:rPr>
          <w:iCs/>
          <w:noProof/>
        </w:rPr>
      </w:pPr>
      <w:r w:rsidRPr="00C74128">
        <w:rPr>
          <w:noProof/>
        </w:rPr>
        <w:t xml:space="preserve">Не се прилага — изключителна компетентност. </w:t>
      </w:r>
    </w:p>
    <w:p w14:paraId="5C9FA8CC" w14:textId="77777777" w:rsidR="003B7796" w:rsidRPr="00C74128" w:rsidRDefault="003B7796" w:rsidP="008E3FAD">
      <w:pPr>
        <w:pStyle w:val="ManualHeading1"/>
        <w:rPr>
          <w:noProof/>
        </w:rPr>
      </w:pPr>
      <w:r w:rsidRPr="00C74128">
        <w:rPr>
          <w:noProof/>
        </w:rPr>
        <w:t>3.</w:t>
      </w:r>
      <w:r w:rsidRPr="00C74128">
        <w:rPr>
          <w:noProof/>
        </w:rPr>
        <w:tab/>
        <w:t>РЕЗУЛТАТИ ОТ ПОСЛЕДВАЩИТЕ ОЦЕНКИ, КОНСУЛТАЦИИТЕ СЪС ЗАИНТЕРЕСОВАНИТЕ СТРАНИ И ОЦЕНКИТЕ НА ВЪЗДЕЙСТВИЕТО</w:t>
      </w:r>
    </w:p>
    <w:p w14:paraId="741B7538" w14:textId="77777777" w:rsidR="003B7796" w:rsidRPr="00C74128" w:rsidRDefault="003B7796" w:rsidP="008E3FAD">
      <w:pPr>
        <w:pStyle w:val="ManualHeading2"/>
        <w:rPr>
          <w:rFonts w:eastAsia="Arial Unicode MS"/>
          <w:noProof/>
          <w:u w:color="000000"/>
          <w:bdr w:val="nil"/>
        </w:rPr>
      </w:pPr>
      <w:r w:rsidRPr="00C74128">
        <w:rPr>
          <w:noProof/>
          <w:u w:color="000000"/>
          <w:bdr w:val="nil"/>
        </w:rPr>
        <w:t>•</w:t>
      </w:r>
      <w:r w:rsidRPr="00C74128">
        <w:rPr>
          <w:noProof/>
        </w:rPr>
        <w:tab/>
      </w:r>
      <w:r w:rsidRPr="00C74128">
        <w:rPr>
          <w:noProof/>
          <w:u w:color="000000"/>
          <w:bdr w:val="nil"/>
        </w:rPr>
        <w:t>Последващи оценки/проверки за пригодност на действащото законодателство</w:t>
      </w:r>
    </w:p>
    <w:p w14:paraId="214807FA" w14:textId="77777777" w:rsidR="003913D6" w:rsidRPr="00C74128" w:rsidRDefault="003913D6" w:rsidP="003913D6">
      <w:pPr>
        <w:autoSpaceDE w:val="0"/>
        <w:autoSpaceDN w:val="0"/>
        <w:adjustRightInd w:val="0"/>
        <w:rPr>
          <w:noProof/>
          <w:szCs w:val="24"/>
        </w:rPr>
      </w:pPr>
      <w:r w:rsidRPr="00C74128">
        <w:rPr>
          <w:noProof/>
        </w:rPr>
        <w:t xml:space="preserve">Тъй като това ще бъде ново споразумение, оценка или проверки за пригодност на съществуващите инструменти не биха могли да бъдат извършени. Не е необходима оценка на въздействието за договарянето на споразумение за статута. </w:t>
      </w:r>
    </w:p>
    <w:p w14:paraId="3AA98AAA" w14:textId="3053C844" w:rsidR="003B7796" w:rsidRPr="00C74128" w:rsidRDefault="003B7796" w:rsidP="008E3FAD">
      <w:pPr>
        <w:pStyle w:val="ManualHeading2"/>
        <w:rPr>
          <w:rFonts w:eastAsia="Arial Unicode MS"/>
          <w:noProof/>
          <w:u w:color="000000"/>
          <w:bdr w:val="nil"/>
        </w:rPr>
      </w:pPr>
      <w:r w:rsidRPr="00C74128">
        <w:rPr>
          <w:noProof/>
          <w:u w:color="000000"/>
          <w:bdr w:val="nil"/>
        </w:rPr>
        <w:t>•</w:t>
      </w:r>
      <w:r w:rsidRPr="00C74128">
        <w:rPr>
          <w:noProof/>
        </w:rPr>
        <w:tab/>
      </w:r>
      <w:r w:rsidRPr="00C74128">
        <w:rPr>
          <w:noProof/>
          <w:u w:color="000000"/>
          <w:bdr w:val="nil"/>
        </w:rPr>
        <w:t xml:space="preserve">Основни права </w:t>
      </w:r>
    </w:p>
    <w:p w14:paraId="4AF902CB" w14:textId="23FB3A3A" w:rsidR="00ED47CF" w:rsidRPr="00C74128" w:rsidRDefault="00ED47CF" w:rsidP="00ED47CF">
      <w:pPr>
        <w:pBdr>
          <w:top w:val="nil"/>
          <w:left w:val="nil"/>
          <w:bottom w:val="nil"/>
          <w:right w:val="nil"/>
          <w:between w:val="nil"/>
          <w:bar w:val="nil"/>
        </w:pBdr>
        <w:spacing w:after="240"/>
        <w:rPr>
          <w:noProof/>
        </w:rPr>
      </w:pPr>
      <w:r w:rsidRPr="00C74128">
        <w:rPr>
          <w:noProof/>
        </w:rPr>
        <w:t>В съответствие със съображение 88 от Регламент (ЕС) 2019/1896 Комисията ще направи оценка на положението с основните права, свързано с областите, обхванати от споразумението за статута в Черна гора, и ще информира Европейския парламент за това.</w:t>
      </w:r>
    </w:p>
    <w:p w14:paraId="4DED0CFF" w14:textId="77777777" w:rsidR="00ED47CF" w:rsidRPr="00C74128" w:rsidRDefault="00ED47CF" w:rsidP="00ED47CF">
      <w:pPr>
        <w:pBdr>
          <w:top w:val="nil"/>
          <w:left w:val="nil"/>
          <w:bottom w:val="nil"/>
          <w:right w:val="nil"/>
          <w:between w:val="nil"/>
          <w:bar w:val="nil"/>
        </w:pBdr>
        <w:spacing w:after="240"/>
        <w:rPr>
          <w:rFonts w:eastAsia="Arial Unicode MS"/>
          <w:noProof/>
        </w:rPr>
      </w:pPr>
      <w:r w:rsidRPr="00C74128">
        <w:rPr>
          <w:noProof/>
        </w:rPr>
        <w:t xml:space="preserve">Предвиденото споразумение ще съдържа практически мерки, свързани със зачитането на основните права, и ще гарантира пълното зачитане на основните права по време на дейностите, организирани въз основа на споразумението. Споразумението ще предвижда независим и ефективен механизъм за подаване на жалби съгласно съответните разпоредби на Регламент (ЕС) 2019/1896, за да се наблюдава и гарантира зачитането на основните права във всички дейности, организирани въз основа на споразумението. </w:t>
      </w:r>
    </w:p>
    <w:p w14:paraId="1BF5A645" w14:textId="77777777" w:rsidR="00ED47CF" w:rsidRPr="00C74128" w:rsidRDefault="003B7796" w:rsidP="00ED47CF">
      <w:pPr>
        <w:pStyle w:val="ManualHeading2"/>
        <w:rPr>
          <w:rFonts w:eastAsia="Arial Unicode MS"/>
          <w:noProof/>
          <w:u w:color="000000"/>
          <w:bdr w:val="nil"/>
        </w:rPr>
      </w:pPr>
      <w:r w:rsidRPr="00C74128">
        <w:rPr>
          <w:noProof/>
          <w:u w:color="000000"/>
          <w:bdr w:val="nil"/>
        </w:rPr>
        <w:t>•</w:t>
      </w:r>
      <w:r w:rsidRPr="00C74128">
        <w:rPr>
          <w:noProof/>
        </w:rPr>
        <w:tab/>
      </w:r>
      <w:r w:rsidRPr="00C74128">
        <w:rPr>
          <w:noProof/>
          <w:u w:color="000000"/>
          <w:bdr w:val="nil"/>
        </w:rPr>
        <w:t>Защита на данните</w:t>
      </w:r>
    </w:p>
    <w:p w14:paraId="1B40F0A5" w14:textId="0D693795" w:rsidR="003B7796" w:rsidRPr="00C74128" w:rsidRDefault="00ED47CF" w:rsidP="00ED47CF">
      <w:pPr>
        <w:pBdr>
          <w:top w:val="nil"/>
          <w:left w:val="nil"/>
          <w:bottom w:val="nil"/>
          <w:right w:val="nil"/>
          <w:between w:val="nil"/>
          <w:bar w:val="nil"/>
        </w:pBdr>
        <w:spacing w:after="240"/>
        <w:rPr>
          <w:noProof/>
          <w:szCs w:val="24"/>
        </w:rPr>
      </w:pPr>
      <w:r w:rsidRPr="00C74128">
        <w:rPr>
          <w:noProof/>
        </w:rPr>
        <w:t>Ако разпоредбите на споразумението за статута, свързани с прехвърлянето на данни, се различават съществено от образеца на споразумение за статута, ще се проведе консултация с Европейския надзорен орган по защита на данните относно тези разпоредби.</w:t>
      </w:r>
    </w:p>
    <w:p w14:paraId="255CA536" w14:textId="77777777" w:rsidR="003B7796" w:rsidRPr="00C74128" w:rsidRDefault="003B7796" w:rsidP="008E3FAD">
      <w:pPr>
        <w:pStyle w:val="ManualHeading1"/>
        <w:rPr>
          <w:noProof/>
        </w:rPr>
      </w:pPr>
      <w:r w:rsidRPr="00C74128">
        <w:rPr>
          <w:noProof/>
        </w:rPr>
        <w:t>4.</w:t>
      </w:r>
      <w:r w:rsidRPr="00C74128">
        <w:rPr>
          <w:noProof/>
        </w:rPr>
        <w:tab/>
        <w:t>ОТРАЖЕНИЕ ВЪРХУ БЮДЖЕТА</w:t>
      </w:r>
    </w:p>
    <w:p w14:paraId="380681BF" w14:textId="77777777" w:rsidR="00ED47CF" w:rsidRPr="00C74128" w:rsidRDefault="00ED47CF" w:rsidP="00ED47CF">
      <w:pPr>
        <w:autoSpaceDE w:val="0"/>
        <w:autoSpaceDN w:val="0"/>
        <w:adjustRightInd w:val="0"/>
        <w:spacing w:after="0"/>
        <w:rPr>
          <w:noProof/>
          <w:szCs w:val="24"/>
        </w:rPr>
      </w:pPr>
      <w:r w:rsidRPr="00C74128">
        <w:rPr>
          <w:noProof/>
        </w:rPr>
        <w:t>Споразумението за статута само по себе си няма да доведе до финансови последици. Действителното разполагане на екипи за гранична охрана въз основа на оперативен план би довело до разходи, поемани от бюджета на Агенцията. Бъдещите операции въз основа на споразумение за статута ще се финансират със собствените ресурси на Агенцията, както е предвидено в годишния бюджетен цикъл на Съюза.</w:t>
      </w:r>
    </w:p>
    <w:p w14:paraId="6CAC4BE2" w14:textId="77777777" w:rsidR="00ED47CF" w:rsidRPr="00C74128" w:rsidRDefault="00ED47CF" w:rsidP="00ED47CF">
      <w:pPr>
        <w:autoSpaceDE w:val="0"/>
        <w:autoSpaceDN w:val="0"/>
        <w:adjustRightInd w:val="0"/>
        <w:spacing w:after="0"/>
        <w:rPr>
          <w:noProof/>
          <w:szCs w:val="24"/>
        </w:rPr>
      </w:pPr>
      <w:r w:rsidRPr="00C74128">
        <w:rPr>
          <w:noProof/>
        </w:rPr>
        <w:t xml:space="preserve">Вноската на Съюза за Европейската агенция за гранична и брегова охрана вече е част от бюджета на Съюза, </w:t>
      </w:r>
      <w:r w:rsidRPr="00C74128">
        <w:rPr>
          <w:rStyle w:val="normaltextrun"/>
          <w:noProof/>
          <w:color w:val="000000"/>
        </w:rPr>
        <w:t>както е посочено в заключенията на Съвета към Споразумението за многогодишната финансова рамка.</w:t>
      </w:r>
    </w:p>
    <w:p w14:paraId="06297BDB" w14:textId="77777777" w:rsidR="003B7796" w:rsidRPr="00C74128" w:rsidRDefault="003B7796" w:rsidP="008E3FAD">
      <w:pPr>
        <w:pStyle w:val="ManualHeading1"/>
        <w:rPr>
          <w:noProof/>
        </w:rPr>
      </w:pPr>
      <w:r w:rsidRPr="00C74128">
        <w:rPr>
          <w:noProof/>
        </w:rPr>
        <w:t>5.</w:t>
      </w:r>
      <w:r w:rsidRPr="00C74128">
        <w:rPr>
          <w:noProof/>
        </w:rPr>
        <w:tab/>
        <w:t>ДРУГИ ЕЛЕМЕНТИ</w:t>
      </w:r>
    </w:p>
    <w:p w14:paraId="29A0DAF5" w14:textId="77777777" w:rsidR="00ED47CF" w:rsidRPr="00C74128" w:rsidRDefault="003B7796" w:rsidP="00ED47CF">
      <w:pPr>
        <w:pStyle w:val="ManualHeading2"/>
        <w:rPr>
          <w:rFonts w:eastAsia="Arial Unicode MS"/>
          <w:noProof/>
          <w:u w:color="000000"/>
          <w:bdr w:val="nil"/>
        </w:rPr>
      </w:pPr>
      <w:r w:rsidRPr="00C74128">
        <w:rPr>
          <w:noProof/>
          <w:u w:color="000000"/>
          <w:bdr w:val="nil"/>
        </w:rPr>
        <w:t>•</w:t>
      </w:r>
      <w:r w:rsidRPr="00C74128">
        <w:rPr>
          <w:noProof/>
        </w:rPr>
        <w:tab/>
      </w:r>
      <w:r w:rsidRPr="00C74128">
        <w:rPr>
          <w:noProof/>
          <w:u w:color="000000"/>
          <w:bdr w:val="nil"/>
        </w:rPr>
        <w:t>Планове за изпълнение и механизми за мониторинг, оценка и докладване</w:t>
      </w:r>
    </w:p>
    <w:p w14:paraId="14EBD416" w14:textId="305AC3CD" w:rsidR="003B7796" w:rsidRPr="00C74128" w:rsidRDefault="00ED47CF" w:rsidP="00ED47CF">
      <w:pPr>
        <w:rPr>
          <w:noProof/>
          <w:szCs w:val="24"/>
        </w:rPr>
        <w:sectPr w:rsidR="003B7796" w:rsidRPr="00C74128" w:rsidSect="00540894">
          <w:footerReference w:type="default" r:id="rId12"/>
          <w:footerReference w:type="first" r:id="rId13"/>
          <w:pgSz w:w="11907" w:h="16839"/>
          <w:pgMar w:top="1134" w:right="1417" w:bottom="1134" w:left="1417" w:header="709" w:footer="709" w:gutter="0"/>
          <w:cols w:space="708"/>
          <w:docGrid w:linePitch="360"/>
        </w:sectPr>
      </w:pPr>
      <w:r w:rsidRPr="00C74128">
        <w:rPr>
          <w:noProof/>
        </w:rPr>
        <w:t xml:space="preserve">Комисията ще осигури подходящ мониторинг на изпълнението на споразумението за статута. </w:t>
      </w:r>
    </w:p>
    <w:p w14:paraId="4FB46FDD" w14:textId="1F176BF3" w:rsidR="00C941BD" w:rsidRDefault="00C941BD" w:rsidP="00C941BD">
      <w:pPr>
        <w:pStyle w:val="Rfrenceinterinstitutionnelle"/>
        <w:rPr>
          <w:noProof/>
        </w:rPr>
      </w:pPr>
      <w:r w:rsidRPr="00C941BD">
        <w:t>2023/0101 (NLE)</w:t>
      </w:r>
    </w:p>
    <w:p w14:paraId="3633FD2D" w14:textId="7E70FD5A" w:rsidR="003B7796" w:rsidRPr="00C74128" w:rsidRDefault="00C74128" w:rsidP="00C74128">
      <w:pPr>
        <w:pStyle w:val="Statut"/>
        <w:rPr>
          <w:noProof/>
        </w:rPr>
      </w:pPr>
      <w:r w:rsidRPr="00C74128">
        <w:rPr>
          <w:noProof/>
        </w:rPr>
        <w:t>Предложение за</w:t>
      </w:r>
    </w:p>
    <w:p w14:paraId="03846F22" w14:textId="47EED828" w:rsidR="003B7796" w:rsidRPr="00C74128" w:rsidRDefault="00C74128" w:rsidP="00C74128">
      <w:pPr>
        <w:pStyle w:val="Typedudocument"/>
        <w:rPr>
          <w:noProof/>
        </w:rPr>
      </w:pPr>
      <w:r w:rsidRPr="00C74128">
        <w:rPr>
          <w:noProof/>
        </w:rPr>
        <w:t>РЕШЕНИЕ НА СЪВЕТА</w:t>
      </w:r>
    </w:p>
    <w:p w14:paraId="0AA81F48" w14:textId="51B95F27" w:rsidR="003B7796" w:rsidRPr="00C74128" w:rsidRDefault="00C74128" w:rsidP="00C74128">
      <w:pPr>
        <w:pStyle w:val="Titreobjet"/>
        <w:rPr>
          <w:noProof/>
        </w:rPr>
      </w:pPr>
      <w:r w:rsidRPr="00C74128">
        <w:rPr>
          <w:noProof/>
        </w:rPr>
        <w:t>за подписване, от името на Съюза, и временно прилагане на Споразумението между Европейския съюз и Черна гора относно оперативните дейности, извършвани от Европейската агенция за гранична и брегова охрана в Черна гора</w:t>
      </w:r>
    </w:p>
    <w:p w14:paraId="6EC4BBE9" w14:textId="77777777" w:rsidR="003B7796" w:rsidRPr="00C74128" w:rsidRDefault="003B7796" w:rsidP="008E3FAD">
      <w:pPr>
        <w:pStyle w:val="Institutionquiagit"/>
        <w:rPr>
          <w:noProof/>
        </w:rPr>
      </w:pPr>
      <w:r w:rsidRPr="00C74128">
        <w:rPr>
          <w:noProof/>
        </w:rPr>
        <w:t>СЪВЕТЪТ НА ЕВРОПЕЙСКИЯ СЪЮЗ,</w:t>
      </w:r>
    </w:p>
    <w:p w14:paraId="01A9B578" w14:textId="6206807C" w:rsidR="00ED47CF" w:rsidRPr="00C74128" w:rsidRDefault="00ED47CF" w:rsidP="00ED47CF">
      <w:pPr>
        <w:autoSpaceDE w:val="0"/>
        <w:autoSpaceDN w:val="0"/>
        <w:adjustRightInd w:val="0"/>
        <w:spacing w:after="0"/>
        <w:rPr>
          <w:noProof/>
        </w:rPr>
      </w:pPr>
      <w:r w:rsidRPr="00C74128">
        <w:rPr>
          <w:noProof/>
        </w:rPr>
        <w:t>като взе предвид Договора за функционирането на Европейския съюз, и по-специално член 77, параграф 2, букви б) и г) и член 79, параграф 2, буква в) от ДФЕС във връзка с член 218, параграф 5 от него,</w:t>
      </w:r>
    </w:p>
    <w:p w14:paraId="37C554E3" w14:textId="77777777" w:rsidR="00ED47CF" w:rsidRPr="00C74128" w:rsidRDefault="00ED47CF" w:rsidP="00ED47CF">
      <w:pPr>
        <w:rPr>
          <w:noProof/>
          <w:szCs w:val="24"/>
        </w:rPr>
      </w:pPr>
      <w:r w:rsidRPr="00C74128">
        <w:rPr>
          <w:noProof/>
        </w:rPr>
        <w:t xml:space="preserve">като взе предвид предложението на Европейската комисия, </w:t>
      </w:r>
    </w:p>
    <w:p w14:paraId="2CDACD33" w14:textId="77777777" w:rsidR="003B7796" w:rsidRPr="00C74128" w:rsidRDefault="003B7796" w:rsidP="008E3FAD">
      <w:pPr>
        <w:rPr>
          <w:noProof/>
        </w:rPr>
      </w:pPr>
      <w:r w:rsidRPr="00C74128">
        <w:rPr>
          <w:noProof/>
        </w:rPr>
        <w:t>като има предвид, че:</w:t>
      </w:r>
    </w:p>
    <w:p w14:paraId="60FEEEBF" w14:textId="4539A6A7" w:rsidR="003B7796" w:rsidRPr="00C74128" w:rsidRDefault="00112201" w:rsidP="00112201">
      <w:pPr>
        <w:pStyle w:val="ManualConsidrant"/>
        <w:rPr>
          <w:noProof/>
        </w:rPr>
      </w:pPr>
      <w:r w:rsidRPr="00112201">
        <w:t>(1)</w:t>
      </w:r>
      <w:r w:rsidRPr="00112201">
        <w:tab/>
      </w:r>
      <w:r w:rsidR="00ED47CF" w:rsidRPr="00C74128">
        <w:rPr>
          <w:noProof/>
        </w:rPr>
        <w:t>При обстоятелства, които изискват разполагането на екипи за управление на границите от постоянния корпус на европейската гранична и брегова охрана в трета държава, в която членовете на екипите ще упражняват изпълнителни правомощия, в член 73, параграф 3 от Регламент (ЕС) 2019/1896</w:t>
      </w:r>
      <w:r w:rsidR="00ED47CF" w:rsidRPr="00C74128">
        <w:rPr>
          <w:rStyle w:val="FootnoteReference"/>
          <w:rFonts w:eastAsia="Times New Roman"/>
          <w:noProof/>
          <w:szCs w:val="24"/>
        </w:rPr>
        <w:footnoteReference w:id="14"/>
      </w:r>
      <w:r w:rsidR="00ED47CF" w:rsidRPr="00C74128">
        <w:rPr>
          <w:noProof/>
        </w:rPr>
        <w:t xml:space="preserve"> се призовава Съюзът да сключи споразумение за статута със съответната трета държава въз основа на член 218 от Договора а функционирането на Европейския съюз.</w:t>
      </w:r>
    </w:p>
    <w:p w14:paraId="2F1A11B2" w14:textId="7DDA92AB" w:rsidR="003B7796" w:rsidRPr="00C74128" w:rsidRDefault="00112201" w:rsidP="00112201">
      <w:pPr>
        <w:pStyle w:val="ManualConsidrant"/>
        <w:rPr>
          <w:noProof/>
        </w:rPr>
      </w:pPr>
      <w:r w:rsidRPr="00112201">
        <w:t>(2)</w:t>
      </w:r>
      <w:r w:rsidRPr="00112201">
        <w:tab/>
      </w:r>
      <w:r w:rsidR="00ED47CF" w:rsidRPr="00C74128">
        <w:rPr>
          <w:noProof/>
        </w:rPr>
        <w:t>На 18 ноември 2022 г. Съветът упълномощи Комисията да започне преговори с Черна гора за споразумение относно оперативните дейности, извършвани от Европейската агенция за гранична и брегова охрана в Черна гора („споразумението“)</w:t>
      </w:r>
      <w:r w:rsidR="00ED47CF" w:rsidRPr="00C74128">
        <w:rPr>
          <w:rStyle w:val="FootnoteReference"/>
          <w:noProof/>
        </w:rPr>
        <w:footnoteReference w:id="15"/>
      </w:r>
      <w:r w:rsidR="00ED47CF" w:rsidRPr="00C74128">
        <w:rPr>
          <w:noProof/>
        </w:rPr>
        <w:t>.</w:t>
      </w:r>
    </w:p>
    <w:p w14:paraId="7FAA5CA9" w14:textId="677B3CDB" w:rsidR="001B076B" w:rsidRPr="00C74128" w:rsidRDefault="00112201" w:rsidP="00112201">
      <w:pPr>
        <w:pStyle w:val="ManualConsidrant"/>
        <w:rPr>
          <w:rStyle w:val="eop"/>
          <w:noProof/>
        </w:rPr>
      </w:pPr>
      <w:r w:rsidRPr="00112201">
        <w:rPr>
          <w:rStyle w:val="eop"/>
        </w:rPr>
        <w:t>(3)</w:t>
      </w:r>
      <w:r w:rsidRPr="00112201">
        <w:rPr>
          <w:rStyle w:val="eop"/>
        </w:rPr>
        <w:tab/>
      </w:r>
      <w:r w:rsidR="00ED47CF" w:rsidRPr="00C74128">
        <w:rPr>
          <w:rStyle w:val="eop"/>
          <w:noProof/>
        </w:rPr>
        <w:t>Тези преговори приключиха успешно с парафирането на споразумението.</w:t>
      </w:r>
    </w:p>
    <w:p w14:paraId="2E29C9D7" w14:textId="75CD7E82" w:rsidR="001B076B" w:rsidRPr="00C74128" w:rsidRDefault="00112201" w:rsidP="00112201">
      <w:pPr>
        <w:pStyle w:val="ManualConsidrant"/>
        <w:rPr>
          <w:noProof/>
        </w:rPr>
      </w:pPr>
      <w:r w:rsidRPr="00112201">
        <w:t>(4)</w:t>
      </w:r>
      <w:r w:rsidRPr="00112201">
        <w:tab/>
      </w:r>
      <w:r w:rsidR="001B076B" w:rsidRPr="00C74128">
        <w:rPr>
          <w:rStyle w:val="normaltextrun"/>
          <w:noProof/>
        </w:rPr>
        <w:t>Настоящото решение представлява развитие на разпоредбите на достиженията на правото от Шенген, в които Ирландия не участва в съответствие с Решение 2002/192/ЕО на Съвета</w:t>
      </w:r>
      <w:r w:rsidR="001B076B" w:rsidRPr="00C74128">
        <w:rPr>
          <w:rStyle w:val="FootnoteReference"/>
          <w:noProof/>
        </w:rPr>
        <w:footnoteReference w:id="16"/>
      </w:r>
      <w:r w:rsidR="001B076B" w:rsidRPr="00C74128">
        <w:rPr>
          <w:rStyle w:val="normaltextrun"/>
          <w:noProof/>
        </w:rPr>
        <w:t>; следователно Ирландия не участва в неговото приемане и не е обвързана от него, нито от неговото прилагане.</w:t>
      </w:r>
    </w:p>
    <w:p w14:paraId="77BE7C8F" w14:textId="3F8F416B" w:rsidR="001B076B" w:rsidRPr="00C74128" w:rsidRDefault="00112201" w:rsidP="00112201">
      <w:pPr>
        <w:pStyle w:val="ManualConsidrant"/>
        <w:rPr>
          <w:rStyle w:val="normaltextrun"/>
          <w:noProof/>
        </w:rPr>
      </w:pPr>
      <w:r w:rsidRPr="00112201">
        <w:rPr>
          <w:rStyle w:val="normaltextrun"/>
        </w:rPr>
        <w:t>(5)</w:t>
      </w:r>
      <w:r w:rsidRPr="00112201">
        <w:rPr>
          <w:rStyle w:val="normaltextrun"/>
        </w:rPr>
        <w:tab/>
      </w:r>
      <w:r w:rsidR="001B076B" w:rsidRPr="00C74128">
        <w:rPr>
          <w:rStyle w:val="normaltextrun"/>
          <w:noProof/>
        </w:rPr>
        <w:t>В съответствие с членове 1 и 2 от Протокол № 22 относно позицията на Дания</w:t>
      </w:r>
      <w:r w:rsidR="001B076B" w:rsidRPr="00C74128">
        <w:rPr>
          <w:rStyle w:val="FootnoteReference"/>
          <w:noProof/>
        </w:rPr>
        <w:footnoteReference w:id="17"/>
      </w:r>
      <w:r w:rsidR="001B076B" w:rsidRPr="00C74128">
        <w:rPr>
          <w:rStyle w:val="normaltextrun"/>
          <w:noProof/>
        </w:rPr>
        <w:t>, приложен към Договора за Европейския съюз и към Договора за функционирането на Европейския съюз, Дания не участва в приемането на настоящото решение и не е обвързана от него, нито от неговото прилагане. Доколкото настоящото решение представлява развитие на достиженията на правото от Шенген, в срок от шест месеца след вземането на решение от Съвета относно настоящото решение Дания взема решение, в съответствие с член 4 от посочения протокол, дали да го въведе в националното си право.</w:t>
      </w:r>
    </w:p>
    <w:p w14:paraId="5361EFE8" w14:textId="4F886B75" w:rsidR="00792426" w:rsidRPr="00C74128" w:rsidRDefault="00112201" w:rsidP="00112201">
      <w:pPr>
        <w:pStyle w:val="ManualConsidrant"/>
        <w:rPr>
          <w:rStyle w:val="normaltextrun"/>
          <w:noProof/>
        </w:rPr>
      </w:pPr>
      <w:r w:rsidRPr="00112201">
        <w:rPr>
          <w:rStyle w:val="normaltextrun"/>
        </w:rPr>
        <w:t>(6)</w:t>
      </w:r>
      <w:r w:rsidRPr="00112201">
        <w:rPr>
          <w:rStyle w:val="normaltextrun"/>
        </w:rPr>
        <w:tab/>
      </w:r>
      <w:r w:rsidR="00792426" w:rsidRPr="00C74128">
        <w:rPr>
          <w:rStyle w:val="normaltextrun"/>
          <w:noProof/>
        </w:rPr>
        <w:t>Споразумението следва да бъде подписано от името на Съюза, при условие че бъде сключено на по-късна дата. Декларацията, приложена към споразумението, следва да бъде одобрена от името на Съюза.</w:t>
      </w:r>
    </w:p>
    <w:p w14:paraId="09F06E11" w14:textId="38DB48E6" w:rsidR="00D13D1D" w:rsidRPr="00C74128" w:rsidRDefault="00112201" w:rsidP="00112201">
      <w:pPr>
        <w:pStyle w:val="ManualConsidrant"/>
        <w:rPr>
          <w:noProof/>
        </w:rPr>
      </w:pPr>
      <w:r w:rsidRPr="00112201">
        <w:t>(7)</w:t>
      </w:r>
      <w:r w:rsidRPr="00112201">
        <w:tab/>
      </w:r>
      <w:r w:rsidR="00D13D1D" w:rsidRPr="00C74128">
        <w:rPr>
          <w:noProof/>
        </w:rPr>
        <w:t>С оглед осигуряване на възможност за спешно разполагане на Постоянния корпус на европейската гранична и брегова охрана на територията на Черна гора споразумението следва да се прилага временно след подписването му,</w:t>
      </w:r>
    </w:p>
    <w:p w14:paraId="16259A41" w14:textId="77777777" w:rsidR="003B7796" w:rsidRPr="00C74128" w:rsidRDefault="003B7796" w:rsidP="008E3FAD">
      <w:pPr>
        <w:pStyle w:val="Formuledadoption"/>
        <w:rPr>
          <w:noProof/>
        </w:rPr>
      </w:pPr>
      <w:r w:rsidRPr="00C74128">
        <w:rPr>
          <w:noProof/>
        </w:rPr>
        <w:t xml:space="preserve">ПРИЕ НАСТОЯЩОТО РЕШЕНИЕ: </w:t>
      </w:r>
    </w:p>
    <w:p w14:paraId="7B8B59D2" w14:textId="77777777" w:rsidR="00792426" w:rsidRPr="00C74128" w:rsidRDefault="00792426" w:rsidP="00792426">
      <w:pPr>
        <w:pStyle w:val="Titrearticle"/>
        <w:rPr>
          <w:noProof/>
        </w:rPr>
      </w:pPr>
      <w:r w:rsidRPr="00C74128">
        <w:rPr>
          <w:noProof/>
        </w:rPr>
        <w:t>Член 1</w:t>
      </w:r>
    </w:p>
    <w:p w14:paraId="2C01CCBE" w14:textId="69903BDA" w:rsidR="00792426" w:rsidRPr="00C74128" w:rsidRDefault="00792426" w:rsidP="00792426">
      <w:pPr>
        <w:rPr>
          <w:noProof/>
          <w:szCs w:val="24"/>
        </w:rPr>
      </w:pPr>
      <w:bookmarkStart w:id="2" w:name="_CopyToNewDocument_"/>
      <w:bookmarkEnd w:id="2"/>
      <w:r w:rsidRPr="00C74128">
        <w:rPr>
          <w:noProof/>
        </w:rPr>
        <w:t xml:space="preserve">Подписването на Споразумението между Европейския съюз и Черна гора относно оперативните дейности, извършвани от Европейската агенция за гранична и брегова охрана в Черна гора („споразумението“), се одобрява от името на Съюза, при условие на сключването на посоченото споразумение. </w:t>
      </w:r>
    </w:p>
    <w:p w14:paraId="5C186DD0" w14:textId="77777777" w:rsidR="00792426" w:rsidRPr="00C74128" w:rsidRDefault="00792426" w:rsidP="00792426">
      <w:pPr>
        <w:rPr>
          <w:noProof/>
          <w:szCs w:val="24"/>
        </w:rPr>
      </w:pPr>
      <w:r w:rsidRPr="00C74128">
        <w:rPr>
          <w:noProof/>
        </w:rPr>
        <w:t>Текстът на споразумението е приложен към настоящото решение.</w:t>
      </w:r>
    </w:p>
    <w:p w14:paraId="3039A7C5" w14:textId="77777777" w:rsidR="00792426" w:rsidRPr="00C74128" w:rsidRDefault="00792426" w:rsidP="00792426">
      <w:pPr>
        <w:pStyle w:val="Titrearticle"/>
        <w:rPr>
          <w:noProof/>
        </w:rPr>
      </w:pPr>
      <w:r w:rsidRPr="00C74128">
        <w:rPr>
          <w:noProof/>
        </w:rPr>
        <w:t>Член 2</w:t>
      </w:r>
    </w:p>
    <w:p w14:paraId="2EE5F6ED" w14:textId="77777777" w:rsidR="00792426" w:rsidRPr="00C74128" w:rsidRDefault="00792426" w:rsidP="00792426">
      <w:pPr>
        <w:rPr>
          <w:noProof/>
          <w:szCs w:val="24"/>
        </w:rPr>
      </w:pPr>
      <w:r w:rsidRPr="00C74128">
        <w:rPr>
          <w:noProof/>
        </w:rPr>
        <w:t>Декларацията, приложена към настоящото решение, се одобрява от името на Съюза.</w:t>
      </w:r>
    </w:p>
    <w:p w14:paraId="473EAB14" w14:textId="77777777" w:rsidR="00792426" w:rsidRPr="00C74128" w:rsidRDefault="00792426" w:rsidP="00792426">
      <w:pPr>
        <w:pStyle w:val="Titrearticle"/>
        <w:rPr>
          <w:noProof/>
        </w:rPr>
      </w:pPr>
      <w:r w:rsidRPr="00C74128">
        <w:rPr>
          <w:noProof/>
        </w:rPr>
        <w:t xml:space="preserve"> Член 3</w:t>
      </w:r>
    </w:p>
    <w:p w14:paraId="4A35F4F5" w14:textId="77777777" w:rsidR="00792426" w:rsidRPr="00C74128" w:rsidRDefault="00792426" w:rsidP="00792426">
      <w:pPr>
        <w:rPr>
          <w:noProof/>
          <w:szCs w:val="24"/>
        </w:rPr>
      </w:pPr>
      <w:r w:rsidRPr="00C74128">
        <w:rPr>
          <w:noProof/>
        </w:rPr>
        <w:t xml:space="preserve">Генералният секретариат на Съвета изготвя акта за предоставяне на пълни правомощия за подписване на споразумението на лицето (лицата), посочено(и) от Комисията, при условие че споразумението бъде сключено. </w:t>
      </w:r>
    </w:p>
    <w:p w14:paraId="13033AEA" w14:textId="77777777" w:rsidR="00792426" w:rsidRPr="00C74128" w:rsidRDefault="00792426" w:rsidP="00792426">
      <w:pPr>
        <w:pStyle w:val="Titrearticle"/>
        <w:rPr>
          <w:noProof/>
        </w:rPr>
      </w:pPr>
      <w:r w:rsidRPr="00C74128">
        <w:rPr>
          <w:noProof/>
        </w:rPr>
        <w:t>Член 4</w:t>
      </w:r>
    </w:p>
    <w:p w14:paraId="23306322" w14:textId="5DFC8511" w:rsidR="00F21801" w:rsidRPr="00C74128" w:rsidRDefault="00D13D1D" w:rsidP="00F21801">
      <w:pPr>
        <w:rPr>
          <w:noProof/>
        </w:rPr>
      </w:pPr>
      <w:r w:rsidRPr="00C74128">
        <w:rPr>
          <w:noProof/>
        </w:rPr>
        <w:t xml:space="preserve">Споразумението се прилага временно в съответствие с член 22, параграф 2 от него, считано от първия ден на втория месец след датата на подписването му. </w:t>
      </w:r>
    </w:p>
    <w:p w14:paraId="0C1E54CA" w14:textId="1FA6D2C3" w:rsidR="0017518E" w:rsidRPr="00C74128" w:rsidRDefault="0017518E" w:rsidP="0017518E">
      <w:pPr>
        <w:pStyle w:val="Titrearticle"/>
        <w:keepNext w:val="0"/>
        <w:rPr>
          <w:noProof/>
        </w:rPr>
      </w:pPr>
      <w:r w:rsidRPr="00C74128">
        <w:rPr>
          <w:noProof/>
        </w:rPr>
        <w:t>Член 5</w:t>
      </w:r>
    </w:p>
    <w:p w14:paraId="02A78CD3" w14:textId="77777777" w:rsidR="0017518E" w:rsidRPr="00C74128" w:rsidRDefault="0017518E" w:rsidP="0017518E">
      <w:pPr>
        <w:rPr>
          <w:noProof/>
        </w:rPr>
      </w:pPr>
      <w:r w:rsidRPr="00C74128">
        <w:rPr>
          <w:noProof/>
        </w:rPr>
        <w:t>Настоящото решение влиза в сила на [...] </w:t>
      </w:r>
      <w:r w:rsidRPr="00C74128">
        <w:rPr>
          <w:rStyle w:val="FootnoteReference"/>
          <w:noProof/>
        </w:rPr>
        <w:footnoteReference w:id="18"/>
      </w:r>
      <w:r w:rsidRPr="00C74128">
        <w:rPr>
          <w:noProof/>
        </w:rPr>
        <w:t>г.</w:t>
      </w:r>
    </w:p>
    <w:p w14:paraId="35E94874" w14:textId="2945642F" w:rsidR="00D13D1D" w:rsidRPr="00C74128" w:rsidRDefault="00D13D1D" w:rsidP="00D13D1D">
      <w:pPr>
        <w:widowControl w:val="0"/>
        <w:suppressAutoHyphens/>
        <w:spacing w:before="0" w:after="0"/>
        <w:rPr>
          <w:noProof/>
        </w:rPr>
      </w:pPr>
    </w:p>
    <w:p w14:paraId="1FD5705F" w14:textId="16334E43" w:rsidR="003B7796" w:rsidRPr="00C74128" w:rsidRDefault="00273C43" w:rsidP="00E845BD">
      <w:pPr>
        <w:pStyle w:val="Fait"/>
        <w:rPr>
          <w:noProof/>
        </w:rPr>
      </w:pPr>
      <w:r w:rsidRPr="00273C43">
        <w:t xml:space="preserve">Съставено в Брюксел на </w:t>
      </w:r>
      <w:r w:rsidRPr="00273C43">
        <w:rPr>
          <w:rStyle w:val="Marker"/>
        </w:rPr>
        <w:t>[…]</w:t>
      </w:r>
      <w:r w:rsidRPr="00273C43">
        <w:t xml:space="preserve"> година.</w:t>
      </w:r>
    </w:p>
    <w:p w14:paraId="5A44BD6F" w14:textId="77777777" w:rsidR="003B7796" w:rsidRPr="00C74128" w:rsidRDefault="003B7796" w:rsidP="00E845BD">
      <w:pPr>
        <w:pStyle w:val="Institutionquisigne"/>
        <w:rPr>
          <w:noProof/>
        </w:rPr>
      </w:pPr>
      <w:r w:rsidRPr="00C74128">
        <w:rPr>
          <w:noProof/>
        </w:rPr>
        <w:tab/>
        <w:t>За Съвета</w:t>
      </w:r>
    </w:p>
    <w:p w14:paraId="1A242BC2" w14:textId="77777777" w:rsidR="003B7796" w:rsidRPr="00C74128" w:rsidRDefault="003B7796" w:rsidP="003B7796">
      <w:pPr>
        <w:pStyle w:val="Personnequisigne"/>
        <w:rPr>
          <w:noProof/>
        </w:rPr>
      </w:pPr>
      <w:r w:rsidRPr="00C74128">
        <w:rPr>
          <w:noProof/>
        </w:rPr>
        <w:tab/>
        <w:t>Председател</w:t>
      </w:r>
    </w:p>
    <w:sectPr w:rsidR="003B7796" w:rsidRPr="00C74128" w:rsidSect="0054089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CA2A" w14:textId="77777777" w:rsidR="00CB236B" w:rsidRDefault="00CB236B" w:rsidP="003B7796">
      <w:pPr>
        <w:spacing w:before="0" w:after="0"/>
      </w:pPr>
      <w:r>
        <w:separator/>
      </w:r>
    </w:p>
  </w:endnote>
  <w:endnote w:type="continuationSeparator" w:id="0">
    <w:p w14:paraId="1D34B7FD" w14:textId="77777777" w:rsidR="00CB236B" w:rsidRDefault="00CB236B" w:rsidP="003B7796">
      <w:pPr>
        <w:spacing w:before="0" w:after="0"/>
      </w:pPr>
      <w:r>
        <w:continuationSeparator/>
      </w:r>
    </w:p>
  </w:endnote>
  <w:endnote w:type="continuationNotice" w:id="1">
    <w:p w14:paraId="65423D7E" w14:textId="77777777" w:rsidR="00CB236B" w:rsidRDefault="00CB23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6707" w14:textId="4CDDF2FD" w:rsidR="00C74128" w:rsidRPr="00540894" w:rsidRDefault="00540894" w:rsidP="00540894">
    <w:pPr>
      <w:pStyle w:val="Footer"/>
      <w:rPr>
        <w:rFonts w:ascii="Arial" w:hAnsi="Arial" w:cs="Arial"/>
        <w:b/>
        <w:sz w:val="48"/>
      </w:rPr>
    </w:pPr>
    <w:r w:rsidRPr="00540894">
      <w:rPr>
        <w:rFonts w:ascii="Arial" w:hAnsi="Arial" w:cs="Arial"/>
        <w:b/>
        <w:sz w:val="48"/>
      </w:rPr>
      <w:t>BG</w:t>
    </w:r>
    <w:r w:rsidRPr="00540894">
      <w:rPr>
        <w:rFonts w:ascii="Arial" w:hAnsi="Arial" w:cs="Arial"/>
        <w:b/>
        <w:sz w:val="48"/>
      </w:rPr>
      <w:tab/>
    </w:r>
    <w:r w:rsidRPr="00540894">
      <w:rPr>
        <w:rFonts w:ascii="Arial" w:hAnsi="Arial" w:cs="Arial"/>
        <w:b/>
        <w:sz w:val="48"/>
      </w:rPr>
      <w:tab/>
    </w:r>
    <w:r w:rsidRPr="00540894">
      <w:tab/>
    </w:r>
    <w:r w:rsidRPr="00540894">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8F76" w14:textId="2789C6F4" w:rsidR="00540894" w:rsidRPr="00540894" w:rsidRDefault="00540894" w:rsidP="00540894">
    <w:pPr>
      <w:pStyle w:val="Footer"/>
      <w:rPr>
        <w:rFonts w:ascii="Arial" w:hAnsi="Arial" w:cs="Arial"/>
        <w:b/>
        <w:sz w:val="48"/>
      </w:rPr>
    </w:pPr>
    <w:r w:rsidRPr="00540894">
      <w:rPr>
        <w:rFonts w:ascii="Arial" w:hAnsi="Arial" w:cs="Arial"/>
        <w:b/>
        <w:sz w:val="48"/>
      </w:rPr>
      <w:t>BG</w:t>
    </w:r>
    <w:r w:rsidRPr="00540894">
      <w:rPr>
        <w:rFonts w:ascii="Arial" w:hAnsi="Arial" w:cs="Arial"/>
        <w:b/>
        <w:sz w:val="48"/>
      </w:rPr>
      <w:tab/>
    </w:r>
    <w:r>
      <w:fldChar w:fldCharType="begin"/>
    </w:r>
    <w:r>
      <w:instrText xml:space="preserve"> PAGE  \* MERGEFORMAT </w:instrText>
    </w:r>
    <w:r>
      <w:fldChar w:fldCharType="separate"/>
    </w:r>
    <w:r w:rsidR="00E845BD">
      <w:rPr>
        <w:noProof/>
      </w:rPr>
      <w:t>7</w:t>
    </w:r>
    <w:r>
      <w:fldChar w:fldCharType="end"/>
    </w:r>
    <w:r>
      <w:tab/>
    </w:r>
    <w:r w:rsidRPr="00540894">
      <w:tab/>
    </w:r>
    <w:r w:rsidRPr="00540894">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3899" w14:textId="77777777" w:rsidR="00540894" w:rsidRPr="00540894" w:rsidRDefault="00540894" w:rsidP="0054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7F179" w14:textId="77777777" w:rsidR="00CB236B" w:rsidRDefault="00CB236B" w:rsidP="003B7796">
      <w:pPr>
        <w:spacing w:before="0" w:after="0"/>
      </w:pPr>
      <w:r>
        <w:separator/>
      </w:r>
    </w:p>
  </w:footnote>
  <w:footnote w:type="continuationSeparator" w:id="0">
    <w:p w14:paraId="688DD2F0" w14:textId="77777777" w:rsidR="00CB236B" w:rsidRDefault="00CB236B" w:rsidP="003B7796">
      <w:pPr>
        <w:spacing w:before="0" w:after="0"/>
      </w:pPr>
      <w:r>
        <w:continuationSeparator/>
      </w:r>
    </w:p>
  </w:footnote>
  <w:footnote w:type="continuationNotice" w:id="1">
    <w:p w14:paraId="35F1392C" w14:textId="77777777" w:rsidR="00CB236B" w:rsidRDefault="00CB236B">
      <w:pPr>
        <w:spacing w:before="0" w:after="0"/>
      </w:pPr>
    </w:p>
  </w:footnote>
  <w:footnote w:id="2">
    <w:p w14:paraId="6DD40BE0" w14:textId="77777777" w:rsidR="002715B2" w:rsidRDefault="002715B2" w:rsidP="002715B2">
      <w:pPr>
        <w:pStyle w:val="FootnoteText"/>
      </w:pPr>
      <w:r>
        <w:rPr>
          <w:rStyle w:val="FootnoteReference"/>
        </w:rPr>
        <w:footnoteRef/>
      </w:r>
      <w:r>
        <w:tab/>
        <w:t>Член 10, параграф 1, буква ф) от Регламент (ЕС) 2019/1896 на Европейския парламент и на Съвета от 13 ноември 2019 г. за европейската гранична и брегова охрана.</w:t>
      </w:r>
    </w:p>
  </w:footnote>
  <w:footnote w:id="3">
    <w:p w14:paraId="7AD88E10" w14:textId="77777777" w:rsidR="002715B2" w:rsidRDefault="002715B2" w:rsidP="002715B2">
      <w:pPr>
        <w:pStyle w:val="FootnoteText"/>
      </w:pPr>
      <w:r>
        <w:rPr>
          <w:rStyle w:val="FootnoteReference"/>
        </w:rPr>
        <w:footnoteRef/>
      </w:r>
      <w:r>
        <w:tab/>
        <w:t>Член 71, параграф 1 от Регламент (ЕС) 2019/1896.</w:t>
      </w:r>
    </w:p>
  </w:footnote>
  <w:footnote w:id="4">
    <w:p w14:paraId="60CF03CE" w14:textId="46793A38" w:rsidR="002715B2" w:rsidRDefault="002715B2" w:rsidP="002715B2">
      <w:pPr>
        <w:pStyle w:val="FootnoteText"/>
      </w:pPr>
      <w:r>
        <w:rPr>
          <w:rStyle w:val="FootnoteReference"/>
        </w:rPr>
        <w:footnoteRef/>
      </w:r>
      <w:r>
        <w:tab/>
        <w:t xml:space="preserve">Член 3, буква ж) от Регламент (ЕС) 2019/1896. </w:t>
      </w:r>
    </w:p>
  </w:footnote>
  <w:footnote w:id="5">
    <w:p w14:paraId="00D1E9C1" w14:textId="001120D5" w:rsidR="002715B2" w:rsidRDefault="002715B2" w:rsidP="002715B2">
      <w:pPr>
        <w:pStyle w:val="FootnoteText"/>
      </w:pPr>
      <w:r>
        <w:rPr>
          <w:rStyle w:val="FootnoteReference"/>
        </w:rPr>
        <w:footnoteRef/>
      </w:r>
      <w:r>
        <w:tab/>
        <w:t>Член 73, параграф 1 от Регламент (ЕС) 2019/1896.</w:t>
      </w:r>
    </w:p>
  </w:footnote>
  <w:footnote w:id="6">
    <w:p w14:paraId="10014484" w14:textId="7285C846" w:rsidR="002715B2" w:rsidRPr="00365687" w:rsidRDefault="002715B2" w:rsidP="002715B2">
      <w:pPr>
        <w:pStyle w:val="FootnoteText"/>
        <w:rPr>
          <w:lang w:val="en-US"/>
        </w:rPr>
      </w:pPr>
      <w:r>
        <w:rPr>
          <w:rStyle w:val="FootnoteReference"/>
        </w:rPr>
        <w:footnoteRef/>
      </w:r>
      <w:r>
        <w:tab/>
        <w:t>Съобщение COM(2021) 829 — Образец на споразумение за статута в съответствие с Регламент (ЕС) 2019/1896 на Европейския парламент и на Съвета от 13 ноември 2019 г. за европейската гранична и брегова охрана и за отмяна на регламенти (ЕС) № 1052/2013 и (ЕС) 2016/1624</w:t>
      </w:r>
      <w:r w:rsidR="00365687">
        <w:rPr>
          <w:lang w:val="en-US"/>
        </w:rPr>
        <w:t>.</w:t>
      </w:r>
    </w:p>
  </w:footnote>
  <w:footnote w:id="7">
    <w:p w14:paraId="799A8F60" w14:textId="77777777" w:rsidR="002715B2" w:rsidRPr="00277F31" w:rsidRDefault="002715B2" w:rsidP="002715B2">
      <w:pPr>
        <w:pStyle w:val="FootnoteText"/>
      </w:pPr>
      <w:r>
        <w:rPr>
          <w:rStyle w:val="FootnoteReference"/>
        </w:rPr>
        <w:footnoteRef/>
      </w:r>
      <w:r>
        <w:tab/>
      </w:r>
      <w:hyperlink r:id="rId1" w:history="1">
        <w:r>
          <w:rPr>
            <w:rStyle w:val="Hyperlink"/>
          </w:rPr>
          <w:t>Пакет за миграцията и убежището:</w:t>
        </w:r>
      </w:hyperlink>
      <w:hyperlink r:id="rId2" w:history="1">
        <w:r>
          <w:rPr>
            <w:rStyle w:val="Hyperlink"/>
          </w:rPr>
          <w:t>документи за новия пакт за миграцията и убежището, приет на 23 септември 2020 г., |</w:t>
        </w:r>
      </w:hyperlink>
      <w:hyperlink r:id="rId3" w:history="1">
        <w:r>
          <w:rPr>
            <w:rStyle w:val="Hyperlink"/>
          </w:rPr>
          <w:t xml:space="preserve"> Европейска комисия (europa.eu)</w:t>
        </w:r>
      </w:hyperlink>
      <w:r>
        <w:t xml:space="preserve"> </w:t>
      </w:r>
    </w:p>
  </w:footnote>
  <w:footnote w:id="8">
    <w:p w14:paraId="397B3C01" w14:textId="77777777" w:rsidR="002715B2" w:rsidRDefault="002715B2" w:rsidP="002715B2">
      <w:pPr>
        <w:pStyle w:val="FootnoteText"/>
      </w:pPr>
      <w:r>
        <w:rPr>
          <w:rStyle w:val="FootnoteReference"/>
        </w:rPr>
        <w:footnoteRef/>
      </w:r>
      <w:r>
        <w:tab/>
        <w:t>Регламент (ЕС) 2016/1624 на Европейския парламент и на Съвета от 14 септември 2016 г. за европейската гранична и брегова охрана, за изменение на Регламент (ЕС) 2016/399 на Европейския парламент и на Съвета и за отмяна на Регламент (ЕО) № 863/2007 на Европейския парламент и на Съвета, Регламент (ЕО) № 2007/2004 на Съвета и Решение 2005/267/ЕО на Съвета (ОВ L 251, 16.9.2016 г., стр. 1—76).</w:t>
      </w:r>
    </w:p>
  </w:footnote>
  <w:footnote w:id="9">
    <w:p w14:paraId="47B9BC05" w14:textId="77777777" w:rsidR="002715B2" w:rsidRPr="00FA6D9E" w:rsidRDefault="002715B2" w:rsidP="002715B2">
      <w:pPr>
        <w:pStyle w:val="FootnoteText"/>
      </w:pPr>
      <w:r>
        <w:rPr>
          <w:rStyle w:val="FootnoteReference"/>
        </w:rPr>
        <w:footnoteRef/>
      </w:r>
      <w:r>
        <w:tab/>
        <w:t>Решение (ЕС) 2020/729 на Съвета от 26 май 2020 г. относно сключването на Споразумението между Европейския съюз и Черна гора за статуса на действията, провеждани от Европейската агенция за гранична и брегова охрана в Черна гора.</w:t>
      </w:r>
    </w:p>
  </w:footnote>
  <w:footnote w:id="10">
    <w:p w14:paraId="76E17233" w14:textId="11CDDD8A" w:rsidR="0017518E" w:rsidRPr="00365687" w:rsidRDefault="0017518E" w:rsidP="0017518E">
      <w:pPr>
        <w:pStyle w:val="FootnoteText"/>
        <w:rPr>
          <w:spacing w:val="-4"/>
        </w:rPr>
      </w:pPr>
      <w:r>
        <w:rPr>
          <w:rStyle w:val="FootnoteReference"/>
        </w:rPr>
        <w:footnoteRef/>
      </w:r>
      <w:r>
        <w:tab/>
      </w:r>
      <w:r w:rsidRPr="00365687">
        <w:rPr>
          <w:spacing w:val="-4"/>
        </w:rPr>
        <w:t>Решение 2002/192/ЕО на Съвета от 28 февруари 2002 г. относно искането на Ирландия да участва в някои разпоредби от достиженията на правото от Шенген (ОВ L 64, 7.3.2002 г., стр. 20).</w:t>
      </w:r>
    </w:p>
  </w:footnote>
  <w:footnote w:id="11">
    <w:p w14:paraId="7A7D19F0" w14:textId="66B374FF" w:rsidR="0011774E" w:rsidRDefault="0011774E" w:rsidP="00631F17">
      <w:pPr>
        <w:pStyle w:val="FootnoteText"/>
      </w:pPr>
      <w:r>
        <w:rPr>
          <w:rStyle w:val="FootnoteReference"/>
        </w:rPr>
        <w:footnoteRef/>
      </w:r>
      <w:r>
        <w:tab/>
      </w:r>
      <w:hyperlink r:id="rId4" w:history="1">
        <w:r>
          <w:rPr>
            <w:rStyle w:val="Hyperlink"/>
          </w:rPr>
          <w:t>https://eur-lex.europa.eu/legal-content/BG/TXT/?uri=CELEX:22010A0429(01)</w:t>
        </w:r>
      </w:hyperlink>
      <w:r>
        <w:t xml:space="preserve"> </w:t>
      </w:r>
    </w:p>
  </w:footnote>
  <w:footnote w:id="12">
    <w:p w14:paraId="08C6D017" w14:textId="09BAF30B" w:rsidR="00F508F3" w:rsidRPr="006D1687" w:rsidRDefault="00F508F3">
      <w:pPr>
        <w:pStyle w:val="FootnoteText"/>
      </w:pPr>
      <w:r>
        <w:rPr>
          <w:rStyle w:val="FootnoteReference"/>
        </w:rPr>
        <w:footnoteRef/>
      </w:r>
      <w:r>
        <w:tab/>
        <w:t>Съобщение COM(2021) 829.</w:t>
      </w:r>
    </w:p>
  </w:footnote>
  <w:footnote w:id="13">
    <w:p w14:paraId="0600FC60" w14:textId="2CA8D22F" w:rsidR="00F508F3" w:rsidRPr="006D1687" w:rsidRDefault="00F508F3">
      <w:pPr>
        <w:pStyle w:val="FootnoteText"/>
      </w:pPr>
      <w:r>
        <w:rPr>
          <w:rStyle w:val="FootnoteReference"/>
        </w:rPr>
        <w:footnoteRef/>
      </w:r>
      <w:r>
        <w:tab/>
      </w:r>
      <w:hyperlink r:id="rId5" w:history="1">
        <w:r>
          <w:rPr>
            <w:rStyle w:val="Hyperlink"/>
          </w:rPr>
          <w:t>https://eur-lex.europa.eu/legal-content/BG/TXT/PDF/?uri=CELEX:22020A0603(01)&amp;rid=2</w:t>
        </w:r>
      </w:hyperlink>
      <w:r>
        <w:t xml:space="preserve"> </w:t>
      </w:r>
    </w:p>
  </w:footnote>
  <w:footnote w:id="14">
    <w:p w14:paraId="51849565" w14:textId="235E915C" w:rsidR="00ED47CF" w:rsidRPr="00D43747" w:rsidRDefault="00ED47CF" w:rsidP="00ED47CF">
      <w:pPr>
        <w:pStyle w:val="FootnoteText"/>
      </w:pPr>
      <w:r>
        <w:rPr>
          <w:rStyle w:val="FootnoteReference"/>
        </w:rPr>
        <w:footnoteRef/>
      </w:r>
      <w:r>
        <w:tab/>
        <w:t>Регламент (ЕС) 2019/1896 на Европейския парламент и на Съвета от 13 ноември 2019 г. за европейската гранична и брегова охрана и за отмяна на регламенти (ЕС) № 1052/2013 и (ЕС) 2016/1624 (ОВ L 295, 14.11.2019 г., стр. 1).</w:t>
      </w:r>
    </w:p>
  </w:footnote>
  <w:footnote w:id="15">
    <w:p w14:paraId="4F96151D" w14:textId="57C9CC31" w:rsidR="00EC4150" w:rsidRPr="00C74128" w:rsidRDefault="00EC4150">
      <w:pPr>
        <w:pStyle w:val="FootnoteText"/>
        <w:rPr>
          <w:lang w:val="fr-FR"/>
        </w:rPr>
      </w:pPr>
      <w:r>
        <w:rPr>
          <w:rStyle w:val="FootnoteReference"/>
        </w:rPr>
        <w:footnoteRef/>
      </w:r>
      <w:r w:rsidRPr="00C74128">
        <w:rPr>
          <w:lang w:val="fr-FR"/>
        </w:rPr>
        <w:tab/>
      </w:r>
      <w:hyperlink r:id="rId6" w:history="1">
        <w:r w:rsidRPr="00C74128">
          <w:rPr>
            <w:rStyle w:val="Hyperlink"/>
            <w:lang w:val="fr-FR"/>
          </w:rPr>
          <w:t>EUR-Lex - 32022D2273 - BG - EUR-Lex (europa.eu)</w:t>
        </w:r>
      </w:hyperlink>
    </w:p>
  </w:footnote>
  <w:footnote w:id="16">
    <w:p w14:paraId="3741F681" w14:textId="15996B7A" w:rsidR="001B076B" w:rsidRPr="00365687" w:rsidRDefault="001B076B" w:rsidP="001B076B">
      <w:pPr>
        <w:pStyle w:val="FootnoteText"/>
        <w:rPr>
          <w:spacing w:val="-4"/>
          <w:lang w:val="fr-FR"/>
        </w:rPr>
      </w:pPr>
      <w:r>
        <w:rPr>
          <w:rStyle w:val="FootnoteReference"/>
        </w:rPr>
        <w:footnoteRef/>
      </w:r>
      <w:r w:rsidRPr="00C74128">
        <w:rPr>
          <w:lang w:val="fr-FR"/>
        </w:rPr>
        <w:tab/>
      </w:r>
      <w:r w:rsidRPr="00365687">
        <w:rPr>
          <w:spacing w:val="-4"/>
        </w:rPr>
        <w:t>Решение</w:t>
      </w:r>
      <w:r w:rsidRPr="00365687">
        <w:rPr>
          <w:spacing w:val="-4"/>
          <w:lang w:val="fr-FR"/>
        </w:rPr>
        <w:t xml:space="preserve"> 2002/192/</w:t>
      </w:r>
      <w:r w:rsidRPr="00365687">
        <w:rPr>
          <w:spacing w:val="-4"/>
        </w:rPr>
        <w:t>ЕО</w:t>
      </w:r>
      <w:r w:rsidRPr="00365687">
        <w:rPr>
          <w:spacing w:val="-4"/>
          <w:lang w:val="fr-FR"/>
        </w:rPr>
        <w:t xml:space="preserve"> </w:t>
      </w:r>
      <w:r w:rsidRPr="00365687">
        <w:rPr>
          <w:spacing w:val="-4"/>
        </w:rPr>
        <w:t>на</w:t>
      </w:r>
      <w:r w:rsidRPr="00365687">
        <w:rPr>
          <w:spacing w:val="-4"/>
          <w:lang w:val="fr-FR"/>
        </w:rPr>
        <w:t xml:space="preserve"> </w:t>
      </w:r>
      <w:r w:rsidRPr="00365687">
        <w:rPr>
          <w:spacing w:val="-4"/>
        </w:rPr>
        <w:t>Съвета</w:t>
      </w:r>
      <w:r w:rsidRPr="00365687">
        <w:rPr>
          <w:spacing w:val="-4"/>
          <w:lang w:val="fr-FR"/>
        </w:rPr>
        <w:t xml:space="preserve"> </w:t>
      </w:r>
      <w:r w:rsidRPr="00365687">
        <w:rPr>
          <w:spacing w:val="-4"/>
        </w:rPr>
        <w:t>от</w:t>
      </w:r>
      <w:r w:rsidRPr="00365687">
        <w:rPr>
          <w:spacing w:val="-4"/>
          <w:lang w:val="fr-FR"/>
        </w:rPr>
        <w:t xml:space="preserve"> 28 </w:t>
      </w:r>
      <w:r w:rsidRPr="00365687">
        <w:rPr>
          <w:spacing w:val="-4"/>
        </w:rPr>
        <w:t>февруари</w:t>
      </w:r>
      <w:r w:rsidRPr="00365687">
        <w:rPr>
          <w:spacing w:val="-4"/>
          <w:lang w:val="fr-FR"/>
        </w:rPr>
        <w:t xml:space="preserve"> 2002 </w:t>
      </w:r>
      <w:r w:rsidRPr="00365687">
        <w:rPr>
          <w:spacing w:val="-4"/>
        </w:rPr>
        <w:t>г</w:t>
      </w:r>
      <w:r w:rsidRPr="00365687">
        <w:rPr>
          <w:spacing w:val="-4"/>
          <w:lang w:val="fr-FR"/>
        </w:rPr>
        <w:t xml:space="preserve">. </w:t>
      </w:r>
      <w:r w:rsidRPr="00365687">
        <w:rPr>
          <w:spacing w:val="-4"/>
        </w:rPr>
        <w:t>относно</w:t>
      </w:r>
      <w:r w:rsidRPr="00365687">
        <w:rPr>
          <w:spacing w:val="-4"/>
          <w:lang w:val="fr-FR"/>
        </w:rPr>
        <w:t xml:space="preserve"> </w:t>
      </w:r>
      <w:r w:rsidRPr="00365687">
        <w:rPr>
          <w:spacing w:val="-4"/>
        </w:rPr>
        <w:t>искането</w:t>
      </w:r>
      <w:r w:rsidRPr="00365687">
        <w:rPr>
          <w:spacing w:val="-4"/>
          <w:lang w:val="fr-FR"/>
        </w:rPr>
        <w:t xml:space="preserve"> </w:t>
      </w:r>
      <w:r w:rsidRPr="00365687">
        <w:rPr>
          <w:spacing w:val="-4"/>
        </w:rPr>
        <w:t>на</w:t>
      </w:r>
      <w:r w:rsidRPr="00365687">
        <w:rPr>
          <w:spacing w:val="-4"/>
          <w:lang w:val="fr-FR"/>
        </w:rPr>
        <w:t xml:space="preserve"> </w:t>
      </w:r>
      <w:r w:rsidRPr="00365687">
        <w:rPr>
          <w:spacing w:val="-4"/>
        </w:rPr>
        <w:t>Ирландия</w:t>
      </w:r>
      <w:r w:rsidRPr="00365687">
        <w:rPr>
          <w:spacing w:val="-4"/>
          <w:lang w:val="fr-FR"/>
        </w:rPr>
        <w:t xml:space="preserve"> </w:t>
      </w:r>
      <w:r w:rsidRPr="00365687">
        <w:rPr>
          <w:spacing w:val="-4"/>
        </w:rPr>
        <w:t>да</w:t>
      </w:r>
      <w:r w:rsidRPr="00365687">
        <w:rPr>
          <w:spacing w:val="-4"/>
          <w:lang w:val="fr-FR"/>
        </w:rPr>
        <w:t xml:space="preserve"> </w:t>
      </w:r>
      <w:r w:rsidRPr="00365687">
        <w:rPr>
          <w:spacing w:val="-4"/>
        </w:rPr>
        <w:t>участва</w:t>
      </w:r>
      <w:r w:rsidRPr="00365687">
        <w:rPr>
          <w:spacing w:val="-4"/>
          <w:lang w:val="fr-FR"/>
        </w:rPr>
        <w:t xml:space="preserve"> </w:t>
      </w:r>
      <w:r w:rsidRPr="00365687">
        <w:rPr>
          <w:spacing w:val="-4"/>
        </w:rPr>
        <w:t>в</w:t>
      </w:r>
      <w:r w:rsidRPr="00365687">
        <w:rPr>
          <w:spacing w:val="-4"/>
          <w:lang w:val="fr-FR"/>
        </w:rPr>
        <w:t xml:space="preserve"> </w:t>
      </w:r>
      <w:r w:rsidRPr="00365687">
        <w:rPr>
          <w:spacing w:val="-4"/>
        </w:rPr>
        <w:t>някои</w:t>
      </w:r>
      <w:r w:rsidRPr="00365687">
        <w:rPr>
          <w:spacing w:val="-4"/>
          <w:lang w:val="fr-FR"/>
        </w:rPr>
        <w:t xml:space="preserve"> </w:t>
      </w:r>
      <w:r w:rsidRPr="00365687">
        <w:rPr>
          <w:spacing w:val="-4"/>
        </w:rPr>
        <w:t>разпоредби</w:t>
      </w:r>
      <w:r w:rsidRPr="00365687">
        <w:rPr>
          <w:spacing w:val="-4"/>
          <w:lang w:val="fr-FR"/>
        </w:rPr>
        <w:t xml:space="preserve"> </w:t>
      </w:r>
      <w:r w:rsidRPr="00365687">
        <w:rPr>
          <w:spacing w:val="-4"/>
        </w:rPr>
        <w:t>от</w:t>
      </w:r>
      <w:r w:rsidRPr="00365687">
        <w:rPr>
          <w:spacing w:val="-4"/>
          <w:lang w:val="fr-FR"/>
        </w:rPr>
        <w:t xml:space="preserve"> </w:t>
      </w:r>
      <w:r w:rsidRPr="00365687">
        <w:rPr>
          <w:spacing w:val="-4"/>
        </w:rPr>
        <w:t>достиженията</w:t>
      </w:r>
      <w:r w:rsidRPr="00365687">
        <w:rPr>
          <w:spacing w:val="-4"/>
          <w:lang w:val="fr-FR"/>
        </w:rPr>
        <w:t xml:space="preserve"> </w:t>
      </w:r>
      <w:r w:rsidRPr="00365687">
        <w:rPr>
          <w:spacing w:val="-4"/>
        </w:rPr>
        <w:t>на</w:t>
      </w:r>
      <w:r w:rsidRPr="00365687">
        <w:rPr>
          <w:spacing w:val="-4"/>
          <w:lang w:val="fr-FR"/>
        </w:rPr>
        <w:t xml:space="preserve"> </w:t>
      </w:r>
      <w:r w:rsidRPr="00365687">
        <w:rPr>
          <w:spacing w:val="-4"/>
        </w:rPr>
        <w:t>правото</w:t>
      </w:r>
      <w:r w:rsidRPr="00365687">
        <w:rPr>
          <w:spacing w:val="-4"/>
          <w:lang w:val="fr-FR"/>
        </w:rPr>
        <w:t xml:space="preserve"> </w:t>
      </w:r>
      <w:r w:rsidRPr="00365687">
        <w:rPr>
          <w:spacing w:val="-4"/>
        </w:rPr>
        <w:t>от</w:t>
      </w:r>
      <w:r w:rsidRPr="00365687">
        <w:rPr>
          <w:spacing w:val="-4"/>
          <w:lang w:val="fr-FR"/>
        </w:rPr>
        <w:t xml:space="preserve"> </w:t>
      </w:r>
      <w:r w:rsidRPr="00365687">
        <w:rPr>
          <w:spacing w:val="-4"/>
        </w:rPr>
        <w:t>Шенген</w:t>
      </w:r>
      <w:r w:rsidRPr="00365687">
        <w:rPr>
          <w:spacing w:val="-4"/>
          <w:lang w:val="fr-FR"/>
        </w:rPr>
        <w:t xml:space="preserve"> (</w:t>
      </w:r>
      <w:r w:rsidRPr="00365687">
        <w:rPr>
          <w:spacing w:val="-4"/>
        </w:rPr>
        <w:t>ОВ</w:t>
      </w:r>
      <w:r w:rsidRPr="00365687">
        <w:rPr>
          <w:spacing w:val="-4"/>
          <w:lang w:val="fr-FR"/>
        </w:rPr>
        <w:t xml:space="preserve"> L 64, 7.3.2002 </w:t>
      </w:r>
      <w:r w:rsidRPr="00365687">
        <w:rPr>
          <w:spacing w:val="-4"/>
        </w:rPr>
        <w:t>г</w:t>
      </w:r>
      <w:r w:rsidRPr="00365687">
        <w:rPr>
          <w:spacing w:val="-4"/>
          <w:lang w:val="fr-FR"/>
        </w:rPr>
        <w:t xml:space="preserve">., </w:t>
      </w:r>
      <w:r w:rsidRPr="00365687">
        <w:rPr>
          <w:spacing w:val="-4"/>
        </w:rPr>
        <w:t>стр</w:t>
      </w:r>
      <w:r w:rsidRPr="00365687">
        <w:rPr>
          <w:spacing w:val="-4"/>
          <w:lang w:val="fr-FR"/>
        </w:rPr>
        <w:t>. 20).</w:t>
      </w:r>
    </w:p>
  </w:footnote>
  <w:footnote w:id="17">
    <w:p w14:paraId="789A8C66" w14:textId="77777777" w:rsidR="001B076B" w:rsidRPr="00C74128" w:rsidRDefault="001B076B" w:rsidP="001B076B">
      <w:pPr>
        <w:pStyle w:val="FootnoteText"/>
        <w:rPr>
          <w:lang w:val="fr-FR"/>
        </w:rPr>
      </w:pPr>
      <w:r>
        <w:rPr>
          <w:rStyle w:val="FootnoteReference"/>
        </w:rPr>
        <w:footnoteRef/>
      </w:r>
      <w:r w:rsidRPr="00C74128">
        <w:rPr>
          <w:lang w:val="fr-FR"/>
        </w:rPr>
        <w:tab/>
      </w:r>
      <w:r>
        <w:t>Протокол</w:t>
      </w:r>
      <w:r w:rsidRPr="00C74128">
        <w:rPr>
          <w:lang w:val="fr-FR"/>
        </w:rPr>
        <w:t xml:space="preserve"> (№ 22) </w:t>
      </w:r>
      <w:r>
        <w:t>относно</w:t>
      </w:r>
      <w:r w:rsidRPr="00C74128">
        <w:rPr>
          <w:lang w:val="fr-FR"/>
        </w:rPr>
        <w:t xml:space="preserve"> </w:t>
      </w:r>
      <w:r>
        <w:t>позицията</w:t>
      </w:r>
      <w:r w:rsidRPr="00C74128">
        <w:rPr>
          <w:lang w:val="fr-FR"/>
        </w:rPr>
        <w:t xml:space="preserve"> </w:t>
      </w:r>
      <w:r>
        <w:t>на</w:t>
      </w:r>
      <w:r w:rsidRPr="00C74128">
        <w:rPr>
          <w:lang w:val="fr-FR"/>
        </w:rPr>
        <w:t xml:space="preserve"> </w:t>
      </w:r>
      <w:r>
        <w:t>Дания</w:t>
      </w:r>
      <w:r w:rsidRPr="00C74128">
        <w:rPr>
          <w:lang w:val="fr-FR"/>
        </w:rPr>
        <w:t xml:space="preserve"> (O</w:t>
      </w:r>
      <w:r>
        <w:t>В</w:t>
      </w:r>
      <w:r w:rsidRPr="00C74128">
        <w:rPr>
          <w:lang w:val="fr-FR"/>
        </w:rPr>
        <w:t xml:space="preserve"> C 326, 26.10.2012 </w:t>
      </w:r>
      <w:r>
        <w:t>г</w:t>
      </w:r>
      <w:r w:rsidRPr="00C74128">
        <w:rPr>
          <w:lang w:val="fr-FR"/>
        </w:rPr>
        <w:t xml:space="preserve">., </w:t>
      </w:r>
      <w:r>
        <w:t>стр</w:t>
      </w:r>
      <w:r w:rsidRPr="00C74128">
        <w:rPr>
          <w:lang w:val="fr-FR"/>
        </w:rPr>
        <w:t>. 299—303).</w:t>
      </w:r>
    </w:p>
  </w:footnote>
  <w:footnote w:id="18">
    <w:p w14:paraId="473E1C52" w14:textId="77777777" w:rsidR="0017518E" w:rsidRPr="00C74128" w:rsidRDefault="0017518E" w:rsidP="0017518E">
      <w:pPr>
        <w:pStyle w:val="FootnoteText"/>
        <w:rPr>
          <w:lang w:val="fr-FR"/>
        </w:rPr>
      </w:pPr>
      <w:r>
        <w:rPr>
          <w:rStyle w:val="FootnoteReference"/>
        </w:rPr>
        <w:footnoteRef/>
      </w:r>
      <w:r w:rsidRPr="00C74128">
        <w:rPr>
          <w:lang w:val="fr-FR"/>
        </w:rPr>
        <w:tab/>
      </w:r>
      <w:r>
        <w:t>Датата</w:t>
      </w:r>
      <w:r w:rsidRPr="00C74128">
        <w:rPr>
          <w:lang w:val="fr-FR"/>
        </w:rPr>
        <w:t xml:space="preserve"> </w:t>
      </w:r>
      <w:r>
        <w:t>на</w:t>
      </w:r>
      <w:r w:rsidRPr="00C74128">
        <w:rPr>
          <w:lang w:val="fr-FR"/>
        </w:rPr>
        <w:t xml:space="preserve"> </w:t>
      </w:r>
      <w:r>
        <w:t>влизане</w:t>
      </w:r>
      <w:r w:rsidRPr="00C74128">
        <w:rPr>
          <w:lang w:val="fr-FR"/>
        </w:rPr>
        <w:t xml:space="preserve"> </w:t>
      </w:r>
      <w:r>
        <w:t>в</w:t>
      </w:r>
      <w:r w:rsidRPr="00C74128">
        <w:rPr>
          <w:lang w:val="fr-FR"/>
        </w:rPr>
        <w:t xml:space="preserve"> </w:t>
      </w:r>
      <w:r>
        <w:t>сила</w:t>
      </w:r>
      <w:r w:rsidRPr="00C74128">
        <w:rPr>
          <w:lang w:val="fr-FR"/>
        </w:rPr>
        <w:t xml:space="preserve"> </w:t>
      </w:r>
      <w:r>
        <w:t>на</w:t>
      </w:r>
      <w:r w:rsidRPr="00C74128">
        <w:rPr>
          <w:lang w:val="fr-FR"/>
        </w:rPr>
        <w:t xml:space="preserve"> </w:t>
      </w:r>
      <w:r>
        <w:t>споразумението</w:t>
      </w:r>
      <w:r w:rsidRPr="00C74128">
        <w:rPr>
          <w:lang w:val="fr-FR"/>
        </w:rPr>
        <w:t xml:space="preserve"> </w:t>
      </w:r>
      <w:r>
        <w:t>ще</w:t>
      </w:r>
      <w:r w:rsidRPr="00C74128">
        <w:rPr>
          <w:lang w:val="fr-FR"/>
        </w:rPr>
        <w:t xml:space="preserve"> </w:t>
      </w:r>
      <w:r>
        <w:t>бъде</w:t>
      </w:r>
      <w:r w:rsidRPr="00C74128">
        <w:rPr>
          <w:lang w:val="fr-FR"/>
        </w:rPr>
        <w:t xml:space="preserve"> </w:t>
      </w:r>
      <w:r>
        <w:t>публикувана</w:t>
      </w:r>
      <w:r w:rsidRPr="00C74128">
        <w:rPr>
          <w:lang w:val="fr-FR"/>
        </w:rPr>
        <w:t xml:space="preserve"> </w:t>
      </w:r>
      <w:r>
        <w:t>в</w:t>
      </w:r>
      <w:r w:rsidRPr="00C74128">
        <w:rPr>
          <w:lang w:val="fr-FR"/>
        </w:rPr>
        <w:t xml:space="preserve"> </w:t>
      </w:r>
      <w:r>
        <w:rPr>
          <w:i/>
        </w:rPr>
        <w:t>Официален</w:t>
      </w:r>
      <w:r w:rsidRPr="00C74128">
        <w:rPr>
          <w:i/>
          <w:lang w:val="fr-FR"/>
        </w:rPr>
        <w:t xml:space="preserve"> </w:t>
      </w:r>
      <w:r>
        <w:rPr>
          <w:i/>
        </w:rPr>
        <w:t>вестник</w:t>
      </w:r>
      <w:r w:rsidRPr="00C74128">
        <w:rPr>
          <w:i/>
          <w:lang w:val="fr-FR"/>
        </w:rPr>
        <w:t xml:space="preserve"> </w:t>
      </w:r>
      <w:r>
        <w:rPr>
          <w:i/>
        </w:rPr>
        <w:t>на</w:t>
      </w:r>
      <w:r w:rsidRPr="00C74128">
        <w:rPr>
          <w:i/>
          <w:lang w:val="fr-FR"/>
        </w:rPr>
        <w:t xml:space="preserve"> </w:t>
      </w:r>
      <w:r>
        <w:rPr>
          <w:i/>
        </w:rPr>
        <w:t>Европейския</w:t>
      </w:r>
      <w:r w:rsidRPr="00C74128">
        <w:rPr>
          <w:i/>
          <w:lang w:val="fr-FR"/>
        </w:rPr>
        <w:t xml:space="preserve"> </w:t>
      </w:r>
      <w:r>
        <w:rPr>
          <w:i/>
        </w:rPr>
        <w:t>съюз</w:t>
      </w:r>
      <w:r w:rsidRPr="00C74128">
        <w:rPr>
          <w:lang w:val="fr-FR"/>
        </w:rPr>
        <w:t xml:space="preserve"> </w:t>
      </w:r>
      <w:r>
        <w:t>от</w:t>
      </w:r>
      <w:r w:rsidRPr="00C74128">
        <w:rPr>
          <w:lang w:val="fr-FR"/>
        </w:rPr>
        <w:t xml:space="preserve"> </w:t>
      </w:r>
      <w:r>
        <w:t>генералния</w:t>
      </w:r>
      <w:r w:rsidRPr="00C74128">
        <w:rPr>
          <w:lang w:val="fr-FR"/>
        </w:rPr>
        <w:t xml:space="preserve"> </w:t>
      </w:r>
      <w:r>
        <w:t>секретариат</w:t>
      </w:r>
      <w:r w:rsidRPr="00C74128">
        <w:rPr>
          <w:lang w:val="fr-FR"/>
        </w:rPr>
        <w:t xml:space="preserve"> </w:t>
      </w:r>
      <w:r>
        <w:t>на</w:t>
      </w:r>
      <w:r w:rsidRPr="00C74128">
        <w:rPr>
          <w:lang w:val="fr-FR"/>
        </w:rPr>
        <w:t xml:space="preserve"> </w:t>
      </w:r>
      <w:r>
        <w:t>Съвета</w:t>
      </w:r>
      <w:r w:rsidRPr="00C74128">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DBC7EF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19293E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038B3A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4C07A9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A8EB23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8568E5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EAC24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3ECDCA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22"/>
    <w:lvlOverride w:ilvl="0">
      <w:startOverride w:val="1"/>
    </w:lvlOverride>
  </w:num>
  <w:num w:numId="7">
    <w:abstractNumId w:val="6"/>
  </w:num>
  <w:num w:numId="8">
    <w:abstractNumId w:val="2"/>
  </w:num>
  <w:num w:numId="9">
    <w:abstractNumId w:val="1"/>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4-20 17:53: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689CE6D-FE61-4AA6-AA28-33EC32048DF2"/>
    <w:docVar w:name="LW_COVERPAGE_TYPE" w:val="1"/>
    <w:docVar w:name="LW_CROSSREFERENCE" w:val="&lt;UNUSED&gt;"/>
    <w:docVar w:name="LW_DocType" w:val="COM"/>
    <w:docVar w:name="LW_EMISSION" w:val="5.4.2023"/>
    <w:docVar w:name="LW_EMISSION_ISODATE" w:val="2023-04-05"/>
    <w:docVar w:name="LW_EMISSION_LOCATION" w:val="BRX"/>
    <w:docVar w:name="LW_EMISSION_PREFIX" w:val="\u1041?\u1088?\u1102?\u1082?\u1089?\u1077?\u1083?, "/>
    <w:docVar w:name="LW_EMISSION_SUFFIX" w:val=" \u1075?."/>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01"/>
    <w:docVar w:name="LW_REF.II.NEW.CP_YEAR" w:val="2023"/>
    <w:docVar w:name="LW_REF.INST.NEW" w:val="COM"/>
    <w:docVar w:name="LW_REF.INST.NEW_ADOPTED" w:val="final"/>
    <w:docVar w:name="LW_REF.INST.NEW_TEXT" w:val="(2023) 2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за подписване, от името на Съюза, и временно прилагане на Споразумението между Европейския съюз и Черна гора относно оперативните дейности, извършвани от Европейската агенция за гранична и брегова охрана в Черна гора"/>
    <w:docVar w:name="LW_TYPE.DOC.CP" w:val="РЕШЕНИЕ НА СЪВЕТА"/>
    <w:docVar w:name="LwApiVersions" w:val="LW4CoDe 1.23.2.0; LW 8.0, Build 20211117"/>
  </w:docVars>
  <w:rsids>
    <w:rsidRoot w:val="003B7796"/>
    <w:rsid w:val="00012031"/>
    <w:rsid w:val="0001744D"/>
    <w:rsid w:val="000210FF"/>
    <w:rsid w:val="00030BDE"/>
    <w:rsid w:val="000316B2"/>
    <w:rsid w:val="00067449"/>
    <w:rsid w:val="00090AD4"/>
    <w:rsid w:val="00096C02"/>
    <w:rsid w:val="000B7019"/>
    <w:rsid w:val="000D3C37"/>
    <w:rsid w:val="000E11B1"/>
    <w:rsid w:val="000E3E7D"/>
    <w:rsid w:val="000E6733"/>
    <w:rsid w:val="001065F5"/>
    <w:rsid w:val="00112201"/>
    <w:rsid w:val="00114D87"/>
    <w:rsid w:val="0011774E"/>
    <w:rsid w:val="001238EF"/>
    <w:rsid w:val="001532D6"/>
    <w:rsid w:val="0017518E"/>
    <w:rsid w:val="00180C5A"/>
    <w:rsid w:val="001873B6"/>
    <w:rsid w:val="00197613"/>
    <w:rsid w:val="001A4D6D"/>
    <w:rsid w:val="001B076B"/>
    <w:rsid w:val="001C293D"/>
    <w:rsid w:val="00233DC7"/>
    <w:rsid w:val="0024005E"/>
    <w:rsid w:val="00247779"/>
    <w:rsid w:val="00263CB2"/>
    <w:rsid w:val="002715B2"/>
    <w:rsid w:val="00273C43"/>
    <w:rsid w:val="00285BEE"/>
    <w:rsid w:val="0029533F"/>
    <w:rsid w:val="002B30AF"/>
    <w:rsid w:val="002D7BC4"/>
    <w:rsid w:val="002E1885"/>
    <w:rsid w:val="002E2AE5"/>
    <w:rsid w:val="002E2EFD"/>
    <w:rsid w:val="00332D9B"/>
    <w:rsid w:val="0033344A"/>
    <w:rsid w:val="00365687"/>
    <w:rsid w:val="00373446"/>
    <w:rsid w:val="00373CD6"/>
    <w:rsid w:val="0039052F"/>
    <w:rsid w:val="003913D6"/>
    <w:rsid w:val="003B7796"/>
    <w:rsid w:val="003E0108"/>
    <w:rsid w:val="003F454F"/>
    <w:rsid w:val="00415A24"/>
    <w:rsid w:val="0042648E"/>
    <w:rsid w:val="00483ACD"/>
    <w:rsid w:val="004913D9"/>
    <w:rsid w:val="004936D2"/>
    <w:rsid w:val="004B750B"/>
    <w:rsid w:val="004C2870"/>
    <w:rsid w:val="004D1738"/>
    <w:rsid w:val="004D4D1E"/>
    <w:rsid w:val="00505A94"/>
    <w:rsid w:val="00530801"/>
    <w:rsid w:val="00540894"/>
    <w:rsid w:val="0055541B"/>
    <w:rsid w:val="00557AE1"/>
    <w:rsid w:val="005B1EB6"/>
    <w:rsid w:val="005E2EC0"/>
    <w:rsid w:val="005E3379"/>
    <w:rsid w:val="005E3945"/>
    <w:rsid w:val="00631F17"/>
    <w:rsid w:val="00635693"/>
    <w:rsid w:val="00655A31"/>
    <w:rsid w:val="006D1687"/>
    <w:rsid w:val="00715CF3"/>
    <w:rsid w:val="00720519"/>
    <w:rsid w:val="007210CB"/>
    <w:rsid w:val="00750500"/>
    <w:rsid w:val="00773331"/>
    <w:rsid w:val="00792426"/>
    <w:rsid w:val="007932EF"/>
    <w:rsid w:val="007A3BC0"/>
    <w:rsid w:val="007A6654"/>
    <w:rsid w:val="007B750D"/>
    <w:rsid w:val="007C0C4A"/>
    <w:rsid w:val="007C0ED9"/>
    <w:rsid w:val="007E05B0"/>
    <w:rsid w:val="007E40D0"/>
    <w:rsid w:val="007E5A77"/>
    <w:rsid w:val="008278F3"/>
    <w:rsid w:val="00841D07"/>
    <w:rsid w:val="008422F3"/>
    <w:rsid w:val="0086339D"/>
    <w:rsid w:val="00874D22"/>
    <w:rsid w:val="008A2914"/>
    <w:rsid w:val="008C2BF0"/>
    <w:rsid w:val="008E3FAD"/>
    <w:rsid w:val="008E4D8E"/>
    <w:rsid w:val="008F2328"/>
    <w:rsid w:val="0091124A"/>
    <w:rsid w:val="009121E2"/>
    <w:rsid w:val="009402AD"/>
    <w:rsid w:val="00942EC6"/>
    <w:rsid w:val="00972C14"/>
    <w:rsid w:val="009C272A"/>
    <w:rsid w:val="009E4A0C"/>
    <w:rsid w:val="00A108CB"/>
    <w:rsid w:val="00A1217E"/>
    <w:rsid w:val="00A36D73"/>
    <w:rsid w:val="00A64FEC"/>
    <w:rsid w:val="00A878EB"/>
    <w:rsid w:val="00A93741"/>
    <w:rsid w:val="00A9383F"/>
    <w:rsid w:val="00A95D2C"/>
    <w:rsid w:val="00AF1D90"/>
    <w:rsid w:val="00AF615D"/>
    <w:rsid w:val="00B16467"/>
    <w:rsid w:val="00B7215F"/>
    <w:rsid w:val="00B73534"/>
    <w:rsid w:val="00B75423"/>
    <w:rsid w:val="00BF5C7E"/>
    <w:rsid w:val="00C12301"/>
    <w:rsid w:val="00C3345C"/>
    <w:rsid w:val="00C419FD"/>
    <w:rsid w:val="00C46FB0"/>
    <w:rsid w:val="00C74128"/>
    <w:rsid w:val="00C90D31"/>
    <w:rsid w:val="00C941BD"/>
    <w:rsid w:val="00CB236B"/>
    <w:rsid w:val="00CB2AE1"/>
    <w:rsid w:val="00CC6456"/>
    <w:rsid w:val="00CC709A"/>
    <w:rsid w:val="00CD0097"/>
    <w:rsid w:val="00CD0B09"/>
    <w:rsid w:val="00CD1DE3"/>
    <w:rsid w:val="00D124A7"/>
    <w:rsid w:val="00D13D1D"/>
    <w:rsid w:val="00D1557B"/>
    <w:rsid w:val="00D20381"/>
    <w:rsid w:val="00D42C40"/>
    <w:rsid w:val="00D50B0D"/>
    <w:rsid w:val="00D5585B"/>
    <w:rsid w:val="00DA1777"/>
    <w:rsid w:val="00DD73E3"/>
    <w:rsid w:val="00E32968"/>
    <w:rsid w:val="00E560FB"/>
    <w:rsid w:val="00E845BD"/>
    <w:rsid w:val="00E91EE3"/>
    <w:rsid w:val="00E96366"/>
    <w:rsid w:val="00EA6027"/>
    <w:rsid w:val="00EB6BCA"/>
    <w:rsid w:val="00EC4150"/>
    <w:rsid w:val="00ED47CF"/>
    <w:rsid w:val="00ED6D16"/>
    <w:rsid w:val="00EF2044"/>
    <w:rsid w:val="00F0262A"/>
    <w:rsid w:val="00F12E08"/>
    <w:rsid w:val="00F21801"/>
    <w:rsid w:val="00F32A19"/>
    <w:rsid w:val="00F508F3"/>
    <w:rsid w:val="00F77B3B"/>
    <w:rsid w:val="00F95C5D"/>
    <w:rsid w:val="00FC38F8"/>
    <w:rsid w:val="00FE4F4A"/>
    <w:rsid w:val="00FE69B9"/>
    <w:rsid w:val="0BB6F137"/>
    <w:rsid w:val="0C09A4AA"/>
    <w:rsid w:val="21C0AF21"/>
    <w:rsid w:val="2F6DB24F"/>
    <w:rsid w:val="53FD2246"/>
    <w:rsid w:val="7592655E"/>
    <w:rsid w:val="75AD3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B52A17"/>
  <w15:docId w15:val="{D3B873DF-E1A5-4896-8FC1-B9241B5D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15B2"/>
    <w:rPr>
      <w:sz w:val="16"/>
      <w:szCs w:val="16"/>
    </w:rPr>
  </w:style>
  <w:style w:type="character" w:customStyle="1" w:styleId="eop">
    <w:name w:val="eop"/>
    <w:basedOn w:val="DefaultParagraphFont"/>
    <w:rsid w:val="002715B2"/>
  </w:style>
  <w:style w:type="character" w:styleId="Hyperlink">
    <w:name w:val="Hyperlink"/>
    <w:basedOn w:val="DefaultParagraphFont"/>
    <w:uiPriority w:val="99"/>
    <w:unhideWhenUsed/>
    <w:rsid w:val="002715B2"/>
    <w:rPr>
      <w:color w:val="0000FF" w:themeColor="hyperlink"/>
      <w:u w:val="single"/>
    </w:rPr>
  </w:style>
  <w:style w:type="paragraph" w:styleId="ListNumber4">
    <w:name w:val="List Number 4"/>
    <w:basedOn w:val="Normal"/>
    <w:uiPriority w:val="99"/>
    <w:semiHidden/>
    <w:unhideWhenUsed/>
    <w:rsid w:val="00ED47CF"/>
    <w:pPr>
      <w:numPr>
        <w:numId w:val="1"/>
      </w:numPr>
      <w:contextualSpacing/>
    </w:pPr>
  </w:style>
  <w:style w:type="character" w:customStyle="1" w:styleId="normaltextrun">
    <w:name w:val="normaltextrun"/>
    <w:basedOn w:val="DefaultParagraphFont"/>
    <w:rsid w:val="00ED47CF"/>
  </w:style>
  <w:style w:type="paragraph" w:styleId="ListBullet">
    <w:name w:val="List Bullet"/>
    <w:basedOn w:val="Normal"/>
    <w:uiPriority w:val="99"/>
    <w:semiHidden/>
    <w:unhideWhenUsed/>
    <w:rsid w:val="00631F17"/>
    <w:pPr>
      <w:numPr>
        <w:numId w:val="2"/>
      </w:numPr>
      <w:contextualSpacing/>
    </w:pPr>
  </w:style>
  <w:style w:type="paragraph" w:styleId="ListBullet2">
    <w:name w:val="List Bullet 2"/>
    <w:basedOn w:val="Normal"/>
    <w:uiPriority w:val="99"/>
    <w:semiHidden/>
    <w:unhideWhenUsed/>
    <w:rsid w:val="00631F17"/>
    <w:pPr>
      <w:numPr>
        <w:numId w:val="3"/>
      </w:numPr>
      <w:contextualSpacing/>
    </w:pPr>
  </w:style>
  <w:style w:type="paragraph" w:styleId="ListBullet3">
    <w:name w:val="List Bullet 3"/>
    <w:basedOn w:val="Normal"/>
    <w:uiPriority w:val="99"/>
    <w:semiHidden/>
    <w:unhideWhenUsed/>
    <w:rsid w:val="00631F17"/>
    <w:pPr>
      <w:numPr>
        <w:numId w:val="4"/>
      </w:numPr>
      <w:contextualSpacing/>
    </w:pPr>
  </w:style>
  <w:style w:type="paragraph" w:styleId="ListBullet4">
    <w:name w:val="List Bullet 4"/>
    <w:basedOn w:val="Normal"/>
    <w:uiPriority w:val="99"/>
    <w:semiHidden/>
    <w:unhideWhenUsed/>
    <w:rsid w:val="00631F17"/>
    <w:pPr>
      <w:numPr>
        <w:numId w:val="5"/>
      </w:numPr>
      <w:contextualSpacing/>
    </w:pPr>
  </w:style>
  <w:style w:type="paragraph" w:styleId="CommentText">
    <w:name w:val="annotation text"/>
    <w:basedOn w:val="Normal"/>
    <w:link w:val="CommentTextChar"/>
    <w:uiPriority w:val="99"/>
    <w:semiHidden/>
    <w:unhideWhenUsed/>
    <w:rsid w:val="00CB2AE1"/>
    <w:rPr>
      <w:sz w:val="20"/>
      <w:szCs w:val="20"/>
    </w:rPr>
  </w:style>
  <w:style w:type="character" w:customStyle="1" w:styleId="CommentTextChar">
    <w:name w:val="Comment Text Char"/>
    <w:basedOn w:val="DefaultParagraphFont"/>
    <w:link w:val="CommentText"/>
    <w:uiPriority w:val="99"/>
    <w:semiHidden/>
    <w:rsid w:val="00CB2AE1"/>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B2AE1"/>
    <w:rPr>
      <w:b/>
      <w:bCs/>
    </w:rPr>
  </w:style>
  <w:style w:type="character" w:customStyle="1" w:styleId="CommentSubjectChar">
    <w:name w:val="Comment Subject Char"/>
    <w:basedOn w:val="CommentTextChar"/>
    <w:link w:val="CommentSubject"/>
    <w:uiPriority w:val="99"/>
    <w:semiHidden/>
    <w:rsid w:val="00CB2AE1"/>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rsid w:val="00CB2AE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AE1"/>
    <w:rPr>
      <w:rFonts w:ascii="Segoe UI" w:hAnsi="Segoe UI" w:cs="Segoe UI"/>
      <w:sz w:val="18"/>
      <w:szCs w:val="18"/>
      <w:lang w:val="bg-BG"/>
    </w:rPr>
  </w:style>
  <w:style w:type="paragraph" w:styleId="Revision">
    <w:name w:val="Revision"/>
    <w:hidden/>
    <w:uiPriority w:val="99"/>
    <w:semiHidden/>
    <w:rsid w:val="00F95C5D"/>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BF5C7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F5C7E"/>
    <w:pPr>
      <w:spacing w:after="0"/>
    </w:pPr>
  </w:style>
  <w:style w:type="paragraph" w:styleId="ListNumber">
    <w:name w:val="List Number"/>
    <w:basedOn w:val="Normal"/>
    <w:uiPriority w:val="99"/>
    <w:semiHidden/>
    <w:unhideWhenUsed/>
    <w:rsid w:val="00BF5C7E"/>
    <w:pPr>
      <w:numPr>
        <w:numId w:val="7"/>
      </w:numPr>
      <w:contextualSpacing/>
    </w:pPr>
  </w:style>
  <w:style w:type="paragraph" w:styleId="ListNumber2">
    <w:name w:val="List Number 2"/>
    <w:basedOn w:val="Normal"/>
    <w:uiPriority w:val="99"/>
    <w:semiHidden/>
    <w:unhideWhenUsed/>
    <w:rsid w:val="00BF5C7E"/>
    <w:pPr>
      <w:numPr>
        <w:numId w:val="8"/>
      </w:numPr>
      <w:contextualSpacing/>
    </w:pPr>
  </w:style>
  <w:style w:type="paragraph" w:styleId="ListNumber3">
    <w:name w:val="List Number 3"/>
    <w:basedOn w:val="Normal"/>
    <w:uiPriority w:val="99"/>
    <w:semiHidden/>
    <w:unhideWhenUsed/>
    <w:rsid w:val="00BF5C7E"/>
    <w:pPr>
      <w:numPr>
        <w:numId w:val="9"/>
      </w:numPr>
      <w:contextualSpacing/>
    </w:pPr>
  </w:style>
  <w:style w:type="character" w:customStyle="1" w:styleId="UnresolvedMention">
    <w:name w:val="Unresolved Mention"/>
    <w:basedOn w:val="DefaultParagraphFont"/>
    <w:uiPriority w:val="99"/>
    <w:semiHidden/>
    <w:unhideWhenUsed/>
    <w:rsid w:val="007C0ED9"/>
    <w:rPr>
      <w:color w:val="605E5C"/>
      <w:shd w:val="clear" w:color="auto" w:fill="E1DFDD"/>
    </w:rPr>
  </w:style>
  <w:style w:type="paragraph" w:styleId="Header">
    <w:name w:val="header"/>
    <w:basedOn w:val="Normal"/>
    <w:link w:val="HeaderChar"/>
    <w:uiPriority w:val="99"/>
    <w:unhideWhenUsed/>
    <w:rsid w:val="00540894"/>
    <w:pPr>
      <w:tabs>
        <w:tab w:val="center" w:pos="4535"/>
        <w:tab w:val="right" w:pos="9071"/>
      </w:tabs>
      <w:spacing w:before="0"/>
    </w:pPr>
  </w:style>
  <w:style w:type="character" w:customStyle="1" w:styleId="HeaderChar">
    <w:name w:val="Header Char"/>
    <w:basedOn w:val="DefaultParagraphFont"/>
    <w:link w:val="Header"/>
    <w:uiPriority w:val="99"/>
    <w:rsid w:val="00540894"/>
    <w:rPr>
      <w:rFonts w:ascii="Times New Roman" w:hAnsi="Times New Roman" w:cs="Times New Roman"/>
      <w:sz w:val="24"/>
      <w:lang w:val="bg-BG"/>
    </w:rPr>
  </w:style>
  <w:style w:type="paragraph" w:styleId="Footer">
    <w:name w:val="footer"/>
    <w:basedOn w:val="Normal"/>
    <w:link w:val="FooterChar"/>
    <w:uiPriority w:val="99"/>
    <w:unhideWhenUsed/>
    <w:rsid w:val="0054089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40894"/>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40894"/>
    <w:pPr>
      <w:tabs>
        <w:tab w:val="center" w:pos="7285"/>
        <w:tab w:val="right" w:pos="14003"/>
      </w:tabs>
      <w:spacing w:before="0"/>
    </w:pPr>
  </w:style>
  <w:style w:type="paragraph" w:customStyle="1" w:styleId="FooterLandscape">
    <w:name w:val="FooterLandscape"/>
    <w:basedOn w:val="Normal"/>
    <w:rsid w:val="0054089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4089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40894"/>
    <w:pPr>
      <w:spacing w:before="0"/>
      <w:jc w:val="right"/>
    </w:pPr>
    <w:rPr>
      <w:sz w:val="28"/>
    </w:rPr>
  </w:style>
  <w:style w:type="paragraph" w:customStyle="1" w:styleId="FooterSensitivity">
    <w:name w:val="Footer Sensitivity"/>
    <w:basedOn w:val="Normal"/>
    <w:rsid w:val="0054089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E2AE5"/>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publications/migration-and-asylum-package-new-pact-migration-and-asylum-documents-adopted-23-september-2020_bg" TargetMode="External"/><Relationship Id="rId2" Type="http://schemas.openxmlformats.org/officeDocument/2006/relationships/hyperlink" Target="https://ec.europa.eu/info/publications/migration-and-asylum-package-new-pact-migration-and-asylum-documents-adopted-23-september-2020_bg" TargetMode="External"/><Relationship Id="rId1" Type="http://schemas.openxmlformats.org/officeDocument/2006/relationships/hyperlink" Target="https://ec.europa.eu/info/publications/migration-and-asylum-package-new-pact-migration-and-asylum-documents-adopted-23-september-2020_bg" TargetMode="External"/><Relationship Id="rId6" Type="http://schemas.openxmlformats.org/officeDocument/2006/relationships/hyperlink" Target="https://eur-lex.europa.eu/legal-content/BG/TXT/?uri=CELEX%3A32022D2273" TargetMode="External"/><Relationship Id="rId5" Type="http://schemas.openxmlformats.org/officeDocument/2006/relationships/hyperlink" Target="https://eur-lex.europa.eu/legal-content/BG/TXT/PDF/?uri=CELEX:22020A0603(01)&amp;rid=2" TargetMode="External"/><Relationship Id="rId4" Type="http://schemas.openxmlformats.org/officeDocument/2006/relationships/hyperlink" Target="https://eur-lex.europa.eu/legal-content/BG/TXT/?uri=CELEX:22010A042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1574990-7dca-46ed-ac87-7eb4962c31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0B1AB3EE7FB41977BC1E216BA6147" ma:contentTypeVersion="15" ma:contentTypeDescription="Create a new document." ma:contentTypeScope="" ma:versionID="79e00694e18cb8702adb20a3b4611e51">
  <xsd:schema xmlns:xsd="http://www.w3.org/2001/XMLSchema" xmlns:xs="http://www.w3.org/2001/XMLSchema" xmlns:p="http://schemas.microsoft.com/office/2006/metadata/properties" xmlns:ns1="http://schemas.microsoft.com/sharepoint/v3" xmlns:ns3="b1574990-7dca-46ed-ac87-7eb4962c31b1" xmlns:ns4="d2e3c90a-5f11-4787-ace5-3a0bcb2edcfa" targetNamespace="http://schemas.microsoft.com/office/2006/metadata/properties" ma:root="true" ma:fieldsID="5afd1f1af1d91f71954a5bb75164a8ef" ns1:_="" ns3:_="" ns4:_="">
    <xsd:import namespace="http://schemas.microsoft.com/sharepoint/v3"/>
    <xsd:import namespace="b1574990-7dca-46ed-ac87-7eb4962c31b1"/>
    <xsd:import namespace="d2e3c90a-5f11-4787-ace5-3a0bcb2edc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74990-7dca-46ed-ac87-7eb4962c3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e3c90a-5f11-4787-ace5-3a0bcb2ed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5B1E1-3665-46E4-9AD8-232122B4E42C}">
  <ds:schemaRefs>
    <ds:schemaRef ds:uri="http://schemas.microsoft.com/office/2006/metadata/properties"/>
    <ds:schemaRef ds:uri="http://schemas.microsoft.com/office/infopath/2007/PartnerControls"/>
    <ds:schemaRef ds:uri="http://schemas.microsoft.com/sharepoint/v3"/>
    <ds:schemaRef ds:uri="b1574990-7dca-46ed-ac87-7eb4962c31b1"/>
  </ds:schemaRefs>
</ds:datastoreItem>
</file>

<file path=customXml/itemProps2.xml><?xml version="1.0" encoding="utf-8"?>
<ds:datastoreItem xmlns:ds="http://schemas.openxmlformats.org/officeDocument/2006/customXml" ds:itemID="{A8F4F0C4-1102-4962-8614-70E2764AB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574990-7dca-46ed-ac87-7eb4962c31b1"/>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0544C-AB97-45DF-891E-2DCA34E47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8</Pages>
  <Words>2154</Words>
  <Characters>12367</Characters>
  <Application>Microsoft Office Word</Application>
  <DocSecurity>0</DocSecurity>
  <Lines>229</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51</cp:revision>
  <dcterms:created xsi:type="dcterms:W3CDTF">2023-04-02T14:56:00Z</dcterms:created>
  <dcterms:modified xsi:type="dcterms:W3CDTF">2023-04-20T15:53:00Z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ContentTypeId">
    <vt:lpwstr>0x0101009910B1AB3EE7FB41977BC1E216BA6147</vt:lpwstr>
  </property>
  <property fmtid="{D5CDD505-2E9C-101B-9397-08002B2CF9AE}" pid="11" name="MSIP_Label_6bd9ddd1-4d20-43f6-abfa-fc3c07406f94_Enabled">
    <vt:lpwstr>true</vt:lpwstr>
  </property>
  <property fmtid="{D5CDD505-2E9C-101B-9397-08002B2CF9AE}" pid="12" name="MSIP_Label_6bd9ddd1-4d20-43f6-abfa-fc3c07406f94_SetDate">
    <vt:lpwstr>2023-03-20T10:03:49Z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89551688-3ee0-4774-b43e-a0cc92f69353</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