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61A0" w14:textId="35A0E510" w:rsidR="008872EA" w:rsidRDefault="00DA0C8C" w:rsidP="00DA0C8C">
      <w:pPr>
        <w:pStyle w:val="Pagedecouverture"/>
        <w:rPr>
          <w:noProof/>
        </w:rPr>
      </w:pPr>
      <w:bookmarkStart w:id="0" w:name="LW_BM_COVERPAGE"/>
      <w:r>
        <w:rPr>
          <w:noProof/>
        </w:rPr>
        <w:pict w14:anchorId="04014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22E65AE-C07A-4F08-B935-03B4B6777223" style="width:455.25pt;height:336.75pt">
            <v:imagedata r:id="rId11" o:title=""/>
          </v:shape>
        </w:pict>
      </w:r>
    </w:p>
    <w:bookmarkEnd w:id="0"/>
    <w:p w14:paraId="1CF81D36" w14:textId="77777777" w:rsidR="00F2632A" w:rsidRPr="00F2632A" w:rsidRDefault="00F2632A" w:rsidP="00F2632A">
      <w:pPr>
        <w:pStyle w:val="Pagedecouverture"/>
        <w:rPr>
          <w:noProof/>
          <w:lang w:val="en-GB"/>
        </w:rPr>
        <w:sectPr w:rsidR="00F2632A" w:rsidRPr="00F2632A" w:rsidSect="00DA0C8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B64A968" w14:textId="0DFF81ED" w:rsidR="008865D2" w:rsidRPr="008872EA" w:rsidRDefault="008865D2" w:rsidP="008865D2">
      <w:pPr>
        <w:spacing w:after="0" w:line="276" w:lineRule="auto"/>
        <w:jc w:val="both"/>
        <w:rPr>
          <w:rFonts w:ascii="Times New Roman" w:eastAsia="Times New Roman" w:hAnsi="Times New Roman" w:cs="Times New Roman"/>
          <w:noProof/>
          <w:sz w:val="24"/>
          <w:szCs w:val="24"/>
        </w:rPr>
      </w:pPr>
      <w:bookmarkStart w:id="1" w:name="_GoBack"/>
      <w:bookmarkEnd w:id="1"/>
      <w:r>
        <w:rPr>
          <w:rFonts w:ascii="Times New Roman" w:hAnsi="Times New Roman"/>
          <w:noProof/>
          <w:sz w:val="24"/>
        </w:rPr>
        <w:lastRenderedPageBreak/>
        <w:t>Az Európai Tanács a 2023. február 9-i rendkívüli ülésén ismételten hangsúlyozta, hogy a migrációval kapcsolatos átfogó megközelítés részeként fontos biztosítani az EU szárazföldi és tengeri külső határainak hatékony ellenőrzését. Ezzel összefüggésben felkérte az Európai Bizottságot az európai integrált határigazgatási stratégia mielőbbi véglegesítésére.</w:t>
      </w:r>
    </w:p>
    <w:p w14:paraId="4FC3B7D9" w14:textId="77777777" w:rsidR="008865D2" w:rsidRPr="00F21552" w:rsidRDefault="008865D2" w:rsidP="008865D2">
      <w:pPr>
        <w:spacing w:after="0" w:line="276" w:lineRule="auto"/>
        <w:jc w:val="both"/>
        <w:rPr>
          <w:rFonts w:ascii="Times New Roman" w:eastAsia="Times New Roman" w:hAnsi="Times New Roman" w:cs="Times New Roman"/>
          <w:noProof/>
          <w:sz w:val="24"/>
          <w:szCs w:val="24"/>
          <w:lang w:eastAsia="en-GB"/>
        </w:rPr>
      </w:pPr>
    </w:p>
    <w:p w14:paraId="6EDEC3AD" w14:textId="02F30B14" w:rsidR="00932082" w:rsidRPr="008872EA" w:rsidRDefault="008865D2" w:rsidP="00932082">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Pr>
          <w:rFonts w:ascii="Times New Roman" w:hAnsi="Times New Roman"/>
          <w:noProof/>
          <w:sz w:val="24"/>
        </w:rPr>
        <w:t xml:space="preserve">E felkérésnek eleget téve ez a közlemény </w:t>
      </w:r>
      <w:r>
        <w:rPr>
          <w:rFonts w:ascii="Times New Roman" w:hAnsi="Times New Roman"/>
          <w:noProof/>
          <w:color w:val="000000"/>
          <w:sz w:val="24"/>
          <w:bdr w:val="none" w:sz="0" w:space="0" w:color="auto" w:frame="1"/>
          <w:shd w:val="clear" w:color="auto" w:fill="FFFFFF"/>
        </w:rPr>
        <w:t>meghatározza az első többéves stratégiai szakpolitikát, amely közös szakpolitikai keretet és iránymutatást biztosít a hatékony európai integrált határigazgatás</w:t>
      </w:r>
      <w:r>
        <w:rPr>
          <w:rStyle w:val="FootnoteReference"/>
          <w:rFonts w:ascii="Times New Roman" w:eastAsia="Times New Roman" w:hAnsi="Times New Roman" w:cs="Times New Roman"/>
          <w:noProof/>
          <w:color w:val="000000"/>
          <w:sz w:val="24"/>
          <w:szCs w:val="24"/>
          <w:bdr w:val="none" w:sz="0" w:space="0" w:color="auto" w:frame="1"/>
          <w:shd w:val="clear" w:color="auto" w:fill="FFFFFF"/>
          <w:lang w:val="en-GB" w:eastAsia="en-GB"/>
        </w:rPr>
        <w:footnoteReference w:id="2"/>
      </w:r>
      <w:r>
        <w:rPr>
          <w:rFonts w:ascii="Times New Roman" w:hAnsi="Times New Roman"/>
          <w:noProof/>
          <w:color w:val="000000"/>
          <w:sz w:val="24"/>
          <w:bdr w:val="none" w:sz="0" w:space="0" w:color="auto" w:frame="1"/>
          <w:shd w:val="clear" w:color="auto" w:fill="FFFFFF"/>
        </w:rPr>
        <w:t xml:space="preserve"> végrehajtásához a 2023 és 2027 közötti időszakban. </w:t>
      </w:r>
    </w:p>
    <w:p w14:paraId="5169B934" w14:textId="77777777" w:rsidR="00932082" w:rsidRPr="00F21552" w:rsidRDefault="00932082" w:rsidP="00932082">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eastAsia="en-GB"/>
        </w:rPr>
      </w:pPr>
    </w:p>
    <w:p w14:paraId="44E6588A" w14:textId="7EDD8A1D" w:rsidR="00901A4E" w:rsidRPr="008872EA" w:rsidRDefault="00B70A41" w:rsidP="00932082">
      <w:pPr>
        <w:spacing w:after="0" w:line="276" w:lineRule="auto"/>
        <w:jc w:val="both"/>
        <w:rPr>
          <w:rFonts w:ascii="Times New Roman" w:eastAsia="Calibri" w:hAnsi="Times New Roman" w:cs="Times New Roman"/>
          <w:noProof/>
          <w:sz w:val="24"/>
          <w:szCs w:val="24"/>
        </w:rPr>
      </w:pPr>
      <w:r>
        <w:rPr>
          <w:rFonts w:ascii="Times New Roman" w:hAnsi="Times New Roman"/>
          <w:noProof/>
          <w:color w:val="000000"/>
          <w:sz w:val="24"/>
          <w:bdr w:val="none" w:sz="0" w:space="0" w:color="auto" w:frame="1"/>
          <w:shd w:val="clear" w:color="auto" w:fill="FFFFFF"/>
        </w:rPr>
        <w:t>Az európai integrált határigazgatás 15 elemére vonatkozó, az I. mellékletben meghatározott szakpolitikai prioritások és stratégiai iránymutatások a 2022. május 24-i szakpolitikai dokumentumra</w:t>
      </w:r>
      <w:r>
        <w:rPr>
          <w:rStyle w:val="FootnoteReference"/>
          <w:rFonts w:ascii="Times New Roman" w:eastAsia="Calibri" w:hAnsi="Times New Roman" w:cs="Times New Roman"/>
          <w:noProof/>
          <w:sz w:val="24"/>
          <w:szCs w:val="24"/>
          <w:lang w:val="en-GB"/>
        </w:rPr>
        <w:footnoteReference w:id="3"/>
      </w:r>
      <w:r>
        <w:rPr>
          <w:rFonts w:ascii="Times New Roman" w:hAnsi="Times New Roman"/>
          <w:noProof/>
          <w:color w:val="000000"/>
          <w:sz w:val="24"/>
          <w:bdr w:val="none" w:sz="0" w:space="0" w:color="auto" w:frame="1"/>
          <w:shd w:val="clear" w:color="auto" w:fill="FFFFFF"/>
        </w:rPr>
        <w:t xml:space="preserve"> épülnek, amely elindította az európai integrált határigazgatás első ötéves stratégiai szakpolitikai ciklusát, és figyelembe veszik a konzultációs folyamat során az érdekelt felektől kapott észrevételeket. Az</w:t>
      </w:r>
      <w:r>
        <w:rPr>
          <w:rFonts w:ascii="Times New Roman" w:hAnsi="Times New Roman"/>
          <w:noProof/>
          <w:sz w:val="24"/>
        </w:rPr>
        <w:t xml:space="preserve"> intézményközi megbeszélések keretében értékes hozzájárulást nyújtott az Állampolgári Jogi, Bel- és Igazságügyi Bizottság (LIBE)</w:t>
      </w:r>
      <w:r>
        <w:rPr>
          <w:rStyle w:val="FootnoteReference"/>
          <w:rFonts w:ascii="Times New Roman" w:eastAsia="Calibri" w:hAnsi="Times New Roman" w:cs="Times New Roman"/>
          <w:noProof/>
          <w:sz w:val="24"/>
          <w:szCs w:val="24"/>
          <w:lang w:val="en-GB"/>
        </w:rPr>
        <w:footnoteReference w:id="4"/>
      </w:r>
      <w:r>
        <w:rPr>
          <w:rFonts w:ascii="Times New Roman" w:hAnsi="Times New Roman"/>
          <w:noProof/>
          <w:sz w:val="24"/>
        </w:rPr>
        <w:t>, valamint tanácsi következtetések</w:t>
      </w:r>
      <w:r>
        <w:rPr>
          <w:rStyle w:val="FootnoteReference"/>
          <w:rFonts w:ascii="Times New Roman" w:eastAsia="Calibri" w:hAnsi="Times New Roman" w:cs="Times New Roman"/>
          <w:noProof/>
          <w:sz w:val="24"/>
          <w:szCs w:val="24"/>
          <w:lang w:val="en-GB"/>
        </w:rPr>
        <w:footnoteReference w:id="5"/>
      </w:r>
      <w:r>
        <w:rPr>
          <w:rFonts w:ascii="Times New Roman" w:hAnsi="Times New Roman"/>
          <w:noProof/>
          <w:sz w:val="24"/>
        </w:rPr>
        <w:t xml:space="preserve"> elfogadására került sor, amelyek beépültek e közleménybe és mellékleteibe, így kialakult az európai integrált határigazgatás közös európai jövőképe a következő öt évre vonatkozóan.</w:t>
      </w:r>
    </w:p>
    <w:p w14:paraId="257CE512" w14:textId="77777777" w:rsidR="00B70A41" w:rsidRPr="00F21552" w:rsidRDefault="00B70A41" w:rsidP="00B70A41">
      <w:pPr>
        <w:spacing w:after="0" w:line="276" w:lineRule="auto"/>
        <w:jc w:val="both"/>
        <w:rPr>
          <w:rFonts w:ascii="Times New Roman" w:eastAsia="Calibri" w:hAnsi="Times New Roman" w:cs="Times New Roman"/>
          <w:noProof/>
          <w:sz w:val="24"/>
          <w:szCs w:val="24"/>
        </w:rPr>
      </w:pPr>
    </w:p>
    <w:p w14:paraId="284A57F2" w14:textId="77777777" w:rsidR="006C208A" w:rsidRDefault="00B70A41" w:rsidP="006C22D3">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Pr>
          <w:rFonts w:ascii="Times New Roman" w:hAnsi="Times New Roman"/>
          <w:noProof/>
          <w:sz w:val="24"/>
        </w:rPr>
        <w:t>Az Európai Határ- és Parti Őrség létrehozásáról szóló rendeleten</w:t>
      </w:r>
      <w:r>
        <w:rPr>
          <w:rStyle w:val="FootnoteReference"/>
          <w:rFonts w:ascii="Times New Roman" w:eastAsia="Times New Roman" w:hAnsi="Times New Roman" w:cs="Times New Roman"/>
          <w:noProof/>
          <w:sz w:val="24"/>
          <w:szCs w:val="24"/>
          <w:lang w:val="en-GB" w:eastAsia="en-GB"/>
        </w:rPr>
        <w:footnoteReference w:id="6"/>
      </w:r>
      <w:r>
        <w:rPr>
          <w:rFonts w:ascii="Times New Roman" w:hAnsi="Times New Roman"/>
          <w:noProof/>
          <w:sz w:val="24"/>
        </w:rPr>
        <w:t xml:space="preserve"> alapuló európai integrált határigazgatási stratégia fogja meghatározni a munka irányát a határigazgatásért felelős tagállami nemzeti hatóságok</w:t>
      </w:r>
      <w:r>
        <w:rPr>
          <w:rStyle w:val="FootnoteReference"/>
          <w:rFonts w:ascii="Times New Roman" w:eastAsia="Times New Roman" w:hAnsi="Times New Roman" w:cs="Times New Roman"/>
          <w:noProof/>
          <w:sz w:val="24"/>
          <w:szCs w:val="24"/>
          <w:lang w:val="en-GB" w:eastAsia="en-GB"/>
        </w:rPr>
        <w:footnoteReference w:id="7"/>
      </w:r>
      <w:r>
        <w:rPr>
          <w:rFonts w:ascii="Times New Roman" w:hAnsi="Times New Roman"/>
          <w:noProof/>
          <w:sz w:val="24"/>
        </w:rPr>
        <w:t xml:space="preserve">, valamint az Európai Határ- és Partvédelmi Ügynökség (a továbbiakban: az Ügynökség vagy Frontex) számára, amelyek együttesen alkotják az Európai Határ- és Parti Őrséget. </w:t>
      </w:r>
      <w:r>
        <w:rPr>
          <w:rFonts w:ascii="Times New Roman" w:hAnsi="Times New Roman"/>
          <w:noProof/>
          <w:color w:val="000000"/>
          <w:sz w:val="24"/>
          <w:bdr w:val="none" w:sz="0" w:space="0" w:color="auto" w:frame="1"/>
          <w:shd w:val="clear" w:color="auto" w:fill="FFFFFF"/>
        </w:rPr>
        <w:t>Operatív szinten ez a stratégia a hatékony és eredményes európai integrált határigazgatás megvalósítása céljából közös keretbe foglalja a tagállamok nemzeti hatóságainál, illetve a Frontexnél dolgozó több mint 120 000 európai határ- és partvédelmi tisztviselő napi munkáját.</w:t>
      </w:r>
    </w:p>
    <w:p w14:paraId="39CC89A6" w14:textId="32D81FD7" w:rsidR="00FF136A" w:rsidRPr="008872EA" w:rsidRDefault="00B70A41" w:rsidP="006C22D3">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14:paraId="71C83D17" w14:textId="77777777" w:rsidR="002E1E99" w:rsidRPr="008872EA" w:rsidRDefault="002E1E99" w:rsidP="00EF63F0">
      <w:pPr>
        <w:pStyle w:val="ListParagraph"/>
        <w:keepNext/>
        <w:spacing w:after="200" w:line="276" w:lineRule="auto"/>
        <w:ind w:left="0"/>
        <w:jc w:val="both"/>
        <w:rPr>
          <w:b/>
          <w:bCs/>
          <w:i/>
          <w:iCs/>
          <w:smallCaps/>
          <w:noProof/>
          <w:color w:val="000000"/>
          <w:sz w:val="28"/>
          <w:szCs w:val="28"/>
          <w:u w:val="single"/>
        </w:rPr>
      </w:pPr>
      <w:r>
        <w:rPr>
          <w:rFonts w:ascii="Times New Roman" w:hAnsi="Times New Roman"/>
          <w:b/>
          <w:i/>
          <w:smallCaps/>
          <w:noProof/>
          <w:color w:val="000000"/>
          <w:sz w:val="28"/>
          <w:u w:val="single"/>
        </w:rPr>
        <w:t xml:space="preserve">Stratégiai keret </w:t>
      </w:r>
    </w:p>
    <w:p w14:paraId="29DC8202" w14:textId="6272A709" w:rsidR="002E1E99" w:rsidRPr="008872EA" w:rsidRDefault="002E1E99" w:rsidP="002E1E99">
      <w:pPr>
        <w:spacing w:after="200" w:line="276" w:lineRule="auto"/>
        <w:jc w:val="both"/>
        <w:rPr>
          <w:rFonts w:ascii="Times New Roman" w:hAnsi="Times New Roman" w:cs="Times New Roman"/>
          <w:noProof/>
          <w:sz w:val="24"/>
          <w:szCs w:val="24"/>
        </w:rPr>
      </w:pPr>
      <w:r>
        <w:rPr>
          <w:rFonts w:ascii="Times New Roman" w:hAnsi="Times New Roman"/>
          <w:noProof/>
          <w:sz w:val="24"/>
        </w:rPr>
        <w:t>A Frontex által kidolgozott stratégiai kockázatelemzés</w:t>
      </w:r>
      <w:r>
        <w:rPr>
          <w:rStyle w:val="FootnoteReference"/>
          <w:rFonts w:ascii="Times New Roman" w:hAnsi="Times New Roman" w:cs="Times New Roman"/>
          <w:noProof/>
          <w:sz w:val="24"/>
          <w:szCs w:val="24"/>
          <w:lang w:val="en-GB"/>
        </w:rPr>
        <w:footnoteReference w:id="8"/>
      </w:r>
      <w:r>
        <w:rPr>
          <w:rFonts w:ascii="Times New Roman" w:hAnsi="Times New Roman"/>
          <w:noProof/>
          <w:sz w:val="24"/>
        </w:rPr>
        <w:t xml:space="preserve"> számos olyan tendenciát azonosít, amely hatással van az európai integrált határigazgatás működési környezetére. Ezek közé tartoznak mind a megatrendek, mint például a mélyülő globális egyenlőtlenségek, az éghajlatváltozás, a demográfiai növekedés és az esetleges jövőbeli világjárványok, mind a rövidebb távú geopolitikai és operatív realitások. Ezek a kihívások várhatóan jelentős hatással lesznek a migrációkezelésre és a visszaküldésre, valamint arra, hogy miként kell biztosítani az uniós külső határok védelmét, szintén figyelembe véve, hogy a különböző típusú (szárazföldi, tengeri és légi) határok eltérő intézkedéseket tesznek szükségessé, és hogy a kihívások másként fogják érinteni az egyes határszakaszokat, nemcsak a migrációs áramlások méretétől, hanem azok irányától függően is. </w:t>
      </w:r>
    </w:p>
    <w:p w14:paraId="0B745AE0" w14:textId="52382BBD" w:rsidR="002E1E99" w:rsidRPr="008872EA" w:rsidRDefault="002E1E99" w:rsidP="002E1E99">
      <w:pPr>
        <w:spacing w:after="200" w:line="276" w:lineRule="auto"/>
        <w:jc w:val="both"/>
        <w:rPr>
          <w:rFonts w:ascii="Times New Roman" w:hAnsi="Times New Roman" w:cs="Times New Roman"/>
          <w:noProof/>
          <w:sz w:val="24"/>
          <w:szCs w:val="24"/>
        </w:rPr>
      </w:pPr>
      <w:r>
        <w:rPr>
          <w:rFonts w:ascii="Times New Roman" w:hAnsi="Times New Roman"/>
          <w:noProof/>
          <w:sz w:val="24"/>
        </w:rPr>
        <w:t xml:space="preserve">A közelmúltbeli geopolitikai események mély nyomot hagytak az EU külső határain, és a jövőben is éreztetni fogják hatásukat. Az Ukrajna elleni orosz agressziós háború újfent megerősítette, hogy Európa keleti határain ellenséges geopolitikai légkör uralkodik. A határellenőrzés és a határőrizet terén betöltött hagyományos szerepük mellett az Európai Határ- és Parti Őrség határőrei kulcsfontosságú szerepet játszottak az orosz agressziós háború elől menekülők határátlépésének megkönnyítésében, és egyúttal az uniós külső határok integritásának és biztonságának megőrzésében. </w:t>
      </w:r>
    </w:p>
    <w:p w14:paraId="09CEF62E" w14:textId="7B1FBE0B" w:rsidR="002E1E99" w:rsidRPr="008872EA" w:rsidRDefault="006C208A" w:rsidP="002E1E99">
      <w:pPr>
        <w:spacing w:after="200" w:line="276" w:lineRule="auto"/>
        <w:jc w:val="both"/>
        <w:rPr>
          <w:rFonts w:ascii="Times New Roman" w:hAnsi="Times New Roman" w:cs="Times New Roman"/>
          <w:noProof/>
          <w:sz w:val="24"/>
          <w:szCs w:val="24"/>
        </w:rPr>
      </w:pPr>
      <w:r>
        <w:rPr>
          <w:rFonts w:ascii="Times New Roman" w:hAnsi="Times New Roman"/>
          <w:noProof/>
          <w:sz w:val="24"/>
        </w:rPr>
        <w:t xml:space="preserve">Az EU-nak emellett új realitással kellett szembenéznie: a migráció politikai célokra való felhasználása olyan új tendencia, amely megkérdőjelezi a külső határok igazgatásával kapcsolatos hagyományos megközelítések helytállóságát, és a jövőben további problémák forrásává válhat. Az állami szereplők általi szándékos eszközként való felhasználáson túl a tengeri és szárazföldi külső határokon kialakult helyzet másik jellemzője a jól szervezett bűnözői hálózatok egyre ügyesebb és kifinomultabb tevékenysége, ami további kihívások elé állítja a külső határok hatékony igazgatását. </w:t>
      </w:r>
    </w:p>
    <w:p w14:paraId="63C6FC07" w14:textId="229D3F54" w:rsidR="002E1E99" w:rsidRPr="008872EA" w:rsidRDefault="002E1E99" w:rsidP="002E1E99">
      <w:pPr>
        <w:spacing w:after="240" w:line="276" w:lineRule="auto"/>
        <w:jc w:val="both"/>
        <w:rPr>
          <w:rFonts w:ascii="Times New Roman" w:hAnsi="Times New Roman" w:cs="Times New Roman"/>
          <w:noProof/>
          <w:sz w:val="24"/>
          <w:szCs w:val="24"/>
        </w:rPr>
      </w:pPr>
      <w:r>
        <w:rPr>
          <w:rFonts w:ascii="Times New Roman" w:hAnsi="Times New Roman"/>
          <w:noProof/>
          <w:sz w:val="24"/>
        </w:rPr>
        <w:t>Az EU visszaküldési politikája ugyancsak folyamatos fellépést tesz szükségessé mind a belső, mind a külső dimenzió mentén. Eredményességét és hatékonyságát azonban visszaveti az Európai Unióban működő hatóságok közötti koordináció hiánya, valamint a harmadik országok korlátozott együttműködése. Az Eurostat adatai szerint a 2021-ben hozott 340 515 kiutasítási határozatnak csupán 21 %-a került ténylegesen végrehajtásra. Emellett a Frontex által támogatott visszaküldések 80 %-át mindössze öt tagállam adja. Ez a korlátozott hatékonyság hosszú távon aláássa az európai polgárok körében az európai migrációs és határigazgatási rendszer integritása iránti támogatást és bizalmat.</w:t>
      </w:r>
    </w:p>
    <w:p w14:paraId="63BF9705" w14:textId="52DE4C28" w:rsidR="002E1E99" w:rsidRPr="008872EA" w:rsidRDefault="002E1E99" w:rsidP="002E1E99">
      <w:pPr>
        <w:spacing w:after="240" w:line="276" w:lineRule="auto"/>
        <w:jc w:val="both"/>
        <w:rPr>
          <w:rFonts w:ascii="Times New Roman" w:hAnsi="Times New Roman" w:cs="Times New Roman"/>
          <w:noProof/>
          <w:sz w:val="24"/>
          <w:szCs w:val="24"/>
        </w:rPr>
      </w:pPr>
      <w:r>
        <w:rPr>
          <w:rFonts w:ascii="Times New Roman" w:hAnsi="Times New Roman"/>
          <w:noProof/>
          <w:sz w:val="24"/>
        </w:rPr>
        <w:t>Globális szinten az állami és nem állami szereplők rendszeresen veszélyeztetik az emberi jogok és a nemzetközi kötelezettségek tiszteletben tartását, ami tartós nyomás alá helyezi a globális védelmi rendszert. Ezzel összefüggésben az EU-nak újólag meg kell erősítenie külső határaink hatékony és biztonságos igazgatása melletti elkötelezettségét, teljes mértékben tiszteletben tartva az uniós és a nemzetközi jogot, beleértve az Európai Unió Alapjogi Chartájában foglalt alapvető jogokat is.</w:t>
      </w:r>
    </w:p>
    <w:p w14:paraId="48118C08" w14:textId="7E1B2C03" w:rsidR="002E1E99" w:rsidRPr="008872EA" w:rsidRDefault="002E1E99" w:rsidP="002E1E99">
      <w:pPr>
        <w:spacing w:after="200" w:line="276" w:lineRule="auto"/>
        <w:jc w:val="both"/>
        <w:rPr>
          <w:rFonts w:ascii="Times New Roman" w:hAnsi="Times New Roman" w:cs="Times New Roman"/>
          <w:noProof/>
          <w:sz w:val="24"/>
          <w:szCs w:val="24"/>
        </w:rPr>
      </w:pPr>
      <w:r>
        <w:rPr>
          <w:rFonts w:ascii="Times New Roman" w:hAnsi="Times New Roman"/>
          <w:noProof/>
          <w:sz w:val="24"/>
        </w:rPr>
        <w:t>Az Európai Uniónak meg kell őriznie vonzerejét a tehetségek, a vállalkozások és a turisták számára, előmozdítva hosszú távú növekedésünket és jólétünket. A kiéleződő gazdasági versennyel összefüggésben tovább kell fejleszteni a külső határok és a kapcsolódó informatikai infrastruktúra szerepét többmillió jóhiszemű utazó utazásának megkönnyítésében, ugyanakkor fel kell tárni a lehetséges biztonsági kockázatokat, ezáltal hozzájárulva Európa hosszú távú gazdasági növekedéséhez és biztonságához.</w:t>
      </w:r>
    </w:p>
    <w:p w14:paraId="6435FA5A" w14:textId="5CF2AB81" w:rsidR="002E1E99" w:rsidRPr="008872EA" w:rsidRDefault="002E1E99" w:rsidP="002E1E99">
      <w:pPr>
        <w:spacing w:after="240" w:line="276" w:lineRule="auto"/>
        <w:jc w:val="both"/>
        <w:rPr>
          <w:rFonts w:ascii="Times New Roman" w:hAnsi="Times New Roman" w:cs="Times New Roman"/>
          <w:noProof/>
          <w:sz w:val="24"/>
          <w:szCs w:val="24"/>
        </w:rPr>
      </w:pPr>
      <w:r>
        <w:rPr>
          <w:rFonts w:ascii="Times New Roman" w:hAnsi="Times New Roman"/>
          <w:noProof/>
          <w:sz w:val="24"/>
        </w:rPr>
        <w:t xml:space="preserve">Végül – főként operatív szinten – az integrált határigazgatás összetettségének és kifinomultságának növekedése azt a kockázatot is maga után vonja, hogy széttagolt és összehangolatlan megközelítés jön létre, a szereplők sokasága miatt átfedések és kiskapuk alakulnak ki, amelyekkel visszaélhetnek a bűnözői hálózatok. Az európai integrált határigazgatás keretében az összes szereplőnek koordinált módon kell fellépnie annak érdekében, hogy ezt megelőzzék, és kihasználják az e a területen működő egyre több rendszer és szereplő által kínált lehetőségeket. </w:t>
      </w:r>
    </w:p>
    <w:p w14:paraId="0A19D516" w14:textId="38CD605A" w:rsidR="0017257A" w:rsidRPr="008872EA" w:rsidRDefault="0017257A" w:rsidP="002635E5">
      <w:pPr>
        <w:spacing w:after="200" w:line="276" w:lineRule="auto"/>
        <w:contextualSpacing/>
        <w:jc w:val="both"/>
        <w:rPr>
          <w:rFonts w:ascii="Times New Roman" w:eastAsia="Times New Roman" w:hAnsi="Times New Roman" w:cs="Times New Roman"/>
          <w:noProof/>
          <w:sz w:val="24"/>
          <w:szCs w:val="24"/>
        </w:rPr>
      </w:pPr>
      <w:r>
        <w:rPr>
          <w:rFonts w:ascii="Times New Roman" w:hAnsi="Times New Roman"/>
          <w:b/>
          <w:i/>
          <w:smallCaps/>
          <w:noProof/>
          <w:color w:val="000000"/>
          <w:sz w:val="28"/>
          <w:u w:val="single"/>
        </w:rPr>
        <w:t xml:space="preserve">Európai integrált határigazgatás – többéves stratégiai szakpolitika </w:t>
      </w:r>
    </w:p>
    <w:p w14:paraId="50546DDF" w14:textId="77777777" w:rsidR="00033257" w:rsidRPr="00F21552" w:rsidRDefault="00033257" w:rsidP="00F4303B">
      <w:pPr>
        <w:spacing w:after="0" w:line="276" w:lineRule="auto"/>
        <w:jc w:val="both"/>
        <w:rPr>
          <w:rFonts w:ascii="Times New Roman" w:eastAsia="Times New Roman" w:hAnsi="Times New Roman" w:cs="Times New Roman"/>
          <w:noProof/>
          <w:sz w:val="24"/>
          <w:szCs w:val="24"/>
          <w:lang w:eastAsia="en-GB"/>
        </w:rPr>
      </w:pPr>
    </w:p>
    <w:p w14:paraId="5FA74301" w14:textId="2196ED86" w:rsidR="00033257" w:rsidRPr="008872EA" w:rsidRDefault="00033257" w:rsidP="00033257">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A stratégiai kihívások stratégiai reagálást tesznek szükségessé az EU részéről. Az ilyen kihívások kezelésének eszköze az európai integrált határigazgatás, mivel biztosítja az Unió külső határainak hatékony igazgatását, szinergiákat teremtve az uniós és a nemzeti szint között. </w:t>
      </w:r>
    </w:p>
    <w:p w14:paraId="2EC26A89" w14:textId="77777777" w:rsidR="00033257" w:rsidRPr="00F21552" w:rsidRDefault="00033257" w:rsidP="00033257">
      <w:pPr>
        <w:spacing w:after="0" w:line="276" w:lineRule="auto"/>
        <w:jc w:val="both"/>
        <w:rPr>
          <w:rFonts w:ascii="Times New Roman" w:eastAsia="Times New Roman" w:hAnsi="Times New Roman" w:cs="Times New Roman"/>
          <w:noProof/>
          <w:sz w:val="24"/>
          <w:szCs w:val="24"/>
          <w:lang w:eastAsia="en-GB"/>
        </w:rPr>
      </w:pPr>
    </w:p>
    <w:p w14:paraId="737DD632" w14:textId="0DADD20D" w:rsidR="00033257" w:rsidRPr="008872EA" w:rsidRDefault="00033257" w:rsidP="00033257">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európai integrált határigazgatás tehát egyidejűleg több </w:t>
      </w:r>
      <w:r>
        <w:rPr>
          <w:rFonts w:ascii="Times New Roman" w:hAnsi="Times New Roman"/>
          <w:b/>
          <w:bCs/>
          <w:noProof/>
          <w:sz w:val="24"/>
        </w:rPr>
        <w:t>célt</w:t>
      </w:r>
      <w:r>
        <w:rPr>
          <w:rFonts w:ascii="Times New Roman" w:hAnsi="Times New Roman"/>
          <w:noProof/>
          <w:sz w:val="24"/>
        </w:rPr>
        <w:t xml:space="preserve"> szolgál: a jogszerű határátlépések megkönnyítése és az uniós visszaküldési politika hatékonyságának növelése; a külső határok jogellenes átlépésének hatékony megelőzése; a határokon átnyúló dimenzióval rendelkező súlyos bűncselekmények – például a migránscsempészés, a terrorizmus, az emberkereskedelem, a fegyverkereskedelem és a kábítószer-kereskedelem – megelőzése és felderítése; a harmadik országokkal való hatékony együttműködés megvalósítása; valamint a nemzetközi védelemre szoruló vagy azt kérelmező személyek gyors nyilvántartásba vételének és ellátásának biztosítása. Összefoglalva, az európai integrált határigazgatásnak hozzá kell járulnia az Unión belüli magas szintű belső biztonsághoz, teljes mértékben tiszteletben tartva az alapvető jogokat és biztosítva a személyek Unión belüli szabad mozgását.</w:t>
      </w:r>
    </w:p>
    <w:p w14:paraId="71072B5F" w14:textId="5473CB98" w:rsidR="00033257" w:rsidRPr="00F21552" w:rsidRDefault="00033257" w:rsidP="00F4303B">
      <w:pPr>
        <w:spacing w:after="0" w:line="276" w:lineRule="auto"/>
        <w:jc w:val="both"/>
        <w:rPr>
          <w:rFonts w:ascii="Times New Roman" w:eastAsia="Times New Roman" w:hAnsi="Times New Roman" w:cs="Times New Roman"/>
          <w:noProof/>
          <w:sz w:val="24"/>
          <w:szCs w:val="24"/>
          <w:lang w:eastAsia="en-GB"/>
        </w:rPr>
      </w:pPr>
    </w:p>
    <w:p w14:paraId="01B7D2D3" w14:textId="2055348B" w:rsidR="00BE59B7" w:rsidRPr="008872EA" w:rsidRDefault="00014146" w:rsidP="00F4303B">
      <w:pPr>
        <w:spacing w:after="0" w:line="276" w:lineRule="auto"/>
        <w:jc w:val="both"/>
        <w:rPr>
          <w:rFonts w:ascii="Times New Roman" w:eastAsia="Times New Roman" w:hAnsi="Times New Roman" w:cs="Times New Roman"/>
          <w:noProof/>
          <w:sz w:val="24"/>
          <w:szCs w:val="24"/>
        </w:rPr>
      </w:pPr>
      <w:r>
        <w:rPr>
          <w:rFonts w:ascii="Times New Roman" w:hAnsi="Times New Roman"/>
          <w:b/>
          <w:noProof/>
          <w:sz w:val="24"/>
        </w:rPr>
        <w:t>Az európai integrált határigazgatás elvei</w:t>
      </w:r>
    </w:p>
    <w:p w14:paraId="47D09E69" w14:textId="77777777" w:rsidR="00BE59B7" w:rsidRPr="00F21552" w:rsidRDefault="00BE59B7" w:rsidP="00F4303B">
      <w:pPr>
        <w:spacing w:after="0" w:line="276" w:lineRule="auto"/>
        <w:jc w:val="both"/>
        <w:rPr>
          <w:rFonts w:ascii="Times New Roman" w:eastAsia="Times New Roman" w:hAnsi="Times New Roman" w:cs="Times New Roman"/>
          <w:noProof/>
          <w:sz w:val="24"/>
          <w:szCs w:val="24"/>
          <w:lang w:eastAsia="en-GB"/>
        </w:rPr>
      </w:pPr>
    </w:p>
    <w:p w14:paraId="4BCA5491" w14:textId="5B4109B1" w:rsidR="00BE59B7" w:rsidRPr="008872EA" w:rsidRDefault="00BE59B7" w:rsidP="00BE59B7">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Ezeket a célokat több kulcsfontosságú </w:t>
      </w:r>
      <w:r>
        <w:rPr>
          <w:rFonts w:ascii="Times New Roman" w:hAnsi="Times New Roman"/>
          <w:b/>
          <w:bCs/>
          <w:noProof/>
          <w:sz w:val="24"/>
        </w:rPr>
        <w:t>elv</w:t>
      </w:r>
      <w:r>
        <w:rPr>
          <w:rFonts w:ascii="Times New Roman" w:hAnsi="Times New Roman"/>
          <w:noProof/>
          <w:sz w:val="24"/>
        </w:rPr>
        <w:t xml:space="preserve"> tükrözi, amelyek közvetlenül az Európai Határ- és Parti Őrségről szóló rendeletből erednek és az e közlemény I. mellékletében meghatározott, az európai integrált határigazgatásra vonatkozó </w:t>
      </w:r>
      <w:r>
        <w:rPr>
          <w:rFonts w:ascii="Times New Roman" w:hAnsi="Times New Roman"/>
          <w:i/>
          <w:iCs/>
          <w:noProof/>
          <w:sz w:val="24"/>
        </w:rPr>
        <w:t>szakpolitikai iránymutatások és stratégiai prioritások</w:t>
      </w:r>
      <w:r>
        <w:rPr>
          <w:rFonts w:ascii="Times New Roman" w:hAnsi="Times New Roman"/>
          <w:noProof/>
          <w:sz w:val="24"/>
        </w:rPr>
        <w:t xml:space="preserve"> alapjául szolgálnak:</w:t>
      </w:r>
    </w:p>
    <w:p w14:paraId="5A2BE810" w14:textId="77777777" w:rsidR="002F751E" w:rsidRPr="00F21552" w:rsidRDefault="002F751E" w:rsidP="00C8158C">
      <w:pPr>
        <w:spacing w:after="200" w:line="276" w:lineRule="auto"/>
        <w:contextualSpacing/>
        <w:jc w:val="both"/>
        <w:rPr>
          <w:rFonts w:ascii="Times New Roman" w:eastAsia="Times New Roman" w:hAnsi="Times New Roman" w:cs="Times New Roman"/>
          <w:noProof/>
          <w:sz w:val="24"/>
          <w:szCs w:val="24"/>
          <w:lang w:eastAsia="en-GB"/>
        </w:rPr>
      </w:pPr>
    </w:p>
    <w:p w14:paraId="7B152937" w14:textId="4E588513" w:rsidR="005706D2" w:rsidRPr="008872EA" w:rsidRDefault="001027A0" w:rsidP="008969D5">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Először is, az európai integrált határigazgatás végrehajtása a határigazgatásért és a visszaküldésért felelős tagállami hatóságok és a Frontex – együttesen az Európai Határ- és Parti Őrség – </w:t>
      </w:r>
      <w:r>
        <w:rPr>
          <w:rFonts w:ascii="Times New Roman" w:hAnsi="Times New Roman"/>
          <w:i/>
          <w:iCs/>
          <w:noProof/>
          <w:sz w:val="24"/>
        </w:rPr>
        <w:t>megosztott felelőssége</w:t>
      </w:r>
      <w:r>
        <w:rPr>
          <w:rFonts w:ascii="Times New Roman" w:hAnsi="Times New Roman"/>
          <w:noProof/>
          <w:sz w:val="24"/>
        </w:rPr>
        <w:t xml:space="preserve">. Míg a külső határok releváns szakaszainak igazgatása továbbra is a nemzeti határigazgatási hatóságok elsődleges felelőssége, az Európai Határ- és Parti Őrség tagjai </w:t>
      </w:r>
      <w:r>
        <w:rPr>
          <w:rFonts w:ascii="Times New Roman" w:hAnsi="Times New Roman"/>
          <w:i/>
          <w:iCs/>
          <w:noProof/>
          <w:sz w:val="24"/>
        </w:rPr>
        <w:t>kötelesek jóhiszeműen együttműködni</w:t>
      </w:r>
      <w:r>
        <w:rPr>
          <w:rFonts w:ascii="Times New Roman" w:hAnsi="Times New Roman"/>
          <w:noProof/>
          <w:sz w:val="24"/>
        </w:rPr>
        <w:t xml:space="preserve"> és </w:t>
      </w:r>
      <w:r>
        <w:rPr>
          <w:rFonts w:ascii="Times New Roman" w:hAnsi="Times New Roman"/>
          <w:i/>
          <w:iCs/>
          <w:noProof/>
          <w:sz w:val="24"/>
        </w:rPr>
        <w:t>információcserét folytatni</w:t>
      </w:r>
      <w:r>
        <w:rPr>
          <w:rFonts w:ascii="Times New Roman" w:hAnsi="Times New Roman"/>
          <w:noProof/>
          <w:sz w:val="24"/>
        </w:rPr>
        <w:t xml:space="preserve"> az Európai Határ- és Parti Őrség közösségén belül.</w:t>
      </w:r>
    </w:p>
    <w:p w14:paraId="6433AA81" w14:textId="351C8A07" w:rsidR="00496A05" w:rsidRPr="008872EA" w:rsidRDefault="005706D2" w:rsidP="008969D5">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Másodszor, az európai integrált határigazgatás a </w:t>
      </w:r>
      <w:r>
        <w:rPr>
          <w:rFonts w:ascii="Times New Roman" w:hAnsi="Times New Roman"/>
          <w:i/>
          <w:iCs/>
          <w:noProof/>
          <w:sz w:val="24"/>
        </w:rPr>
        <w:t>négylépcsős belépés-ellenőrzési modellen</w:t>
      </w:r>
      <w:r>
        <w:rPr>
          <w:rFonts w:ascii="Times New Roman" w:eastAsia="Calibri" w:hAnsi="Times New Roman" w:cs="Times New Roman"/>
          <w:noProof/>
          <w:sz w:val="24"/>
          <w:szCs w:val="24"/>
          <w:vertAlign w:val="superscript"/>
          <w:lang w:val="en-GB"/>
        </w:rPr>
        <w:footnoteReference w:id="9"/>
      </w:r>
      <w:r>
        <w:rPr>
          <w:rFonts w:ascii="Times New Roman" w:hAnsi="Times New Roman"/>
          <w:noProof/>
          <w:sz w:val="24"/>
        </w:rPr>
        <w:t xml:space="preserve"> alapul, amely magában foglalja a harmadik országokban hozott intézkedéseket, a szomszédos harmadik országokkal végrehajtott intézkedéseket, a külső határokon végrehajtott határellenőrzési intézkedéseket, valamint a schengeni térségen belüli intézkedéseket és a visszaküldést. A Frontexnek és a tagállamoknak minden lépcső tekintetében kockázatelemzés alapján kell végrehajtaniuk, illetve kiigazítaniuk az intézkedéseket.  </w:t>
      </w:r>
    </w:p>
    <w:p w14:paraId="37FABC43" w14:textId="24481605" w:rsidR="00F72BE7" w:rsidRPr="008872EA" w:rsidRDefault="00F72BE7" w:rsidP="008969D5">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Harmadszor, az </w:t>
      </w:r>
      <w:r>
        <w:rPr>
          <w:rFonts w:ascii="Times New Roman" w:hAnsi="Times New Roman"/>
          <w:i/>
          <w:iCs/>
          <w:noProof/>
          <w:sz w:val="24"/>
        </w:rPr>
        <w:t>átfogó és közel valós idejű helyzetismeret</w:t>
      </w:r>
      <w:r>
        <w:rPr>
          <w:rFonts w:ascii="Times New Roman" w:hAnsi="Times New Roman"/>
          <w:noProof/>
          <w:sz w:val="24"/>
        </w:rPr>
        <w:t xml:space="preserve"> elengedhetetlen ahhoz, hogy az Európai Határ- és Parti Őrség megfelelően és időben tudjon reagálni a felmerülő fenyegetésekre. Ehhez átfogó európai helyzetképre van szükség, amelyet uniós szinten a Frontex, nemzeti szinten pedig a tagállamok dolgoznak ki, és folyamatosan frissítenek. Az EU külső határain fennálló helyzetről való tájékoztatás fő eszközének számító EUROSUR-t hatékonyan végre kell hajtani és tovább kell fejleszteni, emellet új ügymeneti alkalmazásokat, valamint a Frontex, a tagállamok és a Bizottság által közösen kidolgozott közös információkezelési szabványokat</w:t>
      </w:r>
      <w:r>
        <w:rPr>
          <w:rStyle w:val="FootnoteReference"/>
          <w:rFonts w:ascii="Times New Roman" w:eastAsia="Calibri" w:hAnsi="Times New Roman" w:cs="Times New Roman"/>
          <w:noProof/>
          <w:sz w:val="24"/>
          <w:szCs w:val="24"/>
          <w:lang w:val="en-GB"/>
        </w:rPr>
        <w:footnoteReference w:id="10"/>
      </w:r>
      <w:r>
        <w:rPr>
          <w:rFonts w:ascii="Times New Roman" w:hAnsi="Times New Roman"/>
          <w:noProof/>
          <w:sz w:val="24"/>
        </w:rPr>
        <w:t xml:space="preserve"> kell kialakítani.</w:t>
      </w:r>
    </w:p>
    <w:p w14:paraId="2DC4CB1A" w14:textId="6E82EC1E" w:rsidR="00A337FD" w:rsidRPr="008872EA" w:rsidRDefault="00F72BE7" w:rsidP="008969D5">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Negyedszer, az európai integrált határigazgatás végrehajtásának alapja a </w:t>
      </w:r>
      <w:r>
        <w:rPr>
          <w:rFonts w:ascii="Times New Roman" w:hAnsi="Times New Roman"/>
          <w:i/>
          <w:iCs/>
          <w:noProof/>
          <w:sz w:val="24"/>
        </w:rPr>
        <w:t>folyamatos felkészültség a felmerülő fenyegetésekre való reagálásra</w:t>
      </w:r>
      <w:r>
        <w:rPr>
          <w:rFonts w:ascii="Times New Roman" w:hAnsi="Times New Roman"/>
          <w:noProof/>
          <w:sz w:val="24"/>
        </w:rPr>
        <w:t>, valamint az ilyen fenyegetésekre való reagáláshoz és az azok kezeléséhez szükséges eszközök biztosítása a külső határokon.</w:t>
      </w:r>
      <w:r>
        <w:rPr>
          <w:rFonts w:ascii="Times New Roman" w:hAnsi="Times New Roman"/>
          <w:i/>
          <w:noProof/>
          <w:sz w:val="24"/>
        </w:rPr>
        <w:t xml:space="preserve"> </w:t>
      </w:r>
      <w:r>
        <w:rPr>
          <w:rFonts w:ascii="Times New Roman" w:hAnsi="Times New Roman"/>
          <w:noProof/>
          <w:sz w:val="24"/>
        </w:rPr>
        <w:t xml:space="preserve">Az Európai Határ- és Parti Őrség sikeres működése érdekében ehhez </w:t>
      </w:r>
      <w:r>
        <w:rPr>
          <w:rFonts w:ascii="Times New Roman" w:hAnsi="Times New Roman"/>
          <w:i/>
          <w:iCs/>
          <w:noProof/>
          <w:sz w:val="24"/>
        </w:rPr>
        <w:t>jól megalapozott koordinációra, kommunikációra és integrált tervezési rendszerre</w:t>
      </w:r>
      <w:r>
        <w:rPr>
          <w:rFonts w:ascii="Times New Roman" w:hAnsi="Times New Roman"/>
          <w:noProof/>
          <w:sz w:val="24"/>
        </w:rPr>
        <w:t xml:space="preserve"> van szükség a Frontex és az integrált határigazgatásért felelős nemzeti hatóságok viszonylatában. Ezért az e közleményben vázolt </w:t>
      </w:r>
      <w:r>
        <w:rPr>
          <w:rFonts w:ascii="Times New Roman" w:hAnsi="Times New Roman"/>
          <w:i/>
          <w:iCs/>
          <w:noProof/>
          <w:sz w:val="24"/>
        </w:rPr>
        <w:t>ügynökségközi megközelítés</w:t>
      </w:r>
      <w:r>
        <w:rPr>
          <w:rFonts w:ascii="Times New Roman" w:hAnsi="Times New Roman"/>
          <w:noProof/>
          <w:sz w:val="24"/>
        </w:rPr>
        <w:t xml:space="preserve"> stratégiai iránymutatásokat tartalmaz a határigazgatási hatóságok és a külső határok tekintetében illetékes egyéb hatóságok – köztük a vámhatóságok – közötti hatékony nemzeti koordináció biztosítása érdekében, hogy képesek legyenek kezelni a személyek és az áruk áramlását a külső határokon.</w:t>
      </w:r>
    </w:p>
    <w:p w14:paraId="7CA58D75" w14:textId="2FA91EB4" w:rsidR="005706D2" w:rsidRPr="008872EA" w:rsidRDefault="00A337FD" w:rsidP="006C22D3">
      <w:pPr>
        <w:spacing w:after="200" w:line="276" w:lineRule="auto"/>
        <w:jc w:val="both"/>
        <w:rPr>
          <w:rFonts w:ascii="Times New Roman" w:hAnsi="Times New Roman" w:cs="Times New Roman"/>
          <w:noProof/>
          <w:sz w:val="24"/>
          <w:szCs w:val="24"/>
        </w:rPr>
      </w:pPr>
      <w:r>
        <w:rPr>
          <w:rFonts w:ascii="Times New Roman" w:hAnsi="Times New Roman"/>
          <w:noProof/>
          <w:sz w:val="24"/>
        </w:rPr>
        <w:t xml:space="preserve">Végül, az európai integrált határigazgatás megköveteli a nagy fokú szakosodást és a professzionalizmust. Az Európai Határ- és Parti Őrségnek </w:t>
      </w:r>
      <w:r>
        <w:rPr>
          <w:rFonts w:ascii="Times New Roman" w:hAnsi="Times New Roman"/>
          <w:i/>
          <w:iCs/>
          <w:noProof/>
          <w:sz w:val="24"/>
        </w:rPr>
        <w:t>közös határőrizeti kultúrát és magas szintű professzionalizmust</w:t>
      </w:r>
      <w:r>
        <w:rPr>
          <w:rFonts w:ascii="Times New Roman" w:hAnsi="Times New Roman"/>
          <w:noProof/>
          <w:sz w:val="24"/>
        </w:rPr>
        <w:t xml:space="preserve"> kell kialakítania, amely magas etikai értékekkel és feddhetetlenséggel párosul. Emellett képzéseket kell szervezni, hogy alapképzési programok és célzott továbbképzések révén biztosított legyen az alapvető jogok teljes körű tiszteletben tartása valamennyi határigazgatási tevékenység során.</w:t>
      </w:r>
    </w:p>
    <w:p w14:paraId="36AEED28" w14:textId="344C065D" w:rsidR="003B2728" w:rsidRPr="008872EA" w:rsidRDefault="003B2728" w:rsidP="00F43217">
      <w:pPr>
        <w:keepNext/>
        <w:spacing w:after="0" w:line="276" w:lineRule="auto"/>
        <w:jc w:val="both"/>
        <w:rPr>
          <w:rFonts w:ascii="Times New Roman" w:hAnsi="Times New Roman" w:cs="Times New Roman"/>
          <w:b/>
          <w:bCs/>
          <w:noProof/>
          <w:sz w:val="24"/>
          <w:szCs w:val="24"/>
        </w:rPr>
      </w:pPr>
      <w:r>
        <w:rPr>
          <w:rFonts w:ascii="Times New Roman" w:hAnsi="Times New Roman"/>
          <w:b/>
          <w:noProof/>
          <w:sz w:val="24"/>
        </w:rPr>
        <w:t>Az elvektől a gyakorlatig: az európai integrált határigazgatás elemei</w:t>
      </w:r>
    </w:p>
    <w:p w14:paraId="241D6C38" w14:textId="77777777" w:rsidR="003B2728" w:rsidRPr="00F21552" w:rsidRDefault="003B2728" w:rsidP="00F43217">
      <w:pPr>
        <w:keepNext/>
        <w:spacing w:after="0" w:line="276" w:lineRule="auto"/>
        <w:jc w:val="both"/>
        <w:rPr>
          <w:rFonts w:ascii="Times New Roman" w:eastAsia="Calibri" w:hAnsi="Times New Roman" w:cs="Times New Roman"/>
          <w:noProof/>
          <w:sz w:val="24"/>
          <w:szCs w:val="24"/>
        </w:rPr>
      </w:pPr>
    </w:p>
    <w:p w14:paraId="682F05DC" w14:textId="367498DE" w:rsidR="00032519" w:rsidRPr="008872EA" w:rsidRDefault="00BB2DD5" w:rsidP="00032519">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Európai Tanács következtetéseire, a Tanács következtetéseire és az Európai Parlament értékes észrevételeire építve ez a közlemény – a bizottsági szakpolitikai dokumentum nyomon követéseként – meghatározza az európai integrált határigazgatás következő, kiemelt jelentőségű elemeit: </w:t>
      </w:r>
    </w:p>
    <w:p w14:paraId="64A7080E" w14:textId="309E6332" w:rsidR="006D0F16" w:rsidRPr="00F21552" w:rsidRDefault="006D0F16" w:rsidP="008B0369">
      <w:pPr>
        <w:spacing w:after="0" w:line="276" w:lineRule="auto"/>
        <w:jc w:val="both"/>
        <w:rPr>
          <w:rFonts w:ascii="Times New Roman" w:eastAsia="Calibri" w:hAnsi="Times New Roman" w:cs="Times New Roman"/>
          <w:noProof/>
          <w:sz w:val="24"/>
          <w:szCs w:val="24"/>
        </w:rPr>
      </w:pPr>
    </w:p>
    <w:p w14:paraId="214E5624" w14:textId="1908DD90" w:rsidR="000D22F4" w:rsidRPr="008872EA" w:rsidRDefault="0099782E" w:rsidP="000D22F4">
      <w:pPr>
        <w:spacing w:after="0" w:line="276" w:lineRule="auto"/>
        <w:jc w:val="both"/>
        <w:rPr>
          <w:rFonts w:ascii="Times New Roman" w:eastAsia="Calibri" w:hAnsi="Times New Roman" w:cs="Times New Roman"/>
          <w:b/>
          <w:i/>
          <w:noProof/>
          <w:sz w:val="24"/>
          <w:szCs w:val="24"/>
        </w:rPr>
      </w:pPr>
      <w:r>
        <w:rPr>
          <w:rFonts w:ascii="Times New Roman" w:hAnsi="Times New Roman"/>
          <w:b/>
          <w:i/>
          <w:noProof/>
          <w:sz w:val="24"/>
        </w:rPr>
        <w:t>Határellenőrzés</w:t>
      </w:r>
    </w:p>
    <w:p w14:paraId="65DFEF3A" w14:textId="77777777" w:rsidR="000D22F4" w:rsidRPr="00F21552" w:rsidRDefault="000D22F4" w:rsidP="000D22F4">
      <w:pPr>
        <w:spacing w:after="0" w:line="276" w:lineRule="auto"/>
        <w:jc w:val="both"/>
        <w:rPr>
          <w:rFonts w:ascii="Times New Roman" w:eastAsia="Calibri" w:hAnsi="Times New Roman" w:cs="Times New Roman"/>
          <w:noProof/>
          <w:sz w:val="24"/>
          <w:szCs w:val="24"/>
        </w:rPr>
      </w:pPr>
    </w:p>
    <w:p w14:paraId="5061BA47" w14:textId="28A98ACD" w:rsidR="00FF5049" w:rsidRPr="008872EA" w:rsidRDefault="000D22F4" w:rsidP="000D22F4">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A külső határok ellenőrzése – amely a zöld és a tengeri határok őrizete, valamint a határátkelőhelyeken végrehajtott ellenőrzések formájában valósul meg – az európai integrált határigazgatás alapvető eleme, amely szakpolitikai és szervezeti intézkedéseket tesz szükségessé a migráció irányításának és a válsághelyzetekre való felkészültségnek a javítása, illetve az EU belső biztonságának előmozdítása érdekében. E cél elérésének központi eszköze az Európai Határ- és Parti Őrség, amelynek keretében az illetékes tagállami hatóságok együttműködést folytatnak a Frontexszel. A hatékony fellépés megköveteli valamennyi érintett szereplő szoros és zökkenőmentes együttműködését. </w:t>
      </w:r>
    </w:p>
    <w:p w14:paraId="469CA32F" w14:textId="77777777" w:rsidR="00486409" w:rsidRPr="00F21552" w:rsidRDefault="00486409" w:rsidP="000D22F4">
      <w:pPr>
        <w:spacing w:after="0" w:line="276" w:lineRule="auto"/>
        <w:jc w:val="both"/>
        <w:rPr>
          <w:rFonts w:ascii="Times New Roman" w:eastAsia="Calibri" w:hAnsi="Times New Roman" w:cs="Times New Roman"/>
          <w:noProof/>
          <w:sz w:val="24"/>
          <w:szCs w:val="24"/>
        </w:rPr>
      </w:pPr>
    </w:p>
    <w:p w14:paraId="7F5D618E" w14:textId="6BFAD102" w:rsidR="00486409" w:rsidRPr="008872EA" w:rsidRDefault="002150C7" w:rsidP="000D22F4">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A határőrizethez a határigazgatásért felelős tagállami nemzeti hatóságok hatékony operatív intézkedéseire, a határok előtti területeken pedig az Európai Határ- és Parti Őrség készenléti alakulatának fokozott jelenlétére van szükség, emellett megerősített határvédelmi képességeket és infrastruktúrát, megfigyelési eszközöket – a légi megfigyelés terén is –, valamint felszereléseket kell biztosítani. A határőrizetet koherens és átfogó nemzeti és európai helyzetképeknek, az EUROSUR hatékony végrehajtásának és megbízható kockázatelemzéseknek kell alátámasztaniuk. A migránsok eszközként való felhasználása esetén az érintett határszakaszok biztosítása fokozott figyelmet és erőfeszítéseket igényel az érintett tagállamok részéről, a Schengeni határellenőrzési kódex alkalmazandó szabályaival összhangban</w:t>
      </w:r>
      <w:r>
        <w:rPr>
          <w:rStyle w:val="FootnoteReference"/>
          <w:rFonts w:ascii="Times New Roman" w:eastAsia="Calibri" w:hAnsi="Times New Roman" w:cs="Times New Roman"/>
          <w:noProof/>
          <w:sz w:val="24"/>
          <w:szCs w:val="24"/>
          <w:lang w:val="en-GB"/>
        </w:rPr>
        <w:footnoteReference w:id="11"/>
      </w:r>
      <w:r>
        <w:rPr>
          <w:rFonts w:ascii="Times New Roman" w:hAnsi="Times New Roman"/>
          <w:noProof/>
          <w:sz w:val="24"/>
        </w:rPr>
        <w:t xml:space="preserve">. </w:t>
      </w:r>
    </w:p>
    <w:p w14:paraId="6D2C62F1" w14:textId="77777777" w:rsidR="00486409" w:rsidRPr="00F21552" w:rsidRDefault="00486409" w:rsidP="000D22F4">
      <w:pPr>
        <w:spacing w:after="0" w:line="276" w:lineRule="auto"/>
        <w:jc w:val="both"/>
        <w:rPr>
          <w:rFonts w:ascii="Times New Roman" w:eastAsia="Calibri" w:hAnsi="Times New Roman" w:cs="Times New Roman"/>
          <w:noProof/>
          <w:sz w:val="24"/>
          <w:szCs w:val="24"/>
        </w:rPr>
      </w:pPr>
    </w:p>
    <w:p w14:paraId="3FFD4571" w14:textId="612CFCEA" w:rsidR="00486409" w:rsidRPr="008872EA" w:rsidRDefault="002C64AB" w:rsidP="000D22F4">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A határforgalom-ellenőrzéssel összefüggésben a Schengeni határellenőrzési kódex módosítására irányuló közelmúltbeli javaslat be kívánja vezetni a migránsok eszközként való felhasználásának meghatározását és a migránsok eszközként való felhasználásának eseteire való reagálás során betartandó egyértelmű szabályokat. Az előszűrésről szóló rendeletre irányuló javaslat</w:t>
      </w:r>
      <w:r>
        <w:rPr>
          <w:rStyle w:val="FootnoteReference"/>
          <w:rFonts w:ascii="Times New Roman" w:eastAsia="Calibri" w:hAnsi="Times New Roman" w:cs="Times New Roman"/>
          <w:noProof/>
          <w:sz w:val="24"/>
          <w:szCs w:val="24"/>
          <w:lang w:val="en-GB"/>
        </w:rPr>
        <w:footnoteReference w:id="12"/>
      </w:r>
      <w:r>
        <w:rPr>
          <w:rFonts w:ascii="Times New Roman" w:hAnsi="Times New Roman"/>
          <w:noProof/>
          <w:sz w:val="24"/>
        </w:rPr>
        <w:t xml:space="preserve"> célja, hogy jobb áttekintést adjon az ország területére belépő személyekről, valamint szorosabbra fűzze a kapcsolatot a határellenőrzés és a kiutasítási, illetve menekültügyi eljárások között. Ugyanakkor mind a biztonság, mind a vészhelyzeti tervezés szempontjából prioritásnak kell tekinteni a jóhiszemű utazók zökkenőmentes áramlását. </w:t>
      </w:r>
    </w:p>
    <w:p w14:paraId="3C48F21B" w14:textId="77777777" w:rsidR="00486409" w:rsidRPr="00F21552" w:rsidRDefault="00486409" w:rsidP="000D22F4">
      <w:pPr>
        <w:spacing w:after="0" w:line="276" w:lineRule="auto"/>
        <w:jc w:val="both"/>
        <w:rPr>
          <w:rFonts w:ascii="Times New Roman" w:eastAsia="Calibri" w:hAnsi="Times New Roman" w:cs="Times New Roman"/>
          <w:noProof/>
          <w:sz w:val="24"/>
          <w:szCs w:val="24"/>
        </w:rPr>
      </w:pPr>
    </w:p>
    <w:p w14:paraId="7F6C1653" w14:textId="77777777" w:rsidR="006C208A" w:rsidRDefault="00AE234C" w:rsidP="00A64843">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E tekintetben a külső határok igazgatását szolgáló uniós információs rendszerek (a SIS, az EES, a vízuminformációs rendszer [VIS] és az Európai Utasinformációs és Engedélyezési Rendszer [ETIAS]), illetve ezek interoperabilitása révén biztosított lesz a zökkenőmentes és biztonságos áramlás a határátkelőhelyeken, ami nemcsak több információt tesz elérhetővé, hanem a határátkelőhelyek megfelelő tervezését és felszerelését, a határigazgatási eljárások harmonizációját és a fokozott hatékonyságot is biztosítja.</w:t>
      </w:r>
    </w:p>
    <w:p w14:paraId="5A593A28" w14:textId="60E65587" w:rsidR="009213FD" w:rsidRPr="008872EA" w:rsidRDefault="003A6E24" w:rsidP="00A64843">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 </w:t>
      </w:r>
    </w:p>
    <w:p w14:paraId="6A0768BC" w14:textId="11E7088E" w:rsidR="005B0506" w:rsidRPr="008872EA" w:rsidRDefault="005B0506" w:rsidP="00F43217">
      <w:pPr>
        <w:keepNext/>
        <w:jc w:val="both"/>
        <w:rPr>
          <w:rFonts w:ascii="Times New Roman" w:eastAsia="Calibri" w:hAnsi="Times New Roman" w:cs="Times New Roman"/>
          <w:i/>
          <w:noProof/>
          <w:sz w:val="24"/>
          <w:szCs w:val="24"/>
        </w:rPr>
      </w:pPr>
      <w:r>
        <w:rPr>
          <w:rFonts w:ascii="Times New Roman" w:hAnsi="Times New Roman"/>
          <w:b/>
          <w:i/>
          <w:noProof/>
          <w:sz w:val="24"/>
        </w:rPr>
        <w:t>Közös uniós visszaküldési rendszer</w:t>
      </w:r>
      <w:r>
        <w:rPr>
          <w:rFonts w:ascii="Times New Roman" w:hAnsi="Times New Roman"/>
          <w:i/>
          <w:noProof/>
          <w:sz w:val="24"/>
        </w:rPr>
        <w:t xml:space="preserve"> </w:t>
      </w:r>
    </w:p>
    <w:p w14:paraId="401923CD" w14:textId="1960F790" w:rsidR="00617EA4" w:rsidRPr="008872EA" w:rsidRDefault="009569EE" w:rsidP="005B0506">
      <w:pPr>
        <w:jc w:val="both"/>
        <w:rPr>
          <w:rFonts w:ascii="Times New Roman" w:eastAsia="Calibri" w:hAnsi="Times New Roman" w:cs="Times New Roman"/>
          <w:noProof/>
          <w:sz w:val="24"/>
          <w:szCs w:val="24"/>
        </w:rPr>
      </w:pPr>
      <w:r>
        <w:rPr>
          <w:rFonts w:ascii="Times New Roman" w:hAnsi="Times New Roman"/>
          <w:noProof/>
          <w:sz w:val="24"/>
        </w:rPr>
        <w:t xml:space="preserve">A külső határok igazgatásához hasonlóan az uniós visszaküldési politika is az EU és a tagállamok közötti szoros együttműködésen alapul. A Frontex megfelelő megbízatással és eszközökkel rendelkezik ahhoz, hogy e rendszer operatív ágaként működjön. </w:t>
      </w:r>
    </w:p>
    <w:p w14:paraId="3D425B6A" w14:textId="553C37C2" w:rsidR="00617EA4" w:rsidRPr="008872EA" w:rsidRDefault="00C377AD" w:rsidP="005B0506">
      <w:pPr>
        <w:jc w:val="both"/>
        <w:rPr>
          <w:rFonts w:ascii="Times New Roman" w:eastAsia="Calibri" w:hAnsi="Times New Roman" w:cs="Times New Roman"/>
          <w:noProof/>
          <w:sz w:val="24"/>
          <w:szCs w:val="24"/>
        </w:rPr>
      </w:pPr>
      <w:r>
        <w:rPr>
          <w:rFonts w:ascii="Times New Roman" w:hAnsi="Times New Roman"/>
          <w:noProof/>
          <w:sz w:val="24"/>
        </w:rPr>
        <w:t xml:space="preserve">A tényleges visszaküldések növelésére vonatkozó általános cél értelmében a tagállamoknak a visszaküldési folyamat valamennyi szakaszában igényelniük kell és teljes mértékben ki kell használniuk az Ügynökség által nyújtott támogatást, különös tekintettel a következőkre: a Frontex által támogatott visszaküldési műveletek szervezésének lehetősége; a Frontex által nyújtott támogatás az általa kifejlesztett rendszeren alapuló, nemzeti visszaküldési ügyviteli rendszerek digitalizálásához; a képzéshez és a Frontex visszaküldési szakértőinek kiküldéséhez nyújtott támogatás; valamint a Frontex közös reintegrációs szolgáltatásaiban való részvétel. </w:t>
      </w:r>
    </w:p>
    <w:p w14:paraId="62CCEBBA" w14:textId="5A01D756" w:rsidR="00617EA4" w:rsidRPr="008872EA" w:rsidRDefault="00A337FD" w:rsidP="005B0506">
      <w:pPr>
        <w:jc w:val="both"/>
        <w:rPr>
          <w:rFonts w:ascii="Times New Roman" w:eastAsia="Calibri" w:hAnsi="Times New Roman" w:cs="Times New Roman"/>
          <w:noProof/>
          <w:sz w:val="24"/>
          <w:szCs w:val="24"/>
        </w:rPr>
      </w:pPr>
      <w:r>
        <w:rPr>
          <w:rFonts w:ascii="Times New Roman" w:hAnsi="Times New Roman"/>
          <w:noProof/>
          <w:sz w:val="24"/>
        </w:rPr>
        <w:t>E célból a tagállamoknak biztosítaniuk kell, hogy az európai integrált határigazgatásra vonatkozó nemzeti stratégiáik részletesen meghatározzák ezen együttműködés gyakorlati megvalósításának módját. A tagállamoknak emellett ki kell használniuk a rendelkezésükre álló új eszközöket, például a Schengeni Információs Rendszer új funkcióját, amely kötelezővé teszi a kiutasítási határozat hatálya alá tartozó személyekre vonatkozó figyelmeztető jelzések létrehozását.</w:t>
      </w:r>
    </w:p>
    <w:p w14:paraId="5D88DF31" w14:textId="1417CE48" w:rsidR="00BB2DD5" w:rsidRPr="008872EA" w:rsidRDefault="00C377AD" w:rsidP="005B0506">
      <w:pPr>
        <w:jc w:val="both"/>
        <w:rPr>
          <w:rFonts w:ascii="Times New Roman" w:eastAsia="Calibri" w:hAnsi="Times New Roman" w:cs="Times New Roman"/>
          <w:noProof/>
          <w:sz w:val="24"/>
          <w:szCs w:val="24"/>
        </w:rPr>
      </w:pPr>
      <w:r>
        <w:rPr>
          <w:rFonts w:ascii="Times New Roman" w:hAnsi="Times New Roman"/>
          <w:noProof/>
          <w:sz w:val="24"/>
        </w:rPr>
        <w:t xml:space="preserve">A </w:t>
      </w:r>
      <w:r>
        <w:rPr>
          <w:rFonts w:ascii="Times New Roman" w:hAnsi="Times New Roman"/>
          <w:b/>
          <w:bCs/>
          <w:noProof/>
          <w:sz w:val="24"/>
        </w:rPr>
        <w:t>hatékonyabb visszaküldést célzó operatív stratégiáról</w:t>
      </w:r>
      <w:r>
        <w:rPr>
          <w:rFonts w:ascii="Times New Roman" w:hAnsi="Times New Roman"/>
          <w:noProof/>
          <w:sz w:val="24"/>
        </w:rPr>
        <w:t xml:space="preserve"> szóló, 2023. január 24-én elfogadott bizottsági szakpolitikai dokumentum</w:t>
      </w:r>
      <w:r>
        <w:rPr>
          <w:rStyle w:val="FootnoteReference"/>
          <w:rFonts w:ascii="Times New Roman" w:eastAsia="Calibri" w:hAnsi="Times New Roman" w:cs="Times New Roman"/>
          <w:noProof/>
          <w:sz w:val="24"/>
          <w:szCs w:val="24"/>
          <w:lang w:val="en-GB"/>
        </w:rPr>
        <w:footnoteReference w:id="13"/>
      </w:r>
      <w:r>
        <w:rPr>
          <w:rFonts w:ascii="Times New Roman" w:hAnsi="Times New Roman"/>
          <w:noProof/>
          <w:sz w:val="24"/>
        </w:rPr>
        <w:t xml:space="preserve"> konkrét területeket és intézkedéseket határoz meg a visszaküldési folyamat zökkenőmentes és minden tekintetben következetes végrehajtásának megkönnyítése érdekében, azzal az átfogó céllal, hogy növelje az EU-ból való tényleges visszaküldéseket. A visszaküldéssel foglalkozó magas szintű hálózatnak mielőbb véglegesítenie kell az operatív stratégiát, amelynek összehangolt végrehajtását a visszaküldési koordinátor és a magas szintű hálózat fogja biztosítani. </w:t>
      </w:r>
    </w:p>
    <w:p w14:paraId="2A17B618" w14:textId="7BB197A2" w:rsidR="00C90040" w:rsidRPr="008872EA" w:rsidRDefault="00062577" w:rsidP="00062577">
      <w:pPr>
        <w:jc w:val="both"/>
        <w:rPr>
          <w:rFonts w:ascii="Times New Roman" w:hAnsi="Times New Roman"/>
          <w:noProof/>
          <w:sz w:val="24"/>
        </w:rPr>
      </w:pPr>
      <w:r>
        <w:rPr>
          <w:rFonts w:ascii="Times New Roman" w:hAnsi="Times New Roman"/>
          <w:noProof/>
          <w:sz w:val="24"/>
        </w:rPr>
        <w:t>A Bizottság e közleménnyel egyidejűleg elfogadja a kiutasítási határozatok kölcsönös elismeréséről és a visszaküldések felgyorsításáról szóló ajánlást</w:t>
      </w:r>
      <w:r>
        <w:rPr>
          <w:rStyle w:val="FootnoteReference"/>
          <w:rFonts w:ascii="Times New Roman" w:hAnsi="Times New Roman"/>
          <w:noProof/>
          <w:sz w:val="24"/>
          <w:lang w:val="en-GB"/>
        </w:rPr>
        <w:footnoteReference w:id="14"/>
      </w:r>
      <w:r>
        <w:rPr>
          <w:rFonts w:ascii="Times New Roman" w:hAnsi="Times New Roman"/>
          <w:noProof/>
          <w:sz w:val="24"/>
        </w:rPr>
        <w:t>, ami fontos lépés a közös uniós visszaküldési rendszer kiépítése felé vezető úton. Az ajánlás a visszaküldések megkönnyítése és felgyorsítása érdekében a tagállamok közötti konvergencia fokozását célozza a migrációkezelés terén.</w:t>
      </w:r>
    </w:p>
    <w:p w14:paraId="7305C219" w14:textId="77777777" w:rsidR="00F779B8" w:rsidRPr="008872EA" w:rsidRDefault="00C90040" w:rsidP="005B0506">
      <w:pPr>
        <w:jc w:val="both"/>
        <w:rPr>
          <w:rFonts w:ascii="Times New Roman" w:eastAsia="Calibri" w:hAnsi="Times New Roman" w:cs="Times New Roman"/>
          <w:b/>
          <w:i/>
          <w:noProof/>
          <w:sz w:val="24"/>
          <w:szCs w:val="24"/>
        </w:rPr>
      </w:pPr>
      <w:r>
        <w:rPr>
          <w:rFonts w:ascii="Times New Roman" w:hAnsi="Times New Roman"/>
          <w:b/>
          <w:i/>
          <w:noProof/>
          <w:sz w:val="24"/>
        </w:rPr>
        <w:t>Harmadik országokkal folytatott együttműködés</w:t>
      </w:r>
    </w:p>
    <w:p w14:paraId="783B7085" w14:textId="76234A54" w:rsidR="005E3268" w:rsidRPr="008872EA" w:rsidRDefault="003D27D6" w:rsidP="005B0506">
      <w:pPr>
        <w:jc w:val="both"/>
        <w:rPr>
          <w:rFonts w:ascii="Times New Roman" w:eastAsia="Times New Roman" w:hAnsi="Times New Roman" w:cs="Times New Roman"/>
          <w:noProof/>
          <w:sz w:val="24"/>
          <w:szCs w:val="24"/>
        </w:rPr>
      </w:pPr>
      <w:r>
        <w:rPr>
          <w:rFonts w:ascii="Times New Roman" w:hAnsi="Times New Roman"/>
          <w:noProof/>
          <w:sz w:val="24"/>
        </w:rPr>
        <w:t xml:space="preserve">Az európai integrált határigazgatás megköveteli, hogy a tagállamok és az Ügynökség fokozzák a harmadik országokkal folytatott együttműködést, ezáltal hozzájárulva a harmadik országok operatív és együttműködési kapacitásainak kiépítéséhez a határellenőrzés, a kockázatelemzés, a visszaküldés és a visszafogadás területén. </w:t>
      </w:r>
    </w:p>
    <w:p w14:paraId="785065CD" w14:textId="42E77D4A" w:rsidR="00AA3C41" w:rsidRPr="008872EA" w:rsidRDefault="000E0740" w:rsidP="005B0506">
      <w:pPr>
        <w:jc w:val="both"/>
        <w:rPr>
          <w:rFonts w:ascii="Times New Roman" w:eastAsia="Times New Roman" w:hAnsi="Times New Roman" w:cs="Times New Roman"/>
          <w:noProof/>
          <w:sz w:val="24"/>
          <w:szCs w:val="24"/>
        </w:rPr>
      </w:pPr>
      <w:r>
        <w:rPr>
          <w:rFonts w:ascii="Times New Roman" w:hAnsi="Times New Roman"/>
          <w:noProof/>
          <w:sz w:val="24"/>
        </w:rPr>
        <w:t>Ezzel összefüggésben az olyan, jogállásról szóló megállapodások és munkamegállapodások megkötése, amelyek az uniós joggal összhangban lehetővé teszik a Frontex és a harmadik országok együttműködését, meghatározó módon előmozdítja a hatékony európai integrált határigazgatást. A jogállásról szóló megállapodások lehetővé teszik a Frontex határőreinek telepítését abból a célból, hogy a harmadik országbeli határőrökkel való együttműködés révén hozzájáruljanak az irreguláris migráció megelőzéséhez, valamint az embercsempészés és a bűnözés elleni küzdelemhez.</w:t>
      </w:r>
    </w:p>
    <w:p w14:paraId="2CD2C526" w14:textId="67C23E92" w:rsidR="0062276B" w:rsidRPr="008872EA" w:rsidRDefault="000472A9" w:rsidP="005B0506">
      <w:pPr>
        <w:jc w:val="both"/>
        <w:rPr>
          <w:rFonts w:ascii="Times New Roman" w:eastAsia="Calibri" w:hAnsi="Times New Roman" w:cs="Times New Roman"/>
          <w:noProof/>
          <w:sz w:val="24"/>
          <w:szCs w:val="24"/>
        </w:rPr>
      </w:pPr>
      <w:r>
        <w:rPr>
          <w:rFonts w:ascii="Times New Roman" w:hAnsi="Times New Roman"/>
          <w:noProof/>
          <w:sz w:val="24"/>
        </w:rPr>
        <w:t>Az Európai Bizottság kevesebb mint 12 hónap leforgása alatt négy országgal tárgyalt jogállásról szóló megállapodásról</w:t>
      </w:r>
      <w:r>
        <w:rPr>
          <w:rStyle w:val="FootnoteReference"/>
          <w:rFonts w:ascii="Times New Roman" w:eastAsia="Calibri" w:hAnsi="Times New Roman" w:cs="Times New Roman"/>
          <w:noProof/>
          <w:sz w:val="24"/>
          <w:szCs w:val="24"/>
          <w:lang w:val="en-GB"/>
        </w:rPr>
        <w:footnoteReference w:id="15"/>
      </w:r>
      <w:r>
        <w:rPr>
          <w:rFonts w:ascii="Times New Roman" w:hAnsi="Times New Roman"/>
          <w:noProof/>
          <w:sz w:val="24"/>
        </w:rPr>
        <w:t xml:space="preserve">, amely lehetővé teszi a Frontex határigazgatási csapatainak operatív telepítését a fogadó harmadik országban. A Frontex további négy ország tekintetében hasonló megállapodásokra vonatkozó tárgyalási megbízást kapott a Tanácstól. </w:t>
      </w:r>
    </w:p>
    <w:p w14:paraId="18C0811C" w14:textId="206140FA" w:rsidR="0062276B" w:rsidRPr="008872EA" w:rsidRDefault="00AA3C41" w:rsidP="005B0506">
      <w:pPr>
        <w:jc w:val="both"/>
        <w:rPr>
          <w:rFonts w:ascii="Times New Roman" w:eastAsia="Calibri" w:hAnsi="Times New Roman" w:cs="Times New Roman"/>
          <w:noProof/>
          <w:sz w:val="24"/>
          <w:szCs w:val="24"/>
        </w:rPr>
      </w:pPr>
      <w:r>
        <w:rPr>
          <w:rFonts w:ascii="Times New Roman" w:hAnsi="Times New Roman"/>
          <w:noProof/>
          <w:sz w:val="24"/>
        </w:rPr>
        <w:t>Ezen túlmenően a Frontex és a harmadik országbeli határigazgatási hatóságok közötti munkamegállapodásokra vonatkozó bizottsági modell</w:t>
      </w:r>
      <w:r>
        <w:rPr>
          <w:rStyle w:val="FootnoteReference"/>
          <w:rFonts w:ascii="Times New Roman" w:eastAsia="Calibri" w:hAnsi="Times New Roman" w:cs="Times New Roman"/>
          <w:noProof/>
          <w:sz w:val="24"/>
          <w:szCs w:val="24"/>
          <w:lang w:val="en-GB"/>
        </w:rPr>
        <w:footnoteReference w:id="16"/>
      </w:r>
      <w:r>
        <w:rPr>
          <w:rFonts w:ascii="Times New Roman" w:hAnsi="Times New Roman"/>
          <w:noProof/>
          <w:sz w:val="24"/>
        </w:rPr>
        <w:t xml:space="preserve"> elfogadása óta az Ügynökség tíz ilyen munkamegállapodásról</w:t>
      </w:r>
      <w:r>
        <w:rPr>
          <w:rStyle w:val="FootnoteReference"/>
          <w:rFonts w:ascii="Times New Roman" w:eastAsia="Calibri" w:hAnsi="Times New Roman" w:cs="Times New Roman"/>
          <w:noProof/>
          <w:sz w:val="24"/>
          <w:szCs w:val="24"/>
          <w:lang w:val="en-GB"/>
        </w:rPr>
        <w:footnoteReference w:id="17"/>
      </w:r>
      <w:r>
        <w:rPr>
          <w:rFonts w:ascii="Times New Roman" w:hAnsi="Times New Roman"/>
          <w:noProof/>
          <w:sz w:val="24"/>
        </w:rPr>
        <w:t xml:space="preserve"> kezdett tárgyalásokat, és ezek megkötésére várhatóan még idén sor kerül. </w:t>
      </w:r>
    </w:p>
    <w:p w14:paraId="0D3892E2" w14:textId="068789DC" w:rsidR="005E3268" w:rsidRPr="008872EA" w:rsidRDefault="00AA3C41" w:rsidP="005B0506">
      <w:pPr>
        <w:jc w:val="both"/>
        <w:rPr>
          <w:rFonts w:ascii="Times New Roman" w:eastAsia="Calibri" w:hAnsi="Times New Roman" w:cs="Times New Roman"/>
          <w:noProof/>
          <w:sz w:val="24"/>
          <w:szCs w:val="24"/>
        </w:rPr>
      </w:pPr>
      <w:r>
        <w:rPr>
          <w:rFonts w:ascii="Times New Roman" w:hAnsi="Times New Roman"/>
          <w:noProof/>
          <w:sz w:val="24"/>
        </w:rPr>
        <w:t xml:space="preserve">A Frontex kiterjesztette a harmadik országokban tevékenykedő összekötő tisztviselőinek hálózatát is, beleértve – legfrissebb fejleményként – a keleti partnerségi régióval való összeköttetés létrehozását. Javaslatot tett továbbá egy nyugat-afrikai összekötő tisztviselő telepítésére, akinek tevékenysége a térség három országát fedné le. A Bizottság pozitívan értékelte e kezdeményezést. </w:t>
      </w:r>
    </w:p>
    <w:p w14:paraId="36269CDB" w14:textId="46BF8429" w:rsidR="00FD5B68" w:rsidRPr="008872EA" w:rsidRDefault="00C90040" w:rsidP="00530D70">
      <w:pPr>
        <w:jc w:val="both"/>
        <w:rPr>
          <w:rFonts w:ascii="Times New Roman" w:eastAsia="Calibri" w:hAnsi="Times New Roman" w:cs="Times New Roman"/>
          <w:noProof/>
          <w:sz w:val="24"/>
          <w:szCs w:val="24"/>
        </w:rPr>
      </w:pPr>
      <w:r>
        <w:rPr>
          <w:rFonts w:ascii="Times New Roman" w:hAnsi="Times New Roman"/>
          <w:noProof/>
          <w:sz w:val="24"/>
        </w:rPr>
        <w:t xml:space="preserve">Összességében a harmadik országokban, köztük a szomszédos harmadik országokban megvalósuló konkrét intézkedések – például az európai migrációs és visszaküldési összekötő tisztviselők telepítése és a határigazgatás operatív pénzügyi támogatása – hatékony eszköznek bizonyulhatnak az EU-ba irányuló irreguláris migrációs áramlások kezelésének előmozdítása terén, összhangban a migrációval kapcsolatos átfogó uniós megközelítéssel. E tekintetben kiemelt figyelmet érdemel a keleti és déli szomszédság, csakúgy, mint azon harmadik országok, ahonnan kiindulnak, illetve amelyeken áthaladnak az EU-ba vezető </w:t>
      </w:r>
      <w:r>
        <w:rPr>
          <w:rFonts w:ascii="Times New Roman" w:hAnsi="Times New Roman"/>
          <w:noProof/>
          <w:sz w:val="24"/>
          <w:shd w:val="clear" w:color="auto" w:fill="FFFFFF" w:themeFill="background1"/>
        </w:rPr>
        <w:t>fő</w:t>
      </w:r>
      <w:r>
        <w:rPr>
          <w:rFonts w:ascii="Times New Roman" w:hAnsi="Times New Roman"/>
          <w:noProof/>
          <w:sz w:val="24"/>
        </w:rPr>
        <w:t xml:space="preserve"> migrációs útvonalak.</w:t>
      </w:r>
    </w:p>
    <w:p w14:paraId="1B8E8A25" w14:textId="77777777" w:rsidR="00F71562" w:rsidRPr="008872EA" w:rsidRDefault="00FD5B68" w:rsidP="005B0506">
      <w:pPr>
        <w:jc w:val="both"/>
        <w:rPr>
          <w:rFonts w:ascii="Times New Roman" w:eastAsia="Calibri" w:hAnsi="Times New Roman" w:cs="Times New Roman"/>
          <w:b/>
          <w:i/>
          <w:noProof/>
          <w:sz w:val="24"/>
          <w:szCs w:val="24"/>
        </w:rPr>
      </w:pPr>
      <w:r>
        <w:rPr>
          <w:rFonts w:ascii="Times New Roman" w:hAnsi="Times New Roman"/>
          <w:b/>
          <w:i/>
          <w:noProof/>
          <w:sz w:val="24"/>
        </w:rPr>
        <w:t>Ügynökségközi együttműködés</w:t>
      </w:r>
    </w:p>
    <w:p w14:paraId="201417D1" w14:textId="13F2FB32" w:rsidR="001D38F0" w:rsidRPr="008872EA" w:rsidRDefault="00F71562" w:rsidP="005B0506">
      <w:pPr>
        <w:jc w:val="both"/>
        <w:rPr>
          <w:rFonts w:ascii="Times New Roman" w:eastAsia="Calibri" w:hAnsi="Times New Roman" w:cs="Times New Roman"/>
          <w:noProof/>
          <w:sz w:val="24"/>
          <w:szCs w:val="24"/>
        </w:rPr>
      </w:pPr>
      <w:r>
        <w:rPr>
          <w:rFonts w:ascii="Times New Roman" w:hAnsi="Times New Roman"/>
          <w:noProof/>
          <w:sz w:val="24"/>
        </w:rPr>
        <w:t xml:space="preserve">A valamennyi érintett nemzeti és uniós hatóság közötti szorosabb együttműködés és jobb információcsere hozzájárul az EU külső határait fenyegető veszélyek jobb megértéséhez, felderítéséhez és kezeléséhez, ezért a hatékony európai integrált határigazgatás kulcsfontosságú elemének számít. </w:t>
      </w:r>
    </w:p>
    <w:p w14:paraId="4E0E8D15" w14:textId="4E0687BE" w:rsidR="001D38F0" w:rsidRPr="008872EA" w:rsidRDefault="00490810" w:rsidP="005B0506">
      <w:pPr>
        <w:jc w:val="both"/>
        <w:rPr>
          <w:rFonts w:ascii="Times New Roman" w:eastAsia="Calibri" w:hAnsi="Times New Roman" w:cs="Times New Roman"/>
          <w:noProof/>
          <w:sz w:val="24"/>
          <w:szCs w:val="24"/>
        </w:rPr>
      </w:pPr>
      <w:r>
        <w:rPr>
          <w:rFonts w:ascii="Times New Roman" w:hAnsi="Times New Roman"/>
          <w:noProof/>
          <w:sz w:val="24"/>
        </w:rPr>
        <w:t xml:space="preserve">E tekintetben a legfontosabb uniós szintű ügynökségek közé tartozik a Frontex, a Bűnüldözési Együttműködés Európai Uniós Ügynöksége (Europol), az Európai Unió Menekültügyi Ügynöksége és a szabadságon, a biztonságon és a jog érvényesülésén alapuló térség nagy méretű IT-rendszereinek üzemeltetési igazgatását végző európai uniós ügynökség (eu-LISA). </w:t>
      </w:r>
    </w:p>
    <w:p w14:paraId="66AEAB76" w14:textId="5582F3A8" w:rsidR="00FD5B68" w:rsidRPr="008872EA" w:rsidRDefault="001D38F0" w:rsidP="00A64843">
      <w:pPr>
        <w:jc w:val="both"/>
        <w:rPr>
          <w:rFonts w:ascii="Times New Roman" w:eastAsia="Calibri" w:hAnsi="Times New Roman" w:cs="Times New Roman"/>
          <w:noProof/>
          <w:sz w:val="24"/>
          <w:szCs w:val="24"/>
        </w:rPr>
      </w:pPr>
      <w:r>
        <w:rPr>
          <w:rFonts w:ascii="Times New Roman" w:hAnsi="Times New Roman"/>
          <w:noProof/>
          <w:sz w:val="24"/>
        </w:rPr>
        <w:t xml:space="preserve">Emellett nemzeti szinten egyértelmű kommunikációs csatornákat és megerősített együttműködést kell kialakítani a tagállamok határigazgatási hatóságai és más illetékes hatóságai – például a vámhatóságok – között, ami a jól meghatározott munkamegosztásra és a funkcionális együttműködési struktúrákra is kiterjed. </w:t>
      </w:r>
    </w:p>
    <w:p w14:paraId="04FC365B" w14:textId="77777777" w:rsidR="005E3189" w:rsidRPr="008872EA" w:rsidRDefault="00FD5B68" w:rsidP="00EF63F0">
      <w:pPr>
        <w:keepNext/>
        <w:jc w:val="both"/>
        <w:rPr>
          <w:rFonts w:ascii="Times New Roman" w:eastAsia="Calibri" w:hAnsi="Times New Roman" w:cs="Times New Roman"/>
          <w:b/>
          <w:i/>
          <w:noProof/>
          <w:sz w:val="24"/>
          <w:szCs w:val="24"/>
        </w:rPr>
      </w:pPr>
      <w:r>
        <w:rPr>
          <w:rFonts w:ascii="Times New Roman" w:hAnsi="Times New Roman"/>
          <w:b/>
          <w:i/>
          <w:noProof/>
          <w:sz w:val="24"/>
        </w:rPr>
        <w:t>Csúcstechnológiás eszközök, többek között nagy méretű információs rendszerek alkalmazása</w:t>
      </w:r>
    </w:p>
    <w:p w14:paraId="1EB7C518" w14:textId="6B926474" w:rsidR="00023801" w:rsidRPr="008872EA" w:rsidRDefault="004361DB" w:rsidP="005B0506">
      <w:pPr>
        <w:jc w:val="both"/>
        <w:rPr>
          <w:rFonts w:ascii="Times New Roman" w:eastAsia="Calibri" w:hAnsi="Times New Roman" w:cs="Times New Roman"/>
          <w:noProof/>
          <w:sz w:val="24"/>
          <w:szCs w:val="24"/>
        </w:rPr>
      </w:pPr>
      <w:r>
        <w:rPr>
          <w:rFonts w:ascii="Times New Roman" w:hAnsi="Times New Roman"/>
          <w:noProof/>
          <w:sz w:val="24"/>
        </w:rPr>
        <w:t xml:space="preserve">EU-szerte meg kell erősíteni az utasok és áruk EU-ba irányuló vagy EU-n keresztüli mozgásának pontos és következetes nyomon követését szolgáló intézkedéseket, többek között hírszerzésen alapuló (azaz kockázatértékeléssel alátámasztott) tevékenységek révén. </w:t>
      </w:r>
    </w:p>
    <w:p w14:paraId="68BB8D55" w14:textId="4C1B859C" w:rsidR="00C06F39" w:rsidRPr="008872EA" w:rsidRDefault="00D577B1" w:rsidP="00023801">
      <w:pPr>
        <w:jc w:val="both"/>
        <w:rPr>
          <w:rFonts w:ascii="Times New Roman" w:eastAsia="Calibri" w:hAnsi="Times New Roman" w:cs="Times New Roman"/>
          <w:noProof/>
          <w:sz w:val="24"/>
          <w:szCs w:val="24"/>
        </w:rPr>
      </w:pPr>
      <w:r>
        <w:rPr>
          <w:rFonts w:ascii="Times New Roman" w:hAnsi="Times New Roman"/>
          <w:noProof/>
          <w:sz w:val="24"/>
        </w:rPr>
        <w:t xml:space="preserve">A tagállamoknak továbbá biztosítaniuk kell a megújított és az új uniós határigazgatási és biztonsági információs rendszerek (SIS, VIS, EES és ETIAS) sikeres végrehajtását és azok interoperabilitását, betartva az elfogadott határidőket. Az új, illetve felülvizsgált uniós információs rendszerek működésbe lépése a határigazgatás megerősítéséhez és az EU külső határainak ellenőrzésére vonatkozó uniós képesség javulásához fog vezetni. Ezenkívül a jelentések és statisztikák közös adattára – amelyet az eu-LISA 2024-ben fog létrehozni – új funkciókat fog kínálni, amelyeket fel kell használni a helyzetismeret javítására, valamint a mozgások tendenciáinak azonosítására. </w:t>
      </w:r>
    </w:p>
    <w:p w14:paraId="215C6B54" w14:textId="77777777" w:rsidR="007F76C5" w:rsidRPr="008872EA" w:rsidRDefault="00BB2DD5" w:rsidP="005B0506">
      <w:pPr>
        <w:jc w:val="both"/>
        <w:rPr>
          <w:rFonts w:ascii="Times New Roman" w:eastAsia="Calibri" w:hAnsi="Times New Roman" w:cs="Times New Roman"/>
          <w:b/>
          <w:i/>
          <w:noProof/>
          <w:sz w:val="24"/>
          <w:szCs w:val="24"/>
        </w:rPr>
      </w:pPr>
      <w:r>
        <w:rPr>
          <w:rFonts w:ascii="Times New Roman" w:hAnsi="Times New Roman"/>
          <w:b/>
          <w:i/>
          <w:noProof/>
          <w:sz w:val="24"/>
        </w:rPr>
        <w:t xml:space="preserve">Az alapvető jogok tiszteletben tartása, védelme és előmozdítása </w:t>
      </w:r>
    </w:p>
    <w:p w14:paraId="1F5E04CB" w14:textId="16CD1F15" w:rsidR="00BB2DD5" w:rsidRPr="008872EA" w:rsidRDefault="0004469E" w:rsidP="005B0506">
      <w:pPr>
        <w:jc w:val="both"/>
        <w:rPr>
          <w:rFonts w:ascii="Times New Roman" w:eastAsia="Calibri" w:hAnsi="Times New Roman" w:cs="Times New Roman"/>
          <w:noProof/>
          <w:sz w:val="24"/>
          <w:szCs w:val="24"/>
        </w:rPr>
      </w:pPr>
      <w:bookmarkStart w:id="2" w:name="_Hlk129183133"/>
      <w:r>
        <w:rPr>
          <w:rFonts w:ascii="Times New Roman" w:hAnsi="Times New Roman"/>
          <w:noProof/>
          <w:sz w:val="24"/>
        </w:rPr>
        <w:t>Az Európai Határ- és Parti Őrségnek a határigazgatási feladatok ellátása során – átfogó szempontként – garantálnia kell az alapvető jogok védelmét.</w:t>
      </w:r>
      <w:r>
        <w:rPr>
          <w:noProof/>
        </w:rPr>
        <w:t xml:space="preserve"> </w:t>
      </w:r>
      <w:r>
        <w:rPr>
          <w:rFonts w:ascii="Times New Roman" w:hAnsi="Times New Roman"/>
          <w:noProof/>
          <w:sz w:val="24"/>
        </w:rPr>
        <w:t>Az Európai Határ- és Parti Őrségen belül az uniós és a nemzeti szereplőknek a vonatkozó uniós joggal, többek között az Európai Unió Alapjogi Chartájával és a nemzetközi joggal teljes összhangban kell végrehajtaniuk intézkedéseiket, a harmadik országok területén is.</w:t>
      </w:r>
    </w:p>
    <w:p w14:paraId="44483FD1" w14:textId="14E4F607" w:rsidR="00372A5C" w:rsidRPr="008872EA" w:rsidRDefault="00EE1EC4" w:rsidP="00EE1EC4">
      <w:pPr>
        <w:jc w:val="both"/>
        <w:rPr>
          <w:rFonts w:ascii="Times New Roman" w:eastAsia="Calibri" w:hAnsi="Times New Roman" w:cs="Times New Roman"/>
          <w:noProof/>
          <w:sz w:val="24"/>
          <w:szCs w:val="24"/>
        </w:rPr>
      </w:pPr>
      <w:r>
        <w:rPr>
          <w:rFonts w:ascii="Times New Roman" w:hAnsi="Times New Roman"/>
          <w:noProof/>
          <w:sz w:val="24"/>
        </w:rPr>
        <w:t xml:space="preserve">A Frontexnek és a tagállamoknak elő kell mozdítaniuk az európai integrált határigazgatás kultúráját, amelyet az uniós és a nemzetközi jognak való megfelelés – a visszaküldés tilalmára vonatkozó elv érvényesülését is beleértve – és az alapvető jogok maradéktalan tiszteletben tartása fémjelez, továbbá valamennyi tevékenységükbe alapjogi biztosítékokat kell beépíteniük. </w:t>
      </w:r>
    </w:p>
    <w:p w14:paraId="0BC84619" w14:textId="3CA067B2" w:rsidR="00EE1EC4" w:rsidRPr="008872EA" w:rsidRDefault="00EE1EC4" w:rsidP="00EE1EC4">
      <w:pPr>
        <w:jc w:val="both"/>
        <w:rPr>
          <w:rFonts w:ascii="Times New Roman" w:eastAsia="Calibri" w:hAnsi="Times New Roman" w:cs="Times New Roman"/>
          <w:noProof/>
          <w:sz w:val="24"/>
          <w:szCs w:val="24"/>
        </w:rPr>
      </w:pPr>
      <w:r>
        <w:rPr>
          <w:rFonts w:ascii="Times New Roman" w:hAnsi="Times New Roman"/>
          <w:noProof/>
          <w:sz w:val="24"/>
        </w:rPr>
        <w:t>Az alapjogok tiszteletben tartását felügyelő személyeknek meg kell védeniük az alapvető jogokat és elő kell mozdítaniuk azok tiszteletben tartását, ami központi jelentőséggel bír az Európai Határ- és Parti Őrség valamennyi tevékenységében, az európai integrált határigazgatás minden elemére vonatkozóan. Emellett a Bizottság által a harmadik országbeli állampolgárok előszűréséről szóló javaslatban</w:t>
      </w:r>
      <w:r>
        <w:rPr>
          <w:rStyle w:val="FootnoteReference"/>
          <w:rFonts w:ascii="Times New Roman" w:eastAsia="Calibri" w:hAnsi="Times New Roman" w:cs="Times New Roman"/>
          <w:noProof/>
          <w:sz w:val="24"/>
          <w:szCs w:val="24"/>
          <w:lang w:val="en-GB"/>
        </w:rPr>
        <w:footnoteReference w:id="18"/>
      </w:r>
      <w:r>
        <w:rPr>
          <w:rFonts w:ascii="Times New Roman" w:hAnsi="Times New Roman"/>
          <w:noProof/>
          <w:sz w:val="24"/>
        </w:rPr>
        <w:t xml:space="preserve"> előirányzott, az alapvető jogok felügyeletére szolgáló nemzeti mechanizmusok számottevően hozzájárulhatnak az átláthatóság és az elszámoltathatóság fokozásához az EU külső határain zajló tevékenységek tekintetében.</w:t>
      </w:r>
    </w:p>
    <w:bookmarkEnd w:id="2"/>
    <w:p w14:paraId="12F32FFF" w14:textId="77777777" w:rsidR="004424AD" w:rsidRPr="008872EA" w:rsidRDefault="00372A5C" w:rsidP="005B0506">
      <w:pPr>
        <w:jc w:val="both"/>
        <w:rPr>
          <w:rFonts w:ascii="Times New Roman" w:eastAsia="Calibri" w:hAnsi="Times New Roman" w:cs="Times New Roman"/>
          <w:b/>
          <w:i/>
          <w:noProof/>
          <w:sz w:val="24"/>
          <w:szCs w:val="24"/>
        </w:rPr>
      </w:pPr>
      <w:r>
        <w:rPr>
          <w:rFonts w:ascii="Times New Roman" w:hAnsi="Times New Roman"/>
          <w:b/>
          <w:i/>
          <w:noProof/>
          <w:sz w:val="24"/>
        </w:rPr>
        <w:t>Koherens és átfogó minőség-ellenőrzési mechanizmus</w:t>
      </w:r>
    </w:p>
    <w:p w14:paraId="511242AB" w14:textId="184F0EA1" w:rsidR="004424AD" w:rsidRPr="008872EA" w:rsidRDefault="004424AD" w:rsidP="005B0506">
      <w:pPr>
        <w:jc w:val="both"/>
        <w:rPr>
          <w:rFonts w:ascii="Times New Roman" w:eastAsia="Calibri" w:hAnsi="Times New Roman" w:cs="Times New Roman"/>
          <w:noProof/>
          <w:sz w:val="24"/>
          <w:szCs w:val="24"/>
        </w:rPr>
      </w:pPr>
      <w:r>
        <w:rPr>
          <w:rFonts w:ascii="Times New Roman" w:hAnsi="Times New Roman"/>
          <w:noProof/>
          <w:sz w:val="24"/>
        </w:rPr>
        <w:t xml:space="preserve">A schengeni vívmányok nemzeti és uniós szintű végrehajtásának értékelése hozzá fog járulni a külső határok igazgatásának megerősítéséhez, valamint a schengeni térségen belüli határellenőrzés hiányát ellensúlyozó, az európai integrált határigazgatás keretében megvalósuló intézkedések végrehajtásához. </w:t>
      </w:r>
    </w:p>
    <w:p w14:paraId="30894EDE" w14:textId="0D0E8791" w:rsidR="00C13FD0" w:rsidRPr="008872EA" w:rsidRDefault="00372A5C" w:rsidP="004424AD">
      <w:pPr>
        <w:jc w:val="both"/>
        <w:rPr>
          <w:rFonts w:ascii="Times New Roman" w:eastAsia="Calibri" w:hAnsi="Times New Roman" w:cs="Times New Roman"/>
          <w:noProof/>
          <w:sz w:val="24"/>
          <w:szCs w:val="24"/>
        </w:rPr>
      </w:pPr>
      <w:r>
        <w:rPr>
          <w:rFonts w:ascii="Times New Roman" w:hAnsi="Times New Roman"/>
          <w:noProof/>
          <w:sz w:val="24"/>
        </w:rPr>
        <w:t xml:space="preserve">A minőség-ellenőrzési mechanizmus konkrétan a schengeni értékelési és monitoringmechanizmusból és a Frontex sebezhetőségi értékeléséből áll. A minőség-ellenőrzés nélkülözhetetlen alapot nyújt a schengeni ciklushoz, amelynek célja, hogy átfogó helyzetismeretet biztosítson nemzeti és uniós szinten, valamint alapul szolgáljon a schengeni térség működéséről szóló párbeszédhez. </w:t>
      </w:r>
    </w:p>
    <w:p w14:paraId="0DBF10AA" w14:textId="77777777" w:rsidR="003955AA" w:rsidRPr="008872EA" w:rsidRDefault="00C13FD0" w:rsidP="005B0506">
      <w:pPr>
        <w:jc w:val="both"/>
        <w:rPr>
          <w:rFonts w:ascii="Times New Roman" w:eastAsia="Calibri" w:hAnsi="Times New Roman" w:cs="Times New Roman"/>
          <w:i/>
          <w:noProof/>
          <w:sz w:val="24"/>
          <w:szCs w:val="24"/>
        </w:rPr>
      </w:pPr>
      <w:r>
        <w:rPr>
          <w:rFonts w:ascii="Times New Roman" w:hAnsi="Times New Roman"/>
          <w:b/>
          <w:i/>
          <w:noProof/>
          <w:sz w:val="24"/>
        </w:rPr>
        <w:t>Uniós finanszírozási eszközök</w:t>
      </w:r>
      <w:r>
        <w:rPr>
          <w:rFonts w:ascii="Times New Roman" w:hAnsi="Times New Roman"/>
          <w:i/>
          <w:noProof/>
          <w:sz w:val="24"/>
        </w:rPr>
        <w:t xml:space="preserve"> </w:t>
      </w:r>
    </w:p>
    <w:p w14:paraId="6BC7203D" w14:textId="564F0340" w:rsidR="00027989" w:rsidRPr="008872EA" w:rsidRDefault="003955AA" w:rsidP="005B0506">
      <w:pPr>
        <w:jc w:val="both"/>
        <w:rPr>
          <w:rFonts w:ascii="Times New Roman" w:eastAsia="Calibri" w:hAnsi="Times New Roman" w:cs="Times New Roman"/>
          <w:noProof/>
          <w:sz w:val="24"/>
          <w:szCs w:val="24"/>
        </w:rPr>
      </w:pPr>
      <w:r>
        <w:rPr>
          <w:rFonts w:ascii="Times New Roman" w:hAnsi="Times New Roman"/>
          <w:noProof/>
          <w:sz w:val="24"/>
        </w:rPr>
        <w:t xml:space="preserve">Az uniós finanszírozási eszközök – különösen a Határigazgatási és Vízumeszköz (HAVE) és a Menekültügyi, Migrációs és Integrációs Alap (MMIA) – kulcsszerepet játszanak az európai integrált határigazgatási stratégia hatékony végrehajtásában. Az uniós források támogatni fogják mind az uniós, mind a nemzeti szinten megvalósuló európai integrált határigazgatási intézkedéseket. </w:t>
      </w:r>
    </w:p>
    <w:p w14:paraId="5417CFBC" w14:textId="219BD9B9" w:rsidR="00C13FD0" w:rsidRPr="008872EA" w:rsidRDefault="003F1830" w:rsidP="005B0506">
      <w:pPr>
        <w:jc w:val="both"/>
        <w:rPr>
          <w:rFonts w:ascii="Times New Roman" w:eastAsia="Calibri" w:hAnsi="Times New Roman" w:cs="Times New Roman"/>
          <w:noProof/>
          <w:sz w:val="24"/>
          <w:szCs w:val="24"/>
        </w:rPr>
      </w:pPr>
      <w:r>
        <w:rPr>
          <w:rFonts w:ascii="Times New Roman" w:hAnsi="Times New Roman"/>
          <w:noProof/>
          <w:sz w:val="24"/>
        </w:rPr>
        <w:t xml:space="preserve">Az uniós finanszírozási eszközök felhasználásával összefüggésben elengedhetetlen, hogy a tagállamok az európai integrált határigazgatás céljaival összhangban álló prioritásokat határozzanak meg, ezáltal biztosítva a maximális uniós hozzáadott értéket. Ezen túlmenően a Frontex tevékenységeit az EU általános költségvetéséből az Ügynökség számára elkülönített költségvetés finanszírozza.   </w:t>
      </w:r>
    </w:p>
    <w:p w14:paraId="33F6F55C" w14:textId="470B25AD" w:rsidR="00C05EB4" w:rsidRPr="008872EA" w:rsidRDefault="00C05EB4" w:rsidP="005B0506">
      <w:pPr>
        <w:jc w:val="both"/>
        <w:rPr>
          <w:rFonts w:ascii="Times New Roman" w:eastAsia="Calibri" w:hAnsi="Times New Roman" w:cs="Times New Roman"/>
          <w:noProof/>
          <w:sz w:val="24"/>
          <w:szCs w:val="24"/>
        </w:rPr>
      </w:pPr>
      <w:r>
        <w:rPr>
          <w:rFonts w:ascii="Times New Roman" w:hAnsi="Times New Roman"/>
          <w:noProof/>
          <w:sz w:val="24"/>
        </w:rPr>
        <w:t xml:space="preserve">A harmadik országoknak nyújtott támogatás a Szomszédsági, Fejlesztési és Nemzetközi Együttműködési Eszköz – Globális Európa (NDICI – Globális Európa) és az Előcsatlakozási Támogatási Eszköz (IPA III) révén valósul majd meg, kiegészítve a HAVE és az MMIA keretében finanszírozott releváns intézkedéseket.  </w:t>
      </w:r>
    </w:p>
    <w:p w14:paraId="35A478DE" w14:textId="6BD03BDD" w:rsidR="00900B3A" w:rsidRDefault="00900B3A" w:rsidP="0062523F">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Emellett egyes kulcsfontosságú külső határokat célzott uniós intézkedésekkel kell megerősíteni, többek között uniós forrásokat kell a tagállamok rendelkezésére bocsátani a határellenőrzési képességek és infrastruktúra, a határőrizeti eszközök és a felszerelések javítása céljából, valamint kétoldalú finanszírozást is igénybe kell venni.</w:t>
      </w:r>
    </w:p>
    <w:p w14:paraId="2E957716" w14:textId="49FAC5DB" w:rsidR="00474D92" w:rsidRPr="00F21552" w:rsidRDefault="00474D92" w:rsidP="0062523F">
      <w:pPr>
        <w:spacing w:after="0" w:line="276" w:lineRule="auto"/>
        <w:jc w:val="both"/>
        <w:rPr>
          <w:rFonts w:ascii="Times New Roman" w:eastAsia="Calibri" w:hAnsi="Times New Roman" w:cs="Times New Roman"/>
          <w:noProof/>
          <w:sz w:val="24"/>
          <w:szCs w:val="24"/>
        </w:rPr>
      </w:pPr>
    </w:p>
    <w:p w14:paraId="348548FD" w14:textId="49816882" w:rsidR="00474D92" w:rsidRDefault="00474D92" w:rsidP="0062523F">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Végezetül a Technikai Támogatási Eszköz</w:t>
      </w:r>
      <w:r>
        <w:rPr>
          <w:rStyle w:val="FootnoteReference"/>
          <w:rFonts w:ascii="Times New Roman" w:eastAsia="Times New Roman" w:hAnsi="Times New Roman" w:cs="Times New Roman"/>
          <w:noProof/>
          <w:sz w:val="24"/>
          <w:szCs w:val="24"/>
          <w:lang w:val="en-GB" w:eastAsia="en-GB"/>
        </w:rPr>
        <w:footnoteReference w:id="19"/>
      </w:r>
      <w:r>
        <w:rPr>
          <w:rFonts w:ascii="Times New Roman" w:hAnsi="Times New Roman"/>
          <w:noProof/>
          <w:sz w:val="24"/>
        </w:rPr>
        <w:t xml:space="preserve"> lehetővé teszi a tagállamok számára, hogy támogatást kérjenek az európai integrált határigazgatásra vonatkozó nemzeti stratégiák releváns elemeinek végrehajtásához.</w:t>
      </w:r>
    </w:p>
    <w:p w14:paraId="73F5EB96" w14:textId="77777777" w:rsidR="00A64843" w:rsidRPr="00F21552" w:rsidRDefault="00A64843" w:rsidP="0062523F">
      <w:pPr>
        <w:spacing w:after="0" w:line="276" w:lineRule="auto"/>
        <w:jc w:val="both"/>
        <w:rPr>
          <w:rFonts w:ascii="Times New Roman" w:eastAsia="Times New Roman" w:hAnsi="Times New Roman" w:cs="Times New Roman"/>
          <w:noProof/>
          <w:sz w:val="24"/>
          <w:szCs w:val="24"/>
          <w:lang w:eastAsia="en-GB"/>
        </w:rPr>
      </w:pPr>
    </w:p>
    <w:p w14:paraId="599E1681" w14:textId="3AD726B5" w:rsidR="0094407D" w:rsidRPr="008872EA" w:rsidRDefault="00F917C2" w:rsidP="0062523F">
      <w:pPr>
        <w:spacing w:after="0" w:line="276" w:lineRule="auto"/>
        <w:jc w:val="both"/>
        <w:rPr>
          <w:rFonts w:ascii="Times New Roman" w:eastAsia="Calibri" w:hAnsi="Times New Roman" w:cs="Times New Roman"/>
          <w:b/>
          <w:i/>
          <w:smallCaps/>
          <w:noProof/>
          <w:color w:val="000000"/>
          <w:sz w:val="28"/>
          <w:szCs w:val="28"/>
          <w:u w:val="single"/>
        </w:rPr>
      </w:pPr>
      <w:r>
        <w:rPr>
          <w:rFonts w:ascii="Times New Roman" w:hAnsi="Times New Roman"/>
          <w:b/>
          <w:i/>
          <w:smallCaps/>
          <w:noProof/>
          <w:color w:val="000000"/>
          <w:sz w:val="28"/>
          <w:u w:val="single"/>
        </w:rPr>
        <w:t>Következő lépések</w:t>
      </w:r>
    </w:p>
    <w:p w14:paraId="6AF4BCCD" w14:textId="77777777" w:rsidR="00F917C2" w:rsidRPr="00F21552" w:rsidRDefault="00F917C2" w:rsidP="0062523F">
      <w:pPr>
        <w:spacing w:after="0" w:line="276" w:lineRule="auto"/>
        <w:jc w:val="both"/>
        <w:rPr>
          <w:rFonts w:ascii="Times New Roman" w:eastAsia="Times New Roman" w:hAnsi="Times New Roman" w:cs="Times New Roman"/>
          <w:noProof/>
          <w:sz w:val="24"/>
          <w:szCs w:val="24"/>
          <w:lang w:eastAsia="en-GB"/>
        </w:rPr>
      </w:pPr>
    </w:p>
    <w:p w14:paraId="42D0E926" w14:textId="6A24AD93" w:rsidR="00864116" w:rsidRPr="008872EA" w:rsidRDefault="00351508" w:rsidP="00864116">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Pr>
          <w:rFonts w:ascii="Times New Roman" w:hAnsi="Times New Roman"/>
          <w:noProof/>
          <w:color w:val="000000"/>
          <w:sz w:val="24"/>
          <w:bdr w:val="none" w:sz="0" w:space="0" w:color="auto" w:frame="1"/>
          <w:shd w:val="clear" w:color="auto" w:fill="FFFFFF"/>
        </w:rPr>
        <w:t>Ez a közlemény szakpolitikai iránymutatást nyújt az európai integrált határigazgatás Európai Határ- és Parti Őrség általi végrehajtásához az elkövetkező öt évre vonatkozóan. Következő lépésként az Ügynökségnek és a tagállamoknak mindezt hatékonyan át kell ültetniük a gyakorlatba operatív célkitűzések és tevékenységek formájában, az Európai Határ- és Parti Őrségről szóló rendeletben előírtaknak megfelelően.</w:t>
      </w:r>
    </w:p>
    <w:p w14:paraId="1C67BAE8" w14:textId="6D507638" w:rsidR="00864116" w:rsidRPr="00F21552" w:rsidRDefault="00864116" w:rsidP="0062523F">
      <w:pPr>
        <w:spacing w:after="0" w:line="276" w:lineRule="auto"/>
        <w:jc w:val="both"/>
        <w:rPr>
          <w:rFonts w:ascii="Times New Roman" w:eastAsia="Times New Roman" w:hAnsi="Times New Roman" w:cs="Times New Roman"/>
          <w:noProof/>
          <w:sz w:val="24"/>
          <w:szCs w:val="24"/>
          <w:lang w:eastAsia="en-GB"/>
        </w:rPr>
      </w:pPr>
    </w:p>
    <w:p w14:paraId="38776EC8" w14:textId="42BBB6FB" w:rsidR="00864116" w:rsidRPr="008872EA" w:rsidRDefault="00351508" w:rsidP="00864116">
      <w:pPr>
        <w:spacing w:after="0" w:line="276" w:lineRule="auto"/>
        <w:jc w:val="both"/>
        <w:rPr>
          <w:rFonts w:ascii="Times New Roman" w:eastAsia="Calibri" w:hAnsi="Times New Roman" w:cs="Times New Roman"/>
          <w:noProof/>
          <w:sz w:val="24"/>
          <w:szCs w:val="24"/>
        </w:rPr>
      </w:pPr>
      <w:r>
        <w:rPr>
          <w:rFonts w:ascii="Times New Roman" w:hAnsi="Times New Roman"/>
          <w:noProof/>
          <w:color w:val="000000"/>
          <w:sz w:val="24"/>
          <w:bdr w:val="none" w:sz="0" w:space="0" w:color="auto" w:frame="1"/>
          <w:shd w:val="clear" w:color="auto" w:fill="FFFFFF"/>
        </w:rPr>
        <w:t>Az Ügynökségnek a tagállamokkal és a Bizottsággal szorosan együttműködve ki kell dolgoznia</w:t>
      </w:r>
      <w:r>
        <w:rPr>
          <w:rFonts w:ascii="Times New Roman" w:hAnsi="Times New Roman"/>
          <w:noProof/>
          <w:sz w:val="24"/>
        </w:rPr>
        <w:t xml:space="preserve"> az európai integrált határigazgatásra vonatkozó új technikai és műveleti stratégiát</w:t>
      </w:r>
      <w:r>
        <w:rPr>
          <w:rStyle w:val="FootnoteReference"/>
          <w:rFonts w:ascii="Times New Roman" w:eastAsia="Calibri" w:hAnsi="Times New Roman" w:cs="Times New Roman"/>
          <w:noProof/>
          <w:sz w:val="24"/>
          <w:szCs w:val="24"/>
          <w:lang w:val="en-GB"/>
        </w:rPr>
        <w:footnoteReference w:id="20"/>
      </w:r>
      <w:r>
        <w:rPr>
          <w:rFonts w:ascii="Times New Roman" w:hAnsi="Times New Roman"/>
          <w:noProof/>
          <w:sz w:val="24"/>
        </w:rPr>
        <w:t xml:space="preserve">. A technikai és műveleti stratégiát a Frontex igazgatótanácsának az e közlemény elfogadását követő hat hónapon belül el kell fogadnia. A stratégiának követnie kell és végre kell hajtania az uniós intézmények által meghatározott politikai irányt, konkrétabban teljesítenie kell az e közlemény II. mellékletében foglalt követelményeket. </w:t>
      </w:r>
    </w:p>
    <w:p w14:paraId="58E1BB75" w14:textId="77777777" w:rsidR="00864116" w:rsidRPr="00F21552" w:rsidRDefault="00864116" w:rsidP="00864116">
      <w:pPr>
        <w:spacing w:after="0" w:line="276" w:lineRule="auto"/>
        <w:jc w:val="both"/>
        <w:rPr>
          <w:rFonts w:ascii="Times New Roman" w:eastAsia="Calibri" w:hAnsi="Times New Roman" w:cs="Times New Roman"/>
          <w:noProof/>
          <w:sz w:val="24"/>
          <w:szCs w:val="24"/>
        </w:rPr>
      </w:pPr>
    </w:p>
    <w:p w14:paraId="527A04BC" w14:textId="2FE7E0DE" w:rsidR="0062523F" w:rsidRPr="008872EA" w:rsidRDefault="00864116" w:rsidP="0062523F">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Másodszor, az európai integrált határigazgatás végrehajtása azt is megköveteli, hogy az uniós szinten kialakított stratégia ténylegesen érvényre jusson a tagállamok európai integrált határigazgatásra vonatkozó nemzeti stratégiáiban</w:t>
      </w:r>
      <w:r>
        <w:rPr>
          <w:rStyle w:val="FootnoteReference"/>
          <w:rFonts w:ascii="Times New Roman" w:eastAsia="Calibri" w:hAnsi="Times New Roman" w:cs="Times New Roman"/>
          <w:noProof/>
          <w:sz w:val="24"/>
          <w:szCs w:val="24"/>
          <w:lang w:val="en-GB"/>
        </w:rPr>
        <w:footnoteReference w:id="21"/>
      </w:r>
      <w:r>
        <w:rPr>
          <w:rFonts w:ascii="Times New Roman" w:hAnsi="Times New Roman"/>
          <w:noProof/>
          <w:sz w:val="24"/>
        </w:rPr>
        <w:t>. A tagállamoknak az e közlemény elfogadását követő 12 hónapon belül össze kell hangolniuk az európai integrált határigazgatásra vonatkozó nemzeti stratégiáikat az európai integrált határigazgatást célzó többéves stratégiai szakpolitikával. Az Európai Határ- és Parti Őrségen belül a legjobb eredmények elérése érdekében a tagállamoknak törekedniük kell az e közlemény II. mellékletében előírtak teljesítésére.</w:t>
      </w:r>
    </w:p>
    <w:p w14:paraId="31FDC7DA" w14:textId="77777777" w:rsidR="00351508" w:rsidRPr="00F21552" w:rsidRDefault="00351508" w:rsidP="0062523F">
      <w:pPr>
        <w:spacing w:after="0" w:line="276" w:lineRule="auto"/>
        <w:jc w:val="both"/>
        <w:rPr>
          <w:rFonts w:ascii="Times New Roman" w:eastAsia="Times New Roman" w:hAnsi="Times New Roman" w:cs="Times New Roman"/>
          <w:noProof/>
          <w:sz w:val="24"/>
          <w:szCs w:val="24"/>
          <w:lang w:eastAsia="en-GB"/>
        </w:rPr>
      </w:pPr>
    </w:p>
    <w:p w14:paraId="7711D9EC" w14:textId="1C23CEED" w:rsidR="0091572F" w:rsidRPr="008872EA" w:rsidRDefault="00F67518" w:rsidP="0062523F">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Ugyanakkor – bár az európai integrált határigazgatás szükségessé teszi a hosszú távú stratégiai tervezést – a dinamikus és érzékeny működési környezet megköveteli a fejlemények folyamatos nyomon követését és a változó igényekhez való rugalmas alkalmazkodást. A schengeni ciklus keretet biztosít ehhez a nyomon követéshez, és lehetővé teszi az európai integrált határigazgatás végrehajtása során felmerülő kihívások megfelelő figyelembevételét, illetve szükség esetén a prioritások kiigazítását a változó igényeknek megfelelően, hogy az európai integrált határigazgatás ciklusát Unió-szerte sikeresen végre lehessen hajtani. </w:t>
      </w:r>
    </w:p>
    <w:p w14:paraId="1BF5AAB4" w14:textId="4244BA4A" w:rsidR="00351508" w:rsidRPr="00F21552" w:rsidRDefault="00351508" w:rsidP="0062523F">
      <w:pPr>
        <w:spacing w:after="0" w:line="276" w:lineRule="auto"/>
        <w:jc w:val="both"/>
        <w:rPr>
          <w:rFonts w:ascii="Times New Roman" w:eastAsia="Times New Roman" w:hAnsi="Times New Roman" w:cs="Times New Roman"/>
          <w:noProof/>
          <w:sz w:val="24"/>
          <w:szCs w:val="24"/>
          <w:lang w:eastAsia="en-GB"/>
        </w:rPr>
      </w:pPr>
    </w:p>
    <w:p w14:paraId="59DDFEA8" w14:textId="7839D0E4" w:rsidR="00351508" w:rsidRPr="008872EA" w:rsidRDefault="00351508" w:rsidP="00351508">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A schengeni cikluson túlmenően az Európai Parlament és a Tanács éves szintű stratégiai iránymutatást és előretekintést is nyújthat a Frontexnek az Ügynökség programozási dokumentumáról folytatott konzultáció keretében. Az Európai Határ- és Parti Őrségről szóló rendelet 112. cikke szerinti, parlamentek közötti együttműködés, illetve az ennek keretében tartott ülések fontos lehetőséget kínálnak annak biztosítására, hogy az európai integrált határigazgatás végrehajtásával kapcsolatban az Európai Parlamentnek az Ügynökség felett, illetve a nemzeti parlamenteknek a nemzeti hatóságok felett gyakorolt ellenőrzési feladatai hatékonyan valósuljanak meg. </w:t>
      </w:r>
    </w:p>
    <w:p w14:paraId="61AB7396" w14:textId="347F514B" w:rsidR="00351508" w:rsidRPr="00F21552" w:rsidRDefault="00351508" w:rsidP="0062523F">
      <w:pPr>
        <w:spacing w:after="0" w:line="276" w:lineRule="auto"/>
        <w:jc w:val="both"/>
        <w:rPr>
          <w:rFonts w:ascii="Times New Roman" w:eastAsia="Calibri" w:hAnsi="Times New Roman" w:cs="Times New Roman"/>
          <w:noProof/>
          <w:sz w:val="24"/>
          <w:szCs w:val="24"/>
        </w:rPr>
      </w:pPr>
    </w:p>
    <w:p w14:paraId="3EF43BD5" w14:textId="5D0FAB98" w:rsidR="00514C54" w:rsidRPr="008872EA" w:rsidRDefault="00F917C2" w:rsidP="0062523F">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A Bizottság négy évvel e közlemény elfogadása után megkezdi az európai integrált határigazgatást célzó stratégiai szakpolitika értékelését</w:t>
      </w:r>
      <w:r>
        <w:rPr>
          <w:rStyle w:val="FootnoteReference"/>
          <w:rFonts w:ascii="Times New Roman" w:eastAsia="Calibri" w:hAnsi="Times New Roman" w:cs="Times New Roman"/>
          <w:noProof/>
          <w:sz w:val="24"/>
          <w:szCs w:val="24"/>
          <w:lang w:val="en-GB"/>
        </w:rPr>
        <w:footnoteReference w:id="22"/>
      </w:r>
      <w:r>
        <w:rPr>
          <w:rFonts w:ascii="Times New Roman" w:hAnsi="Times New Roman"/>
          <w:noProof/>
          <w:sz w:val="24"/>
        </w:rPr>
        <w:t>. Az értékelés eredményei be fognak épülni a következő többéves szakpolitikai ciklus előkészítésébe. Addig is az Európai Határ- és Parti Őrségről szóló rendelet folyamatban lévő, még idén lezáruló értékelése</w:t>
      </w:r>
      <w:r>
        <w:rPr>
          <w:rStyle w:val="FootnoteReference"/>
          <w:rFonts w:ascii="Times New Roman" w:eastAsia="Calibri" w:hAnsi="Times New Roman" w:cs="Times New Roman"/>
          <w:noProof/>
          <w:sz w:val="24"/>
          <w:szCs w:val="24"/>
          <w:lang w:val="en-GB"/>
        </w:rPr>
        <w:footnoteReference w:id="23"/>
      </w:r>
      <w:r>
        <w:rPr>
          <w:rFonts w:ascii="Times New Roman" w:hAnsi="Times New Roman"/>
          <w:noProof/>
          <w:sz w:val="24"/>
        </w:rPr>
        <w:t xml:space="preserve"> fog elsőként alkalmat biztosítani e folyamat áttekintésére. </w:t>
      </w:r>
    </w:p>
    <w:p w14:paraId="070A9F6E" w14:textId="77777777" w:rsidR="00A749C6" w:rsidRPr="00F21552" w:rsidRDefault="00A749C6" w:rsidP="00A63AD4">
      <w:pPr>
        <w:spacing w:after="0" w:line="276" w:lineRule="auto"/>
        <w:jc w:val="both"/>
        <w:rPr>
          <w:rFonts w:ascii="Times New Roman" w:eastAsia="Times New Roman" w:hAnsi="Times New Roman" w:cs="Times New Roman"/>
          <w:noProof/>
          <w:sz w:val="24"/>
          <w:szCs w:val="24"/>
          <w:lang w:eastAsia="en-GB"/>
        </w:rPr>
      </w:pPr>
    </w:p>
    <w:p w14:paraId="3AC4ABB7" w14:textId="78C4FE1E" w:rsidR="00BE5B63" w:rsidRPr="00A64843" w:rsidRDefault="00A63AD4" w:rsidP="00A64843">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A Bizottság továbbra is gondoskodik arról, hogy valamennyi érdekelt fél véleményét figyelembe vegyék a külső határok igazgatására vonatkozó közös európai megközelítés kialakítása során. A belső határellenőrzések nélküli erős térségben a külső határok igazgatása mindannyiunk elkötelezettségét és támogatását igénylő, kollektív felelősség.</w:t>
      </w:r>
    </w:p>
    <w:sectPr w:rsidR="00BE5B63" w:rsidRPr="00A64843" w:rsidSect="00864A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8"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EDA10" w16cid:durableId="27B60A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45257" w14:textId="77777777" w:rsidR="008B371E" w:rsidRDefault="008B371E" w:rsidP="00263099">
      <w:pPr>
        <w:spacing w:after="0" w:line="240" w:lineRule="auto"/>
      </w:pPr>
      <w:r>
        <w:separator/>
      </w:r>
    </w:p>
  </w:endnote>
  <w:endnote w:type="continuationSeparator" w:id="0">
    <w:p w14:paraId="2F846C0F" w14:textId="77777777" w:rsidR="008B371E" w:rsidRDefault="008B371E" w:rsidP="00263099">
      <w:pPr>
        <w:spacing w:after="0" w:line="240" w:lineRule="auto"/>
      </w:pPr>
      <w:r>
        <w:continuationSeparator/>
      </w:r>
    </w:p>
  </w:endnote>
  <w:endnote w:type="continuationNotice" w:id="1">
    <w:p w14:paraId="513029E3" w14:textId="77777777" w:rsidR="008B371E" w:rsidRDefault="008B3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B10C9" w14:textId="77777777" w:rsidR="00DA0C8C" w:rsidRPr="00DA0C8C" w:rsidRDefault="00DA0C8C" w:rsidP="00DA0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7909" w14:textId="127E5DCB" w:rsidR="00145044" w:rsidRPr="00DA0C8C" w:rsidRDefault="00DA0C8C" w:rsidP="00DA0C8C">
    <w:pPr>
      <w:pStyle w:val="FooterCoverPage"/>
      <w:rPr>
        <w:rFonts w:ascii="Arial" w:hAnsi="Arial" w:cs="Arial"/>
        <w:b/>
        <w:sz w:val="48"/>
      </w:rPr>
    </w:pPr>
    <w:r w:rsidRPr="00DA0C8C">
      <w:rPr>
        <w:rFonts w:ascii="Arial" w:hAnsi="Arial" w:cs="Arial"/>
        <w:b/>
        <w:sz w:val="48"/>
      </w:rPr>
      <w:t>HU</w:t>
    </w:r>
    <w:r w:rsidRPr="00DA0C8C">
      <w:rPr>
        <w:rFonts w:ascii="Arial" w:hAnsi="Arial" w:cs="Arial"/>
        <w:b/>
        <w:sz w:val="48"/>
      </w:rPr>
      <w:tab/>
    </w:r>
    <w:r w:rsidRPr="00DA0C8C">
      <w:rPr>
        <w:rFonts w:ascii="Arial" w:hAnsi="Arial" w:cs="Arial"/>
        <w:b/>
        <w:sz w:val="48"/>
      </w:rPr>
      <w:tab/>
    </w:r>
    <w:r w:rsidRPr="00DA0C8C">
      <w:tab/>
    </w:r>
    <w:r w:rsidRPr="00DA0C8C">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7E21" w14:textId="77777777" w:rsidR="00DA0C8C" w:rsidRPr="00DA0C8C" w:rsidRDefault="00DA0C8C" w:rsidP="00DA0C8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9" w14:textId="77777777" w:rsidR="008B371E" w:rsidRDefault="008B37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63063"/>
      <w:docPartObj>
        <w:docPartGallery w:val="Page Numbers (Bottom of Page)"/>
        <w:docPartUnique/>
      </w:docPartObj>
    </w:sdtPr>
    <w:sdtEndPr>
      <w:rPr>
        <w:noProof/>
      </w:rPr>
    </w:sdtEndPr>
    <w:sdtContent>
      <w:p w14:paraId="3AC4ABCA" w14:textId="7283D094" w:rsidR="008B371E" w:rsidRDefault="008B371E">
        <w:pPr>
          <w:pStyle w:val="Footer"/>
          <w:jc w:val="right"/>
        </w:pPr>
        <w:r>
          <w:fldChar w:fldCharType="begin"/>
        </w:r>
        <w:r>
          <w:instrText xml:space="preserve"> PAGE   \* MERGEFORMAT </w:instrText>
        </w:r>
        <w:r>
          <w:fldChar w:fldCharType="separate"/>
        </w:r>
        <w:r w:rsidR="00DA0C8C">
          <w:rPr>
            <w:noProof/>
          </w:rPr>
          <w:t>1</w:t>
        </w:r>
        <w:r>
          <w:fldChar w:fldCharType="end"/>
        </w:r>
      </w:p>
    </w:sdtContent>
  </w:sdt>
  <w:p w14:paraId="3AC4ABCB" w14:textId="77777777" w:rsidR="008B371E" w:rsidRDefault="008B37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D" w14:textId="77777777" w:rsidR="008B371E" w:rsidRDefault="008B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81CBE" w14:textId="77777777" w:rsidR="008B371E" w:rsidRDefault="008B371E" w:rsidP="00263099">
      <w:pPr>
        <w:spacing w:after="0" w:line="240" w:lineRule="auto"/>
      </w:pPr>
      <w:r>
        <w:separator/>
      </w:r>
    </w:p>
  </w:footnote>
  <w:footnote w:type="continuationSeparator" w:id="0">
    <w:p w14:paraId="3CA51550" w14:textId="77777777" w:rsidR="008B371E" w:rsidRDefault="008B371E" w:rsidP="00263099">
      <w:pPr>
        <w:spacing w:after="0" w:line="240" w:lineRule="auto"/>
      </w:pPr>
      <w:r>
        <w:continuationSeparator/>
      </w:r>
    </w:p>
  </w:footnote>
  <w:footnote w:type="continuationNotice" w:id="1">
    <w:p w14:paraId="48F2CECD" w14:textId="77777777" w:rsidR="008B371E" w:rsidRDefault="008B371E">
      <w:pPr>
        <w:spacing w:after="0" w:line="240" w:lineRule="auto"/>
      </w:pPr>
    </w:p>
  </w:footnote>
  <w:footnote w:id="2">
    <w:p w14:paraId="395475D5" w14:textId="4ADC7B42" w:rsidR="008B371E" w:rsidRPr="006C208A" w:rsidRDefault="008B371E" w:rsidP="006C208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Az Európai Határ- és Parti Őrségről, valamint az 1052/2013/EU és az (EU) 2016/1624 rendelet hatályon kívül helyezéséről szóló, 2019. november 13-i (EU) 2019/1896 európai parlamenti és tanácsi rendelet 8. cikkének (4) bekezdése (HL L 295., 2019.11.14., 1. o.).</w:t>
      </w:r>
    </w:p>
  </w:footnote>
  <w:footnote w:id="3">
    <w:p w14:paraId="7839313C" w14:textId="77777777" w:rsidR="008B371E" w:rsidRPr="004678A4" w:rsidRDefault="008B371E" w:rsidP="006C208A">
      <w:pPr>
        <w:pStyle w:val="FootnoteText"/>
        <w:jc w:val="both"/>
        <w:rPr>
          <w:b/>
        </w:rPr>
      </w:pPr>
      <w:r>
        <w:rPr>
          <w:rStyle w:val="FootnoteReference"/>
        </w:rPr>
        <w:footnoteRef/>
      </w:r>
      <w:r>
        <w:t xml:space="preserve"> </w:t>
      </w:r>
      <w:r>
        <w:rPr>
          <w:rFonts w:ascii="Times New Roman" w:hAnsi="Times New Roman"/>
        </w:rPr>
        <w:t>Szakpolitikai dokumentum az európai integrált határigazgatásra vonatkozó többéves stratégiai szakpolitikának az (EU) 2019/1896 rendelet 8. cikkének (4) bekezdésével összhangban történő kidolgozásáról, COM(2022) 303 final.</w:t>
      </w:r>
    </w:p>
  </w:footnote>
  <w:footnote w:id="4">
    <w:p w14:paraId="4522C83A" w14:textId="77777777" w:rsidR="008B371E" w:rsidRPr="00A076CE" w:rsidRDefault="008B371E" w:rsidP="006C208A">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Az Európai Parlament Állampolgári Jogi, Bel- és Igazságügyi Bizottsága elnökének levele, 2023. január 17., IPOL-COM-LIBE D(2023) 1361.</w:t>
      </w:r>
    </w:p>
  </w:footnote>
  <w:footnote w:id="5">
    <w:p w14:paraId="6268359B" w14:textId="77777777" w:rsidR="008B371E" w:rsidRPr="00A076CE" w:rsidRDefault="008B371E" w:rsidP="006C208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integrált határigazgatás többéves stratégiai szakpolitikai ciklusa – A Tanács következtetései (2022. október 14.) 13585/22.</w:t>
      </w:r>
    </w:p>
  </w:footnote>
  <w:footnote w:id="6">
    <w:p w14:paraId="52DD61A9" w14:textId="0CF8F1B0" w:rsidR="008B371E" w:rsidRPr="009006F9" w:rsidRDefault="008B371E" w:rsidP="00B70A41">
      <w:pPr>
        <w:pStyle w:val="FootnoteText"/>
        <w:rPr>
          <w:i/>
          <w:iCs/>
        </w:rPr>
      </w:pPr>
      <w:r>
        <w:rPr>
          <w:rStyle w:val="FootnoteReference"/>
        </w:rPr>
        <w:footnoteRef/>
      </w:r>
      <w:r>
        <w:rPr>
          <w:rFonts w:ascii="Times New Roman" w:hAnsi="Times New Roman"/>
        </w:rPr>
        <w:t xml:space="preserve"> Lásd az 1. lábjegyzetet.</w:t>
      </w:r>
    </w:p>
  </w:footnote>
  <w:footnote w:id="7">
    <w:p w14:paraId="11F86EE2" w14:textId="77777777" w:rsidR="008B371E" w:rsidRPr="00576A70" w:rsidRDefault="008B371E" w:rsidP="006C208A">
      <w:pPr>
        <w:pStyle w:val="FootnoteText"/>
        <w:jc w:val="both"/>
      </w:pPr>
      <w:r>
        <w:rPr>
          <w:rStyle w:val="FootnoteReference"/>
        </w:rPr>
        <w:footnoteRef/>
      </w:r>
      <w:r>
        <w:rPr>
          <w:rFonts w:ascii="Times New Roman" w:hAnsi="Times New Roman"/>
        </w:rPr>
        <w:t xml:space="preserve"> Ideértve a parti őrségeket, amennyiben azok határellenőrzési feladatokat látnak el, valamint a visszaküldésért felelős nemzeti hatóságokat (az Európai Határ- és Parti Őrségről szóló rendelet 4. cikke).</w:t>
      </w:r>
    </w:p>
  </w:footnote>
  <w:footnote w:id="8">
    <w:p w14:paraId="6291A29B" w14:textId="19E6E179" w:rsidR="004E01B9" w:rsidRPr="00EF63F0" w:rsidRDefault="004E01B9">
      <w:pPr>
        <w:pStyle w:val="FootnoteText"/>
      </w:pPr>
      <w:r>
        <w:rPr>
          <w:rStyle w:val="FootnoteReference"/>
        </w:rPr>
        <w:footnoteRef/>
      </w:r>
      <w:r>
        <w:t xml:space="preserve"> </w:t>
      </w:r>
      <w:r>
        <w:rPr>
          <w:rFonts w:ascii="Times New Roman" w:hAnsi="Times New Roman"/>
        </w:rPr>
        <w:t>https://prd.frontex.europa.eu/document/strategic-risk-analysis-2022/</w:t>
      </w:r>
    </w:p>
  </w:footnote>
  <w:footnote w:id="9">
    <w:p w14:paraId="3EFB0ADA" w14:textId="10F8F164" w:rsidR="008B371E" w:rsidRPr="00E97218" w:rsidRDefault="008B371E" w:rsidP="00C8158C">
      <w:pPr>
        <w:pStyle w:val="FootnoteText1"/>
        <w:ind w:left="142" w:hanging="142"/>
        <w:rPr>
          <w:rFonts w:ascii="Times New Roman" w:hAnsi="Times New Roman"/>
          <w:i/>
        </w:rPr>
      </w:pPr>
      <w:r>
        <w:rPr>
          <w:rStyle w:val="FootnoteReference"/>
          <w:rFonts w:ascii="Times New Roman" w:hAnsi="Times New Roman"/>
        </w:rPr>
        <w:footnoteRef/>
      </w:r>
      <w:r>
        <w:t xml:space="preserve"> </w:t>
      </w:r>
      <w:r>
        <w:rPr>
          <w:rFonts w:ascii="Times New Roman" w:hAnsi="Times New Roman"/>
          <w:sz w:val="20"/>
        </w:rPr>
        <w:t>Az Európai Határ- és Parti Őrségről szóló rendelet (11) preambulumbekezdése.</w:t>
      </w:r>
    </w:p>
  </w:footnote>
  <w:footnote w:id="10">
    <w:p w14:paraId="55029539" w14:textId="1323B59A" w:rsidR="008B371E" w:rsidRPr="00BA7827" w:rsidRDefault="008B371E" w:rsidP="001D0D4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információcserére vonatkozó műszaki szabványok megkönnyítik a különböző kommunikációs hálózatok összekapcsolását, valamint az Ügynökség és a tagállamok információcsere-rendszerei közötti interfészek kifejlesztését. Ez javítani fogja annak lehetőségét, hogy az Európai Határ- és Parti Őrségen belül és – erre irányuló operatív együttműködés esetén – harmadik országokkal is megosszák a vonatkozó helyzetképeket, valamint hogy a Galileo program keretében létrehozott műholdas navigációs rendszert kihasználva az európai helyzetkép révén jelentsék az Ügynökség saját eszközeinek helyzetét. Ennek eredményeként a tagállamok és az Ügynökség közel valós idejű adatokhoz jutnak, és nagyobb eséllyel tudják majd előre jelezni a migrációs áramlásokat.</w:t>
      </w:r>
    </w:p>
  </w:footnote>
  <w:footnote w:id="11">
    <w:p w14:paraId="2490A72B" w14:textId="362018AA" w:rsidR="007340C0" w:rsidRPr="007340C0" w:rsidRDefault="007340C0" w:rsidP="006C208A">
      <w:pPr>
        <w:pStyle w:val="FootnoteText"/>
        <w:jc w:val="both"/>
      </w:pPr>
      <w:r>
        <w:rPr>
          <w:rStyle w:val="FootnoteReference"/>
        </w:rPr>
        <w:footnoteRef/>
      </w:r>
      <w:r>
        <w:t xml:space="preserve"> </w:t>
      </w:r>
      <w:r>
        <w:rPr>
          <w:rFonts w:ascii="Times New Roman" w:hAnsi="Times New Roman"/>
        </w:rPr>
        <w:t>Lásd: A személyek határátlépésére irányadó szabályok uniós kódexéről (Schengeni határellenőrzési kódex) szóló, 2016. március 9-i (EU) 2016/399 európai parlamenti és tanácsi rendelet (HL L 77., 2016.3.23., 1. o.) 13. cikkének (2) bekezdése.</w:t>
      </w:r>
    </w:p>
  </w:footnote>
  <w:footnote w:id="12">
    <w:p w14:paraId="72AB28D2" w14:textId="0BDFE129" w:rsidR="008B371E" w:rsidRPr="00E16CB2" w:rsidRDefault="008B371E" w:rsidP="006C208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A harmadik országbeli állampolgárok külső határokon történő előszűrésének bevezetéséről, valamint a 767/2008/EK, az (EU) 2017/2226, az (EU) 2018/1240 és az (EU) 2019/817 rendelet módosításáról szóló európai parlamenti és tanácsi rendeletre irányuló javaslat, COM(2020) 612 final.</w:t>
      </w:r>
    </w:p>
  </w:footnote>
  <w:footnote w:id="13">
    <w:p w14:paraId="3EACD518" w14:textId="07717669" w:rsidR="008B371E" w:rsidRPr="00262497" w:rsidRDefault="008B371E" w:rsidP="006C208A">
      <w:pPr>
        <w:pStyle w:val="FootnoteText"/>
        <w:jc w:val="both"/>
        <w:rPr>
          <w:rFonts w:ascii="Times New Roman" w:hAnsi="Times New Roman" w:cs="Times New Roman"/>
        </w:rPr>
      </w:pPr>
      <w:r>
        <w:rPr>
          <w:rStyle w:val="FootnoteReference"/>
        </w:rPr>
        <w:footnoteRef/>
      </w:r>
      <w:r>
        <w:rPr>
          <w:rFonts w:ascii="Times New Roman" w:hAnsi="Times New Roman"/>
        </w:rPr>
        <w:t xml:space="preserve"> Szakpolitikai dokumentum – A hatékonyabb visszaküldést célzó operatív stratégia felé, 2023. január 24., COM(2023) 45 final.</w:t>
      </w:r>
    </w:p>
  </w:footnote>
  <w:footnote w:id="14">
    <w:p w14:paraId="6217CF3D" w14:textId="4F37C2EE" w:rsidR="00062577" w:rsidRPr="00062577" w:rsidRDefault="00062577" w:rsidP="006C208A">
      <w:pPr>
        <w:pStyle w:val="FootnoteText"/>
        <w:jc w:val="both"/>
      </w:pPr>
      <w:r>
        <w:rPr>
          <w:rStyle w:val="FootnoteReference"/>
        </w:rPr>
        <w:footnoteRef/>
      </w:r>
      <w:r>
        <w:rPr>
          <w:rFonts w:ascii="Times New Roman" w:hAnsi="Times New Roman"/>
        </w:rPr>
        <w:t xml:space="preserve"> A Bizottság ajánlása a 2008/115/EK európai parlamenti és tanácsi irányelv végrehajtása során a kiutasítási határozatok kölcsönös elismeréséről és a visszaküldések felgyorsításáról, C(2023) 1763.</w:t>
      </w:r>
    </w:p>
  </w:footnote>
  <w:footnote w:id="15">
    <w:p w14:paraId="19BE2EC1" w14:textId="77777777" w:rsidR="008B371E" w:rsidRPr="00FE7D5F" w:rsidRDefault="008B371E" w:rsidP="00AA3C41">
      <w:pPr>
        <w:pStyle w:val="FootnoteText"/>
      </w:pPr>
      <w:r>
        <w:rPr>
          <w:rStyle w:val="FootnoteReference"/>
        </w:rPr>
        <w:footnoteRef/>
      </w:r>
      <w:r>
        <w:rPr>
          <w:rFonts w:ascii="Times New Roman" w:hAnsi="Times New Roman"/>
        </w:rPr>
        <w:t xml:space="preserve"> Moldova, Észak-Macedónia, Albánia és Montenegró.</w:t>
      </w:r>
    </w:p>
  </w:footnote>
  <w:footnote w:id="16">
    <w:p w14:paraId="6B0A69F8" w14:textId="0A283FD1" w:rsidR="00216CFE" w:rsidRPr="00EF63F0" w:rsidRDefault="00216CFE" w:rsidP="006C208A">
      <w:pPr>
        <w:pStyle w:val="FootnoteText"/>
      </w:pPr>
      <w:r>
        <w:rPr>
          <w:rStyle w:val="FootnoteReference"/>
        </w:rPr>
        <w:footnoteRef/>
      </w:r>
      <w:r>
        <w:rPr>
          <w:rFonts w:ascii="Times New Roman" w:hAnsi="Times New Roman"/>
        </w:rPr>
        <w:t xml:space="preserve"> A Bizottság közleménye az Európai Parlamentnek és a Tanácsnak a jogállásról szóló megállapodásoknak az Európai Határ- és Parti Őrségről szóló, 2016. szeptember 14-i (EU) 2016/1624 európai parlamenti és tanácsi rendelet 54. cikkének (5) bekezdésében említett mintájáról, COM(2021) 747 final.</w:t>
      </w:r>
    </w:p>
  </w:footnote>
  <w:footnote w:id="17">
    <w:p w14:paraId="0D335B92" w14:textId="1A2EAB62" w:rsidR="00216CFE" w:rsidRPr="00EF63F0" w:rsidRDefault="00216CFE" w:rsidP="006C208A">
      <w:pPr>
        <w:pStyle w:val="FootnoteText"/>
        <w:jc w:val="both"/>
      </w:pPr>
      <w:r>
        <w:rPr>
          <w:rStyle w:val="FootnoteReference"/>
        </w:rPr>
        <w:footnoteRef/>
      </w:r>
      <w:r>
        <w:rPr>
          <w:rFonts w:ascii="Times New Roman" w:hAnsi="Times New Roman"/>
        </w:rPr>
        <w:t xml:space="preserve"> Albánia, Bosznia-Hercegovina, Koszovó [ez a megnevezés nem érinti a jogállással kapcsolatos álláspontokat, továbbá összhangban van az 1244/1999 sz. ENSZ BT-határozattal és a Nemzetközi Bíróságnak a koszovói függetlenségi nyilatkozatról szóló véleményével], Moldova, Montenegró, Észak-Macedónia, Szerbia, Mauritánia, Niger és Szenegál.</w:t>
      </w:r>
    </w:p>
  </w:footnote>
  <w:footnote w:id="18">
    <w:p w14:paraId="699F35DB" w14:textId="5744DCD9" w:rsidR="00827C51" w:rsidRPr="00827C51" w:rsidRDefault="00827C51">
      <w:pPr>
        <w:pStyle w:val="FootnoteText"/>
      </w:pPr>
      <w:r>
        <w:rPr>
          <w:rStyle w:val="FootnoteReference"/>
          <w:rFonts w:ascii="Times New Roman" w:hAnsi="Times New Roman" w:cs="Times New Roman"/>
        </w:rPr>
        <w:footnoteRef/>
      </w:r>
      <w:r>
        <w:t xml:space="preserve"> </w:t>
      </w:r>
      <w:r>
        <w:rPr>
          <w:rFonts w:ascii="Times New Roman" w:hAnsi="Times New Roman"/>
        </w:rPr>
        <w:t>A harmadik országbeli állampolgárok külső határokon történő előszűrésének bevezetéséről, valamint a 767/2008/EK, az (EU) 2017/2226, az (EU) 2018/1240 és az (EU) 2019/817 rendelet módosításáról szóló európai parlamenti és tanácsi rendeletre irányuló bizottsági javaslat, COM(2020) 612 final.</w:t>
      </w:r>
    </w:p>
  </w:footnote>
  <w:footnote w:id="19">
    <w:p w14:paraId="57B7235E" w14:textId="6B73F251" w:rsidR="00474D92" w:rsidRPr="00474D92" w:rsidRDefault="00474D92" w:rsidP="0016018B">
      <w:pPr>
        <w:pStyle w:val="FootnoteText"/>
        <w:jc w:val="both"/>
      </w:pPr>
      <w:r>
        <w:rPr>
          <w:rStyle w:val="FootnoteReference"/>
        </w:rPr>
        <w:footnoteRef/>
      </w:r>
      <w:r>
        <w:rPr>
          <w:rFonts w:ascii="Times New Roman" w:hAnsi="Times New Roman"/>
        </w:rPr>
        <w:t xml:space="preserve"> Az Európai Parlament és a Tanács (EU) 2021/240 rendelete (2021. február 10.) a Technikai Támogatási Eszköz létrehozásáról (HL L 57., 2021.2.18., 1. o.).</w:t>
      </w:r>
    </w:p>
  </w:footnote>
  <w:footnote w:id="20">
    <w:p w14:paraId="6E05C29C" w14:textId="77777777" w:rsidR="008B371E" w:rsidRPr="005E2101" w:rsidRDefault="008B371E" w:rsidP="00864116">
      <w:pPr>
        <w:pStyle w:val="FootnoteText"/>
      </w:pPr>
      <w:r>
        <w:rPr>
          <w:rStyle w:val="FootnoteReference"/>
        </w:rPr>
        <w:footnoteRef/>
      </w:r>
      <w:r>
        <w:t xml:space="preserve"> </w:t>
      </w:r>
      <w:r>
        <w:rPr>
          <w:rFonts w:ascii="Times New Roman" w:hAnsi="Times New Roman"/>
        </w:rPr>
        <w:t>Az Európai Határ- és Parti Őrségről szóló rendelet 8. cikkének (5) bekezdése.</w:t>
      </w:r>
    </w:p>
  </w:footnote>
  <w:footnote w:id="21">
    <w:p w14:paraId="6E07DACC" w14:textId="77777777" w:rsidR="008B371E" w:rsidRPr="00CB61F3" w:rsidRDefault="008B371E" w:rsidP="00864116">
      <w:pPr>
        <w:pStyle w:val="FootnoteText"/>
      </w:pPr>
      <w:r>
        <w:rPr>
          <w:rStyle w:val="FootnoteReference"/>
        </w:rPr>
        <w:footnoteRef/>
      </w:r>
      <w:r>
        <w:t xml:space="preserve"> </w:t>
      </w:r>
      <w:r>
        <w:rPr>
          <w:rFonts w:ascii="Times New Roman" w:hAnsi="Times New Roman"/>
        </w:rPr>
        <w:t>Az Európai Határ- és Parti Őrségről szóló rendelet 8. cikkének (6) bekezdése.</w:t>
      </w:r>
    </w:p>
  </w:footnote>
  <w:footnote w:id="22">
    <w:p w14:paraId="4B020DE9" w14:textId="77777777" w:rsidR="008B371E" w:rsidRPr="001817F2" w:rsidRDefault="008B371E" w:rsidP="00F917C2">
      <w:pPr>
        <w:pStyle w:val="FootnoteText"/>
      </w:pPr>
      <w:r>
        <w:rPr>
          <w:rStyle w:val="FootnoteReference"/>
          <w:rFonts w:ascii="Times New Roman" w:hAnsi="Times New Roman"/>
        </w:rPr>
        <w:footnoteRef/>
      </w:r>
      <w:r>
        <w:rPr>
          <w:rFonts w:ascii="Times New Roman" w:hAnsi="Times New Roman"/>
        </w:rPr>
        <w:t xml:space="preserve"> Az Európai Határ- és Parti Őrségről szóló rendelet 8. cikkének (7) bekezdése.</w:t>
      </w:r>
    </w:p>
  </w:footnote>
  <w:footnote w:id="23">
    <w:p w14:paraId="69D41BCF" w14:textId="0CBD758D" w:rsidR="00F24B60" w:rsidRPr="00EF63F0" w:rsidRDefault="00F24B60">
      <w:pPr>
        <w:pStyle w:val="FootnoteText"/>
      </w:pPr>
      <w:r>
        <w:rPr>
          <w:rStyle w:val="FootnoteReference"/>
        </w:rPr>
        <w:footnoteRef/>
      </w:r>
      <w:r>
        <w:rPr>
          <w:rFonts w:ascii="Times New Roman" w:hAnsi="Times New Roman"/>
        </w:rPr>
        <w:t xml:space="preserve"> Az Európai Határ- és Parti Őrségről szóló rendelet 121. cikke.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106C9" w14:textId="77777777" w:rsidR="00DA0C8C" w:rsidRPr="00DA0C8C" w:rsidRDefault="00DA0C8C" w:rsidP="00DA0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691C" w14:textId="77777777" w:rsidR="00DA0C8C" w:rsidRPr="00DA0C8C" w:rsidRDefault="00DA0C8C" w:rsidP="00DA0C8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4C3D" w14:textId="77777777" w:rsidR="00DA0C8C" w:rsidRPr="00DA0C8C" w:rsidRDefault="00DA0C8C" w:rsidP="00DA0C8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7" w14:textId="77777777" w:rsidR="008B371E" w:rsidRDefault="008B37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8" w14:textId="77777777" w:rsidR="008B371E" w:rsidRDefault="008B37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C" w14:textId="77777777" w:rsidR="008B371E" w:rsidRDefault="008B3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C7B"/>
    <w:multiLevelType w:val="hybridMultilevel"/>
    <w:tmpl w:val="D90A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3659"/>
    <w:multiLevelType w:val="hybridMultilevel"/>
    <w:tmpl w:val="41A487D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30B28"/>
    <w:multiLevelType w:val="hybridMultilevel"/>
    <w:tmpl w:val="53F092D4"/>
    <w:lvl w:ilvl="0" w:tplc="E7FA073A">
      <w:start w:val="1"/>
      <w:numFmt w:val="decimal"/>
      <w:lvlText w:val="%1)"/>
      <w:lvlJc w:val="left"/>
      <w:pPr>
        <w:ind w:left="720" w:hanging="360"/>
      </w:pPr>
      <w:rPr>
        <w:rFonts w:asciiTheme="minorHAnsi" w:hAnsiTheme="minorHAnsi" w:cstheme="minorHAnsi"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4" w15:restartNumberingAfterBreak="0">
    <w:nsid w:val="07D47F14"/>
    <w:multiLevelType w:val="hybridMultilevel"/>
    <w:tmpl w:val="7EFC1C8C"/>
    <w:lvl w:ilvl="0" w:tplc="C77EE0BE">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8FB3914"/>
    <w:multiLevelType w:val="hybridMultilevel"/>
    <w:tmpl w:val="D7903B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B100F"/>
    <w:multiLevelType w:val="hybridMultilevel"/>
    <w:tmpl w:val="A520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B18A8"/>
    <w:multiLevelType w:val="hybridMultilevel"/>
    <w:tmpl w:val="185C0432"/>
    <w:lvl w:ilvl="0" w:tplc="D61447AC">
      <w:start w:val="1"/>
      <w:numFmt w:val="decimal"/>
      <w:lvlText w:val="%1."/>
      <w:lvlJc w:val="left"/>
      <w:pPr>
        <w:ind w:left="360" w:hanging="360"/>
      </w:pPr>
      <w:rPr>
        <w:rFonts w:hint="default"/>
        <w:i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B4242"/>
    <w:multiLevelType w:val="hybridMultilevel"/>
    <w:tmpl w:val="D3563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EDD7440"/>
    <w:multiLevelType w:val="hybridMultilevel"/>
    <w:tmpl w:val="08947D2E"/>
    <w:lvl w:ilvl="0" w:tplc="E5D6BFD2">
      <w:start w:val="1"/>
      <w:numFmt w:val="lowerLetter"/>
      <w:pStyle w:val="poin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84C16"/>
    <w:multiLevelType w:val="hybridMultilevel"/>
    <w:tmpl w:val="4BF8F9B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393BE4"/>
    <w:multiLevelType w:val="hybridMultilevel"/>
    <w:tmpl w:val="4B2AFF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E12A79"/>
    <w:multiLevelType w:val="hybridMultilevel"/>
    <w:tmpl w:val="260041E6"/>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0430D"/>
    <w:multiLevelType w:val="hybridMultilevel"/>
    <w:tmpl w:val="90FEDB1A"/>
    <w:lvl w:ilvl="0" w:tplc="C73A72E0">
      <w:start w:val="3"/>
      <w:numFmt w:val="bullet"/>
      <w:lvlText w:val="-"/>
      <w:lvlJc w:val="left"/>
      <w:pPr>
        <w:ind w:left="720" w:hanging="360"/>
      </w:pPr>
      <w:rPr>
        <w:rFonts w:ascii="Calibri" w:eastAsiaTheme="minorHAnsi" w:hAnsi="Calibri" w:cs="Calibri"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21C6886"/>
    <w:multiLevelType w:val="hybridMultilevel"/>
    <w:tmpl w:val="6520D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44B307D"/>
    <w:multiLevelType w:val="hybridMultilevel"/>
    <w:tmpl w:val="BCDE2F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14572F"/>
    <w:multiLevelType w:val="hybridMultilevel"/>
    <w:tmpl w:val="F4ECA3D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17C9326D"/>
    <w:multiLevelType w:val="hybridMultilevel"/>
    <w:tmpl w:val="895E7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D53437"/>
    <w:multiLevelType w:val="hybridMultilevel"/>
    <w:tmpl w:val="BB8C8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696407"/>
    <w:multiLevelType w:val="hybridMultilevel"/>
    <w:tmpl w:val="5CB4F8E0"/>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1BE84A94"/>
    <w:multiLevelType w:val="hybridMultilevel"/>
    <w:tmpl w:val="90687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C6E5A49"/>
    <w:multiLevelType w:val="hybridMultilevel"/>
    <w:tmpl w:val="36C6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32138"/>
    <w:multiLevelType w:val="hybridMultilevel"/>
    <w:tmpl w:val="451C9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0D0174"/>
    <w:multiLevelType w:val="hybridMultilevel"/>
    <w:tmpl w:val="D9E81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C73EED"/>
    <w:multiLevelType w:val="singleLevel"/>
    <w:tmpl w:val="109A6A02"/>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5" w15:restartNumberingAfterBreak="0">
    <w:nsid w:val="22792FAB"/>
    <w:multiLevelType w:val="hybridMultilevel"/>
    <w:tmpl w:val="C8F2A0AC"/>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290302B"/>
    <w:multiLevelType w:val="hybridMultilevel"/>
    <w:tmpl w:val="5C860ABA"/>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62054CA"/>
    <w:multiLevelType w:val="hybridMultilevel"/>
    <w:tmpl w:val="04A0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84086F"/>
    <w:multiLevelType w:val="hybridMultilevel"/>
    <w:tmpl w:val="723CFA0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9C476E4"/>
    <w:multiLevelType w:val="hybridMultilevel"/>
    <w:tmpl w:val="BA641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175C23"/>
    <w:multiLevelType w:val="multilevel"/>
    <w:tmpl w:val="EEC8EE22"/>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1" w15:restartNumberingAfterBreak="0">
    <w:nsid w:val="2D3878F6"/>
    <w:multiLevelType w:val="hybridMultilevel"/>
    <w:tmpl w:val="86E2276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4D184D"/>
    <w:multiLevelType w:val="hybridMultilevel"/>
    <w:tmpl w:val="B330C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3D26A9"/>
    <w:multiLevelType w:val="hybridMultilevel"/>
    <w:tmpl w:val="BA34E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040B5D"/>
    <w:multiLevelType w:val="hybridMultilevel"/>
    <w:tmpl w:val="5FCCB07A"/>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22E5C57"/>
    <w:multiLevelType w:val="hybridMultilevel"/>
    <w:tmpl w:val="20D4CD94"/>
    <w:lvl w:ilvl="0" w:tplc="F71A50A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89157B3"/>
    <w:multiLevelType w:val="hybridMultilevel"/>
    <w:tmpl w:val="B39282C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C6E16A1"/>
    <w:multiLevelType w:val="hybridMultilevel"/>
    <w:tmpl w:val="B5D40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B0573D"/>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E016922"/>
    <w:multiLevelType w:val="hybridMultilevel"/>
    <w:tmpl w:val="059C877E"/>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DA7C86"/>
    <w:multiLevelType w:val="hybridMultilevel"/>
    <w:tmpl w:val="FDC2B980"/>
    <w:lvl w:ilvl="0" w:tplc="0C38F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2923AF"/>
    <w:multiLevelType w:val="hybridMultilevel"/>
    <w:tmpl w:val="56985BDA"/>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1A061F"/>
    <w:multiLevelType w:val="hybridMultilevel"/>
    <w:tmpl w:val="F87419A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AC2326B"/>
    <w:multiLevelType w:val="hybridMultilevel"/>
    <w:tmpl w:val="C32AB9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B87C81"/>
    <w:multiLevelType w:val="hybridMultilevel"/>
    <w:tmpl w:val="FF94685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E834F34"/>
    <w:multiLevelType w:val="hybridMultilevel"/>
    <w:tmpl w:val="6684304C"/>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192AED"/>
    <w:multiLevelType w:val="hybridMultilevel"/>
    <w:tmpl w:val="2022382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F732320"/>
    <w:multiLevelType w:val="hybridMultilevel"/>
    <w:tmpl w:val="3A7AAEDC"/>
    <w:lvl w:ilvl="0" w:tplc="0D0E368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3B34B5C"/>
    <w:multiLevelType w:val="hybridMultilevel"/>
    <w:tmpl w:val="82CA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5A5A61"/>
    <w:multiLevelType w:val="hybridMultilevel"/>
    <w:tmpl w:val="728A7D4E"/>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550240F"/>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A35FA7"/>
    <w:multiLevelType w:val="hybridMultilevel"/>
    <w:tmpl w:val="857A2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82076C"/>
    <w:multiLevelType w:val="multilevel"/>
    <w:tmpl w:val="04B62F36"/>
    <w:lvl w:ilvl="0">
      <w:start w:val="1"/>
      <w:numFmt w:val="decimal"/>
      <w:lvlText w:val="%1."/>
      <w:lvlJc w:val="left"/>
      <w:pPr>
        <w:ind w:left="720" w:hanging="360"/>
      </w:p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3" w15:restartNumberingAfterBreak="0">
    <w:nsid w:val="5AFC2FB4"/>
    <w:multiLevelType w:val="hybridMultilevel"/>
    <w:tmpl w:val="7974F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3947AD"/>
    <w:multiLevelType w:val="hybridMultilevel"/>
    <w:tmpl w:val="355A18D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667C6BC8"/>
    <w:multiLevelType w:val="hybridMultilevel"/>
    <w:tmpl w:val="3BA80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91144F"/>
    <w:multiLevelType w:val="multilevel"/>
    <w:tmpl w:val="04B62F36"/>
    <w:lvl w:ilvl="0">
      <w:start w:val="1"/>
      <w:numFmt w:val="decimal"/>
      <w:lvlText w:val="%1."/>
      <w:lvlJc w:val="left"/>
      <w:pPr>
        <w:ind w:left="720" w:hanging="360"/>
      </w:p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7" w15:restartNumberingAfterBreak="0">
    <w:nsid w:val="67F27498"/>
    <w:multiLevelType w:val="hybridMultilevel"/>
    <w:tmpl w:val="6212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D04DD5"/>
    <w:multiLevelType w:val="hybridMultilevel"/>
    <w:tmpl w:val="325C7BB0"/>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8D45024"/>
    <w:multiLevelType w:val="hybridMultilevel"/>
    <w:tmpl w:val="52E8FD0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6B0676"/>
    <w:multiLevelType w:val="hybridMultilevel"/>
    <w:tmpl w:val="17044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53979"/>
    <w:multiLevelType w:val="hybridMultilevel"/>
    <w:tmpl w:val="1BFABF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4A3576"/>
    <w:multiLevelType w:val="hybridMultilevel"/>
    <w:tmpl w:val="52AA9D5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C6706BC"/>
    <w:multiLevelType w:val="multilevel"/>
    <w:tmpl w:val="0678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C8E462D"/>
    <w:multiLevelType w:val="hybridMultilevel"/>
    <w:tmpl w:val="ECB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605DD5"/>
    <w:multiLevelType w:val="hybridMultilevel"/>
    <w:tmpl w:val="82940F4A"/>
    <w:lvl w:ilvl="0" w:tplc="404C124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6DAC1CC7"/>
    <w:multiLevelType w:val="hybridMultilevel"/>
    <w:tmpl w:val="4258A7A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103B05"/>
    <w:multiLevelType w:val="hybridMultilevel"/>
    <w:tmpl w:val="C1D45450"/>
    <w:lvl w:ilvl="0" w:tplc="D4CC2E32">
      <w:start w:val="13"/>
      <w:numFmt w:val="decimal"/>
      <w:lvlText w:val="%1."/>
      <w:lvlJc w:val="left"/>
      <w:pPr>
        <w:ind w:left="1265" w:hanging="567"/>
      </w:pPr>
      <w:rPr>
        <w:rFonts w:ascii="Times New Roman" w:eastAsia="Times New Roman" w:hAnsi="Times New Roman" w:cs="Times New Roman" w:hint="default"/>
        <w:w w:val="100"/>
        <w:sz w:val="24"/>
        <w:szCs w:val="24"/>
        <w:lang w:val="en-US" w:eastAsia="en-US" w:bidi="ar-SA"/>
      </w:rPr>
    </w:lvl>
    <w:lvl w:ilvl="1" w:tplc="B3C8A136">
      <w:start w:val="1"/>
      <w:numFmt w:val="lowerLetter"/>
      <w:lvlText w:val="%2)"/>
      <w:lvlJc w:val="left"/>
      <w:pPr>
        <w:ind w:left="1834" w:hanging="569"/>
      </w:pPr>
      <w:rPr>
        <w:rFonts w:ascii="Times New Roman" w:eastAsia="Times New Roman" w:hAnsi="Times New Roman" w:cs="Times New Roman" w:hint="default"/>
        <w:spacing w:val="-1"/>
        <w:w w:val="100"/>
        <w:sz w:val="24"/>
        <w:szCs w:val="24"/>
        <w:lang w:val="en-US" w:eastAsia="en-US" w:bidi="ar-SA"/>
      </w:rPr>
    </w:lvl>
    <w:lvl w:ilvl="2" w:tplc="43E65E96">
      <w:numFmt w:val="bullet"/>
      <w:lvlText w:val="•"/>
      <w:lvlJc w:val="left"/>
      <w:pPr>
        <w:ind w:left="2731" w:hanging="569"/>
      </w:pPr>
      <w:rPr>
        <w:rFonts w:hint="default"/>
        <w:lang w:val="en-US" w:eastAsia="en-US" w:bidi="ar-SA"/>
      </w:rPr>
    </w:lvl>
    <w:lvl w:ilvl="3" w:tplc="F74E06B2">
      <w:numFmt w:val="bullet"/>
      <w:lvlText w:val="•"/>
      <w:lvlJc w:val="left"/>
      <w:pPr>
        <w:ind w:left="3623" w:hanging="569"/>
      </w:pPr>
      <w:rPr>
        <w:rFonts w:hint="default"/>
        <w:lang w:val="en-US" w:eastAsia="en-US" w:bidi="ar-SA"/>
      </w:rPr>
    </w:lvl>
    <w:lvl w:ilvl="4" w:tplc="17DE1EE2">
      <w:numFmt w:val="bullet"/>
      <w:lvlText w:val="•"/>
      <w:lvlJc w:val="left"/>
      <w:pPr>
        <w:ind w:left="4515" w:hanging="569"/>
      </w:pPr>
      <w:rPr>
        <w:rFonts w:hint="default"/>
        <w:lang w:val="en-US" w:eastAsia="en-US" w:bidi="ar-SA"/>
      </w:rPr>
    </w:lvl>
    <w:lvl w:ilvl="5" w:tplc="49D49F24">
      <w:numFmt w:val="bullet"/>
      <w:lvlText w:val="•"/>
      <w:lvlJc w:val="left"/>
      <w:pPr>
        <w:ind w:left="5407" w:hanging="569"/>
      </w:pPr>
      <w:rPr>
        <w:rFonts w:hint="default"/>
        <w:lang w:val="en-US" w:eastAsia="en-US" w:bidi="ar-SA"/>
      </w:rPr>
    </w:lvl>
    <w:lvl w:ilvl="6" w:tplc="C37E2AD0">
      <w:numFmt w:val="bullet"/>
      <w:lvlText w:val="•"/>
      <w:lvlJc w:val="left"/>
      <w:pPr>
        <w:ind w:left="6299" w:hanging="569"/>
      </w:pPr>
      <w:rPr>
        <w:rFonts w:hint="default"/>
        <w:lang w:val="en-US" w:eastAsia="en-US" w:bidi="ar-SA"/>
      </w:rPr>
    </w:lvl>
    <w:lvl w:ilvl="7" w:tplc="F4C48BF2">
      <w:numFmt w:val="bullet"/>
      <w:lvlText w:val="•"/>
      <w:lvlJc w:val="left"/>
      <w:pPr>
        <w:ind w:left="7190" w:hanging="569"/>
      </w:pPr>
      <w:rPr>
        <w:rFonts w:hint="default"/>
        <w:lang w:val="en-US" w:eastAsia="en-US" w:bidi="ar-SA"/>
      </w:rPr>
    </w:lvl>
    <w:lvl w:ilvl="8" w:tplc="67FA37A0">
      <w:numFmt w:val="bullet"/>
      <w:lvlText w:val="•"/>
      <w:lvlJc w:val="left"/>
      <w:pPr>
        <w:ind w:left="8082" w:hanging="569"/>
      </w:pPr>
      <w:rPr>
        <w:rFonts w:hint="default"/>
        <w:lang w:val="en-US" w:eastAsia="en-US" w:bidi="ar-SA"/>
      </w:rPr>
    </w:lvl>
  </w:abstractNum>
  <w:abstractNum w:abstractNumId="68" w15:restartNumberingAfterBreak="0">
    <w:nsid w:val="70C15EC1"/>
    <w:multiLevelType w:val="hybridMultilevel"/>
    <w:tmpl w:val="D2104284"/>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CE590A"/>
    <w:multiLevelType w:val="hybridMultilevel"/>
    <w:tmpl w:val="40D232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70E54D20"/>
    <w:multiLevelType w:val="hybridMultilevel"/>
    <w:tmpl w:val="060A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5757BA"/>
    <w:multiLevelType w:val="hybridMultilevel"/>
    <w:tmpl w:val="95161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235043"/>
    <w:multiLevelType w:val="hybridMultilevel"/>
    <w:tmpl w:val="B218EC64"/>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6097A21"/>
    <w:multiLevelType w:val="hybridMultilevel"/>
    <w:tmpl w:val="B69E59B0"/>
    <w:lvl w:ilvl="0" w:tplc="06564F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2E3B4F"/>
    <w:multiLevelType w:val="hybridMultilevel"/>
    <w:tmpl w:val="F78E8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502D9C"/>
    <w:multiLevelType w:val="hybridMultilevel"/>
    <w:tmpl w:val="1A1E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0F3405"/>
    <w:multiLevelType w:val="hybridMultilevel"/>
    <w:tmpl w:val="A2F8A79E"/>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C5B046D"/>
    <w:multiLevelType w:val="hybridMultilevel"/>
    <w:tmpl w:val="05806F1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D1F4F24"/>
    <w:multiLevelType w:val="hybridMultilevel"/>
    <w:tmpl w:val="B0EAA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A14351"/>
    <w:multiLevelType w:val="hybridMultilevel"/>
    <w:tmpl w:val="73B2DE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A25910"/>
    <w:multiLevelType w:val="hybridMultilevel"/>
    <w:tmpl w:val="1C6A95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4253AC"/>
    <w:multiLevelType w:val="hybridMultilevel"/>
    <w:tmpl w:val="57FA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
  </w:num>
  <w:num w:numId="3">
    <w:abstractNumId w:val="42"/>
  </w:num>
  <w:num w:numId="4">
    <w:abstractNumId w:val="46"/>
  </w:num>
  <w:num w:numId="5">
    <w:abstractNumId w:val="38"/>
  </w:num>
  <w:num w:numId="6">
    <w:abstractNumId w:val="41"/>
  </w:num>
  <w:num w:numId="7">
    <w:abstractNumId w:val="28"/>
  </w:num>
  <w:num w:numId="8">
    <w:abstractNumId w:val="7"/>
  </w:num>
  <w:num w:numId="9">
    <w:abstractNumId w:val="77"/>
  </w:num>
  <w:num w:numId="10">
    <w:abstractNumId w:val="75"/>
  </w:num>
  <w:num w:numId="11">
    <w:abstractNumId w:val="50"/>
  </w:num>
  <w:num w:numId="12">
    <w:abstractNumId w:val="47"/>
  </w:num>
  <w:num w:numId="13">
    <w:abstractNumId w:val="62"/>
  </w:num>
  <w:num w:numId="14">
    <w:abstractNumId w:val="10"/>
  </w:num>
  <w:num w:numId="15">
    <w:abstractNumId w:val="58"/>
  </w:num>
  <w:num w:numId="16">
    <w:abstractNumId w:val="26"/>
  </w:num>
  <w:num w:numId="17">
    <w:abstractNumId w:val="76"/>
  </w:num>
  <w:num w:numId="18">
    <w:abstractNumId w:val="11"/>
  </w:num>
  <w:num w:numId="19">
    <w:abstractNumId w:val="31"/>
  </w:num>
  <w:num w:numId="20">
    <w:abstractNumId w:val="6"/>
  </w:num>
  <w:num w:numId="21">
    <w:abstractNumId w:val="52"/>
  </w:num>
  <w:num w:numId="22">
    <w:abstractNumId w:val="9"/>
  </w:num>
  <w:num w:numId="23">
    <w:abstractNumId w:val="59"/>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49"/>
  </w:num>
  <w:num w:numId="26">
    <w:abstractNumId w:val="2"/>
  </w:num>
  <w:num w:numId="27">
    <w:abstractNumId w:val="16"/>
  </w:num>
  <w:num w:numId="28">
    <w:abstractNumId w:val="36"/>
  </w:num>
  <w:num w:numId="29">
    <w:abstractNumId w:val="40"/>
  </w:num>
  <w:num w:numId="30">
    <w:abstractNumId w:val="73"/>
  </w:num>
  <w:num w:numId="31">
    <w:abstractNumId w:val="24"/>
  </w:num>
  <w:num w:numId="32">
    <w:abstractNumId w:val="3"/>
  </w:num>
  <w:num w:numId="33">
    <w:abstractNumId w:val="81"/>
  </w:num>
  <w:num w:numId="34">
    <w:abstractNumId w:val="74"/>
  </w:num>
  <w:num w:numId="35">
    <w:abstractNumId w:val="37"/>
  </w:num>
  <w:num w:numId="36">
    <w:abstractNumId w:val="29"/>
  </w:num>
  <w:num w:numId="37">
    <w:abstractNumId w:val="55"/>
  </w:num>
  <w:num w:numId="38">
    <w:abstractNumId w:val="17"/>
  </w:num>
  <w:num w:numId="39">
    <w:abstractNumId w:val="43"/>
  </w:num>
  <w:num w:numId="40">
    <w:abstractNumId w:val="18"/>
  </w:num>
  <w:num w:numId="41">
    <w:abstractNumId w:val="5"/>
  </w:num>
  <w:num w:numId="42">
    <w:abstractNumId w:val="51"/>
  </w:num>
  <w:num w:numId="43">
    <w:abstractNumId w:val="15"/>
  </w:num>
  <w:num w:numId="44">
    <w:abstractNumId w:val="78"/>
  </w:num>
  <w:num w:numId="45">
    <w:abstractNumId w:val="61"/>
  </w:num>
  <w:num w:numId="46">
    <w:abstractNumId w:val="33"/>
  </w:num>
  <w:num w:numId="47">
    <w:abstractNumId w:val="23"/>
  </w:num>
  <w:num w:numId="48">
    <w:abstractNumId w:val="80"/>
  </w:num>
  <w:num w:numId="49">
    <w:abstractNumId w:val="4"/>
  </w:num>
  <w:num w:numId="50">
    <w:abstractNumId w:val="0"/>
  </w:num>
  <w:num w:numId="51">
    <w:abstractNumId w:val="57"/>
  </w:num>
  <w:num w:numId="52">
    <w:abstractNumId w:val="45"/>
  </w:num>
  <w:num w:numId="53">
    <w:abstractNumId w:val="12"/>
  </w:num>
  <w:num w:numId="54">
    <w:abstractNumId w:val="68"/>
  </w:num>
  <w:num w:numId="55">
    <w:abstractNumId w:val="32"/>
  </w:num>
  <w:num w:numId="56">
    <w:abstractNumId w:val="14"/>
  </w:num>
  <w:num w:numId="57">
    <w:abstractNumId w:val="20"/>
  </w:num>
  <w:num w:numId="58">
    <w:abstractNumId w:val="13"/>
  </w:num>
  <w:num w:numId="59">
    <w:abstractNumId w:val="69"/>
  </w:num>
  <w:num w:numId="60">
    <w:abstractNumId w:val="71"/>
  </w:num>
  <w:num w:numId="61">
    <w:abstractNumId w:val="53"/>
  </w:num>
  <w:num w:numId="62">
    <w:abstractNumId w:val="60"/>
  </w:num>
  <w:num w:numId="63">
    <w:abstractNumId w:val="79"/>
  </w:num>
  <w:num w:numId="64">
    <w:abstractNumId w:val="48"/>
  </w:num>
  <w:num w:numId="65">
    <w:abstractNumId w:val="64"/>
  </w:num>
  <w:num w:numId="66">
    <w:abstractNumId w:val="70"/>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21"/>
  </w:num>
  <w:num w:numId="70">
    <w:abstractNumId w:val="65"/>
  </w:num>
  <w:num w:numId="71">
    <w:abstractNumId w:val="54"/>
  </w:num>
  <w:num w:numId="72">
    <w:abstractNumId w:val="39"/>
  </w:num>
  <w:num w:numId="73">
    <w:abstractNumId w:val="72"/>
  </w:num>
  <w:num w:numId="74">
    <w:abstractNumId w:val="25"/>
  </w:num>
  <w:num w:numId="75">
    <w:abstractNumId w:val="34"/>
  </w:num>
  <w:num w:numId="76">
    <w:abstractNumId w:val="66"/>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22"/>
  </w:num>
  <w:num w:numId="80">
    <w:abstractNumId w:val="30"/>
  </w:num>
  <w:num w:numId="81">
    <w:abstractNumId w:val="67"/>
  </w:num>
  <w:num w:numId="82">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22E65AE-C07A-4F08-B935-03B4B6777223"/>
    <w:docVar w:name="LW_COVERPAGE_TYPE" w:val="1"/>
    <w:docVar w:name="LW_CROSSREFERENCE" w:val="&lt;UNUSED&gt;"/>
    <w:docVar w:name="LW_DocType" w:val="NORMAL"/>
    <w:docVar w:name="LW_EMISSION" w:val="2023.3.14."/>
    <w:docVar w:name="LW_EMISSION_ISODATE" w:val="2023-03-14"/>
    <w:docVar w:name="LW_EMISSION_LOCATION" w:val="STR"/>
    <w:docVar w:name="LW_EMISSION_PREFIX" w:val="Strasbourg, "/>
    <w:docVar w:name="LW_EMISSION_SUFFIX" w:val=" "/>
    <w:docVar w:name="LW_ID_DOCTYPE_NONLW" w:val="CP-012"/>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3)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urópai integrált határigazgatásra vonatkozó többéves stratégiai szakpolitika létrehozásáról_x000d__x000d__x000d__x000d__x000d__x000d__x000d__x000b_"/>
    <w:docVar w:name="LW_TYPE.DOC.CP" w:val="A BIZOTTSÁG KÖZLEMÉNYE AZ EURÓPAI PARLAMENTNEK ÉS A TANÁCSNAK"/>
    <w:docVar w:name="LW_TYPE.DOC.CP.USERTEXT" w:val="&lt;EMPTY&gt;"/>
    <w:docVar w:name="LwApiVersions" w:val="LW4CoDe 1.23.2.0; LW 8.0, Build 20211117"/>
  </w:docVars>
  <w:rsids>
    <w:rsidRoot w:val="00263099"/>
    <w:rsid w:val="0000035A"/>
    <w:rsid w:val="00000A59"/>
    <w:rsid w:val="000026E0"/>
    <w:rsid w:val="0000356A"/>
    <w:rsid w:val="00003970"/>
    <w:rsid w:val="00004BFE"/>
    <w:rsid w:val="0000628E"/>
    <w:rsid w:val="000065FA"/>
    <w:rsid w:val="00006B2B"/>
    <w:rsid w:val="00007790"/>
    <w:rsid w:val="00007E4A"/>
    <w:rsid w:val="0001082F"/>
    <w:rsid w:val="00014146"/>
    <w:rsid w:val="000214F6"/>
    <w:rsid w:val="0002220B"/>
    <w:rsid w:val="000223B2"/>
    <w:rsid w:val="00023119"/>
    <w:rsid w:val="0002316E"/>
    <w:rsid w:val="00023801"/>
    <w:rsid w:val="00025023"/>
    <w:rsid w:val="00025367"/>
    <w:rsid w:val="00026240"/>
    <w:rsid w:val="00027989"/>
    <w:rsid w:val="00027AE3"/>
    <w:rsid w:val="00030332"/>
    <w:rsid w:val="00032245"/>
    <w:rsid w:val="000323AB"/>
    <w:rsid w:val="00032519"/>
    <w:rsid w:val="00033257"/>
    <w:rsid w:val="00033AC0"/>
    <w:rsid w:val="00035294"/>
    <w:rsid w:val="0003760F"/>
    <w:rsid w:val="00037BB0"/>
    <w:rsid w:val="00040383"/>
    <w:rsid w:val="00040955"/>
    <w:rsid w:val="00040B48"/>
    <w:rsid w:val="00041DE2"/>
    <w:rsid w:val="00042579"/>
    <w:rsid w:val="00042A0F"/>
    <w:rsid w:val="00042E48"/>
    <w:rsid w:val="00044014"/>
    <w:rsid w:val="0004469E"/>
    <w:rsid w:val="00045BC4"/>
    <w:rsid w:val="0004632F"/>
    <w:rsid w:val="000472A9"/>
    <w:rsid w:val="00047B99"/>
    <w:rsid w:val="000541CF"/>
    <w:rsid w:val="000552EE"/>
    <w:rsid w:val="000578E0"/>
    <w:rsid w:val="000604F9"/>
    <w:rsid w:val="00061652"/>
    <w:rsid w:val="00061C45"/>
    <w:rsid w:val="00062577"/>
    <w:rsid w:val="0006273A"/>
    <w:rsid w:val="0006279D"/>
    <w:rsid w:val="00063C61"/>
    <w:rsid w:val="0006475E"/>
    <w:rsid w:val="000652D3"/>
    <w:rsid w:val="00065CEC"/>
    <w:rsid w:val="00066157"/>
    <w:rsid w:val="0006702A"/>
    <w:rsid w:val="0007277B"/>
    <w:rsid w:val="000738CF"/>
    <w:rsid w:val="000741B4"/>
    <w:rsid w:val="0007593D"/>
    <w:rsid w:val="000801F4"/>
    <w:rsid w:val="0008078D"/>
    <w:rsid w:val="00083155"/>
    <w:rsid w:val="00091229"/>
    <w:rsid w:val="0009345D"/>
    <w:rsid w:val="00093B9E"/>
    <w:rsid w:val="00094330"/>
    <w:rsid w:val="000956CE"/>
    <w:rsid w:val="00096809"/>
    <w:rsid w:val="000A128D"/>
    <w:rsid w:val="000A1CA9"/>
    <w:rsid w:val="000A26D2"/>
    <w:rsid w:val="000A2FDF"/>
    <w:rsid w:val="000A325A"/>
    <w:rsid w:val="000A35BE"/>
    <w:rsid w:val="000A6803"/>
    <w:rsid w:val="000A7485"/>
    <w:rsid w:val="000B18A0"/>
    <w:rsid w:val="000B29A5"/>
    <w:rsid w:val="000B3D58"/>
    <w:rsid w:val="000B4CFA"/>
    <w:rsid w:val="000B6597"/>
    <w:rsid w:val="000B66C0"/>
    <w:rsid w:val="000B7474"/>
    <w:rsid w:val="000B75C2"/>
    <w:rsid w:val="000C03E2"/>
    <w:rsid w:val="000C1095"/>
    <w:rsid w:val="000C22AF"/>
    <w:rsid w:val="000C2679"/>
    <w:rsid w:val="000C63D7"/>
    <w:rsid w:val="000D05F7"/>
    <w:rsid w:val="000D0AEC"/>
    <w:rsid w:val="000D1955"/>
    <w:rsid w:val="000D22F4"/>
    <w:rsid w:val="000D2B8A"/>
    <w:rsid w:val="000D3B90"/>
    <w:rsid w:val="000D6B24"/>
    <w:rsid w:val="000D72E7"/>
    <w:rsid w:val="000D7C69"/>
    <w:rsid w:val="000D7D06"/>
    <w:rsid w:val="000E0740"/>
    <w:rsid w:val="000E12A4"/>
    <w:rsid w:val="000E1421"/>
    <w:rsid w:val="000E1B2E"/>
    <w:rsid w:val="000E448E"/>
    <w:rsid w:val="000E66A8"/>
    <w:rsid w:val="000E766E"/>
    <w:rsid w:val="000F0926"/>
    <w:rsid w:val="000F2036"/>
    <w:rsid w:val="000F2445"/>
    <w:rsid w:val="000F2AE9"/>
    <w:rsid w:val="000F3794"/>
    <w:rsid w:val="000F5365"/>
    <w:rsid w:val="0010264C"/>
    <w:rsid w:val="001027A0"/>
    <w:rsid w:val="001029F3"/>
    <w:rsid w:val="00104B88"/>
    <w:rsid w:val="0010530F"/>
    <w:rsid w:val="001062FD"/>
    <w:rsid w:val="001112AF"/>
    <w:rsid w:val="00111C9C"/>
    <w:rsid w:val="00111E44"/>
    <w:rsid w:val="00113960"/>
    <w:rsid w:val="00115187"/>
    <w:rsid w:val="001156E3"/>
    <w:rsid w:val="001160CE"/>
    <w:rsid w:val="001202B8"/>
    <w:rsid w:val="001234A9"/>
    <w:rsid w:val="00125754"/>
    <w:rsid w:val="00127C09"/>
    <w:rsid w:val="0013069D"/>
    <w:rsid w:val="00130B88"/>
    <w:rsid w:val="00131147"/>
    <w:rsid w:val="00131737"/>
    <w:rsid w:val="00131DAA"/>
    <w:rsid w:val="00135BD9"/>
    <w:rsid w:val="00136EF8"/>
    <w:rsid w:val="0014178A"/>
    <w:rsid w:val="00141820"/>
    <w:rsid w:val="0014184C"/>
    <w:rsid w:val="00145044"/>
    <w:rsid w:val="001504A6"/>
    <w:rsid w:val="00150C1E"/>
    <w:rsid w:val="0015147D"/>
    <w:rsid w:val="00151BBA"/>
    <w:rsid w:val="00151CB3"/>
    <w:rsid w:val="00151D10"/>
    <w:rsid w:val="0015527C"/>
    <w:rsid w:val="00155BD5"/>
    <w:rsid w:val="0016018B"/>
    <w:rsid w:val="001608CF"/>
    <w:rsid w:val="001616E7"/>
    <w:rsid w:val="00162DAD"/>
    <w:rsid w:val="00167432"/>
    <w:rsid w:val="001721C8"/>
    <w:rsid w:val="0017257A"/>
    <w:rsid w:val="00173335"/>
    <w:rsid w:val="00173D54"/>
    <w:rsid w:val="00174311"/>
    <w:rsid w:val="00175733"/>
    <w:rsid w:val="001808E6"/>
    <w:rsid w:val="00180BD4"/>
    <w:rsid w:val="00180EE8"/>
    <w:rsid w:val="0018120B"/>
    <w:rsid w:val="001817F2"/>
    <w:rsid w:val="00184584"/>
    <w:rsid w:val="001848A2"/>
    <w:rsid w:val="001850D5"/>
    <w:rsid w:val="0018517F"/>
    <w:rsid w:val="00186452"/>
    <w:rsid w:val="00186ACE"/>
    <w:rsid w:val="001916C3"/>
    <w:rsid w:val="001932BC"/>
    <w:rsid w:val="00193E09"/>
    <w:rsid w:val="001957F0"/>
    <w:rsid w:val="00196255"/>
    <w:rsid w:val="0019637C"/>
    <w:rsid w:val="001974C7"/>
    <w:rsid w:val="00197674"/>
    <w:rsid w:val="001A0FF8"/>
    <w:rsid w:val="001A10E7"/>
    <w:rsid w:val="001A4774"/>
    <w:rsid w:val="001A787F"/>
    <w:rsid w:val="001A7B6A"/>
    <w:rsid w:val="001B19C7"/>
    <w:rsid w:val="001B19EC"/>
    <w:rsid w:val="001B6B93"/>
    <w:rsid w:val="001C0797"/>
    <w:rsid w:val="001C0A9D"/>
    <w:rsid w:val="001C0DB7"/>
    <w:rsid w:val="001C1953"/>
    <w:rsid w:val="001C2155"/>
    <w:rsid w:val="001C6B4D"/>
    <w:rsid w:val="001D0D41"/>
    <w:rsid w:val="001D1610"/>
    <w:rsid w:val="001D1A29"/>
    <w:rsid w:val="001D300E"/>
    <w:rsid w:val="001D38F0"/>
    <w:rsid w:val="001D41FC"/>
    <w:rsid w:val="001D5E61"/>
    <w:rsid w:val="001D6209"/>
    <w:rsid w:val="001D6E4C"/>
    <w:rsid w:val="001D76F3"/>
    <w:rsid w:val="001E0A03"/>
    <w:rsid w:val="001E1A35"/>
    <w:rsid w:val="001E3463"/>
    <w:rsid w:val="001E4CDF"/>
    <w:rsid w:val="001E562A"/>
    <w:rsid w:val="001E6015"/>
    <w:rsid w:val="001E6E62"/>
    <w:rsid w:val="001F19A2"/>
    <w:rsid w:val="001F2144"/>
    <w:rsid w:val="001F3906"/>
    <w:rsid w:val="001F65AF"/>
    <w:rsid w:val="00200C00"/>
    <w:rsid w:val="0020250F"/>
    <w:rsid w:val="00204971"/>
    <w:rsid w:val="00204A6C"/>
    <w:rsid w:val="00205366"/>
    <w:rsid w:val="0020565F"/>
    <w:rsid w:val="00206E5F"/>
    <w:rsid w:val="00207550"/>
    <w:rsid w:val="00210ABC"/>
    <w:rsid w:val="002133BF"/>
    <w:rsid w:val="00214835"/>
    <w:rsid w:val="002150C7"/>
    <w:rsid w:val="00216090"/>
    <w:rsid w:val="00216CFE"/>
    <w:rsid w:val="00217BB9"/>
    <w:rsid w:val="00217CA6"/>
    <w:rsid w:val="00220A64"/>
    <w:rsid w:val="002217BC"/>
    <w:rsid w:val="00221854"/>
    <w:rsid w:val="00222CF0"/>
    <w:rsid w:val="00223CD6"/>
    <w:rsid w:val="00223F9B"/>
    <w:rsid w:val="0022481C"/>
    <w:rsid w:val="00226803"/>
    <w:rsid w:val="002310C9"/>
    <w:rsid w:val="00231FAC"/>
    <w:rsid w:val="00233A0D"/>
    <w:rsid w:val="00235B9E"/>
    <w:rsid w:val="0023644E"/>
    <w:rsid w:val="00237C3C"/>
    <w:rsid w:val="002407CF"/>
    <w:rsid w:val="00241957"/>
    <w:rsid w:val="002431AC"/>
    <w:rsid w:val="00243D46"/>
    <w:rsid w:val="00244AF5"/>
    <w:rsid w:val="002450FD"/>
    <w:rsid w:val="002454F5"/>
    <w:rsid w:val="00247207"/>
    <w:rsid w:val="00247FC0"/>
    <w:rsid w:val="00250914"/>
    <w:rsid w:val="00251DEC"/>
    <w:rsid w:val="00251E14"/>
    <w:rsid w:val="002540A3"/>
    <w:rsid w:val="00254CB6"/>
    <w:rsid w:val="00256033"/>
    <w:rsid w:val="00256497"/>
    <w:rsid w:val="002568C0"/>
    <w:rsid w:val="00256E58"/>
    <w:rsid w:val="002608BB"/>
    <w:rsid w:val="00262497"/>
    <w:rsid w:val="002625C7"/>
    <w:rsid w:val="00262FFF"/>
    <w:rsid w:val="00263099"/>
    <w:rsid w:val="002635E5"/>
    <w:rsid w:val="00264266"/>
    <w:rsid w:val="0026489A"/>
    <w:rsid w:val="00266EBE"/>
    <w:rsid w:val="00267B93"/>
    <w:rsid w:val="00267BB9"/>
    <w:rsid w:val="0027156D"/>
    <w:rsid w:val="00271A01"/>
    <w:rsid w:val="002771F9"/>
    <w:rsid w:val="002806C9"/>
    <w:rsid w:val="00280976"/>
    <w:rsid w:val="00283851"/>
    <w:rsid w:val="00283C70"/>
    <w:rsid w:val="002852EA"/>
    <w:rsid w:val="00285A52"/>
    <w:rsid w:val="00287809"/>
    <w:rsid w:val="002914B9"/>
    <w:rsid w:val="00291A52"/>
    <w:rsid w:val="00296376"/>
    <w:rsid w:val="002A4983"/>
    <w:rsid w:val="002A7595"/>
    <w:rsid w:val="002B136A"/>
    <w:rsid w:val="002B462E"/>
    <w:rsid w:val="002B56FF"/>
    <w:rsid w:val="002B6BB4"/>
    <w:rsid w:val="002B7367"/>
    <w:rsid w:val="002C0D9A"/>
    <w:rsid w:val="002C2C4F"/>
    <w:rsid w:val="002C3B94"/>
    <w:rsid w:val="002C64AB"/>
    <w:rsid w:val="002C6F5B"/>
    <w:rsid w:val="002C7C1E"/>
    <w:rsid w:val="002D31CF"/>
    <w:rsid w:val="002D6882"/>
    <w:rsid w:val="002D6E8C"/>
    <w:rsid w:val="002E192A"/>
    <w:rsid w:val="002E1E99"/>
    <w:rsid w:val="002E3D78"/>
    <w:rsid w:val="002E4E4C"/>
    <w:rsid w:val="002E5EF7"/>
    <w:rsid w:val="002E7EA4"/>
    <w:rsid w:val="002F14A4"/>
    <w:rsid w:val="002F1763"/>
    <w:rsid w:val="002F3359"/>
    <w:rsid w:val="002F751E"/>
    <w:rsid w:val="003207AF"/>
    <w:rsid w:val="00322A2F"/>
    <w:rsid w:val="00323C89"/>
    <w:rsid w:val="00325352"/>
    <w:rsid w:val="00325A69"/>
    <w:rsid w:val="00326A70"/>
    <w:rsid w:val="00326B37"/>
    <w:rsid w:val="00327840"/>
    <w:rsid w:val="00327DF7"/>
    <w:rsid w:val="00331816"/>
    <w:rsid w:val="00332934"/>
    <w:rsid w:val="00332ACA"/>
    <w:rsid w:val="00333E21"/>
    <w:rsid w:val="00333F00"/>
    <w:rsid w:val="00334344"/>
    <w:rsid w:val="00341DF6"/>
    <w:rsid w:val="00342A38"/>
    <w:rsid w:val="00345485"/>
    <w:rsid w:val="00345641"/>
    <w:rsid w:val="0034794B"/>
    <w:rsid w:val="00351508"/>
    <w:rsid w:val="00351A91"/>
    <w:rsid w:val="00352984"/>
    <w:rsid w:val="003530B5"/>
    <w:rsid w:val="0035617E"/>
    <w:rsid w:val="00356EC7"/>
    <w:rsid w:val="003570CB"/>
    <w:rsid w:val="00360579"/>
    <w:rsid w:val="00361472"/>
    <w:rsid w:val="0036159C"/>
    <w:rsid w:val="0036198A"/>
    <w:rsid w:val="003634B3"/>
    <w:rsid w:val="003636AA"/>
    <w:rsid w:val="003647FE"/>
    <w:rsid w:val="00366E7E"/>
    <w:rsid w:val="003717AF"/>
    <w:rsid w:val="003726AC"/>
    <w:rsid w:val="00372A5C"/>
    <w:rsid w:val="0037336C"/>
    <w:rsid w:val="00374587"/>
    <w:rsid w:val="0037463B"/>
    <w:rsid w:val="00374FFB"/>
    <w:rsid w:val="00375A2E"/>
    <w:rsid w:val="0037686E"/>
    <w:rsid w:val="00376AFA"/>
    <w:rsid w:val="00376C46"/>
    <w:rsid w:val="0038306F"/>
    <w:rsid w:val="003874D0"/>
    <w:rsid w:val="0039120C"/>
    <w:rsid w:val="003918CC"/>
    <w:rsid w:val="003955AA"/>
    <w:rsid w:val="003A0030"/>
    <w:rsid w:val="003A05DF"/>
    <w:rsid w:val="003A11E4"/>
    <w:rsid w:val="003A2CA0"/>
    <w:rsid w:val="003A3575"/>
    <w:rsid w:val="003A4144"/>
    <w:rsid w:val="003A6603"/>
    <w:rsid w:val="003A6663"/>
    <w:rsid w:val="003A6E24"/>
    <w:rsid w:val="003B1586"/>
    <w:rsid w:val="003B24C9"/>
    <w:rsid w:val="003B2728"/>
    <w:rsid w:val="003B6663"/>
    <w:rsid w:val="003B7568"/>
    <w:rsid w:val="003B7A9F"/>
    <w:rsid w:val="003C1E0B"/>
    <w:rsid w:val="003C3A73"/>
    <w:rsid w:val="003C43E0"/>
    <w:rsid w:val="003C4A5E"/>
    <w:rsid w:val="003D0B15"/>
    <w:rsid w:val="003D27D6"/>
    <w:rsid w:val="003D3B84"/>
    <w:rsid w:val="003D4073"/>
    <w:rsid w:val="003D59D8"/>
    <w:rsid w:val="003D65F9"/>
    <w:rsid w:val="003D7AAD"/>
    <w:rsid w:val="003E1D3D"/>
    <w:rsid w:val="003E2251"/>
    <w:rsid w:val="003E44A8"/>
    <w:rsid w:val="003E549D"/>
    <w:rsid w:val="003E5B8A"/>
    <w:rsid w:val="003E6F0A"/>
    <w:rsid w:val="003F0729"/>
    <w:rsid w:val="003F1830"/>
    <w:rsid w:val="003F3CF8"/>
    <w:rsid w:val="003F3F41"/>
    <w:rsid w:val="003F4AEF"/>
    <w:rsid w:val="003F79F6"/>
    <w:rsid w:val="00400FA0"/>
    <w:rsid w:val="00402FEE"/>
    <w:rsid w:val="00404C77"/>
    <w:rsid w:val="00406AD2"/>
    <w:rsid w:val="0040738D"/>
    <w:rsid w:val="004079AC"/>
    <w:rsid w:val="00407E3D"/>
    <w:rsid w:val="0041074A"/>
    <w:rsid w:val="00412408"/>
    <w:rsid w:val="00415065"/>
    <w:rsid w:val="00415558"/>
    <w:rsid w:val="0041680A"/>
    <w:rsid w:val="00416F65"/>
    <w:rsid w:val="004203A9"/>
    <w:rsid w:val="004203DF"/>
    <w:rsid w:val="004222DE"/>
    <w:rsid w:val="00422C62"/>
    <w:rsid w:val="00425CEA"/>
    <w:rsid w:val="004279A8"/>
    <w:rsid w:val="004315ED"/>
    <w:rsid w:val="00432088"/>
    <w:rsid w:val="0043452A"/>
    <w:rsid w:val="004361DB"/>
    <w:rsid w:val="00437DF3"/>
    <w:rsid w:val="004424AD"/>
    <w:rsid w:val="00442742"/>
    <w:rsid w:val="00443EAF"/>
    <w:rsid w:val="00443F90"/>
    <w:rsid w:val="0044477D"/>
    <w:rsid w:val="00445103"/>
    <w:rsid w:val="00447008"/>
    <w:rsid w:val="0045134E"/>
    <w:rsid w:val="00453FC9"/>
    <w:rsid w:val="00454C32"/>
    <w:rsid w:val="004565E4"/>
    <w:rsid w:val="00462BBC"/>
    <w:rsid w:val="0046687C"/>
    <w:rsid w:val="004676C3"/>
    <w:rsid w:val="004678A4"/>
    <w:rsid w:val="00470B72"/>
    <w:rsid w:val="00470E59"/>
    <w:rsid w:val="00471C03"/>
    <w:rsid w:val="0047239D"/>
    <w:rsid w:val="00472E67"/>
    <w:rsid w:val="00473287"/>
    <w:rsid w:val="00473936"/>
    <w:rsid w:val="00474730"/>
    <w:rsid w:val="00474D92"/>
    <w:rsid w:val="00474DDB"/>
    <w:rsid w:val="00474FA8"/>
    <w:rsid w:val="0047719B"/>
    <w:rsid w:val="00481397"/>
    <w:rsid w:val="004821ED"/>
    <w:rsid w:val="004841B6"/>
    <w:rsid w:val="00484788"/>
    <w:rsid w:val="004847DF"/>
    <w:rsid w:val="00484F66"/>
    <w:rsid w:val="00485C94"/>
    <w:rsid w:val="00486409"/>
    <w:rsid w:val="004868EE"/>
    <w:rsid w:val="00490810"/>
    <w:rsid w:val="00494532"/>
    <w:rsid w:val="004958D6"/>
    <w:rsid w:val="00496A05"/>
    <w:rsid w:val="004A13B9"/>
    <w:rsid w:val="004A1520"/>
    <w:rsid w:val="004A283E"/>
    <w:rsid w:val="004A4217"/>
    <w:rsid w:val="004A4D84"/>
    <w:rsid w:val="004A53C2"/>
    <w:rsid w:val="004A7C6A"/>
    <w:rsid w:val="004B048E"/>
    <w:rsid w:val="004B136B"/>
    <w:rsid w:val="004B1526"/>
    <w:rsid w:val="004B1CF2"/>
    <w:rsid w:val="004B209D"/>
    <w:rsid w:val="004B2D57"/>
    <w:rsid w:val="004B61FB"/>
    <w:rsid w:val="004B78B0"/>
    <w:rsid w:val="004C015F"/>
    <w:rsid w:val="004C12FD"/>
    <w:rsid w:val="004C26FE"/>
    <w:rsid w:val="004C2FB8"/>
    <w:rsid w:val="004C3BE7"/>
    <w:rsid w:val="004C63BB"/>
    <w:rsid w:val="004D373D"/>
    <w:rsid w:val="004D4083"/>
    <w:rsid w:val="004D4FD4"/>
    <w:rsid w:val="004D5681"/>
    <w:rsid w:val="004E01B9"/>
    <w:rsid w:val="004E15AD"/>
    <w:rsid w:val="004E1744"/>
    <w:rsid w:val="004E249E"/>
    <w:rsid w:val="004E3DD4"/>
    <w:rsid w:val="004E42D3"/>
    <w:rsid w:val="004E7146"/>
    <w:rsid w:val="004E7748"/>
    <w:rsid w:val="004E7DDF"/>
    <w:rsid w:val="004F00F1"/>
    <w:rsid w:val="004F0A00"/>
    <w:rsid w:val="004F2567"/>
    <w:rsid w:val="004F39A8"/>
    <w:rsid w:val="004F57C1"/>
    <w:rsid w:val="0050019F"/>
    <w:rsid w:val="0050136C"/>
    <w:rsid w:val="005034AC"/>
    <w:rsid w:val="00504DCA"/>
    <w:rsid w:val="0050544C"/>
    <w:rsid w:val="005062AB"/>
    <w:rsid w:val="00506E3C"/>
    <w:rsid w:val="00514C54"/>
    <w:rsid w:val="00515766"/>
    <w:rsid w:val="00515B66"/>
    <w:rsid w:val="00516467"/>
    <w:rsid w:val="00516BDD"/>
    <w:rsid w:val="005170F3"/>
    <w:rsid w:val="00517473"/>
    <w:rsid w:val="0051794A"/>
    <w:rsid w:val="00520D96"/>
    <w:rsid w:val="0052127F"/>
    <w:rsid w:val="005222CF"/>
    <w:rsid w:val="005239E5"/>
    <w:rsid w:val="00525F8F"/>
    <w:rsid w:val="00530D70"/>
    <w:rsid w:val="00534D10"/>
    <w:rsid w:val="005361A4"/>
    <w:rsid w:val="005403B6"/>
    <w:rsid w:val="00542740"/>
    <w:rsid w:val="005432A0"/>
    <w:rsid w:val="00545FFD"/>
    <w:rsid w:val="005460D2"/>
    <w:rsid w:val="005505CB"/>
    <w:rsid w:val="005538B1"/>
    <w:rsid w:val="005555FB"/>
    <w:rsid w:val="00555787"/>
    <w:rsid w:val="00556139"/>
    <w:rsid w:val="00556CC7"/>
    <w:rsid w:val="00557792"/>
    <w:rsid w:val="00561F2D"/>
    <w:rsid w:val="005621E0"/>
    <w:rsid w:val="005668B5"/>
    <w:rsid w:val="005706D2"/>
    <w:rsid w:val="00570F36"/>
    <w:rsid w:val="00571454"/>
    <w:rsid w:val="00572554"/>
    <w:rsid w:val="00573C6A"/>
    <w:rsid w:val="00576A70"/>
    <w:rsid w:val="0057796C"/>
    <w:rsid w:val="00577F24"/>
    <w:rsid w:val="00580615"/>
    <w:rsid w:val="00580658"/>
    <w:rsid w:val="005807B3"/>
    <w:rsid w:val="005848A8"/>
    <w:rsid w:val="005852D0"/>
    <w:rsid w:val="005870E9"/>
    <w:rsid w:val="00587822"/>
    <w:rsid w:val="00591746"/>
    <w:rsid w:val="00591802"/>
    <w:rsid w:val="005937C2"/>
    <w:rsid w:val="00594ADB"/>
    <w:rsid w:val="00597465"/>
    <w:rsid w:val="0059796C"/>
    <w:rsid w:val="00597CAF"/>
    <w:rsid w:val="005A0E8C"/>
    <w:rsid w:val="005A1EAE"/>
    <w:rsid w:val="005A2D41"/>
    <w:rsid w:val="005A4818"/>
    <w:rsid w:val="005A6CC1"/>
    <w:rsid w:val="005A7203"/>
    <w:rsid w:val="005A7C9D"/>
    <w:rsid w:val="005B0425"/>
    <w:rsid w:val="005B0506"/>
    <w:rsid w:val="005B2A3C"/>
    <w:rsid w:val="005B2D38"/>
    <w:rsid w:val="005B31E8"/>
    <w:rsid w:val="005B41FE"/>
    <w:rsid w:val="005B4304"/>
    <w:rsid w:val="005B45FB"/>
    <w:rsid w:val="005B503B"/>
    <w:rsid w:val="005B595D"/>
    <w:rsid w:val="005B5BBE"/>
    <w:rsid w:val="005B6089"/>
    <w:rsid w:val="005B60F5"/>
    <w:rsid w:val="005C0EA8"/>
    <w:rsid w:val="005C1017"/>
    <w:rsid w:val="005C43CD"/>
    <w:rsid w:val="005C6797"/>
    <w:rsid w:val="005C7D1D"/>
    <w:rsid w:val="005C7F25"/>
    <w:rsid w:val="005D16C1"/>
    <w:rsid w:val="005D3CB4"/>
    <w:rsid w:val="005D690E"/>
    <w:rsid w:val="005D72BC"/>
    <w:rsid w:val="005D7BFD"/>
    <w:rsid w:val="005E2101"/>
    <w:rsid w:val="005E3189"/>
    <w:rsid w:val="005E3268"/>
    <w:rsid w:val="005E342F"/>
    <w:rsid w:val="005E5305"/>
    <w:rsid w:val="005E7F21"/>
    <w:rsid w:val="005F2A3D"/>
    <w:rsid w:val="005F34DD"/>
    <w:rsid w:val="005F44A5"/>
    <w:rsid w:val="005F48CE"/>
    <w:rsid w:val="005F4B55"/>
    <w:rsid w:val="005F5648"/>
    <w:rsid w:val="005F5D38"/>
    <w:rsid w:val="005F6BF6"/>
    <w:rsid w:val="005F7EAC"/>
    <w:rsid w:val="00603680"/>
    <w:rsid w:val="0060383F"/>
    <w:rsid w:val="00603A66"/>
    <w:rsid w:val="00603F6D"/>
    <w:rsid w:val="006041C6"/>
    <w:rsid w:val="00605B90"/>
    <w:rsid w:val="006065E2"/>
    <w:rsid w:val="0060724B"/>
    <w:rsid w:val="00607E49"/>
    <w:rsid w:val="00610E19"/>
    <w:rsid w:val="00612637"/>
    <w:rsid w:val="0061533F"/>
    <w:rsid w:val="00615873"/>
    <w:rsid w:val="00616B37"/>
    <w:rsid w:val="00617CCD"/>
    <w:rsid w:val="00617EA4"/>
    <w:rsid w:val="00620051"/>
    <w:rsid w:val="00620FCA"/>
    <w:rsid w:val="0062276B"/>
    <w:rsid w:val="006234F6"/>
    <w:rsid w:val="00623DBD"/>
    <w:rsid w:val="0062523F"/>
    <w:rsid w:val="00631ACD"/>
    <w:rsid w:val="0063429F"/>
    <w:rsid w:val="00640061"/>
    <w:rsid w:val="0064171A"/>
    <w:rsid w:val="00641810"/>
    <w:rsid w:val="006423DE"/>
    <w:rsid w:val="00642821"/>
    <w:rsid w:val="006504D8"/>
    <w:rsid w:val="006505FB"/>
    <w:rsid w:val="00650772"/>
    <w:rsid w:val="00650BAF"/>
    <w:rsid w:val="006517E3"/>
    <w:rsid w:val="00651907"/>
    <w:rsid w:val="006546AB"/>
    <w:rsid w:val="006550E2"/>
    <w:rsid w:val="00656F47"/>
    <w:rsid w:val="00670DED"/>
    <w:rsid w:val="006718F2"/>
    <w:rsid w:val="00672330"/>
    <w:rsid w:val="0067255D"/>
    <w:rsid w:val="00672739"/>
    <w:rsid w:val="00672A30"/>
    <w:rsid w:val="00672E8E"/>
    <w:rsid w:val="006756B0"/>
    <w:rsid w:val="00675C3C"/>
    <w:rsid w:val="006775DA"/>
    <w:rsid w:val="00680129"/>
    <w:rsid w:val="0068242C"/>
    <w:rsid w:val="006826D4"/>
    <w:rsid w:val="00683E09"/>
    <w:rsid w:val="0068433F"/>
    <w:rsid w:val="00685731"/>
    <w:rsid w:val="006862E6"/>
    <w:rsid w:val="00690790"/>
    <w:rsid w:val="00690857"/>
    <w:rsid w:val="00691BC6"/>
    <w:rsid w:val="00694A05"/>
    <w:rsid w:val="0069711B"/>
    <w:rsid w:val="006A18FE"/>
    <w:rsid w:val="006A2752"/>
    <w:rsid w:val="006A59D0"/>
    <w:rsid w:val="006A67CA"/>
    <w:rsid w:val="006B05B9"/>
    <w:rsid w:val="006B10D0"/>
    <w:rsid w:val="006B112B"/>
    <w:rsid w:val="006B1C44"/>
    <w:rsid w:val="006B2F11"/>
    <w:rsid w:val="006B38A5"/>
    <w:rsid w:val="006B3ACA"/>
    <w:rsid w:val="006B4220"/>
    <w:rsid w:val="006B5B94"/>
    <w:rsid w:val="006B6654"/>
    <w:rsid w:val="006C208A"/>
    <w:rsid w:val="006C22D3"/>
    <w:rsid w:val="006C32C6"/>
    <w:rsid w:val="006C4339"/>
    <w:rsid w:val="006C5A96"/>
    <w:rsid w:val="006C625D"/>
    <w:rsid w:val="006D0F16"/>
    <w:rsid w:val="006D168B"/>
    <w:rsid w:val="006D19B9"/>
    <w:rsid w:val="006D3AFE"/>
    <w:rsid w:val="006D52DF"/>
    <w:rsid w:val="006D75FA"/>
    <w:rsid w:val="006D7A1C"/>
    <w:rsid w:val="006E04EA"/>
    <w:rsid w:val="006E0C63"/>
    <w:rsid w:val="006E26A5"/>
    <w:rsid w:val="006E291D"/>
    <w:rsid w:val="006E3160"/>
    <w:rsid w:val="006E5511"/>
    <w:rsid w:val="006F0BB8"/>
    <w:rsid w:val="006F0E87"/>
    <w:rsid w:val="006F1230"/>
    <w:rsid w:val="006F12E3"/>
    <w:rsid w:val="006F1FCE"/>
    <w:rsid w:val="006F24E2"/>
    <w:rsid w:val="006F58F1"/>
    <w:rsid w:val="006F697A"/>
    <w:rsid w:val="006F7C5E"/>
    <w:rsid w:val="00700911"/>
    <w:rsid w:val="0070190C"/>
    <w:rsid w:val="00701DDD"/>
    <w:rsid w:val="00703393"/>
    <w:rsid w:val="00704755"/>
    <w:rsid w:val="00705292"/>
    <w:rsid w:val="0070594E"/>
    <w:rsid w:val="0070725E"/>
    <w:rsid w:val="0071050F"/>
    <w:rsid w:val="00712719"/>
    <w:rsid w:val="00715374"/>
    <w:rsid w:val="007166F8"/>
    <w:rsid w:val="00716DC3"/>
    <w:rsid w:val="00717A3E"/>
    <w:rsid w:val="00720100"/>
    <w:rsid w:val="00720ABC"/>
    <w:rsid w:val="0073008D"/>
    <w:rsid w:val="00730248"/>
    <w:rsid w:val="00730E5A"/>
    <w:rsid w:val="007340C0"/>
    <w:rsid w:val="007348D7"/>
    <w:rsid w:val="007363DC"/>
    <w:rsid w:val="007365B4"/>
    <w:rsid w:val="00736D4E"/>
    <w:rsid w:val="00737D28"/>
    <w:rsid w:val="007403A8"/>
    <w:rsid w:val="00740BBD"/>
    <w:rsid w:val="00742379"/>
    <w:rsid w:val="007433D5"/>
    <w:rsid w:val="007444DB"/>
    <w:rsid w:val="00745FCD"/>
    <w:rsid w:val="0074645C"/>
    <w:rsid w:val="00746A74"/>
    <w:rsid w:val="007475D2"/>
    <w:rsid w:val="0075138E"/>
    <w:rsid w:val="0075235B"/>
    <w:rsid w:val="0075237F"/>
    <w:rsid w:val="007526D9"/>
    <w:rsid w:val="0075511A"/>
    <w:rsid w:val="00756321"/>
    <w:rsid w:val="00756DA6"/>
    <w:rsid w:val="00756DA9"/>
    <w:rsid w:val="00756DE6"/>
    <w:rsid w:val="00761FD1"/>
    <w:rsid w:val="00764298"/>
    <w:rsid w:val="007665CC"/>
    <w:rsid w:val="00766612"/>
    <w:rsid w:val="00770B6F"/>
    <w:rsid w:val="00772AA5"/>
    <w:rsid w:val="00776674"/>
    <w:rsid w:val="007807D9"/>
    <w:rsid w:val="007807E4"/>
    <w:rsid w:val="00784582"/>
    <w:rsid w:val="00784593"/>
    <w:rsid w:val="007925D3"/>
    <w:rsid w:val="00792830"/>
    <w:rsid w:val="00793106"/>
    <w:rsid w:val="00793DE0"/>
    <w:rsid w:val="00795CFD"/>
    <w:rsid w:val="00795ED0"/>
    <w:rsid w:val="007A0418"/>
    <w:rsid w:val="007A1415"/>
    <w:rsid w:val="007A1A69"/>
    <w:rsid w:val="007A2CF7"/>
    <w:rsid w:val="007A33A7"/>
    <w:rsid w:val="007A42BF"/>
    <w:rsid w:val="007A46C5"/>
    <w:rsid w:val="007A4BB7"/>
    <w:rsid w:val="007A5A64"/>
    <w:rsid w:val="007A5CA1"/>
    <w:rsid w:val="007A642C"/>
    <w:rsid w:val="007A72E6"/>
    <w:rsid w:val="007B0012"/>
    <w:rsid w:val="007B06A0"/>
    <w:rsid w:val="007B22E8"/>
    <w:rsid w:val="007B2536"/>
    <w:rsid w:val="007B26C9"/>
    <w:rsid w:val="007B65B6"/>
    <w:rsid w:val="007B70D2"/>
    <w:rsid w:val="007B72DC"/>
    <w:rsid w:val="007C1A23"/>
    <w:rsid w:val="007C37AB"/>
    <w:rsid w:val="007C3E7D"/>
    <w:rsid w:val="007C4788"/>
    <w:rsid w:val="007C4BA4"/>
    <w:rsid w:val="007D270D"/>
    <w:rsid w:val="007D3AC2"/>
    <w:rsid w:val="007D53C6"/>
    <w:rsid w:val="007D680B"/>
    <w:rsid w:val="007D6C66"/>
    <w:rsid w:val="007D7779"/>
    <w:rsid w:val="007D7B13"/>
    <w:rsid w:val="007E0646"/>
    <w:rsid w:val="007E3652"/>
    <w:rsid w:val="007E3C94"/>
    <w:rsid w:val="007E4526"/>
    <w:rsid w:val="007E4A19"/>
    <w:rsid w:val="007E5354"/>
    <w:rsid w:val="007E5C2C"/>
    <w:rsid w:val="007E7BB6"/>
    <w:rsid w:val="007F128A"/>
    <w:rsid w:val="007F51D4"/>
    <w:rsid w:val="007F76C5"/>
    <w:rsid w:val="007F7A13"/>
    <w:rsid w:val="0080215B"/>
    <w:rsid w:val="00802846"/>
    <w:rsid w:val="00802A58"/>
    <w:rsid w:val="00803ABC"/>
    <w:rsid w:val="00805520"/>
    <w:rsid w:val="00807811"/>
    <w:rsid w:val="00810208"/>
    <w:rsid w:val="008112BE"/>
    <w:rsid w:val="008114FD"/>
    <w:rsid w:val="00814051"/>
    <w:rsid w:val="00814841"/>
    <w:rsid w:val="00816527"/>
    <w:rsid w:val="00816A45"/>
    <w:rsid w:val="008170FE"/>
    <w:rsid w:val="00820AD6"/>
    <w:rsid w:val="00821193"/>
    <w:rsid w:val="008215FC"/>
    <w:rsid w:val="00821961"/>
    <w:rsid w:val="00822A32"/>
    <w:rsid w:val="00823632"/>
    <w:rsid w:val="00823F48"/>
    <w:rsid w:val="008242C6"/>
    <w:rsid w:val="00824807"/>
    <w:rsid w:val="0082596F"/>
    <w:rsid w:val="00827C51"/>
    <w:rsid w:val="00831520"/>
    <w:rsid w:val="00831900"/>
    <w:rsid w:val="0083246E"/>
    <w:rsid w:val="0083276D"/>
    <w:rsid w:val="00834552"/>
    <w:rsid w:val="00835443"/>
    <w:rsid w:val="008410C6"/>
    <w:rsid w:val="00843545"/>
    <w:rsid w:val="008448AE"/>
    <w:rsid w:val="008460F7"/>
    <w:rsid w:val="0085002B"/>
    <w:rsid w:val="00850B3F"/>
    <w:rsid w:val="00850CAF"/>
    <w:rsid w:val="00851295"/>
    <w:rsid w:val="00852142"/>
    <w:rsid w:val="00852D90"/>
    <w:rsid w:val="008538C4"/>
    <w:rsid w:val="008551B3"/>
    <w:rsid w:val="00855AFB"/>
    <w:rsid w:val="0085655B"/>
    <w:rsid w:val="00857795"/>
    <w:rsid w:val="008579E7"/>
    <w:rsid w:val="00857F27"/>
    <w:rsid w:val="00860FF6"/>
    <w:rsid w:val="00864116"/>
    <w:rsid w:val="00864A44"/>
    <w:rsid w:val="00865366"/>
    <w:rsid w:val="008654FA"/>
    <w:rsid w:val="008660E0"/>
    <w:rsid w:val="008660E9"/>
    <w:rsid w:val="0087215F"/>
    <w:rsid w:val="008779C0"/>
    <w:rsid w:val="00880C39"/>
    <w:rsid w:val="008816C8"/>
    <w:rsid w:val="008847B9"/>
    <w:rsid w:val="008860B0"/>
    <w:rsid w:val="008865D2"/>
    <w:rsid w:val="008872EA"/>
    <w:rsid w:val="00887F1D"/>
    <w:rsid w:val="008904ED"/>
    <w:rsid w:val="0089121C"/>
    <w:rsid w:val="00892243"/>
    <w:rsid w:val="00892C10"/>
    <w:rsid w:val="00892C45"/>
    <w:rsid w:val="00892E52"/>
    <w:rsid w:val="008934E5"/>
    <w:rsid w:val="00893921"/>
    <w:rsid w:val="00893DA4"/>
    <w:rsid w:val="008967A6"/>
    <w:rsid w:val="008969D5"/>
    <w:rsid w:val="008A2ED8"/>
    <w:rsid w:val="008A3337"/>
    <w:rsid w:val="008A34C6"/>
    <w:rsid w:val="008A4204"/>
    <w:rsid w:val="008A4E39"/>
    <w:rsid w:val="008A4FC7"/>
    <w:rsid w:val="008A564F"/>
    <w:rsid w:val="008A59EA"/>
    <w:rsid w:val="008A60AE"/>
    <w:rsid w:val="008A7E6E"/>
    <w:rsid w:val="008B0284"/>
    <w:rsid w:val="008B0369"/>
    <w:rsid w:val="008B0D78"/>
    <w:rsid w:val="008B1000"/>
    <w:rsid w:val="008B17DC"/>
    <w:rsid w:val="008B2CDE"/>
    <w:rsid w:val="008B35AA"/>
    <w:rsid w:val="008B371E"/>
    <w:rsid w:val="008B4B9F"/>
    <w:rsid w:val="008C0EF2"/>
    <w:rsid w:val="008C307D"/>
    <w:rsid w:val="008C48E6"/>
    <w:rsid w:val="008C62C8"/>
    <w:rsid w:val="008C73E0"/>
    <w:rsid w:val="008D07AC"/>
    <w:rsid w:val="008D3549"/>
    <w:rsid w:val="008D4311"/>
    <w:rsid w:val="008D660F"/>
    <w:rsid w:val="008D6FED"/>
    <w:rsid w:val="008E0A30"/>
    <w:rsid w:val="008E0F70"/>
    <w:rsid w:val="008E0F88"/>
    <w:rsid w:val="008E229E"/>
    <w:rsid w:val="008E307E"/>
    <w:rsid w:val="008E3E69"/>
    <w:rsid w:val="008E3F77"/>
    <w:rsid w:val="008E62CB"/>
    <w:rsid w:val="008F0D84"/>
    <w:rsid w:val="008F1BC4"/>
    <w:rsid w:val="008F20C1"/>
    <w:rsid w:val="008F533F"/>
    <w:rsid w:val="008F70A9"/>
    <w:rsid w:val="008F78F3"/>
    <w:rsid w:val="00900144"/>
    <w:rsid w:val="0090033D"/>
    <w:rsid w:val="009006F9"/>
    <w:rsid w:val="0090081A"/>
    <w:rsid w:val="00900B3A"/>
    <w:rsid w:val="00901A4E"/>
    <w:rsid w:val="00901F6E"/>
    <w:rsid w:val="009029DD"/>
    <w:rsid w:val="00903DB2"/>
    <w:rsid w:val="009053DC"/>
    <w:rsid w:val="00910D03"/>
    <w:rsid w:val="00913454"/>
    <w:rsid w:val="0091572F"/>
    <w:rsid w:val="009213FD"/>
    <w:rsid w:val="009216D4"/>
    <w:rsid w:val="00922840"/>
    <w:rsid w:val="009231CF"/>
    <w:rsid w:val="009237E9"/>
    <w:rsid w:val="00926E44"/>
    <w:rsid w:val="00932082"/>
    <w:rsid w:val="009328C4"/>
    <w:rsid w:val="00932902"/>
    <w:rsid w:val="00934431"/>
    <w:rsid w:val="00934E7A"/>
    <w:rsid w:val="0093643B"/>
    <w:rsid w:val="00937E9A"/>
    <w:rsid w:val="009408EE"/>
    <w:rsid w:val="00941747"/>
    <w:rsid w:val="00943E77"/>
    <w:rsid w:val="0094407D"/>
    <w:rsid w:val="00944606"/>
    <w:rsid w:val="00944DD2"/>
    <w:rsid w:val="00950C41"/>
    <w:rsid w:val="00951A77"/>
    <w:rsid w:val="00952205"/>
    <w:rsid w:val="009569EE"/>
    <w:rsid w:val="0095726F"/>
    <w:rsid w:val="0096007C"/>
    <w:rsid w:val="00960D1B"/>
    <w:rsid w:val="00962BC9"/>
    <w:rsid w:val="009641D6"/>
    <w:rsid w:val="009705D9"/>
    <w:rsid w:val="00971725"/>
    <w:rsid w:val="00971E83"/>
    <w:rsid w:val="0097333B"/>
    <w:rsid w:val="00975FF2"/>
    <w:rsid w:val="0098013E"/>
    <w:rsid w:val="0098043E"/>
    <w:rsid w:val="00981E96"/>
    <w:rsid w:val="00982EC3"/>
    <w:rsid w:val="009830DE"/>
    <w:rsid w:val="00986CB0"/>
    <w:rsid w:val="00992DA4"/>
    <w:rsid w:val="00995E8A"/>
    <w:rsid w:val="00996079"/>
    <w:rsid w:val="0099782E"/>
    <w:rsid w:val="009A1BD6"/>
    <w:rsid w:val="009A2214"/>
    <w:rsid w:val="009A2685"/>
    <w:rsid w:val="009A546E"/>
    <w:rsid w:val="009A6640"/>
    <w:rsid w:val="009A7A53"/>
    <w:rsid w:val="009B4EF9"/>
    <w:rsid w:val="009B5038"/>
    <w:rsid w:val="009B6608"/>
    <w:rsid w:val="009B687C"/>
    <w:rsid w:val="009B7289"/>
    <w:rsid w:val="009C062E"/>
    <w:rsid w:val="009C345D"/>
    <w:rsid w:val="009C43C7"/>
    <w:rsid w:val="009C5E06"/>
    <w:rsid w:val="009D179F"/>
    <w:rsid w:val="009D1EAB"/>
    <w:rsid w:val="009D453C"/>
    <w:rsid w:val="009E21C5"/>
    <w:rsid w:val="009E2C0C"/>
    <w:rsid w:val="009E7E6F"/>
    <w:rsid w:val="009F10A4"/>
    <w:rsid w:val="009F4D40"/>
    <w:rsid w:val="009F568C"/>
    <w:rsid w:val="00A008E2"/>
    <w:rsid w:val="00A026B0"/>
    <w:rsid w:val="00A02ABD"/>
    <w:rsid w:val="00A042F9"/>
    <w:rsid w:val="00A067F4"/>
    <w:rsid w:val="00A06CE3"/>
    <w:rsid w:val="00A07DEE"/>
    <w:rsid w:val="00A10E9D"/>
    <w:rsid w:val="00A12F79"/>
    <w:rsid w:val="00A130D6"/>
    <w:rsid w:val="00A150A5"/>
    <w:rsid w:val="00A16035"/>
    <w:rsid w:val="00A17203"/>
    <w:rsid w:val="00A22CCF"/>
    <w:rsid w:val="00A22CE2"/>
    <w:rsid w:val="00A241E6"/>
    <w:rsid w:val="00A317F5"/>
    <w:rsid w:val="00A31D77"/>
    <w:rsid w:val="00A32092"/>
    <w:rsid w:val="00A3225F"/>
    <w:rsid w:val="00A336CE"/>
    <w:rsid w:val="00A337FD"/>
    <w:rsid w:val="00A35C72"/>
    <w:rsid w:val="00A35C8B"/>
    <w:rsid w:val="00A35FA9"/>
    <w:rsid w:val="00A36034"/>
    <w:rsid w:val="00A36614"/>
    <w:rsid w:val="00A37561"/>
    <w:rsid w:val="00A420D8"/>
    <w:rsid w:val="00A4261C"/>
    <w:rsid w:val="00A446CB"/>
    <w:rsid w:val="00A46923"/>
    <w:rsid w:val="00A47091"/>
    <w:rsid w:val="00A55EE9"/>
    <w:rsid w:val="00A56F58"/>
    <w:rsid w:val="00A6099E"/>
    <w:rsid w:val="00A615D6"/>
    <w:rsid w:val="00A6236B"/>
    <w:rsid w:val="00A6300C"/>
    <w:rsid w:val="00A63AD4"/>
    <w:rsid w:val="00A64843"/>
    <w:rsid w:val="00A651AD"/>
    <w:rsid w:val="00A65580"/>
    <w:rsid w:val="00A66297"/>
    <w:rsid w:val="00A731C4"/>
    <w:rsid w:val="00A7355A"/>
    <w:rsid w:val="00A74132"/>
    <w:rsid w:val="00A749C6"/>
    <w:rsid w:val="00A757E9"/>
    <w:rsid w:val="00A8237C"/>
    <w:rsid w:val="00A84C06"/>
    <w:rsid w:val="00A86B79"/>
    <w:rsid w:val="00A9075C"/>
    <w:rsid w:val="00A928B1"/>
    <w:rsid w:val="00A94C97"/>
    <w:rsid w:val="00A955B2"/>
    <w:rsid w:val="00A97264"/>
    <w:rsid w:val="00A97E68"/>
    <w:rsid w:val="00AA2223"/>
    <w:rsid w:val="00AA31CA"/>
    <w:rsid w:val="00AA3C41"/>
    <w:rsid w:val="00AA411C"/>
    <w:rsid w:val="00AA6A13"/>
    <w:rsid w:val="00AA6F8E"/>
    <w:rsid w:val="00AB0056"/>
    <w:rsid w:val="00AB0588"/>
    <w:rsid w:val="00AB060E"/>
    <w:rsid w:val="00AB1532"/>
    <w:rsid w:val="00AB2412"/>
    <w:rsid w:val="00AB2A78"/>
    <w:rsid w:val="00AB3227"/>
    <w:rsid w:val="00AB3E29"/>
    <w:rsid w:val="00AB5160"/>
    <w:rsid w:val="00AB6938"/>
    <w:rsid w:val="00AB7277"/>
    <w:rsid w:val="00AB7982"/>
    <w:rsid w:val="00AC03E5"/>
    <w:rsid w:val="00AC188F"/>
    <w:rsid w:val="00AD0EF4"/>
    <w:rsid w:val="00AD2FC2"/>
    <w:rsid w:val="00AD37BB"/>
    <w:rsid w:val="00AD3CEA"/>
    <w:rsid w:val="00AD3E33"/>
    <w:rsid w:val="00AD529A"/>
    <w:rsid w:val="00AD5B39"/>
    <w:rsid w:val="00AE0273"/>
    <w:rsid w:val="00AE0805"/>
    <w:rsid w:val="00AE1C56"/>
    <w:rsid w:val="00AE234C"/>
    <w:rsid w:val="00AE319C"/>
    <w:rsid w:val="00AE5598"/>
    <w:rsid w:val="00AE58D0"/>
    <w:rsid w:val="00AE5CB4"/>
    <w:rsid w:val="00AE7355"/>
    <w:rsid w:val="00AE7903"/>
    <w:rsid w:val="00AF1B23"/>
    <w:rsid w:val="00AF2D3F"/>
    <w:rsid w:val="00AF2FCC"/>
    <w:rsid w:val="00AF3BB5"/>
    <w:rsid w:val="00AF41B9"/>
    <w:rsid w:val="00AF5296"/>
    <w:rsid w:val="00AF5A26"/>
    <w:rsid w:val="00AF5F0D"/>
    <w:rsid w:val="00AF79B8"/>
    <w:rsid w:val="00B00A11"/>
    <w:rsid w:val="00B02B53"/>
    <w:rsid w:val="00B0467B"/>
    <w:rsid w:val="00B05FE9"/>
    <w:rsid w:val="00B07D67"/>
    <w:rsid w:val="00B07D81"/>
    <w:rsid w:val="00B10205"/>
    <w:rsid w:val="00B102C1"/>
    <w:rsid w:val="00B136FD"/>
    <w:rsid w:val="00B13EE5"/>
    <w:rsid w:val="00B141AD"/>
    <w:rsid w:val="00B15185"/>
    <w:rsid w:val="00B20201"/>
    <w:rsid w:val="00B21B65"/>
    <w:rsid w:val="00B22439"/>
    <w:rsid w:val="00B2283D"/>
    <w:rsid w:val="00B231FA"/>
    <w:rsid w:val="00B2461B"/>
    <w:rsid w:val="00B2508B"/>
    <w:rsid w:val="00B269E2"/>
    <w:rsid w:val="00B27302"/>
    <w:rsid w:val="00B34A9A"/>
    <w:rsid w:val="00B35F46"/>
    <w:rsid w:val="00B365D9"/>
    <w:rsid w:val="00B37DB2"/>
    <w:rsid w:val="00B415FA"/>
    <w:rsid w:val="00B41E86"/>
    <w:rsid w:val="00B4505C"/>
    <w:rsid w:val="00B50822"/>
    <w:rsid w:val="00B52F15"/>
    <w:rsid w:val="00B53691"/>
    <w:rsid w:val="00B55CAD"/>
    <w:rsid w:val="00B564D2"/>
    <w:rsid w:val="00B564E3"/>
    <w:rsid w:val="00B568C5"/>
    <w:rsid w:val="00B569FE"/>
    <w:rsid w:val="00B632C2"/>
    <w:rsid w:val="00B63C8D"/>
    <w:rsid w:val="00B64A8C"/>
    <w:rsid w:val="00B70A41"/>
    <w:rsid w:val="00B73FE9"/>
    <w:rsid w:val="00B74F48"/>
    <w:rsid w:val="00B77226"/>
    <w:rsid w:val="00B77704"/>
    <w:rsid w:val="00B80B74"/>
    <w:rsid w:val="00B862FF"/>
    <w:rsid w:val="00B90877"/>
    <w:rsid w:val="00B91872"/>
    <w:rsid w:val="00B92F9C"/>
    <w:rsid w:val="00B97862"/>
    <w:rsid w:val="00BA0086"/>
    <w:rsid w:val="00BA1FFB"/>
    <w:rsid w:val="00BA21EC"/>
    <w:rsid w:val="00BA2E54"/>
    <w:rsid w:val="00BA446D"/>
    <w:rsid w:val="00BA7138"/>
    <w:rsid w:val="00BA7827"/>
    <w:rsid w:val="00BA7D6C"/>
    <w:rsid w:val="00BA7E31"/>
    <w:rsid w:val="00BB08BF"/>
    <w:rsid w:val="00BB1B09"/>
    <w:rsid w:val="00BB1CC7"/>
    <w:rsid w:val="00BB2BE7"/>
    <w:rsid w:val="00BB2DD5"/>
    <w:rsid w:val="00BB4101"/>
    <w:rsid w:val="00BB4D95"/>
    <w:rsid w:val="00BB5698"/>
    <w:rsid w:val="00BB6B2E"/>
    <w:rsid w:val="00BC15ED"/>
    <w:rsid w:val="00BC3D6E"/>
    <w:rsid w:val="00BC4E9D"/>
    <w:rsid w:val="00BC5D80"/>
    <w:rsid w:val="00BC6A85"/>
    <w:rsid w:val="00BC78B0"/>
    <w:rsid w:val="00BD0F1C"/>
    <w:rsid w:val="00BD3090"/>
    <w:rsid w:val="00BD30D5"/>
    <w:rsid w:val="00BD4295"/>
    <w:rsid w:val="00BD439F"/>
    <w:rsid w:val="00BD480E"/>
    <w:rsid w:val="00BD4A9A"/>
    <w:rsid w:val="00BD638B"/>
    <w:rsid w:val="00BD779E"/>
    <w:rsid w:val="00BE0CBC"/>
    <w:rsid w:val="00BE1A99"/>
    <w:rsid w:val="00BE1B84"/>
    <w:rsid w:val="00BE5169"/>
    <w:rsid w:val="00BE58EA"/>
    <w:rsid w:val="00BE59B7"/>
    <w:rsid w:val="00BE5B63"/>
    <w:rsid w:val="00BE689D"/>
    <w:rsid w:val="00BE7A92"/>
    <w:rsid w:val="00BE7B9B"/>
    <w:rsid w:val="00BF09EB"/>
    <w:rsid w:val="00BF2DBC"/>
    <w:rsid w:val="00BF4780"/>
    <w:rsid w:val="00C003F9"/>
    <w:rsid w:val="00C00B3E"/>
    <w:rsid w:val="00C00B8A"/>
    <w:rsid w:val="00C04248"/>
    <w:rsid w:val="00C044D7"/>
    <w:rsid w:val="00C05EB4"/>
    <w:rsid w:val="00C05FF8"/>
    <w:rsid w:val="00C06F39"/>
    <w:rsid w:val="00C0770C"/>
    <w:rsid w:val="00C11798"/>
    <w:rsid w:val="00C13695"/>
    <w:rsid w:val="00C13C1F"/>
    <w:rsid w:val="00C13FD0"/>
    <w:rsid w:val="00C14591"/>
    <w:rsid w:val="00C15425"/>
    <w:rsid w:val="00C168D6"/>
    <w:rsid w:val="00C16E09"/>
    <w:rsid w:val="00C16F42"/>
    <w:rsid w:val="00C20824"/>
    <w:rsid w:val="00C22916"/>
    <w:rsid w:val="00C233A6"/>
    <w:rsid w:val="00C247C4"/>
    <w:rsid w:val="00C26314"/>
    <w:rsid w:val="00C27542"/>
    <w:rsid w:val="00C30E7B"/>
    <w:rsid w:val="00C32BCD"/>
    <w:rsid w:val="00C35C1E"/>
    <w:rsid w:val="00C360DF"/>
    <w:rsid w:val="00C377AD"/>
    <w:rsid w:val="00C402CB"/>
    <w:rsid w:val="00C4155E"/>
    <w:rsid w:val="00C4218C"/>
    <w:rsid w:val="00C446CC"/>
    <w:rsid w:val="00C448C5"/>
    <w:rsid w:val="00C448E4"/>
    <w:rsid w:val="00C50CB3"/>
    <w:rsid w:val="00C51060"/>
    <w:rsid w:val="00C5190A"/>
    <w:rsid w:val="00C52A9F"/>
    <w:rsid w:val="00C53322"/>
    <w:rsid w:val="00C5505A"/>
    <w:rsid w:val="00C56814"/>
    <w:rsid w:val="00C56A58"/>
    <w:rsid w:val="00C56CCD"/>
    <w:rsid w:val="00C57BC3"/>
    <w:rsid w:val="00C63F78"/>
    <w:rsid w:val="00C64F1A"/>
    <w:rsid w:val="00C65911"/>
    <w:rsid w:val="00C71268"/>
    <w:rsid w:val="00C71B62"/>
    <w:rsid w:val="00C7353B"/>
    <w:rsid w:val="00C77907"/>
    <w:rsid w:val="00C8158C"/>
    <w:rsid w:val="00C8315A"/>
    <w:rsid w:val="00C83326"/>
    <w:rsid w:val="00C86C58"/>
    <w:rsid w:val="00C8747C"/>
    <w:rsid w:val="00C87A03"/>
    <w:rsid w:val="00C87F0C"/>
    <w:rsid w:val="00C90040"/>
    <w:rsid w:val="00C91FB8"/>
    <w:rsid w:val="00C94029"/>
    <w:rsid w:val="00C9409B"/>
    <w:rsid w:val="00C94BD6"/>
    <w:rsid w:val="00C953DE"/>
    <w:rsid w:val="00C95904"/>
    <w:rsid w:val="00C97C67"/>
    <w:rsid w:val="00CA1652"/>
    <w:rsid w:val="00CA3D08"/>
    <w:rsid w:val="00CA3DAC"/>
    <w:rsid w:val="00CA4B95"/>
    <w:rsid w:val="00CA727A"/>
    <w:rsid w:val="00CB1315"/>
    <w:rsid w:val="00CB153C"/>
    <w:rsid w:val="00CB161D"/>
    <w:rsid w:val="00CB1991"/>
    <w:rsid w:val="00CB1ED3"/>
    <w:rsid w:val="00CB3B7E"/>
    <w:rsid w:val="00CB4C5D"/>
    <w:rsid w:val="00CB5338"/>
    <w:rsid w:val="00CB61F3"/>
    <w:rsid w:val="00CB6355"/>
    <w:rsid w:val="00CB6D74"/>
    <w:rsid w:val="00CB7F8D"/>
    <w:rsid w:val="00CC0ED9"/>
    <w:rsid w:val="00CC1CC7"/>
    <w:rsid w:val="00CC1E50"/>
    <w:rsid w:val="00CC29D7"/>
    <w:rsid w:val="00CC2CA1"/>
    <w:rsid w:val="00CC3FBA"/>
    <w:rsid w:val="00CC5444"/>
    <w:rsid w:val="00CC5D52"/>
    <w:rsid w:val="00CC5D57"/>
    <w:rsid w:val="00CC6595"/>
    <w:rsid w:val="00CC7425"/>
    <w:rsid w:val="00CD1E2A"/>
    <w:rsid w:val="00CD2DD8"/>
    <w:rsid w:val="00CD57B8"/>
    <w:rsid w:val="00CD63A8"/>
    <w:rsid w:val="00CD6776"/>
    <w:rsid w:val="00CD6937"/>
    <w:rsid w:val="00CD69E4"/>
    <w:rsid w:val="00CE0416"/>
    <w:rsid w:val="00CE11BE"/>
    <w:rsid w:val="00CE1D17"/>
    <w:rsid w:val="00CE2BAC"/>
    <w:rsid w:val="00CE478D"/>
    <w:rsid w:val="00CE4F47"/>
    <w:rsid w:val="00CE56E8"/>
    <w:rsid w:val="00CE5A1D"/>
    <w:rsid w:val="00CF0982"/>
    <w:rsid w:val="00CF2AB8"/>
    <w:rsid w:val="00CF3FD7"/>
    <w:rsid w:val="00CF43F9"/>
    <w:rsid w:val="00CF4A14"/>
    <w:rsid w:val="00CF5101"/>
    <w:rsid w:val="00CF7603"/>
    <w:rsid w:val="00CF7BD3"/>
    <w:rsid w:val="00D01096"/>
    <w:rsid w:val="00D0455A"/>
    <w:rsid w:val="00D0503E"/>
    <w:rsid w:val="00D06F29"/>
    <w:rsid w:val="00D0737B"/>
    <w:rsid w:val="00D12702"/>
    <w:rsid w:val="00D139B4"/>
    <w:rsid w:val="00D13F3B"/>
    <w:rsid w:val="00D14A5E"/>
    <w:rsid w:val="00D16797"/>
    <w:rsid w:val="00D17178"/>
    <w:rsid w:val="00D17776"/>
    <w:rsid w:val="00D20321"/>
    <w:rsid w:val="00D20DDD"/>
    <w:rsid w:val="00D20E68"/>
    <w:rsid w:val="00D21629"/>
    <w:rsid w:val="00D22E71"/>
    <w:rsid w:val="00D23F72"/>
    <w:rsid w:val="00D24B3E"/>
    <w:rsid w:val="00D2533E"/>
    <w:rsid w:val="00D259CB"/>
    <w:rsid w:val="00D25D26"/>
    <w:rsid w:val="00D30EC6"/>
    <w:rsid w:val="00D3401C"/>
    <w:rsid w:val="00D3604E"/>
    <w:rsid w:val="00D40662"/>
    <w:rsid w:val="00D41506"/>
    <w:rsid w:val="00D4154E"/>
    <w:rsid w:val="00D42CFF"/>
    <w:rsid w:val="00D43482"/>
    <w:rsid w:val="00D472CB"/>
    <w:rsid w:val="00D52D35"/>
    <w:rsid w:val="00D5537D"/>
    <w:rsid w:val="00D577B1"/>
    <w:rsid w:val="00D62261"/>
    <w:rsid w:val="00D631A6"/>
    <w:rsid w:val="00D661EC"/>
    <w:rsid w:val="00D6703A"/>
    <w:rsid w:val="00D6730F"/>
    <w:rsid w:val="00D67637"/>
    <w:rsid w:val="00D72188"/>
    <w:rsid w:val="00D7560C"/>
    <w:rsid w:val="00D7567D"/>
    <w:rsid w:val="00D758A9"/>
    <w:rsid w:val="00D765E9"/>
    <w:rsid w:val="00D77490"/>
    <w:rsid w:val="00D802C6"/>
    <w:rsid w:val="00D82020"/>
    <w:rsid w:val="00D824AB"/>
    <w:rsid w:val="00D83309"/>
    <w:rsid w:val="00D850F0"/>
    <w:rsid w:val="00D86090"/>
    <w:rsid w:val="00D86CD9"/>
    <w:rsid w:val="00D8731F"/>
    <w:rsid w:val="00D87989"/>
    <w:rsid w:val="00D92879"/>
    <w:rsid w:val="00D93644"/>
    <w:rsid w:val="00D942A8"/>
    <w:rsid w:val="00D95BBA"/>
    <w:rsid w:val="00DA0C8C"/>
    <w:rsid w:val="00DA30AA"/>
    <w:rsid w:val="00DA4DAC"/>
    <w:rsid w:val="00DA5841"/>
    <w:rsid w:val="00DA5EB2"/>
    <w:rsid w:val="00DA763F"/>
    <w:rsid w:val="00DB0981"/>
    <w:rsid w:val="00DB260F"/>
    <w:rsid w:val="00DB2762"/>
    <w:rsid w:val="00DB2794"/>
    <w:rsid w:val="00DB31B5"/>
    <w:rsid w:val="00DB4B7D"/>
    <w:rsid w:val="00DB4E69"/>
    <w:rsid w:val="00DB64D5"/>
    <w:rsid w:val="00DC10D3"/>
    <w:rsid w:val="00DC1587"/>
    <w:rsid w:val="00DC182A"/>
    <w:rsid w:val="00DC22FD"/>
    <w:rsid w:val="00DC25F7"/>
    <w:rsid w:val="00DC327D"/>
    <w:rsid w:val="00DC3419"/>
    <w:rsid w:val="00DC351D"/>
    <w:rsid w:val="00DC43C1"/>
    <w:rsid w:val="00DC57C1"/>
    <w:rsid w:val="00DC65CC"/>
    <w:rsid w:val="00DC7A1A"/>
    <w:rsid w:val="00DD0A13"/>
    <w:rsid w:val="00DD1706"/>
    <w:rsid w:val="00DD1C2E"/>
    <w:rsid w:val="00DD7942"/>
    <w:rsid w:val="00DE14EA"/>
    <w:rsid w:val="00DE2C62"/>
    <w:rsid w:val="00DE4082"/>
    <w:rsid w:val="00DE7204"/>
    <w:rsid w:val="00DF06D8"/>
    <w:rsid w:val="00DF2E2F"/>
    <w:rsid w:val="00DF446B"/>
    <w:rsid w:val="00E020BE"/>
    <w:rsid w:val="00E02A7D"/>
    <w:rsid w:val="00E0429C"/>
    <w:rsid w:val="00E047BA"/>
    <w:rsid w:val="00E10BD0"/>
    <w:rsid w:val="00E10EF9"/>
    <w:rsid w:val="00E11A0C"/>
    <w:rsid w:val="00E137ED"/>
    <w:rsid w:val="00E158D1"/>
    <w:rsid w:val="00E15A2B"/>
    <w:rsid w:val="00E16CB2"/>
    <w:rsid w:val="00E17E68"/>
    <w:rsid w:val="00E22170"/>
    <w:rsid w:val="00E22A2E"/>
    <w:rsid w:val="00E241E1"/>
    <w:rsid w:val="00E24A36"/>
    <w:rsid w:val="00E25E7D"/>
    <w:rsid w:val="00E27A4C"/>
    <w:rsid w:val="00E36F66"/>
    <w:rsid w:val="00E401E1"/>
    <w:rsid w:val="00E409F3"/>
    <w:rsid w:val="00E4156D"/>
    <w:rsid w:val="00E43703"/>
    <w:rsid w:val="00E4595F"/>
    <w:rsid w:val="00E463BE"/>
    <w:rsid w:val="00E46D69"/>
    <w:rsid w:val="00E475A3"/>
    <w:rsid w:val="00E50C82"/>
    <w:rsid w:val="00E514D4"/>
    <w:rsid w:val="00E517DF"/>
    <w:rsid w:val="00E51D70"/>
    <w:rsid w:val="00E534EF"/>
    <w:rsid w:val="00E53AA0"/>
    <w:rsid w:val="00E548EA"/>
    <w:rsid w:val="00E56786"/>
    <w:rsid w:val="00E57259"/>
    <w:rsid w:val="00E61F40"/>
    <w:rsid w:val="00E621DE"/>
    <w:rsid w:val="00E6318F"/>
    <w:rsid w:val="00E633EF"/>
    <w:rsid w:val="00E651D1"/>
    <w:rsid w:val="00E654A6"/>
    <w:rsid w:val="00E66E24"/>
    <w:rsid w:val="00E67969"/>
    <w:rsid w:val="00E7010F"/>
    <w:rsid w:val="00E70798"/>
    <w:rsid w:val="00E70CDB"/>
    <w:rsid w:val="00E71082"/>
    <w:rsid w:val="00E73376"/>
    <w:rsid w:val="00E7396F"/>
    <w:rsid w:val="00E748EF"/>
    <w:rsid w:val="00E7499F"/>
    <w:rsid w:val="00E809BB"/>
    <w:rsid w:val="00E81127"/>
    <w:rsid w:val="00E859CD"/>
    <w:rsid w:val="00E86DA7"/>
    <w:rsid w:val="00E875CB"/>
    <w:rsid w:val="00E90786"/>
    <w:rsid w:val="00E937EC"/>
    <w:rsid w:val="00E93B11"/>
    <w:rsid w:val="00E954FC"/>
    <w:rsid w:val="00E96DEB"/>
    <w:rsid w:val="00E97CF6"/>
    <w:rsid w:val="00EA2A9E"/>
    <w:rsid w:val="00EA2E5A"/>
    <w:rsid w:val="00EA30F9"/>
    <w:rsid w:val="00EA4350"/>
    <w:rsid w:val="00EA6614"/>
    <w:rsid w:val="00EA696A"/>
    <w:rsid w:val="00EA78B8"/>
    <w:rsid w:val="00EB137E"/>
    <w:rsid w:val="00EB2297"/>
    <w:rsid w:val="00EB293E"/>
    <w:rsid w:val="00EB2E98"/>
    <w:rsid w:val="00EB3657"/>
    <w:rsid w:val="00EB37E2"/>
    <w:rsid w:val="00EB4345"/>
    <w:rsid w:val="00EB58ED"/>
    <w:rsid w:val="00EC1358"/>
    <w:rsid w:val="00EC150A"/>
    <w:rsid w:val="00EC1FB3"/>
    <w:rsid w:val="00EC1FD0"/>
    <w:rsid w:val="00ED0CB9"/>
    <w:rsid w:val="00ED3928"/>
    <w:rsid w:val="00EE1EC4"/>
    <w:rsid w:val="00EE2ACD"/>
    <w:rsid w:val="00EE3257"/>
    <w:rsid w:val="00EE3B1B"/>
    <w:rsid w:val="00EE4DA8"/>
    <w:rsid w:val="00EE6D05"/>
    <w:rsid w:val="00EE7235"/>
    <w:rsid w:val="00EF1814"/>
    <w:rsid w:val="00EF1BFC"/>
    <w:rsid w:val="00EF2D3E"/>
    <w:rsid w:val="00EF3B11"/>
    <w:rsid w:val="00EF3E79"/>
    <w:rsid w:val="00EF4ADB"/>
    <w:rsid w:val="00EF63F0"/>
    <w:rsid w:val="00EF649D"/>
    <w:rsid w:val="00EF6E25"/>
    <w:rsid w:val="00EF77C7"/>
    <w:rsid w:val="00F00B9E"/>
    <w:rsid w:val="00F06396"/>
    <w:rsid w:val="00F15886"/>
    <w:rsid w:val="00F17AE2"/>
    <w:rsid w:val="00F20AAB"/>
    <w:rsid w:val="00F21552"/>
    <w:rsid w:val="00F216A7"/>
    <w:rsid w:val="00F216B6"/>
    <w:rsid w:val="00F220CB"/>
    <w:rsid w:val="00F22B49"/>
    <w:rsid w:val="00F23545"/>
    <w:rsid w:val="00F23A8A"/>
    <w:rsid w:val="00F24B60"/>
    <w:rsid w:val="00F2534B"/>
    <w:rsid w:val="00F25A04"/>
    <w:rsid w:val="00F2632A"/>
    <w:rsid w:val="00F31428"/>
    <w:rsid w:val="00F334F2"/>
    <w:rsid w:val="00F3405C"/>
    <w:rsid w:val="00F34423"/>
    <w:rsid w:val="00F356E8"/>
    <w:rsid w:val="00F406A6"/>
    <w:rsid w:val="00F41128"/>
    <w:rsid w:val="00F42272"/>
    <w:rsid w:val="00F4290D"/>
    <w:rsid w:val="00F4303B"/>
    <w:rsid w:val="00F43217"/>
    <w:rsid w:val="00F43E89"/>
    <w:rsid w:val="00F44D9E"/>
    <w:rsid w:val="00F52BDA"/>
    <w:rsid w:val="00F56272"/>
    <w:rsid w:val="00F5678F"/>
    <w:rsid w:val="00F577D5"/>
    <w:rsid w:val="00F60B39"/>
    <w:rsid w:val="00F60E79"/>
    <w:rsid w:val="00F63870"/>
    <w:rsid w:val="00F66829"/>
    <w:rsid w:val="00F67518"/>
    <w:rsid w:val="00F71562"/>
    <w:rsid w:val="00F71C80"/>
    <w:rsid w:val="00F72BE7"/>
    <w:rsid w:val="00F7366B"/>
    <w:rsid w:val="00F752C3"/>
    <w:rsid w:val="00F761B8"/>
    <w:rsid w:val="00F779B8"/>
    <w:rsid w:val="00F80182"/>
    <w:rsid w:val="00F878E8"/>
    <w:rsid w:val="00F917C2"/>
    <w:rsid w:val="00F92D04"/>
    <w:rsid w:val="00F93DF7"/>
    <w:rsid w:val="00F946F6"/>
    <w:rsid w:val="00F94E0D"/>
    <w:rsid w:val="00F9513E"/>
    <w:rsid w:val="00F96268"/>
    <w:rsid w:val="00F963EE"/>
    <w:rsid w:val="00F97078"/>
    <w:rsid w:val="00F97B0A"/>
    <w:rsid w:val="00FA4D16"/>
    <w:rsid w:val="00FA5E9E"/>
    <w:rsid w:val="00FB0526"/>
    <w:rsid w:val="00FB1B27"/>
    <w:rsid w:val="00FB2810"/>
    <w:rsid w:val="00FB4642"/>
    <w:rsid w:val="00FB51F7"/>
    <w:rsid w:val="00FB5E45"/>
    <w:rsid w:val="00FB6ED4"/>
    <w:rsid w:val="00FB760E"/>
    <w:rsid w:val="00FC131B"/>
    <w:rsid w:val="00FC17A7"/>
    <w:rsid w:val="00FC1D1A"/>
    <w:rsid w:val="00FC3B6F"/>
    <w:rsid w:val="00FC6D17"/>
    <w:rsid w:val="00FC76CB"/>
    <w:rsid w:val="00FD131B"/>
    <w:rsid w:val="00FD2419"/>
    <w:rsid w:val="00FD3DC0"/>
    <w:rsid w:val="00FD4377"/>
    <w:rsid w:val="00FD5B68"/>
    <w:rsid w:val="00FD719B"/>
    <w:rsid w:val="00FD7808"/>
    <w:rsid w:val="00FE5D22"/>
    <w:rsid w:val="00FE6721"/>
    <w:rsid w:val="00FE67B1"/>
    <w:rsid w:val="00FE7D5F"/>
    <w:rsid w:val="00FF029A"/>
    <w:rsid w:val="00FF0E7E"/>
    <w:rsid w:val="00FF136A"/>
    <w:rsid w:val="00FF1425"/>
    <w:rsid w:val="00FF5049"/>
    <w:rsid w:val="29E8D45D"/>
    <w:rsid w:val="4441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AC4A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3099"/>
    <w:rPr>
      <w:color w:val="0000FF"/>
      <w:shd w:val="clear" w:color="auto" w:fill="auto"/>
    </w:rPr>
  </w:style>
  <w:style w:type="paragraph" w:styleId="Header">
    <w:name w:val="header"/>
    <w:basedOn w:val="Normal"/>
    <w:link w:val="HeaderChar"/>
    <w:uiPriority w:val="99"/>
    <w:unhideWhenUsed/>
    <w:rsid w:val="00263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99"/>
  </w:style>
  <w:style w:type="paragraph" w:styleId="Footer">
    <w:name w:val="footer"/>
    <w:basedOn w:val="Normal"/>
    <w:link w:val="FooterChar"/>
    <w:uiPriority w:val="99"/>
    <w:unhideWhenUsed/>
    <w:rsid w:val="0026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99"/>
  </w:style>
  <w:style w:type="paragraph" w:customStyle="1" w:styleId="Pagedecouverture">
    <w:name w:val="Page de couverture"/>
    <w:basedOn w:val="Normal"/>
    <w:next w:val="Normal"/>
    <w:rsid w:val="002630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6309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3099"/>
    <w:rPr>
      <w:rFonts w:ascii="Times New Roman" w:hAnsi="Times New Roman" w:cs="Times New Roman"/>
      <w:sz w:val="24"/>
    </w:rPr>
  </w:style>
  <w:style w:type="paragraph" w:customStyle="1" w:styleId="FooterSensitivity">
    <w:name w:val="Footer Sensitivity"/>
    <w:basedOn w:val="Normal"/>
    <w:link w:val="FooterSensitivityChar"/>
    <w:rsid w:val="002630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3099"/>
    <w:rPr>
      <w:rFonts w:ascii="Times New Roman" w:hAnsi="Times New Roman" w:cs="Times New Roman"/>
      <w:b/>
      <w:sz w:val="32"/>
    </w:rPr>
  </w:style>
  <w:style w:type="paragraph" w:customStyle="1" w:styleId="HeaderCoverPage">
    <w:name w:val="Header Cover Page"/>
    <w:basedOn w:val="Normal"/>
    <w:link w:val="HeaderCoverPageChar"/>
    <w:rsid w:val="0026309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3099"/>
    <w:rPr>
      <w:rFonts w:ascii="Times New Roman" w:hAnsi="Times New Roman" w:cs="Times New Roman"/>
      <w:sz w:val="24"/>
    </w:rPr>
  </w:style>
  <w:style w:type="paragraph" w:customStyle="1" w:styleId="HeaderSensitivity">
    <w:name w:val="Header Sensitivity"/>
    <w:basedOn w:val="Normal"/>
    <w:link w:val="HeaderSensitivityChar"/>
    <w:rsid w:val="002630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3099"/>
    <w:rPr>
      <w:rFonts w:ascii="Times New Roman" w:hAnsi="Times New Roman" w:cs="Times New Roman"/>
      <w:b/>
      <w:sz w:val="32"/>
    </w:rPr>
  </w:style>
  <w:style w:type="paragraph" w:customStyle="1" w:styleId="HeaderSensitivityRight">
    <w:name w:val="Header Sensitivity Right"/>
    <w:basedOn w:val="Normal"/>
    <w:link w:val="HeaderSensitivityRightChar"/>
    <w:rsid w:val="00B07D8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3099"/>
    <w:rPr>
      <w:rFonts w:ascii="Times New Roman" w:hAnsi="Times New Roman" w:cs="Times New Roman"/>
      <w:sz w:val="28"/>
    </w:rPr>
  </w:style>
  <w:style w:type="paragraph" w:customStyle="1" w:styleId="GSAList1">
    <w:name w:val="GSA List1"/>
    <w:basedOn w:val="Normal"/>
    <w:next w:val="ListParagraph"/>
    <w:link w:val="ListParagraphChar"/>
    <w:uiPriority w:val="34"/>
    <w:qFormat/>
    <w:rsid w:val="00263099"/>
    <w:pPr>
      <w:spacing w:after="200" w:line="276" w:lineRule="auto"/>
      <w:ind w:left="720"/>
      <w:contextualSpacing/>
    </w:pPr>
  </w:style>
  <w:style w:type="table" w:customStyle="1" w:styleId="TableGrid1">
    <w:name w:val="Table Grid1"/>
    <w:basedOn w:val="TableNormal"/>
    <w:next w:val="TableGrid"/>
    <w:uiPriority w:val="59"/>
    <w:rsid w:val="0026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26309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otnoteText1">
    <w:name w:val="Footnote Text1"/>
    <w:basedOn w:val="Normal"/>
    <w:next w:val="FootnoteText"/>
    <w:link w:val="FootnoteTextChar"/>
    <w:uiPriority w:val="99"/>
    <w:unhideWhenUsed/>
    <w:qFormat/>
    <w:rsid w:val="00263099"/>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rsid w:val="00263099"/>
    <w:rPr>
      <w:rFonts w:ascii="Calibri" w:eastAsia="Calibri" w:hAnsi="Calibri" w:cs="Times New Roman"/>
      <w:lang w:eastAsia="en-US"/>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 BVI fnr"/>
    <w:basedOn w:val="DefaultParagraphFont"/>
    <w:link w:val="BVIfnrChar"/>
    <w:uiPriority w:val="99"/>
    <w:unhideWhenUsed/>
    <w:qFormat/>
    <w:rsid w:val="00263099"/>
    <w:rPr>
      <w:vertAlign w:val="superscript"/>
    </w:rPr>
  </w:style>
  <w:style w:type="character" w:customStyle="1" w:styleId="Hyperlink1">
    <w:name w:val="Hyperlink1"/>
    <w:basedOn w:val="DefaultParagraphFont"/>
    <w:uiPriority w:val="99"/>
    <w:unhideWhenUsed/>
    <w:rsid w:val="00263099"/>
    <w:rPr>
      <w:color w:val="0000FF"/>
      <w:u w:val="single"/>
    </w:rPr>
  </w:style>
  <w:style w:type="character" w:styleId="CommentReference">
    <w:name w:val="annotation reference"/>
    <w:basedOn w:val="DefaultParagraphFont"/>
    <w:uiPriority w:val="99"/>
    <w:semiHidden/>
    <w:unhideWhenUsed/>
    <w:rsid w:val="00263099"/>
    <w:rPr>
      <w:sz w:val="16"/>
      <w:szCs w:val="16"/>
    </w:rPr>
  </w:style>
  <w:style w:type="paragraph" w:customStyle="1" w:styleId="CommentText1">
    <w:name w:val="Comment Text1"/>
    <w:basedOn w:val="Normal"/>
    <w:next w:val="CommentText"/>
    <w:link w:val="CommentTextChar"/>
    <w:unhideWhenUsed/>
    <w:rsid w:val="00263099"/>
    <w:pPr>
      <w:spacing w:after="200" w:line="240" w:lineRule="auto"/>
    </w:pPr>
    <w:rPr>
      <w:rFonts w:ascii="Calibri" w:eastAsia="Calibri" w:hAnsi="Calibri" w:cs="Times New Roman"/>
    </w:rPr>
  </w:style>
  <w:style w:type="character" w:customStyle="1" w:styleId="CommentTextChar">
    <w:name w:val="Comment Text Char"/>
    <w:basedOn w:val="DefaultParagraphFont"/>
    <w:link w:val="CommentText1"/>
    <w:rsid w:val="00263099"/>
    <w:rPr>
      <w:rFonts w:ascii="Calibri" w:eastAsia="Calibri" w:hAnsi="Calibri" w:cs="Times New Roman"/>
      <w:lang w:eastAsia="en-US"/>
    </w:rPr>
  </w:style>
  <w:style w:type="paragraph" w:styleId="CommentText">
    <w:name w:val="annotation text"/>
    <w:basedOn w:val="Normal"/>
    <w:link w:val="CommentTextChar1"/>
    <w:uiPriority w:val="99"/>
    <w:unhideWhenUsed/>
    <w:rsid w:val="00263099"/>
    <w:pPr>
      <w:spacing w:line="240" w:lineRule="auto"/>
    </w:pPr>
    <w:rPr>
      <w:sz w:val="20"/>
      <w:szCs w:val="20"/>
    </w:rPr>
  </w:style>
  <w:style w:type="character" w:customStyle="1" w:styleId="CommentTextChar1">
    <w:name w:val="Comment Text Char1"/>
    <w:basedOn w:val="DefaultParagraphFont"/>
    <w:link w:val="CommentText"/>
    <w:uiPriority w:val="99"/>
    <w:rsid w:val="00263099"/>
    <w:rPr>
      <w:sz w:val="20"/>
      <w:szCs w:val="20"/>
    </w:rPr>
  </w:style>
  <w:style w:type="paragraph" w:styleId="CommentSubject">
    <w:name w:val="annotation subject"/>
    <w:basedOn w:val="CommentText"/>
    <w:next w:val="CommentText"/>
    <w:link w:val="CommentSubjectChar"/>
    <w:uiPriority w:val="99"/>
    <w:semiHidden/>
    <w:unhideWhenUsed/>
    <w:rsid w:val="00263099"/>
    <w:pPr>
      <w:spacing w:after="200"/>
    </w:pPr>
    <w:rPr>
      <w:b/>
      <w:bCs/>
    </w:rPr>
  </w:style>
  <w:style w:type="character" w:customStyle="1" w:styleId="CommentSubjectChar">
    <w:name w:val="Comment Subject Char"/>
    <w:basedOn w:val="CommentTextChar1"/>
    <w:link w:val="CommentSubject"/>
    <w:uiPriority w:val="99"/>
    <w:semiHidden/>
    <w:rsid w:val="00263099"/>
    <w:rPr>
      <w:b/>
      <w:bCs/>
      <w:sz w:val="20"/>
      <w:szCs w:val="20"/>
      <w:lang w:val="hu-HU"/>
    </w:rPr>
  </w:style>
  <w:style w:type="paragraph" w:customStyle="1" w:styleId="BalloonText1">
    <w:name w:val="Balloon Text1"/>
    <w:basedOn w:val="Normal"/>
    <w:next w:val="BalloonText"/>
    <w:link w:val="BalloonTextChar"/>
    <w:uiPriority w:val="99"/>
    <w:semiHidden/>
    <w:unhideWhenUsed/>
    <w:rsid w:val="0026309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263099"/>
    <w:rPr>
      <w:rFonts w:ascii="Segoe UI" w:eastAsia="Calibri" w:hAnsi="Segoe UI" w:cs="Segoe UI"/>
      <w:sz w:val="18"/>
      <w:szCs w:val="18"/>
      <w:lang w:eastAsia="en-US"/>
    </w:rPr>
  </w:style>
  <w:style w:type="paragraph" w:customStyle="1" w:styleId="BVIfnrChar">
    <w:name w:val="BVI fnr Char"/>
    <w:aliases w:val="Appel note de bas de p.,BVI fnr Car Car Car Car,BVI fnr Car Car,BVI fnr Car,BVI fnr Car Car Car Car Char,Appel note de bas de p..BVI fnr Car Car Car Car"/>
    <w:basedOn w:val="Normal"/>
    <w:link w:val="FootnoteReference"/>
    <w:uiPriority w:val="99"/>
    <w:rsid w:val="00263099"/>
    <w:pPr>
      <w:spacing w:line="240" w:lineRule="exact"/>
    </w:pPr>
    <w:rPr>
      <w:vertAlign w:val="superscript"/>
    </w:rPr>
  </w:style>
  <w:style w:type="paragraph" w:customStyle="1" w:styleId="NormalWeb1">
    <w:name w:val="Normal (Web)1"/>
    <w:basedOn w:val="Normal"/>
    <w:next w:val="NormalWeb"/>
    <w:uiPriority w:val="99"/>
    <w:semiHidden/>
    <w:unhideWhenUsed/>
    <w:rsid w:val="00263099"/>
    <w:pPr>
      <w:spacing w:after="200" w:line="276" w:lineRule="auto"/>
    </w:pPr>
    <w:rPr>
      <w:rFonts w:ascii="Times New Roman" w:hAnsi="Times New Roman" w:cs="Times New Roman"/>
      <w:sz w:val="24"/>
      <w:szCs w:val="24"/>
    </w:rPr>
  </w:style>
  <w:style w:type="paragraph" w:customStyle="1" w:styleId="Revision1">
    <w:name w:val="Revision1"/>
    <w:next w:val="Revision"/>
    <w:hidden/>
    <w:uiPriority w:val="99"/>
    <w:semiHidden/>
    <w:rsid w:val="00263099"/>
    <w:pPr>
      <w:spacing w:after="0" w:line="240" w:lineRule="auto"/>
    </w:pPr>
  </w:style>
  <w:style w:type="character" w:customStyle="1" w:styleId="None">
    <w:name w:val="None"/>
    <w:rsid w:val="00263099"/>
  </w:style>
  <w:style w:type="paragraph" w:customStyle="1" w:styleId="Corpsdutexte">
    <w:name w:val="Corps du texte"/>
    <w:rsid w:val="00263099"/>
    <w:pPr>
      <w:widowControl w:val="0"/>
      <w:pBdr>
        <w:top w:val="nil"/>
        <w:left w:val="nil"/>
        <w:bottom w:val="nil"/>
        <w:right w:val="nil"/>
        <w:between w:val="nil"/>
        <w:bar w:val="nil"/>
      </w:pBdr>
      <w:shd w:val="clear" w:color="auto" w:fill="FFFFFF"/>
      <w:spacing w:before="720" w:after="1560" w:line="277" w:lineRule="exact"/>
    </w:pPr>
    <w:rPr>
      <w:rFonts w:ascii="Times New Roman" w:eastAsia="Arial Unicode MS" w:hAnsi="Times New Roman" w:cs="Arial Unicode MS"/>
      <w:color w:val="000000"/>
      <w:sz w:val="23"/>
      <w:szCs w:val="23"/>
      <w:u w:color="000000"/>
      <w:bdr w:val="nil"/>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rsid w:val="00263099"/>
    <w:pPr>
      <w:spacing w:line="240" w:lineRule="exact"/>
    </w:pPr>
    <w:rPr>
      <w:rFonts w:ascii="Times New Roman" w:eastAsia="Times New Roman" w:hAnsi="Times New Roman" w:cs="Times New Roman"/>
      <w:sz w:val="20"/>
      <w:szCs w:val="20"/>
      <w:vertAlign w:val="superscript"/>
      <w:lang w:eastAsia="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GSAList1"/>
    <w:uiPriority w:val="34"/>
    <w:qFormat/>
    <w:locked/>
    <w:rsid w:val="00263099"/>
    <w:rPr>
      <w:rFonts w:ascii="Calibri" w:eastAsia="Calibri" w:hAnsi="Calibri" w:cs="Times New Roman"/>
      <w:sz w:val="22"/>
      <w:szCs w:val="22"/>
      <w:lang w:eastAsia="en-US"/>
    </w:rPr>
  </w:style>
  <w:style w:type="paragraph" w:customStyle="1" w:styleId="Nota">
    <w:name w:val="Nota"/>
    <w:aliases w:val="Char1,(NECG) Footnote Reference,fr,Appel note de bas de p,o,Style 6,Signature Ch"/>
    <w:basedOn w:val="Normal"/>
    <w:rsid w:val="00263099"/>
    <w:pPr>
      <w:spacing w:line="240" w:lineRule="exact"/>
    </w:pPr>
    <w:rPr>
      <w:rFonts w:ascii="Arial" w:eastAsia="Times New Roman" w:hAnsi="Arial" w:cs="Arial"/>
      <w:sz w:val="18"/>
      <w:szCs w:val="20"/>
      <w:vertAlign w:val="superscript"/>
      <w:lang w:eastAsia="en-GB"/>
    </w:rPr>
  </w:style>
  <w:style w:type="character" w:styleId="PlaceholderText">
    <w:name w:val="Placeholder Text"/>
    <w:basedOn w:val="DefaultParagraphFont"/>
    <w:uiPriority w:val="99"/>
    <w:semiHidden/>
    <w:rsid w:val="00263099"/>
    <w:rPr>
      <w:color w:val="808080"/>
    </w:rPr>
  </w:style>
  <w:style w:type="paragraph" w:customStyle="1" w:styleId="Default">
    <w:name w:val="Default"/>
    <w:uiPriority w:val="99"/>
    <w:rsid w:val="0026309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1">
    <w:name w:val="Normal1"/>
    <w:basedOn w:val="Normal"/>
    <w:rsid w:val="0026309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ootnotereference0">
    <w:name w:val="footnotereference"/>
    <w:basedOn w:val="DefaultParagraphFont"/>
    <w:rsid w:val="00263099"/>
  </w:style>
  <w:style w:type="paragraph" w:customStyle="1" w:styleId="Body">
    <w:name w:val="Body"/>
    <w:qFormat/>
    <w:rsid w:val="00263099"/>
    <w:pPr>
      <w:tabs>
        <w:tab w:val="left" w:pos="425"/>
        <w:tab w:val="left" w:pos="851"/>
        <w:tab w:val="left" w:pos="1276"/>
      </w:tabs>
      <w:spacing w:after="240" w:line="240" w:lineRule="auto"/>
    </w:pPr>
    <w:rPr>
      <w:rFonts w:ascii="Arial" w:eastAsia="Times New Roman" w:hAnsi="Arial" w:cs="Times New Roman"/>
      <w:sz w:val="20"/>
      <w:szCs w:val="20"/>
      <w:lang w:eastAsia="en-GB"/>
    </w:rPr>
  </w:style>
  <w:style w:type="character" w:customStyle="1" w:styleId="FollowedHyperlink1">
    <w:name w:val="FollowedHyperlink1"/>
    <w:basedOn w:val="DefaultParagraphFont"/>
    <w:semiHidden/>
    <w:unhideWhenUsed/>
    <w:rsid w:val="00263099"/>
    <w:rPr>
      <w:color w:val="800080"/>
      <w:u w:val="single"/>
    </w:rPr>
  </w:style>
  <w:style w:type="paragraph" w:customStyle="1" w:styleId="Briefingtext">
    <w:name w:val="Briefing text"/>
    <w:basedOn w:val="Normal"/>
    <w:link w:val="BriefingtextChar"/>
    <w:qFormat/>
    <w:rsid w:val="00263099"/>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263099"/>
    <w:rPr>
      <w:rFonts w:ascii="Arial" w:eastAsia="Times New Roman" w:hAnsi="Arial" w:cs="Arial"/>
      <w:szCs w:val="24"/>
      <w:lang w:val="hu-HU"/>
    </w:rPr>
  </w:style>
  <w:style w:type="paragraph" w:customStyle="1" w:styleId="point">
    <w:name w:val="point"/>
    <w:basedOn w:val="ListParagraph"/>
    <w:rsid w:val="00263099"/>
    <w:pPr>
      <w:numPr>
        <w:numId w:val="22"/>
      </w:numPr>
      <w:tabs>
        <w:tab w:val="num" w:pos="360"/>
      </w:tabs>
      <w:spacing w:after="200" w:line="276" w:lineRule="auto"/>
      <w:ind w:firstLine="0"/>
      <w:jc w:val="both"/>
    </w:pPr>
    <w:rPr>
      <w:rFonts w:ascii="Times New Roman" w:hAnsi="Times New Roman" w:cs="Times New Roman"/>
      <w:sz w:val="24"/>
      <w:szCs w:val="24"/>
    </w:rPr>
  </w:style>
  <w:style w:type="paragraph" w:styleId="ListParagraph">
    <w:name w:val="List Paragraph"/>
    <w:basedOn w:val="Normal"/>
    <w:uiPriority w:val="1"/>
    <w:qFormat/>
    <w:rsid w:val="00263099"/>
    <w:pPr>
      <w:ind w:left="720"/>
      <w:contextualSpacing/>
    </w:pPr>
  </w:style>
  <w:style w:type="table" w:styleId="TableGrid">
    <w:name w:val="Table Grid"/>
    <w:basedOn w:val="TableNormal"/>
    <w:uiPriority w:val="39"/>
    <w:rsid w:val="0026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630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1"/>
    <w:uiPriority w:val="99"/>
    <w:unhideWhenUsed/>
    <w:rsid w:val="0026309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63099"/>
    <w:rPr>
      <w:sz w:val="20"/>
      <w:szCs w:val="20"/>
    </w:rPr>
  </w:style>
  <w:style w:type="character" w:styleId="Hyperlink">
    <w:name w:val="Hyperlink"/>
    <w:basedOn w:val="DefaultParagraphFont"/>
    <w:uiPriority w:val="99"/>
    <w:unhideWhenUsed/>
    <w:rsid w:val="00263099"/>
    <w:rPr>
      <w:color w:val="0563C1" w:themeColor="hyperlink"/>
      <w:u w:val="single"/>
    </w:rPr>
  </w:style>
  <w:style w:type="paragraph" w:styleId="BalloonText">
    <w:name w:val="Balloon Text"/>
    <w:basedOn w:val="Normal"/>
    <w:link w:val="BalloonTextChar1"/>
    <w:uiPriority w:val="99"/>
    <w:semiHidden/>
    <w:unhideWhenUsed/>
    <w:rsid w:val="0026309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63099"/>
    <w:rPr>
      <w:rFonts w:ascii="Segoe UI" w:hAnsi="Segoe UI" w:cs="Segoe UI"/>
      <w:sz w:val="18"/>
      <w:szCs w:val="18"/>
    </w:rPr>
  </w:style>
  <w:style w:type="paragraph" w:styleId="NormalWeb">
    <w:name w:val="Normal (Web)"/>
    <w:basedOn w:val="Normal"/>
    <w:uiPriority w:val="99"/>
    <w:unhideWhenUsed/>
    <w:rsid w:val="00263099"/>
    <w:rPr>
      <w:rFonts w:ascii="Times New Roman" w:hAnsi="Times New Roman" w:cs="Times New Roman"/>
      <w:sz w:val="24"/>
      <w:szCs w:val="24"/>
    </w:rPr>
  </w:style>
  <w:style w:type="paragraph" w:styleId="Revision">
    <w:name w:val="Revision"/>
    <w:hidden/>
    <w:uiPriority w:val="99"/>
    <w:semiHidden/>
    <w:rsid w:val="00263099"/>
    <w:pPr>
      <w:spacing w:after="0" w:line="240" w:lineRule="auto"/>
    </w:pPr>
  </w:style>
  <w:style w:type="character" w:styleId="FollowedHyperlink">
    <w:name w:val="FollowedHyperlink"/>
    <w:basedOn w:val="DefaultParagraphFont"/>
    <w:uiPriority w:val="99"/>
    <w:semiHidden/>
    <w:unhideWhenUsed/>
    <w:rsid w:val="00263099"/>
    <w:rPr>
      <w:color w:val="954F72" w:themeColor="followedHyperlink"/>
      <w:u w:val="single"/>
    </w:rPr>
  </w:style>
  <w:style w:type="paragraph" w:customStyle="1" w:styleId="default0">
    <w:name w:val="default"/>
    <w:basedOn w:val="Normal"/>
    <w:uiPriority w:val="99"/>
    <w:rsid w:val="0017257A"/>
    <w:pPr>
      <w:autoSpaceDE w:val="0"/>
      <w:autoSpaceDN w:val="0"/>
      <w:spacing w:after="0" w:line="240" w:lineRule="auto"/>
    </w:pPr>
    <w:rPr>
      <w:rFonts w:ascii="Arial" w:eastAsia="Calibri" w:hAnsi="Arial" w:cs="Arial"/>
      <w:color w:val="000000"/>
      <w:sz w:val="24"/>
      <w:szCs w:val="24"/>
      <w:lang w:eastAsia="de-CH"/>
    </w:rPr>
  </w:style>
  <w:style w:type="character" w:customStyle="1" w:styleId="q4iawc">
    <w:name w:val="q4iawc"/>
    <w:basedOn w:val="DefaultParagraphFont"/>
    <w:rsid w:val="0017257A"/>
  </w:style>
  <w:style w:type="character" w:customStyle="1" w:styleId="viiyi">
    <w:name w:val="viiyi"/>
    <w:basedOn w:val="DefaultParagraphFont"/>
    <w:rsid w:val="0017257A"/>
  </w:style>
  <w:style w:type="paragraph" w:styleId="NoSpacing">
    <w:name w:val="No Spacing"/>
    <w:uiPriority w:val="1"/>
    <w:qFormat/>
    <w:rsid w:val="0017257A"/>
    <w:pPr>
      <w:spacing w:after="0" w:line="240" w:lineRule="auto"/>
    </w:pPr>
    <w:rPr>
      <w:rFonts w:ascii="Times New Roman" w:eastAsia="Calibri" w:hAnsi="Times New Roman" w:cs="Times New Roman"/>
      <w:sz w:val="28"/>
    </w:rPr>
  </w:style>
  <w:style w:type="paragraph" w:customStyle="1" w:styleId="xmsolistparagraph">
    <w:name w:val="x_msolistparagraph"/>
    <w:basedOn w:val="Normal"/>
    <w:rsid w:val="0017257A"/>
    <w:pPr>
      <w:spacing w:line="252" w:lineRule="auto"/>
      <w:ind w:left="720"/>
    </w:pPr>
    <w:rPr>
      <w:rFonts w:ascii="Calibri" w:hAnsi="Calibri" w:cs="Calibri"/>
      <w:lang w:eastAsia="cs-CZ"/>
    </w:rPr>
  </w:style>
  <w:style w:type="paragraph" w:customStyle="1" w:styleId="Bullet1">
    <w:name w:val="Bullet 1"/>
    <w:basedOn w:val="Normal"/>
    <w:rsid w:val="0017257A"/>
    <w:pPr>
      <w:numPr>
        <w:numId w:val="31"/>
      </w:numPr>
      <w:spacing w:before="120" w:after="120" w:line="360" w:lineRule="auto"/>
    </w:pPr>
    <w:rPr>
      <w:rFonts w:ascii="Times New Roman" w:hAnsi="Times New Roman" w:cs="Times New Roman"/>
      <w:sz w:val="24"/>
    </w:rPr>
  </w:style>
  <w:style w:type="paragraph" w:customStyle="1" w:styleId="Pointabc">
    <w:name w:val="Point abc"/>
    <w:basedOn w:val="Normal"/>
    <w:rsid w:val="0017257A"/>
    <w:pPr>
      <w:numPr>
        <w:ilvl w:val="1"/>
        <w:numId w:val="32"/>
      </w:numPr>
      <w:spacing w:before="120" w:after="120" w:line="360" w:lineRule="auto"/>
    </w:pPr>
    <w:rPr>
      <w:rFonts w:ascii="Times New Roman" w:hAnsi="Times New Roman" w:cs="Times New Roman"/>
      <w:sz w:val="24"/>
    </w:rPr>
  </w:style>
  <w:style w:type="paragraph" w:customStyle="1" w:styleId="Pointabc1">
    <w:name w:val="Point abc (1)"/>
    <w:basedOn w:val="Normal"/>
    <w:rsid w:val="0017257A"/>
    <w:pPr>
      <w:numPr>
        <w:ilvl w:val="3"/>
        <w:numId w:val="32"/>
      </w:numPr>
      <w:spacing w:before="120" w:after="120" w:line="360" w:lineRule="auto"/>
    </w:pPr>
    <w:rPr>
      <w:rFonts w:ascii="Times New Roman" w:hAnsi="Times New Roman" w:cs="Times New Roman"/>
      <w:sz w:val="24"/>
    </w:rPr>
  </w:style>
  <w:style w:type="paragraph" w:customStyle="1" w:styleId="Pointabc2">
    <w:name w:val="Point abc (2)"/>
    <w:basedOn w:val="Normal"/>
    <w:rsid w:val="0017257A"/>
    <w:pPr>
      <w:numPr>
        <w:ilvl w:val="5"/>
        <w:numId w:val="32"/>
      </w:numPr>
      <w:spacing w:before="120" w:after="120" w:line="360" w:lineRule="auto"/>
    </w:pPr>
    <w:rPr>
      <w:rFonts w:ascii="Times New Roman" w:hAnsi="Times New Roman" w:cs="Times New Roman"/>
      <w:sz w:val="24"/>
    </w:rPr>
  </w:style>
  <w:style w:type="paragraph" w:customStyle="1" w:styleId="Pointabc3">
    <w:name w:val="Point abc (3)"/>
    <w:basedOn w:val="Normal"/>
    <w:rsid w:val="0017257A"/>
    <w:pPr>
      <w:numPr>
        <w:ilvl w:val="7"/>
        <w:numId w:val="32"/>
      </w:numPr>
      <w:spacing w:before="120" w:after="120" w:line="360" w:lineRule="auto"/>
    </w:pPr>
    <w:rPr>
      <w:rFonts w:ascii="Times New Roman" w:hAnsi="Times New Roman" w:cs="Times New Roman"/>
      <w:sz w:val="24"/>
    </w:rPr>
  </w:style>
  <w:style w:type="paragraph" w:customStyle="1" w:styleId="Pointabc4">
    <w:name w:val="Point abc (4)"/>
    <w:basedOn w:val="Normal"/>
    <w:rsid w:val="0017257A"/>
    <w:pPr>
      <w:numPr>
        <w:ilvl w:val="8"/>
        <w:numId w:val="32"/>
      </w:numPr>
      <w:spacing w:before="120" w:after="120" w:line="360" w:lineRule="auto"/>
    </w:pPr>
    <w:rPr>
      <w:rFonts w:ascii="Times New Roman" w:hAnsi="Times New Roman" w:cs="Times New Roman"/>
      <w:sz w:val="24"/>
    </w:rPr>
  </w:style>
  <w:style w:type="paragraph" w:customStyle="1" w:styleId="Point123">
    <w:name w:val="Point 123"/>
    <w:basedOn w:val="Normal"/>
    <w:rsid w:val="0017257A"/>
    <w:pPr>
      <w:numPr>
        <w:numId w:val="32"/>
      </w:numPr>
      <w:spacing w:before="120" w:after="120" w:line="360" w:lineRule="auto"/>
    </w:pPr>
    <w:rPr>
      <w:rFonts w:ascii="Times New Roman" w:hAnsi="Times New Roman" w:cs="Times New Roman"/>
      <w:sz w:val="24"/>
    </w:rPr>
  </w:style>
  <w:style w:type="paragraph" w:customStyle="1" w:styleId="Point1231">
    <w:name w:val="Point 123 (1)"/>
    <w:basedOn w:val="Normal"/>
    <w:rsid w:val="0017257A"/>
    <w:pPr>
      <w:numPr>
        <w:ilvl w:val="2"/>
        <w:numId w:val="32"/>
      </w:numPr>
      <w:spacing w:before="120" w:after="120" w:line="360" w:lineRule="auto"/>
    </w:pPr>
    <w:rPr>
      <w:rFonts w:ascii="Times New Roman" w:hAnsi="Times New Roman" w:cs="Times New Roman"/>
      <w:sz w:val="24"/>
    </w:rPr>
  </w:style>
  <w:style w:type="paragraph" w:customStyle="1" w:styleId="Point1232">
    <w:name w:val="Point 123 (2)"/>
    <w:basedOn w:val="Normal"/>
    <w:rsid w:val="0017257A"/>
    <w:pPr>
      <w:numPr>
        <w:ilvl w:val="4"/>
        <w:numId w:val="32"/>
      </w:numPr>
      <w:spacing w:before="120" w:after="120" w:line="360" w:lineRule="auto"/>
    </w:pPr>
    <w:rPr>
      <w:rFonts w:ascii="Times New Roman" w:hAnsi="Times New Roman" w:cs="Times New Roman"/>
      <w:sz w:val="24"/>
    </w:rPr>
  </w:style>
  <w:style w:type="paragraph" w:customStyle="1" w:styleId="Point1233">
    <w:name w:val="Point 123 (3)"/>
    <w:basedOn w:val="Normal"/>
    <w:rsid w:val="0017257A"/>
    <w:pPr>
      <w:numPr>
        <w:ilvl w:val="6"/>
        <w:numId w:val="32"/>
      </w:numPr>
      <w:spacing w:before="120" w:after="120" w:line="360" w:lineRule="auto"/>
    </w:pPr>
    <w:rPr>
      <w:rFonts w:ascii="Times New Roman" w:hAnsi="Times New Roman" w:cs="Times New Roman"/>
      <w:sz w:val="24"/>
    </w:rPr>
  </w:style>
  <w:style w:type="paragraph" w:customStyle="1" w:styleId="PointDoubleManual">
    <w:name w:val="Point Double Manual"/>
    <w:basedOn w:val="Normal"/>
    <w:rsid w:val="0017257A"/>
    <w:pPr>
      <w:tabs>
        <w:tab w:val="left" w:pos="567"/>
      </w:tabs>
      <w:spacing w:before="120" w:after="120" w:line="360" w:lineRule="auto"/>
      <w:ind w:left="1134" w:hanging="1134"/>
    </w:pPr>
    <w:rPr>
      <w:rFonts w:ascii="Times New Roman" w:hAnsi="Times New Roman" w:cs="Times New Roman"/>
      <w:sz w:val="24"/>
    </w:rPr>
  </w:style>
  <w:style w:type="character" w:customStyle="1" w:styleId="markedcontent">
    <w:name w:val="markedcontent"/>
    <w:basedOn w:val="DefaultParagraphFont"/>
    <w:rsid w:val="00926E44"/>
  </w:style>
  <w:style w:type="character" w:customStyle="1" w:styleId="highlight">
    <w:name w:val="highlight"/>
    <w:basedOn w:val="DefaultParagraphFont"/>
    <w:rsid w:val="00926E44"/>
  </w:style>
  <w:style w:type="paragraph" w:styleId="Title">
    <w:name w:val="Title"/>
    <w:basedOn w:val="Normal"/>
    <w:next w:val="Normal"/>
    <w:link w:val="TitleChar"/>
    <w:uiPriority w:val="10"/>
    <w:qFormat/>
    <w:rsid w:val="00CD6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9E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BD3090"/>
    <w:rPr>
      <w:color w:val="605E5C"/>
      <w:shd w:val="clear" w:color="auto" w:fill="E1DFDD"/>
    </w:rPr>
  </w:style>
  <w:style w:type="paragraph" w:customStyle="1" w:styleId="Disclaimer">
    <w:name w:val="Disclaimer"/>
    <w:basedOn w:val="Normal"/>
    <w:rsid w:val="00B07D8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B07D81"/>
    <w:pPr>
      <w:spacing w:after="0" w:line="276" w:lineRule="auto"/>
      <w:ind w:left="5103"/>
    </w:pPr>
    <w:rPr>
      <w:rFonts w:ascii="Times New Roman" w:hAnsi="Times New Roman" w:cs="Times New Roman"/>
      <w:sz w:val="28"/>
    </w:rPr>
  </w:style>
  <w:style w:type="paragraph" w:customStyle="1" w:styleId="DateMarking">
    <w:name w:val="DateMarking"/>
    <w:basedOn w:val="Normal"/>
    <w:rsid w:val="00B07D81"/>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B07D81"/>
    <w:pPr>
      <w:spacing w:after="0" w:line="276" w:lineRule="auto"/>
      <w:ind w:left="5103"/>
    </w:pPr>
    <w:rPr>
      <w:rFonts w:ascii="Times New Roman" w:hAnsi="Times New Roman" w:cs="Times New Roman"/>
      <w:i/>
      <w:sz w:val="28"/>
    </w:rPr>
  </w:style>
  <w:style w:type="paragraph" w:customStyle="1" w:styleId="paragraph">
    <w:name w:val="paragraph"/>
    <w:basedOn w:val="Normal"/>
    <w:rsid w:val="0021483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14835"/>
  </w:style>
  <w:style w:type="character" w:customStyle="1" w:styleId="superscript">
    <w:name w:val="superscript"/>
    <w:basedOn w:val="DefaultParagraphFont"/>
    <w:rsid w:val="00214835"/>
  </w:style>
  <w:style w:type="character" w:customStyle="1" w:styleId="eop">
    <w:name w:val="eop"/>
    <w:basedOn w:val="DefaultParagraphFont"/>
    <w:rsid w:val="00214835"/>
  </w:style>
  <w:style w:type="character" w:customStyle="1" w:styleId="UnresolvedMention10">
    <w:name w:val="Unresolved Mention1"/>
    <w:basedOn w:val="DefaultParagraphFont"/>
    <w:uiPriority w:val="99"/>
    <w:semiHidden/>
    <w:unhideWhenUsed/>
    <w:rsid w:val="00214835"/>
    <w:rPr>
      <w:color w:val="605E5C"/>
      <w:shd w:val="clear" w:color="auto" w:fill="E1DFDD"/>
    </w:rPr>
  </w:style>
  <w:style w:type="character" w:customStyle="1" w:styleId="UnresolvedMention2">
    <w:name w:val="Unresolved Mention2"/>
    <w:basedOn w:val="DefaultParagraphFont"/>
    <w:uiPriority w:val="99"/>
    <w:semiHidden/>
    <w:unhideWhenUsed/>
    <w:rsid w:val="00214835"/>
    <w:rPr>
      <w:color w:val="605E5C"/>
      <w:shd w:val="clear" w:color="auto" w:fill="E1DFDD"/>
    </w:rPr>
  </w:style>
  <w:style w:type="character" w:customStyle="1" w:styleId="UnresolvedMention100">
    <w:name w:val="Unresolved Mention10"/>
    <w:basedOn w:val="DefaultParagraphFont"/>
    <w:uiPriority w:val="99"/>
    <w:semiHidden/>
    <w:unhideWhenUsed/>
    <w:rsid w:val="00620FCA"/>
    <w:rPr>
      <w:color w:val="605E5C"/>
      <w:shd w:val="clear" w:color="auto" w:fill="E1DFDD"/>
    </w:rPr>
  </w:style>
  <w:style w:type="character" w:customStyle="1" w:styleId="UnresolvedMention1000">
    <w:name w:val="Unresolved Mention100"/>
    <w:basedOn w:val="DefaultParagraphFont"/>
    <w:uiPriority w:val="99"/>
    <w:semiHidden/>
    <w:unhideWhenUsed/>
    <w:rsid w:val="00333E21"/>
    <w:rPr>
      <w:color w:val="605E5C"/>
      <w:shd w:val="clear" w:color="auto" w:fill="E1DFDD"/>
    </w:rPr>
  </w:style>
  <w:style w:type="character" w:customStyle="1" w:styleId="UnresolvedMention10000">
    <w:name w:val="Unresolved Mention1000"/>
    <w:basedOn w:val="DefaultParagraphFont"/>
    <w:uiPriority w:val="99"/>
    <w:semiHidden/>
    <w:unhideWhenUsed/>
    <w:rsid w:val="00131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029">
      <w:bodyDiv w:val="1"/>
      <w:marLeft w:val="0"/>
      <w:marRight w:val="0"/>
      <w:marTop w:val="0"/>
      <w:marBottom w:val="0"/>
      <w:divBdr>
        <w:top w:val="none" w:sz="0" w:space="0" w:color="auto"/>
        <w:left w:val="none" w:sz="0" w:space="0" w:color="auto"/>
        <w:bottom w:val="none" w:sz="0" w:space="0" w:color="auto"/>
        <w:right w:val="none" w:sz="0" w:space="0" w:color="auto"/>
      </w:divBdr>
    </w:div>
    <w:div w:id="187522857">
      <w:bodyDiv w:val="1"/>
      <w:marLeft w:val="0"/>
      <w:marRight w:val="0"/>
      <w:marTop w:val="0"/>
      <w:marBottom w:val="0"/>
      <w:divBdr>
        <w:top w:val="none" w:sz="0" w:space="0" w:color="auto"/>
        <w:left w:val="none" w:sz="0" w:space="0" w:color="auto"/>
        <w:bottom w:val="none" w:sz="0" w:space="0" w:color="auto"/>
        <w:right w:val="none" w:sz="0" w:space="0" w:color="auto"/>
      </w:divBdr>
    </w:div>
    <w:div w:id="310524695">
      <w:bodyDiv w:val="1"/>
      <w:marLeft w:val="0"/>
      <w:marRight w:val="0"/>
      <w:marTop w:val="0"/>
      <w:marBottom w:val="0"/>
      <w:divBdr>
        <w:top w:val="none" w:sz="0" w:space="0" w:color="auto"/>
        <w:left w:val="none" w:sz="0" w:space="0" w:color="auto"/>
        <w:bottom w:val="none" w:sz="0" w:space="0" w:color="auto"/>
        <w:right w:val="none" w:sz="0" w:space="0" w:color="auto"/>
      </w:divBdr>
    </w:div>
    <w:div w:id="320502457">
      <w:bodyDiv w:val="1"/>
      <w:marLeft w:val="0"/>
      <w:marRight w:val="0"/>
      <w:marTop w:val="0"/>
      <w:marBottom w:val="0"/>
      <w:divBdr>
        <w:top w:val="none" w:sz="0" w:space="0" w:color="auto"/>
        <w:left w:val="none" w:sz="0" w:space="0" w:color="auto"/>
        <w:bottom w:val="none" w:sz="0" w:space="0" w:color="auto"/>
        <w:right w:val="none" w:sz="0" w:space="0" w:color="auto"/>
      </w:divBdr>
    </w:div>
    <w:div w:id="332757876">
      <w:bodyDiv w:val="1"/>
      <w:marLeft w:val="0"/>
      <w:marRight w:val="0"/>
      <w:marTop w:val="0"/>
      <w:marBottom w:val="0"/>
      <w:divBdr>
        <w:top w:val="none" w:sz="0" w:space="0" w:color="auto"/>
        <w:left w:val="none" w:sz="0" w:space="0" w:color="auto"/>
        <w:bottom w:val="none" w:sz="0" w:space="0" w:color="auto"/>
        <w:right w:val="none" w:sz="0" w:space="0" w:color="auto"/>
      </w:divBdr>
    </w:div>
    <w:div w:id="336882486">
      <w:bodyDiv w:val="1"/>
      <w:marLeft w:val="0"/>
      <w:marRight w:val="0"/>
      <w:marTop w:val="0"/>
      <w:marBottom w:val="0"/>
      <w:divBdr>
        <w:top w:val="none" w:sz="0" w:space="0" w:color="auto"/>
        <w:left w:val="none" w:sz="0" w:space="0" w:color="auto"/>
        <w:bottom w:val="none" w:sz="0" w:space="0" w:color="auto"/>
        <w:right w:val="none" w:sz="0" w:space="0" w:color="auto"/>
      </w:divBdr>
    </w:div>
    <w:div w:id="350835144">
      <w:bodyDiv w:val="1"/>
      <w:marLeft w:val="0"/>
      <w:marRight w:val="0"/>
      <w:marTop w:val="0"/>
      <w:marBottom w:val="0"/>
      <w:divBdr>
        <w:top w:val="none" w:sz="0" w:space="0" w:color="auto"/>
        <w:left w:val="none" w:sz="0" w:space="0" w:color="auto"/>
        <w:bottom w:val="none" w:sz="0" w:space="0" w:color="auto"/>
        <w:right w:val="none" w:sz="0" w:space="0" w:color="auto"/>
      </w:divBdr>
    </w:div>
    <w:div w:id="508641526">
      <w:bodyDiv w:val="1"/>
      <w:marLeft w:val="0"/>
      <w:marRight w:val="0"/>
      <w:marTop w:val="0"/>
      <w:marBottom w:val="0"/>
      <w:divBdr>
        <w:top w:val="none" w:sz="0" w:space="0" w:color="auto"/>
        <w:left w:val="none" w:sz="0" w:space="0" w:color="auto"/>
        <w:bottom w:val="none" w:sz="0" w:space="0" w:color="auto"/>
        <w:right w:val="none" w:sz="0" w:space="0" w:color="auto"/>
      </w:divBdr>
    </w:div>
    <w:div w:id="509761491">
      <w:bodyDiv w:val="1"/>
      <w:marLeft w:val="0"/>
      <w:marRight w:val="0"/>
      <w:marTop w:val="0"/>
      <w:marBottom w:val="0"/>
      <w:divBdr>
        <w:top w:val="none" w:sz="0" w:space="0" w:color="auto"/>
        <w:left w:val="none" w:sz="0" w:space="0" w:color="auto"/>
        <w:bottom w:val="none" w:sz="0" w:space="0" w:color="auto"/>
        <w:right w:val="none" w:sz="0" w:space="0" w:color="auto"/>
      </w:divBdr>
    </w:div>
    <w:div w:id="619455787">
      <w:bodyDiv w:val="1"/>
      <w:marLeft w:val="0"/>
      <w:marRight w:val="0"/>
      <w:marTop w:val="0"/>
      <w:marBottom w:val="0"/>
      <w:divBdr>
        <w:top w:val="none" w:sz="0" w:space="0" w:color="auto"/>
        <w:left w:val="none" w:sz="0" w:space="0" w:color="auto"/>
        <w:bottom w:val="none" w:sz="0" w:space="0" w:color="auto"/>
        <w:right w:val="none" w:sz="0" w:space="0" w:color="auto"/>
      </w:divBdr>
    </w:div>
    <w:div w:id="624165889">
      <w:bodyDiv w:val="1"/>
      <w:marLeft w:val="0"/>
      <w:marRight w:val="0"/>
      <w:marTop w:val="0"/>
      <w:marBottom w:val="0"/>
      <w:divBdr>
        <w:top w:val="none" w:sz="0" w:space="0" w:color="auto"/>
        <w:left w:val="none" w:sz="0" w:space="0" w:color="auto"/>
        <w:bottom w:val="none" w:sz="0" w:space="0" w:color="auto"/>
        <w:right w:val="none" w:sz="0" w:space="0" w:color="auto"/>
      </w:divBdr>
    </w:div>
    <w:div w:id="634723499">
      <w:bodyDiv w:val="1"/>
      <w:marLeft w:val="0"/>
      <w:marRight w:val="0"/>
      <w:marTop w:val="0"/>
      <w:marBottom w:val="0"/>
      <w:divBdr>
        <w:top w:val="none" w:sz="0" w:space="0" w:color="auto"/>
        <w:left w:val="none" w:sz="0" w:space="0" w:color="auto"/>
        <w:bottom w:val="none" w:sz="0" w:space="0" w:color="auto"/>
        <w:right w:val="none" w:sz="0" w:space="0" w:color="auto"/>
      </w:divBdr>
    </w:div>
    <w:div w:id="651837521">
      <w:bodyDiv w:val="1"/>
      <w:marLeft w:val="0"/>
      <w:marRight w:val="0"/>
      <w:marTop w:val="0"/>
      <w:marBottom w:val="0"/>
      <w:divBdr>
        <w:top w:val="none" w:sz="0" w:space="0" w:color="auto"/>
        <w:left w:val="none" w:sz="0" w:space="0" w:color="auto"/>
        <w:bottom w:val="none" w:sz="0" w:space="0" w:color="auto"/>
        <w:right w:val="none" w:sz="0" w:space="0" w:color="auto"/>
      </w:divBdr>
    </w:div>
    <w:div w:id="683870546">
      <w:bodyDiv w:val="1"/>
      <w:marLeft w:val="0"/>
      <w:marRight w:val="0"/>
      <w:marTop w:val="0"/>
      <w:marBottom w:val="0"/>
      <w:divBdr>
        <w:top w:val="none" w:sz="0" w:space="0" w:color="auto"/>
        <w:left w:val="none" w:sz="0" w:space="0" w:color="auto"/>
        <w:bottom w:val="none" w:sz="0" w:space="0" w:color="auto"/>
        <w:right w:val="none" w:sz="0" w:space="0" w:color="auto"/>
      </w:divBdr>
    </w:div>
    <w:div w:id="699402917">
      <w:bodyDiv w:val="1"/>
      <w:marLeft w:val="0"/>
      <w:marRight w:val="0"/>
      <w:marTop w:val="0"/>
      <w:marBottom w:val="0"/>
      <w:divBdr>
        <w:top w:val="none" w:sz="0" w:space="0" w:color="auto"/>
        <w:left w:val="none" w:sz="0" w:space="0" w:color="auto"/>
        <w:bottom w:val="none" w:sz="0" w:space="0" w:color="auto"/>
        <w:right w:val="none" w:sz="0" w:space="0" w:color="auto"/>
      </w:divBdr>
    </w:div>
    <w:div w:id="773600824">
      <w:bodyDiv w:val="1"/>
      <w:marLeft w:val="0"/>
      <w:marRight w:val="0"/>
      <w:marTop w:val="0"/>
      <w:marBottom w:val="0"/>
      <w:divBdr>
        <w:top w:val="none" w:sz="0" w:space="0" w:color="auto"/>
        <w:left w:val="none" w:sz="0" w:space="0" w:color="auto"/>
        <w:bottom w:val="none" w:sz="0" w:space="0" w:color="auto"/>
        <w:right w:val="none" w:sz="0" w:space="0" w:color="auto"/>
      </w:divBdr>
    </w:div>
    <w:div w:id="807629157">
      <w:bodyDiv w:val="1"/>
      <w:marLeft w:val="0"/>
      <w:marRight w:val="0"/>
      <w:marTop w:val="0"/>
      <w:marBottom w:val="0"/>
      <w:divBdr>
        <w:top w:val="none" w:sz="0" w:space="0" w:color="auto"/>
        <w:left w:val="none" w:sz="0" w:space="0" w:color="auto"/>
        <w:bottom w:val="none" w:sz="0" w:space="0" w:color="auto"/>
        <w:right w:val="none" w:sz="0" w:space="0" w:color="auto"/>
      </w:divBdr>
    </w:div>
    <w:div w:id="855654246">
      <w:bodyDiv w:val="1"/>
      <w:marLeft w:val="0"/>
      <w:marRight w:val="0"/>
      <w:marTop w:val="0"/>
      <w:marBottom w:val="0"/>
      <w:divBdr>
        <w:top w:val="none" w:sz="0" w:space="0" w:color="auto"/>
        <w:left w:val="none" w:sz="0" w:space="0" w:color="auto"/>
        <w:bottom w:val="none" w:sz="0" w:space="0" w:color="auto"/>
        <w:right w:val="none" w:sz="0" w:space="0" w:color="auto"/>
      </w:divBdr>
    </w:div>
    <w:div w:id="859127047">
      <w:bodyDiv w:val="1"/>
      <w:marLeft w:val="0"/>
      <w:marRight w:val="0"/>
      <w:marTop w:val="0"/>
      <w:marBottom w:val="0"/>
      <w:divBdr>
        <w:top w:val="none" w:sz="0" w:space="0" w:color="auto"/>
        <w:left w:val="none" w:sz="0" w:space="0" w:color="auto"/>
        <w:bottom w:val="none" w:sz="0" w:space="0" w:color="auto"/>
        <w:right w:val="none" w:sz="0" w:space="0" w:color="auto"/>
      </w:divBdr>
    </w:div>
    <w:div w:id="887766532">
      <w:bodyDiv w:val="1"/>
      <w:marLeft w:val="0"/>
      <w:marRight w:val="0"/>
      <w:marTop w:val="0"/>
      <w:marBottom w:val="0"/>
      <w:divBdr>
        <w:top w:val="none" w:sz="0" w:space="0" w:color="auto"/>
        <w:left w:val="none" w:sz="0" w:space="0" w:color="auto"/>
        <w:bottom w:val="none" w:sz="0" w:space="0" w:color="auto"/>
        <w:right w:val="none" w:sz="0" w:space="0" w:color="auto"/>
      </w:divBdr>
    </w:div>
    <w:div w:id="930162625">
      <w:bodyDiv w:val="1"/>
      <w:marLeft w:val="0"/>
      <w:marRight w:val="0"/>
      <w:marTop w:val="0"/>
      <w:marBottom w:val="0"/>
      <w:divBdr>
        <w:top w:val="none" w:sz="0" w:space="0" w:color="auto"/>
        <w:left w:val="none" w:sz="0" w:space="0" w:color="auto"/>
        <w:bottom w:val="none" w:sz="0" w:space="0" w:color="auto"/>
        <w:right w:val="none" w:sz="0" w:space="0" w:color="auto"/>
      </w:divBdr>
    </w:div>
    <w:div w:id="979656883">
      <w:bodyDiv w:val="1"/>
      <w:marLeft w:val="0"/>
      <w:marRight w:val="0"/>
      <w:marTop w:val="0"/>
      <w:marBottom w:val="0"/>
      <w:divBdr>
        <w:top w:val="none" w:sz="0" w:space="0" w:color="auto"/>
        <w:left w:val="none" w:sz="0" w:space="0" w:color="auto"/>
        <w:bottom w:val="none" w:sz="0" w:space="0" w:color="auto"/>
        <w:right w:val="none" w:sz="0" w:space="0" w:color="auto"/>
      </w:divBdr>
    </w:div>
    <w:div w:id="1028144629">
      <w:bodyDiv w:val="1"/>
      <w:marLeft w:val="0"/>
      <w:marRight w:val="0"/>
      <w:marTop w:val="0"/>
      <w:marBottom w:val="0"/>
      <w:divBdr>
        <w:top w:val="none" w:sz="0" w:space="0" w:color="auto"/>
        <w:left w:val="none" w:sz="0" w:space="0" w:color="auto"/>
        <w:bottom w:val="none" w:sz="0" w:space="0" w:color="auto"/>
        <w:right w:val="none" w:sz="0" w:space="0" w:color="auto"/>
      </w:divBdr>
    </w:div>
    <w:div w:id="1186557677">
      <w:bodyDiv w:val="1"/>
      <w:marLeft w:val="0"/>
      <w:marRight w:val="0"/>
      <w:marTop w:val="0"/>
      <w:marBottom w:val="0"/>
      <w:divBdr>
        <w:top w:val="none" w:sz="0" w:space="0" w:color="auto"/>
        <w:left w:val="none" w:sz="0" w:space="0" w:color="auto"/>
        <w:bottom w:val="none" w:sz="0" w:space="0" w:color="auto"/>
        <w:right w:val="none" w:sz="0" w:space="0" w:color="auto"/>
      </w:divBdr>
    </w:div>
    <w:div w:id="1189829233">
      <w:bodyDiv w:val="1"/>
      <w:marLeft w:val="0"/>
      <w:marRight w:val="0"/>
      <w:marTop w:val="0"/>
      <w:marBottom w:val="0"/>
      <w:divBdr>
        <w:top w:val="none" w:sz="0" w:space="0" w:color="auto"/>
        <w:left w:val="none" w:sz="0" w:space="0" w:color="auto"/>
        <w:bottom w:val="none" w:sz="0" w:space="0" w:color="auto"/>
        <w:right w:val="none" w:sz="0" w:space="0" w:color="auto"/>
      </w:divBdr>
    </w:div>
    <w:div w:id="1340543802">
      <w:bodyDiv w:val="1"/>
      <w:marLeft w:val="0"/>
      <w:marRight w:val="0"/>
      <w:marTop w:val="0"/>
      <w:marBottom w:val="0"/>
      <w:divBdr>
        <w:top w:val="none" w:sz="0" w:space="0" w:color="auto"/>
        <w:left w:val="none" w:sz="0" w:space="0" w:color="auto"/>
        <w:bottom w:val="none" w:sz="0" w:space="0" w:color="auto"/>
        <w:right w:val="none" w:sz="0" w:space="0" w:color="auto"/>
      </w:divBdr>
    </w:div>
    <w:div w:id="1385062399">
      <w:bodyDiv w:val="1"/>
      <w:marLeft w:val="0"/>
      <w:marRight w:val="0"/>
      <w:marTop w:val="0"/>
      <w:marBottom w:val="0"/>
      <w:divBdr>
        <w:top w:val="none" w:sz="0" w:space="0" w:color="auto"/>
        <w:left w:val="none" w:sz="0" w:space="0" w:color="auto"/>
        <w:bottom w:val="none" w:sz="0" w:space="0" w:color="auto"/>
        <w:right w:val="none" w:sz="0" w:space="0" w:color="auto"/>
      </w:divBdr>
    </w:div>
    <w:div w:id="1492326562">
      <w:bodyDiv w:val="1"/>
      <w:marLeft w:val="0"/>
      <w:marRight w:val="0"/>
      <w:marTop w:val="0"/>
      <w:marBottom w:val="0"/>
      <w:divBdr>
        <w:top w:val="none" w:sz="0" w:space="0" w:color="auto"/>
        <w:left w:val="none" w:sz="0" w:space="0" w:color="auto"/>
        <w:bottom w:val="none" w:sz="0" w:space="0" w:color="auto"/>
        <w:right w:val="none" w:sz="0" w:space="0" w:color="auto"/>
      </w:divBdr>
    </w:div>
    <w:div w:id="1629579213">
      <w:bodyDiv w:val="1"/>
      <w:marLeft w:val="0"/>
      <w:marRight w:val="0"/>
      <w:marTop w:val="0"/>
      <w:marBottom w:val="0"/>
      <w:divBdr>
        <w:top w:val="none" w:sz="0" w:space="0" w:color="auto"/>
        <w:left w:val="none" w:sz="0" w:space="0" w:color="auto"/>
        <w:bottom w:val="none" w:sz="0" w:space="0" w:color="auto"/>
        <w:right w:val="none" w:sz="0" w:space="0" w:color="auto"/>
      </w:divBdr>
    </w:div>
    <w:div w:id="1650133734">
      <w:bodyDiv w:val="1"/>
      <w:marLeft w:val="0"/>
      <w:marRight w:val="0"/>
      <w:marTop w:val="0"/>
      <w:marBottom w:val="0"/>
      <w:divBdr>
        <w:top w:val="none" w:sz="0" w:space="0" w:color="auto"/>
        <w:left w:val="none" w:sz="0" w:space="0" w:color="auto"/>
        <w:bottom w:val="none" w:sz="0" w:space="0" w:color="auto"/>
        <w:right w:val="none" w:sz="0" w:space="0" w:color="auto"/>
      </w:divBdr>
    </w:div>
    <w:div w:id="1656765000">
      <w:bodyDiv w:val="1"/>
      <w:marLeft w:val="0"/>
      <w:marRight w:val="0"/>
      <w:marTop w:val="0"/>
      <w:marBottom w:val="0"/>
      <w:divBdr>
        <w:top w:val="none" w:sz="0" w:space="0" w:color="auto"/>
        <w:left w:val="none" w:sz="0" w:space="0" w:color="auto"/>
        <w:bottom w:val="none" w:sz="0" w:space="0" w:color="auto"/>
        <w:right w:val="none" w:sz="0" w:space="0" w:color="auto"/>
      </w:divBdr>
    </w:div>
    <w:div w:id="1748073919">
      <w:bodyDiv w:val="1"/>
      <w:marLeft w:val="0"/>
      <w:marRight w:val="0"/>
      <w:marTop w:val="0"/>
      <w:marBottom w:val="0"/>
      <w:divBdr>
        <w:top w:val="none" w:sz="0" w:space="0" w:color="auto"/>
        <w:left w:val="none" w:sz="0" w:space="0" w:color="auto"/>
        <w:bottom w:val="none" w:sz="0" w:space="0" w:color="auto"/>
        <w:right w:val="none" w:sz="0" w:space="0" w:color="auto"/>
      </w:divBdr>
    </w:div>
    <w:div w:id="1935632188">
      <w:bodyDiv w:val="1"/>
      <w:marLeft w:val="0"/>
      <w:marRight w:val="0"/>
      <w:marTop w:val="0"/>
      <w:marBottom w:val="0"/>
      <w:divBdr>
        <w:top w:val="none" w:sz="0" w:space="0" w:color="auto"/>
        <w:left w:val="none" w:sz="0" w:space="0" w:color="auto"/>
        <w:bottom w:val="none" w:sz="0" w:space="0" w:color="auto"/>
        <w:right w:val="none" w:sz="0" w:space="0" w:color="auto"/>
      </w:divBdr>
    </w:div>
    <w:div w:id="1944528334">
      <w:bodyDiv w:val="1"/>
      <w:marLeft w:val="0"/>
      <w:marRight w:val="0"/>
      <w:marTop w:val="0"/>
      <w:marBottom w:val="0"/>
      <w:divBdr>
        <w:top w:val="none" w:sz="0" w:space="0" w:color="auto"/>
        <w:left w:val="none" w:sz="0" w:space="0" w:color="auto"/>
        <w:bottom w:val="none" w:sz="0" w:space="0" w:color="auto"/>
        <w:right w:val="none" w:sz="0" w:space="0" w:color="auto"/>
      </w:divBdr>
    </w:div>
    <w:div w:id="2009404736">
      <w:bodyDiv w:val="1"/>
      <w:marLeft w:val="0"/>
      <w:marRight w:val="0"/>
      <w:marTop w:val="0"/>
      <w:marBottom w:val="0"/>
      <w:divBdr>
        <w:top w:val="none" w:sz="0" w:space="0" w:color="auto"/>
        <w:left w:val="none" w:sz="0" w:space="0" w:color="auto"/>
        <w:bottom w:val="none" w:sz="0" w:space="0" w:color="auto"/>
        <w:right w:val="none" w:sz="0" w:space="0" w:color="auto"/>
      </w:divBdr>
    </w:div>
    <w:div w:id="20978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5080d955-392b-4a47-8633-9de638dc2313">EN</EC_Collab_DocumentLanguage>
    <EC_Collab_Reference xmlns="5080d955-392b-4a47-8633-9de638dc2313" xsi:nil="true"/>
    <EC_Collab_Status xmlns="5080d955-392b-4a47-8633-9de638dc2313">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5CEEA53ED6B324AB222854FD8BCE1AF" ma:contentTypeVersion="2" ma:contentTypeDescription="Create a new document in this library." ma:contentTypeScope="" ma:versionID="2ac65ecd76c6eb8946a6b7d4182222b9">
  <xsd:schema xmlns:xsd="http://www.w3.org/2001/XMLSchema" xmlns:xs="http://www.w3.org/2001/XMLSchema" xmlns:p="http://schemas.microsoft.com/office/2006/metadata/properties" xmlns:ns2="http://schemas.microsoft.com/sharepoint/v3/fields" xmlns:ns3="5080d955-392b-4a47-8633-9de638dc2313" xmlns:ns4="5844f193-b267-46d7-afe9-1f837dd55ee2" targetNamespace="http://schemas.microsoft.com/office/2006/metadata/properties" ma:root="true" ma:fieldsID="03990d4033c5f405f19332f37be19f87" ns2:_="" ns3:_="" ns4:_="">
    <xsd:import namespace="http://schemas.microsoft.com/sharepoint/v3/fields"/>
    <xsd:import namespace="5080d955-392b-4a47-8633-9de638dc2313"/>
    <xsd:import namespace="5844f193-b267-46d7-afe9-1f837dd55ee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080d955-392b-4a47-8633-9de638dc231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5844f193-b267-46d7-afe9-1f837dd55e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954B-23D3-4CC6-89AD-78F27D31461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5844f193-b267-46d7-afe9-1f837dd55ee2"/>
    <ds:schemaRef ds:uri="5080d955-392b-4a47-8633-9de638dc231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866D1D73-BCEA-4313-B571-B03A74500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080d955-392b-4a47-8633-9de638dc2313"/>
    <ds:schemaRef ds:uri="5844f193-b267-46d7-afe9-1f837dd5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372F6-A2C3-429A-91DB-F0058BAB82ED}">
  <ds:schemaRefs>
    <ds:schemaRef ds:uri="http://schemas.microsoft.com/sharepoint/v3/contenttype/forms"/>
  </ds:schemaRefs>
</ds:datastoreItem>
</file>

<file path=customXml/itemProps4.xml><?xml version="1.0" encoding="utf-8"?>
<ds:datastoreItem xmlns:ds="http://schemas.openxmlformats.org/officeDocument/2006/customXml" ds:itemID="{68CCB854-D81E-4D72-B4C8-F002994F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3414</Words>
  <Characters>24927</Characters>
  <Application>Microsoft Office Word</Application>
  <DocSecurity>0</DocSecurity>
  <Lines>383</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2023-03-12T14:54:00Z</dcterms:created>
  <dcterms:modified xsi:type="dcterms:W3CDTF">2023-04-26T12:21:00Z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0x010100258AA79CEB83498886A3A086811232500035CEEA53ED6B324AB222854FD8BCE1AF</vt:lpwstr>
  </property>
  <property fmtid="{D5CDD505-2E9C-101B-9397-08002B2CF9AE}" pid="3" name="Level of sensitivity">
    <vt:lpwstr>Standard treatment</vt:lpwstr>
  </property>
  <property fmtid="{D5CDD505-2E9C-101B-9397-08002B2CF9AE}" pid="4" name="Last edited using">
    <vt:lpwstr>LW 8.1, Build 20230124</vt:lpwstr>
  </property>
  <property fmtid="{D5CDD505-2E9C-101B-9397-08002B2CF9AE}" pid="5" name="DocStatus">
    <vt:lpwstr>Green</vt:lpwstr>
  </property>
  <property fmtid="{D5CDD505-2E9C-101B-9397-08002B2CF9AE}" pid="6" name="MSIP_Label_6bd9ddd1-4d20-43f6-abfa-fc3c07406f94_Enabled">
    <vt:lpwstr>true</vt:lpwstr>
  </property>
  <property fmtid="{D5CDD505-2E9C-101B-9397-08002B2CF9AE}" pid="7" name="MSIP_Label_6bd9ddd1-4d20-43f6-abfa-fc3c07406f94_SetDate">
    <vt:lpwstr>2023-02-08T16:36:02Z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f8c3e537-0a3b-4b4e-8bbf-23e3ab99e880</vt:lpwstr>
  </property>
  <property fmtid="{D5CDD505-2E9C-101B-9397-08002B2CF9AE}" pid="12" name="MSIP_Label_6bd9ddd1-4d20-43f6-abfa-fc3c07406f94_ContentBits">
    <vt:lpwstr>0</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CP-012</vt:lpwstr>
  </property>
</Properties>
</file>