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D61A0" w14:textId="32FF304E" w:rsidR="008872EA" w:rsidRDefault="007D0D30" w:rsidP="007D0D30">
      <w:pPr>
        <w:pStyle w:val="Pagedecouverture"/>
        <w:rPr>
          <w:noProof/>
        </w:rPr>
      </w:pPr>
      <w:bookmarkStart w:id="0" w:name="LW_BM_COVERPAGE"/>
      <w:r>
        <w:rPr>
          <w:noProof/>
        </w:rPr>
        <w:pict w14:anchorId="1828F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2D2EDD3-D71A-4595-B2F1-5B48EF836407" style="width:455.25pt;height:324pt">
            <v:imagedata r:id="rId11" o:title=""/>
          </v:shape>
        </w:pict>
      </w:r>
    </w:p>
    <w:bookmarkEnd w:id="0"/>
    <w:p w14:paraId="1CF81D36" w14:textId="77777777" w:rsidR="00F2632A" w:rsidRPr="00F2632A" w:rsidRDefault="00F2632A" w:rsidP="00F2632A">
      <w:pPr>
        <w:pStyle w:val="Pagedecouverture"/>
        <w:rPr>
          <w:noProof/>
          <w:lang w:val="en-GB"/>
        </w:rPr>
        <w:sectPr w:rsidR="00F2632A" w:rsidRPr="00F2632A" w:rsidSect="007D0D3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B64A968" w14:textId="0DFF81ED" w:rsidR="008865D2" w:rsidRPr="008872EA" w:rsidRDefault="008865D2" w:rsidP="008865D2">
      <w:pPr>
        <w:spacing w:after="0" w:line="276" w:lineRule="auto"/>
        <w:jc w:val="both"/>
        <w:rPr>
          <w:rFonts w:ascii="Times New Roman" w:eastAsia="Times New Roman" w:hAnsi="Times New Roman" w:cs="Times New Roman"/>
          <w:noProof/>
          <w:sz w:val="24"/>
          <w:szCs w:val="24"/>
        </w:rPr>
      </w:pPr>
      <w:bookmarkStart w:id="1" w:name="_GoBack"/>
      <w:bookmarkEnd w:id="1"/>
      <w:r>
        <w:rPr>
          <w:rFonts w:ascii="Times New Roman" w:hAnsi="Times New Roman"/>
          <w:noProof/>
          <w:sz w:val="24"/>
        </w:rPr>
        <w:lastRenderedPageBreak/>
        <w:t>În cadrul reuniunii sale extraordinare din 9 februarie 2023, Consiliul European a reiterat importanța asigurării unui control eficace al frontierelor externe terestre și maritime ale UE, ca parte a unei abordări cuprinzătoare a migrației. În acest context, Consiliul a invitat Comisia Europeană să finalizeze rapid Strategia europeană de gestionare integrată a frontierelor („Strategia GEIF”).</w:t>
      </w:r>
    </w:p>
    <w:p w14:paraId="4FC3B7D9" w14:textId="77777777" w:rsidR="008865D2" w:rsidRPr="00DB7EFE" w:rsidRDefault="008865D2" w:rsidP="008865D2">
      <w:pPr>
        <w:spacing w:after="0" w:line="276" w:lineRule="auto"/>
        <w:jc w:val="both"/>
        <w:rPr>
          <w:rFonts w:ascii="Times New Roman" w:eastAsia="Times New Roman" w:hAnsi="Times New Roman" w:cs="Times New Roman"/>
          <w:noProof/>
          <w:sz w:val="24"/>
          <w:szCs w:val="24"/>
          <w:lang w:eastAsia="en-GB"/>
        </w:rPr>
      </w:pPr>
    </w:p>
    <w:p w14:paraId="6EDEC3AD" w14:textId="02F30B14" w:rsidR="00932082" w:rsidRPr="008872EA" w:rsidRDefault="008865D2" w:rsidP="00932082">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rPr>
      </w:pPr>
      <w:r>
        <w:rPr>
          <w:rFonts w:ascii="Times New Roman" w:hAnsi="Times New Roman"/>
          <w:noProof/>
          <w:sz w:val="24"/>
        </w:rPr>
        <w:t xml:space="preserve">Prezenta comunicare răspunde acestei solicitări, </w:t>
      </w:r>
      <w:r>
        <w:rPr>
          <w:rFonts w:ascii="Times New Roman" w:hAnsi="Times New Roman"/>
          <w:noProof/>
          <w:color w:val="000000"/>
          <w:sz w:val="24"/>
          <w:bdr w:val="none" w:sz="0" w:space="0" w:color="auto" w:frame="1"/>
          <w:shd w:val="clear" w:color="auto" w:fill="FFFFFF"/>
        </w:rPr>
        <w:t>instituind prima politică strategică multianuală („politica strategică GEIF”), pentru a oferi un cadru de politică comun și orientări comune pentru punerea în aplicare a unei gestionări europene integrate eficace a frontierelor</w:t>
      </w:r>
      <w:r>
        <w:rPr>
          <w:rStyle w:val="FootnoteReference"/>
          <w:rFonts w:ascii="Times New Roman" w:eastAsia="Times New Roman" w:hAnsi="Times New Roman" w:cs="Times New Roman"/>
          <w:noProof/>
          <w:color w:val="000000"/>
          <w:sz w:val="24"/>
          <w:szCs w:val="24"/>
          <w:bdr w:val="none" w:sz="0" w:space="0" w:color="auto" w:frame="1"/>
          <w:shd w:val="clear" w:color="auto" w:fill="FFFFFF"/>
          <w:lang w:val="en-GB" w:eastAsia="en-GB"/>
        </w:rPr>
        <w:footnoteReference w:id="2"/>
      </w:r>
      <w:r>
        <w:rPr>
          <w:rFonts w:ascii="Times New Roman" w:hAnsi="Times New Roman"/>
          <w:noProof/>
          <w:color w:val="000000"/>
          <w:sz w:val="24"/>
          <w:bdr w:val="none" w:sz="0" w:space="0" w:color="auto" w:frame="1"/>
          <w:shd w:val="clear" w:color="auto" w:fill="FFFFFF"/>
        </w:rPr>
        <w:t xml:space="preserve"> pentru perioada 2023-2027. </w:t>
      </w:r>
    </w:p>
    <w:p w14:paraId="5169B934" w14:textId="77777777" w:rsidR="00932082" w:rsidRPr="00DB7EFE" w:rsidRDefault="00932082" w:rsidP="00932082">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lang w:eastAsia="en-GB"/>
        </w:rPr>
      </w:pPr>
    </w:p>
    <w:p w14:paraId="44E6588A" w14:textId="7EDD8A1D" w:rsidR="00901A4E" w:rsidRPr="008872EA" w:rsidRDefault="00B70A41" w:rsidP="00932082">
      <w:pPr>
        <w:spacing w:after="0" w:line="276" w:lineRule="auto"/>
        <w:jc w:val="both"/>
        <w:rPr>
          <w:rFonts w:ascii="Times New Roman" w:eastAsia="Calibri" w:hAnsi="Times New Roman" w:cs="Times New Roman"/>
          <w:noProof/>
          <w:sz w:val="24"/>
          <w:szCs w:val="24"/>
        </w:rPr>
      </w:pPr>
      <w:r>
        <w:rPr>
          <w:rFonts w:ascii="Times New Roman" w:hAnsi="Times New Roman"/>
          <w:noProof/>
          <w:color w:val="000000"/>
          <w:sz w:val="24"/>
          <w:bdr w:val="none" w:sz="0" w:space="0" w:color="auto" w:frame="1"/>
          <w:shd w:val="clear" w:color="auto" w:fill="FFFFFF"/>
        </w:rPr>
        <w:t>Prioritățile de politică și orientările strategice pentru cele 15 componente ale GEIF prevăzute în anexa I se bazează pe documentul de politică din 24 mai 2022</w:t>
      </w:r>
      <w:r>
        <w:rPr>
          <w:rStyle w:val="FootnoteReference"/>
          <w:rFonts w:ascii="Times New Roman" w:eastAsia="Calibri" w:hAnsi="Times New Roman" w:cs="Times New Roman"/>
          <w:noProof/>
          <w:sz w:val="24"/>
          <w:szCs w:val="24"/>
          <w:lang w:val="en-GB"/>
        </w:rPr>
        <w:footnoteReference w:id="3"/>
      </w:r>
      <w:r>
        <w:rPr>
          <w:rFonts w:ascii="Times New Roman" w:hAnsi="Times New Roman"/>
          <w:noProof/>
          <w:color w:val="000000"/>
          <w:sz w:val="24"/>
          <w:bdr w:val="none" w:sz="0" w:space="0" w:color="auto" w:frame="1"/>
          <w:shd w:val="clear" w:color="auto" w:fill="FFFFFF"/>
        </w:rPr>
        <w:t xml:space="preserve"> care a lansat primul ciclu de politici strategice GEIF pe cinci ani și include contribuțiile primite de la părțile interesate în procesul de consultare. În special,</w:t>
      </w:r>
      <w:r>
        <w:rPr>
          <w:rFonts w:ascii="Times New Roman" w:hAnsi="Times New Roman"/>
          <w:noProof/>
          <w:sz w:val="24"/>
        </w:rPr>
        <w:t xml:space="preserve"> discuțiile interinstituționale au avut ca rezultat contribuții valoroase din partea Comisiei pentru libertăți civile, justiție și afaceri interne (LIBE)</w:t>
      </w:r>
      <w:r>
        <w:rPr>
          <w:rStyle w:val="FootnoteReference"/>
          <w:rFonts w:ascii="Times New Roman" w:eastAsia="Calibri" w:hAnsi="Times New Roman" w:cs="Times New Roman"/>
          <w:noProof/>
          <w:sz w:val="24"/>
          <w:szCs w:val="24"/>
          <w:lang w:val="en-GB"/>
        </w:rPr>
        <w:footnoteReference w:id="4"/>
      </w:r>
      <w:r>
        <w:rPr>
          <w:rFonts w:ascii="Times New Roman" w:hAnsi="Times New Roman"/>
          <w:noProof/>
          <w:sz w:val="24"/>
        </w:rPr>
        <w:t xml:space="preserve"> și concluzii ale Consiliului</w:t>
      </w:r>
      <w:r>
        <w:rPr>
          <w:rStyle w:val="FootnoteReference"/>
          <w:rFonts w:ascii="Times New Roman" w:eastAsia="Calibri" w:hAnsi="Times New Roman" w:cs="Times New Roman"/>
          <w:noProof/>
          <w:sz w:val="24"/>
          <w:szCs w:val="24"/>
          <w:lang w:val="en-GB"/>
        </w:rPr>
        <w:footnoteReference w:id="5"/>
      </w:r>
      <w:r>
        <w:rPr>
          <w:rFonts w:ascii="Times New Roman" w:hAnsi="Times New Roman"/>
          <w:noProof/>
          <w:sz w:val="24"/>
        </w:rPr>
        <w:t>, care au fost luate în considerare în prezenta comunicare și în anexele sale, în care este trasată, prin urmare, viziunea europeană comună pentru gestionarea europeană integrată a frontierelor în următorii cinci ani.</w:t>
      </w:r>
    </w:p>
    <w:p w14:paraId="257CE512" w14:textId="77777777" w:rsidR="00B70A41" w:rsidRPr="00DB7EFE" w:rsidRDefault="00B70A41" w:rsidP="00B70A41">
      <w:pPr>
        <w:spacing w:after="0" w:line="276" w:lineRule="auto"/>
        <w:jc w:val="both"/>
        <w:rPr>
          <w:rFonts w:ascii="Times New Roman" w:eastAsia="Calibri" w:hAnsi="Times New Roman" w:cs="Times New Roman"/>
          <w:noProof/>
          <w:sz w:val="24"/>
          <w:szCs w:val="24"/>
        </w:rPr>
      </w:pPr>
    </w:p>
    <w:p w14:paraId="284A57F2" w14:textId="77777777" w:rsidR="006C208A" w:rsidRDefault="00B70A41" w:rsidP="006C22D3">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rPr>
      </w:pPr>
      <w:r>
        <w:rPr>
          <w:rFonts w:ascii="Times New Roman" w:hAnsi="Times New Roman"/>
          <w:noProof/>
          <w:sz w:val="24"/>
        </w:rPr>
        <w:t>Pe baza Regulamentului de instituire a poliției de frontieră și gărzii de coastă la nivel european („Regulamentul EBCG”)</w:t>
      </w:r>
      <w:r>
        <w:rPr>
          <w:rStyle w:val="FootnoteReference"/>
          <w:rFonts w:ascii="Times New Roman" w:eastAsia="Times New Roman" w:hAnsi="Times New Roman" w:cs="Times New Roman"/>
          <w:noProof/>
          <w:sz w:val="24"/>
          <w:szCs w:val="24"/>
          <w:lang w:val="en-GB" w:eastAsia="en-GB"/>
        </w:rPr>
        <w:footnoteReference w:id="6"/>
      </w:r>
      <w:r>
        <w:rPr>
          <w:rFonts w:ascii="Times New Roman" w:hAnsi="Times New Roman"/>
          <w:noProof/>
          <w:sz w:val="24"/>
        </w:rPr>
        <w:t>, această strategie GEIF va orienta activitatea autorităților naționale ale statelor membre responsabile cu gestionarea frontierelor</w:t>
      </w:r>
      <w:r>
        <w:rPr>
          <w:rStyle w:val="FootnoteReference"/>
          <w:rFonts w:ascii="Times New Roman" w:eastAsia="Times New Roman" w:hAnsi="Times New Roman" w:cs="Times New Roman"/>
          <w:noProof/>
          <w:sz w:val="24"/>
          <w:szCs w:val="24"/>
          <w:lang w:val="en-GB" w:eastAsia="en-GB"/>
        </w:rPr>
        <w:footnoteReference w:id="7"/>
      </w:r>
      <w:r>
        <w:rPr>
          <w:rFonts w:ascii="Times New Roman" w:hAnsi="Times New Roman"/>
          <w:noProof/>
          <w:sz w:val="24"/>
        </w:rPr>
        <w:t xml:space="preserve"> și a Agenției Europene pentru Poliția de Frontieră și Garda de Coastă (denumită în continuare „agenția” sau „Frontex”), care alcătuiesc, împreună, poliția de frontieră și garda de coastă la nivel european. </w:t>
      </w:r>
      <w:r>
        <w:rPr>
          <w:rFonts w:ascii="Times New Roman" w:hAnsi="Times New Roman"/>
          <w:noProof/>
          <w:color w:val="000000"/>
          <w:sz w:val="24"/>
          <w:bdr w:val="none" w:sz="0" w:space="0" w:color="auto" w:frame="1"/>
          <w:shd w:val="clear" w:color="auto" w:fill="FFFFFF"/>
        </w:rPr>
        <w:t>La nivel operațional, această strategie reprezintă cadrul comun care ghidează activitatea zilnică a peste 120 000 de ofițeri ai poliției de frontieră și gărzii de coastă la nivel european din cadrul autorităților naționale ale statelor membre și al Frontex, în vederea unei gestionări europene integrate eficace și eficiente a frontierelor.</w:t>
      </w:r>
    </w:p>
    <w:p w14:paraId="39CC89A6" w14:textId="32D81FD7" w:rsidR="00FF136A" w:rsidRPr="008872EA" w:rsidRDefault="00B70A41" w:rsidP="006C22D3">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71C83D17" w14:textId="77777777" w:rsidR="002E1E99" w:rsidRPr="008872EA" w:rsidRDefault="002E1E99" w:rsidP="00EF63F0">
      <w:pPr>
        <w:pStyle w:val="ListParagraph"/>
        <w:keepNext/>
        <w:spacing w:after="200" w:line="276" w:lineRule="auto"/>
        <w:ind w:left="0"/>
        <w:jc w:val="both"/>
        <w:rPr>
          <w:b/>
          <w:bCs/>
          <w:i/>
          <w:iCs/>
          <w:smallCaps/>
          <w:noProof/>
          <w:color w:val="000000"/>
          <w:sz w:val="28"/>
          <w:szCs w:val="28"/>
          <w:u w:val="single"/>
        </w:rPr>
      </w:pPr>
      <w:r>
        <w:rPr>
          <w:rFonts w:ascii="Times New Roman" w:hAnsi="Times New Roman"/>
          <w:b/>
          <w:i/>
          <w:smallCaps/>
          <w:noProof/>
          <w:color w:val="000000"/>
          <w:sz w:val="28"/>
          <w:u w:val="single"/>
        </w:rPr>
        <w:t xml:space="preserve">Contextul strategic </w:t>
      </w:r>
    </w:p>
    <w:p w14:paraId="29DC8202" w14:textId="6272A709" w:rsidR="002E1E99" w:rsidRPr="008872EA" w:rsidRDefault="002E1E99" w:rsidP="002E1E99">
      <w:pPr>
        <w:spacing w:after="200" w:line="276" w:lineRule="auto"/>
        <w:jc w:val="both"/>
        <w:rPr>
          <w:rFonts w:ascii="Times New Roman" w:hAnsi="Times New Roman" w:cs="Times New Roman"/>
          <w:noProof/>
          <w:sz w:val="24"/>
          <w:szCs w:val="24"/>
        </w:rPr>
      </w:pPr>
      <w:r>
        <w:rPr>
          <w:rFonts w:ascii="Times New Roman" w:hAnsi="Times New Roman"/>
          <w:noProof/>
          <w:sz w:val="24"/>
        </w:rPr>
        <w:t>Analiza strategică a riscurilor</w:t>
      </w:r>
      <w:r>
        <w:rPr>
          <w:rStyle w:val="FootnoteReference"/>
          <w:rFonts w:ascii="Times New Roman" w:hAnsi="Times New Roman" w:cs="Times New Roman"/>
          <w:noProof/>
          <w:sz w:val="24"/>
          <w:szCs w:val="24"/>
          <w:lang w:val="en-GB"/>
        </w:rPr>
        <w:footnoteReference w:id="8"/>
      </w:r>
      <w:r>
        <w:rPr>
          <w:rFonts w:ascii="Times New Roman" w:hAnsi="Times New Roman"/>
          <w:noProof/>
          <w:sz w:val="24"/>
        </w:rPr>
        <w:t xml:space="preserve"> elaborată de Frontex identifică o serie de tendințe care afectează contextul în care funcționează GEIF. Printre acestea se numără atât megatendințele, cum ar fi inegalitățile globale mai ample, schimbările climatice, creșterea demografică și posibilele pandemii viitoare, cât și realitățile geopolitice și operaționale pe termen mai scurt. Se preconizează că aceste provocări vor avea un impact semnificativ asupra gestionării migrației și a returnărilor, precum și asupra modului în care trebuie protejate frontierele externe ale UE, ținând totodată seama de faptul că diferitele tipuri de frontiere (terestre, maritime și aeriene) necesită luarea unor măsuri diferite și că diferitele secțiuni ale frontierei vor fi afectate în moduri diferite, nu numai în funcție de volumul fluxurilor de migrație, ci și de direcția acestora. </w:t>
      </w:r>
    </w:p>
    <w:p w14:paraId="0B745AE0" w14:textId="52382BBD" w:rsidR="002E1E99" w:rsidRPr="008872EA" w:rsidRDefault="002E1E99" w:rsidP="002E1E99">
      <w:pPr>
        <w:spacing w:after="200" w:line="276" w:lineRule="auto"/>
        <w:jc w:val="both"/>
        <w:rPr>
          <w:rFonts w:ascii="Times New Roman" w:hAnsi="Times New Roman" w:cs="Times New Roman"/>
          <w:noProof/>
          <w:sz w:val="24"/>
          <w:szCs w:val="24"/>
        </w:rPr>
      </w:pPr>
      <w:r>
        <w:rPr>
          <w:rFonts w:ascii="Times New Roman" w:hAnsi="Times New Roman"/>
          <w:noProof/>
          <w:sz w:val="24"/>
        </w:rPr>
        <w:t xml:space="preserve">Evenimentele geopolitice recente au avut un impact profund asupra frontierelor externe ale UE și vor continua să aibă efecte în acest sens. Războiul de agresiune al Rusiei împotriva Ucrainei a reconfirmat realitatea unui context geopolitic ostil la frontierele estice ale Europei. Pe lângă rolul lor tradițional în controlul și supravegherea frontierelor, polițiștii de frontieră EBCG au jucat un rol esențial în facilitarea trecerii frontierei de către cei care au fugit din calea războiului de agresiune al Rusiei, protejând în același timp integritatea și securitatea frontierelor externe ale UE. </w:t>
      </w:r>
    </w:p>
    <w:p w14:paraId="09CEF62E" w14:textId="7B1FBE0B" w:rsidR="002E1E99" w:rsidRPr="008872EA" w:rsidRDefault="006C208A" w:rsidP="002E1E99">
      <w:pPr>
        <w:spacing w:after="200" w:line="276" w:lineRule="auto"/>
        <w:jc w:val="both"/>
        <w:rPr>
          <w:rFonts w:ascii="Times New Roman" w:hAnsi="Times New Roman" w:cs="Times New Roman"/>
          <w:noProof/>
          <w:sz w:val="24"/>
          <w:szCs w:val="24"/>
        </w:rPr>
      </w:pPr>
      <w:r>
        <w:rPr>
          <w:rFonts w:ascii="Times New Roman" w:hAnsi="Times New Roman"/>
          <w:noProof/>
          <w:sz w:val="24"/>
        </w:rPr>
        <w:t xml:space="preserve">UE s-a confruntat, de asemenea, cu noua realitate a instrumentalizării migrației în scopuri politice, o tendință nouă care pune sub semnul întrebării abordările tradiționale ale gestionării frontierelor externe și care riscă să genereze noi provocări în viitor. Pe lângă instrumentalizarea deliberată de către actorii statali, situația de la frontierele externe maritime și terestre se caracterizează, de asemenea, prin faptul că rețelele infracționale bine organizate care și-au mărit capacitatea și complexitatea continuă să opereze neîntrerupt, creând provocări suplimentare pentru gestionarea eficace a frontierelor externe. </w:t>
      </w:r>
    </w:p>
    <w:p w14:paraId="63C6FC07" w14:textId="229D3F54" w:rsidR="002E1E99" w:rsidRPr="008872EA" w:rsidRDefault="002E1E99" w:rsidP="002E1E99">
      <w:pPr>
        <w:spacing w:after="240" w:line="276" w:lineRule="auto"/>
        <w:jc w:val="both"/>
        <w:rPr>
          <w:rFonts w:ascii="Times New Roman" w:hAnsi="Times New Roman" w:cs="Times New Roman"/>
          <w:noProof/>
          <w:sz w:val="24"/>
          <w:szCs w:val="24"/>
        </w:rPr>
      </w:pPr>
      <w:r>
        <w:rPr>
          <w:rFonts w:ascii="Times New Roman" w:hAnsi="Times New Roman"/>
          <w:noProof/>
          <w:sz w:val="24"/>
        </w:rPr>
        <w:t>Politica de returnare a UE va necesita, la rândul ei, acțiuni susținute, atât în ceea ce privește dimensiunea sa internă, cât și cea externă. Eficacitatea și eficiența sa sunt afectate de lipsa de coordonare între autoritățile din interiorul Uniunii Europene, precum și de cooperarea limitată a țărilor terțe. Potrivit Eurostat, din cele 340 515 decizii de returnare emise în 2021, numai 21 % au fost efectiv executate. În plus, doar cinci state membre sunt responsabile pentru 80 % din returnările facilitate de Frontex. Această eficacitate limitată erodează sprijinul pe termen lung și încrederea cetățenilor europeni în integritatea sistemului european de gestionare a migrației și a frontierelor.</w:t>
      </w:r>
    </w:p>
    <w:p w14:paraId="63BF9705" w14:textId="52DE4C28" w:rsidR="002E1E99" w:rsidRPr="008872EA" w:rsidRDefault="002E1E99" w:rsidP="002E1E99">
      <w:pPr>
        <w:spacing w:after="240" w:line="276" w:lineRule="auto"/>
        <w:jc w:val="both"/>
        <w:rPr>
          <w:rFonts w:ascii="Times New Roman" w:hAnsi="Times New Roman" w:cs="Times New Roman"/>
          <w:noProof/>
          <w:sz w:val="24"/>
          <w:szCs w:val="24"/>
        </w:rPr>
      </w:pPr>
      <w:r>
        <w:rPr>
          <w:rFonts w:ascii="Times New Roman" w:hAnsi="Times New Roman"/>
          <w:noProof/>
          <w:sz w:val="24"/>
        </w:rPr>
        <w:t>La nivel mondial, respectarea drepturilor omului și a obligațiilor internaționale este pusă sub semnul întrebării în mod regulat de către actori statali și nestatali, creând presiuni pe termen lung asupra sistemului global de protecție. În acest context, UE trebuie să își reafirme angajamentul de a efectua o gestionare eficientă și în condiții de siguranță a frontierelor noastre externe, cu respectarea deplină a dreptului Uniunii și a dreptului internațional, inclusiv a drepturilor fundamentale, astfel cum sunt consacrate în Carta drepturilor fundamentale a Uniunii Europene.</w:t>
      </w:r>
    </w:p>
    <w:p w14:paraId="48118C08" w14:textId="7E1B2C03" w:rsidR="002E1E99" w:rsidRPr="008872EA" w:rsidRDefault="002E1E99" w:rsidP="002E1E99">
      <w:pPr>
        <w:spacing w:after="200" w:line="276" w:lineRule="auto"/>
        <w:jc w:val="both"/>
        <w:rPr>
          <w:rFonts w:ascii="Times New Roman" w:hAnsi="Times New Roman" w:cs="Times New Roman"/>
          <w:noProof/>
          <w:sz w:val="24"/>
          <w:szCs w:val="24"/>
        </w:rPr>
      </w:pPr>
      <w:r>
        <w:rPr>
          <w:rFonts w:ascii="Times New Roman" w:hAnsi="Times New Roman"/>
          <w:noProof/>
          <w:sz w:val="24"/>
        </w:rPr>
        <w:t>Uniunea Europeană va trebui să rămână o destinație atractivă pentru talente, întreprinderi și turiști, contribuind la creșterea economică și la prosperitatea noastră de durată. În contextul unei concurențe economice sporite, rolul frontierelor externe și al infrastructurii informatice corespunzătoare în facilitarea călătoriilor a milioane de călători de bună-credință, identificând totodată posibilele riscuri în materie de securitate, va trebui dezvoltat în continuare pentru a contribui la creșterea economică și la securitatea pe termen lung a Europei.</w:t>
      </w:r>
    </w:p>
    <w:p w14:paraId="6435FA5A" w14:textId="5CF2AB81" w:rsidR="002E1E99" w:rsidRPr="008872EA" w:rsidRDefault="002E1E99" w:rsidP="002E1E99">
      <w:pPr>
        <w:spacing w:after="240" w:line="276" w:lineRule="auto"/>
        <w:jc w:val="both"/>
        <w:rPr>
          <w:rFonts w:ascii="Times New Roman" w:hAnsi="Times New Roman" w:cs="Times New Roman"/>
          <w:noProof/>
          <w:sz w:val="24"/>
          <w:szCs w:val="24"/>
        </w:rPr>
      </w:pPr>
      <w:r>
        <w:rPr>
          <w:rFonts w:ascii="Times New Roman" w:hAnsi="Times New Roman"/>
          <w:noProof/>
          <w:sz w:val="24"/>
        </w:rPr>
        <w:t xml:space="preserve">În cele din urmă – la un nivel mai operațional – creșterea polivalenței și a complexității gestionării integrate a frontierelor riscă, de asemenea, să conducă la o abordare fragmentată și necoordonată, cu prea mulți actori, fiind astfel dublate eforturile depuse de aceștia, precum și lacunele ce pot fi exploatate de rețelele infracționale. Pentru a preveni această situație și pentru a valorifica oportunitățile oferite de un număr mai mare de sisteme și de actori care operează în acest spațiu va fi necesară coordonarea între toți actorii din cadrul GEIF. </w:t>
      </w:r>
    </w:p>
    <w:p w14:paraId="0A19D516" w14:textId="38CD605A" w:rsidR="0017257A" w:rsidRPr="008872EA" w:rsidRDefault="0017257A" w:rsidP="002635E5">
      <w:pPr>
        <w:spacing w:after="200" w:line="276" w:lineRule="auto"/>
        <w:contextualSpacing/>
        <w:jc w:val="both"/>
        <w:rPr>
          <w:rFonts w:ascii="Times New Roman" w:eastAsia="Times New Roman" w:hAnsi="Times New Roman" w:cs="Times New Roman"/>
          <w:noProof/>
          <w:sz w:val="24"/>
          <w:szCs w:val="24"/>
        </w:rPr>
      </w:pPr>
      <w:r>
        <w:rPr>
          <w:rFonts w:ascii="Times New Roman" w:hAnsi="Times New Roman"/>
          <w:b/>
          <w:i/>
          <w:smallCaps/>
          <w:noProof/>
          <w:color w:val="000000"/>
          <w:sz w:val="28"/>
          <w:u w:val="single"/>
        </w:rPr>
        <w:t xml:space="preserve">Gestionarea europeană integrată a frontierelor – O politică strategică multianuală </w:t>
      </w:r>
    </w:p>
    <w:p w14:paraId="50546DDF" w14:textId="77777777" w:rsidR="00033257" w:rsidRPr="008872EA" w:rsidRDefault="00033257" w:rsidP="00F4303B">
      <w:pPr>
        <w:spacing w:after="0" w:line="276" w:lineRule="auto"/>
        <w:jc w:val="both"/>
        <w:rPr>
          <w:rFonts w:ascii="Times New Roman" w:eastAsia="Times New Roman" w:hAnsi="Times New Roman" w:cs="Times New Roman"/>
          <w:noProof/>
          <w:sz w:val="24"/>
          <w:szCs w:val="24"/>
          <w:lang w:val="en-GB" w:eastAsia="en-GB"/>
        </w:rPr>
      </w:pPr>
    </w:p>
    <w:p w14:paraId="5FA74301" w14:textId="2196ED86" w:rsidR="00033257" w:rsidRPr="008872EA" w:rsidRDefault="00033257" w:rsidP="00033257">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Aceste provocări strategice necesită un răspuns strategic din partea UE. GEIF constituie instrumentul de abordare a unor astfel de provocări, asigurându-se că frontierele externe ale Uniunii sunt gestionate în mod eficient, prin crearea unor sinergii între UE și nivelurile naționale. </w:t>
      </w:r>
    </w:p>
    <w:p w14:paraId="2EC26A89" w14:textId="77777777" w:rsidR="00033257" w:rsidRPr="008872EA" w:rsidRDefault="00033257" w:rsidP="00033257">
      <w:pPr>
        <w:spacing w:after="0" w:line="276" w:lineRule="auto"/>
        <w:jc w:val="both"/>
        <w:rPr>
          <w:rFonts w:ascii="Times New Roman" w:eastAsia="Times New Roman" w:hAnsi="Times New Roman" w:cs="Times New Roman"/>
          <w:noProof/>
          <w:sz w:val="24"/>
          <w:szCs w:val="24"/>
          <w:lang w:val="en-GB" w:eastAsia="en-GB"/>
        </w:rPr>
      </w:pPr>
    </w:p>
    <w:p w14:paraId="737DD632" w14:textId="0DADD20D" w:rsidR="00033257" w:rsidRPr="008872EA" w:rsidRDefault="00033257" w:rsidP="00033257">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acest scop, GEIF urmărește în paralel </w:t>
      </w:r>
      <w:r>
        <w:rPr>
          <w:rFonts w:ascii="Times New Roman" w:hAnsi="Times New Roman"/>
          <w:b/>
          <w:bCs/>
          <w:noProof/>
          <w:sz w:val="24"/>
        </w:rPr>
        <w:t>obiective</w:t>
      </w:r>
      <w:r>
        <w:rPr>
          <w:rFonts w:ascii="Times New Roman" w:hAnsi="Times New Roman"/>
          <w:noProof/>
          <w:sz w:val="24"/>
        </w:rPr>
        <w:t xml:space="preserve"> diferite: facilitarea trecerii legale a frontierei și creșterea eficienței politicii de returnare a Uniunii; asigurarea prevenirii eficace a trecerii neautorizate a frontierelor externe; prevenirea și depistarea infracțiunilor grave cu o dimensiune transfrontalieră, cum ar fi introducerea ilegală de migranți, terorismul, traficul de persoane, traficul de arme și traficul de droguri; realizarea unei cooperări eficace cu țările terțe, precum și asigurarea înregistrării rapide a persoanelor care au nevoie de protecție internațională sau care solicită protecție internațională și a furnizării prompte de îngrijire pentru aceste persoane. În concluzie, gestionarea europeană integrată a frontierelor trebuie să contribuie la un nivel ridicat de securitate internă în cadrul Uniunii, într-un mod care să respecte pe deplin drepturile fundamentale și să garanteze libera circulație a persoanelor în cadrul Uniunii.</w:t>
      </w:r>
    </w:p>
    <w:p w14:paraId="71072B5F" w14:textId="5473CB98" w:rsidR="00033257" w:rsidRPr="00DB7EFE" w:rsidRDefault="00033257" w:rsidP="00F4303B">
      <w:pPr>
        <w:spacing w:after="0" w:line="276" w:lineRule="auto"/>
        <w:jc w:val="both"/>
        <w:rPr>
          <w:rFonts w:ascii="Times New Roman" w:eastAsia="Times New Roman" w:hAnsi="Times New Roman" w:cs="Times New Roman"/>
          <w:noProof/>
          <w:sz w:val="24"/>
          <w:szCs w:val="24"/>
          <w:lang w:eastAsia="en-GB"/>
        </w:rPr>
      </w:pPr>
    </w:p>
    <w:p w14:paraId="01B7D2D3" w14:textId="2055348B" w:rsidR="00BE59B7" w:rsidRPr="008872EA" w:rsidRDefault="00014146" w:rsidP="00F4303B">
      <w:pPr>
        <w:spacing w:after="0" w:line="276" w:lineRule="auto"/>
        <w:jc w:val="both"/>
        <w:rPr>
          <w:rFonts w:ascii="Times New Roman" w:eastAsia="Times New Roman" w:hAnsi="Times New Roman" w:cs="Times New Roman"/>
          <w:noProof/>
          <w:sz w:val="24"/>
          <w:szCs w:val="24"/>
        </w:rPr>
      </w:pPr>
      <w:r>
        <w:rPr>
          <w:rFonts w:ascii="Times New Roman" w:hAnsi="Times New Roman"/>
          <w:b/>
          <w:noProof/>
          <w:sz w:val="24"/>
        </w:rPr>
        <w:t>Principiile GEIF</w:t>
      </w:r>
    </w:p>
    <w:p w14:paraId="47D09E69" w14:textId="77777777" w:rsidR="00BE59B7" w:rsidRPr="00DB7EFE" w:rsidRDefault="00BE59B7" w:rsidP="00F4303B">
      <w:pPr>
        <w:spacing w:after="0" w:line="276" w:lineRule="auto"/>
        <w:jc w:val="both"/>
        <w:rPr>
          <w:rFonts w:ascii="Times New Roman" w:eastAsia="Times New Roman" w:hAnsi="Times New Roman" w:cs="Times New Roman"/>
          <w:noProof/>
          <w:sz w:val="24"/>
          <w:szCs w:val="24"/>
          <w:lang w:eastAsia="en-GB"/>
        </w:rPr>
      </w:pPr>
    </w:p>
    <w:p w14:paraId="4BCA5491" w14:textId="5B4109B1" w:rsidR="00BE59B7" w:rsidRPr="008872EA" w:rsidRDefault="00BE59B7" w:rsidP="00BE59B7">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Aceste obiective se reflectă într-o serie de </w:t>
      </w:r>
      <w:r>
        <w:rPr>
          <w:rFonts w:ascii="Times New Roman" w:hAnsi="Times New Roman"/>
          <w:b/>
          <w:bCs/>
          <w:noProof/>
          <w:sz w:val="24"/>
        </w:rPr>
        <w:t>principii</w:t>
      </w:r>
      <w:r>
        <w:rPr>
          <w:rFonts w:ascii="Times New Roman" w:hAnsi="Times New Roman"/>
          <w:noProof/>
          <w:sz w:val="24"/>
        </w:rPr>
        <w:t xml:space="preserve">-cheie care decurg direct din Regulamentul EBCG și care sprijină </w:t>
      </w:r>
      <w:r>
        <w:rPr>
          <w:rFonts w:ascii="Times New Roman" w:hAnsi="Times New Roman"/>
          <w:i/>
          <w:iCs/>
          <w:noProof/>
          <w:sz w:val="24"/>
        </w:rPr>
        <w:t>orientările de politică și prioritățile strategice</w:t>
      </w:r>
      <w:r>
        <w:rPr>
          <w:rFonts w:ascii="Times New Roman" w:hAnsi="Times New Roman"/>
          <w:noProof/>
          <w:sz w:val="24"/>
        </w:rPr>
        <w:t xml:space="preserve"> pentru gestionarea europeană integrată a frontierelor prevăzute în anexa I la prezenta comunicare:</w:t>
      </w:r>
    </w:p>
    <w:p w14:paraId="5A2BE810" w14:textId="77777777" w:rsidR="002F751E" w:rsidRPr="00DB7EFE" w:rsidRDefault="002F751E" w:rsidP="00C8158C">
      <w:pPr>
        <w:spacing w:after="200" w:line="276" w:lineRule="auto"/>
        <w:contextualSpacing/>
        <w:jc w:val="both"/>
        <w:rPr>
          <w:rFonts w:ascii="Times New Roman" w:eastAsia="Times New Roman" w:hAnsi="Times New Roman" w:cs="Times New Roman"/>
          <w:noProof/>
          <w:sz w:val="24"/>
          <w:szCs w:val="24"/>
          <w:lang w:eastAsia="en-GB"/>
        </w:rPr>
      </w:pPr>
    </w:p>
    <w:p w14:paraId="7B152937" w14:textId="4E588513" w:rsidR="005706D2" w:rsidRPr="008872EA" w:rsidRDefault="001027A0" w:rsidP="008969D5">
      <w:p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 xml:space="preserve">În primul rând, punerea în aplicare a GEIF este o </w:t>
      </w:r>
      <w:r>
        <w:rPr>
          <w:rFonts w:ascii="Times New Roman" w:hAnsi="Times New Roman"/>
          <w:i/>
          <w:iCs/>
          <w:noProof/>
          <w:sz w:val="24"/>
        </w:rPr>
        <w:t>responsabilitate comună</w:t>
      </w:r>
      <w:r>
        <w:rPr>
          <w:rFonts w:ascii="Times New Roman" w:hAnsi="Times New Roman"/>
          <w:noProof/>
          <w:sz w:val="24"/>
        </w:rPr>
        <w:t xml:space="preserve"> a autorităților statelor membre însărcinate cu gestionarea frontierelor și cu returnarea și a Frontex, acestea formând, împreună, poliția de frontieră și garda de coastă la nivel european. În timp ce autoritățile naționale de gestionare a frontierelor își păstrează responsabilitatea principală pentru gestionarea propriilor secțiuni ale frontierelor externe, membrii poliției de frontieră și gărzii de coastă la nivel european au </w:t>
      </w:r>
      <w:r>
        <w:rPr>
          <w:rFonts w:ascii="Times New Roman" w:hAnsi="Times New Roman"/>
          <w:i/>
          <w:iCs/>
          <w:noProof/>
          <w:sz w:val="24"/>
        </w:rPr>
        <w:t>datoria de a coopera cu bună credință</w:t>
      </w:r>
      <w:r>
        <w:rPr>
          <w:rFonts w:ascii="Times New Roman" w:hAnsi="Times New Roman"/>
          <w:noProof/>
          <w:sz w:val="24"/>
        </w:rPr>
        <w:t xml:space="preserve"> și </w:t>
      </w:r>
      <w:r>
        <w:rPr>
          <w:rFonts w:ascii="Times New Roman" w:hAnsi="Times New Roman"/>
          <w:i/>
          <w:iCs/>
          <w:noProof/>
          <w:sz w:val="24"/>
        </w:rPr>
        <w:t>de a face schimb de informații</w:t>
      </w:r>
      <w:r>
        <w:rPr>
          <w:rFonts w:ascii="Times New Roman" w:hAnsi="Times New Roman"/>
          <w:noProof/>
          <w:sz w:val="24"/>
        </w:rPr>
        <w:t xml:space="preserve"> în cadrul comunității EBCG.</w:t>
      </w:r>
    </w:p>
    <w:p w14:paraId="6433AA81" w14:textId="5866E91E" w:rsidR="00496A05" w:rsidRPr="008872EA" w:rsidRDefault="005706D2" w:rsidP="008969D5">
      <w:p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 xml:space="preserve">În al doilea rând, GEIF se bazează pe </w:t>
      </w:r>
      <w:r>
        <w:rPr>
          <w:rFonts w:ascii="Times New Roman" w:hAnsi="Times New Roman"/>
          <w:i/>
          <w:iCs/>
          <w:noProof/>
          <w:sz w:val="24"/>
        </w:rPr>
        <w:t>modelul de control al accesului pe patru niveluri</w:t>
      </w:r>
      <w:r>
        <w:rPr>
          <w:rFonts w:ascii="Times New Roman" w:eastAsia="Calibri" w:hAnsi="Times New Roman" w:cs="Times New Roman"/>
          <w:noProof/>
          <w:sz w:val="24"/>
          <w:szCs w:val="24"/>
          <w:vertAlign w:val="superscript"/>
          <w:lang w:val="en-GB"/>
        </w:rPr>
        <w:footnoteReference w:id="9"/>
      </w:r>
      <w:r>
        <w:rPr>
          <w:rFonts w:ascii="Times New Roman" w:hAnsi="Times New Roman"/>
          <w:noProof/>
          <w:sz w:val="24"/>
        </w:rPr>
        <w:t>, care cuprinde măsuri în țările terțe, măsuri cu țările terțe învecinate, măsuri de control la frontierele externe și măsuri în interiorul spațiului Schengen și în materie de returnare. Frontex și statele membre ar trebui să ia măsuri și să le adapteze apoi la toate nivelurile pe baza analizei riscurilor.</w:t>
      </w:r>
      <w:r w:rsidR="0069724D">
        <w:rPr>
          <w:rFonts w:ascii="Times New Roman" w:hAnsi="Times New Roman"/>
          <w:noProof/>
          <w:sz w:val="24"/>
        </w:rPr>
        <w:t xml:space="preserve"> </w:t>
      </w:r>
    </w:p>
    <w:p w14:paraId="37FABC43" w14:textId="24481605" w:rsidR="00F72BE7" w:rsidRPr="008872EA" w:rsidRDefault="00F72BE7" w:rsidP="008969D5">
      <w:p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 xml:space="preserve">În al treilea rând, </w:t>
      </w:r>
      <w:r>
        <w:rPr>
          <w:rFonts w:ascii="Times New Roman" w:hAnsi="Times New Roman"/>
          <w:i/>
          <w:iCs/>
          <w:noProof/>
          <w:sz w:val="24"/>
        </w:rPr>
        <w:t>conștientizarea cuprinzătoare și în timp aproape real a situației</w:t>
      </w:r>
      <w:r>
        <w:rPr>
          <w:rFonts w:ascii="Times New Roman" w:hAnsi="Times New Roman"/>
          <w:noProof/>
          <w:sz w:val="24"/>
        </w:rPr>
        <w:t xml:space="preserve"> este indispensabilă pentru ca poliția de frontieră și garda de coastă la nivel european să poată răspunde corect și prompt la amenințările emergente. Acest lucru necesită un tablou situațional european cuprinzător, care să fie elaborat și actualizat în mod constant de Frontex la nivelul UE și de statele membre la nivel național. Ca bază principală pentru ilustrarea situației de la frontierele externe ale UE, EUROSUR ar trebui pus efectiv în aplicare și ar trebui dezvoltate în continuare noi aplicații operaționale, alături de standarde comune de gestionare a informațiilor elaborate în comun de Frontex, de statele membre și de Comisie</w:t>
      </w:r>
      <w:r>
        <w:rPr>
          <w:rStyle w:val="FootnoteReference"/>
          <w:rFonts w:ascii="Times New Roman" w:eastAsia="Calibri" w:hAnsi="Times New Roman" w:cs="Times New Roman"/>
          <w:noProof/>
          <w:sz w:val="24"/>
          <w:szCs w:val="24"/>
          <w:lang w:val="en-GB"/>
        </w:rPr>
        <w:footnoteReference w:id="10"/>
      </w:r>
      <w:r>
        <w:rPr>
          <w:rFonts w:ascii="Times New Roman" w:hAnsi="Times New Roman"/>
          <w:noProof/>
          <w:sz w:val="24"/>
        </w:rPr>
        <w:t>.</w:t>
      </w:r>
    </w:p>
    <w:p w14:paraId="2DC4CB1A" w14:textId="6E82EC1E" w:rsidR="00A337FD" w:rsidRPr="008872EA" w:rsidRDefault="00F72BE7" w:rsidP="008969D5">
      <w:pPr>
        <w:spacing w:after="200" w:line="276" w:lineRule="auto"/>
        <w:jc w:val="both"/>
        <w:rPr>
          <w:rFonts w:ascii="Times New Roman" w:eastAsia="Calibri" w:hAnsi="Times New Roman" w:cs="Times New Roman"/>
          <w:noProof/>
          <w:sz w:val="24"/>
          <w:szCs w:val="24"/>
        </w:rPr>
      </w:pPr>
      <w:r>
        <w:rPr>
          <w:rFonts w:ascii="Times New Roman" w:hAnsi="Times New Roman"/>
          <w:noProof/>
          <w:sz w:val="24"/>
        </w:rPr>
        <w:t xml:space="preserve">În al patrulea rând, punerea în aplicare a GEIF se bazează pe </w:t>
      </w:r>
      <w:r>
        <w:rPr>
          <w:rFonts w:ascii="Times New Roman" w:hAnsi="Times New Roman"/>
          <w:i/>
          <w:iCs/>
          <w:noProof/>
          <w:sz w:val="24"/>
        </w:rPr>
        <w:t>disponibilitatea constantă de a răspunde amenințărilor emergente</w:t>
      </w:r>
      <w:r>
        <w:rPr>
          <w:rFonts w:ascii="Times New Roman" w:hAnsi="Times New Roman"/>
          <w:noProof/>
          <w:sz w:val="24"/>
        </w:rPr>
        <w:t xml:space="preserve"> și de a furniza instrumentele necesare pentru a răspunde unor astfel de amenințări la frontierele externe și pentru a le gestiona.</w:t>
      </w:r>
      <w:r>
        <w:rPr>
          <w:rFonts w:ascii="Times New Roman" w:hAnsi="Times New Roman"/>
          <w:i/>
          <w:noProof/>
          <w:sz w:val="24"/>
        </w:rPr>
        <w:t xml:space="preserve"> </w:t>
      </w:r>
      <w:r>
        <w:rPr>
          <w:rFonts w:ascii="Times New Roman" w:hAnsi="Times New Roman"/>
          <w:noProof/>
          <w:sz w:val="24"/>
        </w:rPr>
        <w:t xml:space="preserve">Pentru a asigura funcționarea cu succes a </w:t>
      </w:r>
      <w:r>
        <w:rPr>
          <w:rFonts w:ascii="Times New Roman" w:hAnsi="Times New Roman"/>
          <w:i/>
          <w:noProof/>
          <w:sz w:val="24"/>
        </w:rPr>
        <w:t>poliției de frontieră și gărzii de coastă la nivel european</w:t>
      </w:r>
      <w:r>
        <w:rPr>
          <w:rFonts w:ascii="Times New Roman" w:hAnsi="Times New Roman"/>
          <w:noProof/>
          <w:sz w:val="24"/>
        </w:rPr>
        <w:t xml:space="preserve"> este necesar un </w:t>
      </w:r>
      <w:r>
        <w:rPr>
          <w:rFonts w:ascii="Times New Roman" w:hAnsi="Times New Roman"/>
          <w:i/>
          <w:iCs/>
          <w:noProof/>
          <w:sz w:val="24"/>
        </w:rPr>
        <w:t>sistem bine stabilit și integrat de coordonare, comunicare și planificare</w:t>
      </w:r>
      <w:r>
        <w:rPr>
          <w:rFonts w:ascii="Times New Roman" w:hAnsi="Times New Roman"/>
          <w:noProof/>
          <w:sz w:val="24"/>
        </w:rPr>
        <w:t xml:space="preserve"> între Frontex și autoritățile naționale responsabile cu gestionarea integrată a frontierelor. Prin urmare, </w:t>
      </w:r>
      <w:r>
        <w:rPr>
          <w:rFonts w:ascii="Times New Roman" w:hAnsi="Times New Roman"/>
          <w:i/>
          <w:iCs/>
          <w:noProof/>
          <w:sz w:val="24"/>
        </w:rPr>
        <w:t>abordarea între agenții</w:t>
      </w:r>
      <w:r>
        <w:rPr>
          <w:rFonts w:ascii="Times New Roman" w:hAnsi="Times New Roman"/>
          <w:noProof/>
          <w:sz w:val="24"/>
        </w:rPr>
        <w:t xml:space="preserve"> prevăzută în prezenta comunicare include orientări strategice menite să asigure o coordonare națională eficientă între autoritățile de gestionare a frontierelor și alte autorități competente de la frontierele externe, printre care și autoritățile vamale, pentru a putea gestiona fluxul de persoane și de bunuri la frontierele externe.</w:t>
      </w:r>
    </w:p>
    <w:p w14:paraId="7CA58D75" w14:textId="2FA91EB4" w:rsidR="005706D2" w:rsidRPr="008872EA" w:rsidRDefault="00A337FD" w:rsidP="006C22D3">
      <w:pPr>
        <w:spacing w:after="200" w:line="276" w:lineRule="auto"/>
        <w:jc w:val="both"/>
        <w:rPr>
          <w:rFonts w:ascii="Times New Roman" w:hAnsi="Times New Roman" w:cs="Times New Roman"/>
          <w:noProof/>
          <w:sz w:val="24"/>
          <w:szCs w:val="24"/>
        </w:rPr>
      </w:pPr>
      <w:r>
        <w:rPr>
          <w:rFonts w:ascii="Times New Roman" w:hAnsi="Times New Roman"/>
          <w:noProof/>
          <w:sz w:val="24"/>
        </w:rPr>
        <w:t xml:space="preserve">În fine, gestionarea europeană integrată a frontierelor necesită un grad înalt de specializare și de profesionalism. Poliția de frontieră și garda de coastă la nivel european ar trebui să dezvolte o </w:t>
      </w:r>
      <w:r>
        <w:rPr>
          <w:rFonts w:ascii="Times New Roman" w:hAnsi="Times New Roman"/>
          <w:i/>
          <w:iCs/>
          <w:noProof/>
          <w:sz w:val="24"/>
        </w:rPr>
        <w:t>cultură comună a polițiștilor de frontieră și un nivel ridicat de profesionalism</w:t>
      </w:r>
      <w:r>
        <w:rPr>
          <w:rFonts w:ascii="Times New Roman" w:hAnsi="Times New Roman"/>
          <w:noProof/>
          <w:sz w:val="24"/>
        </w:rPr>
        <w:t>, cu înalte valori etice și cu un nivel ridicat de integritate. Cursurile de formare ar trebui, de asemenea, să fie concepute de așa manieră încât să asigure respectarea deplină a drepturilor fundamentale în toate activitățile de gestionare a frontierelor, prin intermediul tuturor programelor de formare de bază și al unor cursuri specifice.</w:t>
      </w:r>
    </w:p>
    <w:p w14:paraId="36AEED28" w14:textId="344C065D" w:rsidR="003B2728" w:rsidRPr="008872EA" w:rsidRDefault="003B2728" w:rsidP="00F43217">
      <w:pPr>
        <w:keepNext/>
        <w:spacing w:after="0" w:line="276" w:lineRule="auto"/>
        <w:jc w:val="both"/>
        <w:rPr>
          <w:rFonts w:ascii="Times New Roman" w:hAnsi="Times New Roman" w:cs="Times New Roman"/>
          <w:b/>
          <w:bCs/>
          <w:noProof/>
          <w:sz w:val="24"/>
          <w:szCs w:val="24"/>
        </w:rPr>
      </w:pPr>
      <w:r>
        <w:rPr>
          <w:rFonts w:ascii="Times New Roman" w:hAnsi="Times New Roman"/>
          <w:b/>
          <w:noProof/>
          <w:sz w:val="24"/>
        </w:rPr>
        <w:t>De la principii la practică: componentele GEIF</w:t>
      </w:r>
    </w:p>
    <w:p w14:paraId="241D6C38" w14:textId="77777777" w:rsidR="003B2728" w:rsidRPr="00DB7EFE" w:rsidRDefault="003B2728" w:rsidP="00F43217">
      <w:pPr>
        <w:keepNext/>
        <w:spacing w:after="0" w:line="276" w:lineRule="auto"/>
        <w:jc w:val="both"/>
        <w:rPr>
          <w:rFonts w:ascii="Times New Roman" w:eastAsia="Calibri" w:hAnsi="Times New Roman" w:cs="Times New Roman"/>
          <w:noProof/>
          <w:sz w:val="24"/>
          <w:szCs w:val="24"/>
          <w:lang w:val="fr-BE"/>
        </w:rPr>
      </w:pPr>
    </w:p>
    <w:p w14:paraId="682F05DC" w14:textId="367498DE" w:rsidR="00032519" w:rsidRPr="008872EA" w:rsidRDefault="00BB2DD5" w:rsidP="00032519">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Pe baza concluziilor Consiliului European, a concluziilor Consiliului și a contribuției valoroase a Parlamentului European care dau curs documentului de politică al Comisiei, prezenta comunicare identifică următoarele componente ale gestionării europene integrate a frontierelor de o importanță deosebită: </w:t>
      </w:r>
    </w:p>
    <w:p w14:paraId="64A7080E" w14:textId="309E6332" w:rsidR="006D0F16" w:rsidRPr="00DB7EFE" w:rsidRDefault="006D0F16" w:rsidP="008B0369">
      <w:pPr>
        <w:spacing w:after="0" w:line="276" w:lineRule="auto"/>
        <w:jc w:val="both"/>
        <w:rPr>
          <w:rFonts w:ascii="Times New Roman" w:eastAsia="Calibri" w:hAnsi="Times New Roman" w:cs="Times New Roman"/>
          <w:noProof/>
          <w:sz w:val="24"/>
          <w:szCs w:val="24"/>
          <w:lang w:val="fr-BE"/>
        </w:rPr>
      </w:pPr>
    </w:p>
    <w:p w14:paraId="214E5624" w14:textId="1908DD90" w:rsidR="000D22F4" w:rsidRPr="008872EA" w:rsidRDefault="0099782E" w:rsidP="000D22F4">
      <w:pPr>
        <w:spacing w:after="0" w:line="276" w:lineRule="auto"/>
        <w:jc w:val="both"/>
        <w:rPr>
          <w:rFonts w:ascii="Times New Roman" w:eastAsia="Calibri" w:hAnsi="Times New Roman" w:cs="Times New Roman"/>
          <w:b/>
          <w:i/>
          <w:noProof/>
          <w:sz w:val="24"/>
          <w:szCs w:val="24"/>
        </w:rPr>
      </w:pPr>
      <w:r>
        <w:rPr>
          <w:rFonts w:ascii="Times New Roman" w:hAnsi="Times New Roman"/>
          <w:b/>
          <w:i/>
          <w:noProof/>
          <w:sz w:val="24"/>
        </w:rPr>
        <w:t>Controlul la frontiere</w:t>
      </w:r>
    </w:p>
    <w:p w14:paraId="65DFEF3A" w14:textId="77777777" w:rsidR="000D22F4" w:rsidRPr="00DB7EFE" w:rsidRDefault="000D22F4" w:rsidP="000D22F4">
      <w:pPr>
        <w:spacing w:after="0" w:line="276" w:lineRule="auto"/>
        <w:jc w:val="both"/>
        <w:rPr>
          <w:rFonts w:ascii="Times New Roman" w:eastAsia="Calibri" w:hAnsi="Times New Roman" w:cs="Times New Roman"/>
          <w:noProof/>
          <w:sz w:val="24"/>
          <w:szCs w:val="24"/>
          <w:lang w:val="fr-BE"/>
        </w:rPr>
      </w:pPr>
    </w:p>
    <w:p w14:paraId="5061BA47" w14:textId="28A98ACD" w:rsidR="00FF5049" w:rsidRPr="008872EA" w:rsidRDefault="000D22F4" w:rsidP="000D22F4">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 xml:space="preserve">Controlul la frontierele externe prin supravegherea punctelor de trecere a frontierei pentru culoarele albastre și verzi și prin efectuarea de controale la punctele de trecere a frontierei reprezintă componenta fundamentală a GEIF, necesitând măsuri de politică și organizatorice pentru a consolida guvernanța în materie de migrație, pregătirea pentru situații de criză și pentru a contribui la asigurarea securității interne în UE. Poliția de frontieră și garda de coastă la nivel european, în cadrul căreia autoritățile competente ale statelor membre cooperează cu Frontex, este instrumentul central pentru atingerea acestui obiectiv. Pentru a fi eficace, este nevoie de o cooperare strânsă și fără sincope între toți actorii implicați. </w:t>
      </w:r>
    </w:p>
    <w:p w14:paraId="469CA32F" w14:textId="77777777" w:rsidR="00486409" w:rsidRPr="00DB7EFE" w:rsidRDefault="00486409" w:rsidP="000D22F4">
      <w:pPr>
        <w:spacing w:after="0" w:line="276" w:lineRule="auto"/>
        <w:jc w:val="both"/>
        <w:rPr>
          <w:rFonts w:ascii="Times New Roman" w:eastAsia="Calibri" w:hAnsi="Times New Roman" w:cs="Times New Roman"/>
          <w:noProof/>
          <w:sz w:val="24"/>
          <w:szCs w:val="24"/>
          <w:lang w:val="fr-BE"/>
        </w:rPr>
      </w:pPr>
    </w:p>
    <w:p w14:paraId="7F5D618E" w14:textId="6BFAD102" w:rsidR="00486409" w:rsidRPr="008872EA" w:rsidRDefault="002150C7" w:rsidP="000D22F4">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Supravegherea frontierelor necesită măsuri operaționale eficace din partea autorităților naționale ale statelor membre responsabile cu gestionarea frontierelor și o prezență sporită a corpului permanent al poliției de frontieră și gărzii de coastă la nivel european în zonele prefrontaliere, precum și consolidarea capacităților și a infrastructurii de protecție a frontierelor, a mijloacelor de supraveghere, inclusiv a supravegherii aeriene, și a echipamentelor. Supravegherea frontierelor trebuie să fie sprijinită de tablouri situaționale coerente și cuprinzătoare la nivel național și european, de o punere în aplicare eficientă a EUROSUR și de o analiză solidă a riscurilor. În cazul în care migranții sunt instrumentalizați, securizarea secțiunilor de frontieră afectate necesită o atenție sporită și eforturi susținute din partea statelor membre în cauză, în conformitate cu normele aplicabile ale Codului frontierelor Schengen</w:t>
      </w:r>
      <w:r>
        <w:rPr>
          <w:rStyle w:val="FootnoteReference"/>
          <w:rFonts w:ascii="Times New Roman" w:eastAsia="Calibri" w:hAnsi="Times New Roman" w:cs="Times New Roman"/>
          <w:noProof/>
          <w:sz w:val="24"/>
          <w:szCs w:val="24"/>
          <w:lang w:val="en-GB"/>
        </w:rPr>
        <w:footnoteReference w:id="11"/>
      </w:r>
      <w:r>
        <w:rPr>
          <w:rFonts w:ascii="Times New Roman" w:hAnsi="Times New Roman"/>
          <w:noProof/>
          <w:sz w:val="24"/>
        </w:rPr>
        <w:t xml:space="preserve">. </w:t>
      </w:r>
    </w:p>
    <w:p w14:paraId="6D2C62F1" w14:textId="77777777" w:rsidR="00486409" w:rsidRPr="00DB7EFE" w:rsidRDefault="00486409" w:rsidP="000D22F4">
      <w:pPr>
        <w:spacing w:after="0" w:line="276" w:lineRule="auto"/>
        <w:jc w:val="both"/>
        <w:rPr>
          <w:rFonts w:ascii="Times New Roman" w:eastAsia="Calibri" w:hAnsi="Times New Roman" w:cs="Times New Roman"/>
          <w:noProof/>
          <w:sz w:val="24"/>
          <w:szCs w:val="24"/>
        </w:rPr>
      </w:pPr>
    </w:p>
    <w:p w14:paraId="3FFD4571" w14:textId="612CFCEA" w:rsidR="00486409" w:rsidRPr="008872EA" w:rsidRDefault="002C64AB" w:rsidP="000D22F4">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În contextul verificărilor la frontiere, recenta propunere de modificare a Codului frontierelor Schengen are drept obiectiv să introducă o definiție a instrumentalizării migranților și norme clare care ar trebui respectate atunci când se răspunde la situațiile de instrumentalizare. Propunerea de regulament privind procedura de screening</w:t>
      </w:r>
      <w:r>
        <w:rPr>
          <w:rStyle w:val="FootnoteReference"/>
          <w:rFonts w:ascii="Times New Roman" w:eastAsia="Calibri" w:hAnsi="Times New Roman" w:cs="Times New Roman"/>
          <w:noProof/>
          <w:sz w:val="24"/>
          <w:szCs w:val="24"/>
          <w:lang w:val="en-GB"/>
        </w:rPr>
        <w:footnoteReference w:id="12"/>
      </w:r>
      <w:r>
        <w:rPr>
          <w:rFonts w:ascii="Times New Roman" w:hAnsi="Times New Roman"/>
          <w:noProof/>
          <w:sz w:val="24"/>
        </w:rPr>
        <w:t xml:space="preserve"> urmărește să asigure o mai bună imagine de ansamblu cu privire la persoanele care intră pe teritoriul național și să coreleze mai bine controalele la frontieră cu procedurile de returnare și de azil. În același timp, fluiditatea fluxului de călători de bună-credință ar trebui să fie o preocupare prioritară atât pentru planificarea securității, cât și pentru planificarea pentru situații neprevăzute. </w:t>
      </w:r>
    </w:p>
    <w:p w14:paraId="3C48F21B" w14:textId="77777777" w:rsidR="00486409" w:rsidRPr="00DB7EFE" w:rsidRDefault="00486409" w:rsidP="000D22F4">
      <w:pPr>
        <w:spacing w:after="0" w:line="276" w:lineRule="auto"/>
        <w:jc w:val="both"/>
        <w:rPr>
          <w:rFonts w:ascii="Times New Roman" w:eastAsia="Calibri" w:hAnsi="Times New Roman" w:cs="Times New Roman"/>
          <w:noProof/>
          <w:sz w:val="24"/>
          <w:szCs w:val="24"/>
        </w:rPr>
      </w:pPr>
    </w:p>
    <w:p w14:paraId="7F6C1653" w14:textId="77777777" w:rsidR="006C208A" w:rsidRDefault="00AE234C" w:rsidP="00A64843">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În acest sens, sistemele de informații ale UE pentru gestionarea frontierelor externe [SIS, EES, Sistemul de informații privind vizele (VIS) și Sistemul european de informații și de autorizare privind călătoriile (ETIAS)] și interoperabilitatea acestora vor asigura fluxuri fluide și sigure la punctele de trecere a frontierei, ducând nu numai la un volum mai mare de informații, ci și la o concepere și echipare adecvată a punctelor de trecere a frontierei, la armonizarea procedurilor desfășurate la frontieră și la creșterea eficacității.</w:t>
      </w:r>
    </w:p>
    <w:p w14:paraId="5A593A28" w14:textId="60E65587" w:rsidR="009213FD" w:rsidRPr="008872EA" w:rsidRDefault="003A6E24" w:rsidP="00A64843">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 xml:space="preserve"> </w:t>
      </w:r>
    </w:p>
    <w:p w14:paraId="6A0768BC" w14:textId="11E7088E" w:rsidR="005B0506" w:rsidRPr="008872EA" w:rsidRDefault="005B0506" w:rsidP="00F43217">
      <w:pPr>
        <w:keepNext/>
        <w:jc w:val="both"/>
        <w:rPr>
          <w:rFonts w:ascii="Times New Roman" w:eastAsia="Calibri" w:hAnsi="Times New Roman" w:cs="Times New Roman"/>
          <w:i/>
          <w:noProof/>
          <w:sz w:val="24"/>
          <w:szCs w:val="24"/>
        </w:rPr>
      </w:pPr>
      <w:r>
        <w:rPr>
          <w:rFonts w:ascii="Times New Roman" w:hAnsi="Times New Roman"/>
          <w:b/>
          <w:i/>
          <w:noProof/>
          <w:sz w:val="24"/>
        </w:rPr>
        <w:t>Un sistem comun al UE pentru returnări</w:t>
      </w:r>
      <w:r>
        <w:rPr>
          <w:rFonts w:ascii="Times New Roman" w:hAnsi="Times New Roman"/>
          <w:i/>
          <w:noProof/>
          <w:sz w:val="24"/>
        </w:rPr>
        <w:t xml:space="preserve"> </w:t>
      </w:r>
    </w:p>
    <w:p w14:paraId="401923CD" w14:textId="1960F790" w:rsidR="00617EA4" w:rsidRPr="008872EA" w:rsidRDefault="009569EE" w:rsidP="005B0506">
      <w:pPr>
        <w:jc w:val="both"/>
        <w:rPr>
          <w:rFonts w:ascii="Times New Roman" w:eastAsia="Calibri" w:hAnsi="Times New Roman" w:cs="Times New Roman"/>
          <w:noProof/>
          <w:sz w:val="24"/>
          <w:szCs w:val="24"/>
        </w:rPr>
      </w:pPr>
      <w:r>
        <w:rPr>
          <w:rFonts w:ascii="Times New Roman" w:hAnsi="Times New Roman"/>
          <w:noProof/>
          <w:sz w:val="24"/>
        </w:rPr>
        <w:t xml:space="preserve">La fel ca în cazul gestionării frontierelor externe, politica UE în materie de returnare se bazează pe o cooperare strânsă între UE și statele membre. Frontex are mandatul și instrumentele necesare pentru a fi componenta operațională a unui astfel de sistem. </w:t>
      </w:r>
    </w:p>
    <w:p w14:paraId="3D425B6A" w14:textId="553C37C2" w:rsidR="00617EA4" w:rsidRPr="008872EA" w:rsidRDefault="00C377AD" w:rsidP="005B0506">
      <w:pPr>
        <w:jc w:val="both"/>
        <w:rPr>
          <w:rFonts w:ascii="Times New Roman" w:eastAsia="Calibri" w:hAnsi="Times New Roman" w:cs="Times New Roman"/>
          <w:noProof/>
          <w:sz w:val="24"/>
          <w:szCs w:val="24"/>
        </w:rPr>
      </w:pPr>
      <w:r>
        <w:rPr>
          <w:rFonts w:ascii="Times New Roman" w:hAnsi="Times New Roman"/>
          <w:noProof/>
          <w:sz w:val="24"/>
        </w:rPr>
        <w:t xml:space="preserve">Având în vedere obiectivul general de a spori numărul de returnări efective, statele membre trebuie să solicite și să utilizeze pe deplin sprijinul disponibil din partea agenției pentru toate etapele procesului de returnare, în special: posibilitatea de a organiza operațiuni de returnare cu sprijinul Frontex; sprijin din partea Frontex pentru digitalizarea sistemelor naționale de gestionare a cazurilor de returnare pe baza sistemului dezvoltat de Frontex; sprijin pentru formarea și detașarea specialiștilor Frontex în materie de returnare; participarea la serviciile comune de reintegrare ale Frontex. </w:t>
      </w:r>
    </w:p>
    <w:p w14:paraId="62CCEBBA" w14:textId="5A01D756" w:rsidR="00617EA4" w:rsidRPr="008872EA" w:rsidRDefault="00A337FD" w:rsidP="005B0506">
      <w:pPr>
        <w:jc w:val="both"/>
        <w:rPr>
          <w:rFonts w:ascii="Times New Roman" w:eastAsia="Calibri" w:hAnsi="Times New Roman" w:cs="Times New Roman"/>
          <w:noProof/>
          <w:sz w:val="24"/>
          <w:szCs w:val="24"/>
        </w:rPr>
      </w:pPr>
      <w:r>
        <w:rPr>
          <w:rFonts w:ascii="Times New Roman" w:hAnsi="Times New Roman"/>
          <w:noProof/>
          <w:sz w:val="24"/>
        </w:rPr>
        <w:t>În acest scop, statele membre ar trebui să se asigure că strategiile lor naționale pentru GEIF stabilesc în detaliu modul de punere în practică a acestei cooperări. De asemenea, statele membre ar trebui să recurgă la noile instrumente aflate la dispoziția lor, cum ar fi noua caracteristică a Sistemului de informații Schengen care impune crearea de semnalări privind persoanele care fac obiectul deciziilor de returnare.</w:t>
      </w:r>
    </w:p>
    <w:p w14:paraId="5D88DF31" w14:textId="1417CE48" w:rsidR="00BB2DD5" w:rsidRPr="008872EA" w:rsidRDefault="00C377AD" w:rsidP="005B0506">
      <w:pPr>
        <w:jc w:val="both"/>
        <w:rPr>
          <w:rFonts w:ascii="Times New Roman" w:eastAsia="Calibri" w:hAnsi="Times New Roman" w:cs="Times New Roman"/>
          <w:noProof/>
          <w:sz w:val="24"/>
          <w:szCs w:val="24"/>
        </w:rPr>
      </w:pPr>
      <w:r>
        <w:rPr>
          <w:rFonts w:ascii="Times New Roman" w:hAnsi="Times New Roman"/>
          <w:noProof/>
          <w:sz w:val="24"/>
        </w:rPr>
        <w:t>Documentul de politică intitulat „</w:t>
      </w:r>
      <w:r>
        <w:rPr>
          <w:rFonts w:ascii="Times New Roman" w:hAnsi="Times New Roman"/>
          <w:b/>
          <w:bCs/>
          <w:noProof/>
          <w:sz w:val="24"/>
        </w:rPr>
        <w:t>Către o strategie operațională pentru returnări mai eficace</w:t>
      </w:r>
      <w:r>
        <w:rPr>
          <w:rFonts w:ascii="Times New Roman" w:hAnsi="Times New Roman"/>
          <w:noProof/>
          <w:sz w:val="24"/>
        </w:rPr>
        <w:t>”, adoptat de Comisie la 24 ianuarie 2023</w:t>
      </w:r>
      <w:r>
        <w:rPr>
          <w:rStyle w:val="FootnoteReference"/>
          <w:rFonts w:ascii="Times New Roman" w:eastAsia="Calibri" w:hAnsi="Times New Roman" w:cs="Times New Roman"/>
          <w:noProof/>
          <w:sz w:val="24"/>
          <w:szCs w:val="24"/>
          <w:lang w:val="en-GB"/>
        </w:rPr>
        <w:footnoteReference w:id="13"/>
      </w:r>
      <w:r>
        <w:rPr>
          <w:rFonts w:ascii="Times New Roman" w:hAnsi="Times New Roman"/>
          <w:noProof/>
          <w:sz w:val="24"/>
        </w:rPr>
        <w:t xml:space="preserve">, identifică domenii și acțiuni concrete pentru a facilita un proces de returnare fără sincope și interconectat, cu obiectivul general de a spori numărul returnărilor efective din UE. Strategia operațională trebuie să fie finalizată rapid de Rețeaua la nivel înalt pentru returnări, iar punerea sa în aplicare va fi coordonată de către coordonatorul pentru returnări și de Rețeaua la nivel înalt. </w:t>
      </w:r>
    </w:p>
    <w:p w14:paraId="2A17B618" w14:textId="7BB197A2" w:rsidR="00C90040" w:rsidRPr="008872EA" w:rsidRDefault="00062577" w:rsidP="00062577">
      <w:pPr>
        <w:jc w:val="both"/>
        <w:rPr>
          <w:rFonts w:ascii="Times New Roman" w:hAnsi="Times New Roman"/>
          <w:noProof/>
          <w:sz w:val="24"/>
        </w:rPr>
      </w:pPr>
      <w:r>
        <w:rPr>
          <w:rFonts w:ascii="Times New Roman" w:hAnsi="Times New Roman"/>
          <w:noProof/>
          <w:sz w:val="24"/>
        </w:rPr>
        <w:t>Recomandarea Comisiei privind recunoașterea reciprocă a deciziilor de returnare și accelerarea returnărilor, adoptată în paralel cu prezenta comunicare</w:t>
      </w:r>
      <w:r>
        <w:rPr>
          <w:rStyle w:val="FootnoteReference"/>
          <w:rFonts w:ascii="Times New Roman" w:hAnsi="Times New Roman"/>
          <w:noProof/>
          <w:sz w:val="24"/>
          <w:lang w:val="en-GB"/>
        </w:rPr>
        <w:footnoteReference w:id="14"/>
      </w:r>
      <w:r>
        <w:rPr>
          <w:rFonts w:ascii="Times New Roman" w:hAnsi="Times New Roman"/>
          <w:noProof/>
          <w:sz w:val="24"/>
        </w:rPr>
        <w:t>, reprezintă un pas important către un sistem comun al UE pentru returnări. Scopul acestei recomandări este de a spori convergența între statele membre în ceea ce privește gestionarea migrației, în vederea facilitării și a accelerării returnărilor.</w:t>
      </w:r>
    </w:p>
    <w:p w14:paraId="7305C219" w14:textId="77777777" w:rsidR="00F779B8" w:rsidRPr="008872EA" w:rsidRDefault="00C90040" w:rsidP="005B0506">
      <w:pPr>
        <w:jc w:val="both"/>
        <w:rPr>
          <w:rFonts w:ascii="Times New Roman" w:eastAsia="Calibri" w:hAnsi="Times New Roman" w:cs="Times New Roman"/>
          <w:b/>
          <w:i/>
          <w:noProof/>
          <w:sz w:val="24"/>
          <w:szCs w:val="24"/>
        </w:rPr>
      </w:pPr>
      <w:r>
        <w:rPr>
          <w:rFonts w:ascii="Times New Roman" w:hAnsi="Times New Roman"/>
          <w:b/>
          <w:i/>
          <w:noProof/>
          <w:sz w:val="24"/>
        </w:rPr>
        <w:t>Cooperarea cu țările terțe</w:t>
      </w:r>
    </w:p>
    <w:p w14:paraId="783B7085" w14:textId="76234A54" w:rsidR="005E3268" w:rsidRPr="008872EA" w:rsidRDefault="003D27D6" w:rsidP="005B0506">
      <w:pPr>
        <w:jc w:val="both"/>
        <w:rPr>
          <w:rFonts w:ascii="Times New Roman" w:eastAsia="Times New Roman" w:hAnsi="Times New Roman" w:cs="Times New Roman"/>
          <w:noProof/>
          <w:sz w:val="24"/>
          <w:szCs w:val="24"/>
        </w:rPr>
      </w:pPr>
      <w:r>
        <w:rPr>
          <w:rFonts w:ascii="Times New Roman" w:hAnsi="Times New Roman"/>
          <w:noProof/>
          <w:sz w:val="24"/>
        </w:rPr>
        <w:t xml:space="preserve">Gestionarea europeană integrată a frontierelor necesită intensificarea cooperării dintre statele membre și agenție cu țările terțe, pentru a contribui la consolidarea capacităților operaționale și de cooperare ale țărilor terțe în domeniile controlului la frontiere, analizei riscurilor, returnării și readmisiei. </w:t>
      </w:r>
    </w:p>
    <w:p w14:paraId="785065CD" w14:textId="42E77D4A" w:rsidR="00AA3C41" w:rsidRPr="008872EA" w:rsidRDefault="000E0740" w:rsidP="005B0506">
      <w:pPr>
        <w:jc w:val="both"/>
        <w:rPr>
          <w:rFonts w:ascii="Times New Roman" w:eastAsia="Times New Roman" w:hAnsi="Times New Roman" w:cs="Times New Roman"/>
          <w:noProof/>
          <w:sz w:val="24"/>
          <w:szCs w:val="24"/>
        </w:rPr>
      </w:pPr>
      <w:r>
        <w:rPr>
          <w:rFonts w:ascii="Times New Roman" w:hAnsi="Times New Roman"/>
          <w:noProof/>
          <w:sz w:val="24"/>
        </w:rPr>
        <w:t>În acest context, încheierea unor acorduri privind statutul și a unor acorduri de lucru care să permită cooperarea Frontex cu țările terțe, în concordanță cu dreptul Uniunii, aduce o contribuție esențială la o gestionare europeană integrată eficace a frontierelor. Acordurile privind statutul permit detașarea unor polițiști de frontieră ai Frontex în strânsă colaborare cu polițiștii de frontieră din țări terțe, contribuind la prevenirea migrației ilegale și la combaterea introducerii ilegale de migranți și a activităților infracționale.</w:t>
      </w:r>
    </w:p>
    <w:p w14:paraId="2CD2C526" w14:textId="67C23E92" w:rsidR="0062276B" w:rsidRPr="008872EA" w:rsidRDefault="000472A9" w:rsidP="005B0506">
      <w:pPr>
        <w:jc w:val="both"/>
        <w:rPr>
          <w:rFonts w:ascii="Times New Roman" w:eastAsia="Calibri" w:hAnsi="Times New Roman" w:cs="Times New Roman"/>
          <w:noProof/>
          <w:sz w:val="24"/>
          <w:szCs w:val="24"/>
        </w:rPr>
      </w:pPr>
      <w:r>
        <w:rPr>
          <w:rFonts w:ascii="Times New Roman" w:hAnsi="Times New Roman"/>
          <w:noProof/>
          <w:sz w:val="24"/>
        </w:rPr>
        <w:t>Comisia Europeană a negociat patru acorduri privind statutul</w:t>
      </w:r>
      <w:r>
        <w:rPr>
          <w:rStyle w:val="FootnoteReference"/>
          <w:rFonts w:ascii="Times New Roman" w:eastAsia="Calibri" w:hAnsi="Times New Roman" w:cs="Times New Roman"/>
          <w:noProof/>
          <w:sz w:val="24"/>
          <w:szCs w:val="24"/>
          <w:lang w:val="en-GB"/>
        </w:rPr>
        <w:footnoteReference w:id="15"/>
      </w:r>
      <w:r>
        <w:rPr>
          <w:rFonts w:ascii="Times New Roman" w:hAnsi="Times New Roman"/>
          <w:noProof/>
          <w:sz w:val="24"/>
        </w:rPr>
        <w:t xml:space="preserve"> în mai puțin de 12 luni, permițând detașarea operațională a echipelor de gestionare a frontierelor de către Frontex în țările terțe beneficiare. Consiliul are mandatul de a negocia acorduri similare cu alte patru țări. </w:t>
      </w:r>
    </w:p>
    <w:p w14:paraId="18C0811C" w14:textId="206140FA" w:rsidR="0062276B" w:rsidRPr="008872EA" w:rsidRDefault="00AA3C41" w:rsidP="005B0506">
      <w:pPr>
        <w:jc w:val="both"/>
        <w:rPr>
          <w:rFonts w:ascii="Times New Roman" w:eastAsia="Calibri" w:hAnsi="Times New Roman" w:cs="Times New Roman"/>
          <w:noProof/>
          <w:sz w:val="24"/>
          <w:szCs w:val="24"/>
        </w:rPr>
      </w:pPr>
      <w:r>
        <w:rPr>
          <w:rFonts w:ascii="Times New Roman" w:hAnsi="Times New Roman"/>
          <w:noProof/>
          <w:sz w:val="24"/>
        </w:rPr>
        <w:t>În plus, de la adoptarea modelului Comisiei pentru acordurile de lucru ale Frontex cu autoritățile de gestionare a frontierelor din țările terțe</w:t>
      </w:r>
      <w:r>
        <w:rPr>
          <w:rStyle w:val="FootnoteReference"/>
          <w:rFonts w:ascii="Times New Roman" w:eastAsia="Calibri" w:hAnsi="Times New Roman" w:cs="Times New Roman"/>
          <w:noProof/>
          <w:sz w:val="24"/>
          <w:szCs w:val="24"/>
          <w:lang w:val="en-GB"/>
        </w:rPr>
        <w:footnoteReference w:id="16"/>
      </w:r>
      <w:r>
        <w:rPr>
          <w:rFonts w:ascii="Times New Roman" w:hAnsi="Times New Roman"/>
          <w:noProof/>
          <w:sz w:val="24"/>
        </w:rPr>
        <w:t>, agenția a lansat negocieri pentru zece astfel de acorduri de lucru</w:t>
      </w:r>
      <w:r>
        <w:rPr>
          <w:rStyle w:val="FootnoteReference"/>
          <w:rFonts w:ascii="Times New Roman" w:eastAsia="Calibri" w:hAnsi="Times New Roman" w:cs="Times New Roman"/>
          <w:noProof/>
          <w:sz w:val="24"/>
          <w:szCs w:val="24"/>
          <w:lang w:val="en-GB"/>
        </w:rPr>
        <w:footnoteReference w:id="17"/>
      </w:r>
      <w:r>
        <w:rPr>
          <w:rFonts w:ascii="Times New Roman" w:hAnsi="Times New Roman"/>
          <w:noProof/>
          <w:sz w:val="24"/>
        </w:rPr>
        <w:t xml:space="preserve">, care se preconizează că vor fi încheiate în acest an. </w:t>
      </w:r>
    </w:p>
    <w:p w14:paraId="0D3892E2" w14:textId="068789DC" w:rsidR="005E3268" w:rsidRPr="008872EA" w:rsidRDefault="00AA3C41" w:rsidP="005B0506">
      <w:pPr>
        <w:jc w:val="both"/>
        <w:rPr>
          <w:rFonts w:ascii="Times New Roman" w:eastAsia="Calibri" w:hAnsi="Times New Roman" w:cs="Times New Roman"/>
          <w:noProof/>
          <w:sz w:val="24"/>
          <w:szCs w:val="24"/>
        </w:rPr>
      </w:pPr>
      <w:r>
        <w:rPr>
          <w:rFonts w:ascii="Times New Roman" w:hAnsi="Times New Roman"/>
          <w:noProof/>
          <w:sz w:val="24"/>
        </w:rPr>
        <w:t xml:space="preserve">De asemenea, Frontex și-a extins rețeaua de ofițeri de legătură în țări terțe, incluzând – cel mai recent – detașarea unui ofițer de legătură în regiunea Parteneriatului estic. Totodată, Frontex a propus detașarea unui ofițer de legătură care să acopere trei țări din Africa de Vest, inițiativă considerată a fi un demers pozitiv de către Comisie. </w:t>
      </w:r>
    </w:p>
    <w:p w14:paraId="36269CDB" w14:textId="46BF8429" w:rsidR="00FD5B68" w:rsidRPr="008872EA" w:rsidRDefault="00C90040" w:rsidP="00530D70">
      <w:pPr>
        <w:jc w:val="both"/>
        <w:rPr>
          <w:rFonts w:ascii="Times New Roman" w:eastAsia="Calibri" w:hAnsi="Times New Roman" w:cs="Times New Roman"/>
          <w:noProof/>
          <w:sz w:val="24"/>
          <w:szCs w:val="24"/>
        </w:rPr>
      </w:pPr>
      <w:r>
        <w:rPr>
          <w:rFonts w:ascii="Times New Roman" w:hAnsi="Times New Roman"/>
          <w:noProof/>
          <w:sz w:val="24"/>
        </w:rPr>
        <w:t xml:space="preserve">În general, elaborarea de măsuri concrete în țările terțe, cum ar fi detașarea de ofițeri de legătură europeni în materie de migrație și returnare și acordarea de sprijin financiar operațional pentru gestionarea frontierelor, inclusiv în țările terțe învecinate, ar putea deveni un instrument eficace care să contribuie la combaterea fluxurilor de migrație ilegală către UE, în concordanță cu abordarea cuprinzătoare a UE privind migrația. În acest sens, vecinătatea estică și sudică merită o atenție deosebită, la fel ca și țările terțe din care pornesc și prin care trec </w:t>
      </w:r>
      <w:r>
        <w:rPr>
          <w:rFonts w:ascii="Times New Roman" w:hAnsi="Times New Roman"/>
          <w:noProof/>
          <w:sz w:val="24"/>
          <w:shd w:val="clear" w:color="auto" w:fill="FFFFFF" w:themeFill="background1"/>
        </w:rPr>
        <w:t>principalele</w:t>
      </w:r>
      <w:r>
        <w:rPr>
          <w:rFonts w:ascii="Times New Roman" w:hAnsi="Times New Roman"/>
          <w:noProof/>
          <w:sz w:val="24"/>
        </w:rPr>
        <w:t xml:space="preserve"> rute de migrație către UE.</w:t>
      </w:r>
    </w:p>
    <w:p w14:paraId="1B8E8A25" w14:textId="77777777" w:rsidR="00F71562" w:rsidRPr="008872EA" w:rsidRDefault="00FD5B68" w:rsidP="005B0506">
      <w:pPr>
        <w:jc w:val="both"/>
        <w:rPr>
          <w:rFonts w:ascii="Times New Roman" w:eastAsia="Calibri" w:hAnsi="Times New Roman" w:cs="Times New Roman"/>
          <w:b/>
          <w:i/>
          <w:noProof/>
          <w:sz w:val="24"/>
          <w:szCs w:val="24"/>
        </w:rPr>
      </w:pPr>
      <w:r>
        <w:rPr>
          <w:rFonts w:ascii="Times New Roman" w:hAnsi="Times New Roman"/>
          <w:b/>
          <w:i/>
          <w:noProof/>
          <w:sz w:val="24"/>
        </w:rPr>
        <w:t>Cooperarea între agenții</w:t>
      </w:r>
    </w:p>
    <w:p w14:paraId="201417D1" w14:textId="13F2FB32" w:rsidR="001D38F0" w:rsidRPr="008872EA" w:rsidRDefault="00F71562" w:rsidP="005B0506">
      <w:pPr>
        <w:jc w:val="both"/>
        <w:rPr>
          <w:rFonts w:ascii="Times New Roman" w:eastAsia="Calibri" w:hAnsi="Times New Roman" w:cs="Times New Roman"/>
          <w:noProof/>
          <w:sz w:val="24"/>
          <w:szCs w:val="24"/>
        </w:rPr>
      </w:pPr>
      <w:r>
        <w:rPr>
          <w:rFonts w:ascii="Times New Roman" w:hAnsi="Times New Roman"/>
          <w:noProof/>
          <w:sz w:val="24"/>
        </w:rPr>
        <w:t xml:space="preserve">Intensificarea cooperării și îmbunătățirea schimbului de informații între toate autoritățile relevante la nivel național și la nivelul UE pentru a înțelege, a detecta și a răspunde mai bine amenințărilor de la frontierele externe ale UE reprezintă o componentă esențială a unei GEIF eficace. </w:t>
      </w:r>
    </w:p>
    <w:p w14:paraId="4E0E8D15" w14:textId="4837E219" w:rsidR="001D38F0" w:rsidRPr="008872EA" w:rsidRDefault="00490810" w:rsidP="005B0506">
      <w:pPr>
        <w:jc w:val="both"/>
        <w:rPr>
          <w:rFonts w:ascii="Times New Roman" w:eastAsia="Calibri" w:hAnsi="Times New Roman" w:cs="Times New Roman"/>
          <w:noProof/>
          <w:sz w:val="24"/>
          <w:szCs w:val="24"/>
        </w:rPr>
      </w:pPr>
      <w:r>
        <w:rPr>
          <w:rFonts w:ascii="Times New Roman" w:hAnsi="Times New Roman"/>
          <w:noProof/>
          <w:sz w:val="24"/>
        </w:rPr>
        <w:t>În acest sens, printre principalele agenții de la nivelul UE se numără Frontex, Agenția Uniunii Europene pentru Cooperare în Materie de Aplicare a Legii (Europol), Agenția Uniunii Europene pentru Azil (EUAA) și Agenția Uniunii Europene pentru Gestionarea Operațională a Sistemelor Informatice la Scară Largă în Spațiul de Libert</w:t>
      </w:r>
      <w:r w:rsidR="0069724D">
        <w:rPr>
          <w:rFonts w:ascii="Times New Roman" w:hAnsi="Times New Roman"/>
          <w:noProof/>
          <w:sz w:val="24"/>
        </w:rPr>
        <w:t>ate, Securitate și Justiție (eu­</w:t>
      </w:r>
      <w:r>
        <w:rPr>
          <w:rFonts w:ascii="Times New Roman" w:hAnsi="Times New Roman"/>
          <w:noProof/>
          <w:sz w:val="24"/>
        </w:rPr>
        <w:t xml:space="preserve">LISA). </w:t>
      </w:r>
    </w:p>
    <w:p w14:paraId="66AEAB76" w14:textId="5582F3A8" w:rsidR="00FD5B68" w:rsidRPr="008872EA" w:rsidRDefault="001D38F0" w:rsidP="00A64843">
      <w:pPr>
        <w:jc w:val="both"/>
        <w:rPr>
          <w:rFonts w:ascii="Times New Roman" w:eastAsia="Calibri" w:hAnsi="Times New Roman" w:cs="Times New Roman"/>
          <w:noProof/>
          <w:sz w:val="24"/>
          <w:szCs w:val="24"/>
        </w:rPr>
      </w:pPr>
      <w:r>
        <w:rPr>
          <w:rFonts w:ascii="Times New Roman" w:hAnsi="Times New Roman"/>
          <w:noProof/>
          <w:sz w:val="24"/>
        </w:rPr>
        <w:t xml:space="preserve">În plus, ar trebui să existe canale clare de comunicare și o cooperare consolidată între autoritățile de gestionare a frontierelor și alte autorități competente la nivel național, cum ar fi autoritățile vamale ale statelor membre, care să implice o diviziune bine definită a activității și structuri funcționale de cooperare. </w:t>
      </w:r>
    </w:p>
    <w:p w14:paraId="04FC365B" w14:textId="77777777" w:rsidR="005E3189" w:rsidRPr="008872EA" w:rsidRDefault="00FD5B68" w:rsidP="00EF63F0">
      <w:pPr>
        <w:keepNext/>
        <w:jc w:val="both"/>
        <w:rPr>
          <w:rFonts w:ascii="Times New Roman" w:eastAsia="Calibri" w:hAnsi="Times New Roman" w:cs="Times New Roman"/>
          <w:b/>
          <w:i/>
          <w:noProof/>
          <w:sz w:val="24"/>
          <w:szCs w:val="24"/>
        </w:rPr>
      </w:pPr>
      <w:r>
        <w:rPr>
          <w:rFonts w:ascii="Times New Roman" w:hAnsi="Times New Roman"/>
          <w:b/>
          <w:i/>
          <w:noProof/>
          <w:sz w:val="24"/>
        </w:rPr>
        <w:t>Utilizarea tehnologiilor de ultimă generație, inclusiv a sistemelor informatice la scară largă</w:t>
      </w:r>
    </w:p>
    <w:p w14:paraId="1EB7C518" w14:textId="6B926474" w:rsidR="00023801" w:rsidRPr="008872EA" w:rsidRDefault="004361DB" w:rsidP="005B0506">
      <w:pPr>
        <w:jc w:val="both"/>
        <w:rPr>
          <w:rFonts w:ascii="Times New Roman" w:eastAsia="Calibri" w:hAnsi="Times New Roman" w:cs="Times New Roman"/>
          <w:noProof/>
          <w:sz w:val="24"/>
          <w:szCs w:val="24"/>
        </w:rPr>
      </w:pPr>
      <w:r>
        <w:rPr>
          <w:rFonts w:ascii="Times New Roman" w:hAnsi="Times New Roman"/>
          <w:noProof/>
          <w:sz w:val="24"/>
        </w:rPr>
        <w:t xml:space="preserve">În întreaga UE, trebuie consolidate măsurile de monitorizare exactă și coerentă a circulației pasagerilor și a bunurilor către sau prin UE, inclusiv prin activități bazate pe informații (și anume, pe baza evaluării riscurilor). </w:t>
      </w:r>
    </w:p>
    <w:p w14:paraId="68BB8D55" w14:textId="4C1B859C" w:rsidR="00C06F39" w:rsidRPr="008872EA" w:rsidRDefault="00D577B1" w:rsidP="00023801">
      <w:pPr>
        <w:jc w:val="both"/>
        <w:rPr>
          <w:rFonts w:ascii="Times New Roman" w:eastAsia="Calibri" w:hAnsi="Times New Roman" w:cs="Times New Roman"/>
          <w:noProof/>
          <w:sz w:val="24"/>
          <w:szCs w:val="24"/>
        </w:rPr>
      </w:pPr>
      <w:r>
        <w:rPr>
          <w:rFonts w:ascii="Times New Roman" w:hAnsi="Times New Roman"/>
          <w:noProof/>
          <w:sz w:val="24"/>
        </w:rPr>
        <w:t xml:space="preserve">În plus, statele membre trebuie să asigure implementarea cu succes a sistemelor de informații noi și reînnoite ale UE în materie de frontiere și securitate (SIS, VIS, EES și ETIAS) și interoperabilitatea acestora, în concordanță cu termenele convenite. Faptul că sistemele de informații noi și revizuite ale UE vor începe să funcționeze va duce la consolidarea gestionării frontierelor și la sporirea capacității UE de a-și monitoriza frontierele externe. În plus, noile caracteristici oferite de registrul comun de raportare și statistici, care urmează să fie instituit de eu-LISA în 2024, ar trebui utilizate pentru a sprijini conștientizarea situației și pentru a identifica tendințele în materie de circulație. </w:t>
      </w:r>
    </w:p>
    <w:p w14:paraId="215C6B54" w14:textId="77777777" w:rsidR="007F76C5" w:rsidRPr="008872EA" w:rsidRDefault="00BB2DD5" w:rsidP="005B0506">
      <w:pPr>
        <w:jc w:val="both"/>
        <w:rPr>
          <w:rFonts w:ascii="Times New Roman" w:eastAsia="Calibri" w:hAnsi="Times New Roman" w:cs="Times New Roman"/>
          <w:b/>
          <w:i/>
          <w:noProof/>
          <w:sz w:val="24"/>
          <w:szCs w:val="24"/>
        </w:rPr>
      </w:pPr>
      <w:r>
        <w:rPr>
          <w:rFonts w:ascii="Times New Roman" w:hAnsi="Times New Roman"/>
          <w:b/>
          <w:i/>
          <w:noProof/>
          <w:sz w:val="24"/>
        </w:rPr>
        <w:t xml:space="preserve">Respectarea, protecția și promovarea drepturilor fundamentale </w:t>
      </w:r>
    </w:p>
    <w:p w14:paraId="1F5E04CB" w14:textId="16CD1F15" w:rsidR="00BB2DD5" w:rsidRPr="008872EA" w:rsidRDefault="0004469E" w:rsidP="005B0506">
      <w:pPr>
        <w:jc w:val="both"/>
        <w:rPr>
          <w:rFonts w:ascii="Times New Roman" w:eastAsia="Calibri" w:hAnsi="Times New Roman" w:cs="Times New Roman"/>
          <w:noProof/>
          <w:sz w:val="24"/>
          <w:szCs w:val="24"/>
        </w:rPr>
      </w:pPr>
      <w:bookmarkStart w:id="2" w:name="_Hlk129183133"/>
      <w:r>
        <w:rPr>
          <w:rFonts w:ascii="Times New Roman" w:hAnsi="Times New Roman"/>
          <w:noProof/>
          <w:sz w:val="24"/>
        </w:rPr>
        <w:t>Poliția de frontieră și garda de coastă la nivel european trebuie să garanteze protecția drepturilor fundamentale în îndeplinirea sarcinilor de gestionare a frontierelor, ca o componentă care se regăsește în toate activitățile sale.</w:t>
      </w:r>
      <w:r>
        <w:rPr>
          <w:noProof/>
        </w:rPr>
        <w:t xml:space="preserve"> </w:t>
      </w:r>
      <w:r>
        <w:rPr>
          <w:rFonts w:ascii="Times New Roman" w:hAnsi="Times New Roman"/>
          <w:noProof/>
          <w:sz w:val="24"/>
        </w:rPr>
        <w:t>Acțiunile actorilor de la nivelul UE și de la nivel național din cadrul poliției de frontieră și gărzii de coastă la nivel european ar trebui să se desfășoare, inclusiv în țările terțe, în deplină conformitate cu legislația relevantă a UE, inclusiv cu Carta drepturilor fundamentale a Uniunii Europene și cu dreptul internațional.</w:t>
      </w:r>
    </w:p>
    <w:p w14:paraId="44483FD1" w14:textId="14E4F607" w:rsidR="00372A5C" w:rsidRPr="008872EA" w:rsidRDefault="00EE1EC4" w:rsidP="00EE1EC4">
      <w:pPr>
        <w:jc w:val="both"/>
        <w:rPr>
          <w:rFonts w:ascii="Times New Roman" w:eastAsia="Calibri" w:hAnsi="Times New Roman" w:cs="Times New Roman"/>
          <w:noProof/>
          <w:sz w:val="24"/>
          <w:szCs w:val="24"/>
        </w:rPr>
      </w:pPr>
      <w:r>
        <w:rPr>
          <w:rFonts w:ascii="Times New Roman" w:hAnsi="Times New Roman"/>
          <w:noProof/>
          <w:sz w:val="24"/>
        </w:rPr>
        <w:t xml:space="preserve">Frontex și statele membre ar trebui să promoveze o cultură a GEIF caracterizată de respectarea dreptului UE și a dreptului internațional, inclusiv a principiului </w:t>
      </w:r>
      <w:r>
        <w:rPr>
          <w:rFonts w:ascii="Times New Roman" w:hAnsi="Times New Roman"/>
          <w:i/>
          <w:iCs/>
          <w:noProof/>
          <w:sz w:val="24"/>
        </w:rPr>
        <w:t>nereturnării</w:t>
      </w:r>
      <w:r>
        <w:rPr>
          <w:rFonts w:ascii="Times New Roman" w:hAnsi="Times New Roman"/>
          <w:noProof/>
          <w:sz w:val="24"/>
        </w:rPr>
        <w:t xml:space="preserve">, și de respectarea deplină a drepturilor fundamentale și ar trebui să integreze garanții privind drepturile fundamentale în toate activitățile lor. </w:t>
      </w:r>
    </w:p>
    <w:p w14:paraId="0BC84619" w14:textId="3CA067B2" w:rsidR="00EE1EC4" w:rsidRPr="008872EA" w:rsidRDefault="00EE1EC4" w:rsidP="00EE1EC4">
      <w:pPr>
        <w:jc w:val="both"/>
        <w:rPr>
          <w:rFonts w:ascii="Times New Roman" w:eastAsia="Calibri" w:hAnsi="Times New Roman" w:cs="Times New Roman"/>
          <w:noProof/>
          <w:sz w:val="24"/>
          <w:szCs w:val="24"/>
        </w:rPr>
      </w:pPr>
      <w:r>
        <w:rPr>
          <w:rFonts w:ascii="Times New Roman" w:hAnsi="Times New Roman"/>
          <w:noProof/>
          <w:sz w:val="24"/>
        </w:rPr>
        <w:t>Observatorii pentru drepturile fundamentale trebuie să protejeze și să promoveze respectarea drepturilor fundamentale ca element central al tuturor activităților poliției de frontieră și gărzii de coastă la nivel european, în cadrul fiecărei componente a GEIF. În plus, mecanismele naționale de monitorizare a drepturilor fundamentale, astfel cum au fost propuse de Comisie pentru screeningul resortisanților țărilor terțe</w:t>
      </w:r>
      <w:r>
        <w:rPr>
          <w:rStyle w:val="FootnoteReference"/>
          <w:rFonts w:ascii="Times New Roman" w:eastAsia="Calibri" w:hAnsi="Times New Roman" w:cs="Times New Roman"/>
          <w:noProof/>
          <w:sz w:val="24"/>
          <w:szCs w:val="24"/>
          <w:lang w:val="en-GB"/>
        </w:rPr>
        <w:footnoteReference w:id="18"/>
      </w:r>
      <w:r>
        <w:rPr>
          <w:rFonts w:ascii="Times New Roman" w:hAnsi="Times New Roman"/>
          <w:noProof/>
          <w:sz w:val="24"/>
        </w:rPr>
        <w:t>, pot aduce o contribuție importantă la sporirea transparenței și a responsabilității cu privire la situația de la frontierele externe ale UE.</w:t>
      </w:r>
    </w:p>
    <w:bookmarkEnd w:id="2"/>
    <w:p w14:paraId="12F32FFF" w14:textId="77777777" w:rsidR="004424AD" w:rsidRPr="008872EA" w:rsidRDefault="00372A5C" w:rsidP="005B0506">
      <w:pPr>
        <w:jc w:val="both"/>
        <w:rPr>
          <w:rFonts w:ascii="Times New Roman" w:eastAsia="Calibri" w:hAnsi="Times New Roman" w:cs="Times New Roman"/>
          <w:b/>
          <w:i/>
          <w:noProof/>
          <w:sz w:val="24"/>
          <w:szCs w:val="24"/>
        </w:rPr>
      </w:pPr>
      <w:r>
        <w:rPr>
          <w:rFonts w:ascii="Times New Roman" w:hAnsi="Times New Roman"/>
          <w:b/>
          <w:i/>
          <w:noProof/>
          <w:sz w:val="24"/>
        </w:rPr>
        <w:t>Un mecanism coerent și cuprinzător de control al calității</w:t>
      </w:r>
    </w:p>
    <w:p w14:paraId="511242AB" w14:textId="184F0EA1" w:rsidR="004424AD" w:rsidRPr="008872EA" w:rsidRDefault="004424AD" w:rsidP="005B0506">
      <w:pPr>
        <w:jc w:val="both"/>
        <w:rPr>
          <w:rFonts w:ascii="Times New Roman" w:eastAsia="Calibri" w:hAnsi="Times New Roman" w:cs="Times New Roman"/>
          <w:noProof/>
          <w:sz w:val="24"/>
          <w:szCs w:val="24"/>
        </w:rPr>
      </w:pPr>
      <w:r>
        <w:rPr>
          <w:rFonts w:ascii="Times New Roman" w:hAnsi="Times New Roman"/>
          <w:noProof/>
          <w:sz w:val="24"/>
        </w:rPr>
        <w:t xml:space="preserve">Evaluarea punerii în aplicare a acquis-ului Schengen la nivel național și la nivelul UE va contribui la consolidarea gestionării frontierelor externe și la punerea în aplicare a măsurilor care urmează să compenseze absența controalelor la frontieră în spațiul Schengen și care sunt acoperite în mod eficient de GEIF. </w:t>
      </w:r>
    </w:p>
    <w:p w14:paraId="30894EDE" w14:textId="0D0E8791" w:rsidR="00C13FD0" w:rsidRPr="008872EA" w:rsidRDefault="00372A5C" w:rsidP="004424AD">
      <w:pPr>
        <w:jc w:val="both"/>
        <w:rPr>
          <w:rFonts w:ascii="Times New Roman" w:eastAsia="Calibri" w:hAnsi="Times New Roman" w:cs="Times New Roman"/>
          <w:noProof/>
          <w:sz w:val="24"/>
          <w:szCs w:val="24"/>
        </w:rPr>
      </w:pPr>
      <w:r>
        <w:rPr>
          <w:rFonts w:ascii="Times New Roman" w:hAnsi="Times New Roman"/>
          <w:noProof/>
          <w:sz w:val="24"/>
        </w:rPr>
        <w:t xml:space="preserve">Mecanismul de control al calității este alcătuit în special din mecanismul de evaluare și monitorizare Schengen și din activitățile Frontex de evaluare a vulnerabilităților. Controlul calității reprezintă un element esențial al ciclului de guvernanță Schengen, permițând asigurarea unei conștientizări cuprinzătoare a situației la nivel național și la nivelul UE și servind drept bază pentru un dialog referitor la funcționarea spațiului Schengen. </w:t>
      </w:r>
    </w:p>
    <w:p w14:paraId="0DBF10AA" w14:textId="77777777" w:rsidR="003955AA" w:rsidRPr="008872EA" w:rsidRDefault="00C13FD0" w:rsidP="005B0506">
      <w:pPr>
        <w:jc w:val="both"/>
        <w:rPr>
          <w:rFonts w:ascii="Times New Roman" w:eastAsia="Calibri" w:hAnsi="Times New Roman" w:cs="Times New Roman"/>
          <w:i/>
          <w:noProof/>
          <w:sz w:val="24"/>
          <w:szCs w:val="24"/>
        </w:rPr>
      </w:pPr>
      <w:r>
        <w:rPr>
          <w:rFonts w:ascii="Times New Roman" w:hAnsi="Times New Roman"/>
          <w:b/>
          <w:i/>
          <w:noProof/>
          <w:sz w:val="24"/>
        </w:rPr>
        <w:t>Instrumentele de finanțare ale UE</w:t>
      </w:r>
      <w:r>
        <w:rPr>
          <w:rFonts w:ascii="Times New Roman" w:hAnsi="Times New Roman"/>
          <w:i/>
          <w:noProof/>
          <w:sz w:val="24"/>
        </w:rPr>
        <w:t xml:space="preserve"> </w:t>
      </w:r>
    </w:p>
    <w:p w14:paraId="6BC7203D" w14:textId="564F0340" w:rsidR="00027989" w:rsidRPr="008872EA" w:rsidRDefault="003955AA" w:rsidP="005B0506">
      <w:pPr>
        <w:jc w:val="both"/>
        <w:rPr>
          <w:rFonts w:ascii="Times New Roman" w:eastAsia="Calibri" w:hAnsi="Times New Roman" w:cs="Times New Roman"/>
          <w:noProof/>
          <w:sz w:val="24"/>
          <w:szCs w:val="24"/>
        </w:rPr>
      </w:pPr>
      <w:r>
        <w:rPr>
          <w:rFonts w:ascii="Times New Roman" w:hAnsi="Times New Roman"/>
          <w:noProof/>
          <w:sz w:val="24"/>
        </w:rPr>
        <w:t xml:space="preserve">Instrumentele de finanțare ale UE joacă un rol esențial în punerea în aplicare eficace a strategiei GEIF, în special a Instrumentului pentru managementul frontierelor și vize (IGFV) și a Fondului pentru azil, migrație și integrare (FAMI). Fondurile UE vor sprijini acțiunile GEIF de la nivelul UE și de la nivel național. </w:t>
      </w:r>
    </w:p>
    <w:p w14:paraId="5417CFBC" w14:textId="7043A677" w:rsidR="00C13FD0" w:rsidRPr="008872EA" w:rsidRDefault="003F1830" w:rsidP="005B0506">
      <w:pPr>
        <w:jc w:val="both"/>
        <w:rPr>
          <w:rFonts w:ascii="Times New Roman" w:eastAsia="Calibri" w:hAnsi="Times New Roman" w:cs="Times New Roman"/>
          <w:noProof/>
          <w:sz w:val="24"/>
          <w:szCs w:val="24"/>
        </w:rPr>
      </w:pPr>
      <w:r>
        <w:rPr>
          <w:rFonts w:ascii="Times New Roman" w:hAnsi="Times New Roman"/>
          <w:noProof/>
          <w:sz w:val="24"/>
        </w:rPr>
        <w:t>Atunci când utilizează instrumentele de finanțare ale UE, este esențial ca statele membre să urmărească să își fixeze prioritățile în concordanță cu obiectivele GEIF, în vederea obținerii unei valori adăugate maxime la nivelul UE. În plus, activitățile Frontex sunt sprijinite de bugetul specific al agenției care provine din bugetul general al UE.</w:t>
      </w:r>
      <w:r w:rsidR="0069724D">
        <w:rPr>
          <w:rFonts w:ascii="Times New Roman" w:hAnsi="Times New Roman"/>
          <w:noProof/>
          <w:sz w:val="24"/>
        </w:rPr>
        <w:t xml:space="preserve"> </w:t>
      </w:r>
      <w:r>
        <w:rPr>
          <w:rFonts w:ascii="Times New Roman" w:hAnsi="Times New Roman"/>
          <w:noProof/>
          <w:sz w:val="24"/>
        </w:rPr>
        <w:t xml:space="preserve"> </w:t>
      </w:r>
    </w:p>
    <w:p w14:paraId="33F6F55C" w14:textId="413F1D8B" w:rsidR="00C05EB4" w:rsidRPr="008872EA" w:rsidRDefault="00C05EB4" w:rsidP="005B0506">
      <w:pPr>
        <w:jc w:val="both"/>
        <w:rPr>
          <w:rFonts w:ascii="Times New Roman" w:eastAsia="Calibri" w:hAnsi="Times New Roman" w:cs="Times New Roman"/>
          <w:noProof/>
          <w:sz w:val="24"/>
          <w:szCs w:val="24"/>
        </w:rPr>
      </w:pPr>
      <w:r>
        <w:rPr>
          <w:rFonts w:ascii="Times New Roman" w:hAnsi="Times New Roman"/>
          <w:noProof/>
          <w:sz w:val="24"/>
        </w:rPr>
        <w:t>Sprijinul pentru țările terțe va fi furnizat prin intermediul Instrumentului de vecinătate, cooperare pentru dezvoltare și cooperare internațională – Europa globală (IVCDCI – GE) și al Instrumentului de asistență pentru preaderare (IPA III), în complementaritate cu acțiunile relevante din cadrul IMFV și FAMI.</w:t>
      </w:r>
      <w:r w:rsidR="0069724D">
        <w:rPr>
          <w:rFonts w:ascii="Times New Roman" w:hAnsi="Times New Roman"/>
          <w:noProof/>
          <w:sz w:val="24"/>
        </w:rPr>
        <w:t xml:space="preserve"> </w:t>
      </w:r>
    </w:p>
    <w:p w14:paraId="35A478DE" w14:textId="6BD03BDD" w:rsidR="00900B3A" w:rsidRDefault="00900B3A" w:rsidP="0062523F">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În plus, anumite frontiere externe esențiale trebuie consolidate prin măsuri specifice ale Uniunii, inclusiv prin mobilizarea fondurilor UE pentru a sprijini statele membre în consolidarea capacităților și a infrastructurii de control la frontiere, a mijloacelor de supraveghere și a echipamentelor aferente, precum și a finanțării bilaterale.</w:t>
      </w:r>
    </w:p>
    <w:p w14:paraId="2E957716" w14:textId="49FAC5DB" w:rsidR="00474D92" w:rsidRPr="00DB7EFE" w:rsidRDefault="00474D92" w:rsidP="0062523F">
      <w:pPr>
        <w:spacing w:after="0" w:line="276" w:lineRule="auto"/>
        <w:jc w:val="both"/>
        <w:rPr>
          <w:rFonts w:ascii="Times New Roman" w:eastAsia="Calibri" w:hAnsi="Times New Roman" w:cs="Times New Roman"/>
          <w:noProof/>
          <w:sz w:val="24"/>
          <w:szCs w:val="24"/>
        </w:rPr>
      </w:pPr>
    </w:p>
    <w:p w14:paraId="348548FD" w14:textId="49816882" w:rsidR="00474D92" w:rsidRDefault="00474D92" w:rsidP="0062523F">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În cele din urmă, Instrumentul de sprijin tehnic</w:t>
      </w:r>
      <w:r>
        <w:rPr>
          <w:rStyle w:val="FootnoteReference"/>
          <w:rFonts w:ascii="Times New Roman" w:eastAsia="Times New Roman" w:hAnsi="Times New Roman" w:cs="Times New Roman"/>
          <w:noProof/>
          <w:sz w:val="24"/>
          <w:szCs w:val="24"/>
          <w:lang w:val="en-GB" w:eastAsia="en-GB"/>
        </w:rPr>
        <w:footnoteReference w:id="19"/>
      </w:r>
      <w:r>
        <w:rPr>
          <w:rFonts w:ascii="Times New Roman" w:hAnsi="Times New Roman"/>
          <w:noProof/>
          <w:sz w:val="24"/>
        </w:rPr>
        <w:t xml:space="preserve"> permite statelor membre să solicite sprijin pentru punerea în aplicare a componentelor relevante ale strategiilor naționale pentru GEIF.</w:t>
      </w:r>
    </w:p>
    <w:p w14:paraId="73F5EB96" w14:textId="77777777" w:rsidR="00A64843" w:rsidRPr="00DB7EFE" w:rsidRDefault="00A64843" w:rsidP="0062523F">
      <w:pPr>
        <w:spacing w:after="0" w:line="276" w:lineRule="auto"/>
        <w:jc w:val="both"/>
        <w:rPr>
          <w:rFonts w:ascii="Times New Roman" w:eastAsia="Times New Roman" w:hAnsi="Times New Roman" w:cs="Times New Roman"/>
          <w:noProof/>
          <w:sz w:val="24"/>
          <w:szCs w:val="24"/>
          <w:lang w:eastAsia="en-GB"/>
        </w:rPr>
      </w:pPr>
    </w:p>
    <w:p w14:paraId="599E1681" w14:textId="3AD726B5" w:rsidR="0094407D" w:rsidRPr="008872EA" w:rsidRDefault="00F917C2" w:rsidP="0069724D">
      <w:pPr>
        <w:pageBreakBefore/>
        <w:spacing w:after="0" w:line="276" w:lineRule="auto"/>
        <w:jc w:val="both"/>
        <w:rPr>
          <w:rFonts w:ascii="Times New Roman" w:eastAsia="Calibri" w:hAnsi="Times New Roman" w:cs="Times New Roman"/>
          <w:b/>
          <w:i/>
          <w:smallCaps/>
          <w:noProof/>
          <w:color w:val="000000"/>
          <w:sz w:val="28"/>
          <w:szCs w:val="28"/>
          <w:u w:val="single"/>
        </w:rPr>
      </w:pPr>
      <w:r>
        <w:rPr>
          <w:rFonts w:ascii="Times New Roman" w:hAnsi="Times New Roman"/>
          <w:b/>
          <w:i/>
          <w:smallCaps/>
          <w:noProof/>
          <w:color w:val="000000"/>
          <w:sz w:val="28"/>
          <w:u w:val="single"/>
        </w:rPr>
        <w:t>Etapele următoare</w:t>
      </w:r>
    </w:p>
    <w:p w14:paraId="6AF4BCCD" w14:textId="77777777" w:rsidR="00F917C2" w:rsidRPr="00DB7EFE" w:rsidRDefault="00F917C2" w:rsidP="0069724D">
      <w:pPr>
        <w:spacing w:after="0" w:line="276" w:lineRule="auto"/>
        <w:rPr>
          <w:rFonts w:ascii="Times New Roman" w:eastAsia="Times New Roman" w:hAnsi="Times New Roman" w:cs="Times New Roman"/>
          <w:noProof/>
          <w:sz w:val="24"/>
          <w:szCs w:val="24"/>
          <w:lang w:val="fr-BE" w:eastAsia="en-GB"/>
        </w:rPr>
      </w:pPr>
    </w:p>
    <w:p w14:paraId="42D0E926" w14:textId="6A24AD93" w:rsidR="00864116" w:rsidRPr="008872EA" w:rsidRDefault="00351508" w:rsidP="00864116">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rPr>
      </w:pPr>
      <w:r>
        <w:rPr>
          <w:rFonts w:ascii="Times New Roman" w:hAnsi="Times New Roman"/>
          <w:noProof/>
          <w:color w:val="000000"/>
          <w:sz w:val="24"/>
          <w:bdr w:val="none" w:sz="0" w:space="0" w:color="auto" w:frame="1"/>
          <w:shd w:val="clear" w:color="auto" w:fill="FFFFFF"/>
        </w:rPr>
        <w:t>Prezenta comunicare stabilește orientări de politică pentru punerea în aplicare a GEIF de către poliția de frontieră și garda de coastă la nivel european în următorii cinci ani. Ca etapă următoare, aceasta trebuie să fie transpusă în mod efectiv în obiective și activități operaționale de către agenție și de către statele membre, astfel cum se prevede în Regulamentul EBCG.</w:t>
      </w:r>
    </w:p>
    <w:p w14:paraId="1C67BAE8" w14:textId="6D507638" w:rsidR="00864116" w:rsidRPr="00DB7EFE" w:rsidRDefault="00864116" w:rsidP="0062523F">
      <w:pPr>
        <w:spacing w:after="0" w:line="276" w:lineRule="auto"/>
        <w:jc w:val="both"/>
        <w:rPr>
          <w:rFonts w:ascii="Times New Roman" w:eastAsia="Times New Roman" w:hAnsi="Times New Roman" w:cs="Times New Roman"/>
          <w:noProof/>
          <w:sz w:val="24"/>
          <w:szCs w:val="24"/>
          <w:lang w:eastAsia="en-GB"/>
        </w:rPr>
      </w:pPr>
    </w:p>
    <w:p w14:paraId="38776EC8" w14:textId="42BBB6FB" w:rsidR="00864116" w:rsidRPr="008872EA" w:rsidRDefault="00351508" w:rsidP="00864116">
      <w:pPr>
        <w:spacing w:after="0" w:line="276" w:lineRule="auto"/>
        <w:jc w:val="both"/>
        <w:rPr>
          <w:rFonts w:ascii="Times New Roman" w:eastAsia="Calibri" w:hAnsi="Times New Roman" w:cs="Times New Roman"/>
          <w:noProof/>
          <w:sz w:val="24"/>
          <w:szCs w:val="24"/>
        </w:rPr>
      </w:pPr>
      <w:r>
        <w:rPr>
          <w:rFonts w:ascii="Times New Roman" w:hAnsi="Times New Roman"/>
          <w:noProof/>
          <w:color w:val="000000"/>
          <w:sz w:val="24"/>
          <w:bdr w:val="none" w:sz="0" w:space="0" w:color="auto" w:frame="1"/>
          <w:shd w:val="clear" w:color="auto" w:fill="FFFFFF"/>
        </w:rPr>
        <w:t>Agenția, în strânsă cooperare cu statele membre și cu Comisia, trebuie să stabilească o nouă</w:t>
      </w:r>
      <w:r>
        <w:rPr>
          <w:rFonts w:ascii="Times New Roman" w:hAnsi="Times New Roman"/>
          <w:noProof/>
          <w:sz w:val="24"/>
        </w:rPr>
        <w:t xml:space="preserve"> strategie tehnică și operațională pentru GEIF</w:t>
      </w:r>
      <w:r>
        <w:rPr>
          <w:rStyle w:val="FootnoteReference"/>
          <w:rFonts w:ascii="Times New Roman" w:eastAsia="Calibri" w:hAnsi="Times New Roman" w:cs="Times New Roman"/>
          <w:noProof/>
          <w:sz w:val="24"/>
          <w:szCs w:val="24"/>
          <w:lang w:val="en-GB"/>
        </w:rPr>
        <w:footnoteReference w:id="20"/>
      </w:r>
      <w:r>
        <w:rPr>
          <w:rFonts w:ascii="Times New Roman" w:hAnsi="Times New Roman"/>
          <w:noProof/>
          <w:sz w:val="24"/>
        </w:rPr>
        <w:t xml:space="preserve">. Strategia tehnică și operațională ar trebui adoptată de Consiliul de administrație al Frontex în termen de șase luni de la adoptarea prezentei comunicări. Strategia ar trebui să respecte și să pună în aplicare orientările politice furnizate de instituțiile UE și, mai precis, cerințele prevăzute în anexa II la prezenta comunicare. </w:t>
      </w:r>
    </w:p>
    <w:p w14:paraId="58E1BB75" w14:textId="77777777" w:rsidR="00864116" w:rsidRPr="00DB7EFE" w:rsidRDefault="00864116" w:rsidP="00864116">
      <w:pPr>
        <w:spacing w:after="0" w:line="276" w:lineRule="auto"/>
        <w:jc w:val="both"/>
        <w:rPr>
          <w:rFonts w:ascii="Times New Roman" w:eastAsia="Calibri" w:hAnsi="Times New Roman" w:cs="Times New Roman"/>
          <w:noProof/>
          <w:sz w:val="24"/>
          <w:szCs w:val="24"/>
        </w:rPr>
      </w:pPr>
    </w:p>
    <w:p w14:paraId="527A04BC" w14:textId="2FE7E0DE" w:rsidR="0062523F" w:rsidRPr="008872EA" w:rsidRDefault="00864116" w:rsidP="0062523F">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În al doilea rând, punerea în aplicare a GEIF necesită, de asemenea, ca strategia stabilită la nivelul UE să fie efectiv transpusă în strategiile naționale pentru GEIF elaborate de statele membre</w:t>
      </w:r>
      <w:r>
        <w:rPr>
          <w:rStyle w:val="FootnoteReference"/>
          <w:rFonts w:ascii="Times New Roman" w:eastAsia="Calibri" w:hAnsi="Times New Roman" w:cs="Times New Roman"/>
          <w:noProof/>
          <w:sz w:val="24"/>
          <w:szCs w:val="24"/>
          <w:lang w:val="en-GB"/>
        </w:rPr>
        <w:footnoteReference w:id="21"/>
      </w:r>
      <w:r>
        <w:rPr>
          <w:rFonts w:ascii="Times New Roman" w:hAnsi="Times New Roman"/>
          <w:noProof/>
          <w:sz w:val="24"/>
        </w:rPr>
        <w:t>. Statele membre ar trebui să își alinieze strategiile naționale pentru GEIF la politica strategică multianuală a GEIF în termen de 12 luni de la adoptarea prezentei comunicări. Pentru a obține cele mai bune rezultate în cadrul poliției de frontieră și gărzii de coastă la nivel european, statele membre ar trebui să aibă drept scop respectarea cerințelor prevăzute în anexa II la prezenta comunicare.</w:t>
      </w:r>
    </w:p>
    <w:p w14:paraId="31FDC7DA" w14:textId="77777777" w:rsidR="00351508" w:rsidRPr="00DB7EFE" w:rsidRDefault="00351508" w:rsidP="0062523F">
      <w:pPr>
        <w:spacing w:after="0" w:line="276" w:lineRule="auto"/>
        <w:jc w:val="both"/>
        <w:rPr>
          <w:rFonts w:ascii="Times New Roman" w:eastAsia="Times New Roman" w:hAnsi="Times New Roman" w:cs="Times New Roman"/>
          <w:noProof/>
          <w:sz w:val="24"/>
          <w:szCs w:val="24"/>
          <w:lang w:eastAsia="en-GB"/>
        </w:rPr>
      </w:pPr>
    </w:p>
    <w:p w14:paraId="7711D9EC" w14:textId="1C23CEED" w:rsidR="0091572F" w:rsidRPr="008872EA" w:rsidRDefault="00F67518" w:rsidP="0062523F">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În același timp, în pofida necesității unei planificări strategice pe termen lung pentru GEIF, mediul operațional dinamic și sensibil necesită o monitorizare constantă a evoluțiilor și o adaptare flexibilă la nevoile aflate într-o permanentă schimbare. Ciclul Schengen va permite această monitorizare și va asigura faptul că provocările emergente în ceea ce privește punerea în aplicare a GEIF pot fi luate în considerare în mod corespunzător și că prioritățile pot fi adaptate, dacă este necesar, la nevoile aflate în schimbare, astfel încât ciclul GEIF să poată fi pus în aplicare cu succes în întreaga Uniune. </w:t>
      </w:r>
    </w:p>
    <w:p w14:paraId="1BF5AAB4" w14:textId="4244BA4A" w:rsidR="00351508" w:rsidRPr="00DB7EFE" w:rsidRDefault="00351508" w:rsidP="0062523F">
      <w:pPr>
        <w:spacing w:after="0" w:line="276" w:lineRule="auto"/>
        <w:jc w:val="both"/>
        <w:rPr>
          <w:rFonts w:ascii="Times New Roman" w:eastAsia="Times New Roman" w:hAnsi="Times New Roman" w:cs="Times New Roman"/>
          <w:noProof/>
          <w:sz w:val="24"/>
          <w:szCs w:val="24"/>
          <w:lang w:eastAsia="en-GB"/>
        </w:rPr>
      </w:pPr>
    </w:p>
    <w:p w14:paraId="59DDFEA8" w14:textId="7839D0E4" w:rsidR="00351508" w:rsidRPr="008872EA" w:rsidRDefault="00351508" w:rsidP="00351508">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 xml:space="preserve">Pe lângă ciclul Schengen, Parlamentul European și Consiliul pot, de asemenea, să furnizeze Frontex, pe o bază anuală, orientări și perspective strategice, prin consultarea documentului de programare al agenției. Cooperarea interparlamentară prevăzută la articolul 112 din Regulamentul EBCG și reuniunile care au loc ca parte a acestei cooperări reprezintă un instrument important pentru asigurarea exercitării efective a funcțiilor Parlamentului European de control al agenției și a funcțiilor parlamentelor naționale de control al autorităților lor naționale în ceea ce privește punerea în aplicare a gestionării europene integrate a frontierelor. </w:t>
      </w:r>
    </w:p>
    <w:p w14:paraId="61AB7396" w14:textId="347F514B" w:rsidR="00351508" w:rsidRPr="00DB7EFE" w:rsidRDefault="00351508" w:rsidP="0062523F">
      <w:pPr>
        <w:spacing w:after="0" w:line="276" w:lineRule="auto"/>
        <w:jc w:val="both"/>
        <w:rPr>
          <w:rFonts w:ascii="Times New Roman" w:eastAsia="Calibri" w:hAnsi="Times New Roman" w:cs="Times New Roman"/>
          <w:noProof/>
          <w:sz w:val="24"/>
          <w:szCs w:val="24"/>
        </w:rPr>
      </w:pPr>
    </w:p>
    <w:p w14:paraId="3EF43BD5" w14:textId="5D0FAB98" w:rsidR="00514C54" w:rsidRPr="008872EA" w:rsidRDefault="00F917C2" w:rsidP="0062523F">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Comisia va lansa evaluarea politicii strategice GEIF la patru ani de la adoptarea prezentei comunicări</w:t>
      </w:r>
      <w:r>
        <w:rPr>
          <w:rStyle w:val="FootnoteReference"/>
          <w:rFonts w:ascii="Times New Roman" w:eastAsia="Calibri" w:hAnsi="Times New Roman" w:cs="Times New Roman"/>
          <w:noProof/>
          <w:sz w:val="24"/>
          <w:szCs w:val="24"/>
          <w:lang w:val="en-GB"/>
        </w:rPr>
        <w:footnoteReference w:id="22"/>
      </w:r>
      <w:r>
        <w:rPr>
          <w:rFonts w:ascii="Times New Roman" w:hAnsi="Times New Roman"/>
          <w:noProof/>
          <w:sz w:val="24"/>
        </w:rPr>
        <w:t>. Rezultatele acestei evaluări vor fi luate în considerare la pregătirea următorului ciclu de politici multianuale. Înainte de aceasta, evaluarea în curs a Regulamentului EBCG, care va fi finalizată înainte de sfârșitul anului</w:t>
      </w:r>
      <w:r>
        <w:rPr>
          <w:rStyle w:val="FootnoteReference"/>
          <w:rFonts w:ascii="Times New Roman" w:eastAsia="Calibri" w:hAnsi="Times New Roman" w:cs="Times New Roman"/>
          <w:noProof/>
          <w:sz w:val="24"/>
          <w:szCs w:val="24"/>
          <w:lang w:val="en-GB"/>
        </w:rPr>
        <w:footnoteReference w:id="23"/>
      </w:r>
      <w:r>
        <w:rPr>
          <w:rFonts w:ascii="Times New Roman" w:hAnsi="Times New Roman"/>
          <w:noProof/>
          <w:sz w:val="24"/>
        </w:rPr>
        <w:t xml:space="preserve">, va oferi o primă ocazie de a face un bilanț al acestui proces. </w:t>
      </w:r>
    </w:p>
    <w:p w14:paraId="070A9F6E" w14:textId="77777777" w:rsidR="00A749C6" w:rsidRPr="00DB7EFE" w:rsidRDefault="00A749C6" w:rsidP="00A63AD4">
      <w:pPr>
        <w:spacing w:after="0" w:line="276" w:lineRule="auto"/>
        <w:jc w:val="both"/>
        <w:rPr>
          <w:rFonts w:ascii="Times New Roman" w:eastAsia="Times New Roman" w:hAnsi="Times New Roman" w:cs="Times New Roman"/>
          <w:noProof/>
          <w:sz w:val="24"/>
          <w:szCs w:val="24"/>
          <w:lang w:val="fr-BE" w:eastAsia="en-GB"/>
        </w:rPr>
      </w:pPr>
    </w:p>
    <w:p w14:paraId="3AC4ABB7" w14:textId="78C4FE1E" w:rsidR="00BE5B63" w:rsidRPr="00A64843" w:rsidRDefault="00A63AD4" w:rsidP="00A64843">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În continuare, Comisia va continua să se asigure că se va ține seama de opiniile tuturor părților interesate relevante în momentul definirii unei abordări europene comune a gestionării frontierelor externe. Gestionarea frontierelor externe este o responsabilitate colectivă în ceea ce privește consolidarea spațiului fără controale la frontierele interne, care necesită angajamentul și sprijinul tuturor.</w:t>
      </w:r>
    </w:p>
    <w:sectPr w:rsidR="00BE5B63" w:rsidRPr="00A64843" w:rsidSect="00864A4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8"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EDA10" w16cid:durableId="27B60A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45257" w14:textId="77777777" w:rsidR="008B371E" w:rsidRDefault="008B371E" w:rsidP="00263099">
      <w:pPr>
        <w:spacing w:after="0" w:line="240" w:lineRule="auto"/>
      </w:pPr>
      <w:r>
        <w:separator/>
      </w:r>
    </w:p>
  </w:endnote>
  <w:endnote w:type="continuationSeparator" w:id="0">
    <w:p w14:paraId="2F846C0F" w14:textId="77777777" w:rsidR="008B371E" w:rsidRDefault="008B371E" w:rsidP="00263099">
      <w:pPr>
        <w:spacing w:after="0" w:line="240" w:lineRule="auto"/>
      </w:pPr>
      <w:r>
        <w:continuationSeparator/>
      </w:r>
    </w:p>
  </w:endnote>
  <w:endnote w:type="continuationNotice" w:id="1">
    <w:p w14:paraId="513029E3" w14:textId="77777777" w:rsidR="008B371E" w:rsidRDefault="008B3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AAE3" w14:textId="77777777" w:rsidR="007D0D30" w:rsidRPr="007D0D30" w:rsidRDefault="007D0D30" w:rsidP="007D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6757" w14:textId="3841A233" w:rsidR="00200AB8" w:rsidRPr="007D0D30" w:rsidRDefault="007D0D30" w:rsidP="007D0D30">
    <w:pPr>
      <w:pStyle w:val="FooterCoverPage"/>
      <w:rPr>
        <w:rFonts w:ascii="Arial" w:hAnsi="Arial" w:cs="Arial"/>
        <w:b/>
        <w:sz w:val="48"/>
      </w:rPr>
    </w:pPr>
    <w:r w:rsidRPr="007D0D30">
      <w:rPr>
        <w:rFonts w:ascii="Arial" w:hAnsi="Arial" w:cs="Arial"/>
        <w:b/>
        <w:sz w:val="48"/>
      </w:rPr>
      <w:t>RO</w:t>
    </w:r>
    <w:r w:rsidRPr="007D0D30">
      <w:rPr>
        <w:rFonts w:ascii="Arial" w:hAnsi="Arial" w:cs="Arial"/>
        <w:b/>
        <w:sz w:val="48"/>
      </w:rPr>
      <w:tab/>
    </w:r>
    <w:r w:rsidRPr="007D0D30">
      <w:rPr>
        <w:rFonts w:ascii="Arial" w:hAnsi="Arial" w:cs="Arial"/>
        <w:b/>
        <w:sz w:val="48"/>
      </w:rPr>
      <w:tab/>
    </w:r>
    <w:r w:rsidRPr="007D0D30">
      <w:tab/>
    </w:r>
    <w:r w:rsidRPr="007D0D3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002B" w14:textId="77777777" w:rsidR="007D0D30" w:rsidRPr="007D0D30" w:rsidRDefault="007D0D30" w:rsidP="007D0D3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ABC9" w14:textId="77777777" w:rsidR="008B371E" w:rsidRDefault="008B37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7163063"/>
      <w:docPartObj>
        <w:docPartGallery w:val="Page Numbers (Bottom of Page)"/>
        <w:docPartUnique/>
      </w:docPartObj>
    </w:sdtPr>
    <w:sdtEndPr>
      <w:rPr>
        <w:noProof/>
      </w:rPr>
    </w:sdtEndPr>
    <w:sdtContent>
      <w:p w14:paraId="3AC4ABCA" w14:textId="74B1BACF" w:rsidR="008B371E" w:rsidRDefault="008B371E">
        <w:pPr>
          <w:pStyle w:val="Footer"/>
          <w:jc w:val="right"/>
        </w:pPr>
        <w:r>
          <w:fldChar w:fldCharType="begin"/>
        </w:r>
        <w:r>
          <w:instrText xml:space="preserve"> PAGE   \* MERGEFORMAT </w:instrText>
        </w:r>
        <w:r>
          <w:fldChar w:fldCharType="separate"/>
        </w:r>
        <w:r w:rsidR="007D0D30">
          <w:rPr>
            <w:noProof/>
          </w:rPr>
          <w:t>1</w:t>
        </w:r>
        <w:r>
          <w:fldChar w:fldCharType="end"/>
        </w:r>
      </w:p>
    </w:sdtContent>
  </w:sdt>
  <w:p w14:paraId="3AC4ABCB" w14:textId="77777777" w:rsidR="008B371E" w:rsidRDefault="008B37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ABCD" w14:textId="77777777" w:rsidR="008B371E" w:rsidRDefault="008B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81CBE" w14:textId="77777777" w:rsidR="008B371E" w:rsidRDefault="008B371E" w:rsidP="00263099">
      <w:pPr>
        <w:spacing w:after="0" w:line="240" w:lineRule="auto"/>
      </w:pPr>
      <w:r>
        <w:separator/>
      </w:r>
    </w:p>
  </w:footnote>
  <w:footnote w:type="continuationSeparator" w:id="0">
    <w:p w14:paraId="3CA51550" w14:textId="77777777" w:rsidR="008B371E" w:rsidRDefault="008B371E" w:rsidP="00263099">
      <w:pPr>
        <w:spacing w:after="0" w:line="240" w:lineRule="auto"/>
      </w:pPr>
      <w:r>
        <w:continuationSeparator/>
      </w:r>
    </w:p>
  </w:footnote>
  <w:footnote w:type="continuationNotice" w:id="1">
    <w:p w14:paraId="48F2CECD" w14:textId="77777777" w:rsidR="008B371E" w:rsidRDefault="008B371E">
      <w:pPr>
        <w:spacing w:after="0" w:line="240" w:lineRule="auto"/>
      </w:pPr>
    </w:p>
  </w:footnote>
  <w:footnote w:id="2">
    <w:p w14:paraId="395475D5" w14:textId="79B7019F" w:rsidR="008B371E" w:rsidRPr="006C208A" w:rsidRDefault="008B371E" w:rsidP="006C208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Articolul 8 alineatul (4) din Regulamentul (UE) 2019/1896 al Parlamentului Eu</w:t>
      </w:r>
      <w:r w:rsidR="0069724D">
        <w:rPr>
          <w:rFonts w:ascii="Times New Roman" w:hAnsi="Times New Roman"/>
        </w:rPr>
        <w:t>ropean și al Consiliului din 13 </w:t>
      </w:r>
      <w:r>
        <w:rPr>
          <w:rFonts w:ascii="Times New Roman" w:hAnsi="Times New Roman"/>
        </w:rPr>
        <w:t>noiembrie 2019 privind Poliția de frontieră și garda de coastă la nivel european și de abrogare a Regulamentelor (UE) nr. 1052/2013 și (UE) 2016/1624 („Regulamentul privind poliția de frontieră și garda de coastă la nivel european - Regulamentul EBCG”), 14.11.2019, JO L 295, p. 1.</w:t>
      </w:r>
    </w:p>
  </w:footnote>
  <w:footnote w:id="3">
    <w:p w14:paraId="7839313C" w14:textId="77777777" w:rsidR="008B371E" w:rsidRPr="004678A4" w:rsidRDefault="008B371E" w:rsidP="006C208A">
      <w:pPr>
        <w:pStyle w:val="FootnoteText"/>
        <w:jc w:val="both"/>
        <w:rPr>
          <w:b/>
        </w:rPr>
      </w:pPr>
      <w:r>
        <w:rPr>
          <w:rStyle w:val="FootnoteReference"/>
        </w:rPr>
        <w:footnoteRef/>
      </w:r>
      <w:r>
        <w:t xml:space="preserve"> </w:t>
      </w:r>
      <w:r>
        <w:rPr>
          <w:rFonts w:ascii="Times New Roman" w:hAnsi="Times New Roman"/>
        </w:rPr>
        <w:t>Document de politică privind elaborarea unei politici strategice multianuale pentru gestionarea europeană integrată a frontierelor în conformitate cu articolul 8 alineatul (4) din Regulamentul (UE) 2019/1896, COM(2022) 303 final.</w:t>
      </w:r>
    </w:p>
  </w:footnote>
  <w:footnote w:id="4">
    <w:p w14:paraId="4522C83A" w14:textId="3C617D9C" w:rsidR="008B371E" w:rsidRPr="00A076CE" w:rsidRDefault="008B371E" w:rsidP="006C20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Scrisoarea președintelui Comisiei pentru libertăți civile, justiție și afaceri inter</w:t>
      </w:r>
      <w:r w:rsidR="0069724D">
        <w:rPr>
          <w:rFonts w:ascii="Times New Roman" w:hAnsi="Times New Roman"/>
        </w:rPr>
        <w:t>ne a Parlamentului European, 17 </w:t>
      </w:r>
      <w:r>
        <w:rPr>
          <w:rFonts w:ascii="Times New Roman" w:hAnsi="Times New Roman"/>
        </w:rPr>
        <w:t>ianuarie 2023, IPOL-COM-LIBE D(2023) 1361.</w:t>
      </w:r>
    </w:p>
  </w:footnote>
  <w:footnote w:id="5">
    <w:p w14:paraId="6268359B" w14:textId="77777777" w:rsidR="008B371E" w:rsidRPr="00A076CE" w:rsidRDefault="008B371E" w:rsidP="006C208A">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Ciclul multianual de politică strategică pentru gestionarea europeană integrată a frontierelor (GEIF) – Concluziile Consiliului (14 octombrie 2022) 13585/22.</w:t>
      </w:r>
    </w:p>
  </w:footnote>
  <w:footnote w:id="6">
    <w:p w14:paraId="52DD61A9" w14:textId="0CF8F1B0" w:rsidR="008B371E" w:rsidRPr="009006F9" w:rsidRDefault="008B371E" w:rsidP="00B70A41">
      <w:pPr>
        <w:pStyle w:val="FootnoteText"/>
        <w:rPr>
          <w:i/>
          <w:iCs/>
        </w:rPr>
      </w:pPr>
      <w:r>
        <w:rPr>
          <w:rStyle w:val="FootnoteReference"/>
        </w:rPr>
        <w:footnoteRef/>
      </w:r>
      <w:r>
        <w:t xml:space="preserve"> </w:t>
      </w:r>
      <w:r>
        <w:rPr>
          <w:rFonts w:ascii="Times New Roman" w:hAnsi="Times New Roman"/>
        </w:rPr>
        <w:t>A se vedea nota de subsol 1.</w:t>
      </w:r>
    </w:p>
  </w:footnote>
  <w:footnote w:id="7">
    <w:p w14:paraId="11F86EE2" w14:textId="77777777" w:rsidR="008B371E" w:rsidRPr="00576A70" w:rsidRDefault="008B371E" w:rsidP="006C208A">
      <w:pPr>
        <w:pStyle w:val="FootnoteText"/>
        <w:jc w:val="both"/>
      </w:pPr>
      <w:r>
        <w:rPr>
          <w:rStyle w:val="FootnoteReference"/>
        </w:rPr>
        <w:footnoteRef/>
      </w:r>
      <w:r>
        <w:t xml:space="preserve"> </w:t>
      </w:r>
      <w:r>
        <w:rPr>
          <w:rFonts w:ascii="Times New Roman" w:hAnsi="Times New Roman"/>
        </w:rPr>
        <w:t>Inclusiv agenții gărzii de coastă, în măsura în care îndeplinesc sarcini de control la frontieră, precum și autoritățile naționale responsabile cu returnarea (articolul 4 din Regulamentul EBCG).</w:t>
      </w:r>
    </w:p>
  </w:footnote>
  <w:footnote w:id="8">
    <w:p w14:paraId="6291A29B" w14:textId="19E6E179" w:rsidR="004E01B9" w:rsidRPr="00EF63F0" w:rsidRDefault="004E01B9">
      <w:pPr>
        <w:pStyle w:val="FootnoteText"/>
      </w:pPr>
      <w:r>
        <w:rPr>
          <w:rStyle w:val="FootnoteReference"/>
        </w:rPr>
        <w:footnoteRef/>
      </w:r>
      <w:r>
        <w:t xml:space="preserve"> </w:t>
      </w:r>
      <w:r>
        <w:rPr>
          <w:rFonts w:ascii="Times New Roman" w:hAnsi="Times New Roman"/>
        </w:rPr>
        <w:t>https://prd.frontex.europa.eu/document/strategic-risk-analysis-2022/ .</w:t>
      </w:r>
    </w:p>
  </w:footnote>
  <w:footnote w:id="9">
    <w:p w14:paraId="3EFB0ADA" w14:textId="10F8F164" w:rsidR="008B371E" w:rsidRPr="00E97218" w:rsidRDefault="008B371E" w:rsidP="00C8158C">
      <w:pPr>
        <w:pStyle w:val="FootnoteText1"/>
        <w:ind w:left="142" w:hanging="142"/>
        <w:rPr>
          <w:rFonts w:ascii="Times New Roman" w:hAnsi="Times New Roman"/>
          <w:i/>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Considerentul (11) din Regulamentul EBCG.</w:t>
      </w:r>
    </w:p>
  </w:footnote>
  <w:footnote w:id="10">
    <w:p w14:paraId="55029539" w14:textId="1323B59A" w:rsidR="008B371E" w:rsidRPr="00BA7827" w:rsidRDefault="008B371E" w:rsidP="001D0D4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Standardele tehnice pentru schimbul de informații vor facilita conectarea diferitelor rețele de comunicații și dezvoltarea de interfețe între sistemele de schimb de informații ale agenției și ale statelor membre. Acest lucru va spori posibilitățile de difuzare a tablourilor situaționale respective în cadrul EBCG și în țările terțe, în cazul unei astfel de cooperări operaționale, precum și posibilitățile de raportare a poziției activelor proprii ale agenției în tabloul situațional european prin utilizarea sistemului de navigație prin satelit instituit în cadrul programului Galileo. Prin urmare, statele membre și agenția vor avea la dispoziție date în timp aproape real și posibilități mai bune de previzionare a fluxurilor de migrație.</w:t>
      </w:r>
    </w:p>
  </w:footnote>
  <w:footnote w:id="11">
    <w:p w14:paraId="2490A72B" w14:textId="362018AA" w:rsidR="007340C0" w:rsidRPr="007340C0" w:rsidRDefault="007340C0" w:rsidP="006C208A">
      <w:pPr>
        <w:pStyle w:val="FootnoteText"/>
        <w:jc w:val="both"/>
      </w:pPr>
      <w:r>
        <w:rPr>
          <w:rStyle w:val="FootnoteReference"/>
        </w:rPr>
        <w:footnoteRef/>
      </w:r>
      <w:r>
        <w:t xml:space="preserve"> </w:t>
      </w:r>
      <w:r>
        <w:rPr>
          <w:rFonts w:ascii="Times New Roman" w:hAnsi="Times New Roman"/>
        </w:rPr>
        <w:t>A se vedea articolul 13 alineatul (2) din Regulamentul (UE) 2016/399 al Parlamentului European și al Consiliului din 9 martie 2016 cu privire la Codul Uniunii privind regimul de trecere a frontierelor de către persoane (Codul Frontierelor Schengen), JO L 77, 23.3.2016, p. 1.</w:t>
      </w:r>
    </w:p>
  </w:footnote>
  <w:footnote w:id="12">
    <w:p w14:paraId="72AB28D2" w14:textId="0BDFE129" w:rsidR="008B371E" w:rsidRPr="00E16CB2" w:rsidRDefault="008B371E" w:rsidP="006C208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Propunere de regulament al Parlamentului European și al Consiliului de introducere a unei proceduri de screening pentru resortisanții țărilor terțe la frontierele externe și de modificare a Regulamentelor (CE) nr. 767/2008, (UE) 2017/2226, (UE) 2018/1240 și (UE) 2019/817, COM(2020) 612 final.</w:t>
      </w:r>
    </w:p>
  </w:footnote>
  <w:footnote w:id="13">
    <w:p w14:paraId="3EACD518" w14:textId="07717669" w:rsidR="008B371E" w:rsidRPr="00262497" w:rsidRDefault="008B371E" w:rsidP="006C208A">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Documentul de politică intitulat „Către o strategie operațională pentru returnări mai eficace” din 24 ianuarie 2023, COM(2023) 45 final.</w:t>
      </w:r>
    </w:p>
  </w:footnote>
  <w:footnote w:id="14">
    <w:p w14:paraId="6217CF3D" w14:textId="4F37C2EE" w:rsidR="00062577" w:rsidRPr="00062577" w:rsidRDefault="00062577" w:rsidP="006C208A">
      <w:pPr>
        <w:pStyle w:val="FootnoteText"/>
        <w:jc w:val="both"/>
      </w:pPr>
      <w:r>
        <w:rPr>
          <w:rStyle w:val="FootnoteReference"/>
        </w:rPr>
        <w:footnoteRef/>
      </w:r>
      <w:r>
        <w:t xml:space="preserve"> </w:t>
      </w:r>
      <w:r>
        <w:rPr>
          <w:rFonts w:ascii="Times New Roman" w:hAnsi="Times New Roman"/>
        </w:rPr>
        <w:t>Recomandarea Comisiei privind recunoașterea reciprocă a deciziilor de returnare și accelerarea returnărilor în contextul punerii în aplicare a Directivei 2008/115/CE a Parlamentului European și a Consiliului, C(2023) 1763.</w:t>
      </w:r>
    </w:p>
  </w:footnote>
  <w:footnote w:id="15">
    <w:p w14:paraId="19BE2EC1" w14:textId="77777777" w:rsidR="008B371E" w:rsidRPr="00FE7D5F" w:rsidRDefault="008B371E" w:rsidP="00AA3C41">
      <w:pPr>
        <w:pStyle w:val="FootnoteText"/>
      </w:pPr>
      <w:r>
        <w:rPr>
          <w:rStyle w:val="FootnoteReference"/>
        </w:rPr>
        <w:footnoteRef/>
      </w:r>
      <w:r>
        <w:t xml:space="preserve"> </w:t>
      </w:r>
      <w:r>
        <w:rPr>
          <w:rFonts w:ascii="Times New Roman" w:hAnsi="Times New Roman"/>
        </w:rPr>
        <w:t>Moldova, Macedonia de Nord, Albania și Muntenegru.</w:t>
      </w:r>
    </w:p>
  </w:footnote>
  <w:footnote w:id="16">
    <w:p w14:paraId="6B0A69F8" w14:textId="0A283FD1" w:rsidR="00216CFE" w:rsidRPr="00EF63F0" w:rsidRDefault="00216CFE" w:rsidP="0069724D">
      <w:pPr>
        <w:pStyle w:val="FootnoteText"/>
        <w:jc w:val="both"/>
      </w:pPr>
      <w:r>
        <w:rPr>
          <w:rStyle w:val="FootnoteReference"/>
        </w:rPr>
        <w:footnoteRef/>
      </w:r>
      <w:r>
        <w:t xml:space="preserve"> </w:t>
      </w:r>
      <w:r>
        <w:rPr>
          <w:rFonts w:ascii="Times New Roman" w:hAnsi="Times New Roman"/>
        </w:rPr>
        <w:t>Comunicarea Comisiei către Parlamentul European și Consiliu intitulată „Acord-tip privind statutul în conformitate cu articolul 54 alineatul (5) din Regulamentul (UE) 2016/1624 al Parlamentului European și al Consiliului din 14 septembrie 2016 privind Poliția de frontieră și garda de coastă la nivel european”, COM(2016) 747 final.</w:t>
      </w:r>
    </w:p>
  </w:footnote>
  <w:footnote w:id="17">
    <w:p w14:paraId="0D335B92" w14:textId="1A2EAB62" w:rsidR="00216CFE" w:rsidRPr="00EF63F0" w:rsidRDefault="00216CFE" w:rsidP="0069724D">
      <w:pPr>
        <w:pStyle w:val="FootnoteText"/>
        <w:jc w:val="both"/>
      </w:pPr>
      <w:r>
        <w:rPr>
          <w:rStyle w:val="FootnoteReference"/>
        </w:rPr>
        <w:footnoteRef/>
      </w:r>
      <w:r>
        <w:t xml:space="preserve"> </w:t>
      </w:r>
      <w:r>
        <w:rPr>
          <w:rFonts w:ascii="Times New Roman" w:hAnsi="Times New Roman"/>
        </w:rPr>
        <w:t>Albania, Bosnia și Herțegovina, Kosovo [această denumire nu aduce atingere pozițiilor privind statutul și este conformă cu RCSONU 1244/1999 și cu avizul CIJ privind Declarația de independență a Kosovo], Moldova, Muntenegru, Macedonia de Nord, Serbia, Mauritania, Niger și Senegal.</w:t>
      </w:r>
    </w:p>
  </w:footnote>
  <w:footnote w:id="18">
    <w:p w14:paraId="699F35DB" w14:textId="5744DCD9" w:rsidR="00827C51" w:rsidRPr="00827C51" w:rsidRDefault="00827C51" w:rsidP="0069724D">
      <w:pPr>
        <w:pStyle w:val="FootnoteText"/>
        <w:jc w:val="both"/>
      </w:pPr>
      <w:r>
        <w:rPr>
          <w:rStyle w:val="FootnoteReference"/>
          <w:rFonts w:ascii="Times New Roman" w:hAnsi="Times New Roman" w:cs="Times New Roman"/>
        </w:rPr>
        <w:footnoteRef/>
      </w:r>
      <w:r>
        <w:t xml:space="preserve"> </w:t>
      </w:r>
      <w:r>
        <w:rPr>
          <w:rFonts w:ascii="Times New Roman" w:hAnsi="Times New Roman"/>
        </w:rPr>
        <w:t>Propunerea Comisiei de regulament al Parlamentului European și al Consiliului de introducere a unei proceduri de screening pentru resortisanții țărilor terțe la frontierele externe și de modificare a Regulamentelor (CE) nr. 767/2008, (UE) 2017/2226, (UE) 2018/1240 și (UE) 2019/817, COM(2020) 612 final.</w:t>
      </w:r>
    </w:p>
  </w:footnote>
  <w:footnote w:id="19">
    <w:p w14:paraId="57B7235E" w14:textId="6B73F251" w:rsidR="00474D92" w:rsidRPr="00474D92" w:rsidRDefault="00474D92" w:rsidP="0016018B">
      <w:pPr>
        <w:pStyle w:val="FootnoteText"/>
        <w:jc w:val="both"/>
      </w:pPr>
      <w:r>
        <w:rPr>
          <w:rStyle w:val="FootnoteReference"/>
        </w:rPr>
        <w:footnoteRef/>
      </w:r>
      <w:r>
        <w:t xml:space="preserve"> </w:t>
      </w:r>
      <w:r>
        <w:rPr>
          <w:rFonts w:ascii="Times New Roman" w:hAnsi="Times New Roman"/>
        </w:rPr>
        <w:t>Regulamentul (UE) 2021/240 al Parlamentului European și al Consiliului din 10 februarie 2021 de instituire a unui Instrument de sprijin tehnic (JO L 57, 18.2.2021, p. 1).</w:t>
      </w:r>
    </w:p>
  </w:footnote>
  <w:footnote w:id="20">
    <w:p w14:paraId="6E05C29C" w14:textId="77777777" w:rsidR="008B371E" w:rsidRPr="005E2101" w:rsidRDefault="008B371E" w:rsidP="00864116">
      <w:pPr>
        <w:pStyle w:val="FootnoteText"/>
      </w:pPr>
      <w:r>
        <w:rPr>
          <w:rStyle w:val="FootnoteReference"/>
        </w:rPr>
        <w:footnoteRef/>
      </w:r>
      <w:r>
        <w:t xml:space="preserve"> </w:t>
      </w:r>
      <w:r>
        <w:rPr>
          <w:rFonts w:ascii="Times New Roman" w:hAnsi="Times New Roman"/>
        </w:rPr>
        <w:t>Articolul 8 alineatul (5) din Regulamentul EBCG.</w:t>
      </w:r>
    </w:p>
  </w:footnote>
  <w:footnote w:id="21">
    <w:p w14:paraId="6E07DACC" w14:textId="77777777" w:rsidR="008B371E" w:rsidRPr="00CB61F3" w:rsidRDefault="008B371E" w:rsidP="00864116">
      <w:pPr>
        <w:pStyle w:val="FootnoteText"/>
      </w:pPr>
      <w:r>
        <w:rPr>
          <w:rStyle w:val="FootnoteReference"/>
        </w:rPr>
        <w:footnoteRef/>
      </w:r>
      <w:r>
        <w:t xml:space="preserve"> </w:t>
      </w:r>
      <w:r>
        <w:rPr>
          <w:rFonts w:ascii="Times New Roman" w:hAnsi="Times New Roman"/>
        </w:rPr>
        <w:t>Articolul 8 alineatul (6) din Regulamentul EBCG.</w:t>
      </w:r>
    </w:p>
  </w:footnote>
  <w:footnote w:id="22">
    <w:p w14:paraId="4B020DE9" w14:textId="77777777" w:rsidR="008B371E" w:rsidRPr="001817F2" w:rsidRDefault="008B371E" w:rsidP="00F917C2">
      <w:pPr>
        <w:pStyle w:val="FootnoteText"/>
      </w:pPr>
      <w:r>
        <w:rPr>
          <w:rStyle w:val="FootnoteReference"/>
          <w:rFonts w:ascii="Times New Roman" w:hAnsi="Times New Roman"/>
        </w:rPr>
        <w:footnoteRef/>
      </w:r>
      <w:r>
        <w:rPr>
          <w:rFonts w:ascii="Times New Roman" w:hAnsi="Times New Roman"/>
        </w:rPr>
        <w:t xml:space="preserve"> Articolul 8 alineatul (7) din Regulamentul EBCG.</w:t>
      </w:r>
    </w:p>
  </w:footnote>
  <w:footnote w:id="23">
    <w:p w14:paraId="69D41BCF" w14:textId="0CBD758D" w:rsidR="00F24B60" w:rsidRPr="00EF63F0" w:rsidRDefault="00F24B60">
      <w:pPr>
        <w:pStyle w:val="FootnoteText"/>
      </w:pPr>
      <w:r>
        <w:rPr>
          <w:rStyle w:val="FootnoteReference"/>
        </w:rPr>
        <w:footnoteRef/>
      </w:r>
      <w:r>
        <w:t xml:space="preserve"> </w:t>
      </w:r>
      <w:r>
        <w:rPr>
          <w:rFonts w:ascii="Times New Roman" w:hAnsi="Times New Roman"/>
        </w:rPr>
        <w:t>Articolul 121 din Regulamentul EBCG.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C3250" w14:textId="77777777" w:rsidR="007D0D30" w:rsidRPr="007D0D30" w:rsidRDefault="007D0D30" w:rsidP="007D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8E3EF" w14:textId="77777777" w:rsidR="007D0D30" w:rsidRPr="007D0D30" w:rsidRDefault="007D0D30" w:rsidP="007D0D3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FC012" w14:textId="77777777" w:rsidR="007D0D30" w:rsidRPr="007D0D30" w:rsidRDefault="007D0D30" w:rsidP="007D0D3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ABC7" w14:textId="77777777" w:rsidR="008B371E" w:rsidRDefault="008B37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ABC8" w14:textId="77777777" w:rsidR="008B371E" w:rsidRDefault="008B37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ABCC" w14:textId="77777777" w:rsidR="008B371E" w:rsidRDefault="008B3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C7B"/>
    <w:multiLevelType w:val="hybridMultilevel"/>
    <w:tmpl w:val="D90A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53659"/>
    <w:multiLevelType w:val="hybridMultilevel"/>
    <w:tmpl w:val="41A487D6"/>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30B28"/>
    <w:multiLevelType w:val="hybridMultilevel"/>
    <w:tmpl w:val="53F092D4"/>
    <w:lvl w:ilvl="0" w:tplc="E7FA073A">
      <w:start w:val="1"/>
      <w:numFmt w:val="decimal"/>
      <w:lvlText w:val="%1)"/>
      <w:lvlJc w:val="left"/>
      <w:pPr>
        <w:ind w:left="720" w:hanging="360"/>
      </w:pPr>
      <w:rPr>
        <w:rFonts w:asciiTheme="minorHAnsi" w:hAnsiTheme="minorHAnsi" w:cstheme="minorHAns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07D47F14"/>
    <w:multiLevelType w:val="hybridMultilevel"/>
    <w:tmpl w:val="7EFC1C8C"/>
    <w:lvl w:ilvl="0" w:tplc="C77EE0BE">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8FB3914"/>
    <w:multiLevelType w:val="hybridMultilevel"/>
    <w:tmpl w:val="D7903B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B100F"/>
    <w:multiLevelType w:val="hybridMultilevel"/>
    <w:tmpl w:val="A52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B18A8"/>
    <w:multiLevelType w:val="hybridMultilevel"/>
    <w:tmpl w:val="185C0432"/>
    <w:lvl w:ilvl="0" w:tplc="D61447AC">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CB4242"/>
    <w:multiLevelType w:val="hybridMultilevel"/>
    <w:tmpl w:val="D356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EDD7440"/>
    <w:multiLevelType w:val="hybridMultilevel"/>
    <w:tmpl w:val="08947D2E"/>
    <w:lvl w:ilvl="0" w:tplc="E5D6BFD2">
      <w:start w:val="1"/>
      <w:numFmt w:val="lowerLetter"/>
      <w:pStyle w:val="poin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84C16"/>
    <w:multiLevelType w:val="hybridMultilevel"/>
    <w:tmpl w:val="4BF8F9B8"/>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393BE4"/>
    <w:multiLevelType w:val="hybridMultilevel"/>
    <w:tmpl w:val="4B2AFF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E12A79"/>
    <w:multiLevelType w:val="hybridMultilevel"/>
    <w:tmpl w:val="260041E6"/>
    <w:lvl w:ilvl="0" w:tplc="0D0E3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0430D"/>
    <w:multiLevelType w:val="hybridMultilevel"/>
    <w:tmpl w:val="90FEDB1A"/>
    <w:lvl w:ilvl="0" w:tplc="C73A72E0">
      <w:start w:val="3"/>
      <w:numFmt w:val="bullet"/>
      <w:lvlText w:val="-"/>
      <w:lvlJc w:val="left"/>
      <w:pPr>
        <w:ind w:left="720" w:hanging="360"/>
      </w:pPr>
      <w:rPr>
        <w:rFonts w:ascii="Calibri" w:eastAsiaTheme="minorHAnsi" w:hAnsi="Calibri" w:cs="Calibri"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21C6886"/>
    <w:multiLevelType w:val="hybridMultilevel"/>
    <w:tmpl w:val="6520D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44B307D"/>
    <w:multiLevelType w:val="hybridMultilevel"/>
    <w:tmpl w:val="BCDE2F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14572F"/>
    <w:multiLevelType w:val="hybridMultilevel"/>
    <w:tmpl w:val="F4ECA3D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17C9326D"/>
    <w:multiLevelType w:val="hybridMultilevel"/>
    <w:tmpl w:val="895E7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D53437"/>
    <w:multiLevelType w:val="hybridMultilevel"/>
    <w:tmpl w:val="BB8C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696407"/>
    <w:multiLevelType w:val="hybridMultilevel"/>
    <w:tmpl w:val="5CB4F8E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1BE84A94"/>
    <w:multiLevelType w:val="hybridMultilevel"/>
    <w:tmpl w:val="90687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C6E5A49"/>
    <w:multiLevelType w:val="hybridMultilevel"/>
    <w:tmpl w:val="36C6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032138"/>
    <w:multiLevelType w:val="hybridMultilevel"/>
    <w:tmpl w:val="451C9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E0D0174"/>
    <w:multiLevelType w:val="hybridMultilevel"/>
    <w:tmpl w:val="D9E818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C73EED"/>
    <w:multiLevelType w:val="singleLevel"/>
    <w:tmpl w:val="109A6A02"/>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5" w15:restartNumberingAfterBreak="0">
    <w:nsid w:val="22792FAB"/>
    <w:multiLevelType w:val="hybridMultilevel"/>
    <w:tmpl w:val="C8F2A0AC"/>
    <w:lvl w:ilvl="0" w:tplc="0409000F">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90302B"/>
    <w:multiLevelType w:val="hybridMultilevel"/>
    <w:tmpl w:val="5C860ABA"/>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2054CA"/>
    <w:multiLevelType w:val="hybridMultilevel"/>
    <w:tmpl w:val="04A0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84086F"/>
    <w:multiLevelType w:val="hybridMultilevel"/>
    <w:tmpl w:val="723CFA04"/>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C476E4"/>
    <w:multiLevelType w:val="hybridMultilevel"/>
    <w:tmpl w:val="BA641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175C23"/>
    <w:multiLevelType w:val="multilevel"/>
    <w:tmpl w:val="EEC8EE22"/>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1" w15:restartNumberingAfterBreak="0">
    <w:nsid w:val="2D3878F6"/>
    <w:multiLevelType w:val="hybridMultilevel"/>
    <w:tmpl w:val="86E2276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4D184D"/>
    <w:multiLevelType w:val="hybridMultilevel"/>
    <w:tmpl w:val="B330C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3D26A9"/>
    <w:multiLevelType w:val="hybridMultilevel"/>
    <w:tmpl w:val="BA34E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040B5D"/>
    <w:multiLevelType w:val="hybridMultilevel"/>
    <w:tmpl w:val="5FCCB07A"/>
    <w:lvl w:ilvl="0" w:tplc="0409000F">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2E5C57"/>
    <w:multiLevelType w:val="hybridMultilevel"/>
    <w:tmpl w:val="20D4CD94"/>
    <w:lvl w:ilvl="0" w:tplc="F71A50A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89157B3"/>
    <w:multiLevelType w:val="hybridMultilevel"/>
    <w:tmpl w:val="B39282C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C6E16A1"/>
    <w:multiLevelType w:val="hybridMultilevel"/>
    <w:tmpl w:val="B5D40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B0573D"/>
    <w:multiLevelType w:val="hybridMultilevel"/>
    <w:tmpl w:val="29D8C92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E016922"/>
    <w:multiLevelType w:val="hybridMultilevel"/>
    <w:tmpl w:val="059C877E"/>
    <w:lvl w:ilvl="0" w:tplc="0409000F">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1DA7C86"/>
    <w:multiLevelType w:val="hybridMultilevel"/>
    <w:tmpl w:val="FDC2B980"/>
    <w:lvl w:ilvl="0" w:tplc="0C38F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2923AF"/>
    <w:multiLevelType w:val="hybridMultilevel"/>
    <w:tmpl w:val="56985BDA"/>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1A061F"/>
    <w:multiLevelType w:val="hybridMultilevel"/>
    <w:tmpl w:val="F87419A8"/>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AC2326B"/>
    <w:multiLevelType w:val="hybridMultilevel"/>
    <w:tmpl w:val="C32AB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B87C81"/>
    <w:multiLevelType w:val="hybridMultilevel"/>
    <w:tmpl w:val="FF946854"/>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E834F34"/>
    <w:multiLevelType w:val="hybridMultilevel"/>
    <w:tmpl w:val="6684304C"/>
    <w:lvl w:ilvl="0" w:tplc="0D0E3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92AED"/>
    <w:multiLevelType w:val="hybridMultilevel"/>
    <w:tmpl w:val="20223826"/>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732320"/>
    <w:multiLevelType w:val="hybridMultilevel"/>
    <w:tmpl w:val="3A7AAEDC"/>
    <w:lvl w:ilvl="0" w:tplc="0D0E368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3B34B5C"/>
    <w:multiLevelType w:val="hybridMultilevel"/>
    <w:tmpl w:val="82CA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5A5A61"/>
    <w:multiLevelType w:val="hybridMultilevel"/>
    <w:tmpl w:val="728A7D4E"/>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550240F"/>
    <w:multiLevelType w:val="hybridMultilevel"/>
    <w:tmpl w:val="29D8C92E"/>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A35FA7"/>
    <w:multiLevelType w:val="hybridMultilevel"/>
    <w:tmpl w:val="857A2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82076C"/>
    <w:multiLevelType w:val="multilevel"/>
    <w:tmpl w:val="04B62F36"/>
    <w:lvl w:ilvl="0">
      <w:start w:val="1"/>
      <w:numFmt w:val="decimal"/>
      <w:lvlText w:val="%1."/>
      <w:lvlJc w:val="left"/>
      <w:pPr>
        <w:ind w:left="720" w:hanging="360"/>
      </w:pPr>
    </w:lvl>
    <w:lvl w:ilvl="1">
      <w:start w:val="1"/>
      <w:numFmt w:val="decimal"/>
      <w:isLgl/>
      <w:lvlText w:val="%1.%2"/>
      <w:lvlJc w:val="left"/>
      <w:pPr>
        <w:ind w:left="930" w:hanging="57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3" w15:restartNumberingAfterBreak="0">
    <w:nsid w:val="5AFC2FB4"/>
    <w:multiLevelType w:val="hybridMultilevel"/>
    <w:tmpl w:val="7974F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3947AD"/>
    <w:multiLevelType w:val="hybridMultilevel"/>
    <w:tmpl w:val="355A18D6"/>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5" w15:restartNumberingAfterBreak="0">
    <w:nsid w:val="667C6BC8"/>
    <w:multiLevelType w:val="hybridMultilevel"/>
    <w:tmpl w:val="3BA80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91144F"/>
    <w:multiLevelType w:val="multilevel"/>
    <w:tmpl w:val="04B62F36"/>
    <w:lvl w:ilvl="0">
      <w:start w:val="1"/>
      <w:numFmt w:val="decimal"/>
      <w:lvlText w:val="%1."/>
      <w:lvlJc w:val="left"/>
      <w:pPr>
        <w:ind w:left="720" w:hanging="360"/>
      </w:pPr>
    </w:lvl>
    <w:lvl w:ilvl="1">
      <w:start w:val="1"/>
      <w:numFmt w:val="decimal"/>
      <w:isLgl/>
      <w:lvlText w:val="%1.%2"/>
      <w:lvlJc w:val="left"/>
      <w:pPr>
        <w:ind w:left="930" w:hanging="57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7" w15:restartNumberingAfterBreak="0">
    <w:nsid w:val="67F27498"/>
    <w:multiLevelType w:val="hybridMultilevel"/>
    <w:tmpl w:val="6212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D04DD5"/>
    <w:multiLevelType w:val="hybridMultilevel"/>
    <w:tmpl w:val="325C7BB0"/>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D45024"/>
    <w:multiLevelType w:val="hybridMultilevel"/>
    <w:tmpl w:val="52E8FD0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6B0676"/>
    <w:multiLevelType w:val="hybridMultilevel"/>
    <w:tmpl w:val="170449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53979"/>
    <w:multiLevelType w:val="hybridMultilevel"/>
    <w:tmpl w:val="1BFABF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A3576"/>
    <w:multiLevelType w:val="hybridMultilevel"/>
    <w:tmpl w:val="52AA9D58"/>
    <w:lvl w:ilvl="0" w:tplc="080C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C6706BC"/>
    <w:multiLevelType w:val="multilevel"/>
    <w:tmpl w:val="06786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6C8E462D"/>
    <w:multiLevelType w:val="hybridMultilevel"/>
    <w:tmpl w:val="ECB4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605DD5"/>
    <w:multiLevelType w:val="hybridMultilevel"/>
    <w:tmpl w:val="82940F4A"/>
    <w:lvl w:ilvl="0" w:tplc="404C124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6DAC1CC7"/>
    <w:multiLevelType w:val="hybridMultilevel"/>
    <w:tmpl w:val="4258A7A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103B05"/>
    <w:multiLevelType w:val="hybridMultilevel"/>
    <w:tmpl w:val="C1D45450"/>
    <w:lvl w:ilvl="0" w:tplc="D4CC2E32">
      <w:start w:val="13"/>
      <w:numFmt w:val="decimal"/>
      <w:lvlText w:val="%1."/>
      <w:lvlJc w:val="left"/>
      <w:pPr>
        <w:ind w:left="1265" w:hanging="567"/>
      </w:pPr>
      <w:rPr>
        <w:rFonts w:ascii="Times New Roman" w:eastAsia="Times New Roman" w:hAnsi="Times New Roman" w:cs="Times New Roman" w:hint="default"/>
        <w:w w:val="100"/>
        <w:sz w:val="24"/>
        <w:szCs w:val="24"/>
        <w:lang w:val="en-US" w:eastAsia="en-US" w:bidi="ar-SA"/>
      </w:rPr>
    </w:lvl>
    <w:lvl w:ilvl="1" w:tplc="B3C8A136">
      <w:start w:val="1"/>
      <w:numFmt w:val="lowerLetter"/>
      <w:lvlText w:val="%2)"/>
      <w:lvlJc w:val="left"/>
      <w:pPr>
        <w:ind w:left="1834" w:hanging="569"/>
      </w:pPr>
      <w:rPr>
        <w:rFonts w:ascii="Times New Roman" w:eastAsia="Times New Roman" w:hAnsi="Times New Roman" w:cs="Times New Roman" w:hint="default"/>
        <w:spacing w:val="-1"/>
        <w:w w:val="100"/>
        <w:sz w:val="24"/>
        <w:szCs w:val="24"/>
        <w:lang w:val="en-US" w:eastAsia="en-US" w:bidi="ar-SA"/>
      </w:rPr>
    </w:lvl>
    <w:lvl w:ilvl="2" w:tplc="43E65E96">
      <w:numFmt w:val="bullet"/>
      <w:lvlText w:val="•"/>
      <w:lvlJc w:val="left"/>
      <w:pPr>
        <w:ind w:left="2731" w:hanging="569"/>
      </w:pPr>
      <w:rPr>
        <w:rFonts w:hint="default"/>
        <w:lang w:val="en-US" w:eastAsia="en-US" w:bidi="ar-SA"/>
      </w:rPr>
    </w:lvl>
    <w:lvl w:ilvl="3" w:tplc="F74E06B2">
      <w:numFmt w:val="bullet"/>
      <w:lvlText w:val="•"/>
      <w:lvlJc w:val="left"/>
      <w:pPr>
        <w:ind w:left="3623" w:hanging="569"/>
      </w:pPr>
      <w:rPr>
        <w:rFonts w:hint="default"/>
        <w:lang w:val="en-US" w:eastAsia="en-US" w:bidi="ar-SA"/>
      </w:rPr>
    </w:lvl>
    <w:lvl w:ilvl="4" w:tplc="17DE1EE2">
      <w:numFmt w:val="bullet"/>
      <w:lvlText w:val="•"/>
      <w:lvlJc w:val="left"/>
      <w:pPr>
        <w:ind w:left="4515" w:hanging="569"/>
      </w:pPr>
      <w:rPr>
        <w:rFonts w:hint="default"/>
        <w:lang w:val="en-US" w:eastAsia="en-US" w:bidi="ar-SA"/>
      </w:rPr>
    </w:lvl>
    <w:lvl w:ilvl="5" w:tplc="49D49F24">
      <w:numFmt w:val="bullet"/>
      <w:lvlText w:val="•"/>
      <w:lvlJc w:val="left"/>
      <w:pPr>
        <w:ind w:left="5407" w:hanging="569"/>
      </w:pPr>
      <w:rPr>
        <w:rFonts w:hint="default"/>
        <w:lang w:val="en-US" w:eastAsia="en-US" w:bidi="ar-SA"/>
      </w:rPr>
    </w:lvl>
    <w:lvl w:ilvl="6" w:tplc="C37E2AD0">
      <w:numFmt w:val="bullet"/>
      <w:lvlText w:val="•"/>
      <w:lvlJc w:val="left"/>
      <w:pPr>
        <w:ind w:left="6299" w:hanging="569"/>
      </w:pPr>
      <w:rPr>
        <w:rFonts w:hint="default"/>
        <w:lang w:val="en-US" w:eastAsia="en-US" w:bidi="ar-SA"/>
      </w:rPr>
    </w:lvl>
    <w:lvl w:ilvl="7" w:tplc="F4C48BF2">
      <w:numFmt w:val="bullet"/>
      <w:lvlText w:val="•"/>
      <w:lvlJc w:val="left"/>
      <w:pPr>
        <w:ind w:left="7190" w:hanging="569"/>
      </w:pPr>
      <w:rPr>
        <w:rFonts w:hint="default"/>
        <w:lang w:val="en-US" w:eastAsia="en-US" w:bidi="ar-SA"/>
      </w:rPr>
    </w:lvl>
    <w:lvl w:ilvl="8" w:tplc="67FA37A0">
      <w:numFmt w:val="bullet"/>
      <w:lvlText w:val="•"/>
      <w:lvlJc w:val="left"/>
      <w:pPr>
        <w:ind w:left="8082" w:hanging="569"/>
      </w:pPr>
      <w:rPr>
        <w:rFonts w:hint="default"/>
        <w:lang w:val="en-US" w:eastAsia="en-US" w:bidi="ar-SA"/>
      </w:rPr>
    </w:lvl>
  </w:abstractNum>
  <w:abstractNum w:abstractNumId="68" w15:restartNumberingAfterBreak="0">
    <w:nsid w:val="70C15EC1"/>
    <w:multiLevelType w:val="hybridMultilevel"/>
    <w:tmpl w:val="D2104284"/>
    <w:lvl w:ilvl="0" w:tplc="0D0E3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CE590A"/>
    <w:multiLevelType w:val="hybridMultilevel"/>
    <w:tmpl w:val="40D232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70E54D20"/>
    <w:multiLevelType w:val="hybridMultilevel"/>
    <w:tmpl w:val="060A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5757BA"/>
    <w:multiLevelType w:val="hybridMultilevel"/>
    <w:tmpl w:val="95161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235043"/>
    <w:multiLevelType w:val="hybridMultilevel"/>
    <w:tmpl w:val="B218EC64"/>
    <w:lvl w:ilvl="0" w:tplc="0409000F">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6097A21"/>
    <w:multiLevelType w:val="hybridMultilevel"/>
    <w:tmpl w:val="B69E59B0"/>
    <w:lvl w:ilvl="0" w:tplc="06564F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2E3B4F"/>
    <w:multiLevelType w:val="hybridMultilevel"/>
    <w:tmpl w:val="F78E8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502D9C"/>
    <w:multiLevelType w:val="hybridMultilevel"/>
    <w:tmpl w:val="1A1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0F3405"/>
    <w:multiLevelType w:val="hybridMultilevel"/>
    <w:tmpl w:val="A2F8A79E"/>
    <w:lvl w:ilvl="0" w:tplc="0409000F">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C5B046D"/>
    <w:multiLevelType w:val="hybridMultilevel"/>
    <w:tmpl w:val="05806F18"/>
    <w:lvl w:ilvl="0" w:tplc="D61447AC">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D1F4F24"/>
    <w:multiLevelType w:val="hybridMultilevel"/>
    <w:tmpl w:val="B0EAA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A14351"/>
    <w:multiLevelType w:val="hybridMultilevel"/>
    <w:tmpl w:val="73B2DE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A25910"/>
    <w:multiLevelType w:val="hybridMultilevel"/>
    <w:tmpl w:val="1C6A95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4253AC"/>
    <w:multiLevelType w:val="hybridMultilevel"/>
    <w:tmpl w:val="57FA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42"/>
  </w:num>
  <w:num w:numId="4">
    <w:abstractNumId w:val="46"/>
  </w:num>
  <w:num w:numId="5">
    <w:abstractNumId w:val="38"/>
  </w:num>
  <w:num w:numId="6">
    <w:abstractNumId w:val="41"/>
  </w:num>
  <w:num w:numId="7">
    <w:abstractNumId w:val="28"/>
  </w:num>
  <w:num w:numId="8">
    <w:abstractNumId w:val="7"/>
  </w:num>
  <w:num w:numId="9">
    <w:abstractNumId w:val="77"/>
  </w:num>
  <w:num w:numId="10">
    <w:abstractNumId w:val="75"/>
  </w:num>
  <w:num w:numId="11">
    <w:abstractNumId w:val="50"/>
  </w:num>
  <w:num w:numId="12">
    <w:abstractNumId w:val="47"/>
  </w:num>
  <w:num w:numId="13">
    <w:abstractNumId w:val="62"/>
  </w:num>
  <w:num w:numId="14">
    <w:abstractNumId w:val="10"/>
  </w:num>
  <w:num w:numId="15">
    <w:abstractNumId w:val="58"/>
  </w:num>
  <w:num w:numId="16">
    <w:abstractNumId w:val="26"/>
  </w:num>
  <w:num w:numId="17">
    <w:abstractNumId w:val="76"/>
  </w:num>
  <w:num w:numId="18">
    <w:abstractNumId w:val="11"/>
  </w:num>
  <w:num w:numId="19">
    <w:abstractNumId w:val="31"/>
  </w:num>
  <w:num w:numId="20">
    <w:abstractNumId w:val="6"/>
  </w:num>
  <w:num w:numId="21">
    <w:abstractNumId w:val="52"/>
  </w:num>
  <w:num w:numId="22">
    <w:abstractNumId w:val="9"/>
  </w:num>
  <w:num w:numId="23">
    <w:abstractNumId w:val="59"/>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49"/>
  </w:num>
  <w:num w:numId="26">
    <w:abstractNumId w:val="2"/>
  </w:num>
  <w:num w:numId="27">
    <w:abstractNumId w:val="16"/>
  </w:num>
  <w:num w:numId="28">
    <w:abstractNumId w:val="36"/>
  </w:num>
  <w:num w:numId="29">
    <w:abstractNumId w:val="40"/>
  </w:num>
  <w:num w:numId="30">
    <w:abstractNumId w:val="73"/>
  </w:num>
  <w:num w:numId="31">
    <w:abstractNumId w:val="24"/>
  </w:num>
  <w:num w:numId="32">
    <w:abstractNumId w:val="3"/>
  </w:num>
  <w:num w:numId="33">
    <w:abstractNumId w:val="81"/>
  </w:num>
  <w:num w:numId="34">
    <w:abstractNumId w:val="74"/>
  </w:num>
  <w:num w:numId="35">
    <w:abstractNumId w:val="37"/>
  </w:num>
  <w:num w:numId="36">
    <w:abstractNumId w:val="29"/>
  </w:num>
  <w:num w:numId="37">
    <w:abstractNumId w:val="55"/>
  </w:num>
  <w:num w:numId="38">
    <w:abstractNumId w:val="17"/>
  </w:num>
  <w:num w:numId="39">
    <w:abstractNumId w:val="43"/>
  </w:num>
  <w:num w:numId="40">
    <w:abstractNumId w:val="18"/>
  </w:num>
  <w:num w:numId="41">
    <w:abstractNumId w:val="5"/>
  </w:num>
  <w:num w:numId="42">
    <w:abstractNumId w:val="51"/>
  </w:num>
  <w:num w:numId="43">
    <w:abstractNumId w:val="15"/>
  </w:num>
  <w:num w:numId="44">
    <w:abstractNumId w:val="78"/>
  </w:num>
  <w:num w:numId="45">
    <w:abstractNumId w:val="61"/>
  </w:num>
  <w:num w:numId="46">
    <w:abstractNumId w:val="33"/>
  </w:num>
  <w:num w:numId="47">
    <w:abstractNumId w:val="23"/>
  </w:num>
  <w:num w:numId="48">
    <w:abstractNumId w:val="80"/>
  </w:num>
  <w:num w:numId="49">
    <w:abstractNumId w:val="4"/>
  </w:num>
  <w:num w:numId="50">
    <w:abstractNumId w:val="0"/>
  </w:num>
  <w:num w:numId="51">
    <w:abstractNumId w:val="57"/>
  </w:num>
  <w:num w:numId="52">
    <w:abstractNumId w:val="45"/>
  </w:num>
  <w:num w:numId="53">
    <w:abstractNumId w:val="12"/>
  </w:num>
  <w:num w:numId="54">
    <w:abstractNumId w:val="68"/>
  </w:num>
  <w:num w:numId="55">
    <w:abstractNumId w:val="32"/>
  </w:num>
  <w:num w:numId="56">
    <w:abstractNumId w:val="14"/>
  </w:num>
  <w:num w:numId="57">
    <w:abstractNumId w:val="20"/>
  </w:num>
  <w:num w:numId="58">
    <w:abstractNumId w:val="13"/>
  </w:num>
  <w:num w:numId="59">
    <w:abstractNumId w:val="69"/>
  </w:num>
  <w:num w:numId="60">
    <w:abstractNumId w:val="71"/>
  </w:num>
  <w:num w:numId="61">
    <w:abstractNumId w:val="53"/>
  </w:num>
  <w:num w:numId="62">
    <w:abstractNumId w:val="60"/>
  </w:num>
  <w:num w:numId="63">
    <w:abstractNumId w:val="79"/>
  </w:num>
  <w:num w:numId="64">
    <w:abstractNumId w:val="48"/>
  </w:num>
  <w:num w:numId="65">
    <w:abstractNumId w:val="64"/>
  </w:num>
  <w:num w:numId="66">
    <w:abstractNumId w:val="70"/>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num>
  <w:num w:numId="69">
    <w:abstractNumId w:val="21"/>
  </w:num>
  <w:num w:numId="70">
    <w:abstractNumId w:val="65"/>
  </w:num>
  <w:num w:numId="71">
    <w:abstractNumId w:val="54"/>
  </w:num>
  <w:num w:numId="72">
    <w:abstractNumId w:val="39"/>
  </w:num>
  <w:num w:numId="73">
    <w:abstractNumId w:val="72"/>
  </w:num>
  <w:num w:numId="74">
    <w:abstractNumId w:val="25"/>
  </w:num>
  <w:num w:numId="75">
    <w:abstractNumId w:val="34"/>
  </w:num>
  <w:num w:numId="76">
    <w:abstractNumId w:val="66"/>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22"/>
  </w:num>
  <w:num w:numId="80">
    <w:abstractNumId w:val="30"/>
  </w:num>
  <w:num w:numId="81">
    <w:abstractNumId w:val="67"/>
  </w:num>
  <w:num w:numId="82">
    <w:abstractNumId w:val="5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NL"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BE" w:vendorID="64" w:dllVersion="0" w:nlCheck="1" w:checkStyle="0"/>
  <w:activeWritingStyle w:appName="MSWord" w:lang="fr-BE" w:vendorID="64" w:dllVersion="6" w:nlCheck="1" w:checkStyle="0"/>
  <w:activeWritingStyle w:appName="MSWord" w:lang="en-IE" w:vendorID="64" w:dllVersion="0" w:nlCheck="1" w:checkStyle="0"/>
  <w:activeWritingStyle w:appName="MSWord" w:lang="fr-FR" w:vendorID="64" w:dllVersion="6" w:nlCheck="1" w:checkStyle="0"/>
  <w:activeWritingStyle w:appName="MSWord" w:lang="fr-FR" w:vendorID="64" w:dllVersion="0"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2D2EDD3-D71A-4595-B2F1-5B48EF836407"/>
    <w:docVar w:name="LW_COVERPAGE_TYPE" w:val="1"/>
    <w:docVar w:name="LW_CROSSREFERENCE" w:val="&lt;UNUSED&gt;"/>
    <w:docVar w:name="LW_DocType" w:val="NORMAL"/>
    <w:docVar w:name="LW_EMISSION" w:val="14.3.2023"/>
    <w:docVar w:name="LW_EMISSION_ISODATE" w:val="2023-03-14"/>
    <w:docVar w:name="LW_EMISSION_LOCATION" w:val="STR"/>
    <w:docVar w:name="LW_EMISSION_PREFIX" w:val="Strasbourg, "/>
    <w:docVar w:name="LW_EMISSION_SUFFIX" w:val=" "/>
    <w:docVar w:name="LW_ID_DOCTYPE_NONLW" w:val="CP-012"/>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1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instituirea politicii strategice multianuale pentru gestionarea europeană integrată a frontierelor_x000d__x000d__x000d__x000d__x000d__x000d__x000d__x000d__x000b_"/>
    <w:docVar w:name="LW_TYPE.DOC.CP" w:val="COMUNICARE A COMISIEI CĂTRE PARLAMENTUL EUROPEAN ȘI CONSILIU"/>
    <w:docVar w:name="LW_TYPE.DOC.CP.USERTEXT" w:val="&lt;EMPTY&gt;"/>
    <w:docVar w:name="LwApiVersions" w:val="LW4CoDe 1.23.2.0; LW 8.0, Build 20211117"/>
  </w:docVars>
  <w:rsids>
    <w:rsidRoot w:val="00263099"/>
    <w:rsid w:val="0000035A"/>
    <w:rsid w:val="00000A59"/>
    <w:rsid w:val="000026E0"/>
    <w:rsid w:val="0000356A"/>
    <w:rsid w:val="00003970"/>
    <w:rsid w:val="00004BFE"/>
    <w:rsid w:val="0000628E"/>
    <w:rsid w:val="000065FA"/>
    <w:rsid w:val="00006B2B"/>
    <w:rsid w:val="00007790"/>
    <w:rsid w:val="00007E4A"/>
    <w:rsid w:val="0001055B"/>
    <w:rsid w:val="0001082F"/>
    <w:rsid w:val="00014146"/>
    <w:rsid w:val="000214F6"/>
    <w:rsid w:val="0002220B"/>
    <w:rsid w:val="000223B2"/>
    <w:rsid w:val="00023119"/>
    <w:rsid w:val="0002316E"/>
    <w:rsid w:val="00023801"/>
    <w:rsid w:val="00025023"/>
    <w:rsid w:val="00025367"/>
    <w:rsid w:val="00026240"/>
    <w:rsid w:val="00027989"/>
    <w:rsid w:val="00027AE3"/>
    <w:rsid w:val="00030332"/>
    <w:rsid w:val="00032245"/>
    <w:rsid w:val="000323AB"/>
    <w:rsid w:val="00032519"/>
    <w:rsid w:val="00033257"/>
    <w:rsid w:val="00033AC0"/>
    <w:rsid w:val="00035294"/>
    <w:rsid w:val="0003760F"/>
    <w:rsid w:val="00037BB0"/>
    <w:rsid w:val="00040383"/>
    <w:rsid w:val="00040955"/>
    <w:rsid w:val="00040B48"/>
    <w:rsid w:val="00041DE2"/>
    <w:rsid w:val="00042579"/>
    <w:rsid w:val="00042A0F"/>
    <w:rsid w:val="00042E48"/>
    <w:rsid w:val="00044014"/>
    <w:rsid w:val="0004469E"/>
    <w:rsid w:val="00045BC4"/>
    <w:rsid w:val="0004632F"/>
    <w:rsid w:val="000472A9"/>
    <w:rsid w:val="00047B99"/>
    <w:rsid w:val="000541CF"/>
    <w:rsid w:val="000552EE"/>
    <w:rsid w:val="000578E0"/>
    <w:rsid w:val="000604F9"/>
    <w:rsid w:val="00061652"/>
    <w:rsid w:val="00061C45"/>
    <w:rsid w:val="00062577"/>
    <w:rsid w:val="0006273A"/>
    <w:rsid w:val="0006279D"/>
    <w:rsid w:val="00063C61"/>
    <w:rsid w:val="0006475E"/>
    <w:rsid w:val="000652D3"/>
    <w:rsid w:val="00065CEC"/>
    <w:rsid w:val="00066157"/>
    <w:rsid w:val="0006702A"/>
    <w:rsid w:val="0007277B"/>
    <w:rsid w:val="000738CF"/>
    <w:rsid w:val="000741B4"/>
    <w:rsid w:val="0007593D"/>
    <w:rsid w:val="000801F4"/>
    <w:rsid w:val="0008078D"/>
    <w:rsid w:val="00083155"/>
    <w:rsid w:val="0009345D"/>
    <w:rsid w:val="00093B9E"/>
    <w:rsid w:val="00094330"/>
    <w:rsid w:val="000956CE"/>
    <w:rsid w:val="00096809"/>
    <w:rsid w:val="000A128D"/>
    <w:rsid w:val="000A1CA9"/>
    <w:rsid w:val="000A26D2"/>
    <w:rsid w:val="000A2FDF"/>
    <w:rsid w:val="000A325A"/>
    <w:rsid w:val="000A35BE"/>
    <w:rsid w:val="000A6803"/>
    <w:rsid w:val="000A7485"/>
    <w:rsid w:val="000B18A0"/>
    <w:rsid w:val="000B29A5"/>
    <w:rsid w:val="000B3D58"/>
    <w:rsid w:val="000B4CFA"/>
    <w:rsid w:val="000B6597"/>
    <w:rsid w:val="000B66C0"/>
    <w:rsid w:val="000B7474"/>
    <w:rsid w:val="000B75C2"/>
    <w:rsid w:val="000C03E2"/>
    <w:rsid w:val="000C1095"/>
    <w:rsid w:val="000C22AF"/>
    <w:rsid w:val="000C2679"/>
    <w:rsid w:val="000C63D7"/>
    <w:rsid w:val="000D05F7"/>
    <w:rsid w:val="000D0AEC"/>
    <w:rsid w:val="000D1955"/>
    <w:rsid w:val="000D22F4"/>
    <w:rsid w:val="000D2B8A"/>
    <w:rsid w:val="000D3B90"/>
    <w:rsid w:val="000D6B24"/>
    <w:rsid w:val="000D72E7"/>
    <w:rsid w:val="000D7C69"/>
    <w:rsid w:val="000D7D06"/>
    <w:rsid w:val="000E0740"/>
    <w:rsid w:val="000E12A4"/>
    <w:rsid w:val="000E1421"/>
    <w:rsid w:val="000E1B2E"/>
    <w:rsid w:val="000E2465"/>
    <w:rsid w:val="000E448E"/>
    <w:rsid w:val="000E66A8"/>
    <w:rsid w:val="000E766E"/>
    <w:rsid w:val="000F0926"/>
    <w:rsid w:val="000F2036"/>
    <w:rsid w:val="000F2445"/>
    <w:rsid w:val="000F2AE9"/>
    <w:rsid w:val="000F3794"/>
    <w:rsid w:val="000F5365"/>
    <w:rsid w:val="0010264C"/>
    <w:rsid w:val="001027A0"/>
    <w:rsid w:val="001029F3"/>
    <w:rsid w:val="00104B88"/>
    <w:rsid w:val="0010530F"/>
    <w:rsid w:val="001062FD"/>
    <w:rsid w:val="001112AF"/>
    <w:rsid w:val="00111C9C"/>
    <w:rsid w:val="00111E44"/>
    <w:rsid w:val="00113960"/>
    <w:rsid w:val="00115187"/>
    <w:rsid w:val="001156E3"/>
    <w:rsid w:val="001160CE"/>
    <w:rsid w:val="001202B8"/>
    <w:rsid w:val="001234A9"/>
    <w:rsid w:val="00125754"/>
    <w:rsid w:val="00127C09"/>
    <w:rsid w:val="0013069D"/>
    <w:rsid w:val="00130B88"/>
    <w:rsid w:val="00131147"/>
    <w:rsid w:val="00131737"/>
    <w:rsid w:val="00131DAA"/>
    <w:rsid w:val="00135BD9"/>
    <w:rsid w:val="00136EF8"/>
    <w:rsid w:val="0014178A"/>
    <w:rsid w:val="00141820"/>
    <w:rsid w:val="0014184C"/>
    <w:rsid w:val="001504A6"/>
    <w:rsid w:val="00150C1E"/>
    <w:rsid w:val="0015147D"/>
    <w:rsid w:val="00151BBA"/>
    <w:rsid w:val="00151CB3"/>
    <w:rsid w:val="00151D10"/>
    <w:rsid w:val="0015527C"/>
    <w:rsid w:val="00155BD5"/>
    <w:rsid w:val="0016018B"/>
    <w:rsid w:val="001608CF"/>
    <w:rsid w:val="001616E7"/>
    <w:rsid w:val="00162DAD"/>
    <w:rsid w:val="00167432"/>
    <w:rsid w:val="001721C8"/>
    <w:rsid w:val="0017257A"/>
    <w:rsid w:val="00173335"/>
    <w:rsid w:val="00173D54"/>
    <w:rsid w:val="00174311"/>
    <w:rsid w:val="00175733"/>
    <w:rsid w:val="001808E6"/>
    <w:rsid w:val="00180BD4"/>
    <w:rsid w:val="00180EE8"/>
    <w:rsid w:val="0018120B"/>
    <w:rsid w:val="001817F2"/>
    <w:rsid w:val="00184584"/>
    <w:rsid w:val="001848A2"/>
    <w:rsid w:val="001850D5"/>
    <w:rsid w:val="0018517F"/>
    <w:rsid w:val="00186452"/>
    <w:rsid w:val="00186ACE"/>
    <w:rsid w:val="001916C3"/>
    <w:rsid w:val="001932BC"/>
    <w:rsid w:val="00193E09"/>
    <w:rsid w:val="001957F0"/>
    <w:rsid w:val="00196255"/>
    <w:rsid w:val="0019637C"/>
    <w:rsid w:val="001974C7"/>
    <w:rsid w:val="00197674"/>
    <w:rsid w:val="001A0FF8"/>
    <w:rsid w:val="001A10E7"/>
    <w:rsid w:val="001A4774"/>
    <w:rsid w:val="001A787F"/>
    <w:rsid w:val="001A7B6A"/>
    <w:rsid w:val="001B19C7"/>
    <w:rsid w:val="001B19EC"/>
    <w:rsid w:val="001B6B93"/>
    <w:rsid w:val="001C0797"/>
    <w:rsid w:val="001C0A9D"/>
    <w:rsid w:val="001C0DB7"/>
    <w:rsid w:val="001C1953"/>
    <w:rsid w:val="001C2155"/>
    <w:rsid w:val="001C6B4D"/>
    <w:rsid w:val="001D0D41"/>
    <w:rsid w:val="001D1610"/>
    <w:rsid w:val="001D1A29"/>
    <w:rsid w:val="001D300E"/>
    <w:rsid w:val="001D38F0"/>
    <w:rsid w:val="001D41FC"/>
    <w:rsid w:val="001D6209"/>
    <w:rsid w:val="001D6E4C"/>
    <w:rsid w:val="001D76F3"/>
    <w:rsid w:val="001E0A03"/>
    <w:rsid w:val="001E1A35"/>
    <w:rsid w:val="001E3463"/>
    <w:rsid w:val="001E4CDF"/>
    <w:rsid w:val="001E562A"/>
    <w:rsid w:val="001E6015"/>
    <w:rsid w:val="001E6E62"/>
    <w:rsid w:val="001F19A2"/>
    <w:rsid w:val="001F2144"/>
    <w:rsid w:val="001F3906"/>
    <w:rsid w:val="001F65AF"/>
    <w:rsid w:val="00200AB8"/>
    <w:rsid w:val="00200C00"/>
    <w:rsid w:val="0020250F"/>
    <w:rsid w:val="00204971"/>
    <w:rsid w:val="00204A6C"/>
    <w:rsid w:val="00205366"/>
    <w:rsid w:val="0020565F"/>
    <w:rsid w:val="00206E5F"/>
    <w:rsid w:val="00207550"/>
    <w:rsid w:val="00210ABC"/>
    <w:rsid w:val="002133BF"/>
    <w:rsid w:val="00214835"/>
    <w:rsid w:val="002150C7"/>
    <w:rsid w:val="00216090"/>
    <w:rsid w:val="00216CFE"/>
    <w:rsid w:val="00217BB9"/>
    <w:rsid w:val="00217CA6"/>
    <w:rsid w:val="00220A64"/>
    <w:rsid w:val="002217BC"/>
    <w:rsid w:val="00221854"/>
    <w:rsid w:val="00222CF0"/>
    <w:rsid w:val="00223CD6"/>
    <w:rsid w:val="00223F9B"/>
    <w:rsid w:val="0022481C"/>
    <w:rsid w:val="00226803"/>
    <w:rsid w:val="002310C9"/>
    <w:rsid w:val="00231FAC"/>
    <w:rsid w:val="00233A0D"/>
    <w:rsid w:val="00235B9E"/>
    <w:rsid w:val="0023644E"/>
    <w:rsid w:val="00237C3C"/>
    <w:rsid w:val="002407CF"/>
    <w:rsid w:val="00241957"/>
    <w:rsid w:val="002431AC"/>
    <w:rsid w:val="00243D46"/>
    <w:rsid w:val="00244AF5"/>
    <w:rsid w:val="002450FD"/>
    <w:rsid w:val="002454F5"/>
    <w:rsid w:val="00247207"/>
    <w:rsid w:val="00247FC0"/>
    <w:rsid w:val="00250914"/>
    <w:rsid w:val="00251DEC"/>
    <w:rsid w:val="00251E14"/>
    <w:rsid w:val="002540A3"/>
    <w:rsid w:val="00254CB6"/>
    <w:rsid w:val="00256033"/>
    <w:rsid w:val="00256497"/>
    <w:rsid w:val="00256E58"/>
    <w:rsid w:val="002608BB"/>
    <w:rsid w:val="00262497"/>
    <w:rsid w:val="002625C7"/>
    <w:rsid w:val="00262FFF"/>
    <w:rsid w:val="00263099"/>
    <w:rsid w:val="002635E5"/>
    <w:rsid w:val="00264266"/>
    <w:rsid w:val="0026489A"/>
    <w:rsid w:val="00266EBE"/>
    <w:rsid w:val="00267B93"/>
    <w:rsid w:val="00267BB9"/>
    <w:rsid w:val="0027156D"/>
    <w:rsid w:val="00271A01"/>
    <w:rsid w:val="002771F9"/>
    <w:rsid w:val="002806C9"/>
    <w:rsid w:val="00280976"/>
    <w:rsid w:val="00283851"/>
    <w:rsid w:val="00283C70"/>
    <w:rsid w:val="002852EA"/>
    <w:rsid w:val="00285A52"/>
    <w:rsid w:val="00287809"/>
    <w:rsid w:val="002914B9"/>
    <w:rsid w:val="00291A52"/>
    <w:rsid w:val="00296376"/>
    <w:rsid w:val="002A4983"/>
    <w:rsid w:val="002A7595"/>
    <w:rsid w:val="002B136A"/>
    <w:rsid w:val="002B462E"/>
    <w:rsid w:val="002B56FF"/>
    <w:rsid w:val="002B6BB4"/>
    <w:rsid w:val="002B7367"/>
    <w:rsid w:val="002C0D9A"/>
    <w:rsid w:val="002C2C4F"/>
    <w:rsid w:val="002C308C"/>
    <w:rsid w:val="002C3B94"/>
    <w:rsid w:val="002C64AB"/>
    <w:rsid w:val="002C6F5B"/>
    <w:rsid w:val="002C7C1E"/>
    <w:rsid w:val="002D31CF"/>
    <w:rsid w:val="002D6882"/>
    <w:rsid w:val="002D6E8C"/>
    <w:rsid w:val="002E192A"/>
    <w:rsid w:val="002E1E99"/>
    <w:rsid w:val="002E3D78"/>
    <w:rsid w:val="002E4E4C"/>
    <w:rsid w:val="002E5EF7"/>
    <w:rsid w:val="002E7EA4"/>
    <w:rsid w:val="002F14A4"/>
    <w:rsid w:val="002F1763"/>
    <w:rsid w:val="002F3359"/>
    <w:rsid w:val="002F751E"/>
    <w:rsid w:val="003207AF"/>
    <w:rsid w:val="00322A2F"/>
    <w:rsid w:val="00323C89"/>
    <w:rsid w:val="00325352"/>
    <w:rsid w:val="00325A69"/>
    <w:rsid w:val="00326A70"/>
    <w:rsid w:val="00326B37"/>
    <w:rsid w:val="00327840"/>
    <w:rsid w:val="00327DF7"/>
    <w:rsid w:val="00331816"/>
    <w:rsid w:val="00332934"/>
    <w:rsid w:val="00332ACA"/>
    <w:rsid w:val="00333E21"/>
    <w:rsid w:val="00333F00"/>
    <w:rsid w:val="00334344"/>
    <w:rsid w:val="00341DF6"/>
    <w:rsid w:val="00342A38"/>
    <w:rsid w:val="00345485"/>
    <w:rsid w:val="00345641"/>
    <w:rsid w:val="0034794B"/>
    <w:rsid w:val="00351508"/>
    <w:rsid w:val="00351A91"/>
    <w:rsid w:val="00352984"/>
    <w:rsid w:val="003530B5"/>
    <w:rsid w:val="00353536"/>
    <w:rsid w:val="0035617E"/>
    <w:rsid w:val="00356EC7"/>
    <w:rsid w:val="003570CB"/>
    <w:rsid w:val="00360579"/>
    <w:rsid w:val="00361472"/>
    <w:rsid w:val="0036159C"/>
    <w:rsid w:val="0036198A"/>
    <w:rsid w:val="003634B3"/>
    <w:rsid w:val="003636AA"/>
    <w:rsid w:val="003647FE"/>
    <w:rsid w:val="00366E7E"/>
    <w:rsid w:val="003717AF"/>
    <w:rsid w:val="003726AC"/>
    <w:rsid w:val="00372A5C"/>
    <w:rsid w:val="0037336C"/>
    <w:rsid w:val="00374587"/>
    <w:rsid w:val="0037463B"/>
    <w:rsid w:val="00374839"/>
    <w:rsid w:val="00374FFB"/>
    <w:rsid w:val="00375A2E"/>
    <w:rsid w:val="0037686E"/>
    <w:rsid w:val="00376AFA"/>
    <w:rsid w:val="00376C46"/>
    <w:rsid w:val="0038306F"/>
    <w:rsid w:val="003874D0"/>
    <w:rsid w:val="0039120C"/>
    <w:rsid w:val="003918CC"/>
    <w:rsid w:val="003955AA"/>
    <w:rsid w:val="003A0030"/>
    <w:rsid w:val="003A05DF"/>
    <w:rsid w:val="003A11E4"/>
    <w:rsid w:val="003A2CA0"/>
    <w:rsid w:val="003A3575"/>
    <w:rsid w:val="003A4144"/>
    <w:rsid w:val="003A6603"/>
    <w:rsid w:val="003A6663"/>
    <w:rsid w:val="003A6E24"/>
    <w:rsid w:val="003B1586"/>
    <w:rsid w:val="003B24C9"/>
    <w:rsid w:val="003B2728"/>
    <w:rsid w:val="003B6663"/>
    <w:rsid w:val="003B7568"/>
    <w:rsid w:val="003B7A9F"/>
    <w:rsid w:val="003C3A73"/>
    <w:rsid w:val="003C43E0"/>
    <w:rsid w:val="003C4A5E"/>
    <w:rsid w:val="003D0B15"/>
    <w:rsid w:val="003D27D6"/>
    <w:rsid w:val="003D3B84"/>
    <w:rsid w:val="003D4073"/>
    <w:rsid w:val="003D59D8"/>
    <w:rsid w:val="003D65F9"/>
    <w:rsid w:val="003D7AAD"/>
    <w:rsid w:val="003E1D3D"/>
    <w:rsid w:val="003E2251"/>
    <w:rsid w:val="003E44A8"/>
    <w:rsid w:val="003E549D"/>
    <w:rsid w:val="003E5B8A"/>
    <w:rsid w:val="003E6F0A"/>
    <w:rsid w:val="003F0729"/>
    <w:rsid w:val="003F1830"/>
    <w:rsid w:val="003F3CF8"/>
    <w:rsid w:val="003F3F41"/>
    <w:rsid w:val="003F4AEF"/>
    <w:rsid w:val="003F79F6"/>
    <w:rsid w:val="00400FA0"/>
    <w:rsid w:val="00402FEE"/>
    <w:rsid w:val="00404C77"/>
    <w:rsid w:val="00406AD2"/>
    <w:rsid w:val="0040738D"/>
    <w:rsid w:val="004079AC"/>
    <w:rsid w:val="00407E3D"/>
    <w:rsid w:val="0041074A"/>
    <w:rsid w:val="00412408"/>
    <w:rsid w:val="00415065"/>
    <w:rsid w:val="00415558"/>
    <w:rsid w:val="0041680A"/>
    <w:rsid w:val="00416F65"/>
    <w:rsid w:val="004203A9"/>
    <w:rsid w:val="004203DF"/>
    <w:rsid w:val="004222DE"/>
    <w:rsid w:val="00422C62"/>
    <w:rsid w:val="00425CEA"/>
    <w:rsid w:val="004279A8"/>
    <w:rsid w:val="004315ED"/>
    <w:rsid w:val="00432088"/>
    <w:rsid w:val="0043452A"/>
    <w:rsid w:val="004361DB"/>
    <w:rsid w:val="00437DF3"/>
    <w:rsid w:val="004424AD"/>
    <w:rsid w:val="00442742"/>
    <w:rsid w:val="00443EAF"/>
    <w:rsid w:val="00443F90"/>
    <w:rsid w:val="0044477D"/>
    <w:rsid w:val="00445103"/>
    <w:rsid w:val="00447008"/>
    <w:rsid w:val="0045134E"/>
    <w:rsid w:val="00453FC9"/>
    <w:rsid w:val="00454C32"/>
    <w:rsid w:val="004565E4"/>
    <w:rsid w:val="00462BBC"/>
    <w:rsid w:val="0046687C"/>
    <w:rsid w:val="004676C3"/>
    <w:rsid w:val="004678A4"/>
    <w:rsid w:val="00470B72"/>
    <w:rsid w:val="00470E59"/>
    <w:rsid w:val="00471C03"/>
    <w:rsid w:val="0047239D"/>
    <w:rsid w:val="00472E67"/>
    <w:rsid w:val="00473287"/>
    <w:rsid w:val="00473936"/>
    <w:rsid w:val="00474730"/>
    <w:rsid w:val="00474D92"/>
    <w:rsid w:val="00474DDB"/>
    <w:rsid w:val="00474FA8"/>
    <w:rsid w:val="0047719B"/>
    <w:rsid w:val="00481397"/>
    <w:rsid w:val="004821ED"/>
    <w:rsid w:val="004841B6"/>
    <w:rsid w:val="00484788"/>
    <w:rsid w:val="004847DF"/>
    <w:rsid w:val="00484F66"/>
    <w:rsid w:val="00485C94"/>
    <w:rsid w:val="00486409"/>
    <w:rsid w:val="004868EE"/>
    <w:rsid w:val="00490810"/>
    <w:rsid w:val="00494532"/>
    <w:rsid w:val="004958D6"/>
    <w:rsid w:val="00496A05"/>
    <w:rsid w:val="004A13B9"/>
    <w:rsid w:val="004A1520"/>
    <w:rsid w:val="004A283E"/>
    <w:rsid w:val="004A4217"/>
    <w:rsid w:val="004A4D84"/>
    <w:rsid w:val="004A53C2"/>
    <w:rsid w:val="004A7C6A"/>
    <w:rsid w:val="004B048E"/>
    <w:rsid w:val="004B136B"/>
    <w:rsid w:val="004B1526"/>
    <w:rsid w:val="004B1CF2"/>
    <w:rsid w:val="004B209D"/>
    <w:rsid w:val="004B2D57"/>
    <w:rsid w:val="004B61FB"/>
    <w:rsid w:val="004B78B0"/>
    <w:rsid w:val="004C015F"/>
    <w:rsid w:val="004C12FD"/>
    <w:rsid w:val="004C26FE"/>
    <w:rsid w:val="004C2FB8"/>
    <w:rsid w:val="004C3BE7"/>
    <w:rsid w:val="004C63BB"/>
    <w:rsid w:val="004D373D"/>
    <w:rsid w:val="004D4083"/>
    <w:rsid w:val="004D4FD4"/>
    <w:rsid w:val="004D5681"/>
    <w:rsid w:val="004E01B9"/>
    <w:rsid w:val="004E0A12"/>
    <w:rsid w:val="004E15AD"/>
    <w:rsid w:val="004E1744"/>
    <w:rsid w:val="004E249E"/>
    <w:rsid w:val="004E3DD4"/>
    <w:rsid w:val="004E42D3"/>
    <w:rsid w:val="004E7146"/>
    <w:rsid w:val="004E7748"/>
    <w:rsid w:val="004E7DDF"/>
    <w:rsid w:val="004F00F1"/>
    <w:rsid w:val="004F0A00"/>
    <w:rsid w:val="004F2567"/>
    <w:rsid w:val="004F39A8"/>
    <w:rsid w:val="004F57C1"/>
    <w:rsid w:val="0050019F"/>
    <w:rsid w:val="0050136C"/>
    <w:rsid w:val="005034AC"/>
    <w:rsid w:val="00504DCA"/>
    <w:rsid w:val="0050544C"/>
    <w:rsid w:val="005062AB"/>
    <w:rsid w:val="00506E3C"/>
    <w:rsid w:val="00514C54"/>
    <w:rsid w:val="00515766"/>
    <w:rsid w:val="00515B66"/>
    <w:rsid w:val="00516467"/>
    <w:rsid w:val="00516BDD"/>
    <w:rsid w:val="005170F3"/>
    <w:rsid w:val="00517473"/>
    <w:rsid w:val="0051794A"/>
    <w:rsid w:val="00520D96"/>
    <w:rsid w:val="0052127F"/>
    <w:rsid w:val="005222CF"/>
    <w:rsid w:val="005239E5"/>
    <w:rsid w:val="00525F8F"/>
    <w:rsid w:val="00530D70"/>
    <w:rsid w:val="00534D10"/>
    <w:rsid w:val="005361A4"/>
    <w:rsid w:val="005403B6"/>
    <w:rsid w:val="00542740"/>
    <w:rsid w:val="005432A0"/>
    <w:rsid w:val="00545FFD"/>
    <w:rsid w:val="005460D2"/>
    <w:rsid w:val="005505CB"/>
    <w:rsid w:val="005538B1"/>
    <w:rsid w:val="005555FB"/>
    <w:rsid w:val="00555787"/>
    <w:rsid w:val="00556139"/>
    <w:rsid w:val="00556CC7"/>
    <w:rsid w:val="00557792"/>
    <w:rsid w:val="00561F2D"/>
    <w:rsid w:val="005621E0"/>
    <w:rsid w:val="005668B5"/>
    <w:rsid w:val="005706D2"/>
    <w:rsid w:val="00570F36"/>
    <w:rsid w:val="00571454"/>
    <w:rsid w:val="00572554"/>
    <w:rsid w:val="00573C6A"/>
    <w:rsid w:val="00576A70"/>
    <w:rsid w:val="0057796C"/>
    <w:rsid w:val="00577F24"/>
    <w:rsid w:val="00580615"/>
    <w:rsid w:val="00580658"/>
    <w:rsid w:val="005807B3"/>
    <w:rsid w:val="005848A8"/>
    <w:rsid w:val="005852D0"/>
    <w:rsid w:val="005870E9"/>
    <w:rsid w:val="00587822"/>
    <w:rsid w:val="00591746"/>
    <w:rsid w:val="00591802"/>
    <w:rsid w:val="005937C2"/>
    <w:rsid w:val="00594ADB"/>
    <w:rsid w:val="00597465"/>
    <w:rsid w:val="0059796C"/>
    <w:rsid w:val="00597CAF"/>
    <w:rsid w:val="005A0E8C"/>
    <w:rsid w:val="005A1EAE"/>
    <w:rsid w:val="005A2D41"/>
    <w:rsid w:val="005A4818"/>
    <w:rsid w:val="005A6CC1"/>
    <w:rsid w:val="005A7203"/>
    <w:rsid w:val="005A7C9D"/>
    <w:rsid w:val="005B0425"/>
    <w:rsid w:val="005B0506"/>
    <w:rsid w:val="005B2A3C"/>
    <w:rsid w:val="005B2D38"/>
    <w:rsid w:val="005B41FE"/>
    <w:rsid w:val="005B4304"/>
    <w:rsid w:val="005B45FB"/>
    <w:rsid w:val="005B503B"/>
    <w:rsid w:val="005B595D"/>
    <w:rsid w:val="005B5BBE"/>
    <w:rsid w:val="005B6089"/>
    <w:rsid w:val="005B60F5"/>
    <w:rsid w:val="005C0EA8"/>
    <w:rsid w:val="005C1017"/>
    <w:rsid w:val="005C43CD"/>
    <w:rsid w:val="005C6797"/>
    <w:rsid w:val="005C7D1D"/>
    <w:rsid w:val="005C7F25"/>
    <w:rsid w:val="005D16C1"/>
    <w:rsid w:val="005D690E"/>
    <w:rsid w:val="005D72BC"/>
    <w:rsid w:val="005D7BFD"/>
    <w:rsid w:val="005E2101"/>
    <w:rsid w:val="005E3189"/>
    <w:rsid w:val="005E3268"/>
    <w:rsid w:val="005E342F"/>
    <w:rsid w:val="005E5305"/>
    <w:rsid w:val="005E7F21"/>
    <w:rsid w:val="005F2A3D"/>
    <w:rsid w:val="005F34DD"/>
    <w:rsid w:val="005F44A5"/>
    <w:rsid w:val="005F48CE"/>
    <w:rsid w:val="005F4B55"/>
    <w:rsid w:val="005F5648"/>
    <w:rsid w:val="005F5D38"/>
    <w:rsid w:val="005F6BF6"/>
    <w:rsid w:val="005F7EAC"/>
    <w:rsid w:val="00603680"/>
    <w:rsid w:val="0060383F"/>
    <w:rsid w:val="00603A66"/>
    <w:rsid w:val="00603F6D"/>
    <w:rsid w:val="006041C6"/>
    <w:rsid w:val="00605B90"/>
    <w:rsid w:val="006065E2"/>
    <w:rsid w:val="0060724B"/>
    <w:rsid w:val="00607E49"/>
    <w:rsid w:val="00610E19"/>
    <w:rsid w:val="00612637"/>
    <w:rsid w:val="0061533F"/>
    <w:rsid w:val="00615873"/>
    <w:rsid w:val="00616B37"/>
    <w:rsid w:val="00617CCD"/>
    <w:rsid w:val="00617EA4"/>
    <w:rsid w:val="00620051"/>
    <w:rsid w:val="00620FCA"/>
    <w:rsid w:val="0062276B"/>
    <w:rsid w:val="006234F6"/>
    <w:rsid w:val="00623DBD"/>
    <w:rsid w:val="0062523F"/>
    <w:rsid w:val="00631ACD"/>
    <w:rsid w:val="0063429F"/>
    <w:rsid w:val="00640061"/>
    <w:rsid w:val="0064171A"/>
    <w:rsid w:val="00641810"/>
    <w:rsid w:val="006423DE"/>
    <w:rsid w:val="00642821"/>
    <w:rsid w:val="006504D8"/>
    <w:rsid w:val="006505FB"/>
    <w:rsid w:val="00650772"/>
    <w:rsid w:val="00650BAF"/>
    <w:rsid w:val="006517E3"/>
    <w:rsid w:val="00651907"/>
    <w:rsid w:val="006546AB"/>
    <w:rsid w:val="006550E2"/>
    <w:rsid w:val="00656F47"/>
    <w:rsid w:val="00657B09"/>
    <w:rsid w:val="00670DED"/>
    <w:rsid w:val="006718F2"/>
    <w:rsid w:val="00672330"/>
    <w:rsid w:val="0067255D"/>
    <w:rsid w:val="00672739"/>
    <w:rsid w:val="00672A30"/>
    <w:rsid w:val="00672E8E"/>
    <w:rsid w:val="006756B0"/>
    <w:rsid w:val="00675C3C"/>
    <w:rsid w:val="006775DA"/>
    <w:rsid w:val="00680129"/>
    <w:rsid w:val="0068242C"/>
    <w:rsid w:val="006826D4"/>
    <w:rsid w:val="00683E09"/>
    <w:rsid w:val="0068433F"/>
    <w:rsid w:val="00685731"/>
    <w:rsid w:val="006862E6"/>
    <w:rsid w:val="00690790"/>
    <w:rsid w:val="00690857"/>
    <w:rsid w:val="00691BC6"/>
    <w:rsid w:val="006941E1"/>
    <w:rsid w:val="00694A05"/>
    <w:rsid w:val="0069711B"/>
    <w:rsid w:val="0069724D"/>
    <w:rsid w:val="006A18FE"/>
    <w:rsid w:val="006A2752"/>
    <w:rsid w:val="006A59D0"/>
    <w:rsid w:val="006A67CA"/>
    <w:rsid w:val="006B05B9"/>
    <w:rsid w:val="006B10D0"/>
    <w:rsid w:val="006B112B"/>
    <w:rsid w:val="006B1C44"/>
    <w:rsid w:val="006B2F11"/>
    <w:rsid w:val="006B38A5"/>
    <w:rsid w:val="006B3ACA"/>
    <w:rsid w:val="006B4220"/>
    <w:rsid w:val="006B5B94"/>
    <w:rsid w:val="006B6654"/>
    <w:rsid w:val="006C208A"/>
    <w:rsid w:val="006C22D3"/>
    <w:rsid w:val="006C32C6"/>
    <w:rsid w:val="006C4339"/>
    <w:rsid w:val="006C5A96"/>
    <w:rsid w:val="006C625D"/>
    <w:rsid w:val="006D0F16"/>
    <w:rsid w:val="006D168B"/>
    <w:rsid w:val="006D19B9"/>
    <w:rsid w:val="006D3AFE"/>
    <w:rsid w:val="006D52DF"/>
    <w:rsid w:val="006D75FA"/>
    <w:rsid w:val="006D7A1C"/>
    <w:rsid w:val="006E04EA"/>
    <w:rsid w:val="006E0C63"/>
    <w:rsid w:val="006E26A5"/>
    <w:rsid w:val="006E291D"/>
    <w:rsid w:val="006E3160"/>
    <w:rsid w:val="006E5511"/>
    <w:rsid w:val="006F0BB8"/>
    <w:rsid w:val="006F0E87"/>
    <w:rsid w:val="006F1230"/>
    <w:rsid w:val="006F12E3"/>
    <w:rsid w:val="006F1FCE"/>
    <w:rsid w:val="006F24E2"/>
    <w:rsid w:val="006F58F1"/>
    <w:rsid w:val="006F697A"/>
    <w:rsid w:val="006F7C5E"/>
    <w:rsid w:val="00700911"/>
    <w:rsid w:val="0070190C"/>
    <w:rsid w:val="00701DDD"/>
    <w:rsid w:val="00703393"/>
    <w:rsid w:val="00704755"/>
    <w:rsid w:val="00705292"/>
    <w:rsid w:val="0070594E"/>
    <w:rsid w:val="0070725E"/>
    <w:rsid w:val="0071050F"/>
    <w:rsid w:val="00712719"/>
    <w:rsid w:val="00715374"/>
    <w:rsid w:val="007166F8"/>
    <w:rsid w:val="00716DC3"/>
    <w:rsid w:val="00717A3E"/>
    <w:rsid w:val="00720100"/>
    <w:rsid w:val="00720ABC"/>
    <w:rsid w:val="0073008D"/>
    <w:rsid w:val="00730248"/>
    <w:rsid w:val="00730E5A"/>
    <w:rsid w:val="007340C0"/>
    <w:rsid w:val="007348D7"/>
    <w:rsid w:val="007363DC"/>
    <w:rsid w:val="007365B4"/>
    <w:rsid w:val="00736D4E"/>
    <w:rsid w:val="00737D28"/>
    <w:rsid w:val="007403A8"/>
    <w:rsid w:val="00740BBD"/>
    <w:rsid w:val="00742379"/>
    <w:rsid w:val="007433D5"/>
    <w:rsid w:val="007444DB"/>
    <w:rsid w:val="00745FCD"/>
    <w:rsid w:val="0074645C"/>
    <w:rsid w:val="00746A74"/>
    <w:rsid w:val="007475D2"/>
    <w:rsid w:val="0075138E"/>
    <w:rsid w:val="0075235B"/>
    <w:rsid w:val="0075237F"/>
    <w:rsid w:val="007526D9"/>
    <w:rsid w:val="0075511A"/>
    <w:rsid w:val="00756321"/>
    <w:rsid w:val="00756DA9"/>
    <w:rsid w:val="00756DE6"/>
    <w:rsid w:val="00761FD1"/>
    <w:rsid w:val="00764298"/>
    <w:rsid w:val="007665CC"/>
    <w:rsid w:val="00766612"/>
    <w:rsid w:val="00770B6F"/>
    <w:rsid w:val="00772AA5"/>
    <w:rsid w:val="00776674"/>
    <w:rsid w:val="007807D9"/>
    <w:rsid w:val="007807E4"/>
    <w:rsid w:val="00784582"/>
    <w:rsid w:val="00784593"/>
    <w:rsid w:val="007925D3"/>
    <w:rsid w:val="00792830"/>
    <w:rsid w:val="00793106"/>
    <w:rsid w:val="00793DE0"/>
    <w:rsid w:val="00795CFD"/>
    <w:rsid w:val="00795ED0"/>
    <w:rsid w:val="007A0418"/>
    <w:rsid w:val="007A1415"/>
    <w:rsid w:val="007A1A69"/>
    <w:rsid w:val="007A2CF7"/>
    <w:rsid w:val="007A33A7"/>
    <w:rsid w:val="007A42BF"/>
    <w:rsid w:val="007A46C5"/>
    <w:rsid w:val="007A4BB7"/>
    <w:rsid w:val="007A5A64"/>
    <w:rsid w:val="007A5CA1"/>
    <w:rsid w:val="007A642C"/>
    <w:rsid w:val="007A72E6"/>
    <w:rsid w:val="007B0012"/>
    <w:rsid w:val="007B06A0"/>
    <w:rsid w:val="007B22E8"/>
    <w:rsid w:val="007B2536"/>
    <w:rsid w:val="007B26C9"/>
    <w:rsid w:val="007B6283"/>
    <w:rsid w:val="007B65B6"/>
    <w:rsid w:val="007B70D2"/>
    <w:rsid w:val="007B72DC"/>
    <w:rsid w:val="007C1A23"/>
    <w:rsid w:val="007C37AB"/>
    <w:rsid w:val="007C3E7D"/>
    <w:rsid w:val="007C4788"/>
    <w:rsid w:val="007C4BA4"/>
    <w:rsid w:val="007D0D30"/>
    <w:rsid w:val="007D270D"/>
    <w:rsid w:val="007D3AC2"/>
    <w:rsid w:val="007D53C6"/>
    <w:rsid w:val="007D680B"/>
    <w:rsid w:val="007D6C66"/>
    <w:rsid w:val="007D7779"/>
    <w:rsid w:val="007D7B13"/>
    <w:rsid w:val="007E0646"/>
    <w:rsid w:val="007E3652"/>
    <w:rsid w:val="007E3C94"/>
    <w:rsid w:val="007E4526"/>
    <w:rsid w:val="007E4A19"/>
    <w:rsid w:val="007E5354"/>
    <w:rsid w:val="007E5C2C"/>
    <w:rsid w:val="007E7BB6"/>
    <w:rsid w:val="007F128A"/>
    <w:rsid w:val="007F43F8"/>
    <w:rsid w:val="007F51D4"/>
    <w:rsid w:val="007F76C5"/>
    <w:rsid w:val="007F7A13"/>
    <w:rsid w:val="0080215B"/>
    <w:rsid w:val="00802846"/>
    <w:rsid w:val="00802A58"/>
    <w:rsid w:val="00803ABC"/>
    <w:rsid w:val="00805520"/>
    <w:rsid w:val="00807811"/>
    <w:rsid w:val="00810208"/>
    <w:rsid w:val="008112BE"/>
    <w:rsid w:val="008114FD"/>
    <w:rsid w:val="00814051"/>
    <w:rsid w:val="00814841"/>
    <w:rsid w:val="00816527"/>
    <w:rsid w:val="00816A45"/>
    <w:rsid w:val="008170FE"/>
    <w:rsid w:val="00820AD6"/>
    <w:rsid w:val="00821193"/>
    <w:rsid w:val="008215FC"/>
    <w:rsid w:val="00821961"/>
    <w:rsid w:val="00822A32"/>
    <w:rsid w:val="00823632"/>
    <w:rsid w:val="00823F48"/>
    <w:rsid w:val="008242C6"/>
    <w:rsid w:val="00824807"/>
    <w:rsid w:val="0082596F"/>
    <w:rsid w:val="00827C51"/>
    <w:rsid w:val="00831520"/>
    <w:rsid w:val="00831900"/>
    <w:rsid w:val="0083246E"/>
    <w:rsid w:val="0083276D"/>
    <w:rsid w:val="00834552"/>
    <w:rsid w:val="00835443"/>
    <w:rsid w:val="008410C6"/>
    <w:rsid w:val="00843545"/>
    <w:rsid w:val="008448AE"/>
    <w:rsid w:val="008460F7"/>
    <w:rsid w:val="0085002B"/>
    <w:rsid w:val="00850B3F"/>
    <w:rsid w:val="00850CAF"/>
    <w:rsid w:val="00851295"/>
    <w:rsid w:val="00852142"/>
    <w:rsid w:val="00852D90"/>
    <w:rsid w:val="008538C4"/>
    <w:rsid w:val="008551B3"/>
    <w:rsid w:val="00855AFB"/>
    <w:rsid w:val="0085655B"/>
    <w:rsid w:val="00857795"/>
    <w:rsid w:val="008579E7"/>
    <w:rsid w:val="00857F27"/>
    <w:rsid w:val="00860FF6"/>
    <w:rsid w:val="00864116"/>
    <w:rsid w:val="00864A44"/>
    <w:rsid w:val="00865366"/>
    <w:rsid w:val="008654FA"/>
    <w:rsid w:val="008660E0"/>
    <w:rsid w:val="008660E9"/>
    <w:rsid w:val="0087215F"/>
    <w:rsid w:val="008779C0"/>
    <w:rsid w:val="00880C39"/>
    <w:rsid w:val="008816C8"/>
    <w:rsid w:val="008847B9"/>
    <w:rsid w:val="008860B0"/>
    <w:rsid w:val="008865D2"/>
    <w:rsid w:val="008872EA"/>
    <w:rsid w:val="00887F1D"/>
    <w:rsid w:val="008904ED"/>
    <w:rsid w:val="0089121C"/>
    <w:rsid w:val="00892243"/>
    <w:rsid w:val="00892C10"/>
    <w:rsid w:val="00892C45"/>
    <w:rsid w:val="00892E52"/>
    <w:rsid w:val="008934E5"/>
    <w:rsid w:val="00893921"/>
    <w:rsid w:val="00893DA4"/>
    <w:rsid w:val="008967A6"/>
    <w:rsid w:val="008969D5"/>
    <w:rsid w:val="008A2ED8"/>
    <w:rsid w:val="008A3337"/>
    <w:rsid w:val="008A34C6"/>
    <w:rsid w:val="008A4204"/>
    <w:rsid w:val="008A4E39"/>
    <w:rsid w:val="008A4FC7"/>
    <w:rsid w:val="008A564F"/>
    <w:rsid w:val="008A59EA"/>
    <w:rsid w:val="008A60AE"/>
    <w:rsid w:val="008A7E6E"/>
    <w:rsid w:val="008B0284"/>
    <w:rsid w:val="008B0369"/>
    <w:rsid w:val="008B0D78"/>
    <w:rsid w:val="008B1000"/>
    <w:rsid w:val="008B17DC"/>
    <w:rsid w:val="008B2CDE"/>
    <w:rsid w:val="008B35AA"/>
    <w:rsid w:val="008B371E"/>
    <w:rsid w:val="008B4B9F"/>
    <w:rsid w:val="008C0EF2"/>
    <w:rsid w:val="008C307D"/>
    <w:rsid w:val="008C48E6"/>
    <w:rsid w:val="008C62C8"/>
    <w:rsid w:val="008C73E0"/>
    <w:rsid w:val="008D07AC"/>
    <w:rsid w:val="008D3549"/>
    <w:rsid w:val="008D4311"/>
    <w:rsid w:val="008D660F"/>
    <w:rsid w:val="008D6FED"/>
    <w:rsid w:val="008D726B"/>
    <w:rsid w:val="008E0A30"/>
    <w:rsid w:val="008E0F70"/>
    <w:rsid w:val="008E0F88"/>
    <w:rsid w:val="008E229E"/>
    <w:rsid w:val="008E307E"/>
    <w:rsid w:val="008E3E69"/>
    <w:rsid w:val="008E3F77"/>
    <w:rsid w:val="008E62CB"/>
    <w:rsid w:val="008F0CDC"/>
    <w:rsid w:val="008F0D84"/>
    <w:rsid w:val="008F1BC4"/>
    <w:rsid w:val="008F20C1"/>
    <w:rsid w:val="008F533F"/>
    <w:rsid w:val="008F70A9"/>
    <w:rsid w:val="008F78F3"/>
    <w:rsid w:val="00900144"/>
    <w:rsid w:val="0090033D"/>
    <w:rsid w:val="009006F9"/>
    <w:rsid w:val="0090081A"/>
    <w:rsid w:val="00900B3A"/>
    <w:rsid w:val="00901A4E"/>
    <w:rsid w:val="00901F6E"/>
    <w:rsid w:val="009029DD"/>
    <w:rsid w:val="00903DB2"/>
    <w:rsid w:val="009053DC"/>
    <w:rsid w:val="00910D03"/>
    <w:rsid w:val="00913454"/>
    <w:rsid w:val="0091572F"/>
    <w:rsid w:val="009213FD"/>
    <w:rsid w:val="009216D4"/>
    <w:rsid w:val="00922840"/>
    <w:rsid w:val="009231CF"/>
    <w:rsid w:val="009237E9"/>
    <w:rsid w:val="00926E44"/>
    <w:rsid w:val="00932082"/>
    <w:rsid w:val="009328C4"/>
    <w:rsid w:val="00932902"/>
    <w:rsid w:val="00934431"/>
    <w:rsid w:val="00934E7A"/>
    <w:rsid w:val="0093643B"/>
    <w:rsid w:val="00937E9A"/>
    <w:rsid w:val="009408EE"/>
    <w:rsid w:val="00941747"/>
    <w:rsid w:val="00943E77"/>
    <w:rsid w:val="0094407D"/>
    <w:rsid w:val="00944606"/>
    <w:rsid w:val="00944DD2"/>
    <w:rsid w:val="00950C41"/>
    <w:rsid w:val="00951A77"/>
    <w:rsid w:val="00952205"/>
    <w:rsid w:val="009569EE"/>
    <w:rsid w:val="0095726F"/>
    <w:rsid w:val="0096007C"/>
    <w:rsid w:val="00960D1B"/>
    <w:rsid w:val="00962BC9"/>
    <w:rsid w:val="009641D6"/>
    <w:rsid w:val="009705D9"/>
    <w:rsid w:val="00971725"/>
    <w:rsid w:val="00971E83"/>
    <w:rsid w:val="0097333B"/>
    <w:rsid w:val="00975FF2"/>
    <w:rsid w:val="0098013E"/>
    <w:rsid w:val="0098043E"/>
    <w:rsid w:val="00981E96"/>
    <w:rsid w:val="00982EC3"/>
    <w:rsid w:val="009830DE"/>
    <w:rsid w:val="00986CB0"/>
    <w:rsid w:val="00992DA4"/>
    <w:rsid w:val="00995E8A"/>
    <w:rsid w:val="00996079"/>
    <w:rsid w:val="0099782E"/>
    <w:rsid w:val="009A1BD6"/>
    <w:rsid w:val="009A2214"/>
    <w:rsid w:val="009A2685"/>
    <w:rsid w:val="009A546E"/>
    <w:rsid w:val="009A6640"/>
    <w:rsid w:val="009A7A53"/>
    <w:rsid w:val="009B4EF9"/>
    <w:rsid w:val="009B5038"/>
    <w:rsid w:val="009B6608"/>
    <w:rsid w:val="009B687C"/>
    <w:rsid w:val="009B7289"/>
    <w:rsid w:val="009C062E"/>
    <w:rsid w:val="009C345D"/>
    <w:rsid w:val="009C43C7"/>
    <w:rsid w:val="009D179F"/>
    <w:rsid w:val="009D1EAB"/>
    <w:rsid w:val="009D453C"/>
    <w:rsid w:val="009E21C5"/>
    <w:rsid w:val="009E2C0C"/>
    <w:rsid w:val="009E7E6F"/>
    <w:rsid w:val="009F10A4"/>
    <w:rsid w:val="009F4D40"/>
    <w:rsid w:val="009F568C"/>
    <w:rsid w:val="00A008E2"/>
    <w:rsid w:val="00A026B0"/>
    <w:rsid w:val="00A02ABD"/>
    <w:rsid w:val="00A042F9"/>
    <w:rsid w:val="00A067F4"/>
    <w:rsid w:val="00A06CE3"/>
    <w:rsid w:val="00A07DEE"/>
    <w:rsid w:val="00A10E9D"/>
    <w:rsid w:val="00A12F79"/>
    <w:rsid w:val="00A130D6"/>
    <w:rsid w:val="00A150A5"/>
    <w:rsid w:val="00A16035"/>
    <w:rsid w:val="00A17203"/>
    <w:rsid w:val="00A22CCF"/>
    <w:rsid w:val="00A22CE2"/>
    <w:rsid w:val="00A241E6"/>
    <w:rsid w:val="00A317F5"/>
    <w:rsid w:val="00A31D77"/>
    <w:rsid w:val="00A32092"/>
    <w:rsid w:val="00A3225F"/>
    <w:rsid w:val="00A336CE"/>
    <w:rsid w:val="00A337FD"/>
    <w:rsid w:val="00A35C72"/>
    <w:rsid w:val="00A35C8B"/>
    <w:rsid w:val="00A35FA9"/>
    <w:rsid w:val="00A36034"/>
    <w:rsid w:val="00A36614"/>
    <w:rsid w:val="00A37561"/>
    <w:rsid w:val="00A420D8"/>
    <w:rsid w:val="00A4261C"/>
    <w:rsid w:val="00A446CB"/>
    <w:rsid w:val="00A46923"/>
    <w:rsid w:val="00A47091"/>
    <w:rsid w:val="00A55EE9"/>
    <w:rsid w:val="00A56F58"/>
    <w:rsid w:val="00A6099E"/>
    <w:rsid w:val="00A615D6"/>
    <w:rsid w:val="00A6236B"/>
    <w:rsid w:val="00A6300C"/>
    <w:rsid w:val="00A63AD4"/>
    <w:rsid w:val="00A64843"/>
    <w:rsid w:val="00A651AD"/>
    <w:rsid w:val="00A65580"/>
    <w:rsid w:val="00A66297"/>
    <w:rsid w:val="00A731C4"/>
    <w:rsid w:val="00A7355A"/>
    <w:rsid w:val="00A74132"/>
    <w:rsid w:val="00A749C6"/>
    <w:rsid w:val="00A757E9"/>
    <w:rsid w:val="00A8237C"/>
    <w:rsid w:val="00A84C06"/>
    <w:rsid w:val="00A86B79"/>
    <w:rsid w:val="00A9075C"/>
    <w:rsid w:val="00A928B1"/>
    <w:rsid w:val="00A94C97"/>
    <w:rsid w:val="00A955B2"/>
    <w:rsid w:val="00A97264"/>
    <w:rsid w:val="00A97E68"/>
    <w:rsid w:val="00AA2223"/>
    <w:rsid w:val="00AA31CA"/>
    <w:rsid w:val="00AA3C41"/>
    <w:rsid w:val="00AA411C"/>
    <w:rsid w:val="00AA6A13"/>
    <w:rsid w:val="00AA6F8E"/>
    <w:rsid w:val="00AB0056"/>
    <w:rsid w:val="00AB0588"/>
    <w:rsid w:val="00AB060E"/>
    <w:rsid w:val="00AB1532"/>
    <w:rsid w:val="00AB2412"/>
    <w:rsid w:val="00AB2A78"/>
    <w:rsid w:val="00AB3227"/>
    <w:rsid w:val="00AB3E29"/>
    <w:rsid w:val="00AB5160"/>
    <w:rsid w:val="00AB6938"/>
    <w:rsid w:val="00AB7277"/>
    <w:rsid w:val="00AB7982"/>
    <w:rsid w:val="00AC03E5"/>
    <w:rsid w:val="00AC188F"/>
    <w:rsid w:val="00AD0EF4"/>
    <w:rsid w:val="00AD2FC2"/>
    <w:rsid w:val="00AD37BB"/>
    <w:rsid w:val="00AD3CEA"/>
    <w:rsid w:val="00AD3E33"/>
    <w:rsid w:val="00AD529A"/>
    <w:rsid w:val="00AD5B39"/>
    <w:rsid w:val="00AE0273"/>
    <w:rsid w:val="00AE0805"/>
    <w:rsid w:val="00AE1C56"/>
    <w:rsid w:val="00AE234C"/>
    <w:rsid w:val="00AE319C"/>
    <w:rsid w:val="00AE5598"/>
    <w:rsid w:val="00AE58D0"/>
    <w:rsid w:val="00AE5CB4"/>
    <w:rsid w:val="00AE7355"/>
    <w:rsid w:val="00AE7903"/>
    <w:rsid w:val="00AF1B23"/>
    <w:rsid w:val="00AF2D3F"/>
    <w:rsid w:val="00AF2FCC"/>
    <w:rsid w:val="00AF3BB5"/>
    <w:rsid w:val="00AF41B9"/>
    <w:rsid w:val="00AF5296"/>
    <w:rsid w:val="00AF5A26"/>
    <w:rsid w:val="00AF5F0D"/>
    <w:rsid w:val="00AF79B8"/>
    <w:rsid w:val="00B00A11"/>
    <w:rsid w:val="00B02B53"/>
    <w:rsid w:val="00B0467B"/>
    <w:rsid w:val="00B05FE9"/>
    <w:rsid w:val="00B07D67"/>
    <w:rsid w:val="00B07D81"/>
    <w:rsid w:val="00B10205"/>
    <w:rsid w:val="00B102C1"/>
    <w:rsid w:val="00B136FD"/>
    <w:rsid w:val="00B13EE5"/>
    <w:rsid w:val="00B141AD"/>
    <w:rsid w:val="00B15185"/>
    <w:rsid w:val="00B20201"/>
    <w:rsid w:val="00B21B65"/>
    <w:rsid w:val="00B22439"/>
    <w:rsid w:val="00B2283D"/>
    <w:rsid w:val="00B231FA"/>
    <w:rsid w:val="00B2461B"/>
    <w:rsid w:val="00B2508B"/>
    <w:rsid w:val="00B269E2"/>
    <w:rsid w:val="00B27302"/>
    <w:rsid w:val="00B34A9A"/>
    <w:rsid w:val="00B35F46"/>
    <w:rsid w:val="00B365D9"/>
    <w:rsid w:val="00B37DB2"/>
    <w:rsid w:val="00B415FA"/>
    <w:rsid w:val="00B41E86"/>
    <w:rsid w:val="00B436B6"/>
    <w:rsid w:val="00B4505C"/>
    <w:rsid w:val="00B50822"/>
    <w:rsid w:val="00B52F15"/>
    <w:rsid w:val="00B53691"/>
    <w:rsid w:val="00B55CAD"/>
    <w:rsid w:val="00B564D2"/>
    <w:rsid w:val="00B564E3"/>
    <w:rsid w:val="00B568C5"/>
    <w:rsid w:val="00B569FE"/>
    <w:rsid w:val="00B632C2"/>
    <w:rsid w:val="00B63C8D"/>
    <w:rsid w:val="00B64A8C"/>
    <w:rsid w:val="00B70A41"/>
    <w:rsid w:val="00B73FE9"/>
    <w:rsid w:val="00B74F48"/>
    <w:rsid w:val="00B77226"/>
    <w:rsid w:val="00B77704"/>
    <w:rsid w:val="00B80B74"/>
    <w:rsid w:val="00B862FF"/>
    <w:rsid w:val="00B90877"/>
    <w:rsid w:val="00B91872"/>
    <w:rsid w:val="00B92F9C"/>
    <w:rsid w:val="00B97862"/>
    <w:rsid w:val="00BA0086"/>
    <w:rsid w:val="00BA1FFB"/>
    <w:rsid w:val="00BA21EC"/>
    <w:rsid w:val="00BA2E54"/>
    <w:rsid w:val="00BA446D"/>
    <w:rsid w:val="00BA7138"/>
    <w:rsid w:val="00BA7827"/>
    <w:rsid w:val="00BA7D6C"/>
    <w:rsid w:val="00BA7E31"/>
    <w:rsid w:val="00BB08BF"/>
    <w:rsid w:val="00BB1B09"/>
    <w:rsid w:val="00BB1CC7"/>
    <w:rsid w:val="00BB2BE7"/>
    <w:rsid w:val="00BB2DD5"/>
    <w:rsid w:val="00BB4D95"/>
    <w:rsid w:val="00BB5698"/>
    <w:rsid w:val="00BB6B2E"/>
    <w:rsid w:val="00BC15ED"/>
    <w:rsid w:val="00BC3D6E"/>
    <w:rsid w:val="00BC4E9D"/>
    <w:rsid w:val="00BC5D80"/>
    <w:rsid w:val="00BC6A85"/>
    <w:rsid w:val="00BC78B0"/>
    <w:rsid w:val="00BD0F1C"/>
    <w:rsid w:val="00BD3090"/>
    <w:rsid w:val="00BD30D5"/>
    <w:rsid w:val="00BD4295"/>
    <w:rsid w:val="00BD439F"/>
    <w:rsid w:val="00BD480E"/>
    <w:rsid w:val="00BD4A9A"/>
    <w:rsid w:val="00BD638B"/>
    <w:rsid w:val="00BD779E"/>
    <w:rsid w:val="00BE0CBC"/>
    <w:rsid w:val="00BE1A99"/>
    <w:rsid w:val="00BE1B84"/>
    <w:rsid w:val="00BE5169"/>
    <w:rsid w:val="00BE58EA"/>
    <w:rsid w:val="00BE59B7"/>
    <w:rsid w:val="00BE5B63"/>
    <w:rsid w:val="00BE689D"/>
    <w:rsid w:val="00BE7A92"/>
    <w:rsid w:val="00BE7B9B"/>
    <w:rsid w:val="00BF09EB"/>
    <w:rsid w:val="00BF2DBC"/>
    <w:rsid w:val="00BF4780"/>
    <w:rsid w:val="00C003F9"/>
    <w:rsid w:val="00C00B3E"/>
    <w:rsid w:val="00C00B8A"/>
    <w:rsid w:val="00C04248"/>
    <w:rsid w:val="00C044D7"/>
    <w:rsid w:val="00C05EB4"/>
    <w:rsid w:val="00C05FF8"/>
    <w:rsid w:val="00C06F39"/>
    <w:rsid w:val="00C0770C"/>
    <w:rsid w:val="00C11798"/>
    <w:rsid w:val="00C13695"/>
    <w:rsid w:val="00C13C1F"/>
    <w:rsid w:val="00C13FD0"/>
    <w:rsid w:val="00C14591"/>
    <w:rsid w:val="00C15425"/>
    <w:rsid w:val="00C168D6"/>
    <w:rsid w:val="00C16E09"/>
    <w:rsid w:val="00C16F42"/>
    <w:rsid w:val="00C20824"/>
    <w:rsid w:val="00C22916"/>
    <w:rsid w:val="00C233A6"/>
    <w:rsid w:val="00C247C4"/>
    <w:rsid w:val="00C26314"/>
    <w:rsid w:val="00C27542"/>
    <w:rsid w:val="00C30E7B"/>
    <w:rsid w:val="00C32BCD"/>
    <w:rsid w:val="00C35C1E"/>
    <w:rsid w:val="00C360DF"/>
    <w:rsid w:val="00C377AD"/>
    <w:rsid w:val="00C402CB"/>
    <w:rsid w:val="00C4155E"/>
    <w:rsid w:val="00C4218C"/>
    <w:rsid w:val="00C446CC"/>
    <w:rsid w:val="00C448C5"/>
    <w:rsid w:val="00C448E4"/>
    <w:rsid w:val="00C50CB3"/>
    <w:rsid w:val="00C51060"/>
    <w:rsid w:val="00C5190A"/>
    <w:rsid w:val="00C52A9F"/>
    <w:rsid w:val="00C53322"/>
    <w:rsid w:val="00C5505A"/>
    <w:rsid w:val="00C56814"/>
    <w:rsid w:val="00C56A58"/>
    <w:rsid w:val="00C56CCD"/>
    <w:rsid w:val="00C57BC3"/>
    <w:rsid w:val="00C63F78"/>
    <w:rsid w:val="00C64F1A"/>
    <w:rsid w:val="00C65911"/>
    <w:rsid w:val="00C70713"/>
    <w:rsid w:val="00C71268"/>
    <w:rsid w:val="00C71B62"/>
    <w:rsid w:val="00C7353B"/>
    <w:rsid w:val="00C7687D"/>
    <w:rsid w:val="00C77907"/>
    <w:rsid w:val="00C8158C"/>
    <w:rsid w:val="00C8315A"/>
    <w:rsid w:val="00C83326"/>
    <w:rsid w:val="00C86C58"/>
    <w:rsid w:val="00C8747C"/>
    <w:rsid w:val="00C87A03"/>
    <w:rsid w:val="00C87F0C"/>
    <w:rsid w:val="00C90040"/>
    <w:rsid w:val="00C91FB8"/>
    <w:rsid w:val="00C94029"/>
    <w:rsid w:val="00C9409B"/>
    <w:rsid w:val="00C94BD6"/>
    <w:rsid w:val="00C953DE"/>
    <w:rsid w:val="00C95904"/>
    <w:rsid w:val="00C97C67"/>
    <w:rsid w:val="00CA1652"/>
    <w:rsid w:val="00CA3D08"/>
    <w:rsid w:val="00CA3DAC"/>
    <w:rsid w:val="00CA4B95"/>
    <w:rsid w:val="00CA727A"/>
    <w:rsid w:val="00CB153C"/>
    <w:rsid w:val="00CB161D"/>
    <w:rsid w:val="00CB1991"/>
    <w:rsid w:val="00CB1ED3"/>
    <w:rsid w:val="00CB3B7E"/>
    <w:rsid w:val="00CB4C5D"/>
    <w:rsid w:val="00CB5338"/>
    <w:rsid w:val="00CB61F3"/>
    <w:rsid w:val="00CB6355"/>
    <w:rsid w:val="00CB6D74"/>
    <w:rsid w:val="00CB7F8D"/>
    <w:rsid w:val="00CC0ED9"/>
    <w:rsid w:val="00CC1CC7"/>
    <w:rsid w:val="00CC1E50"/>
    <w:rsid w:val="00CC29D7"/>
    <w:rsid w:val="00CC2CA1"/>
    <w:rsid w:val="00CC3FBA"/>
    <w:rsid w:val="00CC5444"/>
    <w:rsid w:val="00CC5D52"/>
    <w:rsid w:val="00CC5D57"/>
    <w:rsid w:val="00CC6595"/>
    <w:rsid w:val="00CC7425"/>
    <w:rsid w:val="00CD1E2A"/>
    <w:rsid w:val="00CD2DD8"/>
    <w:rsid w:val="00CD57B8"/>
    <w:rsid w:val="00CD63A8"/>
    <w:rsid w:val="00CD6776"/>
    <w:rsid w:val="00CD6937"/>
    <w:rsid w:val="00CD69E4"/>
    <w:rsid w:val="00CE0416"/>
    <w:rsid w:val="00CE11BE"/>
    <w:rsid w:val="00CE1D17"/>
    <w:rsid w:val="00CE2BAC"/>
    <w:rsid w:val="00CE478D"/>
    <w:rsid w:val="00CE4F47"/>
    <w:rsid w:val="00CE56E8"/>
    <w:rsid w:val="00CE5A1D"/>
    <w:rsid w:val="00CF0982"/>
    <w:rsid w:val="00CF2AB8"/>
    <w:rsid w:val="00CF3FD7"/>
    <w:rsid w:val="00CF43F9"/>
    <w:rsid w:val="00CF4A14"/>
    <w:rsid w:val="00CF5101"/>
    <w:rsid w:val="00CF7603"/>
    <w:rsid w:val="00CF7BD3"/>
    <w:rsid w:val="00D01096"/>
    <w:rsid w:val="00D0503E"/>
    <w:rsid w:val="00D06F29"/>
    <w:rsid w:val="00D0737B"/>
    <w:rsid w:val="00D12702"/>
    <w:rsid w:val="00D139B4"/>
    <w:rsid w:val="00D13F3B"/>
    <w:rsid w:val="00D14A5E"/>
    <w:rsid w:val="00D16797"/>
    <w:rsid w:val="00D17178"/>
    <w:rsid w:val="00D17776"/>
    <w:rsid w:val="00D20321"/>
    <w:rsid w:val="00D20DDD"/>
    <w:rsid w:val="00D20E68"/>
    <w:rsid w:val="00D21629"/>
    <w:rsid w:val="00D22E71"/>
    <w:rsid w:val="00D23F72"/>
    <w:rsid w:val="00D24B3E"/>
    <w:rsid w:val="00D2533E"/>
    <w:rsid w:val="00D259CB"/>
    <w:rsid w:val="00D25D26"/>
    <w:rsid w:val="00D30EC6"/>
    <w:rsid w:val="00D3401C"/>
    <w:rsid w:val="00D3604E"/>
    <w:rsid w:val="00D40662"/>
    <w:rsid w:val="00D40B4E"/>
    <w:rsid w:val="00D41506"/>
    <w:rsid w:val="00D4154E"/>
    <w:rsid w:val="00D42CFF"/>
    <w:rsid w:val="00D43482"/>
    <w:rsid w:val="00D472CB"/>
    <w:rsid w:val="00D52D35"/>
    <w:rsid w:val="00D5537D"/>
    <w:rsid w:val="00D577B1"/>
    <w:rsid w:val="00D62261"/>
    <w:rsid w:val="00D631A6"/>
    <w:rsid w:val="00D661EC"/>
    <w:rsid w:val="00D6703A"/>
    <w:rsid w:val="00D6730F"/>
    <w:rsid w:val="00D67637"/>
    <w:rsid w:val="00D72188"/>
    <w:rsid w:val="00D7560C"/>
    <w:rsid w:val="00D7567D"/>
    <w:rsid w:val="00D758A9"/>
    <w:rsid w:val="00D765E9"/>
    <w:rsid w:val="00D77490"/>
    <w:rsid w:val="00D802C6"/>
    <w:rsid w:val="00D82020"/>
    <w:rsid w:val="00D824AB"/>
    <w:rsid w:val="00D83309"/>
    <w:rsid w:val="00D850F0"/>
    <w:rsid w:val="00D86090"/>
    <w:rsid w:val="00D86CD9"/>
    <w:rsid w:val="00D8731F"/>
    <w:rsid w:val="00D87989"/>
    <w:rsid w:val="00D92879"/>
    <w:rsid w:val="00D93644"/>
    <w:rsid w:val="00D942A8"/>
    <w:rsid w:val="00D95BBA"/>
    <w:rsid w:val="00DA30AA"/>
    <w:rsid w:val="00DA4DAC"/>
    <w:rsid w:val="00DA5EB2"/>
    <w:rsid w:val="00DA763F"/>
    <w:rsid w:val="00DB0981"/>
    <w:rsid w:val="00DB260F"/>
    <w:rsid w:val="00DB2762"/>
    <w:rsid w:val="00DB2794"/>
    <w:rsid w:val="00DB31B5"/>
    <w:rsid w:val="00DB4B7D"/>
    <w:rsid w:val="00DB4E69"/>
    <w:rsid w:val="00DB64D5"/>
    <w:rsid w:val="00DB7EFE"/>
    <w:rsid w:val="00DC10D3"/>
    <w:rsid w:val="00DC1587"/>
    <w:rsid w:val="00DC182A"/>
    <w:rsid w:val="00DC22FD"/>
    <w:rsid w:val="00DC25F7"/>
    <w:rsid w:val="00DC327D"/>
    <w:rsid w:val="00DC3419"/>
    <w:rsid w:val="00DC351D"/>
    <w:rsid w:val="00DC43C1"/>
    <w:rsid w:val="00DC57C1"/>
    <w:rsid w:val="00DC65CC"/>
    <w:rsid w:val="00DC7A1A"/>
    <w:rsid w:val="00DD0A13"/>
    <w:rsid w:val="00DD1706"/>
    <w:rsid w:val="00DD1C2E"/>
    <w:rsid w:val="00DD7942"/>
    <w:rsid w:val="00DE14EA"/>
    <w:rsid w:val="00DE2C62"/>
    <w:rsid w:val="00DE4082"/>
    <w:rsid w:val="00DE7204"/>
    <w:rsid w:val="00DF06D8"/>
    <w:rsid w:val="00DF2E2F"/>
    <w:rsid w:val="00DF446B"/>
    <w:rsid w:val="00E020BE"/>
    <w:rsid w:val="00E02A7D"/>
    <w:rsid w:val="00E0429C"/>
    <w:rsid w:val="00E047BA"/>
    <w:rsid w:val="00E10BD0"/>
    <w:rsid w:val="00E10EF9"/>
    <w:rsid w:val="00E11A0C"/>
    <w:rsid w:val="00E137ED"/>
    <w:rsid w:val="00E158D1"/>
    <w:rsid w:val="00E15A2B"/>
    <w:rsid w:val="00E16CB2"/>
    <w:rsid w:val="00E17E68"/>
    <w:rsid w:val="00E22170"/>
    <w:rsid w:val="00E2220E"/>
    <w:rsid w:val="00E22A2E"/>
    <w:rsid w:val="00E241E1"/>
    <w:rsid w:val="00E24A36"/>
    <w:rsid w:val="00E25E7D"/>
    <w:rsid w:val="00E27A4C"/>
    <w:rsid w:val="00E36F66"/>
    <w:rsid w:val="00E401E1"/>
    <w:rsid w:val="00E409F3"/>
    <w:rsid w:val="00E4156D"/>
    <w:rsid w:val="00E43703"/>
    <w:rsid w:val="00E4595F"/>
    <w:rsid w:val="00E463BE"/>
    <w:rsid w:val="00E46D69"/>
    <w:rsid w:val="00E475A3"/>
    <w:rsid w:val="00E514D4"/>
    <w:rsid w:val="00E517DF"/>
    <w:rsid w:val="00E51D70"/>
    <w:rsid w:val="00E534EF"/>
    <w:rsid w:val="00E53AA0"/>
    <w:rsid w:val="00E548EA"/>
    <w:rsid w:val="00E56786"/>
    <w:rsid w:val="00E57259"/>
    <w:rsid w:val="00E61F40"/>
    <w:rsid w:val="00E621DE"/>
    <w:rsid w:val="00E6318F"/>
    <w:rsid w:val="00E633EF"/>
    <w:rsid w:val="00E651D1"/>
    <w:rsid w:val="00E654A6"/>
    <w:rsid w:val="00E66E24"/>
    <w:rsid w:val="00E67969"/>
    <w:rsid w:val="00E7010F"/>
    <w:rsid w:val="00E70798"/>
    <w:rsid w:val="00E70CDB"/>
    <w:rsid w:val="00E71082"/>
    <w:rsid w:val="00E73376"/>
    <w:rsid w:val="00E7396F"/>
    <w:rsid w:val="00E748EF"/>
    <w:rsid w:val="00E7499F"/>
    <w:rsid w:val="00E809BB"/>
    <w:rsid w:val="00E81127"/>
    <w:rsid w:val="00E859CD"/>
    <w:rsid w:val="00E86DA7"/>
    <w:rsid w:val="00E875CB"/>
    <w:rsid w:val="00E90786"/>
    <w:rsid w:val="00E937EC"/>
    <w:rsid w:val="00E93B11"/>
    <w:rsid w:val="00E954FC"/>
    <w:rsid w:val="00E96DEB"/>
    <w:rsid w:val="00E97CF6"/>
    <w:rsid w:val="00EA2A9E"/>
    <w:rsid w:val="00EA2E5A"/>
    <w:rsid w:val="00EA30F9"/>
    <w:rsid w:val="00EA4350"/>
    <w:rsid w:val="00EA6614"/>
    <w:rsid w:val="00EA696A"/>
    <w:rsid w:val="00EA78B8"/>
    <w:rsid w:val="00EB137E"/>
    <w:rsid w:val="00EB2297"/>
    <w:rsid w:val="00EB293E"/>
    <w:rsid w:val="00EB2E98"/>
    <w:rsid w:val="00EB3657"/>
    <w:rsid w:val="00EB37E2"/>
    <w:rsid w:val="00EB4345"/>
    <w:rsid w:val="00EB58ED"/>
    <w:rsid w:val="00EC1358"/>
    <w:rsid w:val="00EC150A"/>
    <w:rsid w:val="00EC1FB3"/>
    <w:rsid w:val="00EC1FD0"/>
    <w:rsid w:val="00ED0CB9"/>
    <w:rsid w:val="00ED3928"/>
    <w:rsid w:val="00EE1EC4"/>
    <w:rsid w:val="00EE2ACD"/>
    <w:rsid w:val="00EE3257"/>
    <w:rsid w:val="00EE3B1B"/>
    <w:rsid w:val="00EE4DA8"/>
    <w:rsid w:val="00EE6D05"/>
    <w:rsid w:val="00EE7235"/>
    <w:rsid w:val="00EF0732"/>
    <w:rsid w:val="00EF1814"/>
    <w:rsid w:val="00EF1BFC"/>
    <w:rsid w:val="00EF2D3E"/>
    <w:rsid w:val="00EF3B11"/>
    <w:rsid w:val="00EF3E79"/>
    <w:rsid w:val="00EF4ADB"/>
    <w:rsid w:val="00EF63F0"/>
    <w:rsid w:val="00EF649D"/>
    <w:rsid w:val="00EF6E25"/>
    <w:rsid w:val="00EF77C7"/>
    <w:rsid w:val="00F00B9E"/>
    <w:rsid w:val="00F06396"/>
    <w:rsid w:val="00F15886"/>
    <w:rsid w:val="00F17AE2"/>
    <w:rsid w:val="00F20AAB"/>
    <w:rsid w:val="00F216A7"/>
    <w:rsid w:val="00F220CB"/>
    <w:rsid w:val="00F22B49"/>
    <w:rsid w:val="00F23545"/>
    <w:rsid w:val="00F23A8A"/>
    <w:rsid w:val="00F24B60"/>
    <w:rsid w:val="00F2534B"/>
    <w:rsid w:val="00F25A04"/>
    <w:rsid w:val="00F2632A"/>
    <w:rsid w:val="00F31428"/>
    <w:rsid w:val="00F3145C"/>
    <w:rsid w:val="00F334F2"/>
    <w:rsid w:val="00F3405C"/>
    <w:rsid w:val="00F34423"/>
    <w:rsid w:val="00F356E8"/>
    <w:rsid w:val="00F406A6"/>
    <w:rsid w:val="00F41128"/>
    <w:rsid w:val="00F42272"/>
    <w:rsid w:val="00F4290D"/>
    <w:rsid w:val="00F4303B"/>
    <w:rsid w:val="00F43217"/>
    <w:rsid w:val="00F43E89"/>
    <w:rsid w:val="00F44D9E"/>
    <w:rsid w:val="00F52BDA"/>
    <w:rsid w:val="00F56272"/>
    <w:rsid w:val="00F5678F"/>
    <w:rsid w:val="00F577D5"/>
    <w:rsid w:val="00F60B39"/>
    <w:rsid w:val="00F60E79"/>
    <w:rsid w:val="00F63870"/>
    <w:rsid w:val="00F66829"/>
    <w:rsid w:val="00F67518"/>
    <w:rsid w:val="00F71562"/>
    <w:rsid w:val="00F71C80"/>
    <w:rsid w:val="00F72BE7"/>
    <w:rsid w:val="00F7366B"/>
    <w:rsid w:val="00F752C3"/>
    <w:rsid w:val="00F761B8"/>
    <w:rsid w:val="00F779B8"/>
    <w:rsid w:val="00F80182"/>
    <w:rsid w:val="00F878E8"/>
    <w:rsid w:val="00F917C2"/>
    <w:rsid w:val="00F92D04"/>
    <w:rsid w:val="00F93DF7"/>
    <w:rsid w:val="00F946F6"/>
    <w:rsid w:val="00F94E0D"/>
    <w:rsid w:val="00F9513E"/>
    <w:rsid w:val="00F96268"/>
    <w:rsid w:val="00F963EE"/>
    <w:rsid w:val="00F97078"/>
    <w:rsid w:val="00F97B0A"/>
    <w:rsid w:val="00FA4D16"/>
    <w:rsid w:val="00FA5E9E"/>
    <w:rsid w:val="00FB0526"/>
    <w:rsid w:val="00FB1B27"/>
    <w:rsid w:val="00FB2810"/>
    <w:rsid w:val="00FB4642"/>
    <w:rsid w:val="00FB51F7"/>
    <w:rsid w:val="00FB5E45"/>
    <w:rsid w:val="00FB6ED4"/>
    <w:rsid w:val="00FB760E"/>
    <w:rsid w:val="00FC131B"/>
    <w:rsid w:val="00FC17A7"/>
    <w:rsid w:val="00FC1D1A"/>
    <w:rsid w:val="00FC3B6F"/>
    <w:rsid w:val="00FC6D17"/>
    <w:rsid w:val="00FC76CB"/>
    <w:rsid w:val="00FD131B"/>
    <w:rsid w:val="00FD2419"/>
    <w:rsid w:val="00FD3DC0"/>
    <w:rsid w:val="00FD4377"/>
    <w:rsid w:val="00FD5B68"/>
    <w:rsid w:val="00FD719B"/>
    <w:rsid w:val="00FD7808"/>
    <w:rsid w:val="00FE5D22"/>
    <w:rsid w:val="00FE6721"/>
    <w:rsid w:val="00FE67B1"/>
    <w:rsid w:val="00FE7D5F"/>
    <w:rsid w:val="00FF029A"/>
    <w:rsid w:val="00FF0E7E"/>
    <w:rsid w:val="00FF136A"/>
    <w:rsid w:val="00FF1425"/>
    <w:rsid w:val="00FF5049"/>
    <w:rsid w:val="29E8D45D"/>
    <w:rsid w:val="4441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AC4A9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5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3099"/>
    <w:rPr>
      <w:color w:val="0000FF"/>
      <w:shd w:val="clear" w:color="auto" w:fill="auto"/>
    </w:rPr>
  </w:style>
  <w:style w:type="paragraph" w:styleId="Header">
    <w:name w:val="header"/>
    <w:basedOn w:val="Normal"/>
    <w:link w:val="HeaderChar"/>
    <w:uiPriority w:val="99"/>
    <w:unhideWhenUsed/>
    <w:rsid w:val="0026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99"/>
  </w:style>
  <w:style w:type="paragraph" w:styleId="Footer">
    <w:name w:val="footer"/>
    <w:basedOn w:val="Normal"/>
    <w:link w:val="FooterChar"/>
    <w:uiPriority w:val="99"/>
    <w:unhideWhenUsed/>
    <w:rsid w:val="0026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99"/>
  </w:style>
  <w:style w:type="paragraph" w:customStyle="1" w:styleId="Pagedecouverture">
    <w:name w:val="Page de couverture"/>
    <w:basedOn w:val="Normal"/>
    <w:next w:val="Normal"/>
    <w:rsid w:val="00263099"/>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6309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3099"/>
    <w:rPr>
      <w:rFonts w:ascii="Times New Roman" w:hAnsi="Times New Roman" w:cs="Times New Roman"/>
      <w:sz w:val="24"/>
    </w:rPr>
  </w:style>
  <w:style w:type="paragraph" w:customStyle="1" w:styleId="FooterSensitivity">
    <w:name w:val="Footer Sensitivity"/>
    <w:basedOn w:val="Normal"/>
    <w:link w:val="FooterSensitivityChar"/>
    <w:rsid w:val="0026309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3099"/>
    <w:rPr>
      <w:rFonts w:ascii="Times New Roman" w:hAnsi="Times New Roman" w:cs="Times New Roman"/>
      <w:b/>
      <w:sz w:val="32"/>
    </w:rPr>
  </w:style>
  <w:style w:type="paragraph" w:customStyle="1" w:styleId="HeaderCoverPage">
    <w:name w:val="Header Cover Page"/>
    <w:basedOn w:val="Normal"/>
    <w:link w:val="HeaderCoverPageChar"/>
    <w:rsid w:val="0026309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3099"/>
    <w:rPr>
      <w:rFonts w:ascii="Times New Roman" w:hAnsi="Times New Roman" w:cs="Times New Roman"/>
      <w:sz w:val="24"/>
    </w:rPr>
  </w:style>
  <w:style w:type="paragraph" w:customStyle="1" w:styleId="HeaderSensitivity">
    <w:name w:val="Header Sensitivity"/>
    <w:basedOn w:val="Normal"/>
    <w:link w:val="HeaderSensitivityChar"/>
    <w:rsid w:val="0026309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3099"/>
    <w:rPr>
      <w:rFonts w:ascii="Times New Roman" w:hAnsi="Times New Roman" w:cs="Times New Roman"/>
      <w:b/>
      <w:sz w:val="32"/>
    </w:rPr>
  </w:style>
  <w:style w:type="paragraph" w:customStyle="1" w:styleId="HeaderSensitivityRight">
    <w:name w:val="Header Sensitivity Right"/>
    <w:basedOn w:val="Normal"/>
    <w:link w:val="HeaderSensitivityRightChar"/>
    <w:rsid w:val="00B07D8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3099"/>
    <w:rPr>
      <w:rFonts w:ascii="Times New Roman" w:hAnsi="Times New Roman" w:cs="Times New Roman"/>
      <w:sz w:val="28"/>
    </w:rPr>
  </w:style>
  <w:style w:type="paragraph" w:customStyle="1" w:styleId="GSAList1">
    <w:name w:val="GSA List1"/>
    <w:basedOn w:val="Normal"/>
    <w:next w:val="ListParagraph"/>
    <w:link w:val="ListParagraphChar"/>
    <w:uiPriority w:val="34"/>
    <w:qFormat/>
    <w:rsid w:val="00263099"/>
    <w:pPr>
      <w:spacing w:after="200" w:line="276" w:lineRule="auto"/>
      <w:ind w:left="720"/>
      <w:contextualSpacing/>
    </w:pPr>
  </w:style>
  <w:style w:type="table" w:customStyle="1" w:styleId="TableGrid1">
    <w:name w:val="Table Grid1"/>
    <w:basedOn w:val="TableNormal"/>
    <w:next w:val="TableGrid"/>
    <w:uiPriority w:val="59"/>
    <w:rsid w:val="0026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263099"/>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FootnoteText1">
    <w:name w:val="Footnote Text1"/>
    <w:basedOn w:val="Normal"/>
    <w:next w:val="FootnoteText"/>
    <w:link w:val="FootnoteTextChar"/>
    <w:uiPriority w:val="99"/>
    <w:unhideWhenUsed/>
    <w:qFormat/>
    <w:rsid w:val="00263099"/>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sid w:val="00263099"/>
    <w:rPr>
      <w:rFonts w:ascii="Calibri" w:eastAsia="Calibri" w:hAnsi="Calibri" w:cs="Times New Roman"/>
      <w:lang w:eastAsia="en-US"/>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 BVI fnr"/>
    <w:basedOn w:val="DefaultParagraphFont"/>
    <w:link w:val="BVIfnrChar"/>
    <w:uiPriority w:val="99"/>
    <w:unhideWhenUsed/>
    <w:qFormat/>
    <w:rsid w:val="00263099"/>
    <w:rPr>
      <w:vertAlign w:val="superscript"/>
    </w:rPr>
  </w:style>
  <w:style w:type="character" w:customStyle="1" w:styleId="Hyperlink1">
    <w:name w:val="Hyperlink1"/>
    <w:basedOn w:val="DefaultParagraphFont"/>
    <w:uiPriority w:val="99"/>
    <w:unhideWhenUsed/>
    <w:rsid w:val="00263099"/>
    <w:rPr>
      <w:color w:val="0000FF"/>
      <w:u w:val="single"/>
    </w:rPr>
  </w:style>
  <w:style w:type="character" w:styleId="CommentReference">
    <w:name w:val="annotation reference"/>
    <w:basedOn w:val="DefaultParagraphFont"/>
    <w:uiPriority w:val="99"/>
    <w:semiHidden/>
    <w:unhideWhenUsed/>
    <w:rsid w:val="00263099"/>
    <w:rPr>
      <w:sz w:val="16"/>
      <w:szCs w:val="16"/>
    </w:rPr>
  </w:style>
  <w:style w:type="paragraph" w:customStyle="1" w:styleId="CommentText1">
    <w:name w:val="Comment Text1"/>
    <w:basedOn w:val="Normal"/>
    <w:next w:val="CommentText"/>
    <w:link w:val="CommentTextChar"/>
    <w:unhideWhenUsed/>
    <w:rsid w:val="00263099"/>
    <w:pPr>
      <w:spacing w:after="200" w:line="240" w:lineRule="auto"/>
    </w:pPr>
    <w:rPr>
      <w:rFonts w:ascii="Calibri" w:eastAsia="Calibri" w:hAnsi="Calibri" w:cs="Times New Roman"/>
    </w:rPr>
  </w:style>
  <w:style w:type="character" w:customStyle="1" w:styleId="CommentTextChar">
    <w:name w:val="Comment Text Char"/>
    <w:basedOn w:val="DefaultParagraphFont"/>
    <w:link w:val="CommentText1"/>
    <w:rsid w:val="00263099"/>
    <w:rPr>
      <w:rFonts w:ascii="Calibri" w:eastAsia="Calibri" w:hAnsi="Calibri" w:cs="Times New Roman"/>
      <w:lang w:eastAsia="en-US"/>
    </w:rPr>
  </w:style>
  <w:style w:type="paragraph" w:styleId="CommentText">
    <w:name w:val="annotation text"/>
    <w:basedOn w:val="Normal"/>
    <w:link w:val="CommentTextChar1"/>
    <w:uiPriority w:val="99"/>
    <w:unhideWhenUsed/>
    <w:rsid w:val="00263099"/>
    <w:pPr>
      <w:spacing w:line="240" w:lineRule="auto"/>
    </w:pPr>
    <w:rPr>
      <w:sz w:val="20"/>
      <w:szCs w:val="20"/>
    </w:rPr>
  </w:style>
  <w:style w:type="character" w:customStyle="1" w:styleId="CommentTextChar1">
    <w:name w:val="Comment Text Char1"/>
    <w:basedOn w:val="DefaultParagraphFont"/>
    <w:link w:val="CommentText"/>
    <w:uiPriority w:val="99"/>
    <w:rsid w:val="00263099"/>
    <w:rPr>
      <w:sz w:val="20"/>
      <w:szCs w:val="20"/>
    </w:rPr>
  </w:style>
  <w:style w:type="paragraph" w:styleId="CommentSubject">
    <w:name w:val="annotation subject"/>
    <w:basedOn w:val="CommentText"/>
    <w:next w:val="CommentText"/>
    <w:link w:val="CommentSubjectChar"/>
    <w:uiPriority w:val="99"/>
    <w:semiHidden/>
    <w:unhideWhenUsed/>
    <w:rsid w:val="00263099"/>
    <w:pPr>
      <w:spacing w:after="200"/>
    </w:pPr>
    <w:rPr>
      <w:b/>
      <w:bCs/>
    </w:rPr>
  </w:style>
  <w:style w:type="character" w:customStyle="1" w:styleId="CommentSubjectChar">
    <w:name w:val="Comment Subject Char"/>
    <w:basedOn w:val="CommentTextChar1"/>
    <w:link w:val="CommentSubject"/>
    <w:uiPriority w:val="99"/>
    <w:semiHidden/>
    <w:rsid w:val="00263099"/>
    <w:rPr>
      <w:b/>
      <w:bCs/>
      <w:sz w:val="20"/>
      <w:szCs w:val="20"/>
      <w:lang w:val="ro-RO"/>
    </w:rPr>
  </w:style>
  <w:style w:type="paragraph" w:customStyle="1" w:styleId="BalloonText1">
    <w:name w:val="Balloon Text1"/>
    <w:basedOn w:val="Normal"/>
    <w:next w:val="BalloonText"/>
    <w:link w:val="BalloonTextChar"/>
    <w:uiPriority w:val="99"/>
    <w:semiHidden/>
    <w:unhideWhenUsed/>
    <w:rsid w:val="0026309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1"/>
    <w:uiPriority w:val="99"/>
    <w:semiHidden/>
    <w:rsid w:val="00263099"/>
    <w:rPr>
      <w:rFonts w:ascii="Segoe UI" w:eastAsia="Calibri" w:hAnsi="Segoe UI" w:cs="Segoe UI"/>
      <w:sz w:val="18"/>
      <w:szCs w:val="18"/>
      <w:lang w:eastAsia="en-US"/>
    </w:rPr>
  </w:style>
  <w:style w:type="paragraph" w:customStyle="1" w:styleId="BVIfnrChar">
    <w:name w:val="BVI fnr Char"/>
    <w:aliases w:val="Appel note de bas de p.,BVI fnr Car Car Car Car,BVI fnr Car Car,BVI fnr Car,BVI fnr Car Car Car Car Char,Appel note de bas de p..BVI fnr Car Car Car Car"/>
    <w:basedOn w:val="Normal"/>
    <w:link w:val="FootnoteReference"/>
    <w:uiPriority w:val="99"/>
    <w:rsid w:val="00263099"/>
    <w:pPr>
      <w:spacing w:line="240" w:lineRule="exact"/>
    </w:pPr>
    <w:rPr>
      <w:vertAlign w:val="superscript"/>
    </w:rPr>
  </w:style>
  <w:style w:type="paragraph" w:customStyle="1" w:styleId="NormalWeb1">
    <w:name w:val="Normal (Web)1"/>
    <w:basedOn w:val="Normal"/>
    <w:next w:val="NormalWeb"/>
    <w:uiPriority w:val="99"/>
    <w:semiHidden/>
    <w:unhideWhenUsed/>
    <w:rsid w:val="00263099"/>
    <w:pPr>
      <w:spacing w:after="200" w:line="276" w:lineRule="auto"/>
    </w:pPr>
    <w:rPr>
      <w:rFonts w:ascii="Times New Roman" w:hAnsi="Times New Roman" w:cs="Times New Roman"/>
      <w:sz w:val="24"/>
      <w:szCs w:val="24"/>
    </w:rPr>
  </w:style>
  <w:style w:type="paragraph" w:customStyle="1" w:styleId="Revision1">
    <w:name w:val="Revision1"/>
    <w:next w:val="Revision"/>
    <w:hidden/>
    <w:uiPriority w:val="99"/>
    <w:semiHidden/>
    <w:rsid w:val="00263099"/>
    <w:pPr>
      <w:spacing w:after="0" w:line="240" w:lineRule="auto"/>
    </w:pPr>
  </w:style>
  <w:style w:type="character" w:customStyle="1" w:styleId="None">
    <w:name w:val="None"/>
    <w:rsid w:val="00263099"/>
  </w:style>
  <w:style w:type="paragraph" w:customStyle="1" w:styleId="Corpsdutexte">
    <w:name w:val="Corps du texte"/>
    <w:rsid w:val="00263099"/>
    <w:pPr>
      <w:widowControl w:val="0"/>
      <w:pBdr>
        <w:top w:val="nil"/>
        <w:left w:val="nil"/>
        <w:bottom w:val="nil"/>
        <w:right w:val="nil"/>
        <w:between w:val="nil"/>
        <w:bar w:val="nil"/>
      </w:pBdr>
      <w:shd w:val="clear" w:color="auto" w:fill="FFFFFF"/>
      <w:spacing w:before="720" w:after="1560" w:line="277" w:lineRule="exact"/>
    </w:pPr>
    <w:rPr>
      <w:rFonts w:ascii="Times New Roman" w:eastAsia="Arial Unicode MS" w:hAnsi="Times New Roman" w:cs="Arial Unicode MS"/>
      <w:color w:val="000000"/>
      <w:sz w:val="23"/>
      <w:szCs w:val="23"/>
      <w:u w:color="000000"/>
      <w:bdr w:val="nil"/>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263099"/>
    <w:pPr>
      <w:spacing w:line="240" w:lineRule="exact"/>
    </w:pPr>
    <w:rPr>
      <w:rFonts w:ascii="Times New Roman" w:eastAsia="Times New Roman" w:hAnsi="Times New Roman" w:cs="Times New Roman"/>
      <w:sz w:val="20"/>
      <w:szCs w:val="20"/>
      <w:vertAlign w:val="superscript"/>
      <w:lang w:eastAsia="en-GB"/>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GSAList1"/>
    <w:uiPriority w:val="34"/>
    <w:qFormat/>
    <w:locked/>
    <w:rsid w:val="00263099"/>
    <w:rPr>
      <w:rFonts w:ascii="Calibri" w:eastAsia="Calibri" w:hAnsi="Calibri" w:cs="Times New Roman"/>
      <w:sz w:val="22"/>
      <w:szCs w:val="22"/>
      <w:lang w:eastAsia="en-US"/>
    </w:rPr>
  </w:style>
  <w:style w:type="paragraph" w:customStyle="1" w:styleId="Nota">
    <w:name w:val="Nota"/>
    <w:aliases w:val="Char1,(NECG) Footnote Reference,fr,Appel note de bas de p,o,Style 6,Signature Ch"/>
    <w:basedOn w:val="Normal"/>
    <w:rsid w:val="00263099"/>
    <w:pPr>
      <w:spacing w:line="240" w:lineRule="exact"/>
    </w:pPr>
    <w:rPr>
      <w:rFonts w:ascii="Arial" w:eastAsia="Times New Roman" w:hAnsi="Arial" w:cs="Arial"/>
      <w:sz w:val="18"/>
      <w:szCs w:val="20"/>
      <w:vertAlign w:val="superscript"/>
      <w:lang w:eastAsia="en-GB"/>
    </w:rPr>
  </w:style>
  <w:style w:type="character" w:styleId="PlaceholderText">
    <w:name w:val="Placeholder Text"/>
    <w:basedOn w:val="DefaultParagraphFont"/>
    <w:uiPriority w:val="99"/>
    <w:semiHidden/>
    <w:rsid w:val="00263099"/>
    <w:rPr>
      <w:color w:val="808080"/>
    </w:rPr>
  </w:style>
  <w:style w:type="paragraph" w:customStyle="1" w:styleId="Default">
    <w:name w:val="Default"/>
    <w:uiPriority w:val="99"/>
    <w:rsid w:val="00263099"/>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Normal1">
    <w:name w:val="Normal1"/>
    <w:basedOn w:val="Normal"/>
    <w:rsid w:val="0026309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ootnotereference0">
    <w:name w:val="footnotereference"/>
    <w:basedOn w:val="DefaultParagraphFont"/>
    <w:rsid w:val="00263099"/>
  </w:style>
  <w:style w:type="paragraph" w:customStyle="1" w:styleId="Body">
    <w:name w:val="Body"/>
    <w:qFormat/>
    <w:rsid w:val="00263099"/>
    <w:pPr>
      <w:tabs>
        <w:tab w:val="left" w:pos="425"/>
        <w:tab w:val="left" w:pos="851"/>
        <w:tab w:val="left" w:pos="1276"/>
      </w:tabs>
      <w:spacing w:after="240" w:line="240" w:lineRule="auto"/>
    </w:pPr>
    <w:rPr>
      <w:rFonts w:ascii="Arial" w:eastAsia="Times New Roman" w:hAnsi="Arial" w:cs="Times New Roman"/>
      <w:sz w:val="20"/>
      <w:szCs w:val="20"/>
      <w:lang w:eastAsia="en-GB"/>
    </w:rPr>
  </w:style>
  <w:style w:type="character" w:customStyle="1" w:styleId="FollowedHyperlink1">
    <w:name w:val="FollowedHyperlink1"/>
    <w:basedOn w:val="DefaultParagraphFont"/>
    <w:semiHidden/>
    <w:unhideWhenUsed/>
    <w:rsid w:val="00263099"/>
    <w:rPr>
      <w:color w:val="800080"/>
      <w:u w:val="single"/>
    </w:rPr>
  </w:style>
  <w:style w:type="paragraph" w:customStyle="1" w:styleId="Briefingtext">
    <w:name w:val="Briefing text"/>
    <w:basedOn w:val="Normal"/>
    <w:link w:val="BriefingtextChar"/>
    <w:qFormat/>
    <w:rsid w:val="00263099"/>
    <w:pPr>
      <w:spacing w:after="240" w:line="240" w:lineRule="auto"/>
      <w:jc w:val="both"/>
    </w:pPr>
    <w:rPr>
      <w:rFonts w:ascii="Arial" w:eastAsia="Times New Roman" w:hAnsi="Arial" w:cs="Arial"/>
      <w:szCs w:val="24"/>
    </w:rPr>
  </w:style>
  <w:style w:type="character" w:customStyle="1" w:styleId="BriefingtextChar">
    <w:name w:val="Briefing text Char"/>
    <w:link w:val="Briefingtext"/>
    <w:rsid w:val="00263099"/>
    <w:rPr>
      <w:rFonts w:ascii="Arial" w:eastAsia="Times New Roman" w:hAnsi="Arial" w:cs="Arial"/>
      <w:szCs w:val="24"/>
      <w:lang w:val="ro-RO"/>
    </w:rPr>
  </w:style>
  <w:style w:type="paragraph" w:customStyle="1" w:styleId="point">
    <w:name w:val="point"/>
    <w:basedOn w:val="ListParagraph"/>
    <w:rsid w:val="00263099"/>
    <w:pPr>
      <w:numPr>
        <w:numId w:val="22"/>
      </w:numPr>
      <w:tabs>
        <w:tab w:val="num" w:pos="360"/>
      </w:tabs>
      <w:spacing w:after="200" w:line="276" w:lineRule="auto"/>
      <w:ind w:firstLine="0"/>
      <w:jc w:val="both"/>
    </w:pPr>
    <w:rPr>
      <w:rFonts w:ascii="Times New Roman" w:hAnsi="Times New Roman" w:cs="Times New Roman"/>
      <w:sz w:val="24"/>
      <w:szCs w:val="24"/>
    </w:rPr>
  </w:style>
  <w:style w:type="paragraph" w:styleId="ListParagraph">
    <w:name w:val="List Paragraph"/>
    <w:basedOn w:val="Normal"/>
    <w:uiPriority w:val="1"/>
    <w:qFormat/>
    <w:rsid w:val="00263099"/>
    <w:pPr>
      <w:ind w:left="720"/>
      <w:contextualSpacing/>
    </w:pPr>
  </w:style>
  <w:style w:type="table" w:styleId="TableGrid">
    <w:name w:val="Table Grid"/>
    <w:basedOn w:val="TableNormal"/>
    <w:uiPriority w:val="39"/>
    <w:rsid w:val="00263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30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1"/>
    <w:uiPriority w:val="99"/>
    <w:unhideWhenUsed/>
    <w:rsid w:val="0026309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263099"/>
    <w:rPr>
      <w:sz w:val="20"/>
      <w:szCs w:val="20"/>
    </w:rPr>
  </w:style>
  <w:style w:type="character" w:styleId="Hyperlink">
    <w:name w:val="Hyperlink"/>
    <w:basedOn w:val="DefaultParagraphFont"/>
    <w:uiPriority w:val="99"/>
    <w:unhideWhenUsed/>
    <w:rsid w:val="00263099"/>
    <w:rPr>
      <w:color w:val="0563C1" w:themeColor="hyperlink"/>
      <w:u w:val="single"/>
    </w:rPr>
  </w:style>
  <w:style w:type="paragraph" w:styleId="BalloonText">
    <w:name w:val="Balloon Text"/>
    <w:basedOn w:val="Normal"/>
    <w:link w:val="BalloonTextChar1"/>
    <w:uiPriority w:val="99"/>
    <w:semiHidden/>
    <w:unhideWhenUsed/>
    <w:rsid w:val="002630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63099"/>
    <w:rPr>
      <w:rFonts w:ascii="Segoe UI" w:hAnsi="Segoe UI" w:cs="Segoe UI"/>
      <w:sz w:val="18"/>
      <w:szCs w:val="18"/>
    </w:rPr>
  </w:style>
  <w:style w:type="paragraph" w:styleId="NormalWeb">
    <w:name w:val="Normal (Web)"/>
    <w:basedOn w:val="Normal"/>
    <w:uiPriority w:val="99"/>
    <w:unhideWhenUsed/>
    <w:rsid w:val="00263099"/>
    <w:rPr>
      <w:rFonts w:ascii="Times New Roman" w:hAnsi="Times New Roman" w:cs="Times New Roman"/>
      <w:sz w:val="24"/>
      <w:szCs w:val="24"/>
    </w:rPr>
  </w:style>
  <w:style w:type="paragraph" w:styleId="Revision">
    <w:name w:val="Revision"/>
    <w:hidden/>
    <w:uiPriority w:val="99"/>
    <w:semiHidden/>
    <w:rsid w:val="00263099"/>
    <w:pPr>
      <w:spacing w:after="0" w:line="240" w:lineRule="auto"/>
    </w:pPr>
  </w:style>
  <w:style w:type="character" w:styleId="FollowedHyperlink">
    <w:name w:val="FollowedHyperlink"/>
    <w:basedOn w:val="DefaultParagraphFont"/>
    <w:uiPriority w:val="99"/>
    <w:semiHidden/>
    <w:unhideWhenUsed/>
    <w:rsid w:val="00263099"/>
    <w:rPr>
      <w:color w:val="954F72" w:themeColor="followedHyperlink"/>
      <w:u w:val="single"/>
    </w:rPr>
  </w:style>
  <w:style w:type="paragraph" w:customStyle="1" w:styleId="default0">
    <w:name w:val="default"/>
    <w:basedOn w:val="Normal"/>
    <w:uiPriority w:val="99"/>
    <w:rsid w:val="0017257A"/>
    <w:pPr>
      <w:autoSpaceDE w:val="0"/>
      <w:autoSpaceDN w:val="0"/>
      <w:spacing w:after="0" w:line="240" w:lineRule="auto"/>
    </w:pPr>
    <w:rPr>
      <w:rFonts w:ascii="Arial" w:eastAsia="Calibri" w:hAnsi="Arial" w:cs="Arial"/>
      <w:color w:val="000000"/>
      <w:sz w:val="24"/>
      <w:szCs w:val="24"/>
      <w:lang w:eastAsia="de-CH"/>
    </w:rPr>
  </w:style>
  <w:style w:type="character" w:customStyle="1" w:styleId="q4iawc">
    <w:name w:val="q4iawc"/>
    <w:basedOn w:val="DefaultParagraphFont"/>
    <w:rsid w:val="0017257A"/>
  </w:style>
  <w:style w:type="character" w:customStyle="1" w:styleId="viiyi">
    <w:name w:val="viiyi"/>
    <w:basedOn w:val="DefaultParagraphFont"/>
    <w:rsid w:val="0017257A"/>
  </w:style>
  <w:style w:type="paragraph" w:styleId="NoSpacing">
    <w:name w:val="No Spacing"/>
    <w:uiPriority w:val="1"/>
    <w:qFormat/>
    <w:rsid w:val="0017257A"/>
    <w:pPr>
      <w:spacing w:after="0" w:line="240" w:lineRule="auto"/>
    </w:pPr>
    <w:rPr>
      <w:rFonts w:ascii="Times New Roman" w:eastAsia="Calibri" w:hAnsi="Times New Roman" w:cs="Times New Roman"/>
      <w:sz w:val="28"/>
    </w:rPr>
  </w:style>
  <w:style w:type="paragraph" w:customStyle="1" w:styleId="xmsolistparagraph">
    <w:name w:val="x_msolistparagraph"/>
    <w:basedOn w:val="Normal"/>
    <w:rsid w:val="0017257A"/>
    <w:pPr>
      <w:spacing w:line="252" w:lineRule="auto"/>
      <w:ind w:left="720"/>
    </w:pPr>
    <w:rPr>
      <w:rFonts w:ascii="Calibri" w:hAnsi="Calibri" w:cs="Calibri"/>
      <w:lang w:eastAsia="cs-CZ"/>
    </w:rPr>
  </w:style>
  <w:style w:type="paragraph" w:customStyle="1" w:styleId="Bullet1">
    <w:name w:val="Bullet 1"/>
    <w:basedOn w:val="Normal"/>
    <w:rsid w:val="0017257A"/>
    <w:pPr>
      <w:numPr>
        <w:numId w:val="31"/>
      </w:numPr>
      <w:spacing w:before="120" w:after="120" w:line="360" w:lineRule="auto"/>
    </w:pPr>
    <w:rPr>
      <w:rFonts w:ascii="Times New Roman" w:hAnsi="Times New Roman" w:cs="Times New Roman"/>
      <w:sz w:val="24"/>
    </w:rPr>
  </w:style>
  <w:style w:type="paragraph" w:customStyle="1" w:styleId="Pointabc">
    <w:name w:val="Point abc"/>
    <w:basedOn w:val="Normal"/>
    <w:rsid w:val="0017257A"/>
    <w:pPr>
      <w:numPr>
        <w:ilvl w:val="1"/>
        <w:numId w:val="32"/>
      </w:numPr>
      <w:spacing w:before="120" w:after="120" w:line="360" w:lineRule="auto"/>
    </w:pPr>
    <w:rPr>
      <w:rFonts w:ascii="Times New Roman" w:hAnsi="Times New Roman" w:cs="Times New Roman"/>
      <w:sz w:val="24"/>
    </w:rPr>
  </w:style>
  <w:style w:type="paragraph" w:customStyle="1" w:styleId="Pointabc1">
    <w:name w:val="Point abc (1)"/>
    <w:basedOn w:val="Normal"/>
    <w:rsid w:val="0017257A"/>
    <w:pPr>
      <w:numPr>
        <w:ilvl w:val="3"/>
        <w:numId w:val="32"/>
      </w:numPr>
      <w:spacing w:before="120" w:after="120" w:line="360" w:lineRule="auto"/>
    </w:pPr>
    <w:rPr>
      <w:rFonts w:ascii="Times New Roman" w:hAnsi="Times New Roman" w:cs="Times New Roman"/>
      <w:sz w:val="24"/>
    </w:rPr>
  </w:style>
  <w:style w:type="paragraph" w:customStyle="1" w:styleId="Pointabc2">
    <w:name w:val="Point abc (2)"/>
    <w:basedOn w:val="Normal"/>
    <w:rsid w:val="0017257A"/>
    <w:pPr>
      <w:numPr>
        <w:ilvl w:val="5"/>
        <w:numId w:val="32"/>
      </w:numPr>
      <w:spacing w:before="120" w:after="120" w:line="360" w:lineRule="auto"/>
    </w:pPr>
    <w:rPr>
      <w:rFonts w:ascii="Times New Roman" w:hAnsi="Times New Roman" w:cs="Times New Roman"/>
      <w:sz w:val="24"/>
    </w:rPr>
  </w:style>
  <w:style w:type="paragraph" w:customStyle="1" w:styleId="Pointabc3">
    <w:name w:val="Point abc (3)"/>
    <w:basedOn w:val="Normal"/>
    <w:rsid w:val="0017257A"/>
    <w:pPr>
      <w:numPr>
        <w:ilvl w:val="7"/>
        <w:numId w:val="32"/>
      </w:numPr>
      <w:spacing w:before="120" w:after="120" w:line="360" w:lineRule="auto"/>
    </w:pPr>
    <w:rPr>
      <w:rFonts w:ascii="Times New Roman" w:hAnsi="Times New Roman" w:cs="Times New Roman"/>
      <w:sz w:val="24"/>
    </w:rPr>
  </w:style>
  <w:style w:type="paragraph" w:customStyle="1" w:styleId="Pointabc4">
    <w:name w:val="Point abc (4)"/>
    <w:basedOn w:val="Normal"/>
    <w:rsid w:val="0017257A"/>
    <w:pPr>
      <w:numPr>
        <w:ilvl w:val="8"/>
        <w:numId w:val="32"/>
      </w:numPr>
      <w:spacing w:before="120" w:after="120" w:line="360" w:lineRule="auto"/>
    </w:pPr>
    <w:rPr>
      <w:rFonts w:ascii="Times New Roman" w:hAnsi="Times New Roman" w:cs="Times New Roman"/>
      <w:sz w:val="24"/>
    </w:rPr>
  </w:style>
  <w:style w:type="paragraph" w:customStyle="1" w:styleId="Point123">
    <w:name w:val="Point 123"/>
    <w:basedOn w:val="Normal"/>
    <w:rsid w:val="0017257A"/>
    <w:pPr>
      <w:numPr>
        <w:numId w:val="32"/>
      </w:numPr>
      <w:spacing w:before="120" w:after="120" w:line="360" w:lineRule="auto"/>
    </w:pPr>
    <w:rPr>
      <w:rFonts w:ascii="Times New Roman" w:hAnsi="Times New Roman" w:cs="Times New Roman"/>
      <w:sz w:val="24"/>
    </w:rPr>
  </w:style>
  <w:style w:type="paragraph" w:customStyle="1" w:styleId="Point1231">
    <w:name w:val="Point 123 (1)"/>
    <w:basedOn w:val="Normal"/>
    <w:rsid w:val="0017257A"/>
    <w:pPr>
      <w:numPr>
        <w:ilvl w:val="2"/>
        <w:numId w:val="32"/>
      </w:numPr>
      <w:spacing w:before="120" w:after="120" w:line="360" w:lineRule="auto"/>
    </w:pPr>
    <w:rPr>
      <w:rFonts w:ascii="Times New Roman" w:hAnsi="Times New Roman" w:cs="Times New Roman"/>
      <w:sz w:val="24"/>
    </w:rPr>
  </w:style>
  <w:style w:type="paragraph" w:customStyle="1" w:styleId="Point1232">
    <w:name w:val="Point 123 (2)"/>
    <w:basedOn w:val="Normal"/>
    <w:rsid w:val="0017257A"/>
    <w:pPr>
      <w:numPr>
        <w:ilvl w:val="4"/>
        <w:numId w:val="32"/>
      </w:numPr>
      <w:spacing w:before="120" w:after="120" w:line="360" w:lineRule="auto"/>
    </w:pPr>
    <w:rPr>
      <w:rFonts w:ascii="Times New Roman" w:hAnsi="Times New Roman" w:cs="Times New Roman"/>
      <w:sz w:val="24"/>
    </w:rPr>
  </w:style>
  <w:style w:type="paragraph" w:customStyle="1" w:styleId="Point1233">
    <w:name w:val="Point 123 (3)"/>
    <w:basedOn w:val="Normal"/>
    <w:rsid w:val="0017257A"/>
    <w:pPr>
      <w:numPr>
        <w:ilvl w:val="6"/>
        <w:numId w:val="32"/>
      </w:numPr>
      <w:spacing w:before="120" w:after="120" w:line="360" w:lineRule="auto"/>
    </w:pPr>
    <w:rPr>
      <w:rFonts w:ascii="Times New Roman" w:hAnsi="Times New Roman" w:cs="Times New Roman"/>
      <w:sz w:val="24"/>
    </w:rPr>
  </w:style>
  <w:style w:type="paragraph" w:customStyle="1" w:styleId="PointDoubleManual">
    <w:name w:val="Point Double Manual"/>
    <w:basedOn w:val="Normal"/>
    <w:rsid w:val="0017257A"/>
    <w:pPr>
      <w:tabs>
        <w:tab w:val="left" w:pos="567"/>
      </w:tabs>
      <w:spacing w:before="120" w:after="120" w:line="360" w:lineRule="auto"/>
      <w:ind w:left="1134" w:hanging="1134"/>
    </w:pPr>
    <w:rPr>
      <w:rFonts w:ascii="Times New Roman" w:hAnsi="Times New Roman" w:cs="Times New Roman"/>
      <w:sz w:val="24"/>
    </w:rPr>
  </w:style>
  <w:style w:type="character" w:customStyle="1" w:styleId="markedcontent">
    <w:name w:val="markedcontent"/>
    <w:basedOn w:val="DefaultParagraphFont"/>
    <w:rsid w:val="00926E44"/>
  </w:style>
  <w:style w:type="character" w:customStyle="1" w:styleId="highlight">
    <w:name w:val="highlight"/>
    <w:basedOn w:val="DefaultParagraphFont"/>
    <w:rsid w:val="00926E44"/>
  </w:style>
  <w:style w:type="paragraph" w:styleId="Title">
    <w:name w:val="Title"/>
    <w:basedOn w:val="Normal"/>
    <w:next w:val="Normal"/>
    <w:link w:val="TitleChar"/>
    <w:uiPriority w:val="10"/>
    <w:qFormat/>
    <w:rsid w:val="00CD69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9E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BD3090"/>
    <w:rPr>
      <w:color w:val="605E5C"/>
      <w:shd w:val="clear" w:color="auto" w:fill="E1DFDD"/>
    </w:rPr>
  </w:style>
  <w:style w:type="paragraph" w:customStyle="1" w:styleId="Disclaimer">
    <w:name w:val="Disclaimer"/>
    <w:basedOn w:val="Normal"/>
    <w:rsid w:val="00B07D8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B07D81"/>
    <w:pPr>
      <w:spacing w:after="0" w:line="276" w:lineRule="auto"/>
      <w:ind w:left="5103"/>
    </w:pPr>
    <w:rPr>
      <w:rFonts w:ascii="Times New Roman" w:hAnsi="Times New Roman" w:cs="Times New Roman"/>
      <w:sz w:val="28"/>
    </w:rPr>
  </w:style>
  <w:style w:type="paragraph" w:customStyle="1" w:styleId="DateMarking">
    <w:name w:val="DateMarking"/>
    <w:basedOn w:val="Normal"/>
    <w:rsid w:val="00B07D81"/>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B07D81"/>
    <w:pPr>
      <w:spacing w:after="0" w:line="276" w:lineRule="auto"/>
      <w:ind w:left="5103"/>
    </w:pPr>
    <w:rPr>
      <w:rFonts w:ascii="Times New Roman" w:hAnsi="Times New Roman" w:cs="Times New Roman"/>
      <w:i/>
      <w:sz w:val="28"/>
    </w:rPr>
  </w:style>
  <w:style w:type="paragraph" w:customStyle="1" w:styleId="paragraph">
    <w:name w:val="paragraph"/>
    <w:basedOn w:val="Normal"/>
    <w:rsid w:val="0021483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214835"/>
  </w:style>
  <w:style w:type="character" w:customStyle="1" w:styleId="superscript">
    <w:name w:val="superscript"/>
    <w:basedOn w:val="DefaultParagraphFont"/>
    <w:rsid w:val="00214835"/>
  </w:style>
  <w:style w:type="character" w:customStyle="1" w:styleId="eop">
    <w:name w:val="eop"/>
    <w:basedOn w:val="DefaultParagraphFont"/>
    <w:rsid w:val="00214835"/>
  </w:style>
  <w:style w:type="character" w:customStyle="1" w:styleId="UnresolvedMention10">
    <w:name w:val="Unresolved Mention1"/>
    <w:basedOn w:val="DefaultParagraphFont"/>
    <w:uiPriority w:val="99"/>
    <w:semiHidden/>
    <w:unhideWhenUsed/>
    <w:rsid w:val="00214835"/>
    <w:rPr>
      <w:color w:val="605E5C"/>
      <w:shd w:val="clear" w:color="auto" w:fill="E1DFDD"/>
    </w:rPr>
  </w:style>
  <w:style w:type="character" w:customStyle="1" w:styleId="UnresolvedMention2">
    <w:name w:val="Unresolved Mention2"/>
    <w:basedOn w:val="DefaultParagraphFont"/>
    <w:uiPriority w:val="99"/>
    <w:semiHidden/>
    <w:unhideWhenUsed/>
    <w:rsid w:val="00214835"/>
    <w:rPr>
      <w:color w:val="605E5C"/>
      <w:shd w:val="clear" w:color="auto" w:fill="E1DFDD"/>
    </w:rPr>
  </w:style>
  <w:style w:type="character" w:customStyle="1" w:styleId="UnresolvedMention100">
    <w:name w:val="Unresolved Mention10"/>
    <w:basedOn w:val="DefaultParagraphFont"/>
    <w:uiPriority w:val="99"/>
    <w:semiHidden/>
    <w:unhideWhenUsed/>
    <w:rsid w:val="00620FCA"/>
    <w:rPr>
      <w:color w:val="605E5C"/>
      <w:shd w:val="clear" w:color="auto" w:fill="E1DFDD"/>
    </w:rPr>
  </w:style>
  <w:style w:type="character" w:customStyle="1" w:styleId="UnresolvedMention1000">
    <w:name w:val="Unresolved Mention100"/>
    <w:basedOn w:val="DefaultParagraphFont"/>
    <w:uiPriority w:val="99"/>
    <w:semiHidden/>
    <w:unhideWhenUsed/>
    <w:rsid w:val="00333E21"/>
    <w:rPr>
      <w:color w:val="605E5C"/>
      <w:shd w:val="clear" w:color="auto" w:fill="E1DFDD"/>
    </w:rPr>
  </w:style>
  <w:style w:type="character" w:customStyle="1" w:styleId="UnresolvedMention10000">
    <w:name w:val="Unresolved Mention1000"/>
    <w:basedOn w:val="DefaultParagraphFont"/>
    <w:uiPriority w:val="99"/>
    <w:semiHidden/>
    <w:unhideWhenUsed/>
    <w:rsid w:val="0013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029">
      <w:bodyDiv w:val="1"/>
      <w:marLeft w:val="0"/>
      <w:marRight w:val="0"/>
      <w:marTop w:val="0"/>
      <w:marBottom w:val="0"/>
      <w:divBdr>
        <w:top w:val="none" w:sz="0" w:space="0" w:color="auto"/>
        <w:left w:val="none" w:sz="0" w:space="0" w:color="auto"/>
        <w:bottom w:val="none" w:sz="0" w:space="0" w:color="auto"/>
        <w:right w:val="none" w:sz="0" w:space="0" w:color="auto"/>
      </w:divBdr>
    </w:div>
    <w:div w:id="187522857">
      <w:bodyDiv w:val="1"/>
      <w:marLeft w:val="0"/>
      <w:marRight w:val="0"/>
      <w:marTop w:val="0"/>
      <w:marBottom w:val="0"/>
      <w:divBdr>
        <w:top w:val="none" w:sz="0" w:space="0" w:color="auto"/>
        <w:left w:val="none" w:sz="0" w:space="0" w:color="auto"/>
        <w:bottom w:val="none" w:sz="0" w:space="0" w:color="auto"/>
        <w:right w:val="none" w:sz="0" w:space="0" w:color="auto"/>
      </w:divBdr>
    </w:div>
    <w:div w:id="310524695">
      <w:bodyDiv w:val="1"/>
      <w:marLeft w:val="0"/>
      <w:marRight w:val="0"/>
      <w:marTop w:val="0"/>
      <w:marBottom w:val="0"/>
      <w:divBdr>
        <w:top w:val="none" w:sz="0" w:space="0" w:color="auto"/>
        <w:left w:val="none" w:sz="0" w:space="0" w:color="auto"/>
        <w:bottom w:val="none" w:sz="0" w:space="0" w:color="auto"/>
        <w:right w:val="none" w:sz="0" w:space="0" w:color="auto"/>
      </w:divBdr>
    </w:div>
    <w:div w:id="320502457">
      <w:bodyDiv w:val="1"/>
      <w:marLeft w:val="0"/>
      <w:marRight w:val="0"/>
      <w:marTop w:val="0"/>
      <w:marBottom w:val="0"/>
      <w:divBdr>
        <w:top w:val="none" w:sz="0" w:space="0" w:color="auto"/>
        <w:left w:val="none" w:sz="0" w:space="0" w:color="auto"/>
        <w:bottom w:val="none" w:sz="0" w:space="0" w:color="auto"/>
        <w:right w:val="none" w:sz="0" w:space="0" w:color="auto"/>
      </w:divBdr>
    </w:div>
    <w:div w:id="332757876">
      <w:bodyDiv w:val="1"/>
      <w:marLeft w:val="0"/>
      <w:marRight w:val="0"/>
      <w:marTop w:val="0"/>
      <w:marBottom w:val="0"/>
      <w:divBdr>
        <w:top w:val="none" w:sz="0" w:space="0" w:color="auto"/>
        <w:left w:val="none" w:sz="0" w:space="0" w:color="auto"/>
        <w:bottom w:val="none" w:sz="0" w:space="0" w:color="auto"/>
        <w:right w:val="none" w:sz="0" w:space="0" w:color="auto"/>
      </w:divBdr>
    </w:div>
    <w:div w:id="336882486">
      <w:bodyDiv w:val="1"/>
      <w:marLeft w:val="0"/>
      <w:marRight w:val="0"/>
      <w:marTop w:val="0"/>
      <w:marBottom w:val="0"/>
      <w:divBdr>
        <w:top w:val="none" w:sz="0" w:space="0" w:color="auto"/>
        <w:left w:val="none" w:sz="0" w:space="0" w:color="auto"/>
        <w:bottom w:val="none" w:sz="0" w:space="0" w:color="auto"/>
        <w:right w:val="none" w:sz="0" w:space="0" w:color="auto"/>
      </w:divBdr>
    </w:div>
    <w:div w:id="350835144">
      <w:bodyDiv w:val="1"/>
      <w:marLeft w:val="0"/>
      <w:marRight w:val="0"/>
      <w:marTop w:val="0"/>
      <w:marBottom w:val="0"/>
      <w:divBdr>
        <w:top w:val="none" w:sz="0" w:space="0" w:color="auto"/>
        <w:left w:val="none" w:sz="0" w:space="0" w:color="auto"/>
        <w:bottom w:val="none" w:sz="0" w:space="0" w:color="auto"/>
        <w:right w:val="none" w:sz="0" w:space="0" w:color="auto"/>
      </w:divBdr>
    </w:div>
    <w:div w:id="508641526">
      <w:bodyDiv w:val="1"/>
      <w:marLeft w:val="0"/>
      <w:marRight w:val="0"/>
      <w:marTop w:val="0"/>
      <w:marBottom w:val="0"/>
      <w:divBdr>
        <w:top w:val="none" w:sz="0" w:space="0" w:color="auto"/>
        <w:left w:val="none" w:sz="0" w:space="0" w:color="auto"/>
        <w:bottom w:val="none" w:sz="0" w:space="0" w:color="auto"/>
        <w:right w:val="none" w:sz="0" w:space="0" w:color="auto"/>
      </w:divBdr>
    </w:div>
    <w:div w:id="509761491">
      <w:bodyDiv w:val="1"/>
      <w:marLeft w:val="0"/>
      <w:marRight w:val="0"/>
      <w:marTop w:val="0"/>
      <w:marBottom w:val="0"/>
      <w:divBdr>
        <w:top w:val="none" w:sz="0" w:space="0" w:color="auto"/>
        <w:left w:val="none" w:sz="0" w:space="0" w:color="auto"/>
        <w:bottom w:val="none" w:sz="0" w:space="0" w:color="auto"/>
        <w:right w:val="none" w:sz="0" w:space="0" w:color="auto"/>
      </w:divBdr>
    </w:div>
    <w:div w:id="619455787">
      <w:bodyDiv w:val="1"/>
      <w:marLeft w:val="0"/>
      <w:marRight w:val="0"/>
      <w:marTop w:val="0"/>
      <w:marBottom w:val="0"/>
      <w:divBdr>
        <w:top w:val="none" w:sz="0" w:space="0" w:color="auto"/>
        <w:left w:val="none" w:sz="0" w:space="0" w:color="auto"/>
        <w:bottom w:val="none" w:sz="0" w:space="0" w:color="auto"/>
        <w:right w:val="none" w:sz="0" w:space="0" w:color="auto"/>
      </w:divBdr>
    </w:div>
    <w:div w:id="624165889">
      <w:bodyDiv w:val="1"/>
      <w:marLeft w:val="0"/>
      <w:marRight w:val="0"/>
      <w:marTop w:val="0"/>
      <w:marBottom w:val="0"/>
      <w:divBdr>
        <w:top w:val="none" w:sz="0" w:space="0" w:color="auto"/>
        <w:left w:val="none" w:sz="0" w:space="0" w:color="auto"/>
        <w:bottom w:val="none" w:sz="0" w:space="0" w:color="auto"/>
        <w:right w:val="none" w:sz="0" w:space="0" w:color="auto"/>
      </w:divBdr>
    </w:div>
    <w:div w:id="634723499">
      <w:bodyDiv w:val="1"/>
      <w:marLeft w:val="0"/>
      <w:marRight w:val="0"/>
      <w:marTop w:val="0"/>
      <w:marBottom w:val="0"/>
      <w:divBdr>
        <w:top w:val="none" w:sz="0" w:space="0" w:color="auto"/>
        <w:left w:val="none" w:sz="0" w:space="0" w:color="auto"/>
        <w:bottom w:val="none" w:sz="0" w:space="0" w:color="auto"/>
        <w:right w:val="none" w:sz="0" w:space="0" w:color="auto"/>
      </w:divBdr>
    </w:div>
    <w:div w:id="651837521">
      <w:bodyDiv w:val="1"/>
      <w:marLeft w:val="0"/>
      <w:marRight w:val="0"/>
      <w:marTop w:val="0"/>
      <w:marBottom w:val="0"/>
      <w:divBdr>
        <w:top w:val="none" w:sz="0" w:space="0" w:color="auto"/>
        <w:left w:val="none" w:sz="0" w:space="0" w:color="auto"/>
        <w:bottom w:val="none" w:sz="0" w:space="0" w:color="auto"/>
        <w:right w:val="none" w:sz="0" w:space="0" w:color="auto"/>
      </w:divBdr>
    </w:div>
    <w:div w:id="683870546">
      <w:bodyDiv w:val="1"/>
      <w:marLeft w:val="0"/>
      <w:marRight w:val="0"/>
      <w:marTop w:val="0"/>
      <w:marBottom w:val="0"/>
      <w:divBdr>
        <w:top w:val="none" w:sz="0" w:space="0" w:color="auto"/>
        <w:left w:val="none" w:sz="0" w:space="0" w:color="auto"/>
        <w:bottom w:val="none" w:sz="0" w:space="0" w:color="auto"/>
        <w:right w:val="none" w:sz="0" w:space="0" w:color="auto"/>
      </w:divBdr>
    </w:div>
    <w:div w:id="699402917">
      <w:bodyDiv w:val="1"/>
      <w:marLeft w:val="0"/>
      <w:marRight w:val="0"/>
      <w:marTop w:val="0"/>
      <w:marBottom w:val="0"/>
      <w:divBdr>
        <w:top w:val="none" w:sz="0" w:space="0" w:color="auto"/>
        <w:left w:val="none" w:sz="0" w:space="0" w:color="auto"/>
        <w:bottom w:val="none" w:sz="0" w:space="0" w:color="auto"/>
        <w:right w:val="none" w:sz="0" w:space="0" w:color="auto"/>
      </w:divBdr>
    </w:div>
    <w:div w:id="773600824">
      <w:bodyDiv w:val="1"/>
      <w:marLeft w:val="0"/>
      <w:marRight w:val="0"/>
      <w:marTop w:val="0"/>
      <w:marBottom w:val="0"/>
      <w:divBdr>
        <w:top w:val="none" w:sz="0" w:space="0" w:color="auto"/>
        <w:left w:val="none" w:sz="0" w:space="0" w:color="auto"/>
        <w:bottom w:val="none" w:sz="0" w:space="0" w:color="auto"/>
        <w:right w:val="none" w:sz="0" w:space="0" w:color="auto"/>
      </w:divBdr>
    </w:div>
    <w:div w:id="807629157">
      <w:bodyDiv w:val="1"/>
      <w:marLeft w:val="0"/>
      <w:marRight w:val="0"/>
      <w:marTop w:val="0"/>
      <w:marBottom w:val="0"/>
      <w:divBdr>
        <w:top w:val="none" w:sz="0" w:space="0" w:color="auto"/>
        <w:left w:val="none" w:sz="0" w:space="0" w:color="auto"/>
        <w:bottom w:val="none" w:sz="0" w:space="0" w:color="auto"/>
        <w:right w:val="none" w:sz="0" w:space="0" w:color="auto"/>
      </w:divBdr>
    </w:div>
    <w:div w:id="855654246">
      <w:bodyDiv w:val="1"/>
      <w:marLeft w:val="0"/>
      <w:marRight w:val="0"/>
      <w:marTop w:val="0"/>
      <w:marBottom w:val="0"/>
      <w:divBdr>
        <w:top w:val="none" w:sz="0" w:space="0" w:color="auto"/>
        <w:left w:val="none" w:sz="0" w:space="0" w:color="auto"/>
        <w:bottom w:val="none" w:sz="0" w:space="0" w:color="auto"/>
        <w:right w:val="none" w:sz="0" w:space="0" w:color="auto"/>
      </w:divBdr>
    </w:div>
    <w:div w:id="859127047">
      <w:bodyDiv w:val="1"/>
      <w:marLeft w:val="0"/>
      <w:marRight w:val="0"/>
      <w:marTop w:val="0"/>
      <w:marBottom w:val="0"/>
      <w:divBdr>
        <w:top w:val="none" w:sz="0" w:space="0" w:color="auto"/>
        <w:left w:val="none" w:sz="0" w:space="0" w:color="auto"/>
        <w:bottom w:val="none" w:sz="0" w:space="0" w:color="auto"/>
        <w:right w:val="none" w:sz="0" w:space="0" w:color="auto"/>
      </w:divBdr>
    </w:div>
    <w:div w:id="887766532">
      <w:bodyDiv w:val="1"/>
      <w:marLeft w:val="0"/>
      <w:marRight w:val="0"/>
      <w:marTop w:val="0"/>
      <w:marBottom w:val="0"/>
      <w:divBdr>
        <w:top w:val="none" w:sz="0" w:space="0" w:color="auto"/>
        <w:left w:val="none" w:sz="0" w:space="0" w:color="auto"/>
        <w:bottom w:val="none" w:sz="0" w:space="0" w:color="auto"/>
        <w:right w:val="none" w:sz="0" w:space="0" w:color="auto"/>
      </w:divBdr>
    </w:div>
    <w:div w:id="930162625">
      <w:bodyDiv w:val="1"/>
      <w:marLeft w:val="0"/>
      <w:marRight w:val="0"/>
      <w:marTop w:val="0"/>
      <w:marBottom w:val="0"/>
      <w:divBdr>
        <w:top w:val="none" w:sz="0" w:space="0" w:color="auto"/>
        <w:left w:val="none" w:sz="0" w:space="0" w:color="auto"/>
        <w:bottom w:val="none" w:sz="0" w:space="0" w:color="auto"/>
        <w:right w:val="none" w:sz="0" w:space="0" w:color="auto"/>
      </w:divBdr>
    </w:div>
    <w:div w:id="979656883">
      <w:bodyDiv w:val="1"/>
      <w:marLeft w:val="0"/>
      <w:marRight w:val="0"/>
      <w:marTop w:val="0"/>
      <w:marBottom w:val="0"/>
      <w:divBdr>
        <w:top w:val="none" w:sz="0" w:space="0" w:color="auto"/>
        <w:left w:val="none" w:sz="0" w:space="0" w:color="auto"/>
        <w:bottom w:val="none" w:sz="0" w:space="0" w:color="auto"/>
        <w:right w:val="none" w:sz="0" w:space="0" w:color="auto"/>
      </w:divBdr>
    </w:div>
    <w:div w:id="1028144629">
      <w:bodyDiv w:val="1"/>
      <w:marLeft w:val="0"/>
      <w:marRight w:val="0"/>
      <w:marTop w:val="0"/>
      <w:marBottom w:val="0"/>
      <w:divBdr>
        <w:top w:val="none" w:sz="0" w:space="0" w:color="auto"/>
        <w:left w:val="none" w:sz="0" w:space="0" w:color="auto"/>
        <w:bottom w:val="none" w:sz="0" w:space="0" w:color="auto"/>
        <w:right w:val="none" w:sz="0" w:space="0" w:color="auto"/>
      </w:divBdr>
    </w:div>
    <w:div w:id="1186557677">
      <w:bodyDiv w:val="1"/>
      <w:marLeft w:val="0"/>
      <w:marRight w:val="0"/>
      <w:marTop w:val="0"/>
      <w:marBottom w:val="0"/>
      <w:divBdr>
        <w:top w:val="none" w:sz="0" w:space="0" w:color="auto"/>
        <w:left w:val="none" w:sz="0" w:space="0" w:color="auto"/>
        <w:bottom w:val="none" w:sz="0" w:space="0" w:color="auto"/>
        <w:right w:val="none" w:sz="0" w:space="0" w:color="auto"/>
      </w:divBdr>
    </w:div>
    <w:div w:id="1189829233">
      <w:bodyDiv w:val="1"/>
      <w:marLeft w:val="0"/>
      <w:marRight w:val="0"/>
      <w:marTop w:val="0"/>
      <w:marBottom w:val="0"/>
      <w:divBdr>
        <w:top w:val="none" w:sz="0" w:space="0" w:color="auto"/>
        <w:left w:val="none" w:sz="0" w:space="0" w:color="auto"/>
        <w:bottom w:val="none" w:sz="0" w:space="0" w:color="auto"/>
        <w:right w:val="none" w:sz="0" w:space="0" w:color="auto"/>
      </w:divBdr>
    </w:div>
    <w:div w:id="1340543802">
      <w:bodyDiv w:val="1"/>
      <w:marLeft w:val="0"/>
      <w:marRight w:val="0"/>
      <w:marTop w:val="0"/>
      <w:marBottom w:val="0"/>
      <w:divBdr>
        <w:top w:val="none" w:sz="0" w:space="0" w:color="auto"/>
        <w:left w:val="none" w:sz="0" w:space="0" w:color="auto"/>
        <w:bottom w:val="none" w:sz="0" w:space="0" w:color="auto"/>
        <w:right w:val="none" w:sz="0" w:space="0" w:color="auto"/>
      </w:divBdr>
    </w:div>
    <w:div w:id="1385062399">
      <w:bodyDiv w:val="1"/>
      <w:marLeft w:val="0"/>
      <w:marRight w:val="0"/>
      <w:marTop w:val="0"/>
      <w:marBottom w:val="0"/>
      <w:divBdr>
        <w:top w:val="none" w:sz="0" w:space="0" w:color="auto"/>
        <w:left w:val="none" w:sz="0" w:space="0" w:color="auto"/>
        <w:bottom w:val="none" w:sz="0" w:space="0" w:color="auto"/>
        <w:right w:val="none" w:sz="0" w:space="0" w:color="auto"/>
      </w:divBdr>
    </w:div>
    <w:div w:id="1492326562">
      <w:bodyDiv w:val="1"/>
      <w:marLeft w:val="0"/>
      <w:marRight w:val="0"/>
      <w:marTop w:val="0"/>
      <w:marBottom w:val="0"/>
      <w:divBdr>
        <w:top w:val="none" w:sz="0" w:space="0" w:color="auto"/>
        <w:left w:val="none" w:sz="0" w:space="0" w:color="auto"/>
        <w:bottom w:val="none" w:sz="0" w:space="0" w:color="auto"/>
        <w:right w:val="none" w:sz="0" w:space="0" w:color="auto"/>
      </w:divBdr>
    </w:div>
    <w:div w:id="1629579213">
      <w:bodyDiv w:val="1"/>
      <w:marLeft w:val="0"/>
      <w:marRight w:val="0"/>
      <w:marTop w:val="0"/>
      <w:marBottom w:val="0"/>
      <w:divBdr>
        <w:top w:val="none" w:sz="0" w:space="0" w:color="auto"/>
        <w:left w:val="none" w:sz="0" w:space="0" w:color="auto"/>
        <w:bottom w:val="none" w:sz="0" w:space="0" w:color="auto"/>
        <w:right w:val="none" w:sz="0" w:space="0" w:color="auto"/>
      </w:divBdr>
    </w:div>
    <w:div w:id="1650133734">
      <w:bodyDiv w:val="1"/>
      <w:marLeft w:val="0"/>
      <w:marRight w:val="0"/>
      <w:marTop w:val="0"/>
      <w:marBottom w:val="0"/>
      <w:divBdr>
        <w:top w:val="none" w:sz="0" w:space="0" w:color="auto"/>
        <w:left w:val="none" w:sz="0" w:space="0" w:color="auto"/>
        <w:bottom w:val="none" w:sz="0" w:space="0" w:color="auto"/>
        <w:right w:val="none" w:sz="0" w:space="0" w:color="auto"/>
      </w:divBdr>
    </w:div>
    <w:div w:id="1656765000">
      <w:bodyDiv w:val="1"/>
      <w:marLeft w:val="0"/>
      <w:marRight w:val="0"/>
      <w:marTop w:val="0"/>
      <w:marBottom w:val="0"/>
      <w:divBdr>
        <w:top w:val="none" w:sz="0" w:space="0" w:color="auto"/>
        <w:left w:val="none" w:sz="0" w:space="0" w:color="auto"/>
        <w:bottom w:val="none" w:sz="0" w:space="0" w:color="auto"/>
        <w:right w:val="none" w:sz="0" w:space="0" w:color="auto"/>
      </w:divBdr>
    </w:div>
    <w:div w:id="1748073919">
      <w:bodyDiv w:val="1"/>
      <w:marLeft w:val="0"/>
      <w:marRight w:val="0"/>
      <w:marTop w:val="0"/>
      <w:marBottom w:val="0"/>
      <w:divBdr>
        <w:top w:val="none" w:sz="0" w:space="0" w:color="auto"/>
        <w:left w:val="none" w:sz="0" w:space="0" w:color="auto"/>
        <w:bottom w:val="none" w:sz="0" w:space="0" w:color="auto"/>
        <w:right w:val="none" w:sz="0" w:space="0" w:color="auto"/>
      </w:divBdr>
    </w:div>
    <w:div w:id="1935632188">
      <w:bodyDiv w:val="1"/>
      <w:marLeft w:val="0"/>
      <w:marRight w:val="0"/>
      <w:marTop w:val="0"/>
      <w:marBottom w:val="0"/>
      <w:divBdr>
        <w:top w:val="none" w:sz="0" w:space="0" w:color="auto"/>
        <w:left w:val="none" w:sz="0" w:space="0" w:color="auto"/>
        <w:bottom w:val="none" w:sz="0" w:space="0" w:color="auto"/>
        <w:right w:val="none" w:sz="0" w:space="0" w:color="auto"/>
      </w:divBdr>
    </w:div>
    <w:div w:id="1944528334">
      <w:bodyDiv w:val="1"/>
      <w:marLeft w:val="0"/>
      <w:marRight w:val="0"/>
      <w:marTop w:val="0"/>
      <w:marBottom w:val="0"/>
      <w:divBdr>
        <w:top w:val="none" w:sz="0" w:space="0" w:color="auto"/>
        <w:left w:val="none" w:sz="0" w:space="0" w:color="auto"/>
        <w:bottom w:val="none" w:sz="0" w:space="0" w:color="auto"/>
        <w:right w:val="none" w:sz="0" w:space="0" w:color="auto"/>
      </w:divBdr>
    </w:div>
    <w:div w:id="2009404736">
      <w:bodyDiv w:val="1"/>
      <w:marLeft w:val="0"/>
      <w:marRight w:val="0"/>
      <w:marTop w:val="0"/>
      <w:marBottom w:val="0"/>
      <w:divBdr>
        <w:top w:val="none" w:sz="0" w:space="0" w:color="auto"/>
        <w:left w:val="none" w:sz="0" w:space="0" w:color="auto"/>
        <w:bottom w:val="none" w:sz="0" w:space="0" w:color="auto"/>
        <w:right w:val="none" w:sz="0" w:space="0" w:color="auto"/>
      </w:divBdr>
    </w:div>
    <w:div w:id="20978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5080d955-392b-4a47-8633-9de638dc2313">EN</EC_Collab_DocumentLanguage>
    <EC_Collab_Reference xmlns="5080d955-392b-4a47-8633-9de638dc2313" xsi:nil="true"/>
    <EC_Collab_Status xmlns="5080d955-392b-4a47-8633-9de638dc2313">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5CEEA53ED6B324AB222854FD8BCE1AF" ma:contentTypeVersion="2" ma:contentTypeDescription="Create a new document in this library." ma:contentTypeScope="" ma:versionID="2ac65ecd76c6eb8946a6b7d4182222b9">
  <xsd:schema xmlns:xsd="http://www.w3.org/2001/XMLSchema" xmlns:xs="http://www.w3.org/2001/XMLSchema" xmlns:p="http://schemas.microsoft.com/office/2006/metadata/properties" xmlns:ns2="http://schemas.microsoft.com/sharepoint/v3/fields" xmlns:ns3="5080d955-392b-4a47-8633-9de638dc2313" xmlns:ns4="5844f193-b267-46d7-afe9-1f837dd55ee2" targetNamespace="http://schemas.microsoft.com/office/2006/metadata/properties" ma:root="true" ma:fieldsID="03990d4033c5f405f19332f37be19f87" ns2:_="" ns3:_="" ns4:_="">
    <xsd:import namespace="http://schemas.microsoft.com/sharepoint/v3/fields"/>
    <xsd:import namespace="5080d955-392b-4a47-8633-9de638dc2313"/>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80d955-392b-4a47-8633-9de638dc231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954B-23D3-4CC6-89AD-78F27D31461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5844f193-b267-46d7-afe9-1f837dd55ee2"/>
    <ds:schemaRef ds:uri="5080d955-392b-4a47-8633-9de638dc2313"/>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DFC372F6-A2C3-429A-91DB-F0058BAB82ED}">
  <ds:schemaRefs>
    <ds:schemaRef ds:uri="http://schemas.microsoft.com/sharepoint/v3/contenttype/forms"/>
  </ds:schemaRefs>
</ds:datastoreItem>
</file>

<file path=customXml/itemProps3.xml><?xml version="1.0" encoding="utf-8"?>
<ds:datastoreItem xmlns:ds="http://schemas.openxmlformats.org/officeDocument/2006/customXml" ds:itemID="{866D1D73-BCEA-4313-B571-B03A74500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80d955-392b-4a47-8633-9de638dc2313"/>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72D0F-869C-4199-8E5E-C926546C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4212</Words>
  <Characters>24937</Characters>
  <Application>Microsoft Office Word</Application>
  <DocSecurity>0</DocSecurity>
  <Lines>377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2023-03-12T14:54:00Z</dcterms:created>
  <dcterms:modified xsi:type="dcterms:W3CDTF">2023-04-26T12:21:00Z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0x010100258AA79CEB83498886A3A086811232500035CEEA53ED6B324AB222854FD8BCE1AF</vt:lpwstr>
  </property>
  <property fmtid="{D5CDD505-2E9C-101B-9397-08002B2CF9AE}" pid="3" name="Level of sensitivity">
    <vt:lpwstr>Standard treatment</vt:lpwstr>
  </property>
  <property fmtid="{D5CDD505-2E9C-101B-9397-08002B2CF9AE}" pid="4" name="Last edited using">
    <vt:lpwstr>LW 8.1, Build 20230124</vt:lpwstr>
  </property>
  <property fmtid="{D5CDD505-2E9C-101B-9397-08002B2CF9AE}" pid="5" name="DocStatus">
    <vt:lpwstr>Green</vt:lpwstr>
  </property>
  <property fmtid="{D5CDD505-2E9C-101B-9397-08002B2CF9AE}" pid="6" name="MSIP_Label_6bd9ddd1-4d20-43f6-abfa-fc3c07406f94_Enabled">
    <vt:lpwstr>true</vt:lpwstr>
  </property>
  <property fmtid="{D5CDD505-2E9C-101B-9397-08002B2CF9AE}" pid="7" name="MSIP_Label_6bd9ddd1-4d20-43f6-abfa-fc3c07406f94_SetDate">
    <vt:lpwstr>2023-02-08T16:36:02Z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f8c3e537-0a3b-4b4e-8bbf-23e3ab99e880</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CP-012</vt:lpwstr>
  </property>
</Properties>
</file>