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B4707" w14:textId="2A76ECB3" w:rsidR="0084771E" w:rsidRPr="003E2726" w:rsidRDefault="0024371F" w:rsidP="0024371F">
      <w:pPr>
        <w:pStyle w:val="Pagedecouverture"/>
        <w:rPr>
          <w:noProof/>
          <w:lang w:val="en-IE"/>
        </w:rPr>
      </w:pPr>
      <w:bookmarkStart w:id="0" w:name="LW_BM_COVERPAGE"/>
      <w:r>
        <w:rPr>
          <w:noProof/>
          <w:lang w:val="en-IE"/>
        </w:rPr>
        <w:pict w14:anchorId="39770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3F1D2C-58DC-4981-83D2-104D7BF2BD26" style="width:455.25pt;height:399pt">
            <v:imagedata r:id="rId11" o:title=""/>
          </v:shape>
        </w:pict>
      </w:r>
    </w:p>
    <w:bookmarkEnd w:id="0"/>
    <w:p w14:paraId="522B4708" w14:textId="77777777" w:rsidR="0084771E" w:rsidRPr="003E2726" w:rsidRDefault="0084771E" w:rsidP="0084771E">
      <w:pPr>
        <w:rPr>
          <w:noProof/>
          <w:lang w:val="en-IE"/>
        </w:rPr>
        <w:sectPr w:rsidR="0084771E" w:rsidRPr="003E2726" w:rsidSect="0024371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322" w:type="dxa"/>
        <w:tblLook w:val="01E0" w:firstRow="1" w:lastRow="1" w:firstColumn="1" w:lastColumn="1" w:noHBand="0" w:noVBand="0"/>
      </w:tblPr>
      <w:tblGrid>
        <w:gridCol w:w="9322"/>
      </w:tblGrid>
      <w:tr w:rsidR="00ED39C4" w:rsidRPr="003E2726" w14:paraId="522B470A" w14:textId="77777777" w:rsidTr="6F5EF812">
        <w:tc>
          <w:tcPr>
            <w:tcW w:w="9322" w:type="dxa"/>
            <w:tcBorders>
              <w:bottom w:val="single" w:sz="4" w:space="0" w:color="auto"/>
            </w:tcBorders>
            <w:shd w:val="clear" w:color="auto" w:fill="CCCCCC"/>
          </w:tcPr>
          <w:p w14:paraId="522B4709" w14:textId="77777777" w:rsidR="00ED39C4" w:rsidRPr="003E2726" w:rsidRDefault="00ED39C4" w:rsidP="006544ED">
            <w:pPr>
              <w:spacing w:before="60" w:after="60"/>
              <w:jc w:val="center"/>
              <w:rPr>
                <w:b/>
                <w:noProof/>
                <w:sz w:val="24"/>
                <w:szCs w:val="24"/>
                <w:lang w:val="en-IE"/>
              </w:rPr>
            </w:pPr>
            <w:bookmarkStart w:id="1" w:name="_GoBack"/>
            <w:bookmarkEnd w:id="1"/>
            <w:r w:rsidRPr="003E2726">
              <w:rPr>
                <w:b/>
                <w:noProof/>
                <w:sz w:val="24"/>
                <w:szCs w:val="24"/>
                <w:lang w:val="en-IE"/>
              </w:rPr>
              <w:lastRenderedPageBreak/>
              <w:t>Executive Summary Sheet</w:t>
            </w:r>
          </w:p>
        </w:tc>
      </w:tr>
      <w:tr w:rsidR="00ED39C4" w:rsidRPr="003E2726" w14:paraId="522B470C" w14:textId="77777777" w:rsidTr="6F5EF812">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14:paraId="522B470B" w14:textId="55284DE9" w:rsidR="00ED39C4" w:rsidRPr="003E2726" w:rsidRDefault="00C71758" w:rsidP="00786C46">
            <w:pPr>
              <w:spacing w:before="120" w:after="120"/>
              <w:jc w:val="both"/>
              <w:rPr>
                <w:b/>
                <w:noProof/>
                <w:sz w:val="24"/>
                <w:szCs w:val="24"/>
                <w:lang w:val="en-IE"/>
              </w:rPr>
            </w:pPr>
            <w:r w:rsidRPr="003E2726">
              <w:rPr>
                <w:noProof/>
                <w:color w:val="FFFFFF" w:themeColor="background1"/>
                <w:sz w:val="24"/>
                <w:szCs w:val="24"/>
                <w:lang w:val="en-IE"/>
              </w:rPr>
              <w:t>Impact assessment on</w:t>
            </w:r>
            <w:r w:rsidR="00786C46">
              <w:rPr>
                <w:noProof/>
                <w:color w:val="FFFFFF" w:themeColor="background1"/>
                <w:sz w:val="24"/>
                <w:szCs w:val="24"/>
                <w:lang w:val="en-IE"/>
              </w:rPr>
              <w:t xml:space="preserve"> proposal for a regulation to</w:t>
            </w:r>
            <w:r w:rsidRPr="003E2726">
              <w:rPr>
                <w:noProof/>
                <w:color w:val="FFFFFF" w:themeColor="background1"/>
                <w:sz w:val="24"/>
                <w:szCs w:val="24"/>
                <w:lang w:val="en-IE"/>
              </w:rPr>
              <w:t xml:space="preserve"> </w:t>
            </w:r>
            <w:r w:rsidR="00786C46">
              <w:rPr>
                <w:noProof/>
                <w:color w:val="FFFFFF" w:themeColor="background1"/>
                <w:sz w:val="24"/>
                <w:szCs w:val="24"/>
                <w:lang w:val="en-IE"/>
              </w:rPr>
              <w:t>create a register for standard essential patents, a system to evaluate essentiality</w:t>
            </w:r>
            <w:r w:rsidR="00CA5FCC">
              <w:rPr>
                <w:noProof/>
                <w:color w:val="FFFFFF" w:themeColor="background1"/>
                <w:sz w:val="24"/>
                <w:szCs w:val="24"/>
                <w:lang w:val="en-IE"/>
              </w:rPr>
              <w:t xml:space="preserve"> of patents</w:t>
            </w:r>
            <w:r w:rsidR="00786C46">
              <w:rPr>
                <w:noProof/>
                <w:color w:val="FFFFFF" w:themeColor="background1"/>
                <w:sz w:val="24"/>
                <w:szCs w:val="24"/>
                <w:lang w:val="en-IE"/>
              </w:rPr>
              <w:t xml:space="preserve">, a FRAND dispute resolution mechanism and </w:t>
            </w:r>
            <w:r w:rsidR="0009404B">
              <w:rPr>
                <w:noProof/>
                <w:color w:val="FFFFFF" w:themeColor="background1"/>
                <w:sz w:val="24"/>
                <w:szCs w:val="24"/>
                <w:lang w:val="en-IE"/>
              </w:rPr>
              <w:t xml:space="preserve">a </w:t>
            </w:r>
            <w:r w:rsidR="00786C46">
              <w:rPr>
                <w:noProof/>
                <w:color w:val="FFFFFF" w:themeColor="background1"/>
                <w:sz w:val="24"/>
                <w:szCs w:val="24"/>
                <w:lang w:val="en-IE"/>
              </w:rPr>
              <w:t>process for ex-ante determination of aggregate royalty for a standard</w:t>
            </w:r>
            <w:r w:rsidRPr="003E2726">
              <w:rPr>
                <w:noProof/>
                <w:color w:val="FFFFFF" w:themeColor="background1"/>
                <w:sz w:val="24"/>
                <w:szCs w:val="24"/>
                <w:lang w:val="en-IE"/>
              </w:rPr>
              <w:t>.</w:t>
            </w:r>
          </w:p>
        </w:tc>
      </w:tr>
      <w:tr w:rsidR="00ED39C4" w:rsidRPr="003E2726" w14:paraId="522B470E" w14:textId="77777777" w:rsidTr="6F5EF812">
        <w:tc>
          <w:tcPr>
            <w:tcW w:w="9322" w:type="dxa"/>
            <w:tcBorders>
              <w:bottom w:val="single" w:sz="4" w:space="0" w:color="auto"/>
            </w:tcBorders>
            <w:shd w:val="clear" w:color="auto" w:fill="CCCCCC"/>
          </w:tcPr>
          <w:p w14:paraId="522B470D" w14:textId="77777777" w:rsidR="00ED39C4" w:rsidRPr="003E2726" w:rsidRDefault="00ED39C4" w:rsidP="006544ED">
            <w:pPr>
              <w:spacing w:before="60" w:after="60"/>
              <w:jc w:val="center"/>
              <w:rPr>
                <w:b/>
                <w:noProof/>
                <w:sz w:val="24"/>
                <w:szCs w:val="24"/>
                <w:lang w:val="en-IE"/>
              </w:rPr>
            </w:pPr>
            <w:r w:rsidRPr="003E2726">
              <w:rPr>
                <w:b/>
                <w:noProof/>
                <w:sz w:val="24"/>
                <w:szCs w:val="24"/>
                <w:lang w:val="en-IE"/>
              </w:rPr>
              <w:t>A. Need for action</w:t>
            </w:r>
          </w:p>
        </w:tc>
      </w:tr>
      <w:tr w:rsidR="00ED39C4" w:rsidRPr="003E2726" w14:paraId="522B4710" w14:textId="77777777" w:rsidTr="6F5EF812">
        <w:tc>
          <w:tcPr>
            <w:tcW w:w="9322" w:type="dxa"/>
            <w:tcBorders>
              <w:bottom w:val="single" w:sz="4" w:space="0" w:color="auto"/>
            </w:tcBorders>
            <w:shd w:val="clear" w:color="auto" w:fill="E0E0E0"/>
          </w:tcPr>
          <w:p w14:paraId="522B470F" w14:textId="77777777" w:rsidR="00ED39C4" w:rsidRPr="003E2726" w:rsidRDefault="00ED39C4" w:rsidP="006544ED">
            <w:pPr>
              <w:spacing w:before="60" w:after="60"/>
              <w:jc w:val="both"/>
              <w:rPr>
                <w:noProof/>
                <w:sz w:val="24"/>
                <w:szCs w:val="24"/>
                <w:lang w:val="en-IE"/>
              </w:rPr>
            </w:pPr>
            <w:r w:rsidRPr="003E2726">
              <w:rPr>
                <w:b/>
                <w:noProof/>
                <w:sz w:val="24"/>
                <w:szCs w:val="24"/>
                <w:lang w:val="en-IE"/>
              </w:rPr>
              <w:t xml:space="preserve">Why? What is the problem being addressed? </w:t>
            </w:r>
          </w:p>
        </w:tc>
      </w:tr>
      <w:tr w:rsidR="00ED39C4" w:rsidRPr="003E2726" w14:paraId="522B4716" w14:textId="77777777" w:rsidTr="6F5EF812">
        <w:tc>
          <w:tcPr>
            <w:tcW w:w="9322" w:type="dxa"/>
            <w:tcBorders>
              <w:bottom w:val="single" w:sz="4" w:space="0" w:color="auto"/>
            </w:tcBorders>
            <w:shd w:val="clear" w:color="auto" w:fill="auto"/>
          </w:tcPr>
          <w:p w14:paraId="522B4711" w14:textId="0641CEA5" w:rsidR="00324150" w:rsidRDefault="00324150" w:rsidP="006530D1">
            <w:pPr>
              <w:spacing w:before="40" w:after="120"/>
              <w:jc w:val="both"/>
              <w:rPr>
                <w:noProof/>
                <w:sz w:val="24"/>
                <w:szCs w:val="24"/>
                <w:lang w:val="en-IE"/>
              </w:rPr>
            </w:pPr>
            <w:r w:rsidRPr="00324150">
              <w:rPr>
                <w:noProof/>
                <w:sz w:val="24"/>
                <w:szCs w:val="24"/>
                <w:lang w:val="en-IE"/>
              </w:rPr>
              <w:t xml:space="preserve">Standard Essential Patents (SEPs) are patents </w:t>
            </w:r>
            <w:r w:rsidR="00016BA7">
              <w:rPr>
                <w:noProof/>
                <w:sz w:val="24"/>
                <w:szCs w:val="24"/>
                <w:lang w:val="en-IE"/>
              </w:rPr>
              <w:t xml:space="preserve">that protect </w:t>
            </w:r>
            <w:r w:rsidR="00016BA7" w:rsidRPr="00016BA7">
              <w:rPr>
                <w:noProof/>
                <w:sz w:val="24"/>
                <w:szCs w:val="24"/>
                <w:lang w:val="en-IE"/>
              </w:rPr>
              <w:t>a technology necessary to</w:t>
            </w:r>
            <w:r w:rsidR="00016BA7">
              <w:rPr>
                <w:noProof/>
                <w:sz w:val="24"/>
                <w:szCs w:val="24"/>
                <w:lang w:val="en-IE"/>
              </w:rPr>
              <w:t xml:space="preserve"> fulfi</w:t>
            </w:r>
            <w:r w:rsidR="00016BA7" w:rsidRPr="00016BA7">
              <w:rPr>
                <w:noProof/>
                <w:sz w:val="24"/>
                <w:szCs w:val="24"/>
                <w:lang w:val="en-IE"/>
              </w:rPr>
              <w:t>l an industry standard</w:t>
            </w:r>
            <w:r w:rsidR="006657E0">
              <w:rPr>
                <w:noProof/>
                <w:sz w:val="24"/>
                <w:szCs w:val="24"/>
                <w:lang w:val="en-IE"/>
              </w:rPr>
              <w:t xml:space="preserve">. </w:t>
            </w:r>
            <w:r w:rsidRPr="00324150">
              <w:rPr>
                <w:noProof/>
                <w:sz w:val="24"/>
                <w:szCs w:val="24"/>
                <w:lang w:val="en-IE"/>
              </w:rPr>
              <w:t xml:space="preserve">Such standards are, for example, communication standards (e.g. 3G, 4G, 5G, WiFi, NFC), audio/video compression and decompression standards (MPEG, HEVC), as </w:t>
            </w:r>
            <w:r w:rsidR="00016BA7">
              <w:rPr>
                <w:noProof/>
                <w:sz w:val="24"/>
                <w:szCs w:val="24"/>
                <w:lang w:val="en-IE"/>
              </w:rPr>
              <w:t>well as standardis</w:t>
            </w:r>
            <w:r w:rsidRPr="00324150">
              <w:rPr>
                <w:noProof/>
                <w:sz w:val="24"/>
                <w:szCs w:val="24"/>
                <w:lang w:val="en-IE"/>
              </w:rPr>
              <w:t>ed technologies for data storage and exchange (CD and DVD), photo formats (JPEG), and Home Audio/Video Interoperability (HAVi).</w:t>
            </w:r>
            <w:r>
              <w:rPr>
                <w:noProof/>
                <w:sz w:val="24"/>
                <w:szCs w:val="24"/>
                <w:lang w:val="en-IE"/>
              </w:rPr>
              <w:t xml:space="preserve"> In practice </w:t>
            </w:r>
            <w:r w:rsidR="00DB041C">
              <w:rPr>
                <w:noProof/>
                <w:sz w:val="24"/>
                <w:szCs w:val="24"/>
                <w:lang w:val="en-IE"/>
              </w:rPr>
              <w:t>many of</w:t>
            </w:r>
            <w:r>
              <w:rPr>
                <w:noProof/>
                <w:sz w:val="24"/>
                <w:szCs w:val="24"/>
                <w:lang w:val="en-IE"/>
              </w:rPr>
              <w:t xml:space="preserve"> the</w:t>
            </w:r>
            <w:r w:rsidR="00313B3C">
              <w:rPr>
                <w:noProof/>
                <w:sz w:val="24"/>
                <w:szCs w:val="24"/>
                <w:lang w:val="en-IE"/>
              </w:rPr>
              <w:t xml:space="preserve"> communication standards</w:t>
            </w:r>
            <w:r>
              <w:rPr>
                <w:noProof/>
                <w:sz w:val="24"/>
                <w:szCs w:val="24"/>
                <w:lang w:val="en-IE"/>
              </w:rPr>
              <w:t xml:space="preserve"> concern all connected devices </w:t>
            </w:r>
            <w:r w:rsidR="00DD3C1F">
              <w:rPr>
                <w:noProof/>
                <w:sz w:val="24"/>
                <w:szCs w:val="24"/>
                <w:lang w:val="en-IE"/>
              </w:rPr>
              <w:t xml:space="preserve">including </w:t>
            </w:r>
            <w:r>
              <w:rPr>
                <w:noProof/>
                <w:sz w:val="24"/>
                <w:szCs w:val="24"/>
                <w:lang w:val="en-IE"/>
              </w:rPr>
              <w:t>phones, smart TV</w:t>
            </w:r>
            <w:r w:rsidR="00DD3C1F">
              <w:rPr>
                <w:noProof/>
                <w:sz w:val="24"/>
                <w:szCs w:val="24"/>
                <w:lang w:val="en-IE"/>
              </w:rPr>
              <w:t>s</w:t>
            </w:r>
            <w:r w:rsidR="00B30D65">
              <w:rPr>
                <w:noProof/>
                <w:sz w:val="24"/>
                <w:szCs w:val="24"/>
                <w:lang w:val="en-IE"/>
              </w:rPr>
              <w:t>,</w:t>
            </w:r>
            <w:r>
              <w:rPr>
                <w:noProof/>
                <w:sz w:val="24"/>
                <w:szCs w:val="24"/>
                <w:lang w:val="en-IE"/>
              </w:rPr>
              <w:t xml:space="preserve"> connected cars, smart meters </w:t>
            </w:r>
            <w:r w:rsidR="00DD3C1F">
              <w:rPr>
                <w:noProof/>
                <w:sz w:val="24"/>
                <w:szCs w:val="24"/>
                <w:lang w:val="en-IE"/>
              </w:rPr>
              <w:t xml:space="preserve">and </w:t>
            </w:r>
            <w:r>
              <w:rPr>
                <w:noProof/>
                <w:sz w:val="24"/>
                <w:szCs w:val="24"/>
                <w:lang w:val="en-IE"/>
              </w:rPr>
              <w:t>mobile payment terminals</w:t>
            </w:r>
            <w:r w:rsidR="007C08DE">
              <w:rPr>
                <w:noProof/>
                <w:sz w:val="24"/>
                <w:szCs w:val="24"/>
                <w:lang w:val="en-IE"/>
              </w:rPr>
              <w:t xml:space="preserve">; other standards are used in a wide variety of </w:t>
            </w:r>
            <w:r w:rsidR="00C804CD">
              <w:rPr>
                <w:noProof/>
                <w:sz w:val="24"/>
                <w:szCs w:val="24"/>
                <w:lang w:val="en-IE"/>
              </w:rPr>
              <w:t>products</w:t>
            </w:r>
            <w:r w:rsidR="001D39D3">
              <w:rPr>
                <w:noProof/>
                <w:sz w:val="24"/>
                <w:szCs w:val="24"/>
                <w:lang w:val="en-IE"/>
              </w:rPr>
              <w:t xml:space="preserve"> as well</w:t>
            </w:r>
            <w:r>
              <w:rPr>
                <w:noProof/>
                <w:sz w:val="24"/>
                <w:szCs w:val="24"/>
                <w:lang w:val="en-IE"/>
              </w:rPr>
              <w:t>. The</w:t>
            </w:r>
            <w:r w:rsidDel="00A70D86">
              <w:rPr>
                <w:noProof/>
                <w:sz w:val="24"/>
                <w:szCs w:val="24"/>
                <w:lang w:val="en-IE"/>
              </w:rPr>
              <w:t xml:space="preserve"> </w:t>
            </w:r>
            <w:r w:rsidR="00A70D86">
              <w:rPr>
                <w:noProof/>
                <w:sz w:val="24"/>
                <w:szCs w:val="24"/>
                <w:lang w:val="en-IE"/>
              </w:rPr>
              <w:t xml:space="preserve">applicability </w:t>
            </w:r>
            <w:r>
              <w:rPr>
                <w:noProof/>
                <w:sz w:val="24"/>
                <w:szCs w:val="24"/>
                <w:lang w:val="en-IE"/>
              </w:rPr>
              <w:t>of SEP</w:t>
            </w:r>
            <w:r w:rsidR="00E27949">
              <w:rPr>
                <w:noProof/>
                <w:sz w:val="24"/>
                <w:szCs w:val="24"/>
                <w:lang w:val="en-IE"/>
              </w:rPr>
              <w:t>s</w:t>
            </w:r>
            <w:r>
              <w:rPr>
                <w:noProof/>
                <w:sz w:val="24"/>
                <w:szCs w:val="24"/>
                <w:lang w:val="en-IE"/>
              </w:rPr>
              <w:t xml:space="preserve"> </w:t>
            </w:r>
            <w:r w:rsidR="0091279B">
              <w:rPr>
                <w:noProof/>
                <w:sz w:val="24"/>
                <w:szCs w:val="24"/>
                <w:lang w:val="en-IE"/>
              </w:rPr>
              <w:t xml:space="preserve">covering all these standards (particularly </w:t>
            </w:r>
            <w:r w:rsidR="008E143F">
              <w:rPr>
                <w:noProof/>
                <w:sz w:val="24"/>
                <w:szCs w:val="24"/>
                <w:lang w:val="en-IE"/>
              </w:rPr>
              <w:t xml:space="preserve">for </w:t>
            </w:r>
            <w:r w:rsidR="0091279B">
              <w:rPr>
                <w:noProof/>
                <w:sz w:val="24"/>
                <w:szCs w:val="24"/>
                <w:lang w:val="en-IE"/>
              </w:rPr>
              <w:t>communication)</w:t>
            </w:r>
            <w:r>
              <w:rPr>
                <w:noProof/>
                <w:sz w:val="24"/>
                <w:szCs w:val="24"/>
                <w:lang w:val="en-IE"/>
              </w:rPr>
              <w:t xml:space="preserve"> is going to increase with the rise of </w:t>
            </w:r>
            <w:r w:rsidR="00016BA7">
              <w:rPr>
                <w:noProof/>
                <w:sz w:val="24"/>
                <w:szCs w:val="24"/>
                <w:lang w:val="en-IE"/>
              </w:rPr>
              <w:t>the ‘</w:t>
            </w:r>
            <w:r>
              <w:rPr>
                <w:noProof/>
                <w:sz w:val="24"/>
                <w:szCs w:val="24"/>
                <w:lang w:val="en-IE"/>
              </w:rPr>
              <w:t>Internet of Things</w:t>
            </w:r>
            <w:r w:rsidR="00016BA7">
              <w:rPr>
                <w:noProof/>
                <w:sz w:val="24"/>
                <w:szCs w:val="24"/>
                <w:lang w:val="en-IE"/>
              </w:rPr>
              <w:t>’ (IoT)</w:t>
            </w:r>
            <w:r>
              <w:rPr>
                <w:noProof/>
                <w:sz w:val="24"/>
                <w:szCs w:val="24"/>
                <w:lang w:val="en-IE"/>
              </w:rPr>
              <w:t xml:space="preserve">, as well as </w:t>
            </w:r>
            <w:r w:rsidR="00016BA7">
              <w:rPr>
                <w:noProof/>
                <w:sz w:val="24"/>
                <w:szCs w:val="24"/>
                <w:lang w:val="en-IE"/>
              </w:rPr>
              <w:t xml:space="preserve">with </w:t>
            </w:r>
            <w:r>
              <w:rPr>
                <w:noProof/>
                <w:sz w:val="24"/>
                <w:szCs w:val="24"/>
                <w:lang w:val="en-IE"/>
              </w:rPr>
              <w:t>many initiatives aiming at green transition (e.g. energy conservation).</w:t>
            </w:r>
          </w:p>
          <w:p w14:paraId="522B4712" w14:textId="77777777" w:rsidR="00764778" w:rsidRDefault="006657E0" w:rsidP="006530D1">
            <w:pPr>
              <w:spacing w:before="40" w:after="120"/>
              <w:jc w:val="both"/>
              <w:rPr>
                <w:noProof/>
                <w:sz w:val="24"/>
                <w:szCs w:val="24"/>
                <w:lang w:val="en-IE"/>
              </w:rPr>
            </w:pPr>
            <w:r w:rsidRPr="00324150">
              <w:rPr>
                <w:noProof/>
                <w:sz w:val="24"/>
                <w:szCs w:val="24"/>
                <w:lang w:val="en-IE"/>
              </w:rPr>
              <w:t xml:space="preserve">SEPs are “essential” in the sense that </w:t>
            </w:r>
            <w:r w:rsidR="00016BA7">
              <w:rPr>
                <w:noProof/>
                <w:sz w:val="24"/>
                <w:szCs w:val="24"/>
                <w:lang w:val="en-IE"/>
              </w:rPr>
              <w:t xml:space="preserve">the patented </w:t>
            </w:r>
            <w:r w:rsidR="00016BA7" w:rsidRPr="00016BA7">
              <w:rPr>
                <w:noProof/>
                <w:sz w:val="24"/>
                <w:szCs w:val="24"/>
                <w:lang w:val="en-IE"/>
              </w:rPr>
              <w:t>invention must be used</w:t>
            </w:r>
            <w:r w:rsidR="007C6813">
              <w:rPr>
                <w:noProof/>
                <w:sz w:val="24"/>
                <w:szCs w:val="24"/>
                <w:lang w:val="en-IE"/>
              </w:rPr>
              <w:t xml:space="preserve"> (implemented)</w:t>
            </w:r>
            <w:r w:rsidR="00016BA7" w:rsidRPr="00016BA7">
              <w:rPr>
                <w:noProof/>
                <w:sz w:val="24"/>
                <w:szCs w:val="24"/>
                <w:lang w:val="en-IE"/>
              </w:rPr>
              <w:t xml:space="preserve"> </w:t>
            </w:r>
            <w:r w:rsidR="007C6813">
              <w:rPr>
                <w:noProof/>
                <w:sz w:val="24"/>
                <w:szCs w:val="24"/>
                <w:lang w:val="en-IE"/>
              </w:rPr>
              <w:t xml:space="preserve">in products </w:t>
            </w:r>
            <w:r w:rsidR="00016BA7" w:rsidRPr="00016BA7">
              <w:rPr>
                <w:noProof/>
                <w:sz w:val="24"/>
                <w:szCs w:val="24"/>
                <w:lang w:val="en-IE"/>
              </w:rPr>
              <w:t>to comply with a technical standard</w:t>
            </w:r>
            <w:r w:rsidRPr="00324150">
              <w:rPr>
                <w:noProof/>
                <w:sz w:val="24"/>
                <w:szCs w:val="24"/>
                <w:lang w:val="en-IE"/>
              </w:rPr>
              <w:t>.</w:t>
            </w:r>
            <w:r>
              <w:rPr>
                <w:noProof/>
                <w:sz w:val="24"/>
                <w:szCs w:val="24"/>
                <w:lang w:val="en-IE"/>
              </w:rPr>
              <w:t xml:space="preserve"> </w:t>
            </w:r>
            <w:r w:rsidR="007C6813" w:rsidRPr="007C6813">
              <w:rPr>
                <w:noProof/>
                <w:sz w:val="24"/>
                <w:szCs w:val="24"/>
                <w:lang w:val="en-IE"/>
              </w:rPr>
              <w:t xml:space="preserve">As a result, </w:t>
            </w:r>
            <w:r w:rsidR="007C6813">
              <w:rPr>
                <w:noProof/>
                <w:sz w:val="24"/>
                <w:szCs w:val="24"/>
                <w:lang w:val="en-IE"/>
              </w:rPr>
              <w:t xml:space="preserve">the SEP owner wields a privileged market power over the implementer of standardised technology, </w:t>
            </w:r>
            <w:r>
              <w:rPr>
                <w:noProof/>
                <w:sz w:val="24"/>
                <w:szCs w:val="24"/>
                <w:lang w:val="en-IE"/>
              </w:rPr>
              <w:t xml:space="preserve">as there is no alternative to </w:t>
            </w:r>
            <w:r w:rsidR="004F14AB">
              <w:rPr>
                <w:noProof/>
                <w:sz w:val="24"/>
                <w:szCs w:val="24"/>
                <w:lang w:val="en-IE"/>
              </w:rPr>
              <w:t xml:space="preserve">using </w:t>
            </w:r>
            <w:r>
              <w:rPr>
                <w:noProof/>
                <w:sz w:val="24"/>
                <w:szCs w:val="24"/>
                <w:lang w:val="en-IE"/>
              </w:rPr>
              <w:t xml:space="preserve">their </w:t>
            </w:r>
            <w:r w:rsidR="007C6813">
              <w:rPr>
                <w:noProof/>
                <w:sz w:val="24"/>
                <w:szCs w:val="24"/>
                <w:lang w:val="en-IE"/>
              </w:rPr>
              <w:t>SEPs</w:t>
            </w:r>
            <w:r>
              <w:rPr>
                <w:noProof/>
                <w:sz w:val="24"/>
                <w:szCs w:val="24"/>
                <w:lang w:val="en-IE"/>
              </w:rPr>
              <w:t xml:space="preserve">. </w:t>
            </w:r>
            <w:r w:rsidR="00EC1084">
              <w:rPr>
                <w:noProof/>
                <w:sz w:val="24"/>
                <w:szCs w:val="24"/>
                <w:lang w:val="en-IE"/>
              </w:rPr>
              <w:t>Although</w:t>
            </w:r>
            <w:r w:rsidR="00D36447">
              <w:rPr>
                <w:noProof/>
                <w:sz w:val="24"/>
                <w:szCs w:val="24"/>
                <w:lang w:val="en-IE"/>
              </w:rPr>
              <w:t xml:space="preserve"> there may exist </w:t>
            </w:r>
            <w:r w:rsidR="00016BA7">
              <w:rPr>
                <w:noProof/>
                <w:sz w:val="24"/>
                <w:szCs w:val="24"/>
                <w:lang w:val="en-IE"/>
              </w:rPr>
              <w:t xml:space="preserve">different </w:t>
            </w:r>
            <w:r>
              <w:rPr>
                <w:noProof/>
                <w:sz w:val="24"/>
                <w:szCs w:val="24"/>
                <w:lang w:val="en-IE"/>
              </w:rPr>
              <w:t>standard</w:t>
            </w:r>
            <w:r w:rsidR="00455657">
              <w:rPr>
                <w:noProof/>
                <w:sz w:val="24"/>
                <w:szCs w:val="24"/>
                <w:lang w:val="en-IE"/>
              </w:rPr>
              <w:t>s</w:t>
            </w:r>
            <w:r>
              <w:rPr>
                <w:noProof/>
                <w:sz w:val="24"/>
                <w:szCs w:val="24"/>
                <w:lang w:val="en-IE"/>
              </w:rPr>
              <w:t xml:space="preserve"> </w:t>
            </w:r>
            <w:r w:rsidR="00D36447">
              <w:rPr>
                <w:noProof/>
                <w:sz w:val="24"/>
                <w:szCs w:val="24"/>
                <w:lang w:val="en-IE"/>
              </w:rPr>
              <w:t>for some function</w:t>
            </w:r>
            <w:r w:rsidR="00016BA7">
              <w:rPr>
                <w:noProof/>
                <w:sz w:val="24"/>
                <w:szCs w:val="24"/>
                <w:lang w:val="en-IE"/>
              </w:rPr>
              <w:t>alities</w:t>
            </w:r>
            <w:r w:rsidR="00D36447">
              <w:rPr>
                <w:noProof/>
                <w:sz w:val="24"/>
                <w:szCs w:val="24"/>
                <w:lang w:val="en-IE"/>
              </w:rPr>
              <w:t xml:space="preserve"> </w:t>
            </w:r>
            <w:r>
              <w:rPr>
                <w:noProof/>
                <w:sz w:val="24"/>
                <w:szCs w:val="24"/>
                <w:lang w:val="en-IE"/>
              </w:rPr>
              <w:t>(e.g</w:t>
            </w:r>
            <w:r w:rsidR="00D36447">
              <w:rPr>
                <w:noProof/>
                <w:sz w:val="24"/>
                <w:szCs w:val="24"/>
                <w:lang w:val="en-IE"/>
              </w:rPr>
              <w:t xml:space="preserve">., video), </w:t>
            </w:r>
            <w:r>
              <w:rPr>
                <w:noProof/>
                <w:sz w:val="24"/>
                <w:szCs w:val="24"/>
                <w:lang w:val="en-IE"/>
              </w:rPr>
              <w:t>for certain</w:t>
            </w:r>
            <w:r w:rsidR="00EC1084">
              <w:rPr>
                <w:noProof/>
                <w:sz w:val="24"/>
                <w:szCs w:val="24"/>
                <w:lang w:val="en-IE"/>
              </w:rPr>
              <w:t>, widely used,</w:t>
            </w:r>
            <w:r>
              <w:rPr>
                <w:noProof/>
                <w:sz w:val="24"/>
                <w:szCs w:val="24"/>
                <w:lang w:val="en-IE"/>
              </w:rPr>
              <w:t xml:space="preserve"> standard</w:t>
            </w:r>
            <w:r w:rsidR="00455657">
              <w:rPr>
                <w:noProof/>
                <w:sz w:val="24"/>
                <w:szCs w:val="24"/>
                <w:lang w:val="en-IE"/>
              </w:rPr>
              <w:t>s</w:t>
            </w:r>
            <w:r>
              <w:rPr>
                <w:noProof/>
                <w:sz w:val="24"/>
                <w:szCs w:val="24"/>
                <w:lang w:val="en-IE"/>
              </w:rPr>
              <w:t xml:space="preserve"> (</w:t>
            </w:r>
            <w:r w:rsidR="00016BA7">
              <w:rPr>
                <w:noProof/>
                <w:sz w:val="24"/>
                <w:szCs w:val="24"/>
                <w:lang w:val="en-IE"/>
              </w:rPr>
              <w:t>in particular cellular connectivity like</w:t>
            </w:r>
            <w:r>
              <w:rPr>
                <w:noProof/>
                <w:sz w:val="24"/>
                <w:szCs w:val="24"/>
                <w:lang w:val="en-IE"/>
              </w:rPr>
              <w:t xml:space="preserve"> 4G, 5G) there is no alternative. </w:t>
            </w:r>
            <w:r w:rsidR="007C6813">
              <w:rPr>
                <w:noProof/>
                <w:sz w:val="24"/>
                <w:szCs w:val="24"/>
                <w:lang w:val="en-IE"/>
              </w:rPr>
              <w:t>To curtail or to prevent the abuse of this power</w:t>
            </w:r>
            <w:r w:rsidR="003B1837">
              <w:rPr>
                <w:noProof/>
                <w:sz w:val="24"/>
                <w:szCs w:val="24"/>
                <w:lang w:val="en-IE"/>
              </w:rPr>
              <w:t>,</w:t>
            </w:r>
            <w:r>
              <w:rPr>
                <w:noProof/>
                <w:sz w:val="24"/>
                <w:szCs w:val="24"/>
                <w:lang w:val="en-IE"/>
              </w:rPr>
              <w:t xml:space="preserve"> </w:t>
            </w:r>
            <w:r w:rsidR="004744A1">
              <w:rPr>
                <w:noProof/>
                <w:sz w:val="24"/>
                <w:szCs w:val="24"/>
                <w:lang w:val="en-IE"/>
              </w:rPr>
              <w:t xml:space="preserve">standard setting organisation in which companies are members and to which they declare </w:t>
            </w:r>
            <w:r w:rsidR="00EC1084">
              <w:rPr>
                <w:noProof/>
                <w:sz w:val="24"/>
                <w:szCs w:val="24"/>
                <w:lang w:val="en-IE"/>
              </w:rPr>
              <w:t xml:space="preserve">their </w:t>
            </w:r>
            <w:r>
              <w:rPr>
                <w:noProof/>
                <w:sz w:val="24"/>
                <w:szCs w:val="24"/>
                <w:lang w:val="en-IE"/>
              </w:rPr>
              <w:t>SEP</w:t>
            </w:r>
            <w:r w:rsidR="004744A1">
              <w:rPr>
                <w:noProof/>
                <w:sz w:val="24"/>
                <w:szCs w:val="24"/>
                <w:lang w:val="en-IE"/>
              </w:rPr>
              <w:t>s,</w:t>
            </w:r>
            <w:r>
              <w:rPr>
                <w:noProof/>
                <w:sz w:val="24"/>
                <w:szCs w:val="24"/>
                <w:lang w:val="en-IE"/>
              </w:rPr>
              <w:t xml:space="preserve"> </w:t>
            </w:r>
            <w:r w:rsidR="004744A1">
              <w:rPr>
                <w:noProof/>
                <w:sz w:val="24"/>
                <w:szCs w:val="24"/>
                <w:lang w:val="en-IE"/>
              </w:rPr>
              <w:t>require</w:t>
            </w:r>
            <w:r>
              <w:rPr>
                <w:noProof/>
                <w:sz w:val="24"/>
                <w:szCs w:val="24"/>
                <w:lang w:val="en-IE"/>
              </w:rPr>
              <w:t xml:space="preserve"> </w:t>
            </w:r>
            <w:r w:rsidR="004744A1">
              <w:rPr>
                <w:noProof/>
                <w:sz w:val="24"/>
                <w:szCs w:val="24"/>
                <w:lang w:val="en-IE"/>
              </w:rPr>
              <w:t xml:space="preserve">them to </w:t>
            </w:r>
            <w:r w:rsidR="007C6813">
              <w:rPr>
                <w:noProof/>
                <w:sz w:val="24"/>
                <w:szCs w:val="24"/>
                <w:lang w:val="en-IE"/>
              </w:rPr>
              <w:t xml:space="preserve">commit to </w:t>
            </w:r>
            <w:r w:rsidR="007C6813" w:rsidRPr="007C6813">
              <w:rPr>
                <w:noProof/>
                <w:sz w:val="24"/>
                <w:szCs w:val="24"/>
                <w:lang w:val="en-IE"/>
              </w:rPr>
              <w:t xml:space="preserve">license their SEPs </w:t>
            </w:r>
            <w:r w:rsidR="007C6813">
              <w:rPr>
                <w:noProof/>
                <w:sz w:val="24"/>
                <w:szCs w:val="24"/>
                <w:lang w:val="en-IE"/>
              </w:rPr>
              <w:t>on</w:t>
            </w:r>
            <w:r w:rsidR="007C6813" w:rsidRPr="007C6813">
              <w:rPr>
                <w:noProof/>
                <w:sz w:val="24"/>
                <w:szCs w:val="24"/>
                <w:lang w:val="en-IE"/>
              </w:rPr>
              <w:t xml:space="preserve"> </w:t>
            </w:r>
            <w:r w:rsidR="007C6813">
              <w:rPr>
                <w:noProof/>
                <w:sz w:val="24"/>
                <w:szCs w:val="24"/>
                <w:lang w:val="en-IE"/>
              </w:rPr>
              <w:t>“</w:t>
            </w:r>
            <w:r w:rsidRPr="006657E0">
              <w:rPr>
                <w:noProof/>
                <w:sz w:val="24"/>
                <w:szCs w:val="24"/>
                <w:lang w:val="en-IE"/>
              </w:rPr>
              <w:t>Fair, Reasonable and Non-discriminatory</w:t>
            </w:r>
            <w:r w:rsidR="004744A1">
              <w:rPr>
                <w:noProof/>
                <w:sz w:val="24"/>
                <w:szCs w:val="24"/>
                <w:lang w:val="en-IE"/>
              </w:rPr>
              <w:t>”</w:t>
            </w:r>
            <w:r>
              <w:rPr>
                <w:noProof/>
                <w:sz w:val="24"/>
                <w:szCs w:val="24"/>
                <w:lang w:val="en-IE"/>
              </w:rPr>
              <w:t xml:space="preserve"> (FRAND) </w:t>
            </w:r>
            <w:r w:rsidR="007B0F2E">
              <w:rPr>
                <w:noProof/>
                <w:sz w:val="24"/>
                <w:szCs w:val="24"/>
                <w:lang w:val="en-IE"/>
              </w:rPr>
              <w:t>terms</w:t>
            </w:r>
            <w:r w:rsidR="004744A1">
              <w:rPr>
                <w:noProof/>
                <w:sz w:val="24"/>
                <w:szCs w:val="24"/>
                <w:lang w:val="en-IE"/>
              </w:rPr>
              <w:t xml:space="preserve"> to implementers</w:t>
            </w:r>
            <w:r w:rsidR="00FD4145">
              <w:rPr>
                <w:noProof/>
                <w:sz w:val="24"/>
                <w:szCs w:val="24"/>
                <w:lang w:val="en-IE"/>
              </w:rPr>
              <w:t>.</w:t>
            </w:r>
            <w:r w:rsidDel="009D7A05">
              <w:rPr>
                <w:noProof/>
                <w:sz w:val="24"/>
                <w:szCs w:val="24"/>
                <w:lang w:val="en-IE"/>
              </w:rPr>
              <w:t xml:space="preserve"> </w:t>
            </w:r>
            <w:r w:rsidR="0038693D">
              <w:rPr>
                <w:noProof/>
                <w:sz w:val="24"/>
                <w:szCs w:val="24"/>
                <w:lang w:val="en-IE"/>
              </w:rPr>
              <w:t>Other than</w:t>
            </w:r>
            <w:r w:rsidR="00764778">
              <w:rPr>
                <w:noProof/>
                <w:sz w:val="24"/>
                <w:szCs w:val="24"/>
                <w:lang w:val="en-IE"/>
              </w:rPr>
              <w:t xml:space="preserve"> this general </w:t>
            </w:r>
            <w:r w:rsidR="0038693D">
              <w:rPr>
                <w:noProof/>
                <w:sz w:val="24"/>
                <w:szCs w:val="24"/>
                <w:lang w:val="en-IE"/>
              </w:rPr>
              <w:t xml:space="preserve">commitment </w:t>
            </w:r>
            <w:r w:rsidR="00764778">
              <w:rPr>
                <w:noProof/>
                <w:sz w:val="24"/>
                <w:szCs w:val="24"/>
                <w:lang w:val="en-IE"/>
              </w:rPr>
              <w:t xml:space="preserve">there is no EU legislation that </w:t>
            </w:r>
            <w:r w:rsidR="00EC1084">
              <w:rPr>
                <w:noProof/>
                <w:sz w:val="24"/>
                <w:szCs w:val="24"/>
                <w:lang w:val="en-IE"/>
              </w:rPr>
              <w:t xml:space="preserve">would </w:t>
            </w:r>
            <w:r w:rsidR="00764778">
              <w:rPr>
                <w:noProof/>
                <w:sz w:val="24"/>
                <w:szCs w:val="24"/>
                <w:lang w:val="en-IE"/>
              </w:rPr>
              <w:t xml:space="preserve">specifically regulate SEP licensing. </w:t>
            </w:r>
          </w:p>
          <w:p w14:paraId="522B4713" w14:textId="43549AA8" w:rsidR="00764778" w:rsidRDefault="00764778" w:rsidP="006530D1">
            <w:pPr>
              <w:spacing w:before="40" w:after="120"/>
              <w:jc w:val="both"/>
              <w:rPr>
                <w:noProof/>
                <w:sz w:val="24"/>
                <w:szCs w:val="24"/>
                <w:lang w:val="en-IE"/>
              </w:rPr>
            </w:pPr>
            <w:r>
              <w:rPr>
                <w:noProof/>
                <w:sz w:val="24"/>
                <w:szCs w:val="24"/>
                <w:lang w:val="en-IE"/>
              </w:rPr>
              <w:t>D</w:t>
            </w:r>
            <w:r w:rsidR="00B60828">
              <w:rPr>
                <w:noProof/>
                <w:sz w:val="24"/>
                <w:szCs w:val="24"/>
                <w:lang w:val="en-IE"/>
              </w:rPr>
              <w:t xml:space="preserve">uring the preparation of this </w:t>
            </w:r>
            <w:r>
              <w:rPr>
                <w:noProof/>
                <w:sz w:val="24"/>
                <w:szCs w:val="24"/>
                <w:lang w:val="en-IE"/>
              </w:rPr>
              <w:t>initiative</w:t>
            </w:r>
            <w:r w:rsidR="00D62BFF">
              <w:rPr>
                <w:noProof/>
                <w:sz w:val="24"/>
                <w:szCs w:val="24"/>
                <w:lang w:val="en-IE"/>
              </w:rPr>
              <w:t>,</w:t>
            </w:r>
            <w:r w:rsidR="00B60828">
              <w:rPr>
                <w:noProof/>
                <w:sz w:val="24"/>
                <w:szCs w:val="24"/>
                <w:lang w:val="en-IE"/>
              </w:rPr>
              <w:t xml:space="preserve"> the Commission </w:t>
            </w:r>
            <w:r>
              <w:rPr>
                <w:noProof/>
                <w:sz w:val="24"/>
                <w:szCs w:val="24"/>
                <w:lang w:val="en-IE"/>
              </w:rPr>
              <w:t>gathered</w:t>
            </w:r>
            <w:r w:rsidR="00B60828">
              <w:rPr>
                <w:noProof/>
                <w:sz w:val="24"/>
                <w:szCs w:val="24"/>
                <w:lang w:val="en-IE"/>
              </w:rPr>
              <w:t xml:space="preserve"> </w:t>
            </w:r>
            <w:r w:rsidR="00097D7C">
              <w:rPr>
                <w:noProof/>
                <w:sz w:val="24"/>
                <w:szCs w:val="24"/>
                <w:lang w:val="en-IE"/>
              </w:rPr>
              <w:t xml:space="preserve">a significant amount of </w:t>
            </w:r>
            <w:r>
              <w:rPr>
                <w:noProof/>
                <w:sz w:val="24"/>
                <w:szCs w:val="24"/>
                <w:lang w:val="en-IE"/>
              </w:rPr>
              <w:t>evidence</w:t>
            </w:r>
            <w:r w:rsidR="00097D7C">
              <w:rPr>
                <w:noProof/>
                <w:sz w:val="24"/>
                <w:szCs w:val="24"/>
                <w:lang w:val="en-IE"/>
              </w:rPr>
              <w:t xml:space="preserve"> from </w:t>
            </w:r>
            <w:r w:rsidR="001662C5">
              <w:rPr>
                <w:noProof/>
                <w:sz w:val="24"/>
                <w:szCs w:val="24"/>
                <w:lang w:val="en-IE"/>
              </w:rPr>
              <w:t>stakeholders</w:t>
            </w:r>
            <w:r w:rsidR="00097D7C">
              <w:rPr>
                <w:noProof/>
                <w:sz w:val="24"/>
                <w:szCs w:val="24"/>
                <w:lang w:val="en-IE"/>
              </w:rPr>
              <w:t>, including SMEs</w:t>
            </w:r>
            <w:r w:rsidR="00B60828">
              <w:rPr>
                <w:noProof/>
                <w:sz w:val="24"/>
                <w:szCs w:val="24"/>
                <w:lang w:val="en-IE"/>
              </w:rPr>
              <w:t xml:space="preserve">, </w:t>
            </w:r>
            <w:r w:rsidR="00A76E77">
              <w:rPr>
                <w:noProof/>
                <w:sz w:val="24"/>
                <w:szCs w:val="24"/>
                <w:lang w:val="en-IE"/>
              </w:rPr>
              <w:t xml:space="preserve">which indicated that </w:t>
            </w:r>
            <w:r w:rsidR="00080052">
              <w:rPr>
                <w:noProof/>
                <w:sz w:val="24"/>
                <w:szCs w:val="24"/>
                <w:lang w:val="en-IE"/>
              </w:rPr>
              <w:t>the SEP licensing process i</w:t>
            </w:r>
            <w:r w:rsidR="00C07605">
              <w:rPr>
                <w:noProof/>
                <w:sz w:val="24"/>
                <w:szCs w:val="24"/>
                <w:lang w:val="en-IE"/>
              </w:rPr>
              <w:t>s</w:t>
            </w:r>
            <w:r w:rsidR="00080052">
              <w:rPr>
                <w:noProof/>
                <w:sz w:val="24"/>
                <w:szCs w:val="24"/>
                <w:lang w:val="en-IE"/>
              </w:rPr>
              <w:t xml:space="preserve"> not efficient </w:t>
            </w:r>
            <w:r w:rsidR="006D1D84">
              <w:rPr>
                <w:noProof/>
                <w:sz w:val="24"/>
                <w:szCs w:val="24"/>
                <w:lang w:val="en-IE"/>
              </w:rPr>
              <w:t>and needs more transparency</w:t>
            </w:r>
            <w:r w:rsidR="00275149">
              <w:rPr>
                <w:noProof/>
                <w:sz w:val="24"/>
                <w:szCs w:val="24"/>
                <w:lang w:val="en-IE"/>
              </w:rPr>
              <w:t xml:space="preserve"> and structure</w:t>
            </w:r>
            <w:r w:rsidR="006D1D84">
              <w:rPr>
                <w:noProof/>
                <w:sz w:val="24"/>
                <w:szCs w:val="24"/>
                <w:lang w:val="en-IE"/>
              </w:rPr>
              <w:t>.</w:t>
            </w:r>
            <w:r>
              <w:rPr>
                <w:noProof/>
                <w:sz w:val="24"/>
                <w:szCs w:val="24"/>
                <w:lang w:val="en-IE"/>
              </w:rPr>
              <w:t xml:space="preserve"> </w:t>
            </w:r>
            <w:r w:rsidRPr="00764778">
              <w:rPr>
                <w:noProof/>
                <w:sz w:val="24"/>
                <w:szCs w:val="24"/>
                <w:lang w:val="en-IE"/>
              </w:rPr>
              <w:t xml:space="preserve">Issues related to SEP licensing are also regularly raised </w:t>
            </w:r>
            <w:r w:rsidR="004744A1">
              <w:rPr>
                <w:noProof/>
                <w:sz w:val="24"/>
                <w:szCs w:val="24"/>
                <w:lang w:val="en-IE"/>
              </w:rPr>
              <w:t>with</w:t>
            </w:r>
            <w:r w:rsidRPr="00764778">
              <w:rPr>
                <w:noProof/>
                <w:sz w:val="24"/>
                <w:szCs w:val="24"/>
                <w:lang w:val="en-IE"/>
              </w:rPr>
              <w:t xml:space="preserve"> competition authorities, including the </w:t>
            </w:r>
            <w:r w:rsidR="004744A1">
              <w:rPr>
                <w:noProof/>
                <w:sz w:val="24"/>
                <w:szCs w:val="24"/>
                <w:lang w:val="en-IE"/>
              </w:rPr>
              <w:t xml:space="preserve">European </w:t>
            </w:r>
            <w:r w:rsidRPr="00764778">
              <w:rPr>
                <w:noProof/>
                <w:sz w:val="24"/>
                <w:szCs w:val="24"/>
                <w:lang w:val="en-IE"/>
              </w:rPr>
              <w:t xml:space="preserve">Commission’s </w:t>
            </w:r>
            <w:r w:rsidR="004744A1">
              <w:rPr>
                <w:noProof/>
                <w:sz w:val="24"/>
                <w:szCs w:val="24"/>
                <w:lang w:val="en-IE"/>
              </w:rPr>
              <w:t xml:space="preserve">Directorate General for </w:t>
            </w:r>
            <w:r w:rsidR="00FF08A2">
              <w:rPr>
                <w:noProof/>
                <w:sz w:val="24"/>
                <w:szCs w:val="24"/>
                <w:lang w:val="en-IE"/>
              </w:rPr>
              <w:t>C</w:t>
            </w:r>
            <w:r w:rsidR="004744A1">
              <w:rPr>
                <w:noProof/>
                <w:sz w:val="24"/>
                <w:szCs w:val="24"/>
                <w:lang w:val="en-IE"/>
              </w:rPr>
              <w:t>ompetition</w:t>
            </w:r>
            <w:r w:rsidRPr="00764778">
              <w:rPr>
                <w:noProof/>
                <w:sz w:val="24"/>
                <w:szCs w:val="24"/>
                <w:lang w:val="en-IE"/>
              </w:rPr>
              <w:t>.</w:t>
            </w:r>
            <w:r>
              <w:rPr>
                <w:noProof/>
                <w:sz w:val="24"/>
                <w:szCs w:val="24"/>
                <w:lang w:val="en-IE"/>
              </w:rPr>
              <w:t xml:space="preserve"> </w:t>
            </w:r>
          </w:p>
          <w:p w14:paraId="522B4714" w14:textId="675B9639" w:rsidR="00324150" w:rsidRDefault="00741C54" w:rsidP="006530D1">
            <w:pPr>
              <w:spacing w:before="40" w:after="120"/>
              <w:jc w:val="both"/>
              <w:rPr>
                <w:noProof/>
                <w:sz w:val="24"/>
                <w:szCs w:val="24"/>
                <w:lang w:val="en-IE"/>
              </w:rPr>
            </w:pPr>
            <w:r>
              <w:rPr>
                <w:noProof/>
                <w:sz w:val="24"/>
                <w:szCs w:val="24"/>
                <w:lang w:val="en-IE"/>
              </w:rPr>
              <w:t xml:space="preserve">Some key issues of </w:t>
            </w:r>
            <w:r w:rsidR="00764778">
              <w:rPr>
                <w:noProof/>
                <w:sz w:val="24"/>
                <w:szCs w:val="24"/>
                <w:lang w:val="en-IE"/>
              </w:rPr>
              <w:t xml:space="preserve">concern </w:t>
            </w:r>
            <w:r w:rsidR="004744A1">
              <w:rPr>
                <w:noProof/>
                <w:sz w:val="24"/>
                <w:szCs w:val="24"/>
                <w:lang w:val="en-IE"/>
              </w:rPr>
              <w:t xml:space="preserve">are </w:t>
            </w:r>
            <w:r w:rsidR="00764778">
              <w:rPr>
                <w:noProof/>
                <w:sz w:val="24"/>
                <w:szCs w:val="24"/>
                <w:lang w:val="en-IE"/>
              </w:rPr>
              <w:t xml:space="preserve">high </w:t>
            </w:r>
            <w:r>
              <w:rPr>
                <w:noProof/>
                <w:sz w:val="24"/>
                <w:szCs w:val="24"/>
                <w:lang w:val="en-IE"/>
              </w:rPr>
              <w:t xml:space="preserve">licensing </w:t>
            </w:r>
            <w:r w:rsidR="00764778">
              <w:rPr>
                <w:noProof/>
                <w:sz w:val="24"/>
                <w:szCs w:val="24"/>
                <w:lang w:val="en-IE"/>
              </w:rPr>
              <w:t xml:space="preserve">transaction costs and uncertainty about </w:t>
            </w:r>
            <w:r>
              <w:rPr>
                <w:noProof/>
                <w:sz w:val="24"/>
                <w:szCs w:val="24"/>
                <w:lang w:val="en-IE"/>
              </w:rPr>
              <w:t xml:space="preserve">the </w:t>
            </w:r>
            <w:r w:rsidR="004744A1">
              <w:rPr>
                <w:noProof/>
                <w:sz w:val="24"/>
                <w:szCs w:val="24"/>
                <w:lang w:val="en-IE"/>
              </w:rPr>
              <w:t xml:space="preserve">SEP </w:t>
            </w:r>
            <w:r>
              <w:rPr>
                <w:noProof/>
                <w:sz w:val="24"/>
                <w:szCs w:val="24"/>
                <w:lang w:val="en-IE"/>
              </w:rPr>
              <w:t>royalty burden</w:t>
            </w:r>
            <w:r w:rsidR="00764778">
              <w:rPr>
                <w:noProof/>
                <w:sz w:val="24"/>
                <w:szCs w:val="24"/>
                <w:lang w:val="en-IE"/>
              </w:rPr>
              <w:t xml:space="preserve">. Due to </w:t>
            </w:r>
            <w:r w:rsidR="002F5C7C">
              <w:rPr>
                <w:noProof/>
                <w:sz w:val="24"/>
                <w:szCs w:val="24"/>
                <w:lang w:val="en-IE"/>
              </w:rPr>
              <w:t xml:space="preserve">a </w:t>
            </w:r>
            <w:r w:rsidR="00764778">
              <w:rPr>
                <w:noProof/>
                <w:sz w:val="24"/>
                <w:szCs w:val="24"/>
                <w:lang w:val="en-IE"/>
              </w:rPr>
              <w:t xml:space="preserve">lack of </w:t>
            </w:r>
            <w:r w:rsidR="004744A1">
              <w:rPr>
                <w:noProof/>
                <w:sz w:val="24"/>
                <w:szCs w:val="24"/>
                <w:lang w:val="en-IE"/>
              </w:rPr>
              <w:t xml:space="preserve">sufficient </w:t>
            </w:r>
            <w:r w:rsidR="00764778">
              <w:rPr>
                <w:noProof/>
                <w:sz w:val="24"/>
                <w:szCs w:val="24"/>
                <w:lang w:val="en-IE"/>
              </w:rPr>
              <w:t>information</w:t>
            </w:r>
            <w:r w:rsidR="004744A1">
              <w:rPr>
                <w:noProof/>
                <w:sz w:val="24"/>
                <w:szCs w:val="24"/>
                <w:lang w:val="en-IE"/>
              </w:rPr>
              <w:t>,</w:t>
            </w:r>
            <w:r w:rsidR="00764778">
              <w:rPr>
                <w:noProof/>
                <w:sz w:val="24"/>
                <w:szCs w:val="24"/>
                <w:lang w:val="en-IE"/>
              </w:rPr>
              <w:t xml:space="preserve"> implementers cannot assess their SEP exposure </w:t>
            </w:r>
            <w:r w:rsidR="000124AC">
              <w:rPr>
                <w:noProof/>
                <w:sz w:val="24"/>
                <w:szCs w:val="24"/>
                <w:lang w:val="en-IE"/>
              </w:rPr>
              <w:t>far enough</w:t>
            </w:r>
            <w:r w:rsidR="004744A1">
              <w:rPr>
                <w:noProof/>
                <w:sz w:val="24"/>
                <w:szCs w:val="24"/>
                <w:lang w:val="en-IE"/>
              </w:rPr>
              <w:t xml:space="preserve"> in advance </w:t>
            </w:r>
            <w:r w:rsidR="000124AC">
              <w:rPr>
                <w:noProof/>
                <w:sz w:val="24"/>
                <w:szCs w:val="24"/>
                <w:lang w:val="en-IE"/>
              </w:rPr>
              <w:t>to</w:t>
            </w:r>
            <w:r w:rsidR="00764778">
              <w:rPr>
                <w:noProof/>
                <w:sz w:val="24"/>
                <w:szCs w:val="24"/>
                <w:lang w:val="en-IE"/>
              </w:rPr>
              <w:t xml:space="preserve"> </w:t>
            </w:r>
            <w:r w:rsidR="00451B64">
              <w:rPr>
                <w:noProof/>
                <w:sz w:val="24"/>
                <w:szCs w:val="24"/>
                <w:lang w:val="en-IE"/>
              </w:rPr>
              <w:t xml:space="preserve">take into account the </w:t>
            </w:r>
            <w:r w:rsidR="000124AC">
              <w:rPr>
                <w:noProof/>
                <w:sz w:val="24"/>
                <w:szCs w:val="24"/>
                <w:lang w:val="en-IE"/>
              </w:rPr>
              <w:t xml:space="preserve">licensing </w:t>
            </w:r>
            <w:r w:rsidR="00451B64">
              <w:rPr>
                <w:noProof/>
                <w:sz w:val="24"/>
                <w:szCs w:val="24"/>
                <w:lang w:val="en-IE"/>
              </w:rPr>
              <w:t>cost</w:t>
            </w:r>
            <w:r w:rsidR="000124AC">
              <w:rPr>
                <w:noProof/>
                <w:sz w:val="24"/>
                <w:szCs w:val="24"/>
                <w:lang w:val="en-IE"/>
              </w:rPr>
              <w:t>s</w:t>
            </w:r>
            <w:r w:rsidR="00451B64">
              <w:rPr>
                <w:noProof/>
                <w:sz w:val="24"/>
                <w:szCs w:val="24"/>
                <w:lang w:val="en-IE"/>
              </w:rPr>
              <w:t xml:space="preserve"> when planning </w:t>
            </w:r>
            <w:r w:rsidR="005B7AB1">
              <w:rPr>
                <w:noProof/>
                <w:sz w:val="24"/>
                <w:szCs w:val="24"/>
                <w:lang w:val="en-IE"/>
              </w:rPr>
              <w:t>their product business</w:t>
            </w:r>
            <w:r w:rsidR="00451B64">
              <w:rPr>
                <w:noProof/>
                <w:sz w:val="24"/>
                <w:szCs w:val="24"/>
                <w:lang w:val="en-IE"/>
              </w:rPr>
              <w:t xml:space="preserve">. </w:t>
            </w:r>
            <w:r w:rsidR="005E3546">
              <w:rPr>
                <w:noProof/>
                <w:sz w:val="24"/>
                <w:szCs w:val="24"/>
                <w:lang w:val="en-IE"/>
              </w:rPr>
              <w:t>On the other hand,</w:t>
            </w:r>
            <w:r w:rsidR="00451B64">
              <w:rPr>
                <w:noProof/>
                <w:sz w:val="24"/>
                <w:szCs w:val="24"/>
                <w:lang w:val="en-IE"/>
              </w:rPr>
              <w:t xml:space="preserve"> SEP owners complain about long </w:t>
            </w:r>
            <w:r w:rsidR="00266CC4">
              <w:rPr>
                <w:noProof/>
                <w:sz w:val="24"/>
                <w:szCs w:val="24"/>
                <w:lang w:val="en-IE"/>
              </w:rPr>
              <w:t xml:space="preserve">and expensive </w:t>
            </w:r>
            <w:r w:rsidR="00451B64">
              <w:rPr>
                <w:noProof/>
                <w:sz w:val="24"/>
                <w:szCs w:val="24"/>
                <w:lang w:val="en-IE"/>
              </w:rPr>
              <w:t>negotiations</w:t>
            </w:r>
            <w:r w:rsidR="005267DC">
              <w:rPr>
                <w:noProof/>
                <w:sz w:val="24"/>
                <w:szCs w:val="24"/>
                <w:lang w:val="en-IE"/>
              </w:rPr>
              <w:t>,</w:t>
            </w:r>
            <w:r w:rsidR="00266CC4">
              <w:rPr>
                <w:noProof/>
                <w:sz w:val="24"/>
                <w:szCs w:val="24"/>
                <w:lang w:val="en-IE"/>
              </w:rPr>
              <w:t xml:space="preserve"> especially with large </w:t>
            </w:r>
            <w:r w:rsidR="00927129">
              <w:rPr>
                <w:noProof/>
                <w:sz w:val="24"/>
                <w:szCs w:val="24"/>
                <w:lang w:val="en-IE"/>
              </w:rPr>
              <w:t>implementers</w:t>
            </w:r>
            <w:r w:rsidR="00451B64">
              <w:rPr>
                <w:noProof/>
                <w:sz w:val="24"/>
                <w:szCs w:val="24"/>
                <w:lang w:val="en-IE"/>
              </w:rPr>
              <w:t xml:space="preserve">. </w:t>
            </w:r>
            <w:r w:rsidR="00D93245">
              <w:rPr>
                <w:noProof/>
                <w:sz w:val="24"/>
                <w:szCs w:val="24"/>
                <w:lang w:val="en-IE"/>
              </w:rPr>
              <w:t>More specifically,</w:t>
            </w:r>
            <w:r w:rsidR="00266CC4">
              <w:rPr>
                <w:noProof/>
                <w:sz w:val="24"/>
                <w:szCs w:val="24"/>
                <w:lang w:val="en-IE"/>
              </w:rPr>
              <w:t xml:space="preserve"> the following drivers of these problems </w:t>
            </w:r>
            <w:r w:rsidR="00D93245">
              <w:rPr>
                <w:noProof/>
                <w:sz w:val="24"/>
                <w:szCs w:val="24"/>
                <w:lang w:val="en-IE"/>
              </w:rPr>
              <w:t>were identified</w:t>
            </w:r>
            <w:r w:rsidR="005267DC">
              <w:rPr>
                <w:noProof/>
                <w:sz w:val="24"/>
                <w:szCs w:val="24"/>
                <w:lang w:val="en-IE"/>
              </w:rPr>
              <w:t>:</w:t>
            </w:r>
            <w:r w:rsidR="00266CC4">
              <w:rPr>
                <w:noProof/>
                <w:sz w:val="24"/>
                <w:szCs w:val="24"/>
                <w:lang w:val="en-IE"/>
              </w:rPr>
              <w:t xml:space="preserve"> First, there is only limited information on who owns SEPs and it is not certain that all patents </w:t>
            </w:r>
            <w:r w:rsidR="00ED08FA">
              <w:rPr>
                <w:noProof/>
                <w:sz w:val="24"/>
                <w:szCs w:val="24"/>
                <w:lang w:val="en-IE"/>
              </w:rPr>
              <w:t>sought to be licensed</w:t>
            </w:r>
            <w:r w:rsidR="00266CC4">
              <w:rPr>
                <w:noProof/>
                <w:sz w:val="24"/>
                <w:szCs w:val="24"/>
                <w:lang w:val="en-IE"/>
              </w:rPr>
              <w:t xml:space="preserve"> are really necessary (essential) to implement a standard. Second, there is </w:t>
            </w:r>
            <w:r w:rsidR="00481A46">
              <w:rPr>
                <w:noProof/>
                <w:sz w:val="24"/>
                <w:szCs w:val="24"/>
                <w:lang w:val="en-IE"/>
              </w:rPr>
              <w:t>very little</w:t>
            </w:r>
            <w:r w:rsidR="00266CC4">
              <w:rPr>
                <w:noProof/>
                <w:sz w:val="24"/>
                <w:szCs w:val="24"/>
                <w:lang w:val="en-IE"/>
              </w:rPr>
              <w:t xml:space="preserve"> information on SEP </w:t>
            </w:r>
            <w:r w:rsidR="00191AA7">
              <w:rPr>
                <w:noProof/>
                <w:sz w:val="24"/>
                <w:szCs w:val="24"/>
                <w:lang w:val="en-IE"/>
              </w:rPr>
              <w:t>license fees</w:t>
            </w:r>
            <w:r w:rsidR="00266CC4">
              <w:rPr>
                <w:noProof/>
                <w:sz w:val="24"/>
                <w:szCs w:val="24"/>
                <w:lang w:val="en-IE"/>
              </w:rPr>
              <w:t xml:space="preserve"> (FRAND royalty), so implementers with </w:t>
            </w:r>
            <w:r w:rsidR="00004530">
              <w:rPr>
                <w:noProof/>
                <w:sz w:val="24"/>
                <w:szCs w:val="24"/>
                <w:lang w:val="en-IE"/>
              </w:rPr>
              <w:t xml:space="preserve">little or no expertise or resources </w:t>
            </w:r>
            <w:r w:rsidR="00833AF9">
              <w:rPr>
                <w:noProof/>
                <w:sz w:val="24"/>
                <w:szCs w:val="24"/>
                <w:lang w:val="en-IE"/>
              </w:rPr>
              <w:t xml:space="preserve">find it impossible to assess the reasonableness of a </w:t>
            </w:r>
            <w:r w:rsidR="00266CC4">
              <w:rPr>
                <w:noProof/>
                <w:sz w:val="24"/>
                <w:szCs w:val="24"/>
                <w:lang w:val="en-IE"/>
              </w:rPr>
              <w:t xml:space="preserve">SEP </w:t>
            </w:r>
            <w:r w:rsidR="00833AF9">
              <w:rPr>
                <w:noProof/>
                <w:sz w:val="24"/>
                <w:szCs w:val="24"/>
                <w:lang w:val="en-IE"/>
              </w:rPr>
              <w:t xml:space="preserve">owner’s </w:t>
            </w:r>
            <w:r w:rsidR="000F023F">
              <w:rPr>
                <w:noProof/>
                <w:sz w:val="24"/>
                <w:szCs w:val="24"/>
                <w:lang w:val="en-IE"/>
              </w:rPr>
              <w:t>royalty</w:t>
            </w:r>
            <w:r w:rsidR="00833AF9">
              <w:rPr>
                <w:noProof/>
                <w:sz w:val="24"/>
                <w:szCs w:val="24"/>
                <w:lang w:val="en-IE"/>
              </w:rPr>
              <w:t xml:space="preserve"> demand. </w:t>
            </w:r>
            <w:r w:rsidR="00266CC4">
              <w:rPr>
                <w:noProof/>
                <w:sz w:val="24"/>
                <w:szCs w:val="24"/>
                <w:lang w:val="en-IE"/>
              </w:rPr>
              <w:t xml:space="preserve"> Finally, licensing disputes </w:t>
            </w:r>
            <w:r w:rsidR="00153AD5">
              <w:rPr>
                <w:noProof/>
                <w:sz w:val="24"/>
                <w:szCs w:val="24"/>
                <w:lang w:val="en-IE"/>
              </w:rPr>
              <w:t xml:space="preserve">can be </w:t>
            </w:r>
            <w:r w:rsidR="00741A1D">
              <w:rPr>
                <w:noProof/>
                <w:sz w:val="24"/>
                <w:szCs w:val="24"/>
                <w:lang w:val="en-IE"/>
              </w:rPr>
              <w:t>time and cost intensive</w:t>
            </w:r>
            <w:r w:rsidR="00153AD5">
              <w:rPr>
                <w:noProof/>
                <w:sz w:val="24"/>
                <w:szCs w:val="24"/>
                <w:lang w:val="en-IE"/>
              </w:rPr>
              <w:t>. The</w:t>
            </w:r>
            <w:r w:rsidR="00741A1D">
              <w:rPr>
                <w:noProof/>
                <w:sz w:val="24"/>
                <w:szCs w:val="24"/>
                <w:lang w:val="en-IE"/>
              </w:rPr>
              <w:t>refore,</w:t>
            </w:r>
            <w:r w:rsidR="00153AD5">
              <w:rPr>
                <w:noProof/>
                <w:sz w:val="24"/>
                <w:szCs w:val="24"/>
                <w:lang w:val="en-IE"/>
              </w:rPr>
              <w:t xml:space="preserve"> </w:t>
            </w:r>
            <w:r w:rsidR="00F10826">
              <w:rPr>
                <w:noProof/>
                <w:sz w:val="24"/>
                <w:szCs w:val="24"/>
                <w:lang w:val="en-IE"/>
              </w:rPr>
              <w:t xml:space="preserve">the </w:t>
            </w:r>
            <w:r w:rsidR="00153AD5">
              <w:rPr>
                <w:noProof/>
                <w:sz w:val="24"/>
                <w:szCs w:val="24"/>
                <w:lang w:val="en-IE"/>
              </w:rPr>
              <w:t>mere threat of an injunction (</w:t>
            </w:r>
            <w:r w:rsidR="00741A1D">
              <w:rPr>
                <w:noProof/>
                <w:sz w:val="24"/>
                <w:szCs w:val="24"/>
                <w:lang w:val="en-IE"/>
              </w:rPr>
              <w:t>leading to a suspension</w:t>
            </w:r>
            <w:r w:rsidR="00153AD5">
              <w:rPr>
                <w:noProof/>
                <w:sz w:val="24"/>
                <w:szCs w:val="24"/>
                <w:lang w:val="en-IE"/>
              </w:rPr>
              <w:t xml:space="preserve"> of production of allegedly infringing product</w:t>
            </w:r>
            <w:r w:rsidR="00741A1D">
              <w:rPr>
                <w:noProof/>
                <w:sz w:val="24"/>
                <w:szCs w:val="24"/>
                <w:lang w:val="en-IE"/>
              </w:rPr>
              <w:t>s</w:t>
            </w:r>
            <w:r w:rsidR="00153AD5">
              <w:rPr>
                <w:noProof/>
                <w:sz w:val="24"/>
                <w:szCs w:val="24"/>
                <w:lang w:val="en-IE"/>
              </w:rPr>
              <w:t>) and</w:t>
            </w:r>
            <w:r w:rsidR="00B1428A">
              <w:rPr>
                <w:noProof/>
                <w:sz w:val="24"/>
                <w:szCs w:val="24"/>
                <w:lang w:val="en-IE"/>
              </w:rPr>
              <w:t xml:space="preserve"> </w:t>
            </w:r>
            <w:r w:rsidR="00741A1D">
              <w:rPr>
                <w:noProof/>
                <w:sz w:val="24"/>
                <w:szCs w:val="24"/>
                <w:lang w:val="en-IE"/>
              </w:rPr>
              <w:t>the probability</w:t>
            </w:r>
            <w:r w:rsidR="00153AD5">
              <w:rPr>
                <w:noProof/>
                <w:sz w:val="24"/>
                <w:szCs w:val="24"/>
                <w:lang w:val="en-IE"/>
              </w:rPr>
              <w:t xml:space="preserve"> of a long </w:t>
            </w:r>
            <w:r w:rsidR="00741A1D">
              <w:rPr>
                <w:noProof/>
                <w:sz w:val="24"/>
                <w:szCs w:val="24"/>
                <w:lang w:val="en-IE"/>
              </w:rPr>
              <w:t xml:space="preserve">and costly </w:t>
            </w:r>
            <w:r w:rsidR="00153AD5">
              <w:rPr>
                <w:noProof/>
                <w:sz w:val="24"/>
                <w:szCs w:val="24"/>
                <w:lang w:val="en-IE"/>
              </w:rPr>
              <w:t xml:space="preserve">court </w:t>
            </w:r>
            <w:r w:rsidR="00741A1D">
              <w:rPr>
                <w:noProof/>
                <w:sz w:val="24"/>
                <w:szCs w:val="24"/>
                <w:lang w:val="en-IE"/>
              </w:rPr>
              <w:t>procedure</w:t>
            </w:r>
            <w:r w:rsidR="00153AD5">
              <w:rPr>
                <w:noProof/>
                <w:sz w:val="24"/>
                <w:szCs w:val="24"/>
                <w:lang w:val="en-IE"/>
              </w:rPr>
              <w:t xml:space="preserve"> </w:t>
            </w:r>
            <w:r w:rsidR="00741A1D">
              <w:rPr>
                <w:noProof/>
                <w:sz w:val="24"/>
                <w:szCs w:val="24"/>
                <w:lang w:val="en-IE"/>
              </w:rPr>
              <w:t>can create</w:t>
            </w:r>
            <w:r w:rsidR="00B1428A">
              <w:rPr>
                <w:noProof/>
                <w:sz w:val="24"/>
                <w:szCs w:val="24"/>
                <w:lang w:val="en-IE"/>
              </w:rPr>
              <w:t xml:space="preserve"> </w:t>
            </w:r>
            <w:r w:rsidR="00741A1D">
              <w:rPr>
                <w:noProof/>
                <w:sz w:val="24"/>
                <w:szCs w:val="24"/>
                <w:lang w:val="en-IE"/>
              </w:rPr>
              <w:t>an</w:t>
            </w:r>
            <w:r w:rsidR="00B1428A">
              <w:rPr>
                <w:noProof/>
                <w:sz w:val="24"/>
                <w:szCs w:val="24"/>
                <w:lang w:val="en-IE"/>
              </w:rPr>
              <w:t xml:space="preserve"> </w:t>
            </w:r>
            <w:r w:rsidR="00741A1D">
              <w:rPr>
                <w:noProof/>
                <w:sz w:val="24"/>
                <w:szCs w:val="24"/>
                <w:lang w:val="en-IE"/>
              </w:rPr>
              <w:t xml:space="preserve">includible pressure on </w:t>
            </w:r>
            <w:r w:rsidR="00B1428A">
              <w:rPr>
                <w:noProof/>
                <w:sz w:val="24"/>
                <w:szCs w:val="24"/>
                <w:lang w:val="en-IE"/>
              </w:rPr>
              <w:t>implementer</w:t>
            </w:r>
            <w:r w:rsidR="0001248E">
              <w:rPr>
                <w:noProof/>
                <w:sz w:val="24"/>
                <w:szCs w:val="24"/>
                <w:lang w:val="en-IE"/>
              </w:rPr>
              <w:t>s</w:t>
            </w:r>
            <w:r w:rsidR="00CD0178">
              <w:rPr>
                <w:noProof/>
                <w:sz w:val="24"/>
                <w:szCs w:val="24"/>
                <w:lang w:val="en-IE"/>
              </w:rPr>
              <w:t xml:space="preserve">, </w:t>
            </w:r>
            <w:r w:rsidR="00565507">
              <w:rPr>
                <w:noProof/>
                <w:sz w:val="24"/>
                <w:szCs w:val="24"/>
                <w:lang w:val="en-IE"/>
              </w:rPr>
              <w:t>especially SMEs,</w:t>
            </w:r>
            <w:r w:rsidR="00B1428A">
              <w:rPr>
                <w:noProof/>
                <w:sz w:val="24"/>
                <w:szCs w:val="24"/>
                <w:lang w:val="en-IE"/>
              </w:rPr>
              <w:t xml:space="preserve"> to </w:t>
            </w:r>
            <w:r w:rsidR="00741A1D">
              <w:rPr>
                <w:noProof/>
                <w:sz w:val="24"/>
                <w:szCs w:val="24"/>
                <w:lang w:val="en-IE"/>
              </w:rPr>
              <w:t>agree to</w:t>
            </w:r>
            <w:r w:rsidR="00B1428A">
              <w:rPr>
                <w:noProof/>
                <w:sz w:val="24"/>
                <w:szCs w:val="24"/>
                <w:lang w:val="en-IE"/>
              </w:rPr>
              <w:t xml:space="preserve"> a license</w:t>
            </w:r>
            <w:r w:rsidR="00AC4BD9">
              <w:rPr>
                <w:noProof/>
                <w:sz w:val="24"/>
                <w:szCs w:val="24"/>
                <w:lang w:val="en-IE"/>
              </w:rPr>
              <w:t xml:space="preserve"> at rates that may not be FRAND</w:t>
            </w:r>
            <w:r w:rsidR="00B1428A">
              <w:rPr>
                <w:noProof/>
                <w:sz w:val="24"/>
                <w:szCs w:val="24"/>
                <w:lang w:val="en-IE"/>
              </w:rPr>
              <w:t>. For SEP owners</w:t>
            </w:r>
            <w:r w:rsidR="002F10ED">
              <w:rPr>
                <w:noProof/>
                <w:sz w:val="24"/>
                <w:szCs w:val="24"/>
                <w:lang w:val="en-IE"/>
              </w:rPr>
              <w:t>,</w:t>
            </w:r>
            <w:r w:rsidR="00B1428A">
              <w:rPr>
                <w:noProof/>
                <w:sz w:val="24"/>
                <w:szCs w:val="24"/>
                <w:lang w:val="en-IE"/>
              </w:rPr>
              <w:t xml:space="preserve"> </w:t>
            </w:r>
            <w:r w:rsidR="00741A1D">
              <w:rPr>
                <w:noProof/>
                <w:sz w:val="24"/>
                <w:szCs w:val="24"/>
                <w:lang w:val="en-IE"/>
              </w:rPr>
              <w:t>to seek a resolution in courts also consumes a significant amount of resources and particularly time</w:t>
            </w:r>
            <w:r w:rsidR="007209B8">
              <w:rPr>
                <w:noProof/>
                <w:sz w:val="24"/>
                <w:szCs w:val="24"/>
                <w:lang w:val="en-IE"/>
              </w:rPr>
              <w:t>,</w:t>
            </w:r>
            <w:r w:rsidR="00741A1D">
              <w:rPr>
                <w:noProof/>
                <w:sz w:val="24"/>
                <w:szCs w:val="24"/>
                <w:lang w:val="en-IE"/>
              </w:rPr>
              <w:t xml:space="preserve"> during </w:t>
            </w:r>
            <w:r w:rsidR="00B1428A">
              <w:rPr>
                <w:noProof/>
                <w:sz w:val="24"/>
                <w:szCs w:val="24"/>
                <w:lang w:val="en-IE"/>
              </w:rPr>
              <w:t xml:space="preserve">which royalty income is not </w:t>
            </w:r>
            <w:r w:rsidR="007303A8">
              <w:rPr>
                <w:noProof/>
                <w:sz w:val="24"/>
                <w:szCs w:val="24"/>
                <w:lang w:val="en-IE"/>
              </w:rPr>
              <w:t>received</w:t>
            </w:r>
            <w:r w:rsidR="00B1428A">
              <w:rPr>
                <w:noProof/>
                <w:sz w:val="24"/>
                <w:szCs w:val="24"/>
                <w:lang w:val="en-IE"/>
              </w:rPr>
              <w:t xml:space="preserve">. </w:t>
            </w:r>
          </w:p>
          <w:p w14:paraId="522B4715" w14:textId="3F9EF6A1" w:rsidR="00324150" w:rsidRPr="003E2726" w:rsidRDefault="00710355" w:rsidP="007209B8">
            <w:pPr>
              <w:spacing w:before="40" w:after="120"/>
              <w:jc w:val="both"/>
              <w:rPr>
                <w:noProof/>
                <w:sz w:val="24"/>
                <w:szCs w:val="24"/>
                <w:lang w:val="en-IE"/>
              </w:rPr>
            </w:pPr>
            <w:r>
              <w:rPr>
                <w:noProof/>
                <w:sz w:val="24"/>
                <w:szCs w:val="24"/>
                <w:lang w:val="en-IE"/>
              </w:rPr>
              <w:t xml:space="preserve">The </w:t>
            </w:r>
            <w:r w:rsidR="00CD4AE9">
              <w:rPr>
                <w:noProof/>
                <w:sz w:val="24"/>
                <w:szCs w:val="24"/>
                <w:lang w:val="en-IE"/>
              </w:rPr>
              <w:t xml:space="preserve">licensing revenue </w:t>
            </w:r>
            <w:r>
              <w:rPr>
                <w:noProof/>
                <w:sz w:val="24"/>
                <w:szCs w:val="24"/>
                <w:lang w:val="en-IE"/>
              </w:rPr>
              <w:t xml:space="preserve">market is </w:t>
            </w:r>
            <w:r w:rsidR="00CD4AE9">
              <w:rPr>
                <w:noProof/>
                <w:sz w:val="24"/>
                <w:szCs w:val="24"/>
                <w:lang w:val="en-IE"/>
              </w:rPr>
              <w:t>significant</w:t>
            </w:r>
            <w:r>
              <w:rPr>
                <w:noProof/>
                <w:sz w:val="24"/>
                <w:szCs w:val="24"/>
                <w:lang w:val="en-IE"/>
              </w:rPr>
              <w:t xml:space="preserve">. </w:t>
            </w:r>
            <w:r w:rsidR="00F80242">
              <w:rPr>
                <w:noProof/>
                <w:sz w:val="24"/>
                <w:szCs w:val="24"/>
                <w:lang w:val="en-IE"/>
              </w:rPr>
              <w:t>In</w:t>
            </w:r>
            <w:r>
              <w:rPr>
                <w:noProof/>
                <w:sz w:val="24"/>
                <w:szCs w:val="24"/>
                <w:lang w:val="en-IE"/>
              </w:rPr>
              <w:t xml:space="preserve"> 2015 it was estimated at around USD 18 billion worldwide for just cellular standards. Assuming that EU companies are paying</w:t>
            </w:r>
            <w:r w:rsidR="008F4137">
              <w:rPr>
                <w:noProof/>
                <w:sz w:val="24"/>
                <w:szCs w:val="24"/>
                <w:lang w:val="en-IE"/>
              </w:rPr>
              <w:t xml:space="preserve"> a</w:t>
            </w:r>
            <w:r>
              <w:rPr>
                <w:noProof/>
                <w:sz w:val="24"/>
                <w:szCs w:val="24"/>
                <w:lang w:val="en-IE"/>
              </w:rPr>
              <w:t xml:space="preserve"> proportional share to the EU GDP, at least around EUR 3 billion</w:t>
            </w:r>
            <w:r w:rsidR="007209B8">
              <w:rPr>
                <w:noProof/>
                <w:sz w:val="24"/>
                <w:szCs w:val="24"/>
                <w:lang w:val="en-IE"/>
              </w:rPr>
              <w:t xml:space="preserve"> of royalties are </w:t>
            </w:r>
            <w:r>
              <w:rPr>
                <w:noProof/>
                <w:sz w:val="24"/>
                <w:szCs w:val="24"/>
                <w:lang w:val="en-IE"/>
              </w:rPr>
              <w:t>paid by EU implementers every year. There are around 261 active SEP licensor</w:t>
            </w:r>
            <w:r w:rsidR="007209B8">
              <w:rPr>
                <w:noProof/>
                <w:sz w:val="24"/>
                <w:szCs w:val="24"/>
                <w:lang w:val="en-IE"/>
              </w:rPr>
              <w:t>s</w:t>
            </w:r>
            <w:r>
              <w:rPr>
                <w:noProof/>
                <w:sz w:val="24"/>
                <w:szCs w:val="24"/>
                <w:lang w:val="en-IE"/>
              </w:rPr>
              <w:t xml:space="preserve"> </w:t>
            </w:r>
            <w:r w:rsidR="007209B8">
              <w:rPr>
                <w:noProof/>
                <w:sz w:val="24"/>
                <w:szCs w:val="24"/>
                <w:lang w:val="en-IE"/>
              </w:rPr>
              <w:t>globally</w:t>
            </w:r>
            <w:r>
              <w:rPr>
                <w:noProof/>
                <w:sz w:val="24"/>
                <w:szCs w:val="24"/>
                <w:lang w:val="en-IE"/>
              </w:rPr>
              <w:t>, with 31 located in the EU (</w:t>
            </w:r>
            <w:r w:rsidR="007209B8">
              <w:rPr>
                <w:noProof/>
                <w:sz w:val="24"/>
                <w:szCs w:val="24"/>
                <w:lang w:val="en-IE"/>
              </w:rPr>
              <w:t>key players</w:t>
            </w:r>
            <w:r>
              <w:rPr>
                <w:noProof/>
                <w:sz w:val="24"/>
                <w:szCs w:val="24"/>
                <w:lang w:val="en-IE"/>
              </w:rPr>
              <w:t xml:space="preserve"> are Nokia, Ericsson, Phillips and Siemens) which hold around 15% of worldwide SEPs. The number of potential implementers in the EU is estimated at 3 800.</w:t>
            </w:r>
          </w:p>
        </w:tc>
      </w:tr>
      <w:tr w:rsidR="00ED39C4" w:rsidRPr="003E2726" w14:paraId="522B4718" w14:textId="77777777" w:rsidTr="6F5EF812">
        <w:tc>
          <w:tcPr>
            <w:tcW w:w="9322" w:type="dxa"/>
            <w:tcBorders>
              <w:bottom w:val="single" w:sz="4" w:space="0" w:color="auto"/>
            </w:tcBorders>
            <w:shd w:val="clear" w:color="auto" w:fill="E6E6E6"/>
          </w:tcPr>
          <w:p w14:paraId="522B4717" w14:textId="77777777" w:rsidR="00ED39C4" w:rsidRPr="003E2726" w:rsidRDefault="00ED39C4" w:rsidP="006544ED">
            <w:pPr>
              <w:spacing w:before="60" w:after="60"/>
              <w:jc w:val="both"/>
              <w:rPr>
                <w:noProof/>
                <w:sz w:val="24"/>
                <w:szCs w:val="24"/>
                <w:lang w:val="en-IE"/>
              </w:rPr>
            </w:pPr>
            <w:r w:rsidRPr="003E2726">
              <w:rPr>
                <w:b/>
                <w:noProof/>
                <w:sz w:val="24"/>
                <w:szCs w:val="24"/>
                <w:lang w:val="en-IE"/>
              </w:rPr>
              <w:t xml:space="preserve">What is this initiative expected to achieve? </w:t>
            </w:r>
          </w:p>
        </w:tc>
      </w:tr>
      <w:tr w:rsidR="00ED39C4" w:rsidRPr="003E2726" w14:paraId="522B471B" w14:textId="77777777" w:rsidTr="6F5EF812">
        <w:tc>
          <w:tcPr>
            <w:tcW w:w="9322" w:type="dxa"/>
            <w:tcBorders>
              <w:bottom w:val="single" w:sz="4" w:space="0" w:color="auto"/>
            </w:tcBorders>
            <w:shd w:val="clear" w:color="auto" w:fill="auto"/>
          </w:tcPr>
          <w:p w14:paraId="522B4719" w14:textId="77777777" w:rsidR="00C8239E" w:rsidRPr="00C8239E" w:rsidRDefault="00C8239E" w:rsidP="006530D1">
            <w:pPr>
              <w:spacing w:before="40" w:after="120"/>
              <w:jc w:val="both"/>
              <w:rPr>
                <w:noProof/>
                <w:sz w:val="24"/>
              </w:rPr>
            </w:pPr>
            <w:bookmarkStart w:id="2" w:name="_Hlk121919590"/>
            <w:r w:rsidRPr="00C8239E">
              <w:rPr>
                <w:noProof/>
                <w:sz w:val="24"/>
              </w:rPr>
              <w:t>This initiative aims at:</w:t>
            </w:r>
            <w:r>
              <w:rPr>
                <w:noProof/>
                <w:sz w:val="24"/>
              </w:rPr>
              <w:t xml:space="preserve"> </w:t>
            </w:r>
            <w:r w:rsidR="008C1FBC">
              <w:rPr>
                <w:noProof/>
                <w:sz w:val="24"/>
              </w:rPr>
              <w:t>(</w:t>
            </w:r>
            <w:r>
              <w:rPr>
                <w:noProof/>
                <w:sz w:val="24"/>
              </w:rPr>
              <w:t>i) e</w:t>
            </w:r>
            <w:r w:rsidRPr="00C8239E">
              <w:rPr>
                <w:noProof/>
                <w:sz w:val="24"/>
              </w:rPr>
              <w:t>nsuring that end users, including small business</w:t>
            </w:r>
            <w:r w:rsidR="00A01016">
              <w:rPr>
                <w:noProof/>
                <w:sz w:val="24"/>
              </w:rPr>
              <w:t>es</w:t>
            </w:r>
            <w:r w:rsidRPr="00C8239E">
              <w:rPr>
                <w:noProof/>
                <w:sz w:val="24"/>
              </w:rPr>
              <w:t xml:space="preserve"> and EU consumers benefit from product</w:t>
            </w:r>
            <w:r w:rsidR="007209B8">
              <w:rPr>
                <w:noProof/>
                <w:sz w:val="24"/>
              </w:rPr>
              <w:t>s based on the latest standardis</w:t>
            </w:r>
            <w:r w:rsidRPr="00C8239E">
              <w:rPr>
                <w:noProof/>
                <w:sz w:val="24"/>
              </w:rPr>
              <w:t>ed technologies at reasonable prices</w:t>
            </w:r>
            <w:r>
              <w:rPr>
                <w:noProof/>
                <w:sz w:val="24"/>
              </w:rPr>
              <w:t xml:space="preserve">; </w:t>
            </w:r>
            <w:r w:rsidR="008C1FBC">
              <w:rPr>
                <w:noProof/>
                <w:sz w:val="24"/>
              </w:rPr>
              <w:t>(</w:t>
            </w:r>
            <w:r>
              <w:rPr>
                <w:noProof/>
                <w:sz w:val="24"/>
              </w:rPr>
              <w:t>ii) m</w:t>
            </w:r>
            <w:r w:rsidRPr="00C8239E">
              <w:rPr>
                <w:noProof/>
                <w:sz w:val="24"/>
              </w:rPr>
              <w:t>aking the EU an attractive place for innovation and standards development (including for global participants)</w:t>
            </w:r>
            <w:r>
              <w:rPr>
                <w:noProof/>
                <w:sz w:val="24"/>
              </w:rPr>
              <w:t xml:space="preserve">; and </w:t>
            </w:r>
            <w:r w:rsidR="008C1FBC">
              <w:rPr>
                <w:noProof/>
                <w:sz w:val="24"/>
              </w:rPr>
              <w:t>(</w:t>
            </w:r>
            <w:r>
              <w:rPr>
                <w:noProof/>
                <w:sz w:val="24"/>
              </w:rPr>
              <w:t>iii) en</w:t>
            </w:r>
            <w:r w:rsidRPr="00C8239E">
              <w:rPr>
                <w:noProof/>
                <w:sz w:val="24"/>
              </w:rPr>
              <w:t>suring that both EU SEP owners and implementers innovate in the EU, make and sell products in the EU and are competitive in non-EU global markets.</w:t>
            </w:r>
          </w:p>
          <w:bookmarkEnd w:id="2"/>
          <w:p w14:paraId="522B471A" w14:textId="5E97C2A7" w:rsidR="006544ED" w:rsidRPr="003E2726" w:rsidRDefault="00C8239E" w:rsidP="007209B8">
            <w:pPr>
              <w:spacing w:before="40" w:after="120"/>
              <w:jc w:val="both"/>
              <w:rPr>
                <w:noProof/>
                <w:sz w:val="24"/>
                <w:szCs w:val="24"/>
                <w:lang w:val="en-IE"/>
              </w:rPr>
            </w:pPr>
            <w:r>
              <w:rPr>
                <w:noProof/>
                <w:sz w:val="24"/>
              </w:rPr>
              <w:t xml:space="preserve">To achieve </w:t>
            </w:r>
            <w:r w:rsidR="00E7525D">
              <w:rPr>
                <w:noProof/>
                <w:sz w:val="24"/>
              </w:rPr>
              <w:t>this result, the</w:t>
            </w:r>
            <w:r>
              <w:rPr>
                <w:noProof/>
                <w:sz w:val="24"/>
              </w:rPr>
              <w:t xml:space="preserve"> initiative </w:t>
            </w:r>
            <w:r w:rsidR="007209B8">
              <w:rPr>
                <w:noProof/>
                <w:sz w:val="24"/>
              </w:rPr>
              <w:t>strives</w:t>
            </w:r>
            <w:r>
              <w:rPr>
                <w:noProof/>
                <w:sz w:val="24"/>
              </w:rPr>
              <w:t xml:space="preserve"> to </w:t>
            </w:r>
            <w:r w:rsidR="00650141" w:rsidRPr="00650141">
              <w:rPr>
                <w:noProof/>
                <w:sz w:val="24"/>
              </w:rPr>
              <w:t xml:space="preserve">facilitate SEP </w:t>
            </w:r>
            <w:r w:rsidR="00650141" w:rsidRPr="00650141" w:rsidDel="00F01EF3">
              <w:rPr>
                <w:noProof/>
                <w:sz w:val="24"/>
              </w:rPr>
              <w:t>licensing</w:t>
            </w:r>
            <w:r w:rsidR="00650141" w:rsidRPr="00650141">
              <w:rPr>
                <w:noProof/>
                <w:sz w:val="24"/>
              </w:rPr>
              <w:t xml:space="preserve"> negotiations</w:t>
            </w:r>
            <w:r>
              <w:rPr>
                <w:noProof/>
                <w:sz w:val="24"/>
              </w:rPr>
              <w:t xml:space="preserve"> and</w:t>
            </w:r>
            <w:r w:rsidR="00A93748">
              <w:rPr>
                <w:noProof/>
                <w:sz w:val="24"/>
              </w:rPr>
              <w:t xml:space="preserve"> to</w:t>
            </w:r>
            <w:r>
              <w:rPr>
                <w:noProof/>
                <w:sz w:val="24"/>
              </w:rPr>
              <w:t xml:space="preserve"> lowe</w:t>
            </w:r>
            <w:r w:rsidR="008C4837">
              <w:rPr>
                <w:noProof/>
                <w:sz w:val="24"/>
              </w:rPr>
              <w:t>r</w:t>
            </w:r>
            <w:r>
              <w:rPr>
                <w:noProof/>
                <w:sz w:val="24"/>
              </w:rPr>
              <w:t xml:space="preserve"> transaction cost</w:t>
            </w:r>
            <w:r w:rsidR="008C4837">
              <w:rPr>
                <w:noProof/>
                <w:sz w:val="24"/>
              </w:rPr>
              <w:t>s</w:t>
            </w:r>
            <w:r>
              <w:rPr>
                <w:noProof/>
                <w:sz w:val="24"/>
              </w:rPr>
              <w:t xml:space="preserve"> </w:t>
            </w:r>
            <w:r w:rsidR="00650141" w:rsidRPr="00650141">
              <w:rPr>
                <w:noProof/>
                <w:sz w:val="24"/>
              </w:rPr>
              <w:t>for both SEP owner</w:t>
            </w:r>
            <w:r>
              <w:rPr>
                <w:noProof/>
                <w:sz w:val="24"/>
              </w:rPr>
              <w:t>s and implementers</w:t>
            </w:r>
            <w:r w:rsidR="00650141" w:rsidRPr="00650141">
              <w:rPr>
                <w:noProof/>
                <w:sz w:val="24"/>
              </w:rPr>
              <w:t xml:space="preserve"> by </w:t>
            </w:r>
            <w:r w:rsidR="008C1FBC">
              <w:rPr>
                <w:noProof/>
                <w:sz w:val="24"/>
              </w:rPr>
              <w:t>(</w:t>
            </w:r>
            <w:r>
              <w:rPr>
                <w:noProof/>
                <w:sz w:val="24"/>
              </w:rPr>
              <w:t>i) providing</w:t>
            </w:r>
            <w:r w:rsidR="00650141" w:rsidRPr="00650141">
              <w:rPr>
                <w:noProof/>
                <w:sz w:val="24"/>
              </w:rPr>
              <w:t xml:space="preserve"> more clarity on who owns SEP</w:t>
            </w:r>
            <w:r w:rsidR="00A93748">
              <w:rPr>
                <w:noProof/>
                <w:sz w:val="24"/>
              </w:rPr>
              <w:t>s</w:t>
            </w:r>
            <w:r w:rsidR="00650141" w:rsidRPr="00650141">
              <w:rPr>
                <w:noProof/>
                <w:sz w:val="24"/>
              </w:rPr>
              <w:t xml:space="preserve"> and which SEPs are truly </w:t>
            </w:r>
            <w:r>
              <w:rPr>
                <w:noProof/>
                <w:sz w:val="24"/>
              </w:rPr>
              <w:t xml:space="preserve">essential; </w:t>
            </w:r>
            <w:r w:rsidR="008C1FBC">
              <w:rPr>
                <w:noProof/>
                <w:sz w:val="24"/>
              </w:rPr>
              <w:t>(</w:t>
            </w:r>
            <w:r>
              <w:rPr>
                <w:noProof/>
                <w:sz w:val="24"/>
              </w:rPr>
              <w:t>ii) p</w:t>
            </w:r>
            <w:r w:rsidR="00650141" w:rsidRPr="00650141">
              <w:rPr>
                <w:noProof/>
                <w:sz w:val="24"/>
              </w:rPr>
              <w:t>rovid</w:t>
            </w:r>
            <w:r w:rsidR="008C1FBC">
              <w:rPr>
                <w:noProof/>
                <w:sz w:val="24"/>
              </w:rPr>
              <w:t>ing</w:t>
            </w:r>
            <w:r w:rsidR="00650141" w:rsidRPr="00650141">
              <w:rPr>
                <w:noProof/>
                <w:sz w:val="24"/>
              </w:rPr>
              <w:t xml:space="preserve"> </w:t>
            </w:r>
            <w:r>
              <w:rPr>
                <w:noProof/>
                <w:sz w:val="24"/>
              </w:rPr>
              <w:t xml:space="preserve">more </w:t>
            </w:r>
            <w:r w:rsidR="00650141" w:rsidRPr="00650141">
              <w:rPr>
                <w:noProof/>
                <w:sz w:val="24"/>
              </w:rPr>
              <w:t>clarity on FRAND royalty and other terms and conditions</w:t>
            </w:r>
            <w:r>
              <w:rPr>
                <w:noProof/>
                <w:sz w:val="24"/>
              </w:rPr>
              <w:t xml:space="preserve">; and </w:t>
            </w:r>
            <w:r w:rsidR="008C1FBC">
              <w:rPr>
                <w:noProof/>
                <w:sz w:val="24"/>
              </w:rPr>
              <w:t>(</w:t>
            </w:r>
            <w:r>
              <w:rPr>
                <w:noProof/>
                <w:sz w:val="24"/>
              </w:rPr>
              <w:t>iii) f</w:t>
            </w:r>
            <w:r w:rsidR="00650141" w:rsidRPr="00650141">
              <w:rPr>
                <w:noProof/>
                <w:sz w:val="24"/>
              </w:rPr>
              <w:t>acilitat</w:t>
            </w:r>
            <w:r w:rsidR="008C1FBC">
              <w:rPr>
                <w:noProof/>
                <w:sz w:val="24"/>
              </w:rPr>
              <w:t>ing</w:t>
            </w:r>
            <w:r w:rsidR="00650141" w:rsidRPr="00650141">
              <w:rPr>
                <w:noProof/>
                <w:sz w:val="24"/>
              </w:rPr>
              <w:t xml:space="preserve"> SEP dispute resolution.</w:t>
            </w:r>
          </w:p>
        </w:tc>
      </w:tr>
      <w:tr w:rsidR="00ED39C4" w:rsidRPr="003E2726" w14:paraId="522B471D" w14:textId="77777777" w:rsidTr="6F5EF812">
        <w:tc>
          <w:tcPr>
            <w:tcW w:w="9322" w:type="dxa"/>
            <w:tcBorders>
              <w:bottom w:val="single" w:sz="4" w:space="0" w:color="auto"/>
            </w:tcBorders>
            <w:shd w:val="clear" w:color="auto" w:fill="E6E6E6"/>
          </w:tcPr>
          <w:p w14:paraId="522B471C" w14:textId="77777777" w:rsidR="00ED39C4" w:rsidRPr="003E2726" w:rsidRDefault="00ED39C4" w:rsidP="006544ED">
            <w:pPr>
              <w:spacing w:before="60" w:after="60"/>
              <w:jc w:val="both"/>
              <w:rPr>
                <w:noProof/>
                <w:sz w:val="24"/>
                <w:szCs w:val="24"/>
                <w:lang w:val="en-IE"/>
              </w:rPr>
            </w:pPr>
            <w:r w:rsidRPr="003E2726">
              <w:rPr>
                <w:b/>
                <w:noProof/>
                <w:sz w:val="24"/>
                <w:szCs w:val="24"/>
                <w:lang w:val="en-IE"/>
              </w:rPr>
              <w:t>What is the value added of action at the EU level?</w:t>
            </w:r>
            <w:r w:rsidRPr="003E2726">
              <w:rPr>
                <w:noProof/>
                <w:sz w:val="24"/>
                <w:szCs w:val="24"/>
                <w:lang w:val="en-IE"/>
              </w:rPr>
              <w:t xml:space="preserve"> </w:t>
            </w:r>
          </w:p>
        </w:tc>
      </w:tr>
      <w:tr w:rsidR="00ED39C4" w:rsidRPr="003E2726" w14:paraId="522B471F" w14:textId="77777777" w:rsidTr="6F5EF812">
        <w:tc>
          <w:tcPr>
            <w:tcW w:w="9322" w:type="dxa"/>
            <w:tcBorders>
              <w:bottom w:val="single" w:sz="4" w:space="0" w:color="auto"/>
            </w:tcBorders>
            <w:shd w:val="clear" w:color="auto" w:fill="auto"/>
          </w:tcPr>
          <w:p w14:paraId="522B471E" w14:textId="77777777" w:rsidR="00ED39C4" w:rsidRPr="004B3D82" w:rsidRDefault="00367E4A" w:rsidP="007209B8">
            <w:pPr>
              <w:spacing w:before="40" w:after="120"/>
              <w:jc w:val="both"/>
              <w:rPr>
                <w:noProof/>
                <w:sz w:val="24"/>
                <w:szCs w:val="24"/>
                <w:lang w:val="en-IE"/>
              </w:rPr>
            </w:pPr>
            <w:r w:rsidRPr="004B3D82">
              <w:rPr>
                <w:noProof/>
                <w:sz w:val="24"/>
                <w:szCs w:val="24"/>
              </w:rPr>
              <w:t>Action at EU level is expected to save costs for stakeholders, both SEP owners and implementers, and for Member States. For instance, there would be one</w:t>
            </w:r>
            <w:r w:rsidR="007209B8">
              <w:rPr>
                <w:noProof/>
                <w:sz w:val="24"/>
                <w:szCs w:val="24"/>
              </w:rPr>
              <w:t xml:space="preserve"> SEP</w:t>
            </w:r>
            <w:r w:rsidRPr="004B3D82">
              <w:rPr>
                <w:noProof/>
                <w:sz w:val="24"/>
                <w:szCs w:val="24"/>
              </w:rPr>
              <w:t xml:space="preserve"> register, one essentiality check per patent family, one common methodology for such checks, and a streamlined and transparent conciliation process</w:t>
            </w:r>
            <w:r w:rsidR="00B35EFA">
              <w:rPr>
                <w:noProof/>
                <w:sz w:val="24"/>
                <w:szCs w:val="24"/>
              </w:rPr>
              <w:t xml:space="preserve"> for </w:t>
            </w:r>
            <w:r w:rsidRPr="004B3D82">
              <w:rPr>
                <w:noProof/>
                <w:sz w:val="24"/>
                <w:szCs w:val="24"/>
              </w:rPr>
              <w:t xml:space="preserve">FRAND </w:t>
            </w:r>
            <w:r w:rsidR="00B35EFA">
              <w:rPr>
                <w:noProof/>
                <w:sz w:val="24"/>
                <w:szCs w:val="24"/>
              </w:rPr>
              <w:t>determination</w:t>
            </w:r>
            <w:r w:rsidR="00C4261C">
              <w:rPr>
                <w:noProof/>
                <w:sz w:val="24"/>
                <w:szCs w:val="24"/>
              </w:rPr>
              <w:t>s</w:t>
            </w:r>
            <w:r w:rsidRPr="004B3D82">
              <w:rPr>
                <w:noProof/>
                <w:sz w:val="24"/>
                <w:szCs w:val="24"/>
              </w:rPr>
              <w:t>. SEP owners and implementers would not have to incur the same costs in each EU Member State which would be the case with national solutions, especially in a situation where most standards are regional or globa</w:t>
            </w:r>
            <w:r w:rsidR="004B3D82" w:rsidRPr="004B3D82">
              <w:rPr>
                <w:noProof/>
                <w:sz w:val="24"/>
                <w:szCs w:val="24"/>
              </w:rPr>
              <w:t>l</w:t>
            </w:r>
            <w:r w:rsidR="00931A79" w:rsidRPr="004B3D82">
              <w:rPr>
                <w:noProof/>
                <w:sz w:val="24"/>
                <w:szCs w:val="24"/>
                <w:lang w:val="en-IE"/>
              </w:rPr>
              <w:t>.</w:t>
            </w:r>
          </w:p>
        </w:tc>
      </w:tr>
      <w:tr w:rsidR="00ED39C4" w:rsidRPr="003E2726" w14:paraId="522B4721" w14:textId="77777777" w:rsidTr="6F5EF812">
        <w:tc>
          <w:tcPr>
            <w:tcW w:w="9322" w:type="dxa"/>
            <w:tcBorders>
              <w:bottom w:val="single" w:sz="4" w:space="0" w:color="auto"/>
            </w:tcBorders>
            <w:shd w:val="clear" w:color="auto" w:fill="CCCCCC"/>
          </w:tcPr>
          <w:p w14:paraId="522B4720" w14:textId="77777777" w:rsidR="00ED39C4" w:rsidRPr="003E2726" w:rsidRDefault="00ED39C4" w:rsidP="006544ED">
            <w:pPr>
              <w:spacing w:before="60" w:after="60"/>
              <w:jc w:val="center"/>
              <w:rPr>
                <w:b/>
                <w:noProof/>
                <w:sz w:val="24"/>
                <w:szCs w:val="24"/>
                <w:lang w:val="en-IE"/>
              </w:rPr>
            </w:pPr>
            <w:r w:rsidRPr="003E2726">
              <w:rPr>
                <w:b/>
                <w:noProof/>
                <w:sz w:val="24"/>
                <w:szCs w:val="24"/>
                <w:lang w:val="en-IE"/>
              </w:rPr>
              <w:t>B. Solutions</w:t>
            </w:r>
          </w:p>
        </w:tc>
      </w:tr>
      <w:tr w:rsidR="00ED39C4" w:rsidRPr="003E2726" w14:paraId="522B4723" w14:textId="77777777" w:rsidTr="6F5EF812">
        <w:tc>
          <w:tcPr>
            <w:tcW w:w="9322" w:type="dxa"/>
            <w:tcBorders>
              <w:bottom w:val="single" w:sz="4" w:space="0" w:color="auto"/>
            </w:tcBorders>
            <w:shd w:val="clear" w:color="auto" w:fill="E6E6E6"/>
          </w:tcPr>
          <w:p w14:paraId="522B4722" w14:textId="77777777" w:rsidR="00ED39C4" w:rsidRPr="003E2726" w:rsidRDefault="00ED39C4" w:rsidP="006544ED">
            <w:pPr>
              <w:spacing w:before="60"/>
              <w:jc w:val="both"/>
              <w:rPr>
                <w:noProof/>
                <w:sz w:val="24"/>
                <w:szCs w:val="24"/>
                <w:lang w:val="en-IE"/>
              </w:rPr>
            </w:pPr>
            <w:r w:rsidRPr="003E2726">
              <w:rPr>
                <w:b/>
                <w:noProof/>
                <w:sz w:val="24"/>
                <w:szCs w:val="24"/>
                <w:lang w:val="en-IE"/>
              </w:rPr>
              <w:t>What legislative and non-legislative policy options have been considered? Is there a preferred choice or not? Why?</w:t>
            </w:r>
            <w:r w:rsidRPr="003E2726">
              <w:rPr>
                <w:noProof/>
                <w:sz w:val="24"/>
                <w:szCs w:val="24"/>
                <w:lang w:val="en-IE"/>
              </w:rPr>
              <w:t xml:space="preserve"> </w:t>
            </w:r>
          </w:p>
        </w:tc>
      </w:tr>
      <w:tr w:rsidR="00ED39C4" w:rsidRPr="003E2726" w14:paraId="522B472C" w14:textId="77777777" w:rsidTr="6F5EF812">
        <w:tc>
          <w:tcPr>
            <w:tcW w:w="9322" w:type="dxa"/>
            <w:tcBorders>
              <w:bottom w:val="single" w:sz="4" w:space="0" w:color="auto"/>
            </w:tcBorders>
            <w:shd w:val="clear" w:color="auto" w:fill="auto"/>
          </w:tcPr>
          <w:p w14:paraId="522B4724" w14:textId="77777777" w:rsidR="00E96DF8" w:rsidRPr="00E96DF8" w:rsidRDefault="00E96DF8" w:rsidP="006530D1">
            <w:pPr>
              <w:spacing w:before="40" w:after="120"/>
              <w:jc w:val="both"/>
              <w:rPr>
                <w:noProof/>
                <w:sz w:val="24"/>
                <w:szCs w:val="24"/>
                <w:lang w:val="en-IE"/>
              </w:rPr>
            </w:pPr>
            <w:r>
              <w:rPr>
                <w:noProof/>
                <w:sz w:val="24"/>
                <w:szCs w:val="24"/>
                <w:lang w:val="en-IE"/>
              </w:rPr>
              <w:t xml:space="preserve">Policy options are built incrementally, each is adding new elements to the preceding one. </w:t>
            </w:r>
          </w:p>
          <w:p w14:paraId="522B4725" w14:textId="77777777" w:rsidR="000A720D" w:rsidRPr="003E2726" w:rsidRDefault="000A720D" w:rsidP="006530D1">
            <w:pPr>
              <w:pStyle w:val="ListParagraph"/>
              <w:numPr>
                <w:ilvl w:val="0"/>
                <w:numId w:val="3"/>
              </w:numPr>
              <w:spacing w:before="40" w:after="120"/>
              <w:ind w:left="284" w:hanging="284"/>
              <w:contextualSpacing w:val="0"/>
              <w:jc w:val="both"/>
              <w:rPr>
                <w:b/>
                <w:noProof/>
                <w:sz w:val="24"/>
                <w:szCs w:val="24"/>
                <w:lang w:val="en-IE"/>
              </w:rPr>
            </w:pPr>
            <w:r w:rsidRPr="003E2726">
              <w:rPr>
                <w:noProof/>
                <w:sz w:val="24"/>
                <w:szCs w:val="24"/>
                <w:lang w:val="en-IE"/>
              </w:rPr>
              <w:t xml:space="preserve">Option 0: </w:t>
            </w:r>
            <w:r w:rsidRPr="003E2726">
              <w:rPr>
                <w:b/>
                <w:noProof/>
                <w:sz w:val="24"/>
                <w:szCs w:val="24"/>
                <w:lang w:val="en-IE"/>
              </w:rPr>
              <w:t>No policy change.</w:t>
            </w:r>
          </w:p>
          <w:p w14:paraId="522B4726" w14:textId="3F3D2BDA" w:rsidR="00786C46" w:rsidRPr="00650141" w:rsidRDefault="000A720D" w:rsidP="006530D1">
            <w:pPr>
              <w:pStyle w:val="ListParagraph"/>
              <w:numPr>
                <w:ilvl w:val="0"/>
                <w:numId w:val="3"/>
              </w:numPr>
              <w:spacing w:before="40" w:after="120"/>
              <w:ind w:left="284" w:hanging="284"/>
              <w:contextualSpacing w:val="0"/>
              <w:jc w:val="both"/>
              <w:rPr>
                <w:noProof/>
                <w:lang w:val="en-IE"/>
              </w:rPr>
            </w:pPr>
            <w:r w:rsidRPr="00650141">
              <w:rPr>
                <w:noProof/>
                <w:sz w:val="24"/>
                <w:szCs w:val="24"/>
                <w:lang w:val="en-IE"/>
              </w:rPr>
              <w:t xml:space="preserve">Option 1: </w:t>
            </w:r>
            <w:r w:rsidR="00650141" w:rsidRPr="00E96DF8">
              <w:rPr>
                <w:b/>
                <w:noProof/>
                <w:sz w:val="24"/>
                <w:szCs w:val="24"/>
                <w:lang w:val="en-IE"/>
              </w:rPr>
              <w:t>Voluntary guidance</w:t>
            </w:r>
            <w:r w:rsidR="00D41BD3">
              <w:rPr>
                <w:b/>
                <w:noProof/>
                <w:sz w:val="24"/>
                <w:szCs w:val="24"/>
                <w:lang w:val="en-IE"/>
              </w:rPr>
              <w:t>.</w:t>
            </w:r>
            <w:r w:rsidR="00650141">
              <w:rPr>
                <w:noProof/>
                <w:sz w:val="24"/>
                <w:szCs w:val="24"/>
                <w:lang w:val="en-IE"/>
              </w:rPr>
              <w:t xml:space="preserve"> </w:t>
            </w:r>
            <w:r w:rsidR="00423A26">
              <w:rPr>
                <w:noProof/>
                <w:sz w:val="24"/>
                <w:szCs w:val="24"/>
                <w:lang w:val="en-IE"/>
              </w:rPr>
              <w:t xml:space="preserve">It is going to establish </w:t>
            </w:r>
            <w:r w:rsidR="00423A26" w:rsidRPr="00423A26">
              <w:rPr>
                <w:noProof/>
                <w:sz w:val="24"/>
                <w:szCs w:val="24"/>
                <w:lang w:val="en-IE"/>
              </w:rPr>
              <w:t xml:space="preserve">non-binding guidance </w:t>
            </w:r>
            <w:r w:rsidR="008C154B">
              <w:rPr>
                <w:noProof/>
                <w:sz w:val="24"/>
                <w:szCs w:val="24"/>
                <w:lang w:val="en-IE"/>
              </w:rPr>
              <w:t>on SEP licensing</w:t>
            </w:r>
            <w:r w:rsidR="00423A26">
              <w:rPr>
                <w:noProof/>
                <w:sz w:val="24"/>
                <w:szCs w:val="24"/>
                <w:lang w:val="en-IE"/>
              </w:rPr>
              <w:t xml:space="preserve">. </w:t>
            </w:r>
            <w:r w:rsidR="00EF35B2">
              <w:rPr>
                <w:noProof/>
                <w:sz w:val="24"/>
                <w:szCs w:val="24"/>
                <w:lang w:val="en-IE"/>
              </w:rPr>
              <w:t>A</w:t>
            </w:r>
            <w:r w:rsidR="00423A26">
              <w:rPr>
                <w:noProof/>
                <w:sz w:val="24"/>
                <w:szCs w:val="24"/>
                <w:lang w:val="en-IE"/>
              </w:rPr>
              <w:t xml:space="preserve"> competence centre on SEPs </w:t>
            </w:r>
            <w:r w:rsidR="007209B8">
              <w:rPr>
                <w:noProof/>
                <w:sz w:val="24"/>
                <w:szCs w:val="24"/>
                <w:lang w:val="en-IE"/>
              </w:rPr>
              <w:t xml:space="preserve">created </w:t>
            </w:r>
            <w:r w:rsidR="00423A26">
              <w:rPr>
                <w:noProof/>
                <w:sz w:val="24"/>
                <w:szCs w:val="24"/>
                <w:lang w:val="en-IE"/>
              </w:rPr>
              <w:t>within the EUIPO</w:t>
            </w:r>
            <w:r w:rsidR="00423A26">
              <w:rPr>
                <w:rStyle w:val="FootnoteReference"/>
                <w:noProof/>
                <w:sz w:val="24"/>
                <w:szCs w:val="24"/>
                <w:lang w:val="en-IE"/>
              </w:rPr>
              <w:footnoteReference w:id="2"/>
            </w:r>
            <w:r w:rsidR="00423A26">
              <w:rPr>
                <w:noProof/>
                <w:sz w:val="24"/>
                <w:szCs w:val="24"/>
                <w:lang w:val="en-IE"/>
              </w:rPr>
              <w:t xml:space="preserve"> </w:t>
            </w:r>
            <w:r w:rsidR="007209B8">
              <w:rPr>
                <w:noProof/>
                <w:sz w:val="24"/>
                <w:szCs w:val="24"/>
                <w:lang w:val="en-IE"/>
              </w:rPr>
              <w:t>would</w:t>
            </w:r>
            <w:r w:rsidR="00423A26">
              <w:rPr>
                <w:noProof/>
                <w:sz w:val="24"/>
                <w:szCs w:val="24"/>
                <w:lang w:val="en-IE"/>
              </w:rPr>
              <w:t xml:space="preserve"> provide </w:t>
            </w:r>
            <w:r w:rsidR="00BF369C">
              <w:rPr>
                <w:noProof/>
                <w:sz w:val="24"/>
                <w:szCs w:val="24"/>
                <w:lang w:val="en-IE"/>
              </w:rPr>
              <w:t>free advice</w:t>
            </w:r>
            <w:r w:rsidR="00423A26">
              <w:rPr>
                <w:noProof/>
                <w:sz w:val="24"/>
                <w:szCs w:val="24"/>
                <w:lang w:val="en-IE"/>
              </w:rPr>
              <w:t xml:space="preserve"> to SMEs on licensing negotiations (including trainings) and </w:t>
            </w:r>
            <w:r w:rsidR="00E96DF8">
              <w:rPr>
                <w:noProof/>
                <w:sz w:val="24"/>
                <w:szCs w:val="24"/>
                <w:lang w:val="en-IE"/>
              </w:rPr>
              <w:t xml:space="preserve">monitor </w:t>
            </w:r>
            <w:r w:rsidR="00CF5FE5">
              <w:rPr>
                <w:noProof/>
                <w:sz w:val="24"/>
                <w:szCs w:val="24"/>
                <w:lang w:val="en-IE"/>
              </w:rPr>
              <w:t xml:space="preserve">the </w:t>
            </w:r>
            <w:r w:rsidR="00E96DF8">
              <w:rPr>
                <w:noProof/>
                <w:sz w:val="24"/>
                <w:szCs w:val="24"/>
                <w:lang w:val="en-IE"/>
              </w:rPr>
              <w:t>SEPs market, conduct studies on SEP licensing and promote alternative dispute resolution.</w:t>
            </w:r>
          </w:p>
          <w:p w14:paraId="522B4727" w14:textId="2CB25CB8" w:rsidR="00650141" w:rsidRPr="00650141" w:rsidRDefault="00650141" w:rsidP="006530D1">
            <w:pPr>
              <w:pStyle w:val="ListParagraph"/>
              <w:numPr>
                <w:ilvl w:val="0"/>
                <w:numId w:val="3"/>
              </w:numPr>
              <w:spacing w:before="40" w:after="120"/>
              <w:ind w:left="284" w:hanging="284"/>
              <w:contextualSpacing w:val="0"/>
              <w:jc w:val="both"/>
              <w:rPr>
                <w:noProof/>
                <w:sz w:val="24"/>
                <w:szCs w:val="24"/>
                <w:lang w:val="en-IE"/>
              </w:rPr>
            </w:pPr>
            <w:r w:rsidRPr="00650141">
              <w:rPr>
                <w:noProof/>
                <w:sz w:val="24"/>
                <w:szCs w:val="24"/>
                <w:lang w:val="en-IE"/>
              </w:rPr>
              <w:t xml:space="preserve">Option 2: </w:t>
            </w:r>
            <w:r w:rsidRPr="00E96DF8">
              <w:rPr>
                <w:b/>
                <w:noProof/>
                <w:sz w:val="24"/>
                <w:szCs w:val="24"/>
                <w:lang w:val="en-IE"/>
              </w:rPr>
              <w:t>SEP register with essentiality checks</w:t>
            </w:r>
            <w:r w:rsidR="00D41BD3">
              <w:rPr>
                <w:b/>
                <w:noProof/>
                <w:sz w:val="24"/>
                <w:szCs w:val="24"/>
                <w:lang w:val="en-IE"/>
              </w:rPr>
              <w:t>.</w:t>
            </w:r>
            <w:r w:rsidR="00E96DF8">
              <w:rPr>
                <w:noProof/>
                <w:sz w:val="24"/>
                <w:szCs w:val="24"/>
                <w:lang w:val="en-IE"/>
              </w:rPr>
              <w:t xml:space="preserve"> </w:t>
            </w:r>
            <w:r w:rsidR="00D41BD3">
              <w:rPr>
                <w:noProof/>
                <w:sz w:val="24"/>
                <w:szCs w:val="24"/>
                <w:lang w:val="en-IE"/>
              </w:rPr>
              <w:t xml:space="preserve">SEP owners </w:t>
            </w:r>
            <w:r w:rsidR="007209B8">
              <w:rPr>
                <w:noProof/>
                <w:sz w:val="24"/>
                <w:szCs w:val="24"/>
                <w:lang w:val="en-IE"/>
              </w:rPr>
              <w:t xml:space="preserve">seeking to license their SEPs </w:t>
            </w:r>
            <w:r w:rsidR="00D41BD3">
              <w:rPr>
                <w:noProof/>
                <w:sz w:val="24"/>
                <w:szCs w:val="24"/>
                <w:lang w:val="en-IE"/>
              </w:rPr>
              <w:t>for royalty</w:t>
            </w:r>
            <w:r w:rsidR="007209B8">
              <w:rPr>
                <w:noProof/>
                <w:sz w:val="24"/>
                <w:szCs w:val="24"/>
                <w:lang w:val="en-IE"/>
              </w:rPr>
              <w:t xml:space="preserve"> and to enforce them</w:t>
            </w:r>
            <w:r w:rsidR="00D41BD3">
              <w:rPr>
                <w:noProof/>
                <w:sz w:val="24"/>
                <w:szCs w:val="24"/>
                <w:lang w:val="en-IE"/>
              </w:rPr>
              <w:t xml:space="preserve"> in the EU </w:t>
            </w:r>
            <w:r w:rsidR="007209B8">
              <w:rPr>
                <w:noProof/>
                <w:sz w:val="24"/>
                <w:szCs w:val="24"/>
                <w:lang w:val="en-IE"/>
              </w:rPr>
              <w:t>would have to</w:t>
            </w:r>
            <w:r w:rsidR="00717F96">
              <w:rPr>
                <w:noProof/>
                <w:sz w:val="24"/>
                <w:szCs w:val="24"/>
                <w:lang w:val="en-IE"/>
              </w:rPr>
              <w:t xml:space="preserve"> </w:t>
            </w:r>
            <w:r w:rsidR="00D41BD3">
              <w:rPr>
                <w:noProof/>
                <w:sz w:val="24"/>
                <w:szCs w:val="24"/>
                <w:lang w:val="en-IE"/>
              </w:rPr>
              <w:t xml:space="preserve">register </w:t>
            </w:r>
            <w:r w:rsidR="00CB3D00">
              <w:rPr>
                <w:noProof/>
                <w:sz w:val="24"/>
                <w:szCs w:val="24"/>
                <w:lang w:val="en-IE"/>
              </w:rPr>
              <w:t>the</w:t>
            </w:r>
            <w:r w:rsidR="00524D08">
              <w:rPr>
                <w:noProof/>
                <w:sz w:val="24"/>
                <w:szCs w:val="24"/>
                <w:lang w:val="en-IE"/>
              </w:rPr>
              <w:t>ir</w:t>
            </w:r>
            <w:r w:rsidR="00CB3D00">
              <w:rPr>
                <w:noProof/>
                <w:sz w:val="24"/>
                <w:szCs w:val="24"/>
                <w:lang w:val="en-IE"/>
              </w:rPr>
              <w:t xml:space="preserve"> </w:t>
            </w:r>
            <w:r w:rsidR="00D41BD3">
              <w:rPr>
                <w:noProof/>
                <w:sz w:val="24"/>
                <w:szCs w:val="24"/>
                <w:lang w:val="en-IE"/>
              </w:rPr>
              <w:t>patents</w:t>
            </w:r>
            <w:r w:rsidR="00CB3D00">
              <w:rPr>
                <w:noProof/>
                <w:sz w:val="24"/>
                <w:szCs w:val="24"/>
                <w:lang w:val="en-IE"/>
              </w:rPr>
              <w:t xml:space="preserve"> in </w:t>
            </w:r>
            <w:r w:rsidR="007209B8">
              <w:rPr>
                <w:noProof/>
                <w:sz w:val="24"/>
                <w:szCs w:val="24"/>
                <w:lang w:val="en-IE"/>
              </w:rPr>
              <w:t>the SEP register</w:t>
            </w:r>
            <w:r w:rsidR="003655FA">
              <w:rPr>
                <w:noProof/>
                <w:sz w:val="24"/>
                <w:szCs w:val="24"/>
                <w:lang w:val="en-IE"/>
              </w:rPr>
              <w:t xml:space="preserve">. </w:t>
            </w:r>
            <w:r w:rsidR="00C83048">
              <w:rPr>
                <w:noProof/>
                <w:sz w:val="24"/>
                <w:szCs w:val="24"/>
                <w:lang w:val="en-IE"/>
              </w:rPr>
              <w:t>To control</w:t>
            </w:r>
            <w:r w:rsidR="00D41BD3">
              <w:rPr>
                <w:noProof/>
                <w:sz w:val="24"/>
                <w:szCs w:val="24"/>
                <w:lang w:val="en-IE"/>
              </w:rPr>
              <w:t xml:space="preserve"> the </w:t>
            </w:r>
            <w:r w:rsidR="00C83048">
              <w:rPr>
                <w:noProof/>
                <w:sz w:val="24"/>
                <w:szCs w:val="24"/>
                <w:lang w:val="en-IE"/>
              </w:rPr>
              <w:t>quality</w:t>
            </w:r>
            <w:r w:rsidR="00D41BD3">
              <w:rPr>
                <w:noProof/>
                <w:sz w:val="24"/>
                <w:szCs w:val="24"/>
                <w:lang w:val="en-IE"/>
              </w:rPr>
              <w:t xml:space="preserve"> of </w:t>
            </w:r>
            <w:r w:rsidR="00C83048">
              <w:rPr>
                <w:noProof/>
                <w:sz w:val="24"/>
                <w:szCs w:val="24"/>
                <w:lang w:val="en-IE"/>
              </w:rPr>
              <w:t>the register</w:t>
            </w:r>
            <w:r w:rsidR="007209B8">
              <w:rPr>
                <w:noProof/>
                <w:sz w:val="24"/>
                <w:szCs w:val="24"/>
                <w:lang w:val="en-IE"/>
              </w:rPr>
              <w:t>,</w:t>
            </w:r>
            <w:r w:rsidR="0057188D">
              <w:rPr>
                <w:noProof/>
                <w:sz w:val="24"/>
                <w:szCs w:val="24"/>
                <w:lang w:val="en-IE"/>
              </w:rPr>
              <w:t xml:space="preserve"> essentiality checks </w:t>
            </w:r>
            <w:r w:rsidR="007209B8">
              <w:rPr>
                <w:noProof/>
                <w:sz w:val="24"/>
                <w:szCs w:val="24"/>
                <w:lang w:val="en-IE"/>
              </w:rPr>
              <w:t>would</w:t>
            </w:r>
            <w:r w:rsidR="0057188D">
              <w:rPr>
                <w:noProof/>
                <w:sz w:val="24"/>
                <w:szCs w:val="24"/>
                <w:lang w:val="en-IE"/>
              </w:rPr>
              <w:t xml:space="preserve"> be conducted</w:t>
            </w:r>
            <w:r w:rsidR="00895425">
              <w:rPr>
                <w:noProof/>
                <w:sz w:val="24"/>
                <w:szCs w:val="24"/>
                <w:lang w:val="en-IE"/>
              </w:rPr>
              <w:t xml:space="preserve"> by </w:t>
            </w:r>
            <w:r w:rsidR="00D41BD3">
              <w:rPr>
                <w:noProof/>
                <w:sz w:val="24"/>
                <w:szCs w:val="24"/>
                <w:lang w:val="en-IE"/>
              </w:rPr>
              <w:t xml:space="preserve">an independent </w:t>
            </w:r>
            <w:r w:rsidR="00841238">
              <w:rPr>
                <w:noProof/>
                <w:sz w:val="24"/>
                <w:szCs w:val="24"/>
                <w:lang w:val="en-IE"/>
              </w:rPr>
              <w:t>evaluator pursuant to a methodology to be determined by the Commission at EU level</w:t>
            </w:r>
            <w:r w:rsidR="007B1057">
              <w:rPr>
                <w:noProof/>
                <w:sz w:val="24"/>
                <w:szCs w:val="24"/>
                <w:lang w:val="en-IE"/>
              </w:rPr>
              <w:t xml:space="preserve"> and </w:t>
            </w:r>
            <w:r w:rsidR="00071C6A">
              <w:rPr>
                <w:noProof/>
                <w:sz w:val="24"/>
                <w:szCs w:val="24"/>
                <w:lang w:val="en-IE"/>
              </w:rPr>
              <w:t xml:space="preserve">a system </w:t>
            </w:r>
            <w:r w:rsidR="007B1057">
              <w:rPr>
                <w:noProof/>
                <w:sz w:val="24"/>
                <w:szCs w:val="24"/>
                <w:lang w:val="en-IE"/>
              </w:rPr>
              <w:t>administered by the EUIPO. Sub-options are to (</w:t>
            </w:r>
            <w:r w:rsidR="00D41BD3">
              <w:rPr>
                <w:noProof/>
                <w:sz w:val="24"/>
                <w:szCs w:val="24"/>
                <w:lang w:val="en-IE"/>
              </w:rPr>
              <w:t xml:space="preserve">i) check all registered patents or </w:t>
            </w:r>
            <w:r w:rsidR="007B1057">
              <w:rPr>
                <w:noProof/>
                <w:sz w:val="24"/>
                <w:szCs w:val="24"/>
                <w:lang w:val="en-IE"/>
              </w:rPr>
              <w:t>(</w:t>
            </w:r>
            <w:r w:rsidR="00D41BD3">
              <w:rPr>
                <w:noProof/>
                <w:sz w:val="24"/>
                <w:szCs w:val="24"/>
                <w:lang w:val="en-IE"/>
              </w:rPr>
              <w:t xml:space="preserve">ii) </w:t>
            </w:r>
            <w:r w:rsidR="00B646B1">
              <w:rPr>
                <w:noProof/>
                <w:sz w:val="24"/>
                <w:szCs w:val="24"/>
                <w:lang w:val="en-IE"/>
              </w:rPr>
              <w:t xml:space="preserve">check </w:t>
            </w:r>
            <w:r w:rsidR="00D41BD3">
              <w:rPr>
                <w:noProof/>
                <w:sz w:val="24"/>
                <w:szCs w:val="24"/>
                <w:lang w:val="en-IE"/>
              </w:rPr>
              <w:t xml:space="preserve">a small number of patents </w:t>
            </w:r>
            <w:r w:rsidR="00B646B1">
              <w:rPr>
                <w:noProof/>
                <w:sz w:val="24"/>
                <w:szCs w:val="24"/>
                <w:lang w:val="en-IE"/>
              </w:rPr>
              <w:t>pre-selected by SEP owners</w:t>
            </w:r>
            <w:r w:rsidR="00FB237C">
              <w:rPr>
                <w:noProof/>
                <w:sz w:val="24"/>
                <w:szCs w:val="24"/>
                <w:lang w:val="en-IE"/>
              </w:rPr>
              <w:t>/implementers</w:t>
            </w:r>
            <w:r w:rsidR="00D41BD3">
              <w:rPr>
                <w:noProof/>
                <w:sz w:val="24"/>
                <w:szCs w:val="24"/>
                <w:lang w:val="en-IE"/>
              </w:rPr>
              <w:t xml:space="preserve"> and a random sample of patents registered</w:t>
            </w:r>
            <w:r w:rsidR="00854379">
              <w:rPr>
                <w:noProof/>
                <w:sz w:val="24"/>
                <w:szCs w:val="24"/>
                <w:lang w:val="en-IE"/>
              </w:rPr>
              <w:t xml:space="preserve"> by each SEP owner</w:t>
            </w:r>
            <w:r w:rsidR="00D41BD3">
              <w:rPr>
                <w:noProof/>
                <w:sz w:val="24"/>
                <w:szCs w:val="24"/>
                <w:lang w:val="en-IE"/>
              </w:rPr>
              <w:t xml:space="preserve">. </w:t>
            </w:r>
          </w:p>
          <w:p w14:paraId="522B4728" w14:textId="4F909D86" w:rsidR="00650141" w:rsidRPr="00650141" w:rsidRDefault="00650141" w:rsidP="006530D1">
            <w:pPr>
              <w:pStyle w:val="ListParagraph"/>
              <w:numPr>
                <w:ilvl w:val="0"/>
                <w:numId w:val="3"/>
              </w:numPr>
              <w:spacing w:before="40" w:after="120"/>
              <w:ind w:left="284" w:hanging="284"/>
              <w:contextualSpacing w:val="0"/>
              <w:jc w:val="both"/>
              <w:rPr>
                <w:noProof/>
                <w:sz w:val="24"/>
                <w:szCs w:val="24"/>
                <w:lang w:val="en-IE"/>
              </w:rPr>
            </w:pPr>
            <w:r w:rsidRPr="00650141">
              <w:rPr>
                <w:noProof/>
                <w:sz w:val="24"/>
                <w:szCs w:val="24"/>
                <w:lang w:val="en-IE"/>
              </w:rPr>
              <w:t xml:space="preserve">Option 3: </w:t>
            </w:r>
            <w:r w:rsidRPr="00D41BD3">
              <w:rPr>
                <w:b/>
                <w:noProof/>
                <w:sz w:val="24"/>
                <w:szCs w:val="24"/>
                <w:lang w:val="en-IE"/>
              </w:rPr>
              <w:t>SEP register with essentiality checks and conciliation procedure</w:t>
            </w:r>
            <w:r w:rsidR="00D41BD3">
              <w:rPr>
                <w:b/>
                <w:noProof/>
                <w:sz w:val="24"/>
                <w:szCs w:val="24"/>
                <w:lang w:val="en-IE"/>
              </w:rPr>
              <w:t>.</w:t>
            </w:r>
            <w:r w:rsidR="00D41BD3">
              <w:rPr>
                <w:noProof/>
                <w:sz w:val="24"/>
                <w:szCs w:val="24"/>
                <w:lang w:val="en-IE"/>
              </w:rPr>
              <w:t xml:space="preserve"> Before launching a litigation</w:t>
            </w:r>
            <w:r w:rsidR="00F576FD">
              <w:rPr>
                <w:noProof/>
                <w:sz w:val="24"/>
                <w:szCs w:val="24"/>
                <w:lang w:val="en-IE"/>
              </w:rPr>
              <w:t>,</w:t>
            </w:r>
            <w:r w:rsidR="00D41BD3">
              <w:rPr>
                <w:noProof/>
                <w:sz w:val="24"/>
                <w:szCs w:val="24"/>
                <w:lang w:val="en-IE"/>
              </w:rPr>
              <w:t xml:space="preserve"> parties to SEP licensing dispute </w:t>
            </w:r>
            <w:r w:rsidR="007209B8">
              <w:rPr>
                <w:noProof/>
                <w:sz w:val="24"/>
                <w:szCs w:val="24"/>
                <w:lang w:val="en-IE"/>
              </w:rPr>
              <w:t>would</w:t>
            </w:r>
            <w:r w:rsidR="00D41BD3">
              <w:rPr>
                <w:noProof/>
                <w:sz w:val="24"/>
                <w:szCs w:val="24"/>
                <w:lang w:val="en-IE"/>
              </w:rPr>
              <w:t xml:space="preserve"> have to go through </w:t>
            </w:r>
            <w:r w:rsidR="007209B8">
              <w:rPr>
                <w:noProof/>
                <w:sz w:val="24"/>
                <w:szCs w:val="24"/>
                <w:lang w:val="en-IE"/>
              </w:rPr>
              <w:t xml:space="preserve">a </w:t>
            </w:r>
            <w:r w:rsidR="00D41BD3">
              <w:rPr>
                <w:noProof/>
                <w:sz w:val="24"/>
                <w:szCs w:val="24"/>
                <w:lang w:val="en-IE"/>
              </w:rPr>
              <w:t>mandatory</w:t>
            </w:r>
            <w:r w:rsidR="0098122D">
              <w:rPr>
                <w:noProof/>
                <w:sz w:val="24"/>
                <w:szCs w:val="24"/>
                <w:lang w:val="en-IE"/>
              </w:rPr>
              <w:t xml:space="preserve"> </w:t>
            </w:r>
            <w:r w:rsidR="00D41BD3">
              <w:rPr>
                <w:noProof/>
                <w:sz w:val="24"/>
                <w:szCs w:val="24"/>
                <w:lang w:val="en-IE"/>
              </w:rPr>
              <w:t>conciliation process</w:t>
            </w:r>
            <w:r w:rsidR="007A329B">
              <w:rPr>
                <w:noProof/>
                <w:sz w:val="24"/>
                <w:szCs w:val="24"/>
                <w:lang w:val="en-IE"/>
              </w:rPr>
              <w:t xml:space="preserve"> (with some exceptions)</w:t>
            </w:r>
            <w:r w:rsidR="00D41BD3">
              <w:rPr>
                <w:noProof/>
                <w:sz w:val="24"/>
                <w:szCs w:val="24"/>
                <w:lang w:val="en-IE"/>
              </w:rPr>
              <w:t xml:space="preserve">. An independent conciliator would seek to help parties reach mutually acceptable </w:t>
            </w:r>
            <w:r w:rsidR="007209B8">
              <w:rPr>
                <w:noProof/>
                <w:sz w:val="24"/>
                <w:szCs w:val="24"/>
                <w:lang w:val="en-IE"/>
              </w:rPr>
              <w:t xml:space="preserve">licensing </w:t>
            </w:r>
            <w:r w:rsidR="00D41BD3">
              <w:rPr>
                <w:noProof/>
                <w:sz w:val="24"/>
                <w:szCs w:val="24"/>
                <w:lang w:val="en-IE"/>
              </w:rPr>
              <w:t xml:space="preserve">terms and conditions. At the end of the process </w:t>
            </w:r>
            <w:r w:rsidR="00715841">
              <w:rPr>
                <w:noProof/>
                <w:sz w:val="24"/>
                <w:szCs w:val="24"/>
                <w:lang w:val="en-IE"/>
              </w:rPr>
              <w:t xml:space="preserve">the </w:t>
            </w:r>
            <w:r w:rsidR="00D41BD3">
              <w:rPr>
                <w:noProof/>
                <w:sz w:val="24"/>
                <w:szCs w:val="24"/>
                <w:lang w:val="en-IE"/>
              </w:rPr>
              <w:t xml:space="preserve">conciliator will issue a non-binding </w:t>
            </w:r>
            <w:r w:rsidR="009852BF">
              <w:rPr>
                <w:noProof/>
                <w:sz w:val="24"/>
                <w:szCs w:val="24"/>
                <w:lang w:val="en-IE"/>
              </w:rPr>
              <w:t>report</w:t>
            </w:r>
            <w:r w:rsidR="00D41BD3">
              <w:rPr>
                <w:noProof/>
                <w:sz w:val="24"/>
                <w:szCs w:val="24"/>
                <w:lang w:val="en-IE"/>
              </w:rPr>
              <w:t xml:space="preserve"> with recommendation</w:t>
            </w:r>
            <w:r w:rsidR="00715841">
              <w:rPr>
                <w:noProof/>
                <w:sz w:val="24"/>
                <w:szCs w:val="24"/>
                <w:lang w:val="en-IE"/>
              </w:rPr>
              <w:t>s</w:t>
            </w:r>
            <w:r w:rsidR="00D41BD3">
              <w:rPr>
                <w:noProof/>
                <w:sz w:val="24"/>
                <w:szCs w:val="24"/>
                <w:lang w:val="en-IE"/>
              </w:rPr>
              <w:t xml:space="preserve"> on the FRAND rate</w:t>
            </w:r>
            <w:r w:rsidR="00C36271">
              <w:rPr>
                <w:noProof/>
                <w:sz w:val="24"/>
                <w:szCs w:val="24"/>
                <w:lang w:val="en-IE"/>
              </w:rPr>
              <w:t xml:space="preserve"> (</w:t>
            </w:r>
            <w:r w:rsidR="007209B8">
              <w:rPr>
                <w:noProof/>
                <w:sz w:val="24"/>
                <w:szCs w:val="24"/>
                <w:lang w:val="en-IE"/>
              </w:rPr>
              <w:t>with</w:t>
            </w:r>
            <w:r w:rsidR="00C36271">
              <w:rPr>
                <w:noProof/>
                <w:sz w:val="24"/>
                <w:szCs w:val="24"/>
                <w:lang w:val="en-IE"/>
              </w:rPr>
              <w:t xml:space="preserve"> a confidential and </w:t>
            </w:r>
            <w:r w:rsidR="007209B8">
              <w:rPr>
                <w:noProof/>
                <w:sz w:val="24"/>
                <w:szCs w:val="24"/>
                <w:lang w:val="en-IE"/>
              </w:rPr>
              <w:t xml:space="preserve">a </w:t>
            </w:r>
            <w:r w:rsidR="00C36271">
              <w:rPr>
                <w:noProof/>
                <w:sz w:val="24"/>
                <w:szCs w:val="24"/>
                <w:lang w:val="en-IE"/>
              </w:rPr>
              <w:t xml:space="preserve">non-confidential </w:t>
            </w:r>
            <w:r w:rsidR="007209B8">
              <w:rPr>
                <w:noProof/>
                <w:sz w:val="24"/>
                <w:szCs w:val="24"/>
                <w:lang w:val="en-IE"/>
              </w:rPr>
              <w:t>part</w:t>
            </w:r>
            <w:r w:rsidR="00C36271">
              <w:rPr>
                <w:noProof/>
                <w:sz w:val="24"/>
                <w:szCs w:val="24"/>
                <w:lang w:val="en-IE"/>
              </w:rPr>
              <w:t>)</w:t>
            </w:r>
            <w:r w:rsidR="00D41BD3">
              <w:rPr>
                <w:noProof/>
                <w:sz w:val="24"/>
                <w:szCs w:val="24"/>
                <w:lang w:val="en-IE"/>
              </w:rPr>
              <w:t>.</w:t>
            </w:r>
          </w:p>
          <w:p w14:paraId="522B4729" w14:textId="78C88973" w:rsidR="00650141" w:rsidRPr="00650141" w:rsidRDefault="00650141" w:rsidP="006530D1">
            <w:pPr>
              <w:pStyle w:val="ListParagraph"/>
              <w:numPr>
                <w:ilvl w:val="0"/>
                <w:numId w:val="3"/>
              </w:numPr>
              <w:spacing w:before="40" w:after="120"/>
              <w:ind w:left="284" w:hanging="284"/>
              <w:contextualSpacing w:val="0"/>
              <w:jc w:val="both"/>
              <w:rPr>
                <w:noProof/>
                <w:sz w:val="24"/>
                <w:szCs w:val="24"/>
                <w:lang w:val="en-IE"/>
              </w:rPr>
            </w:pPr>
            <w:r w:rsidRPr="00650141">
              <w:rPr>
                <w:noProof/>
                <w:sz w:val="24"/>
                <w:szCs w:val="24"/>
                <w:lang w:val="en-IE"/>
              </w:rPr>
              <w:t xml:space="preserve">Option 4: </w:t>
            </w:r>
            <w:r w:rsidRPr="00D41BD3">
              <w:rPr>
                <w:b/>
                <w:noProof/>
                <w:sz w:val="24"/>
                <w:szCs w:val="24"/>
                <w:lang w:val="en-IE"/>
              </w:rPr>
              <w:t>Aggregate royalty for SEP</w:t>
            </w:r>
            <w:r w:rsidR="00197F64">
              <w:rPr>
                <w:b/>
                <w:noProof/>
                <w:sz w:val="24"/>
                <w:szCs w:val="24"/>
                <w:lang w:val="en-IE"/>
              </w:rPr>
              <w:t>s</w:t>
            </w:r>
            <w:r w:rsidR="00D41BD3" w:rsidRPr="00D41BD3">
              <w:rPr>
                <w:b/>
                <w:noProof/>
                <w:sz w:val="24"/>
                <w:szCs w:val="24"/>
                <w:lang w:val="en-IE"/>
              </w:rPr>
              <w:t>.</w:t>
            </w:r>
            <w:r w:rsidR="00D41BD3">
              <w:rPr>
                <w:noProof/>
                <w:sz w:val="24"/>
                <w:szCs w:val="24"/>
                <w:lang w:val="en-IE"/>
              </w:rPr>
              <w:t xml:space="preserve"> </w:t>
            </w:r>
            <w:r w:rsidR="007209B8">
              <w:rPr>
                <w:noProof/>
                <w:sz w:val="24"/>
                <w:szCs w:val="24"/>
                <w:lang w:val="en-IE"/>
              </w:rPr>
              <w:t>P</w:t>
            </w:r>
            <w:r w:rsidR="00263D15">
              <w:rPr>
                <w:noProof/>
                <w:sz w:val="24"/>
                <w:szCs w:val="24"/>
                <w:lang w:val="en-IE"/>
              </w:rPr>
              <w:t>rocesses for determining an aggregate royalty (</w:t>
            </w:r>
            <w:r w:rsidR="00E1035D">
              <w:rPr>
                <w:noProof/>
                <w:sz w:val="24"/>
                <w:szCs w:val="24"/>
                <w:lang w:val="en-IE"/>
              </w:rPr>
              <w:t>i.e.,</w:t>
            </w:r>
            <w:r w:rsidR="00E82075">
              <w:rPr>
                <w:noProof/>
                <w:sz w:val="24"/>
                <w:szCs w:val="24"/>
                <w:lang w:val="en-IE"/>
              </w:rPr>
              <w:t xml:space="preserve"> </w:t>
            </w:r>
            <w:r w:rsidR="00483E46">
              <w:rPr>
                <w:noProof/>
                <w:sz w:val="24"/>
                <w:szCs w:val="24"/>
                <w:lang w:val="en-IE"/>
              </w:rPr>
              <w:t>the</w:t>
            </w:r>
            <w:r w:rsidR="00263D15">
              <w:rPr>
                <w:noProof/>
                <w:sz w:val="24"/>
                <w:szCs w:val="24"/>
                <w:lang w:val="en-IE"/>
              </w:rPr>
              <w:t xml:space="preserve"> total maximum price) for using a standard before or shortly after its publication</w:t>
            </w:r>
            <w:r w:rsidR="007209B8">
              <w:rPr>
                <w:noProof/>
                <w:sz w:val="24"/>
                <w:szCs w:val="24"/>
                <w:lang w:val="en-IE"/>
              </w:rPr>
              <w:t xml:space="preserve"> would be established</w:t>
            </w:r>
            <w:r w:rsidR="00263D15">
              <w:rPr>
                <w:noProof/>
                <w:sz w:val="24"/>
                <w:szCs w:val="24"/>
                <w:lang w:val="en-IE"/>
              </w:rPr>
              <w:t xml:space="preserve">. </w:t>
            </w:r>
            <w:r w:rsidR="00614ED9">
              <w:rPr>
                <w:noProof/>
                <w:sz w:val="24"/>
                <w:szCs w:val="24"/>
                <w:lang w:val="en-IE"/>
              </w:rPr>
              <w:t xml:space="preserve">SEP owners </w:t>
            </w:r>
            <w:r w:rsidR="007209B8">
              <w:rPr>
                <w:noProof/>
                <w:sz w:val="24"/>
                <w:szCs w:val="24"/>
                <w:lang w:val="en-IE"/>
              </w:rPr>
              <w:t>would be</w:t>
            </w:r>
            <w:r w:rsidR="00614ED9">
              <w:rPr>
                <w:noProof/>
                <w:sz w:val="24"/>
                <w:szCs w:val="24"/>
                <w:lang w:val="en-IE"/>
              </w:rPr>
              <w:t xml:space="preserve"> expected to agree on such royalty (potentially with </w:t>
            </w:r>
            <w:r w:rsidR="009B12E1">
              <w:rPr>
                <w:noProof/>
                <w:sz w:val="24"/>
                <w:szCs w:val="24"/>
                <w:lang w:val="en-IE"/>
              </w:rPr>
              <w:t xml:space="preserve">the </w:t>
            </w:r>
            <w:r w:rsidR="00614ED9">
              <w:rPr>
                <w:noProof/>
                <w:sz w:val="24"/>
                <w:szCs w:val="24"/>
                <w:lang w:val="en-IE"/>
              </w:rPr>
              <w:t>help of an independent facilitator</w:t>
            </w:r>
            <w:r w:rsidR="00263D15">
              <w:rPr>
                <w:noProof/>
                <w:sz w:val="24"/>
                <w:szCs w:val="24"/>
                <w:lang w:val="en-IE"/>
              </w:rPr>
              <w:t xml:space="preserve"> from the competence</w:t>
            </w:r>
            <w:r w:rsidR="00D364BF">
              <w:rPr>
                <w:noProof/>
                <w:sz w:val="24"/>
                <w:szCs w:val="24"/>
                <w:lang w:val="en-IE"/>
              </w:rPr>
              <w:t xml:space="preserve"> centre</w:t>
            </w:r>
            <w:r w:rsidR="00614ED9">
              <w:rPr>
                <w:noProof/>
                <w:sz w:val="24"/>
                <w:szCs w:val="24"/>
                <w:lang w:val="en-IE"/>
              </w:rPr>
              <w:t>)</w:t>
            </w:r>
            <w:r w:rsidR="00263D15">
              <w:rPr>
                <w:noProof/>
                <w:sz w:val="24"/>
                <w:szCs w:val="24"/>
                <w:lang w:val="en-IE"/>
              </w:rPr>
              <w:t>. Additionally</w:t>
            </w:r>
            <w:r w:rsidR="007209B8">
              <w:rPr>
                <w:noProof/>
                <w:sz w:val="24"/>
                <w:szCs w:val="24"/>
                <w:lang w:val="en-IE"/>
              </w:rPr>
              <w:t>,</w:t>
            </w:r>
            <w:r w:rsidR="00263D15">
              <w:rPr>
                <w:noProof/>
                <w:sz w:val="24"/>
                <w:szCs w:val="24"/>
                <w:lang w:val="en-IE"/>
              </w:rPr>
              <w:t xml:space="preserve"> both implementers and SEP owner</w:t>
            </w:r>
            <w:r w:rsidR="007209B8">
              <w:rPr>
                <w:noProof/>
                <w:sz w:val="24"/>
                <w:szCs w:val="24"/>
                <w:lang w:val="en-IE"/>
              </w:rPr>
              <w:t>s</w:t>
            </w:r>
            <w:r w:rsidR="00263D15">
              <w:rPr>
                <w:noProof/>
                <w:sz w:val="24"/>
                <w:szCs w:val="24"/>
                <w:lang w:val="en-IE"/>
              </w:rPr>
              <w:t xml:space="preserve"> could request an expert opinion on the aggregate royalty, where all the </w:t>
            </w:r>
            <w:r w:rsidR="00614ED9">
              <w:rPr>
                <w:noProof/>
                <w:sz w:val="24"/>
                <w:szCs w:val="24"/>
                <w:lang w:val="en-IE"/>
              </w:rPr>
              <w:t>interested</w:t>
            </w:r>
            <w:r w:rsidR="00263D15">
              <w:rPr>
                <w:noProof/>
                <w:sz w:val="24"/>
                <w:szCs w:val="24"/>
                <w:lang w:val="en-IE"/>
              </w:rPr>
              <w:t xml:space="preserve"> parties </w:t>
            </w:r>
            <w:r w:rsidR="007209B8">
              <w:rPr>
                <w:noProof/>
                <w:sz w:val="24"/>
                <w:szCs w:val="24"/>
                <w:lang w:val="en-IE"/>
              </w:rPr>
              <w:t>would</w:t>
            </w:r>
            <w:r w:rsidR="00263D15">
              <w:rPr>
                <w:noProof/>
                <w:sz w:val="24"/>
                <w:szCs w:val="24"/>
                <w:lang w:val="en-IE"/>
              </w:rPr>
              <w:t xml:space="preserve"> be able to present their views.</w:t>
            </w:r>
            <w:r w:rsidR="00614ED9">
              <w:rPr>
                <w:noProof/>
                <w:sz w:val="24"/>
                <w:szCs w:val="24"/>
                <w:lang w:val="en-IE"/>
              </w:rPr>
              <w:t xml:space="preserve"> Finally</w:t>
            </w:r>
            <w:r w:rsidR="00285DDE">
              <w:rPr>
                <w:noProof/>
                <w:sz w:val="24"/>
                <w:szCs w:val="24"/>
                <w:lang w:val="en-IE"/>
              </w:rPr>
              <w:t>,</w:t>
            </w:r>
            <w:r w:rsidR="00614ED9">
              <w:rPr>
                <w:noProof/>
                <w:sz w:val="24"/>
                <w:szCs w:val="24"/>
                <w:lang w:val="en-IE"/>
              </w:rPr>
              <w:t xml:space="preserve"> an aggregate royalty could be determined during </w:t>
            </w:r>
            <w:r w:rsidR="007209B8">
              <w:rPr>
                <w:noProof/>
                <w:sz w:val="24"/>
                <w:szCs w:val="24"/>
                <w:lang w:val="en-IE"/>
              </w:rPr>
              <w:t xml:space="preserve">the </w:t>
            </w:r>
            <w:r w:rsidR="00614ED9">
              <w:rPr>
                <w:noProof/>
                <w:sz w:val="24"/>
                <w:szCs w:val="24"/>
                <w:lang w:val="en-IE"/>
              </w:rPr>
              <w:t xml:space="preserve">conciliation. This aggregate royalty </w:t>
            </w:r>
            <w:r w:rsidR="007209B8">
              <w:rPr>
                <w:noProof/>
                <w:sz w:val="24"/>
                <w:szCs w:val="24"/>
                <w:lang w:val="en-IE"/>
              </w:rPr>
              <w:t>would</w:t>
            </w:r>
            <w:r w:rsidR="00614ED9">
              <w:rPr>
                <w:noProof/>
                <w:sz w:val="24"/>
                <w:szCs w:val="24"/>
                <w:lang w:val="en-IE"/>
              </w:rPr>
              <w:t xml:space="preserve"> not be binding and </w:t>
            </w:r>
            <w:r w:rsidR="007209B8">
              <w:rPr>
                <w:noProof/>
                <w:sz w:val="24"/>
                <w:szCs w:val="24"/>
                <w:lang w:val="en-IE"/>
              </w:rPr>
              <w:t>would</w:t>
            </w:r>
            <w:r w:rsidR="00614ED9">
              <w:rPr>
                <w:noProof/>
                <w:sz w:val="24"/>
                <w:szCs w:val="24"/>
                <w:lang w:val="en-IE"/>
              </w:rPr>
              <w:t xml:space="preserve"> be published in the SEP register.</w:t>
            </w:r>
          </w:p>
          <w:p w14:paraId="522B472A" w14:textId="77777777" w:rsidR="00650141" w:rsidRPr="004063A0" w:rsidRDefault="00650141" w:rsidP="006530D1">
            <w:pPr>
              <w:pStyle w:val="ListParagraph"/>
              <w:numPr>
                <w:ilvl w:val="0"/>
                <w:numId w:val="3"/>
              </w:numPr>
              <w:spacing w:before="40" w:after="120"/>
              <w:ind w:left="284" w:hanging="284"/>
              <w:contextualSpacing w:val="0"/>
              <w:jc w:val="both"/>
              <w:rPr>
                <w:noProof/>
                <w:sz w:val="24"/>
                <w:szCs w:val="24"/>
                <w:lang w:val="en-IE"/>
              </w:rPr>
            </w:pPr>
            <w:r>
              <w:rPr>
                <w:noProof/>
                <w:sz w:val="24"/>
                <w:szCs w:val="24"/>
                <w:lang w:val="en-IE"/>
              </w:rPr>
              <w:t xml:space="preserve">Option 5: </w:t>
            </w:r>
            <w:r w:rsidRPr="00614ED9">
              <w:rPr>
                <w:b/>
                <w:noProof/>
                <w:sz w:val="24"/>
                <w:szCs w:val="24"/>
                <w:lang w:val="en-IE"/>
              </w:rPr>
              <w:t>SEP clearing house</w:t>
            </w:r>
            <w:r w:rsidR="00614ED9" w:rsidRPr="00614ED9">
              <w:rPr>
                <w:b/>
                <w:noProof/>
                <w:sz w:val="24"/>
                <w:szCs w:val="24"/>
                <w:lang w:val="en-IE"/>
              </w:rPr>
              <w:t>.</w:t>
            </w:r>
            <w:r w:rsidR="00614ED9">
              <w:rPr>
                <w:noProof/>
                <w:sz w:val="24"/>
                <w:szCs w:val="24"/>
                <w:lang w:val="en-IE"/>
              </w:rPr>
              <w:t xml:space="preserve"> </w:t>
            </w:r>
            <w:r w:rsidR="00917ED1">
              <w:rPr>
                <w:noProof/>
                <w:sz w:val="24"/>
                <w:szCs w:val="24"/>
                <w:lang w:val="en-IE"/>
              </w:rPr>
              <w:t>Establishment of</w:t>
            </w:r>
            <w:r w:rsidR="00614ED9">
              <w:rPr>
                <w:noProof/>
                <w:sz w:val="24"/>
                <w:szCs w:val="24"/>
                <w:lang w:val="en-IE"/>
              </w:rPr>
              <w:t xml:space="preserve"> a one-stop-shop for implementers to acquire SEP licenses by depositing an aggregate royalty </w:t>
            </w:r>
            <w:r w:rsidR="00917ED1">
              <w:rPr>
                <w:noProof/>
                <w:sz w:val="24"/>
                <w:szCs w:val="24"/>
                <w:lang w:val="en-IE"/>
              </w:rPr>
              <w:t>with t</w:t>
            </w:r>
            <w:r w:rsidR="00614ED9">
              <w:rPr>
                <w:noProof/>
                <w:sz w:val="24"/>
                <w:szCs w:val="24"/>
                <w:lang w:val="en-IE"/>
              </w:rPr>
              <w:t xml:space="preserve">he competence centre. SEP owners should inform the centre how to </w:t>
            </w:r>
            <w:r w:rsidR="00917ED1">
              <w:rPr>
                <w:noProof/>
                <w:sz w:val="24"/>
                <w:szCs w:val="24"/>
                <w:lang w:val="en-IE"/>
              </w:rPr>
              <w:t>allocate the aggregate</w:t>
            </w:r>
            <w:r w:rsidR="00614ED9">
              <w:rPr>
                <w:noProof/>
                <w:sz w:val="24"/>
                <w:szCs w:val="24"/>
                <w:lang w:val="en-IE"/>
              </w:rPr>
              <w:t xml:space="preserve"> royalty among </w:t>
            </w:r>
            <w:r w:rsidR="008C7F42">
              <w:rPr>
                <w:noProof/>
                <w:sz w:val="24"/>
                <w:szCs w:val="24"/>
                <w:lang w:val="en-IE"/>
              </w:rPr>
              <w:t>them</w:t>
            </w:r>
            <w:r w:rsidR="00917ED1">
              <w:rPr>
                <w:noProof/>
                <w:sz w:val="24"/>
                <w:szCs w:val="24"/>
                <w:lang w:val="en-IE"/>
              </w:rPr>
              <w:t>, absent which t</w:t>
            </w:r>
            <w:r w:rsidR="006B3A85">
              <w:rPr>
                <w:noProof/>
                <w:sz w:val="24"/>
                <w:szCs w:val="24"/>
                <w:lang w:val="en-IE"/>
              </w:rPr>
              <w:t>hey w</w:t>
            </w:r>
            <w:r w:rsidR="00917ED1">
              <w:rPr>
                <w:noProof/>
                <w:sz w:val="24"/>
                <w:szCs w:val="24"/>
                <w:lang w:val="en-IE"/>
              </w:rPr>
              <w:t>ould n</w:t>
            </w:r>
            <w:r w:rsidR="006B3A85">
              <w:rPr>
                <w:noProof/>
                <w:sz w:val="24"/>
                <w:szCs w:val="24"/>
                <w:lang w:val="en-IE"/>
              </w:rPr>
              <w:t xml:space="preserve">ot be able to </w:t>
            </w:r>
            <w:r w:rsidR="004063A0">
              <w:rPr>
                <w:noProof/>
                <w:sz w:val="24"/>
                <w:szCs w:val="24"/>
                <w:lang w:val="en-IE"/>
              </w:rPr>
              <w:t>collect the</w:t>
            </w:r>
            <w:r w:rsidR="006B3A85">
              <w:rPr>
                <w:noProof/>
                <w:sz w:val="24"/>
                <w:szCs w:val="24"/>
                <w:lang w:val="en-IE"/>
              </w:rPr>
              <w:t>ir</w:t>
            </w:r>
            <w:r w:rsidR="004063A0">
              <w:rPr>
                <w:noProof/>
                <w:sz w:val="24"/>
                <w:szCs w:val="24"/>
                <w:lang w:val="en-IE"/>
              </w:rPr>
              <w:t xml:space="preserve"> royalty</w:t>
            </w:r>
            <w:r w:rsidR="006B3A85">
              <w:rPr>
                <w:noProof/>
                <w:sz w:val="24"/>
                <w:szCs w:val="24"/>
                <w:lang w:val="en-IE"/>
              </w:rPr>
              <w:t xml:space="preserve"> </w:t>
            </w:r>
            <w:r w:rsidR="00917ED1">
              <w:rPr>
                <w:noProof/>
                <w:sz w:val="24"/>
                <w:szCs w:val="24"/>
                <w:lang w:val="en-IE"/>
              </w:rPr>
              <w:t>payments</w:t>
            </w:r>
            <w:r w:rsidR="004063A0">
              <w:rPr>
                <w:noProof/>
                <w:sz w:val="24"/>
                <w:szCs w:val="24"/>
                <w:lang w:val="en-IE"/>
              </w:rPr>
              <w:t xml:space="preserve">. They should also </w:t>
            </w:r>
            <w:r w:rsidR="00614ED9">
              <w:rPr>
                <w:noProof/>
                <w:sz w:val="24"/>
                <w:szCs w:val="24"/>
                <w:lang w:val="en-IE"/>
              </w:rPr>
              <w:t>sign license agreement</w:t>
            </w:r>
            <w:r w:rsidR="004063A0">
              <w:rPr>
                <w:noProof/>
                <w:sz w:val="24"/>
                <w:szCs w:val="24"/>
                <w:lang w:val="en-IE"/>
              </w:rPr>
              <w:t>s</w:t>
            </w:r>
            <w:r w:rsidR="00614ED9">
              <w:rPr>
                <w:noProof/>
                <w:sz w:val="24"/>
                <w:szCs w:val="24"/>
                <w:lang w:val="en-IE"/>
              </w:rPr>
              <w:t xml:space="preserve"> with </w:t>
            </w:r>
            <w:r w:rsidR="004063A0">
              <w:rPr>
                <w:noProof/>
                <w:sz w:val="24"/>
                <w:szCs w:val="24"/>
                <w:lang w:val="en-IE"/>
              </w:rPr>
              <w:t xml:space="preserve">any </w:t>
            </w:r>
            <w:r w:rsidR="00614ED9">
              <w:rPr>
                <w:noProof/>
                <w:sz w:val="24"/>
                <w:szCs w:val="24"/>
                <w:lang w:val="en-IE"/>
              </w:rPr>
              <w:t>implementer</w:t>
            </w:r>
            <w:r w:rsidR="004063A0">
              <w:rPr>
                <w:noProof/>
                <w:sz w:val="24"/>
                <w:szCs w:val="24"/>
                <w:lang w:val="en-IE"/>
              </w:rPr>
              <w:t xml:space="preserve"> </w:t>
            </w:r>
            <w:r w:rsidR="00222371">
              <w:rPr>
                <w:noProof/>
                <w:sz w:val="24"/>
                <w:szCs w:val="24"/>
                <w:lang w:val="en-IE"/>
              </w:rPr>
              <w:t xml:space="preserve">who </w:t>
            </w:r>
            <w:r w:rsidR="00917ED1">
              <w:rPr>
                <w:noProof/>
                <w:sz w:val="24"/>
                <w:szCs w:val="24"/>
                <w:lang w:val="en-IE"/>
              </w:rPr>
              <w:t>would make</w:t>
            </w:r>
            <w:r w:rsidR="004063A0">
              <w:rPr>
                <w:noProof/>
                <w:sz w:val="24"/>
                <w:szCs w:val="24"/>
                <w:lang w:val="en-IE"/>
              </w:rPr>
              <w:t xml:space="preserve"> a deposit</w:t>
            </w:r>
            <w:r w:rsidR="00614ED9">
              <w:rPr>
                <w:noProof/>
                <w:sz w:val="24"/>
                <w:szCs w:val="24"/>
                <w:lang w:val="en-IE"/>
              </w:rPr>
              <w:t xml:space="preserve">. </w:t>
            </w:r>
            <w:r w:rsidR="004063A0" w:rsidRPr="004063A0">
              <w:rPr>
                <w:noProof/>
                <w:sz w:val="24"/>
                <w:szCs w:val="24"/>
                <w:lang w:val="en-IE"/>
              </w:rPr>
              <w:t xml:space="preserve">Any royalties not collected by SEP owners within a year from the deposit </w:t>
            </w:r>
            <w:r w:rsidR="00917ED1">
              <w:rPr>
                <w:noProof/>
                <w:sz w:val="24"/>
                <w:szCs w:val="24"/>
                <w:lang w:val="en-IE"/>
              </w:rPr>
              <w:t>would</w:t>
            </w:r>
            <w:r w:rsidR="004063A0" w:rsidRPr="004063A0">
              <w:rPr>
                <w:noProof/>
                <w:sz w:val="24"/>
                <w:szCs w:val="24"/>
                <w:lang w:val="en-IE"/>
              </w:rPr>
              <w:t xml:space="preserve"> be returned to the implementer</w:t>
            </w:r>
            <w:r w:rsidR="00917ED1">
              <w:rPr>
                <w:noProof/>
                <w:sz w:val="24"/>
                <w:szCs w:val="24"/>
                <w:lang w:val="en-IE"/>
              </w:rPr>
              <w:t>s</w:t>
            </w:r>
            <w:r w:rsidR="004063A0">
              <w:rPr>
                <w:noProof/>
                <w:sz w:val="24"/>
                <w:szCs w:val="24"/>
                <w:lang w:val="en-IE"/>
              </w:rPr>
              <w:t xml:space="preserve">. </w:t>
            </w:r>
          </w:p>
          <w:p w14:paraId="522B472B" w14:textId="563310CA" w:rsidR="00ED39C4" w:rsidRPr="003E2726" w:rsidRDefault="00F02D98" w:rsidP="00646649">
            <w:pPr>
              <w:pStyle w:val="Text2"/>
              <w:spacing w:before="40" w:after="120"/>
              <w:ind w:left="0"/>
              <w:rPr>
                <w:noProof/>
                <w:lang w:val="en-IE"/>
              </w:rPr>
            </w:pPr>
            <w:r>
              <w:rPr>
                <w:noProof/>
                <w:lang w:val="en-IE"/>
              </w:rPr>
              <w:t>In case of all options</w:t>
            </w:r>
            <w:r w:rsidR="00C12DF3">
              <w:rPr>
                <w:noProof/>
                <w:lang w:val="en-IE"/>
              </w:rPr>
              <w:t>,</w:t>
            </w:r>
            <w:r>
              <w:rPr>
                <w:noProof/>
                <w:lang w:val="en-IE"/>
              </w:rPr>
              <w:t xml:space="preserve"> the competence centre </w:t>
            </w:r>
            <w:r w:rsidR="00917ED1">
              <w:rPr>
                <w:noProof/>
                <w:lang w:val="en-IE"/>
              </w:rPr>
              <w:t>would charge</w:t>
            </w:r>
            <w:r>
              <w:rPr>
                <w:noProof/>
                <w:lang w:val="en-IE"/>
              </w:rPr>
              <w:t xml:space="preserve"> fees </w:t>
            </w:r>
            <w:r w:rsidR="00917ED1">
              <w:rPr>
                <w:noProof/>
                <w:lang w:val="en-IE"/>
              </w:rPr>
              <w:t>for the</w:t>
            </w:r>
            <w:r>
              <w:rPr>
                <w:noProof/>
                <w:lang w:val="en-IE"/>
              </w:rPr>
              <w:t xml:space="preserve"> costs of its activities as well as </w:t>
            </w:r>
            <w:r w:rsidR="00342689">
              <w:rPr>
                <w:noProof/>
                <w:lang w:val="en-IE"/>
              </w:rPr>
              <w:t xml:space="preserve">of </w:t>
            </w:r>
            <w:r>
              <w:rPr>
                <w:noProof/>
                <w:lang w:val="en-IE"/>
              </w:rPr>
              <w:t xml:space="preserve">activities </w:t>
            </w:r>
            <w:r w:rsidR="00342689">
              <w:rPr>
                <w:noProof/>
                <w:lang w:val="en-IE"/>
              </w:rPr>
              <w:t>by</w:t>
            </w:r>
            <w:r>
              <w:rPr>
                <w:noProof/>
                <w:lang w:val="en-IE"/>
              </w:rPr>
              <w:t xml:space="preserve"> external experts involved (</w:t>
            </w:r>
            <w:r w:rsidR="00917ED1">
              <w:rPr>
                <w:noProof/>
                <w:lang w:val="en-IE"/>
              </w:rPr>
              <w:t>essentiality</w:t>
            </w:r>
            <w:r>
              <w:rPr>
                <w:noProof/>
                <w:lang w:val="en-IE"/>
              </w:rPr>
              <w:t xml:space="preserve"> </w:t>
            </w:r>
            <w:r w:rsidR="00646649">
              <w:rPr>
                <w:noProof/>
                <w:lang w:val="en-IE"/>
              </w:rPr>
              <w:t>evaluators</w:t>
            </w:r>
            <w:r>
              <w:rPr>
                <w:noProof/>
                <w:lang w:val="en-IE"/>
              </w:rPr>
              <w:t xml:space="preserve"> and conciliators).</w:t>
            </w:r>
          </w:p>
        </w:tc>
      </w:tr>
      <w:tr w:rsidR="00ED39C4" w:rsidRPr="003E2726" w14:paraId="522B472E" w14:textId="77777777" w:rsidTr="6F5EF812">
        <w:tc>
          <w:tcPr>
            <w:tcW w:w="9322" w:type="dxa"/>
            <w:shd w:val="clear" w:color="auto" w:fill="CCCCCC"/>
          </w:tcPr>
          <w:p w14:paraId="522B472D" w14:textId="77777777" w:rsidR="00ED39C4" w:rsidRPr="003E2726" w:rsidRDefault="00ED39C4" w:rsidP="006544ED">
            <w:pPr>
              <w:spacing w:before="60"/>
              <w:jc w:val="both"/>
              <w:rPr>
                <w:noProof/>
                <w:sz w:val="24"/>
                <w:szCs w:val="24"/>
                <w:lang w:val="en-IE"/>
              </w:rPr>
            </w:pPr>
            <w:r w:rsidRPr="003E2726">
              <w:rPr>
                <w:b/>
                <w:noProof/>
                <w:sz w:val="24"/>
                <w:szCs w:val="24"/>
                <w:lang w:val="en-IE"/>
              </w:rPr>
              <w:t>Who supports which option?</w:t>
            </w:r>
            <w:r w:rsidRPr="003E2726">
              <w:rPr>
                <w:noProof/>
                <w:sz w:val="24"/>
                <w:szCs w:val="24"/>
                <w:lang w:val="en-IE"/>
              </w:rPr>
              <w:t xml:space="preserve"> </w:t>
            </w:r>
          </w:p>
        </w:tc>
      </w:tr>
      <w:tr w:rsidR="00ED39C4" w:rsidRPr="003E2726" w14:paraId="522B4730" w14:textId="77777777" w:rsidTr="6F5EF812">
        <w:tc>
          <w:tcPr>
            <w:tcW w:w="9322" w:type="dxa"/>
            <w:shd w:val="clear" w:color="auto" w:fill="auto"/>
          </w:tcPr>
          <w:p w14:paraId="522B472F" w14:textId="128D85D7" w:rsidR="00ED39C4" w:rsidRPr="003E2726" w:rsidRDefault="00524FC2" w:rsidP="00A60A8C">
            <w:pPr>
              <w:spacing w:before="40" w:after="120"/>
              <w:jc w:val="both"/>
              <w:rPr>
                <w:noProof/>
                <w:sz w:val="24"/>
                <w:szCs w:val="24"/>
                <w:lang w:val="en-IE"/>
              </w:rPr>
            </w:pPr>
            <w:r>
              <w:rPr>
                <w:noProof/>
                <w:sz w:val="24"/>
                <w:szCs w:val="24"/>
                <w:lang w:val="en-IE"/>
              </w:rPr>
              <w:t xml:space="preserve">The options </w:t>
            </w:r>
            <w:r w:rsidR="00E151C0">
              <w:rPr>
                <w:noProof/>
                <w:sz w:val="24"/>
                <w:szCs w:val="24"/>
                <w:lang w:val="en-IE"/>
              </w:rPr>
              <w:t xml:space="preserve">have been designed after extensive analysis of existing literature, including the contribution of the SEP Expert Group and the industry during the Webinar series. They have been discussed with practitioners with relevant experience. </w:t>
            </w:r>
            <w:r w:rsidR="00997DB5">
              <w:rPr>
                <w:noProof/>
                <w:sz w:val="24"/>
                <w:szCs w:val="24"/>
                <w:lang w:val="en-IE"/>
              </w:rPr>
              <w:t>Most of the</w:t>
            </w:r>
            <w:r w:rsidR="00A60A8C">
              <w:rPr>
                <w:noProof/>
                <w:sz w:val="24"/>
                <w:szCs w:val="24"/>
                <w:lang w:val="en-IE"/>
              </w:rPr>
              <w:t xml:space="preserve"> options can </w:t>
            </w:r>
            <w:r w:rsidR="00997DB5">
              <w:rPr>
                <w:noProof/>
                <w:sz w:val="24"/>
                <w:szCs w:val="24"/>
                <w:lang w:val="en-IE"/>
              </w:rPr>
              <w:t xml:space="preserve">be compared with proposals made by the </w:t>
            </w:r>
            <w:r w:rsidRPr="00524FC2">
              <w:rPr>
                <w:noProof/>
                <w:sz w:val="24"/>
                <w:szCs w:val="24"/>
                <w:lang w:val="en-IE"/>
              </w:rPr>
              <w:t>SEP Expert Group</w:t>
            </w:r>
            <w:r w:rsidR="005555CB">
              <w:rPr>
                <w:noProof/>
                <w:sz w:val="24"/>
                <w:szCs w:val="24"/>
                <w:lang w:val="en-IE"/>
              </w:rPr>
              <w:t xml:space="preserve"> which received significant support from </w:t>
            </w:r>
            <w:r w:rsidR="00A60A8C">
              <w:rPr>
                <w:noProof/>
                <w:sz w:val="24"/>
                <w:szCs w:val="24"/>
                <w:lang w:val="en-IE"/>
              </w:rPr>
              <w:t>its</w:t>
            </w:r>
            <w:r w:rsidR="005555CB">
              <w:rPr>
                <w:noProof/>
                <w:sz w:val="24"/>
                <w:szCs w:val="24"/>
                <w:lang w:val="en-IE"/>
              </w:rPr>
              <w:t xml:space="preserve"> members</w:t>
            </w:r>
            <w:r>
              <w:rPr>
                <w:noProof/>
                <w:sz w:val="24"/>
                <w:szCs w:val="24"/>
                <w:lang w:val="en-IE"/>
              </w:rPr>
              <w:t xml:space="preserve">. </w:t>
            </w:r>
            <w:r w:rsidR="00CC136A">
              <w:rPr>
                <w:noProof/>
                <w:sz w:val="24"/>
                <w:szCs w:val="24"/>
                <w:lang w:val="en-IE"/>
              </w:rPr>
              <w:t>In addition, d</w:t>
            </w:r>
            <w:r>
              <w:rPr>
                <w:noProof/>
                <w:sz w:val="24"/>
                <w:szCs w:val="24"/>
                <w:lang w:val="en-IE"/>
              </w:rPr>
              <w:t>uring the public consultation there was strong support for more public information on SEP</w:t>
            </w:r>
            <w:r w:rsidR="00905328">
              <w:rPr>
                <w:noProof/>
                <w:sz w:val="24"/>
                <w:szCs w:val="24"/>
                <w:lang w:val="en-IE"/>
              </w:rPr>
              <w:t>s and FRAND royalty,</w:t>
            </w:r>
            <w:r>
              <w:rPr>
                <w:noProof/>
                <w:sz w:val="24"/>
                <w:szCs w:val="24"/>
                <w:lang w:val="en-IE"/>
              </w:rPr>
              <w:t xml:space="preserve"> including on aggregate royalty</w:t>
            </w:r>
            <w:r w:rsidR="00366318">
              <w:rPr>
                <w:noProof/>
                <w:sz w:val="24"/>
                <w:szCs w:val="24"/>
                <w:lang w:val="en-IE"/>
              </w:rPr>
              <w:t xml:space="preserve"> (</w:t>
            </w:r>
            <w:r>
              <w:rPr>
                <w:noProof/>
                <w:sz w:val="24"/>
                <w:szCs w:val="24"/>
                <w:lang w:val="en-IE"/>
              </w:rPr>
              <w:t>especially coming from SEP implementers</w:t>
            </w:r>
            <w:r w:rsidR="00366318">
              <w:rPr>
                <w:noProof/>
                <w:sz w:val="24"/>
                <w:szCs w:val="24"/>
                <w:lang w:val="en-IE"/>
              </w:rPr>
              <w:t>)</w:t>
            </w:r>
            <w:r w:rsidR="0049064B">
              <w:rPr>
                <w:noProof/>
                <w:sz w:val="24"/>
                <w:szCs w:val="24"/>
                <w:lang w:val="en-IE"/>
              </w:rPr>
              <w:t>. A</w:t>
            </w:r>
            <w:r>
              <w:rPr>
                <w:noProof/>
                <w:sz w:val="24"/>
                <w:szCs w:val="24"/>
                <w:lang w:val="en-IE"/>
              </w:rPr>
              <w:t xml:space="preserve">round </w:t>
            </w:r>
            <w:r w:rsidR="00D11C17">
              <w:rPr>
                <w:noProof/>
                <w:sz w:val="24"/>
                <w:szCs w:val="24"/>
                <w:lang w:val="en-IE"/>
              </w:rPr>
              <w:t xml:space="preserve">53% of </w:t>
            </w:r>
            <w:r w:rsidR="0049064B">
              <w:rPr>
                <w:noProof/>
                <w:sz w:val="24"/>
                <w:szCs w:val="24"/>
                <w:lang w:val="en-IE"/>
              </w:rPr>
              <w:t xml:space="preserve">the </w:t>
            </w:r>
            <w:r>
              <w:rPr>
                <w:noProof/>
                <w:sz w:val="24"/>
                <w:szCs w:val="24"/>
                <w:lang w:val="en-IE"/>
              </w:rPr>
              <w:t xml:space="preserve">respondents </w:t>
            </w:r>
            <w:r w:rsidR="00D11C17">
              <w:rPr>
                <w:noProof/>
                <w:sz w:val="24"/>
                <w:szCs w:val="24"/>
                <w:lang w:val="en-IE"/>
              </w:rPr>
              <w:t xml:space="preserve">found arbitration </w:t>
            </w:r>
            <w:r>
              <w:rPr>
                <w:noProof/>
                <w:sz w:val="24"/>
                <w:szCs w:val="24"/>
                <w:lang w:val="en-IE"/>
              </w:rPr>
              <w:t>useful</w:t>
            </w:r>
            <w:r w:rsidR="00D11C17">
              <w:rPr>
                <w:noProof/>
                <w:sz w:val="24"/>
                <w:szCs w:val="24"/>
                <w:lang w:val="en-IE"/>
              </w:rPr>
              <w:t xml:space="preserve"> and around 35% found mediation useful</w:t>
            </w:r>
            <w:r>
              <w:rPr>
                <w:noProof/>
                <w:sz w:val="24"/>
                <w:szCs w:val="24"/>
                <w:lang w:val="en-IE"/>
              </w:rPr>
              <w:t xml:space="preserve">. </w:t>
            </w:r>
            <w:r w:rsidR="00521396">
              <w:rPr>
                <w:noProof/>
                <w:sz w:val="24"/>
                <w:szCs w:val="24"/>
                <w:lang w:val="en-IE"/>
              </w:rPr>
              <w:t xml:space="preserve">The respondents noted that those instruments are not </w:t>
            </w:r>
            <w:r w:rsidR="00C36271">
              <w:rPr>
                <w:noProof/>
                <w:sz w:val="24"/>
                <w:szCs w:val="24"/>
                <w:lang w:val="en-IE"/>
              </w:rPr>
              <w:t xml:space="preserve">sufficiently </w:t>
            </w:r>
            <w:r w:rsidR="00521396">
              <w:rPr>
                <w:noProof/>
                <w:sz w:val="24"/>
                <w:szCs w:val="24"/>
                <w:lang w:val="en-IE"/>
              </w:rPr>
              <w:t>used</w:t>
            </w:r>
            <w:r w:rsidR="00E05E8A">
              <w:rPr>
                <w:noProof/>
                <w:sz w:val="24"/>
                <w:szCs w:val="24"/>
                <w:lang w:val="en-IE"/>
              </w:rPr>
              <w:t>,</w:t>
            </w:r>
            <w:r w:rsidR="00521396">
              <w:rPr>
                <w:noProof/>
                <w:sz w:val="24"/>
                <w:szCs w:val="24"/>
                <w:lang w:val="en-IE"/>
              </w:rPr>
              <w:t xml:space="preserve"> primarily because they are confidential</w:t>
            </w:r>
            <w:r w:rsidR="004043EE">
              <w:rPr>
                <w:noProof/>
                <w:sz w:val="24"/>
                <w:szCs w:val="24"/>
                <w:lang w:val="en-IE"/>
              </w:rPr>
              <w:t xml:space="preserve">. </w:t>
            </w:r>
            <w:r w:rsidR="006C66A7">
              <w:rPr>
                <w:noProof/>
                <w:sz w:val="24"/>
                <w:szCs w:val="24"/>
                <w:lang w:val="en-IE"/>
              </w:rPr>
              <w:t xml:space="preserve">The shortcomings of the existing mechanisms </w:t>
            </w:r>
            <w:r w:rsidR="009128D9">
              <w:rPr>
                <w:noProof/>
                <w:sz w:val="24"/>
                <w:szCs w:val="24"/>
                <w:lang w:val="en-IE"/>
              </w:rPr>
              <w:t xml:space="preserve">have been addressed by the proposed conciliation (FRAND determination) process. </w:t>
            </w:r>
            <w:r>
              <w:rPr>
                <w:noProof/>
                <w:sz w:val="24"/>
                <w:szCs w:val="24"/>
                <w:lang w:val="en-IE"/>
              </w:rPr>
              <w:t xml:space="preserve">SMEs </w:t>
            </w:r>
            <w:r w:rsidR="002B5ADB">
              <w:rPr>
                <w:noProof/>
                <w:sz w:val="24"/>
                <w:szCs w:val="24"/>
                <w:lang w:val="en-IE"/>
              </w:rPr>
              <w:t>in particular</w:t>
            </w:r>
            <w:r>
              <w:rPr>
                <w:noProof/>
                <w:sz w:val="24"/>
                <w:szCs w:val="24"/>
                <w:lang w:val="en-IE"/>
              </w:rPr>
              <w:t xml:space="preserve"> noted</w:t>
            </w:r>
            <w:r w:rsidR="001438ED">
              <w:rPr>
                <w:noProof/>
                <w:sz w:val="24"/>
                <w:szCs w:val="24"/>
                <w:lang w:val="en-IE"/>
              </w:rPr>
              <w:t xml:space="preserve"> their</w:t>
            </w:r>
            <w:r>
              <w:rPr>
                <w:noProof/>
                <w:sz w:val="24"/>
                <w:szCs w:val="24"/>
                <w:lang w:val="en-IE"/>
              </w:rPr>
              <w:t xml:space="preserve"> lack of resources to negotiate with SEP owners, which indicate</w:t>
            </w:r>
            <w:r w:rsidR="00782ED3">
              <w:rPr>
                <w:noProof/>
                <w:sz w:val="24"/>
                <w:szCs w:val="24"/>
                <w:lang w:val="en-IE"/>
              </w:rPr>
              <w:t>s</w:t>
            </w:r>
            <w:r>
              <w:rPr>
                <w:noProof/>
                <w:sz w:val="24"/>
                <w:szCs w:val="24"/>
                <w:lang w:val="en-IE"/>
              </w:rPr>
              <w:t xml:space="preserve"> their support for all measures reducing the</w:t>
            </w:r>
            <w:r w:rsidR="006521E9">
              <w:rPr>
                <w:noProof/>
                <w:sz w:val="24"/>
                <w:szCs w:val="24"/>
                <w:lang w:val="en-IE"/>
              </w:rPr>
              <w:t>ir</w:t>
            </w:r>
            <w:r>
              <w:rPr>
                <w:noProof/>
                <w:sz w:val="24"/>
                <w:szCs w:val="24"/>
                <w:lang w:val="en-IE"/>
              </w:rPr>
              <w:t xml:space="preserve"> transaction costs.</w:t>
            </w:r>
          </w:p>
        </w:tc>
      </w:tr>
      <w:tr w:rsidR="00ED39C4" w:rsidRPr="003E2726" w14:paraId="522B4732" w14:textId="77777777" w:rsidTr="6F5EF812">
        <w:tc>
          <w:tcPr>
            <w:tcW w:w="9322" w:type="dxa"/>
            <w:tcBorders>
              <w:bottom w:val="single" w:sz="4" w:space="0" w:color="auto"/>
            </w:tcBorders>
            <w:shd w:val="clear" w:color="auto" w:fill="CCCCCC"/>
          </w:tcPr>
          <w:p w14:paraId="522B4731" w14:textId="77777777" w:rsidR="00ED39C4" w:rsidRPr="003E2726" w:rsidRDefault="00ED39C4" w:rsidP="006544ED">
            <w:pPr>
              <w:spacing w:before="60" w:after="60"/>
              <w:jc w:val="center"/>
              <w:rPr>
                <w:b/>
                <w:noProof/>
                <w:sz w:val="24"/>
                <w:szCs w:val="24"/>
                <w:lang w:val="en-IE"/>
              </w:rPr>
            </w:pPr>
            <w:r w:rsidRPr="003E2726">
              <w:rPr>
                <w:b/>
                <w:noProof/>
                <w:sz w:val="24"/>
                <w:szCs w:val="24"/>
                <w:lang w:val="en-IE"/>
              </w:rPr>
              <w:t>C. Impacts of the preferred option</w:t>
            </w:r>
          </w:p>
        </w:tc>
      </w:tr>
      <w:tr w:rsidR="00ED39C4" w:rsidRPr="003E2726" w14:paraId="522B4734" w14:textId="77777777" w:rsidTr="6F5EF812">
        <w:tc>
          <w:tcPr>
            <w:tcW w:w="9322" w:type="dxa"/>
            <w:tcBorders>
              <w:bottom w:val="single" w:sz="4" w:space="0" w:color="auto"/>
            </w:tcBorders>
            <w:shd w:val="clear" w:color="auto" w:fill="E6E6E6"/>
          </w:tcPr>
          <w:p w14:paraId="522B4733" w14:textId="77777777" w:rsidR="00ED39C4" w:rsidRPr="003E2726" w:rsidRDefault="00ED39C4" w:rsidP="006544ED">
            <w:pPr>
              <w:spacing w:before="60" w:after="60"/>
              <w:jc w:val="both"/>
              <w:rPr>
                <w:noProof/>
                <w:sz w:val="24"/>
                <w:szCs w:val="24"/>
                <w:lang w:val="en-IE"/>
              </w:rPr>
            </w:pPr>
            <w:r w:rsidRPr="003E2726">
              <w:rPr>
                <w:b/>
                <w:noProof/>
                <w:sz w:val="24"/>
                <w:szCs w:val="24"/>
                <w:lang w:val="en-IE"/>
              </w:rPr>
              <w:t>What are the benefits of the preferred option (if any, otherwise main ones)?</w:t>
            </w:r>
            <w:r w:rsidRPr="003E2726">
              <w:rPr>
                <w:noProof/>
                <w:sz w:val="24"/>
                <w:szCs w:val="24"/>
                <w:lang w:val="en-IE"/>
              </w:rPr>
              <w:t xml:space="preserve"> </w:t>
            </w:r>
          </w:p>
        </w:tc>
      </w:tr>
      <w:tr w:rsidR="00ED39C4" w:rsidRPr="003E2726" w14:paraId="522B4770" w14:textId="77777777" w:rsidTr="6F5EF812">
        <w:tc>
          <w:tcPr>
            <w:tcW w:w="9322" w:type="dxa"/>
            <w:tcBorders>
              <w:bottom w:val="single" w:sz="4" w:space="0" w:color="auto"/>
            </w:tcBorders>
            <w:shd w:val="clear" w:color="auto" w:fill="auto"/>
          </w:tcPr>
          <w:p w14:paraId="522B4735" w14:textId="44984650" w:rsidR="00161EE9" w:rsidRDefault="00F044B9" w:rsidP="006530D1">
            <w:pPr>
              <w:spacing w:before="40" w:after="120"/>
              <w:jc w:val="both"/>
              <w:rPr>
                <w:noProof/>
                <w:sz w:val="24"/>
                <w:szCs w:val="24"/>
                <w:lang w:val="en-IE"/>
              </w:rPr>
            </w:pPr>
            <w:r w:rsidRPr="00F044B9">
              <w:rPr>
                <w:noProof/>
                <w:sz w:val="24"/>
                <w:szCs w:val="24"/>
                <w:lang w:val="en-IE"/>
              </w:rPr>
              <w:t>O</w:t>
            </w:r>
            <w:r>
              <w:rPr>
                <w:noProof/>
                <w:sz w:val="24"/>
                <w:szCs w:val="24"/>
                <w:lang w:val="en-IE"/>
              </w:rPr>
              <w:t>ption 4 is the preferred option.</w:t>
            </w:r>
            <w:r w:rsidR="00FD6C1F">
              <w:rPr>
                <w:noProof/>
                <w:sz w:val="24"/>
                <w:szCs w:val="24"/>
                <w:lang w:val="en-IE"/>
              </w:rPr>
              <w:t xml:space="preserve"> </w:t>
            </w:r>
            <w:r w:rsidRPr="00F044B9">
              <w:rPr>
                <w:noProof/>
                <w:sz w:val="24"/>
                <w:szCs w:val="24"/>
                <w:lang w:val="en-IE"/>
              </w:rPr>
              <w:t xml:space="preserve">The option reduces information asymmetry between a SEP owner and an implementer by providing the latter with information who the relevant SEP owners are, how many </w:t>
            </w:r>
            <w:r w:rsidR="00782ED3">
              <w:rPr>
                <w:noProof/>
                <w:sz w:val="24"/>
                <w:szCs w:val="24"/>
                <w:lang w:val="en-IE"/>
              </w:rPr>
              <w:t>SEPs</w:t>
            </w:r>
            <w:r w:rsidRPr="00F044B9">
              <w:rPr>
                <w:noProof/>
                <w:sz w:val="24"/>
                <w:szCs w:val="24"/>
                <w:lang w:val="en-IE"/>
              </w:rPr>
              <w:t xml:space="preserve"> they have registered in the register and what their essentiality rate is (derived from a representative random sample of all registered SEPs) and what the potential </w:t>
            </w:r>
            <w:r w:rsidR="001A28E8">
              <w:rPr>
                <w:noProof/>
                <w:sz w:val="24"/>
                <w:szCs w:val="24"/>
                <w:lang w:val="en-IE"/>
              </w:rPr>
              <w:t>(</w:t>
            </w:r>
            <w:r w:rsidRPr="00F044B9">
              <w:rPr>
                <w:noProof/>
                <w:sz w:val="24"/>
                <w:szCs w:val="24"/>
                <w:lang w:val="en-IE"/>
              </w:rPr>
              <w:t>or maximum</w:t>
            </w:r>
            <w:r w:rsidR="001A28E8">
              <w:rPr>
                <w:noProof/>
                <w:sz w:val="24"/>
                <w:szCs w:val="24"/>
                <w:lang w:val="en-IE"/>
              </w:rPr>
              <w:t>)</w:t>
            </w:r>
            <w:r w:rsidRPr="00F044B9">
              <w:rPr>
                <w:noProof/>
                <w:sz w:val="24"/>
                <w:szCs w:val="24"/>
                <w:lang w:val="en-IE"/>
              </w:rPr>
              <w:t xml:space="preserve"> total cost of using a standardised technology (aggregate royalty) is. A pre-trial obligatory conciliation is likely to reduce SEP dispute settlement costs to about 1/8 as the conciliator will assist both parties in reaching an agreement. A competence centre will provide objective information, guidance and support to SME</w:t>
            </w:r>
            <w:r w:rsidR="0014592A">
              <w:rPr>
                <w:noProof/>
                <w:sz w:val="24"/>
                <w:szCs w:val="24"/>
                <w:lang w:val="en-IE"/>
              </w:rPr>
              <w:t>s</w:t>
            </w:r>
            <w:r w:rsidRPr="00F044B9">
              <w:rPr>
                <w:noProof/>
                <w:sz w:val="24"/>
                <w:szCs w:val="24"/>
                <w:lang w:val="en-IE"/>
              </w:rPr>
              <w:t xml:space="preserve"> in relation to SEPs and SEP licensing.</w:t>
            </w:r>
            <w:r>
              <w:rPr>
                <w:noProof/>
                <w:sz w:val="24"/>
                <w:szCs w:val="24"/>
                <w:lang w:val="en-IE"/>
              </w:rPr>
              <w:t xml:space="preserve"> Benefits and costs are presented in the table below</w:t>
            </w:r>
          </w:p>
          <w:p w14:paraId="522B4736" w14:textId="2840D765" w:rsidR="00423E72" w:rsidRPr="000518BD" w:rsidRDefault="00423E72" w:rsidP="00423E72">
            <w:pPr>
              <w:spacing w:before="40"/>
              <w:rPr>
                <w:i/>
                <w:noProof/>
                <w:sz w:val="24"/>
                <w:szCs w:val="24"/>
              </w:rPr>
            </w:pPr>
            <w:r w:rsidRPr="0064208F">
              <w:rPr>
                <w:i/>
                <w:noProof/>
              </w:rPr>
              <w:t xml:space="preserve">Table </w:t>
            </w:r>
            <w:r w:rsidRPr="0064208F">
              <w:rPr>
                <w:i/>
                <w:noProof/>
              </w:rPr>
              <w:fldChar w:fldCharType="begin"/>
            </w:r>
            <w:r w:rsidRPr="0064208F">
              <w:rPr>
                <w:i/>
                <w:noProof/>
              </w:rPr>
              <w:instrText>SEQ Table \* ARABIC</w:instrText>
            </w:r>
            <w:r w:rsidRPr="0064208F">
              <w:rPr>
                <w:i/>
                <w:noProof/>
              </w:rPr>
              <w:fldChar w:fldCharType="separate"/>
            </w:r>
            <w:r w:rsidR="00F93DA2">
              <w:rPr>
                <w:i/>
                <w:noProof/>
              </w:rPr>
              <w:t>1</w:t>
            </w:r>
            <w:r w:rsidRPr="0064208F">
              <w:rPr>
                <w:i/>
                <w:noProof/>
              </w:rPr>
              <w:fldChar w:fldCharType="end"/>
            </w:r>
            <w:r w:rsidRPr="0064208F">
              <w:rPr>
                <w:i/>
                <w:noProof/>
              </w:rPr>
              <w:t>: Average approximated annual costs and benefits of the preferred option per affected party and localisation (EUR</w:t>
            </w:r>
            <w:r w:rsidR="000518BD" w:rsidRPr="0064208F">
              <w:rPr>
                <w:i/>
                <w:noProof/>
              </w:rPr>
              <w:t xml:space="preserve"> million</w:t>
            </w:r>
            <w:r w:rsidRPr="0064208F">
              <w:rPr>
                <w:i/>
                <w:noProof/>
              </w:rPr>
              <w:t>).</w:t>
            </w:r>
          </w:p>
          <w:tbl>
            <w:tblPr>
              <w:tblStyle w:val="TableGrid"/>
              <w:tblW w:w="0" w:type="auto"/>
              <w:tblLook w:val="04A0" w:firstRow="1" w:lastRow="0" w:firstColumn="1" w:lastColumn="0" w:noHBand="0" w:noVBand="1"/>
            </w:tblPr>
            <w:tblGrid>
              <w:gridCol w:w="2048"/>
              <w:gridCol w:w="2206"/>
              <w:gridCol w:w="1614"/>
              <w:gridCol w:w="1614"/>
              <w:gridCol w:w="1614"/>
            </w:tblGrid>
            <w:tr w:rsidR="003F65E8" w:rsidRPr="00BD1974" w14:paraId="5F2C44C9" w14:textId="77777777" w:rsidTr="00CC16F0">
              <w:tc>
                <w:tcPr>
                  <w:tcW w:w="4254" w:type="dxa"/>
                  <w:gridSpan w:val="2"/>
                  <w:vAlign w:val="bottom"/>
                </w:tcPr>
                <w:p w14:paraId="4CFBED03" w14:textId="77777777" w:rsidR="003F65E8" w:rsidRPr="00BD1974" w:rsidRDefault="003F65E8" w:rsidP="003F65E8">
                  <w:pPr>
                    <w:rPr>
                      <w:noProof/>
                    </w:rPr>
                  </w:pPr>
                </w:p>
              </w:tc>
              <w:tc>
                <w:tcPr>
                  <w:tcW w:w="1614" w:type="dxa"/>
                  <w:vAlign w:val="bottom"/>
                </w:tcPr>
                <w:p w14:paraId="77C06447" w14:textId="77777777" w:rsidR="003F65E8" w:rsidRPr="00BD1974" w:rsidRDefault="003F65E8" w:rsidP="003F65E8">
                  <w:pPr>
                    <w:jc w:val="center"/>
                    <w:rPr>
                      <w:b/>
                      <w:noProof/>
                    </w:rPr>
                  </w:pPr>
                  <w:r w:rsidRPr="00BD1974">
                    <w:rPr>
                      <w:b/>
                      <w:noProof/>
                      <w:color w:val="000000"/>
                    </w:rPr>
                    <w:t>EU</w:t>
                  </w:r>
                </w:p>
              </w:tc>
              <w:tc>
                <w:tcPr>
                  <w:tcW w:w="1614" w:type="dxa"/>
                  <w:vAlign w:val="bottom"/>
                </w:tcPr>
                <w:p w14:paraId="2AD3EFFB" w14:textId="77777777" w:rsidR="003F65E8" w:rsidRPr="00BD1974" w:rsidRDefault="003F65E8" w:rsidP="003F65E8">
                  <w:pPr>
                    <w:jc w:val="center"/>
                    <w:rPr>
                      <w:b/>
                      <w:noProof/>
                    </w:rPr>
                  </w:pPr>
                  <w:r w:rsidRPr="00BD1974">
                    <w:rPr>
                      <w:b/>
                      <w:noProof/>
                      <w:color w:val="000000"/>
                    </w:rPr>
                    <w:t>non-EU</w:t>
                  </w:r>
                </w:p>
              </w:tc>
              <w:tc>
                <w:tcPr>
                  <w:tcW w:w="1614" w:type="dxa"/>
                  <w:vAlign w:val="bottom"/>
                </w:tcPr>
                <w:p w14:paraId="1FAA3126" w14:textId="77777777" w:rsidR="003F65E8" w:rsidRPr="00BD1974" w:rsidRDefault="003F65E8" w:rsidP="003F65E8">
                  <w:pPr>
                    <w:jc w:val="center"/>
                    <w:rPr>
                      <w:i/>
                      <w:noProof/>
                    </w:rPr>
                  </w:pPr>
                  <w:r w:rsidRPr="00BD1974">
                    <w:rPr>
                      <w:i/>
                      <w:noProof/>
                      <w:color w:val="000000"/>
                    </w:rPr>
                    <w:t>Total</w:t>
                  </w:r>
                </w:p>
              </w:tc>
            </w:tr>
            <w:tr w:rsidR="003F65E8" w:rsidRPr="00BD1974" w14:paraId="23DE4FBA" w14:textId="77777777" w:rsidTr="00CC16F0">
              <w:tc>
                <w:tcPr>
                  <w:tcW w:w="2048" w:type="dxa"/>
                  <w:vMerge w:val="restart"/>
                  <w:vAlign w:val="center"/>
                </w:tcPr>
                <w:p w14:paraId="4057C5E3" w14:textId="77777777" w:rsidR="003F65E8" w:rsidRPr="00BD1974" w:rsidRDefault="003F65E8" w:rsidP="003F65E8">
                  <w:pPr>
                    <w:rPr>
                      <w:noProof/>
                    </w:rPr>
                  </w:pPr>
                  <w:r w:rsidRPr="00BD1974">
                    <w:rPr>
                      <w:noProof/>
                    </w:rPr>
                    <w:t>SEP implementers</w:t>
                  </w:r>
                </w:p>
              </w:tc>
              <w:tc>
                <w:tcPr>
                  <w:tcW w:w="2206" w:type="dxa"/>
                </w:tcPr>
                <w:p w14:paraId="024F5A67" w14:textId="77777777" w:rsidR="003F65E8" w:rsidRPr="00BD1974" w:rsidRDefault="003F65E8" w:rsidP="003F65E8">
                  <w:pPr>
                    <w:jc w:val="right"/>
                    <w:rPr>
                      <w:noProof/>
                      <w:color w:val="000000"/>
                    </w:rPr>
                  </w:pPr>
                  <w:r w:rsidRPr="00BD1974">
                    <w:rPr>
                      <w:noProof/>
                    </w:rPr>
                    <w:t>Costs</w:t>
                  </w:r>
                </w:p>
              </w:tc>
              <w:tc>
                <w:tcPr>
                  <w:tcW w:w="1614" w:type="dxa"/>
                </w:tcPr>
                <w:p w14:paraId="394BD917" w14:textId="77777777" w:rsidR="003F65E8" w:rsidRPr="003B5CF6" w:rsidRDefault="003F65E8" w:rsidP="003F65E8">
                  <w:pPr>
                    <w:jc w:val="right"/>
                    <w:rPr>
                      <w:noProof/>
                      <w:color w:val="000000"/>
                    </w:rPr>
                  </w:pPr>
                  <w:r w:rsidRPr="003B5CF6">
                    <w:rPr>
                      <w:noProof/>
                    </w:rPr>
                    <w:t>-0.77</w:t>
                  </w:r>
                </w:p>
              </w:tc>
              <w:tc>
                <w:tcPr>
                  <w:tcW w:w="1614" w:type="dxa"/>
                </w:tcPr>
                <w:p w14:paraId="2DD41FA0" w14:textId="77777777" w:rsidR="003F65E8" w:rsidRPr="003B5CF6" w:rsidRDefault="003F65E8" w:rsidP="003F65E8">
                  <w:pPr>
                    <w:jc w:val="right"/>
                    <w:rPr>
                      <w:noProof/>
                      <w:color w:val="000000"/>
                    </w:rPr>
                  </w:pPr>
                  <w:r w:rsidRPr="003B5CF6">
                    <w:rPr>
                      <w:noProof/>
                    </w:rPr>
                    <w:t>-0.77</w:t>
                  </w:r>
                </w:p>
              </w:tc>
              <w:tc>
                <w:tcPr>
                  <w:tcW w:w="1614" w:type="dxa"/>
                </w:tcPr>
                <w:p w14:paraId="3DCE068E" w14:textId="77777777" w:rsidR="003F65E8" w:rsidRPr="003B5CF6" w:rsidRDefault="003F65E8" w:rsidP="003F65E8">
                  <w:pPr>
                    <w:jc w:val="right"/>
                    <w:rPr>
                      <w:i/>
                      <w:noProof/>
                      <w:color w:val="000000"/>
                    </w:rPr>
                  </w:pPr>
                  <w:r w:rsidRPr="003B5CF6">
                    <w:rPr>
                      <w:noProof/>
                    </w:rPr>
                    <w:t>-1.5</w:t>
                  </w:r>
                </w:p>
              </w:tc>
            </w:tr>
            <w:tr w:rsidR="003F65E8" w:rsidRPr="00BD1974" w14:paraId="59055A82" w14:textId="77777777" w:rsidTr="00CC16F0">
              <w:trPr>
                <w:trHeight w:val="275"/>
              </w:trPr>
              <w:tc>
                <w:tcPr>
                  <w:tcW w:w="2048" w:type="dxa"/>
                  <w:vMerge/>
                </w:tcPr>
                <w:p w14:paraId="22A559C1" w14:textId="77777777" w:rsidR="003F65E8" w:rsidRPr="00BD1974" w:rsidRDefault="003F65E8" w:rsidP="003F65E8">
                  <w:pPr>
                    <w:jc w:val="right"/>
                    <w:rPr>
                      <w:noProof/>
                      <w:color w:val="000000"/>
                    </w:rPr>
                  </w:pPr>
                </w:p>
              </w:tc>
              <w:tc>
                <w:tcPr>
                  <w:tcW w:w="2206" w:type="dxa"/>
                </w:tcPr>
                <w:p w14:paraId="3C710A05" w14:textId="77777777" w:rsidR="003F65E8" w:rsidRPr="00BD1974" w:rsidRDefault="003F65E8" w:rsidP="003F65E8">
                  <w:pPr>
                    <w:jc w:val="right"/>
                    <w:rPr>
                      <w:noProof/>
                      <w:color w:val="000000"/>
                    </w:rPr>
                  </w:pPr>
                  <w:r w:rsidRPr="00BD1974">
                    <w:rPr>
                      <w:noProof/>
                    </w:rPr>
                    <w:t>Benefits</w:t>
                  </w:r>
                </w:p>
              </w:tc>
              <w:tc>
                <w:tcPr>
                  <w:tcW w:w="1614" w:type="dxa"/>
                </w:tcPr>
                <w:p w14:paraId="579A318A" w14:textId="77777777" w:rsidR="003F65E8" w:rsidRPr="003B5CF6" w:rsidRDefault="003F65E8" w:rsidP="003F65E8">
                  <w:pPr>
                    <w:jc w:val="right"/>
                    <w:rPr>
                      <w:noProof/>
                      <w:color w:val="000000"/>
                    </w:rPr>
                  </w:pPr>
                  <w:r w:rsidRPr="003B5CF6">
                    <w:rPr>
                      <w:noProof/>
                    </w:rPr>
                    <w:t>12.89</w:t>
                  </w:r>
                </w:p>
              </w:tc>
              <w:tc>
                <w:tcPr>
                  <w:tcW w:w="1614" w:type="dxa"/>
                </w:tcPr>
                <w:p w14:paraId="516B5F29" w14:textId="77777777" w:rsidR="003F65E8" w:rsidRPr="003B5CF6" w:rsidRDefault="003F65E8" w:rsidP="003F65E8">
                  <w:pPr>
                    <w:jc w:val="right"/>
                    <w:rPr>
                      <w:noProof/>
                      <w:color w:val="000000"/>
                    </w:rPr>
                  </w:pPr>
                  <w:r w:rsidRPr="003B5CF6">
                    <w:rPr>
                      <w:noProof/>
                    </w:rPr>
                    <w:t>13.03</w:t>
                  </w:r>
                </w:p>
              </w:tc>
              <w:tc>
                <w:tcPr>
                  <w:tcW w:w="1614" w:type="dxa"/>
                </w:tcPr>
                <w:p w14:paraId="1F2E948B" w14:textId="77777777" w:rsidR="003F65E8" w:rsidRPr="003B5CF6" w:rsidRDefault="003F65E8" w:rsidP="003F65E8">
                  <w:pPr>
                    <w:jc w:val="right"/>
                    <w:rPr>
                      <w:i/>
                      <w:noProof/>
                      <w:color w:val="000000"/>
                    </w:rPr>
                  </w:pPr>
                  <w:r w:rsidRPr="003B5CF6">
                    <w:rPr>
                      <w:noProof/>
                    </w:rPr>
                    <w:t>25.9</w:t>
                  </w:r>
                </w:p>
              </w:tc>
            </w:tr>
            <w:tr w:rsidR="003F65E8" w:rsidRPr="00BD1974" w14:paraId="55286CFD" w14:textId="77777777" w:rsidTr="00CC16F0">
              <w:tc>
                <w:tcPr>
                  <w:tcW w:w="2048" w:type="dxa"/>
                  <w:vMerge/>
                </w:tcPr>
                <w:p w14:paraId="3D6E080A" w14:textId="77777777" w:rsidR="003F65E8" w:rsidRPr="00BD1974" w:rsidRDefault="003F65E8" w:rsidP="003F65E8">
                  <w:pPr>
                    <w:jc w:val="right"/>
                    <w:rPr>
                      <w:i/>
                      <w:noProof/>
                      <w:color w:val="000000"/>
                    </w:rPr>
                  </w:pPr>
                </w:p>
              </w:tc>
              <w:tc>
                <w:tcPr>
                  <w:tcW w:w="2206" w:type="dxa"/>
                </w:tcPr>
                <w:p w14:paraId="4137472B" w14:textId="77777777" w:rsidR="003F65E8" w:rsidRPr="00BD1974" w:rsidRDefault="003F65E8" w:rsidP="003F65E8">
                  <w:pPr>
                    <w:jc w:val="right"/>
                    <w:rPr>
                      <w:i/>
                      <w:noProof/>
                      <w:color w:val="000000"/>
                    </w:rPr>
                  </w:pPr>
                  <w:r w:rsidRPr="00BD1974">
                    <w:rPr>
                      <w:i/>
                      <w:noProof/>
                    </w:rPr>
                    <w:t>Net</w:t>
                  </w:r>
                </w:p>
              </w:tc>
              <w:tc>
                <w:tcPr>
                  <w:tcW w:w="1614" w:type="dxa"/>
                </w:tcPr>
                <w:p w14:paraId="00B206CE" w14:textId="77777777" w:rsidR="003F65E8" w:rsidRPr="003B5CF6" w:rsidRDefault="003F65E8" w:rsidP="003F65E8">
                  <w:pPr>
                    <w:jc w:val="center"/>
                    <w:rPr>
                      <w:i/>
                      <w:iCs/>
                      <w:noProof/>
                      <w:color w:val="000000"/>
                    </w:rPr>
                  </w:pPr>
                  <w:r w:rsidRPr="003B5CF6">
                    <w:rPr>
                      <w:i/>
                      <w:iCs/>
                      <w:noProof/>
                    </w:rPr>
                    <w:t>12.11</w:t>
                  </w:r>
                </w:p>
              </w:tc>
              <w:tc>
                <w:tcPr>
                  <w:tcW w:w="1614" w:type="dxa"/>
                </w:tcPr>
                <w:p w14:paraId="48BBB991" w14:textId="77777777" w:rsidR="003F65E8" w:rsidRPr="003B5CF6" w:rsidRDefault="003F65E8" w:rsidP="003F65E8">
                  <w:pPr>
                    <w:jc w:val="center"/>
                    <w:rPr>
                      <w:i/>
                      <w:iCs/>
                      <w:noProof/>
                      <w:color w:val="000000"/>
                    </w:rPr>
                  </w:pPr>
                  <w:r w:rsidRPr="003B5CF6">
                    <w:rPr>
                      <w:i/>
                      <w:iCs/>
                      <w:noProof/>
                    </w:rPr>
                    <w:t>12.26*</w:t>
                  </w:r>
                </w:p>
              </w:tc>
              <w:tc>
                <w:tcPr>
                  <w:tcW w:w="1614" w:type="dxa"/>
                </w:tcPr>
                <w:p w14:paraId="64CADA5F" w14:textId="77777777" w:rsidR="003F65E8" w:rsidRPr="003B5CF6" w:rsidRDefault="003F65E8" w:rsidP="003F65E8">
                  <w:pPr>
                    <w:jc w:val="center"/>
                    <w:rPr>
                      <w:i/>
                      <w:iCs/>
                      <w:noProof/>
                      <w:color w:val="000000"/>
                    </w:rPr>
                  </w:pPr>
                  <w:r w:rsidRPr="003B5CF6">
                    <w:rPr>
                      <w:i/>
                      <w:iCs/>
                      <w:noProof/>
                    </w:rPr>
                    <w:t>24.4</w:t>
                  </w:r>
                </w:p>
              </w:tc>
            </w:tr>
            <w:tr w:rsidR="003F65E8" w:rsidRPr="00BD1974" w14:paraId="20F04491" w14:textId="77777777" w:rsidTr="00CC16F0">
              <w:trPr>
                <w:trHeight w:val="275"/>
              </w:trPr>
              <w:tc>
                <w:tcPr>
                  <w:tcW w:w="2048" w:type="dxa"/>
                  <w:vMerge w:val="restart"/>
                  <w:vAlign w:val="center"/>
                </w:tcPr>
                <w:p w14:paraId="0AEA1721" w14:textId="77777777" w:rsidR="003F65E8" w:rsidRPr="00BD1974" w:rsidRDefault="003F65E8" w:rsidP="003F65E8">
                  <w:pPr>
                    <w:rPr>
                      <w:noProof/>
                    </w:rPr>
                  </w:pPr>
                  <w:r w:rsidRPr="00BD1974">
                    <w:rPr>
                      <w:noProof/>
                    </w:rPr>
                    <w:t xml:space="preserve">SEP </w:t>
                  </w:r>
                  <w:r>
                    <w:rPr>
                      <w:noProof/>
                    </w:rPr>
                    <w:t>holders</w:t>
                  </w:r>
                </w:p>
              </w:tc>
              <w:tc>
                <w:tcPr>
                  <w:tcW w:w="2206" w:type="dxa"/>
                </w:tcPr>
                <w:p w14:paraId="51861212" w14:textId="77777777" w:rsidR="003F65E8" w:rsidRPr="00BD1974" w:rsidRDefault="003F65E8" w:rsidP="003F65E8">
                  <w:pPr>
                    <w:jc w:val="right"/>
                    <w:rPr>
                      <w:noProof/>
                      <w:color w:val="000000"/>
                    </w:rPr>
                  </w:pPr>
                  <w:r w:rsidRPr="00BD1974">
                    <w:rPr>
                      <w:noProof/>
                    </w:rPr>
                    <w:t>Costs</w:t>
                  </w:r>
                </w:p>
              </w:tc>
              <w:tc>
                <w:tcPr>
                  <w:tcW w:w="1614" w:type="dxa"/>
                </w:tcPr>
                <w:p w14:paraId="1F702883" w14:textId="77777777" w:rsidR="003F65E8" w:rsidRPr="003B5CF6" w:rsidRDefault="003F65E8" w:rsidP="003F65E8">
                  <w:pPr>
                    <w:jc w:val="right"/>
                    <w:rPr>
                      <w:noProof/>
                      <w:color w:val="000000"/>
                    </w:rPr>
                  </w:pPr>
                  <w:r w:rsidRPr="003B5CF6">
                    <w:rPr>
                      <w:noProof/>
                    </w:rPr>
                    <w:t>-8.13</w:t>
                  </w:r>
                </w:p>
              </w:tc>
              <w:tc>
                <w:tcPr>
                  <w:tcW w:w="1614" w:type="dxa"/>
                </w:tcPr>
                <w:p w14:paraId="2CCEF99D" w14:textId="77777777" w:rsidR="003F65E8" w:rsidRPr="003B5CF6" w:rsidRDefault="003F65E8" w:rsidP="003F65E8">
                  <w:pPr>
                    <w:jc w:val="right"/>
                    <w:rPr>
                      <w:noProof/>
                      <w:color w:val="000000"/>
                    </w:rPr>
                  </w:pPr>
                  <w:r w:rsidRPr="003B5CF6">
                    <w:rPr>
                      <w:noProof/>
                    </w:rPr>
                    <w:t>-46.04</w:t>
                  </w:r>
                </w:p>
              </w:tc>
              <w:tc>
                <w:tcPr>
                  <w:tcW w:w="1614" w:type="dxa"/>
                </w:tcPr>
                <w:p w14:paraId="1B4AD594" w14:textId="77777777" w:rsidR="003F65E8" w:rsidRPr="003B5CF6" w:rsidRDefault="003F65E8" w:rsidP="003F65E8">
                  <w:pPr>
                    <w:jc w:val="right"/>
                    <w:rPr>
                      <w:i/>
                      <w:noProof/>
                      <w:color w:val="000000"/>
                    </w:rPr>
                  </w:pPr>
                  <w:r w:rsidRPr="003B5CF6">
                    <w:rPr>
                      <w:noProof/>
                    </w:rPr>
                    <w:t>-54.2</w:t>
                  </w:r>
                </w:p>
              </w:tc>
            </w:tr>
            <w:tr w:rsidR="003F65E8" w:rsidRPr="00BD1974" w14:paraId="52D52516" w14:textId="77777777" w:rsidTr="00CC16F0">
              <w:tc>
                <w:tcPr>
                  <w:tcW w:w="2048" w:type="dxa"/>
                  <w:vMerge/>
                </w:tcPr>
                <w:p w14:paraId="3C833230" w14:textId="77777777" w:rsidR="003F65E8" w:rsidRPr="00BD1974" w:rsidRDefault="003F65E8" w:rsidP="003F65E8">
                  <w:pPr>
                    <w:jc w:val="right"/>
                    <w:rPr>
                      <w:noProof/>
                      <w:color w:val="000000"/>
                    </w:rPr>
                  </w:pPr>
                </w:p>
              </w:tc>
              <w:tc>
                <w:tcPr>
                  <w:tcW w:w="2206" w:type="dxa"/>
                </w:tcPr>
                <w:p w14:paraId="1029282B" w14:textId="77777777" w:rsidR="003F65E8" w:rsidRPr="00BD1974" w:rsidRDefault="003F65E8" w:rsidP="003F65E8">
                  <w:pPr>
                    <w:jc w:val="right"/>
                    <w:rPr>
                      <w:noProof/>
                      <w:color w:val="000000"/>
                    </w:rPr>
                  </w:pPr>
                  <w:r w:rsidRPr="00BD1974">
                    <w:rPr>
                      <w:noProof/>
                    </w:rPr>
                    <w:t>Benefits</w:t>
                  </w:r>
                </w:p>
              </w:tc>
              <w:tc>
                <w:tcPr>
                  <w:tcW w:w="1614" w:type="dxa"/>
                </w:tcPr>
                <w:p w14:paraId="15F6AD1A" w14:textId="77777777" w:rsidR="003F65E8" w:rsidRPr="003B5CF6" w:rsidRDefault="003F65E8" w:rsidP="003F65E8">
                  <w:pPr>
                    <w:jc w:val="right"/>
                    <w:rPr>
                      <w:noProof/>
                      <w:color w:val="000000"/>
                    </w:rPr>
                  </w:pPr>
                  <w:r w:rsidRPr="003B5CF6">
                    <w:rPr>
                      <w:noProof/>
                    </w:rPr>
                    <w:t>3.79</w:t>
                  </w:r>
                </w:p>
              </w:tc>
              <w:tc>
                <w:tcPr>
                  <w:tcW w:w="1614" w:type="dxa"/>
                </w:tcPr>
                <w:p w14:paraId="335B69C1" w14:textId="77777777" w:rsidR="003F65E8" w:rsidRPr="003B5CF6" w:rsidRDefault="003F65E8" w:rsidP="003F65E8">
                  <w:pPr>
                    <w:jc w:val="right"/>
                    <w:rPr>
                      <w:noProof/>
                      <w:color w:val="000000"/>
                    </w:rPr>
                  </w:pPr>
                  <w:r w:rsidRPr="003B5CF6">
                    <w:rPr>
                      <w:noProof/>
                    </w:rPr>
                    <w:t>21.50</w:t>
                  </w:r>
                </w:p>
              </w:tc>
              <w:tc>
                <w:tcPr>
                  <w:tcW w:w="1614" w:type="dxa"/>
                </w:tcPr>
                <w:p w14:paraId="54F4EA80" w14:textId="77777777" w:rsidR="003F65E8" w:rsidRPr="003B5CF6" w:rsidRDefault="003F65E8" w:rsidP="003F65E8">
                  <w:pPr>
                    <w:jc w:val="right"/>
                    <w:rPr>
                      <w:i/>
                      <w:noProof/>
                      <w:color w:val="000000"/>
                    </w:rPr>
                  </w:pPr>
                  <w:r w:rsidRPr="003B5CF6">
                    <w:rPr>
                      <w:noProof/>
                    </w:rPr>
                    <w:t>25.3</w:t>
                  </w:r>
                </w:p>
              </w:tc>
            </w:tr>
            <w:tr w:rsidR="003F65E8" w:rsidRPr="00BD1974" w14:paraId="322AB1E2" w14:textId="77777777" w:rsidTr="00CC16F0">
              <w:trPr>
                <w:trHeight w:val="275"/>
              </w:trPr>
              <w:tc>
                <w:tcPr>
                  <w:tcW w:w="2048" w:type="dxa"/>
                  <w:vMerge/>
                </w:tcPr>
                <w:p w14:paraId="55FCAF1B" w14:textId="77777777" w:rsidR="003F65E8" w:rsidRPr="00BD1974" w:rsidRDefault="003F65E8" w:rsidP="003F65E8">
                  <w:pPr>
                    <w:jc w:val="right"/>
                    <w:rPr>
                      <w:i/>
                      <w:noProof/>
                    </w:rPr>
                  </w:pPr>
                </w:p>
              </w:tc>
              <w:tc>
                <w:tcPr>
                  <w:tcW w:w="2206" w:type="dxa"/>
                </w:tcPr>
                <w:p w14:paraId="59D69126" w14:textId="77777777" w:rsidR="003F65E8" w:rsidRPr="00BD1974" w:rsidRDefault="003F65E8" w:rsidP="003F65E8">
                  <w:pPr>
                    <w:jc w:val="right"/>
                    <w:rPr>
                      <w:i/>
                      <w:noProof/>
                    </w:rPr>
                  </w:pPr>
                  <w:r w:rsidRPr="00BD1974">
                    <w:rPr>
                      <w:i/>
                      <w:noProof/>
                    </w:rPr>
                    <w:t>Net</w:t>
                  </w:r>
                </w:p>
              </w:tc>
              <w:tc>
                <w:tcPr>
                  <w:tcW w:w="1614" w:type="dxa"/>
                </w:tcPr>
                <w:p w14:paraId="178B3FB1" w14:textId="77777777" w:rsidR="003F65E8" w:rsidRPr="003B5CF6" w:rsidRDefault="003F65E8" w:rsidP="003F65E8">
                  <w:pPr>
                    <w:jc w:val="center"/>
                    <w:rPr>
                      <w:i/>
                      <w:iCs/>
                      <w:noProof/>
                    </w:rPr>
                  </w:pPr>
                  <w:r w:rsidRPr="003B5CF6">
                    <w:rPr>
                      <w:i/>
                      <w:iCs/>
                      <w:noProof/>
                    </w:rPr>
                    <w:t>-4.33</w:t>
                  </w:r>
                </w:p>
              </w:tc>
              <w:tc>
                <w:tcPr>
                  <w:tcW w:w="1614" w:type="dxa"/>
                </w:tcPr>
                <w:p w14:paraId="54171775" w14:textId="77777777" w:rsidR="003F65E8" w:rsidRPr="003B5CF6" w:rsidRDefault="003F65E8" w:rsidP="003F65E8">
                  <w:pPr>
                    <w:jc w:val="center"/>
                    <w:rPr>
                      <w:i/>
                      <w:iCs/>
                      <w:noProof/>
                    </w:rPr>
                  </w:pPr>
                  <w:r w:rsidRPr="003B5CF6">
                    <w:rPr>
                      <w:i/>
                      <w:iCs/>
                      <w:noProof/>
                    </w:rPr>
                    <w:t>-24.54</w:t>
                  </w:r>
                </w:p>
              </w:tc>
              <w:tc>
                <w:tcPr>
                  <w:tcW w:w="1614" w:type="dxa"/>
                </w:tcPr>
                <w:p w14:paraId="14EBB926" w14:textId="77777777" w:rsidR="003F65E8" w:rsidRPr="003B5CF6" w:rsidRDefault="003F65E8" w:rsidP="003F65E8">
                  <w:pPr>
                    <w:jc w:val="center"/>
                    <w:rPr>
                      <w:i/>
                      <w:iCs/>
                      <w:noProof/>
                    </w:rPr>
                  </w:pPr>
                  <w:r w:rsidRPr="003B5CF6">
                    <w:rPr>
                      <w:i/>
                      <w:iCs/>
                      <w:noProof/>
                    </w:rPr>
                    <w:t>-28.9</w:t>
                  </w:r>
                </w:p>
              </w:tc>
            </w:tr>
            <w:tr w:rsidR="003F65E8" w:rsidRPr="00BD1974" w14:paraId="52DDFD30" w14:textId="77777777" w:rsidTr="00CC16F0">
              <w:tc>
                <w:tcPr>
                  <w:tcW w:w="4254" w:type="dxa"/>
                  <w:gridSpan w:val="2"/>
                </w:tcPr>
                <w:p w14:paraId="2AF70518" w14:textId="77777777" w:rsidR="003F65E8" w:rsidRPr="00BD1974" w:rsidRDefault="003F65E8" w:rsidP="003F65E8">
                  <w:pPr>
                    <w:jc w:val="center"/>
                    <w:rPr>
                      <w:i/>
                      <w:noProof/>
                      <w:color w:val="000000"/>
                    </w:rPr>
                  </w:pPr>
                  <w:r w:rsidRPr="00BD1974">
                    <w:rPr>
                      <w:i/>
                      <w:noProof/>
                    </w:rPr>
                    <w:t xml:space="preserve">Subtotal (net effect for implementers and </w:t>
                  </w:r>
                  <w:r>
                    <w:rPr>
                      <w:i/>
                      <w:noProof/>
                    </w:rPr>
                    <w:t>holders</w:t>
                  </w:r>
                  <w:r w:rsidRPr="00BD1974">
                    <w:rPr>
                      <w:i/>
                      <w:noProof/>
                    </w:rPr>
                    <w:t>)</w:t>
                  </w:r>
                </w:p>
              </w:tc>
              <w:tc>
                <w:tcPr>
                  <w:tcW w:w="1614" w:type="dxa"/>
                </w:tcPr>
                <w:p w14:paraId="618B22F6" w14:textId="77777777" w:rsidR="003F65E8" w:rsidRPr="003B5CF6" w:rsidRDefault="003F65E8" w:rsidP="003F65E8">
                  <w:pPr>
                    <w:jc w:val="center"/>
                    <w:rPr>
                      <w:i/>
                      <w:iCs/>
                      <w:noProof/>
                      <w:color w:val="000000"/>
                    </w:rPr>
                  </w:pPr>
                  <w:r w:rsidRPr="003B5CF6">
                    <w:rPr>
                      <w:i/>
                      <w:iCs/>
                      <w:noProof/>
                    </w:rPr>
                    <w:t>7.8</w:t>
                  </w:r>
                </w:p>
              </w:tc>
              <w:tc>
                <w:tcPr>
                  <w:tcW w:w="1614" w:type="dxa"/>
                </w:tcPr>
                <w:p w14:paraId="31C92EE1" w14:textId="77777777" w:rsidR="003F65E8" w:rsidRPr="003B5CF6" w:rsidRDefault="003F65E8" w:rsidP="003F65E8">
                  <w:pPr>
                    <w:jc w:val="center"/>
                    <w:rPr>
                      <w:i/>
                      <w:iCs/>
                      <w:noProof/>
                      <w:color w:val="000000"/>
                    </w:rPr>
                  </w:pPr>
                  <w:r w:rsidRPr="003B5CF6">
                    <w:rPr>
                      <w:i/>
                      <w:iCs/>
                      <w:noProof/>
                    </w:rPr>
                    <w:t>-12.3</w:t>
                  </w:r>
                </w:p>
              </w:tc>
              <w:tc>
                <w:tcPr>
                  <w:tcW w:w="1614" w:type="dxa"/>
                </w:tcPr>
                <w:p w14:paraId="0E183CB7" w14:textId="77777777" w:rsidR="003F65E8" w:rsidRPr="003B5CF6" w:rsidRDefault="003F65E8" w:rsidP="003F65E8">
                  <w:pPr>
                    <w:jc w:val="center"/>
                    <w:rPr>
                      <w:i/>
                      <w:iCs/>
                      <w:noProof/>
                      <w:color w:val="000000"/>
                    </w:rPr>
                  </w:pPr>
                  <w:r w:rsidRPr="003B5CF6">
                    <w:rPr>
                      <w:i/>
                      <w:iCs/>
                      <w:noProof/>
                    </w:rPr>
                    <w:t>-4.5</w:t>
                  </w:r>
                </w:p>
              </w:tc>
            </w:tr>
            <w:tr w:rsidR="003F65E8" w:rsidRPr="00BD1974" w14:paraId="2F7D6F4E" w14:textId="77777777" w:rsidTr="00CC16F0">
              <w:trPr>
                <w:trHeight w:val="275"/>
              </w:trPr>
              <w:tc>
                <w:tcPr>
                  <w:tcW w:w="4254" w:type="dxa"/>
                  <w:gridSpan w:val="2"/>
                </w:tcPr>
                <w:p w14:paraId="294709EF" w14:textId="77777777" w:rsidR="003F65E8" w:rsidRPr="00BD1974" w:rsidRDefault="003F65E8" w:rsidP="003F65E8">
                  <w:pPr>
                    <w:rPr>
                      <w:noProof/>
                      <w:color w:val="000000"/>
                    </w:rPr>
                  </w:pPr>
                  <w:r w:rsidRPr="00BD1974">
                    <w:rPr>
                      <w:noProof/>
                    </w:rPr>
                    <w:t>EPO/NPO benefit</w:t>
                  </w:r>
                </w:p>
              </w:tc>
              <w:tc>
                <w:tcPr>
                  <w:tcW w:w="1614" w:type="dxa"/>
                </w:tcPr>
                <w:p w14:paraId="2554D417" w14:textId="77777777" w:rsidR="003F65E8" w:rsidRPr="001F5603" w:rsidRDefault="003F65E8" w:rsidP="003F65E8">
                  <w:pPr>
                    <w:jc w:val="right"/>
                    <w:rPr>
                      <w:iCs/>
                      <w:noProof/>
                      <w:color w:val="000000"/>
                    </w:rPr>
                  </w:pPr>
                  <w:r w:rsidRPr="001F5603">
                    <w:rPr>
                      <w:noProof/>
                    </w:rPr>
                    <w:t>29.0</w:t>
                  </w:r>
                </w:p>
              </w:tc>
              <w:tc>
                <w:tcPr>
                  <w:tcW w:w="1614" w:type="dxa"/>
                </w:tcPr>
                <w:p w14:paraId="42594E06" w14:textId="77777777" w:rsidR="003F65E8" w:rsidRPr="001F5603" w:rsidRDefault="003F65E8" w:rsidP="003F65E8">
                  <w:pPr>
                    <w:jc w:val="right"/>
                    <w:rPr>
                      <w:iCs/>
                      <w:noProof/>
                      <w:color w:val="000000"/>
                    </w:rPr>
                  </w:pPr>
                </w:p>
              </w:tc>
              <w:tc>
                <w:tcPr>
                  <w:tcW w:w="1614" w:type="dxa"/>
                </w:tcPr>
                <w:p w14:paraId="77130395" w14:textId="77777777" w:rsidR="003F65E8" w:rsidRPr="001F5603" w:rsidRDefault="003F65E8" w:rsidP="003F65E8">
                  <w:pPr>
                    <w:jc w:val="right"/>
                    <w:rPr>
                      <w:iCs/>
                      <w:noProof/>
                      <w:color w:val="000000"/>
                    </w:rPr>
                  </w:pPr>
                  <w:r w:rsidRPr="001F5603">
                    <w:rPr>
                      <w:noProof/>
                    </w:rPr>
                    <w:t>29.0</w:t>
                  </w:r>
                </w:p>
              </w:tc>
            </w:tr>
            <w:tr w:rsidR="003F65E8" w:rsidRPr="00BD1974" w14:paraId="51C96C85" w14:textId="77777777" w:rsidTr="00CC16F0">
              <w:tc>
                <w:tcPr>
                  <w:tcW w:w="4254" w:type="dxa"/>
                  <w:gridSpan w:val="2"/>
                </w:tcPr>
                <w:p w14:paraId="7A23C6B1" w14:textId="77777777" w:rsidR="003F65E8" w:rsidRPr="00BD1974" w:rsidRDefault="003F65E8" w:rsidP="003F65E8">
                  <w:pPr>
                    <w:jc w:val="right"/>
                    <w:rPr>
                      <w:i/>
                      <w:noProof/>
                      <w:color w:val="000000"/>
                    </w:rPr>
                  </w:pPr>
                  <w:r w:rsidRPr="00BD1974">
                    <w:rPr>
                      <w:i/>
                      <w:noProof/>
                    </w:rPr>
                    <w:t>Total net benefit</w:t>
                  </w:r>
                </w:p>
              </w:tc>
              <w:tc>
                <w:tcPr>
                  <w:tcW w:w="1614" w:type="dxa"/>
                </w:tcPr>
                <w:p w14:paraId="498A7FD1" w14:textId="77777777" w:rsidR="003F65E8" w:rsidRPr="001F5603" w:rsidRDefault="003F65E8" w:rsidP="003F65E8">
                  <w:pPr>
                    <w:jc w:val="center"/>
                    <w:rPr>
                      <w:i/>
                      <w:iCs/>
                      <w:noProof/>
                      <w:color w:val="000000"/>
                    </w:rPr>
                  </w:pPr>
                  <w:r w:rsidRPr="001F5603">
                    <w:rPr>
                      <w:i/>
                      <w:iCs/>
                      <w:noProof/>
                    </w:rPr>
                    <w:t>36.8</w:t>
                  </w:r>
                </w:p>
              </w:tc>
              <w:tc>
                <w:tcPr>
                  <w:tcW w:w="1614" w:type="dxa"/>
                </w:tcPr>
                <w:p w14:paraId="61565728" w14:textId="77777777" w:rsidR="003F65E8" w:rsidRPr="001F5603" w:rsidRDefault="003F65E8" w:rsidP="003F65E8">
                  <w:pPr>
                    <w:jc w:val="center"/>
                    <w:rPr>
                      <w:i/>
                      <w:iCs/>
                      <w:noProof/>
                      <w:color w:val="000000"/>
                    </w:rPr>
                  </w:pPr>
                  <w:r w:rsidRPr="001F5603">
                    <w:rPr>
                      <w:i/>
                      <w:iCs/>
                      <w:noProof/>
                    </w:rPr>
                    <w:t>-12.3</w:t>
                  </w:r>
                </w:p>
              </w:tc>
              <w:tc>
                <w:tcPr>
                  <w:tcW w:w="1614" w:type="dxa"/>
                </w:tcPr>
                <w:p w14:paraId="485A7864" w14:textId="77777777" w:rsidR="003F65E8" w:rsidRPr="001F5603" w:rsidRDefault="003F65E8" w:rsidP="003F65E8">
                  <w:pPr>
                    <w:jc w:val="center"/>
                    <w:rPr>
                      <w:i/>
                      <w:iCs/>
                      <w:noProof/>
                      <w:color w:val="000000"/>
                    </w:rPr>
                  </w:pPr>
                  <w:r w:rsidRPr="001F5603">
                    <w:rPr>
                      <w:i/>
                      <w:iCs/>
                      <w:noProof/>
                    </w:rPr>
                    <w:t>24.5</w:t>
                  </w:r>
                </w:p>
              </w:tc>
            </w:tr>
          </w:tbl>
          <w:p w14:paraId="522B476F" w14:textId="28B057DA" w:rsidR="000518BD" w:rsidRPr="000518BD" w:rsidRDefault="00423E72" w:rsidP="00423E72">
            <w:pPr>
              <w:autoSpaceDE w:val="0"/>
              <w:autoSpaceDN w:val="0"/>
              <w:spacing w:after="240"/>
              <w:rPr>
                <w:noProof/>
              </w:rPr>
            </w:pPr>
            <w:r w:rsidRPr="00022350">
              <w:rPr>
                <w:noProof/>
              </w:rPr>
              <w:t>* concerns non-EU implementers with subsidiaries in the EU</w:t>
            </w:r>
            <w:r w:rsidR="003142B3">
              <w:rPr>
                <w:noProof/>
              </w:rPr>
              <w:t xml:space="preserve">; </w:t>
            </w:r>
            <w:r w:rsidR="000518BD">
              <w:rPr>
                <w:noProof/>
              </w:rPr>
              <w:br/>
            </w:r>
            <w:r w:rsidR="000518BD" w:rsidRPr="000518BD">
              <w:rPr>
                <w:noProof/>
              </w:rPr>
              <w:t>Note: numbers rounded which may affect totals</w:t>
            </w:r>
          </w:p>
        </w:tc>
      </w:tr>
      <w:tr w:rsidR="00ED39C4" w:rsidRPr="003E2726" w14:paraId="522B4772" w14:textId="77777777" w:rsidTr="6F5EF812">
        <w:tc>
          <w:tcPr>
            <w:tcW w:w="9322" w:type="dxa"/>
            <w:tcBorders>
              <w:bottom w:val="single" w:sz="4" w:space="0" w:color="auto"/>
            </w:tcBorders>
            <w:shd w:val="clear" w:color="auto" w:fill="E6E6E6"/>
          </w:tcPr>
          <w:p w14:paraId="522B4771" w14:textId="77777777" w:rsidR="00ED39C4" w:rsidRPr="003E2726" w:rsidRDefault="00ED39C4" w:rsidP="006544ED">
            <w:pPr>
              <w:spacing w:before="60" w:after="60"/>
              <w:jc w:val="both"/>
              <w:rPr>
                <w:noProof/>
                <w:sz w:val="24"/>
                <w:szCs w:val="24"/>
                <w:lang w:val="en-IE"/>
              </w:rPr>
            </w:pPr>
            <w:r w:rsidRPr="003E2726">
              <w:rPr>
                <w:b/>
                <w:noProof/>
                <w:sz w:val="24"/>
                <w:szCs w:val="24"/>
                <w:lang w:val="en-IE"/>
              </w:rPr>
              <w:t>What are the costs of the preferred option (if any, otherwise main ones)?</w:t>
            </w:r>
            <w:r w:rsidRPr="003E2726">
              <w:rPr>
                <w:noProof/>
                <w:sz w:val="24"/>
                <w:szCs w:val="24"/>
                <w:lang w:val="en-IE"/>
              </w:rPr>
              <w:t xml:space="preserve"> </w:t>
            </w:r>
          </w:p>
        </w:tc>
      </w:tr>
      <w:tr w:rsidR="00ED39C4" w:rsidRPr="003E2726" w14:paraId="522B4774" w14:textId="77777777" w:rsidTr="6F5EF812">
        <w:tc>
          <w:tcPr>
            <w:tcW w:w="9322" w:type="dxa"/>
            <w:tcBorders>
              <w:bottom w:val="single" w:sz="4" w:space="0" w:color="auto"/>
            </w:tcBorders>
            <w:shd w:val="clear" w:color="auto" w:fill="auto"/>
          </w:tcPr>
          <w:p w14:paraId="522B4773" w14:textId="4145D728" w:rsidR="00D57C2A" w:rsidRPr="003E2726" w:rsidRDefault="00F044B9" w:rsidP="00646649">
            <w:pPr>
              <w:pStyle w:val="Body"/>
              <w:spacing w:before="40" w:after="120"/>
              <w:rPr>
                <w:rFonts w:ascii="Times New Roman" w:hAnsi="Times New Roman"/>
                <w:noProof/>
                <w:sz w:val="24"/>
                <w:szCs w:val="24"/>
                <w:lang w:val="en-IE"/>
              </w:rPr>
            </w:pPr>
            <w:r>
              <w:rPr>
                <w:rFonts w:ascii="Times New Roman" w:hAnsi="Times New Roman"/>
                <w:noProof/>
                <w:sz w:val="24"/>
                <w:szCs w:val="24"/>
                <w:lang w:val="en-IE"/>
              </w:rPr>
              <w:t xml:space="preserve">The majority of </w:t>
            </w:r>
            <w:r w:rsidR="00782ED3">
              <w:rPr>
                <w:rFonts w:ascii="Times New Roman" w:hAnsi="Times New Roman"/>
                <w:noProof/>
                <w:sz w:val="24"/>
                <w:szCs w:val="24"/>
                <w:lang w:val="en-IE"/>
              </w:rPr>
              <w:t xml:space="preserve">the </w:t>
            </w:r>
            <w:r>
              <w:rPr>
                <w:rFonts w:ascii="Times New Roman" w:hAnsi="Times New Roman"/>
                <w:noProof/>
                <w:sz w:val="24"/>
                <w:szCs w:val="24"/>
                <w:lang w:val="en-IE"/>
              </w:rPr>
              <w:t xml:space="preserve">costs of the preferred option would be borne by SEP holders, </w:t>
            </w:r>
            <w:r w:rsidR="00782ED3">
              <w:rPr>
                <w:rFonts w:ascii="Times New Roman" w:hAnsi="Times New Roman"/>
                <w:noProof/>
                <w:sz w:val="24"/>
                <w:szCs w:val="24"/>
                <w:lang w:val="en-IE"/>
              </w:rPr>
              <w:t>largely</w:t>
            </w:r>
            <w:r>
              <w:rPr>
                <w:rFonts w:ascii="Times New Roman" w:hAnsi="Times New Roman"/>
                <w:noProof/>
                <w:sz w:val="24"/>
                <w:szCs w:val="24"/>
                <w:lang w:val="en-IE"/>
              </w:rPr>
              <w:t xml:space="preserve"> </w:t>
            </w:r>
            <w:r w:rsidR="00782ED3">
              <w:rPr>
                <w:rFonts w:ascii="Times New Roman" w:hAnsi="Times New Roman"/>
                <w:noProof/>
                <w:sz w:val="24"/>
                <w:szCs w:val="24"/>
                <w:lang w:val="en-IE"/>
              </w:rPr>
              <w:t>fr</w:t>
            </w:r>
            <w:r>
              <w:rPr>
                <w:rFonts w:ascii="Times New Roman" w:hAnsi="Times New Roman"/>
                <w:noProof/>
                <w:sz w:val="24"/>
                <w:szCs w:val="24"/>
                <w:lang w:val="en-IE"/>
              </w:rPr>
              <w:t xml:space="preserve">om outside of the EU. These costs mainly consist of SEP registration fee and remuneration of </w:t>
            </w:r>
            <w:r w:rsidR="00780FAB">
              <w:rPr>
                <w:rFonts w:ascii="Times New Roman" w:hAnsi="Times New Roman"/>
                <w:noProof/>
                <w:sz w:val="24"/>
                <w:szCs w:val="24"/>
                <w:lang w:val="en-IE"/>
              </w:rPr>
              <w:t xml:space="preserve">the </w:t>
            </w:r>
            <w:r w:rsidR="00782ED3">
              <w:rPr>
                <w:rFonts w:ascii="Times New Roman" w:hAnsi="Times New Roman"/>
                <w:noProof/>
                <w:sz w:val="24"/>
                <w:szCs w:val="24"/>
                <w:lang w:val="en-IE"/>
              </w:rPr>
              <w:t xml:space="preserve">essentiality </w:t>
            </w:r>
            <w:r w:rsidR="00646649">
              <w:rPr>
                <w:rFonts w:ascii="Times New Roman" w:hAnsi="Times New Roman"/>
                <w:noProof/>
                <w:sz w:val="24"/>
                <w:szCs w:val="24"/>
                <w:lang w:val="en-IE"/>
              </w:rPr>
              <w:t>evaluator</w:t>
            </w:r>
            <w:r w:rsidR="00782ED3">
              <w:rPr>
                <w:rFonts w:ascii="Times New Roman" w:hAnsi="Times New Roman"/>
                <w:noProof/>
                <w:sz w:val="24"/>
                <w:szCs w:val="24"/>
                <w:lang w:val="en-IE"/>
              </w:rPr>
              <w:t>s</w:t>
            </w:r>
            <w:r>
              <w:rPr>
                <w:rFonts w:ascii="Times New Roman" w:hAnsi="Times New Roman"/>
                <w:noProof/>
                <w:sz w:val="24"/>
                <w:szCs w:val="24"/>
                <w:lang w:val="en-IE"/>
              </w:rPr>
              <w:t>. Additionally</w:t>
            </w:r>
            <w:r w:rsidR="00B631F3">
              <w:rPr>
                <w:rFonts w:ascii="Times New Roman" w:hAnsi="Times New Roman"/>
                <w:noProof/>
                <w:sz w:val="24"/>
                <w:szCs w:val="24"/>
                <w:lang w:val="en-IE"/>
              </w:rPr>
              <w:t>,</w:t>
            </w:r>
            <w:r>
              <w:rPr>
                <w:rFonts w:ascii="Times New Roman" w:hAnsi="Times New Roman"/>
                <w:noProof/>
                <w:sz w:val="24"/>
                <w:szCs w:val="24"/>
                <w:lang w:val="en-IE"/>
              </w:rPr>
              <w:t xml:space="preserve"> there are uncertain cost</w:t>
            </w:r>
            <w:r w:rsidR="00B87D4A">
              <w:rPr>
                <w:rFonts w:ascii="Times New Roman" w:hAnsi="Times New Roman"/>
                <w:noProof/>
                <w:sz w:val="24"/>
                <w:szCs w:val="24"/>
                <w:lang w:val="en-IE"/>
              </w:rPr>
              <w:t>s</w:t>
            </w:r>
            <w:r>
              <w:rPr>
                <w:rFonts w:ascii="Times New Roman" w:hAnsi="Times New Roman"/>
                <w:noProof/>
                <w:sz w:val="24"/>
                <w:szCs w:val="24"/>
                <w:lang w:val="en-IE"/>
              </w:rPr>
              <w:t xml:space="preserve"> due to indirect effects of the option</w:t>
            </w:r>
            <w:r w:rsidR="00762967">
              <w:rPr>
                <w:rFonts w:ascii="Times New Roman" w:hAnsi="Times New Roman"/>
                <w:noProof/>
                <w:sz w:val="24"/>
                <w:szCs w:val="24"/>
                <w:lang w:val="en-IE"/>
              </w:rPr>
              <w:t>,</w:t>
            </w:r>
            <w:r>
              <w:rPr>
                <w:rFonts w:ascii="Times New Roman" w:hAnsi="Times New Roman"/>
                <w:noProof/>
                <w:sz w:val="24"/>
                <w:szCs w:val="24"/>
                <w:lang w:val="en-IE"/>
              </w:rPr>
              <w:t xml:space="preserve"> which might induce patenting activity and thus increase the patent maintenance costs.</w:t>
            </w:r>
          </w:p>
        </w:tc>
      </w:tr>
      <w:tr w:rsidR="00ED39C4" w:rsidRPr="003E2726" w14:paraId="522B4776" w14:textId="77777777" w:rsidTr="6F5EF812">
        <w:tc>
          <w:tcPr>
            <w:tcW w:w="9322" w:type="dxa"/>
            <w:tcBorders>
              <w:bottom w:val="single" w:sz="4" w:space="0" w:color="auto"/>
            </w:tcBorders>
            <w:shd w:val="clear" w:color="auto" w:fill="E6E6E6"/>
          </w:tcPr>
          <w:p w14:paraId="522B4775" w14:textId="77777777" w:rsidR="00ED39C4" w:rsidRPr="003E2726" w:rsidRDefault="00ED39C4" w:rsidP="00C71758">
            <w:pPr>
              <w:keepNext/>
              <w:spacing w:before="60" w:after="60"/>
              <w:jc w:val="both"/>
              <w:rPr>
                <w:noProof/>
                <w:sz w:val="24"/>
                <w:szCs w:val="24"/>
                <w:lang w:val="en-IE"/>
              </w:rPr>
            </w:pPr>
            <w:r w:rsidRPr="003E2726">
              <w:rPr>
                <w:b/>
                <w:noProof/>
                <w:sz w:val="24"/>
                <w:szCs w:val="24"/>
                <w:lang w:val="en-IE"/>
              </w:rPr>
              <w:t xml:space="preserve">How will businesses, SMEs and micro-enterprises be affected? </w:t>
            </w:r>
          </w:p>
        </w:tc>
      </w:tr>
      <w:tr w:rsidR="00ED39C4" w:rsidRPr="003E2726" w14:paraId="522B4779" w14:textId="77777777" w:rsidTr="6F5EF812">
        <w:tc>
          <w:tcPr>
            <w:tcW w:w="9322" w:type="dxa"/>
            <w:tcBorders>
              <w:bottom w:val="single" w:sz="4" w:space="0" w:color="auto"/>
            </w:tcBorders>
            <w:shd w:val="clear" w:color="auto" w:fill="auto"/>
          </w:tcPr>
          <w:p w14:paraId="522B4777" w14:textId="77777777" w:rsidR="00161EE9" w:rsidRDefault="00F351B6" w:rsidP="006530D1">
            <w:pPr>
              <w:pStyle w:val="Body"/>
              <w:spacing w:before="40" w:after="120"/>
              <w:rPr>
                <w:rFonts w:ascii="Times New Roman" w:hAnsi="Times New Roman"/>
                <w:noProof/>
                <w:sz w:val="24"/>
                <w:szCs w:val="24"/>
                <w:lang w:val="en-IE"/>
              </w:rPr>
            </w:pPr>
            <w:r>
              <w:rPr>
                <w:rFonts w:ascii="Times New Roman" w:hAnsi="Times New Roman"/>
                <w:noProof/>
                <w:sz w:val="24"/>
                <w:szCs w:val="24"/>
                <w:lang w:val="en-IE"/>
              </w:rPr>
              <w:t>There are relatively few SMEs among EU based SEP owners (in the single digit</w:t>
            </w:r>
            <w:r w:rsidR="00543682">
              <w:rPr>
                <w:rFonts w:ascii="Times New Roman" w:hAnsi="Times New Roman"/>
                <w:noProof/>
                <w:sz w:val="24"/>
                <w:szCs w:val="24"/>
                <w:lang w:val="en-IE"/>
              </w:rPr>
              <w:t>s</w:t>
            </w:r>
            <w:r>
              <w:rPr>
                <w:rFonts w:ascii="Times New Roman" w:hAnsi="Times New Roman"/>
                <w:noProof/>
                <w:sz w:val="24"/>
                <w:szCs w:val="24"/>
                <w:lang w:val="en-IE"/>
              </w:rPr>
              <w:t xml:space="preserve">). </w:t>
            </w:r>
            <w:r w:rsidRPr="00F351B6">
              <w:rPr>
                <w:rFonts w:ascii="Times New Roman" w:hAnsi="Times New Roman"/>
                <w:noProof/>
                <w:sz w:val="24"/>
                <w:szCs w:val="24"/>
                <w:lang w:val="en-IE"/>
              </w:rPr>
              <w:t xml:space="preserve">SME SEP owners currently </w:t>
            </w:r>
            <w:r w:rsidR="00F724FD">
              <w:rPr>
                <w:rFonts w:ascii="Times New Roman" w:hAnsi="Times New Roman"/>
                <w:noProof/>
                <w:sz w:val="24"/>
                <w:szCs w:val="24"/>
                <w:lang w:val="en-IE"/>
              </w:rPr>
              <w:t>lack</w:t>
            </w:r>
            <w:r w:rsidRPr="00F351B6">
              <w:rPr>
                <w:rFonts w:ascii="Times New Roman" w:hAnsi="Times New Roman"/>
                <w:noProof/>
                <w:sz w:val="24"/>
                <w:szCs w:val="24"/>
                <w:lang w:val="en-IE"/>
              </w:rPr>
              <w:t xml:space="preserve"> the resources to license their SEPs efficiently. The register </w:t>
            </w:r>
            <w:r w:rsidR="00F724FD">
              <w:rPr>
                <w:rFonts w:ascii="Times New Roman" w:hAnsi="Times New Roman"/>
                <w:noProof/>
                <w:sz w:val="24"/>
                <w:szCs w:val="24"/>
                <w:lang w:val="en-IE"/>
              </w:rPr>
              <w:t>would</w:t>
            </w:r>
            <w:r w:rsidRPr="00F351B6">
              <w:rPr>
                <w:rFonts w:ascii="Times New Roman" w:hAnsi="Times New Roman"/>
                <w:noProof/>
                <w:sz w:val="24"/>
                <w:szCs w:val="24"/>
                <w:lang w:val="en-IE"/>
              </w:rPr>
              <w:t xml:space="preserve"> give visibility of and a positive </w:t>
            </w:r>
            <w:r w:rsidR="0065266A">
              <w:rPr>
                <w:rFonts w:ascii="Times New Roman" w:hAnsi="Times New Roman"/>
                <w:noProof/>
                <w:sz w:val="24"/>
                <w:szCs w:val="24"/>
                <w:lang w:val="en-IE"/>
              </w:rPr>
              <w:t>assessment</w:t>
            </w:r>
            <w:r w:rsidRPr="00F351B6">
              <w:rPr>
                <w:rFonts w:ascii="Times New Roman" w:hAnsi="Times New Roman"/>
                <w:noProof/>
                <w:sz w:val="24"/>
                <w:szCs w:val="24"/>
                <w:lang w:val="en-IE"/>
              </w:rPr>
              <w:t xml:space="preserve"> on their SEP portfolio</w:t>
            </w:r>
            <w:r w:rsidR="00F724FD">
              <w:rPr>
                <w:rFonts w:ascii="Times New Roman" w:hAnsi="Times New Roman"/>
                <w:noProof/>
                <w:sz w:val="24"/>
                <w:szCs w:val="24"/>
                <w:lang w:val="en-IE"/>
              </w:rPr>
              <w:t>s</w:t>
            </w:r>
            <w:r w:rsidRPr="00F351B6">
              <w:rPr>
                <w:rFonts w:ascii="Times New Roman" w:hAnsi="Times New Roman"/>
                <w:noProof/>
                <w:sz w:val="24"/>
                <w:szCs w:val="24"/>
                <w:lang w:val="en-IE"/>
              </w:rPr>
              <w:t xml:space="preserve">, the aggregate royalty would help justify their royalty demands and the FRAND determination (conciliation) procedure </w:t>
            </w:r>
            <w:r w:rsidR="00F724FD">
              <w:rPr>
                <w:rFonts w:ascii="Times New Roman" w:hAnsi="Times New Roman"/>
                <w:noProof/>
                <w:sz w:val="24"/>
                <w:szCs w:val="24"/>
                <w:lang w:val="en-IE"/>
              </w:rPr>
              <w:t>would</w:t>
            </w:r>
            <w:r w:rsidRPr="00F351B6">
              <w:rPr>
                <w:rFonts w:ascii="Times New Roman" w:hAnsi="Times New Roman"/>
                <w:noProof/>
                <w:sz w:val="24"/>
                <w:szCs w:val="24"/>
                <w:lang w:val="en-IE"/>
              </w:rPr>
              <w:t xml:space="preserve"> offer them an opportunity to seek licensing without entering </w:t>
            </w:r>
            <w:r w:rsidR="00F724FD">
              <w:rPr>
                <w:rFonts w:ascii="Times New Roman" w:hAnsi="Times New Roman"/>
                <w:noProof/>
                <w:sz w:val="24"/>
                <w:szCs w:val="24"/>
                <w:lang w:val="en-IE"/>
              </w:rPr>
              <w:t>into costly</w:t>
            </w:r>
            <w:r w:rsidRPr="00F351B6">
              <w:rPr>
                <w:rFonts w:ascii="Times New Roman" w:hAnsi="Times New Roman"/>
                <w:noProof/>
                <w:sz w:val="24"/>
                <w:szCs w:val="24"/>
                <w:lang w:val="en-IE"/>
              </w:rPr>
              <w:t xml:space="preserve"> litigation (see explanation under step 3). SME SEP owners </w:t>
            </w:r>
            <w:r w:rsidR="00F724FD">
              <w:rPr>
                <w:rFonts w:ascii="Times New Roman" w:hAnsi="Times New Roman"/>
                <w:noProof/>
                <w:sz w:val="24"/>
                <w:szCs w:val="24"/>
                <w:lang w:val="en-IE"/>
              </w:rPr>
              <w:t>would</w:t>
            </w:r>
            <w:r w:rsidRPr="00F351B6">
              <w:rPr>
                <w:rFonts w:ascii="Times New Roman" w:hAnsi="Times New Roman"/>
                <w:noProof/>
                <w:sz w:val="24"/>
                <w:szCs w:val="24"/>
                <w:lang w:val="en-IE"/>
              </w:rPr>
              <w:t xml:space="preserve"> also benefit from reduced fees.</w:t>
            </w:r>
            <w:r>
              <w:rPr>
                <w:rFonts w:ascii="Times New Roman" w:hAnsi="Times New Roman"/>
                <w:noProof/>
                <w:sz w:val="24"/>
                <w:szCs w:val="24"/>
                <w:lang w:val="en-IE"/>
              </w:rPr>
              <w:t xml:space="preserve"> </w:t>
            </w:r>
          </w:p>
          <w:p w14:paraId="522B4778" w14:textId="77777777" w:rsidR="00F351B6" w:rsidRPr="003E2726" w:rsidRDefault="00F351B6" w:rsidP="00F724FD">
            <w:pPr>
              <w:pStyle w:val="Body"/>
              <w:spacing w:before="40" w:after="120"/>
              <w:rPr>
                <w:rFonts w:ascii="Times New Roman" w:hAnsi="Times New Roman"/>
                <w:noProof/>
                <w:sz w:val="24"/>
                <w:szCs w:val="24"/>
                <w:lang w:val="en-IE"/>
              </w:rPr>
            </w:pPr>
            <w:r>
              <w:rPr>
                <w:rFonts w:ascii="Times New Roman" w:hAnsi="Times New Roman"/>
                <w:noProof/>
                <w:sz w:val="24"/>
                <w:szCs w:val="24"/>
                <w:lang w:val="en-IE"/>
              </w:rPr>
              <w:t xml:space="preserve">Around 85% of the identified 3 800 potential SEP implementers are SMEs. </w:t>
            </w:r>
            <w:r w:rsidRPr="00F351B6">
              <w:rPr>
                <w:rFonts w:ascii="Times New Roman" w:hAnsi="Times New Roman"/>
                <w:noProof/>
                <w:sz w:val="24"/>
                <w:szCs w:val="24"/>
                <w:lang w:val="en-IE"/>
              </w:rPr>
              <w:t xml:space="preserve">Innovative SMEs have already been creating multiple applications using standards such as cellular, Wi-Fi, and NFC. Therefore, </w:t>
            </w:r>
            <w:r w:rsidR="00F724FD">
              <w:rPr>
                <w:rFonts w:ascii="Times New Roman" w:hAnsi="Times New Roman"/>
                <w:noProof/>
                <w:sz w:val="24"/>
                <w:szCs w:val="24"/>
                <w:lang w:val="en-IE"/>
              </w:rPr>
              <w:t xml:space="preserve">the </w:t>
            </w:r>
            <w:r w:rsidRPr="00F351B6">
              <w:rPr>
                <w:rFonts w:ascii="Times New Roman" w:hAnsi="Times New Roman"/>
                <w:noProof/>
                <w:sz w:val="24"/>
                <w:szCs w:val="24"/>
                <w:lang w:val="en-IE"/>
              </w:rPr>
              <w:t xml:space="preserve">question of how to license those technologies is relevant for such SMEs. </w:t>
            </w:r>
            <w:r>
              <w:rPr>
                <w:rFonts w:ascii="Times New Roman" w:hAnsi="Times New Roman"/>
                <w:noProof/>
                <w:sz w:val="24"/>
                <w:szCs w:val="24"/>
                <w:lang w:val="en-IE"/>
              </w:rPr>
              <w:t xml:space="preserve">This </w:t>
            </w:r>
            <w:r w:rsidRPr="00F351B6">
              <w:rPr>
                <w:rFonts w:ascii="Times New Roman" w:hAnsi="Times New Roman"/>
                <w:noProof/>
                <w:sz w:val="24"/>
                <w:szCs w:val="24"/>
                <w:lang w:val="en-IE"/>
              </w:rPr>
              <w:t>initiative address</w:t>
            </w:r>
            <w:r w:rsidR="00F724FD">
              <w:rPr>
                <w:rFonts w:ascii="Times New Roman" w:hAnsi="Times New Roman"/>
                <w:noProof/>
                <w:sz w:val="24"/>
                <w:szCs w:val="24"/>
                <w:lang w:val="en-IE"/>
              </w:rPr>
              <w:t>es</w:t>
            </w:r>
            <w:r w:rsidRPr="00F351B6">
              <w:rPr>
                <w:rFonts w:ascii="Times New Roman" w:hAnsi="Times New Roman"/>
                <w:noProof/>
                <w:sz w:val="24"/>
                <w:szCs w:val="24"/>
                <w:lang w:val="en-IE"/>
              </w:rPr>
              <w:t xml:space="preserve"> important problems</w:t>
            </w:r>
            <w:r>
              <w:rPr>
                <w:rFonts w:ascii="Times New Roman" w:hAnsi="Times New Roman"/>
                <w:noProof/>
                <w:sz w:val="24"/>
                <w:szCs w:val="24"/>
                <w:lang w:val="en-IE"/>
              </w:rPr>
              <w:t xml:space="preserve"> SMEs face during SEP negotiations or business planning</w:t>
            </w:r>
            <w:r w:rsidRPr="00F351B6">
              <w:rPr>
                <w:rFonts w:ascii="Times New Roman" w:hAnsi="Times New Roman"/>
                <w:noProof/>
                <w:sz w:val="24"/>
                <w:szCs w:val="24"/>
                <w:lang w:val="en-IE"/>
              </w:rPr>
              <w:t xml:space="preserve">, such as </w:t>
            </w:r>
            <w:r w:rsidR="00F724FD">
              <w:rPr>
                <w:rFonts w:ascii="Times New Roman" w:hAnsi="Times New Roman"/>
                <w:noProof/>
                <w:sz w:val="24"/>
                <w:szCs w:val="24"/>
                <w:lang w:val="en-IE"/>
              </w:rPr>
              <w:t xml:space="preserve">the </w:t>
            </w:r>
            <w:r w:rsidRPr="00F351B6">
              <w:rPr>
                <w:rFonts w:ascii="Times New Roman" w:hAnsi="Times New Roman"/>
                <w:noProof/>
                <w:sz w:val="24"/>
                <w:szCs w:val="24"/>
                <w:lang w:val="en-IE"/>
              </w:rPr>
              <w:t>size of SEP portfolios, aggregate royalty, and FRAND determination. Additionally, the initiative offer</w:t>
            </w:r>
            <w:r w:rsidR="00F724FD">
              <w:rPr>
                <w:rFonts w:ascii="Times New Roman" w:hAnsi="Times New Roman"/>
                <w:noProof/>
                <w:sz w:val="24"/>
                <w:szCs w:val="24"/>
                <w:lang w:val="en-IE"/>
              </w:rPr>
              <w:t>s</w:t>
            </w:r>
            <w:r w:rsidRPr="00F351B6">
              <w:rPr>
                <w:rFonts w:ascii="Times New Roman" w:hAnsi="Times New Roman"/>
                <w:noProof/>
                <w:sz w:val="24"/>
                <w:szCs w:val="24"/>
                <w:lang w:val="en-IE"/>
              </w:rPr>
              <w:t xml:space="preserve"> to SME implementers reduced fees for the use</w:t>
            </w:r>
            <w:r w:rsidR="00F724FD">
              <w:rPr>
                <w:rFonts w:ascii="Times New Roman" w:hAnsi="Times New Roman"/>
                <w:noProof/>
                <w:sz w:val="24"/>
                <w:szCs w:val="24"/>
                <w:lang w:val="en-IE"/>
              </w:rPr>
              <w:t xml:space="preserve"> of the competence c</w:t>
            </w:r>
            <w:r w:rsidRPr="00F351B6">
              <w:rPr>
                <w:rFonts w:ascii="Times New Roman" w:hAnsi="Times New Roman"/>
                <w:noProof/>
                <w:sz w:val="24"/>
                <w:szCs w:val="24"/>
                <w:lang w:val="en-IE"/>
              </w:rPr>
              <w:t>entre</w:t>
            </w:r>
            <w:r w:rsidR="00F724FD">
              <w:rPr>
                <w:rFonts w:ascii="Times New Roman" w:hAnsi="Times New Roman"/>
                <w:noProof/>
                <w:sz w:val="24"/>
                <w:szCs w:val="24"/>
                <w:lang w:val="en-IE"/>
              </w:rPr>
              <w:t>’s services</w:t>
            </w:r>
            <w:r w:rsidRPr="00F351B6">
              <w:rPr>
                <w:rFonts w:ascii="Times New Roman" w:hAnsi="Times New Roman"/>
                <w:noProof/>
                <w:sz w:val="24"/>
                <w:szCs w:val="24"/>
                <w:lang w:val="en-IE"/>
              </w:rPr>
              <w:t xml:space="preserve"> and free advice on SEPs.</w:t>
            </w:r>
          </w:p>
        </w:tc>
      </w:tr>
      <w:tr w:rsidR="00ED39C4" w:rsidRPr="003E2726" w14:paraId="522B477B" w14:textId="77777777" w:rsidTr="6F5EF812">
        <w:tc>
          <w:tcPr>
            <w:tcW w:w="9322" w:type="dxa"/>
            <w:tcBorders>
              <w:bottom w:val="single" w:sz="4" w:space="0" w:color="auto"/>
            </w:tcBorders>
            <w:shd w:val="clear" w:color="auto" w:fill="E6E6E6"/>
          </w:tcPr>
          <w:p w14:paraId="522B477A" w14:textId="77777777" w:rsidR="00ED39C4" w:rsidRPr="003E2726" w:rsidRDefault="00ED39C4" w:rsidP="00C71758">
            <w:pPr>
              <w:keepNext/>
              <w:spacing w:before="60"/>
              <w:jc w:val="both"/>
              <w:rPr>
                <w:b/>
                <w:i/>
                <w:noProof/>
                <w:sz w:val="24"/>
                <w:szCs w:val="24"/>
                <w:lang w:val="en-IE"/>
              </w:rPr>
            </w:pPr>
            <w:r w:rsidRPr="003E2726">
              <w:rPr>
                <w:b/>
                <w:noProof/>
                <w:sz w:val="24"/>
                <w:szCs w:val="24"/>
                <w:lang w:val="en-IE"/>
              </w:rPr>
              <w:t>Will there be significant impacts</w:t>
            </w:r>
            <w:r w:rsidRPr="003E2726">
              <w:rPr>
                <w:noProof/>
                <w:sz w:val="24"/>
                <w:szCs w:val="24"/>
                <w:lang w:val="en-IE"/>
              </w:rPr>
              <w:t xml:space="preserve"> </w:t>
            </w:r>
            <w:r w:rsidRPr="003E2726">
              <w:rPr>
                <w:b/>
                <w:noProof/>
                <w:sz w:val="24"/>
                <w:szCs w:val="24"/>
                <w:lang w:val="en-IE"/>
              </w:rPr>
              <w:t>on national budgets and administrations?</w:t>
            </w:r>
            <w:r w:rsidRPr="003E2726">
              <w:rPr>
                <w:noProof/>
                <w:sz w:val="24"/>
                <w:szCs w:val="24"/>
                <w:lang w:val="en-IE"/>
              </w:rPr>
              <w:t xml:space="preserve"> </w:t>
            </w:r>
          </w:p>
        </w:tc>
      </w:tr>
      <w:tr w:rsidR="00ED39C4" w:rsidRPr="003E2726" w14:paraId="522B477D" w14:textId="77777777" w:rsidTr="6F5EF812">
        <w:tc>
          <w:tcPr>
            <w:tcW w:w="9322" w:type="dxa"/>
            <w:shd w:val="clear" w:color="auto" w:fill="auto"/>
          </w:tcPr>
          <w:p w14:paraId="522B477C" w14:textId="77777777" w:rsidR="00161EE9" w:rsidRPr="003E2726" w:rsidRDefault="004A7D26" w:rsidP="006530D1">
            <w:pPr>
              <w:pStyle w:val="Text1"/>
              <w:spacing w:before="40" w:after="120"/>
              <w:ind w:left="-6" w:right="-6"/>
              <w:rPr>
                <w:noProof/>
                <w:szCs w:val="24"/>
                <w:lang w:val="en-IE"/>
              </w:rPr>
            </w:pPr>
            <w:r>
              <w:rPr>
                <w:noProof/>
                <w:szCs w:val="24"/>
                <w:lang w:val="en-IE"/>
              </w:rPr>
              <w:t>No. The envisaged system will be financed from fees collected by the EUIPO for registration, essentiality checks</w:t>
            </w:r>
            <w:r w:rsidR="00B631F3">
              <w:rPr>
                <w:noProof/>
                <w:szCs w:val="24"/>
                <w:lang w:val="en-IE"/>
              </w:rPr>
              <w:t>,</w:t>
            </w:r>
            <w:r>
              <w:rPr>
                <w:noProof/>
                <w:szCs w:val="24"/>
                <w:lang w:val="en-IE"/>
              </w:rPr>
              <w:t xml:space="preserve"> access to its resources</w:t>
            </w:r>
            <w:r w:rsidR="00B631F3">
              <w:rPr>
                <w:noProof/>
                <w:szCs w:val="24"/>
                <w:lang w:val="en-IE"/>
              </w:rPr>
              <w:t xml:space="preserve"> and conciliation</w:t>
            </w:r>
            <w:r>
              <w:rPr>
                <w:noProof/>
                <w:szCs w:val="24"/>
                <w:lang w:val="en-IE"/>
              </w:rPr>
              <w:t>.</w:t>
            </w:r>
          </w:p>
        </w:tc>
      </w:tr>
      <w:tr w:rsidR="00ED39C4" w:rsidRPr="003E2726" w14:paraId="522B477F" w14:textId="77777777" w:rsidTr="6F5EF812">
        <w:tc>
          <w:tcPr>
            <w:tcW w:w="9322" w:type="dxa"/>
            <w:tcBorders>
              <w:bottom w:val="single" w:sz="4" w:space="0" w:color="auto"/>
            </w:tcBorders>
            <w:shd w:val="clear" w:color="auto" w:fill="E6E6E6"/>
          </w:tcPr>
          <w:p w14:paraId="522B477E" w14:textId="77777777" w:rsidR="00ED39C4" w:rsidRPr="003E2726" w:rsidRDefault="00ED39C4" w:rsidP="00DA4580">
            <w:pPr>
              <w:keepNext/>
              <w:spacing w:before="60"/>
              <w:jc w:val="both"/>
              <w:rPr>
                <w:noProof/>
                <w:sz w:val="24"/>
                <w:szCs w:val="24"/>
                <w:lang w:val="en-IE"/>
              </w:rPr>
            </w:pPr>
            <w:r w:rsidRPr="003E2726">
              <w:rPr>
                <w:b/>
                <w:noProof/>
                <w:sz w:val="24"/>
                <w:szCs w:val="24"/>
                <w:lang w:val="en-IE"/>
              </w:rPr>
              <w:t>Will there be other significant impacts?</w:t>
            </w:r>
            <w:r w:rsidRPr="003E2726">
              <w:rPr>
                <w:noProof/>
                <w:sz w:val="24"/>
                <w:szCs w:val="24"/>
                <w:lang w:val="en-IE"/>
              </w:rPr>
              <w:t xml:space="preserve"> </w:t>
            </w:r>
          </w:p>
        </w:tc>
      </w:tr>
      <w:tr w:rsidR="00ED39C4" w:rsidRPr="003E2726" w14:paraId="522B4781" w14:textId="77777777" w:rsidTr="6F5EF812">
        <w:tc>
          <w:tcPr>
            <w:tcW w:w="9322" w:type="dxa"/>
            <w:tcBorders>
              <w:bottom w:val="single" w:sz="4" w:space="0" w:color="auto"/>
            </w:tcBorders>
            <w:shd w:val="clear" w:color="auto" w:fill="auto"/>
          </w:tcPr>
          <w:p w14:paraId="522B4780" w14:textId="77777777" w:rsidR="00ED39C4" w:rsidRPr="003E2726" w:rsidRDefault="00ED39C4" w:rsidP="006530D1">
            <w:pPr>
              <w:spacing w:before="40" w:after="120"/>
              <w:jc w:val="both"/>
              <w:rPr>
                <w:noProof/>
                <w:sz w:val="24"/>
                <w:szCs w:val="24"/>
                <w:lang w:val="en-IE"/>
              </w:rPr>
            </w:pPr>
            <w:r w:rsidRPr="003E2726">
              <w:rPr>
                <w:noProof/>
                <w:sz w:val="24"/>
                <w:szCs w:val="24"/>
                <w:lang w:val="en-IE"/>
              </w:rPr>
              <w:t>There are no other significant impacts to be expected.</w:t>
            </w:r>
          </w:p>
        </w:tc>
      </w:tr>
      <w:tr w:rsidR="00ED39C4" w:rsidRPr="003E2726" w14:paraId="522B4783" w14:textId="77777777" w:rsidTr="6F5EF812">
        <w:tc>
          <w:tcPr>
            <w:tcW w:w="9322" w:type="dxa"/>
            <w:tcBorders>
              <w:bottom w:val="single" w:sz="4" w:space="0" w:color="auto"/>
            </w:tcBorders>
            <w:shd w:val="clear" w:color="auto" w:fill="C0C0C0"/>
          </w:tcPr>
          <w:p w14:paraId="522B4782" w14:textId="77777777" w:rsidR="00ED39C4" w:rsidRPr="003E2726" w:rsidRDefault="00ED39C4" w:rsidP="006544ED">
            <w:pPr>
              <w:spacing w:before="60" w:after="60"/>
              <w:jc w:val="center"/>
              <w:rPr>
                <w:b/>
                <w:noProof/>
                <w:sz w:val="24"/>
                <w:szCs w:val="24"/>
                <w:lang w:val="en-IE"/>
              </w:rPr>
            </w:pPr>
            <w:r w:rsidRPr="003E2726">
              <w:rPr>
                <w:b/>
                <w:noProof/>
                <w:sz w:val="24"/>
                <w:szCs w:val="24"/>
                <w:lang w:val="en-IE"/>
              </w:rPr>
              <w:t>D. Follow-up</w:t>
            </w:r>
          </w:p>
        </w:tc>
      </w:tr>
      <w:tr w:rsidR="00ED39C4" w:rsidRPr="003E2726" w14:paraId="522B4785" w14:textId="77777777" w:rsidTr="6F5EF812">
        <w:tc>
          <w:tcPr>
            <w:tcW w:w="9322" w:type="dxa"/>
            <w:tcBorders>
              <w:bottom w:val="single" w:sz="4" w:space="0" w:color="auto"/>
            </w:tcBorders>
            <w:shd w:val="clear" w:color="auto" w:fill="E6E6E6"/>
          </w:tcPr>
          <w:p w14:paraId="522B4784" w14:textId="77777777" w:rsidR="00ED39C4" w:rsidRPr="003E2726" w:rsidRDefault="00ED39C4" w:rsidP="006544ED">
            <w:pPr>
              <w:spacing w:before="60"/>
              <w:jc w:val="both"/>
              <w:rPr>
                <w:noProof/>
                <w:sz w:val="24"/>
                <w:szCs w:val="24"/>
                <w:lang w:val="en-IE"/>
              </w:rPr>
            </w:pPr>
            <w:r w:rsidRPr="003E2726">
              <w:rPr>
                <w:b/>
                <w:noProof/>
                <w:sz w:val="24"/>
                <w:szCs w:val="24"/>
                <w:lang w:val="en-IE"/>
              </w:rPr>
              <w:t xml:space="preserve">When will the policy be reviewed? </w:t>
            </w:r>
          </w:p>
        </w:tc>
      </w:tr>
      <w:tr w:rsidR="00ED39C4" w:rsidRPr="003E2726" w14:paraId="522B4787" w14:textId="77777777" w:rsidTr="6F5EF812">
        <w:tc>
          <w:tcPr>
            <w:tcW w:w="9322" w:type="dxa"/>
            <w:tcBorders>
              <w:bottom w:val="single" w:sz="4" w:space="0" w:color="auto"/>
            </w:tcBorders>
            <w:shd w:val="clear" w:color="auto" w:fill="auto"/>
          </w:tcPr>
          <w:p w14:paraId="522B4786" w14:textId="302B01A5" w:rsidR="005D586D" w:rsidRPr="003E2726" w:rsidRDefault="6A4B40D6" w:rsidP="00F724FD">
            <w:pPr>
              <w:spacing w:before="40" w:after="120"/>
              <w:jc w:val="both"/>
              <w:rPr>
                <w:noProof/>
                <w:sz w:val="24"/>
                <w:szCs w:val="24"/>
                <w:highlight w:val="yellow"/>
                <w:lang w:val="en-IE"/>
              </w:rPr>
            </w:pPr>
            <w:r w:rsidRPr="003E2726">
              <w:rPr>
                <w:noProof/>
                <w:sz w:val="24"/>
                <w:szCs w:val="24"/>
                <w:lang w:val="en-IE"/>
              </w:rPr>
              <w:t xml:space="preserve">The </w:t>
            </w:r>
            <w:r w:rsidR="5F27F078" w:rsidRPr="003E2726">
              <w:rPr>
                <w:noProof/>
                <w:sz w:val="24"/>
                <w:szCs w:val="24"/>
                <w:lang w:val="en-IE"/>
              </w:rPr>
              <w:t>f</w:t>
            </w:r>
            <w:r w:rsidR="453F3B2A" w:rsidRPr="003E2726">
              <w:rPr>
                <w:noProof/>
                <w:sz w:val="24"/>
                <w:szCs w:val="24"/>
                <w:lang w:val="en-IE"/>
              </w:rPr>
              <w:t>irst</w:t>
            </w:r>
            <w:r w:rsidR="00317245" w:rsidRPr="003E2726">
              <w:rPr>
                <w:noProof/>
                <w:sz w:val="24"/>
                <w:szCs w:val="24"/>
                <w:lang w:val="en-IE"/>
              </w:rPr>
              <w:t xml:space="preserve"> evaluation should be done </w:t>
            </w:r>
            <w:r w:rsidR="00175DBC">
              <w:rPr>
                <w:noProof/>
                <w:sz w:val="24"/>
                <w:szCs w:val="24"/>
                <w:lang w:val="en-IE"/>
              </w:rPr>
              <w:t>five</w:t>
            </w:r>
            <w:r w:rsidR="00317245" w:rsidRPr="003E2726">
              <w:rPr>
                <w:noProof/>
                <w:sz w:val="24"/>
                <w:szCs w:val="24"/>
                <w:lang w:val="en-IE"/>
              </w:rPr>
              <w:t xml:space="preserve"> years af</w:t>
            </w:r>
            <w:r w:rsidR="00423A26">
              <w:rPr>
                <w:noProof/>
                <w:sz w:val="24"/>
                <w:szCs w:val="24"/>
                <w:lang w:val="en-IE"/>
              </w:rPr>
              <w:t xml:space="preserve">ter the entry into </w:t>
            </w:r>
            <w:r w:rsidR="00F724FD">
              <w:rPr>
                <w:noProof/>
                <w:sz w:val="24"/>
                <w:szCs w:val="24"/>
                <w:lang w:val="en-IE"/>
              </w:rPr>
              <w:t>force</w:t>
            </w:r>
            <w:r w:rsidR="00423A26">
              <w:rPr>
                <w:noProof/>
                <w:sz w:val="24"/>
                <w:szCs w:val="24"/>
                <w:lang w:val="en-IE"/>
              </w:rPr>
              <w:t xml:space="preserve"> of th</w:t>
            </w:r>
            <w:r w:rsidR="00B631F3">
              <w:rPr>
                <w:noProof/>
                <w:sz w:val="24"/>
                <w:szCs w:val="24"/>
                <w:lang w:val="en-IE"/>
              </w:rPr>
              <w:t>e</w:t>
            </w:r>
            <w:r w:rsidR="00423A26">
              <w:rPr>
                <w:noProof/>
                <w:sz w:val="24"/>
                <w:szCs w:val="24"/>
                <w:lang w:val="en-IE"/>
              </w:rPr>
              <w:t xml:space="preserve"> regulation</w:t>
            </w:r>
            <w:r w:rsidR="00317245" w:rsidRPr="003E2726">
              <w:rPr>
                <w:noProof/>
                <w:sz w:val="24"/>
                <w:szCs w:val="24"/>
                <w:lang w:val="en-IE"/>
              </w:rPr>
              <w:t>.</w:t>
            </w:r>
            <w:r w:rsidR="00423A26">
              <w:rPr>
                <w:noProof/>
                <w:sz w:val="24"/>
                <w:szCs w:val="24"/>
                <w:lang w:val="en-IE"/>
              </w:rPr>
              <w:t xml:space="preserve"> </w:t>
            </w:r>
          </w:p>
        </w:tc>
      </w:tr>
    </w:tbl>
    <w:p w14:paraId="522B4788" w14:textId="77777777" w:rsidR="006544ED" w:rsidRPr="00C24BC3" w:rsidRDefault="006544ED" w:rsidP="00C24BC3">
      <w:pPr>
        <w:spacing w:after="0"/>
        <w:rPr>
          <w:rFonts w:ascii="Times New Roman" w:hAnsi="Times New Roman" w:cs="Times New Roman"/>
          <w:noProof/>
          <w:lang w:val="en-IE"/>
        </w:rPr>
      </w:pPr>
    </w:p>
    <w:sectPr w:rsidR="006544ED" w:rsidRPr="00C24BC3" w:rsidSect="0084771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A4B2A" w14:textId="77777777" w:rsidR="00400E56" w:rsidRDefault="00400E56" w:rsidP="00FE5FD3">
      <w:pPr>
        <w:spacing w:after="0" w:line="240" w:lineRule="auto"/>
      </w:pPr>
      <w:r>
        <w:separator/>
      </w:r>
    </w:p>
  </w:endnote>
  <w:endnote w:type="continuationSeparator" w:id="0">
    <w:p w14:paraId="5CFB9B42" w14:textId="77777777" w:rsidR="00400E56" w:rsidRDefault="00400E56" w:rsidP="00FE5FD3">
      <w:pPr>
        <w:spacing w:after="0" w:line="240" w:lineRule="auto"/>
      </w:pPr>
      <w:r>
        <w:continuationSeparator/>
      </w:r>
    </w:p>
  </w:endnote>
  <w:endnote w:type="continuationNotice" w:id="1">
    <w:p w14:paraId="3BBD50FC" w14:textId="77777777" w:rsidR="00400E56" w:rsidRDefault="00400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E69A" w14:textId="4EF8B734" w:rsidR="00031446" w:rsidRPr="0024371F" w:rsidRDefault="00031446" w:rsidP="0024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447A" w14:textId="0D8CA41E" w:rsidR="00031446" w:rsidRPr="0024371F" w:rsidRDefault="0024371F" w:rsidP="0024371F">
    <w:pPr>
      <w:pStyle w:val="FooterCoverPage"/>
      <w:rPr>
        <w:rFonts w:ascii="Arial" w:hAnsi="Arial" w:cs="Arial"/>
        <w:b/>
        <w:sz w:val="48"/>
      </w:rPr>
    </w:pPr>
    <w:r w:rsidRPr="0024371F">
      <w:rPr>
        <w:rFonts w:ascii="Arial" w:hAnsi="Arial" w:cs="Arial"/>
        <w:b/>
        <w:sz w:val="48"/>
      </w:rPr>
      <w:t>EN</w:t>
    </w:r>
    <w:r w:rsidRPr="0024371F">
      <w:rPr>
        <w:rFonts w:ascii="Arial" w:hAnsi="Arial" w:cs="Arial"/>
        <w:b/>
        <w:sz w:val="48"/>
      </w:rPr>
      <w:tab/>
    </w:r>
    <w:r w:rsidRPr="0024371F">
      <w:rPr>
        <w:rFonts w:ascii="Arial" w:hAnsi="Arial" w:cs="Arial"/>
        <w:b/>
        <w:sz w:val="48"/>
      </w:rPr>
      <w:tab/>
    </w:r>
    <w:r w:rsidRPr="0024371F">
      <w:tab/>
    </w:r>
    <w:r w:rsidRPr="0024371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65EA" w14:textId="77777777" w:rsidR="0024371F" w:rsidRPr="0024371F" w:rsidRDefault="0024371F" w:rsidP="0024371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4798" w14:textId="77777777" w:rsidR="00103B97" w:rsidRDefault="00103B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222912"/>
      <w:docPartObj>
        <w:docPartGallery w:val="Page Numbers (Bottom of Page)"/>
        <w:docPartUnique/>
      </w:docPartObj>
    </w:sdtPr>
    <w:sdtEndPr>
      <w:rPr>
        <w:noProof/>
      </w:rPr>
    </w:sdtEndPr>
    <w:sdtContent>
      <w:p w14:paraId="522B4799" w14:textId="552CBFC0" w:rsidR="00103B97" w:rsidRDefault="00103B97">
        <w:pPr>
          <w:pStyle w:val="Footer"/>
          <w:jc w:val="center"/>
        </w:pPr>
        <w:r>
          <w:fldChar w:fldCharType="begin"/>
        </w:r>
        <w:r>
          <w:instrText xml:space="preserve"> PAGE   \* MERGEFORMAT </w:instrText>
        </w:r>
        <w:r>
          <w:fldChar w:fldCharType="separate"/>
        </w:r>
        <w:r w:rsidR="0024371F">
          <w:rPr>
            <w:noProof/>
          </w:rPr>
          <w:t>1</w:t>
        </w:r>
        <w:r>
          <w:rPr>
            <w:noProof/>
          </w:rPr>
          <w:fldChar w:fldCharType="end"/>
        </w:r>
      </w:p>
    </w:sdtContent>
  </w:sdt>
  <w:p w14:paraId="522B479A" w14:textId="77777777" w:rsidR="00103B97" w:rsidRDefault="00103B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479C" w14:textId="77777777" w:rsidR="00103B97" w:rsidRDefault="0010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830F" w14:textId="77777777" w:rsidR="00400E56" w:rsidRDefault="00400E56" w:rsidP="00FE5FD3">
      <w:pPr>
        <w:spacing w:after="0" w:line="240" w:lineRule="auto"/>
      </w:pPr>
      <w:r>
        <w:separator/>
      </w:r>
    </w:p>
  </w:footnote>
  <w:footnote w:type="continuationSeparator" w:id="0">
    <w:p w14:paraId="794EA5B0" w14:textId="77777777" w:rsidR="00400E56" w:rsidRDefault="00400E56" w:rsidP="00FE5FD3">
      <w:pPr>
        <w:spacing w:after="0" w:line="240" w:lineRule="auto"/>
      </w:pPr>
      <w:r>
        <w:continuationSeparator/>
      </w:r>
    </w:p>
  </w:footnote>
  <w:footnote w:type="continuationNotice" w:id="1">
    <w:p w14:paraId="37312648" w14:textId="77777777" w:rsidR="00400E56" w:rsidRDefault="00400E56">
      <w:pPr>
        <w:spacing w:after="0" w:line="240" w:lineRule="auto"/>
      </w:pPr>
    </w:p>
  </w:footnote>
  <w:footnote w:id="2">
    <w:p w14:paraId="522B479D" w14:textId="77777777" w:rsidR="00103B97" w:rsidRPr="00423A26" w:rsidRDefault="00103B97">
      <w:pPr>
        <w:pStyle w:val="FootnoteText"/>
        <w:rPr>
          <w:rFonts w:ascii="Times New Roman" w:hAnsi="Times New Roman" w:cs="Times New Roman"/>
          <w:lang w:val="en-IE"/>
        </w:rPr>
      </w:pPr>
      <w:r w:rsidRPr="00423A26">
        <w:rPr>
          <w:rStyle w:val="FootnoteReference"/>
          <w:rFonts w:ascii="Times New Roman" w:hAnsi="Times New Roman" w:cs="Times New Roman"/>
        </w:rPr>
        <w:footnoteRef/>
      </w:r>
      <w:r w:rsidRPr="00423A26">
        <w:rPr>
          <w:rFonts w:ascii="Times New Roman" w:hAnsi="Times New Roman" w:cs="Times New Roman"/>
        </w:rPr>
        <w:t xml:space="preserve"> European Union</w:t>
      </w:r>
      <w:r>
        <w:rPr>
          <w:rFonts w:ascii="Times New Roman" w:hAnsi="Times New Roman" w:cs="Times New Roman"/>
        </w:rPr>
        <w:t xml:space="preserve"> Intellectual Property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43D4" w14:textId="77777777" w:rsidR="0024371F" w:rsidRPr="0024371F" w:rsidRDefault="0024371F" w:rsidP="00243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2DD23" w14:textId="77777777" w:rsidR="0024371F" w:rsidRPr="0024371F" w:rsidRDefault="0024371F" w:rsidP="0024371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47A9" w14:textId="77777777" w:rsidR="0024371F" w:rsidRPr="0024371F" w:rsidRDefault="0024371F" w:rsidP="0024371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4796" w14:textId="77777777" w:rsidR="00103B97" w:rsidRDefault="00103B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4797" w14:textId="77777777" w:rsidR="00103B97" w:rsidRDefault="00103B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479B" w14:textId="77777777" w:rsidR="00103B97" w:rsidRDefault="00103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B38"/>
    <w:multiLevelType w:val="hybridMultilevel"/>
    <w:tmpl w:val="802E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8685B"/>
    <w:multiLevelType w:val="hybridMultilevel"/>
    <w:tmpl w:val="70CA9924"/>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F02ED"/>
    <w:multiLevelType w:val="hybridMultilevel"/>
    <w:tmpl w:val="B9A0A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86C3C5B"/>
    <w:multiLevelType w:val="hybridMultilevel"/>
    <w:tmpl w:val="39B2A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6C5426"/>
    <w:multiLevelType w:val="hybridMultilevel"/>
    <w:tmpl w:val="02AE1F02"/>
    <w:lvl w:ilvl="0" w:tplc="2B26AFCE">
      <w:start w:val="13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7CC4345A"/>
    <w:multiLevelType w:val="hybridMultilevel"/>
    <w:tmpl w:val="3D5AF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0" w:nlCheck="1" w:checkStyle="0"/>
  <w:activeWritingStyle w:appName="MSWord" w:lang="en-GB" w:vendorID="64" w:dllVersion="0" w:nlCheck="1" w:checkStyle="0"/>
  <w:activeWritingStyle w:appName="MSWord" w:lang="en-IE" w:vendorID="64" w:dllVersion="131078" w:nlCheck="1" w:checkStyle="1"/>
  <w:activeWritingStyle w:appName="MSWord" w:lang="en-GB"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nying the document"/>
    <w:docVar w:name="LW_CORRIGENDUM" w:val="&lt;UNUSED&gt;"/>
    <w:docVar w:name="LW_COVERPAGE_EXISTS" w:val="True"/>
    <w:docVar w:name="LW_COVERPAGE_GUID" w:val="103F1D2C-58DC-4981-83D2-104D7BF2BD26"/>
    <w:docVar w:name="LW_COVERPAGE_TYPE" w:val="1"/>
    <w:docVar w:name="LW_CROSSREFERENCE" w:val="{COM(2023) 232 final} - {SEC(2023) 174 final} - {SWD(2023) 123 final} - {SWD(2023) 124 final}"/>
    <w:docVar w:name="LW_DocType" w:val="NORMAL"/>
    <w:docVar w:name="LW_EMISSION" w:val="27.4.2023"/>
    <w:docVar w:name="LW_EMISSION_ISODATE" w:val="2023-04-2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standard essential patents and amending Regulation (EU) 2017/1001"/>
    <w:docVar w:name="LW_PART_NBR" w:val="1"/>
    <w:docVar w:name="LW_PART_NBR_TOTAL" w:val="1"/>
    <w:docVar w:name="LW_REF.INST.NEW" w:val="SWD"/>
    <w:docVar w:name="LW_REF.INST.NEW_ADOPTED" w:val="final"/>
    <w:docVar w:name="LW_REF.INST.NEW_TEXT" w:val="(2023)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Regulation of the European Parliament and of the Council"/>
    <w:docVar w:name="LwApiVersions" w:val="LW4CoDe 1.23.2.0; LW 8.0, Build 20211117"/>
  </w:docVars>
  <w:rsids>
    <w:rsidRoot w:val="00FE5FD3"/>
    <w:rsid w:val="00004530"/>
    <w:rsid w:val="0001248E"/>
    <w:rsid w:val="000124AC"/>
    <w:rsid w:val="0001618A"/>
    <w:rsid w:val="00016BA7"/>
    <w:rsid w:val="00020E68"/>
    <w:rsid w:val="0002181A"/>
    <w:rsid w:val="00022939"/>
    <w:rsid w:val="0002501D"/>
    <w:rsid w:val="00030727"/>
    <w:rsid w:val="00031446"/>
    <w:rsid w:val="000431A6"/>
    <w:rsid w:val="00043747"/>
    <w:rsid w:val="00045564"/>
    <w:rsid w:val="00046B0F"/>
    <w:rsid w:val="000518BD"/>
    <w:rsid w:val="00051FFF"/>
    <w:rsid w:val="00055E53"/>
    <w:rsid w:val="0006465D"/>
    <w:rsid w:val="000668BE"/>
    <w:rsid w:val="00071C6A"/>
    <w:rsid w:val="00073A08"/>
    <w:rsid w:val="00080052"/>
    <w:rsid w:val="000810C7"/>
    <w:rsid w:val="0009404B"/>
    <w:rsid w:val="000975EE"/>
    <w:rsid w:val="00097D6C"/>
    <w:rsid w:val="00097D7C"/>
    <w:rsid w:val="000A0244"/>
    <w:rsid w:val="000A1959"/>
    <w:rsid w:val="000A2567"/>
    <w:rsid w:val="000A2D25"/>
    <w:rsid w:val="000A720D"/>
    <w:rsid w:val="000B7B92"/>
    <w:rsid w:val="000C196C"/>
    <w:rsid w:val="000D2304"/>
    <w:rsid w:val="000D57B6"/>
    <w:rsid w:val="000E0501"/>
    <w:rsid w:val="000E13ED"/>
    <w:rsid w:val="000E37A7"/>
    <w:rsid w:val="000E7413"/>
    <w:rsid w:val="000F023F"/>
    <w:rsid w:val="000F32E4"/>
    <w:rsid w:val="000F469F"/>
    <w:rsid w:val="000F5111"/>
    <w:rsid w:val="0010218E"/>
    <w:rsid w:val="00103B97"/>
    <w:rsid w:val="00111E08"/>
    <w:rsid w:val="00112D69"/>
    <w:rsid w:val="0012043B"/>
    <w:rsid w:val="00121E38"/>
    <w:rsid w:val="00131920"/>
    <w:rsid w:val="0013443A"/>
    <w:rsid w:val="00136AD9"/>
    <w:rsid w:val="001402D9"/>
    <w:rsid w:val="00142FA6"/>
    <w:rsid w:val="001438ED"/>
    <w:rsid w:val="00144A68"/>
    <w:rsid w:val="0014592A"/>
    <w:rsid w:val="00150681"/>
    <w:rsid w:val="00153AD5"/>
    <w:rsid w:val="001562D3"/>
    <w:rsid w:val="00161EE9"/>
    <w:rsid w:val="001662C5"/>
    <w:rsid w:val="00167E87"/>
    <w:rsid w:val="001702D7"/>
    <w:rsid w:val="00170ECA"/>
    <w:rsid w:val="00175DBC"/>
    <w:rsid w:val="00191AA7"/>
    <w:rsid w:val="0019344B"/>
    <w:rsid w:val="0019384F"/>
    <w:rsid w:val="00197500"/>
    <w:rsid w:val="00197F64"/>
    <w:rsid w:val="001A28E8"/>
    <w:rsid w:val="001A43A7"/>
    <w:rsid w:val="001A5033"/>
    <w:rsid w:val="001A7509"/>
    <w:rsid w:val="001B03ED"/>
    <w:rsid w:val="001B3F27"/>
    <w:rsid w:val="001C310F"/>
    <w:rsid w:val="001C4600"/>
    <w:rsid w:val="001D39D3"/>
    <w:rsid w:val="001E104B"/>
    <w:rsid w:val="001E4A8B"/>
    <w:rsid w:val="001E6493"/>
    <w:rsid w:val="0020353B"/>
    <w:rsid w:val="002043D7"/>
    <w:rsid w:val="0020501C"/>
    <w:rsid w:val="002067A7"/>
    <w:rsid w:val="0021723D"/>
    <w:rsid w:val="00222371"/>
    <w:rsid w:val="00224D3D"/>
    <w:rsid w:val="002301F9"/>
    <w:rsid w:val="002336DA"/>
    <w:rsid w:val="00233A53"/>
    <w:rsid w:val="0024371F"/>
    <w:rsid w:val="00245982"/>
    <w:rsid w:val="00263D15"/>
    <w:rsid w:val="00266CC4"/>
    <w:rsid w:val="00271691"/>
    <w:rsid w:val="00275149"/>
    <w:rsid w:val="00285DDE"/>
    <w:rsid w:val="002867A9"/>
    <w:rsid w:val="0028798E"/>
    <w:rsid w:val="002906B2"/>
    <w:rsid w:val="00292079"/>
    <w:rsid w:val="00296238"/>
    <w:rsid w:val="002A1C41"/>
    <w:rsid w:val="002A38A6"/>
    <w:rsid w:val="002A408F"/>
    <w:rsid w:val="002A4933"/>
    <w:rsid w:val="002A53AC"/>
    <w:rsid w:val="002B0672"/>
    <w:rsid w:val="002B3660"/>
    <w:rsid w:val="002B4627"/>
    <w:rsid w:val="002B5ADB"/>
    <w:rsid w:val="002C1F57"/>
    <w:rsid w:val="002C2E18"/>
    <w:rsid w:val="002C61EC"/>
    <w:rsid w:val="002C7C43"/>
    <w:rsid w:val="002D6C5F"/>
    <w:rsid w:val="002E1207"/>
    <w:rsid w:val="002E1541"/>
    <w:rsid w:val="002F10ED"/>
    <w:rsid w:val="002F5C7C"/>
    <w:rsid w:val="002F754B"/>
    <w:rsid w:val="00313B3C"/>
    <w:rsid w:val="003142B3"/>
    <w:rsid w:val="003166BD"/>
    <w:rsid w:val="00317245"/>
    <w:rsid w:val="00321CF5"/>
    <w:rsid w:val="00322B67"/>
    <w:rsid w:val="00324150"/>
    <w:rsid w:val="003248CF"/>
    <w:rsid w:val="00325A24"/>
    <w:rsid w:val="00330DA1"/>
    <w:rsid w:val="00331AD0"/>
    <w:rsid w:val="0033410C"/>
    <w:rsid w:val="00342689"/>
    <w:rsid w:val="003537F4"/>
    <w:rsid w:val="003655FA"/>
    <w:rsid w:val="00366318"/>
    <w:rsid w:val="00366F4C"/>
    <w:rsid w:val="00367E4A"/>
    <w:rsid w:val="0037285C"/>
    <w:rsid w:val="0037432B"/>
    <w:rsid w:val="0038693D"/>
    <w:rsid w:val="00390B47"/>
    <w:rsid w:val="00396D5F"/>
    <w:rsid w:val="00397B4C"/>
    <w:rsid w:val="003A6BF1"/>
    <w:rsid w:val="003B1837"/>
    <w:rsid w:val="003C12CE"/>
    <w:rsid w:val="003D09B4"/>
    <w:rsid w:val="003D5DA1"/>
    <w:rsid w:val="003E2726"/>
    <w:rsid w:val="003E6D44"/>
    <w:rsid w:val="003F03FF"/>
    <w:rsid w:val="003F2CCA"/>
    <w:rsid w:val="003F35E0"/>
    <w:rsid w:val="003F421B"/>
    <w:rsid w:val="003F5C5A"/>
    <w:rsid w:val="003F65E8"/>
    <w:rsid w:val="00400583"/>
    <w:rsid w:val="00400E56"/>
    <w:rsid w:val="004043EE"/>
    <w:rsid w:val="00405033"/>
    <w:rsid w:val="004063A0"/>
    <w:rsid w:val="00416672"/>
    <w:rsid w:val="00423A26"/>
    <w:rsid w:val="00423E72"/>
    <w:rsid w:val="004315F3"/>
    <w:rsid w:val="00431952"/>
    <w:rsid w:val="004361C6"/>
    <w:rsid w:val="00445A91"/>
    <w:rsid w:val="00451B64"/>
    <w:rsid w:val="00454756"/>
    <w:rsid w:val="00455657"/>
    <w:rsid w:val="00462276"/>
    <w:rsid w:val="004645E5"/>
    <w:rsid w:val="004658CC"/>
    <w:rsid w:val="004659B4"/>
    <w:rsid w:val="00471D26"/>
    <w:rsid w:val="004744A1"/>
    <w:rsid w:val="004750C0"/>
    <w:rsid w:val="0047687C"/>
    <w:rsid w:val="00481A46"/>
    <w:rsid w:val="00483E46"/>
    <w:rsid w:val="0049064B"/>
    <w:rsid w:val="00490816"/>
    <w:rsid w:val="004957FA"/>
    <w:rsid w:val="0049590F"/>
    <w:rsid w:val="004A44AB"/>
    <w:rsid w:val="004A6BFA"/>
    <w:rsid w:val="004A7B49"/>
    <w:rsid w:val="004A7D26"/>
    <w:rsid w:val="004B3D82"/>
    <w:rsid w:val="004D31C7"/>
    <w:rsid w:val="004D4946"/>
    <w:rsid w:val="004D61CA"/>
    <w:rsid w:val="004D796C"/>
    <w:rsid w:val="004F14AB"/>
    <w:rsid w:val="005017CD"/>
    <w:rsid w:val="005113F2"/>
    <w:rsid w:val="00514DF9"/>
    <w:rsid w:val="00516E87"/>
    <w:rsid w:val="00517FDC"/>
    <w:rsid w:val="00521396"/>
    <w:rsid w:val="00521CCD"/>
    <w:rsid w:val="00524311"/>
    <w:rsid w:val="00524D08"/>
    <w:rsid w:val="00524FC2"/>
    <w:rsid w:val="005267DC"/>
    <w:rsid w:val="00526EF2"/>
    <w:rsid w:val="0053174A"/>
    <w:rsid w:val="005427CC"/>
    <w:rsid w:val="00543682"/>
    <w:rsid w:val="00543750"/>
    <w:rsid w:val="00544CDC"/>
    <w:rsid w:val="00552ACB"/>
    <w:rsid w:val="005555CB"/>
    <w:rsid w:val="00555F39"/>
    <w:rsid w:val="00565143"/>
    <w:rsid w:val="00565507"/>
    <w:rsid w:val="005679DA"/>
    <w:rsid w:val="0057188D"/>
    <w:rsid w:val="00573D2B"/>
    <w:rsid w:val="005769B3"/>
    <w:rsid w:val="005824ED"/>
    <w:rsid w:val="005844E7"/>
    <w:rsid w:val="00586BEA"/>
    <w:rsid w:val="00587FE6"/>
    <w:rsid w:val="0059669E"/>
    <w:rsid w:val="00597831"/>
    <w:rsid w:val="00597FB5"/>
    <w:rsid w:val="005A1E38"/>
    <w:rsid w:val="005A4F4D"/>
    <w:rsid w:val="005A6CB0"/>
    <w:rsid w:val="005A7E5A"/>
    <w:rsid w:val="005B06CF"/>
    <w:rsid w:val="005B5533"/>
    <w:rsid w:val="005B5E08"/>
    <w:rsid w:val="005B5E4A"/>
    <w:rsid w:val="005B7AB1"/>
    <w:rsid w:val="005C231E"/>
    <w:rsid w:val="005C298C"/>
    <w:rsid w:val="005D2BE3"/>
    <w:rsid w:val="005D586D"/>
    <w:rsid w:val="005D628B"/>
    <w:rsid w:val="005E3546"/>
    <w:rsid w:val="005E4141"/>
    <w:rsid w:val="005E4D8B"/>
    <w:rsid w:val="005E65B1"/>
    <w:rsid w:val="005F06C8"/>
    <w:rsid w:val="00600DA2"/>
    <w:rsid w:val="006017DD"/>
    <w:rsid w:val="00605472"/>
    <w:rsid w:val="006106FA"/>
    <w:rsid w:val="00614ED9"/>
    <w:rsid w:val="00617426"/>
    <w:rsid w:val="00631654"/>
    <w:rsid w:val="00632703"/>
    <w:rsid w:val="0063522F"/>
    <w:rsid w:val="0064208F"/>
    <w:rsid w:val="00646649"/>
    <w:rsid w:val="00650141"/>
    <w:rsid w:val="006521E9"/>
    <w:rsid w:val="0065266A"/>
    <w:rsid w:val="006526AE"/>
    <w:rsid w:val="006530D1"/>
    <w:rsid w:val="006544ED"/>
    <w:rsid w:val="0065586E"/>
    <w:rsid w:val="00660CDC"/>
    <w:rsid w:val="00662B6F"/>
    <w:rsid w:val="00664483"/>
    <w:rsid w:val="00665615"/>
    <w:rsid w:val="006657E0"/>
    <w:rsid w:val="00665E88"/>
    <w:rsid w:val="00674337"/>
    <w:rsid w:val="00677068"/>
    <w:rsid w:val="00690720"/>
    <w:rsid w:val="00694AF7"/>
    <w:rsid w:val="00696E3A"/>
    <w:rsid w:val="006A1DC5"/>
    <w:rsid w:val="006A4B06"/>
    <w:rsid w:val="006A6D9B"/>
    <w:rsid w:val="006A751B"/>
    <w:rsid w:val="006B3A85"/>
    <w:rsid w:val="006B699F"/>
    <w:rsid w:val="006C21FF"/>
    <w:rsid w:val="006C50B1"/>
    <w:rsid w:val="006C65B5"/>
    <w:rsid w:val="006C66A7"/>
    <w:rsid w:val="006D1D84"/>
    <w:rsid w:val="006D41C7"/>
    <w:rsid w:val="006E3B9D"/>
    <w:rsid w:val="006E756A"/>
    <w:rsid w:val="006F3C9A"/>
    <w:rsid w:val="00703DA5"/>
    <w:rsid w:val="00710355"/>
    <w:rsid w:val="007125FC"/>
    <w:rsid w:val="00714C92"/>
    <w:rsid w:val="00715841"/>
    <w:rsid w:val="007167A0"/>
    <w:rsid w:val="00717F96"/>
    <w:rsid w:val="007209B8"/>
    <w:rsid w:val="00724987"/>
    <w:rsid w:val="00724AD7"/>
    <w:rsid w:val="007262F3"/>
    <w:rsid w:val="007303A8"/>
    <w:rsid w:val="00730A7F"/>
    <w:rsid w:val="00731472"/>
    <w:rsid w:val="00731B8A"/>
    <w:rsid w:val="00734B82"/>
    <w:rsid w:val="00735F53"/>
    <w:rsid w:val="00739430"/>
    <w:rsid w:val="00741A1D"/>
    <w:rsid w:val="00741C54"/>
    <w:rsid w:val="00745491"/>
    <w:rsid w:val="00746B7A"/>
    <w:rsid w:val="00756E34"/>
    <w:rsid w:val="007605F4"/>
    <w:rsid w:val="007620CC"/>
    <w:rsid w:val="00762967"/>
    <w:rsid w:val="00763AD5"/>
    <w:rsid w:val="00764778"/>
    <w:rsid w:val="00766068"/>
    <w:rsid w:val="00772754"/>
    <w:rsid w:val="00775840"/>
    <w:rsid w:val="00780FAB"/>
    <w:rsid w:val="00782ED3"/>
    <w:rsid w:val="00786C46"/>
    <w:rsid w:val="007921F7"/>
    <w:rsid w:val="007977D4"/>
    <w:rsid w:val="007A329B"/>
    <w:rsid w:val="007A5E0E"/>
    <w:rsid w:val="007B0589"/>
    <w:rsid w:val="007B0F2E"/>
    <w:rsid w:val="007B1057"/>
    <w:rsid w:val="007B1F5B"/>
    <w:rsid w:val="007B7079"/>
    <w:rsid w:val="007C08DE"/>
    <w:rsid w:val="007C47E9"/>
    <w:rsid w:val="007C4A26"/>
    <w:rsid w:val="007C6813"/>
    <w:rsid w:val="007C7A60"/>
    <w:rsid w:val="007D0937"/>
    <w:rsid w:val="007D23AE"/>
    <w:rsid w:val="007E172C"/>
    <w:rsid w:val="00803314"/>
    <w:rsid w:val="008072E0"/>
    <w:rsid w:val="008138D7"/>
    <w:rsid w:val="00815229"/>
    <w:rsid w:val="008202DD"/>
    <w:rsid w:val="00821143"/>
    <w:rsid w:val="00827DCC"/>
    <w:rsid w:val="00830FA8"/>
    <w:rsid w:val="00830FAC"/>
    <w:rsid w:val="00832FE1"/>
    <w:rsid w:val="008337D0"/>
    <w:rsid w:val="00833AF9"/>
    <w:rsid w:val="00841238"/>
    <w:rsid w:val="0084771E"/>
    <w:rsid w:val="00854379"/>
    <w:rsid w:val="00855AF0"/>
    <w:rsid w:val="00860B52"/>
    <w:rsid w:val="00862349"/>
    <w:rsid w:val="008638AC"/>
    <w:rsid w:val="00866CF5"/>
    <w:rsid w:val="0087241A"/>
    <w:rsid w:val="008749BC"/>
    <w:rsid w:val="00875E17"/>
    <w:rsid w:val="00881943"/>
    <w:rsid w:val="00887A85"/>
    <w:rsid w:val="0089021B"/>
    <w:rsid w:val="00895425"/>
    <w:rsid w:val="008A3ED8"/>
    <w:rsid w:val="008B07AB"/>
    <w:rsid w:val="008B271C"/>
    <w:rsid w:val="008B45E5"/>
    <w:rsid w:val="008C154B"/>
    <w:rsid w:val="008C1FBC"/>
    <w:rsid w:val="008C4837"/>
    <w:rsid w:val="008C7B2E"/>
    <w:rsid w:val="008C7F42"/>
    <w:rsid w:val="008E143F"/>
    <w:rsid w:val="008E5F60"/>
    <w:rsid w:val="008F268A"/>
    <w:rsid w:val="008F4137"/>
    <w:rsid w:val="008F7D24"/>
    <w:rsid w:val="00905045"/>
    <w:rsid w:val="00905328"/>
    <w:rsid w:val="00911AF8"/>
    <w:rsid w:val="00912290"/>
    <w:rsid w:val="0091279B"/>
    <w:rsid w:val="009128D9"/>
    <w:rsid w:val="00917ED1"/>
    <w:rsid w:val="00927129"/>
    <w:rsid w:val="00931A79"/>
    <w:rsid w:val="009335F2"/>
    <w:rsid w:val="00942B4D"/>
    <w:rsid w:val="0095486A"/>
    <w:rsid w:val="00960D69"/>
    <w:rsid w:val="00962CA3"/>
    <w:rsid w:val="009747B9"/>
    <w:rsid w:val="009755D0"/>
    <w:rsid w:val="0098122D"/>
    <w:rsid w:val="0098273B"/>
    <w:rsid w:val="009852BF"/>
    <w:rsid w:val="00986FE2"/>
    <w:rsid w:val="009916B8"/>
    <w:rsid w:val="00997DB5"/>
    <w:rsid w:val="009A4526"/>
    <w:rsid w:val="009A5459"/>
    <w:rsid w:val="009B12E1"/>
    <w:rsid w:val="009B2F58"/>
    <w:rsid w:val="009B4C8E"/>
    <w:rsid w:val="009C3E62"/>
    <w:rsid w:val="009D7A05"/>
    <w:rsid w:val="009E0766"/>
    <w:rsid w:val="009F325A"/>
    <w:rsid w:val="00A01016"/>
    <w:rsid w:val="00A057B8"/>
    <w:rsid w:val="00A05D91"/>
    <w:rsid w:val="00A07219"/>
    <w:rsid w:val="00A0781D"/>
    <w:rsid w:val="00A07DFD"/>
    <w:rsid w:val="00A100E8"/>
    <w:rsid w:val="00A10444"/>
    <w:rsid w:val="00A16502"/>
    <w:rsid w:val="00A2083A"/>
    <w:rsid w:val="00A21349"/>
    <w:rsid w:val="00A25518"/>
    <w:rsid w:val="00A2690B"/>
    <w:rsid w:val="00A413A9"/>
    <w:rsid w:val="00A60A8C"/>
    <w:rsid w:val="00A64C51"/>
    <w:rsid w:val="00A66DD2"/>
    <w:rsid w:val="00A70D86"/>
    <w:rsid w:val="00A76E77"/>
    <w:rsid w:val="00A8169C"/>
    <w:rsid w:val="00A81E2B"/>
    <w:rsid w:val="00A8578A"/>
    <w:rsid w:val="00A86828"/>
    <w:rsid w:val="00A86E6D"/>
    <w:rsid w:val="00A918C4"/>
    <w:rsid w:val="00A9199E"/>
    <w:rsid w:val="00A93748"/>
    <w:rsid w:val="00AA544F"/>
    <w:rsid w:val="00AA726C"/>
    <w:rsid w:val="00AB17A5"/>
    <w:rsid w:val="00AC0690"/>
    <w:rsid w:val="00AC4BD9"/>
    <w:rsid w:val="00AC5A2A"/>
    <w:rsid w:val="00AC770E"/>
    <w:rsid w:val="00AD00C6"/>
    <w:rsid w:val="00AE61B8"/>
    <w:rsid w:val="00AE704D"/>
    <w:rsid w:val="00AE7323"/>
    <w:rsid w:val="00AF37A1"/>
    <w:rsid w:val="00AF5104"/>
    <w:rsid w:val="00AF5E20"/>
    <w:rsid w:val="00B1428A"/>
    <w:rsid w:val="00B14895"/>
    <w:rsid w:val="00B17BA5"/>
    <w:rsid w:val="00B2010A"/>
    <w:rsid w:val="00B23129"/>
    <w:rsid w:val="00B23DDE"/>
    <w:rsid w:val="00B30C99"/>
    <w:rsid w:val="00B30D65"/>
    <w:rsid w:val="00B3102F"/>
    <w:rsid w:val="00B31C3E"/>
    <w:rsid w:val="00B35EFA"/>
    <w:rsid w:val="00B421AA"/>
    <w:rsid w:val="00B4397C"/>
    <w:rsid w:val="00B449CA"/>
    <w:rsid w:val="00B45A19"/>
    <w:rsid w:val="00B46463"/>
    <w:rsid w:val="00B55966"/>
    <w:rsid w:val="00B56C10"/>
    <w:rsid w:val="00B60828"/>
    <w:rsid w:val="00B631F3"/>
    <w:rsid w:val="00B6464B"/>
    <w:rsid w:val="00B646B1"/>
    <w:rsid w:val="00B67816"/>
    <w:rsid w:val="00B75DC6"/>
    <w:rsid w:val="00B77C17"/>
    <w:rsid w:val="00B807CE"/>
    <w:rsid w:val="00B83C62"/>
    <w:rsid w:val="00B843FD"/>
    <w:rsid w:val="00B8676C"/>
    <w:rsid w:val="00B87D4A"/>
    <w:rsid w:val="00B90331"/>
    <w:rsid w:val="00B95BB0"/>
    <w:rsid w:val="00BA4522"/>
    <w:rsid w:val="00BB75F8"/>
    <w:rsid w:val="00BD0FAD"/>
    <w:rsid w:val="00BD7C1E"/>
    <w:rsid w:val="00BE4747"/>
    <w:rsid w:val="00BE7A53"/>
    <w:rsid w:val="00BF369C"/>
    <w:rsid w:val="00BF5CA3"/>
    <w:rsid w:val="00C07605"/>
    <w:rsid w:val="00C12DF3"/>
    <w:rsid w:val="00C13143"/>
    <w:rsid w:val="00C13809"/>
    <w:rsid w:val="00C20B67"/>
    <w:rsid w:val="00C24656"/>
    <w:rsid w:val="00C24BC3"/>
    <w:rsid w:val="00C31E56"/>
    <w:rsid w:val="00C341DE"/>
    <w:rsid w:val="00C36271"/>
    <w:rsid w:val="00C41406"/>
    <w:rsid w:val="00C4261C"/>
    <w:rsid w:val="00C50157"/>
    <w:rsid w:val="00C5039E"/>
    <w:rsid w:val="00C55329"/>
    <w:rsid w:val="00C5542C"/>
    <w:rsid w:val="00C5659D"/>
    <w:rsid w:val="00C56D46"/>
    <w:rsid w:val="00C65D86"/>
    <w:rsid w:val="00C71758"/>
    <w:rsid w:val="00C7522F"/>
    <w:rsid w:val="00C804CD"/>
    <w:rsid w:val="00C816AB"/>
    <w:rsid w:val="00C8239E"/>
    <w:rsid w:val="00C83048"/>
    <w:rsid w:val="00C839CD"/>
    <w:rsid w:val="00C8729B"/>
    <w:rsid w:val="00C87B15"/>
    <w:rsid w:val="00C87E02"/>
    <w:rsid w:val="00C914F9"/>
    <w:rsid w:val="00C97E17"/>
    <w:rsid w:val="00CA11C0"/>
    <w:rsid w:val="00CA1C01"/>
    <w:rsid w:val="00CA46E7"/>
    <w:rsid w:val="00CA5FCC"/>
    <w:rsid w:val="00CA6E8A"/>
    <w:rsid w:val="00CB0002"/>
    <w:rsid w:val="00CB0547"/>
    <w:rsid w:val="00CB3753"/>
    <w:rsid w:val="00CB3D00"/>
    <w:rsid w:val="00CB5485"/>
    <w:rsid w:val="00CC136A"/>
    <w:rsid w:val="00CC16F0"/>
    <w:rsid w:val="00CC3891"/>
    <w:rsid w:val="00CC3F16"/>
    <w:rsid w:val="00CC6D3A"/>
    <w:rsid w:val="00CC7B0F"/>
    <w:rsid w:val="00CD0178"/>
    <w:rsid w:val="00CD2C02"/>
    <w:rsid w:val="00CD4AE9"/>
    <w:rsid w:val="00CE03EE"/>
    <w:rsid w:val="00CE0933"/>
    <w:rsid w:val="00CE0F67"/>
    <w:rsid w:val="00CF5FE5"/>
    <w:rsid w:val="00D05B73"/>
    <w:rsid w:val="00D11104"/>
    <w:rsid w:val="00D11C17"/>
    <w:rsid w:val="00D14787"/>
    <w:rsid w:val="00D14C1C"/>
    <w:rsid w:val="00D15935"/>
    <w:rsid w:val="00D2305D"/>
    <w:rsid w:val="00D33E12"/>
    <w:rsid w:val="00D33EFB"/>
    <w:rsid w:val="00D35666"/>
    <w:rsid w:val="00D36447"/>
    <w:rsid w:val="00D364BF"/>
    <w:rsid w:val="00D41BD3"/>
    <w:rsid w:val="00D42B5A"/>
    <w:rsid w:val="00D47FB1"/>
    <w:rsid w:val="00D5553F"/>
    <w:rsid w:val="00D57395"/>
    <w:rsid w:val="00D57C2A"/>
    <w:rsid w:val="00D60D5D"/>
    <w:rsid w:val="00D62BFF"/>
    <w:rsid w:val="00D66AD4"/>
    <w:rsid w:val="00D8180B"/>
    <w:rsid w:val="00D90F67"/>
    <w:rsid w:val="00D93245"/>
    <w:rsid w:val="00D93CEF"/>
    <w:rsid w:val="00D9635C"/>
    <w:rsid w:val="00DA10A9"/>
    <w:rsid w:val="00DA1D53"/>
    <w:rsid w:val="00DA2767"/>
    <w:rsid w:val="00DA36EB"/>
    <w:rsid w:val="00DA4374"/>
    <w:rsid w:val="00DA4580"/>
    <w:rsid w:val="00DA4587"/>
    <w:rsid w:val="00DA55D4"/>
    <w:rsid w:val="00DB017B"/>
    <w:rsid w:val="00DB041C"/>
    <w:rsid w:val="00DB0473"/>
    <w:rsid w:val="00DB600B"/>
    <w:rsid w:val="00DC065E"/>
    <w:rsid w:val="00DC54FF"/>
    <w:rsid w:val="00DC6839"/>
    <w:rsid w:val="00DD051A"/>
    <w:rsid w:val="00DD3C1F"/>
    <w:rsid w:val="00DD3DDA"/>
    <w:rsid w:val="00DE32A6"/>
    <w:rsid w:val="00DF1388"/>
    <w:rsid w:val="00DF229E"/>
    <w:rsid w:val="00DF240C"/>
    <w:rsid w:val="00DF2738"/>
    <w:rsid w:val="00DF6BA5"/>
    <w:rsid w:val="00E040A2"/>
    <w:rsid w:val="00E05C5E"/>
    <w:rsid w:val="00E05E8A"/>
    <w:rsid w:val="00E0690D"/>
    <w:rsid w:val="00E1035D"/>
    <w:rsid w:val="00E151C0"/>
    <w:rsid w:val="00E156BD"/>
    <w:rsid w:val="00E2183A"/>
    <w:rsid w:val="00E23F00"/>
    <w:rsid w:val="00E27949"/>
    <w:rsid w:val="00E27DC5"/>
    <w:rsid w:val="00E30C5C"/>
    <w:rsid w:val="00E332FF"/>
    <w:rsid w:val="00E5086D"/>
    <w:rsid w:val="00E51C9C"/>
    <w:rsid w:val="00E531EA"/>
    <w:rsid w:val="00E555D0"/>
    <w:rsid w:val="00E5596C"/>
    <w:rsid w:val="00E73000"/>
    <w:rsid w:val="00E74BF4"/>
    <w:rsid w:val="00E7525D"/>
    <w:rsid w:val="00E758DA"/>
    <w:rsid w:val="00E82075"/>
    <w:rsid w:val="00E82B41"/>
    <w:rsid w:val="00E855DD"/>
    <w:rsid w:val="00E87A3A"/>
    <w:rsid w:val="00E907FE"/>
    <w:rsid w:val="00E935FE"/>
    <w:rsid w:val="00E937A4"/>
    <w:rsid w:val="00E96DF8"/>
    <w:rsid w:val="00E97B9F"/>
    <w:rsid w:val="00EA0D0C"/>
    <w:rsid w:val="00EA5E24"/>
    <w:rsid w:val="00EC054C"/>
    <w:rsid w:val="00EC1084"/>
    <w:rsid w:val="00EC4C60"/>
    <w:rsid w:val="00EC6789"/>
    <w:rsid w:val="00EC7A84"/>
    <w:rsid w:val="00ED029B"/>
    <w:rsid w:val="00ED08B4"/>
    <w:rsid w:val="00ED08FA"/>
    <w:rsid w:val="00ED39C4"/>
    <w:rsid w:val="00ED43DF"/>
    <w:rsid w:val="00EE117A"/>
    <w:rsid w:val="00EE1310"/>
    <w:rsid w:val="00EE29EB"/>
    <w:rsid w:val="00EF35B2"/>
    <w:rsid w:val="00F02D98"/>
    <w:rsid w:val="00F044B9"/>
    <w:rsid w:val="00F0631D"/>
    <w:rsid w:val="00F06BBD"/>
    <w:rsid w:val="00F06CD3"/>
    <w:rsid w:val="00F10826"/>
    <w:rsid w:val="00F136D1"/>
    <w:rsid w:val="00F160D5"/>
    <w:rsid w:val="00F17E86"/>
    <w:rsid w:val="00F218D2"/>
    <w:rsid w:val="00F22763"/>
    <w:rsid w:val="00F33347"/>
    <w:rsid w:val="00F351B6"/>
    <w:rsid w:val="00F44761"/>
    <w:rsid w:val="00F576FD"/>
    <w:rsid w:val="00F70291"/>
    <w:rsid w:val="00F724FD"/>
    <w:rsid w:val="00F80242"/>
    <w:rsid w:val="00F93DA2"/>
    <w:rsid w:val="00F940CC"/>
    <w:rsid w:val="00FA4268"/>
    <w:rsid w:val="00FA4B84"/>
    <w:rsid w:val="00FB237C"/>
    <w:rsid w:val="00FB5D3B"/>
    <w:rsid w:val="00FB5FCD"/>
    <w:rsid w:val="00FD1761"/>
    <w:rsid w:val="00FD4145"/>
    <w:rsid w:val="00FD6C1F"/>
    <w:rsid w:val="00FE1EE7"/>
    <w:rsid w:val="00FE3454"/>
    <w:rsid w:val="00FE5A65"/>
    <w:rsid w:val="00FE5FD3"/>
    <w:rsid w:val="00FE620C"/>
    <w:rsid w:val="00FE7583"/>
    <w:rsid w:val="00FF08A2"/>
    <w:rsid w:val="00FF48CF"/>
    <w:rsid w:val="0118D9C4"/>
    <w:rsid w:val="012F6239"/>
    <w:rsid w:val="0160FD34"/>
    <w:rsid w:val="01A626F4"/>
    <w:rsid w:val="01DD6EE1"/>
    <w:rsid w:val="02BE626B"/>
    <w:rsid w:val="03AC3F19"/>
    <w:rsid w:val="04990398"/>
    <w:rsid w:val="05024BCB"/>
    <w:rsid w:val="057DDAA6"/>
    <w:rsid w:val="063A62A4"/>
    <w:rsid w:val="07461F04"/>
    <w:rsid w:val="08454B04"/>
    <w:rsid w:val="0983710E"/>
    <w:rsid w:val="0A2037F2"/>
    <w:rsid w:val="0A483E41"/>
    <w:rsid w:val="0B1B82C9"/>
    <w:rsid w:val="0B5D47F2"/>
    <w:rsid w:val="0B809281"/>
    <w:rsid w:val="0BD530B0"/>
    <w:rsid w:val="0CA9A63C"/>
    <w:rsid w:val="0D49AD05"/>
    <w:rsid w:val="0E2C3414"/>
    <w:rsid w:val="0E3760E0"/>
    <w:rsid w:val="0E8AED4B"/>
    <w:rsid w:val="0EA95551"/>
    <w:rsid w:val="0ED1F762"/>
    <w:rsid w:val="0ED685A4"/>
    <w:rsid w:val="0ED74FED"/>
    <w:rsid w:val="1024E296"/>
    <w:rsid w:val="1036E033"/>
    <w:rsid w:val="103E3546"/>
    <w:rsid w:val="1153DDEB"/>
    <w:rsid w:val="116C71EC"/>
    <w:rsid w:val="12016154"/>
    <w:rsid w:val="120D8EEE"/>
    <w:rsid w:val="12B99318"/>
    <w:rsid w:val="141EADBF"/>
    <w:rsid w:val="146FE13C"/>
    <w:rsid w:val="15979834"/>
    <w:rsid w:val="164733AB"/>
    <w:rsid w:val="16667906"/>
    <w:rsid w:val="1694813E"/>
    <w:rsid w:val="1736422D"/>
    <w:rsid w:val="1753BECB"/>
    <w:rsid w:val="17A2EA80"/>
    <w:rsid w:val="17AD86FE"/>
    <w:rsid w:val="17E5E470"/>
    <w:rsid w:val="18C8EA9E"/>
    <w:rsid w:val="18F0BD21"/>
    <w:rsid w:val="192886BD"/>
    <w:rsid w:val="1A02D275"/>
    <w:rsid w:val="1A82A8B9"/>
    <w:rsid w:val="1C3AA42E"/>
    <w:rsid w:val="1CB3160A"/>
    <w:rsid w:val="1D4FDCEE"/>
    <w:rsid w:val="1E9773C7"/>
    <w:rsid w:val="1F75358B"/>
    <w:rsid w:val="1F97570B"/>
    <w:rsid w:val="1FD9F8B4"/>
    <w:rsid w:val="20AB2CE6"/>
    <w:rsid w:val="20EA942F"/>
    <w:rsid w:val="20ECEAB1"/>
    <w:rsid w:val="212F8B1E"/>
    <w:rsid w:val="216705DC"/>
    <w:rsid w:val="21BB767F"/>
    <w:rsid w:val="22C2386F"/>
    <w:rsid w:val="22F91877"/>
    <w:rsid w:val="237B7129"/>
    <w:rsid w:val="23976256"/>
    <w:rsid w:val="247032B1"/>
    <w:rsid w:val="252F84E8"/>
    <w:rsid w:val="25A3C88B"/>
    <w:rsid w:val="25B4525F"/>
    <w:rsid w:val="26107872"/>
    <w:rsid w:val="26A62231"/>
    <w:rsid w:val="275404FF"/>
    <w:rsid w:val="27EA1C85"/>
    <w:rsid w:val="28219743"/>
    <w:rsid w:val="28E33C4D"/>
    <w:rsid w:val="29C4263A"/>
    <w:rsid w:val="2A0A623E"/>
    <w:rsid w:val="2A0C5976"/>
    <w:rsid w:val="2A406516"/>
    <w:rsid w:val="2A46D9A5"/>
    <w:rsid w:val="2A98350B"/>
    <w:rsid w:val="2B020A20"/>
    <w:rsid w:val="2B056869"/>
    <w:rsid w:val="2B664F8F"/>
    <w:rsid w:val="2CBA10FF"/>
    <w:rsid w:val="2CFD0F42"/>
    <w:rsid w:val="2D1328F1"/>
    <w:rsid w:val="2DABF3C6"/>
    <w:rsid w:val="2DD7F511"/>
    <w:rsid w:val="30A13DC8"/>
    <w:rsid w:val="30AD7009"/>
    <w:rsid w:val="320FEB86"/>
    <w:rsid w:val="32DF7384"/>
    <w:rsid w:val="33904B4D"/>
    <w:rsid w:val="33CB8F49"/>
    <w:rsid w:val="33E3CD8F"/>
    <w:rsid w:val="348A85AE"/>
    <w:rsid w:val="34B6A67C"/>
    <w:rsid w:val="34E09C1F"/>
    <w:rsid w:val="3505A9F1"/>
    <w:rsid w:val="367B0895"/>
    <w:rsid w:val="37B09A4E"/>
    <w:rsid w:val="38B40481"/>
    <w:rsid w:val="39409F41"/>
    <w:rsid w:val="3982B67D"/>
    <w:rsid w:val="39A495AE"/>
    <w:rsid w:val="39E69745"/>
    <w:rsid w:val="3A31AE3D"/>
    <w:rsid w:val="3AE2AC65"/>
    <w:rsid w:val="3B94305B"/>
    <w:rsid w:val="3BFD826D"/>
    <w:rsid w:val="3D6D14BA"/>
    <w:rsid w:val="3E141064"/>
    <w:rsid w:val="3EF77773"/>
    <w:rsid w:val="3F3480DC"/>
    <w:rsid w:val="3F3F70A1"/>
    <w:rsid w:val="40366D84"/>
    <w:rsid w:val="414BB126"/>
    <w:rsid w:val="41C68ECA"/>
    <w:rsid w:val="422CADE8"/>
    <w:rsid w:val="424BD6FF"/>
    <w:rsid w:val="427BC9D9"/>
    <w:rsid w:val="42C2032E"/>
    <w:rsid w:val="431BD664"/>
    <w:rsid w:val="434F4132"/>
    <w:rsid w:val="448351E8"/>
    <w:rsid w:val="448B243D"/>
    <w:rsid w:val="44B19C14"/>
    <w:rsid w:val="452BD049"/>
    <w:rsid w:val="453F3B2A"/>
    <w:rsid w:val="456D11EB"/>
    <w:rsid w:val="458F8894"/>
    <w:rsid w:val="45EEC20C"/>
    <w:rsid w:val="466AD7CE"/>
    <w:rsid w:val="46ECEDCB"/>
    <w:rsid w:val="48819AEF"/>
    <w:rsid w:val="4883A5AE"/>
    <w:rsid w:val="49066866"/>
    <w:rsid w:val="4956C30B"/>
    <w:rsid w:val="49B75E03"/>
    <w:rsid w:val="4A09D299"/>
    <w:rsid w:val="4A50F497"/>
    <w:rsid w:val="4BEE9236"/>
    <w:rsid w:val="4CD4AECF"/>
    <w:rsid w:val="4CD849A3"/>
    <w:rsid w:val="4D163C41"/>
    <w:rsid w:val="4D7E4AEE"/>
    <w:rsid w:val="4D927B1D"/>
    <w:rsid w:val="4DEA4B12"/>
    <w:rsid w:val="4E5815E8"/>
    <w:rsid w:val="4E707F30"/>
    <w:rsid w:val="4EA4C7D3"/>
    <w:rsid w:val="4EFAFEA5"/>
    <w:rsid w:val="4FF3E649"/>
    <w:rsid w:val="503D834B"/>
    <w:rsid w:val="510BB8CF"/>
    <w:rsid w:val="5223F446"/>
    <w:rsid w:val="5224BE8F"/>
    <w:rsid w:val="52392B2C"/>
    <w:rsid w:val="52E331D3"/>
    <w:rsid w:val="538A695E"/>
    <w:rsid w:val="54D1D9FB"/>
    <w:rsid w:val="55CED67F"/>
    <w:rsid w:val="55DB275E"/>
    <w:rsid w:val="59732398"/>
    <w:rsid w:val="59BE28A4"/>
    <w:rsid w:val="5AC2D9CD"/>
    <w:rsid w:val="5B5FA0B1"/>
    <w:rsid w:val="5B76CFD5"/>
    <w:rsid w:val="5D175C4A"/>
    <w:rsid w:val="5D7E6E84"/>
    <w:rsid w:val="5EEA0E87"/>
    <w:rsid w:val="5F22E014"/>
    <w:rsid w:val="5F27F078"/>
    <w:rsid w:val="5F6D16AC"/>
    <w:rsid w:val="5F786A84"/>
    <w:rsid w:val="612EF423"/>
    <w:rsid w:val="61AA85E2"/>
    <w:rsid w:val="625A80D6"/>
    <w:rsid w:val="63017B95"/>
    <w:rsid w:val="63F408FC"/>
    <w:rsid w:val="6423645E"/>
    <w:rsid w:val="64E17902"/>
    <w:rsid w:val="64E1D7A2"/>
    <w:rsid w:val="65922198"/>
    <w:rsid w:val="65A1F532"/>
    <w:rsid w:val="65C26ED1"/>
    <w:rsid w:val="66B28AFD"/>
    <w:rsid w:val="66CE21EA"/>
    <w:rsid w:val="673E1385"/>
    <w:rsid w:val="68B7A00E"/>
    <w:rsid w:val="68ED57D5"/>
    <w:rsid w:val="69236D61"/>
    <w:rsid w:val="69E5EA00"/>
    <w:rsid w:val="69F9DA12"/>
    <w:rsid w:val="6A3F03D2"/>
    <w:rsid w:val="6A4B40D6"/>
    <w:rsid w:val="6A69D645"/>
    <w:rsid w:val="6A6D491A"/>
    <w:rsid w:val="6A74E74A"/>
    <w:rsid w:val="6AF6B462"/>
    <w:rsid w:val="6B573F49"/>
    <w:rsid w:val="6B9AC415"/>
    <w:rsid w:val="6BA1F473"/>
    <w:rsid w:val="6C3E1D83"/>
    <w:rsid w:val="6C43AD29"/>
    <w:rsid w:val="6CEC1F3E"/>
    <w:rsid w:val="6DC327B1"/>
    <w:rsid w:val="6F5EF812"/>
    <w:rsid w:val="7092F1EA"/>
    <w:rsid w:val="70B7D089"/>
    <w:rsid w:val="70CC97B7"/>
    <w:rsid w:val="710596DD"/>
    <w:rsid w:val="71695E9B"/>
    <w:rsid w:val="716E768A"/>
    <w:rsid w:val="71FCCC9B"/>
    <w:rsid w:val="727C0C7D"/>
    <w:rsid w:val="72E64523"/>
    <w:rsid w:val="7343357F"/>
    <w:rsid w:val="73B839F8"/>
    <w:rsid w:val="759880F6"/>
    <w:rsid w:val="7599A643"/>
    <w:rsid w:val="759EA719"/>
    <w:rsid w:val="75EE9064"/>
    <w:rsid w:val="77B25227"/>
    <w:rsid w:val="77F605C5"/>
    <w:rsid w:val="786763BA"/>
    <w:rsid w:val="78FA5CB3"/>
    <w:rsid w:val="79263126"/>
    <w:rsid w:val="79610002"/>
    <w:rsid w:val="79FDC6E6"/>
    <w:rsid w:val="7A42BDD5"/>
    <w:rsid w:val="7BD17B98"/>
    <w:rsid w:val="7D69C8FF"/>
    <w:rsid w:val="7E324022"/>
    <w:rsid w:val="7EC9B025"/>
    <w:rsid w:val="7F2C6B4C"/>
    <w:rsid w:val="7F7D0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2B4707"/>
  <w15:chartTrackingRefBased/>
  <w15:docId w15:val="{28C6FF7A-A562-426E-8029-F7D34A46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ED39C4"/>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0A72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E5FD3"/>
    <w:rPr>
      <w:color w:val="0000FF"/>
      <w:shd w:val="clear" w:color="auto" w:fill="auto"/>
    </w:rPr>
  </w:style>
  <w:style w:type="paragraph" w:customStyle="1" w:styleId="Pagedecouverture">
    <w:name w:val="Page de couverture"/>
    <w:basedOn w:val="Normal"/>
    <w:next w:val="Normal"/>
    <w:rsid w:val="00FE5FD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FE5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FD3"/>
    <w:rPr>
      <w:lang w:val="en-IE"/>
    </w:rPr>
  </w:style>
  <w:style w:type="paragraph" w:styleId="Footer">
    <w:name w:val="footer"/>
    <w:basedOn w:val="Normal"/>
    <w:link w:val="FooterChar"/>
    <w:uiPriority w:val="99"/>
    <w:unhideWhenUsed/>
    <w:rsid w:val="00FE5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FD3"/>
    <w:rPr>
      <w:lang w:val="en-IE"/>
    </w:rPr>
  </w:style>
  <w:style w:type="paragraph" w:customStyle="1" w:styleId="FooterCoverPage">
    <w:name w:val="Footer Cover Page"/>
    <w:basedOn w:val="Normal"/>
    <w:link w:val="FooterCoverPageChar"/>
    <w:rsid w:val="00FE5FD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5FD3"/>
    <w:rPr>
      <w:rFonts w:ascii="Times New Roman" w:hAnsi="Times New Roman" w:cs="Times New Roman"/>
      <w:sz w:val="24"/>
    </w:rPr>
  </w:style>
  <w:style w:type="paragraph" w:customStyle="1" w:styleId="FooterSensitivity">
    <w:name w:val="Footer Sensitivity"/>
    <w:basedOn w:val="Normal"/>
    <w:link w:val="FooterSensitivityChar"/>
    <w:rsid w:val="00FE5FD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E5FD3"/>
    <w:rPr>
      <w:rFonts w:ascii="Times New Roman" w:hAnsi="Times New Roman" w:cs="Times New Roman"/>
      <w:b/>
      <w:sz w:val="32"/>
    </w:rPr>
  </w:style>
  <w:style w:type="paragraph" w:customStyle="1" w:styleId="HeaderCoverPage">
    <w:name w:val="Header Cover Page"/>
    <w:basedOn w:val="Normal"/>
    <w:link w:val="HeaderCoverPageChar"/>
    <w:rsid w:val="00FE5FD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5FD3"/>
    <w:rPr>
      <w:rFonts w:ascii="Times New Roman" w:hAnsi="Times New Roman" w:cs="Times New Roman"/>
      <w:sz w:val="24"/>
    </w:rPr>
  </w:style>
  <w:style w:type="paragraph" w:customStyle="1" w:styleId="HeaderSensitivity">
    <w:name w:val="Header Sensitivity"/>
    <w:basedOn w:val="Normal"/>
    <w:link w:val="HeaderSensitivityChar"/>
    <w:rsid w:val="00FE5FD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E5FD3"/>
    <w:rPr>
      <w:rFonts w:ascii="Times New Roman" w:hAnsi="Times New Roman" w:cs="Times New Roman"/>
      <w:b/>
      <w:sz w:val="32"/>
    </w:rPr>
  </w:style>
  <w:style w:type="paragraph" w:customStyle="1" w:styleId="HeaderSensitivityRight">
    <w:name w:val="Header Sensitivity Right"/>
    <w:basedOn w:val="Normal"/>
    <w:link w:val="HeaderSensitivityRightChar"/>
    <w:rsid w:val="00FE5FD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E5FD3"/>
    <w:rPr>
      <w:rFonts w:ascii="Times New Roman" w:hAnsi="Times New Roman" w:cs="Times New Roman"/>
      <w:sz w:val="28"/>
    </w:rPr>
  </w:style>
  <w:style w:type="character" w:customStyle="1" w:styleId="Heading2Char">
    <w:name w:val="Heading 2 Char"/>
    <w:basedOn w:val="DefaultParagraphFont"/>
    <w:link w:val="Heading2"/>
    <w:uiPriority w:val="9"/>
    <w:rsid w:val="00ED39C4"/>
    <w:rPr>
      <w:rFonts w:ascii="Times New Roman" w:eastAsia="Times New Roman" w:hAnsi="Times New Roman" w:cs="Times New Roman"/>
      <w:b/>
      <w:sz w:val="24"/>
      <w:szCs w:val="20"/>
    </w:rPr>
  </w:style>
  <w:style w:type="table" w:styleId="TableGrid">
    <w:name w:val="Table Grid"/>
    <w:aliases w:val="Document Table,CV1,my1"/>
    <w:basedOn w:val="TableNormal"/>
    <w:rsid w:val="00ED39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rsid w:val="00ED39C4"/>
    <w:pPr>
      <w:ind w:left="720"/>
      <w:contextualSpacing/>
    </w:pPr>
  </w:style>
  <w:style w:type="character" w:customStyle="1" w:styleId="BodyChar">
    <w:name w:val="Body Char"/>
    <w:aliases w:val="Body Text Char1 Char,Body Text Char Char Char,Body Text Char2 Char Char Char,Body Text Char1 Char Char Char Char,Body Text Char Char Char Char Char Char,Body Text Char2 Char Char Char Char Char Char,Bod Char,bt Char"/>
    <w:link w:val="Body"/>
    <w:uiPriority w:val="99"/>
    <w:locked/>
    <w:rsid w:val="00ED39C4"/>
    <w:rPr>
      <w:rFonts w:ascii="Verdana" w:eastAsia="Times New Roman" w:hAnsi="Verdana" w:cs="Times New Roman"/>
      <w:sz w:val="18"/>
      <w:szCs w:val="20"/>
    </w:rPr>
  </w:style>
  <w:style w:type="paragraph" w:customStyle="1" w:styleId="Body">
    <w:name w:val="Body"/>
    <w:basedOn w:val="Normal"/>
    <w:link w:val="BodyChar"/>
    <w:uiPriority w:val="99"/>
    <w:qFormat/>
    <w:rsid w:val="00ED39C4"/>
    <w:pPr>
      <w:spacing w:after="240" w:line="240" w:lineRule="auto"/>
      <w:jc w:val="both"/>
    </w:pPr>
    <w:rPr>
      <w:rFonts w:ascii="Verdana" w:eastAsia="Times New Roman" w:hAnsi="Verdana" w:cs="Times New Roman"/>
      <w:sz w:val="18"/>
      <w:szCs w:val="20"/>
    </w:rPr>
  </w:style>
  <w:style w:type="paragraph" w:customStyle="1" w:styleId="Text2">
    <w:name w:val="Text 2"/>
    <w:basedOn w:val="Normal"/>
    <w:rsid w:val="00ED39C4"/>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1">
    <w:name w:val="Text 1"/>
    <w:basedOn w:val="Normal"/>
    <w:rsid w:val="00ED39C4"/>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31C3E"/>
    <w:rPr>
      <w:sz w:val="16"/>
      <w:szCs w:val="16"/>
    </w:rPr>
  </w:style>
  <w:style w:type="paragraph" w:styleId="CommentText">
    <w:name w:val="annotation text"/>
    <w:basedOn w:val="Normal"/>
    <w:link w:val="CommentTextChar"/>
    <w:uiPriority w:val="99"/>
    <w:semiHidden/>
    <w:unhideWhenUsed/>
    <w:rsid w:val="00B31C3E"/>
    <w:pPr>
      <w:spacing w:line="240" w:lineRule="auto"/>
    </w:pPr>
    <w:rPr>
      <w:sz w:val="20"/>
      <w:szCs w:val="20"/>
    </w:rPr>
  </w:style>
  <w:style w:type="character" w:customStyle="1" w:styleId="CommentTextChar">
    <w:name w:val="Comment Text Char"/>
    <w:basedOn w:val="DefaultParagraphFont"/>
    <w:link w:val="CommentText"/>
    <w:uiPriority w:val="99"/>
    <w:semiHidden/>
    <w:rsid w:val="00B31C3E"/>
    <w:rPr>
      <w:sz w:val="20"/>
      <w:szCs w:val="20"/>
      <w:lang w:val="en-IE"/>
    </w:rPr>
  </w:style>
  <w:style w:type="paragraph" w:styleId="CommentSubject">
    <w:name w:val="annotation subject"/>
    <w:basedOn w:val="CommentText"/>
    <w:next w:val="CommentText"/>
    <w:link w:val="CommentSubjectChar"/>
    <w:uiPriority w:val="99"/>
    <w:semiHidden/>
    <w:unhideWhenUsed/>
    <w:rsid w:val="00B31C3E"/>
    <w:rPr>
      <w:b/>
      <w:bCs/>
    </w:rPr>
  </w:style>
  <w:style w:type="character" w:customStyle="1" w:styleId="CommentSubjectChar">
    <w:name w:val="Comment Subject Char"/>
    <w:basedOn w:val="CommentTextChar"/>
    <w:link w:val="CommentSubject"/>
    <w:uiPriority w:val="99"/>
    <w:semiHidden/>
    <w:rsid w:val="00B31C3E"/>
    <w:rPr>
      <w:b/>
      <w:bCs/>
      <w:sz w:val="20"/>
      <w:szCs w:val="20"/>
      <w:lang w:val="en-IE"/>
    </w:rPr>
  </w:style>
  <w:style w:type="paragraph" w:styleId="BalloonText">
    <w:name w:val="Balloon Text"/>
    <w:basedOn w:val="Normal"/>
    <w:link w:val="BalloonTextChar"/>
    <w:uiPriority w:val="99"/>
    <w:semiHidden/>
    <w:unhideWhenUsed/>
    <w:rsid w:val="00B31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C3E"/>
    <w:rPr>
      <w:rFonts w:ascii="Segoe UI" w:hAnsi="Segoe UI" w:cs="Segoe UI"/>
      <w:sz w:val="18"/>
      <w:szCs w:val="18"/>
      <w:lang w:val="en-IE"/>
    </w:rPr>
  </w:style>
  <w:style w:type="paragraph" w:styleId="FootnoteText">
    <w:name w:val="footnote text"/>
    <w:basedOn w:val="Normal"/>
    <w:link w:val="FootnoteTextChar"/>
    <w:uiPriority w:val="99"/>
    <w:semiHidden/>
    <w:unhideWhenUsed/>
    <w:rsid w:val="00020E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E68"/>
    <w:rPr>
      <w:sz w:val="20"/>
      <w:szCs w:val="20"/>
    </w:rPr>
  </w:style>
  <w:style w:type="character" w:styleId="FootnoteReference">
    <w:name w:val="footnote reference"/>
    <w:basedOn w:val="DefaultParagraphFont"/>
    <w:uiPriority w:val="99"/>
    <w:semiHidden/>
    <w:unhideWhenUsed/>
    <w:rsid w:val="00020E68"/>
    <w:rPr>
      <w:vertAlign w:val="superscript"/>
    </w:rPr>
  </w:style>
  <w:style w:type="character" w:styleId="Hyperlink">
    <w:name w:val="Hyperlink"/>
    <w:basedOn w:val="DefaultParagraphFont"/>
    <w:uiPriority w:val="99"/>
    <w:unhideWhenUsed/>
    <w:rsid w:val="00020E68"/>
    <w:rPr>
      <w:color w:val="0000FF" w:themeColor="hyperlink"/>
      <w:u w:val="single"/>
    </w:rPr>
  </w:style>
  <w:style w:type="character" w:customStyle="1" w:styleId="Heading3Char">
    <w:name w:val="Heading 3 Char"/>
    <w:basedOn w:val="DefaultParagraphFont"/>
    <w:link w:val="Heading3"/>
    <w:uiPriority w:val="9"/>
    <w:semiHidden/>
    <w:rsid w:val="000A720D"/>
    <w:rPr>
      <w:rFonts w:asciiTheme="majorHAnsi" w:eastAsiaTheme="majorEastAsia" w:hAnsiTheme="majorHAnsi" w:cstheme="majorBidi"/>
      <w:color w:val="243F60" w:themeColor="accent1" w:themeShade="7F"/>
      <w:sz w:val="24"/>
      <w:szCs w:val="24"/>
    </w:rPr>
  </w:style>
  <w:style w:type="paragraph" w:styleId="Caption">
    <w:name w:val="caption"/>
    <w:aliases w:val="Source"/>
    <w:basedOn w:val="Normal"/>
    <w:next w:val="Normal"/>
    <w:uiPriority w:val="35"/>
    <w:unhideWhenUsed/>
    <w:qFormat/>
    <w:rsid w:val="00CB3753"/>
    <w:pPr>
      <w:spacing w:line="240" w:lineRule="auto"/>
      <w:jc w:val="both"/>
    </w:pPr>
    <w:rPr>
      <w:rFonts w:ascii="Times New Roman" w:hAnsi="Times New Roman"/>
      <w:i/>
      <w:iCs/>
      <w:color w:val="1F497D" w:themeColor="text2"/>
      <w:sz w:val="18"/>
      <w:szCs w:val="18"/>
      <w:lang w:val="en-IE"/>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rsid w:val="00650141"/>
  </w:style>
  <w:style w:type="paragraph" w:styleId="Revision">
    <w:name w:val="Revision"/>
    <w:hidden/>
    <w:uiPriority w:val="99"/>
    <w:semiHidden/>
    <w:rsid w:val="00366F4C"/>
    <w:pPr>
      <w:spacing w:after="0" w:line="240" w:lineRule="auto"/>
    </w:pPr>
  </w:style>
  <w:style w:type="character" w:customStyle="1" w:styleId="markedcontent">
    <w:name w:val="markedcontent"/>
    <w:basedOn w:val="DefaultParagraphFont"/>
    <w:rsid w:val="0047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6" ma:contentTypeDescription="Create a new document." ma:contentTypeScope="" ma:versionID="9d6be7b6d65c2f132d1d46cec0129f76">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e56fe1cac55db71b86e0cc8d484a95d9"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C44E-F42A-45F3-AFD8-593DF82CA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EBA7F-5CC7-4014-A75D-BCC13F75E222}">
  <ds:schemaRefs>
    <ds:schemaRef ds:uri="http://schemas.microsoft.com/office/2006/metadata/properties"/>
    <ds:schemaRef ds:uri="http://purl.org/dc/elements/1.1/"/>
    <ds:schemaRef ds:uri="http://schemas.openxmlformats.org/package/2006/metadata/core-properties"/>
    <ds:schemaRef ds:uri="ac131f03-315b-4cd8-8e3a-6189969fd4f0"/>
    <ds:schemaRef ds:uri="http://purl.org/dc/terms/"/>
    <ds:schemaRef ds:uri="http://schemas.microsoft.com/office/infopath/2007/PartnerControls"/>
    <ds:schemaRef ds:uri="http://schemas.microsoft.com/office/2006/documentManagement/types"/>
    <ds:schemaRef ds:uri="5843c966-cb45-4885-93fc-2ce78a94204b"/>
    <ds:schemaRef ds:uri="http://www.w3.org/XML/1998/namespace"/>
    <ds:schemaRef ds:uri="http://purl.org/dc/dcmitype/"/>
  </ds:schemaRefs>
</ds:datastoreItem>
</file>

<file path=customXml/itemProps3.xml><?xml version="1.0" encoding="utf-8"?>
<ds:datastoreItem xmlns:ds="http://schemas.openxmlformats.org/officeDocument/2006/customXml" ds:itemID="{E1951B38-0069-4D80-B684-57C9CBAC35AB}">
  <ds:schemaRefs>
    <ds:schemaRef ds:uri="http://schemas.microsoft.com/sharepoint/v3/contenttype/forms"/>
  </ds:schemaRefs>
</ds:datastoreItem>
</file>

<file path=customXml/itemProps4.xml><?xml version="1.0" encoding="utf-8"?>
<ds:datastoreItem xmlns:ds="http://schemas.openxmlformats.org/officeDocument/2006/customXml" ds:itemID="{A937D45A-3F42-4B31-8EC3-6B31A1A4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2112</Words>
  <Characters>11639</Characters>
  <Application>Microsoft Office Word</Application>
  <DocSecurity>0</DocSecurity>
  <Lines>219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2023-04-20T19:54:00Z</cp:lastPrinted>
  <dcterms:created xsi:type="dcterms:W3CDTF">2023-04-20T19:52:00Z</dcterms:created>
  <dcterms:modified xsi:type="dcterms:W3CDTF">2023-04-26T14:35:00Z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ContentTypeId">
    <vt:lpwstr>0x010100199782AF6692CB4E8097BF428225D135</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2022-09-02T09:09:14Z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5da35c1d-5a19-4504-9ca1-4808e753dd9e</vt:lpwstr>
  </property>
  <property fmtid="{D5CDD505-2E9C-101B-9397-08002B2CF9AE}" pid="16" name="MSIP_Label_6bd9ddd1-4d20-43f6-abfa-fc3c07406f94_ContentBits">
    <vt:lpwstr>0</vt:lpwstr>
  </property>
  <property fmtid="{D5CDD505-2E9C-101B-9397-08002B2CF9AE}" pid="17" name="Order">
    <vt:r8>1400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