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2E2" w:rsidRPr="002F16A1" w:rsidRDefault="00D32217" w:rsidP="00D3221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DCF8DCF2-6A8F-47FF-8232-159DBB42FE05" style="width:455.25pt;height:441pt">
            <v:imagedata r:id="rId8" o:title=""/>
          </v:shape>
        </w:pict>
      </w:r>
    </w:p>
    <w:p w:rsidR="00AD62E2" w:rsidRPr="002F16A1" w:rsidRDefault="00AD62E2" w:rsidP="00AD62E2">
      <w:pPr>
        <w:rPr>
          <w:noProof/>
        </w:rPr>
        <w:sectPr w:rsidR="00AD62E2" w:rsidRPr="002F16A1" w:rsidSect="00D32217">
          <w:footerReference w:type="default" r:id="rId9"/>
          <w:pgSz w:w="11907" w:h="16839"/>
          <w:pgMar w:top="1134" w:right="1417" w:bottom="1134" w:left="1417" w:header="709" w:footer="709" w:gutter="0"/>
          <w:pgNumType w:start="0"/>
          <w:cols w:space="720"/>
          <w:docGrid w:linePitch="360"/>
        </w:sectPr>
      </w:pPr>
    </w:p>
    <w:p w:rsidR="00AD62E2" w:rsidRPr="002F16A1" w:rsidRDefault="00AD62E2" w:rsidP="00AD62E2">
      <w:pPr>
        <w:pStyle w:val="Exposdesmotifstitre"/>
        <w:rPr>
          <w:noProof/>
        </w:rPr>
      </w:pPr>
      <w:bookmarkStart w:id="0" w:name="_GoBack"/>
      <w:bookmarkEnd w:id="0"/>
      <w:r w:rsidRPr="002F16A1">
        <w:rPr>
          <w:noProof/>
        </w:rPr>
        <w:lastRenderedPageBreak/>
        <w:t>UZASADNIENIE</w:t>
      </w:r>
    </w:p>
    <w:p w:rsidR="00AD62E2" w:rsidRPr="002F16A1" w:rsidRDefault="00AD62E2" w:rsidP="00AD62E2">
      <w:pPr>
        <w:pStyle w:val="ManualHeading1"/>
        <w:rPr>
          <w:noProof/>
        </w:rPr>
      </w:pPr>
      <w:r w:rsidRPr="002F16A1">
        <w:rPr>
          <w:noProof/>
        </w:rPr>
        <w:t>1.</w:t>
      </w:r>
      <w:r w:rsidRPr="002F16A1">
        <w:rPr>
          <w:noProof/>
        </w:rPr>
        <w:tab/>
        <w:t>KONTEKST WNIOSKU</w:t>
      </w:r>
    </w:p>
    <w:p w:rsidR="00AD62E2" w:rsidRPr="002F16A1" w:rsidRDefault="00AD62E2" w:rsidP="00AD62E2">
      <w:pPr>
        <w:pStyle w:val="ManualHeading2"/>
        <w:rPr>
          <w:noProof/>
        </w:rPr>
      </w:pPr>
      <w:r w:rsidRPr="002F16A1">
        <w:rPr>
          <w:noProof/>
        </w:rPr>
        <w:t>•</w:t>
      </w:r>
      <w:r w:rsidRPr="002F16A1">
        <w:rPr>
          <w:noProof/>
        </w:rPr>
        <w:tab/>
        <w:t>Przyczyny</w:t>
      </w:r>
      <w:r w:rsidR="0028384B" w:rsidRPr="002F16A1">
        <w:rPr>
          <w:noProof/>
        </w:rPr>
        <w:t xml:space="preserve"> i</w:t>
      </w:r>
      <w:r w:rsidR="0028384B">
        <w:rPr>
          <w:noProof/>
        </w:rPr>
        <w:t> </w:t>
      </w:r>
      <w:r w:rsidR="0028384B" w:rsidRPr="002F16A1">
        <w:rPr>
          <w:noProof/>
        </w:rPr>
        <w:t>cel</w:t>
      </w:r>
      <w:r w:rsidRPr="002F16A1">
        <w:rPr>
          <w:noProof/>
        </w:rPr>
        <w:t>e wniosku</w:t>
      </w:r>
    </w:p>
    <w:p w:rsidR="00AD62E2" w:rsidRPr="0028384B" w:rsidRDefault="00AD62E2" w:rsidP="00AD62E2">
      <w:pPr>
        <w:rPr>
          <w:noProof/>
        </w:rPr>
      </w:pPr>
      <w:r w:rsidRPr="002F16A1">
        <w:rPr>
          <w:noProof/>
        </w:rPr>
        <w:t>Surowce znajdują się na początku wszystkich przemysłowych łańcuchów wartości</w:t>
      </w:r>
      <w:r w:rsidR="0028384B" w:rsidRPr="002F16A1">
        <w:rPr>
          <w:noProof/>
        </w:rPr>
        <w:t>. W</w:t>
      </w:r>
      <w:r w:rsidR="0028384B">
        <w:rPr>
          <w:noProof/>
        </w:rPr>
        <w:t> </w:t>
      </w:r>
      <w:r w:rsidR="0028384B" w:rsidRPr="002F16A1">
        <w:rPr>
          <w:noProof/>
        </w:rPr>
        <w:t>nin</w:t>
      </w:r>
      <w:r w:rsidRPr="002F16A1">
        <w:rPr>
          <w:noProof/>
        </w:rPr>
        <w:t>iejszym rozporządzeniu skoncentrowano się na surowcach nieenergetycznych</w:t>
      </w:r>
      <w:r w:rsidR="0028384B" w:rsidRPr="002F16A1">
        <w:rPr>
          <w:noProof/>
        </w:rPr>
        <w:t xml:space="preserve"> i</w:t>
      </w:r>
      <w:r w:rsidR="0028384B">
        <w:rPr>
          <w:noProof/>
        </w:rPr>
        <w:t> </w:t>
      </w:r>
      <w:r w:rsidR="0028384B" w:rsidRPr="002F16A1">
        <w:rPr>
          <w:noProof/>
        </w:rPr>
        <w:t>nie</w:t>
      </w:r>
      <w:r w:rsidRPr="002F16A1">
        <w:rPr>
          <w:noProof/>
        </w:rPr>
        <w:t>rolnych, które są istotne dla gospodarki UE,</w:t>
      </w:r>
      <w:r w:rsidR="0028384B" w:rsidRPr="002F16A1">
        <w:rPr>
          <w:noProof/>
        </w:rPr>
        <w:t xml:space="preserve"> a</w:t>
      </w:r>
      <w:r w:rsidR="0028384B">
        <w:rPr>
          <w:noProof/>
        </w:rPr>
        <w:t> </w:t>
      </w:r>
      <w:r w:rsidR="0028384B" w:rsidRPr="002F16A1">
        <w:rPr>
          <w:noProof/>
        </w:rPr>
        <w:t>któ</w:t>
      </w:r>
      <w:r w:rsidRPr="002F16A1">
        <w:rPr>
          <w:noProof/>
        </w:rPr>
        <w:t>rych dostawy obarczone są wysokim ryzykiem. Te surowce krytyczne są często niezbędne</w:t>
      </w:r>
      <w:r w:rsidR="0028384B" w:rsidRPr="002F16A1">
        <w:rPr>
          <w:noProof/>
        </w:rPr>
        <w:t xml:space="preserve"> w</w:t>
      </w:r>
      <w:r w:rsidR="0028384B">
        <w:rPr>
          <w:noProof/>
        </w:rPr>
        <w:t> </w:t>
      </w:r>
      <w:r w:rsidR="0028384B" w:rsidRPr="002F16A1">
        <w:rPr>
          <w:noProof/>
        </w:rPr>
        <w:t>wie</w:t>
      </w:r>
      <w:r w:rsidRPr="002F16A1">
        <w:rPr>
          <w:noProof/>
        </w:rPr>
        <w:t>lu różnych strategicznych sektorach, między innymi</w:t>
      </w:r>
      <w:r w:rsidR="0028384B" w:rsidRPr="002F16A1">
        <w:rPr>
          <w:noProof/>
        </w:rPr>
        <w:t xml:space="preserve"> w</w:t>
      </w:r>
      <w:r w:rsidR="0028384B">
        <w:rPr>
          <w:noProof/>
        </w:rPr>
        <w:t> </w:t>
      </w:r>
      <w:r w:rsidR="0028384B" w:rsidRPr="002F16A1">
        <w:rPr>
          <w:noProof/>
        </w:rPr>
        <w:t>sek</w:t>
      </w:r>
      <w:r w:rsidRPr="002F16A1">
        <w:rPr>
          <w:noProof/>
        </w:rPr>
        <w:t>torze energii ze źródeł odnawialnych, przemyśle cyfrowym, sektorze kosmicznym</w:t>
      </w:r>
      <w:r w:rsidR="0028384B" w:rsidRPr="002F16A1">
        <w:rPr>
          <w:noProof/>
        </w:rPr>
        <w:t xml:space="preserve"> i</w:t>
      </w:r>
      <w:r w:rsidR="0028384B">
        <w:rPr>
          <w:noProof/>
        </w:rPr>
        <w:t> </w:t>
      </w:r>
      <w:r w:rsidR="0028384B" w:rsidRPr="002F16A1">
        <w:rPr>
          <w:noProof/>
        </w:rPr>
        <w:t>obr</w:t>
      </w:r>
      <w:r w:rsidRPr="002F16A1">
        <w:rPr>
          <w:noProof/>
        </w:rPr>
        <w:t>onnym oraz sektorze opieki zdrowotnej. Jednocześnie wydobycie</w:t>
      </w:r>
      <w:r w:rsidR="0028384B" w:rsidRPr="002F16A1">
        <w:rPr>
          <w:noProof/>
        </w:rPr>
        <w:t xml:space="preserve"> i</w:t>
      </w:r>
      <w:r w:rsidR="0028384B">
        <w:rPr>
          <w:noProof/>
        </w:rPr>
        <w:t> </w:t>
      </w:r>
      <w:r w:rsidR="0028384B" w:rsidRPr="002F16A1">
        <w:rPr>
          <w:noProof/>
        </w:rPr>
        <w:t>prz</w:t>
      </w:r>
      <w:r w:rsidRPr="002F16A1">
        <w:rPr>
          <w:noProof/>
        </w:rPr>
        <w:t>etwarzanie surowców krytycznych –</w:t>
      </w:r>
      <w:r w:rsidR="0028384B" w:rsidRPr="002F16A1">
        <w:rPr>
          <w:noProof/>
        </w:rPr>
        <w:t xml:space="preserve"> w</w:t>
      </w:r>
      <w:r w:rsidR="0028384B">
        <w:rPr>
          <w:noProof/>
        </w:rPr>
        <w:t> </w:t>
      </w:r>
      <w:r w:rsidR="0028384B" w:rsidRPr="002F16A1">
        <w:rPr>
          <w:noProof/>
        </w:rPr>
        <w:t>zal</w:t>
      </w:r>
      <w:r w:rsidRPr="002F16A1">
        <w:rPr>
          <w:noProof/>
        </w:rPr>
        <w:t>eżności od stosowanych metod</w:t>
      </w:r>
      <w:r w:rsidR="0028384B" w:rsidRPr="002F16A1">
        <w:rPr>
          <w:noProof/>
        </w:rPr>
        <w:t xml:space="preserve"> i</w:t>
      </w:r>
      <w:r w:rsidR="0028384B">
        <w:rPr>
          <w:noProof/>
        </w:rPr>
        <w:t> </w:t>
      </w:r>
      <w:r w:rsidR="0028384B" w:rsidRPr="002F16A1">
        <w:rPr>
          <w:noProof/>
        </w:rPr>
        <w:t>pro</w:t>
      </w:r>
      <w:r w:rsidRPr="002F16A1">
        <w:rPr>
          <w:noProof/>
        </w:rPr>
        <w:t>cesów – może mieć negatywny wpływ na środowisko oraz skutki społeczne</w:t>
      </w:r>
      <w:r w:rsidRPr="0028384B">
        <w:rPr>
          <w:noProof/>
        </w:rPr>
        <w:t>.</w:t>
      </w:r>
      <w:r w:rsidR="0028384B" w:rsidRPr="0028384B">
        <w:rPr>
          <w:noProof/>
        </w:rPr>
        <w:t xml:space="preserve"> </w:t>
      </w:r>
    </w:p>
    <w:p w:rsidR="00AD62E2" w:rsidRPr="0028384B" w:rsidRDefault="00AD62E2" w:rsidP="00AD62E2">
      <w:pPr>
        <w:rPr>
          <w:noProof/>
        </w:rPr>
      </w:pPr>
      <w:r w:rsidRPr="002F16A1">
        <w:rPr>
          <w:noProof/>
        </w:rPr>
        <w:t>W przypadku surowców krytycznych UE jest uzależniona prawie wyłącznie od przywozu. Dostawcy tych surowców – zarówno na etapie wydobycia, jak</w:t>
      </w:r>
      <w:r w:rsidR="0028384B" w:rsidRPr="002F16A1">
        <w:rPr>
          <w:noProof/>
        </w:rPr>
        <w:t xml:space="preserve"> i</w:t>
      </w:r>
      <w:r w:rsidR="0028384B">
        <w:rPr>
          <w:noProof/>
        </w:rPr>
        <w:t> </w:t>
      </w:r>
      <w:r w:rsidR="0028384B" w:rsidRPr="002F16A1">
        <w:rPr>
          <w:noProof/>
        </w:rPr>
        <w:t>prz</w:t>
      </w:r>
      <w:r w:rsidRPr="002F16A1">
        <w:rPr>
          <w:noProof/>
        </w:rPr>
        <w:t>etwarzania – są często bardzo skoncentrowani</w:t>
      </w:r>
      <w:r w:rsidR="0028384B" w:rsidRPr="002F16A1">
        <w:rPr>
          <w:noProof/>
        </w:rPr>
        <w:t xml:space="preserve"> w</w:t>
      </w:r>
      <w:r w:rsidR="0028384B">
        <w:rPr>
          <w:noProof/>
        </w:rPr>
        <w:t> </w:t>
      </w:r>
      <w:r w:rsidR="0028384B" w:rsidRPr="002F16A1">
        <w:rPr>
          <w:noProof/>
        </w:rPr>
        <w:t>nie</w:t>
      </w:r>
      <w:r w:rsidRPr="002F16A1">
        <w:rPr>
          <w:noProof/>
        </w:rPr>
        <w:t>wielkiej liczbie państw trzecich. Na przykład 9</w:t>
      </w:r>
      <w:r w:rsidRPr="0028384B">
        <w:rPr>
          <w:noProof/>
        </w:rPr>
        <w:t>7</w:t>
      </w:r>
      <w:r w:rsidR="0028384B" w:rsidRPr="0028384B">
        <w:rPr>
          <w:noProof/>
        </w:rPr>
        <w:t> </w:t>
      </w:r>
      <w:r w:rsidRPr="0028384B">
        <w:rPr>
          <w:noProof/>
        </w:rPr>
        <w:t>%</w:t>
      </w:r>
      <w:r w:rsidRPr="002F16A1">
        <w:rPr>
          <w:noProof/>
        </w:rPr>
        <w:t xml:space="preserve"> magnezu UE pozyskuje</w:t>
      </w:r>
      <w:r w:rsidR="0028384B" w:rsidRPr="002F16A1">
        <w:rPr>
          <w:noProof/>
        </w:rPr>
        <w:t xml:space="preserve"> w</w:t>
      </w:r>
      <w:r w:rsidR="0028384B">
        <w:rPr>
          <w:noProof/>
        </w:rPr>
        <w:t> </w:t>
      </w:r>
      <w:r w:rsidR="0028384B" w:rsidRPr="002F16A1">
        <w:rPr>
          <w:noProof/>
        </w:rPr>
        <w:t>Chi</w:t>
      </w:r>
      <w:r w:rsidRPr="002F16A1">
        <w:rPr>
          <w:noProof/>
        </w:rPr>
        <w:t>nach. Metale ciężkie ziem rzadkich, wykorzystywane</w:t>
      </w:r>
      <w:r w:rsidR="0028384B" w:rsidRPr="002F16A1">
        <w:rPr>
          <w:noProof/>
        </w:rPr>
        <w:t xml:space="preserve"> w</w:t>
      </w:r>
      <w:r w:rsidR="0028384B">
        <w:rPr>
          <w:noProof/>
        </w:rPr>
        <w:t> </w:t>
      </w:r>
      <w:r w:rsidR="0028384B" w:rsidRPr="002F16A1">
        <w:rPr>
          <w:noProof/>
        </w:rPr>
        <w:t>mag</w:t>
      </w:r>
      <w:r w:rsidRPr="002F16A1">
        <w:rPr>
          <w:noProof/>
        </w:rPr>
        <w:t>nesach trwałych, są poddawane procesowi rafinacji wyłącznie</w:t>
      </w:r>
      <w:r w:rsidR="0028384B" w:rsidRPr="002F16A1">
        <w:rPr>
          <w:noProof/>
        </w:rPr>
        <w:t xml:space="preserve"> w</w:t>
      </w:r>
      <w:r w:rsidR="0028384B">
        <w:rPr>
          <w:noProof/>
        </w:rPr>
        <w:t> </w:t>
      </w:r>
      <w:r w:rsidR="0028384B" w:rsidRPr="002F16A1">
        <w:rPr>
          <w:noProof/>
        </w:rPr>
        <w:t>Chi</w:t>
      </w:r>
      <w:r w:rsidRPr="002F16A1">
        <w:rPr>
          <w:noProof/>
        </w:rPr>
        <w:t>nach. 6</w:t>
      </w:r>
      <w:r w:rsidRPr="0028384B">
        <w:rPr>
          <w:noProof/>
        </w:rPr>
        <w:t>3</w:t>
      </w:r>
      <w:r w:rsidR="0028384B" w:rsidRPr="0028384B">
        <w:rPr>
          <w:noProof/>
        </w:rPr>
        <w:t> </w:t>
      </w:r>
      <w:r w:rsidRPr="0028384B">
        <w:rPr>
          <w:noProof/>
        </w:rPr>
        <w:t>%</w:t>
      </w:r>
      <w:r w:rsidRPr="002F16A1">
        <w:rPr>
          <w:noProof/>
        </w:rPr>
        <w:t xml:space="preserve"> światowego kobaltu – wykorzystywanego</w:t>
      </w:r>
      <w:r w:rsidR="0028384B" w:rsidRPr="002F16A1">
        <w:rPr>
          <w:noProof/>
        </w:rPr>
        <w:t xml:space="preserve"> w</w:t>
      </w:r>
      <w:r w:rsidR="0028384B">
        <w:rPr>
          <w:noProof/>
        </w:rPr>
        <w:t> </w:t>
      </w:r>
      <w:r w:rsidR="0028384B" w:rsidRPr="002F16A1">
        <w:rPr>
          <w:noProof/>
        </w:rPr>
        <w:t>bat</w:t>
      </w:r>
      <w:r w:rsidRPr="002F16A1">
        <w:rPr>
          <w:noProof/>
        </w:rPr>
        <w:t>eriach – wydobywa się</w:t>
      </w:r>
      <w:r w:rsidR="0028384B" w:rsidRPr="002F16A1">
        <w:rPr>
          <w:noProof/>
        </w:rPr>
        <w:t xml:space="preserve"> w</w:t>
      </w:r>
      <w:r w:rsidR="0028384B">
        <w:rPr>
          <w:noProof/>
        </w:rPr>
        <w:t> </w:t>
      </w:r>
      <w:r w:rsidR="0028384B" w:rsidRPr="002F16A1">
        <w:rPr>
          <w:noProof/>
        </w:rPr>
        <w:t>Dem</w:t>
      </w:r>
      <w:r w:rsidRPr="002F16A1">
        <w:rPr>
          <w:noProof/>
        </w:rPr>
        <w:t>okratycznej Republice Konga, natomiast 6</w:t>
      </w:r>
      <w:r w:rsidRPr="0028384B">
        <w:rPr>
          <w:noProof/>
        </w:rPr>
        <w:t>0</w:t>
      </w:r>
      <w:r w:rsidR="0028384B" w:rsidRPr="0028384B">
        <w:rPr>
          <w:noProof/>
        </w:rPr>
        <w:t> </w:t>
      </w:r>
      <w:r w:rsidRPr="0028384B">
        <w:rPr>
          <w:noProof/>
        </w:rPr>
        <w:t>%</w:t>
      </w:r>
      <w:r w:rsidRPr="002F16A1">
        <w:rPr>
          <w:noProof/>
        </w:rPr>
        <w:t xml:space="preserve"> jest poddawane procesowi rafinacji</w:t>
      </w:r>
      <w:r w:rsidR="0028384B" w:rsidRPr="002F16A1">
        <w:rPr>
          <w:noProof/>
        </w:rPr>
        <w:t xml:space="preserve"> w</w:t>
      </w:r>
      <w:r w:rsidR="0028384B">
        <w:rPr>
          <w:noProof/>
        </w:rPr>
        <w:t> </w:t>
      </w:r>
      <w:r w:rsidR="0028384B" w:rsidRPr="002F16A1">
        <w:rPr>
          <w:noProof/>
        </w:rPr>
        <w:t>Chi</w:t>
      </w:r>
      <w:r w:rsidRPr="002F16A1">
        <w:rPr>
          <w:noProof/>
        </w:rPr>
        <w:t>nach. Taka koncentracja naraża UE na znaczne ryzyko związane</w:t>
      </w:r>
      <w:r w:rsidR="0028384B" w:rsidRPr="002F16A1">
        <w:rPr>
          <w:noProof/>
        </w:rPr>
        <w:t xml:space="preserve"> z</w:t>
      </w:r>
      <w:r w:rsidR="0028384B">
        <w:rPr>
          <w:noProof/>
        </w:rPr>
        <w:t> </w:t>
      </w:r>
      <w:r w:rsidR="0028384B" w:rsidRPr="002F16A1">
        <w:rPr>
          <w:noProof/>
        </w:rPr>
        <w:t>dos</w:t>
      </w:r>
      <w:r w:rsidRPr="002F16A1">
        <w:rPr>
          <w:noProof/>
        </w:rPr>
        <w:t>tawami. Istnieją precedensowe przypadki państw, które wykorzystują swoją silną pozycję dostawcy surowców krytycznych przeciwko państwom kupującym, na przykład wprowadzając ograniczenia wywozowe</w:t>
      </w:r>
      <w:r w:rsidRPr="0028384B">
        <w:rPr>
          <w:noProof/>
        </w:rPr>
        <w:t>.</w:t>
      </w:r>
      <w:r w:rsidR="0028384B" w:rsidRPr="0028384B">
        <w:rPr>
          <w:noProof/>
        </w:rPr>
        <w:t xml:space="preserve"> </w:t>
      </w:r>
    </w:p>
    <w:p w:rsidR="00AD62E2" w:rsidRPr="002F16A1" w:rsidRDefault="00AD62E2" w:rsidP="00AD62E2">
      <w:pPr>
        <w:rPr>
          <w:noProof/>
        </w:rPr>
      </w:pPr>
      <w:r w:rsidRPr="002F16A1">
        <w:rPr>
          <w:noProof/>
        </w:rPr>
        <w:t>Przewiduje się, że – wraz</w:t>
      </w:r>
      <w:r w:rsidR="0028384B" w:rsidRPr="002F16A1">
        <w:rPr>
          <w:noProof/>
        </w:rPr>
        <w:t xml:space="preserve"> z</w:t>
      </w:r>
      <w:r w:rsidR="0028384B">
        <w:rPr>
          <w:noProof/>
        </w:rPr>
        <w:t> </w:t>
      </w:r>
      <w:r w:rsidR="0028384B" w:rsidRPr="002F16A1">
        <w:rPr>
          <w:noProof/>
        </w:rPr>
        <w:t>glo</w:t>
      </w:r>
      <w:r w:rsidRPr="002F16A1">
        <w:rPr>
          <w:noProof/>
        </w:rPr>
        <w:t>balnym przejściem na energię ze źródeł odnawialnych oraz transformacją cyfrową naszych gospodarek</w:t>
      </w:r>
      <w:r w:rsidR="0028384B" w:rsidRPr="002F16A1">
        <w:rPr>
          <w:noProof/>
        </w:rPr>
        <w:t xml:space="preserve"> i</w:t>
      </w:r>
      <w:r w:rsidR="0028384B">
        <w:rPr>
          <w:noProof/>
        </w:rPr>
        <w:t> </w:t>
      </w:r>
      <w:r w:rsidR="0028384B" w:rsidRPr="002F16A1">
        <w:rPr>
          <w:noProof/>
        </w:rPr>
        <w:t>spo</w:t>
      </w:r>
      <w:r w:rsidRPr="002F16A1">
        <w:rPr>
          <w:noProof/>
        </w:rPr>
        <w:t>łeczeństw –</w:t>
      </w:r>
      <w:r w:rsidR="0028384B" w:rsidRPr="002F16A1">
        <w:rPr>
          <w:noProof/>
        </w:rPr>
        <w:t xml:space="preserve"> w</w:t>
      </w:r>
      <w:r w:rsidR="0028384B">
        <w:rPr>
          <w:noProof/>
        </w:rPr>
        <w:t> </w:t>
      </w:r>
      <w:r w:rsidR="0028384B" w:rsidRPr="002F16A1">
        <w:rPr>
          <w:noProof/>
        </w:rPr>
        <w:t>nad</w:t>
      </w:r>
      <w:r w:rsidRPr="002F16A1">
        <w:rPr>
          <w:noProof/>
        </w:rPr>
        <w:t>chodzących dziesięcioleciach popyt na niektóre</w:t>
      </w:r>
      <w:r w:rsidR="0028384B" w:rsidRPr="002F16A1">
        <w:rPr>
          <w:noProof/>
        </w:rPr>
        <w:t xml:space="preserve"> z</w:t>
      </w:r>
      <w:r w:rsidR="0028384B">
        <w:rPr>
          <w:noProof/>
        </w:rPr>
        <w:t> </w:t>
      </w:r>
      <w:r w:rsidR="0028384B" w:rsidRPr="002F16A1">
        <w:rPr>
          <w:noProof/>
        </w:rPr>
        <w:t>tyc</w:t>
      </w:r>
      <w:r w:rsidRPr="002F16A1">
        <w:rPr>
          <w:noProof/>
        </w:rPr>
        <w:t>h surowców krytycznych szybko wzrośnie. Światowy popyt na lit wykorzystywany do produkcji baterii do celów mobilności</w:t>
      </w:r>
      <w:r w:rsidR="0028384B" w:rsidRPr="002F16A1">
        <w:rPr>
          <w:noProof/>
        </w:rPr>
        <w:t xml:space="preserve"> i</w:t>
      </w:r>
      <w:r w:rsidR="0028384B">
        <w:rPr>
          <w:noProof/>
        </w:rPr>
        <w:t> </w:t>
      </w:r>
      <w:r w:rsidR="0028384B" w:rsidRPr="002F16A1">
        <w:rPr>
          <w:noProof/>
        </w:rPr>
        <w:t>mag</w:t>
      </w:r>
      <w:r w:rsidRPr="002F16A1">
        <w:rPr>
          <w:noProof/>
        </w:rPr>
        <w:t xml:space="preserve">azynowania energii ma wzrosnąć </w:t>
      </w:r>
      <w:r w:rsidRPr="0028384B">
        <w:rPr>
          <w:noProof/>
        </w:rPr>
        <w:t>do</w:t>
      </w:r>
      <w:r w:rsidR="0028384B" w:rsidRPr="0028384B">
        <w:rPr>
          <w:noProof/>
        </w:rPr>
        <w:t> </w:t>
      </w:r>
      <w:r w:rsidRPr="0028384B">
        <w:rPr>
          <w:noProof/>
        </w:rPr>
        <w:t>2</w:t>
      </w:r>
      <w:r w:rsidRPr="002F16A1">
        <w:rPr>
          <w:noProof/>
        </w:rPr>
        <w:t>0</w:t>
      </w:r>
      <w:r w:rsidRPr="0028384B">
        <w:rPr>
          <w:noProof/>
        </w:rPr>
        <w:t>50</w:t>
      </w:r>
      <w:r w:rsidR="0028384B" w:rsidRPr="0028384B">
        <w:rPr>
          <w:noProof/>
        </w:rPr>
        <w:t> </w:t>
      </w:r>
      <w:r w:rsidRPr="0028384B">
        <w:rPr>
          <w:noProof/>
        </w:rPr>
        <w:t>r.</w:t>
      </w:r>
      <w:r w:rsidRPr="002F16A1">
        <w:rPr>
          <w:noProof/>
        </w:rPr>
        <w:t xml:space="preserve"> nawet 89-krotnie. Do 20</w:t>
      </w:r>
      <w:r w:rsidRPr="0028384B">
        <w:rPr>
          <w:noProof/>
        </w:rPr>
        <w:t>50</w:t>
      </w:r>
      <w:r w:rsidR="0028384B" w:rsidRPr="0028384B">
        <w:rPr>
          <w:noProof/>
        </w:rPr>
        <w:t> </w:t>
      </w:r>
      <w:r w:rsidRPr="0028384B">
        <w:rPr>
          <w:noProof/>
        </w:rPr>
        <w:t>r.</w:t>
      </w:r>
      <w:r w:rsidRPr="002F16A1">
        <w:rPr>
          <w:noProof/>
        </w:rPr>
        <w:t xml:space="preserve"> spodziewany jest sześcio- lub siedmiokrotny wzrost popytu w UE na metale ziem rzadkich,</w:t>
      </w:r>
      <w:r w:rsidR="0028384B" w:rsidRPr="002F16A1">
        <w:rPr>
          <w:noProof/>
        </w:rPr>
        <w:t xml:space="preserve"> z</w:t>
      </w:r>
      <w:r w:rsidR="0028384B">
        <w:rPr>
          <w:noProof/>
        </w:rPr>
        <w:t> </w:t>
      </w:r>
      <w:r w:rsidR="0028384B" w:rsidRPr="002F16A1">
        <w:rPr>
          <w:noProof/>
        </w:rPr>
        <w:t>któ</w:t>
      </w:r>
      <w:r w:rsidRPr="002F16A1">
        <w:rPr>
          <w:noProof/>
        </w:rPr>
        <w:t>rych wytwarzane są magnesy trwałe stosowane</w:t>
      </w:r>
      <w:r w:rsidR="0028384B" w:rsidRPr="002F16A1">
        <w:rPr>
          <w:noProof/>
        </w:rPr>
        <w:t xml:space="preserve"> w</w:t>
      </w:r>
      <w:r w:rsidR="0028384B">
        <w:rPr>
          <w:noProof/>
        </w:rPr>
        <w:t> </w:t>
      </w:r>
      <w:r w:rsidR="0028384B" w:rsidRPr="002F16A1">
        <w:rPr>
          <w:noProof/>
        </w:rPr>
        <w:t>tur</w:t>
      </w:r>
      <w:r w:rsidRPr="002F16A1">
        <w:rPr>
          <w:noProof/>
        </w:rPr>
        <w:t>binach wiatrowych lub pojazdach elektrycznych. Zgodnie</w:t>
      </w:r>
      <w:r w:rsidR="0028384B" w:rsidRPr="002F16A1">
        <w:rPr>
          <w:noProof/>
        </w:rPr>
        <w:t xml:space="preserve"> z</w:t>
      </w:r>
      <w:r w:rsidR="0028384B">
        <w:rPr>
          <w:noProof/>
        </w:rPr>
        <w:t> </w:t>
      </w:r>
      <w:r w:rsidR="0028384B" w:rsidRPr="002F16A1">
        <w:rPr>
          <w:noProof/>
        </w:rPr>
        <w:t>prz</w:t>
      </w:r>
      <w:r w:rsidRPr="002F16A1">
        <w:rPr>
          <w:noProof/>
        </w:rPr>
        <w:t xml:space="preserve">ewidywaniami popyt w UE na gal, wykorzystywany do produkcji półprzewodników, wzrośnie </w:t>
      </w:r>
      <w:r w:rsidRPr="0028384B">
        <w:rPr>
          <w:noProof/>
        </w:rPr>
        <w:t>do</w:t>
      </w:r>
      <w:r w:rsidR="0028384B" w:rsidRPr="0028384B">
        <w:rPr>
          <w:noProof/>
        </w:rPr>
        <w:t> </w:t>
      </w:r>
      <w:r w:rsidRPr="0028384B">
        <w:rPr>
          <w:noProof/>
        </w:rPr>
        <w:t>2</w:t>
      </w:r>
      <w:r w:rsidRPr="002F16A1">
        <w:rPr>
          <w:noProof/>
        </w:rPr>
        <w:t>0</w:t>
      </w:r>
      <w:r w:rsidRPr="0028384B">
        <w:rPr>
          <w:noProof/>
        </w:rPr>
        <w:t>50</w:t>
      </w:r>
      <w:r w:rsidR="0028384B" w:rsidRPr="0028384B">
        <w:rPr>
          <w:noProof/>
        </w:rPr>
        <w:t> </w:t>
      </w:r>
      <w:r w:rsidRPr="0028384B">
        <w:rPr>
          <w:noProof/>
        </w:rPr>
        <w:t>r.</w:t>
      </w:r>
      <w:r w:rsidRPr="002F16A1">
        <w:rPr>
          <w:noProof/>
        </w:rPr>
        <w:t xml:space="preserve"> 17-krotnie. Prognozowany wzrost popytu można</w:t>
      </w:r>
      <w:r w:rsidR="0028384B" w:rsidRPr="002F16A1">
        <w:rPr>
          <w:noProof/>
        </w:rPr>
        <w:t xml:space="preserve"> w</w:t>
      </w:r>
      <w:r w:rsidR="0028384B">
        <w:rPr>
          <w:noProof/>
        </w:rPr>
        <w:t> </w:t>
      </w:r>
      <w:r w:rsidR="0028384B" w:rsidRPr="002F16A1">
        <w:rPr>
          <w:noProof/>
        </w:rPr>
        <w:t>pew</w:t>
      </w:r>
      <w:r w:rsidRPr="002F16A1">
        <w:rPr>
          <w:noProof/>
        </w:rPr>
        <w:t>nym stopniu ograniczyć dzięki zastępowaniu materiałów oraz zwiększaniu efektywności ich wykorzystywania</w:t>
      </w:r>
      <w:r w:rsidR="0028384B" w:rsidRPr="002F16A1">
        <w:rPr>
          <w:noProof/>
        </w:rPr>
        <w:t xml:space="preserve"> i</w:t>
      </w:r>
      <w:r w:rsidR="0028384B">
        <w:rPr>
          <w:noProof/>
        </w:rPr>
        <w:t> </w:t>
      </w:r>
      <w:r w:rsidR="0028384B" w:rsidRPr="002F16A1">
        <w:rPr>
          <w:noProof/>
        </w:rPr>
        <w:t>obi</w:t>
      </w:r>
      <w:r w:rsidRPr="002F16A1">
        <w:rPr>
          <w:noProof/>
        </w:rPr>
        <w:t>egu zamkniętego, jednak nie należy się spodziewać, że zabiegi te doprowadzą do odwrócenia tej tendencji. Istnieje ryzyko, że obecne</w:t>
      </w:r>
      <w:r w:rsidR="0028384B" w:rsidRPr="002F16A1">
        <w:rPr>
          <w:noProof/>
        </w:rPr>
        <w:t xml:space="preserve"> i</w:t>
      </w:r>
      <w:r w:rsidR="0028384B">
        <w:rPr>
          <w:noProof/>
        </w:rPr>
        <w:t> </w:t>
      </w:r>
      <w:r w:rsidR="0028384B" w:rsidRPr="002F16A1">
        <w:rPr>
          <w:noProof/>
        </w:rPr>
        <w:t>pla</w:t>
      </w:r>
      <w:r w:rsidRPr="002F16A1">
        <w:rPr>
          <w:noProof/>
        </w:rPr>
        <w:t>nowane zdolności nie zaspokoją więcej niż 5</w:t>
      </w:r>
      <w:r w:rsidRPr="0028384B">
        <w:rPr>
          <w:noProof/>
        </w:rPr>
        <w:t>0</w:t>
      </w:r>
      <w:r w:rsidR="0028384B" w:rsidRPr="0028384B">
        <w:rPr>
          <w:noProof/>
        </w:rPr>
        <w:t> </w:t>
      </w:r>
      <w:r w:rsidRPr="0028384B">
        <w:rPr>
          <w:noProof/>
        </w:rPr>
        <w:t>%</w:t>
      </w:r>
      <w:r w:rsidRPr="002F16A1">
        <w:rPr>
          <w:noProof/>
        </w:rPr>
        <w:t xml:space="preserve"> prognozowanego popytu na kobalt,</w:t>
      </w:r>
      <w:r w:rsidR="0028384B" w:rsidRPr="002F16A1">
        <w:rPr>
          <w:noProof/>
        </w:rPr>
        <w:t xml:space="preserve"> a</w:t>
      </w:r>
      <w:r w:rsidR="0028384B">
        <w:rPr>
          <w:noProof/>
        </w:rPr>
        <w:t> </w:t>
      </w:r>
      <w:r w:rsidR="0028384B" w:rsidRPr="002F16A1">
        <w:rPr>
          <w:noProof/>
        </w:rPr>
        <w:t>zgo</w:t>
      </w:r>
      <w:r w:rsidRPr="002F16A1">
        <w:rPr>
          <w:noProof/>
        </w:rPr>
        <w:t>dnie</w:t>
      </w:r>
      <w:r w:rsidR="0028384B" w:rsidRPr="002F16A1">
        <w:rPr>
          <w:noProof/>
        </w:rPr>
        <w:t xml:space="preserve"> z</w:t>
      </w:r>
      <w:r w:rsidR="0028384B">
        <w:rPr>
          <w:noProof/>
        </w:rPr>
        <w:t> </w:t>
      </w:r>
      <w:r w:rsidR="0028384B" w:rsidRPr="002F16A1">
        <w:rPr>
          <w:noProof/>
        </w:rPr>
        <w:t>prz</w:t>
      </w:r>
      <w:r w:rsidRPr="002F16A1">
        <w:rPr>
          <w:noProof/>
        </w:rPr>
        <w:t>ewidywaniami wzrost popytu na metale ziem rzadkich</w:t>
      </w:r>
      <w:r w:rsidR="0028384B" w:rsidRPr="002F16A1">
        <w:rPr>
          <w:noProof/>
        </w:rPr>
        <w:t xml:space="preserve"> w</w:t>
      </w:r>
      <w:r w:rsidR="0028384B">
        <w:rPr>
          <w:noProof/>
        </w:rPr>
        <w:t> </w:t>
      </w:r>
      <w:r w:rsidR="0028384B" w:rsidRPr="002F16A1">
        <w:rPr>
          <w:noProof/>
        </w:rPr>
        <w:t>prz</w:t>
      </w:r>
      <w:r w:rsidRPr="002F16A1">
        <w:rPr>
          <w:noProof/>
        </w:rPr>
        <w:t>yszłości będzie większy niż wzrost zdolności</w:t>
      </w:r>
      <w:r w:rsidRPr="002F16A1">
        <w:rPr>
          <w:rStyle w:val="FootnoteReference"/>
          <w:noProof/>
        </w:rPr>
        <w:footnoteReference w:id="2"/>
      </w:r>
      <w:r w:rsidRPr="002F16A1">
        <w:rPr>
          <w:noProof/>
        </w:rPr>
        <w:t>. Wiele krajów przyjęło</w:t>
      </w:r>
      <w:r w:rsidR="0028384B" w:rsidRPr="002F16A1">
        <w:rPr>
          <w:noProof/>
        </w:rPr>
        <w:t xml:space="preserve"> w</w:t>
      </w:r>
      <w:r w:rsidR="0028384B">
        <w:rPr>
          <w:noProof/>
        </w:rPr>
        <w:t> </w:t>
      </w:r>
      <w:r w:rsidR="0028384B" w:rsidRPr="002F16A1">
        <w:rPr>
          <w:noProof/>
        </w:rPr>
        <w:t>zwi</w:t>
      </w:r>
      <w:r w:rsidRPr="002F16A1">
        <w:rPr>
          <w:noProof/>
        </w:rPr>
        <w:t>ązku</w:t>
      </w:r>
      <w:r w:rsidR="0028384B" w:rsidRPr="002F16A1">
        <w:rPr>
          <w:noProof/>
        </w:rPr>
        <w:t xml:space="preserve"> z</w:t>
      </w:r>
      <w:r w:rsidR="0028384B">
        <w:rPr>
          <w:noProof/>
        </w:rPr>
        <w:t> </w:t>
      </w:r>
      <w:r w:rsidR="0028384B" w:rsidRPr="002F16A1">
        <w:rPr>
          <w:noProof/>
        </w:rPr>
        <w:t>tym</w:t>
      </w:r>
      <w:r w:rsidRPr="002F16A1">
        <w:rPr>
          <w:noProof/>
        </w:rPr>
        <w:t xml:space="preserve"> politykę aktywnego zabezpieczania swoich dostaw surowców krytycznych, co doprowadziło do zwiększenia konkurencji</w:t>
      </w:r>
      <w:r w:rsidR="0028384B" w:rsidRPr="002F16A1">
        <w:rPr>
          <w:noProof/>
        </w:rPr>
        <w:t xml:space="preserve"> o</w:t>
      </w:r>
      <w:r w:rsidR="0028384B">
        <w:rPr>
          <w:noProof/>
        </w:rPr>
        <w:t> </w:t>
      </w:r>
      <w:r w:rsidR="0028384B" w:rsidRPr="002F16A1">
        <w:rPr>
          <w:noProof/>
        </w:rPr>
        <w:t>zas</w:t>
      </w:r>
      <w:r w:rsidRPr="002F16A1">
        <w:rPr>
          <w:noProof/>
        </w:rPr>
        <w:t>oby. </w:t>
      </w:r>
    </w:p>
    <w:p w:rsidR="00AD62E2" w:rsidRPr="002F16A1" w:rsidRDefault="00AD62E2" w:rsidP="00AD62E2">
      <w:pPr>
        <w:rPr>
          <w:noProof/>
        </w:rPr>
      </w:pPr>
      <w:r w:rsidRPr="002F16A1">
        <w:rPr>
          <w:noProof/>
        </w:rPr>
        <w:t>Zakłócenia dostaw podstawowych towarów podczas kryzysu związanego z COVID-19 oraz kryzysu energetycznego wywołanego rosyjską wojną napastniczą przeciwko Ukrainie uwidoczniły strukturalne zależności UE od dostaw oraz ich potencjalnie szkodliwe skutki</w:t>
      </w:r>
      <w:r w:rsidR="0028384B" w:rsidRPr="002F16A1">
        <w:rPr>
          <w:noProof/>
        </w:rPr>
        <w:t xml:space="preserve"> w</w:t>
      </w:r>
      <w:r w:rsidR="0028384B">
        <w:rPr>
          <w:noProof/>
        </w:rPr>
        <w:t> </w:t>
      </w:r>
      <w:r w:rsidR="0028384B" w:rsidRPr="002F16A1">
        <w:rPr>
          <w:noProof/>
        </w:rPr>
        <w:t>cza</w:t>
      </w:r>
      <w:r w:rsidRPr="002F16A1">
        <w:rPr>
          <w:noProof/>
        </w:rPr>
        <w:t>sach kryzysu. Kluczowe znaczenie surowców krytycznych dla transformacji ekologicznej</w:t>
      </w:r>
      <w:r w:rsidR="0028384B" w:rsidRPr="002F16A1">
        <w:rPr>
          <w:noProof/>
        </w:rPr>
        <w:t xml:space="preserve"> i</w:t>
      </w:r>
      <w:r w:rsidR="0028384B">
        <w:rPr>
          <w:noProof/>
        </w:rPr>
        <w:t> </w:t>
      </w:r>
      <w:r w:rsidR="0028384B" w:rsidRPr="002F16A1">
        <w:rPr>
          <w:noProof/>
        </w:rPr>
        <w:t>cyf</w:t>
      </w:r>
      <w:r w:rsidRPr="002F16A1">
        <w:rPr>
          <w:noProof/>
        </w:rPr>
        <w:t>rowej oraz dla zastosowań obronnych</w:t>
      </w:r>
      <w:r w:rsidR="0028384B" w:rsidRPr="002F16A1">
        <w:rPr>
          <w:noProof/>
        </w:rPr>
        <w:t xml:space="preserve"> i</w:t>
      </w:r>
      <w:r w:rsidR="0028384B">
        <w:rPr>
          <w:noProof/>
        </w:rPr>
        <w:t> </w:t>
      </w:r>
      <w:r w:rsidR="0028384B" w:rsidRPr="002F16A1">
        <w:rPr>
          <w:noProof/>
        </w:rPr>
        <w:t>kos</w:t>
      </w:r>
      <w:r w:rsidRPr="002F16A1">
        <w:rPr>
          <w:noProof/>
        </w:rPr>
        <w:t>micznych oznacza, że zakłócenia ich dostaw miałyby znaczące negatywne skutki dla przemysłu w UE. Naraziłoby to na niebezpieczeństwo funkcjonowanie jednolitego rynku</w:t>
      </w:r>
      <w:r w:rsidR="0028384B" w:rsidRPr="002F16A1">
        <w:rPr>
          <w:noProof/>
        </w:rPr>
        <w:t xml:space="preserve"> i</w:t>
      </w:r>
      <w:r w:rsidR="0028384B">
        <w:rPr>
          <w:noProof/>
        </w:rPr>
        <w:t> </w:t>
      </w:r>
      <w:r w:rsidR="0028384B" w:rsidRPr="002F16A1">
        <w:rPr>
          <w:noProof/>
        </w:rPr>
        <w:t>zas</w:t>
      </w:r>
      <w:r w:rsidRPr="002F16A1">
        <w:rPr>
          <w:noProof/>
        </w:rPr>
        <w:t>zkodziło konkurencyjności UE,</w:t>
      </w:r>
      <w:r w:rsidR="0028384B" w:rsidRPr="002F16A1">
        <w:rPr>
          <w:noProof/>
        </w:rPr>
        <w:t xml:space="preserve"> a</w:t>
      </w:r>
      <w:r w:rsidR="0028384B">
        <w:rPr>
          <w:noProof/>
        </w:rPr>
        <w:t> </w:t>
      </w:r>
      <w:r w:rsidR="0028384B" w:rsidRPr="002F16A1">
        <w:rPr>
          <w:noProof/>
        </w:rPr>
        <w:t>jed</w:t>
      </w:r>
      <w:r w:rsidRPr="002F16A1">
        <w:rPr>
          <w:noProof/>
        </w:rPr>
        <w:t>nocześnie stanowiłoby zagrożenie dla istniejących miejsc pracy oraz tworzenia nowych miejsc pracy oraz wpłynęło na warunki pracy</w:t>
      </w:r>
      <w:r w:rsidR="0028384B" w:rsidRPr="002F16A1">
        <w:rPr>
          <w:noProof/>
        </w:rPr>
        <w:t xml:space="preserve"> i</w:t>
      </w:r>
      <w:r w:rsidR="0028384B">
        <w:rPr>
          <w:noProof/>
        </w:rPr>
        <w:t> </w:t>
      </w:r>
      <w:r w:rsidR="0028384B" w:rsidRPr="002F16A1">
        <w:rPr>
          <w:noProof/>
        </w:rPr>
        <w:t>pła</w:t>
      </w:r>
      <w:r w:rsidRPr="002F16A1">
        <w:rPr>
          <w:noProof/>
        </w:rPr>
        <w:t>ce. Ponadto</w:t>
      </w:r>
      <w:r w:rsidR="0028384B" w:rsidRPr="002F16A1">
        <w:rPr>
          <w:noProof/>
        </w:rPr>
        <w:t xml:space="preserve"> w</w:t>
      </w:r>
      <w:r w:rsidR="0028384B">
        <w:rPr>
          <w:noProof/>
        </w:rPr>
        <w:t> </w:t>
      </w:r>
      <w:r w:rsidR="0028384B" w:rsidRPr="002F16A1">
        <w:rPr>
          <w:noProof/>
        </w:rPr>
        <w:t>prz</w:t>
      </w:r>
      <w:r w:rsidRPr="002F16A1">
        <w:rPr>
          <w:noProof/>
        </w:rPr>
        <w:t>ypadku braku bezpieczeństwa dostaw surowców krytycznych Unia nie będzie</w:t>
      </w:r>
      <w:r w:rsidR="0028384B" w:rsidRPr="002F16A1">
        <w:rPr>
          <w:noProof/>
        </w:rPr>
        <w:t xml:space="preserve"> w</w:t>
      </w:r>
      <w:r w:rsidR="0028384B">
        <w:rPr>
          <w:noProof/>
        </w:rPr>
        <w:t> </w:t>
      </w:r>
      <w:r w:rsidR="0028384B" w:rsidRPr="002F16A1">
        <w:rPr>
          <w:noProof/>
        </w:rPr>
        <w:t>sta</w:t>
      </w:r>
      <w:r w:rsidRPr="002F16A1">
        <w:rPr>
          <w:noProof/>
        </w:rPr>
        <w:t>nie osiągnąć swojego celu, jakim jest ekologiczna</w:t>
      </w:r>
      <w:r w:rsidR="0028384B" w:rsidRPr="002F16A1">
        <w:rPr>
          <w:noProof/>
        </w:rPr>
        <w:t xml:space="preserve"> i</w:t>
      </w:r>
      <w:r w:rsidR="0028384B">
        <w:rPr>
          <w:noProof/>
        </w:rPr>
        <w:t> </w:t>
      </w:r>
      <w:r w:rsidR="0028384B" w:rsidRPr="002F16A1">
        <w:rPr>
          <w:noProof/>
        </w:rPr>
        <w:t>cyf</w:t>
      </w:r>
      <w:r w:rsidRPr="002F16A1">
        <w:rPr>
          <w:noProof/>
        </w:rPr>
        <w:t>rowa przyszłość. </w:t>
      </w:r>
    </w:p>
    <w:p w:rsidR="00AD62E2" w:rsidRPr="002F16A1" w:rsidRDefault="00AD62E2" w:rsidP="00AD62E2">
      <w:pPr>
        <w:rPr>
          <w:noProof/>
        </w:rPr>
      </w:pPr>
      <w:r w:rsidRPr="002F16A1">
        <w:rPr>
          <w:noProof/>
        </w:rPr>
        <w:t>Zarówno Inicjatywa na rzecz surowców</w:t>
      </w:r>
      <w:r w:rsidR="0028384B" w:rsidRPr="002F16A1">
        <w:rPr>
          <w:noProof/>
        </w:rPr>
        <w:t xml:space="preserve"> z</w:t>
      </w:r>
      <w:r w:rsidR="0028384B">
        <w:rPr>
          <w:noProof/>
        </w:rPr>
        <w:t> </w:t>
      </w:r>
      <w:r w:rsidR="0028384B" w:rsidRPr="002F16A1">
        <w:rPr>
          <w:noProof/>
        </w:rPr>
        <w:t>2</w:t>
      </w:r>
      <w:r w:rsidRPr="002F16A1">
        <w:rPr>
          <w:noProof/>
        </w:rPr>
        <w:t>0</w:t>
      </w:r>
      <w:r w:rsidRPr="0028384B">
        <w:rPr>
          <w:noProof/>
        </w:rPr>
        <w:t>08</w:t>
      </w:r>
      <w:r w:rsidR="0028384B" w:rsidRPr="0028384B">
        <w:rPr>
          <w:noProof/>
        </w:rPr>
        <w:t> </w:t>
      </w:r>
      <w:r w:rsidRPr="0028384B">
        <w:rPr>
          <w:noProof/>
        </w:rPr>
        <w:t>r.</w:t>
      </w:r>
      <w:r w:rsidRPr="002F16A1">
        <w:rPr>
          <w:noProof/>
        </w:rPr>
        <w:t>, jak</w:t>
      </w:r>
      <w:r w:rsidR="0028384B" w:rsidRPr="002F16A1">
        <w:rPr>
          <w:noProof/>
        </w:rPr>
        <w:t xml:space="preserve"> i</w:t>
      </w:r>
      <w:r w:rsidR="0028384B">
        <w:rPr>
          <w:noProof/>
        </w:rPr>
        <w:t> </w:t>
      </w:r>
      <w:r w:rsidR="0028384B" w:rsidRPr="002F16A1">
        <w:rPr>
          <w:noProof/>
        </w:rPr>
        <w:t>pla</w:t>
      </w:r>
      <w:r w:rsidRPr="002F16A1">
        <w:rPr>
          <w:noProof/>
        </w:rPr>
        <w:t>n działania</w:t>
      </w:r>
      <w:r w:rsidR="0028384B" w:rsidRPr="002F16A1">
        <w:rPr>
          <w:noProof/>
        </w:rPr>
        <w:t xml:space="preserve"> w</w:t>
      </w:r>
      <w:r w:rsidR="0028384B">
        <w:rPr>
          <w:noProof/>
        </w:rPr>
        <w:t> </w:t>
      </w:r>
      <w:r w:rsidR="0028384B" w:rsidRPr="002F16A1">
        <w:rPr>
          <w:noProof/>
        </w:rPr>
        <w:t>spr</w:t>
      </w:r>
      <w:r w:rsidRPr="002F16A1">
        <w:rPr>
          <w:noProof/>
        </w:rPr>
        <w:t>awie surowców krytycznych</w:t>
      </w:r>
      <w:r w:rsidR="0028384B" w:rsidRPr="002F16A1">
        <w:rPr>
          <w:noProof/>
        </w:rPr>
        <w:t xml:space="preserve"> z</w:t>
      </w:r>
      <w:r w:rsidR="0028384B">
        <w:rPr>
          <w:noProof/>
        </w:rPr>
        <w:t> </w:t>
      </w:r>
      <w:r w:rsidR="0028384B" w:rsidRPr="002F16A1">
        <w:rPr>
          <w:noProof/>
        </w:rPr>
        <w:t>2</w:t>
      </w:r>
      <w:r w:rsidRPr="002F16A1">
        <w:rPr>
          <w:noProof/>
        </w:rPr>
        <w:t>0</w:t>
      </w:r>
      <w:r w:rsidRPr="0028384B">
        <w:rPr>
          <w:noProof/>
        </w:rPr>
        <w:t>20</w:t>
      </w:r>
      <w:r w:rsidR="0028384B" w:rsidRPr="0028384B">
        <w:rPr>
          <w:noProof/>
        </w:rPr>
        <w:t> </w:t>
      </w:r>
      <w:r w:rsidRPr="0028384B">
        <w:rPr>
          <w:noProof/>
        </w:rPr>
        <w:t>r.</w:t>
      </w:r>
      <w:r w:rsidRPr="002F16A1">
        <w:rPr>
          <w:noProof/>
        </w:rPr>
        <w:t xml:space="preserve"> zapewniły ramy dla inicjatyw mających na celu analizę oceny krytyczności różnych surowców, międzynarodowej dywersyfikacji, badań naukowych</w:t>
      </w:r>
      <w:r w:rsidR="0028384B" w:rsidRPr="002F16A1">
        <w:rPr>
          <w:noProof/>
        </w:rPr>
        <w:t xml:space="preserve"> i</w:t>
      </w:r>
      <w:r w:rsidR="0028384B">
        <w:rPr>
          <w:noProof/>
        </w:rPr>
        <w:t> </w:t>
      </w:r>
      <w:r w:rsidR="0028384B" w:rsidRPr="002F16A1">
        <w:rPr>
          <w:noProof/>
        </w:rPr>
        <w:t>inn</w:t>
      </w:r>
      <w:r w:rsidRPr="002F16A1">
        <w:rPr>
          <w:noProof/>
        </w:rPr>
        <w:t>owacji oraz rozwoju zdolności produkcyjnych</w:t>
      </w:r>
      <w:r w:rsidR="0028384B" w:rsidRPr="002F16A1">
        <w:rPr>
          <w:noProof/>
        </w:rPr>
        <w:t xml:space="preserve"> w</w:t>
      </w:r>
      <w:r w:rsidR="0028384B">
        <w:rPr>
          <w:noProof/>
        </w:rPr>
        <w:t> </w:t>
      </w:r>
      <w:r w:rsidR="0028384B" w:rsidRPr="002F16A1">
        <w:rPr>
          <w:noProof/>
        </w:rPr>
        <w:t>zak</w:t>
      </w:r>
      <w:r w:rsidRPr="002F16A1">
        <w:rPr>
          <w:noProof/>
        </w:rPr>
        <w:t>resie surowców krytycznych w UE. Wprowadzone środki pomagają zapewnić większe bezpieczeństwo dostaw. Na przykład partnerstwa strategiczne nawiązane</w:t>
      </w:r>
      <w:r w:rsidR="0028384B" w:rsidRPr="002F16A1">
        <w:rPr>
          <w:noProof/>
        </w:rPr>
        <w:t xml:space="preserve"> z</w:t>
      </w:r>
      <w:r w:rsidR="0028384B">
        <w:rPr>
          <w:noProof/>
        </w:rPr>
        <w:t> </w:t>
      </w:r>
      <w:r w:rsidR="0028384B" w:rsidRPr="002F16A1">
        <w:rPr>
          <w:noProof/>
        </w:rPr>
        <w:t>pań</w:t>
      </w:r>
      <w:r w:rsidRPr="002F16A1">
        <w:rPr>
          <w:noProof/>
        </w:rPr>
        <w:t>stwami trzecimi, jak przewidziano</w:t>
      </w:r>
      <w:r w:rsidR="0028384B" w:rsidRPr="002F16A1">
        <w:rPr>
          <w:noProof/>
        </w:rPr>
        <w:t xml:space="preserve"> w</w:t>
      </w:r>
      <w:r w:rsidR="0028384B">
        <w:rPr>
          <w:noProof/>
        </w:rPr>
        <w:t> </w:t>
      </w:r>
      <w:r w:rsidR="0028384B" w:rsidRPr="002F16A1">
        <w:rPr>
          <w:noProof/>
        </w:rPr>
        <w:t>pla</w:t>
      </w:r>
      <w:r w:rsidRPr="002F16A1">
        <w:rPr>
          <w:noProof/>
        </w:rPr>
        <w:t>nie działania, pomagają</w:t>
      </w:r>
      <w:r w:rsidR="0028384B" w:rsidRPr="002F16A1">
        <w:rPr>
          <w:noProof/>
        </w:rPr>
        <w:t xml:space="preserve"> w</w:t>
      </w:r>
      <w:r w:rsidR="0028384B">
        <w:rPr>
          <w:noProof/>
        </w:rPr>
        <w:t> </w:t>
      </w:r>
      <w:r w:rsidR="0028384B" w:rsidRPr="002F16A1">
        <w:rPr>
          <w:noProof/>
        </w:rPr>
        <w:t>dyw</w:t>
      </w:r>
      <w:r w:rsidRPr="002F16A1">
        <w:rPr>
          <w:noProof/>
        </w:rPr>
        <w:t>ersyfikacji źródeł dostaw surowców przez dalsze łączenie unijnych łańcuchów wartości surowców</w:t>
      </w:r>
      <w:r w:rsidR="0028384B" w:rsidRPr="002F16A1">
        <w:rPr>
          <w:noProof/>
        </w:rPr>
        <w:t xml:space="preserve"> z</w:t>
      </w:r>
      <w:r w:rsidR="0028384B">
        <w:rPr>
          <w:noProof/>
        </w:rPr>
        <w:t> </w:t>
      </w:r>
      <w:r w:rsidR="0028384B" w:rsidRPr="002F16A1">
        <w:rPr>
          <w:noProof/>
        </w:rPr>
        <w:t>łań</w:t>
      </w:r>
      <w:r w:rsidRPr="002F16A1">
        <w:rPr>
          <w:noProof/>
        </w:rPr>
        <w:t>cuchami wartości bogatych</w:t>
      </w:r>
      <w:r w:rsidR="0028384B" w:rsidRPr="002F16A1">
        <w:rPr>
          <w:noProof/>
        </w:rPr>
        <w:t xml:space="preserve"> w</w:t>
      </w:r>
      <w:r w:rsidR="0028384B">
        <w:rPr>
          <w:noProof/>
        </w:rPr>
        <w:t> </w:t>
      </w:r>
      <w:r w:rsidR="0028384B" w:rsidRPr="002F16A1">
        <w:rPr>
          <w:noProof/>
        </w:rPr>
        <w:t>zas</w:t>
      </w:r>
      <w:r w:rsidRPr="002F16A1">
        <w:rPr>
          <w:noProof/>
        </w:rPr>
        <w:t>oby państw trzecich. </w:t>
      </w:r>
    </w:p>
    <w:p w:rsidR="00AD62E2" w:rsidRPr="002F16A1" w:rsidRDefault="00AD62E2" w:rsidP="00AD62E2">
      <w:pPr>
        <w:rPr>
          <w:noProof/>
        </w:rPr>
      </w:pPr>
      <w:r w:rsidRPr="002F16A1">
        <w:rPr>
          <w:noProof/>
        </w:rPr>
        <w:t>Działania nieregulacyjne okazują się jednak niewystarczające, aby zapewnić UE dostęp do bezpiecznych</w:t>
      </w:r>
      <w:r w:rsidR="0028384B" w:rsidRPr="002F16A1">
        <w:rPr>
          <w:noProof/>
        </w:rPr>
        <w:t xml:space="preserve"> i</w:t>
      </w:r>
      <w:r w:rsidR="0028384B">
        <w:rPr>
          <w:noProof/>
        </w:rPr>
        <w:t> </w:t>
      </w:r>
      <w:r w:rsidR="0028384B" w:rsidRPr="002F16A1">
        <w:rPr>
          <w:noProof/>
        </w:rPr>
        <w:t>zró</w:t>
      </w:r>
      <w:r w:rsidRPr="002F16A1">
        <w:rPr>
          <w:noProof/>
        </w:rPr>
        <w:t xml:space="preserve">wnoważonych dostaw surowców krytycznych. </w:t>
      </w:r>
      <w:r w:rsidRPr="002F16A1">
        <w:rPr>
          <w:noProof/>
          <w:color w:val="000000" w:themeColor="text1"/>
        </w:rPr>
        <w:t>Obecnie brak jest ram regulacyjnych mających na celu strukturalne zmniejszenie ryzyka związanego</w:t>
      </w:r>
      <w:r w:rsidR="0028384B" w:rsidRPr="002F16A1">
        <w:rPr>
          <w:noProof/>
          <w:color w:val="000000" w:themeColor="text1"/>
        </w:rPr>
        <w:t xml:space="preserve"> z</w:t>
      </w:r>
      <w:r w:rsidR="0028384B">
        <w:rPr>
          <w:noProof/>
          <w:color w:val="000000" w:themeColor="text1"/>
        </w:rPr>
        <w:t> </w:t>
      </w:r>
      <w:r w:rsidR="0028384B" w:rsidRPr="002F16A1">
        <w:rPr>
          <w:noProof/>
          <w:color w:val="000000" w:themeColor="text1"/>
        </w:rPr>
        <w:t>dos</w:t>
      </w:r>
      <w:r w:rsidRPr="002F16A1">
        <w:rPr>
          <w:noProof/>
          <w:color w:val="000000" w:themeColor="text1"/>
        </w:rPr>
        <w:t xml:space="preserve">tawami szeregu surowców krytycznych. </w:t>
      </w:r>
      <w:r w:rsidRPr="002F16A1">
        <w:rPr>
          <w:noProof/>
        </w:rPr>
        <w:t>Po pierwsze, wobec braku wspólnych ram zapewniających odporność</w:t>
      </w:r>
      <w:r w:rsidR="0028384B" w:rsidRPr="002F16A1">
        <w:rPr>
          <w:noProof/>
        </w:rPr>
        <w:t xml:space="preserve"> i</w:t>
      </w:r>
      <w:r w:rsidR="0028384B">
        <w:rPr>
          <w:noProof/>
        </w:rPr>
        <w:t> </w:t>
      </w:r>
      <w:r w:rsidR="0028384B" w:rsidRPr="002F16A1">
        <w:rPr>
          <w:noProof/>
        </w:rPr>
        <w:t>prz</w:t>
      </w:r>
      <w:r w:rsidRPr="002F16A1">
        <w:rPr>
          <w:noProof/>
        </w:rPr>
        <w:t>ygotowanie podmiotów gospodarczych na pojawiające się problemy przemysł pozostaje nadmiernie narażony na ryzyko zakłóceń dostaw. Po drugie, niewykorzystany pozostaje potencjał UE pod względem zwiększenia zdolności</w:t>
      </w:r>
      <w:r w:rsidR="0028384B" w:rsidRPr="002F16A1">
        <w:rPr>
          <w:noProof/>
        </w:rPr>
        <w:t xml:space="preserve"> w</w:t>
      </w:r>
      <w:r w:rsidR="0028384B">
        <w:rPr>
          <w:noProof/>
        </w:rPr>
        <w:t> </w:t>
      </w:r>
      <w:r w:rsidR="0028384B" w:rsidRPr="002F16A1">
        <w:rPr>
          <w:noProof/>
        </w:rPr>
        <w:t>zak</w:t>
      </w:r>
      <w:r w:rsidRPr="002F16A1">
        <w:rPr>
          <w:noProof/>
        </w:rPr>
        <w:t>resie wydobycia, przetwarzania czy recyklingu. We wszystkich państwach członkowskich wiedza</w:t>
      </w:r>
      <w:r w:rsidR="0028384B" w:rsidRPr="002F16A1">
        <w:rPr>
          <w:noProof/>
        </w:rPr>
        <w:t xml:space="preserve"> o</w:t>
      </w:r>
      <w:r w:rsidR="0028384B">
        <w:rPr>
          <w:noProof/>
        </w:rPr>
        <w:t> </w:t>
      </w:r>
      <w:r w:rsidR="0028384B" w:rsidRPr="002F16A1">
        <w:rPr>
          <w:noProof/>
        </w:rPr>
        <w:t>zło</w:t>
      </w:r>
      <w:r w:rsidRPr="002F16A1">
        <w:rPr>
          <w:noProof/>
        </w:rPr>
        <w:t>żach mineralnych często sięga czasów, gdy surowce krytyczne nie były tak poszukiwanymi zasobami jak obecnie. Główne przeszkody</w:t>
      </w:r>
      <w:r w:rsidR="0028384B" w:rsidRPr="002F16A1">
        <w:rPr>
          <w:noProof/>
        </w:rPr>
        <w:t xml:space="preserve"> w</w:t>
      </w:r>
      <w:r w:rsidR="0028384B">
        <w:rPr>
          <w:noProof/>
        </w:rPr>
        <w:t> </w:t>
      </w:r>
      <w:r w:rsidR="0028384B" w:rsidRPr="002F16A1">
        <w:rPr>
          <w:noProof/>
        </w:rPr>
        <w:t>roz</w:t>
      </w:r>
      <w:r w:rsidRPr="002F16A1">
        <w:rPr>
          <w:noProof/>
        </w:rPr>
        <w:t>woju projektów dotyczących surowców krytycznych stanowią niejednokrotnie: utrudniony dostęp do finansowania, długie</w:t>
      </w:r>
      <w:r w:rsidR="0028384B" w:rsidRPr="002F16A1">
        <w:rPr>
          <w:noProof/>
        </w:rPr>
        <w:t xml:space="preserve"> i</w:t>
      </w:r>
      <w:r w:rsidR="0028384B">
        <w:rPr>
          <w:noProof/>
        </w:rPr>
        <w:t> </w:t>
      </w:r>
      <w:r w:rsidR="0028384B" w:rsidRPr="002F16A1">
        <w:rPr>
          <w:noProof/>
        </w:rPr>
        <w:t>zło</w:t>
      </w:r>
      <w:r w:rsidRPr="002F16A1">
        <w:rPr>
          <w:noProof/>
        </w:rPr>
        <w:t>żone procedury wydawania pozwoleń, brak akceptacji społecznej oraz potencjalne problemy środowiskowe. Po trzecie, przepisy dotyczące gospodarowania odpadami nie stwarzają wystarczających zachęt do poprawy obiegu zamkniętego surowców krytycznych ani do rozwoju rynku surowców wtórnych. Ponadto brak jest wystarczających zachęt do zgłaszania</w:t>
      </w:r>
      <w:r w:rsidR="0028384B" w:rsidRPr="002F16A1">
        <w:rPr>
          <w:noProof/>
        </w:rPr>
        <w:t xml:space="preserve"> i</w:t>
      </w:r>
      <w:r w:rsidR="0028384B">
        <w:rPr>
          <w:noProof/>
        </w:rPr>
        <w:t> </w:t>
      </w:r>
      <w:r w:rsidR="0028384B" w:rsidRPr="002F16A1">
        <w:rPr>
          <w:noProof/>
        </w:rPr>
        <w:t>ogr</w:t>
      </w:r>
      <w:r w:rsidRPr="002F16A1">
        <w:rPr>
          <w:noProof/>
        </w:rPr>
        <w:t>aniczania negatywnego wpływu na środowisko surowców krytycznych wprowadzanych do obrotu na rynku UE. </w:t>
      </w:r>
    </w:p>
    <w:p w:rsidR="00AD62E2" w:rsidRPr="0028384B" w:rsidRDefault="00AD62E2" w:rsidP="00AD62E2">
      <w:pPr>
        <w:rPr>
          <w:noProof/>
        </w:rPr>
      </w:pPr>
      <w:r w:rsidRPr="002F16A1">
        <w:rPr>
          <w:noProof/>
        </w:rPr>
        <w:t>W tym kontekście niniejszy wniosek ma następujące cele</w:t>
      </w:r>
      <w:r w:rsidRPr="0028384B">
        <w:rPr>
          <w:noProof/>
        </w:rPr>
        <w:t>:</w:t>
      </w:r>
      <w:r w:rsidR="0028384B" w:rsidRPr="0028384B">
        <w:rPr>
          <w:noProof/>
        </w:rPr>
        <w:t xml:space="preserve"> </w:t>
      </w:r>
    </w:p>
    <w:p w:rsidR="00AD62E2" w:rsidRPr="002F16A1" w:rsidRDefault="00AD62E2" w:rsidP="008171B0">
      <w:pPr>
        <w:pStyle w:val="Tiret0"/>
        <w:numPr>
          <w:ilvl w:val="0"/>
          <w:numId w:val="60"/>
        </w:numPr>
        <w:rPr>
          <w:noProof/>
        </w:rPr>
      </w:pPr>
      <w:r w:rsidRPr="002F16A1">
        <w:rPr>
          <w:noProof/>
        </w:rPr>
        <w:t>wzmocnienie poszczególnych etapów europejskiego łańcucha wartości surowców krytycznych; </w:t>
      </w:r>
    </w:p>
    <w:p w:rsidR="00AD62E2" w:rsidRPr="0028384B" w:rsidRDefault="00AD62E2" w:rsidP="00D822B1">
      <w:pPr>
        <w:pStyle w:val="Tiret0"/>
        <w:rPr>
          <w:noProof/>
        </w:rPr>
      </w:pPr>
      <w:r w:rsidRPr="002F16A1">
        <w:rPr>
          <w:noProof/>
        </w:rPr>
        <w:t>dywersyfikacja przywozu surowców krytycznych do UE</w:t>
      </w:r>
      <w:r w:rsidR="0028384B" w:rsidRPr="002F16A1">
        <w:rPr>
          <w:noProof/>
        </w:rPr>
        <w:t xml:space="preserve"> w</w:t>
      </w:r>
      <w:r w:rsidR="0028384B">
        <w:rPr>
          <w:noProof/>
        </w:rPr>
        <w:t> </w:t>
      </w:r>
      <w:r w:rsidR="0028384B" w:rsidRPr="002F16A1">
        <w:rPr>
          <w:noProof/>
        </w:rPr>
        <w:t>cel</w:t>
      </w:r>
      <w:r w:rsidRPr="002F16A1">
        <w:rPr>
          <w:noProof/>
        </w:rPr>
        <w:t>u zmniejszenia strategicznych zależności</w:t>
      </w:r>
      <w:r w:rsidRPr="0028384B">
        <w:rPr>
          <w:noProof/>
        </w:rPr>
        <w:t>;</w:t>
      </w:r>
      <w:r w:rsidR="0028384B" w:rsidRPr="0028384B">
        <w:rPr>
          <w:noProof/>
        </w:rPr>
        <w:t xml:space="preserve"> </w:t>
      </w:r>
    </w:p>
    <w:p w:rsidR="00AD62E2" w:rsidRPr="002F16A1" w:rsidRDefault="00AD62E2" w:rsidP="00D822B1">
      <w:pPr>
        <w:pStyle w:val="Tiret0"/>
        <w:rPr>
          <w:noProof/>
        </w:rPr>
      </w:pPr>
      <w:r w:rsidRPr="002F16A1">
        <w:rPr>
          <w:noProof/>
        </w:rPr>
        <w:t>zwiększenie zdolności UE do monitorowania</w:t>
      </w:r>
      <w:r w:rsidR="0028384B" w:rsidRPr="002F16A1">
        <w:rPr>
          <w:noProof/>
        </w:rPr>
        <w:t xml:space="preserve"> i</w:t>
      </w:r>
      <w:r w:rsidR="0028384B">
        <w:rPr>
          <w:noProof/>
        </w:rPr>
        <w:t> </w:t>
      </w:r>
      <w:r w:rsidR="0028384B" w:rsidRPr="002F16A1">
        <w:rPr>
          <w:noProof/>
        </w:rPr>
        <w:t>ogr</w:t>
      </w:r>
      <w:r w:rsidRPr="002F16A1">
        <w:rPr>
          <w:noProof/>
        </w:rPr>
        <w:t>aniczania ryzyka zakłóceń dostaw surowców krytycznych; </w:t>
      </w:r>
    </w:p>
    <w:p w:rsidR="00AD62E2" w:rsidRPr="002F16A1" w:rsidRDefault="00AD62E2" w:rsidP="00D822B1">
      <w:pPr>
        <w:pStyle w:val="Tiret0"/>
        <w:rPr>
          <w:noProof/>
        </w:rPr>
      </w:pPr>
      <w:r w:rsidRPr="002F16A1">
        <w:rPr>
          <w:noProof/>
        </w:rPr>
        <w:t>zapewnienie swobodnego przepływu surowców krytycznych na jednolitym rynku przy jednoczesnym zapewnieniu wysokiego poziomu ochrony środowiska</w:t>
      </w:r>
      <w:r w:rsidR="0028384B" w:rsidRPr="002F16A1">
        <w:rPr>
          <w:noProof/>
        </w:rPr>
        <w:t xml:space="preserve"> w</w:t>
      </w:r>
      <w:r w:rsidR="0028384B">
        <w:rPr>
          <w:noProof/>
        </w:rPr>
        <w:t> </w:t>
      </w:r>
      <w:r w:rsidR="0028384B" w:rsidRPr="002F16A1">
        <w:rPr>
          <w:noProof/>
        </w:rPr>
        <w:t>dro</w:t>
      </w:r>
      <w:r w:rsidRPr="002F16A1">
        <w:rPr>
          <w:noProof/>
        </w:rPr>
        <w:t>dze poprawy ich obiegu zamkniętego</w:t>
      </w:r>
      <w:r w:rsidR="0028384B" w:rsidRPr="002F16A1">
        <w:rPr>
          <w:noProof/>
        </w:rPr>
        <w:t xml:space="preserve"> i</w:t>
      </w:r>
      <w:r w:rsidR="0028384B">
        <w:rPr>
          <w:noProof/>
        </w:rPr>
        <w:t> </w:t>
      </w:r>
      <w:r w:rsidR="0028384B" w:rsidRPr="002F16A1">
        <w:rPr>
          <w:noProof/>
        </w:rPr>
        <w:t>zwi</w:t>
      </w:r>
      <w:r w:rsidRPr="002F16A1">
        <w:rPr>
          <w:noProof/>
        </w:rPr>
        <w:t>ększenia zrównoważonego charakteru. </w:t>
      </w:r>
    </w:p>
    <w:tbl>
      <w:tblPr>
        <w:tblStyle w:val="TableGrid"/>
        <w:tblW w:w="0" w:type="auto"/>
        <w:tblLayout w:type="fixed"/>
        <w:tblLook w:val="06A0" w:firstRow="1" w:lastRow="0" w:firstColumn="1" w:lastColumn="0" w:noHBand="1" w:noVBand="1"/>
      </w:tblPr>
      <w:tblGrid>
        <w:gridCol w:w="9060"/>
      </w:tblGrid>
      <w:tr w:rsidR="00AD62E2" w:rsidRPr="002F16A1" w:rsidTr="000154FC">
        <w:trPr>
          <w:trHeight w:val="300"/>
        </w:trPr>
        <w:tc>
          <w:tcPr>
            <w:tcW w:w="9060" w:type="dxa"/>
          </w:tcPr>
          <w:p w:rsidR="00AD62E2" w:rsidRPr="002F16A1" w:rsidRDefault="00AD62E2" w:rsidP="000154FC">
            <w:pPr>
              <w:rPr>
                <w:noProof/>
              </w:rPr>
            </w:pPr>
            <w:r w:rsidRPr="002F16A1">
              <w:rPr>
                <w:noProof/>
              </w:rPr>
              <w:t>Niniejsze uzasadnienie związane jest wyłącznie</w:t>
            </w:r>
            <w:r w:rsidR="0028384B" w:rsidRPr="002F16A1">
              <w:rPr>
                <w:noProof/>
              </w:rPr>
              <w:t xml:space="preserve"> z</w:t>
            </w:r>
            <w:r w:rsidR="0028384B">
              <w:rPr>
                <w:noProof/>
              </w:rPr>
              <w:t> </w:t>
            </w:r>
            <w:r w:rsidR="0028384B" w:rsidRPr="002F16A1">
              <w:rPr>
                <w:noProof/>
              </w:rPr>
              <w:t>nin</w:t>
            </w:r>
            <w:r w:rsidRPr="002F16A1">
              <w:rPr>
                <w:noProof/>
              </w:rPr>
              <w:t>iejszym wnioskiem dotyczącym rozporządzenia. Wyjaśnienia dotyczące ogólnej strategicznej wizji wzmocnienia europejskich dostaw surowców krytycznych dzięki podjęciu działań w UE</w:t>
            </w:r>
            <w:r w:rsidR="0028384B" w:rsidRPr="002F16A1">
              <w:rPr>
                <w:noProof/>
              </w:rPr>
              <w:t xml:space="preserve"> i</w:t>
            </w:r>
            <w:r w:rsidR="0028384B">
              <w:rPr>
                <w:noProof/>
              </w:rPr>
              <w:t> </w:t>
            </w:r>
            <w:r w:rsidR="0028384B" w:rsidRPr="002F16A1">
              <w:rPr>
                <w:noProof/>
              </w:rPr>
              <w:t>poz</w:t>
            </w:r>
            <w:r w:rsidRPr="002F16A1">
              <w:rPr>
                <w:noProof/>
              </w:rPr>
              <w:t>a nią przedstawiono</w:t>
            </w:r>
            <w:r w:rsidR="0028384B" w:rsidRPr="002F16A1">
              <w:rPr>
                <w:noProof/>
              </w:rPr>
              <w:t xml:space="preserve"> w</w:t>
            </w:r>
            <w:r w:rsidR="0028384B">
              <w:rPr>
                <w:noProof/>
              </w:rPr>
              <w:t> </w:t>
            </w:r>
            <w:r w:rsidR="0028384B" w:rsidRPr="002F16A1">
              <w:rPr>
                <w:noProof/>
              </w:rPr>
              <w:t>kom</w:t>
            </w:r>
            <w:r w:rsidRPr="002F16A1">
              <w:rPr>
                <w:noProof/>
              </w:rPr>
              <w:t>unikacie towarzyszącym niniejszemu wnioskowi. </w:t>
            </w:r>
          </w:p>
        </w:tc>
      </w:tr>
    </w:tbl>
    <w:p w:rsidR="00AD62E2" w:rsidRPr="002F16A1" w:rsidRDefault="00AD62E2" w:rsidP="00AD62E2">
      <w:pPr>
        <w:pStyle w:val="ManualHeading2"/>
        <w:rPr>
          <w:noProof/>
        </w:rPr>
      </w:pPr>
      <w:r w:rsidRPr="002F16A1">
        <w:rPr>
          <w:noProof/>
        </w:rPr>
        <w:t>•</w:t>
      </w:r>
      <w:r w:rsidRPr="002F16A1">
        <w:rPr>
          <w:noProof/>
        </w:rPr>
        <w:tab/>
        <w:t>Spójność</w:t>
      </w:r>
      <w:r w:rsidR="0028384B" w:rsidRPr="002F16A1">
        <w:rPr>
          <w:noProof/>
        </w:rPr>
        <w:t xml:space="preserve"> z</w:t>
      </w:r>
      <w:r w:rsidR="0028384B">
        <w:rPr>
          <w:noProof/>
        </w:rPr>
        <w:t> </w:t>
      </w:r>
      <w:r w:rsidR="0028384B" w:rsidRPr="002F16A1">
        <w:rPr>
          <w:noProof/>
        </w:rPr>
        <w:t>prz</w:t>
      </w:r>
      <w:r w:rsidRPr="002F16A1">
        <w:rPr>
          <w:noProof/>
        </w:rPr>
        <w:t>episami obowiązującymi</w:t>
      </w:r>
      <w:r w:rsidR="0028384B" w:rsidRPr="002F16A1">
        <w:rPr>
          <w:noProof/>
        </w:rPr>
        <w:t xml:space="preserve"> w</w:t>
      </w:r>
      <w:r w:rsidR="0028384B">
        <w:rPr>
          <w:noProof/>
        </w:rPr>
        <w:t> </w:t>
      </w:r>
      <w:r w:rsidR="0028384B" w:rsidRPr="002F16A1">
        <w:rPr>
          <w:noProof/>
        </w:rPr>
        <w:t>tej</w:t>
      </w:r>
      <w:r w:rsidRPr="002F16A1">
        <w:rPr>
          <w:noProof/>
        </w:rPr>
        <w:t xml:space="preserve"> dziedzinie polityki</w:t>
      </w:r>
    </w:p>
    <w:p w:rsidR="00AD62E2" w:rsidRPr="002F16A1" w:rsidRDefault="00AD62E2" w:rsidP="00AD62E2">
      <w:pPr>
        <w:rPr>
          <w:noProof/>
        </w:rPr>
      </w:pPr>
      <w:r w:rsidRPr="002F16A1">
        <w:rPr>
          <w:noProof/>
        </w:rPr>
        <w:t>Niniejszy wniosek jest spójny ze strategią przedstawioną</w:t>
      </w:r>
      <w:r w:rsidR="0028384B" w:rsidRPr="002F16A1">
        <w:rPr>
          <w:noProof/>
        </w:rPr>
        <w:t xml:space="preserve"> w</w:t>
      </w:r>
      <w:r w:rsidR="0028384B">
        <w:rPr>
          <w:noProof/>
        </w:rPr>
        <w:t> </w:t>
      </w:r>
      <w:r w:rsidR="0028384B" w:rsidRPr="002F16A1">
        <w:rPr>
          <w:noProof/>
        </w:rPr>
        <w:t>Eur</w:t>
      </w:r>
      <w:r w:rsidRPr="002F16A1">
        <w:rPr>
          <w:noProof/>
        </w:rPr>
        <w:t>opejskim Zielonym Ładzie oraz</w:t>
      </w:r>
      <w:r w:rsidR="0028384B" w:rsidRPr="002F16A1">
        <w:rPr>
          <w:noProof/>
        </w:rPr>
        <w:t xml:space="preserve"> z</w:t>
      </w:r>
      <w:r w:rsidR="0028384B">
        <w:rPr>
          <w:noProof/>
        </w:rPr>
        <w:t> </w:t>
      </w:r>
      <w:r w:rsidR="0028384B" w:rsidRPr="002F16A1">
        <w:rPr>
          <w:noProof/>
        </w:rPr>
        <w:t>Eur</w:t>
      </w:r>
      <w:r w:rsidRPr="002F16A1">
        <w:rPr>
          <w:noProof/>
        </w:rPr>
        <w:t>opejskim prawem</w:t>
      </w:r>
      <w:r w:rsidR="0028384B" w:rsidRPr="002F16A1">
        <w:rPr>
          <w:noProof/>
        </w:rPr>
        <w:t xml:space="preserve"> o</w:t>
      </w:r>
      <w:r w:rsidR="0028384B">
        <w:rPr>
          <w:noProof/>
        </w:rPr>
        <w:t> </w:t>
      </w:r>
      <w:r w:rsidR="0028384B" w:rsidRPr="002F16A1">
        <w:rPr>
          <w:noProof/>
        </w:rPr>
        <w:t>kli</w:t>
      </w:r>
      <w:r w:rsidRPr="002F16A1">
        <w:rPr>
          <w:noProof/>
        </w:rPr>
        <w:t>macie. Niniejszy wniosek ma pomóc wyposażyć UE</w:t>
      </w:r>
      <w:r w:rsidR="0028384B" w:rsidRPr="002F16A1">
        <w:rPr>
          <w:noProof/>
        </w:rPr>
        <w:t xml:space="preserve"> w</w:t>
      </w:r>
      <w:r w:rsidR="0028384B">
        <w:rPr>
          <w:noProof/>
        </w:rPr>
        <w:t> </w:t>
      </w:r>
      <w:r w:rsidR="0028384B" w:rsidRPr="002F16A1">
        <w:rPr>
          <w:noProof/>
        </w:rPr>
        <w:t>zdo</w:t>
      </w:r>
      <w:r w:rsidRPr="002F16A1">
        <w:rPr>
          <w:noProof/>
        </w:rPr>
        <w:t>lności potrzebne do osiągnięcia jej celów</w:t>
      </w:r>
      <w:r w:rsidR="0028384B" w:rsidRPr="002F16A1">
        <w:rPr>
          <w:noProof/>
        </w:rPr>
        <w:t xml:space="preserve"> w</w:t>
      </w:r>
      <w:r w:rsidR="0028384B">
        <w:rPr>
          <w:noProof/>
        </w:rPr>
        <w:t> </w:t>
      </w:r>
      <w:r w:rsidR="0028384B" w:rsidRPr="002F16A1">
        <w:rPr>
          <w:noProof/>
        </w:rPr>
        <w:t>zak</w:t>
      </w:r>
      <w:r w:rsidRPr="002F16A1">
        <w:rPr>
          <w:noProof/>
        </w:rPr>
        <w:t>resie produkcji energii ze źródeł odnawialnych, rozwoju strategicznych technologii produkcji, takich jak półprzewodniki, oraz do osiągnięcia celów</w:t>
      </w:r>
      <w:r w:rsidR="0028384B" w:rsidRPr="002F16A1">
        <w:rPr>
          <w:noProof/>
        </w:rPr>
        <w:t xml:space="preserve"> w</w:t>
      </w:r>
      <w:r w:rsidR="0028384B">
        <w:rPr>
          <w:noProof/>
        </w:rPr>
        <w:t> </w:t>
      </w:r>
      <w:r w:rsidR="0028384B" w:rsidRPr="002F16A1">
        <w:rPr>
          <w:noProof/>
        </w:rPr>
        <w:t>zak</w:t>
      </w:r>
      <w:r w:rsidRPr="002F16A1">
        <w:rPr>
          <w:noProof/>
        </w:rPr>
        <w:t>resie neutralności klimatycznej. </w:t>
      </w:r>
    </w:p>
    <w:p w:rsidR="00AD62E2" w:rsidRPr="0028384B" w:rsidRDefault="00AD62E2" w:rsidP="00AD62E2">
      <w:pPr>
        <w:rPr>
          <w:noProof/>
        </w:rPr>
      </w:pPr>
      <w:r w:rsidRPr="002F16A1">
        <w:rPr>
          <w:noProof/>
        </w:rPr>
        <w:t>Niniejszy wniosek stanowi odpowiedź na przyjętą przez Radę Europejską Deklarację wersalską</w:t>
      </w:r>
      <w:r w:rsidR="0028384B" w:rsidRPr="002F16A1">
        <w:rPr>
          <w:noProof/>
        </w:rPr>
        <w:t xml:space="preserve"> z</w:t>
      </w:r>
      <w:r w:rsidR="0028384B">
        <w:rPr>
          <w:noProof/>
        </w:rPr>
        <w:t> </w:t>
      </w:r>
      <w:r w:rsidR="0028384B" w:rsidRPr="002F16A1">
        <w:rPr>
          <w:noProof/>
        </w:rPr>
        <w:t>2</w:t>
      </w:r>
      <w:r w:rsidRPr="002F16A1">
        <w:rPr>
          <w:noProof/>
        </w:rPr>
        <w:t>0</w:t>
      </w:r>
      <w:r w:rsidRPr="0028384B">
        <w:rPr>
          <w:noProof/>
        </w:rPr>
        <w:t>22</w:t>
      </w:r>
      <w:r w:rsidR="0028384B" w:rsidRPr="0028384B">
        <w:rPr>
          <w:noProof/>
        </w:rPr>
        <w:t> </w:t>
      </w:r>
      <w:r w:rsidRPr="0028384B">
        <w:rPr>
          <w:noProof/>
        </w:rPr>
        <w:t>r.</w:t>
      </w:r>
      <w:r w:rsidRPr="002F16A1">
        <w:rPr>
          <w:noProof/>
        </w:rPr>
        <w:t>,</w:t>
      </w:r>
      <w:r w:rsidR="0028384B" w:rsidRPr="002F16A1">
        <w:rPr>
          <w:noProof/>
        </w:rPr>
        <w:t xml:space="preserve"> w</w:t>
      </w:r>
      <w:r w:rsidR="0028384B">
        <w:rPr>
          <w:noProof/>
        </w:rPr>
        <w:t> </w:t>
      </w:r>
      <w:r w:rsidR="0028384B" w:rsidRPr="002F16A1">
        <w:rPr>
          <w:noProof/>
        </w:rPr>
        <w:t>któ</w:t>
      </w:r>
      <w:r w:rsidRPr="002F16A1">
        <w:rPr>
          <w:noProof/>
        </w:rPr>
        <w:t>rej podkreślono strategiczne znaczenie surowców krytycznych dla zagwarantowania otwartej strategicznej autonomii UE</w:t>
      </w:r>
      <w:r w:rsidR="0028384B" w:rsidRPr="002F16A1">
        <w:rPr>
          <w:noProof/>
        </w:rPr>
        <w:t xml:space="preserve"> i</w:t>
      </w:r>
      <w:r w:rsidR="0028384B">
        <w:rPr>
          <w:noProof/>
        </w:rPr>
        <w:t> </w:t>
      </w:r>
      <w:r w:rsidR="0028384B" w:rsidRPr="002F16A1">
        <w:rPr>
          <w:noProof/>
        </w:rPr>
        <w:t>suw</w:t>
      </w:r>
      <w:r w:rsidRPr="002F16A1">
        <w:rPr>
          <w:noProof/>
        </w:rPr>
        <w:t>erenności europejskiej. Jest on także spójny</w:t>
      </w:r>
      <w:r w:rsidR="0028384B" w:rsidRPr="002F16A1">
        <w:rPr>
          <w:noProof/>
        </w:rPr>
        <w:t xml:space="preserve"> z</w:t>
      </w:r>
      <w:r w:rsidR="0028384B">
        <w:rPr>
          <w:noProof/>
        </w:rPr>
        <w:t> </w:t>
      </w:r>
      <w:r w:rsidR="0028384B" w:rsidRPr="002F16A1">
        <w:rPr>
          <w:noProof/>
        </w:rPr>
        <w:t>rez</w:t>
      </w:r>
      <w:r w:rsidRPr="002F16A1">
        <w:rPr>
          <w:noProof/>
        </w:rPr>
        <w:t>olucją Parlamentu Europejskiego</w:t>
      </w:r>
      <w:r w:rsidR="0028384B" w:rsidRPr="002F16A1">
        <w:rPr>
          <w:noProof/>
        </w:rPr>
        <w:t xml:space="preserve"> z</w:t>
      </w:r>
      <w:r w:rsidR="0028384B">
        <w:rPr>
          <w:noProof/>
        </w:rPr>
        <w:t> </w:t>
      </w:r>
      <w:r w:rsidR="0028384B" w:rsidRPr="002F16A1">
        <w:rPr>
          <w:noProof/>
        </w:rPr>
        <w:t>lis</w:t>
      </w:r>
      <w:r w:rsidRPr="002F16A1">
        <w:rPr>
          <w:noProof/>
        </w:rPr>
        <w:t>topada 20</w:t>
      </w:r>
      <w:r w:rsidRPr="0028384B">
        <w:rPr>
          <w:noProof/>
        </w:rPr>
        <w:t>21</w:t>
      </w:r>
      <w:r w:rsidR="0028384B" w:rsidRPr="0028384B">
        <w:rPr>
          <w:noProof/>
        </w:rPr>
        <w:t> </w:t>
      </w:r>
      <w:r w:rsidRPr="0028384B">
        <w:rPr>
          <w:noProof/>
        </w:rPr>
        <w:t>r.</w:t>
      </w:r>
      <w:r w:rsidR="0028384B" w:rsidRPr="002F16A1">
        <w:rPr>
          <w:noProof/>
        </w:rPr>
        <w:t xml:space="preserve"> w</w:t>
      </w:r>
      <w:r w:rsidR="0028384B">
        <w:rPr>
          <w:noProof/>
        </w:rPr>
        <w:t> </w:t>
      </w:r>
      <w:r w:rsidR="0028384B" w:rsidRPr="002F16A1">
        <w:rPr>
          <w:noProof/>
        </w:rPr>
        <w:t>spr</w:t>
      </w:r>
      <w:r w:rsidRPr="002F16A1">
        <w:rPr>
          <w:noProof/>
        </w:rPr>
        <w:t>awie strategii UE na rzecz surowców krytycznych oraz</w:t>
      </w:r>
      <w:r w:rsidR="0028384B" w:rsidRPr="002F16A1">
        <w:rPr>
          <w:noProof/>
        </w:rPr>
        <w:t xml:space="preserve"> z</w:t>
      </w:r>
      <w:r w:rsidR="0028384B">
        <w:rPr>
          <w:noProof/>
        </w:rPr>
        <w:t> </w:t>
      </w:r>
      <w:r w:rsidR="0028384B" w:rsidRPr="002F16A1">
        <w:rPr>
          <w:noProof/>
        </w:rPr>
        <w:t>wni</w:t>
      </w:r>
      <w:r w:rsidRPr="002F16A1">
        <w:rPr>
          <w:noProof/>
        </w:rPr>
        <w:t>oskami</w:t>
      </w:r>
      <w:r w:rsidR="0028384B" w:rsidRPr="002F16A1">
        <w:rPr>
          <w:noProof/>
        </w:rPr>
        <w:t xml:space="preserve"> z</w:t>
      </w:r>
      <w:r w:rsidR="0028384B">
        <w:rPr>
          <w:noProof/>
        </w:rPr>
        <w:t> </w:t>
      </w:r>
      <w:r w:rsidR="0028384B" w:rsidRPr="002F16A1">
        <w:rPr>
          <w:noProof/>
        </w:rPr>
        <w:t>Kon</w:t>
      </w:r>
      <w:r w:rsidRPr="002F16A1">
        <w:rPr>
          <w:noProof/>
        </w:rPr>
        <w:t>ferencji</w:t>
      </w:r>
      <w:r w:rsidR="0028384B" w:rsidRPr="002F16A1">
        <w:rPr>
          <w:noProof/>
        </w:rPr>
        <w:t xml:space="preserve"> w</w:t>
      </w:r>
      <w:r w:rsidR="0028384B">
        <w:rPr>
          <w:noProof/>
        </w:rPr>
        <w:t> </w:t>
      </w:r>
      <w:r w:rsidR="0028384B" w:rsidRPr="002F16A1">
        <w:rPr>
          <w:noProof/>
        </w:rPr>
        <w:t>spr</w:t>
      </w:r>
      <w:r w:rsidRPr="002F16A1">
        <w:rPr>
          <w:noProof/>
        </w:rPr>
        <w:t>awie przyszłości Europy. Wreszcie, niniejsze rozporządzenie służy realizacji zobowiązania do zmniejszenia zależności UE od surowców krytycznych, które przewodnicząca Ursula von der Leyen podjęła</w:t>
      </w:r>
      <w:r w:rsidR="0028384B" w:rsidRPr="002F16A1">
        <w:rPr>
          <w:noProof/>
        </w:rPr>
        <w:t xml:space="preserve"> w</w:t>
      </w:r>
      <w:r w:rsidR="0028384B">
        <w:rPr>
          <w:noProof/>
        </w:rPr>
        <w:t> </w:t>
      </w:r>
      <w:r w:rsidR="0028384B" w:rsidRPr="002F16A1">
        <w:rPr>
          <w:noProof/>
        </w:rPr>
        <w:t>swo</w:t>
      </w:r>
      <w:r w:rsidRPr="002F16A1">
        <w:rPr>
          <w:noProof/>
        </w:rPr>
        <w:t>im orędziu</w:t>
      </w:r>
      <w:r w:rsidR="0028384B" w:rsidRPr="002F16A1">
        <w:rPr>
          <w:noProof/>
        </w:rPr>
        <w:t xml:space="preserve"> o</w:t>
      </w:r>
      <w:r w:rsidR="0028384B">
        <w:rPr>
          <w:noProof/>
        </w:rPr>
        <w:t> </w:t>
      </w:r>
      <w:r w:rsidR="0028384B" w:rsidRPr="002F16A1">
        <w:rPr>
          <w:noProof/>
        </w:rPr>
        <w:t>sta</w:t>
      </w:r>
      <w:r w:rsidRPr="002F16A1">
        <w:rPr>
          <w:noProof/>
        </w:rPr>
        <w:t>nie Unii</w:t>
      </w:r>
      <w:r w:rsidR="0028384B" w:rsidRPr="002F16A1">
        <w:rPr>
          <w:noProof/>
        </w:rPr>
        <w:t xml:space="preserve"> z</w:t>
      </w:r>
      <w:r w:rsidR="0028384B">
        <w:rPr>
          <w:noProof/>
        </w:rPr>
        <w:t> </w:t>
      </w:r>
      <w:r w:rsidR="0028384B" w:rsidRPr="002F16A1">
        <w:rPr>
          <w:noProof/>
        </w:rPr>
        <w:t>2</w:t>
      </w:r>
      <w:r w:rsidRPr="002F16A1">
        <w:rPr>
          <w:noProof/>
        </w:rPr>
        <w:t>0</w:t>
      </w:r>
      <w:r w:rsidRPr="0028384B">
        <w:rPr>
          <w:noProof/>
        </w:rPr>
        <w:t>22</w:t>
      </w:r>
      <w:r w:rsidR="0028384B" w:rsidRPr="0028384B">
        <w:rPr>
          <w:noProof/>
        </w:rPr>
        <w:t> </w:t>
      </w:r>
      <w:r w:rsidRPr="0028384B">
        <w:rPr>
          <w:noProof/>
        </w:rPr>
        <w:t>r.</w:t>
      </w:r>
      <w:r w:rsidRPr="002F16A1">
        <w:rPr>
          <w:noProof/>
        </w:rPr>
        <w:t xml:space="preserve"> Cel ten można osiągnąć dzięki dywersyfikacji</w:t>
      </w:r>
      <w:r w:rsidR="0028384B" w:rsidRPr="002F16A1">
        <w:rPr>
          <w:noProof/>
        </w:rPr>
        <w:t xml:space="preserve"> i</w:t>
      </w:r>
      <w:r w:rsidR="0028384B">
        <w:rPr>
          <w:noProof/>
        </w:rPr>
        <w:t> </w:t>
      </w:r>
      <w:r w:rsidR="0028384B" w:rsidRPr="002F16A1">
        <w:rPr>
          <w:noProof/>
        </w:rPr>
        <w:t>zap</w:t>
      </w:r>
      <w:r w:rsidRPr="002F16A1">
        <w:rPr>
          <w:noProof/>
        </w:rPr>
        <w:t>ewnieniu zrównoważonych krajowych dostaw surowców krytycznych poprzez określenie projektów strategicznych</w:t>
      </w:r>
      <w:r w:rsidR="0028384B" w:rsidRPr="002F16A1">
        <w:rPr>
          <w:noProof/>
        </w:rPr>
        <w:t xml:space="preserve"> w</w:t>
      </w:r>
      <w:r w:rsidR="0028384B">
        <w:rPr>
          <w:noProof/>
        </w:rPr>
        <w:t> </w:t>
      </w:r>
      <w:r w:rsidR="0028384B" w:rsidRPr="002F16A1">
        <w:rPr>
          <w:noProof/>
        </w:rPr>
        <w:t>cał</w:t>
      </w:r>
      <w:r w:rsidRPr="002F16A1">
        <w:rPr>
          <w:noProof/>
        </w:rPr>
        <w:t>ym łańcuchu dostaw oraz tworzenie rezerw strategicznych. Zanim zapowiedziano akt</w:t>
      </w:r>
      <w:r w:rsidR="0028384B" w:rsidRPr="002F16A1">
        <w:rPr>
          <w:noProof/>
        </w:rPr>
        <w:t xml:space="preserve"> w</w:t>
      </w:r>
      <w:r w:rsidR="0028384B">
        <w:rPr>
          <w:noProof/>
        </w:rPr>
        <w:t> </w:t>
      </w:r>
      <w:r w:rsidR="0028384B" w:rsidRPr="002F16A1">
        <w:rPr>
          <w:noProof/>
        </w:rPr>
        <w:t>spr</w:t>
      </w:r>
      <w:r w:rsidRPr="002F16A1">
        <w:rPr>
          <w:noProof/>
        </w:rPr>
        <w:t>awie surowców krytycznych,</w:t>
      </w:r>
      <w:r w:rsidR="0028384B" w:rsidRPr="002F16A1">
        <w:rPr>
          <w:noProof/>
        </w:rPr>
        <w:t xml:space="preserve"> w</w:t>
      </w:r>
      <w:r w:rsidR="0028384B">
        <w:rPr>
          <w:noProof/>
        </w:rPr>
        <w:t> </w:t>
      </w:r>
      <w:r w:rsidR="0028384B" w:rsidRPr="002F16A1">
        <w:rPr>
          <w:noProof/>
        </w:rPr>
        <w:t>pla</w:t>
      </w:r>
      <w:r w:rsidRPr="002F16A1">
        <w:rPr>
          <w:noProof/>
        </w:rPr>
        <w:t>nie REPowerEU oraz we wspólnym komunikacie</w:t>
      </w:r>
      <w:r w:rsidR="0028384B" w:rsidRPr="002F16A1">
        <w:rPr>
          <w:noProof/>
        </w:rPr>
        <w:t xml:space="preserve"> w</w:t>
      </w:r>
      <w:r w:rsidR="0028384B">
        <w:rPr>
          <w:noProof/>
        </w:rPr>
        <w:t> </w:t>
      </w:r>
      <w:r w:rsidR="0028384B" w:rsidRPr="002F16A1">
        <w:rPr>
          <w:noProof/>
        </w:rPr>
        <w:t>spr</w:t>
      </w:r>
      <w:r w:rsidRPr="002F16A1">
        <w:rPr>
          <w:noProof/>
        </w:rPr>
        <w:t>awie analizy luk inwestycyjnych</w:t>
      </w:r>
      <w:r w:rsidR="0028384B" w:rsidRPr="002F16A1">
        <w:rPr>
          <w:noProof/>
        </w:rPr>
        <w:t xml:space="preserve"> w</w:t>
      </w:r>
      <w:r w:rsidR="0028384B">
        <w:rPr>
          <w:noProof/>
        </w:rPr>
        <w:t> </w:t>
      </w:r>
      <w:r w:rsidR="0028384B" w:rsidRPr="002F16A1">
        <w:rPr>
          <w:noProof/>
        </w:rPr>
        <w:t>zak</w:t>
      </w:r>
      <w:r w:rsidRPr="002F16A1">
        <w:rPr>
          <w:noProof/>
        </w:rPr>
        <w:t>resie obronności</w:t>
      </w:r>
      <w:r w:rsidR="0028384B" w:rsidRPr="002F16A1">
        <w:rPr>
          <w:noProof/>
        </w:rPr>
        <w:t xml:space="preserve"> i</w:t>
      </w:r>
      <w:r w:rsidR="0028384B">
        <w:rPr>
          <w:noProof/>
        </w:rPr>
        <w:t> </w:t>
      </w:r>
      <w:r w:rsidR="0028384B" w:rsidRPr="002F16A1">
        <w:rPr>
          <w:noProof/>
        </w:rPr>
        <w:t>dal</w:t>
      </w:r>
      <w:r w:rsidRPr="002F16A1">
        <w:rPr>
          <w:noProof/>
        </w:rPr>
        <w:t>szych działań zapowiedziano</w:t>
      </w:r>
      <w:r w:rsidR="0028384B" w:rsidRPr="002F16A1">
        <w:rPr>
          <w:noProof/>
        </w:rPr>
        <w:t xml:space="preserve"> w</w:t>
      </w:r>
      <w:r w:rsidR="0028384B">
        <w:rPr>
          <w:noProof/>
        </w:rPr>
        <w:t> </w:t>
      </w:r>
      <w:r w:rsidR="0028384B" w:rsidRPr="002F16A1">
        <w:rPr>
          <w:noProof/>
        </w:rPr>
        <w:t>maj</w:t>
      </w:r>
      <w:r w:rsidRPr="002F16A1">
        <w:rPr>
          <w:noProof/>
        </w:rPr>
        <w:t>u 20</w:t>
      </w:r>
      <w:r w:rsidRPr="0028384B">
        <w:rPr>
          <w:noProof/>
        </w:rPr>
        <w:t>22</w:t>
      </w:r>
      <w:r w:rsidR="0028384B" w:rsidRPr="0028384B">
        <w:rPr>
          <w:noProof/>
        </w:rPr>
        <w:t> </w:t>
      </w:r>
      <w:r w:rsidRPr="0028384B">
        <w:rPr>
          <w:noProof/>
        </w:rPr>
        <w:t>r.</w:t>
      </w:r>
      <w:r w:rsidRPr="002F16A1">
        <w:rPr>
          <w:noProof/>
        </w:rPr>
        <w:t xml:space="preserve"> wniosek ustawodawczy</w:t>
      </w:r>
      <w:r w:rsidR="0028384B" w:rsidRPr="002F16A1">
        <w:rPr>
          <w:noProof/>
        </w:rPr>
        <w:t xml:space="preserve"> w</w:t>
      </w:r>
      <w:r w:rsidR="0028384B">
        <w:rPr>
          <w:noProof/>
        </w:rPr>
        <w:t> </w:t>
      </w:r>
      <w:r w:rsidR="0028384B" w:rsidRPr="002F16A1">
        <w:rPr>
          <w:noProof/>
        </w:rPr>
        <w:t>spr</w:t>
      </w:r>
      <w:r w:rsidRPr="002F16A1">
        <w:rPr>
          <w:noProof/>
        </w:rPr>
        <w:t>awie surowców krytycznych</w:t>
      </w:r>
      <w:r w:rsidRPr="0028384B">
        <w:rPr>
          <w:noProof/>
        </w:rPr>
        <w:t>.</w:t>
      </w:r>
      <w:r w:rsidR="0028384B" w:rsidRPr="0028384B">
        <w:rPr>
          <w:noProof/>
        </w:rPr>
        <w:t xml:space="preserve"> </w:t>
      </w:r>
    </w:p>
    <w:p w:rsidR="00AD62E2" w:rsidRPr="002F16A1" w:rsidRDefault="00AD62E2" w:rsidP="00AD62E2">
      <w:pPr>
        <w:rPr>
          <w:noProof/>
        </w:rPr>
      </w:pPr>
      <w:r w:rsidRPr="002F16A1">
        <w:rPr>
          <w:noProof/>
        </w:rPr>
        <w:t>Podczas gdy</w:t>
      </w:r>
      <w:r w:rsidR="0028384B" w:rsidRPr="002F16A1">
        <w:rPr>
          <w:noProof/>
        </w:rPr>
        <w:t xml:space="preserve"> w</w:t>
      </w:r>
      <w:r w:rsidR="0028384B">
        <w:rPr>
          <w:noProof/>
        </w:rPr>
        <w:t> </w:t>
      </w:r>
      <w:r w:rsidR="0028384B" w:rsidRPr="002F16A1">
        <w:rPr>
          <w:noProof/>
        </w:rPr>
        <w:t>nin</w:t>
      </w:r>
      <w:r w:rsidRPr="002F16A1">
        <w:rPr>
          <w:noProof/>
        </w:rPr>
        <w:t>iejszym wniosku skoncentrowano się na budowaniu zdolności UE do dostarczania surowców krytycznych,</w:t>
      </w:r>
      <w:r w:rsidR="0028384B" w:rsidRPr="002F16A1">
        <w:rPr>
          <w:noProof/>
        </w:rPr>
        <w:t xml:space="preserve"> w</w:t>
      </w:r>
      <w:r w:rsidR="0028384B">
        <w:rPr>
          <w:noProof/>
        </w:rPr>
        <w:t> </w:t>
      </w:r>
      <w:r w:rsidR="0028384B" w:rsidRPr="002F16A1">
        <w:rPr>
          <w:noProof/>
        </w:rPr>
        <w:t>kom</w:t>
      </w:r>
      <w:r w:rsidRPr="002F16A1">
        <w:rPr>
          <w:noProof/>
        </w:rPr>
        <w:t>unikacie towarzyszącym niniejszemu wnioskowi przedstawiono objaśnienia podstawowej strategii zabezpieczenia dostaw dla sektora surowców krytycznych, która obejmuje środki nieregulacyjne mające na celu dywersyfikację dostaw zewnętrznych spoza UE,</w:t>
      </w:r>
      <w:r w:rsidR="0028384B" w:rsidRPr="002F16A1">
        <w:rPr>
          <w:noProof/>
        </w:rPr>
        <w:t xml:space="preserve"> a</w:t>
      </w:r>
      <w:r w:rsidR="0028384B">
        <w:rPr>
          <w:noProof/>
        </w:rPr>
        <w:t> </w:t>
      </w:r>
      <w:r w:rsidR="0028384B" w:rsidRPr="002F16A1">
        <w:rPr>
          <w:noProof/>
        </w:rPr>
        <w:t>tak</w:t>
      </w:r>
      <w:r w:rsidRPr="002F16A1">
        <w:rPr>
          <w:noProof/>
        </w:rPr>
        <w:t>że pobudzenie badań naukowych</w:t>
      </w:r>
      <w:r w:rsidR="0028384B" w:rsidRPr="002F16A1">
        <w:rPr>
          <w:noProof/>
        </w:rPr>
        <w:t xml:space="preserve"> i</w:t>
      </w:r>
      <w:r w:rsidR="0028384B">
        <w:rPr>
          <w:noProof/>
        </w:rPr>
        <w:t> </w:t>
      </w:r>
      <w:r w:rsidR="0028384B" w:rsidRPr="002F16A1">
        <w:rPr>
          <w:noProof/>
        </w:rPr>
        <w:t>inn</w:t>
      </w:r>
      <w:r w:rsidRPr="002F16A1">
        <w:rPr>
          <w:noProof/>
        </w:rPr>
        <w:t>owacji oraz zwiększenie umiejętności. Do projektu rozporządzenia dołączono wyniki przeprowadzonej przez Komisję oceny krytyczności, odpowiednie zestawienia surowców krytycznych</w:t>
      </w:r>
      <w:r w:rsidR="0028384B" w:rsidRPr="002F16A1">
        <w:rPr>
          <w:noProof/>
        </w:rPr>
        <w:t xml:space="preserve"> i</w:t>
      </w:r>
      <w:r w:rsidR="0028384B">
        <w:rPr>
          <w:noProof/>
        </w:rPr>
        <w:t> </w:t>
      </w:r>
      <w:r w:rsidR="0028384B" w:rsidRPr="002F16A1">
        <w:rPr>
          <w:noProof/>
        </w:rPr>
        <w:t>str</w:t>
      </w:r>
      <w:r w:rsidRPr="002F16A1">
        <w:rPr>
          <w:noProof/>
        </w:rPr>
        <w:t>ategicznych (zob. szczegółowe wyjaśnienie na s. 15), których dotyczy niniejszy wniosek, oraz najnowszą prognozę. Niniejszy wniosek został przedstawiony wraz</w:t>
      </w:r>
      <w:r w:rsidR="0028384B" w:rsidRPr="002F16A1">
        <w:rPr>
          <w:noProof/>
        </w:rPr>
        <w:t xml:space="preserve"> z</w:t>
      </w:r>
      <w:r w:rsidR="0028384B">
        <w:rPr>
          <w:noProof/>
        </w:rPr>
        <w:t> </w:t>
      </w:r>
      <w:r w:rsidR="0028384B" w:rsidRPr="002F16A1">
        <w:rPr>
          <w:noProof/>
        </w:rPr>
        <w:t>akt</w:t>
      </w:r>
      <w:r w:rsidRPr="002F16A1">
        <w:rPr>
          <w:noProof/>
        </w:rPr>
        <w:t>em</w:t>
      </w:r>
      <w:r w:rsidR="0028384B" w:rsidRPr="002F16A1">
        <w:rPr>
          <w:noProof/>
        </w:rPr>
        <w:t xml:space="preserve"> w</w:t>
      </w:r>
      <w:r w:rsidR="0028384B">
        <w:rPr>
          <w:noProof/>
        </w:rPr>
        <w:t> </w:t>
      </w:r>
      <w:r w:rsidR="0028384B" w:rsidRPr="002F16A1">
        <w:rPr>
          <w:noProof/>
        </w:rPr>
        <w:t>spr</w:t>
      </w:r>
      <w:r w:rsidRPr="002F16A1">
        <w:rPr>
          <w:noProof/>
        </w:rPr>
        <w:t>awie przemysłu neutralnego emisyjnie, który – jak ogłoszono</w:t>
      </w:r>
      <w:r w:rsidR="0028384B" w:rsidRPr="002F16A1">
        <w:rPr>
          <w:noProof/>
        </w:rPr>
        <w:t xml:space="preserve"> w</w:t>
      </w:r>
      <w:r w:rsidR="0028384B">
        <w:rPr>
          <w:noProof/>
        </w:rPr>
        <w:t> </w:t>
      </w:r>
      <w:r w:rsidR="0028384B" w:rsidRPr="002F16A1">
        <w:rPr>
          <w:noProof/>
        </w:rPr>
        <w:t>kom</w:t>
      </w:r>
      <w:r w:rsidRPr="002F16A1">
        <w:rPr>
          <w:noProof/>
        </w:rPr>
        <w:t>unikacie pt. „Plan przemysłowy Zielonego Ładu na miarę epoki neutralności emisyjnej” – będzie stanowił wsparcie przemysłowej produkcji kluczowych technologii w UE. </w:t>
      </w:r>
    </w:p>
    <w:p w:rsidR="00AD62E2" w:rsidRPr="002F16A1" w:rsidRDefault="00AD62E2" w:rsidP="00AD62E2">
      <w:pPr>
        <w:rPr>
          <w:noProof/>
        </w:rPr>
      </w:pPr>
      <w:r w:rsidRPr="002F16A1">
        <w:rPr>
          <w:noProof/>
        </w:rPr>
        <w:t>Niniejszy wniosek jest spójny</w:t>
      </w:r>
      <w:r w:rsidR="0028384B" w:rsidRPr="002F16A1">
        <w:rPr>
          <w:noProof/>
        </w:rPr>
        <w:t xml:space="preserve"> z</w:t>
      </w:r>
      <w:r w:rsidR="0028384B">
        <w:rPr>
          <w:noProof/>
        </w:rPr>
        <w:t> </w:t>
      </w:r>
      <w:r w:rsidR="0028384B" w:rsidRPr="002F16A1">
        <w:rPr>
          <w:noProof/>
        </w:rPr>
        <w:t>kom</w:t>
      </w:r>
      <w:r w:rsidRPr="002F16A1">
        <w:rPr>
          <w:noProof/>
        </w:rPr>
        <w:t>unikatem Komisji</w:t>
      </w:r>
      <w:r w:rsidR="0028384B" w:rsidRPr="002F16A1">
        <w:rPr>
          <w:noProof/>
        </w:rPr>
        <w:t xml:space="preserve"> z</w:t>
      </w:r>
      <w:r w:rsidR="0028384B">
        <w:rPr>
          <w:noProof/>
        </w:rPr>
        <w:t> </w:t>
      </w:r>
      <w:r w:rsidR="0028384B" w:rsidRPr="002F16A1">
        <w:rPr>
          <w:noProof/>
        </w:rPr>
        <w:t>maj</w:t>
      </w:r>
      <w:r w:rsidRPr="002F16A1">
        <w:rPr>
          <w:noProof/>
        </w:rPr>
        <w:t>a 20</w:t>
      </w:r>
      <w:r w:rsidRPr="0028384B">
        <w:rPr>
          <w:noProof/>
        </w:rPr>
        <w:t>21</w:t>
      </w:r>
      <w:r w:rsidR="0028384B" w:rsidRPr="0028384B">
        <w:rPr>
          <w:noProof/>
        </w:rPr>
        <w:t> </w:t>
      </w:r>
      <w:r w:rsidRPr="0028384B">
        <w:rPr>
          <w:noProof/>
        </w:rPr>
        <w:t>r.</w:t>
      </w:r>
      <w:r w:rsidRPr="002F16A1">
        <w:rPr>
          <w:noProof/>
        </w:rPr>
        <w:t xml:space="preserve"> zawierającym aktualizację strategii przemysłowej UE</w:t>
      </w:r>
      <w:r w:rsidR="0028384B" w:rsidRPr="002F16A1">
        <w:rPr>
          <w:noProof/>
        </w:rPr>
        <w:t xml:space="preserve"> z</w:t>
      </w:r>
      <w:r w:rsidR="0028384B">
        <w:rPr>
          <w:noProof/>
        </w:rPr>
        <w:t> </w:t>
      </w:r>
      <w:r w:rsidR="0028384B" w:rsidRPr="002F16A1">
        <w:rPr>
          <w:noProof/>
        </w:rPr>
        <w:t>2</w:t>
      </w:r>
      <w:r w:rsidRPr="002F16A1">
        <w:rPr>
          <w:noProof/>
        </w:rPr>
        <w:t>0</w:t>
      </w:r>
      <w:r w:rsidRPr="0028384B">
        <w:rPr>
          <w:noProof/>
        </w:rPr>
        <w:t>20</w:t>
      </w:r>
      <w:r w:rsidR="0028384B" w:rsidRPr="0028384B">
        <w:rPr>
          <w:noProof/>
        </w:rPr>
        <w:t> </w:t>
      </w:r>
      <w:r w:rsidRPr="0028384B">
        <w:rPr>
          <w:noProof/>
        </w:rPr>
        <w:t>r.</w:t>
      </w:r>
      <w:r w:rsidRPr="002F16A1">
        <w:rPr>
          <w:noProof/>
        </w:rPr>
        <w:t>,</w:t>
      </w:r>
      <w:r w:rsidR="0028384B" w:rsidRPr="002F16A1">
        <w:rPr>
          <w:noProof/>
        </w:rPr>
        <w:t xml:space="preserve"> w</w:t>
      </w:r>
      <w:r w:rsidR="0028384B">
        <w:rPr>
          <w:noProof/>
        </w:rPr>
        <w:t> </w:t>
      </w:r>
      <w:r w:rsidR="0028384B" w:rsidRPr="002F16A1">
        <w:rPr>
          <w:noProof/>
        </w:rPr>
        <w:t>któ</w:t>
      </w:r>
      <w:r w:rsidRPr="002F16A1">
        <w:rPr>
          <w:noProof/>
        </w:rPr>
        <w:t>rym określono obszary strategicznych zależności, które mogą prowadzić do podatności na zagrożenia. Dwa kolejne szczegółowe przeglądy zawierały dalszą analizę źródeł strategicznych zależności – pierwszy</w:t>
      </w:r>
      <w:r w:rsidR="0028384B" w:rsidRPr="002F16A1">
        <w:rPr>
          <w:noProof/>
        </w:rPr>
        <w:t xml:space="preserve"> z</w:t>
      </w:r>
      <w:r w:rsidR="0028384B">
        <w:rPr>
          <w:noProof/>
        </w:rPr>
        <w:t> </w:t>
      </w:r>
      <w:r w:rsidR="0028384B" w:rsidRPr="002F16A1">
        <w:rPr>
          <w:noProof/>
        </w:rPr>
        <w:t>nic</w:t>
      </w:r>
      <w:r w:rsidRPr="002F16A1">
        <w:rPr>
          <w:noProof/>
        </w:rPr>
        <w:t>h dotyczył (między innymi) surowców krytycznych</w:t>
      </w:r>
      <w:r w:rsidR="0028384B" w:rsidRPr="002F16A1">
        <w:rPr>
          <w:noProof/>
        </w:rPr>
        <w:t xml:space="preserve"> w</w:t>
      </w:r>
      <w:r w:rsidR="0028384B">
        <w:rPr>
          <w:noProof/>
        </w:rPr>
        <w:t> </w:t>
      </w:r>
      <w:r w:rsidR="0028384B" w:rsidRPr="002F16A1">
        <w:rPr>
          <w:noProof/>
        </w:rPr>
        <w:t>uję</w:t>
      </w:r>
      <w:r w:rsidRPr="002F16A1">
        <w:rPr>
          <w:noProof/>
        </w:rPr>
        <w:t>ciu ogólnym,</w:t>
      </w:r>
      <w:r w:rsidR="0028384B" w:rsidRPr="002F16A1">
        <w:rPr>
          <w:noProof/>
        </w:rPr>
        <w:t xml:space="preserve"> a</w:t>
      </w:r>
      <w:r w:rsidR="0028384B">
        <w:rPr>
          <w:noProof/>
        </w:rPr>
        <w:t> </w:t>
      </w:r>
      <w:r w:rsidR="0028384B" w:rsidRPr="002F16A1">
        <w:rPr>
          <w:noProof/>
        </w:rPr>
        <w:t>dru</w:t>
      </w:r>
      <w:r w:rsidRPr="002F16A1">
        <w:rPr>
          <w:noProof/>
        </w:rPr>
        <w:t>gi – metali ziem rzadkich</w:t>
      </w:r>
      <w:r w:rsidR="0028384B" w:rsidRPr="002F16A1">
        <w:rPr>
          <w:noProof/>
        </w:rPr>
        <w:t xml:space="preserve"> i</w:t>
      </w:r>
      <w:r w:rsidR="0028384B">
        <w:rPr>
          <w:noProof/>
        </w:rPr>
        <w:t> </w:t>
      </w:r>
      <w:r w:rsidR="0028384B" w:rsidRPr="002F16A1">
        <w:rPr>
          <w:noProof/>
        </w:rPr>
        <w:t>mag</w:t>
      </w:r>
      <w:r w:rsidRPr="002F16A1">
        <w:rPr>
          <w:noProof/>
        </w:rPr>
        <w:t>nezu. </w:t>
      </w:r>
    </w:p>
    <w:p w:rsidR="00AD62E2" w:rsidRPr="002F16A1" w:rsidRDefault="00AD62E2" w:rsidP="00AD62E2">
      <w:pPr>
        <w:rPr>
          <w:noProof/>
        </w:rPr>
      </w:pPr>
      <w:r w:rsidRPr="002F16A1">
        <w:rPr>
          <w:noProof/>
        </w:rPr>
        <w:t>Mimo że przed niniejszym rozporządzeniem nie istniały żadne ramy regulacyjne mające na celu zabezpieczenie dostaw surowców krytycznych, niniejszy wniosek jest spójny</w:t>
      </w:r>
      <w:r w:rsidR="0028384B" w:rsidRPr="002F16A1">
        <w:rPr>
          <w:noProof/>
        </w:rPr>
        <w:t xml:space="preserve"> z</w:t>
      </w:r>
      <w:r w:rsidR="0028384B">
        <w:rPr>
          <w:noProof/>
        </w:rPr>
        <w:t> </w:t>
      </w:r>
      <w:r w:rsidR="0028384B" w:rsidRPr="002F16A1">
        <w:rPr>
          <w:noProof/>
        </w:rPr>
        <w:t>wcz</w:t>
      </w:r>
      <w:r w:rsidRPr="002F16A1">
        <w:rPr>
          <w:noProof/>
        </w:rPr>
        <w:t xml:space="preserve">eśniejszymi europejskimi strategiami dotyczącymi surowców krytycznych. Po pierwsze, niniejsze rozporządzenie opiera się na ocenie krytyczności, aktualizowanej </w:t>
      </w:r>
      <w:r w:rsidRPr="0028384B">
        <w:rPr>
          <w:noProof/>
        </w:rPr>
        <w:t>co</w:t>
      </w:r>
      <w:r w:rsidR="0028384B" w:rsidRPr="0028384B">
        <w:rPr>
          <w:noProof/>
        </w:rPr>
        <w:t> </w:t>
      </w:r>
      <w:r w:rsidRPr="0028384B">
        <w:rPr>
          <w:noProof/>
        </w:rPr>
        <w:t>3</w:t>
      </w:r>
      <w:r w:rsidRPr="002F16A1">
        <w:rPr>
          <w:noProof/>
        </w:rPr>
        <w:t xml:space="preserve"> lata, począwszy od inicjatywy</w:t>
      </w:r>
      <w:r w:rsidR="0028384B" w:rsidRPr="002F16A1">
        <w:rPr>
          <w:noProof/>
        </w:rPr>
        <w:t xml:space="preserve"> z</w:t>
      </w:r>
      <w:r w:rsidR="0028384B">
        <w:rPr>
          <w:noProof/>
        </w:rPr>
        <w:t> </w:t>
      </w:r>
      <w:r w:rsidR="0028384B" w:rsidRPr="002F16A1">
        <w:rPr>
          <w:noProof/>
        </w:rPr>
        <w:t>2</w:t>
      </w:r>
      <w:r w:rsidRPr="002F16A1">
        <w:rPr>
          <w:noProof/>
        </w:rPr>
        <w:t>0</w:t>
      </w:r>
      <w:r w:rsidRPr="0028384B">
        <w:rPr>
          <w:noProof/>
        </w:rPr>
        <w:t>08</w:t>
      </w:r>
      <w:r w:rsidR="0028384B" w:rsidRPr="0028384B">
        <w:rPr>
          <w:noProof/>
        </w:rPr>
        <w:t> </w:t>
      </w:r>
      <w:r w:rsidRPr="0028384B">
        <w:rPr>
          <w:noProof/>
        </w:rPr>
        <w:t>r.</w:t>
      </w:r>
      <w:r w:rsidRPr="002F16A1">
        <w:rPr>
          <w:noProof/>
        </w:rPr>
        <w:t>, która zawiera informacje na temat surowców krytycznych</w:t>
      </w:r>
      <w:r w:rsidR="0028384B" w:rsidRPr="002F16A1">
        <w:rPr>
          <w:noProof/>
        </w:rPr>
        <w:t xml:space="preserve"> i</w:t>
      </w:r>
      <w:r w:rsidR="0028384B">
        <w:rPr>
          <w:noProof/>
        </w:rPr>
        <w:t> </w:t>
      </w:r>
      <w:r w:rsidR="0028384B" w:rsidRPr="002F16A1">
        <w:rPr>
          <w:noProof/>
        </w:rPr>
        <w:t>zal</w:t>
      </w:r>
      <w:r w:rsidRPr="002F16A1">
        <w:rPr>
          <w:noProof/>
        </w:rPr>
        <w:t>eżności UE od tych surowców. Po drugie, uzupełnia ono</w:t>
      </w:r>
      <w:r w:rsidR="0028384B" w:rsidRPr="002F16A1">
        <w:rPr>
          <w:noProof/>
        </w:rPr>
        <w:t xml:space="preserve"> i</w:t>
      </w:r>
      <w:r w:rsidR="0028384B">
        <w:rPr>
          <w:noProof/>
        </w:rPr>
        <w:t> </w:t>
      </w:r>
      <w:r w:rsidR="0028384B" w:rsidRPr="002F16A1">
        <w:rPr>
          <w:noProof/>
        </w:rPr>
        <w:t>wzm</w:t>
      </w:r>
      <w:r w:rsidRPr="002F16A1">
        <w:rPr>
          <w:noProof/>
        </w:rPr>
        <w:t>acnia inicjatywy podjęte</w:t>
      </w:r>
      <w:r w:rsidR="0028384B" w:rsidRPr="002F16A1">
        <w:rPr>
          <w:noProof/>
        </w:rPr>
        <w:t xml:space="preserve"> w</w:t>
      </w:r>
      <w:r w:rsidR="0028384B">
        <w:rPr>
          <w:noProof/>
        </w:rPr>
        <w:t> </w:t>
      </w:r>
      <w:r w:rsidR="0028384B" w:rsidRPr="002F16A1">
        <w:rPr>
          <w:noProof/>
        </w:rPr>
        <w:t>nas</w:t>
      </w:r>
      <w:r w:rsidRPr="002F16A1">
        <w:rPr>
          <w:noProof/>
        </w:rPr>
        <w:t>tępstwie planu działania</w:t>
      </w:r>
      <w:r w:rsidR="0028384B" w:rsidRPr="002F16A1">
        <w:rPr>
          <w:noProof/>
        </w:rPr>
        <w:t xml:space="preserve"> z</w:t>
      </w:r>
      <w:r w:rsidR="0028384B">
        <w:rPr>
          <w:noProof/>
        </w:rPr>
        <w:t> </w:t>
      </w:r>
      <w:r w:rsidR="0028384B" w:rsidRPr="002F16A1">
        <w:rPr>
          <w:noProof/>
        </w:rPr>
        <w:t>2</w:t>
      </w:r>
      <w:r w:rsidRPr="002F16A1">
        <w:rPr>
          <w:noProof/>
        </w:rPr>
        <w:t>0</w:t>
      </w:r>
      <w:r w:rsidRPr="0028384B">
        <w:rPr>
          <w:noProof/>
        </w:rPr>
        <w:t>20</w:t>
      </w:r>
      <w:r w:rsidR="0028384B" w:rsidRPr="0028384B">
        <w:rPr>
          <w:noProof/>
        </w:rPr>
        <w:t> </w:t>
      </w:r>
      <w:r w:rsidRPr="0028384B">
        <w:rPr>
          <w:noProof/>
        </w:rPr>
        <w:t>r.</w:t>
      </w:r>
      <w:r w:rsidRPr="002F16A1">
        <w:rPr>
          <w:noProof/>
        </w:rPr>
        <w:t xml:space="preserve"> Ustanowiono</w:t>
      </w:r>
      <w:r w:rsidR="0028384B" w:rsidRPr="002F16A1">
        <w:rPr>
          <w:noProof/>
        </w:rPr>
        <w:t xml:space="preserve"> w</w:t>
      </w:r>
      <w:r w:rsidR="0028384B">
        <w:rPr>
          <w:noProof/>
        </w:rPr>
        <w:t> </w:t>
      </w:r>
      <w:r w:rsidR="0028384B" w:rsidRPr="002F16A1">
        <w:rPr>
          <w:noProof/>
        </w:rPr>
        <w:t>nim</w:t>
      </w:r>
      <w:r w:rsidRPr="002F16A1">
        <w:rPr>
          <w:noProof/>
        </w:rPr>
        <w:t xml:space="preserve"> także ramy wspierania projektów</w:t>
      </w:r>
      <w:r w:rsidR="0028384B" w:rsidRPr="002F16A1">
        <w:rPr>
          <w:noProof/>
        </w:rPr>
        <w:t xml:space="preserve"> w</w:t>
      </w:r>
      <w:r w:rsidR="0028384B">
        <w:rPr>
          <w:noProof/>
        </w:rPr>
        <w:t> </w:t>
      </w:r>
      <w:r w:rsidR="0028384B" w:rsidRPr="002F16A1">
        <w:rPr>
          <w:noProof/>
        </w:rPr>
        <w:t>cał</w:t>
      </w:r>
      <w:r w:rsidRPr="002F16A1">
        <w:rPr>
          <w:noProof/>
        </w:rPr>
        <w:t>ym łańcuchu wartości surowców krytycznych, opierając się na pracach europejskiego sojuszu na rzecz surowców. Wniosek opiera się także na unijnych zasadach dotyczących zrównoważonych surowców, których celem jest ujednolicenie sposobu rozumienia przez państwa członkowskie kwestii zrównoważonego wydobycia</w:t>
      </w:r>
      <w:r w:rsidR="0028384B" w:rsidRPr="002F16A1">
        <w:rPr>
          <w:noProof/>
        </w:rPr>
        <w:t xml:space="preserve"> i</w:t>
      </w:r>
      <w:r w:rsidR="0028384B">
        <w:rPr>
          <w:noProof/>
        </w:rPr>
        <w:t> </w:t>
      </w:r>
      <w:r w:rsidR="0028384B" w:rsidRPr="002F16A1">
        <w:rPr>
          <w:noProof/>
        </w:rPr>
        <w:t>prz</w:t>
      </w:r>
      <w:r w:rsidRPr="002F16A1">
        <w:rPr>
          <w:noProof/>
        </w:rPr>
        <w:t>etwarzania. </w:t>
      </w:r>
    </w:p>
    <w:p w:rsidR="00AD62E2" w:rsidRPr="002F16A1" w:rsidRDefault="00AD62E2" w:rsidP="00AD62E2">
      <w:pPr>
        <w:rPr>
          <w:noProof/>
        </w:rPr>
      </w:pPr>
      <w:r w:rsidRPr="002F16A1">
        <w:rPr>
          <w:noProof/>
        </w:rPr>
        <w:t>Ponadto – zgodnie</w:t>
      </w:r>
      <w:r w:rsidR="0028384B" w:rsidRPr="002F16A1">
        <w:rPr>
          <w:noProof/>
        </w:rPr>
        <w:t xml:space="preserve"> z</w:t>
      </w:r>
      <w:r w:rsidR="0028384B">
        <w:rPr>
          <w:noProof/>
        </w:rPr>
        <w:t> </w:t>
      </w:r>
      <w:r w:rsidR="0028384B" w:rsidRPr="002F16A1">
        <w:rPr>
          <w:noProof/>
        </w:rPr>
        <w:t>pla</w:t>
      </w:r>
      <w:r w:rsidRPr="002F16A1">
        <w:rPr>
          <w:noProof/>
        </w:rPr>
        <w:t>nem działania</w:t>
      </w:r>
      <w:r w:rsidR="0028384B" w:rsidRPr="002F16A1">
        <w:rPr>
          <w:noProof/>
        </w:rPr>
        <w:t xml:space="preserve"> z</w:t>
      </w:r>
      <w:r w:rsidR="0028384B">
        <w:rPr>
          <w:noProof/>
        </w:rPr>
        <w:t> </w:t>
      </w:r>
      <w:r w:rsidR="0028384B" w:rsidRPr="002F16A1">
        <w:rPr>
          <w:noProof/>
        </w:rPr>
        <w:t>2</w:t>
      </w:r>
      <w:r w:rsidRPr="002F16A1">
        <w:rPr>
          <w:noProof/>
        </w:rPr>
        <w:t>0</w:t>
      </w:r>
      <w:r w:rsidRPr="0028384B">
        <w:rPr>
          <w:noProof/>
        </w:rPr>
        <w:t>21</w:t>
      </w:r>
      <w:r w:rsidR="0028384B" w:rsidRPr="0028384B">
        <w:rPr>
          <w:noProof/>
        </w:rPr>
        <w:t> </w:t>
      </w:r>
      <w:r w:rsidRPr="0028384B">
        <w:rPr>
          <w:noProof/>
        </w:rPr>
        <w:t>r.</w:t>
      </w:r>
      <w:r w:rsidRPr="002F16A1">
        <w:rPr>
          <w:noProof/>
        </w:rPr>
        <w:t xml:space="preserve"> na rzecz synergii między przemysłem cywilnym, obronnym</w:t>
      </w:r>
      <w:r w:rsidR="0028384B" w:rsidRPr="002F16A1">
        <w:rPr>
          <w:noProof/>
        </w:rPr>
        <w:t xml:space="preserve"> i</w:t>
      </w:r>
      <w:r w:rsidR="0028384B">
        <w:rPr>
          <w:noProof/>
        </w:rPr>
        <w:t> </w:t>
      </w:r>
      <w:r w:rsidR="0028384B" w:rsidRPr="002F16A1">
        <w:rPr>
          <w:noProof/>
        </w:rPr>
        <w:t>kos</w:t>
      </w:r>
      <w:r w:rsidRPr="002F16A1">
        <w:rPr>
          <w:noProof/>
        </w:rPr>
        <w:t>micznym – Komisja tworzy obserwatorium technologii krytycznych. Obserwatorium zapewni identyfikację, monitorowanie</w:t>
      </w:r>
      <w:r w:rsidR="0028384B" w:rsidRPr="002F16A1">
        <w:rPr>
          <w:noProof/>
        </w:rPr>
        <w:t xml:space="preserve"> i</w:t>
      </w:r>
      <w:r w:rsidR="0028384B">
        <w:rPr>
          <w:noProof/>
        </w:rPr>
        <w:t> </w:t>
      </w:r>
      <w:r w:rsidR="0028384B" w:rsidRPr="002F16A1">
        <w:rPr>
          <w:noProof/>
        </w:rPr>
        <w:t>oce</w:t>
      </w:r>
      <w:r w:rsidRPr="002F16A1">
        <w:rPr>
          <w:noProof/>
        </w:rPr>
        <w:t>nę technologii krytycznych dla sektora cywilnego, obronnego</w:t>
      </w:r>
      <w:r w:rsidR="0028384B" w:rsidRPr="002F16A1">
        <w:rPr>
          <w:noProof/>
        </w:rPr>
        <w:t xml:space="preserve"> i</w:t>
      </w:r>
      <w:r w:rsidR="0028384B">
        <w:rPr>
          <w:noProof/>
        </w:rPr>
        <w:t> </w:t>
      </w:r>
      <w:r w:rsidR="0028384B" w:rsidRPr="002F16A1">
        <w:rPr>
          <w:noProof/>
        </w:rPr>
        <w:t>kos</w:t>
      </w:r>
      <w:r w:rsidRPr="002F16A1">
        <w:rPr>
          <w:noProof/>
        </w:rPr>
        <w:t>micznego, ich potencjalnych zastosowań</w:t>
      </w:r>
      <w:r w:rsidR="0028384B" w:rsidRPr="002F16A1">
        <w:rPr>
          <w:noProof/>
        </w:rPr>
        <w:t xml:space="preserve"> i</w:t>
      </w:r>
      <w:r w:rsidR="0028384B">
        <w:rPr>
          <w:noProof/>
        </w:rPr>
        <w:t> </w:t>
      </w:r>
      <w:r w:rsidR="0028384B" w:rsidRPr="002F16A1">
        <w:rPr>
          <w:noProof/>
        </w:rPr>
        <w:t>zwi</w:t>
      </w:r>
      <w:r w:rsidRPr="002F16A1">
        <w:rPr>
          <w:noProof/>
        </w:rPr>
        <w:t>ązanych</w:t>
      </w:r>
      <w:r w:rsidR="0028384B" w:rsidRPr="002F16A1">
        <w:rPr>
          <w:noProof/>
        </w:rPr>
        <w:t xml:space="preserve"> z</w:t>
      </w:r>
      <w:r w:rsidR="0028384B">
        <w:rPr>
          <w:noProof/>
        </w:rPr>
        <w:t> </w:t>
      </w:r>
      <w:r w:rsidR="0028384B" w:rsidRPr="002F16A1">
        <w:rPr>
          <w:noProof/>
        </w:rPr>
        <w:t>nim</w:t>
      </w:r>
      <w:r w:rsidRPr="002F16A1">
        <w:rPr>
          <w:noProof/>
        </w:rPr>
        <w:t>i łańcuchów wartości</w:t>
      </w:r>
      <w:r w:rsidR="0028384B" w:rsidRPr="002F16A1">
        <w:rPr>
          <w:noProof/>
        </w:rPr>
        <w:t xml:space="preserve"> i</w:t>
      </w:r>
      <w:r w:rsidR="0028384B">
        <w:rPr>
          <w:noProof/>
        </w:rPr>
        <w:t> </w:t>
      </w:r>
      <w:r w:rsidR="0028384B" w:rsidRPr="002F16A1">
        <w:rPr>
          <w:noProof/>
        </w:rPr>
        <w:t>dos</w:t>
      </w:r>
      <w:r w:rsidRPr="002F16A1">
        <w:rPr>
          <w:noProof/>
        </w:rPr>
        <w:t>taw,</w:t>
      </w:r>
      <w:r w:rsidR="0028384B" w:rsidRPr="002F16A1">
        <w:rPr>
          <w:noProof/>
        </w:rPr>
        <w:t xml:space="preserve"> w</w:t>
      </w:r>
      <w:r w:rsidR="0028384B">
        <w:rPr>
          <w:noProof/>
        </w:rPr>
        <w:t> </w:t>
      </w:r>
      <w:r w:rsidR="0028384B" w:rsidRPr="002F16A1">
        <w:rPr>
          <w:noProof/>
        </w:rPr>
        <w:t>tym</w:t>
      </w:r>
      <w:r w:rsidRPr="002F16A1">
        <w:rPr>
          <w:noProof/>
        </w:rPr>
        <w:t xml:space="preserve"> strategicznych zależności</w:t>
      </w:r>
      <w:r w:rsidR="0028384B" w:rsidRPr="002F16A1">
        <w:rPr>
          <w:noProof/>
        </w:rPr>
        <w:t xml:space="preserve"> i</w:t>
      </w:r>
      <w:r w:rsidR="0028384B">
        <w:rPr>
          <w:noProof/>
        </w:rPr>
        <w:t> </w:t>
      </w:r>
      <w:r w:rsidR="0028384B" w:rsidRPr="002F16A1">
        <w:rPr>
          <w:noProof/>
        </w:rPr>
        <w:t>sła</w:t>
      </w:r>
      <w:r w:rsidRPr="002F16A1">
        <w:rPr>
          <w:noProof/>
        </w:rPr>
        <w:t>bych punktów. </w:t>
      </w:r>
    </w:p>
    <w:p w:rsidR="00AD62E2" w:rsidRPr="002F16A1" w:rsidRDefault="00AD62E2" w:rsidP="00AD62E2">
      <w:pPr>
        <w:rPr>
          <w:rFonts w:eastAsia="Times New Roman"/>
          <w:noProof/>
          <w:szCs w:val="24"/>
        </w:rPr>
      </w:pPr>
      <w:r w:rsidRPr="002F16A1">
        <w:rPr>
          <w:noProof/>
        </w:rPr>
        <w:t>Ponadto Komisja opracowała prognozę,</w:t>
      </w:r>
      <w:r w:rsidR="0028384B" w:rsidRPr="002F16A1">
        <w:rPr>
          <w:noProof/>
        </w:rPr>
        <w:t xml:space="preserve"> w</w:t>
      </w:r>
      <w:r w:rsidR="0028384B">
        <w:rPr>
          <w:noProof/>
        </w:rPr>
        <w:t> </w:t>
      </w:r>
      <w:r w:rsidR="0028384B" w:rsidRPr="002F16A1">
        <w:rPr>
          <w:noProof/>
        </w:rPr>
        <w:t>ram</w:t>
      </w:r>
      <w:r w:rsidRPr="002F16A1">
        <w:rPr>
          <w:noProof/>
        </w:rPr>
        <w:t>ach której oceniono przyszłe potrzeby Unii Europejskiej</w:t>
      </w:r>
      <w:r w:rsidR="0028384B" w:rsidRPr="002F16A1">
        <w:rPr>
          <w:noProof/>
        </w:rPr>
        <w:t xml:space="preserve"> w</w:t>
      </w:r>
      <w:r w:rsidR="0028384B">
        <w:rPr>
          <w:noProof/>
        </w:rPr>
        <w:t> </w:t>
      </w:r>
      <w:r w:rsidR="0028384B" w:rsidRPr="002F16A1">
        <w:rPr>
          <w:noProof/>
        </w:rPr>
        <w:t>odn</w:t>
      </w:r>
      <w:r w:rsidRPr="002F16A1">
        <w:rPr>
          <w:noProof/>
        </w:rPr>
        <w:t>iesieniu do surowców krytycznych oraz potencjalne wąskie gardła</w:t>
      </w:r>
      <w:r w:rsidR="0028384B" w:rsidRPr="002F16A1">
        <w:rPr>
          <w:noProof/>
        </w:rPr>
        <w:t xml:space="preserve"> w</w:t>
      </w:r>
      <w:r w:rsidR="0028384B">
        <w:rPr>
          <w:noProof/>
        </w:rPr>
        <w:t> </w:t>
      </w:r>
      <w:r w:rsidR="0028384B" w:rsidRPr="002F16A1">
        <w:rPr>
          <w:noProof/>
        </w:rPr>
        <w:t>łań</w:t>
      </w:r>
      <w:r w:rsidRPr="002F16A1">
        <w:rPr>
          <w:noProof/>
        </w:rPr>
        <w:t>cuchu dostaw</w:t>
      </w:r>
      <w:r w:rsidR="0028384B" w:rsidRPr="002F16A1">
        <w:rPr>
          <w:noProof/>
        </w:rPr>
        <w:t xml:space="preserve"> w</w:t>
      </w:r>
      <w:r w:rsidR="0028384B">
        <w:rPr>
          <w:noProof/>
        </w:rPr>
        <w:t> </w:t>
      </w:r>
      <w:r w:rsidR="0028384B" w:rsidRPr="002F16A1">
        <w:rPr>
          <w:noProof/>
        </w:rPr>
        <w:t>klu</w:t>
      </w:r>
      <w:r w:rsidRPr="002F16A1">
        <w:rPr>
          <w:noProof/>
        </w:rPr>
        <w:t>czowych technologiach</w:t>
      </w:r>
      <w:r w:rsidR="0028384B" w:rsidRPr="002F16A1">
        <w:rPr>
          <w:noProof/>
        </w:rPr>
        <w:t xml:space="preserve"> i</w:t>
      </w:r>
      <w:r w:rsidR="0028384B">
        <w:rPr>
          <w:noProof/>
        </w:rPr>
        <w:t> </w:t>
      </w:r>
      <w:r w:rsidR="0028384B" w:rsidRPr="002F16A1">
        <w:rPr>
          <w:noProof/>
        </w:rPr>
        <w:t>sek</w:t>
      </w:r>
      <w:r w:rsidRPr="002F16A1">
        <w:rPr>
          <w:noProof/>
        </w:rPr>
        <w:t>torach strategicznych</w:t>
      </w:r>
      <w:r w:rsidR="0028384B" w:rsidRPr="002F16A1">
        <w:rPr>
          <w:noProof/>
        </w:rPr>
        <w:t>. W</w:t>
      </w:r>
      <w:r w:rsidR="0028384B">
        <w:rPr>
          <w:noProof/>
        </w:rPr>
        <w:t> </w:t>
      </w:r>
      <w:r w:rsidR="0028384B" w:rsidRPr="002F16A1">
        <w:rPr>
          <w:noProof/>
        </w:rPr>
        <w:t>spr</w:t>
      </w:r>
      <w:r w:rsidRPr="002F16A1">
        <w:rPr>
          <w:noProof/>
        </w:rPr>
        <w:t>awozdaniu prognozuje się bezprecedensowy wzrost popytu na kluczowe materiały niezbędne do przeprowadzenia udanej dwojakiej transformacji oraz do realizacji unijnych programów obronnych oraz lotniczych</w:t>
      </w:r>
      <w:r w:rsidR="0028384B" w:rsidRPr="002F16A1">
        <w:rPr>
          <w:noProof/>
        </w:rPr>
        <w:t xml:space="preserve"> i</w:t>
      </w:r>
      <w:r w:rsidR="0028384B">
        <w:rPr>
          <w:noProof/>
        </w:rPr>
        <w:t> </w:t>
      </w:r>
      <w:r w:rsidR="0028384B" w:rsidRPr="002F16A1">
        <w:rPr>
          <w:noProof/>
        </w:rPr>
        <w:t>kos</w:t>
      </w:r>
      <w:r w:rsidRPr="002F16A1">
        <w:rPr>
          <w:noProof/>
        </w:rPr>
        <w:t>micznych.</w:t>
      </w:r>
    </w:p>
    <w:p w:rsidR="00AD62E2" w:rsidRPr="002F16A1" w:rsidRDefault="00AD62E2" w:rsidP="00AD62E2">
      <w:pPr>
        <w:rPr>
          <w:noProof/>
        </w:rPr>
      </w:pPr>
      <w:r w:rsidRPr="002F16A1">
        <w:rPr>
          <w:noProof/>
        </w:rPr>
        <w:t>Niniejszy wniosek jest spójny</w:t>
      </w:r>
      <w:r w:rsidR="0028384B" w:rsidRPr="002F16A1">
        <w:rPr>
          <w:noProof/>
        </w:rPr>
        <w:t xml:space="preserve"> z</w:t>
      </w:r>
      <w:r w:rsidR="0028384B">
        <w:rPr>
          <w:noProof/>
        </w:rPr>
        <w:t> </w:t>
      </w:r>
      <w:r w:rsidR="0028384B" w:rsidRPr="002F16A1">
        <w:rPr>
          <w:noProof/>
        </w:rPr>
        <w:t>poz</w:t>
      </w:r>
      <w:r w:rsidRPr="002F16A1">
        <w:rPr>
          <w:noProof/>
        </w:rPr>
        <w:t>ostałymi przepisami dotyczącymi surowców krytycznych. Na przykład jest on spójny</w:t>
      </w:r>
      <w:r w:rsidR="0028384B" w:rsidRPr="002F16A1">
        <w:rPr>
          <w:noProof/>
        </w:rPr>
        <w:t xml:space="preserve"> z</w:t>
      </w:r>
      <w:r w:rsidR="0028384B">
        <w:rPr>
          <w:noProof/>
        </w:rPr>
        <w:t> </w:t>
      </w:r>
      <w:r w:rsidR="0028384B" w:rsidRPr="002F16A1">
        <w:rPr>
          <w:noProof/>
        </w:rPr>
        <w:t>roz</w:t>
      </w:r>
      <w:r w:rsidRPr="002F16A1">
        <w:rPr>
          <w:noProof/>
        </w:rPr>
        <w:t>porządzeniem</w:t>
      </w:r>
      <w:r w:rsidR="0028384B" w:rsidRPr="002F16A1">
        <w:rPr>
          <w:noProof/>
        </w:rPr>
        <w:t xml:space="preserve"> w</w:t>
      </w:r>
      <w:r w:rsidR="0028384B">
        <w:rPr>
          <w:noProof/>
        </w:rPr>
        <w:t> </w:t>
      </w:r>
      <w:r w:rsidR="0028384B" w:rsidRPr="002F16A1">
        <w:rPr>
          <w:noProof/>
        </w:rPr>
        <w:t>spr</w:t>
      </w:r>
      <w:r w:rsidRPr="002F16A1">
        <w:rPr>
          <w:noProof/>
        </w:rPr>
        <w:t>awie minerałów</w:t>
      </w:r>
      <w:r w:rsidR="0028384B" w:rsidRPr="002F16A1">
        <w:rPr>
          <w:noProof/>
        </w:rPr>
        <w:t xml:space="preserve"> z</w:t>
      </w:r>
      <w:r w:rsidR="0028384B">
        <w:rPr>
          <w:noProof/>
        </w:rPr>
        <w:t> </w:t>
      </w:r>
      <w:r w:rsidR="0028384B" w:rsidRPr="002F16A1">
        <w:rPr>
          <w:noProof/>
        </w:rPr>
        <w:t>reg</w:t>
      </w:r>
      <w:r w:rsidRPr="002F16A1">
        <w:rPr>
          <w:noProof/>
        </w:rPr>
        <w:t>ionów ogarniętych konfliktami</w:t>
      </w:r>
      <w:r w:rsidRPr="002F16A1">
        <w:rPr>
          <w:rStyle w:val="FootnoteReference"/>
          <w:noProof/>
        </w:rPr>
        <w:footnoteReference w:id="3"/>
      </w:r>
      <w:r w:rsidRPr="002F16A1">
        <w:rPr>
          <w:noProof/>
        </w:rPr>
        <w:t>,</w:t>
      </w:r>
      <w:r w:rsidR="0028384B" w:rsidRPr="002F16A1">
        <w:rPr>
          <w:noProof/>
        </w:rPr>
        <w:t xml:space="preserve"> w</w:t>
      </w:r>
      <w:r w:rsidR="0028384B">
        <w:rPr>
          <w:noProof/>
        </w:rPr>
        <w:t> </w:t>
      </w:r>
      <w:r w:rsidR="0028384B" w:rsidRPr="002F16A1">
        <w:rPr>
          <w:noProof/>
        </w:rPr>
        <w:t>któ</w:t>
      </w:r>
      <w:r w:rsidRPr="002F16A1">
        <w:rPr>
          <w:noProof/>
        </w:rPr>
        <w:t>rym dla importerów cyny, tantalu, wolframu</w:t>
      </w:r>
      <w:r w:rsidR="0028384B" w:rsidRPr="002F16A1">
        <w:rPr>
          <w:noProof/>
        </w:rPr>
        <w:t xml:space="preserve"> i</w:t>
      </w:r>
      <w:r w:rsidR="0028384B">
        <w:rPr>
          <w:noProof/>
        </w:rPr>
        <w:t> </w:t>
      </w:r>
      <w:r w:rsidR="0028384B" w:rsidRPr="002F16A1">
        <w:rPr>
          <w:noProof/>
        </w:rPr>
        <w:t>zło</w:t>
      </w:r>
      <w:r w:rsidRPr="002F16A1">
        <w:rPr>
          <w:noProof/>
        </w:rPr>
        <w:t>ta przewidziano wymóg ustanowienia</w:t>
      </w:r>
      <w:r w:rsidR="0028384B" w:rsidRPr="002F16A1">
        <w:rPr>
          <w:noProof/>
        </w:rPr>
        <w:t xml:space="preserve"> i</w:t>
      </w:r>
      <w:r w:rsidR="0028384B">
        <w:rPr>
          <w:noProof/>
        </w:rPr>
        <w:t> </w:t>
      </w:r>
      <w:r w:rsidR="0028384B" w:rsidRPr="002F16A1">
        <w:rPr>
          <w:noProof/>
        </w:rPr>
        <w:t>wdr</w:t>
      </w:r>
      <w:r w:rsidRPr="002F16A1">
        <w:rPr>
          <w:noProof/>
        </w:rPr>
        <w:t>ożenia polityki</w:t>
      </w:r>
      <w:r w:rsidR="0028384B" w:rsidRPr="002F16A1">
        <w:rPr>
          <w:noProof/>
        </w:rPr>
        <w:t xml:space="preserve"> w</w:t>
      </w:r>
      <w:r w:rsidR="0028384B">
        <w:rPr>
          <w:noProof/>
        </w:rPr>
        <w:t> </w:t>
      </w:r>
      <w:r w:rsidR="0028384B" w:rsidRPr="002F16A1">
        <w:rPr>
          <w:noProof/>
        </w:rPr>
        <w:t>zak</w:t>
      </w:r>
      <w:r w:rsidRPr="002F16A1">
        <w:rPr>
          <w:noProof/>
        </w:rPr>
        <w:t>resie należytej staranności</w:t>
      </w:r>
      <w:r w:rsidR="0028384B" w:rsidRPr="002F16A1">
        <w:rPr>
          <w:noProof/>
        </w:rPr>
        <w:t xml:space="preserve"> w</w:t>
      </w:r>
      <w:r w:rsidR="0028384B">
        <w:rPr>
          <w:noProof/>
        </w:rPr>
        <w:t> </w:t>
      </w:r>
      <w:r w:rsidR="0028384B" w:rsidRPr="002F16A1">
        <w:rPr>
          <w:noProof/>
        </w:rPr>
        <w:t>odn</w:t>
      </w:r>
      <w:r w:rsidRPr="002F16A1">
        <w:rPr>
          <w:noProof/>
        </w:rPr>
        <w:t>iesieniu do wpływu konfliktów zbrojnych na prawa człowieka oraz praw pracowniczych</w:t>
      </w:r>
      <w:r w:rsidR="0028384B" w:rsidRPr="002F16A1">
        <w:rPr>
          <w:noProof/>
        </w:rPr>
        <w:t xml:space="preserve"> w</w:t>
      </w:r>
      <w:r w:rsidR="0028384B">
        <w:rPr>
          <w:noProof/>
        </w:rPr>
        <w:t> </w:t>
      </w:r>
      <w:r w:rsidR="0028384B" w:rsidRPr="002F16A1">
        <w:rPr>
          <w:noProof/>
        </w:rPr>
        <w:t>cał</w:t>
      </w:r>
      <w:r w:rsidRPr="002F16A1">
        <w:rPr>
          <w:noProof/>
        </w:rPr>
        <w:t>ym łańcuchu wartości. </w:t>
      </w:r>
    </w:p>
    <w:p w:rsidR="00AD62E2" w:rsidRPr="002F16A1" w:rsidRDefault="00AD62E2" w:rsidP="00AD62E2">
      <w:pPr>
        <w:pStyle w:val="ManualHeading2"/>
        <w:rPr>
          <w:noProof/>
        </w:rPr>
      </w:pPr>
      <w:r w:rsidRPr="002F16A1">
        <w:rPr>
          <w:noProof/>
        </w:rPr>
        <w:t>•</w:t>
      </w:r>
      <w:r w:rsidRPr="002F16A1">
        <w:rPr>
          <w:noProof/>
        </w:rPr>
        <w:tab/>
        <w:t>Spójność</w:t>
      </w:r>
      <w:r w:rsidR="0028384B" w:rsidRPr="002F16A1">
        <w:rPr>
          <w:noProof/>
        </w:rPr>
        <w:t xml:space="preserve"> z</w:t>
      </w:r>
      <w:r w:rsidR="0028384B">
        <w:rPr>
          <w:noProof/>
        </w:rPr>
        <w:t> </w:t>
      </w:r>
      <w:r w:rsidR="0028384B" w:rsidRPr="002F16A1">
        <w:rPr>
          <w:noProof/>
        </w:rPr>
        <w:t>inn</w:t>
      </w:r>
      <w:r w:rsidRPr="002F16A1">
        <w:rPr>
          <w:noProof/>
        </w:rPr>
        <w:t>ymi politykami Unii</w:t>
      </w:r>
    </w:p>
    <w:p w:rsidR="00AD62E2" w:rsidRPr="002F16A1" w:rsidRDefault="00AD62E2" w:rsidP="00AD62E2">
      <w:pPr>
        <w:rPr>
          <w:noProof/>
        </w:rPr>
      </w:pPr>
      <w:r w:rsidRPr="002F16A1">
        <w:rPr>
          <w:noProof/>
        </w:rPr>
        <w:t>Biorąc pod uwagę obecność surowców krytycznych</w:t>
      </w:r>
      <w:r w:rsidR="0028384B" w:rsidRPr="002F16A1">
        <w:rPr>
          <w:noProof/>
        </w:rPr>
        <w:t xml:space="preserve"> w</w:t>
      </w:r>
      <w:r w:rsidR="0028384B">
        <w:rPr>
          <w:noProof/>
        </w:rPr>
        <w:t> </w:t>
      </w:r>
      <w:r w:rsidR="0028384B" w:rsidRPr="002F16A1">
        <w:rPr>
          <w:noProof/>
        </w:rPr>
        <w:t>wie</w:t>
      </w:r>
      <w:r w:rsidRPr="002F16A1">
        <w:rPr>
          <w:noProof/>
        </w:rPr>
        <w:t>lu przemysłowych łańcuchach wartości oraz cechy charakterystyczne poszczególnych etapów łańcucha wartości surowców krytycznych, takich jak wydobycie, przetwarzanie lub recykling, istotne znaczenie ma szereg zbiorów europejskich strategii politycznych</w:t>
      </w:r>
      <w:r w:rsidR="0028384B" w:rsidRPr="002F16A1">
        <w:rPr>
          <w:noProof/>
        </w:rPr>
        <w:t xml:space="preserve"> i</w:t>
      </w:r>
      <w:r w:rsidR="0028384B">
        <w:rPr>
          <w:noProof/>
        </w:rPr>
        <w:t> </w:t>
      </w:r>
      <w:r w:rsidR="0028384B" w:rsidRPr="002F16A1">
        <w:rPr>
          <w:noProof/>
        </w:rPr>
        <w:t>pra</w:t>
      </w:r>
      <w:r w:rsidRPr="002F16A1">
        <w:rPr>
          <w:noProof/>
        </w:rPr>
        <w:t>wodawstwa. </w:t>
      </w:r>
    </w:p>
    <w:p w:rsidR="00AD62E2" w:rsidRPr="002F16A1" w:rsidRDefault="00AD62E2" w:rsidP="00AD62E2">
      <w:pPr>
        <w:rPr>
          <w:noProof/>
        </w:rPr>
      </w:pPr>
      <w:r w:rsidRPr="002F16A1">
        <w:rPr>
          <w:noProof/>
        </w:rPr>
        <w:t>Po pierwsze, unijne przepisy dotyczące ochrony środowiska obejmują procedury wydawania zezwoleń na projekty dotyczące surowców,</w:t>
      </w:r>
      <w:r w:rsidR="0028384B" w:rsidRPr="002F16A1">
        <w:rPr>
          <w:noProof/>
        </w:rPr>
        <w:t xml:space="preserve"> w</w:t>
      </w:r>
      <w:r w:rsidR="0028384B">
        <w:rPr>
          <w:noProof/>
        </w:rPr>
        <w:t> </w:t>
      </w:r>
      <w:r w:rsidR="0028384B" w:rsidRPr="002F16A1">
        <w:rPr>
          <w:noProof/>
        </w:rPr>
        <w:t>tym</w:t>
      </w:r>
      <w:r w:rsidRPr="002F16A1">
        <w:rPr>
          <w:noProof/>
        </w:rPr>
        <w:t xml:space="preserve"> surowców krytycznych,</w:t>
      </w:r>
      <w:r w:rsidR="0028384B" w:rsidRPr="002F16A1">
        <w:rPr>
          <w:noProof/>
        </w:rPr>
        <w:t xml:space="preserve"> w</w:t>
      </w:r>
      <w:r w:rsidR="0028384B">
        <w:rPr>
          <w:noProof/>
        </w:rPr>
        <w:t> </w:t>
      </w:r>
      <w:r w:rsidR="0028384B" w:rsidRPr="002F16A1">
        <w:rPr>
          <w:noProof/>
        </w:rPr>
        <w:t>cał</w:t>
      </w:r>
      <w:r w:rsidRPr="002F16A1">
        <w:rPr>
          <w:noProof/>
        </w:rPr>
        <w:t>ym łańcuchu wartości. Proponowane rozporządzenie będzie stosowane bez uszczerbku dla unijnych przepisów dotyczących ochrony przyrody,</w:t>
      </w:r>
      <w:r w:rsidR="0028384B" w:rsidRPr="002F16A1">
        <w:rPr>
          <w:noProof/>
        </w:rPr>
        <w:t xml:space="preserve"> w</w:t>
      </w:r>
      <w:r w:rsidR="0028384B">
        <w:rPr>
          <w:noProof/>
        </w:rPr>
        <w:t> </w:t>
      </w:r>
      <w:r w:rsidR="0028384B" w:rsidRPr="002F16A1">
        <w:rPr>
          <w:noProof/>
        </w:rPr>
        <w:t>tym</w:t>
      </w:r>
      <w:r w:rsidRPr="002F16A1">
        <w:rPr>
          <w:noProof/>
        </w:rPr>
        <w:t xml:space="preserve"> dyrektywy 2011/92/UE</w:t>
      </w:r>
      <w:r w:rsidRPr="002F16A1">
        <w:rPr>
          <w:rStyle w:val="FootnoteReference"/>
          <w:noProof/>
        </w:rPr>
        <w:footnoteReference w:id="4"/>
      </w:r>
      <w:r w:rsidR="0028384B" w:rsidRPr="002F16A1">
        <w:rPr>
          <w:noProof/>
        </w:rPr>
        <w:t xml:space="preserve"> w</w:t>
      </w:r>
      <w:r w:rsidR="0028384B">
        <w:rPr>
          <w:noProof/>
        </w:rPr>
        <w:t> </w:t>
      </w:r>
      <w:r w:rsidR="0028384B" w:rsidRPr="002F16A1">
        <w:rPr>
          <w:noProof/>
        </w:rPr>
        <w:t>spr</w:t>
      </w:r>
      <w:r w:rsidRPr="002F16A1">
        <w:rPr>
          <w:noProof/>
        </w:rPr>
        <w:t>awie oceny oddziaływania na środowisko, dyrektywy 2010/75/UE</w:t>
      </w:r>
      <w:r w:rsidRPr="002F16A1">
        <w:rPr>
          <w:rStyle w:val="FootnoteReference"/>
          <w:noProof/>
        </w:rPr>
        <w:footnoteReference w:id="5"/>
      </w:r>
      <w:r w:rsidR="0028384B" w:rsidRPr="002F16A1">
        <w:rPr>
          <w:noProof/>
        </w:rPr>
        <w:t xml:space="preserve"> w</w:t>
      </w:r>
      <w:r w:rsidR="0028384B">
        <w:rPr>
          <w:noProof/>
        </w:rPr>
        <w:t> </w:t>
      </w:r>
      <w:r w:rsidR="0028384B" w:rsidRPr="002F16A1">
        <w:rPr>
          <w:noProof/>
        </w:rPr>
        <w:t>spr</w:t>
      </w:r>
      <w:r w:rsidRPr="002F16A1">
        <w:rPr>
          <w:noProof/>
        </w:rPr>
        <w:t>awie emisji przemysłowych, dyrektywy 92/43/EWG</w:t>
      </w:r>
      <w:r w:rsidRPr="002F16A1">
        <w:rPr>
          <w:rStyle w:val="FootnoteReference"/>
          <w:noProof/>
        </w:rPr>
        <w:footnoteReference w:id="6"/>
      </w:r>
      <w:r w:rsidR="0028384B" w:rsidRPr="002F16A1">
        <w:rPr>
          <w:noProof/>
        </w:rPr>
        <w:t xml:space="preserve"> w</w:t>
      </w:r>
      <w:r w:rsidR="0028384B">
        <w:rPr>
          <w:noProof/>
        </w:rPr>
        <w:t> </w:t>
      </w:r>
      <w:r w:rsidR="0028384B" w:rsidRPr="002F16A1">
        <w:rPr>
          <w:noProof/>
        </w:rPr>
        <w:t>spr</w:t>
      </w:r>
      <w:r w:rsidRPr="002F16A1">
        <w:rPr>
          <w:noProof/>
        </w:rPr>
        <w:t>awie ochrony siedlisk przyrodniczych oraz dzikiej fauny</w:t>
      </w:r>
      <w:r w:rsidR="0028384B" w:rsidRPr="002F16A1">
        <w:rPr>
          <w:noProof/>
        </w:rPr>
        <w:t xml:space="preserve"> i</w:t>
      </w:r>
      <w:r w:rsidR="0028384B">
        <w:rPr>
          <w:noProof/>
        </w:rPr>
        <w:t> </w:t>
      </w:r>
      <w:r w:rsidR="0028384B" w:rsidRPr="002F16A1">
        <w:rPr>
          <w:noProof/>
        </w:rPr>
        <w:t>flo</w:t>
      </w:r>
      <w:r w:rsidRPr="002F16A1">
        <w:rPr>
          <w:noProof/>
        </w:rPr>
        <w:t xml:space="preserve">ry oraz </w:t>
      </w:r>
      <w:r w:rsidRPr="002F16A1">
        <w:rPr>
          <w:rStyle w:val="normaltextrun"/>
          <w:noProof/>
          <w:color w:val="000000"/>
          <w:bdr w:val="none" w:sz="0" w:space="0" w:color="auto" w:frame="1"/>
        </w:rPr>
        <w:t>dyrektywy 2009/147/WE</w:t>
      </w:r>
      <w:r w:rsidRPr="002F16A1">
        <w:rPr>
          <w:rStyle w:val="FootnoteReference"/>
          <w:noProof/>
        </w:rPr>
        <w:footnoteReference w:id="7"/>
      </w:r>
      <w:r w:rsidRPr="002F16A1">
        <w:rPr>
          <w:rStyle w:val="normaltextrun"/>
          <w:noProof/>
          <w:color w:val="000000"/>
          <w:bdr w:val="none" w:sz="0" w:space="0" w:color="auto" w:frame="1"/>
        </w:rPr>
        <w:t xml:space="preserve"> Parlamentu Europejskiego</w:t>
      </w:r>
      <w:r w:rsidR="0028384B" w:rsidRPr="002F16A1">
        <w:rPr>
          <w:rStyle w:val="normaltextrun"/>
          <w:noProof/>
          <w:color w:val="000000"/>
          <w:bdr w:val="none" w:sz="0" w:space="0" w:color="auto" w:frame="1"/>
        </w:rPr>
        <w:t xml:space="preserve"> i</w:t>
      </w:r>
      <w:r w:rsidR="0028384B">
        <w:rPr>
          <w:rStyle w:val="normaltextrun"/>
          <w:noProof/>
          <w:color w:val="000000"/>
          <w:bdr w:val="none" w:sz="0" w:space="0" w:color="auto" w:frame="1"/>
        </w:rPr>
        <w:t> </w:t>
      </w:r>
      <w:r w:rsidR="0028384B" w:rsidRPr="002F16A1">
        <w:rPr>
          <w:rStyle w:val="normaltextrun"/>
          <w:noProof/>
          <w:color w:val="000000"/>
          <w:bdr w:val="none" w:sz="0" w:space="0" w:color="auto" w:frame="1"/>
        </w:rPr>
        <w:t>Rad</w:t>
      </w:r>
      <w:r w:rsidRPr="002F16A1">
        <w:rPr>
          <w:rStyle w:val="normaltextrun"/>
          <w:noProof/>
          <w:color w:val="000000"/>
          <w:bdr w:val="none" w:sz="0" w:space="0" w:color="auto" w:frame="1"/>
        </w:rPr>
        <w:t>y</w:t>
      </w:r>
      <w:r w:rsidR="0028384B" w:rsidRPr="002F16A1">
        <w:rPr>
          <w:rStyle w:val="normaltextrun"/>
          <w:noProof/>
          <w:color w:val="000000"/>
          <w:bdr w:val="none" w:sz="0" w:space="0" w:color="auto" w:frame="1"/>
        </w:rPr>
        <w:t xml:space="preserve"> w</w:t>
      </w:r>
      <w:r w:rsidR="0028384B">
        <w:rPr>
          <w:rStyle w:val="normaltextrun"/>
          <w:noProof/>
          <w:color w:val="000000"/>
          <w:bdr w:val="none" w:sz="0" w:space="0" w:color="auto" w:frame="1"/>
        </w:rPr>
        <w:t> </w:t>
      </w:r>
      <w:r w:rsidR="0028384B" w:rsidRPr="002F16A1">
        <w:rPr>
          <w:rStyle w:val="normaltextrun"/>
          <w:noProof/>
          <w:color w:val="000000"/>
          <w:bdr w:val="none" w:sz="0" w:space="0" w:color="auto" w:frame="1"/>
        </w:rPr>
        <w:t>spr</w:t>
      </w:r>
      <w:r w:rsidRPr="002F16A1">
        <w:rPr>
          <w:rStyle w:val="normaltextrun"/>
          <w:noProof/>
          <w:color w:val="000000"/>
          <w:bdr w:val="none" w:sz="0" w:space="0" w:color="auto" w:frame="1"/>
        </w:rPr>
        <w:t>awie ochrony dzikiego ptactwa</w:t>
      </w:r>
      <w:r w:rsidR="0028384B" w:rsidRPr="002F16A1">
        <w:rPr>
          <w:rStyle w:val="normaltextrun"/>
          <w:noProof/>
          <w:color w:val="000000"/>
          <w:bdr w:val="none" w:sz="0" w:space="0" w:color="auto" w:frame="1"/>
        </w:rPr>
        <w:t xml:space="preserve"> i</w:t>
      </w:r>
      <w:r w:rsidR="0028384B">
        <w:rPr>
          <w:rStyle w:val="normaltextrun"/>
          <w:noProof/>
          <w:color w:val="000000"/>
          <w:bdr w:val="none" w:sz="0" w:space="0" w:color="auto" w:frame="1"/>
        </w:rPr>
        <w:t> </w:t>
      </w:r>
      <w:r w:rsidR="0028384B" w:rsidRPr="002F16A1">
        <w:rPr>
          <w:rStyle w:val="normaltextrun"/>
          <w:noProof/>
          <w:color w:val="000000"/>
          <w:bdr w:val="none" w:sz="0" w:space="0" w:color="auto" w:frame="1"/>
        </w:rPr>
        <w:t>dyr</w:t>
      </w:r>
      <w:r w:rsidRPr="002F16A1">
        <w:rPr>
          <w:rStyle w:val="normaltextrun"/>
          <w:noProof/>
          <w:color w:val="000000"/>
          <w:bdr w:val="none" w:sz="0" w:space="0" w:color="auto" w:frame="1"/>
        </w:rPr>
        <w:t>ektywy 2000/60/WE</w:t>
      </w:r>
      <w:r w:rsidRPr="002F16A1">
        <w:rPr>
          <w:rStyle w:val="FootnoteReference"/>
          <w:noProof/>
        </w:rPr>
        <w:footnoteReference w:id="8"/>
      </w:r>
      <w:r w:rsidRPr="002F16A1">
        <w:rPr>
          <w:rStyle w:val="normaltextrun"/>
          <w:noProof/>
          <w:color w:val="000000"/>
          <w:bdr w:val="none" w:sz="0" w:space="0" w:color="auto" w:frame="1"/>
        </w:rPr>
        <w:t xml:space="preserve"> Parlamentu Europejskiego</w:t>
      </w:r>
      <w:r w:rsidR="0028384B" w:rsidRPr="002F16A1">
        <w:rPr>
          <w:rStyle w:val="normaltextrun"/>
          <w:noProof/>
          <w:color w:val="000000"/>
          <w:bdr w:val="none" w:sz="0" w:space="0" w:color="auto" w:frame="1"/>
        </w:rPr>
        <w:t xml:space="preserve"> i</w:t>
      </w:r>
      <w:r w:rsidR="0028384B">
        <w:rPr>
          <w:rStyle w:val="normaltextrun"/>
          <w:noProof/>
          <w:color w:val="000000"/>
          <w:bdr w:val="none" w:sz="0" w:space="0" w:color="auto" w:frame="1"/>
        </w:rPr>
        <w:t> </w:t>
      </w:r>
      <w:r w:rsidR="0028384B" w:rsidRPr="002F16A1">
        <w:rPr>
          <w:rStyle w:val="normaltextrun"/>
          <w:noProof/>
          <w:color w:val="000000"/>
          <w:bdr w:val="none" w:sz="0" w:space="0" w:color="auto" w:frame="1"/>
        </w:rPr>
        <w:t>Rad</w:t>
      </w:r>
      <w:r w:rsidRPr="002F16A1">
        <w:rPr>
          <w:rStyle w:val="normaltextrun"/>
          <w:noProof/>
          <w:color w:val="000000"/>
          <w:bdr w:val="none" w:sz="0" w:space="0" w:color="auto" w:frame="1"/>
        </w:rPr>
        <w:t>y</w:t>
      </w:r>
      <w:r w:rsidR="0028384B" w:rsidRPr="002F16A1">
        <w:rPr>
          <w:rStyle w:val="normaltextrun"/>
          <w:noProof/>
          <w:color w:val="000000"/>
          <w:bdr w:val="none" w:sz="0" w:space="0" w:color="auto" w:frame="1"/>
        </w:rPr>
        <w:t xml:space="preserve"> w</w:t>
      </w:r>
      <w:r w:rsidR="0028384B">
        <w:rPr>
          <w:rStyle w:val="normaltextrun"/>
          <w:noProof/>
          <w:color w:val="000000"/>
          <w:bdr w:val="none" w:sz="0" w:space="0" w:color="auto" w:frame="1"/>
        </w:rPr>
        <w:t> </w:t>
      </w:r>
      <w:r w:rsidR="0028384B" w:rsidRPr="002F16A1">
        <w:rPr>
          <w:rStyle w:val="normaltextrun"/>
          <w:noProof/>
          <w:color w:val="000000"/>
          <w:bdr w:val="none" w:sz="0" w:space="0" w:color="auto" w:frame="1"/>
        </w:rPr>
        <w:t>spr</w:t>
      </w:r>
      <w:r w:rsidRPr="002F16A1">
        <w:rPr>
          <w:rStyle w:val="normaltextrun"/>
          <w:noProof/>
          <w:color w:val="000000"/>
          <w:bdr w:val="none" w:sz="0" w:space="0" w:color="auto" w:frame="1"/>
        </w:rPr>
        <w:t>awie polityki wodnej</w:t>
      </w:r>
      <w:r w:rsidRPr="002F16A1">
        <w:rPr>
          <w:rStyle w:val="FootnoteReference"/>
          <w:noProof/>
        </w:rPr>
        <w:footnoteReference w:id="9"/>
      </w:r>
      <w:r w:rsidRPr="002F16A1">
        <w:rPr>
          <w:noProof/>
        </w:rPr>
        <w:t>. Niniejszy wniosek ma na celu usprawnienie</w:t>
      </w:r>
      <w:r w:rsidR="0028384B" w:rsidRPr="002F16A1">
        <w:rPr>
          <w:noProof/>
        </w:rPr>
        <w:t xml:space="preserve"> i</w:t>
      </w:r>
      <w:r w:rsidR="0028384B">
        <w:rPr>
          <w:noProof/>
        </w:rPr>
        <w:t> </w:t>
      </w:r>
      <w:r w:rsidR="0028384B" w:rsidRPr="002F16A1">
        <w:rPr>
          <w:noProof/>
        </w:rPr>
        <w:t>zwi</w:t>
      </w:r>
      <w:r w:rsidRPr="002F16A1">
        <w:rPr>
          <w:noProof/>
        </w:rPr>
        <w:t>ększenie przewidywalności krajowych procedur wydawania zezwoleń, zapewniając zgodność projektów</w:t>
      </w:r>
      <w:r w:rsidR="0028384B" w:rsidRPr="002F16A1">
        <w:rPr>
          <w:noProof/>
        </w:rPr>
        <w:t xml:space="preserve"> z</w:t>
      </w:r>
      <w:r w:rsidR="0028384B">
        <w:rPr>
          <w:noProof/>
        </w:rPr>
        <w:t> </w:t>
      </w:r>
      <w:r w:rsidR="0028384B" w:rsidRPr="002F16A1">
        <w:rPr>
          <w:noProof/>
        </w:rPr>
        <w:t>prz</w:t>
      </w:r>
      <w:r w:rsidRPr="002F16A1">
        <w:rPr>
          <w:noProof/>
        </w:rPr>
        <w:t>episami UE dotyczącymi ochrony przyrody, bez uszczerbku dla skutecznego stosowania jego przepisów.   </w:t>
      </w:r>
    </w:p>
    <w:p w:rsidR="00AD62E2" w:rsidRPr="002F16A1" w:rsidRDefault="00AD62E2" w:rsidP="00AD62E2">
      <w:pPr>
        <w:rPr>
          <w:noProof/>
        </w:rPr>
      </w:pPr>
      <w:r w:rsidRPr="002F16A1">
        <w:rPr>
          <w:noProof/>
        </w:rPr>
        <w:t>Po drugie, unijne ramy dotyczące odpadów regulują kwestie zbierania, ograniczania, recyklingu</w:t>
      </w:r>
      <w:r w:rsidR="0028384B" w:rsidRPr="002F16A1">
        <w:rPr>
          <w:noProof/>
        </w:rPr>
        <w:t xml:space="preserve"> i</w:t>
      </w:r>
      <w:r w:rsidR="0028384B">
        <w:rPr>
          <w:noProof/>
        </w:rPr>
        <w:t> </w:t>
      </w:r>
      <w:r w:rsidR="0028384B" w:rsidRPr="002F16A1">
        <w:rPr>
          <w:noProof/>
        </w:rPr>
        <w:t>prz</w:t>
      </w:r>
      <w:r w:rsidRPr="002F16A1">
        <w:rPr>
          <w:noProof/>
        </w:rPr>
        <w:t>etwarzania odpadów,</w:t>
      </w:r>
      <w:r w:rsidR="0028384B" w:rsidRPr="002F16A1">
        <w:rPr>
          <w:noProof/>
        </w:rPr>
        <w:t xml:space="preserve"> w</w:t>
      </w:r>
      <w:r w:rsidR="0028384B">
        <w:rPr>
          <w:noProof/>
        </w:rPr>
        <w:t> </w:t>
      </w:r>
      <w:r w:rsidR="0028384B" w:rsidRPr="002F16A1">
        <w:rPr>
          <w:noProof/>
        </w:rPr>
        <w:t>tym</w:t>
      </w:r>
      <w:r w:rsidRPr="002F16A1">
        <w:rPr>
          <w:noProof/>
        </w:rPr>
        <w:t xml:space="preserve"> strumieni odpadów zawierających surowce krytyczne. Zgodnie</w:t>
      </w:r>
      <w:r w:rsidR="0028384B" w:rsidRPr="002F16A1">
        <w:rPr>
          <w:noProof/>
        </w:rPr>
        <w:t xml:space="preserve"> z</w:t>
      </w:r>
      <w:r w:rsidR="0028384B">
        <w:rPr>
          <w:noProof/>
        </w:rPr>
        <w:t> </w:t>
      </w:r>
      <w:r w:rsidR="0028384B" w:rsidRPr="002F16A1">
        <w:rPr>
          <w:noProof/>
        </w:rPr>
        <w:t>dyr</w:t>
      </w:r>
      <w:r w:rsidRPr="002F16A1">
        <w:rPr>
          <w:noProof/>
        </w:rPr>
        <w:t>ektywą</w:t>
      </w:r>
      <w:r w:rsidR="0028384B" w:rsidRPr="002F16A1">
        <w:rPr>
          <w:noProof/>
        </w:rPr>
        <w:t xml:space="preserve"> w</w:t>
      </w:r>
      <w:r w:rsidR="0028384B">
        <w:rPr>
          <w:noProof/>
        </w:rPr>
        <w:t> </w:t>
      </w:r>
      <w:r w:rsidR="0028384B" w:rsidRPr="002F16A1">
        <w:rPr>
          <w:noProof/>
        </w:rPr>
        <w:t>spr</w:t>
      </w:r>
      <w:r w:rsidRPr="002F16A1">
        <w:rPr>
          <w:noProof/>
        </w:rPr>
        <w:t>awie odpadów wydobywczych</w:t>
      </w:r>
      <w:r w:rsidRPr="002F16A1">
        <w:rPr>
          <w:rStyle w:val="FootnoteReference"/>
          <w:noProof/>
        </w:rPr>
        <w:footnoteReference w:id="10"/>
      </w:r>
      <w:r w:rsidRPr="002F16A1">
        <w:rPr>
          <w:noProof/>
        </w:rPr>
        <w:t xml:space="preserve"> każdy operator odpowiedzialny za gospodarowanie odpadami wydobywczymi (tj. odpadami powstałymi</w:t>
      </w:r>
      <w:r w:rsidR="0028384B" w:rsidRPr="002F16A1">
        <w:rPr>
          <w:noProof/>
        </w:rPr>
        <w:t xml:space="preserve"> w</w:t>
      </w:r>
      <w:r w:rsidR="0028384B">
        <w:rPr>
          <w:noProof/>
        </w:rPr>
        <w:t> </w:t>
      </w:r>
      <w:r w:rsidR="0028384B" w:rsidRPr="002F16A1">
        <w:rPr>
          <w:noProof/>
        </w:rPr>
        <w:t>wyn</w:t>
      </w:r>
      <w:r w:rsidRPr="002F16A1">
        <w:rPr>
          <w:noProof/>
        </w:rPr>
        <w:t>iku działalności górniczej) musi uzyskać zezwolenie. Niniejszy wniosek uzupełni ten wymóg, nakładając na operatorów (w przypadku obecnie działających obiektów unieszkodliwiania odpadów wydobywczych) oraz państwa członkowskie (w przypadku zamkniętych</w:t>
      </w:r>
      <w:r w:rsidR="0028384B" w:rsidRPr="002F16A1">
        <w:rPr>
          <w:noProof/>
        </w:rPr>
        <w:t xml:space="preserve"> i</w:t>
      </w:r>
      <w:r w:rsidR="0028384B">
        <w:rPr>
          <w:noProof/>
        </w:rPr>
        <w:t> </w:t>
      </w:r>
      <w:r w:rsidR="0028384B" w:rsidRPr="002F16A1">
        <w:rPr>
          <w:noProof/>
        </w:rPr>
        <w:t>nie</w:t>
      </w:r>
      <w:r w:rsidRPr="002F16A1">
        <w:rPr>
          <w:noProof/>
        </w:rPr>
        <w:t>czynnych obiektów unieszkodliwiania odpadów wydobywczych) obowiązek analizy potencjału odzysku surowców krytycznych</w:t>
      </w:r>
      <w:r w:rsidR="0028384B" w:rsidRPr="002F16A1">
        <w:rPr>
          <w:noProof/>
        </w:rPr>
        <w:t xml:space="preserve"> w</w:t>
      </w:r>
      <w:r w:rsidR="0028384B">
        <w:rPr>
          <w:noProof/>
        </w:rPr>
        <w:t> </w:t>
      </w:r>
      <w:r w:rsidR="0028384B" w:rsidRPr="002F16A1">
        <w:rPr>
          <w:noProof/>
        </w:rPr>
        <w:t>odp</w:t>
      </w:r>
      <w:r w:rsidRPr="002F16A1">
        <w:rPr>
          <w:noProof/>
        </w:rPr>
        <w:t>adach wydobywczych. Dyrektywa ramowa</w:t>
      </w:r>
      <w:r w:rsidR="0028384B" w:rsidRPr="002F16A1">
        <w:rPr>
          <w:noProof/>
        </w:rPr>
        <w:t xml:space="preserve"> w</w:t>
      </w:r>
      <w:r w:rsidR="0028384B">
        <w:rPr>
          <w:noProof/>
        </w:rPr>
        <w:t> </w:t>
      </w:r>
      <w:r w:rsidR="0028384B" w:rsidRPr="002F16A1">
        <w:rPr>
          <w:noProof/>
        </w:rPr>
        <w:t>spr</w:t>
      </w:r>
      <w:r w:rsidRPr="002F16A1">
        <w:rPr>
          <w:noProof/>
        </w:rPr>
        <w:t>awie odpadów</w:t>
      </w:r>
      <w:r w:rsidRPr="002F16A1">
        <w:rPr>
          <w:rStyle w:val="FootnoteReference"/>
          <w:noProof/>
        </w:rPr>
        <w:footnoteReference w:id="11"/>
      </w:r>
      <w:r w:rsidRPr="002F16A1">
        <w:rPr>
          <w:noProof/>
        </w:rPr>
        <w:t xml:space="preserve"> dotyczy odpadów ogółem</w:t>
      </w:r>
      <w:r w:rsidR="0028384B" w:rsidRPr="002F16A1">
        <w:rPr>
          <w:noProof/>
        </w:rPr>
        <w:t xml:space="preserve"> i</w:t>
      </w:r>
      <w:r w:rsidR="0028384B">
        <w:rPr>
          <w:noProof/>
        </w:rPr>
        <w:t> </w:t>
      </w:r>
      <w:r w:rsidR="0028384B" w:rsidRPr="002F16A1">
        <w:rPr>
          <w:noProof/>
        </w:rPr>
        <w:t>nak</w:t>
      </w:r>
      <w:r w:rsidRPr="002F16A1">
        <w:rPr>
          <w:noProof/>
        </w:rPr>
        <w:t>łada się</w:t>
      </w:r>
      <w:r w:rsidR="0028384B" w:rsidRPr="002F16A1">
        <w:rPr>
          <w:noProof/>
        </w:rPr>
        <w:t xml:space="preserve"> w</w:t>
      </w:r>
      <w:r w:rsidR="0028384B">
        <w:rPr>
          <w:noProof/>
        </w:rPr>
        <w:t> </w:t>
      </w:r>
      <w:r w:rsidR="0028384B" w:rsidRPr="002F16A1">
        <w:rPr>
          <w:noProof/>
        </w:rPr>
        <w:t>nie</w:t>
      </w:r>
      <w:r w:rsidRPr="002F16A1">
        <w:rPr>
          <w:noProof/>
        </w:rPr>
        <w:t>j na państwa członkowskie obowiązek wprowadzenia środków służących zapobieganiu wytwarzaniu odpadów,</w:t>
      </w:r>
      <w:r w:rsidR="0028384B" w:rsidRPr="002F16A1">
        <w:rPr>
          <w:noProof/>
        </w:rPr>
        <w:t xml:space="preserve"> w</w:t>
      </w:r>
      <w:r w:rsidR="0028384B">
        <w:rPr>
          <w:noProof/>
        </w:rPr>
        <w:t> </w:t>
      </w:r>
      <w:r w:rsidR="0028384B" w:rsidRPr="002F16A1">
        <w:rPr>
          <w:noProof/>
        </w:rPr>
        <w:t>szc</w:t>
      </w:r>
      <w:r w:rsidRPr="002F16A1">
        <w:rPr>
          <w:noProof/>
        </w:rPr>
        <w:t>zególności produktów zawierających surowce krytyczne. Dyrektywa</w:t>
      </w:r>
      <w:r w:rsidR="0028384B" w:rsidRPr="002F16A1">
        <w:rPr>
          <w:noProof/>
        </w:rPr>
        <w:t xml:space="preserve"> w</w:t>
      </w:r>
      <w:r w:rsidR="0028384B">
        <w:rPr>
          <w:noProof/>
        </w:rPr>
        <w:t> </w:t>
      </w:r>
      <w:r w:rsidR="0028384B" w:rsidRPr="002F16A1">
        <w:rPr>
          <w:noProof/>
        </w:rPr>
        <w:t>spr</w:t>
      </w:r>
      <w:r w:rsidRPr="002F16A1">
        <w:rPr>
          <w:noProof/>
        </w:rPr>
        <w:t>awie zużytego sprzętu elektrycznego</w:t>
      </w:r>
      <w:r w:rsidR="0028384B" w:rsidRPr="002F16A1">
        <w:rPr>
          <w:noProof/>
        </w:rPr>
        <w:t xml:space="preserve"> i</w:t>
      </w:r>
      <w:r w:rsidR="0028384B">
        <w:rPr>
          <w:noProof/>
        </w:rPr>
        <w:t> </w:t>
      </w:r>
      <w:r w:rsidR="0028384B" w:rsidRPr="002F16A1">
        <w:rPr>
          <w:noProof/>
        </w:rPr>
        <w:t>ele</w:t>
      </w:r>
      <w:r w:rsidRPr="002F16A1">
        <w:rPr>
          <w:noProof/>
        </w:rPr>
        <w:t>ktronicznego</w:t>
      </w:r>
      <w:r w:rsidRPr="002F16A1">
        <w:rPr>
          <w:rStyle w:val="FootnoteReference"/>
          <w:noProof/>
        </w:rPr>
        <w:footnoteReference w:id="12"/>
      </w:r>
      <w:r w:rsidRPr="002F16A1">
        <w:rPr>
          <w:noProof/>
        </w:rPr>
        <w:t xml:space="preserve"> zawiera przepisy mające na celu propagowanie przygotowania do ponownego użycia, recyklingu</w:t>
      </w:r>
      <w:r w:rsidR="0028384B" w:rsidRPr="002F16A1">
        <w:rPr>
          <w:noProof/>
        </w:rPr>
        <w:t xml:space="preserve"> i</w:t>
      </w:r>
      <w:r w:rsidR="0028384B">
        <w:rPr>
          <w:noProof/>
        </w:rPr>
        <w:t> </w:t>
      </w:r>
      <w:r w:rsidR="0028384B" w:rsidRPr="002F16A1">
        <w:rPr>
          <w:noProof/>
        </w:rPr>
        <w:t>inn</w:t>
      </w:r>
      <w:r w:rsidRPr="002F16A1">
        <w:rPr>
          <w:noProof/>
        </w:rPr>
        <w:t>ych form odzysku odpadów ze sprzętu elektrycznego</w:t>
      </w:r>
      <w:r w:rsidR="0028384B" w:rsidRPr="002F16A1">
        <w:rPr>
          <w:noProof/>
        </w:rPr>
        <w:t xml:space="preserve"> i</w:t>
      </w:r>
      <w:r w:rsidR="0028384B">
        <w:rPr>
          <w:noProof/>
        </w:rPr>
        <w:t> </w:t>
      </w:r>
      <w:r w:rsidR="0028384B" w:rsidRPr="002F16A1">
        <w:rPr>
          <w:noProof/>
        </w:rPr>
        <w:t>ele</w:t>
      </w:r>
      <w:r w:rsidRPr="002F16A1">
        <w:rPr>
          <w:noProof/>
        </w:rPr>
        <w:t>ktronicznego, aby przyczynić się do wydajnego wykorzystywania zasobów oraz do odzyskiwania surowców wtórnych,</w:t>
      </w:r>
      <w:r w:rsidR="0028384B" w:rsidRPr="002F16A1">
        <w:rPr>
          <w:noProof/>
        </w:rPr>
        <w:t xml:space="preserve"> w</w:t>
      </w:r>
      <w:r w:rsidR="0028384B">
        <w:rPr>
          <w:noProof/>
        </w:rPr>
        <w:t> </w:t>
      </w:r>
      <w:r w:rsidR="0028384B" w:rsidRPr="002F16A1">
        <w:rPr>
          <w:noProof/>
        </w:rPr>
        <w:t>tym</w:t>
      </w:r>
      <w:r w:rsidRPr="002F16A1">
        <w:rPr>
          <w:noProof/>
        </w:rPr>
        <w:t xml:space="preserve"> surowców krytycznych. Prowadzony jest wspólny przegląd dyrektywy 2000/53/WE</w:t>
      </w:r>
      <w:r w:rsidRPr="002F16A1">
        <w:rPr>
          <w:rStyle w:val="FootnoteReference"/>
          <w:noProof/>
        </w:rPr>
        <w:footnoteReference w:id="13"/>
      </w:r>
      <w:r w:rsidR="0028384B" w:rsidRPr="002F16A1">
        <w:rPr>
          <w:noProof/>
        </w:rPr>
        <w:t xml:space="preserve"> w</w:t>
      </w:r>
      <w:r w:rsidR="0028384B">
        <w:rPr>
          <w:noProof/>
        </w:rPr>
        <w:t> </w:t>
      </w:r>
      <w:r w:rsidR="0028384B" w:rsidRPr="002F16A1">
        <w:rPr>
          <w:noProof/>
        </w:rPr>
        <w:t>spr</w:t>
      </w:r>
      <w:r w:rsidRPr="002F16A1">
        <w:rPr>
          <w:noProof/>
        </w:rPr>
        <w:t>awie pojazdów wycofanych</w:t>
      </w:r>
      <w:r w:rsidR="0028384B" w:rsidRPr="002F16A1">
        <w:rPr>
          <w:noProof/>
        </w:rPr>
        <w:t xml:space="preserve"> z</w:t>
      </w:r>
      <w:r w:rsidR="0028384B">
        <w:rPr>
          <w:noProof/>
        </w:rPr>
        <w:t> </w:t>
      </w:r>
      <w:r w:rsidR="0028384B" w:rsidRPr="002F16A1">
        <w:rPr>
          <w:noProof/>
        </w:rPr>
        <w:t>eks</w:t>
      </w:r>
      <w:r w:rsidRPr="002F16A1">
        <w:rPr>
          <w:noProof/>
        </w:rPr>
        <w:t>ploatacji</w:t>
      </w:r>
      <w:r w:rsidR="0028384B" w:rsidRPr="002F16A1">
        <w:rPr>
          <w:noProof/>
        </w:rPr>
        <w:t xml:space="preserve"> w</w:t>
      </w:r>
      <w:r w:rsidR="0028384B">
        <w:rPr>
          <w:noProof/>
        </w:rPr>
        <w:t> </w:t>
      </w:r>
      <w:r w:rsidR="0028384B" w:rsidRPr="002F16A1">
        <w:rPr>
          <w:noProof/>
        </w:rPr>
        <w:t>zwi</w:t>
      </w:r>
      <w:r w:rsidRPr="002F16A1">
        <w:rPr>
          <w:noProof/>
        </w:rPr>
        <w:t>ązku</w:t>
      </w:r>
      <w:r w:rsidR="0028384B" w:rsidRPr="002F16A1">
        <w:rPr>
          <w:noProof/>
        </w:rPr>
        <w:t xml:space="preserve"> z</w:t>
      </w:r>
      <w:r w:rsidR="0028384B">
        <w:rPr>
          <w:noProof/>
        </w:rPr>
        <w:t> </w:t>
      </w:r>
      <w:r w:rsidR="0028384B" w:rsidRPr="002F16A1">
        <w:rPr>
          <w:noProof/>
        </w:rPr>
        <w:t>dyr</w:t>
      </w:r>
      <w:r w:rsidRPr="002F16A1">
        <w:rPr>
          <w:noProof/>
        </w:rPr>
        <w:t>ektywą 2005/64/WE</w:t>
      </w:r>
      <w:r w:rsidRPr="002F16A1">
        <w:rPr>
          <w:rStyle w:val="FootnoteReference"/>
          <w:noProof/>
        </w:rPr>
        <w:footnoteReference w:id="14"/>
      </w:r>
      <w:r w:rsidRPr="002F16A1">
        <w:rPr>
          <w:noProof/>
        </w:rPr>
        <w:t xml:space="preserve"> dotyczącą homologacji typu pojazdów mechanicznych pod względem ich przydatności do ponownego użycia, zdolności do recyklingu</w:t>
      </w:r>
      <w:r w:rsidR="0028384B" w:rsidRPr="002F16A1">
        <w:rPr>
          <w:noProof/>
        </w:rPr>
        <w:t xml:space="preserve"> i</w:t>
      </w:r>
      <w:r w:rsidR="0028384B">
        <w:rPr>
          <w:noProof/>
        </w:rPr>
        <w:t> </w:t>
      </w:r>
      <w:r w:rsidR="0028384B" w:rsidRPr="002F16A1">
        <w:rPr>
          <w:noProof/>
        </w:rPr>
        <w:t>odz</w:t>
      </w:r>
      <w:r w:rsidRPr="002F16A1">
        <w:rPr>
          <w:noProof/>
        </w:rPr>
        <w:t>ysku, mający na celu zmniejszenie ilości odpadów pochodzących</w:t>
      </w:r>
      <w:r w:rsidR="0028384B" w:rsidRPr="002F16A1">
        <w:rPr>
          <w:noProof/>
        </w:rPr>
        <w:t xml:space="preserve"> z</w:t>
      </w:r>
      <w:r w:rsidR="0028384B">
        <w:rPr>
          <w:noProof/>
        </w:rPr>
        <w:t> </w:t>
      </w:r>
      <w:r w:rsidR="0028384B" w:rsidRPr="002F16A1">
        <w:rPr>
          <w:noProof/>
        </w:rPr>
        <w:t>poj</w:t>
      </w:r>
      <w:r w:rsidRPr="002F16A1">
        <w:rPr>
          <w:noProof/>
        </w:rPr>
        <w:t>azdów wycofanych</w:t>
      </w:r>
      <w:r w:rsidR="0028384B" w:rsidRPr="002F16A1">
        <w:rPr>
          <w:noProof/>
        </w:rPr>
        <w:t xml:space="preserve"> z</w:t>
      </w:r>
      <w:r w:rsidR="0028384B">
        <w:rPr>
          <w:noProof/>
        </w:rPr>
        <w:t> </w:t>
      </w:r>
      <w:r w:rsidR="0028384B" w:rsidRPr="002F16A1">
        <w:rPr>
          <w:noProof/>
        </w:rPr>
        <w:t>eks</w:t>
      </w:r>
      <w:r w:rsidRPr="002F16A1">
        <w:rPr>
          <w:noProof/>
        </w:rPr>
        <w:t>ploatacji</w:t>
      </w:r>
      <w:r w:rsidR="0028384B" w:rsidRPr="002F16A1">
        <w:rPr>
          <w:noProof/>
        </w:rPr>
        <w:t xml:space="preserve"> i</w:t>
      </w:r>
      <w:r w:rsidR="0028384B">
        <w:rPr>
          <w:noProof/>
        </w:rPr>
        <w:t> </w:t>
      </w:r>
      <w:r w:rsidR="0028384B" w:rsidRPr="002F16A1">
        <w:rPr>
          <w:noProof/>
        </w:rPr>
        <w:t>ich</w:t>
      </w:r>
      <w:r w:rsidRPr="002F16A1">
        <w:rPr>
          <w:noProof/>
        </w:rPr>
        <w:t xml:space="preserve"> części oraz zwiększenie obiegu zamkniętego zarówno pojazdów konwencjonalnych, jak</w:t>
      </w:r>
      <w:r w:rsidR="0028384B" w:rsidRPr="002F16A1">
        <w:rPr>
          <w:noProof/>
        </w:rPr>
        <w:t xml:space="preserve"> i</w:t>
      </w:r>
      <w:r w:rsidR="0028384B">
        <w:rPr>
          <w:noProof/>
        </w:rPr>
        <w:t> </w:t>
      </w:r>
      <w:r w:rsidR="0028384B" w:rsidRPr="002F16A1">
        <w:rPr>
          <w:noProof/>
        </w:rPr>
        <w:t>ele</w:t>
      </w:r>
      <w:r w:rsidRPr="002F16A1">
        <w:rPr>
          <w:noProof/>
        </w:rPr>
        <w:t>ktrycznych, które zawierają znaczne ilości surowców krytycznych. Inicjatywa ustawodawcza oparta na tym przeglądzie uzupełni horyzontalne wymogi dotyczące zdolności do recyklingu zawarte</w:t>
      </w:r>
      <w:r w:rsidR="0028384B" w:rsidRPr="002F16A1">
        <w:rPr>
          <w:noProof/>
        </w:rPr>
        <w:t xml:space="preserve"> w</w:t>
      </w:r>
      <w:r w:rsidR="0028384B">
        <w:rPr>
          <w:noProof/>
        </w:rPr>
        <w:t> </w:t>
      </w:r>
      <w:r w:rsidR="0028384B" w:rsidRPr="002F16A1">
        <w:rPr>
          <w:noProof/>
        </w:rPr>
        <w:t>nin</w:t>
      </w:r>
      <w:r w:rsidRPr="002F16A1">
        <w:rPr>
          <w:noProof/>
        </w:rPr>
        <w:t>iejszym rozporządzeniu dzięki wprowadzeniu bardziej szczegółowych wymogów mających na celu poprawę zdolności do recyklingu magnesów trwałych</w:t>
      </w:r>
      <w:r w:rsidR="0028384B" w:rsidRPr="002F16A1">
        <w:rPr>
          <w:noProof/>
        </w:rPr>
        <w:t xml:space="preserve"> w</w:t>
      </w:r>
      <w:r w:rsidR="0028384B">
        <w:rPr>
          <w:noProof/>
        </w:rPr>
        <w:t> </w:t>
      </w:r>
      <w:r w:rsidR="0028384B" w:rsidRPr="002F16A1">
        <w:rPr>
          <w:noProof/>
        </w:rPr>
        <w:t>poj</w:t>
      </w:r>
      <w:r w:rsidRPr="002F16A1">
        <w:rPr>
          <w:noProof/>
        </w:rPr>
        <w:t>azdach, co ułatwi przetwarzanie ich odpadów</w:t>
      </w:r>
      <w:r w:rsidR="0028384B" w:rsidRPr="002F16A1">
        <w:rPr>
          <w:noProof/>
        </w:rPr>
        <w:t xml:space="preserve"> i</w:t>
      </w:r>
      <w:r w:rsidR="0028384B">
        <w:rPr>
          <w:noProof/>
        </w:rPr>
        <w:t> </w:t>
      </w:r>
      <w:r w:rsidR="0028384B" w:rsidRPr="002F16A1">
        <w:rPr>
          <w:noProof/>
        </w:rPr>
        <w:t>rec</w:t>
      </w:r>
      <w:r w:rsidRPr="002F16A1">
        <w:rPr>
          <w:noProof/>
        </w:rPr>
        <w:t>ykling. </w:t>
      </w:r>
    </w:p>
    <w:p w:rsidR="00AD62E2" w:rsidRPr="002F16A1" w:rsidRDefault="00AD62E2" w:rsidP="00AD62E2">
      <w:pPr>
        <w:rPr>
          <w:noProof/>
        </w:rPr>
      </w:pPr>
      <w:r w:rsidRPr="002F16A1">
        <w:rPr>
          <w:noProof/>
        </w:rPr>
        <w:t>Po trzecie, klasyfikacja zagrożeń przewidziana</w:t>
      </w:r>
      <w:r w:rsidR="0028384B" w:rsidRPr="002F16A1">
        <w:rPr>
          <w:noProof/>
        </w:rPr>
        <w:t xml:space="preserve"> w</w:t>
      </w:r>
      <w:r w:rsidR="0028384B">
        <w:rPr>
          <w:noProof/>
        </w:rPr>
        <w:t> </w:t>
      </w:r>
      <w:r w:rsidR="0028384B" w:rsidRPr="002F16A1">
        <w:rPr>
          <w:noProof/>
        </w:rPr>
        <w:t>roz</w:t>
      </w:r>
      <w:r w:rsidRPr="002F16A1">
        <w:rPr>
          <w:noProof/>
        </w:rPr>
        <w:t>porządzeniu 1272/2008/WE</w:t>
      </w:r>
      <w:r w:rsidR="0028384B" w:rsidRPr="002F16A1">
        <w:rPr>
          <w:noProof/>
        </w:rPr>
        <w:t xml:space="preserve"> w</w:t>
      </w:r>
      <w:r w:rsidR="0028384B">
        <w:rPr>
          <w:noProof/>
        </w:rPr>
        <w:t> </w:t>
      </w:r>
      <w:r w:rsidR="0028384B" w:rsidRPr="002F16A1">
        <w:rPr>
          <w:noProof/>
        </w:rPr>
        <w:t>spr</w:t>
      </w:r>
      <w:r w:rsidRPr="002F16A1">
        <w:rPr>
          <w:noProof/>
        </w:rPr>
        <w:t>awie klasyfikacji, oznakowania</w:t>
      </w:r>
      <w:r w:rsidR="0028384B" w:rsidRPr="002F16A1">
        <w:rPr>
          <w:noProof/>
        </w:rPr>
        <w:t xml:space="preserve"> i</w:t>
      </w:r>
      <w:r w:rsidR="0028384B">
        <w:rPr>
          <w:noProof/>
        </w:rPr>
        <w:t> </w:t>
      </w:r>
      <w:r w:rsidR="0028384B" w:rsidRPr="002F16A1">
        <w:rPr>
          <w:noProof/>
        </w:rPr>
        <w:t>pak</w:t>
      </w:r>
      <w:r w:rsidRPr="002F16A1">
        <w:rPr>
          <w:noProof/>
        </w:rPr>
        <w:t>owania substancji</w:t>
      </w:r>
      <w:r w:rsidR="0028384B" w:rsidRPr="002F16A1">
        <w:rPr>
          <w:noProof/>
        </w:rPr>
        <w:t xml:space="preserve"> i</w:t>
      </w:r>
      <w:r w:rsidR="0028384B">
        <w:rPr>
          <w:noProof/>
        </w:rPr>
        <w:t> </w:t>
      </w:r>
      <w:r w:rsidR="0028384B" w:rsidRPr="002F16A1">
        <w:rPr>
          <w:noProof/>
        </w:rPr>
        <w:t>mie</w:t>
      </w:r>
      <w:r w:rsidRPr="002F16A1">
        <w:rPr>
          <w:noProof/>
        </w:rPr>
        <w:t>szanin</w:t>
      </w:r>
      <w:r w:rsidRPr="002F16A1">
        <w:rPr>
          <w:rStyle w:val="FootnoteReference"/>
          <w:noProof/>
        </w:rPr>
        <w:footnoteReference w:id="15"/>
      </w:r>
      <w:r w:rsidRPr="002F16A1">
        <w:rPr>
          <w:noProof/>
        </w:rPr>
        <w:t xml:space="preserve"> oraz środki zmniejszające ryzyko przewidziane</w:t>
      </w:r>
      <w:r w:rsidR="0028384B" w:rsidRPr="002F16A1">
        <w:rPr>
          <w:noProof/>
        </w:rPr>
        <w:t xml:space="preserve"> w</w:t>
      </w:r>
      <w:r w:rsidR="0028384B">
        <w:rPr>
          <w:noProof/>
        </w:rPr>
        <w:t> </w:t>
      </w:r>
      <w:r w:rsidR="0028384B" w:rsidRPr="002F16A1">
        <w:rPr>
          <w:noProof/>
        </w:rPr>
        <w:t>roz</w:t>
      </w:r>
      <w:r w:rsidRPr="002F16A1">
        <w:rPr>
          <w:noProof/>
        </w:rPr>
        <w:t>porządzeniu 1907/2006/WE</w:t>
      </w:r>
      <w:r w:rsidRPr="002F16A1">
        <w:rPr>
          <w:rStyle w:val="FootnoteReference"/>
          <w:noProof/>
        </w:rPr>
        <w:footnoteReference w:id="16"/>
      </w:r>
      <w:r w:rsidR="0028384B" w:rsidRPr="002F16A1">
        <w:rPr>
          <w:noProof/>
        </w:rPr>
        <w:t xml:space="preserve"> w</w:t>
      </w:r>
      <w:r w:rsidR="0028384B">
        <w:rPr>
          <w:noProof/>
        </w:rPr>
        <w:t> </w:t>
      </w:r>
      <w:r w:rsidR="0028384B" w:rsidRPr="002F16A1">
        <w:rPr>
          <w:noProof/>
        </w:rPr>
        <w:t>spr</w:t>
      </w:r>
      <w:r w:rsidRPr="002F16A1">
        <w:rPr>
          <w:noProof/>
        </w:rPr>
        <w:t>awie rejestracji, oceny, udzielania zezwoleń</w:t>
      </w:r>
      <w:r w:rsidR="0028384B" w:rsidRPr="002F16A1">
        <w:rPr>
          <w:noProof/>
        </w:rPr>
        <w:t xml:space="preserve"> i</w:t>
      </w:r>
      <w:r w:rsidR="0028384B">
        <w:rPr>
          <w:noProof/>
        </w:rPr>
        <w:t> </w:t>
      </w:r>
      <w:r w:rsidR="0028384B" w:rsidRPr="002F16A1">
        <w:rPr>
          <w:noProof/>
        </w:rPr>
        <w:t>sto</w:t>
      </w:r>
      <w:r w:rsidRPr="002F16A1">
        <w:rPr>
          <w:noProof/>
        </w:rPr>
        <w:t>sowanych ograniczeń</w:t>
      </w:r>
      <w:r w:rsidR="0028384B" w:rsidRPr="002F16A1">
        <w:rPr>
          <w:noProof/>
        </w:rPr>
        <w:t xml:space="preserve"> w</w:t>
      </w:r>
      <w:r w:rsidR="0028384B">
        <w:rPr>
          <w:noProof/>
        </w:rPr>
        <w:t> </w:t>
      </w:r>
      <w:r w:rsidR="0028384B" w:rsidRPr="002F16A1">
        <w:rPr>
          <w:noProof/>
        </w:rPr>
        <w:t>zak</w:t>
      </w:r>
      <w:r w:rsidRPr="002F16A1">
        <w:rPr>
          <w:noProof/>
        </w:rPr>
        <w:t>resie chemikaliów (REACH) służą zapewnieniu bezpieczeństwa chemikaliów</w:t>
      </w:r>
      <w:r w:rsidR="0028384B" w:rsidRPr="002F16A1">
        <w:rPr>
          <w:noProof/>
        </w:rPr>
        <w:t xml:space="preserve"> i</w:t>
      </w:r>
      <w:r w:rsidR="0028384B">
        <w:rPr>
          <w:noProof/>
        </w:rPr>
        <w:t> </w:t>
      </w:r>
      <w:r w:rsidR="0028384B" w:rsidRPr="002F16A1">
        <w:rPr>
          <w:noProof/>
        </w:rPr>
        <w:t>pro</w:t>
      </w:r>
      <w:r w:rsidRPr="002F16A1">
        <w:rPr>
          <w:noProof/>
        </w:rPr>
        <w:t>duktów zawierających chemikalia w UE, co ma bardzo istotne znaczenie</w:t>
      </w:r>
      <w:r w:rsidR="0028384B" w:rsidRPr="002F16A1">
        <w:rPr>
          <w:noProof/>
        </w:rPr>
        <w:t xml:space="preserve"> w</w:t>
      </w:r>
      <w:r w:rsidR="0028384B">
        <w:rPr>
          <w:noProof/>
        </w:rPr>
        <w:t> </w:t>
      </w:r>
      <w:r w:rsidR="0028384B" w:rsidRPr="002F16A1">
        <w:rPr>
          <w:noProof/>
        </w:rPr>
        <w:t>prz</w:t>
      </w:r>
      <w:r w:rsidRPr="002F16A1">
        <w:rPr>
          <w:noProof/>
        </w:rPr>
        <w:t>ypadku surowców krytycznych</w:t>
      </w:r>
      <w:r w:rsidR="0028384B" w:rsidRPr="002F16A1">
        <w:rPr>
          <w:noProof/>
        </w:rPr>
        <w:t>. W</w:t>
      </w:r>
      <w:r w:rsidR="0028384B">
        <w:rPr>
          <w:noProof/>
        </w:rPr>
        <w:t> </w:t>
      </w:r>
      <w:r w:rsidR="0028384B" w:rsidRPr="002F16A1">
        <w:rPr>
          <w:noProof/>
        </w:rPr>
        <w:t>tym</w:t>
      </w:r>
      <w:r w:rsidRPr="002F16A1">
        <w:rPr>
          <w:noProof/>
        </w:rPr>
        <w:t xml:space="preserve"> względzie</w:t>
      </w:r>
      <w:r w:rsidR="0028384B" w:rsidRPr="002F16A1">
        <w:rPr>
          <w:noProof/>
        </w:rPr>
        <w:t xml:space="preserve"> w</w:t>
      </w:r>
      <w:r w:rsidR="0028384B">
        <w:rPr>
          <w:noProof/>
        </w:rPr>
        <w:t> </w:t>
      </w:r>
      <w:r w:rsidR="0028384B" w:rsidRPr="002F16A1">
        <w:rPr>
          <w:noProof/>
        </w:rPr>
        <w:t>uni</w:t>
      </w:r>
      <w:r w:rsidRPr="002F16A1">
        <w:rPr>
          <w:noProof/>
        </w:rPr>
        <w:t>jnej strategii</w:t>
      </w:r>
      <w:r w:rsidR="0028384B" w:rsidRPr="002F16A1">
        <w:rPr>
          <w:noProof/>
        </w:rPr>
        <w:t xml:space="preserve"> w</w:t>
      </w:r>
      <w:r w:rsidR="0028384B">
        <w:rPr>
          <w:noProof/>
        </w:rPr>
        <w:t> </w:t>
      </w:r>
      <w:r w:rsidR="0028384B" w:rsidRPr="002F16A1">
        <w:rPr>
          <w:noProof/>
        </w:rPr>
        <w:t>zak</w:t>
      </w:r>
      <w:r w:rsidRPr="002F16A1">
        <w:rPr>
          <w:noProof/>
        </w:rPr>
        <w:t>resie chemikaliów na rzecz zrównoważoności</w:t>
      </w:r>
      <w:r w:rsidRPr="002F16A1">
        <w:rPr>
          <w:rStyle w:val="FootnoteReference"/>
          <w:noProof/>
        </w:rPr>
        <w:footnoteReference w:id="17"/>
      </w:r>
      <w:r w:rsidRPr="002F16A1">
        <w:rPr>
          <w:noProof/>
        </w:rPr>
        <w:t xml:space="preserve"> określono działania niezbędne do lepszej ochrony zdrowia ludzkiego</w:t>
      </w:r>
      <w:r w:rsidR="0028384B" w:rsidRPr="002F16A1">
        <w:rPr>
          <w:noProof/>
        </w:rPr>
        <w:t xml:space="preserve"> i</w:t>
      </w:r>
      <w:r w:rsidR="0028384B">
        <w:rPr>
          <w:noProof/>
        </w:rPr>
        <w:t> </w:t>
      </w:r>
      <w:r w:rsidR="0028384B" w:rsidRPr="002F16A1">
        <w:rPr>
          <w:noProof/>
        </w:rPr>
        <w:t>śro</w:t>
      </w:r>
      <w:r w:rsidRPr="002F16A1">
        <w:rPr>
          <w:noProof/>
        </w:rPr>
        <w:t>dowiska</w:t>
      </w:r>
      <w:r w:rsidR="0028384B" w:rsidRPr="002F16A1">
        <w:rPr>
          <w:noProof/>
        </w:rPr>
        <w:t xml:space="preserve"> w</w:t>
      </w:r>
      <w:r w:rsidR="0028384B">
        <w:rPr>
          <w:noProof/>
        </w:rPr>
        <w:t> </w:t>
      </w:r>
      <w:r w:rsidR="0028384B" w:rsidRPr="002F16A1">
        <w:rPr>
          <w:noProof/>
        </w:rPr>
        <w:t>ram</w:t>
      </w:r>
      <w:r w:rsidRPr="002F16A1">
        <w:rPr>
          <w:noProof/>
        </w:rPr>
        <w:t>ach ambitnego podejścia dążącego do stworzenia środowiska wolnego od toksyn pod względem bezpieczeństwa chemicznego, zgodnie</w:t>
      </w:r>
      <w:r w:rsidR="0028384B" w:rsidRPr="002F16A1">
        <w:rPr>
          <w:noProof/>
        </w:rPr>
        <w:t xml:space="preserve"> z</w:t>
      </w:r>
      <w:r w:rsidR="0028384B">
        <w:rPr>
          <w:noProof/>
        </w:rPr>
        <w:t> </w:t>
      </w:r>
      <w:r w:rsidR="0028384B" w:rsidRPr="002F16A1">
        <w:rPr>
          <w:noProof/>
        </w:rPr>
        <w:t>Eur</w:t>
      </w:r>
      <w:r w:rsidRPr="002F16A1">
        <w:rPr>
          <w:noProof/>
        </w:rPr>
        <w:t>opejskim Zielonym Ładem. Obejmuje to zmniejszenie ryzyka</w:t>
      </w:r>
      <w:r w:rsidR="0028384B" w:rsidRPr="002F16A1">
        <w:rPr>
          <w:noProof/>
        </w:rPr>
        <w:t xml:space="preserve"> i</w:t>
      </w:r>
      <w:r w:rsidR="0028384B">
        <w:rPr>
          <w:noProof/>
        </w:rPr>
        <w:t> </w:t>
      </w:r>
      <w:r w:rsidR="0028384B" w:rsidRPr="002F16A1">
        <w:rPr>
          <w:noProof/>
        </w:rPr>
        <w:t>zas</w:t>
      </w:r>
      <w:r w:rsidRPr="002F16A1">
        <w:rPr>
          <w:noProof/>
        </w:rPr>
        <w:t>tępowanie najbardziej niebezpiecznych chemikaliów</w:t>
      </w:r>
      <w:r w:rsidR="0028384B" w:rsidRPr="002F16A1">
        <w:rPr>
          <w:noProof/>
        </w:rPr>
        <w:t xml:space="preserve"> w</w:t>
      </w:r>
      <w:r w:rsidR="0028384B">
        <w:rPr>
          <w:noProof/>
        </w:rPr>
        <w:t> </w:t>
      </w:r>
      <w:r w:rsidR="0028384B" w:rsidRPr="002F16A1">
        <w:rPr>
          <w:noProof/>
        </w:rPr>
        <w:t>pro</w:t>
      </w:r>
      <w:r w:rsidRPr="002F16A1">
        <w:rPr>
          <w:noProof/>
        </w:rPr>
        <w:t>duktach konsumenckich</w:t>
      </w:r>
      <w:r w:rsidR="0028384B" w:rsidRPr="002F16A1">
        <w:rPr>
          <w:noProof/>
        </w:rPr>
        <w:t xml:space="preserve"> i</w:t>
      </w:r>
      <w:r w:rsidR="0028384B">
        <w:rPr>
          <w:noProof/>
        </w:rPr>
        <w:t> </w:t>
      </w:r>
      <w:r w:rsidR="0028384B" w:rsidRPr="002F16A1">
        <w:rPr>
          <w:noProof/>
        </w:rPr>
        <w:t>spe</w:t>
      </w:r>
      <w:r w:rsidRPr="002F16A1">
        <w:rPr>
          <w:noProof/>
        </w:rPr>
        <w:t>cjalistycznych</w:t>
      </w:r>
      <w:r w:rsidR="0028384B" w:rsidRPr="002F16A1">
        <w:rPr>
          <w:noProof/>
        </w:rPr>
        <w:t>. W</w:t>
      </w:r>
      <w:r w:rsidR="0028384B">
        <w:rPr>
          <w:noProof/>
        </w:rPr>
        <w:t> </w:t>
      </w:r>
      <w:r w:rsidR="0028384B" w:rsidRPr="002F16A1">
        <w:rPr>
          <w:noProof/>
        </w:rPr>
        <w:t>str</w:t>
      </w:r>
      <w:r w:rsidRPr="002F16A1">
        <w:rPr>
          <w:noProof/>
        </w:rPr>
        <w:t>ategii tej uznano także potrzebę umożliwienia stosowania tych najbardziej szkodliwych chemikaliów, gdy jest to nieodzowne dla społeczeństwa</w:t>
      </w:r>
      <w:r w:rsidR="0028384B" w:rsidRPr="002F16A1">
        <w:rPr>
          <w:noProof/>
        </w:rPr>
        <w:t>. W</w:t>
      </w:r>
      <w:r w:rsidR="0028384B">
        <w:rPr>
          <w:noProof/>
        </w:rPr>
        <w:t> </w:t>
      </w:r>
      <w:r w:rsidR="0028384B" w:rsidRPr="002F16A1">
        <w:rPr>
          <w:noProof/>
        </w:rPr>
        <w:t>wie</w:t>
      </w:r>
      <w:r w:rsidRPr="002F16A1">
        <w:rPr>
          <w:noProof/>
        </w:rPr>
        <w:t>lu przypadkach będzie to dotyczyło również stosowania surowców krytycznych.</w:t>
      </w:r>
    </w:p>
    <w:p w:rsidR="00AD62E2" w:rsidRPr="002F16A1" w:rsidRDefault="00AD62E2" w:rsidP="00AD62E2">
      <w:pPr>
        <w:rPr>
          <w:rFonts w:eastAsia="Times New Roman"/>
          <w:noProof/>
        </w:rPr>
      </w:pPr>
      <w:r w:rsidRPr="002F16A1">
        <w:rPr>
          <w:noProof/>
        </w:rPr>
        <w:t>Po czwarte, obecność surowców krytycznych</w:t>
      </w:r>
      <w:r w:rsidR="0028384B" w:rsidRPr="002F16A1">
        <w:rPr>
          <w:noProof/>
        </w:rPr>
        <w:t xml:space="preserve"> w</w:t>
      </w:r>
      <w:r w:rsidR="0028384B">
        <w:rPr>
          <w:noProof/>
        </w:rPr>
        <w:t> </w:t>
      </w:r>
      <w:r w:rsidR="0028384B" w:rsidRPr="002F16A1">
        <w:rPr>
          <w:noProof/>
        </w:rPr>
        <w:t>wie</w:t>
      </w:r>
      <w:r w:rsidRPr="002F16A1">
        <w:rPr>
          <w:noProof/>
        </w:rPr>
        <w:t>lu przemysłowych łańcuchach wartości oraz cechy charakterystyczne poszczególnych etapów łańcucha wartości surowców krytycznych wymagają potencjału ludzkiego, między innymi przez zapewnienie odpowiedniej</w:t>
      </w:r>
      <w:r w:rsidR="0028384B" w:rsidRPr="002F16A1">
        <w:rPr>
          <w:noProof/>
        </w:rPr>
        <w:t xml:space="preserve"> i</w:t>
      </w:r>
      <w:r w:rsidR="0028384B">
        <w:rPr>
          <w:noProof/>
        </w:rPr>
        <w:t> </w:t>
      </w:r>
      <w:r w:rsidR="0028384B" w:rsidRPr="002F16A1">
        <w:rPr>
          <w:noProof/>
        </w:rPr>
        <w:t>wyk</w:t>
      </w:r>
      <w:r w:rsidRPr="002F16A1">
        <w:rPr>
          <w:noProof/>
        </w:rPr>
        <w:t>walifikowanej siły roboczej</w:t>
      </w:r>
      <w:r w:rsidR="0028384B" w:rsidRPr="002F16A1">
        <w:rPr>
          <w:noProof/>
        </w:rPr>
        <w:t xml:space="preserve"> w</w:t>
      </w:r>
      <w:r w:rsidR="0028384B">
        <w:rPr>
          <w:noProof/>
        </w:rPr>
        <w:t> </w:t>
      </w:r>
      <w:r w:rsidR="0028384B" w:rsidRPr="002F16A1">
        <w:rPr>
          <w:noProof/>
        </w:rPr>
        <w:t>cel</w:t>
      </w:r>
      <w:r w:rsidRPr="002F16A1">
        <w:rPr>
          <w:noProof/>
        </w:rPr>
        <w:t>u wsparcia branży. Gwarantuje to</w:t>
      </w:r>
      <w:r w:rsidR="0028384B" w:rsidRPr="002F16A1">
        <w:rPr>
          <w:noProof/>
        </w:rPr>
        <w:t xml:space="preserve"> w</w:t>
      </w:r>
      <w:r w:rsidR="0028384B">
        <w:rPr>
          <w:noProof/>
        </w:rPr>
        <w:t> </w:t>
      </w:r>
      <w:r w:rsidR="0028384B" w:rsidRPr="002F16A1">
        <w:rPr>
          <w:noProof/>
        </w:rPr>
        <w:t>szc</w:t>
      </w:r>
      <w:r w:rsidRPr="002F16A1">
        <w:rPr>
          <w:noProof/>
        </w:rPr>
        <w:t>zególności ochrona miejsc pracy oraz tworzenie nowych wysokiej jakości miejsc pracy</w:t>
      </w:r>
      <w:r w:rsidR="0028384B" w:rsidRPr="002F16A1">
        <w:rPr>
          <w:noProof/>
        </w:rPr>
        <w:t xml:space="preserve"> w</w:t>
      </w:r>
      <w:r w:rsidR="0028384B">
        <w:rPr>
          <w:noProof/>
        </w:rPr>
        <w:t> </w:t>
      </w:r>
      <w:r w:rsidR="0028384B" w:rsidRPr="002F16A1">
        <w:rPr>
          <w:noProof/>
        </w:rPr>
        <w:t>cel</w:t>
      </w:r>
      <w:r w:rsidRPr="002F16A1">
        <w:rPr>
          <w:noProof/>
        </w:rPr>
        <w:t>u zaspokojenia potrzeb siły roboczej</w:t>
      </w:r>
      <w:r w:rsidR="0028384B" w:rsidRPr="002F16A1">
        <w:rPr>
          <w:noProof/>
        </w:rPr>
        <w:t xml:space="preserve"> w</w:t>
      </w:r>
      <w:r w:rsidR="0028384B">
        <w:rPr>
          <w:noProof/>
        </w:rPr>
        <w:t> </w:t>
      </w:r>
      <w:r w:rsidR="0028384B" w:rsidRPr="002F16A1">
        <w:rPr>
          <w:noProof/>
        </w:rPr>
        <w:t>sek</w:t>
      </w:r>
      <w:r w:rsidRPr="002F16A1">
        <w:rPr>
          <w:noProof/>
        </w:rPr>
        <w:t>torze na wszystkich etapach przemysłowych łańcuchów wartości, które są kluczowe dla zapewnienia sprawiedliwej transformacji ekologicznej oraz bezpieczeństwa</w:t>
      </w:r>
      <w:r w:rsidR="0028384B" w:rsidRPr="002F16A1">
        <w:rPr>
          <w:noProof/>
        </w:rPr>
        <w:t xml:space="preserve"> i</w:t>
      </w:r>
      <w:r w:rsidR="0028384B">
        <w:rPr>
          <w:noProof/>
        </w:rPr>
        <w:t> </w:t>
      </w:r>
      <w:r w:rsidR="0028384B" w:rsidRPr="002F16A1">
        <w:rPr>
          <w:noProof/>
        </w:rPr>
        <w:t>dos</w:t>
      </w:r>
      <w:r w:rsidRPr="002F16A1">
        <w:rPr>
          <w:noProof/>
        </w:rPr>
        <w:t>taw surowców krytycznych, jak również konkurencyjności sektora. Zgodnie</w:t>
      </w:r>
      <w:r w:rsidR="0028384B" w:rsidRPr="002F16A1">
        <w:rPr>
          <w:noProof/>
        </w:rPr>
        <w:t xml:space="preserve"> z</w:t>
      </w:r>
      <w:r w:rsidR="0028384B">
        <w:rPr>
          <w:noProof/>
        </w:rPr>
        <w:t> </w:t>
      </w:r>
      <w:r w:rsidR="0028384B" w:rsidRPr="002F16A1">
        <w:rPr>
          <w:noProof/>
        </w:rPr>
        <w:t>cel</w:t>
      </w:r>
      <w:r w:rsidRPr="002F16A1">
        <w:rPr>
          <w:noProof/>
        </w:rPr>
        <w:t>ami planu REPowerEU</w:t>
      </w:r>
      <w:r w:rsidR="0028384B" w:rsidRPr="002F16A1">
        <w:rPr>
          <w:noProof/>
        </w:rPr>
        <w:t xml:space="preserve"> i</w:t>
      </w:r>
      <w:r w:rsidR="0028384B">
        <w:rPr>
          <w:noProof/>
        </w:rPr>
        <w:t> </w:t>
      </w:r>
      <w:r w:rsidR="0028384B" w:rsidRPr="002F16A1">
        <w:rPr>
          <w:noProof/>
        </w:rPr>
        <w:t>Eur</w:t>
      </w:r>
      <w:r w:rsidRPr="002F16A1">
        <w:rPr>
          <w:noProof/>
        </w:rPr>
        <w:t>opejskiego Zielonego Ładu zalecenie Rady</w:t>
      </w:r>
      <w:r w:rsidR="0028384B" w:rsidRPr="002F16A1">
        <w:rPr>
          <w:noProof/>
        </w:rPr>
        <w:t xml:space="preserve"> z</w:t>
      </w:r>
      <w:r w:rsidR="0028384B">
        <w:rPr>
          <w:noProof/>
        </w:rPr>
        <w:t> </w:t>
      </w:r>
      <w:r w:rsidR="0028384B" w:rsidRPr="002F16A1">
        <w:rPr>
          <w:noProof/>
        </w:rPr>
        <w:t>dni</w:t>
      </w:r>
      <w:r w:rsidRPr="002F16A1">
        <w:rPr>
          <w:noProof/>
        </w:rPr>
        <w:t>a 16 czerwca 20</w:t>
      </w:r>
      <w:r w:rsidRPr="0028384B">
        <w:rPr>
          <w:noProof/>
        </w:rPr>
        <w:t>22</w:t>
      </w:r>
      <w:r w:rsidR="0028384B" w:rsidRPr="0028384B">
        <w:rPr>
          <w:noProof/>
        </w:rPr>
        <w:t> </w:t>
      </w:r>
      <w:r w:rsidRPr="0028384B">
        <w:rPr>
          <w:noProof/>
        </w:rPr>
        <w:t>r.</w:t>
      </w:r>
      <w:r w:rsidRPr="002F16A1">
        <w:rPr>
          <w:rStyle w:val="FootnoteReference"/>
          <w:noProof/>
        </w:rPr>
        <w:footnoteReference w:id="18"/>
      </w:r>
      <w:r w:rsidR="0028384B" w:rsidRPr="002F16A1">
        <w:rPr>
          <w:noProof/>
        </w:rPr>
        <w:t xml:space="preserve"> w</w:t>
      </w:r>
      <w:r w:rsidR="0028384B">
        <w:rPr>
          <w:noProof/>
        </w:rPr>
        <w:t> </w:t>
      </w:r>
      <w:r w:rsidR="0028384B" w:rsidRPr="002F16A1">
        <w:rPr>
          <w:noProof/>
        </w:rPr>
        <w:t>spr</w:t>
      </w:r>
      <w:r w:rsidRPr="002F16A1">
        <w:rPr>
          <w:noProof/>
        </w:rPr>
        <w:t>awie zapewnienia sprawiedliwej transformacji</w:t>
      </w:r>
      <w:r w:rsidR="0028384B" w:rsidRPr="002F16A1">
        <w:rPr>
          <w:noProof/>
        </w:rPr>
        <w:t xml:space="preserve"> w</w:t>
      </w:r>
      <w:r w:rsidR="0028384B">
        <w:rPr>
          <w:noProof/>
        </w:rPr>
        <w:t> </w:t>
      </w:r>
      <w:r w:rsidR="0028384B" w:rsidRPr="002F16A1">
        <w:rPr>
          <w:noProof/>
        </w:rPr>
        <w:t>kie</w:t>
      </w:r>
      <w:r w:rsidRPr="002F16A1">
        <w:rPr>
          <w:noProof/>
        </w:rPr>
        <w:t>runku neutralności klimatycznej zawiera kompleksowe wytyczne dotyczące polityki</w:t>
      </w:r>
      <w:r w:rsidR="0028384B" w:rsidRPr="002F16A1">
        <w:rPr>
          <w:noProof/>
        </w:rPr>
        <w:t xml:space="preserve"> w</w:t>
      </w:r>
      <w:r w:rsidR="0028384B">
        <w:rPr>
          <w:noProof/>
        </w:rPr>
        <w:t> </w:t>
      </w:r>
      <w:r w:rsidR="0028384B" w:rsidRPr="002F16A1">
        <w:rPr>
          <w:noProof/>
        </w:rPr>
        <w:t>zak</w:t>
      </w:r>
      <w:r w:rsidRPr="002F16A1">
        <w:rPr>
          <w:noProof/>
        </w:rPr>
        <w:t>resie opracowania strategii politycznej mającej na celu zapewnienie ochrony miejsc pracy,</w:t>
      </w:r>
      <w:r w:rsidR="0028384B" w:rsidRPr="002F16A1">
        <w:rPr>
          <w:noProof/>
        </w:rPr>
        <w:t xml:space="preserve"> w</w:t>
      </w:r>
      <w:r w:rsidR="0028384B">
        <w:rPr>
          <w:noProof/>
        </w:rPr>
        <w:t> </w:t>
      </w:r>
      <w:r w:rsidR="0028384B" w:rsidRPr="002F16A1">
        <w:rPr>
          <w:noProof/>
        </w:rPr>
        <w:t>tym</w:t>
      </w:r>
      <w:r w:rsidRPr="002F16A1">
        <w:rPr>
          <w:noProof/>
        </w:rPr>
        <w:t xml:space="preserve"> warunków pracy</w:t>
      </w:r>
      <w:r w:rsidR="0028384B" w:rsidRPr="002F16A1">
        <w:rPr>
          <w:noProof/>
        </w:rPr>
        <w:t xml:space="preserve"> i</w:t>
      </w:r>
      <w:r w:rsidR="0028384B">
        <w:rPr>
          <w:noProof/>
        </w:rPr>
        <w:t> </w:t>
      </w:r>
      <w:r w:rsidR="0028384B" w:rsidRPr="002F16A1">
        <w:rPr>
          <w:noProof/>
        </w:rPr>
        <w:t>pła</w:t>
      </w:r>
      <w:r w:rsidRPr="002F16A1">
        <w:rPr>
          <w:noProof/>
        </w:rPr>
        <w:t>c,</w:t>
      </w:r>
      <w:r w:rsidR="0028384B" w:rsidRPr="002F16A1">
        <w:rPr>
          <w:noProof/>
        </w:rPr>
        <w:t xml:space="preserve"> a</w:t>
      </w:r>
      <w:r w:rsidR="0028384B">
        <w:rPr>
          <w:noProof/>
        </w:rPr>
        <w:t> </w:t>
      </w:r>
      <w:r w:rsidR="0028384B" w:rsidRPr="002F16A1">
        <w:rPr>
          <w:noProof/>
        </w:rPr>
        <w:t>tak</w:t>
      </w:r>
      <w:r w:rsidRPr="002F16A1">
        <w:rPr>
          <w:noProof/>
        </w:rPr>
        <w:t>że wspieranie tworzenia wysokiej jakości miejsc pracy</w:t>
      </w:r>
      <w:r w:rsidR="0028384B" w:rsidRPr="002F16A1">
        <w:rPr>
          <w:noProof/>
        </w:rPr>
        <w:t xml:space="preserve"> w</w:t>
      </w:r>
      <w:r w:rsidR="0028384B">
        <w:rPr>
          <w:noProof/>
        </w:rPr>
        <w:t> </w:t>
      </w:r>
      <w:r w:rsidR="0028384B" w:rsidRPr="002F16A1">
        <w:rPr>
          <w:noProof/>
        </w:rPr>
        <w:t>cał</w:t>
      </w:r>
      <w:r w:rsidRPr="002F16A1">
        <w:rPr>
          <w:noProof/>
        </w:rPr>
        <w:t>ym ekosystemie przemysłowym</w:t>
      </w:r>
      <w:r w:rsidR="0028384B" w:rsidRPr="002F16A1">
        <w:rPr>
          <w:noProof/>
        </w:rPr>
        <w:t xml:space="preserve"> i</w:t>
      </w:r>
      <w:r w:rsidR="0028384B">
        <w:rPr>
          <w:noProof/>
        </w:rPr>
        <w:t> </w:t>
      </w:r>
      <w:r w:rsidR="0028384B" w:rsidRPr="002F16A1">
        <w:rPr>
          <w:noProof/>
        </w:rPr>
        <w:t>prz</w:t>
      </w:r>
      <w:r w:rsidRPr="002F16A1">
        <w:rPr>
          <w:noProof/>
        </w:rPr>
        <w:t>emysłowych łańcuchach wartości,</w:t>
      </w:r>
      <w:r w:rsidR="0028384B" w:rsidRPr="002F16A1">
        <w:rPr>
          <w:noProof/>
        </w:rPr>
        <w:t xml:space="preserve"> w</w:t>
      </w:r>
      <w:r w:rsidR="0028384B">
        <w:rPr>
          <w:noProof/>
        </w:rPr>
        <w:t> </w:t>
      </w:r>
      <w:r w:rsidR="0028384B" w:rsidRPr="002F16A1">
        <w:rPr>
          <w:noProof/>
        </w:rPr>
        <w:t>tym</w:t>
      </w:r>
      <w:r w:rsidRPr="002F16A1">
        <w:rPr>
          <w:noProof/>
        </w:rPr>
        <w:t xml:space="preserve"> przez wspieranie podnoszenia kwalifikacji</w:t>
      </w:r>
      <w:r w:rsidR="0028384B" w:rsidRPr="002F16A1">
        <w:rPr>
          <w:noProof/>
        </w:rPr>
        <w:t xml:space="preserve"> i</w:t>
      </w:r>
      <w:r w:rsidR="0028384B">
        <w:rPr>
          <w:noProof/>
        </w:rPr>
        <w:t> </w:t>
      </w:r>
      <w:r w:rsidR="0028384B" w:rsidRPr="002F16A1">
        <w:rPr>
          <w:noProof/>
        </w:rPr>
        <w:t>zmi</w:t>
      </w:r>
      <w:r w:rsidRPr="002F16A1">
        <w:rPr>
          <w:noProof/>
        </w:rPr>
        <w:t>any kwalifikacji siły roboczej</w:t>
      </w:r>
      <w:r w:rsidR="0028384B" w:rsidRPr="002F16A1">
        <w:rPr>
          <w:noProof/>
        </w:rPr>
        <w:t xml:space="preserve"> w</w:t>
      </w:r>
      <w:r w:rsidR="0028384B">
        <w:rPr>
          <w:noProof/>
        </w:rPr>
        <w:t> </w:t>
      </w:r>
      <w:r w:rsidR="0028384B" w:rsidRPr="002F16A1">
        <w:rPr>
          <w:noProof/>
        </w:rPr>
        <w:t>cel</w:t>
      </w:r>
      <w:r w:rsidRPr="002F16A1">
        <w:rPr>
          <w:noProof/>
        </w:rPr>
        <w:t>u dopasowania do potrzeb na sektorowym rynku pracy oraz przez konsultacje</w:t>
      </w:r>
      <w:r w:rsidR="0028384B" w:rsidRPr="002F16A1">
        <w:rPr>
          <w:noProof/>
        </w:rPr>
        <w:t xml:space="preserve"> z</w:t>
      </w:r>
      <w:r w:rsidR="0028384B">
        <w:rPr>
          <w:noProof/>
        </w:rPr>
        <w:t> </w:t>
      </w:r>
      <w:r w:rsidR="0028384B" w:rsidRPr="002F16A1">
        <w:rPr>
          <w:noProof/>
        </w:rPr>
        <w:t>par</w:t>
      </w:r>
      <w:r w:rsidRPr="002F16A1">
        <w:rPr>
          <w:noProof/>
        </w:rPr>
        <w:t>tnerami społecznymi</w:t>
      </w:r>
      <w:r w:rsidR="0028384B" w:rsidRPr="002F16A1">
        <w:rPr>
          <w:noProof/>
        </w:rPr>
        <w:t xml:space="preserve"> w</w:t>
      </w:r>
      <w:r w:rsidR="0028384B">
        <w:rPr>
          <w:noProof/>
        </w:rPr>
        <w:t> </w:t>
      </w:r>
      <w:r w:rsidR="0028384B" w:rsidRPr="002F16A1">
        <w:rPr>
          <w:noProof/>
        </w:rPr>
        <w:t>dro</w:t>
      </w:r>
      <w:r w:rsidRPr="002F16A1">
        <w:rPr>
          <w:noProof/>
        </w:rPr>
        <w:t>dze dialogu społecznego.</w:t>
      </w:r>
    </w:p>
    <w:p w:rsidR="00AD62E2" w:rsidRPr="002F16A1" w:rsidRDefault="00AD62E2" w:rsidP="00AD62E2">
      <w:pPr>
        <w:rPr>
          <w:noProof/>
        </w:rPr>
      </w:pPr>
      <w:r w:rsidRPr="002F16A1">
        <w:rPr>
          <w:noProof/>
        </w:rPr>
        <w:t>Co więcej, inicjatywa ta jest również spójna z:</w:t>
      </w:r>
    </w:p>
    <w:p w:rsidR="00AD62E2" w:rsidRPr="0028384B" w:rsidRDefault="00AD62E2" w:rsidP="00D822B1">
      <w:pPr>
        <w:pStyle w:val="Tiret0"/>
        <w:rPr>
          <w:noProof/>
        </w:rPr>
      </w:pPr>
      <w:r w:rsidRPr="002F16A1">
        <w:rPr>
          <w:noProof/>
          <w:color w:val="000000" w:themeColor="text1"/>
        </w:rPr>
        <w:t>dyrektywą 2007/2/WE</w:t>
      </w:r>
      <w:r w:rsidRPr="002F16A1">
        <w:rPr>
          <w:rStyle w:val="FootnoteReference"/>
          <w:noProof/>
        </w:rPr>
        <w:footnoteReference w:id="19"/>
      </w:r>
      <w:r w:rsidRPr="002F16A1">
        <w:rPr>
          <w:noProof/>
        </w:rPr>
        <w:t xml:space="preserve"> ustanawiającą infrastrukturę informacji przestrzennej we Wspólnocie Europejskiej (INSPIRE), której celem jest zapewnienie zgodności infrastruktur informacji przestrzennej stworzonych przez państwa członkowskie</w:t>
      </w:r>
      <w:r w:rsidR="0028384B" w:rsidRPr="002F16A1">
        <w:rPr>
          <w:noProof/>
        </w:rPr>
        <w:t xml:space="preserve"> i</w:t>
      </w:r>
      <w:r w:rsidR="0028384B">
        <w:rPr>
          <w:noProof/>
        </w:rPr>
        <w:t> </w:t>
      </w:r>
      <w:r w:rsidR="0028384B" w:rsidRPr="002F16A1">
        <w:rPr>
          <w:noProof/>
        </w:rPr>
        <w:t>moż</w:t>
      </w:r>
      <w:r w:rsidRPr="002F16A1">
        <w:rPr>
          <w:noProof/>
        </w:rPr>
        <w:t>liwości ich stosowania</w:t>
      </w:r>
      <w:r w:rsidR="0028384B" w:rsidRPr="002F16A1">
        <w:rPr>
          <w:noProof/>
        </w:rPr>
        <w:t xml:space="preserve"> w</w:t>
      </w:r>
      <w:r w:rsidR="0028384B">
        <w:rPr>
          <w:noProof/>
        </w:rPr>
        <w:t> </w:t>
      </w:r>
      <w:r w:rsidR="0028384B" w:rsidRPr="002F16A1">
        <w:rPr>
          <w:noProof/>
        </w:rPr>
        <w:t>kon</w:t>
      </w:r>
      <w:r w:rsidRPr="002F16A1">
        <w:rPr>
          <w:noProof/>
        </w:rPr>
        <w:t>tekście europejskim</w:t>
      </w:r>
      <w:r w:rsidR="0028384B" w:rsidRPr="002F16A1">
        <w:rPr>
          <w:noProof/>
        </w:rPr>
        <w:t xml:space="preserve"> i</w:t>
      </w:r>
      <w:r w:rsidR="0028384B">
        <w:rPr>
          <w:noProof/>
        </w:rPr>
        <w:t> </w:t>
      </w:r>
      <w:r w:rsidR="0028384B" w:rsidRPr="002F16A1">
        <w:rPr>
          <w:noProof/>
        </w:rPr>
        <w:t>tra</w:t>
      </w:r>
      <w:r w:rsidRPr="002F16A1">
        <w:rPr>
          <w:noProof/>
        </w:rPr>
        <w:t>nsgranicznym, ora</w:t>
      </w:r>
      <w:r w:rsidRPr="0028384B">
        <w:rPr>
          <w:noProof/>
        </w:rPr>
        <w:t>z</w:t>
      </w:r>
      <w:r w:rsidR="0028384B" w:rsidRPr="0028384B">
        <w:rPr>
          <w:noProof/>
        </w:rPr>
        <w:t xml:space="preserve"> </w:t>
      </w:r>
    </w:p>
    <w:p w:rsidR="001A3A62" w:rsidRPr="002F16A1" w:rsidRDefault="00AD62E2" w:rsidP="001A3A62">
      <w:pPr>
        <w:pStyle w:val="Tiret0"/>
        <w:rPr>
          <w:noProof/>
        </w:rPr>
      </w:pPr>
      <w:r w:rsidRPr="002F16A1">
        <w:rPr>
          <w:noProof/>
        </w:rPr>
        <w:t>rozporządzeniem (UE) 2020/852</w:t>
      </w:r>
      <w:r w:rsidRPr="002F16A1">
        <w:rPr>
          <w:rStyle w:val="FootnoteReference"/>
          <w:noProof/>
        </w:rPr>
        <w:footnoteReference w:id="20"/>
      </w:r>
      <w:r w:rsidR="0028384B" w:rsidRPr="002F16A1">
        <w:rPr>
          <w:noProof/>
        </w:rPr>
        <w:t xml:space="preserve"> w</w:t>
      </w:r>
      <w:r w:rsidR="0028384B">
        <w:rPr>
          <w:noProof/>
        </w:rPr>
        <w:t> </w:t>
      </w:r>
      <w:r w:rsidR="0028384B" w:rsidRPr="002F16A1">
        <w:rPr>
          <w:noProof/>
        </w:rPr>
        <w:t>spr</w:t>
      </w:r>
      <w:r w:rsidRPr="002F16A1">
        <w:rPr>
          <w:noProof/>
        </w:rPr>
        <w:t>awie ustanowienia ram ułatwiających zrównoważone inwestycje (rozporządzeniem</w:t>
      </w:r>
      <w:r w:rsidR="0028384B" w:rsidRPr="002F16A1">
        <w:rPr>
          <w:noProof/>
        </w:rPr>
        <w:t xml:space="preserve"> w</w:t>
      </w:r>
      <w:r w:rsidR="0028384B">
        <w:rPr>
          <w:noProof/>
        </w:rPr>
        <w:t> </w:t>
      </w:r>
      <w:r w:rsidR="0028384B" w:rsidRPr="002F16A1">
        <w:rPr>
          <w:noProof/>
        </w:rPr>
        <w:t>spr</w:t>
      </w:r>
      <w:r w:rsidRPr="002F16A1">
        <w:rPr>
          <w:noProof/>
        </w:rPr>
        <w:t xml:space="preserve">awie systematyki). </w:t>
      </w:r>
    </w:p>
    <w:p w:rsidR="00AD62E2" w:rsidRPr="002F16A1" w:rsidRDefault="00AD62E2" w:rsidP="00AD62E2">
      <w:pPr>
        <w:rPr>
          <w:noProof/>
        </w:rPr>
      </w:pPr>
      <w:r w:rsidRPr="002F16A1">
        <w:rPr>
          <w:noProof/>
        </w:rPr>
        <w:t>Jeżeli chodzi</w:t>
      </w:r>
      <w:r w:rsidR="0028384B" w:rsidRPr="002F16A1">
        <w:rPr>
          <w:noProof/>
        </w:rPr>
        <w:t xml:space="preserve"> o</w:t>
      </w:r>
      <w:r w:rsidR="0028384B">
        <w:rPr>
          <w:noProof/>
        </w:rPr>
        <w:t> </w:t>
      </w:r>
      <w:r w:rsidR="0028384B" w:rsidRPr="002F16A1">
        <w:rPr>
          <w:noProof/>
        </w:rPr>
        <w:t>ins</w:t>
      </w:r>
      <w:r w:rsidRPr="002F16A1">
        <w:rPr>
          <w:noProof/>
        </w:rPr>
        <w:t>trumenty międzynarodowe, niniejszy wniosek jest spójny z: </w:t>
      </w:r>
    </w:p>
    <w:p w:rsidR="00AD62E2" w:rsidRPr="002F16A1" w:rsidRDefault="00AD62E2" w:rsidP="00D822B1">
      <w:pPr>
        <w:pStyle w:val="Tiret0"/>
        <w:rPr>
          <w:rFonts w:eastAsia="Times New Roman"/>
          <w:noProof/>
          <w:color w:val="000000" w:themeColor="text1"/>
        </w:rPr>
      </w:pPr>
      <w:r w:rsidRPr="002F16A1">
        <w:rPr>
          <w:noProof/>
          <w:color w:val="000000" w:themeColor="text1"/>
        </w:rPr>
        <w:t>międzynarodowymi zobowiązaniami handlowymi UE</w:t>
      </w:r>
      <w:r w:rsidR="0028384B" w:rsidRPr="002F16A1">
        <w:rPr>
          <w:noProof/>
          <w:color w:val="000000" w:themeColor="text1"/>
        </w:rPr>
        <w:t xml:space="preserve"> i</w:t>
      </w:r>
      <w:r w:rsidR="0028384B">
        <w:rPr>
          <w:noProof/>
          <w:color w:val="000000" w:themeColor="text1"/>
        </w:rPr>
        <w:t> </w:t>
      </w:r>
      <w:r w:rsidR="0028384B" w:rsidRPr="002F16A1">
        <w:rPr>
          <w:noProof/>
          <w:color w:val="000000" w:themeColor="text1"/>
        </w:rPr>
        <w:t>wsp</w:t>
      </w:r>
      <w:r w:rsidRPr="002F16A1">
        <w:rPr>
          <w:noProof/>
          <w:color w:val="000000" w:themeColor="text1"/>
        </w:rPr>
        <w:t>ólną polityką handlową UE. Komunikat załączony do niniejszego rozporządzenia obejmuje środki mające na celu wzmocnienie</w:t>
      </w:r>
      <w:r w:rsidR="0028384B" w:rsidRPr="002F16A1">
        <w:rPr>
          <w:noProof/>
          <w:color w:val="000000" w:themeColor="text1"/>
        </w:rPr>
        <w:t xml:space="preserve"> i</w:t>
      </w:r>
      <w:r w:rsidR="0028384B">
        <w:rPr>
          <w:noProof/>
          <w:color w:val="000000" w:themeColor="text1"/>
        </w:rPr>
        <w:t> </w:t>
      </w:r>
      <w:r w:rsidR="0028384B" w:rsidRPr="002F16A1">
        <w:rPr>
          <w:noProof/>
          <w:color w:val="000000" w:themeColor="text1"/>
        </w:rPr>
        <w:t>dyw</w:t>
      </w:r>
      <w:r w:rsidRPr="002F16A1">
        <w:rPr>
          <w:noProof/>
          <w:color w:val="000000" w:themeColor="text1"/>
        </w:rPr>
        <w:t>ersyfikację unijnych zewnętrznych dostaw surowców krytycznych ze źródeł międzynarodowych bez podważania zasad handlu</w:t>
      </w:r>
      <w:r w:rsidR="0028384B" w:rsidRPr="002F16A1">
        <w:rPr>
          <w:noProof/>
          <w:color w:val="000000" w:themeColor="text1"/>
        </w:rPr>
        <w:t xml:space="preserve"> i</w:t>
      </w:r>
      <w:r w:rsidR="0028384B">
        <w:rPr>
          <w:noProof/>
          <w:color w:val="000000" w:themeColor="text1"/>
        </w:rPr>
        <w:t> </w:t>
      </w:r>
      <w:r w:rsidR="0028384B" w:rsidRPr="002F16A1">
        <w:rPr>
          <w:noProof/>
          <w:color w:val="000000" w:themeColor="text1"/>
        </w:rPr>
        <w:t>kon</w:t>
      </w:r>
      <w:r w:rsidRPr="002F16A1">
        <w:rPr>
          <w:noProof/>
          <w:color w:val="000000" w:themeColor="text1"/>
        </w:rPr>
        <w:t>kurencji międzynarodowej; </w:t>
      </w:r>
    </w:p>
    <w:p w:rsidR="00AD62E2" w:rsidRPr="002F16A1" w:rsidRDefault="00AD62E2" w:rsidP="00D822B1">
      <w:pPr>
        <w:pStyle w:val="Tiret0"/>
        <w:rPr>
          <w:rFonts w:eastAsia="Times New Roman"/>
          <w:noProof/>
          <w:color w:val="000000" w:themeColor="text1"/>
        </w:rPr>
      </w:pPr>
      <w:r w:rsidRPr="002F16A1">
        <w:rPr>
          <w:noProof/>
          <w:color w:val="000000" w:themeColor="text1"/>
        </w:rPr>
        <w:t>zaktualizowaną polityką UE wobec Arktyki, opublikowaną</w:t>
      </w:r>
      <w:r w:rsidR="0028384B" w:rsidRPr="002F16A1">
        <w:rPr>
          <w:noProof/>
          <w:color w:val="000000" w:themeColor="text1"/>
        </w:rPr>
        <w:t xml:space="preserve"> w</w:t>
      </w:r>
      <w:r w:rsidR="0028384B">
        <w:rPr>
          <w:noProof/>
          <w:color w:val="000000" w:themeColor="text1"/>
        </w:rPr>
        <w:t> </w:t>
      </w:r>
      <w:r w:rsidR="0028384B" w:rsidRPr="002F16A1">
        <w:rPr>
          <w:noProof/>
          <w:color w:val="000000" w:themeColor="text1"/>
        </w:rPr>
        <w:t>2</w:t>
      </w:r>
      <w:r w:rsidRPr="002F16A1">
        <w:rPr>
          <w:noProof/>
          <w:color w:val="000000" w:themeColor="text1"/>
        </w:rPr>
        <w:t>0</w:t>
      </w:r>
      <w:r w:rsidRPr="0028384B">
        <w:rPr>
          <w:noProof/>
          <w:color w:val="000000" w:themeColor="text1"/>
        </w:rPr>
        <w:t>21</w:t>
      </w:r>
      <w:r w:rsidR="0028384B" w:rsidRPr="0028384B">
        <w:rPr>
          <w:noProof/>
          <w:color w:val="000000" w:themeColor="text1"/>
        </w:rPr>
        <w:t> </w:t>
      </w:r>
      <w:r w:rsidRPr="0028384B">
        <w:rPr>
          <w:noProof/>
          <w:color w:val="000000" w:themeColor="text1"/>
        </w:rPr>
        <w:t>r.</w:t>
      </w:r>
      <w:r w:rsidRPr="002F16A1">
        <w:rPr>
          <w:noProof/>
          <w:color w:val="000000" w:themeColor="text1"/>
        </w:rPr>
        <w:t>, której celem jest pomoc</w:t>
      </w:r>
      <w:r w:rsidR="0028384B" w:rsidRPr="002F16A1">
        <w:rPr>
          <w:noProof/>
          <w:color w:val="000000" w:themeColor="text1"/>
        </w:rPr>
        <w:t xml:space="preserve"> w</w:t>
      </w:r>
      <w:r w:rsidR="0028384B">
        <w:rPr>
          <w:noProof/>
          <w:color w:val="000000" w:themeColor="text1"/>
        </w:rPr>
        <w:t> </w:t>
      </w:r>
      <w:r w:rsidR="0028384B" w:rsidRPr="002F16A1">
        <w:rPr>
          <w:noProof/>
          <w:color w:val="000000" w:themeColor="text1"/>
        </w:rPr>
        <w:t>zac</w:t>
      </w:r>
      <w:r w:rsidRPr="002F16A1">
        <w:rPr>
          <w:noProof/>
          <w:color w:val="000000" w:themeColor="text1"/>
        </w:rPr>
        <w:t>howaniu Arktyki jako regionu pokojowej współpracy, przeciwdziałanie skutkom zmiany klimatu oraz wspieranie zrównoważonego rozwoju regionów arktycznych</w:t>
      </w:r>
      <w:r w:rsidR="0028384B" w:rsidRPr="002F16A1">
        <w:rPr>
          <w:noProof/>
          <w:color w:val="000000" w:themeColor="text1"/>
        </w:rPr>
        <w:t xml:space="preserve"> z</w:t>
      </w:r>
      <w:r w:rsidR="0028384B">
        <w:rPr>
          <w:noProof/>
          <w:color w:val="000000" w:themeColor="text1"/>
        </w:rPr>
        <w:t> </w:t>
      </w:r>
      <w:r w:rsidR="0028384B" w:rsidRPr="002F16A1">
        <w:rPr>
          <w:noProof/>
          <w:color w:val="000000" w:themeColor="text1"/>
        </w:rPr>
        <w:t>kor</w:t>
      </w:r>
      <w:r w:rsidRPr="002F16A1">
        <w:rPr>
          <w:noProof/>
          <w:color w:val="000000" w:themeColor="text1"/>
        </w:rPr>
        <w:t>zyścią dla społeczności arktycznych, zwłaszcza ludności rdzennej, oraz przyszłych pokoleń; </w:t>
      </w:r>
    </w:p>
    <w:p w:rsidR="00AD62E2" w:rsidRPr="002F16A1" w:rsidRDefault="00AD62E2" w:rsidP="00D822B1">
      <w:pPr>
        <w:pStyle w:val="Tiret0"/>
        <w:rPr>
          <w:rFonts w:eastAsia="Times New Roman"/>
          <w:noProof/>
          <w:color w:val="000000" w:themeColor="text1"/>
        </w:rPr>
      </w:pPr>
      <w:r w:rsidRPr="002F16A1">
        <w:rPr>
          <w:noProof/>
          <w:color w:val="000000" w:themeColor="text1"/>
        </w:rPr>
        <w:t>wspólnym komunikatem Komisji</w:t>
      </w:r>
      <w:r w:rsidR="0028384B" w:rsidRPr="002F16A1">
        <w:rPr>
          <w:noProof/>
          <w:color w:val="000000" w:themeColor="text1"/>
        </w:rPr>
        <w:t xml:space="preserve"> i</w:t>
      </w:r>
      <w:r w:rsidR="0028384B">
        <w:rPr>
          <w:noProof/>
          <w:color w:val="000000" w:themeColor="text1"/>
        </w:rPr>
        <w:t> </w:t>
      </w:r>
      <w:r w:rsidR="0028384B" w:rsidRPr="002F16A1">
        <w:rPr>
          <w:noProof/>
          <w:color w:val="000000" w:themeColor="text1"/>
        </w:rPr>
        <w:t>Wys</w:t>
      </w:r>
      <w:r w:rsidRPr="002F16A1">
        <w:rPr>
          <w:noProof/>
          <w:color w:val="000000" w:themeColor="text1"/>
        </w:rPr>
        <w:t>okiego Przedstawiciela Unii do Spraw Zagranicznych</w:t>
      </w:r>
      <w:r w:rsidR="0028384B" w:rsidRPr="002F16A1">
        <w:rPr>
          <w:noProof/>
          <w:color w:val="000000" w:themeColor="text1"/>
        </w:rPr>
        <w:t xml:space="preserve"> i</w:t>
      </w:r>
      <w:r w:rsidR="0028384B">
        <w:rPr>
          <w:noProof/>
          <w:color w:val="000000" w:themeColor="text1"/>
        </w:rPr>
        <w:t> </w:t>
      </w:r>
      <w:r w:rsidR="0028384B" w:rsidRPr="002F16A1">
        <w:rPr>
          <w:noProof/>
          <w:color w:val="000000" w:themeColor="text1"/>
        </w:rPr>
        <w:t>Pol</w:t>
      </w:r>
      <w:r w:rsidRPr="002F16A1">
        <w:rPr>
          <w:noProof/>
          <w:color w:val="000000" w:themeColor="text1"/>
        </w:rPr>
        <w:t>ityki Bezpieczeństwa</w:t>
      </w:r>
      <w:r w:rsidR="0028384B" w:rsidRPr="002F16A1">
        <w:rPr>
          <w:noProof/>
          <w:color w:val="000000" w:themeColor="text1"/>
        </w:rPr>
        <w:t xml:space="preserve"> w</w:t>
      </w:r>
      <w:r w:rsidR="0028384B">
        <w:rPr>
          <w:noProof/>
          <w:color w:val="000000" w:themeColor="text1"/>
        </w:rPr>
        <w:t> </w:t>
      </w:r>
      <w:r w:rsidR="0028384B" w:rsidRPr="002F16A1">
        <w:rPr>
          <w:noProof/>
          <w:color w:val="000000" w:themeColor="text1"/>
        </w:rPr>
        <w:t>spr</w:t>
      </w:r>
      <w:r w:rsidRPr="002F16A1">
        <w:rPr>
          <w:noProof/>
          <w:color w:val="000000" w:themeColor="text1"/>
        </w:rPr>
        <w:t>awie strategii Global Gateway,</w:t>
      </w:r>
      <w:r w:rsidR="0028384B" w:rsidRPr="002F16A1">
        <w:rPr>
          <w:noProof/>
          <w:color w:val="000000" w:themeColor="text1"/>
        </w:rPr>
        <w:t xml:space="preserve"> w</w:t>
      </w:r>
      <w:r w:rsidR="0028384B">
        <w:rPr>
          <w:noProof/>
          <w:color w:val="000000" w:themeColor="text1"/>
        </w:rPr>
        <w:t> </w:t>
      </w:r>
      <w:r w:rsidR="0028384B" w:rsidRPr="002F16A1">
        <w:rPr>
          <w:noProof/>
          <w:color w:val="000000" w:themeColor="text1"/>
        </w:rPr>
        <w:t>szc</w:t>
      </w:r>
      <w:r w:rsidRPr="002F16A1">
        <w:rPr>
          <w:noProof/>
          <w:color w:val="000000" w:themeColor="text1"/>
        </w:rPr>
        <w:t>zególności</w:t>
      </w:r>
      <w:r w:rsidR="0028384B" w:rsidRPr="002F16A1">
        <w:rPr>
          <w:noProof/>
          <w:color w:val="000000" w:themeColor="text1"/>
        </w:rPr>
        <w:t xml:space="preserve"> w</w:t>
      </w:r>
      <w:r w:rsidR="0028384B">
        <w:rPr>
          <w:noProof/>
          <w:color w:val="000000" w:themeColor="text1"/>
        </w:rPr>
        <w:t> </w:t>
      </w:r>
      <w:r w:rsidR="0028384B" w:rsidRPr="002F16A1">
        <w:rPr>
          <w:noProof/>
          <w:color w:val="000000" w:themeColor="text1"/>
        </w:rPr>
        <w:t>odn</w:t>
      </w:r>
      <w:r w:rsidRPr="002F16A1">
        <w:rPr>
          <w:noProof/>
          <w:color w:val="000000" w:themeColor="text1"/>
        </w:rPr>
        <w:t>iesieniu do prowadzenia partnerstw strategicznych Unii</w:t>
      </w:r>
      <w:r w:rsidR="0028384B" w:rsidRPr="002F16A1">
        <w:rPr>
          <w:noProof/>
          <w:color w:val="000000" w:themeColor="text1"/>
        </w:rPr>
        <w:t xml:space="preserve"> z</w:t>
      </w:r>
      <w:r w:rsidR="0028384B">
        <w:rPr>
          <w:noProof/>
          <w:color w:val="000000" w:themeColor="text1"/>
        </w:rPr>
        <w:t> </w:t>
      </w:r>
      <w:r w:rsidR="0028384B" w:rsidRPr="002F16A1">
        <w:rPr>
          <w:noProof/>
          <w:color w:val="000000" w:themeColor="text1"/>
        </w:rPr>
        <w:t>pań</w:t>
      </w:r>
      <w:r w:rsidRPr="002F16A1">
        <w:rPr>
          <w:noProof/>
          <w:color w:val="000000" w:themeColor="text1"/>
        </w:rPr>
        <w:t>stwami trzecimi. </w:t>
      </w:r>
    </w:p>
    <w:p w:rsidR="00131515" w:rsidRPr="002F16A1" w:rsidRDefault="00131515" w:rsidP="006912EA">
      <w:pPr>
        <w:pStyle w:val="Tiret0"/>
        <w:rPr>
          <w:rFonts w:eastAsia="Times New Roman"/>
          <w:noProof/>
          <w:color w:val="000000" w:themeColor="text1"/>
        </w:rPr>
      </w:pPr>
      <w:r w:rsidRPr="002F16A1">
        <w:rPr>
          <w:noProof/>
          <w:color w:val="000000" w:themeColor="text1"/>
        </w:rPr>
        <w:t>Wysoki przedstawiciel będzie</w:t>
      </w:r>
      <w:r w:rsidR="0028384B" w:rsidRPr="002F16A1">
        <w:rPr>
          <w:noProof/>
          <w:color w:val="000000" w:themeColor="text1"/>
        </w:rPr>
        <w:t xml:space="preserve"> w</w:t>
      </w:r>
      <w:r w:rsidR="0028384B">
        <w:rPr>
          <w:noProof/>
          <w:color w:val="000000" w:themeColor="text1"/>
        </w:rPr>
        <w:t> </w:t>
      </w:r>
      <w:r w:rsidR="0028384B" w:rsidRPr="002F16A1">
        <w:rPr>
          <w:noProof/>
          <w:color w:val="000000" w:themeColor="text1"/>
        </w:rPr>
        <w:t>peł</w:t>
      </w:r>
      <w:r w:rsidRPr="002F16A1">
        <w:rPr>
          <w:noProof/>
          <w:color w:val="000000" w:themeColor="text1"/>
        </w:rPr>
        <w:t>ni wypełniał swoją rolę</w:t>
      </w:r>
      <w:r w:rsidR="0028384B" w:rsidRPr="002F16A1">
        <w:rPr>
          <w:noProof/>
          <w:color w:val="000000" w:themeColor="text1"/>
        </w:rPr>
        <w:t xml:space="preserve"> i</w:t>
      </w:r>
      <w:r w:rsidR="0028384B">
        <w:rPr>
          <w:noProof/>
          <w:color w:val="000000" w:themeColor="text1"/>
        </w:rPr>
        <w:t> </w:t>
      </w:r>
      <w:r w:rsidR="0028384B" w:rsidRPr="002F16A1">
        <w:rPr>
          <w:noProof/>
          <w:color w:val="000000" w:themeColor="text1"/>
        </w:rPr>
        <w:t>wsp</w:t>
      </w:r>
      <w:r w:rsidRPr="002F16A1">
        <w:rPr>
          <w:noProof/>
          <w:color w:val="000000" w:themeColor="text1"/>
        </w:rPr>
        <w:t>ółpracował</w:t>
      </w:r>
      <w:r w:rsidR="0028384B" w:rsidRPr="002F16A1">
        <w:rPr>
          <w:noProof/>
          <w:color w:val="000000" w:themeColor="text1"/>
        </w:rPr>
        <w:t xml:space="preserve"> w</w:t>
      </w:r>
      <w:r w:rsidR="0028384B">
        <w:rPr>
          <w:noProof/>
          <w:color w:val="000000" w:themeColor="text1"/>
        </w:rPr>
        <w:t> </w:t>
      </w:r>
      <w:r w:rsidR="0028384B" w:rsidRPr="002F16A1">
        <w:rPr>
          <w:noProof/>
          <w:color w:val="000000" w:themeColor="text1"/>
        </w:rPr>
        <w:t>cel</w:t>
      </w:r>
      <w:r w:rsidRPr="002F16A1">
        <w:rPr>
          <w:noProof/>
          <w:color w:val="000000" w:themeColor="text1"/>
        </w:rPr>
        <w:t>u zapewnienia spójności działań zewnętrznych UE</w:t>
      </w:r>
      <w:r w:rsidR="0028384B" w:rsidRPr="002F16A1">
        <w:rPr>
          <w:noProof/>
          <w:color w:val="000000" w:themeColor="text1"/>
        </w:rPr>
        <w:t xml:space="preserve"> z</w:t>
      </w:r>
      <w:r w:rsidR="0028384B">
        <w:rPr>
          <w:noProof/>
          <w:color w:val="000000" w:themeColor="text1"/>
        </w:rPr>
        <w:t> </w:t>
      </w:r>
      <w:r w:rsidR="0028384B" w:rsidRPr="002F16A1">
        <w:rPr>
          <w:noProof/>
          <w:color w:val="000000" w:themeColor="text1"/>
        </w:rPr>
        <w:t>jej</w:t>
      </w:r>
      <w:r w:rsidRPr="002F16A1">
        <w:rPr>
          <w:noProof/>
          <w:color w:val="000000" w:themeColor="text1"/>
        </w:rPr>
        <w:t xml:space="preserve"> innymi politykami.</w:t>
      </w:r>
    </w:p>
    <w:p w:rsidR="00AD62E2" w:rsidRPr="002F16A1" w:rsidRDefault="00AD62E2" w:rsidP="00AD62E2">
      <w:pPr>
        <w:rPr>
          <w:noProof/>
        </w:rPr>
      </w:pPr>
      <w:r w:rsidRPr="002F16A1">
        <w:rPr>
          <w:noProof/>
        </w:rPr>
        <w:t>Rozporządzenie zapewni również spójność</w:t>
      </w:r>
      <w:r w:rsidR="0028384B" w:rsidRPr="002F16A1">
        <w:rPr>
          <w:noProof/>
        </w:rPr>
        <w:t xml:space="preserve"> z</w:t>
      </w:r>
      <w:r w:rsidR="0028384B">
        <w:rPr>
          <w:noProof/>
        </w:rPr>
        <w:t> </w:t>
      </w:r>
      <w:r w:rsidR="0028384B" w:rsidRPr="002F16A1">
        <w:rPr>
          <w:noProof/>
        </w:rPr>
        <w:t>inn</w:t>
      </w:r>
      <w:r w:rsidRPr="002F16A1">
        <w:rPr>
          <w:noProof/>
        </w:rPr>
        <w:t>ymi aktualnymi wnioskami: </w:t>
      </w:r>
    </w:p>
    <w:p w:rsidR="00AD62E2" w:rsidRPr="002F16A1" w:rsidRDefault="00AD62E2" w:rsidP="00D822B1">
      <w:pPr>
        <w:pStyle w:val="Tiret0"/>
        <w:rPr>
          <w:noProof/>
        </w:rPr>
      </w:pPr>
      <w:r w:rsidRPr="002F16A1">
        <w:rPr>
          <w:noProof/>
        </w:rPr>
        <w:t>rozporządzenie jest spójne</w:t>
      </w:r>
      <w:r w:rsidR="0028384B" w:rsidRPr="002F16A1">
        <w:rPr>
          <w:noProof/>
        </w:rPr>
        <w:t xml:space="preserve"> z</w:t>
      </w:r>
      <w:r w:rsidR="0028384B">
        <w:rPr>
          <w:noProof/>
        </w:rPr>
        <w:t> </w:t>
      </w:r>
      <w:r w:rsidR="0028384B" w:rsidRPr="002F16A1">
        <w:rPr>
          <w:noProof/>
        </w:rPr>
        <w:t>roz</w:t>
      </w:r>
      <w:r w:rsidRPr="002F16A1">
        <w:rPr>
          <w:noProof/>
        </w:rPr>
        <w:t>porządzeniem</w:t>
      </w:r>
      <w:r w:rsidR="0028384B" w:rsidRPr="002F16A1">
        <w:rPr>
          <w:noProof/>
        </w:rPr>
        <w:t xml:space="preserve"> w</w:t>
      </w:r>
      <w:r w:rsidR="0028384B">
        <w:rPr>
          <w:noProof/>
        </w:rPr>
        <w:t> </w:t>
      </w:r>
      <w:r w:rsidR="0028384B" w:rsidRPr="002F16A1">
        <w:rPr>
          <w:noProof/>
        </w:rPr>
        <w:t>spr</w:t>
      </w:r>
      <w:r w:rsidRPr="002F16A1">
        <w:rPr>
          <w:noProof/>
        </w:rPr>
        <w:t>awie baterii</w:t>
      </w:r>
      <w:r w:rsidRPr="002F16A1">
        <w:rPr>
          <w:rStyle w:val="FootnoteReference"/>
          <w:noProof/>
        </w:rPr>
        <w:footnoteReference w:id="21"/>
      </w:r>
      <w:r w:rsidRPr="002F16A1">
        <w:rPr>
          <w:noProof/>
        </w:rPr>
        <w:t>, które zawiera przepisy szczegółowe dotyczące surowców krytycznych</w:t>
      </w:r>
      <w:r w:rsidR="0028384B" w:rsidRPr="002F16A1">
        <w:rPr>
          <w:noProof/>
        </w:rPr>
        <w:t xml:space="preserve"> w</w:t>
      </w:r>
      <w:r w:rsidR="0028384B">
        <w:rPr>
          <w:noProof/>
        </w:rPr>
        <w:t> </w:t>
      </w:r>
      <w:r w:rsidR="0028384B" w:rsidRPr="002F16A1">
        <w:rPr>
          <w:noProof/>
        </w:rPr>
        <w:t>bat</w:t>
      </w:r>
      <w:r w:rsidRPr="002F16A1">
        <w:rPr>
          <w:noProof/>
        </w:rPr>
        <w:t>eriach wprowadzanych do obrotu na jednolitym rynku, natomiast celem niniejszego rozporządzenia jest zwiększenie zdolności UE do dostarczania tych surowców oraz zwiększenie przejrzystości</w:t>
      </w:r>
      <w:r w:rsidR="0028384B" w:rsidRPr="002F16A1">
        <w:rPr>
          <w:noProof/>
        </w:rPr>
        <w:t xml:space="preserve"> i</w:t>
      </w:r>
      <w:r w:rsidR="0028384B">
        <w:rPr>
          <w:noProof/>
        </w:rPr>
        <w:t> </w:t>
      </w:r>
      <w:r w:rsidR="0028384B" w:rsidRPr="002F16A1">
        <w:rPr>
          <w:noProof/>
        </w:rPr>
        <w:t>dos</w:t>
      </w:r>
      <w:r w:rsidRPr="002F16A1">
        <w:rPr>
          <w:noProof/>
        </w:rPr>
        <w:t>tępności informacji na temat ich śladu środowiskowego po wprowadzeniu na jednolity rynek UE. Jest to zgodne</w:t>
      </w:r>
      <w:r w:rsidR="0028384B" w:rsidRPr="002F16A1">
        <w:rPr>
          <w:noProof/>
        </w:rPr>
        <w:t xml:space="preserve"> z</w:t>
      </w:r>
      <w:r w:rsidR="0028384B">
        <w:rPr>
          <w:noProof/>
        </w:rPr>
        <w:t> </w:t>
      </w:r>
      <w:r w:rsidR="0028384B" w:rsidRPr="002F16A1">
        <w:rPr>
          <w:noProof/>
        </w:rPr>
        <w:t>pod</w:t>
      </w:r>
      <w:r w:rsidRPr="002F16A1">
        <w:rPr>
          <w:noProof/>
        </w:rPr>
        <w:t>obnym podejściem polegającym na stopniowym wprowadzaniu obowiązków dotyczących śladu środowiskowego; </w:t>
      </w:r>
    </w:p>
    <w:p w:rsidR="00AD62E2" w:rsidRPr="002F16A1" w:rsidRDefault="00AD62E2" w:rsidP="00D822B1">
      <w:pPr>
        <w:pStyle w:val="Tiret0"/>
        <w:rPr>
          <w:noProof/>
        </w:rPr>
      </w:pPr>
      <w:r w:rsidRPr="002F16A1">
        <w:rPr>
          <w:noProof/>
        </w:rPr>
        <w:t>rozporządzenie stanowi uzupełnienie wniosku dotyczącego dyrektywy</w:t>
      </w:r>
      <w:r w:rsidR="0028384B" w:rsidRPr="002F16A1">
        <w:rPr>
          <w:noProof/>
        </w:rPr>
        <w:t xml:space="preserve"> w</w:t>
      </w:r>
      <w:r w:rsidR="0028384B">
        <w:rPr>
          <w:noProof/>
        </w:rPr>
        <w:t> </w:t>
      </w:r>
      <w:r w:rsidR="0028384B" w:rsidRPr="002F16A1">
        <w:rPr>
          <w:noProof/>
        </w:rPr>
        <w:t>spr</w:t>
      </w:r>
      <w:r w:rsidRPr="002F16A1">
        <w:rPr>
          <w:noProof/>
        </w:rPr>
        <w:t>awie należytej staranności przedsiębiorstw</w:t>
      </w:r>
      <w:r w:rsidR="0028384B" w:rsidRPr="002F16A1">
        <w:rPr>
          <w:noProof/>
        </w:rPr>
        <w:t xml:space="preserve"> w</w:t>
      </w:r>
      <w:r w:rsidR="0028384B">
        <w:rPr>
          <w:noProof/>
        </w:rPr>
        <w:t> </w:t>
      </w:r>
      <w:r w:rsidR="0028384B" w:rsidRPr="002F16A1">
        <w:rPr>
          <w:noProof/>
        </w:rPr>
        <w:t>zak</w:t>
      </w:r>
      <w:r w:rsidRPr="002F16A1">
        <w:rPr>
          <w:noProof/>
        </w:rPr>
        <w:t>resie zrównoważonego rozwoju</w:t>
      </w:r>
      <w:r w:rsidRPr="002F16A1">
        <w:rPr>
          <w:rStyle w:val="FootnoteReference"/>
          <w:noProof/>
        </w:rPr>
        <w:footnoteReference w:id="22"/>
      </w:r>
      <w:r w:rsidRPr="002F16A1">
        <w:rPr>
          <w:noProof/>
        </w:rPr>
        <w:t>. Wniosek dotyczący dyrektywy</w:t>
      </w:r>
      <w:r w:rsidR="0028384B" w:rsidRPr="002F16A1">
        <w:rPr>
          <w:noProof/>
        </w:rPr>
        <w:t xml:space="preserve"> w</w:t>
      </w:r>
      <w:r w:rsidR="0028384B">
        <w:rPr>
          <w:noProof/>
        </w:rPr>
        <w:t> </w:t>
      </w:r>
      <w:r w:rsidR="0028384B" w:rsidRPr="002F16A1">
        <w:rPr>
          <w:noProof/>
        </w:rPr>
        <w:t>spr</w:t>
      </w:r>
      <w:r w:rsidRPr="002F16A1">
        <w:rPr>
          <w:noProof/>
        </w:rPr>
        <w:t>awie należytej staranności przedsiębiorstw</w:t>
      </w:r>
      <w:r w:rsidR="0028384B" w:rsidRPr="002F16A1">
        <w:rPr>
          <w:noProof/>
        </w:rPr>
        <w:t xml:space="preserve"> w</w:t>
      </w:r>
      <w:r w:rsidR="0028384B">
        <w:rPr>
          <w:noProof/>
        </w:rPr>
        <w:t> </w:t>
      </w:r>
      <w:r w:rsidR="0028384B" w:rsidRPr="002F16A1">
        <w:rPr>
          <w:noProof/>
        </w:rPr>
        <w:t>zak</w:t>
      </w:r>
      <w:r w:rsidRPr="002F16A1">
        <w:rPr>
          <w:noProof/>
        </w:rPr>
        <w:t>resie zrównoważonego rozwoju może objąć przedsiębiorstwa wykorzystujące surowce krytyczne, gwarantując, że odpowiednio zajmą się one niekorzystnym wpływem ich działalności</w:t>
      </w:r>
      <w:r w:rsidR="0028384B" w:rsidRPr="002F16A1">
        <w:rPr>
          <w:noProof/>
        </w:rPr>
        <w:t xml:space="preserve"> i</w:t>
      </w:r>
      <w:r w:rsidR="0028384B">
        <w:rPr>
          <w:noProof/>
        </w:rPr>
        <w:t> </w:t>
      </w:r>
      <w:r w:rsidR="0028384B" w:rsidRPr="002F16A1">
        <w:rPr>
          <w:noProof/>
        </w:rPr>
        <w:t>łań</w:t>
      </w:r>
      <w:r w:rsidRPr="002F16A1">
        <w:rPr>
          <w:noProof/>
        </w:rPr>
        <w:t>cuchów wartości na prawa człowieka</w:t>
      </w:r>
      <w:r w:rsidR="0028384B" w:rsidRPr="002F16A1">
        <w:rPr>
          <w:noProof/>
        </w:rPr>
        <w:t xml:space="preserve"> i</w:t>
      </w:r>
      <w:r w:rsidR="0028384B">
        <w:rPr>
          <w:noProof/>
        </w:rPr>
        <w:t> </w:t>
      </w:r>
      <w:r w:rsidR="0028384B" w:rsidRPr="002F16A1">
        <w:rPr>
          <w:noProof/>
        </w:rPr>
        <w:t>śro</w:t>
      </w:r>
      <w:r w:rsidRPr="002F16A1">
        <w:rPr>
          <w:noProof/>
        </w:rPr>
        <w:t>dowisko, ale nie wprowadzono</w:t>
      </w:r>
      <w:r w:rsidR="0028384B" w:rsidRPr="002F16A1">
        <w:rPr>
          <w:noProof/>
        </w:rPr>
        <w:t xml:space="preserve"> w</w:t>
      </w:r>
      <w:r w:rsidR="0028384B">
        <w:rPr>
          <w:noProof/>
        </w:rPr>
        <w:t> </w:t>
      </w:r>
      <w:r w:rsidR="0028384B" w:rsidRPr="002F16A1">
        <w:rPr>
          <w:noProof/>
        </w:rPr>
        <w:t>nim</w:t>
      </w:r>
      <w:r w:rsidRPr="002F16A1">
        <w:rPr>
          <w:noProof/>
        </w:rPr>
        <w:t xml:space="preserve"> wymogu przedstawiania informacji na temat śladu środowiskowego surowców krytycznych</w:t>
      </w:r>
      <w:r w:rsidR="0028384B" w:rsidRPr="002F16A1">
        <w:rPr>
          <w:noProof/>
        </w:rPr>
        <w:t>. W</w:t>
      </w:r>
      <w:r w:rsidR="0028384B">
        <w:rPr>
          <w:noProof/>
        </w:rPr>
        <w:t> </w:t>
      </w:r>
      <w:r w:rsidR="0028384B" w:rsidRPr="002F16A1">
        <w:rPr>
          <w:noProof/>
        </w:rPr>
        <w:t>sto</w:t>
      </w:r>
      <w:r w:rsidRPr="002F16A1">
        <w:rPr>
          <w:noProof/>
        </w:rPr>
        <w:t>sownych przypadkach obliczenie śladu środowiskowego każdego surowca zgodnie</w:t>
      </w:r>
      <w:r w:rsidR="0028384B" w:rsidRPr="002F16A1">
        <w:rPr>
          <w:noProof/>
        </w:rPr>
        <w:t xml:space="preserve"> z</w:t>
      </w:r>
      <w:r w:rsidR="0028384B">
        <w:rPr>
          <w:noProof/>
        </w:rPr>
        <w:t> </w:t>
      </w:r>
      <w:r w:rsidR="0028384B" w:rsidRPr="002F16A1">
        <w:rPr>
          <w:noProof/>
        </w:rPr>
        <w:t>roz</w:t>
      </w:r>
      <w:r w:rsidRPr="002F16A1">
        <w:rPr>
          <w:noProof/>
        </w:rPr>
        <w:t>porządzeniem</w:t>
      </w:r>
      <w:r w:rsidR="0028384B" w:rsidRPr="002F16A1">
        <w:rPr>
          <w:noProof/>
        </w:rPr>
        <w:t xml:space="preserve"> w</w:t>
      </w:r>
      <w:r w:rsidR="0028384B">
        <w:rPr>
          <w:noProof/>
        </w:rPr>
        <w:t> </w:t>
      </w:r>
      <w:r w:rsidR="0028384B" w:rsidRPr="002F16A1">
        <w:rPr>
          <w:noProof/>
        </w:rPr>
        <w:t>spr</w:t>
      </w:r>
      <w:r w:rsidRPr="002F16A1">
        <w:rPr>
          <w:noProof/>
        </w:rPr>
        <w:t>awie surowców krytycznych mogłoby przyczynić się do skutecznego wdrożenia polityki należytej staranności;     </w:t>
      </w:r>
    </w:p>
    <w:p w:rsidR="00AD62E2" w:rsidRPr="0028384B" w:rsidRDefault="00AD62E2" w:rsidP="00D822B1">
      <w:pPr>
        <w:pStyle w:val="Tiret0"/>
        <w:rPr>
          <w:noProof/>
        </w:rPr>
      </w:pPr>
      <w:r w:rsidRPr="002F16A1">
        <w:rPr>
          <w:noProof/>
        </w:rPr>
        <w:t>wzmacniając odporność</w:t>
      </w:r>
      <w:r w:rsidR="0028384B" w:rsidRPr="002F16A1">
        <w:rPr>
          <w:noProof/>
        </w:rPr>
        <w:t xml:space="preserve"> i</w:t>
      </w:r>
      <w:r w:rsidR="0028384B">
        <w:rPr>
          <w:noProof/>
        </w:rPr>
        <w:t> </w:t>
      </w:r>
      <w:r w:rsidR="0028384B" w:rsidRPr="002F16A1">
        <w:rPr>
          <w:noProof/>
        </w:rPr>
        <w:t>got</w:t>
      </w:r>
      <w:r w:rsidRPr="002F16A1">
        <w:rPr>
          <w:noProof/>
        </w:rPr>
        <w:t>owość przemysłu europejskiego</w:t>
      </w:r>
      <w:r w:rsidR="0028384B" w:rsidRPr="002F16A1">
        <w:rPr>
          <w:noProof/>
        </w:rPr>
        <w:t xml:space="preserve"> w</w:t>
      </w:r>
      <w:r w:rsidR="0028384B">
        <w:rPr>
          <w:noProof/>
        </w:rPr>
        <w:t> </w:t>
      </w:r>
      <w:r w:rsidR="0028384B" w:rsidRPr="002F16A1">
        <w:rPr>
          <w:noProof/>
        </w:rPr>
        <w:t>odn</w:t>
      </w:r>
      <w:r w:rsidRPr="002F16A1">
        <w:rPr>
          <w:noProof/>
        </w:rPr>
        <w:t>iesieniu do surowców krytycznych, rozporządzenie stanowi uzupełnienie nadzwyczajnego instrumentu jednolitego rynku, który umożliwia Komisji</w:t>
      </w:r>
      <w:r w:rsidR="0028384B" w:rsidRPr="002F16A1">
        <w:rPr>
          <w:noProof/>
        </w:rPr>
        <w:t xml:space="preserve"> w</w:t>
      </w:r>
      <w:r w:rsidR="0028384B">
        <w:rPr>
          <w:noProof/>
        </w:rPr>
        <w:t> </w:t>
      </w:r>
      <w:r w:rsidR="0028384B" w:rsidRPr="002F16A1">
        <w:rPr>
          <w:noProof/>
        </w:rPr>
        <w:t>try</w:t>
      </w:r>
      <w:r w:rsidRPr="002F16A1">
        <w:rPr>
          <w:noProof/>
        </w:rPr>
        <w:t>bie podwyższonej czujności lub</w:t>
      </w:r>
      <w:r w:rsidR="0028384B" w:rsidRPr="002F16A1">
        <w:rPr>
          <w:noProof/>
        </w:rPr>
        <w:t xml:space="preserve"> w</w:t>
      </w:r>
      <w:r w:rsidR="0028384B">
        <w:rPr>
          <w:noProof/>
        </w:rPr>
        <w:t> </w:t>
      </w:r>
      <w:r w:rsidR="0028384B" w:rsidRPr="002F16A1">
        <w:rPr>
          <w:noProof/>
        </w:rPr>
        <w:t>try</w:t>
      </w:r>
      <w:r w:rsidRPr="002F16A1">
        <w:rPr>
          <w:noProof/>
        </w:rPr>
        <w:t>bie sytuacji nadzwyczajnej uruchomienie ukierunkowanych środków</w:t>
      </w:r>
      <w:r w:rsidR="0028384B" w:rsidRPr="002F16A1">
        <w:rPr>
          <w:noProof/>
        </w:rPr>
        <w:t xml:space="preserve"> w</w:t>
      </w:r>
      <w:r w:rsidR="0028384B">
        <w:rPr>
          <w:noProof/>
        </w:rPr>
        <w:t> </w:t>
      </w:r>
      <w:r w:rsidR="0028384B" w:rsidRPr="002F16A1">
        <w:rPr>
          <w:noProof/>
        </w:rPr>
        <w:t>prz</w:t>
      </w:r>
      <w:r w:rsidRPr="002F16A1">
        <w:rPr>
          <w:noProof/>
        </w:rPr>
        <w:t>ypadku zagrożenia lub zakłócenia dostaw towarów</w:t>
      </w:r>
      <w:r w:rsidR="0028384B" w:rsidRPr="002F16A1">
        <w:rPr>
          <w:noProof/>
        </w:rPr>
        <w:t xml:space="preserve"> o</w:t>
      </w:r>
      <w:r w:rsidR="0028384B">
        <w:rPr>
          <w:noProof/>
        </w:rPr>
        <w:t> </w:t>
      </w:r>
      <w:r w:rsidR="0028384B" w:rsidRPr="002F16A1">
        <w:rPr>
          <w:noProof/>
        </w:rPr>
        <w:t>zna</w:t>
      </w:r>
      <w:r w:rsidRPr="002F16A1">
        <w:rPr>
          <w:noProof/>
        </w:rPr>
        <w:t>czeniu strategicznym, które mogą obejmować surowce krytyczne</w:t>
      </w:r>
      <w:r w:rsidRPr="0028384B">
        <w:rPr>
          <w:noProof/>
        </w:rPr>
        <w:t>;</w:t>
      </w:r>
      <w:r w:rsidR="0028384B" w:rsidRPr="0028384B">
        <w:rPr>
          <w:noProof/>
        </w:rPr>
        <w:t xml:space="preserve"> </w:t>
      </w:r>
    </w:p>
    <w:p w:rsidR="00AD62E2" w:rsidRPr="002F16A1" w:rsidRDefault="00AD62E2" w:rsidP="00D822B1">
      <w:pPr>
        <w:pStyle w:val="Tiret0"/>
        <w:rPr>
          <w:noProof/>
        </w:rPr>
      </w:pPr>
      <w:r w:rsidRPr="002F16A1">
        <w:rPr>
          <w:noProof/>
        </w:rPr>
        <w:t>rozporządzenie gwarantuje również, że producenci kluczowych technologii wspieranych</w:t>
      </w:r>
      <w:r w:rsidR="0028384B" w:rsidRPr="002F16A1">
        <w:rPr>
          <w:noProof/>
        </w:rPr>
        <w:t xml:space="preserve"> w</w:t>
      </w:r>
      <w:r w:rsidR="0028384B">
        <w:rPr>
          <w:noProof/>
        </w:rPr>
        <w:t> </w:t>
      </w:r>
      <w:r w:rsidR="0028384B" w:rsidRPr="002F16A1">
        <w:rPr>
          <w:noProof/>
        </w:rPr>
        <w:t>ram</w:t>
      </w:r>
      <w:r w:rsidRPr="002F16A1">
        <w:rPr>
          <w:noProof/>
        </w:rPr>
        <w:t>ach aktu</w:t>
      </w:r>
      <w:r w:rsidR="0028384B" w:rsidRPr="002F16A1">
        <w:rPr>
          <w:noProof/>
        </w:rPr>
        <w:t xml:space="preserve"> w</w:t>
      </w:r>
      <w:r w:rsidR="0028384B">
        <w:rPr>
          <w:noProof/>
        </w:rPr>
        <w:t> </w:t>
      </w:r>
      <w:r w:rsidR="0028384B" w:rsidRPr="002F16A1">
        <w:rPr>
          <w:noProof/>
        </w:rPr>
        <w:t>spr</w:t>
      </w:r>
      <w:r w:rsidRPr="002F16A1">
        <w:rPr>
          <w:noProof/>
        </w:rPr>
        <w:t>awie czipów lub aktu</w:t>
      </w:r>
      <w:r w:rsidR="0028384B" w:rsidRPr="002F16A1">
        <w:rPr>
          <w:noProof/>
        </w:rPr>
        <w:t xml:space="preserve"> w</w:t>
      </w:r>
      <w:r w:rsidR="0028384B">
        <w:rPr>
          <w:noProof/>
        </w:rPr>
        <w:t> </w:t>
      </w:r>
      <w:r w:rsidR="0028384B" w:rsidRPr="002F16A1">
        <w:rPr>
          <w:noProof/>
        </w:rPr>
        <w:t>spr</w:t>
      </w:r>
      <w:r w:rsidRPr="002F16A1">
        <w:rPr>
          <w:noProof/>
        </w:rPr>
        <w:t>awie przemysłu neutralnego emisyjnie mogą liczyć na bezpieczne</w:t>
      </w:r>
      <w:r w:rsidR="0028384B" w:rsidRPr="002F16A1">
        <w:rPr>
          <w:noProof/>
        </w:rPr>
        <w:t xml:space="preserve"> i</w:t>
      </w:r>
      <w:r w:rsidR="0028384B">
        <w:rPr>
          <w:noProof/>
        </w:rPr>
        <w:t> </w:t>
      </w:r>
      <w:r w:rsidR="0028384B" w:rsidRPr="002F16A1">
        <w:rPr>
          <w:noProof/>
        </w:rPr>
        <w:t>zró</w:t>
      </w:r>
      <w:r w:rsidRPr="002F16A1">
        <w:rPr>
          <w:noProof/>
        </w:rPr>
        <w:t>wnoważone dostawy surowców krytycznych. </w:t>
      </w:r>
    </w:p>
    <w:p w:rsidR="00AD62E2" w:rsidRPr="002F16A1" w:rsidRDefault="00AD62E2" w:rsidP="00AD62E2">
      <w:pPr>
        <w:pStyle w:val="ManualHeading1"/>
        <w:rPr>
          <w:noProof/>
        </w:rPr>
      </w:pPr>
      <w:r w:rsidRPr="002F16A1">
        <w:rPr>
          <w:noProof/>
        </w:rPr>
        <w:t>2.</w:t>
      </w:r>
      <w:r w:rsidRPr="002F16A1">
        <w:rPr>
          <w:noProof/>
        </w:rPr>
        <w:tab/>
        <w:t>PODSTAWA PRAWNA, POMOCNICZOŚĆ I PROPORCJONALNOŚĆ</w:t>
      </w:r>
    </w:p>
    <w:p w:rsidR="00AD62E2" w:rsidRPr="002F16A1" w:rsidRDefault="00AD62E2" w:rsidP="00AD62E2">
      <w:pPr>
        <w:pStyle w:val="ManualHeading2"/>
        <w:rPr>
          <w:noProof/>
        </w:rPr>
      </w:pPr>
      <w:r w:rsidRPr="002F16A1">
        <w:rPr>
          <w:noProof/>
        </w:rPr>
        <w:t>•</w:t>
      </w:r>
      <w:r w:rsidRPr="002F16A1">
        <w:rPr>
          <w:noProof/>
        </w:rPr>
        <w:tab/>
        <w:t>Podstawa prawna</w:t>
      </w:r>
    </w:p>
    <w:p w:rsidR="00AD62E2" w:rsidRPr="0028384B" w:rsidRDefault="00AD62E2" w:rsidP="00AD62E2">
      <w:pPr>
        <w:rPr>
          <w:noProof/>
        </w:rPr>
      </w:pPr>
      <w:r w:rsidRPr="002F16A1">
        <w:rPr>
          <w:noProof/>
        </w:rPr>
        <w:t xml:space="preserve">Podstawę prawną niniejszego rozporządzenia stanowi </w:t>
      </w:r>
      <w:r w:rsidRPr="0028384B">
        <w:rPr>
          <w:noProof/>
        </w:rPr>
        <w:t>art.</w:t>
      </w:r>
      <w:r w:rsidR="0028384B" w:rsidRPr="0028384B">
        <w:rPr>
          <w:noProof/>
        </w:rPr>
        <w:t> </w:t>
      </w:r>
      <w:r w:rsidRPr="0028384B">
        <w:rPr>
          <w:noProof/>
        </w:rPr>
        <w:t>1</w:t>
      </w:r>
      <w:r w:rsidRPr="002F16A1">
        <w:rPr>
          <w:noProof/>
        </w:rPr>
        <w:t>14 Traktatu</w:t>
      </w:r>
      <w:r w:rsidR="0028384B" w:rsidRPr="002F16A1">
        <w:rPr>
          <w:noProof/>
        </w:rPr>
        <w:t xml:space="preserve"> o</w:t>
      </w:r>
      <w:r w:rsidR="0028384B">
        <w:rPr>
          <w:noProof/>
        </w:rPr>
        <w:t> </w:t>
      </w:r>
      <w:r w:rsidR="0028384B" w:rsidRPr="002F16A1">
        <w:rPr>
          <w:noProof/>
        </w:rPr>
        <w:t>fun</w:t>
      </w:r>
      <w:r w:rsidRPr="002F16A1">
        <w:rPr>
          <w:noProof/>
        </w:rPr>
        <w:t>kcjonowaniu Unii Europejskiej, który umożliwia Parlamentowi Europejskiemu</w:t>
      </w:r>
      <w:r w:rsidR="0028384B" w:rsidRPr="002F16A1">
        <w:rPr>
          <w:noProof/>
        </w:rPr>
        <w:t xml:space="preserve"> i</w:t>
      </w:r>
      <w:r w:rsidR="0028384B">
        <w:rPr>
          <w:noProof/>
        </w:rPr>
        <w:t> </w:t>
      </w:r>
      <w:r w:rsidR="0028384B" w:rsidRPr="002F16A1">
        <w:rPr>
          <w:noProof/>
        </w:rPr>
        <w:t>Rad</w:t>
      </w:r>
      <w:r w:rsidRPr="002F16A1">
        <w:rPr>
          <w:noProof/>
        </w:rPr>
        <w:t>zie przyjmowanie środków mających na celu ustanowienie</w:t>
      </w:r>
      <w:r w:rsidR="0028384B" w:rsidRPr="002F16A1">
        <w:rPr>
          <w:noProof/>
        </w:rPr>
        <w:t xml:space="preserve"> i</w:t>
      </w:r>
      <w:r w:rsidR="0028384B">
        <w:rPr>
          <w:noProof/>
        </w:rPr>
        <w:t> </w:t>
      </w:r>
      <w:r w:rsidR="0028384B" w:rsidRPr="002F16A1">
        <w:rPr>
          <w:noProof/>
        </w:rPr>
        <w:t>zap</w:t>
      </w:r>
      <w:r w:rsidRPr="002F16A1">
        <w:rPr>
          <w:noProof/>
        </w:rPr>
        <w:t>ewnienie dobrego funkcjonowania jednolitego rynku</w:t>
      </w:r>
      <w:r w:rsidRPr="0028384B">
        <w:rPr>
          <w:noProof/>
        </w:rPr>
        <w:t>.</w:t>
      </w:r>
      <w:r w:rsidR="0028384B" w:rsidRPr="0028384B">
        <w:rPr>
          <w:noProof/>
        </w:rPr>
        <w:t xml:space="preserve"> </w:t>
      </w:r>
    </w:p>
    <w:p w:rsidR="00AD62E2" w:rsidRPr="0028384B" w:rsidRDefault="00AD62E2" w:rsidP="00AD62E2">
      <w:pPr>
        <w:rPr>
          <w:noProof/>
        </w:rPr>
      </w:pPr>
      <w:r w:rsidRPr="002F16A1">
        <w:rPr>
          <w:noProof/>
        </w:rPr>
        <w:t>Rozporządzenie ma na celu zapewnienie bezpiecznych</w:t>
      </w:r>
      <w:r w:rsidR="0028384B" w:rsidRPr="002F16A1">
        <w:rPr>
          <w:noProof/>
        </w:rPr>
        <w:t xml:space="preserve"> i</w:t>
      </w:r>
      <w:r w:rsidR="0028384B">
        <w:rPr>
          <w:noProof/>
        </w:rPr>
        <w:t> </w:t>
      </w:r>
      <w:r w:rsidR="0028384B" w:rsidRPr="002F16A1">
        <w:rPr>
          <w:noProof/>
        </w:rPr>
        <w:t>zró</w:t>
      </w:r>
      <w:r w:rsidRPr="002F16A1">
        <w:rPr>
          <w:noProof/>
        </w:rPr>
        <w:t>wnoważonych dostaw surowców krytycznych dla UE. Bez takich działań obecne tendencje</w:t>
      </w:r>
      <w:r w:rsidR="0028384B" w:rsidRPr="002F16A1">
        <w:rPr>
          <w:noProof/>
        </w:rPr>
        <w:t xml:space="preserve"> w</w:t>
      </w:r>
      <w:r w:rsidR="0028384B">
        <w:rPr>
          <w:noProof/>
        </w:rPr>
        <w:t> </w:t>
      </w:r>
      <w:r w:rsidR="0028384B" w:rsidRPr="002F16A1">
        <w:rPr>
          <w:noProof/>
        </w:rPr>
        <w:t>zak</w:t>
      </w:r>
      <w:r w:rsidRPr="002F16A1">
        <w:rPr>
          <w:noProof/>
        </w:rPr>
        <w:t>resie podaży</w:t>
      </w:r>
      <w:r w:rsidR="0028384B" w:rsidRPr="002F16A1">
        <w:rPr>
          <w:noProof/>
        </w:rPr>
        <w:t xml:space="preserve"> i</w:t>
      </w:r>
      <w:r w:rsidR="0028384B">
        <w:rPr>
          <w:noProof/>
        </w:rPr>
        <w:t> </w:t>
      </w:r>
      <w:r w:rsidR="0028384B" w:rsidRPr="002F16A1">
        <w:rPr>
          <w:noProof/>
        </w:rPr>
        <w:t>pop</w:t>
      </w:r>
      <w:r w:rsidRPr="002F16A1">
        <w:rPr>
          <w:noProof/>
        </w:rPr>
        <w:t>ytu prawdopodobnie stworzą poważne</w:t>
      </w:r>
      <w:r w:rsidR="0028384B" w:rsidRPr="002F16A1">
        <w:rPr>
          <w:noProof/>
        </w:rPr>
        <w:t xml:space="preserve"> i</w:t>
      </w:r>
      <w:r w:rsidR="0028384B">
        <w:rPr>
          <w:noProof/>
        </w:rPr>
        <w:t> </w:t>
      </w:r>
      <w:r w:rsidR="0028384B" w:rsidRPr="002F16A1">
        <w:rPr>
          <w:noProof/>
        </w:rPr>
        <w:t>str</w:t>
      </w:r>
      <w:r w:rsidRPr="002F16A1">
        <w:rPr>
          <w:noProof/>
        </w:rPr>
        <w:t>ukturalne ryzyko zakłóceń dostaw szeregu surowców krytycznych</w:t>
      </w:r>
      <w:r w:rsidRPr="0028384B">
        <w:rPr>
          <w:noProof/>
        </w:rPr>
        <w:t>.</w:t>
      </w:r>
      <w:r w:rsidR="0028384B" w:rsidRPr="0028384B">
        <w:rPr>
          <w:noProof/>
        </w:rPr>
        <w:t xml:space="preserve"> </w:t>
      </w:r>
      <w:r w:rsidRPr="0028384B">
        <w:rPr>
          <w:noProof/>
        </w:rPr>
        <w:t>P</w:t>
      </w:r>
      <w:r w:rsidRPr="002F16A1">
        <w:rPr>
          <w:noProof/>
        </w:rPr>
        <w:t>onieważ są one niezbędne do funkcjonowania wielu sektorów strategicznych, należy zająć się potencjalnymi zakłóceniami dostaw, aby zapewnić stabilność rynków europejskich</w:t>
      </w:r>
      <w:r w:rsidRPr="0028384B">
        <w:rPr>
          <w:noProof/>
        </w:rPr>
        <w:t>.</w:t>
      </w:r>
      <w:r w:rsidR="0028384B" w:rsidRPr="0028384B">
        <w:rPr>
          <w:noProof/>
        </w:rPr>
        <w:t xml:space="preserve"> </w:t>
      </w:r>
      <w:r w:rsidRPr="0028384B">
        <w:rPr>
          <w:noProof/>
        </w:rPr>
        <w:t>W</w:t>
      </w:r>
      <w:r w:rsidRPr="002F16A1">
        <w:rPr>
          <w:noProof/>
        </w:rPr>
        <w:t>ystąpienie zakłóceń dostaw oraz związanych</w:t>
      </w:r>
      <w:r w:rsidR="0028384B" w:rsidRPr="002F16A1">
        <w:rPr>
          <w:noProof/>
        </w:rPr>
        <w:t xml:space="preserve"> z</w:t>
      </w:r>
      <w:r w:rsidR="0028384B">
        <w:rPr>
          <w:noProof/>
        </w:rPr>
        <w:t> </w:t>
      </w:r>
      <w:r w:rsidR="0028384B" w:rsidRPr="002F16A1">
        <w:rPr>
          <w:noProof/>
        </w:rPr>
        <w:t>nim</w:t>
      </w:r>
      <w:r w:rsidRPr="002F16A1">
        <w:rPr>
          <w:noProof/>
        </w:rPr>
        <w:t>i niedoborów</w:t>
      </w:r>
      <w:r w:rsidR="0028384B" w:rsidRPr="002F16A1">
        <w:rPr>
          <w:noProof/>
        </w:rPr>
        <w:t xml:space="preserve"> i</w:t>
      </w:r>
      <w:r w:rsidR="0028384B">
        <w:rPr>
          <w:noProof/>
        </w:rPr>
        <w:t> </w:t>
      </w:r>
      <w:r w:rsidR="0028384B" w:rsidRPr="002F16A1">
        <w:rPr>
          <w:noProof/>
        </w:rPr>
        <w:t>wah</w:t>
      </w:r>
      <w:r w:rsidRPr="002F16A1">
        <w:rPr>
          <w:noProof/>
        </w:rPr>
        <w:t>ań cenowych prawdopodobnie doprowadziłoby do podjęcia jednostronnych działań na szczeblu krajowym</w:t>
      </w:r>
      <w:r w:rsidR="0028384B" w:rsidRPr="002F16A1">
        <w:rPr>
          <w:noProof/>
        </w:rPr>
        <w:t xml:space="preserve"> w</w:t>
      </w:r>
      <w:r w:rsidR="0028384B">
        <w:rPr>
          <w:noProof/>
        </w:rPr>
        <w:t> </w:t>
      </w:r>
      <w:r w:rsidR="0028384B" w:rsidRPr="002F16A1">
        <w:rPr>
          <w:noProof/>
        </w:rPr>
        <w:t>cel</w:t>
      </w:r>
      <w:r w:rsidRPr="002F16A1">
        <w:rPr>
          <w:noProof/>
        </w:rPr>
        <w:t>u zaradzenia ich skutkom. Choć takie działania są co do zasady uzasadnione, to</w:t>
      </w:r>
      <w:r w:rsidR="0028384B" w:rsidRPr="002F16A1">
        <w:rPr>
          <w:noProof/>
        </w:rPr>
        <w:t xml:space="preserve"> w</w:t>
      </w:r>
      <w:r w:rsidR="0028384B">
        <w:rPr>
          <w:noProof/>
        </w:rPr>
        <w:t> </w:t>
      </w:r>
      <w:r w:rsidR="0028384B" w:rsidRPr="002F16A1">
        <w:rPr>
          <w:noProof/>
        </w:rPr>
        <w:t>prz</w:t>
      </w:r>
      <w:r w:rsidRPr="002F16A1">
        <w:rPr>
          <w:noProof/>
        </w:rPr>
        <w:t>ypadku nieskoordynowania mogą prowadzić do zakłócenia konkurencji</w:t>
      </w:r>
      <w:r w:rsidR="0028384B" w:rsidRPr="002F16A1">
        <w:rPr>
          <w:noProof/>
        </w:rPr>
        <w:t xml:space="preserve"> i</w:t>
      </w:r>
      <w:r w:rsidR="0028384B">
        <w:rPr>
          <w:noProof/>
        </w:rPr>
        <w:t> </w:t>
      </w:r>
      <w:r w:rsidR="0028384B" w:rsidRPr="002F16A1">
        <w:rPr>
          <w:noProof/>
        </w:rPr>
        <w:t>pow</w:t>
      </w:r>
      <w:r w:rsidRPr="002F16A1">
        <w:rPr>
          <w:noProof/>
        </w:rPr>
        <w:t>stania wewnątrzunijnych ograniczeń swobodnego przepływu towarów</w:t>
      </w:r>
      <w:r w:rsidRPr="0028384B">
        <w:rPr>
          <w:noProof/>
        </w:rPr>
        <w:t>.</w:t>
      </w:r>
      <w:r w:rsidR="0028384B" w:rsidRPr="0028384B">
        <w:rPr>
          <w:noProof/>
        </w:rPr>
        <w:t xml:space="preserve"> </w:t>
      </w:r>
    </w:p>
    <w:p w:rsidR="00AD62E2" w:rsidRPr="002F16A1" w:rsidRDefault="00AD62E2" w:rsidP="00AD62E2">
      <w:pPr>
        <w:rPr>
          <w:noProof/>
        </w:rPr>
      </w:pPr>
      <w:r w:rsidRPr="002F16A1">
        <w:rPr>
          <w:noProof/>
        </w:rPr>
        <w:t>Dzięki wprowadzeniu skoordynowanych działań mających na celu strukturalne zmniejszenie prawdopodobieństwa wystąpienia zakłóceń dostaw,</w:t>
      </w:r>
      <w:r w:rsidR="0028384B" w:rsidRPr="002F16A1">
        <w:rPr>
          <w:noProof/>
        </w:rPr>
        <w:t xml:space="preserve"> w</w:t>
      </w:r>
      <w:r w:rsidR="0028384B">
        <w:rPr>
          <w:noProof/>
        </w:rPr>
        <w:t> </w:t>
      </w:r>
      <w:r w:rsidR="0028384B" w:rsidRPr="002F16A1">
        <w:rPr>
          <w:noProof/>
        </w:rPr>
        <w:t>tym</w:t>
      </w:r>
      <w:r w:rsidRPr="002F16A1">
        <w:rPr>
          <w:noProof/>
        </w:rPr>
        <w:t xml:space="preserve"> działań mających na celu wzmocnienie dostaw krajowych oraz monitorowanie ryzyka</w:t>
      </w:r>
      <w:r w:rsidR="0028384B" w:rsidRPr="002F16A1">
        <w:rPr>
          <w:noProof/>
        </w:rPr>
        <w:t xml:space="preserve"> i</w:t>
      </w:r>
      <w:r w:rsidR="0028384B">
        <w:rPr>
          <w:noProof/>
        </w:rPr>
        <w:t> </w:t>
      </w:r>
      <w:r w:rsidR="0028384B" w:rsidRPr="002F16A1">
        <w:rPr>
          <w:noProof/>
        </w:rPr>
        <w:t>got</w:t>
      </w:r>
      <w:r w:rsidRPr="002F16A1">
        <w:rPr>
          <w:noProof/>
        </w:rPr>
        <w:t>owości, niniejsza inicjatywa przyczyni się do zapewnienia dobrego funkcjonowania jednolitego rynku: </w:t>
      </w:r>
    </w:p>
    <w:p w:rsidR="00AD62E2" w:rsidRPr="002F16A1" w:rsidRDefault="00AD62E2" w:rsidP="00D822B1">
      <w:pPr>
        <w:pStyle w:val="Tiret0"/>
        <w:rPr>
          <w:noProof/>
        </w:rPr>
      </w:pPr>
      <w:r w:rsidRPr="002F16A1">
        <w:rPr>
          <w:noProof/>
        </w:rPr>
        <w:t>wyznacza ona wspólne cele</w:t>
      </w:r>
      <w:r w:rsidR="0028384B" w:rsidRPr="002F16A1">
        <w:rPr>
          <w:noProof/>
        </w:rPr>
        <w:t xml:space="preserve"> i</w:t>
      </w:r>
      <w:r w:rsidR="0028384B">
        <w:rPr>
          <w:noProof/>
        </w:rPr>
        <w:t> </w:t>
      </w:r>
      <w:r w:rsidR="0028384B" w:rsidRPr="002F16A1">
        <w:rPr>
          <w:noProof/>
        </w:rPr>
        <w:t>wsp</w:t>
      </w:r>
      <w:r w:rsidRPr="002F16A1">
        <w:rPr>
          <w:noProof/>
        </w:rPr>
        <w:t>ólną definicję surowców krytycznych</w:t>
      </w:r>
      <w:r w:rsidR="0028384B" w:rsidRPr="002F16A1">
        <w:rPr>
          <w:noProof/>
        </w:rPr>
        <w:t xml:space="preserve"> i</w:t>
      </w:r>
      <w:r w:rsidR="0028384B">
        <w:rPr>
          <w:noProof/>
        </w:rPr>
        <w:t> </w:t>
      </w:r>
      <w:r w:rsidR="0028384B" w:rsidRPr="002F16A1">
        <w:rPr>
          <w:noProof/>
        </w:rPr>
        <w:t>str</w:t>
      </w:r>
      <w:r w:rsidRPr="002F16A1">
        <w:rPr>
          <w:noProof/>
        </w:rPr>
        <w:t>ategicznych; </w:t>
      </w:r>
    </w:p>
    <w:p w:rsidR="00AD62E2" w:rsidRPr="002F16A1" w:rsidRDefault="00AD62E2" w:rsidP="00D822B1">
      <w:pPr>
        <w:pStyle w:val="Tiret0"/>
        <w:rPr>
          <w:noProof/>
        </w:rPr>
      </w:pPr>
      <w:r w:rsidRPr="002F16A1">
        <w:rPr>
          <w:noProof/>
        </w:rPr>
        <w:t>ustanawia się</w:t>
      </w:r>
      <w:r w:rsidR="0028384B" w:rsidRPr="002F16A1">
        <w:rPr>
          <w:noProof/>
        </w:rPr>
        <w:t xml:space="preserve"> w</w:t>
      </w:r>
      <w:r w:rsidR="0028384B">
        <w:rPr>
          <w:noProof/>
        </w:rPr>
        <w:t> </w:t>
      </w:r>
      <w:r w:rsidR="0028384B" w:rsidRPr="002F16A1">
        <w:rPr>
          <w:noProof/>
        </w:rPr>
        <w:t>nie</w:t>
      </w:r>
      <w:r w:rsidRPr="002F16A1">
        <w:rPr>
          <w:noProof/>
        </w:rPr>
        <w:t>j wspólne</w:t>
      </w:r>
      <w:r w:rsidR="0028384B" w:rsidRPr="002F16A1">
        <w:rPr>
          <w:noProof/>
        </w:rPr>
        <w:t xml:space="preserve"> i</w:t>
      </w:r>
      <w:r w:rsidR="0028384B">
        <w:rPr>
          <w:noProof/>
        </w:rPr>
        <w:t> </w:t>
      </w:r>
      <w:r w:rsidR="0028384B" w:rsidRPr="002F16A1">
        <w:rPr>
          <w:noProof/>
        </w:rPr>
        <w:t>spó</w:t>
      </w:r>
      <w:r w:rsidRPr="002F16A1">
        <w:rPr>
          <w:noProof/>
        </w:rPr>
        <w:t>jne podejście do zwiększania europejskich możliwości</w:t>
      </w:r>
      <w:r w:rsidR="0028384B" w:rsidRPr="002F16A1">
        <w:rPr>
          <w:noProof/>
        </w:rPr>
        <w:t xml:space="preserve"> w</w:t>
      </w:r>
      <w:r w:rsidR="0028384B">
        <w:rPr>
          <w:noProof/>
        </w:rPr>
        <w:t> </w:t>
      </w:r>
      <w:r w:rsidR="0028384B" w:rsidRPr="002F16A1">
        <w:rPr>
          <w:noProof/>
        </w:rPr>
        <w:t>zak</w:t>
      </w:r>
      <w:r w:rsidRPr="002F16A1">
        <w:rPr>
          <w:noProof/>
        </w:rPr>
        <w:t>resie surowców krytycznych dzięki zapewnieniu</w:t>
      </w:r>
      <w:r w:rsidR="0028384B" w:rsidRPr="002F16A1">
        <w:rPr>
          <w:noProof/>
        </w:rPr>
        <w:t xml:space="preserve"> i</w:t>
      </w:r>
      <w:r w:rsidR="0028384B">
        <w:rPr>
          <w:noProof/>
        </w:rPr>
        <w:t> </w:t>
      </w:r>
      <w:r w:rsidR="0028384B" w:rsidRPr="002F16A1">
        <w:rPr>
          <w:noProof/>
        </w:rPr>
        <w:t>koo</w:t>
      </w:r>
      <w:r w:rsidRPr="002F16A1">
        <w:rPr>
          <w:noProof/>
        </w:rPr>
        <w:t>rdynacji wsparcia na rzecz projektów strategicznych, tym samym przyczyniając się do zapobiegania potencjalnym zakłóceniom konkurencji</w:t>
      </w:r>
      <w:r w:rsidR="0028384B" w:rsidRPr="002F16A1">
        <w:rPr>
          <w:noProof/>
        </w:rPr>
        <w:t xml:space="preserve"> i</w:t>
      </w:r>
      <w:r w:rsidR="0028384B">
        <w:rPr>
          <w:noProof/>
        </w:rPr>
        <w:t> </w:t>
      </w:r>
      <w:r w:rsidR="0028384B" w:rsidRPr="002F16A1">
        <w:rPr>
          <w:noProof/>
        </w:rPr>
        <w:t>fra</w:t>
      </w:r>
      <w:r w:rsidRPr="002F16A1">
        <w:rPr>
          <w:noProof/>
        </w:rPr>
        <w:t>gmentacji rynku, które mogłyby wynikać</w:t>
      </w:r>
      <w:r w:rsidR="0028384B" w:rsidRPr="002F16A1">
        <w:rPr>
          <w:noProof/>
        </w:rPr>
        <w:t xml:space="preserve"> z</w:t>
      </w:r>
      <w:r w:rsidR="0028384B">
        <w:rPr>
          <w:noProof/>
        </w:rPr>
        <w:t> </w:t>
      </w:r>
      <w:r w:rsidR="0028384B" w:rsidRPr="002F16A1">
        <w:rPr>
          <w:noProof/>
        </w:rPr>
        <w:t>nie</w:t>
      </w:r>
      <w:r w:rsidRPr="002F16A1">
        <w:rPr>
          <w:noProof/>
        </w:rPr>
        <w:t>skoordynowanych działań wspierających, oraz umożliwiając przedsiębiorstwom zajmującym się surowcami działającym na rynku wewnętrznym zachowanie równych szans; </w:t>
      </w:r>
    </w:p>
    <w:p w:rsidR="00AD62E2" w:rsidRPr="002F16A1" w:rsidRDefault="00AD62E2" w:rsidP="00D822B1">
      <w:pPr>
        <w:pStyle w:val="Tiret0"/>
        <w:rPr>
          <w:noProof/>
        </w:rPr>
      </w:pPr>
      <w:r w:rsidRPr="002F16A1">
        <w:rPr>
          <w:noProof/>
        </w:rPr>
        <w:t>wprowadza się</w:t>
      </w:r>
      <w:r w:rsidR="0028384B" w:rsidRPr="002F16A1">
        <w:rPr>
          <w:noProof/>
        </w:rPr>
        <w:t xml:space="preserve"> w</w:t>
      </w:r>
      <w:r w:rsidR="0028384B">
        <w:rPr>
          <w:noProof/>
        </w:rPr>
        <w:t> </w:t>
      </w:r>
      <w:r w:rsidR="0028384B" w:rsidRPr="002F16A1">
        <w:rPr>
          <w:noProof/>
        </w:rPr>
        <w:t>nie</w:t>
      </w:r>
      <w:r w:rsidRPr="002F16A1">
        <w:rPr>
          <w:noProof/>
        </w:rPr>
        <w:t>j środki monitorowania ryzyka</w:t>
      </w:r>
      <w:r w:rsidR="0028384B" w:rsidRPr="002F16A1">
        <w:rPr>
          <w:noProof/>
        </w:rPr>
        <w:t xml:space="preserve"> i</w:t>
      </w:r>
      <w:r w:rsidR="0028384B">
        <w:rPr>
          <w:noProof/>
        </w:rPr>
        <w:t> </w:t>
      </w:r>
      <w:r w:rsidR="0028384B" w:rsidRPr="002F16A1">
        <w:rPr>
          <w:noProof/>
        </w:rPr>
        <w:t>got</w:t>
      </w:r>
      <w:r w:rsidRPr="002F16A1">
        <w:rPr>
          <w:noProof/>
        </w:rPr>
        <w:t>owości, zapewniając przedsiębiorstwom dostęp do podobnych informacji</w:t>
      </w:r>
      <w:r w:rsidR="0028384B" w:rsidRPr="002F16A1">
        <w:rPr>
          <w:noProof/>
        </w:rPr>
        <w:t xml:space="preserve"> w</w:t>
      </w:r>
      <w:r w:rsidR="0028384B">
        <w:rPr>
          <w:noProof/>
        </w:rPr>
        <w:t> </w:t>
      </w:r>
      <w:r w:rsidR="0028384B" w:rsidRPr="002F16A1">
        <w:rPr>
          <w:noProof/>
        </w:rPr>
        <w:t>zak</w:t>
      </w:r>
      <w:r w:rsidRPr="002F16A1">
        <w:rPr>
          <w:noProof/>
        </w:rPr>
        <w:t>resie monitorowania ryzyka na całym rynku wewnętrznym oraz zharmonizowanych środków gotowości; </w:t>
      </w:r>
    </w:p>
    <w:p w:rsidR="00AD62E2" w:rsidRPr="002F16A1" w:rsidRDefault="00AD62E2" w:rsidP="00D822B1">
      <w:pPr>
        <w:pStyle w:val="Tiret0"/>
        <w:rPr>
          <w:noProof/>
        </w:rPr>
      </w:pPr>
      <w:r w:rsidRPr="002F16A1">
        <w:rPr>
          <w:noProof/>
        </w:rPr>
        <w:t>służy ona harmonizacji wymogów dotyczących wprowadzania do obrotu produktów zawierających magnesy trwałe (w odniesieniu do zdolności magnesów do recyklingu</w:t>
      </w:r>
      <w:r w:rsidR="0028384B" w:rsidRPr="002F16A1">
        <w:rPr>
          <w:noProof/>
        </w:rPr>
        <w:t xml:space="preserve"> i</w:t>
      </w:r>
      <w:r w:rsidR="0028384B">
        <w:rPr>
          <w:noProof/>
        </w:rPr>
        <w:t> </w:t>
      </w:r>
      <w:r w:rsidR="0028384B" w:rsidRPr="002F16A1">
        <w:rPr>
          <w:noProof/>
        </w:rPr>
        <w:t>zaw</w:t>
      </w:r>
      <w:r w:rsidRPr="002F16A1">
        <w:rPr>
          <w:noProof/>
        </w:rPr>
        <w:t>artości materiałów</w:t>
      </w:r>
      <w:r w:rsidR="0028384B" w:rsidRPr="002F16A1">
        <w:rPr>
          <w:noProof/>
        </w:rPr>
        <w:t xml:space="preserve"> z</w:t>
      </w:r>
      <w:r w:rsidR="0028384B">
        <w:rPr>
          <w:noProof/>
        </w:rPr>
        <w:t> </w:t>
      </w:r>
      <w:r w:rsidR="0028384B" w:rsidRPr="002F16A1">
        <w:rPr>
          <w:noProof/>
        </w:rPr>
        <w:t>rec</w:t>
      </w:r>
      <w:r w:rsidRPr="002F16A1">
        <w:rPr>
          <w:noProof/>
        </w:rPr>
        <w:t>yklingu</w:t>
      </w:r>
      <w:r w:rsidR="0028384B" w:rsidRPr="002F16A1">
        <w:rPr>
          <w:noProof/>
        </w:rPr>
        <w:t xml:space="preserve"> w</w:t>
      </w:r>
      <w:r w:rsidR="0028384B">
        <w:rPr>
          <w:noProof/>
        </w:rPr>
        <w:t> </w:t>
      </w:r>
      <w:r w:rsidR="0028384B" w:rsidRPr="002F16A1">
        <w:rPr>
          <w:noProof/>
        </w:rPr>
        <w:t>tyc</w:t>
      </w:r>
      <w:r w:rsidRPr="002F16A1">
        <w:rPr>
          <w:noProof/>
        </w:rPr>
        <w:t>h magnesach) oraz produktów zawierających surowce krytyczne (w odniesieniu do deklaracji dotyczącej ich śladu środowiskowego), zapobiegając</w:t>
      </w:r>
      <w:r w:rsidR="0028384B" w:rsidRPr="002F16A1">
        <w:rPr>
          <w:noProof/>
        </w:rPr>
        <w:t xml:space="preserve"> w</w:t>
      </w:r>
      <w:r w:rsidR="0028384B">
        <w:rPr>
          <w:noProof/>
        </w:rPr>
        <w:t> </w:t>
      </w:r>
      <w:r w:rsidR="0028384B" w:rsidRPr="002F16A1">
        <w:rPr>
          <w:noProof/>
        </w:rPr>
        <w:t>ten</w:t>
      </w:r>
      <w:r w:rsidRPr="002F16A1">
        <w:rPr>
          <w:noProof/>
        </w:rPr>
        <w:t xml:space="preserve"> sposób ograniczeniom wewnątrzunijnym</w:t>
      </w:r>
      <w:r w:rsidR="0028384B" w:rsidRPr="002F16A1">
        <w:rPr>
          <w:noProof/>
        </w:rPr>
        <w:t xml:space="preserve"> i</w:t>
      </w:r>
      <w:r w:rsidR="0028384B">
        <w:rPr>
          <w:noProof/>
        </w:rPr>
        <w:t> </w:t>
      </w:r>
      <w:r w:rsidR="0028384B" w:rsidRPr="002F16A1">
        <w:rPr>
          <w:noProof/>
        </w:rPr>
        <w:t>pom</w:t>
      </w:r>
      <w:r w:rsidRPr="002F16A1">
        <w:rPr>
          <w:noProof/>
        </w:rPr>
        <w:t>agając</w:t>
      </w:r>
      <w:r w:rsidR="0028384B" w:rsidRPr="002F16A1">
        <w:rPr>
          <w:noProof/>
        </w:rPr>
        <w:t xml:space="preserve"> w</w:t>
      </w:r>
      <w:r w:rsidR="0028384B">
        <w:rPr>
          <w:noProof/>
        </w:rPr>
        <w:t> </w:t>
      </w:r>
      <w:r w:rsidR="0028384B" w:rsidRPr="002F16A1">
        <w:rPr>
          <w:noProof/>
        </w:rPr>
        <w:t>zap</w:t>
      </w:r>
      <w:r w:rsidRPr="002F16A1">
        <w:rPr>
          <w:noProof/>
        </w:rPr>
        <w:t>ewnieniu swobodnego przepływu towarów. </w:t>
      </w:r>
    </w:p>
    <w:p w:rsidR="00AD62E2" w:rsidRPr="002F16A1" w:rsidRDefault="00AD62E2" w:rsidP="00AD62E2">
      <w:pPr>
        <w:pStyle w:val="ManualHeading2"/>
        <w:rPr>
          <w:noProof/>
        </w:rPr>
      </w:pPr>
      <w:r w:rsidRPr="002F16A1">
        <w:rPr>
          <w:noProof/>
        </w:rPr>
        <w:t>•</w:t>
      </w:r>
      <w:r w:rsidRPr="002F16A1">
        <w:rPr>
          <w:noProof/>
        </w:rPr>
        <w:tab/>
        <w:t>Pomocniczość (w przypadku kompetencji niewyłącznych)</w:t>
      </w:r>
    </w:p>
    <w:p w:rsidR="00AD62E2" w:rsidRPr="002F16A1" w:rsidRDefault="00AD62E2" w:rsidP="00AD62E2">
      <w:pPr>
        <w:rPr>
          <w:noProof/>
        </w:rPr>
      </w:pPr>
      <w:r w:rsidRPr="002F16A1">
        <w:rPr>
          <w:noProof/>
        </w:rPr>
        <w:t>Same państwa członkowskie nie są</w:t>
      </w:r>
      <w:r w:rsidR="0028384B" w:rsidRPr="002F16A1">
        <w:rPr>
          <w:noProof/>
        </w:rPr>
        <w:t xml:space="preserve"> w</w:t>
      </w:r>
      <w:r w:rsidR="0028384B">
        <w:rPr>
          <w:noProof/>
        </w:rPr>
        <w:t> </w:t>
      </w:r>
      <w:r w:rsidR="0028384B" w:rsidRPr="002F16A1">
        <w:rPr>
          <w:noProof/>
        </w:rPr>
        <w:t>sta</w:t>
      </w:r>
      <w:r w:rsidRPr="002F16A1">
        <w:rPr>
          <w:noProof/>
        </w:rPr>
        <w:t>nie skutecznie zrealizować celów niniejszego rozporządzenia. Po pierwsze, zwiększenie zdolności produkcyjnych</w:t>
      </w:r>
      <w:r w:rsidR="0028384B" w:rsidRPr="002F16A1">
        <w:rPr>
          <w:noProof/>
        </w:rPr>
        <w:t xml:space="preserve"> w</w:t>
      </w:r>
      <w:r w:rsidR="0028384B">
        <w:rPr>
          <w:noProof/>
        </w:rPr>
        <w:t> </w:t>
      </w:r>
      <w:r w:rsidR="0028384B" w:rsidRPr="002F16A1">
        <w:rPr>
          <w:noProof/>
        </w:rPr>
        <w:t>zak</w:t>
      </w:r>
      <w:r w:rsidRPr="002F16A1">
        <w:rPr>
          <w:noProof/>
        </w:rPr>
        <w:t>resie surowców krytycznych nie byłoby efektywne na poziomie krajowym na przykład ze względu na brak występowania złóż geologicznych</w:t>
      </w:r>
      <w:r w:rsidR="0028384B" w:rsidRPr="002F16A1">
        <w:rPr>
          <w:noProof/>
        </w:rPr>
        <w:t xml:space="preserve"> w</w:t>
      </w:r>
      <w:r w:rsidR="0028384B">
        <w:rPr>
          <w:noProof/>
        </w:rPr>
        <w:t> </w:t>
      </w:r>
      <w:r w:rsidR="0028384B" w:rsidRPr="002F16A1">
        <w:rPr>
          <w:noProof/>
        </w:rPr>
        <w:t>pos</w:t>
      </w:r>
      <w:r w:rsidRPr="002F16A1">
        <w:rPr>
          <w:noProof/>
        </w:rPr>
        <w:t>zczególnych państwach członkowskich, skalę wymaganych inwestycji oraz znaczne korzyści skali, które są niezbędne do tego, aby stać się konkurencyjnym na światowym rynku surowców. Po drugie,</w:t>
      </w:r>
      <w:r w:rsidR="0028384B" w:rsidRPr="002F16A1">
        <w:rPr>
          <w:noProof/>
        </w:rPr>
        <w:t xml:space="preserve"> w</w:t>
      </w:r>
      <w:r w:rsidR="0028384B">
        <w:rPr>
          <w:noProof/>
        </w:rPr>
        <w:t> </w:t>
      </w:r>
      <w:r w:rsidR="0028384B" w:rsidRPr="002F16A1">
        <w:rPr>
          <w:noProof/>
        </w:rPr>
        <w:t>prz</w:t>
      </w:r>
      <w:r w:rsidRPr="002F16A1">
        <w:rPr>
          <w:noProof/>
        </w:rPr>
        <w:t>ypadku braku koordynacji działań</w:t>
      </w:r>
      <w:r w:rsidR="0028384B" w:rsidRPr="002F16A1">
        <w:rPr>
          <w:noProof/>
        </w:rPr>
        <w:t xml:space="preserve"> i</w:t>
      </w:r>
      <w:r w:rsidR="0028384B">
        <w:rPr>
          <w:noProof/>
        </w:rPr>
        <w:t> </w:t>
      </w:r>
      <w:r w:rsidR="0028384B" w:rsidRPr="002F16A1">
        <w:rPr>
          <w:noProof/>
        </w:rPr>
        <w:t>wsp</w:t>
      </w:r>
      <w:r w:rsidRPr="002F16A1">
        <w:rPr>
          <w:noProof/>
        </w:rPr>
        <w:t>ółpracy między państwami członkowskimi</w:t>
      </w:r>
      <w:r w:rsidR="0028384B" w:rsidRPr="002F16A1">
        <w:rPr>
          <w:noProof/>
        </w:rPr>
        <w:t xml:space="preserve"> a</w:t>
      </w:r>
      <w:r w:rsidR="0028384B">
        <w:rPr>
          <w:noProof/>
        </w:rPr>
        <w:t> </w:t>
      </w:r>
      <w:r w:rsidR="0028384B" w:rsidRPr="002F16A1">
        <w:rPr>
          <w:noProof/>
        </w:rPr>
        <w:t>Kom</w:t>
      </w:r>
      <w:r w:rsidRPr="002F16A1">
        <w:rPr>
          <w:noProof/>
        </w:rPr>
        <w:t>isją</w:t>
      </w:r>
      <w:r w:rsidR="0028384B" w:rsidRPr="002F16A1">
        <w:rPr>
          <w:noProof/>
        </w:rPr>
        <w:t xml:space="preserve"> w</w:t>
      </w:r>
      <w:r w:rsidR="0028384B">
        <w:rPr>
          <w:noProof/>
        </w:rPr>
        <w:t> </w:t>
      </w:r>
      <w:r w:rsidR="0028384B" w:rsidRPr="002F16A1">
        <w:rPr>
          <w:noProof/>
        </w:rPr>
        <w:t>cel</w:t>
      </w:r>
      <w:r w:rsidRPr="002F16A1">
        <w:rPr>
          <w:noProof/>
        </w:rPr>
        <w:t>u zwiększenia monitorowania ryzyka związanego</w:t>
      </w:r>
      <w:r w:rsidR="0028384B" w:rsidRPr="002F16A1">
        <w:rPr>
          <w:noProof/>
        </w:rPr>
        <w:t xml:space="preserve"> z</w:t>
      </w:r>
      <w:r w:rsidR="0028384B">
        <w:rPr>
          <w:noProof/>
        </w:rPr>
        <w:t> </w:t>
      </w:r>
      <w:r w:rsidR="0028384B" w:rsidRPr="002F16A1">
        <w:rPr>
          <w:noProof/>
        </w:rPr>
        <w:t>dos</w:t>
      </w:r>
      <w:r w:rsidRPr="002F16A1">
        <w:rPr>
          <w:noProof/>
        </w:rPr>
        <w:t>tawami oraz gotowości na wypadek zagrożeń podejmowane wysiłki prawdopodobnie będą się powielać, co doprowadzi do braku efektywności. Proponowane ramy prawne powinny umożliwiać bardziej efektywny podział zadań oraz gromadzenie</w:t>
      </w:r>
      <w:r w:rsidR="0028384B" w:rsidRPr="002F16A1">
        <w:rPr>
          <w:noProof/>
        </w:rPr>
        <w:t xml:space="preserve"> i</w:t>
      </w:r>
      <w:r w:rsidR="0028384B">
        <w:rPr>
          <w:noProof/>
        </w:rPr>
        <w:t> </w:t>
      </w:r>
      <w:r w:rsidR="0028384B" w:rsidRPr="002F16A1">
        <w:rPr>
          <w:noProof/>
        </w:rPr>
        <w:t>udo</w:t>
      </w:r>
      <w:r w:rsidRPr="002F16A1">
        <w:rPr>
          <w:noProof/>
        </w:rPr>
        <w:t>stępnianie istotnych informacji. </w:t>
      </w:r>
    </w:p>
    <w:p w:rsidR="00AD62E2" w:rsidRPr="0028384B" w:rsidRDefault="00AD62E2" w:rsidP="00AD62E2">
      <w:pPr>
        <w:rPr>
          <w:noProof/>
        </w:rPr>
      </w:pPr>
      <w:r w:rsidRPr="002F16A1">
        <w:rPr>
          <w:noProof/>
        </w:rPr>
        <w:t>Środki określone</w:t>
      </w:r>
      <w:r w:rsidR="0028384B" w:rsidRPr="002F16A1">
        <w:rPr>
          <w:noProof/>
        </w:rPr>
        <w:t xml:space="preserve"> w</w:t>
      </w:r>
      <w:r w:rsidR="0028384B">
        <w:rPr>
          <w:noProof/>
        </w:rPr>
        <w:t> </w:t>
      </w:r>
      <w:r w:rsidR="0028384B" w:rsidRPr="002F16A1">
        <w:rPr>
          <w:noProof/>
        </w:rPr>
        <w:t>nin</w:t>
      </w:r>
      <w:r w:rsidRPr="002F16A1">
        <w:rPr>
          <w:noProof/>
        </w:rPr>
        <w:t>iejszym rozporządzeniu nie byłyby tak skuteczne, gdyby zostały wdrożone przez państwa członkowskie działające samodzielnie, ponieważ problemy, do których te środki mają zastosowanie, dotyczą całego jednolitego rynku. Nie są one ograniczone do pojedynczych państw członkowskich ani ich podzbiorów, ale odnoszą się do bazy przemysłowej UE jako całości. Ponadto niewielkie jest prawdopodobieństwo, że podejście realizowane na poziomie państw członkowskich będzie wystarczające do zaspokojenia potrzeb łańcuchów dostaw ściśle powiązanych</w:t>
      </w:r>
      <w:r w:rsidR="0028384B" w:rsidRPr="002F16A1">
        <w:rPr>
          <w:noProof/>
        </w:rPr>
        <w:t xml:space="preserve"> w</w:t>
      </w:r>
      <w:r w:rsidR="0028384B">
        <w:rPr>
          <w:noProof/>
        </w:rPr>
        <w:t> </w:t>
      </w:r>
      <w:r w:rsidR="0028384B" w:rsidRPr="002F16A1">
        <w:rPr>
          <w:noProof/>
        </w:rPr>
        <w:t>ram</w:t>
      </w:r>
      <w:r w:rsidRPr="002F16A1">
        <w:rPr>
          <w:noProof/>
        </w:rPr>
        <w:t>ach jednolitego rynku</w:t>
      </w:r>
      <w:r w:rsidRPr="0028384B">
        <w:rPr>
          <w:noProof/>
        </w:rPr>
        <w:t>.</w:t>
      </w:r>
      <w:r w:rsidR="0028384B" w:rsidRPr="0028384B">
        <w:rPr>
          <w:noProof/>
        </w:rPr>
        <w:t xml:space="preserve"> </w:t>
      </w:r>
    </w:p>
    <w:p w:rsidR="00AD62E2" w:rsidRPr="002F16A1" w:rsidRDefault="00AD62E2" w:rsidP="00AD62E2">
      <w:pPr>
        <w:rPr>
          <w:noProof/>
        </w:rPr>
      </w:pPr>
      <w:r w:rsidRPr="002F16A1">
        <w:rPr>
          <w:noProof/>
        </w:rPr>
        <w:t>Władze państw członkowskich są</w:t>
      </w:r>
      <w:r w:rsidR="0028384B" w:rsidRPr="002F16A1">
        <w:rPr>
          <w:noProof/>
        </w:rPr>
        <w:t xml:space="preserve"> i</w:t>
      </w:r>
      <w:r w:rsidR="0028384B">
        <w:rPr>
          <w:noProof/>
        </w:rPr>
        <w:t> </w:t>
      </w:r>
      <w:r w:rsidR="0028384B" w:rsidRPr="002F16A1">
        <w:rPr>
          <w:noProof/>
        </w:rPr>
        <w:t>poz</w:t>
      </w:r>
      <w:r w:rsidRPr="002F16A1">
        <w:rPr>
          <w:noProof/>
        </w:rPr>
        <w:t>ostaną wyłącznie odpowiedzialne za wydawanie pozwoleń na realizację projektów strategicznych,</w:t>
      </w:r>
      <w:r w:rsidR="0028384B" w:rsidRPr="002F16A1">
        <w:rPr>
          <w:noProof/>
        </w:rPr>
        <w:t xml:space="preserve"> z</w:t>
      </w:r>
      <w:r w:rsidR="0028384B">
        <w:rPr>
          <w:noProof/>
        </w:rPr>
        <w:t> </w:t>
      </w:r>
      <w:r w:rsidR="0028384B" w:rsidRPr="002F16A1">
        <w:rPr>
          <w:noProof/>
        </w:rPr>
        <w:t>zas</w:t>
      </w:r>
      <w:r w:rsidRPr="002F16A1">
        <w:rPr>
          <w:noProof/>
        </w:rPr>
        <w:t>trzeżeniem przepisów proceduralnych określonych</w:t>
      </w:r>
      <w:r w:rsidR="0028384B" w:rsidRPr="002F16A1">
        <w:rPr>
          <w:noProof/>
        </w:rPr>
        <w:t xml:space="preserve"> w</w:t>
      </w:r>
      <w:r w:rsidR="0028384B">
        <w:rPr>
          <w:noProof/>
        </w:rPr>
        <w:t> </w:t>
      </w:r>
      <w:r w:rsidR="0028384B" w:rsidRPr="002F16A1">
        <w:rPr>
          <w:noProof/>
        </w:rPr>
        <w:t>nin</w:t>
      </w:r>
      <w:r w:rsidRPr="002F16A1">
        <w:rPr>
          <w:noProof/>
        </w:rPr>
        <w:t>iejszym wniosku. Państwa członkowskie będą zatem mogły zapobiec przyznaniu statusu strategicznego projektowi, który byłby realizowany na ich terytorium. </w:t>
      </w:r>
    </w:p>
    <w:p w:rsidR="00AD62E2" w:rsidRPr="002F16A1" w:rsidRDefault="00AD62E2" w:rsidP="00AD62E2">
      <w:pPr>
        <w:pStyle w:val="ManualHeading2"/>
        <w:rPr>
          <w:noProof/>
        </w:rPr>
      </w:pPr>
      <w:r w:rsidRPr="002F16A1">
        <w:rPr>
          <w:noProof/>
        </w:rPr>
        <w:t>•</w:t>
      </w:r>
      <w:r w:rsidRPr="002F16A1">
        <w:rPr>
          <w:noProof/>
        </w:rPr>
        <w:tab/>
        <w:t>Proporcjonalność</w:t>
      </w:r>
    </w:p>
    <w:p w:rsidR="00AD62E2" w:rsidRPr="002F16A1" w:rsidRDefault="00AD62E2" w:rsidP="00AD62E2">
      <w:pPr>
        <w:rPr>
          <w:noProof/>
        </w:rPr>
      </w:pPr>
      <w:r w:rsidRPr="002F16A1">
        <w:rPr>
          <w:noProof/>
        </w:rPr>
        <w:t>Proponowane środki nie wykraczają poza zakres konieczny do zabezpieczenia dostaw surowców krytycznych. Działania na poziomie unijnym przynoszą wyraźną wartość dodaną ze względu na skalę, pilność</w:t>
      </w:r>
      <w:r w:rsidR="0028384B" w:rsidRPr="002F16A1">
        <w:rPr>
          <w:noProof/>
        </w:rPr>
        <w:t xml:space="preserve"> i</w:t>
      </w:r>
      <w:r w:rsidR="0028384B">
        <w:rPr>
          <w:noProof/>
        </w:rPr>
        <w:t> </w:t>
      </w:r>
      <w:r w:rsidR="0028384B" w:rsidRPr="002F16A1">
        <w:rPr>
          <w:noProof/>
        </w:rPr>
        <w:t>zak</w:t>
      </w:r>
      <w:r w:rsidRPr="002F16A1">
        <w:rPr>
          <w:noProof/>
        </w:rPr>
        <w:t>res niezbędnych działań: </w:t>
      </w:r>
    </w:p>
    <w:p w:rsidR="00AD62E2" w:rsidRPr="002F16A1" w:rsidRDefault="00AD62E2" w:rsidP="00D822B1">
      <w:pPr>
        <w:pStyle w:val="Tiret0"/>
        <w:rPr>
          <w:noProof/>
        </w:rPr>
      </w:pPr>
      <w:r w:rsidRPr="002F16A1">
        <w:rPr>
          <w:noProof/>
        </w:rPr>
        <w:t>Środki dotyczące projektów strategicznych skoncentrowane są na surowcach strategicznych</w:t>
      </w:r>
      <w:r w:rsidR="0028384B" w:rsidRPr="002F16A1">
        <w:rPr>
          <w:noProof/>
        </w:rPr>
        <w:t xml:space="preserve"> w</w:t>
      </w:r>
      <w:r w:rsidR="0028384B">
        <w:rPr>
          <w:noProof/>
        </w:rPr>
        <w:t> </w:t>
      </w:r>
      <w:r w:rsidR="0028384B" w:rsidRPr="002F16A1">
        <w:rPr>
          <w:noProof/>
        </w:rPr>
        <w:t>cel</w:t>
      </w:r>
      <w:r w:rsidRPr="002F16A1">
        <w:rPr>
          <w:noProof/>
        </w:rPr>
        <w:t>u zagwarantowania, że rozporządzenie obejmie swoim zakresem materiały najbardziej potrzebne do osiągnięcia celów UE</w:t>
      </w:r>
      <w:r w:rsidR="0028384B" w:rsidRPr="002F16A1">
        <w:rPr>
          <w:noProof/>
        </w:rPr>
        <w:t xml:space="preserve"> w</w:t>
      </w:r>
      <w:r w:rsidR="0028384B">
        <w:rPr>
          <w:noProof/>
        </w:rPr>
        <w:t> </w:t>
      </w:r>
      <w:r w:rsidR="0028384B" w:rsidRPr="002F16A1">
        <w:rPr>
          <w:noProof/>
        </w:rPr>
        <w:t>zak</w:t>
      </w:r>
      <w:r w:rsidRPr="002F16A1">
        <w:rPr>
          <w:noProof/>
        </w:rPr>
        <w:t>resie transformacji ekologicznej</w:t>
      </w:r>
      <w:r w:rsidR="0028384B" w:rsidRPr="002F16A1">
        <w:rPr>
          <w:noProof/>
        </w:rPr>
        <w:t xml:space="preserve"> i</w:t>
      </w:r>
      <w:r w:rsidR="0028384B">
        <w:rPr>
          <w:noProof/>
        </w:rPr>
        <w:t> </w:t>
      </w:r>
      <w:r w:rsidR="0028384B" w:rsidRPr="002F16A1">
        <w:rPr>
          <w:noProof/>
        </w:rPr>
        <w:t>cyf</w:t>
      </w:r>
      <w:r w:rsidRPr="002F16A1">
        <w:rPr>
          <w:noProof/>
        </w:rPr>
        <w:t>rowej, jak również zwiększenia odporności</w:t>
      </w:r>
      <w:r w:rsidR="0028384B" w:rsidRPr="002F16A1">
        <w:rPr>
          <w:noProof/>
        </w:rPr>
        <w:t xml:space="preserve"> i</w:t>
      </w:r>
      <w:r w:rsidR="0028384B">
        <w:rPr>
          <w:noProof/>
        </w:rPr>
        <w:t> </w:t>
      </w:r>
      <w:r w:rsidR="0028384B" w:rsidRPr="002F16A1">
        <w:rPr>
          <w:noProof/>
        </w:rPr>
        <w:t>bez</w:t>
      </w:r>
      <w:r w:rsidRPr="002F16A1">
        <w:rPr>
          <w:noProof/>
        </w:rPr>
        <w:t>pieczeństwa. </w:t>
      </w:r>
    </w:p>
    <w:p w:rsidR="00AD62E2" w:rsidRPr="002F16A1" w:rsidRDefault="00AD62E2" w:rsidP="00D822B1">
      <w:pPr>
        <w:pStyle w:val="Tiret0"/>
        <w:rPr>
          <w:noProof/>
        </w:rPr>
      </w:pPr>
      <w:r w:rsidRPr="002F16A1">
        <w:rPr>
          <w:noProof/>
        </w:rPr>
        <w:t>Środki dotyczące poszukiwań są proporcjonalne do wielkości terytorium każdego państwa członkowskiego,</w:t>
      </w:r>
      <w:r w:rsidR="0028384B" w:rsidRPr="002F16A1">
        <w:rPr>
          <w:noProof/>
        </w:rPr>
        <w:t xml:space="preserve"> a</w:t>
      </w:r>
      <w:r w:rsidR="0028384B">
        <w:rPr>
          <w:noProof/>
        </w:rPr>
        <w:t> </w:t>
      </w:r>
      <w:r w:rsidR="0028384B" w:rsidRPr="002F16A1">
        <w:rPr>
          <w:noProof/>
        </w:rPr>
        <w:t>pań</w:t>
      </w:r>
      <w:r w:rsidRPr="002F16A1">
        <w:rPr>
          <w:noProof/>
        </w:rPr>
        <w:t>stwa takie mogłyby nadal działać zgodnie ze swoją dotychczasową polityką</w:t>
      </w:r>
      <w:r w:rsidR="0028384B" w:rsidRPr="002F16A1">
        <w:rPr>
          <w:noProof/>
        </w:rPr>
        <w:t xml:space="preserve"> w</w:t>
      </w:r>
      <w:r w:rsidR="0028384B">
        <w:rPr>
          <w:noProof/>
        </w:rPr>
        <w:t> </w:t>
      </w:r>
      <w:r w:rsidR="0028384B" w:rsidRPr="002F16A1">
        <w:rPr>
          <w:noProof/>
        </w:rPr>
        <w:t>zak</w:t>
      </w:r>
      <w:r w:rsidRPr="002F16A1">
        <w:rPr>
          <w:noProof/>
        </w:rPr>
        <w:t>resie poszukiwań. Krajowe programy poszukiwań są jednak niezbędne</w:t>
      </w:r>
      <w:r w:rsidR="0028384B" w:rsidRPr="002F16A1">
        <w:rPr>
          <w:noProof/>
        </w:rPr>
        <w:t xml:space="preserve"> w</w:t>
      </w:r>
      <w:r w:rsidR="0028384B">
        <w:rPr>
          <w:noProof/>
        </w:rPr>
        <w:t> </w:t>
      </w:r>
      <w:r w:rsidR="0028384B" w:rsidRPr="002F16A1">
        <w:rPr>
          <w:noProof/>
        </w:rPr>
        <w:t>cel</w:t>
      </w:r>
      <w:r w:rsidRPr="002F16A1">
        <w:rPr>
          <w:noProof/>
        </w:rPr>
        <w:t>u wspierania rozwoju łańcucha wartości surowców krytycznych. </w:t>
      </w:r>
    </w:p>
    <w:p w:rsidR="00AD62E2" w:rsidRPr="0028384B" w:rsidRDefault="00AD62E2" w:rsidP="00D822B1">
      <w:pPr>
        <w:pStyle w:val="Tiret0"/>
        <w:rPr>
          <w:noProof/>
        </w:rPr>
      </w:pPr>
      <w:r w:rsidRPr="002F16A1">
        <w:rPr>
          <w:noProof/>
        </w:rPr>
        <w:t>Proponowane środki obejmują regularny przegląd oraz współpracę</w:t>
      </w:r>
      <w:r w:rsidR="0028384B" w:rsidRPr="002F16A1">
        <w:rPr>
          <w:noProof/>
        </w:rPr>
        <w:t xml:space="preserve"> z</w:t>
      </w:r>
      <w:r w:rsidR="0028384B">
        <w:rPr>
          <w:noProof/>
        </w:rPr>
        <w:t> </w:t>
      </w:r>
      <w:r w:rsidR="0028384B" w:rsidRPr="002F16A1">
        <w:rPr>
          <w:noProof/>
        </w:rPr>
        <w:t>pań</w:t>
      </w:r>
      <w:r w:rsidRPr="002F16A1">
        <w:rPr>
          <w:noProof/>
        </w:rPr>
        <w:t>stwami członkowskimi,</w:t>
      </w:r>
      <w:r w:rsidR="0028384B" w:rsidRPr="002F16A1">
        <w:rPr>
          <w:noProof/>
        </w:rPr>
        <w:t xml:space="preserve"> w</w:t>
      </w:r>
      <w:r w:rsidR="0028384B">
        <w:rPr>
          <w:noProof/>
        </w:rPr>
        <w:t> </w:t>
      </w:r>
      <w:r w:rsidR="0028384B" w:rsidRPr="002F16A1">
        <w:rPr>
          <w:noProof/>
        </w:rPr>
        <w:t>szc</w:t>
      </w:r>
      <w:r w:rsidRPr="002F16A1">
        <w:rPr>
          <w:noProof/>
        </w:rPr>
        <w:t>zególności</w:t>
      </w:r>
      <w:r w:rsidR="0028384B" w:rsidRPr="002F16A1">
        <w:rPr>
          <w:noProof/>
        </w:rPr>
        <w:t xml:space="preserve"> w</w:t>
      </w:r>
      <w:r w:rsidR="0028384B">
        <w:rPr>
          <w:noProof/>
        </w:rPr>
        <w:t> </w:t>
      </w:r>
      <w:r w:rsidR="0028384B" w:rsidRPr="002F16A1">
        <w:rPr>
          <w:noProof/>
        </w:rPr>
        <w:t>odn</w:t>
      </w:r>
      <w:r w:rsidRPr="002F16A1">
        <w:rPr>
          <w:noProof/>
        </w:rPr>
        <w:t>iesieniu do przepisów dotyczących monitorowania</w:t>
      </w:r>
      <w:r w:rsidR="0028384B" w:rsidRPr="002F16A1">
        <w:rPr>
          <w:noProof/>
        </w:rPr>
        <w:t xml:space="preserve"> i</w:t>
      </w:r>
      <w:r w:rsidR="0028384B">
        <w:rPr>
          <w:noProof/>
        </w:rPr>
        <w:t> </w:t>
      </w:r>
      <w:r w:rsidR="0028384B" w:rsidRPr="002F16A1">
        <w:rPr>
          <w:noProof/>
        </w:rPr>
        <w:t>zar</w:t>
      </w:r>
      <w:r w:rsidRPr="002F16A1">
        <w:rPr>
          <w:noProof/>
        </w:rPr>
        <w:t>ządzania</w:t>
      </w:r>
      <w:r w:rsidRPr="0028384B">
        <w:rPr>
          <w:noProof/>
        </w:rPr>
        <w:t>.</w:t>
      </w:r>
      <w:r w:rsidR="0028384B" w:rsidRPr="0028384B">
        <w:rPr>
          <w:noProof/>
        </w:rPr>
        <w:t xml:space="preserve"> </w:t>
      </w:r>
    </w:p>
    <w:p w:rsidR="00AD62E2" w:rsidRPr="002F16A1" w:rsidRDefault="00AD62E2" w:rsidP="00D822B1">
      <w:pPr>
        <w:pStyle w:val="Tiret0"/>
        <w:rPr>
          <w:noProof/>
        </w:rPr>
      </w:pPr>
      <w:r w:rsidRPr="002F16A1">
        <w:rPr>
          <w:noProof/>
        </w:rPr>
        <w:t>W ramach środków dotyczących monitorowania na państwa członkowskie nakłada się odpowiedzialność za identyfikację</w:t>
      </w:r>
      <w:r w:rsidR="0028384B" w:rsidRPr="002F16A1">
        <w:rPr>
          <w:noProof/>
        </w:rPr>
        <w:t xml:space="preserve"> i</w:t>
      </w:r>
      <w:r w:rsidR="0028384B">
        <w:rPr>
          <w:noProof/>
        </w:rPr>
        <w:t> </w:t>
      </w:r>
      <w:r w:rsidR="0028384B" w:rsidRPr="002F16A1">
        <w:rPr>
          <w:noProof/>
        </w:rPr>
        <w:t>mon</w:t>
      </w:r>
      <w:r w:rsidRPr="002F16A1">
        <w:rPr>
          <w:noProof/>
        </w:rPr>
        <w:t>itorowanie kluczowych operatorów rynku. Przedsiębiorstwa tylko</w:t>
      </w:r>
      <w:r w:rsidR="0028384B" w:rsidRPr="002F16A1">
        <w:rPr>
          <w:noProof/>
        </w:rPr>
        <w:t xml:space="preserve"> w</w:t>
      </w:r>
      <w:r w:rsidR="0028384B">
        <w:rPr>
          <w:noProof/>
        </w:rPr>
        <w:t> </w:t>
      </w:r>
      <w:r w:rsidR="0028384B" w:rsidRPr="002F16A1">
        <w:rPr>
          <w:noProof/>
        </w:rPr>
        <w:t>ogr</w:t>
      </w:r>
      <w:r w:rsidRPr="002F16A1">
        <w:rPr>
          <w:noProof/>
        </w:rPr>
        <w:t>aniczonym stopniu obarczone są obowiązkiem dostarczania informacji, ponieważ obowiązek taki dotyczy jedynie dużych przedsiębiorstw prowadzących działalność</w:t>
      </w:r>
      <w:r w:rsidR="0028384B" w:rsidRPr="002F16A1">
        <w:rPr>
          <w:noProof/>
        </w:rPr>
        <w:t xml:space="preserve"> w</w:t>
      </w:r>
      <w:r w:rsidR="0028384B">
        <w:rPr>
          <w:noProof/>
        </w:rPr>
        <w:t> </w:t>
      </w:r>
      <w:r w:rsidR="0028384B" w:rsidRPr="002F16A1">
        <w:rPr>
          <w:noProof/>
        </w:rPr>
        <w:t>zak</w:t>
      </w:r>
      <w:r w:rsidRPr="002F16A1">
        <w:rPr>
          <w:noProof/>
        </w:rPr>
        <w:t>resie wydobycia, rafinacji lub recyklingu surowców krytycznych. </w:t>
      </w:r>
    </w:p>
    <w:p w:rsidR="00AD62E2" w:rsidRPr="002F16A1" w:rsidRDefault="00AD62E2" w:rsidP="00D822B1">
      <w:pPr>
        <w:pStyle w:val="Tiret0"/>
        <w:rPr>
          <w:noProof/>
        </w:rPr>
      </w:pPr>
      <w:r w:rsidRPr="002F16A1">
        <w:rPr>
          <w:noProof/>
        </w:rPr>
        <w:t>Środki odnoszące się do gotowości przedsiębiorstw na wypadek zagrożeń przypisane są do podzbioru dużych przedsiębiorstw wytwarzających technologie strategiczne</w:t>
      </w:r>
      <w:r w:rsidR="0028384B" w:rsidRPr="002F16A1">
        <w:rPr>
          <w:noProof/>
        </w:rPr>
        <w:t xml:space="preserve"> z</w:t>
      </w:r>
      <w:r w:rsidR="0028384B">
        <w:rPr>
          <w:noProof/>
        </w:rPr>
        <w:t> </w:t>
      </w:r>
      <w:r w:rsidR="0028384B" w:rsidRPr="002F16A1">
        <w:rPr>
          <w:noProof/>
        </w:rPr>
        <w:t>wyk</w:t>
      </w:r>
      <w:r w:rsidRPr="002F16A1">
        <w:rPr>
          <w:noProof/>
        </w:rPr>
        <w:t>orzystaniem strategicznych surowców i są one ograniczone do wewnętrznych audytów łańcuchów dostaw tych przedsiębiorstw. </w:t>
      </w:r>
    </w:p>
    <w:p w:rsidR="00AD62E2" w:rsidRPr="002F16A1" w:rsidRDefault="00AD62E2" w:rsidP="00D822B1">
      <w:pPr>
        <w:pStyle w:val="Tiret0"/>
        <w:rPr>
          <w:noProof/>
        </w:rPr>
      </w:pPr>
      <w:r w:rsidRPr="002F16A1">
        <w:rPr>
          <w:noProof/>
        </w:rPr>
        <w:t>Środki dotyczące zrównoważoności nie skutkują nałożeniem wymogów wykraczających poza to, co jest konieczne, aby zachęcić do rozwoju rynku surowców wtórnych lub zapewnić większą przejrzystość informacji na temat śladu środowiskowego surowców krytycznych</w:t>
      </w:r>
      <w:r w:rsidR="0028384B" w:rsidRPr="002F16A1">
        <w:rPr>
          <w:noProof/>
        </w:rPr>
        <w:t xml:space="preserve"> w</w:t>
      </w:r>
      <w:r w:rsidR="0028384B">
        <w:rPr>
          <w:noProof/>
        </w:rPr>
        <w:t> </w:t>
      </w:r>
      <w:r w:rsidR="0028384B" w:rsidRPr="002F16A1">
        <w:rPr>
          <w:noProof/>
        </w:rPr>
        <w:t>dro</w:t>
      </w:r>
      <w:r w:rsidRPr="002F16A1">
        <w:rPr>
          <w:noProof/>
        </w:rPr>
        <w:t>dze podejścia stopniowego</w:t>
      </w:r>
      <w:r w:rsidR="0028384B" w:rsidRPr="002F16A1">
        <w:rPr>
          <w:noProof/>
        </w:rPr>
        <w:t xml:space="preserve"> i</w:t>
      </w:r>
      <w:r w:rsidR="0028384B">
        <w:rPr>
          <w:noProof/>
        </w:rPr>
        <w:t> </w:t>
      </w:r>
      <w:r w:rsidR="0028384B" w:rsidRPr="002F16A1">
        <w:rPr>
          <w:noProof/>
        </w:rPr>
        <w:t>opa</w:t>
      </w:r>
      <w:r w:rsidRPr="002F16A1">
        <w:rPr>
          <w:noProof/>
        </w:rPr>
        <w:t>rtego na dowodach. </w:t>
      </w:r>
    </w:p>
    <w:p w:rsidR="00AD62E2" w:rsidRPr="002F16A1" w:rsidRDefault="00AD62E2" w:rsidP="00AD62E2">
      <w:pPr>
        <w:pStyle w:val="ManualHeading2"/>
        <w:rPr>
          <w:noProof/>
        </w:rPr>
      </w:pPr>
      <w:r w:rsidRPr="002F16A1">
        <w:rPr>
          <w:noProof/>
        </w:rPr>
        <w:t>•</w:t>
      </w:r>
      <w:r w:rsidRPr="002F16A1">
        <w:rPr>
          <w:noProof/>
        </w:rPr>
        <w:tab/>
        <w:t>Wybór instrumentów prawnych</w:t>
      </w:r>
    </w:p>
    <w:p w:rsidR="00AD62E2" w:rsidRPr="0028384B" w:rsidRDefault="00AD62E2" w:rsidP="00AD62E2">
      <w:pPr>
        <w:rPr>
          <w:rFonts w:eastAsia="Times New Roman"/>
          <w:noProof/>
          <w:szCs w:val="24"/>
        </w:rPr>
      </w:pPr>
      <w:r w:rsidRPr="002F16A1">
        <w:rPr>
          <w:noProof/>
        </w:rPr>
        <w:t>Uznaje się, że rozporządzenie stanowi najodpowiedniejszy instrument, ponieważ umożliwia ustanowienie wymogów mających bezpośrednie zastosowanie do organów krajowych</w:t>
      </w:r>
      <w:r w:rsidR="0028384B" w:rsidRPr="002F16A1">
        <w:rPr>
          <w:noProof/>
        </w:rPr>
        <w:t xml:space="preserve"> i</w:t>
      </w:r>
      <w:r w:rsidR="0028384B">
        <w:rPr>
          <w:noProof/>
        </w:rPr>
        <w:t> </w:t>
      </w:r>
      <w:r w:rsidR="0028384B" w:rsidRPr="002F16A1">
        <w:rPr>
          <w:noProof/>
        </w:rPr>
        <w:t>odp</w:t>
      </w:r>
      <w:r w:rsidRPr="002F16A1">
        <w:rPr>
          <w:noProof/>
        </w:rPr>
        <w:t>owiednich podmiotów gospodarczych. Pomoże to</w:t>
      </w:r>
      <w:r w:rsidR="0028384B" w:rsidRPr="002F16A1">
        <w:rPr>
          <w:noProof/>
        </w:rPr>
        <w:t xml:space="preserve"> w</w:t>
      </w:r>
      <w:r w:rsidR="0028384B">
        <w:rPr>
          <w:noProof/>
        </w:rPr>
        <w:t> </w:t>
      </w:r>
      <w:r w:rsidR="0028384B" w:rsidRPr="002F16A1">
        <w:rPr>
          <w:noProof/>
        </w:rPr>
        <w:t>zap</w:t>
      </w:r>
      <w:r w:rsidRPr="002F16A1">
        <w:rPr>
          <w:noProof/>
        </w:rPr>
        <w:t>ewnieniu terminowego</w:t>
      </w:r>
      <w:r w:rsidR="0028384B" w:rsidRPr="002F16A1">
        <w:rPr>
          <w:noProof/>
        </w:rPr>
        <w:t xml:space="preserve"> i</w:t>
      </w:r>
      <w:r w:rsidR="0028384B">
        <w:rPr>
          <w:noProof/>
        </w:rPr>
        <w:t> </w:t>
      </w:r>
      <w:r w:rsidR="0028384B" w:rsidRPr="002F16A1">
        <w:rPr>
          <w:noProof/>
        </w:rPr>
        <w:t>zha</w:t>
      </w:r>
      <w:r w:rsidRPr="002F16A1">
        <w:rPr>
          <w:noProof/>
        </w:rPr>
        <w:t>rmonizowanego wdrożenia wymogów, skutkując większą pewnością prawa</w:t>
      </w:r>
      <w:r w:rsidRPr="0028384B">
        <w:rPr>
          <w:noProof/>
        </w:rPr>
        <w:t>.</w:t>
      </w:r>
      <w:r w:rsidR="0028384B" w:rsidRPr="0028384B">
        <w:rPr>
          <w:noProof/>
        </w:rPr>
        <w:t xml:space="preserve"> </w:t>
      </w:r>
    </w:p>
    <w:p w:rsidR="00AD62E2" w:rsidRPr="002F16A1" w:rsidRDefault="00AD62E2" w:rsidP="00AD62E2">
      <w:pPr>
        <w:rPr>
          <w:noProof/>
        </w:rPr>
      </w:pPr>
    </w:p>
    <w:p w:rsidR="00AD62E2" w:rsidRPr="002F16A1" w:rsidRDefault="00AD62E2" w:rsidP="00AD62E2">
      <w:pPr>
        <w:pStyle w:val="ManualHeading1"/>
        <w:rPr>
          <w:noProof/>
        </w:rPr>
      </w:pPr>
      <w:r w:rsidRPr="002F16A1">
        <w:rPr>
          <w:noProof/>
        </w:rPr>
        <w:t>3.</w:t>
      </w:r>
      <w:r w:rsidRPr="002F16A1">
        <w:rPr>
          <w:noProof/>
        </w:rPr>
        <w:tab/>
        <w:t xml:space="preserve">WYNIKI OCEN </w:t>
      </w:r>
      <w:r w:rsidRPr="002F16A1">
        <w:rPr>
          <w:i/>
          <w:iCs/>
          <w:noProof/>
        </w:rPr>
        <w:t>EX POST</w:t>
      </w:r>
      <w:r w:rsidRPr="002F16A1">
        <w:rPr>
          <w:noProof/>
        </w:rPr>
        <w:t>, KONSULTACJI Z ZAINTERESOWANYMI STRONAMI I OCEN SKUTKÓW</w:t>
      </w:r>
    </w:p>
    <w:p w:rsidR="00AD62E2" w:rsidRPr="002F16A1" w:rsidRDefault="00AD62E2" w:rsidP="00AD62E2">
      <w:pPr>
        <w:pStyle w:val="ManualHeading2"/>
        <w:rPr>
          <w:noProof/>
        </w:rPr>
      </w:pPr>
      <w:r w:rsidRPr="002F16A1">
        <w:rPr>
          <w:noProof/>
        </w:rPr>
        <w:t>•</w:t>
      </w:r>
      <w:r w:rsidRPr="002F16A1">
        <w:rPr>
          <w:noProof/>
        </w:rPr>
        <w:tab/>
        <w:t xml:space="preserve">Oceny </w:t>
      </w:r>
      <w:r w:rsidRPr="002F16A1">
        <w:rPr>
          <w:i/>
          <w:iCs/>
          <w:noProof/>
        </w:rPr>
        <w:t>ex post</w:t>
      </w:r>
      <w:r w:rsidRPr="002F16A1">
        <w:rPr>
          <w:noProof/>
        </w:rPr>
        <w:t>/oceny adekwatności obowiązującego prawodawstwa</w:t>
      </w:r>
    </w:p>
    <w:p w:rsidR="00AD62E2" w:rsidRPr="002F16A1" w:rsidRDefault="00AD62E2" w:rsidP="00AD62E2">
      <w:pPr>
        <w:rPr>
          <w:noProof/>
        </w:rPr>
      </w:pPr>
      <w:r w:rsidRPr="002F16A1">
        <w:rPr>
          <w:noProof/>
        </w:rPr>
        <w:t>Nie dotyczy.</w:t>
      </w:r>
    </w:p>
    <w:p w:rsidR="00AD62E2" w:rsidRPr="002F16A1" w:rsidRDefault="00AD62E2" w:rsidP="00AD62E2">
      <w:pPr>
        <w:pStyle w:val="ManualHeading2"/>
        <w:rPr>
          <w:noProof/>
        </w:rPr>
      </w:pPr>
      <w:r w:rsidRPr="002F16A1">
        <w:rPr>
          <w:noProof/>
        </w:rPr>
        <w:t>•</w:t>
      </w:r>
      <w:r w:rsidRPr="002F16A1">
        <w:rPr>
          <w:noProof/>
        </w:rPr>
        <w:tab/>
        <w:t>Konsultacje</w:t>
      </w:r>
      <w:r w:rsidR="0028384B" w:rsidRPr="002F16A1">
        <w:rPr>
          <w:noProof/>
        </w:rPr>
        <w:t xml:space="preserve"> z</w:t>
      </w:r>
      <w:r w:rsidR="0028384B">
        <w:rPr>
          <w:noProof/>
        </w:rPr>
        <w:t> </w:t>
      </w:r>
      <w:r w:rsidR="0028384B" w:rsidRPr="002F16A1">
        <w:rPr>
          <w:noProof/>
        </w:rPr>
        <w:t>zai</w:t>
      </w:r>
      <w:r w:rsidRPr="002F16A1">
        <w:rPr>
          <w:noProof/>
        </w:rPr>
        <w:t>nteresowanymi stronami</w:t>
      </w:r>
    </w:p>
    <w:p w:rsidR="00AD62E2" w:rsidRPr="002F16A1" w:rsidRDefault="00AD62E2" w:rsidP="00AD62E2">
      <w:pPr>
        <w:rPr>
          <w:rFonts w:eastAsia="Times New Roman"/>
          <w:noProof/>
          <w:szCs w:val="24"/>
        </w:rPr>
      </w:pPr>
      <w:r w:rsidRPr="002F16A1">
        <w:rPr>
          <w:noProof/>
        </w:rPr>
        <w:t>Zgodnie</w:t>
      </w:r>
      <w:r w:rsidR="0028384B" w:rsidRPr="002F16A1">
        <w:rPr>
          <w:noProof/>
        </w:rPr>
        <w:t xml:space="preserve"> z</w:t>
      </w:r>
      <w:r w:rsidR="0028384B">
        <w:rPr>
          <w:noProof/>
        </w:rPr>
        <w:t> </w:t>
      </w:r>
      <w:r w:rsidR="0028384B" w:rsidRPr="002F16A1">
        <w:rPr>
          <w:noProof/>
        </w:rPr>
        <w:t>wyt</w:t>
      </w:r>
      <w:r w:rsidRPr="002F16A1">
        <w:rPr>
          <w:noProof/>
        </w:rPr>
        <w:t>ycznymi</w:t>
      </w:r>
      <w:r w:rsidR="0028384B" w:rsidRPr="002F16A1">
        <w:rPr>
          <w:noProof/>
        </w:rPr>
        <w:t xml:space="preserve"> w</w:t>
      </w:r>
      <w:r w:rsidR="0028384B">
        <w:rPr>
          <w:noProof/>
        </w:rPr>
        <w:t> </w:t>
      </w:r>
      <w:r w:rsidR="0028384B" w:rsidRPr="002F16A1">
        <w:rPr>
          <w:noProof/>
        </w:rPr>
        <w:t>zak</w:t>
      </w:r>
      <w:r w:rsidRPr="002F16A1">
        <w:rPr>
          <w:noProof/>
        </w:rPr>
        <w:t>resie lepszego stanowienia prawa Komisja przeprowadziła kompleksowy proces konsultacji</w:t>
      </w:r>
      <w:r w:rsidR="0028384B" w:rsidRPr="002F16A1">
        <w:rPr>
          <w:noProof/>
        </w:rPr>
        <w:t xml:space="preserve"> z</w:t>
      </w:r>
      <w:r w:rsidR="0028384B">
        <w:rPr>
          <w:noProof/>
        </w:rPr>
        <w:t> </w:t>
      </w:r>
      <w:r w:rsidR="0028384B" w:rsidRPr="002F16A1">
        <w:rPr>
          <w:noProof/>
        </w:rPr>
        <w:t>zai</w:t>
      </w:r>
      <w:r w:rsidRPr="002F16A1">
        <w:rPr>
          <w:noProof/>
        </w:rPr>
        <w:t>nteresowanymi stronami, wykorzystując strategię konsultacji</w:t>
      </w:r>
      <w:r w:rsidR="0028384B" w:rsidRPr="002F16A1">
        <w:rPr>
          <w:noProof/>
        </w:rPr>
        <w:t xml:space="preserve"> w</w:t>
      </w:r>
      <w:r w:rsidR="0028384B">
        <w:rPr>
          <w:noProof/>
        </w:rPr>
        <w:t> </w:t>
      </w:r>
      <w:r w:rsidR="0028384B" w:rsidRPr="002F16A1">
        <w:rPr>
          <w:noProof/>
        </w:rPr>
        <w:t>cel</w:t>
      </w:r>
      <w:r w:rsidRPr="002F16A1">
        <w:rPr>
          <w:noProof/>
        </w:rPr>
        <w:t>u zebrania wiarygodnych informacji przy użyciu szeregu metod</w:t>
      </w:r>
      <w:r w:rsidR="0028384B" w:rsidRPr="002F16A1">
        <w:rPr>
          <w:noProof/>
        </w:rPr>
        <w:t xml:space="preserve"> i</w:t>
      </w:r>
      <w:r w:rsidR="0028384B">
        <w:rPr>
          <w:noProof/>
        </w:rPr>
        <w:t> </w:t>
      </w:r>
      <w:r w:rsidR="0028384B" w:rsidRPr="002F16A1">
        <w:rPr>
          <w:noProof/>
        </w:rPr>
        <w:t>nar</w:t>
      </w:r>
      <w:r w:rsidRPr="002F16A1">
        <w:rPr>
          <w:noProof/>
        </w:rPr>
        <w:t>zędzi oraz</w:t>
      </w:r>
      <w:r w:rsidR="0028384B" w:rsidRPr="002F16A1">
        <w:rPr>
          <w:noProof/>
        </w:rPr>
        <w:t xml:space="preserve"> z</w:t>
      </w:r>
      <w:r w:rsidR="0028384B">
        <w:rPr>
          <w:noProof/>
        </w:rPr>
        <w:t> </w:t>
      </w:r>
      <w:r w:rsidR="0028384B" w:rsidRPr="002F16A1">
        <w:rPr>
          <w:noProof/>
        </w:rPr>
        <w:t>udz</w:t>
      </w:r>
      <w:r w:rsidRPr="002F16A1">
        <w:rPr>
          <w:noProof/>
        </w:rPr>
        <w:t>iałem wielu konsultowanych stron. Celem tych konsultacji było zebranie</w:t>
      </w:r>
      <w:r w:rsidR="0028384B" w:rsidRPr="002F16A1">
        <w:rPr>
          <w:noProof/>
        </w:rPr>
        <w:t xml:space="preserve"> i</w:t>
      </w:r>
      <w:r w:rsidR="0028384B">
        <w:rPr>
          <w:noProof/>
        </w:rPr>
        <w:t> </w:t>
      </w:r>
      <w:r w:rsidR="0028384B" w:rsidRPr="002F16A1">
        <w:rPr>
          <w:noProof/>
        </w:rPr>
        <w:t>oce</w:t>
      </w:r>
      <w:r w:rsidRPr="002F16A1">
        <w:rPr>
          <w:noProof/>
        </w:rPr>
        <w:t>na wszystkich istotnych dowodów,</w:t>
      </w:r>
      <w:r w:rsidR="0028384B" w:rsidRPr="002F16A1">
        <w:rPr>
          <w:noProof/>
        </w:rPr>
        <w:t xml:space="preserve"> w</w:t>
      </w:r>
      <w:r w:rsidR="0028384B">
        <w:rPr>
          <w:noProof/>
        </w:rPr>
        <w:t> </w:t>
      </w:r>
      <w:r w:rsidR="0028384B" w:rsidRPr="002F16A1">
        <w:rPr>
          <w:noProof/>
        </w:rPr>
        <w:t>tym</w:t>
      </w:r>
      <w:r w:rsidRPr="002F16A1">
        <w:rPr>
          <w:noProof/>
        </w:rPr>
        <w:t xml:space="preserve"> danych</w:t>
      </w:r>
      <w:r w:rsidR="0028384B" w:rsidRPr="002F16A1">
        <w:rPr>
          <w:noProof/>
        </w:rPr>
        <w:t xml:space="preserve"> i</w:t>
      </w:r>
      <w:r w:rsidR="0028384B">
        <w:rPr>
          <w:noProof/>
        </w:rPr>
        <w:t> </w:t>
      </w:r>
      <w:r w:rsidR="0028384B" w:rsidRPr="002F16A1">
        <w:rPr>
          <w:noProof/>
        </w:rPr>
        <w:t>inf</w:t>
      </w:r>
      <w:r w:rsidRPr="002F16A1">
        <w:rPr>
          <w:noProof/>
        </w:rPr>
        <w:t>ormacji na temat kosztów, korzyści</w:t>
      </w:r>
      <w:r w:rsidR="0028384B" w:rsidRPr="002F16A1">
        <w:rPr>
          <w:noProof/>
        </w:rPr>
        <w:t xml:space="preserve"> i</w:t>
      </w:r>
      <w:r w:rsidR="0028384B">
        <w:rPr>
          <w:noProof/>
        </w:rPr>
        <w:t> </w:t>
      </w:r>
      <w:r w:rsidR="0028384B" w:rsidRPr="002F16A1">
        <w:rPr>
          <w:noProof/>
        </w:rPr>
        <w:t>pot</w:t>
      </w:r>
      <w:r w:rsidRPr="002F16A1">
        <w:rPr>
          <w:noProof/>
        </w:rPr>
        <w:t>encjalnych skutków społecznych decyzji politycznej. Strategia działania została opracowana zgodnie</w:t>
      </w:r>
      <w:r w:rsidR="0028384B" w:rsidRPr="002F16A1">
        <w:rPr>
          <w:noProof/>
        </w:rPr>
        <w:t xml:space="preserve"> z</w:t>
      </w:r>
      <w:r w:rsidR="0028384B">
        <w:rPr>
          <w:noProof/>
        </w:rPr>
        <w:t> </w:t>
      </w:r>
      <w:r w:rsidR="0028384B" w:rsidRPr="002F16A1">
        <w:rPr>
          <w:noProof/>
        </w:rPr>
        <w:t>log</w:t>
      </w:r>
      <w:r w:rsidRPr="002F16A1">
        <w:rPr>
          <w:noProof/>
        </w:rPr>
        <w:t>iką interwencji, ze szczególnym uwzględnieniem czynników powodujących problemy</w:t>
      </w:r>
      <w:r w:rsidR="0028384B" w:rsidRPr="002F16A1">
        <w:rPr>
          <w:noProof/>
        </w:rPr>
        <w:t xml:space="preserve"> i</w:t>
      </w:r>
      <w:r w:rsidR="0028384B">
        <w:rPr>
          <w:noProof/>
        </w:rPr>
        <w:t> </w:t>
      </w:r>
      <w:r w:rsidR="0028384B" w:rsidRPr="002F16A1">
        <w:rPr>
          <w:noProof/>
        </w:rPr>
        <w:t>wym</w:t>
      </w:r>
      <w:r w:rsidRPr="002F16A1">
        <w:rPr>
          <w:noProof/>
        </w:rPr>
        <w:t xml:space="preserve">agających podjęcia określonych działań, oraz na zidentyfikowanych cechach charakterystycznych unijnego łańcucha wartości surowców krytycznych. </w:t>
      </w:r>
    </w:p>
    <w:p w:rsidR="00AD62E2" w:rsidRPr="002F16A1" w:rsidRDefault="00AD62E2" w:rsidP="00AD62E2">
      <w:pPr>
        <w:rPr>
          <w:rFonts w:eastAsia="Times New Roman"/>
          <w:noProof/>
          <w:szCs w:val="24"/>
        </w:rPr>
      </w:pPr>
      <w:r w:rsidRPr="002F16A1">
        <w:rPr>
          <w:noProof/>
        </w:rPr>
        <w:t>Komisja zastosowała strategię konsultacji, przeprowadzając wiele różnorodnych działań: otwarte konsultacje internetowe zorganizowane</w:t>
      </w:r>
      <w:r w:rsidR="0028384B" w:rsidRPr="002F16A1">
        <w:rPr>
          <w:noProof/>
        </w:rPr>
        <w:t xml:space="preserve"> w</w:t>
      </w:r>
      <w:r w:rsidR="0028384B">
        <w:rPr>
          <w:noProof/>
        </w:rPr>
        <w:t> </w:t>
      </w:r>
      <w:r w:rsidR="0028384B" w:rsidRPr="002F16A1">
        <w:rPr>
          <w:noProof/>
        </w:rPr>
        <w:t>okr</w:t>
      </w:r>
      <w:r w:rsidRPr="002F16A1">
        <w:rPr>
          <w:noProof/>
        </w:rPr>
        <w:t xml:space="preserve">esie </w:t>
      </w:r>
      <w:r w:rsidRPr="0028384B">
        <w:rPr>
          <w:noProof/>
        </w:rPr>
        <w:t>od</w:t>
      </w:r>
      <w:r w:rsidR="0028384B" w:rsidRPr="0028384B">
        <w:rPr>
          <w:noProof/>
        </w:rPr>
        <w:t> </w:t>
      </w:r>
      <w:r w:rsidRPr="0028384B">
        <w:rPr>
          <w:noProof/>
        </w:rPr>
        <w:t>3</w:t>
      </w:r>
      <w:r w:rsidRPr="002F16A1">
        <w:rPr>
          <w:noProof/>
        </w:rPr>
        <w:t xml:space="preserve">0 września </w:t>
      </w:r>
      <w:r w:rsidRPr="0028384B">
        <w:rPr>
          <w:noProof/>
        </w:rPr>
        <w:t>do</w:t>
      </w:r>
      <w:r w:rsidR="0028384B" w:rsidRPr="0028384B">
        <w:rPr>
          <w:noProof/>
        </w:rPr>
        <w:t> </w:t>
      </w:r>
      <w:r w:rsidRPr="0028384B">
        <w:rPr>
          <w:noProof/>
        </w:rPr>
        <w:t>2</w:t>
      </w:r>
      <w:r w:rsidRPr="002F16A1">
        <w:rPr>
          <w:noProof/>
        </w:rPr>
        <w:t>5 listopada 20</w:t>
      </w:r>
      <w:r w:rsidRPr="0028384B">
        <w:rPr>
          <w:noProof/>
        </w:rPr>
        <w:t>22</w:t>
      </w:r>
      <w:r w:rsidR="0028384B" w:rsidRPr="0028384B">
        <w:rPr>
          <w:noProof/>
        </w:rPr>
        <w:t> </w:t>
      </w:r>
      <w:r w:rsidRPr="0028384B">
        <w:rPr>
          <w:noProof/>
        </w:rPr>
        <w:t>r.</w:t>
      </w:r>
      <w:r w:rsidRPr="002F16A1">
        <w:rPr>
          <w:noProof/>
        </w:rPr>
        <w:t xml:space="preserve"> przez Dyrekcję Generalną ds. Rynku Wewnętrznego, Przemysłu, Przedsiębiorczości i MŚP, zaproszenie do zgłaszania uwag na potrzeby oceny skutków,</w:t>
      </w:r>
      <w:r w:rsidR="0028384B" w:rsidRPr="002F16A1">
        <w:rPr>
          <w:noProof/>
        </w:rPr>
        <w:t xml:space="preserve"> w</w:t>
      </w:r>
      <w:r w:rsidR="0028384B">
        <w:rPr>
          <w:noProof/>
        </w:rPr>
        <w:t> </w:t>
      </w:r>
      <w:r w:rsidR="0028384B" w:rsidRPr="002F16A1">
        <w:rPr>
          <w:noProof/>
        </w:rPr>
        <w:t>odn</w:t>
      </w:r>
      <w:r w:rsidRPr="002F16A1">
        <w:rPr>
          <w:noProof/>
        </w:rPr>
        <w:t>iesieniu do którego możliwe było przekazanie opinii</w:t>
      </w:r>
      <w:r w:rsidR="0028384B" w:rsidRPr="002F16A1">
        <w:rPr>
          <w:noProof/>
        </w:rPr>
        <w:t xml:space="preserve"> w</w:t>
      </w:r>
      <w:r w:rsidR="0028384B">
        <w:rPr>
          <w:noProof/>
        </w:rPr>
        <w:t> </w:t>
      </w:r>
      <w:r w:rsidR="0028384B" w:rsidRPr="002F16A1">
        <w:rPr>
          <w:noProof/>
        </w:rPr>
        <w:t>tym</w:t>
      </w:r>
      <w:r w:rsidRPr="002F16A1">
        <w:rPr>
          <w:noProof/>
        </w:rPr>
        <w:t xml:space="preserve"> samym okresie, oraz ukierunkowany kwestionariusz dotyczący „zapasów surowców” i „wydawania pozwoleń”</w:t>
      </w:r>
      <w:r w:rsidR="0028384B" w:rsidRPr="002F16A1">
        <w:rPr>
          <w:noProof/>
        </w:rPr>
        <w:t xml:space="preserve"> w</w:t>
      </w:r>
      <w:r w:rsidR="0028384B">
        <w:rPr>
          <w:noProof/>
        </w:rPr>
        <w:t> </w:t>
      </w:r>
      <w:r w:rsidR="0028384B" w:rsidRPr="002F16A1">
        <w:rPr>
          <w:noProof/>
        </w:rPr>
        <w:t>pań</w:t>
      </w:r>
      <w:r w:rsidRPr="002F16A1">
        <w:rPr>
          <w:noProof/>
        </w:rPr>
        <w:t>stwach członkowskich UE, udostępniony stanowiącej grupę ekspertów „grupie ds. zaopatrzenia</w:t>
      </w:r>
      <w:r w:rsidR="0028384B" w:rsidRPr="002F16A1">
        <w:rPr>
          <w:noProof/>
        </w:rPr>
        <w:t xml:space="preserve"> w</w:t>
      </w:r>
      <w:r w:rsidR="0028384B">
        <w:rPr>
          <w:noProof/>
        </w:rPr>
        <w:t> </w:t>
      </w:r>
      <w:r w:rsidR="0028384B" w:rsidRPr="002F16A1">
        <w:rPr>
          <w:noProof/>
        </w:rPr>
        <w:t>sur</w:t>
      </w:r>
      <w:r w:rsidRPr="002F16A1">
        <w:rPr>
          <w:noProof/>
        </w:rPr>
        <w:t>owce”. Komisja otrzymała 259 odpowiedzi</w:t>
      </w:r>
      <w:r w:rsidR="0028384B" w:rsidRPr="002F16A1">
        <w:rPr>
          <w:noProof/>
        </w:rPr>
        <w:t xml:space="preserve"> w</w:t>
      </w:r>
      <w:r w:rsidR="0028384B">
        <w:rPr>
          <w:noProof/>
        </w:rPr>
        <w:t> </w:t>
      </w:r>
      <w:r w:rsidR="0028384B" w:rsidRPr="002F16A1">
        <w:rPr>
          <w:noProof/>
        </w:rPr>
        <w:t>ram</w:t>
      </w:r>
      <w:r w:rsidRPr="002F16A1">
        <w:rPr>
          <w:noProof/>
        </w:rPr>
        <w:t>ach konsultacji publicznych, zaś dokument programowy załączyło 52 respondentów. Komisja zgromadziła również 310 odpowiedzi na zaproszenie do zgłaszania uwag. Wyniki konsultacji publicznych zostały przedstawione</w:t>
      </w:r>
      <w:r w:rsidR="0028384B" w:rsidRPr="002F16A1">
        <w:rPr>
          <w:noProof/>
        </w:rPr>
        <w:t xml:space="preserve"> w</w:t>
      </w:r>
      <w:r w:rsidR="0028384B">
        <w:rPr>
          <w:noProof/>
        </w:rPr>
        <w:t> </w:t>
      </w:r>
      <w:r w:rsidR="0028384B" w:rsidRPr="002F16A1">
        <w:rPr>
          <w:noProof/>
        </w:rPr>
        <w:t>spr</w:t>
      </w:r>
      <w:r w:rsidRPr="002F16A1">
        <w:rPr>
          <w:noProof/>
        </w:rPr>
        <w:t>awozdaniu podsumowującym stan faktyczny, opublikowanym wraz</w:t>
      </w:r>
      <w:r w:rsidR="0028384B" w:rsidRPr="002F16A1">
        <w:rPr>
          <w:noProof/>
        </w:rPr>
        <w:t xml:space="preserve"> z</w:t>
      </w:r>
      <w:r w:rsidR="0028384B">
        <w:rPr>
          <w:noProof/>
        </w:rPr>
        <w:t> </w:t>
      </w:r>
      <w:r w:rsidR="0028384B" w:rsidRPr="002F16A1">
        <w:rPr>
          <w:noProof/>
        </w:rPr>
        <w:t>odp</w:t>
      </w:r>
      <w:r w:rsidRPr="002F16A1">
        <w:rPr>
          <w:noProof/>
        </w:rPr>
        <w:t>owiedziami na zaproszenie do zgłaszania uwag na portalu „Wyraź swoją opinię”.</w:t>
      </w:r>
    </w:p>
    <w:p w:rsidR="00AD62E2" w:rsidRPr="002F16A1" w:rsidRDefault="00AD62E2" w:rsidP="00AD62E2">
      <w:pPr>
        <w:rPr>
          <w:rFonts w:eastAsia="Times New Roman"/>
          <w:noProof/>
          <w:szCs w:val="24"/>
        </w:rPr>
      </w:pPr>
      <w:r w:rsidRPr="002F16A1">
        <w:rPr>
          <w:noProof/>
        </w:rPr>
        <w:t>Ogólnie rzecz ujmując, zainteresowane strony potwierdziły korzyści płynące</w:t>
      </w:r>
      <w:r w:rsidR="0028384B" w:rsidRPr="002F16A1">
        <w:rPr>
          <w:noProof/>
        </w:rPr>
        <w:t xml:space="preserve"> z</w:t>
      </w:r>
      <w:r w:rsidR="0028384B">
        <w:rPr>
          <w:noProof/>
        </w:rPr>
        <w:t> </w:t>
      </w:r>
      <w:r w:rsidR="0028384B" w:rsidRPr="002F16A1">
        <w:rPr>
          <w:noProof/>
        </w:rPr>
        <w:t>bie</w:t>
      </w:r>
      <w:r w:rsidRPr="002F16A1">
        <w:rPr>
          <w:noProof/>
        </w:rPr>
        <w:t>żących inicjatyw realizowanych</w:t>
      </w:r>
      <w:r w:rsidR="0028384B" w:rsidRPr="002F16A1">
        <w:rPr>
          <w:noProof/>
        </w:rPr>
        <w:t xml:space="preserve"> w</w:t>
      </w:r>
      <w:r w:rsidR="0028384B">
        <w:rPr>
          <w:noProof/>
        </w:rPr>
        <w:t> </w:t>
      </w:r>
      <w:r w:rsidR="0028384B" w:rsidRPr="002F16A1">
        <w:rPr>
          <w:noProof/>
        </w:rPr>
        <w:t>ram</w:t>
      </w:r>
      <w:r w:rsidRPr="002F16A1">
        <w:rPr>
          <w:noProof/>
        </w:rPr>
        <w:t>ach planu działania UE</w:t>
      </w:r>
      <w:r w:rsidR="0028384B" w:rsidRPr="002F16A1">
        <w:rPr>
          <w:noProof/>
        </w:rPr>
        <w:t xml:space="preserve"> z</w:t>
      </w:r>
      <w:r w:rsidR="0028384B">
        <w:rPr>
          <w:noProof/>
        </w:rPr>
        <w:t> </w:t>
      </w:r>
      <w:r w:rsidR="0028384B" w:rsidRPr="002F16A1">
        <w:rPr>
          <w:noProof/>
        </w:rPr>
        <w:t>2</w:t>
      </w:r>
      <w:r w:rsidRPr="002F16A1">
        <w:rPr>
          <w:noProof/>
        </w:rPr>
        <w:t>0</w:t>
      </w:r>
      <w:r w:rsidRPr="0028384B">
        <w:rPr>
          <w:noProof/>
        </w:rPr>
        <w:t>20</w:t>
      </w:r>
      <w:r w:rsidR="0028384B" w:rsidRPr="0028384B">
        <w:rPr>
          <w:noProof/>
        </w:rPr>
        <w:t> </w:t>
      </w:r>
      <w:r w:rsidRPr="0028384B">
        <w:rPr>
          <w:noProof/>
        </w:rPr>
        <w:t>r.</w:t>
      </w:r>
      <w:r w:rsidR="0028384B" w:rsidRPr="002F16A1">
        <w:rPr>
          <w:noProof/>
        </w:rPr>
        <w:t xml:space="preserve"> w</w:t>
      </w:r>
      <w:r w:rsidR="0028384B">
        <w:rPr>
          <w:noProof/>
        </w:rPr>
        <w:t> </w:t>
      </w:r>
      <w:r w:rsidR="0028384B" w:rsidRPr="002F16A1">
        <w:rPr>
          <w:noProof/>
        </w:rPr>
        <w:t>zak</w:t>
      </w:r>
      <w:r w:rsidRPr="002F16A1">
        <w:rPr>
          <w:noProof/>
        </w:rPr>
        <w:t>resie surowców krytycznych</w:t>
      </w:r>
      <w:r w:rsidR="0028384B" w:rsidRPr="002F16A1">
        <w:rPr>
          <w:noProof/>
        </w:rPr>
        <w:t xml:space="preserve"> w</w:t>
      </w:r>
      <w:r w:rsidR="0028384B">
        <w:rPr>
          <w:noProof/>
        </w:rPr>
        <w:t> </w:t>
      </w:r>
      <w:r w:rsidR="0028384B" w:rsidRPr="002F16A1">
        <w:rPr>
          <w:noProof/>
        </w:rPr>
        <w:t>cel</w:t>
      </w:r>
      <w:r w:rsidRPr="002F16A1">
        <w:rPr>
          <w:noProof/>
        </w:rPr>
        <w:t>u zabezpieczenia dostaw tych surowców,</w:t>
      </w:r>
      <w:r w:rsidR="0028384B" w:rsidRPr="002F16A1">
        <w:rPr>
          <w:noProof/>
        </w:rPr>
        <w:t xml:space="preserve"> w</w:t>
      </w:r>
      <w:r w:rsidR="0028384B">
        <w:rPr>
          <w:noProof/>
        </w:rPr>
        <w:t> </w:t>
      </w:r>
      <w:r w:rsidR="0028384B" w:rsidRPr="002F16A1">
        <w:rPr>
          <w:noProof/>
        </w:rPr>
        <w:t>szc</w:t>
      </w:r>
      <w:r w:rsidRPr="002F16A1">
        <w:rPr>
          <w:noProof/>
        </w:rPr>
        <w:t>zególności</w:t>
      </w:r>
      <w:r w:rsidR="0028384B" w:rsidRPr="002F16A1">
        <w:rPr>
          <w:noProof/>
        </w:rPr>
        <w:t xml:space="preserve"> w</w:t>
      </w:r>
      <w:r w:rsidR="0028384B">
        <w:rPr>
          <w:noProof/>
        </w:rPr>
        <w:t> </w:t>
      </w:r>
      <w:r w:rsidR="0028384B" w:rsidRPr="002F16A1">
        <w:rPr>
          <w:noProof/>
        </w:rPr>
        <w:t>dro</w:t>
      </w:r>
      <w:r w:rsidRPr="002F16A1">
        <w:rPr>
          <w:noProof/>
        </w:rPr>
        <w:t>dze partnerstw strategicznych dotyczących surowców. Strony podkreśliły jednak, że nie odnotowano wystarczającej poprawy potencjału własnego UE</w:t>
      </w:r>
      <w:r w:rsidR="0028384B" w:rsidRPr="002F16A1">
        <w:rPr>
          <w:noProof/>
        </w:rPr>
        <w:t xml:space="preserve"> i</w:t>
      </w:r>
      <w:r w:rsidR="0028384B">
        <w:rPr>
          <w:noProof/>
        </w:rPr>
        <w:t> </w:t>
      </w:r>
      <w:r w:rsidR="0028384B" w:rsidRPr="002F16A1">
        <w:rPr>
          <w:noProof/>
        </w:rPr>
        <w:t>odp</w:t>
      </w:r>
      <w:r w:rsidRPr="002F16A1">
        <w:rPr>
          <w:noProof/>
        </w:rPr>
        <w:t>orności przemysłu na ryzyko związane</w:t>
      </w:r>
      <w:r w:rsidR="0028384B" w:rsidRPr="002F16A1">
        <w:rPr>
          <w:noProof/>
        </w:rPr>
        <w:t xml:space="preserve"> z</w:t>
      </w:r>
      <w:r w:rsidR="0028384B">
        <w:rPr>
          <w:noProof/>
        </w:rPr>
        <w:t> </w:t>
      </w:r>
      <w:r w:rsidR="0028384B" w:rsidRPr="002F16A1">
        <w:rPr>
          <w:noProof/>
        </w:rPr>
        <w:t>dos</w:t>
      </w:r>
      <w:r w:rsidRPr="002F16A1">
        <w:rPr>
          <w:noProof/>
        </w:rPr>
        <w:t>tawami. Komisja uzyskała szerokie poparcie dla pomysłu przedstawienia inicjatywy mającej na celu zapewnienie bezpiecznego</w:t>
      </w:r>
      <w:r w:rsidR="0028384B" w:rsidRPr="002F16A1">
        <w:rPr>
          <w:noProof/>
        </w:rPr>
        <w:t xml:space="preserve"> i</w:t>
      </w:r>
      <w:r w:rsidR="0028384B">
        <w:rPr>
          <w:noProof/>
        </w:rPr>
        <w:t> </w:t>
      </w:r>
      <w:r w:rsidR="0028384B" w:rsidRPr="002F16A1">
        <w:rPr>
          <w:noProof/>
        </w:rPr>
        <w:t>zró</w:t>
      </w:r>
      <w:r w:rsidRPr="002F16A1">
        <w:rPr>
          <w:noProof/>
        </w:rPr>
        <w:t>wnoważonego dostępu do surowców krytycznych przy jednoczesnym zwiększeniu odporności</w:t>
      </w:r>
      <w:r w:rsidR="0028384B" w:rsidRPr="002F16A1">
        <w:rPr>
          <w:noProof/>
        </w:rPr>
        <w:t xml:space="preserve"> i</w:t>
      </w:r>
      <w:r w:rsidR="0028384B">
        <w:rPr>
          <w:noProof/>
        </w:rPr>
        <w:t> </w:t>
      </w:r>
      <w:r w:rsidR="0028384B" w:rsidRPr="002F16A1">
        <w:rPr>
          <w:noProof/>
        </w:rPr>
        <w:t>got</w:t>
      </w:r>
      <w:r w:rsidRPr="002F16A1">
        <w:rPr>
          <w:noProof/>
        </w:rPr>
        <w:t>owości Europy dzięki rozwiązaniu problemu podatności łańcucha dostaw</w:t>
      </w:r>
      <w:r w:rsidR="0028384B" w:rsidRPr="002F16A1">
        <w:rPr>
          <w:noProof/>
        </w:rPr>
        <w:t>. W</w:t>
      </w:r>
      <w:r w:rsidR="0028384B">
        <w:rPr>
          <w:noProof/>
        </w:rPr>
        <w:t> </w:t>
      </w:r>
      <w:r w:rsidR="0028384B" w:rsidRPr="002F16A1">
        <w:rPr>
          <w:noProof/>
        </w:rPr>
        <w:t>odn</w:t>
      </w:r>
      <w:r w:rsidRPr="002F16A1">
        <w:rPr>
          <w:noProof/>
        </w:rPr>
        <w:t>iesieniu do kwestii podatności łańcucha dostaw</w:t>
      </w:r>
      <w:r w:rsidR="0028384B" w:rsidRPr="002F16A1">
        <w:rPr>
          <w:noProof/>
        </w:rPr>
        <w:t xml:space="preserve"> w</w:t>
      </w:r>
      <w:r w:rsidR="0028384B">
        <w:rPr>
          <w:noProof/>
        </w:rPr>
        <w:t> </w:t>
      </w:r>
      <w:r w:rsidR="0028384B" w:rsidRPr="002F16A1">
        <w:rPr>
          <w:noProof/>
        </w:rPr>
        <w:t>otr</w:t>
      </w:r>
      <w:r w:rsidRPr="002F16A1">
        <w:rPr>
          <w:noProof/>
        </w:rPr>
        <w:t>zymanych opiniach zwrócono uwagę na szereg braków strukturalnych uniemożliwiających przemysłowi wydobywczemu realizację projektów w UE. Aby sprostać tym wyzwaniom, Komisja podkreśliła znaczenie realizacji projektów strategicznych na etapach wydobycia, przetwarzania</w:t>
      </w:r>
      <w:r w:rsidR="0028384B" w:rsidRPr="002F16A1">
        <w:rPr>
          <w:noProof/>
        </w:rPr>
        <w:t xml:space="preserve"> i</w:t>
      </w:r>
      <w:r w:rsidR="0028384B">
        <w:rPr>
          <w:noProof/>
        </w:rPr>
        <w:t> </w:t>
      </w:r>
      <w:r w:rsidR="0028384B" w:rsidRPr="002F16A1">
        <w:rPr>
          <w:noProof/>
        </w:rPr>
        <w:t>rec</w:t>
      </w:r>
      <w:r w:rsidRPr="002F16A1">
        <w:rPr>
          <w:noProof/>
        </w:rPr>
        <w:t xml:space="preserve">yklingu na rzecz rozwijania unijnego łańcucha wartości surowców krytycznych. </w:t>
      </w:r>
    </w:p>
    <w:p w:rsidR="00AD62E2" w:rsidRPr="002F16A1" w:rsidRDefault="00AD62E2" w:rsidP="00AD62E2">
      <w:pPr>
        <w:rPr>
          <w:rFonts w:eastAsia="Times New Roman"/>
          <w:noProof/>
          <w:szCs w:val="24"/>
        </w:rPr>
      </w:pPr>
      <w:r w:rsidRPr="002F16A1">
        <w:rPr>
          <w:noProof/>
        </w:rPr>
        <w:t>W swoich odpowiedziach przedsiębiorstwa skupiły się na kosztach proceduralnych</w:t>
      </w:r>
      <w:r w:rsidR="0028384B" w:rsidRPr="002F16A1">
        <w:rPr>
          <w:noProof/>
        </w:rPr>
        <w:t xml:space="preserve"> i</w:t>
      </w:r>
      <w:r w:rsidR="0028384B">
        <w:rPr>
          <w:noProof/>
        </w:rPr>
        <w:t> </w:t>
      </w:r>
      <w:r w:rsidR="0028384B" w:rsidRPr="002F16A1">
        <w:rPr>
          <w:noProof/>
        </w:rPr>
        <w:t>adm</w:t>
      </w:r>
      <w:r w:rsidRPr="002F16A1">
        <w:rPr>
          <w:noProof/>
        </w:rPr>
        <w:t>inistracyjnych oraz wezwały do podjęcia działań</w:t>
      </w:r>
      <w:r w:rsidR="0028384B" w:rsidRPr="002F16A1">
        <w:rPr>
          <w:noProof/>
        </w:rPr>
        <w:t xml:space="preserve"> w</w:t>
      </w:r>
      <w:r w:rsidR="0028384B">
        <w:rPr>
          <w:noProof/>
        </w:rPr>
        <w:t> </w:t>
      </w:r>
      <w:r w:rsidR="0028384B" w:rsidRPr="002F16A1">
        <w:rPr>
          <w:noProof/>
        </w:rPr>
        <w:t>cel</w:t>
      </w:r>
      <w:r w:rsidRPr="002F16A1">
        <w:rPr>
          <w:noProof/>
        </w:rPr>
        <w:t>u usprawnienia procedur wydawania pozwoleń</w:t>
      </w:r>
      <w:r w:rsidR="0028384B" w:rsidRPr="002F16A1">
        <w:rPr>
          <w:noProof/>
        </w:rPr>
        <w:t xml:space="preserve"> i</w:t>
      </w:r>
      <w:r w:rsidR="0028384B">
        <w:rPr>
          <w:noProof/>
        </w:rPr>
        <w:t> </w:t>
      </w:r>
      <w:r w:rsidR="0028384B" w:rsidRPr="002F16A1">
        <w:rPr>
          <w:noProof/>
        </w:rPr>
        <w:t>uła</w:t>
      </w:r>
      <w:r w:rsidRPr="002F16A1">
        <w:rPr>
          <w:noProof/>
        </w:rPr>
        <w:t>twienia dostępu do finansowania. Organizacje pozarządowe</w:t>
      </w:r>
      <w:r w:rsidR="0028384B" w:rsidRPr="002F16A1">
        <w:rPr>
          <w:noProof/>
        </w:rPr>
        <w:t xml:space="preserve"> i</w:t>
      </w:r>
      <w:r w:rsidR="0028384B">
        <w:rPr>
          <w:noProof/>
        </w:rPr>
        <w:t> </w:t>
      </w:r>
      <w:r w:rsidR="0028384B" w:rsidRPr="002F16A1">
        <w:rPr>
          <w:noProof/>
        </w:rPr>
        <w:t>oby</w:t>
      </w:r>
      <w:r w:rsidRPr="002F16A1">
        <w:rPr>
          <w:noProof/>
        </w:rPr>
        <w:t>watele wyrazili obawy dotyczące środowiskowych</w:t>
      </w:r>
      <w:r w:rsidR="0028384B" w:rsidRPr="002F16A1">
        <w:rPr>
          <w:noProof/>
        </w:rPr>
        <w:t xml:space="preserve"> i</w:t>
      </w:r>
      <w:r w:rsidR="0028384B">
        <w:rPr>
          <w:noProof/>
        </w:rPr>
        <w:t> </w:t>
      </w:r>
      <w:r w:rsidR="0028384B" w:rsidRPr="002F16A1">
        <w:rPr>
          <w:noProof/>
        </w:rPr>
        <w:t>spo</w:t>
      </w:r>
      <w:r w:rsidRPr="002F16A1">
        <w:rPr>
          <w:noProof/>
        </w:rPr>
        <w:t>łecznych skutków projektów związanych</w:t>
      </w:r>
      <w:r w:rsidR="0028384B" w:rsidRPr="002F16A1">
        <w:rPr>
          <w:noProof/>
        </w:rPr>
        <w:t xml:space="preserve"> z</w:t>
      </w:r>
      <w:r w:rsidR="0028384B">
        <w:rPr>
          <w:noProof/>
        </w:rPr>
        <w:t> </w:t>
      </w:r>
      <w:r w:rsidR="0028384B" w:rsidRPr="002F16A1">
        <w:rPr>
          <w:noProof/>
        </w:rPr>
        <w:t>wyd</w:t>
      </w:r>
      <w:r w:rsidRPr="002F16A1">
        <w:rPr>
          <w:noProof/>
        </w:rPr>
        <w:t>obyciem</w:t>
      </w:r>
      <w:r w:rsidR="0028384B" w:rsidRPr="002F16A1">
        <w:rPr>
          <w:noProof/>
        </w:rPr>
        <w:t xml:space="preserve"> i</w:t>
      </w:r>
      <w:r w:rsidR="0028384B">
        <w:rPr>
          <w:noProof/>
        </w:rPr>
        <w:t> </w:t>
      </w:r>
      <w:r w:rsidR="0028384B" w:rsidRPr="002F16A1">
        <w:rPr>
          <w:noProof/>
        </w:rPr>
        <w:t>prz</w:t>
      </w:r>
      <w:r w:rsidRPr="002F16A1">
        <w:rPr>
          <w:noProof/>
        </w:rPr>
        <w:t>etwarzaniem,</w:t>
      </w:r>
      <w:r w:rsidR="0028384B" w:rsidRPr="002F16A1">
        <w:rPr>
          <w:noProof/>
        </w:rPr>
        <w:t xml:space="preserve"> w</w:t>
      </w:r>
      <w:r w:rsidR="0028384B">
        <w:rPr>
          <w:noProof/>
        </w:rPr>
        <w:t> </w:t>
      </w:r>
      <w:r w:rsidR="0028384B" w:rsidRPr="002F16A1">
        <w:rPr>
          <w:noProof/>
        </w:rPr>
        <w:t>któ</w:t>
      </w:r>
      <w:r w:rsidRPr="002F16A1">
        <w:rPr>
          <w:noProof/>
        </w:rPr>
        <w:t>rych brakuje odpowiednich zabezpieczeń środowiskowych</w:t>
      </w:r>
      <w:r w:rsidR="0028384B" w:rsidRPr="002F16A1">
        <w:rPr>
          <w:noProof/>
        </w:rPr>
        <w:t xml:space="preserve"> i</w:t>
      </w:r>
      <w:r w:rsidR="0028384B">
        <w:rPr>
          <w:noProof/>
        </w:rPr>
        <w:t> </w:t>
      </w:r>
      <w:r w:rsidR="0028384B" w:rsidRPr="002F16A1">
        <w:rPr>
          <w:noProof/>
        </w:rPr>
        <w:t>spo</w:t>
      </w:r>
      <w:r w:rsidRPr="002F16A1">
        <w:rPr>
          <w:noProof/>
        </w:rPr>
        <w:t xml:space="preserve">łecznych. </w:t>
      </w:r>
    </w:p>
    <w:p w:rsidR="00AD62E2" w:rsidRPr="002F16A1" w:rsidRDefault="00AD62E2" w:rsidP="00AD62E2">
      <w:pPr>
        <w:rPr>
          <w:rFonts w:eastAsia="Times New Roman"/>
          <w:noProof/>
          <w:szCs w:val="24"/>
        </w:rPr>
      </w:pPr>
      <w:r w:rsidRPr="002F16A1">
        <w:rPr>
          <w:noProof/>
        </w:rPr>
        <w:t>Zainteresowane strony zgodziły się co do potrzeby stworzenia zrównoważonych równych warunków działania dla unijnego łańcucha wartości surowców krytycznych. Organizacje pozarządowe zwróciły uwagę na znaczenie zmniejszenia śladu środowiskowego surowców unijnych przy jednoczesnym propagowaniu bardziej efektywnego wykorzystania zasobów</w:t>
      </w:r>
      <w:r w:rsidR="0028384B" w:rsidRPr="002F16A1">
        <w:rPr>
          <w:noProof/>
        </w:rPr>
        <w:t xml:space="preserve"> i</w:t>
      </w:r>
      <w:r w:rsidR="0028384B">
        <w:rPr>
          <w:noProof/>
        </w:rPr>
        <w:t> </w:t>
      </w:r>
      <w:r w:rsidR="0028384B" w:rsidRPr="002F16A1">
        <w:rPr>
          <w:noProof/>
        </w:rPr>
        <w:t>pro</w:t>
      </w:r>
      <w:r w:rsidRPr="002F16A1">
        <w:rPr>
          <w:noProof/>
        </w:rPr>
        <w:t>wadzeniu działań mniej szkodliwych dla środowiska. Zainteresowane strony wezwały również do przyjęcia bardziej spójnego</w:t>
      </w:r>
      <w:r w:rsidR="0028384B" w:rsidRPr="002F16A1">
        <w:rPr>
          <w:noProof/>
        </w:rPr>
        <w:t xml:space="preserve"> i</w:t>
      </w:r>
      <w:r w:rsidR="0028384B">
        <w:rPr>
          <w:noProof/>
        </w:rPr>
        <w:t> </w:t>
      </w:r>
      <w:r w:rsidR="0028384B" w:rsidRPr="002F16A1">
        <w:rPr>
          <w:noProof/>
        </w:rPr>
        <w:t>sko</w:t>
      </w:r>
      <w:r w:rsidRPr="002F16A1">
        <w:rPr>
          <w:noProof/>
        </w:rPr>
        <w:t>ordynowanego podejścia do wyzwań związanych</w:t>
      </w:r>
      <w:r w:rsidR="0028384B" w:rsidRPr="002F16A1">
        <w:rPr>
          <w:noProof/>
        </w:rPr>
        <w:t xml:space="preserve"> z</w:t>
      </w:r>
      <w:r w:rsidR="0028384B">
        <w:rPr>
          <w:noProof/>
        </w:rPr>
        <w:t> </w:t>
      </w:r>
      <w:r w:rsidR="0028384B" w:rsidRPr="002F16A1">
        <w:rPr>
          <w:noProof/>
        </w:rPr>
        <w:t>zao</w:t>
      </w:r>
      <w:r w:rsidRPr="002F16A1">
        <w:rPr>
          <w:noProof/>
        </w:rPr>
        <w:t>patrywaniem się</w:t>
      </w:r>
      <w:r w:rsidR="0028384B" w:rsidRPr="002F16A1">
        <w:rPr>
          <w:noProof/>
        </w:rPr>
        <w:t xml:space="preserve"> w</w:t>
      </w:r>
      <w:r w:rsidR="0028384B">
        <w:rPr>
          <w:noProof/>
        </w:rPr>
        <w:t> </w:t>
      </w:r>
      <w:r w:rsidR="0028384B" w:rsidRPr="002F16A1">
        <w:rPr>
          <w:noProof/>
        </w:rPr>
        <w:t>sur</w:t>
      </w:r>
      <w:r w:rsidRPr="002F16A1">
        <w:rPr>
          <w:noProof/>
        </w:rPr>
        <w:t>owce krytyczne,</w:t>
      </w:r>
      <w:r w:rsidR="0028384B" w:rsidRPr="002F16A1">
        <w:rPr>
          <w:noProof/>
        </w:rPr>
        <w:t xml:space="preserve"> w</w:t>
      </w:r>
      <w:r w:rsidR="0028384B">
        <w:rPr>
          <w:noProof/>
        </w:rPr>
        <w:t> </w:t>
      </w:r>
      <w:r w:rsidR="0028384B" w:rsidRPr="002F16A1">
        <w:rPr>
          <w:noProof/>
        </w:rPr>
        <w:t>szc</w:t>
      </w:r>
      <w:r w:rsidRPr="002F16A1">
        <w:rPr>
          <w:noProof/>
        </w:rPr>
        <w:t>zególności</w:t>
      </w:r>
      <w:r w:rsidR="0028384B" w:rsidRPr="002F16A1">
        <w:rPr>
          <w:noProof/>
        </w:rPr>
        <w:t xml:space="preserve"> w</w:t>
      </w:r>
      <w:r w:rsidR="0028384B">
        <w:rPr>
          <w:noProof/>
        </w:rPr>
        <w:t> </w:t>
      </w:r>
      <w:r w:rsidR="0028384B" w:rsidRPr="002F16A1">
        <w:rPr>
          <w:noProof/>
        </w:rPr>
        <w:t>dro</w:t>
      </w:r>
      <w:r w:rsidRPr="002F16A1">
        <w:rPr>
          <w:noProof/>
        </w:rPr>
        <w:t>dze usprawnienia monitorowania</w:t>
      </w:r>
      <w:r w:rsidR="0028384B" w:rsidRPr="002F16A1">
        <w:rPr>
          <w:noProof/>
        </w:rPr>
        <w:t xml:space="preserve"> i</w:t>
      </w:r>
      <w:r w:rsidR="0028384B">
        <w:rPr>
          <w:noProof/>
        </w:rPr>
        <w:t> </w:t>
      </w:r>
      <w:r w:rsidR="0028384B" w:rsidRPr="002F16A1">
        <w:rPr>
          <w:noProof/>
        </w:rPr>
        <w:t>pro</w:t>
      </w:r>
      <w:r w:rsidRPr="002F16A1">
        <w:rPr>
          <w:noProof/>
        </w:rPr>
        <w:t xml:space="preserve">gnozowania oraz wprowadzania bardziej skoordynowanych środków gotowości na wypadek zagrożeń. Poszczególne grupy zainteresowanych stron miały jednak rozbieżne poglądy na temat najlepszej formy potrzebnych działań. </w:t>
      </w:r>
    </w:p>
    <w:p w:rsidR="00AD62E2" w:rsidRPr="002F16A1" w:rsidRDefault="00AD62E2" w:rsidP="00AD62E2">
      <w:pPr>
        <w:rPr>
          <w:rFonts w:eastAsia="Times New Roman"/>
          <w:noProof/>
          <w:szCs w:val="24"/>
        </w:rPr>
      </w:pPr>
      <w:r w:rsidRPr="002F16A1">
        <w:rPr>
          <w:noProof/>
        </w:rPr>
        <w:t>Ogólnie rzecz ujmując, zainteresowane strony zgodziły się co do tego, że działania podejmowane przez państwa członkowskie na szczeblu krajowym nie wystarczą, by rozwiązać problemy dotyczące podatności na zagrożenia związane</w:t>
      </w:r>
      <w:r w:rsidR="0028384B" w:rsidRPr="002F16A1">
        <w:rPr>
          <w:noProof/>
        </w:rPr>
        <w:t xml:space="preserve"> z</w:t>
      </w:r>
      <w:r w:rsidR="0028384B">
        <w:rPr>
          <w:noProof/>
        </w:rPr>
        <w:t> </w:t>
      </w:r>
      <w:r w:rsidR="0028384B" w:rsidRPr="002F16A1">
        <w:rPr>
          <w:noProof/>
        </w:rPr>
        <w:t>dos</w:t>
      </w:r>
      <w:r w:rsidRPr="002F16A1">
        <w:rPr>
          <w:noProof/>
        </w:rPr>
        <w:t>tawami surowców krytycznych ze względu na ich złożoność, brak przejrzystości oraz wymiar ponadnarodowy,</w:t>
      </w:r>
      <w:r w:rsidR="0028384B" w:rsidRPr="002F16A1">
        <w:rPr>
          <w:noProof/>
        </w:rPr>
        <w:t xml:space="preserve"> i</w:t>
      </w:r>
      <w:r w:rsidR="0028384B">
        <w:rPr>
          <w:noProof/>
        </w:rPr>
        <w:t> </w:t>
      </w:r>
      <w:r w:rsidR="0028384B" w:rsidRPr="002F16A1">
        <w:rPr>
          <w:noProof/>
        </w:rPr>
        <w:t>z</w:t>
      </w:r>
      <w:r w:rsidR="0028384B">
        <w:rPr>
          <w:noProof/>
        </w:rPr>
        <w:t> </w:t>
      </w:r>
      <w:r w:rsidR="0028384B" w:rsidRPr="002F16A1">
        <w:rPr>
          <w:noProof/>
        </w:rPr>
        <w:t>zad</w:t>
      </w:r>
      <w:r w:rsidRPr="002F16A1">
        <w:rPr>
          <w:noProof/>
        </w:rPr>
        <w:t>owoleniem przyjęły działania</w:t>
      </w:r>
      <w:r w:rsidR="0028384B" w:rsidRPr="002F16A1">
        <w:rPr>
          <w:noProof/>
        </w:rPr>
        <w:t xml:space="preserve"> w</w:t>
      </w:r>
      <w:r w:rsidR="0028384B">
        <w:rPr>
          <w:noProof/>
        </w:rPr>
        <w:t> </w:t>
      </w:r>
      <w:r w:rsidR="0028384B" w:rsidRPr="002F16A1">
        <w:rPr>
          <w:noProof/>
        </w:rPr>
        <w:t>tej</w:t>
      </w:r>
      <w:r w:rsidRPr="002F16A1">
        <w:rPr>
          <w:noProof/>
        </w:rPr>
        <w:t xml:space="preserve"> kwestii podejmowane na szczeblu unijnym. </w:t>
      </w:r>
    </w:p>
    <w:p w:rsidR="00AD62E2" w:rsidRPr="002F16A1" w:rsidRDefault="00AD62E2" w:rsidP="00AD62E2">
      <w:pPr>
        <w:rPr>
          <w:noProof/>
        </w:rPr>
      </w:pPr>
    </w:p>
    <w:p w:rsidR="00AD62E2" w:rsidRPr="002F16A1" w:rsidRDefault="00AD62E2" w:rsidP="00AD62E2">
      <w:pPr>
        <w:pStyle w:val="ManualHeading2"/>
        <w:rPr>
          <w:noProof/>
        </w:rPr>
      </w:pPr>
      <w:r w:rsidRPr="002F16A1">
        <w:rPr>
          <w:noProof/>
        </w:rPr>
        <w:t>•</w:t>
      </w:r>
      <w:r w:rsidRPr="002F16A1">
        <w:rPr>
          <w:noProof/>
        </w:rPr>
        <w:tab/>
        <w:t>Gromadzenie</w:t>
      </w:r>
      <w:r w:rsidR="0028384B" w:rsidRPr="002F16A1">
        <w:rPr>
          <w:noProof/>
        </w:rPr>
        <w:t xml:space="preserve"> i</w:t>
      </w:r>
      <w:r w:rsidR="0028384B">
        <w:rPr>
          <w:noProof/>
        </w:rPr>
        <w:t> </w:t>
      </w:r>
      <w:r w:rsidR="0028384B" w:rsidRPr="002F16A1">
        <w:rPr>
          <w:noProof/>
        </w:rPr>
        <w:t>wyk</w:t>
      </w:r>
      <w:r w:rsidRPr="002F16A1">
        <w:rPr>
          <w:noProof/>
        </w:rPr>
        <w:t>orzystanie wiedzy eksperckiej</w:t>
      </w:r>
    </w:p>
    <w:p w:rsidR="00AD62E2" w:rsidRPr="002F16A1" w:rsidRDefault="00AD62E2" w:rsidP="00AD62E2">
      <w:pPr>
        <w:rPr>
          <w:noProof/>
        </w:rPr>
      </w:pPr>
      <w:r w:rsidRPr="002F16A1">
        <w:rPr>
          <w:noProof/>
        </w:rPr>
        <w:t>Nie dotyczy.</w:t>
      </w:r>
    </w:p>
    <w:p w:rsidR="00AD62E2" w:rsidRPr="002F16A1" w:rsidRDefault="00AD62E2" w:rsidP="00AD62E2">
      <w:pPr>
        <w:pStyle w:val="ManualHeading2"/>
        <w:rPr>
          <w:noProof/>
        </w:rPr>
      </w:pPr>
      <w:r w:rsidRPr="002F16A1">
        <w:rPr>
          <w:noProof/>
        </w:rPr>
        <w:t>•</w:t>
      </w:r>
      <w:r w:rsidRPr="002F16A1">
        <w:rPr>
          <w:noProof/>
        </w:rPr>
        <w:tab/>
        <w:t>Ocena skutków</w:t>
      </w:r>
    </w:p>
    <w:p w:rsidR="00AD62E2" w:rsidRPr="0028384B" w:rsidRDefault="00AD62E2" w:rsidP="00AD62E2">
      <w:pPr>
        <w:rPr>
          <w:noProof/>
        </w:rPr>
      </w:pPr>
      <w:r w:rsidRPr="002F16A1">
        <w:rPr>
          <w:noProof/>
        </w:rPr>
        <w:t>Zgodnie</w:t>
      </w:r>
      <w:r w:rsidR="0028384B" w:rsidRPr="002F16A1">
        <w:rPr>
          <w:noProof/>
        </w:rPr>
        <w:t xml:space="preserve"> z</w:t>
      </w:r>
      <w:r w:rsidR="0028384B">
        <w:rPr>
          <w:noProof/>
        </w:rPr>
        <w:t> </w:t>
      </w:r>
      <w:r w:rsidR="0028384B" w:rsidRPr="002F16A1">
        <w:rPr>
          <w:noProof/>
        </w:rPr>
        <w:t>wyt</w:t>
      </w:r>
      <w:r w:rsidRPr="002F16A1">
        <w:rPr>
          <w:noProof/>
        </w:rPr>
        <w:t>ycznymi</w:t>
      </w:r>
      <w:r w:rsidR="0028384B" w:rsidRPr="002F16A1">
        <w:rPr>
          <w:noProof/>
        </w:rPr>
        <w:t xml:space="preserve"> w</w:t>
      </w:r>
      <w:r w:rsidR="0028384B">
        <w:rPr>
          <w:noProof/>
        </w:rPr>
        <w:t> </w:t>
      </w:r>
      <w:r w:rsidR="0028384B" w:rsidRPr="002F16A1">
        <w:rPr>
          <w:noProof/>
        </w:rPr>
        <w:t>zak</w:t>
      </w:r>
      <w:r w:rsidRPr="002F16A1">
        <w:rPr>
          <w:noProof/>
        </w:rPr>
        <w:t>resie lepszego stanowienia prawa niniejszy wniosek regulacyjny opiera się na ocenie skutków,</w:t>
      </w:r>
      <w:r w:rsidR="0028384B" w:rsidRPr="002F16A1">
        <w:rPr>
          <w:noProof/>
        </w:rPr>
        <w:t xml:space="preserve"> w</w:t>
      </w:r>
      <w:r w:rsidR="0028384B">
        <w:rPr>
          <w:noProof/>
        </w:rPr>
        <w:t> </w:t>
      </w:r>
      <w:r w:rsidR="0028384B" w:rsidRPr="002F16A1">
        <w:rPr>
          <w:noProof/>
        </w:rPr>
        <w:t>któ</w:t>
      </w:r>
      <w:r w:rsidRPr="002F16A1">
        <w:rPr>
          <w:noProof/>
        </w:rPr>
        <w:t>rej przeanalizowano ogólny problem</w:t>
      </w:r>
      <w:r w:rsidR="0028384B" w:rsidRPr="002F16A1">
        <w:rPr>
          <w:noProof/>
        </w:rPr>
        <w:t xml:space="preserve"> i</w:t>
      </w:r>
      <w:r w:rsidR="0028384B">
        <w:rPr>
          <w:noProof/>
        </w:rPr>
        <w:t> </w:t>
      </w:r>
      <w:r w:rsidR="0028384B" w:rsidRPr="002F16A1">
        <w:rPr>
          <w:noProof/>
        </w:rPr>
        <w:t>pow</w:t>
      </w:r>
      <w:r w:rsidRPr="002F16A1">
        <w:rPr>
          <w:noProof/>
        </w:rPr>
        <w:t>iązane</w:t>
      </w:r>
      <w:r w:rsidR="0028384B" w:rsidRPr="002F16A1">
        <w:rPr>
          <w:noProof/>
        </w:rPr>
        <w:t xml:space="preserve"> z</w:t>
      </w:r>
      <w:r w:rsidR="0028384B">
        <w:rPr>
          <w:noProof/>
        </w:rPr>
        <w:t> </w:t>
      </w:r>
      <w:r w:rsidR="0028384B" w:rsidRPr="002F16A1">
        <w:rPr>
          <w:noProof/>
        </w:rPr>
        <w:t>nim</w:t>
      </w:r>
      <w:r w:rsidRPr="002F16A1">
        <w:rPr>
          <w:noProof/>
        </w:rPr>
        <w:t xml:space="preserve"> szczegółowe kwestie związane</w:t>
      </w:r>
      <w:r w:rsidR="0028384B" w:rsidRPr="002F16A1">
        <w:rPr>
          <w:noProof/>
        </w:rPr>
        <w:t xml:space="preserve"> z</w:t>
      </w:r>
      <w:r w:rsidR="0028384B">
        <w:rPr>
          <w:noProof/>
        </w:rPr>
        <w:t> </w:t>
      </w:r>
      <w:r w:rsidR="0028384B" w:rsidRPr="002F16A1">
        <w:rPr>
          <w:noProof/>
        </w:rPr>
        <w:t>bra</w:t>
      </w:r>
      <w:r w:rsidRPr="002F16A1">
        <w:rPr>
          <w:noProof/>
        </w:rPr>
        <w:t>kiem bezpiecznych</w:t>
      </w:r>
      <w:r w:rsidR="0028384B" w:rsidRPr="002F16A1">
        <w:rPr>
          <w:noProof/>
        </w:rPr>
        <w:t xml:space="preserve"> i</w:t>
      </w:r>
      <w:r w:rsidR="0028384B">
        <w:rPr>
          <w:noProof/>
        </w:rPr>
        <w:t> </w:t>
      </w:r>
      <w:r w:rsidR="0028384B" w:rsidRPr="002F16A1">
        <w:rPr>
          <w:noProof/>
        </w:rPr>
        <w:t>zró</w:t>
      </w:r>
      <w:r w:rsidRPr="002F16A1">
        <w:rPr>
          <w:noProof/>
        </w:rPr>
        <w:t>wnoważonych dostaw surowców krytycznych w UE</w:t>
      </w:r>
      <w:r w:rsidR="0028384B" w:rsidRPr="002F16A1">
        <w:rPr>
          <w:noProof/>
        </w:rPr>
        <w:t>. W</w:t>
      </w:r>
      <w:r w:rsidR="0028384B">
        <w:rPr>
          <w:noProof/>
        </w:rPr>
        <w:t> </w:t>
      </w:r>
      <w:r w:rsidR="0028384B" w:rsidRPr="002F16A1">
        <w:rPr>
          <w:noProof/>
        </w:rPr>
        <w:t>oce</w:t>
      </w:r>
      <w:r w:rsidRPr="002F16A1">
        <w:rPr>
          <w:noProof/>
        </w:rPr>
        <w:t>nie skutków określono możliwe warianty strategiczne ukierunkowane na eliminację czynników powodujących problemy oraz oceniono ich prawdopodobne skutki. Ocena skutków została skonstruowana</w:t>
      </w:r>
      <w:r w:rsidR="0028384B" w:rsidRPr="002F16A1">
        <w:rPr>
          <w:noProof/>
        </w:rPr>
        <w:t xml:space="preserve"> w</w:t>
      </w:r>
      <w:r w:rsidR="0028384B">
        <w:rPr>
          <w:noProof/>
        </w:rPr>
        <w:t> </w:t>
      </w:r>
      <w:r w:rsidR="0028384B" w:rsidRPr="002F16A1">
        <w:rPr>
          <w:noProof/>
        </w:rPr>
        <w:t>tak</w:t>
      </w:r>
      <w:r w:rsidRPr="002F16A1">
        <w:rPr>
          <w:noProof/>
        </w:rPr>
        <w:t>i sposób, aby odzwierciedlać treść konsultacji przeprowadzonych</w:t>
      </w:r>
      <w:r w:rsidR="0028384B" w:rsidRPr="002F16A1">
        <w:rPr>
          <w:noProof/>
        </w:rPr>
        <w:t xml:space="preserve"> z</w:t>
      </w:r>
      <w:r w:rsidR="0028384B">
        <w:rPr>
          <w:noProof/>
        </w:rPr>
        <w:t> </w:t>
      </w:r>
      <w:r w:rsidR="0028384B" w:rsidRPr="002F16A1">
        <w:rPr>
          <w:noProof/>
        </w:rPr>
        <w:t>mię</w:t>
      </w:r>
      <w:r w:rsidRPr="002F16A1">
        <w:rPr>
          <w:noProof/>
        </w:rPr>
        <w:t>dzyresortową grupą sterującą Komisji ds. surowców krytycznych</w:t>
      </w:r>
      <w:r w:rsidRPr="0028384B">
        <w:rPr>
          <w:noProof/>
        </w:rPr>
        <w:t>.</w:t>
      </w:r>
      <w:r w:rsidR="0028384B" w:rsidRPr="0028384B">
        <w:rPr>
          <w:noProof/>
        </w:rPr>
        <w:t xml:space="preserve"> </w:t>
      </w:r>
    </w:p>
    <w:p w:rsidR="00AD62E2" w:rsidRPr="002F16A1" w:rsidRDefault="00AD62E2" w:rsidP="00AD62E2">
      <w:pPr>
        <w:rPr>
          <w:noProof/>
        </w:rPr>
      </w:pPr>
      <w:r w:rsidRPr="002F16A1">
        <w:rPr>
          <w:noProof/>
        </w:rPr>
        <w:t>20 stycznia 20</w:t>
      </w:r>
      <w:r w:rsidRPr="0028384B">
        <w:rPr>
          <w:noProof/>
        </w:rPr>
        <w:t>23</w:t>
      </w:r>
      <w:r w:rsidR="0028384B" w:rsidRPr="0028384B">
        <w:rPr>
          <w:noProof/>
        </w:rPr>
        <w:t> </w:t>
      </w:r>
      <w:r w:rsidRPr="0028384B">
        <w:rPr>
          <w:noProof/>
        </w:rPr>
        <w:t>r.</w:t>
      </w:r>
      <w:r w:rsidRPr="002F16A1">
        <w:rPr>
          <w:noProof/>
        </w:rPr>
        <w:t xml:space="preserve"> przedmiotowa ocena skutków uzyskała negatywną opinię Rady ds. Kontroli Regulacyjnej. Rada przedstawiła następujące zalecenia: </w:t>
      </w:r>
    </w:p>
    <w:p w:rsidR="00AD62E2" w:rsidRPr="002F16A1" w:rsidRDefault="00AD62E2" w:rsidP="00D822B1">
      <w:pPr>
        <w:pStyle w:val="Tiret0"/>
        <w:rPr>
          <w:noProof/>
        </w:rPr>
      </w:pPr>
      <w:r w:rsidRPr="002F16A1">
        <w:rPr>
          <w:noProof/>
        </w:rPr>
        <w:t>wyjaśnienie kontekstu politycznego towarzyszącego przedmiotowej inicjatywie oraz określenie wpływu równolegle prowadzonych inicjatyw</w:t>
      </w:r>
      <w:r w:rsidR="0028384B" w:rsidRPr="002F16A1">
        <w:rPr>
          <w:noProof/>
        </w:rPr>
        <w:t xml:space="preserve"> i</w:t>
      </w:r>
      <w:r w:rsidR="0028384B">
        <w:rPr>
          <w:noProof/>
        </w:rPr>
        <w:t> </w:t>
      </w:r>
      <w:r w:rsidR="0028384B" w:rsidRPr="002F16A1">
        <w:rPr>
          <w:noProof/>
        </w:rPr>
        <w:t>luk</w:t>
      </w:r>
      <w:r w:rsidRPr="002F16A1">
        <w:rPr>
          <w:noProof/>
        </w:rPr>
        <w:t xml:space="preserve"> regulacyjnych na tę inicjatywę; </w:t>
      </w:r>
    </w:p>
    <w:p w:rsidR="00AD62E2" w:rsidRPr="002F16A1" w:rsidRDefault="00AD62E2" w:rsidP="00D822B1">
      <w:pPr>
        <w:pStyle w:val="Tiret0"/>
        <w:rPr>
          <w:noProof/>
        </w:rPr>
      </w:pPr>
      <w:r w:rsidRPr="002F16A1">
        <w:rPr>
          <w:noProof/>
        </w:rPr>
        <w:t>dokładniejsze wyjaśnienie zbioru celów ogólnych</w:t>
      </w:r>
      <w:r w:rsidR="0028384B" w:rsidRPr="002F16A1">
        <w:rPr>
          <w:noProof/>
        </w:rPr>
        <w:t xml:space="preserve"> i</w:t>
      </w:r>
      <w:r w:rsidR="0028384B">
        <w:rPr>
          <w:noProof/>
        </w:rPr>
        <w:t> </w:t>
      </w:r>
      <w:r w:rsidR="0028384B" w:rsidRPr="002F16A1">
        <w:rPr>
          <w:noProof/>
        </w:rPr>
        <w:t>szc</w:t>
      </w:r>
      <w:r w:rsidRPr="002F16A1">
        <w:rPr>
          <w:noProof/>
        </w:rPr>
        <w:t xml:space="preserve">zegółowych, ich harmonogramu, sposobu ich wzajemnego oddziaływania oraz modeli wykorzystywanych do pomiaru sukcesu; </w:t>
      </w:r>
    </w:p>
    <w:p w:rsidR="00AD62E2" w:rsidRPr="002F16A1" w:rsidRDefault="00AD62E2" w:rsidP="00D822B1">
      <w:pPr>
        <w:pStyle w:val="Tiret0"/>
        <w:rPr>
          <w:noProof/>
        </w:rPr>
      </w:pPr>
      <w:r w:rsidRPr="002F16A1">
        <w:rPr>
          <w:noProof/>
        </w:rPr>
        <w:t>poprawa poziomu odniesienia, struktury</w:t>
      </w:r>
      <w:r w:rsidR="0028384B" w:rsidRPr="002F16A1">
        <w:rPr>
          <w:noProof/>
        </w:rPr>
        <w:t xml:space="preserve"> i</w:t>
      </w:r>
      <w:r w:rsidR="0028384B">
        <w:rPr>
          <w:noProof/>
        </w:rPr>
        <w:t> </w:t>
      </w:r>
      <w:r w:rsidR="0028384B" w:rsidRPr="002F16A1">
        <w:rPr>
          <w:noProof/>
        </w:rPr>
        <w:t>har</w:t>
      </w:r>
      <w:r w:rsidRPr="002F16A1">
        <w:rPr>
          <w:noProof/>
        </w:rPr>
        <w:t xml:space="preserve">monogramu wdrażania wariantów strategicznych oraz </w:t>
      </w:r>
    </w:p>
    <w:p w:rsidR="00AD62E2" w:rsidRPr="002F16A1" w:rsidRDefault="00AD62E2" w:rsidP="00D822B1">
      <w:pPr>
        <w:pStyle w:val="Tiret0"/>
        <w:rPr>
          <w:noProof/>
        </w:rPr>
      </w:pPr>
      <w:r w:rsidRPr="002F16A1">
        <w:rPr>
          <w:noProof/>
        </w:rPr>
        <w:t xml:space="preserve">poprawa oceny kluczowych skutków. </w:t>
      </w:r>
    </w:p>
    <w:p w:rsidR="00AD62E2" w:rsidRPr="002F16A1" w:rsidRDefault="00AD62E2" w:rsidP="00AD62E2">
      <w:pPr>
        <w:rPr>
          <w:rFonts w:eastAsia="Times New Roman"/>
          <w:noProof/>
          <w:szCs w:val="24"/>
        </w:rPr>
      </w:pPr>
      <w:r w:rsidRPr="002F16A1">
        <w:rPr>
          <w:noProof/>
        </w:rPr>
        <w:t>Po ponownym przedłożeniu (poprawionej) oceny skutków 16 lutego 20</w:t>
      </w:r>
      <w:r w:rsidRPr="0028384B">
        <w:rPr>
          <w:noProof/>
        </w:rPr>
        <w:t>23</w:t>
      </w:r>
      <w:r w:rsidR="0028384B" w:rsidRPr="0028384B">
        <w:rPr>
          <w:noProof/>
        </w:rPr>
        <w:t> </w:t>
      </w:r>
      <w:r w:rsidRPr="0028384B">
        <w:rPr>
          <w:noProof/>
        </w:rPr>
        <w:t>r.</w:t>
      </w:r>
      <w:r w:rsidRPr="002F16A1">
        <w:rPr>
          <w:noProof/>
        </w:rPr>
        <w:t xml:space="preserve"> Rada wydała opinię pozytywną</w:t>
      </w:r>
      <w:r w:rsidR="0028384B" w:rsidRPr="002F16A1">
        <w:rPr>
          <w:noProof/>
        </w:rPr>
        <w:t xml:space="preserve"> z</w:t>
      </w:r>
      <w:r w:rsidR="0028384B">
        <w:rPr>
          <w:noProof/>
        </w:rPr>
        <w:t> </w:t>
      </w:r>
      <w:r w:rsidR="0028384B" w:rsidRPr="002F16A1">
        <w:rPr>
          <w:noProof/>
        </w:rPr>
        <w:t>pew</w:t>
      </w:r>
      <w:r w:rsidRPr="002F16A1">
        <w:rPr>
          <w:noProof/>
        </w:rPr>
        <w:t xml:space="preserve">nymi zastrzeżeniami. </w:t>
      </w:r>
    </w:p>
    <w:p w:rsidR="00AD62E2" w:rsidRPr="002F16A1" w:rsidRDefault="00AD62E2" w:rsidP="00AD62E2">
      <w:pPr>
        <w:rPr>
          <w:rFonts w:eastAsia="Times New Roman"/>
          <w:noProof/>
          <w:szCs w:val="24"/>
        </w:rPr>
      </w:pPr>
      <w:r w:rsidRPr="002F16A1">
        <w:rPr>
          <w:noProof/>
        </w:rPr>
        <w:t>Ocena skutków opiera się na zbiorze filarów polityki, które dotyczą zidentyfikowanych czynników powodujących problemy</w:t>
      </w:r>
      <w:r w:rsidR="0028384B" w:rsidRPr="002F16A1">
        <w:rPr>
          <w:noProof/>
        </w:rPr>
        <w:t xml:space="preserve"> i</w:t>
      </w:r>
      <w:r w:rsidR="0028384B">
        <w:rPr>
          <w:noProof/>
        </w:rPr>
        <w:t> </w:t>
      </w:r>
      <w:r w:rsidR="0028384B" w:rsidRPr="002F16A1">
        <w:rPr>
          <w:noProof/>
        </w:rPr>
        <w:t>któ</w:t>
      </w:r>
      <w:r w:rsidRPr="002F16A1">
        <w:rPr>
          <w:noProof/>
        </w:rPr>
        <w:t>rych założeniem jest osiągnięcie celów inicjatywy</w:t>
      </w:r>
      <w:r w:rsidR="0028384B" w:rsidRPr="002F16A1">
        <w:rPr>
          <w:noProof/>
        </w:rPr>
        <w:t>. W</w:t>
      </w:r>
      <w:r w:rsidR="0028384B">
        <w:rPr>
          <w:noProof/>
        </w:rPr>
        <w:t> </w:t>
      </w:r>
      <w:r w:rsidR="0028384B" w:rsidRPr="002F16A1">
        <w:rPr>
          <w:noProof/>
        </w:rPr>
        <w:t>oce</w:t>
      </w:r>
      <w:r w:rsidRPr="002F16A1">
        <w:rPr>
          <w:noProof/>
        </w:rPr>
        <w:t>nie tej określono trzy warianty strategiczne dla każdego filaru</w:t>
      </w:r>
      <w:r w:rsidR="0028384B" w:rsidRPr="002F16A1">
        <w:rPr>
          <w:noProof/>
        </w:rPr>
        <w:t xml:space="preserve"> w</w:t>
      </w:r>
      <w:r w:rsidR="0028384B">
        <w:rPr>
          <w:noProof/>
        </w:rPr>
        <w:t> </w:t>
      </w:r>
      <w:r w:rsidR="0028384B" w:rsidRPr="002F16A1">
        <w:rPr>
          <w:noProof/>
        </w:rPr>
        <w:t>opa</w:t>
      </w:r>
      <w:r w:rsidRPr="002F16A1">
        <w:rPr>
          <w:noProof/>
        </w:rPr>
        <w:t>rciu</w:t>
      </w:r>
      <w:r w:rsidR="0028384B" w:rsidRPr="002F16A1">
        <w:rPr>
          <w:noProof/>
        </w:rPr>
        <w:t xml:space="preserve"> o</w:t>
      </w:r>
      <w:r w:rsidR="0028384B">
        <w:rPr>
          <w:noProof/>
        </w:rPr>
        <w:t> </w:t>
      </w:r>
      <w:r w:rsidR="0028384B" w:rsidRPr="002F16A1">
        <w:rPr>
          <w:noProof/>
        </w:rPr>
        <w:t>zak</w:t>
      </w:r>
      <w:r w:rsidRPr="002F16A1">
        <w:rPr>
          <w:noProof/>
        </w:rPr>
        <w:t>res, poziom zasobów, skuteczność</w:t>
      </w:r>
      <w:r w:rsidR="0028384B" w:rsidRPr="002F16A1">
        <w:rPr>
          <w:noProof/>
        </w:rPr>
        <w:t xml:space="preserve"> i</w:t>
      </w:r>
      <w:r w:rsidR="0028384B">
        <w:rPr>
          <w:noProof/>
        </w:rPr>
        <w:t> </w:t>
      </w:r>
      <w:r w:rsidR="0028384B" w:rsidRPr="002F16A1">
        <w:rPr>
          <w:noProof/>
        </w:rPr>
        <w:t>spó</w:t>
      </w:r>
      <w:r w:rsidRPr="002F16A1">
        <w:rPr>
          <w:noProof/>
        </w:rPr>
        <w:t>jność,</w:t>
      </w:r>
      <w:r w:rsidR="0028384B" w:rsidRPr="002F16A1">
        <w:rPr>
          <w:noProof/>
        </w:rPr>
        <w:t xml:space="preserve"> a</w:t>
      </w:r>
      <w:r w:rsidR="0028384B">
        <w:rPr>
          <w:noProof/>
        </w:rPr>
        <w:t> </w:t>
      </w:r>
      <w:r w:rsidR="0028384B" w:rsidRPr="002F16A1">
        <w:rPr>
          <w:noProof/>
        </w:rPr>
        <w:t>tak</w:t>
      </w:r>
      <w:r w:rsidRPr="002F16A1">
        <w:rPr>
          <w:noProof/>
        </w:rPr>
        <w:t>że powstałe synergie oraz zasady proporcjonalności</w:t>
      </w:r>
      <w:r w:rsidR="0028384B" w:rsidRPr="002F16A1">
        <w:rPr>
          <w:noProof/>
        </w:rPr>
        <w:t xml:space="preserve"> i</w:t>
      </w:r>
      <w:r w:rsidR="0028384B">
        <w:rPr>
          <w:noProof/>
        </w:rPr>
        <w:t> </w:t>
      </w:r>
      <w:r w:rsidR="0028384B" w:rsidRPr="002F16A1">
        <w:rPr>
          <w:noProof/>
        </w:rPr>
        <w:t>pom</w:t>
      </w:r>
      <w:r w:rsidRPr="002F16A1">
        <w:rPr>
          <w:noProof/>
        </w:rPr>
        <w:t xml:space="preserve">ocniczości. Ogólnie rzecz ujmując, warianty strategiczne obejmują zakres od wariantu </w:t>
      </w:r>
      <w:r w:rsidRPr="0028384B">
        <w:rPr>
          <w:noProof/>
        </w:rPr>
        <w:t>nr</w:t>
      </w:r>
      <w:r w:rsidR="0028384B" w:rsidRPr="0028384B">
        <w:rPr>
          <w:noProof/>
        </w:rPr>
        <w:t> </w:t>
      </w:r>
      <w:r w:rsidRPr="0028384B">
        <w:rPr>
          <w:noProof/>
        </w:rPr>
        <w:t>1</w:t>
      </w:r>
      <w:r w:rsidRPr="002F16A1">
        <w:rPr>
          <w:noProof/>
        </w:rPr>
        <w:t xml:space="preserve"> (najbardziej zbliżonego do scenariusza zakładającego niepodejmowanie żadnych działań) do wariantu </w:t>
      </w:r>
      <w:r w:rsidRPr="0028384B">
        <w:rPr>
          <w:noProof/>
        </w:rPr>
        <w:t>nr</w:t>
      </w:r>
      <w:r w:rsidR="0028384B" w:rsidRPr="0028384B">
        <w:rPr>
          <w:noProof/>
        </w:rPr>
        <w:t> </w:t>
      </w:r>
      <w:r w:rsidRPr="0028384B">
        <w:rPr>
          <w:noProof/>
        </w:rPr>
        <w:t>3</w:t>
      </w:r>
      <w:r w:rsidRPr="002F16A1">
        <w:rPr>
          <w:noProof/>
        </w:rPr>
        <w:t xml:space="preserve"> (bardziej kompleksowe podejście obejmujące środki wykraczające poza obecne ramy regulacyjne, ale</w:t>
      </w:r>
      <w:r w:rsidR="0028384B" w:rsidRPr="002F16A1">
        <w:rPr>
          <w:noProof/>
        </w:rPr>
        <w:t xml:space="preserve"> w</w:t>
      </w:r>
      <w:r w:rsidR="0028384B">
        <w:rPr>
          <w:noProof/>
        </w:rPr>
        <w:t> </w:t>
      </w:r>
      <w:r w:rsidR="0028384B" w:rsidRPr="002F16A1">
        <w:rPr>
          <w:noProof/>
        </w:rPr>
        <w:t>gra</w:t>
      </w:r>
      <w:r w:rsidRPr="002F16A1">
        <w:rPr>
          <w:noProof/>
        </w:rPr>
        <w:t xml:space="preserve">nicach tego, co jest technicznie wykonalne). </w:t>
      </w:r>
    </w:p>
    <w:p w:rsidR="00AD62E2" w:rsidRPr="002F16A1" w:rsidRDefault="00AD62E2" w:rsidP="00AD62E2">
      <w:pPr>
        <w:rPr>
          <w:noProof/>
        </w:rPr>
      </w:pPr>
      <w:r w:rsidRPr="002F16A1">
        <w:rPr>
          <w:b/>
          <w:noProof/>
        </w:rPr>
        <w:t xml:space="preserve">Wariant strategiczny </w:t>
      </w:r>
      <w:r w:rsidRPr="0028384B">
        <w:rPr>
          <w:b/>
          <w:noProof/>
        </w:rPr>
        <w:t>nr</w:t>
      </w:r>
      <w:r w:rsidR="0028384B" w:rsidRPr="0028384B">
        <w:rPr>
          <w:b/>
          <w:noProof/>
        </w:rPr>
        <w:t> </w:t>
      </w:r>
      <w:r w:rsidRPr="0028384B">
        <w:rPr>
          <w:b/>
          <w:noProof/>
        </w:rPr>
        <w:t>1</w:t>
      </w:r>
      <w:r w:rsidRPr="002F16A1">
        <w:rPr>
          <w:b/>
          <w:noProof/>
        </w:rPr>
        <w:t xml:space="preserve"> </w:t>
      </w:r>
      <w:r w:rsidRPr="002F16A1">
        <w:rPr>
          <w:noProof/>
        </w:rPr>
        <w:t>zakłada stosowanie mechanizmu ustalania celów dla surowców strategicznych. Obejmuje on strukturę zarządzania</w:t>
      </w:r>
      <w:r w:rsidR="0028384B" w:rsidRPr="002F16A1">
        <w:rPr>
          <w:noProof/>
        </w:rPr>
        <w:t xml:space="preserve"> w</w:t>
      </w:r>
      <w:r w:rsidR="0028384B">
        <w:rPr>
          <w:noProof/>
        </w:rPr>
        <w:t> </w:t>
      </w:r>
      <w:r w:rsidR="0028384B" w:rsidRPr="002F16A1">
        <w:rPr>
          <w:noProof/>
        </w:rPr>
        <w:t>ram</w:t>
      </w:r>
      <w:r w:rsidRPr="002F16A1">
        <w:rPr>
          <w:noProof/>
        </w:rPr>
        <w:t>ach specjalnej unijnej rady ds. surowców krytycznych wspieranej przez sieć agencji krajowych oraz zdolności operacyjne Komisji. Jednostka taka rozwijałaby zdolności</w:t>
      </w:r>
      <w:r w:rsidR="0028384B" w:rsidRPr="002F16A1">
        <w:rPr>
          <w:noProof/>
        </w:rPr>
        <w:t xml:space="preserve"> w</w:t>
      </w:r>
      <w:r w:rsidR="0028384B">
        <w:rPr>
          <w:noProof/>
        </w:rPr>
        <w:t> </w:t>
      </w:r>
      <w:r w:rsidR="0028384B" w:rsidRPr="002F16A1">
        <w:rPr>
          <w:noProof/>
        </w:rPr>
        <w:t>zak</w:t>
      </w:r>
      <w:r w:rsidRPr="002F16A1">
        <w:rPr>
          <w:noProof/>
        </w:rPr>
        <w:t>resie monitorowania, umożliwiałaby koordynację zapasów strategicznych UE</w:t>
      </w:r>
      <w:r w:rsidR="0028384B" w:rsidRPr="002F16A1">
        <w:rPr>
          <w:noProof/>
        </w:rPr>
        <w:t xml:space="preserve"> i</w:t>
      </w:r>
      <w:r w:rsidR="0028384B">
        <w:rPr>
          <w:noProof/>
        </w:rPr>
        <w:t> </w:t>
      </w:r>
      <w:r w:rsidR="0028384B" w:rsidRPr="002F16A1">
        <w:rPr>
          <w:noProof/>
        </w:rPr>
        <w:t>zap</w:t>
      </w:r>
      <w:r w:rsidRPr="002F16A1">
        <w:rPr>
          <w:noProof/>
        </w:rPr>
        <w:t>ewniałaby lepsze przygotowanie przedsiębiorstw na wypadek zakłóceń dostaw. Wariant ten obejmuje elementy wspomagające łańcuch wartości,</w:t>
      </w:r>
      <w:r w:rsidR="0028384B" w:rsidRPr="002F16A1">
        <w:rPr>
          <w:noProof/>
        </w:rPr>
        <w:t xml:space="preserve"> w</w:t>
      </w:r>
      <w:r w:rsidR="0028384B">
        <w:rPr>
          <w:noProof/>
        </w:rPr>
        <w:t> </w:t>
      </w:r>
      <w:r w:rsidR="0028384B" w:rsidRPr="002F16A1">
        <w:rPr>
          <w:noProof/>
        </w:rPr>
        <w:t>szc</w:t>
      </w:r>
      <w:r w:rsidRPr="002F16A1">
        <w:rPr>
          <w:noProof/>
        </w:rPr>
        <w:t>zególności</w:t>
      </w:r>
      <w:r w:rsidR="0028384B" w:rsidRPr="002F16A1">
        <w:rPr>
          <w:noProof/>
        </w:rPr>
        <w:t xml:space="preserve"> w</w:t>
      </w:r>
      <w:r w:rsidR="0028384B">
        <w:rPr>
          <w:noProof/>
        </w:rPr>
        <w:t> </w:t>
      </w:r>
      <w:r w:rsidR="0028384B" w:rsidRPr="002F16A1">
        <w:rPr>
          <w:noProof/>
        </w:rPr>
        <w:t>pos</w:t>
      </w:r>
      <w:r w:rsidRPr="002F16A1">
        <w:rPr>
          <w:noProof/>
        </w:rPr>
        <w:t>taci zwiększonej koordynacji na etapie poszukiwań, większego wsparcia dla krajowych projektów dotyczących surowców krytycznych oraz lepszego dostępu do finansowania. Jeśli chodzi</w:t>
      </w:r>
      <w:r w:rsidR="0028384B" w:rsidRPr="002F16A1">
        <w:rPr>
          <w:noProof/>
        </w:rPr>
        <w:t xml:space="preserve"> o</w:t>
      </w:r>
      <w:r w:rsidR="0028384B">
        <w:rPr>
          <w:noProof/>
        </w:rPr>
        <w:t> </w:t>
      </w:r>
      <w:r w:rsidR="0028384B" w:rsidRPr="002F16A1">
        <w:rPr>
          <w:noProof/>
        </w:rPr>
        <w:t>obi</w:t>
      </w:r>
      <w:r w:rsidRPr="002F16A1">
        <w:rPr>
          <w:noProof/>
        </w:rPr>
        <w:t>eg zamknięty, przewidziano zalecenie dotyczące drobnej elektroniki użytkowej oraz zapowiedź przyszłych działań</w:t>
      </w:r>
      <w:r w:rsidR="0028384B" w:rsidRPr="002F16A1">
        <w:rPr>
          <w:noProof/>
        </w:rPr>
        <w:t>. W</w:t>
      </w:r>
      <w:r w:rsidR="0028384B">
        <w:rPr>
          <w:noProof/>
        </w:rPr>
        <w:t> </w:t>
      </w:r>
      <w:r w:rsidR="0028384B" w:rsidRPr="002F16A1">
        <w:rPr>
          <w:noProof/>
        </w:rPr>
        <w:t>war</w:t>
      </w:r>
      <w:r w:rsidRPr="002F16A1">
        <w:rPr>
          <w:noProof/>
        </w:rPr>
        <w:t>iancie tym przewidziano prowadzenie wzmożonych działań UE</w:t>
      </w:r>
      <w:r w:rsidR="0028384B" w:rsidRPr="002F16A1">
        <w:rPr>
          <w:noProof/>
        </w:rPr>
        <w:t xml:space="preserve"> w</w:t>
      </w:r>
      <w:r w:rsidR="0028384B">
        <w:rPr>
          <w:noProof/>
        </w:rPr>
        <w:t> </w:t>
      </w:r>
      <w:r w:rsidR="0028384B" w:rsidRPr="002F16A1">
        <w:rPr>
          <w:noProof/>
        </w:rPr>
        <w:t>zak</w:t>
      </w:r>
      <w:r w:rsidRPr="002F16A1">
        <w:rPr>
          <w:noProof/>
        </w:rPr>
        <w:t>resie ustanawiania norm międzynarodowych, jak również wprowadzenie minimalnych wymogów dotyczących systemów certyfikacji zrównoważonego charakteru surowców krytycznych oraz wymogów informacyjnych dotyczących śladu środowiskowego tych surowców wprowadzanych na rynek unijny. </w:t>
      </w:r>
    </w:p>
    <w:p w:rsidR="00AD62E2" w:rsidRPr="0028384B" w:rsidRDefault="00AD62E2" w:rsidP="00AD62E2">
      <w:pPr>
        <w:rPr>
          <w:noProof/>
        </w:rPr>
      </w:pPr>
      <w:r w:rsidRPr="002F16A1">
        <w:rPr>
          <w:b/>
          <w:noProof/>
        </w:rPr>
        <w:t xml:space="preserve">Wariant strategiczny </w:t>
      </w:r>
      <w:r w:rsidRPr="0028384B">
        <w:rPr>
          <w:b/>
          <w:noProof/>
        </w:rPr>
        <w:t>nr</w:t>
      </w:r>
      <w:r w:rsidR="0028384B" w:rsidRPr="0028384B">
        <w:rPr>
          <w:b/>
          <w:noProof/>
        </w:rPr>
        <w:t> </w:t>
      </w:r>
      <w:r w:rsidRPr="0028384B">
        <w:rPr>
          <w:b/>
          <w:noProof/>
        </w:rPr>
        <w:t>2</w:t>
      </w:r>
      <w:r w:rsidRPr="002F16A1">
        <w:rPr>
          <w:noProof/>
        </w:rPr>
        <w:t xml:space="preserve"> zakłada taki sam mechanizm zarządzania jak</w:t>
      </w:r>
      <w:r w:rsidR="0028384B" w:rsidRPr="002F16A1">
        <w:rPr>
          <w:noProof/>
        </w:rPr>
        <w:t xml:space="preserve"> w</w:t>
      </w:r>
      <w:r w:rsidR="0028384B">
        <w:rPr>
          <w:noProof/>
        </w:rPr>
        <w:t> </w:t>
      </w:r>
      <w:r w:rsidR="0028384B" w:rsidRPr="002F16A1">
        <w:rPr>
          <w:noProof/>
        </w:rPr>
        <w:t>war</w:t>
      </w:r>
      <w:r w:rsidRPr="002F16A1">
        <w:rPr>
          <w:noProof/>
        </w:rPr>
        <w:t xml:space="preserve">iancie </w:t>
      </w:r>
      <w:r w:rsidRPr="0028384B">
        <w:rPr>
          <w:noProof/>
        </w:rPr>
        <w:t>nr</w:t>
      </w:r>
      <w:r w:rsidR="0028384B" w:rsidRPr="0028384B">
        <w:rPr>
          <w:noProof/>
        </w:rPr>
        <w:t> </w:t>
      </w:r>
      <w:r w:rsidRPr="0028384B">
        <w:rPr>
          <w:noProof/>
        </w:rPr>
        <w:t>1</w:t>
      </w:r>
      <w:r w:rsidRPr="002F16A1">
        <w:rPr>
          <w:noProof/>
        </w:rPr>
        <w:t xml:space="preserve"> oraz realizację zadań</w:t>
      </w:r>
      <w:r w:rsidR="0028384B" w:rsidRPr="002F16A1">
        <w:rPr>
          <w:noProof/>
        </w:rPr>
        <w:t xml:space="preserve"> w</w:t>
      </w:r>
      <w:r w:rsidR="0028384B">
        <w:rPr>
          <w:noProof/>
        </w:rPr>
        <w:t> </w:t>
      </w:r>
      <w:r w:rsidR="0028384B" w:rsidRPr="002F16A1">
        <w:rPr>
          <w:noProof/>
        </w:rPr>
        <w:t>zak</w:t>
      </w:r>
      <w:r w:rsidRPr="002F16A1">
        <w:rPr>
          <w:noProof/>
        </w:rPr>
        <w:t>resie monitorowania, zapasów strategicznych</w:t>
      </w:r>
      <w:r w:rsidR="0028384B" w:rsidRPr="002F16A1">
        <w:rPr>
          <w:noProof/>
        </w:rPr>
        <w:t xml:space="preserve"> i</w:t>
      </w:r>
      <w:r w:rsidR="0028384B">
        <w:rPr>
          <w:noProof/>
        </w:rPr>
        <w:t> </w:t>
      </w:r>
      <w:r w:rsidR="0028384B" w:rsidRPr="002F16A1">
        <w:rPr>
          <w:noProof/>
        </w:rPr>
        <w:t>got</w:t>
      </w:r>
      <w:r w:rsidRPr="002F16A1">
        <w:rPr>
          <w:noProof/>
        </w:rPr>
        <w:t>owości na wypadek zagrożeń</w:t>
      </w:r>
      <w:r w:rsidR="0028384B" w:rsidRPr="002F16A1">
        <w:rPr>
          <w:noProof/>
        </w:rPr>
        <w:t>. W</w:t>
      </w:r>
      <w:r w:rsidR="0028384B">
        <w:rPr>
          <w:noProof/>
        </w:rPr>
        <w:t> </w:t>
      </w:r>
      <w:r w:rsidR="0028384B" w:rsidRPr="002F16A1">
        <w:rPr>
          <w:noProof/>
        </w:rPr>
        <w:t>war</w:t>
      </w:r>
      <w:r w:rsidRPr="002F16A1">
        <w:rPr>
          <w:noProof/>
        </w:rPr>
        <w:t>iancie tym przewidziano dalszą poprawę łańcucha wartości w UE przez nałożenie bardziej rygorystycznych obowiązków</w:t>
      </w:r>
      <w:r w:rsidR="0028384B" w:rsidRPr="002F16A1">
        <w:rPr>
          <w:noProof/>
        </w:rPr>
        <w:t xml:space="preserve"> w</w:t>
      </w:r>
      <w:r w:rsidR="0028384B">
        <w:rPr>
          <w:noProof/>
        </w:rPr>
        <w:t> </w:t>
      </w:r>
      <w:r w:rsidR="0028384B" w:rsidRPr="002F16A1">
        <w:rPr>
          <w:noProof/>
        </w:rPr>
        <w:t>zak</w:t>
      </w:r>
      <w:r w:rsidRPr="002F16A1">
        <w:rPr>
          <w:noProof/>
        </w:rPr>
        <w:t>resie poszukiwań oraz realizacji projektów strategicznych wzdłuż łańcucha wartości surowców strategicznych</w:t>
      </w:r>
      <w:r w:rsidR="0028384B" w:rsidRPr="002F16A1">
        <w:rPr>
          <w:noProof/>
        </w:rPr>
        <w:t>. W</w:t>
      </w:r>
      <w:r w:rsidR="0028384B">
        <w:rPr>
          <w:noProof/>
        </w:rPr>
        <w:t> </w:t>
      </w:r>
      <w:r w:rsidR="0028384B" w:rsidRPr="002F16A1">
        <w:rPr>
          <w:noProof/>
        </w:rPr>
        <w:t>pro</w:t>
      </w:r>
      <w:r w:rsidRPr="002F16A1">
        <w:rPr>
          <w:noProof/>
        </w:rPr>
        <w:t>jektach tych skorzystano by</w:t>
      </w:r>
      <w:r w:rsidR="0028384B" w:rsidRPr="002F16A1">
        <w:rPr>
          <w:noProof/>
        </w:rPr>
        <w:t xml:space="preserve"> z</w:t>
      </w:r>
      <w:r w:rsidR="0028384B">
        <w:rPr>
          <w:noProof/>
        </w:rPr>
        <w:t> </w:t>
      </w:r>
      <w:r w:rsidR="0028384B" w:rsidRPr="002F16A1">
        <w:rPr>
          <w:noProof/>
        </w:rPr>
        <w:t>usp</w:t>
      </w:r>
      <w:r w:rsidRPr="002F16A1">
        <w:rPr>
          <w:noProof/>
        </w:rPr>
        <w:t>rawnionych procedur wydawania pozwoleń</w:t>
      </w:r>
      <w:r w:rsidR="0028384B" w:rsidRPr="002F16A1">
        <w:rPr>
          <w:noProof/>
        </w:rPr>
        <w:t xml:space="preserve"> i</w:t>
      </w:r>
      <w:r w:rsidR="0028384B">
        <w:rPr>
          <w:noProof/>
        </w:rPr>
        <w:t> </w:t>
      </w:r>
      <w:r w:rsidR="0028384B" w:rsidRPr="002F16A1">
        <w:rPr>
          <w:noProof/>
        </w:rPr>
        <w:t>sko</w:t>
      </w:r>
      <w:r w:rsidRPr="002F16A1">
        <w:rPr>
          <w:noProof/>
        </w:rPr>
        <w:t>ordynowanego dostępu do finansowania. Środki mające na celu wzmocnienie obiegu zamkniętego obejmują wprowadzenie ukierunkowanych zmian do dyrektywy</w:t>
      </w:r>
      <w:r w:rsidR="0028384B" w:rsidRPr="002F16A1">
        <w:rPr>
          <w:noProof/>
        </w:rPr>
        <w:t xml:space="preserve"> w</w:t>
      </w:r>
      <w:r w:rsidR="0028384B">
        <w:rPr>
          <w:noProof/>
        </w:rPr>
        <w:t> </w:t>
      </w:r>
      <w:r w:rsidR="0028384B" w:rsidRPr="002F16A1">
        <w:rPr>
          <w:noProof/>
        </w:rPr>
        <w:t>spr</w:t>
      </w:r>
      <w:r w:rsidRPr="002F16A1">
        <w:rPr>
          <w:noProof/>
        </w:rPr>
        <w:t>awie odpadów wydobywczych. Środki dotyczące norm obejmują opracowanie dodatkowych dokumentów normalizacyjnych odnoszących się do procesów przemysłowych, natomiast środki dotyczące śladu środowiskowego wiążą się ze stopniowym opracowywaniem progów dla surowców krytycznych, pod warunkiem że</w:t>
      </w:r>
      <w:r w:rsidR="0028384B" w:rsidRPr="002F16A1">
        <w:rPr>
          <w:noProof/>
        </w:rPr>
        <w:t xml:space="preserve"> w</w:t>
      </w:r>
      <w:r w:rsidR="0028384B">
        <w:rPr>
          <w:noProof/>
        </w:rPr>
        <w:t> </w:t>
      </w:r>
      <w:r w:rsidR="0028384B" w:rsidRPr="002F16A1">
        <w:rPr>
          <w:noProof/>
        </w:rPr>
        <w:t>szc</w:t>
      </w:r>
      <w:r w:rsidRPr="002F16A1">
        <w:rPr>
          <w:noProof/>
        </w:rPr>
        <w:t>zegółowej ocenie zostanie wykazane, iż nie wpłynie to na bezpieczeństwo dostaw</w:t>
      </w:r>
      <w:r w:rsidRPr="0028384B">
        <w:rPr>
          <w:noProof/>
        </w:rPr>
        <w:t>.</w:t>
      </w:r>
      <w:r w:rsidR="0028384B" w:rsidRPr="0028384B">
        <w:rPr>
          <w:noProof/>
        </w:rPr>
        <w:t xml:space="preserve"> </w:t>
      </w:r>
    </w:p>
    <w:p w:rsidR="00AD62E2" w:rsidRPr="002F16A1" w:rsidRDefault="00AD62E2" w:rsidP="00AD62E2">
      <w:pPr>
        <w:rPr>
          <w:noProof/>
        </w:rPr>
      </w:pPr>
      <w:r w:rsidRPr="002F16A1">
        <w:rPr>
          <w:b/>
          <w:noProof/>
        </w:rPr>
        <w:t xml:space="preserve">Wariant strategiczny </w:t>
      </w:r>
      <w:r w:rsidRPr="0028384B">
        <w:rPr>
          <w:b/>
          <w:noProof/>
        </w:rPr>
        <w:t>nr</w:t>
      </w:r>
      <w:r w:rsidR="0028384B" w:rsidRPr="0028384B">
        <w:rPr>
          <w:b/>
          <w:noProof/>
        </w:rPr>
        <w:t> </w:t>
      </w:r>
      <w:r w:rsidRPr="0028384B">
        <w:rPr>
          <w:b/>
          <w:noProof/>
        </w:rPr>
        <w:t>3</w:t>
      </w:r>
      <w:r w:rsidRPr="002F16A1">
        <w:rPr>
          <w:noProof/>
        </w:rPr>
        <w:t xml:space="preserve"> zakłada rozwijanie zewnętrznego potencjału</w:t>
      </w:r>
      <w:r w:rsidR="0028384B" w:rsidRPr="002F16A1">
        <w:rPr>
          <w:noProof/>
        </w:rPr>
        <w:t xml:space="preserve"> w</w:t>
      </w:r>
      <w:r w:rsidR="0028384B">
        <w:rPr>
          <w:noProof/>
        </w:rPr>
        <w:t> </w:t>
      </w:r>
      <w:r w:rsidR="0028384B" w:rsidRPr="002F16A1">
        <w:rPr>
          <w:noProof/>
        </w:rPr>
        <w:t>zak</w:t>
      </w:r>
      <w:r w:rsidRPr="002F16A1">
        <w:rPr>
          <w:noProof/>
        </w:rPr>
        <w:t>resie zarządzania, co umożliwia zaproponowanie wprowadzenia ambitnych środków dotyczących zapasów strategicznych, monitorowania</w:t>
      </w:r>
      <w:r w:rsidR="0028384B" w:rsidRPr="002F16A1">
        <w:rPr>
          <w:noProof/>
        </w:rPr>
        <w:t xml:space="preserve"> i</w:t>
      </w:r>
      <w:r w:rsidR="0028384B">
        <w:rPr>
          <w:noProof/>
        </w:rPr>
        <w:t> </w:t>
      </w:r>
      <w:r w:rsidR="0028384B" w:rsidRPr="002F16A1">
        <w:rPr>
          <w:noProof/>
        </w:rPr>
        <w:t>got</w:t>
      </w:r>
      <w:r w:rsidRPr="002F16A1">
        <w:rPr>
          <w:noProof/>
        </w:rPr>
        <w:t>owości na wypadek zagrożeń. Wariant ten opiera się również na koncepcji projektów strategicznych, które korzystałyby</w:t>
      </w:r>
      <w:r w:rsidR="0028384B" w:rsidRPr="002F16A1">
        <w:rPr>
          <w:noProof/>
        </w:rPr>
        <w:t xml:space="preserve"> z</w:t>
      </w:r>
      <w:r w:rsidR="0028384B">
        <w:rPr>
          <w:noProof/>
        </w:rPr>
        <w:t> </w:t>
      </w:r>
      <w:r w:rsidR="0028384B" w:rsidRPr="002F16A1">
        <w:rPr>
          <w:noProof/>
        </w:rPr>
        <w:t>dod</w:t>
      </w:r>
      <w:r w:rsidRPr="002F16A1">
        <w:rPr>
          <w:noProof/>
        </w:rPr>
        <w:t>atkowego wsparcia</w:t>
      </w:r>
      <w:r w:rsidR="0028384B" w:rsidRPr="002F16A1">
        <w:rPr>
          <w:noProof/>
        </w:rPr>
        <w:t xml:space="preserve"> w</w:t>
      </w:r>
      <w:r w:rsidR="0028384B">
        <w:rPr>
          <w:noProof/>
        </w:rPr>
        <w:t> </w:t>
      </w:r>
      <w:r w:rsidR="0028384B" w:rsidRPr="002F16A1">
        <w:rPr>
          <w:noProof/>
        </w:rPr>
        <w:t>zak</w:t>
      </w:r>
      <w:r w:rsidRPr="002F16A1">
        <w:rPr>
          <w:noProof/>
        </w:rPr>
        <w:t>resie wydawania pozwoleń dzięki specjalnym zasobom państw członkowskich oraz specjalnemu europejskiemu funduszowi dotyczącemu surowców krytycznych. Podobnie jak</w:t>
      </w:r>
      <w:r w:rsidR="0028384B" w:rsidRPr="002F16A1">
        <w:rPr>
          <w:noProof/>
        </w:rPr>
        <w:t xml:space="preserve"> w</w:t>
      </w:r>
      <w:r w:rsidR="0028384B">
        <w:rPr>
          <w:noProof/>
        </w:rPr>
        <w:t> </w:t>
      </w:r>
      <w:r w:rsidR="0028384B" w:rsidRPr="002F16A1">
        <w:rPr>
          <w:noProof/>
        </w:rPr>
        <w:t>prz</w:t>
      </w:r>
      <w:r w:rsidRPr="002F16A1">
        <w:rPr>
          <w:noProof/>
        </w:rPr>
        <w:t xml:space="preserve">ypadku wariantu </w:t>
      </w:r>
      <w:r w:rsidRPr="0028384B">
        <w:rPr>
          <w:noProof/>
        </w:rPr>
        <w:t>nr</w:t>
      </w:r>
      <w:r w:rsidR="0028384B" w:rsidRPr="0028384B">
        <w:rPr>
          <w:noProof/>
        </w:rPr>
        <w:t> </w:t>
      </w:r>
      <w:r w:rsidRPr="0028384B">
        <w:rPr>
          <w:noProof/>
        </w:rPr>
        <w:t>2</w:t>
      </w:r>
      <w:r w:rsidRPr="002F16A1">
        <w:rPr>
          <w:noProof/>
        </w:rPr>
        <w:t xml:space="preserve"> wariant </w:t>
      </w:r>
      <w:r w:rsidRPr="0028384B">
        <w:rPr>
          <w:noProof/>
        </w:rPr>
        <w:t>nr</w:t>
      </w:r>
      <w:r w:rsidR="0028384B" w:rsidRPr="0028384B">
        <w:rPr>
          <w:noProof/>
        </w:rPr>
        <w:t> </w:t>
      </w:r>
      <w:r w:rsidRPr="0028384B">
        <w:rPr>
          <w:noProof/>
        </w:rPr>
        <w:t>3</w:t>
      </w:r>
      <w:r w:rsidRPr="002F16A1">
        <w:rPr>
          <w:noProof/>
        </w:rPr>
        <w:t xml:space="preserve"> obejmuje środki dotyczące obiegu zamkniętego, norm</w:t>
      </w:r>
      <w:r w:rsidR="0028384B" w:rsidRPr="002F16A1">
        <w:rPr>
          <w:noProof/>
        </w:rPr>
        <w:t xml:space="preserve"> i</w:t>
      </w:r>
      <w:r w:rsidR="0028384B">
        <w:rPr>
          <w:noProof/>
        </w:rPr>
        <w:t> </w:t>
      </w:r>
      <w:r w:rsidR="0028384B" w:rsidRPr="002F16A1">
        <w:rPr>
          <w:noProof/>
        </w:rPr>
        <w:t>śla</w:t>
      </w:r>
      <w:r w:rsidRPr="002F16A1">
        <w:rPr>
          <w:noProof/>
        </w:rPr>
        <w:t>du środowiskowego. </w:t>
      </w:r>
    </w:p>
    <w:p w:rsidR="00AD62E2" w:rsidRPr="002F16A1" w:rsidRDefault="00AD62E2" w:rsidP="00AD62E2">
      <w:pPr>
        <w:rPr>
          <w:noProof/>
        </w:rPr>
      </w:pPr>
      <w:r w:rsidRPr="002F16A1">
        <w:rPr>
          <w:noProof/>
        </w:rPr>
        <w:t xml:space="preserve">Ogólnie rzecz ujmując, preferowanym wariantem jest wariant strategiczny </w:t>
      </w:r>
      <w:r w:rsidRPr="0028384B">
        <w:rPr>
          <w:noProof/>
        </w:rPr>
        <w:t>nr</w:t>
      </w:r>
      <w:r w:rsidR="0028384B" w:rsidRPr="0028384B">
        <w:rPr>
          <w:noProof/>
        </w:rPr>
        <w:t> </w:t>
      </w:r>
      <w:r w:rsidRPr="0028384B">
        <w:rPr>
          <w:noProof/>
        </w:rPr>
        <w:t>2</w:t>
      </w:r>
      <w:r w:rsidRPr="002F16A1">
        <w:rPr>
          <w:noProof/>
        </w:rPr>
        <w:t>, ponieważ cieszy się on poparciem zainteresowanych stron</w:t>
      </w:r>
      <w:r w:rsidR="0028384B" w:rsidRPr="002F16A1">
        <w:rPr>
          <w:noProof/>
        </w:rPr>
        <w:t xml:space="preserve"> i</w:t>
      </w:r>
      <w:r w:rsidR="0028384B">
        <w:rPr>
          <w:noProof/>
        </w:rPr>
        <w:t> </w:t>
      </w:r>
      <w:r w:rsidR="0028384B" w:rsidRPr="002F16A1">
        <w:rPr>
          <w:noProof/>
        </w:rPr>
        <w:t>pań</w:t>
      </w:r>
      <w:r w:rsidRPr="002F16A1">
        <w:rPr>
          <w:noProof/>
        </w:rPr>
        <w:t>stw członkowskich, nakłada ograniczone dodatkowe obciążenia na instytucje, wiąże się ze stosunkowo niższymi kosztami</w:t>
      </w:r>
      <w:r w:rsidR="0028384B" w:rsidRPr="002F16A1">
        <w:rPr>
          <w:noProof/>
        </w:rPr>
        <w:t xml:space="preserve"> i</w:t>
      </w:r>
      <w:r w:rsidR="0028384B">
        <w:rPr>
          <w:noProof/>
        </w:rPr>
        <w:t> </w:t>
      </w:r>
      <w:r w:rsidR="0028384B" w:rsidRPr="002F16A1">
        <w:rPr>
          <w:noProof/>
        </w:rPr>
        <w:t>prz</w:t>
      </w:r>
      <w:r w:rsidRPr="002F16A1">
        <w:rPr>
          <w:noProof/>
        </w:rPr>
        <w:t>yczynia się do osiągnięcia celów ogólnych</w:t>
      </w:r>
      <w:r w:rsidR="0028384B" w:rsidRPr="002F16A1">
        <w:rPr>
          <w:noProof/>
        </w:rPr>
        <w:t xml:space="preserve"> i</w:t>
      </w:r>
      <w:r w:rsidR="0028384B">
        <w:rPr>
          <w:noProof/>
        </w:rPr>
        <w:t> </w:t>
      </w:r>
      <w:r w:rsidR="0028384B" w:rsidRPr="002F16A1">
        <w:rPr>
          <w:noProof/>
        </w:rPr>
        <w:t>szc</w:t>
      </w:r>
      <w:r w:rsidRPr="002F16A1">
        <w:rPr>
          <w:noProof/>
        </w:rPr>
        <w:t>zegółowych. Wariant ten wnosi wyraźną wartość dodaną</w:t>
      </w:r>
      <w:r w:rsidR="0028384B" w:rsidRPr="002F16A1">
        <w:rPr>
          <w:noProof/>
        </w:rPr>
        <w:t xml:space="preserve"> w</w:t>
      </w:r>
      <w:r w:rsidR="0028384B">
        <w:rPr>
          <w:noProof/>
        </w:rPr>
        <w:t> </w:t>
      </w:r>
      <w:r w:rsidR="0028384B" w:rsidRPr="002F16A1">
        <w:rPr>
          <w:noProof/>
        </w:rPr>
        <w:t>fun</w:t>
      </w:r>
      <w:r w:rsidRPr="002F16A1">
        <w:rPr>
          <w:noProof/>
        </w:rPr>
        <w:t>kcjonowanie jednolitego rynku</w:t>
      </w:r>
      <w:r w:rsidR="0028384B" w:rsidRPr="002F16A1">
        <w:rPr>
          <w:noProof/>
        </w:rPr>
        <w:t xml:space="preserve"> i</w:t>
      </w:r>
      <w:r w:rsidR="0028384B">
        <w:rPr>
          <w:noProof/>
        </w:rPr>
        <w:t> </w:t>
      </w:r>
      <w:r w:rsidR="0028384B" w:rsidRPr="002F16A1">
        <w:rPr>
          <w:noProof/>
        </w:rPr>
        <w:t>nie</w:t>
      </w:r>
      <w:r w:rsidRPr="002F16A1">
        <w:rPr>
          <w:noProof/>
        </w:rPr>
        <w:t>sie pozytywne skutki gospodarcze dla producentów surowców krytycznych</w:t>
      </w:r>
      <w:r w:rsidR="0028384B" w:rsidRPr="002F16A1">
        <w:rPr>
          <w:noProof/>
        </w:rPr>
        <w:t xml:space="preserve"> i</w:t>
      </w:r>
      <w:r w:rsidR="0028384B">
        <w:rPr>
          <w:noProof/>
        </w:rPr>
        <w:t> </w:t>
      </w:r>
      <w:r w:rsidR="0028384B" w:rsidRPr="002F16A1">
        <w:rPr>
          <w:noProof/>
        </w:rPr>
        <w:t>sek</w:t>
      </w:r>
      <w:r w:rsidRPr="002F16A1">
        <w:rPr>
          <w:noProof/>
        </w:rPr>
        <w:t>torów pochodnych dzięki budowaniu odporności przemysłowej</w:t>
      </w:r>
      <w:r w:rsidR="0028384B" w:rsidRPr="002F16A1">
        <w:rPr>
          <w:noProof/>
        </w:rPr>
        <w:t xml:space="preserve"> i</w:t>
      </w:r>
      <w:r w:rsidR="0028384B">
        <w:rPr>
          <w:noProof/>
        </w:rPr>
        <w:t> </w:t>
      </w:r>
      <w:r w:rsidR="0028384B" w:rsidRPr="002F16A1">
        <w:rPr>
          <w:noProof/>
        </w:rPr>
        <w:t>pob</w:t>
      </w:r>
      <w:r w:rsidRPr="002F16A1">
        <w:rPr>
          <w:noProof/>
        </w:rPr>
        <w:t xml:space="preserve">udzaniu rozwoju unijnego łańcucha wartości surowców krytycznych. Wprowadzenie wariantu strategicznego </w:t>
      </w:r>
      <w:r w:rsidRPr="0028384B">
        <w:rPr>
          <w:noProof/>
        </w:rPr>
        <w:t>nr</w:t>
      </w:r>
      <w:r w:rsidR="0028384B" w:rsidRPr="0028384B">
        <w:rPr>
          <w:noProof/>
        </w:rPr>
        <w:t> </w:t>
      </w:r>
      <w:r w:rsidRPr="0028384B">
        <w:rPr>
          <w:noProof/>
        </w:rPr>
        <w:t>3</w:t>
      </w:r>
      <w:r w:rsidRPr="002F16A1">
        <w:rPr>
          <w:noProof/>
        </w:rPr>
        <w:t xml:space="preserve"> pozwoliłoby na skuteczniejsze osiągnięcie niektórych celów (zwłaszcza</w:t>
      </w:r>
      <w:r w:rsidR="0028384B" w:rsidRPr="002F16A1">
        <w:rPr>
          <w:noProof/>
        </w:rPr>
        <w:t xml:space="preserve"> w</w:t>
      </w:r>
      <w:r w:rsidR="0028384B">
        <w:rPr>
          <w:noProof/>
        </w:rPr>
        <w:t> </w:t>
      </w:r>
      <w:r w:rsidR="0028384B" w:rsidRPr="002F16A1">
        <w:rPr>
          <w:noProof/>
        </w:rPr>
        <w:t>odn</w:t>
      </w:r>
      <w:r w:rsidRPr="002F16A1">
        <w:rPr>
          <w:noProof/>
        </w:rPr>
        <w:t>iesieniu do filarów dotyczących monitorowania</w:t>
      </w:r>
      <w:r w:rsidR="0028384B" w:rsidRPr="002F16A1">
        <w:rPr>
          <w:noProof/>
        </w:rPr>
        <w:t xml:space="preserve"> i</w:t>
      </w:r>
      <w:r w:rsidR="0028384B">
        <w:rPr>
          <w:noProof/>
        </w:rPr>
        <w:t> </w:t>
      </w:r>
      <w:r w:rsidR="0028384B" w:rsidRPr="002F16A1">
        <w:rPr>
          <w:noProof/>
        </w:rPr>
        <w:t>dos</w:t>
      </w:r>
      <w:r w:rsidRPr="002F16A1">
        <w:rPr>
          <w:noProof/>
        </w:rPr>
        <w:t>tępu do finansowania), jednak jego realizacja nie byłaby możliwa ze względu na obecne ograniczenia budżetowe. </w:t>
      </w:r>
    </w:p>
    <w:p w:rsidR="00AD62E2" w:rsidRPr="002F16A1" w:rsidRDefault="00AD62E2" w:rsidP="00AD62E2">
      <w:pPr>
        <w:rPr>
          <w:noProof/>
        </w:rPr>
      </w:pPr>
      <w:r w:rsidRPr="002F16A1">
        <w:rPr>
          <w:b/>
          <w:noProof/>
        </w:rPr>
        <w:t>Różnice</w:t>
      </w:r>
      <w:r w:rsidR="0028384B" w:rsidRPr="002F16A1">
        <w:rPr>
          <w:b/>
          <w:noProof/>
        </w:rPr>
        <w:t xml:space="preserve"> w</w:t>
      </w:r>
      <w:r w:rsidR="0028384B">
        <w:rPr>
          <w:b/>
          <w:noProof/>
        </w:rPr>
        <w:t> </w:t>
      </w:r>
      <w:r w:rsidR="0028384B" w:rsidRPr="002F16A1">
        <w:rPr>
          <w:b/>
          <w:noProof/>
        </w:rPr>
        <w:t>oce</w:t>
      </w:r>
      <w:r w:rsidRPr="002F16A1">
        <w:rPr>
          <w:b/>
          <w:noProof/>
        </w:rPr>
        <w:t>nie skutków</w:t>
      </w:r>
      <w:r w:rsidR="0028384B" w:rsidRPr="002F16A1">
        <w:rPr>
          <w:b/>
          <w:noProof/>
        </w:rPr>
        <w:t xml:space="preserve"> w</w:t>
      </w:r>
      <w:r w:rsidR="0028384B">
        <w:rPr>
          <w:b/>
          <w:noProof/>
        </w:rPr>
        <w:t> </w:t>
      </w:r>
      <w:r w:rsidR="0028384B" w:rsidRPr="002F16A1">
        <w:rPr>
          <w:b/>
          <w:noProof/>
        </w:rPr>
        <w:t>por</w:t>
      </w:r>
      <w:r w:rsidRPr="002F16A1">
        <w:rPr>
          <w:b/>
          <w:noProof/>
        </w:rPr>
        <w:t>ównaniu</w:t>
      </w:r>
      <w:r w:rsidR="0028384B" w:rsidRPr="002F16A1">
        <w:rPr>
          <w:b/>
          <w:noProof/>
        </w:rPr>
        <w:t xml:space="preserve"> z</w:t>
      </w:r>
      <w:r w:rsidR="0028384B">
        <w:rPr>
          <w:b/>
          <w:noProof/>
        </w:rPr>
        <w:t> </w:t>
      </w:r>
      <w:r w:rsidR="0028384B" w:rsidRPr="002F16A1">
        <w:rPr>
          <w:b/>
          <w:noProof/>
        </w:rPr>
        <w:t>war</w:t>
      </w:r>
      <w:r w:rsidRPr="002F16A1">
        <w:rPr>
          <w:b/>
          <w:noProof/>
        </w:rPr>
        <w:t>iantem preferowanym </w:t>
      </w:r>
    </w:p>
    <w:p w:rsidR="00AD62E2" w:rsidRPr="0028384B" w:rsidRDefault="00AD62E2" w:rsidP="00AD62E2">
      <w:pPr>
        <w:rPr>
          <w:noProof/>
        </w:rPr>
      </w:pPr>
      <w:r w:rsidRPr="002F16A1">
        <w:rPr>
          <w:noProof/>
        </w:rPr>
        <w:t>W rozporządzeniu określono środki, których nie uwzględniono</w:t>
      </w:r>
      <w:r w:rsidR="0028384B" w:rsidRPr="002F16A1">
        <w:rPr>
          <w:noProof/>
        </w:rPr>
        <w:t xml:space="preserve"> w</w:t>
      </w:r>
      <w:r w:rsidR="0028384B">
        <w:rPr>
          <w:noProof/>
        </w:rPr>
        <w:t> </w:t>
      </w:r>
      <w:r w:rsidR="0028384B" w:rsidRPr="002F16A1">
        <w:rPr>
          <w:noProof/>
        </w:rPr>
        <w:t>oce</w:t>
      </w:r>
      <w:r w:rsidRPr="002F16A1">
        <w:rPr>
          <w:noProof/>
        </w:rPr>
        <w:t>nie skutków,</w:t>
      </w:r>
      <w:r w:rsidR="0028384B" w:rsidRPr="002F16A1">
        <w:rPr>
          <w:noProof/>
        </w:rPr>
        <w:t xml:space="preserve"> a</w:t>
      </w:r>
      <w:r w:rsidR="0028384B">
        <w:rPr>
          <w:noProof/>
        </w:rPr>
        <w:t> </w:t>
      </w:r>
      <w:r w:rsidR="0028384B" w:rsidRPr="002F16A1">
        <w:rPr>
          <w:noProof/>
        </w:rPr>
        <w:t>mia</w:t>
      </w:r>
      <w:r w:rsidRPr="002F16A1">
        <w:rPr>
          <w:noProof/>
        </w:rPr>
        <w:t>nowicie</w:t>
      </w:r>
      <w:r w:rsidRPr="0028384B">
        <w:rPr>
          <w:noProof/>
        </w:rPr>
        <w:t>:</w:t>
      </w:r>
      <w:r w:rsidR="0028384B" w:rsidRPr="0028384B">
        <w:rPr>
          <w:noProof/>
        </w:rPr>
        <w:t xml:space="preserve"> </w:t>
      </w:r>
    </w:p>
    <w:p w:rsidR="00AD62E2" w:rsidRPr="002F16A1" w:rsidRDefault="00AD62E2" w:rsidP="00D822B1">
      <w:pPr>
        <w:pStyle w:val="Tiret0"/>
        <w:rPr>
          <w:noProof/>
        </w:rPr>
      </w:pPr>
      <w:r w:rsidRPr="002F16A1">
        <w:rPr>
          <w:noProof/>
        </w:rPr>
        <w:t xml:space="preserve">środki dotyczące wspólnych zakupów surowców strategicznych. Środki te stanowiły część wariantu strategicznego </w:t>
      </w:r>
      <w:r w:rsidRPr="0028384B">
        <w:rPr>
          <w:noProof/>
        </w:rPr>
        <w:t>nr</w:t>
      </w:r>
      <w:r w:rsidR="0028384B" w:rsidRPr="0028384B">
        <w:rPr>
          <w:noProof/>
        </w:rPr>
        <w:t> </w:t>
      </w:r>
      <w:r w:rsidRPr="0028384B">
        <w:rPr>
          <w:noProof/>
        </w:rPr>
        <w:t>3</w:t>
      </w:r>
      <w:r w:rsidRPr="002F16A1">
        <w:rPr>
          <w:noProof/>
        </w:rPr>
        <w:t xml:space="preserve"> dotyczącego zapasów strategicznych, ale później zostały przeanalizowane jako możliwe do realizacji</w:t>
      </w:r>
      <w:r w:rsidR="0028384B" w:rsidRPr="002F16A1">
        <w:rPr>
          <w:noProof/>
        </w:rPr>
        <w:t xml:space="preserve"> w</w:t>
      </w:r>
      <w:r w:rsidR="0028384B">
        <w:rPr>
          <w:noProof/>
        </w:rPr>
        <w:t> </w:t>
      </w:r>
      <w:r w:rsidR="0028384B" w:rsidRPr="002F16A1">
        <w:rPr>
          <w:noProof/>
        </w:rPr>
        <w:t>ram</w:t>
      </w:r>
      <w:r w:rsidRPr="002F16A1">
        <w:rPr>
          <w:noProof/>
        </w:rPr>
        <w:t xml:space="preserve">ach wariantu strategicznego </w:t>
      </w:r>
      <w:r w:rsidRPr="0028384B">
        <w:rPr>
          <w:noProof/>
        </w:rPr>
        <w:t>nr</w:t>
      </w:r>
      <w:r w:rsidR="0028384B" w:rsidRPr="0028384B">
        <w:rPr>
          <w:noProof/>
        </w:rPr>
        <w:t> </w:t>
      </w:r>
      <w:r w:rsidRPr="0028384B">
        <w:rPr>
          <w:noProof/>
        </w:rPr>
        <w:t>2</w:t>
      </w:r>
      <w:r w:rsidRPr="002F16A1">
        <w:rPr>
          <w:noProof/>
        </w:rPr>
        <w:t>, nawet bez specjalnych ram dotyczących gromadzenia zapasów. Środki dotyczące zdolności do recyklingu</w:t>
      </w:r>
      <w:r w:rsidR="0028384B" w:rsidRPr="002F16A1">
        <w:rPr>
          <w:noProof/>
        </w:rPr>
        <w:t xml:space="preserve"> i</w:t>
      </w:r>
      <w:r w:rsidR="0028384B">
        <w:rPr>
          <w:noProof/>
        </w:rPr>
        <w:t> </w:t>
      </w:r>
      <w:r w:rsidR="0028384B" w:rsidRPr="002F16A1">
        <w:rPr>
          <w:noProof/>
        </w:rPr>
        <w:t>zaw</w:t>
      </w:r>
      <w:r w:rsidRPr="002F16A1">
        <w:rPr>
          <w:noProof/>
        </w:rPr>
        <w:t>artości materiałów</w:t>
      </w:r>
      <w:r w:rsidR="0028384B" w:rsidRPr="002F16A1">
        <w:rPr>
          <w:noProof/>
        </w:rPr>
        <w:t xml:space="preserve"> z</w:t>
      </w:r>
      <w:r w:rsidR="0028384B">
        <w:rPr>
          <w:noProof/>
        </w:rPr>
        <w:t> </w:t>
      </w:r>
      <w:r w:rsidR="0028384B" w:rsidRPr="002F16A1">
        <w:rPr>
          <w:noProof/>
        </w:rPr>
        <w:t>rec</w:t>
      </w:r>
      <w:r w:rsidRPr="002F16A1">
        <w:rPr>
          <w:noProof/>
        </w:rPr>
        <w:t>yklingu</w:t>
      </w:r>
      <w:r w:rsidR="0028384B" w:rsidRPr="002F16A1">
        <w:rPr>
          <w:noProof/>
        </w:rPr>
        <w:t xml:space="preserve"> w</w:t>
      </w:r>
      <w:r w:rsidR="0028384B">
        <w:rPr>
          <w:noProof/>
        </w:rPr>
        <w:t> </w:t>
      </w:r>
      <w:r w:rsidR="0028384B" w:rsidRPr="002F16A1">
        <w:rPr>
          <w:noProof/>
        </w:rPr>
        <w:t>mag</w:t>
      </w:r>
      <w:r w:rsidRPr="002F16A1">
        <w:rPr>
          <w:noProof/>
        </w:rPr>
        <w:t>nesach</w:t>
      </w:r>
      <w:r w:rsidR="0028384B" w:rsidRPr="002F16A1">
        <w:rPr>
          <w:noProof/>
        </w:rPr>
        <w:t xml:space="preserve"> z</w:t>
      </w:r>
      <w:r w:rsidR="0028384B">
        <w:rPr>
          <w:noProof/>
        </w:rPr>
        <w:t> </w:t>
      </w:r>
      <w:r w:rsidR="0028384B" w:rsidRPr="002F16A1">
        <w:rPr>
          <w:noProof/>
        </w:rPr>
        <w:t>met</w:t>
      </w:r>
      <w:r w:rsidRPr="002F16A1">
        <w:rPr>
          <w:noProof/>
        </w:rPr>
        <w:t>ali ziem rzadkich. Środki te nie zostały wyszczególnione</w:t>
      </w:r>
      <w:r w:rsidR="0028384B" w:rsidRPr="002F16A1">
        <w:rPr>
          <w:noProof/>
        </w:rPr>
        <w:t xml:space="preserve"> w</w:t>
      </w:r>
      <w:r w:rsidR="0028384B">
        <w:rPr>
          <w:noProof/>
        </w:rPr>
        <w:t> </w:t>
      </w:r>
      <w:r w:rsidR="0028384B" w:rsidRPr="002F16A1">
        <w:rPr>
          <w:noProof/>
        </w:rPr>
        <w:t>oce</w:t>
      </w:r>
      <w:r w:rsidRPr="002F16A1">
        <w:rPr>
          <w:noProof/>
        </w:rPr>
        <w:t>nie skutków, ale odnoszą się do integralnego elementu opisanej</w:t>
      </w:r>
      <w:r w:rsidR="0028384B" w:rsidRPr="002F16A1">
        <w:rPr>
          <w:noProof/>
        </w:rPr>
        <w:t xml:space="preserve"> w</w:t>
      </w:r>
      <w:r w:rsidR="0028384B">
        <w:rPr>
          <w:noProof/>
        </w:rPr>
        <w:t> </w:t>
      </w:r>
      <w:r w:rsidR="0028384B" w:rsidRPr="002F16A1">
        <w:rPr>
          <w:noProof/>
        </w:rPr>
        <w:t>nie</w:t>
      </w:r>
      <w:r w:rsidRPr="002F16A1">
        <w:rPr>
          <w:noProof/>
        </w:rPr>
        <w:t>j kwestii, mianowicie do powodującego problemy czynnika wyjaśniającego,</w:t>
      </w:r>
      <w:r w:rsidR="0028384B" w:rsidRPr="002F16A1">
        <w:rPr>
          <w:noProof/>
        </w:rPr>
        <w:t xml:space="preserve"> w</w:t>
      </w:r>
      <w:r w:rsidR="0028384B">
        <w:rPr>
          <w:noProof/>
        </w:rPr>
        <w:t> </w:t>
      </w:r>
      <w:r w:rsidR="0028384B" w:rsidRPr="002F16A1">
        <w:rPr>
          <w:noProof/>
        </w:rPr>
        <w:t>jak</w:t>
      </w:r>
      <w:r w:rsidRPr="002F16A1">
        <w:rPr>
          <w:noProof/>
        </w:rPr>
        <w:t>i sposób prawodawstwo UE dotyczące odpadów nie jest</w:t>
      </w:r>
      <w:r w:rsidR="0028384B" w:rsidRPr="002F16A1">
        <w:rPr>
          <w:noProof/>
        </w:rPr>
        <w:t xml:space="preserve"> w</w:t>
      </w:r>
      <w:r w:rsidR="0028384B">
        <w:rPr>
          <w:noProof/>
        </w:rPr>
        <w:t> </w:t>
      </w:r>
      <w:r w:rsidR="0028384B" w:rsidRPr="002F16A1">
        <w:rPr>
          <w:noProof/>
        </w:rPr>
        <w:t>wys</w:t>
      </w:r>
      <w:r w:rsidRPr="002F16A1">
        <w:rPr>
          <w:noProof/>
        </w:rPr>
        <w:t>tarczającym stopniu ukierunkowane na odzysk surowców krytycznych. Komisja zebrała dodatkowe dowody od ekspertów, ośrodków analitycznych</w:t>
      </w:r>
      <w:r w:rsidR="0028384B" w:rsidRPr="002F16A1">
        <w:rPr>
          <w:noProof/>
        </w:rPr>
        <w:t xml:space="preserve"> i</w:t>
      </w:r>
      <w:r w:rsidR="0028384B">
        <w:rPr>
          <w:noProof/>
        </w:rPr>
        <w:t> </w:t>
      </w:r>
      <w:r w:rsidR="0028384B" w:rsidRPr="002F16A1">
        <w:rPr>
          <w:noProof/>
        </w:rPr>
        <w:t>prz</w:t>
      </w:r>
      <w:r w:rsidRPr="002F16A1">
        <w:rPr>
          <w:noProof/>
        </w:rPr>
        <w:t>edstawicieli przemysłu, aby lepiej zrozumieć wyzwania związane</w:t>
      </w:r>
      <w:r w:rsidR="0028384B" w:rsidRPr="002F16A1">
        <w:rPr>
          <w:noProof/>
        </w:rPr>
        <w:t xml:space="preserve"> z</w:t>
      </w:r>
      <w:r w:rsidR="0028384B">
        <w:rPr>
          <w:noProof/>
        </w:rPr>
        <w:t> </w:t>
      </w:r>
      <w:r w:rsidR="0028384B" w:rsidRPr="002F16A1">
        <w:rPr>
          <w:noProof/>
        </w:rPr>
        <w:t>obi</w:t>
      </w:r>
      <w:r w:rsidRPr="002F16A1">
        <w:rPr>
          <w:noProof/>
        </w:rPr>
        <w:t>egiem zamkniętym dotyczącym magnesów oraz potencjalnym wpływem wprowadzanych środków. Konieczne jest również wprowadzenie przepisów dotyczących zgodności</w:t>
      </w:r>
      <w:r w:rsidR="0028384B" w:rsidRPr="002F16A1">
        <w:rPr>
          <w:noProof/>
        </w:rPr>
        <w:t xml:space="preserve"> i</w:t>
      </w:r>
      <w:r w:rsidR="0028384B">
        <w:rPr>
          <w:noProof/>
        </w:rPr>
        <w:t> </w:t>
      </w:r>
      <w:r w:rsidR="0028384B" w:rsidRPr="002F16A1">
        <w:rPr>
          <w:noProof/>
        </w:rPr>
        <w:t>dom</w:t>
      </w:r>
      <w:r w:rsidRPr="002F16A1">
        <w:rPr>
          <w:noProof/>
        </w:rPr>
        <w:t>niemania zgodności, umożliwiających opracowanie niezbędnych norm; </w:t>
      </w:r>
    </w:p>
    <w:p w:rsidR="00AD62E2" w:rsidRPr="002F16A1" w:rsidRDefault="00AD62E2" w:rsidP="005417C6">
      <w:pPr>
        <w:pStyle w:val="Tiret0"/>
        <w:rPr>
          <w:noProof/>
        </w:rPr>
      </w:pPr>
      <w:r w:rsidRPr="002F16A1">
        <w:rPr>
          <w:noProof/>
        </w:rPr>
        <w:t>środki dotyczące współpracy</w:t>
      </w:r>
      <w:r w:rsidR="0028384B" w:rsidRPr="002F16A1">
        <w:rPr>
          <w:noProof/>
        </w:rPr>
        <w:t xml:space="preserve"> w</w:t>
      </w:r>
      <w:r w:rsidR="0028384B">
        <w:rPr>
          <w:noProof/>
        </w:rPr>
        <w:t> </w:t>
      </w:r>
      <w:r w:rsidR="0028384B" w:rsidRPr="002F16A1">
        <w:rPr>
          <w:noProof/>
        </w:rPr>
        <w:t>ram</w:t>
      </w:r>
      <w:r w:rsidRPr="002F16A1">
        <w:rPr>
          <w:noProof/>
        </w:rPr>
        <w:t>ach partnerstw strategicznych. Ponieważ zgodnie</w:t>
      </w:r>
      <w:r w:rsidR="0028384B" w:rsidRPr="002F16A1">
        <w:rPr>
          <w:noProof/>
        </w:rPr>
        <w:t xml:space="preserve"> z</w:t>
      </w:r>
      <w:r w:rsidR="0028384B">
        <w:rPr>
          <w:noProof/>
        </w:rPr>
        <w:t> </w:t>
      </w:r>
      <w:r w:rsidR="0028384B" w:rsidRPr="002F16A1">
        <w:rPr>
          <w:noProof/>
        </w:rPr>
        <w:t>sug</w:t>
      </w:r>
      <w:r w:rsidRPr="002F16A1">
        <w:rPr>
          <w:noProof/>
        </w:rPr>
        <w:t>estią Rady ds. Kontroli Regulacyjnej wzmocniony został międzynarodowy wymiar oceny skutków, uznano za właściwe dodanie środka uzupełniającego działania zapowiedziane</w:t>
      </w:r>
      <w:r w:rsidR="0028384B" w:rsidRPr="002F16A1">
        <w:rPr>
          <w:noProof/>
        </w:rPr>
        <w:t xml:space="preserve"> w</w:t>
      </w:r>
      <w:r w:rsidR="0028384B">
        <w:rPr>
          <w:noProof/>
        </w:rPr>
        <w:t> </w:t>
      </w:r>
      <w:r w:rsidR="0028384B" w:rsidRPr="002F16A1">
        <w:rPr>
          <w:noProof/>
        </w:rPr>
        <w:t>kom</w:t>
      </w:r>
      <w:r w:rsidRPr="002F16A1">
        <w:rPr>
          <w:noProof/>
        </w:rPr>
        <w:t>unikacie towarzyszącym, podkreślającego potrzebę współpracy</w:t>
      </w:r>
      <w:r w:rsidR="0028384B" w:rsidRPr="002F16A1">
        <w:rPr>
          <w:noProof/>
        </w:rPr>
        <w:t xml:space="preserve"> i</w:t>
      </w:r>
      <w:r w:rsidR="0028384B">
        <w:rPr>
          <w:noProof/>
        </w:rPr>
        <w:t> </w:t>
      </w:r>
      <w:r w:rsidR="0028384B" w:rsidRPr="002F16A1">
        <w:rPr>
          <w:noProof/>
        </w:rPr>
        <w:t>kom</w:t>
      </w:r>
      <w:r w:rsidRPr="002F16A1">
        <w:rPr>
          <w:noProof/>
        </w:rPr>
        <w:t>plementarności</w:t>
      </w:r>
      <w:r w:rsidR="0028384B" w:rsidRPr="002F16A1">
        <w:rPr>
          <w:noProof/>
        </w:rPr>
        <w:t xml:space="preserve"> w</w:t>
      </w:r>
      <w:r w:rsidR="0028384B">
        <w:rPr>
          <w:noProof/>
        </w:rPr>
        <w:t> </w:t>
      </w:r>
      <w:r w:rsidR="0028384B" w:rsidRPr="002F16A1">
        <w:rPr>
          <w:noProof/>
        </w:rPr>
        <w:t>odn</w:t>
      </w:r>
      <w:r w:rsidRPr="002F16A1">
        <w:rPr>
          <w:noProof/>
        </w:rPr>
        <w:t>iesieniu do partnerstw strategicznych UE</w:t>
      </w:r>
      <w:r w:rsidR="0028384B" w:rsidRPr="002F16A1">
        <w:rPr>
          <w:noProof/>
        </w:rPr>
        <w:t xml:space="preserve"> w</w:t>
      </w:r>
      <w:r w:rsidR="0028384B">
        <w:rPr>
          <w:noProof/>
        </w:rPr>
        <w:t> </w:t>
      </w:r>
      <w:r w:rsidR="0028384B" w:rsidRPr="002F16A1">
        <w:rPr>
          <w:noProof/>
        </w:rPr>
        <w:t>zak</w:t>
      </w:r>
      <w:r w:rsidRPr="002F16A1">
        <w:rPr>
          <w:noProof/>
        </w:rPr>
        <w:t>resie surowców</w:t>
      </w:r>
      <w:r w:rsidR="0028384B" w:rsidRPr="002F16A1">
        <w:rPr>
          <w:noProof/>
        </w:rPr>
        <w:t xml:space="preserve"> z</w:t>
      </w:r>
      <w:r w:rsidR="0028384B">
        <w:rPr>
          <w:noProof/>
        </w:rPr>
        <w:t> </w:t>
      </w:r>
      <w:r w:rsidR="0028384B" w:rsidRPr="002F16A1">
        <w:rPr>
          <w:noProof/>
        </w:rPr>
        <w:t>pań</w:t>
      </w:r>
      <w:r w:rsidRPr="002F16A1">
        <w:rPr>
          <w:noProof/>
        </w:rPr>
        <w:t>stwami trzecimi,</w:t>
      </w:r>
      <w:r w:rsidR="0028384B" w:rsidRPr="002F16A1">
        <w:rPr>
          <w:noProof/>
        </w:rPr>
        <w:t xml:space="preserve"> w</w:t>
      </w:r>
      <w:r w:rsidR="0028384B">
        <w:rPr>
          <w:noProof/>
        </w:rPr>
        <w:t> </w:t>
      </w:r>
      <w:r w:rsidR="0028384B" w:rsidRPr="002F16A1">
        <w:rPr>
          <w:noProof/>
        </w:rPr>
        <w:t>tym</w:t>
      </w:r>
      <w:r w:rsidRPr="002F16A1">
        <w:rPr>
          <w:noProof/>
        </w:rPr>
        <w:t xml:space="preserve"> spójności tych partnerstw</w:t>
      </w:r>
      <w:r w:rsidR="0028384B" w:rsidRPr="002F16A1">
        <w:rPr>
          <w:noProof/>
        </w:rPr>
        <w:t xml:space="preserve"> z</w:t>
      </w:r>
      <w:r w:rsidR="0028384B">
        <w:rPr>
          <w:noProof/>
        </w:rPr>
        <w:t> </w:t>
      </w:r>
      <w:r w:rsidR="0028384B" w:rsidRPr="002F16A1">
        <w:rPr>
          <w:noProof/>
        </w:rPr>
        <w:t>dwu</w:t>
      </w:r>
      <w:r w:rsidRPr="002F16A1">
        <w:rPr>
          <w:noProof/>
        </w:rPr>
        <w:t>stronną współpracą państw członkowskich</w:t>
      </w:r>
      <w:r w:rsidR="0028384B" w:rsidRPr="002F16A1">
        <w:rPr>
          <w:noProof/>
        </w:rPr>
        <w:t xml:space="preserve"> z</w:t>
      </w:r>
      <w:r w:rsidR="0028384B">
        <w:rPr>
          <w:noProof/>
        </w:rPr>
        <w:t> </w:t>
      </w:r>
      <w:r w:rsidR="0028384B" w:rsidRPr="002F16A1">
        <w:rPr>
          <w:noProof/>
        </w:rPr>
        <w:t>odp</w:t>
      </w:r>
      <w:r w:rsidRPr="002F16A1">
        <w:rPr>
          <w:noProof/>
        </w:rPr>
        <w:t xml:space="preserve">owiednimi państwami trzecimi; </w:t>
      </w:r>
    </w:p>
    <w:p w:rsidR="00AD62E2" w:rsidRPr="002F16A1" w:rsidRDefault="00AD62E2" w:rsidP="00D822B1">
      <w:pPr>
        <w:pStyle w:val="Tiret0"/>
        <w:rPr>
          <w:noProof/>
        </w:rPr>
      </w:pPr>
      <w:r w:rsidRPr="002F16A1">
        <w:rPr>
          <w:noProof/>
        </w:rPr>
        <w:t>środki dotyczące testów warunków skrajnych</w:t>
      </w:r>
      <w:r w:rsidR="0028384B" w:rsidRPr="002F16A1">
        <w:rPr>
          <w:noProof/>
        </w:rPr>
        <w:t xml:space="preserve"> w</w:t>
      </w:r>
      <w:r w:rsidR="0028384B">
        <w:rPr>
          <w:noProof/>
        </w:rPr>
        <w:t> </w:t>
      </w:r>
      <w:r w:rsidR="0028384B" w:rsidRPr="002F16A1">
        <w:rPr>
          <w:noProof/>
        </w:rPr>
        <w:t>łań</w:t>
      </w:r>
      <w:r w:rsidRPr="002F16A1">
        <w:rPr>
          <w:noProof/>
        </w:rPr>
        <w:t>cuchach wartości uwzględniono</w:t>
      </w:r>
      <w:r w:rsidR="0028384B" w:rsidRPr="002F16A1">
        <w:rPr>
          <w:noProof/>
        </w:rPr>
        <w:t xml:space="preserve"> w</w:t>
      </w:r>
      <w:r w:rsidR="0028384B">
        <w:rPr>
          <w:noProof/>
        </w:rPr>
        <w:t> </w:t>
      </w:r>
      <w:r w:rsidR="0028384B" w:rsidRPr="002F16A1">
        <w:rPr>
          <w:noProof/>
        </w:rPr>
        <w:t>war</w:t>
      </w:r>
      <w:r w:rsidRPr="002F16A1">
        <w:rPr>
          <w:noProof/>
        </w:rPr>
        <w:t xml:space="preserve">iancie strategicznym </w:t>
      </w:r>
      <w:r w:rsidRPr="0028384B">
        <w:rPr>
          <w:noProof/>
        </w:rPr>
        <w:t>nr</w:t>
      </w:r>
      <w:r w:rsidR="0028384B" w:rsidRPr="0028384B">
        <w:rPr>
          <w:noProof/>
        </w:rPr>
        <w:t> </w:t>
      </w:r>
      <w:r w:rsidRPr="0028384B">
        <w:rPr>
          <w:noProof/>
        </w:rPr>
        <w:t>3</w:t>
      </w:r>
      <w:r w:rsidRPr="002F16A1">
        <w:rPr>
          <w:noProof/>
        </w:rPr>
        <w:t>, jednak</w:t>
      </w:r>
      <w:r w:rsidR="0028384B" w:rsidRPr="002F16A1">
        <w:rPr>
          <w:noProof/>
        </w:rPr>
        <w:t xml:space="preserve"> w</w:t>
      </w:r>
      <w:r w:rsidR="0028384B">
        <w:rPr>
          <w:noProof/>
        </w:rPr>
        <w:t> </w:t>
      </w:r>
      <w:r w:rsidR="0028384B" w:rsidRPr="002F16A1">
        <w:rPr>
          <w:noProof/>
        </w:rPr>
        <w:t>roz</w:t>
      </w:r>
      <w:r w:rsidRPr="002F16A1">
        <w:rPr>
          <w:noProof/>
        </w:rPr>
        <w:t>porządzeniu określono je</w:t>
      </w:r>
      <w:r w:rsidR="0028384B" w:rsidRPr="002F16A1">
        <w:rPr>
          <w:noProof/>
        </w:rPr>
        <w:t xml:space="preserve"> w</w:t>
      </w:r>
      <w:r w:rsidR="0028384B">
        <w:rPr>
          <w:noProof/>
        </w:rPr>
        <w:t> </w:t>
      </w:r>
      <w:r w:rsidR="0028384B" w:rsidRPr="002F16A1">
        <w:rPr>
          <w:noProof/>
        </w:rPr>
        <w:t>zak</w:t>
      </w:r>
      <w:r w:rsidRPr="002F16A1">
        <w:rPr>
          <w:noProof/>
        </w:rPr>
        <w:t>resie bardziej ukierunkowanym,</w:t>
      </w:r>
      <w:r w:rsidR="0028384B" w:rsidRPr="002F16A1">
        <w:rPr>
          <w:noProof/>
        </w:rPr>
        <w:t xml:space="preserve"> z</w:t>
      </w:r>
      <w:r w:rsidR="0028384B">
        <w:rPr>
          <w:noProof/>
        </w:rPr>
        <w:t> </w:t>
      </w:r>
      <w:r w:rsidR="0028384B" w:rsidRPr="002F16A1">
        <w:rPr>
          <w:noProof/>
        </w:rPr>
        <w:t>nac</w:t>
      </w:r>
      <w:r w:rsidRPr="002F16A1">
        <w:rPr>
          <w:noProof/>
        </w:rPr>
        <w:t>iskiem wyłącznie na surowce strategiczne. Oczekuje się, że zarówno Komisja, jak</w:t>
      </w:r>
      <w:r w:rsidR="0028384B" w:rsidRPr="002F16A1">
        <w:rPr>
          <w:noProof/>
        </w:rPr>
        <w:t xml:space="preserve"> i</w:t>
      </w:r>
      <w:r w:rsidR="0028384B">
        <w:rPr>
          <w:noProof/>
        </w:rPr>
        <w:t> </w:t>
      </w:r>
      <w:r w:rsidR="0028384B" w:rsidRPr="002F16A1">
        <w:rPr>
          <w:noProof/>
        </w:rPr>
        <w:t>pań</w:t>
      </w:r>
      <w:r w:rsidRPr="002F16A1">
        <w:rPr>
          <w:noProof/>
        </w:rPr>
        <w:t>stwa członkowskie podzielą się zadaniami związanymi</w:t>
      </w:r>
      <w:r w:rsidR="0028384B" w:rsidRPr="002F16A1">
        <w:rPr>
          <w:noProof/>
        </w:rPr>
        <w:t xml:space="preserve"> z</w:t>
      </w:r>
      <w:r w:rsidR="0028384B">
        <w:rPr>
          <w:noProof/>
        </w:rPr>
        <w:t> </w:t>
      </w:r>
      <w:r w:rsidR="0028384B" w:rsidRPr="002F16A1">
        <w:rPr>
          <w:noProof/>
        </w:rPr>
        <w:t>wdr</w:t>
      </w:r>
      <w:r w:rsidRPr="002F16A1">
        <w:rPr>
          <w:noProof/>
        </w:rPr>
        <w:t>ożeniem wspomnianych środków, ograniczając tym samym obciążenie administracyjne. </w:t>
      </w:r>
    </w:p>
    <w:p w:rsidR="00AD62E2" w:rsidRPr="002F16A1" w:rsidRDefault="00AD62E2" w:rsidP="00AD62E2">
      <w:pPr>
        <w:rPr>
          <w:noProof/>
        </w:rPr>
      </w:pPr>
      <w:r w:rsidRPr="002F16A1">
        <w:rPr>
          <w:noProof/>
        </w:rPr>
        <w:t>Te nowe środki mieszczą się</w:t>
      </w:r>
      <w:r w:rsidR="0028384B" w:rsidRPr="002F16A1">
        <w:rPr>
          <w:noProof/>
        </w:rPr>
        <w:t xml:space="preserve"> w</w:t>
      </w:r>
      <w:r w:rsidR="0028384B">
        <w:rPr>
          <w:noProof/>
        </w:rPr>
        <w:t> </w:t>
      </w:r>
      <w:r w:rsidR="0028384B" w:rsidRPr="002F16A1">
        <w:rPr>
          <w:noProof/>
        </w:rPr>
        <w:t>ogó</w:t>
      </w:r>
      <w:r w:rsidRPr="002F16A1">
        <w:rPr>
          <w:noProof/>
        </w:rPr>
        <w:t>lnych ramach tematów analizowanych</w:t>
      </w:r>
      <w:r w:rsidR="0028384B" w:rsidRPr="002F16A1">
        <w:rPr>
          <w:noProof/>
        </w:rPr>
        <w:t xml:space="preserve"> w</w:t>
      </w:r>
      <w:r w:rsidR="0028384B">
        <w:rPr>
          <w:noProof/>
        </w:rPr>
        <w:t> </w:t>
      </w:r>
      <w:r w:rsidR="0028384B" w:rsidRPr="002F16A1">
        <w:rPr>
          <w:noProof/>
        </w:rPr>
        <w:t>oce</w:t>
      </w:r>
      <w:r w:rsidRPr="002F16A1">
        <w:rPr>
          <w:noProof/>
        </w:rPr>
        <w:t>nie skutków</w:t>
      </w:r>
      <w:r w:rsidR="0028384B" w:rsidRPr="002F16A1">
        <w:rPr>
          <w:noProof/>
        </w:rPr>
        <w:t xml:space="preserve"> i</w:t>
      </w:r>
      <w:r w:rsidR="0028384B">
        <w:rPr>
          <w:noProof/>
        </w:rPr>
        <w:t> </w:t>
      </w:r>
      <w:r w:rsidR="0028384B" w:rsidRPr="002F16A1">
        <w:rPr>
          <w:noProof/>
        </w:rPr>
        <w:t>zna</w:t>
      </w:r>
      <w:r w:rsidRPr="002F16A1">
        <w:rPr>
          <w:noProof/>
        </w:rPr>
        <w:t>cząco nie zmieniają wyników porównania wariantów ani nie wpływają na wybór wariantu preferowanego. </w:t>
      </w:r>
    </w:p>
    <w:p w:rsidR="00AD62E2" w:rsidRPr="002F16A1" w:rsidRDefault="00AD62E2" w:rsidP="00AD62E2">
      <w:pPr>
        <w:rPr>
          <w:noProof/>
        </w:rPr>
      </w:pPr>
      <w:r w:rsidRPr="002F16A1">
        <w:rPr>
          <w:noProof/>
        </w:rPr>
        <w:t>Rozporządzenie, którego dotyczy wniosek, zawiera również środki, które przeanalizowano</w:t>
      </w:r>
      <w:r w:rsidR="0028384B" w:rsidRPr="002F16A1">
        <w:rPr>
          <w:noProof/>
        </w:rPr>
        <w:t xml:space="preserve"> w</w:t>
      </w:r>
      <w:r w:rsidR="0028384B">
        <w:rPr>
          <w:noProof/>
        </w:rPr>
        <w:t> </w:t>
      </w:r>
      <w:r w:rsidR="0028384B" w:rsidRPr="002F16A1">
        <w:rPr>
          <w:noProof/>
        </w:rPr>
        <w:t>oce</w:t>
      </w:r>
      <w:r w:rsidRPr="002F16A1">
        <w:rPr>
          <w:noProof/>
        </w:rPr>
        <w:t>nie skutków, ale które różnią się pod kątem ich wdrażania,</w:t>
      </w:r>
      <w:r w:rsidR="0028384B" w:rsidRPr="002F16A1">
        <w:rPr>
          <w:noProof/>
        </w:rPr>
        <w:t xml:space="preserve"> a</w:t>
      </w:r>
      <w:r w:rsidR="0028384B">
        <w:rPr>
          <w:noProof/>
        </w:rPr>
        <w:t> </w:t>
      </w:r>
      <w:r w:rsidR="0028384B" w:rsidRPr="002F16A1">
        <w:rPr>
          <w:noProof/>
        </w:rPr>
        <w:t>mia</w:t>
      </w:r>
      <w:r w:rsidRPr="002F16A1">
        <w:rPr>
          <w:noProof/>
        </w:rPr>
        <w:t xml:space="preserve">nowicie: </w:t>
      </w:r>
    </w:p>
    <w:p w:rsidR="00AD62E2" w:rsidRPr="002F16A1" w:rsidRDefault="00AD62E2" w:rsidP="00D822B1">
      <w:pPr>
        <w:pStyle w:val="Tiret0"/>
        <w:rPr>
          <w:noProof/>
        </w:rPr>
      </w:pPr>
      <w:r w:rsidRPr="002F16A1">
        <w:rPr>
          <w:noProof/>
        </w:rPr>
        <w:t>we wniosku środki dotyczące odpadów wydobywczych zaplanowane</w:t>
      </w:r>
      <w:r w:rsidR="0028384B" w:rsidRPr="002F16A1">
        <w:rPr>
          <w:noProof/>
        </w:rPr>
        <w:t xml:space="preserve"> w</w:t>
      </w:r>
      <w:r w:rsidR="0028384B">
        <w:rPr>
          <w:noProof/>
        </w:rPr>
        <w:t> </w:t>
      </w:r>
      <w:r w:rsidR="0028384B" w:rsidRPr="002F16A1">
        <w:rPr>
          <w:noProof/>
        </w:rPr>
        <w:t>oce</w:t>
      </w:r>
      <w:r w:rsidRPr="002F16A1">
        <w:rPr>
          <w:noProof/>
        </w:rPr>
        <w:t>nie skutków zostały włączone bezpośrednio do rozporządzenia – nie założono natomiast ich wprowadzenia za pomocą ukierunkowanej zmiany dyrektywy</w:t>
      </w:r>
      <w:r w:rsidR="0028384B" w:rsidRPr="002F16A1">
        <w:rPr>
          <w:noProof/>
        </w:rPr>
        <w:t xml:space="preserve"> w</w:t>
      </w:r>
      <w:r w:rsidR="0028384B">
        <w:rPr>
          <w:noProof/>
        </w:rPr>
        <w:t> </w:t>
      </w:r>
      <w:r w:rsidR="0028384B" w:rsidRPr="002F16A1">
        <w:rPr>
          <w:noProof/>
        </w:rPr>
        <w:t>spr</w:t>
      </w:r>
      <w:r w:rsidRPr="002F16A1">
        <w:rPr>
          <w:noProof/>
        </w:rPr>
        <w:t>awie odpadów wydobywczych, aby zapewnić wcześniejsze</w:t>
      </w:r>
      <w:r w:rsidR="0028384B" w:rsidRPr="002F16A1">
        <w:rPr>
          <w:noProof/>
        </w:rPr>
        <w:t xml:space="preserve"> i</w:t>
      </w:r>
      <w:r w:rsidR="0028384B">
        <w:rPr>
          <w:noProof/>
        </w:rPr>
        <w:t> </w:t>
      </w:r>
      <w:r w:rsidR="0028384B" w:rsidRPr="002F16A1">
        <w:rPr>
          <w:noProof/>
        </w:rPr>
        <w:t>bar</w:t>
      </w:r>
      <w:r w:rsidRPr="002F16A1">
        <w:rPr>
          <w:noProof/>
        </w:rPr>
        <w:t>dziej bezpośrednie wdrożenie przedmiotowych środków; </w:t>
      </w:r>
    </w:p>
    <w:p w:rsidR="00AD62E2" w:rsidRPr="002F16A1" w:rsidRDefault="00AD62E2" w:rsidP="00D822B1">
      <w:pPr>
        <w:pStyle w:val="Tiret0"/>
        <w:rPr>
          <w:noProof/>
        </w:rPr>
      </w:pPr>
      <w:r w:rsidRPr="002F16A1">
        <w:rPr>
          <w:noProof/>
        </w:rPr>
        <w:t>we wniosku bezpośrednio do rozporządzenia włączono środki dotyczące zwiększenia zbiórki odpadów elektronicznych oraz innych produktów</w:t>
      </w:r>
      <w:r w:rsidR="0028384B" w:rsidRPr="002F16A1">
        <w:rPr>
          <w:noProof/>
        </w:rPr>
        <w:t xml:space="preserve"> i</w:t>
      </w:r>
      <w:r w:rsidR="0028384B">
        <w:rPr>
          <w:noProof/>
        </w:rPr>
        <w:t> </w:t>
      </w:r>
      <w:r w:rsidR="0028384B" w:rsidRPr="002F16A1">
        <w:rPr>
          <w:noProof/>
        </w:rPr>
        <w:t>kom</w:t>
      </w:r>
      <w:r w:rsidRPr="002F16A1">
        <w:rPr>
          <w:noProof/>
        </w:rPr>
        <w:t>ponentów bogatych</w:t>
      </w:r>
      <w:r w:rsidR="0028384B" w:rsidRPr="002F16A1">
        <w:rPr>
          <w:noProof/>
        </w:rPr>
        <w:t xml:space="preserve"> w</w:t>
      </w:r>
      <w:r w:rsidR="0028384B">
        <w:rPr>
          <w:noProof/>
        </w:rPr>
        <w:t> </w:t>
      </w:r>
      <w:r w:rsidR="0028384B" w:rsidRPr="002F16A1">
        <w:rPr>
          <w:noProof/>
        </w:rPr>
        <w:t>sur</w:t>
      </w:r>
      <w:r w:rsidRPr="002F16A1">
        <w:rPr>
          <w:noProof/>
        </w:rPr>
        <w:t>owce krytyczne, co zostało określone</w:t>
      </w:r>
      <w:r w:rsidR="0028384B" w:rsidRPr="002F16A1">
        <w:rPr>
          <w:noProof/>
        </w:rPr>
        <w:t xml:space="preserve"> w</w:t>
      </w:r>
      <w:r w:rsidR="0028384B">
        <w:rPr>
          <w:noProof/>
        </w:rPr>
        <w:t> </w:t>
      </w:r>
      <w:r w:rsidR="0028384B" w:rsidRPr="002F16A1">
        <w:rPr>
          <w:noProof/>
        </w:rPr>
        <w:t>oce</w:t>
      </w:r>
      <w:r w:rsidRPr="002F16A1">
        <w:rPr>
          <w:noProof/>
        </w:rPr>
        <w:t>nie skutków jako zalecenie Komisji. Zgodnie</w:t>
      </w:r>
      <w:r w:rsidR="0028384B" w:rsidRPr="002F16A1">
        <w:rPr>
          <w:noProof/>
        </w:rPr>
        <w:t xml:space="preserve"> z</w:t>
      </w:r>
      <w:r w:rsidR="0028384B">
        <w:rPr>
          <w:noProof/>
        </w:rPr>
        <w:t> </w:t>
      </w:r>
      <w:r w:rsidR="0028384B" w:rsidRPr="002F16A1">
        <w:rPr>
          <w:noProof/>
        </w:rPr>
        <w:t>pla</w:t>
      </w:r>
      <w:r w:rsidRPr="002F16A1">
        <w:rPr>
          <w:noProof/>
        </w:rPr>
        <w:t>nem zalecenie to ma zostać ogłoszone</w:t>
      </w:r>
      <w:r w:rsidR="0028384B" w:rsidRPr="002F16A1">
        <w:rPr>
          <w:noProof/>
        </w:rPr>
        <w:t xml:space="preserve"> w</w:t>
      </w:r>
      <w:r w:rsidR="0028384B">
        <w:rPr>
          <w:noProof/>
        </w:rPr>
        <w:t> </w:t>
      </w:r>
      <w:r w:rsidR="0028384B" w:rsidRPr="002F16A1">
        <w:rPr>
          <w:noProof/>
        </w:rPr>
        <w:t>kom</w:t>
      </w:r>
      <w:r w:rsidRPr="002F16A1">
        <w:rPr>
          <w:noProof/>
        </w:rPr>
        <w:t>unikacie towarzyszącym, wraz</w:t>
      </w:r>
      <w:r w:rsidR="0028384B" w:rsidRPr="002F16A1">
        <w:rPr>
          <w:noProof/>
        </w:rPr>
        <w:t xml:space="preserve"> z</w:t>
      </w:r>
      <w:r w:rsidR="0028384B">
        <w:rPr>
          <w:noProof/>
        </w:rPr>
        <w:t> </w:t>
      </w:r>
      <w:r w:rsidR="0028384B" w:rsidRPr="002F16A1">
        <w:rPr>
          <w:noProof/>
        </w:rPr>
        <w:t>wyk</w:t>
      </w:r>
      <w:r w:rsidRPr="002F16A1">
        <w:rPr>
          <w:noProof/>
        </w:rPr>
        <w:t>azem innych środków dotyczących obiegu zamkniętego. Celem jest dostarczenie państwom członkowskim</w:t>
      </w:r>
      <w:r w:rsidR="0028384B" w:rsidRPr="002F16A1">
        <w:rPr>
          <w:noProof/>
        </w:rPr>
        <w:t xml:space="preserve"> w</w:t>
      </w:r>
      <w:r w:rsidR="0028384B">
        <w:rPr>
          <w:noProof/>
        </w:rPr>
        <w:t> </w:t>
      </w:r>
      <w:r w:rsidR="0028384B" w:rsidRPr="002F16A1">
        <w:rPr>
          <w:noProof/>
        </w:rPr>
        <w:t>póź</w:t>
      </w:r>
      <w:r w:rsidRPr="002F16A1">
        <w:rPr>
          <w:noProof/>
        </w:rPr>
        <w:t>niejszym terminie wskazówek dotyczących wdrażania środków wymaganych na mocy rozporządzenia; </w:t>
      </w:r>
    </w:p>
    <w:p w:rsidR="00AD62E2" w:rsidRPr="002F16A1" w:rsidRDefault="00AD62E2" w:rsidP="00D822B1">
      <w:pPr>
        <w:pStyle w:val="Tiret0"/>
        <w:rPr>
          <w:noProof/>
        </w:rPr>
      </w:pPr>
      <w:r w:rsidRPr="002F16A1">
        <w:rPr>
          <w:noProof/>
        </w:rPr>
        <w:t>wariant preferowany</w:t>
      </w:r>
      <w:r w:rsidR="0028384B" w:rsidRPr="002F16A1">
        <w:rPr>
          <w:noProof/>
        </w:rPr>
        <w:t xml:space="preserve"> w</w:t>
      </w:r>
      <w:r w:rsidR="0028384B">
        <w:rPr>
          <w:noProof/>
        </w:rPr>
        <w:t> </w:t>
      </w:r>
      <w:r w:rsidR="0028384B" w:rsidRPr="002F16A1">
        <w:rPr>
          <w:noProof/>
        </w:rPr>
        <w:t>oce</w:t>
      </w:r>
      <w:r w:rsidRPr="002F16A1">
        <w:rPr>
          <w:noProof/>
        </w:rPr>
        <w:t>nie skutków obejmował środki nakładające wymóg, aby twierdzenia dotyczące zrównoważoności oparte były na uznanych systemach certyfikacji, ale wdrażanie tych środków miałoby się odbywać bez powiązań</w:t>
      </w:r>
      <w:r w:rsidR="0028384B" w:rsidRPr="002F16A1">
        <w:rPr>
          <w:noProof/>
        </w:rPr>
        <w:t xml:space="preserve"> z</w:t>
      </w:r>
      <w:r w:rsidR="0028384B">
        <w:rPr>
          <w:noProof/>
        </w:rPr>
        <w:t> </w:t>
      </w:r>
      <w:r w:rsidR="0028384B" w:rsidRPr="002F16A1">
        <w:rPr>
          <w:noProof/>
        </w:rPr>
        <w:t>tak</w:t>
      </w:r>
      <w:r w:rsidRPr="002F16A1">
        <w:rPr>
          <w:noProof/>
        </w:rPr>
        <w:t>imi twierdzeniami. Twierdzenia te będą podlegały ustawodawstwu horyzontalnemu, zgodnie</w:t>
      </w:r>
      <w:r w:rsidR="0028384B" w:rsidRPr="002F16A1">
        <w:rPr>
          <w:noProof/>
        </w:rPr>
        <w:t xml:space="preserve"> z</w:t>
      </w:r>
      <w:r w:rsidR="0028384B">
        <w:rPr>
          <w:noProof/>
        </w:rPr>
        <w:t> </w:t>
      </w:r>
      <w:r w:rsidR="0028384B" w:rsidRPr="002F16A1">
        <w:rPr>
          <w:noProof/>
        </w:rPr>
        <w:t>zap</w:t>
      </w:r>
      <w:r w:rsidRPr="002F16A1">
        <w:rPr>
          <w:noProof/>
        </w:rPr>
        <w:t>owiedzią zawartą</w:t>
      </w:r>
      <w:r w:rsidR="0028384B" w:rsidRPr="002F16A1">
        <w:rPr>
          <w:noProof/>
        </w:rPr>
        <w:t xml:space="preserve"> w</w:t>
      </w:r>
      <w:r w:rsidR="0028384B">
        <w:rPr>
          <w:noProof/>
        </w:rPr>
        <w:t> </w:t>
      </w:r>
      <w:r w:rsidR="0028384B" w:rsidRPr="002F16A1">
        <w:rPr>
          <w:noProof/>
        </w:rPr>
        <w:t>ini</w:t>
      </w:r>
      <w:r w:rsidRPr="002F16A1">
        <w:rPr>
          <w:noProof/>
        </w:rPr>
        <w:t>cjatywie Komisji</w:t>
      </w:r>
      <w:r w:rsidR="0028384B" w:rsidRPr="002F16A1">
        <w:rPr>
          <w:noProof/>
        </w:rPr>
        <w:t xml:space="preserve"> w</w:t>
      </w:r>
      <w:r w:rsidR="0028384B">
        <w:rPr>
          <w:noProof/>
        </w:rPr>
        <w:t> </w:t>
      </w:r>
      <w:r w:rsidR="0028384B" w:rsidRPr="002F16A1">
        <w:rPr>
          <w:noProof/>
        </w:rPr>
        <w:t>spr</w:t>
      </w:r>
      <w:r w:rsidRPr="002F16A1">
        <w:rPr>
          <w:noProof/>
        </w:rPr>
        <w:t>awie twierdzeń dotyczących ekologiczności. Wniosek zawiera zapis umożliwiający Komisji uznawanie systemów certyfikacji</w:t>
      </w:r>
      <w:r w:rsidR="0028384B" w:rsidRPr="002F16A1">
        <w:rPr>
          <w:noProof/>
        </w:rPr>
        <w:t xml:space="preserve"> w</w:t>
      </w:r>
      <w:r w:rsidR="0028384B">
        <w:rPr>
          <w:noProof/>
        </w:rPr>
        <w:t> </w:t>
      </w:r>
      <w:r w:rsidR="0028384B" w:rsidRPr="002F16A1">
        <w:rPr>
          <w:noProof/>
        </w:rPr>
        <w:t>zak</w:t>
      </w:r>
      <w:r w:rsidRPr="002F16A1">
        <w:rPr>
          <w:noProof/>
        </w:rPr>
        <w:t>resie zrównoważoności projektów dotyczących surowców krytycznych. Uczestnictwo</w:t>
      </w:r>
      <w:r w:rsidR="0028384B" w:rsidRPr="002F16A1">
        <w:rPr>
          <w:noProof/>
        </w:rPr>
        <w:t xml:space="preserve"> w</w:t>
      </w:r>
      <w:r w:rsidR="0028384B">
        <w:rPr>
          <w:noProof/>
        </w:rPr>
        <w:t> </w:t>
      </w:r>
      <w:r w:rsidR="0028384B" w:rsidRPr="002F16A1">
        <w:rPr>
          <w:noProof/>
        </w:rPr>
        <w:t>jed</w:t>
      </w:r>
      <w:r w:rsidRPr="002F16A1">
        <w:rPr>
          <w:noProof/>
        </w:rPr>
        <w:t>nym</w:t>
      </w:r>
      <w:r w:rsidR="0028384B" w:rsidRPr="002F16A1">
        <w:rPr>
          <w:noProof/>
        </w:rPr>
        <w:t xml:space="preserve"> z</w:t>
      </w:r>
      <w:r w:rsidR="0028384B">
        <w:rPr>
          <w:noProof/>
        </w:rPr>
        <w:t> </w:t>
      </w:r>
      <w:r w:rsidR="0028384B" w:rsidRPr="002F16A1">
        <w:rPr>
          <w:noProof/>
        </w:rPr>
        <w:t>tyc</w:t>
      </w:r>
      <w:r w:rsidRPr="002F16A1">
        <w:rPr>
          <w:noProof/>
        </w:rPr>
        <w:t>h systemów zapewni promotorom projektu dostęp do jasnego</w:t>
      </w:r>
      <w:r w:rsidR="0028384B" w:rsidRPr="002F16A1">
        <w:rPr>
          <w:noProof/>
        </w:rPr>
        <w:t xml:space="preserve"> i</w:t>
      </w:r>
      <w:r w:rsidR="0028384B">
        <w:rPr>
          <w:noProof/>
        </w:rPr>
        <w:t> </w:t>
      </w:r>
      <w:r w:rsidR="0028384B" w:rsidRPr="002F16A1">
        <w:rPr>
          <w:noProof/>
        </w:rPr>
        <w:t>sku</w:t>
      </w:r>
      <w:r w:rsidRPr="002F16A1">
        <w:rPr>
          <w:noProof/>
        </w:rPr>
        <w:t>tecznego sposobu poświadczania zgodności</w:t>
      </w:r>
      <w:r w:rsidR="0028384B" w:rsidRPr="002F16A1">
        <w:rPr>
          <w:noProof/>
        </w:rPr>
        <w:t xml:space="preserve"> z</w:t>
      </w:r>
      <w:r w:rsidR="0028384B">
        <w:rPr>
          <w:noProof/>
        </w:rPr>
        <w:t> </w:t>
      </w:r>
      <w:r w:rsidR="0028384B" w:rsidRPr="002F16A1">
        <w:rPr>
          <w:noProof/>
        </w:rPr>
        <w:t>kry</w:t>
      </w:r>
      <w:r w:rsidRPr="002F16A1">
        <w:rPr>
          <w:noProof/>
        </w:rPr>
        <w:t xml:space="preserve">terium uznania określonego projektu za projekt strategiczny związany ze zrównoważonym rozwojem. </w:t>
      </w:r>
    </w:p>
    <w:p w:rsidR="00AD62E2" w:rsidRPr="002F16A1" w:rsidRDefault="00AD62E2" w:rsidP="00AD62E2">
      <w:pPr>
        <w:pStyle w:val="ManualHeading2"/>
        <w:rPr>
          <w:noProof/>
        </w:rPr>
      </w:pPr>
      <w:r w:rsidRPr="002F16A1">
        <w:rPr>
          <w:noProof/>
        </w:rPr>
        <w:t>•</w:t>
      </w:r>
      <w:r w:rsidRPr="002F16A1">
        <w:rPr>
          <w:noProof/>
        </w:rPr>
        <w:tab/>
        <w:t>Sprawność regulacyjna</w:t>
      </w:r>
      <w:r w:rsidR="0028384B" w:rsidRPr="002F16A1">
        <w:rPr>
          <w:noProof/>
        </w:rPr>
        <w:t xml:space="preserve"> i</w:t>
      </w:r>
      <w:r w:rsidR="0028384B">
        <w:rPr>
          <w:noProof/>
        </w:rPr>
        <w:t> </w:t>
      </w:r>
      <w:r w:rsidR="0028384B" w:rsidRPr="002F16A1">
        <w:rPr>
          <w:noProof/>
        </w:rPr>
        <w:t>upr</w:t>
      </w:r>
      <w:r w:rsidRPr="002F16A1">
        <w:rPr>
          <w:noProof/>
        </w:rPr>
        <w:t>oszczenie</w:t>
      </w:r>
    </w:p>
    <w:p w:rsidR="00AD62E2" w:rsidRPr="002F16A1" w:rsidRDefault="00AD62E2" w:rsidP="00AD62E2">
      <w:pPr>
        <w:rPr>
          <w:noProof/>
        </w:rPr>
      </w:pPr>
      <w:r w:rsidRPr="002F16A1">
        <w:rPr>
          <w:noProof/>
        </w:rPr>
        <w:t>W przedmiotowym wniosku nie przewidziano znacznego dodatkowego obciążenia regulacyjnego. </w:t>
      </w:r>
    </w:p>
    <w:p w:rsidR="00AD62E2" w:rsidRPr="002F16A1" w:rsidRDefault="00AD62E2" w:rsidP="00AD62E2">
      <w:pPr>
        <w:rPr>
          <w:noProof/>
        </w:rPr>
      </w:pPr>
      <w:r w:rsidRPr="002F16A1">
        <w:rPr>
          <w:noProof/>
        </w:rPr>
        <w:t>Koszty administracyjne ponoszone przez przedsiębiorstwa, które będą bezpośrednio stosować niniejsze rozporządzenie, są ograniczone. Koszty te wiążą się przede wszystkim</w:t>
      </w:r>
      <w:r w:rsidR="0028384B" w:rsidRPr="002F16A1">
        <w:rPr>
          <w:noProof/>
        </w:rPr>
        <w:t xml:space="preserve"> z</w:t>
      </w:r>
      <w:r w:rsidR="0028384B">
        <w:rPr>
          <w:noProof/>
        </w:rPr>
        <w:t> </w:t>
      </w:r>
      <w:r w:rsidR="0028384B" w:rsidRPr="002F16A1">
        <w:rPr>
          <w:noProof/>
        </w:rPr>
        <w:t>obo</w:t>
      </w:r>
      <w:r w:rsidRPr="002F16A1">
        <w:rPr>
          <w:noProof/>
        </w:rPr>
        <w:t>wiązkami sprawozdawczymi spoczywającymi na ograniczonej grupie dużych przedsiębiorstw działających</w:t>
      </w:r>
      <w:r w:rsidR="0028384B" w:rsidRPr="002F16A1">
        <w:rPr>
          <w:noProof/>
        </w:rPr>
        <w:t xml:space="preserve"> w</w:t>
      </w:r>
      <w:r w:rsidR="0028384B">
        <w:rPr>
          <w:noProof/>
        </w:rPr>
        <w:t> </w:t>
      </w:r>
      <w:r w:rsidR="0028384B" w:rsidRPr="002F16A1">
        <w:rPr>
          <w:noProof/>
        </w:rPr>
        <w:t>ram</w:t>
      </w:r>
      <w:r w:rsidRPr="002F16A1">
        <w:rPr>
          <w:noProof/>
        </w:rPr>
        <w:t>ach łańcucha wartości surowców krytycznych, natomiast dla pozostałych przedsiębiorstw sprawozdawczość pozostaje kwestią dobrowolną. Poniesione koszty zostaną prawdopodobnie zrównoważone</w:t>
      </w:r>
      <w:r w:rsidR="0028384B" w:rsidRPr="002F16A1">
        <w:rPr>
          <w:noProof/>
        </w:rPr>
        <w:t xml:space="preserve"> w</w:t>
      </w:r>
      <w:r w:rsidR="0028384B">
        <w:rPr>
          <w:noProof/>
        </w:rPr>
        <w:t> </w:t>
      </w:r>
      <w:r w:rsidR="0028384B" w:rsidRPr="002F16A1">
        <w:rPr>
          <w:noProof/>
        </w:rPr>
        <w:t>prz</w:t>
      </w:r>
      <w:r w:rsidRPr="002F16A1">
        <w:rPr>
          <w:noProof/>
        </w:rPr>
        <w:t>ypadku tych samych przedsiębiorstw, które pod pewnymi warunkami (np. gdy ich projekty zostaną uznane za strategiczne) skorzystają</w:t>
      </w:r>
      <w:r w:rsidR="0028384B" w:rsidRPr="002F16A1">
        <w:rPr>
          <w:noProof/>
        </w:rPr>
        <w:t xml:space="preserve"> z</w:t>
      </w:r>
      <w:r w:rsidR="0028384B">
        <w:rPr>
          <w:noProof/>
        </w:rPr>
        <w:t> </w:t>
      </w:r>
      <w:r w:rsidR="0028384B" w:rsidRPr="002F16A1">
        <w:rPr>
          <w:noProof/>
        </w:rPr>
        <w:t>prz</w:t>
      </w:r>
      <w:r w:rsidRPr="002F16A1">
        <w:rPr>
          <w:noProof/>
        </w:rPr>
        <w:t>yrostu wydajności wynikającego</w:t>
      </w:r>
      <w:r w:rsidR="0028384B" w:rsidRPr="002F16A1">
        <w:rPr>
          <w:noProof/>
        </w:rPr>
        <w:t xml:space="preserve"> z</w:t>
      </w:r>
      <w:r w:rsidR="0028384B">
        <w:rPr>
          <w:noProof/>
        </w:rPr>
        <w:t> </w:t>
      </w:r>
      <w:r w:rsidR="0028384B" w:rsidRPr="002F16A1">
        <w:rPr>
          <w:noProof/>
        </w:rPr>
        <w:t>upr</w:t>
      </w:r>
      <w:r w:rsidRPr="002F16A1">
        <w:rPr>
          <w:noProof/>
        </w:rPr>
        <w:t>oszczenia obowiązków</w:t>
      </w:r>
      <w:r w:rsidR="0028384B" w:rsidRPr="002F16A1">
        <w:rPr>
          <w:noProof/>
        </w:rPr>
        <w:t xml:space="preserve"> w</w:t>
      </w:r>
      <w:r w:rsidR="0028384B">
        <w:rPr>
          <w:noProof/>
        </w:rPr>
        <w:t> </w:t>
      </w:r>
      <w:r w:rsidR="0028384B" w:rsidRPr="002F16A1">
        <w:rPr>
          <w:noProof/>
        </w:rPr>
        <w:t>zak</w:t>
      </w:r>
      <w:r w:rsidRPr="002F16A1">
        <w:rPr>
          <w:noProof/>
        </w:rPr>
        <w:t>resie wydawania pozwoleń. Ograniczona liczba dużych przedsiębiorstw wytwarzających technologie strategiczne przy użyciu surowców strategicznych poniesie również koszty związane</w:t>
      </w:r>
      <w:r w:rsidR="0028384B" w:rsidRPr="002F16A1">
        <w:rPr>
          <w:noProof/>
        </w:rPr>
        <w:t xml:space="preserve"> z</w:t>
      </w:r>
      <w:r w:rsidR="0028384B">
        <w:rPr>
          <w:noProof/>
        </w:rPr>
        <w:t> </w:t>
      </w:r>
      <w:r w:rsidR="0028384B" w:rsidRPr="002F16A1">
        <w:rPr>
          <w:noProof/>
        </w:rPr>
        <w:t>prz</w:t>
      </w:r>
      <w:r w:rsidRPr="002F16A1">
        <w:rPr>
          <w:noProof/>
        </w:rPr>
        <w:t xml:space="preserve">eprowadzeniem audytu.   </w:t>
      </w:r>
    </w:p>
    <w:p w:rsidR="00AD62E2" w:rsidRPr="0028384B" w:rsidRDefault="00AD62E2" w:rsidP="00AD62E2">
      <w:pPr>
        <w:rPr>
          <w:noProof/>
        </w:rPr>
      </w:pPr>
      <w:r w:rsidRPr="002F16A1">
        <w:rPr>
          <w:noProof/>
        </w:rPr>
        <w:t>Koszty związane</w:t>
      </w:r>
      <w:r w:rsidR="0028384B" w:rsidRPr="002F16A1">
        <w:rPr>
          <w:noProof/>
        </w:rPr>
        <w:t xml:space="preserve"> z</w:t>
      </w:r>
      <w:r w:rsidR="0028384B">
        <w:rPr>
          <w:noProof/>
        </w:rPr>
        <w:t> </w:t>
      </w:r>
      <w:r w:rsidR="0028384B" w:rsidRPr="002F16A1">
        <w:rPr>
          <w:noProof/>
        </w:rPr>
        <w:t>bad</w:t>
      </w:r>
      <w:r w:rsidRPr="002F16A1">
        <w:rPr>
          <w:noProof/>
        </w:rPr>
        <w:t>aniami wymaganymi do obliczenia powiązanego śladu środowiskowego również stanowią koszty administracyjne uwzględnione</w:t>
      </w:r>
      <w:r w:rsidR="0028384B" w:rsidRPr="002F16A1">
        <w:rPr>
          <w:noProof/>
        </w:rPr>
        <w:t xml:space="preserve"> w</w:t>
      </w:r>
      <w:r w:rsidR="0028384B">
        <w:rPr>
          <w:noProof/>
        </w:rPr>
        <w:t> </w:t>
      </w:r>
      <w:r w:rsidR="0028384B" w:rsidRPr="002F16A1">
        <w:rPr>
          <w:noProof/>
        </w:rPr>
        <w:t>roz</w:t>
      </w:r>
      <w:r w:rsidRPr="002F16A1">
        <w:rPr>
          <w:noProof/>
        </w:rPr>
        <w:t>porządzeniu, które musiałyby zostać zrównoważone</w:t>
      </w:r>
      <w:r w:rsidR="0028384B" w:rsidRPr="002F16A1">
        <w:rPr>
          <w:noProof/>
        </w:rPr>
        <w:t xml:space="preserve"> w</w:t>
      </w:r>
      <w:r w:rsidR="0028384B">
        <w:rPr>
          <w:noProof/>
        </w:rPr>
        <w:t> </w:t>
      </w:r>
      <w:r w:rsidR="0028384B" w:rsidRPr="002F16A1">
        <w:rPr>
          <w:noProof/>
        </w:rPr>
        <w:t>dro</w:t>
      </w:r>
      <w:r w:rsidRPr="002F16A1">
        <w:rPr>
          <w:noProof/>
        </w:rPr>
        <w:t>dze innych inicjatyw</w:t>
      </w:r>
      <w:r w:rsidRPr="0028384B">
        <w:rPr>
          <w:noProof/>
        </w:rPr>
        <w:t>.</w:t>
      </w:r>
      <w:r w:rsidR="0028384B" w:rsidRPr="0028384B">
        <w:rPr>
          <w:noProof/>
        </w:rPr>
        <w:t xml:space="preserve"> </w:t>
      </w:r>
    </w:p>
    <w:p w:rsidR="00AD62E2" w:rsidRPr="002F16A1" w:rsidRDefault="00AD62E2" w:rsidP="00AD62E2">
      <w:pPr>
        <w:rPr>
          <w:noProof/>
        </w:rPr>
      </w:pPr>
      <w:r w:rsidRPr="002F16A1">
        <w:rPr>
          <w:noProof/>
        </w:rPr>
        <w:t>W ocenie kosztów oszacowano również koszty dla istniejących zakładów wydobycia związane</w:t>
      </w:r>
      <w:r w:rsidR="0028384B" w:rsidRPr="002F16A1">
        <w:rPr>
          <w:noProof/>
        </w:rPr>
        <w:t xml:space="preserve"> z</w:t>
      </w:r>
      <w:r w:rsidR="0028384B">
        <w:rPr>
          <w:noProof/>
        </w:rPr>
        <w:t> </w:t>
      </w:r>
      <w:r w:rsidR="0028384B" w:rsidRPr="002F16A1">
        <w:rPr>
          <w:noProof/>
        </w:rPr>
        <w:t>prz</w:t>
      </w:r>
      <w:r w:rsidRPr="002F16A1">
        <w:rPr>
          <w:noProof/>
        </w:rPr>
        <w:t>ekazywaniem dodatkowych informacji</w:t>
      </w:r>
      <w:r w:rsidR="0028384B" w:rsidRPr="002F16A1">
        <w:rPr>
          <w:noProof/>
        </w:rPr>
        <w:t>. Z</w:t>
      </w:r>
      <w:r w:rsidR="0028384B">
        <w:rPr>
          <w:noProof/>
        </w:rPr>
        <w:t> </w:t>
      </w:r>
      <w:r w:rsidR="0028384B" w:rsidRPr="002F16A1">
        <w:rPr>
          <w:noProof/>
        </w:rPr>
        <w:t>uwa</w:t>
      </w:r>
      <w:r w:rsidRPr="002F16A1">
        <w:rPr>
          <w:noProof/>
        </w:rPr>
        <w:t>gi na fakt, że wiedza uzyskana dzięki tym informacjom na temat strumieni odpadów prawdopodobnie przyczyni się do uruchomienia kolejnych przedsiębiorstw zajmujących się odzyskiem, koszty te prawdopodobnie zostaną zrównoważone.</w:t>
      </w:r>
    </w:p>
    <w:p w:rsidR="00AD62E2" w:rsidRPr="002F16A1" w:rsidRDefault="00AD62E2" w:rsidP="00AD62E2">
      <w:pPr>
        <w:rPr>
          <w:noProof/>
        </w:rPr>
      </w:pPr>
      <w:r w:rsidRPr="002F16A1">
        <w:rPr>
          <w:noProof/>
        </w:rPr>
        <w:t>W przypadku państw członkowskich koszty te będą prawdopodobnie wyższe. Wprowadzenie przedmiotowego rozporządzenia spowoduje jednak również powstanie większej synergii</w:t>
      </w:r>
      <w:r w:rsidR="0028384B" w:rsidRPr="002F16A1">
        <w:rPr>
          <w:noProof/>
        </w:rPr>
        <w:t xml:space="preserve"> i</w:t>
      </w:r>
      <w:r w:rsidR="0028384B">
        <w:rPr>
          <w:noProof/>
        </w:rPr>
        <w:t> </w:t>
      </w:r>
      <w:r w:rsidR="0028384B" w:rsidRPr="002F16A1">
        <w:rPr>
          <w:noProof/>
        </w:rPr>
        <w:t>zmn</w:t>
      </w:r>
      <w:r w:rsidRPr="002F16A1">
        <w:rPr>
          <w:noProof/>
        </w:rPr>
        <w:t>iejszy powielanie się działań prowadzonych przez poszczególne państwa członkowskie. Powinno to zapewnić potencjalne oszczędności dzięki poprawie koordynacji, na przykład</w:t>
      </w:r>
      <w:r w:rsidR="0028384B" w:rsidRPr="002F16A1">
        <w:rPr>
          <w:noProof/>
        </w:rPr>
        <w:t xml:space="preserve"> w</w:t>
      </w:r>
      <w:r w:rsidR="0028384B">
        <w:rPr>
          <w:noProof/>
        </w:rPr>
        <w:t> </w:t>
      </w:r>
      <w:r w:rsidR="0028384B" w:rsidRPr="002F16A1">
        <w:rPr>
          <w:noProof/>
        </w:rPr>
        <w:t>zak</w:t>
      </w:r>
      <w:r w:rsidRPr="002F16A1">
        <w:rPr>
          <w:noProof/>
        </w:rPr>
        <w:t>resie monitorowania</w:t>
      </w:r>
      <w:r w:rsidR="0028384B" w:rsidRPr="002F16A1">
        <w:rPr>
          <w:noProof/>
        </w:rPr>
        <w:t xml:space="preserve"> i</w:t>
      </w:r>
      <w:r w:rsidR="0028384B">
        <w:rPr>
          <w:noProof/>
        </w:rPr>
        <w:t> </w:t>
      </w:r>
      <w:r w:rsidR="0028384B" w:rsidRPr="002F16A1">
        <w:rPr>
          <w:noProof/>
        </w:rPr>
        <w:t>zap</w:t>
      </w:r>
      <w:r w:rsidRPr="002F16A1">
        <w:rPr>
          <w:noProof/>
        </w:rPr>
        <w:t>asów strategicznych</w:t>
      </w:r>
      <w:r w:rsidR="0028384B" w:rsidRPr="002F16A1">
        <w:rPr>
          <w:noProof/>
        </w:rPr>
        <w:t>. W</w:t>
      </w:r>
      <w:r w:rsidR="0028384B">
        <w:rPr>
          <w:noProof/>
        </w:rPr>
        <w:t> </w:t>
      </w:r>
      <w:r w:rsidR="0028384B" w:rsidRPr="002F16A1">
        <w:rPr>
          <w:noProof/>
        </w:rPr>
        <w:t>ram</w:t>
      </w:r>
      <w:r w:rsidRPr="002F16A1">
        <w:rPr>
          <w:noProof/>
        </w:rPr>
        <w:t>ach tej inicjatywy nie przewiduje się ponoszenia żadnych kosztów przez obywateli. </w:t>
      </w:r>
    </w:p>
    <w:p w:rsidR="00AD62E2" w:rsidRPr="002F16A1" w:rsidRDefault="00AD62E2" w:rsidP="00AD62E2">
      <w:pPr>
        <w:pStyle w:val="ManualHeading2"/>
        <w:rPr>
          <w:noProof/>
        </w:rPr>
      </w:pPr>
      <w:r w:rsidRPr="002F16A1">
        <w:rPr>
          <w:noProof/>
        </w:rPr>
        <w:t>•</w:t>
      </w:r>
      <w:r w:rsidRPr="002F16A1">
        <w:rPr>
          <w:noProof/>
        </w:rPr>
        <w:tab/>
        <w:t>Prawa podstawowe</w:t>
      </w:r>
    </w:p>
    <w:p w:rsidR="00AD62E2" w:rsidRPr="002F16A1" w:rsidRDefault="00AD62E2" w:rsidP="00AD62E2">
      <w:pPr>
        <w:pStyle w:val="Text1"/>
        <w:rPr>
          <w:noProof/>
        </w:rPr>
      </w:pPr>
      <w:r w:rsidRPr="002F16A1">
        <w:rPr>
          <w:noProof/>
        </w:rPr>
        <w:t>We wniosku zawarto wymóg, aby projekty strategiczne otrzymujące wsparcie były realizowane</w:t>
      </w:r>
      <w:r w:rsidR="0028384B" w:rsidRPr="002F16A1">
        <w:rPr>
          <w:noProof/>
        </w:rPr>
        <w:t xml:space="preserve"> w</w:t>
      </w:r>
      <w:r w:rsidR="0028384B">
        <w:rPr>
          <w:noProof/>
        </w:rPr>
        <w:t> </w:t>
      </w:r>
      <w:r w:rsidR="0028384B" w:rsidRPr="002F16A1">
        <w:rPr>
          <w:noProof/>
        </w:rPr>
        <w:t>spo</w:t>
      </w:r>
      <w:r w:rsidRPr="002F16A1">
        <w:rPr>
          <w:noProof/>
        </w:rPr>
        <w:t>sób zrównoważony. Zrównoważona realizacja oznacza, że projekty takie muszą być nie tylko zrównoważone pod względem środowiskowym, ale również podczas ich wdrażania konieczne będzie respektowanie praw człowieka określonych</w:t>
      </w:r>
      <w:r w:rsidR="0028384B" w:rsidRPr="002F16A1">
        <w:rPr>
          <w:noProof/>
        </w:rPr>
        <w:t xml:space="preserve"> w</w:t>
      </w:r>
      <w:r w:rsidR="0028384B">
        <w:rPr>
          <w:noProof/>
        </w:rPr>
        <w:t> </w:t>
      </w:r>
      <w:r w:rsidR="0028384B" w:rsidRPr="002F16A1">
        <w:rPr>
          <w:noProof/>
        </w:rPr>
        <w:t>ins</w:t>
      </w:r>
      <w:r w:rsidRPr="002F16A1">
        <w:rPr>
          <w:noProof/>
        </w:rPr>
        <w:t>trumentach, wytycznych</w:t>
      </w:r>
      <w:r w:rsidR="0028384B" w:rsidRPr="002F16A1">
        <w:rPr>
          <w:noProof/>
        </w:rPr>
        <w:t xml:space="preserve"> i</w:t>
      </w:r>
      <w:r w:rsidR="0028384B">
        <w:rPr>
          <w:noProof/>
        </w:rPr>
        <w:t> </w:t>
      </w:r>
      <w:r w:rsidR="0028384B" w:rsidRPr="002F16A1">
        <w:rPr>
          <w:noProof/>
        </w:rPr>
        <w:t>zas</w:t>
      </w:r>
      <w:r w:rsidRPr="002F16A1">
        <w:rPr>
          <w:noProof/>
        </w:rPr>
        <w:t>adach międzynarodowych.</w:t>
      </w:r>
    </w:p>
    <w:p w:rsidR="00AD62E2" w:rsidRPr="002F16A1" w:rsidRDefault="00AD62E2" w:rsidP="00AD62E2">
      <w:pPr>
        <w:pStyle w:val="ManualHeading1"/>
        <w:rPr>
          <w:noProof/>
        </w:rPr>
      </w:pPr>
      <w:r w:rsidRPr="002F16A1">
        <w:rPr>
          <w:noProof/>
        </w:rPr>
        <w:t>4.</w:t>
      </w:r>
      <w:r w:rsidRPr="002F16A1">
        <w:rPr>
          <w:noProof/>
        </w:rPr>
        <w:tab/>
        <w:t>WPŁYW NA BUDŻET</w:t>
      </w:r>
    </w:p>
    <w:p w:rsidR="00AD62E2" w:rsidRPr="002F16A1" w:rsidRDefault="00AD62E2" w:rsidP="00AD62E2">
      <w:pPr>
        <w:rPr>
          <w:noProof/>
        </w:rPr>
      </w:pPr>
      <w:r w:rsidRPr="002F16A1">
        <w:rPr>
          <w:noProof/>
        </w:rPr>
        <w:t>Wniosek ma wpływ na budżet Komisji</w:t>
      </w:r>
      <w:r w:rsidR="0028384B" w:rsidRPr="002F16A1">
        <w:rPr>
          <w:noProof/>
        </w:rPr>
        <w:t>. W</w:t>
      </w:r>
      <w:r w:rsidR="0028384B">
        <w:rPr>
          <w:noProof/>
        </w:rPr>
        <w:t> </w:t>
      </w:r>
      <w:r w:rsidR="0028384B" w:rsidRPr="002F16A1">
        <w:rPr>
          <w:noProof/>
        </w:rPr>
        <w:t>szc</w:t>
      </w:r>
      <w:r w:rsidRPr="002F16A1">
        <w:rPr>
          <w:noProof/>
        </w:rPr>
        <w:t>zególności, po osiągnięciu pełnej operacyjności, do wdrożenia rozporządzenia</w:t>
      </w:r>
      <w:r w:rsidR="0028384B" w:rsidRPr="002F16A1">
        <w:rPr>
          <w:noProof/>
        </w:rPr>
        <w:t xml:space="preserve"> i</w:t>
      </w:r>
      <w:r w:rsidR="0028384B">
        <w:rPr>
          <w:noProof/>
        </w:rPr>
        <w:t> </w:t>
      </w:r>
      <w:r w:rsidR="0028384B" w:rsidRPr="002F16A1">
        <w:rPr>
          <w:noProof/>
        </w:rPr>
        <w:t>pow</w:t>
      </w:r>
      <w:r w:rsidRPr="002F16A1">
        <w:rPr>
          <w:noProof/>
        </w:rPr>
        <w:t>iązanych aktów delegowanych</w:t>
      </w:r>
      <w:r w:rsidR="0028384B" w:rsidRPr="002F16A1">
        <w:rPr>
          <w:noProof/>
        </w:rPr>
        <w:t xml:space="preserve"> w</w:t>
      </w:r>
      <w:r w:rsidR="0028384B">
        <w:rPr>
          <w:noProof/>
        </w:rPr>
        <w:t> </w:t>
      </w:r>
      <w:r w:rsidR="0028384B" w:rsidRPr="002F16A1">
        <w:rPr>
          <w:noProof/>
        </w:rPr>
        <w:t>okr</w:t>
      </w:r>
      <w:r w:rsidRPr="002F16A1">
        <w:rPr>
          <w:noProof/>
        </w:rPr>
        <w:t>esie 2024–2027 wieloletnich ram finansowych UE wymagane będzie 33 ekwiwalentów pełnego czasu pracy rocznie. </w:t>
      </w:r>
    </w:p>
    <w:p w:rsidR="00AD62E2" w:rsidRPr="002F16A1" w:rsidRDefault="00AD62E2" w:rsidP="00AD62E2">
      <w:pPr>
        <w:rPr>
          <w:noProof/>
        </w:rPr>
      </w:pPr>
      <w:r w:rsidRPr="002F16A1">
        <w:rPr>
          <w:noProof/>
        </w:rPr>
        <w:t>Oprócz określonej</w:t>
      </w:r>
      <w:r w:rsidR="0028384B" w:rsidRPr="002F16A1">
        <w:rPr>
          <w:noProof/>
        </w:rPr>
        <w:t xml:space="preserve"> w</w:t>
      </w:r>
      <w:r w:rsidR="0028384B">
        <w:rPr>
          <w:noProof/>
        </w:rPr>
        <w:t> </w:t>
      </w:r>
      <w:r w:rsidR="0028384B" w:rsidRPr="002F16A1">
        <w:rPr>
          <w:noProof/>
        </w:rPr>
        <w:t>dzi</w:t>
      </w:r>
      <w:r w:rsidRPr="002F16A1">
        <w:rPr>
          <w:noProof/>
        </w:rPr>
        <w:t>ale 1 kwoty 3,2 mln EUR, przeznaczonej na przeprowadzenie szeregu badań niezbędnych do wdrożenia rozporządzenia, wymagane jest poniesienie kosztów</w:t>
      </w:r>
      <w:r w:rsidR="0028384B" w:rsidRPr="002F16A1">
        <w:rPr>
          <w:noProof/>
        </w:rPr>
        <w:t xml:space="preserve"> w</w:t>
      </w:r>
      <w:r w:rsidR="0028384B">
        <w:rPr>
          <w:noProof/>
        </w:rPr>
        <w:t> </w:t>
      </w:r>
      <w:r w:rsidR="0028384B" w:rsidRPr="002F16A1">
        <w:rPr>
          <w:noProof/>
        </w:rPr>
        <w:t>ram</w:t>
      </w:r>
      <w:r w:rsidRPr="002F16A1">
        <w:rPr>
          <w:noProof/>
        </w:rPr>
        <w:t>ach istniejących linii budżetowych</w:t>
      </w:r>
      <w:r w:rsidR="0028384B" w:rsidRPr="002F16A1">
        <w:rPr>
          <w:noProof/>
        </w:rPr>
        <w:t xml:space="preserve"> w</w:t>
      </w:r>
      <w:r w:rsidR="0028384B">
        <w:rPr>
          <w:noProof/>
        </w:rPr>
        <w:t> </w:t>
      </w:r>
      <w:r w:rsidR="0028384B" w:rsidRPr="002F16A1">
        <w:rPr>
          <w:noProof/>
        </w:rPr>
        <w:t>wys</w:t>
      </w:r>
      <w:r w:rsidRPr="002F16A1">
        <w:rPr>
          <w:noProof/>
        </w:rPr>
        <w:t>okości 14,969 mln EUR, ujętych</w:t>
      </w:r>
      <w:r w:rsidR="0028384B" w:rsidRPr="002F16A1">
        <w:rPr>
          <w:noProof/>
        </w:rPr>
        <w:t xml:space="preserve"> w</w:t>
      </w:r>
      <w:r w:rsidR="0028384B">
        <w:rPr>
          <w:noProof/>
        </w:rPr>
        <w:t> </w:t>
      </w:r>
      <w:r w:rsidR="0028384B" w:rsidRPr="002F16A1">
        <w:rPr>
          <w:noProof/>
        </w:rPr>
        <w:t>dzi</w:t>
      </w:r>
      <w:r w:rsidRPr="002F16A1">
        <w:rPr>
          <w:noProof/>
        </w:rPr>
        <w:t>ale 7 (wydatki administracyjne). Nowe zobowiązania zostaną pokryte</w:t>
      </w:r>
      <w:r w:rsidR="0028384B" w:rsidRPr="002F16A1">
        <w:rPr>
          <w:noProof/>
        </w:rPr>
        <w:t xml:space="preserve"> z</w:t>
      </w:r>
      <w:r w:rsidR="0028384B">
        <w:rPr>
          <w:noProof/>
        </w:rPr>
        <w:t> </w:t>
      </w:r>
      <w:r w:rsidR="0028384B" w:rsidRPr="002F16A1">
        <w:rPr>
          <w:noProof/>
        </w:rPr>
        <w:t>ist</w:t>
      </w:r>
      <w:r w:rsidRPr="002F16A1">
        <w:rPr>
          <w:noProof/>
        </w:rPr>
        <w:t>niejących środków budżetowych powiązanych programów. Główny wpływ na budżet wiąże się</w:t>
      </w:r>
      <w:r w:rsidR="0028384B" w:rsidRPr="002F16A1">
        <w:rPr>
          <w:noProof/>
        </w:rPr>
        <w:t xml:space="preserve"> z</w:t>
      </w:r>
      <w:r w:rsidR="0028384B">
        <w:rPr>
          <w:noProof/>
        </w:rPr>
        <w:t> </w:t>
      </w:r>
      <w:r w:rsidR="0028384B" w:rsidRPr="002F16A1">
        <w:rPr>
          <w:noProof/>
        </w:rPr>
        <w:t>prz</w:t>
      </w:r>
      <w:r w:rsidRPr="002F16A1">
        <w:rPr>
          <w:noProof/>
        </w:rPr>
        <w:t>eprowadzeniem prac dotyczących: </w:t>
      </w:r>
    </w:p>
    <w:p w:rsidR="00AD62E2" w:rsidRPr="002F16A1" w:rsidRDefault="00AD62E2" w:rsidP="00D822B1">
      <w:pPr>
        <w:pStyle w:val="Tiret0"/>
        <w:rPr>
          <w:noProof/>
        </w:rPr>
      </w:pPr>
      <w:r w:rsidRPr="002F16A1">
        <w:rPr>
          <w:noProof/>
        </w:rPr>
        <w:t>projektów aktów delegowanych</w:t>
      </w:r>
      <w:r w:rsidR="0028384B" w:rsidRPr="002F16A1">
        <w:rPr>
          <w:noProof/>
        </w:rPr>
        <w:t xml:space="preserve"> i</w:t>
      </w:r>
      <w:r w:rsidR="0028384B">
        <w:rPr>
          <w:noProof/>
        </w:rPr>
        <w:t> </w:t>
      </w:r>
      <w:r w:rsidR="0028384B" w:rsidRPr="002F16A1">
        <w:rPr>
          <w:noProof/>
        </w:rPr>
        <w:t>wyk</w:t>
      </w:r>
      <w:r w:rsidRPr="002F16A1">
        <w:rPr>
          <w:noProof/>
        </w:rPr>
        <w:t>onawczych niezbędnych do wdrożenia niniejszego rozporządzenia,</w:t>
      </w:r>
      <w:r w:rsidR="0028384B" w:rsidRPr="002F16A1">
        <w:rPr>
          <w:noProof/>
        </w:rPr>
        <w:t xml:space="preserve"> w</w:t>
      </w:r>
      <w:r w:rsidR="0028384B">
        <w:rPr>
          <w:noProof/>
        </w:rPr>
        <w:t> </w:t>
      </w:r>
      <w:r w:rsidR="0028384B" w:rsidRPr="002F16A1">
        <w:rPr>
          <w:noProof/>
        </w:rPr>
        <w:t>tym</w:t>
      </w:r>
      <w:r w:rsidRPr="002F16A1">
        <w:rPr>
          <w:noProof/>
        </w:rPr>
        <w:t>: </w:t>
      </w:r>
    </w:p>
    <w:p w:rsidR="00AD62E2" w:rsidRPr="002F16A1" w:rsidRDefault="00AD62E2" w:rsidP="008171B0">
      <w:pPr>
        <w:pStyle w:val="Tiret1"/>
        <w:numPr>
          <w:ilvl w:val="0"/>
          <w:numId w:val="61"/>
        </w:numPr>
        <w:rPr>
          <w:noProof/>
        </w:rPr>
      </w:pPr>
      <w:r w:rsidRPr="002F16A1">
        <w:rPr>
          <w:noProof/>
        </w:rPr>
        <w:t>aktów wykonawczych dotyczących realizacji projektu strategicznego oraz rocznego sprawozdania dotyczącego tego projektu, programów poszukiwań ogólnych; gotowości przedsiębiorstw na wypadek zagrożeń, określenia, które produkty wycofane</w:t>
      </w:r>
      <w:r w:rsidR="0028384B" w:rsidRPr="002F16A1">
        <w:rPr>
          <w:noProof/>
        </w:rPr>
        <w:t xml:space="preserve"> z</w:t>
      </w:r>
      <w:r w:rsidR="0028384B">
        <w:rPr>
          <w:noProof/>
        </w:rPr>
        <w:t> </w:t>
      </w:r>
      <w:r w:rsidR="0028384B" w:rsidRPr="002F16A1">
        <w:rPr>
          <w:noProof/>
        </w:rPr>
        <w:t>eks</w:t>
      </w:r>
      <w:r w:rsidRPr="002F16A1">
        <w:rPr>
          <w:noProof/>
        </w:rPr>
        <w:t>ploatacji</w:t>
      </w:r>
      <w:r w:rsidR="0028384B" w:rsidRPr="002F16A1">
        <w:rPr>
          <w:noProof/>
        </w:rPr>
        <w:t xml:space="preserve"> i</w:t>
      </w:r>
      <w:r w:rsidR="0028384B">
        <w:rPr>
          <w:noProof/>
        </w:rPr>
        <w:t> </w:t>
      </w:r>
      <w:r w:rsidR="0028384B" w:rsidRPr="002F16A1">
        <w:rPr>
          <w:noProof/>
        </w:rPr>
        <w:t>str</w:t>
      </w:r>
      <w:r w:rsidRPr="002F16A1">
        <w:rPr>
          <w:noProof/>
        </w:rPr>
        <w:t>umienie odpadów zawierają odpowiednie ilości surowców krytycznych; oraz </w:t>
      </w:r>
    </w:p>
    <w:p w:rsidR="00AD62E2" w:rsidRPr="0028384B" w:rsidRDefault="009C551F" w:rsidP="00D822B1">
      <w:pPr>
        <w:pStyle w:val="Tiret1"/>
        <w:rPr>
          <w:noProof/>
        </w:rPr>
      </w:pPr>
      <w:r w:rsidRPr="002F16A1">
        <w:rPr>
          <w:noProof/>
        </w:rPr>
        <w:t>aktów delegowanych dotyczących definicji surowców krytycznych</w:t>
      </w:r>
      <w:r w:rsidR="0028384B" w:rsidRPr="002F16A1">
        <w:rPr>
          <w:noProof/>
        </w:rPr>
        <w:t xml:space="preserve"> i</w:t>
      </w:r>
      <w:r w:rsidR="0028384B">
        <w:rPr>
          <w:noProof/>
        </w:rPr>
        <w:t> </w:t>
      </w:r>
      <w:r w:rsidR="0028384B" w:rsidRPr="002F16A1">
        <w:rPr>
          <w:noProof/>
        </w:rPr>
        <w:t>str</w:t>
      </w:r>
      <w:r w:rsidRPr="002F16A1">
        <w:rPr>
          <w:noProof/>
        </w:rPr>
        <w:t>ategicznych, zawartości materiałów</w:t>
      </w:r>
      <w:r w:rsidR="0028384B" w:rsidRPr="002F16A1">
        <w:rPr>
          <w:noProof/>
        </w:rPr>
        <w:t xml:space="preserve"> z</w:t>
      </w:r>
      <w:r w:rsidR="0028384B">
        <w:rPr>
          <w:noProof/>
        </w:rPr>
        <w:t> </w:t>
      </w:r>
      <w:r w:rsidR="0028384B" w:rsidRPr="002F16A1">
        <w:rPr>
          <w:noProof/>
        </w:rPr>
        <w:t>rec</w:t>
      </w:r>
      <w:r w:rsidRPr="002F16A1">
        <w:rPr>
          <w:noProof/>
        </w:rPr>
        <w:t>yklingu</w:t>
      </w:r>
      <w:r w:rsidR="0028384B" w:rsidRPr="002F16A1">
        <w:rPr>
          <w:noProof/>
        </w:rPr>
        <w:t xml:space="preserve"> w</w:t>
      </w:r>
      <w:r w:rsidR="0028384B">
        <w:rPr>
          <w:noProof/>
        </w:rPr>
        <w:t> </w:t>
      </w:r>
      <w:r w:rsidR="0028384B" w:rsidRPr="002F16A1">
        <w:rPr>
          <w:noProof/>
        </w:rPr>
        <w:t>pro</w:t>
      </w:r>
      <w:r w:rsidRPr="002F16A1">
        <w:rPr>
          <w:noProof/>
        </w:rPr>
        <w:t>duktach zawierających magnesy trwałe, kodów celnych produktów zawierających magnesy trwałe oraz zasad obliczania</w:t>
      </w:r>
      <w:r w:rsidR="0028384B" w:rsidRPr="002F16A1">
        <w:rPr>
          <w:noProof/>
        </w:rPr>
        <w:t xml:space="preserve"> i</w:t>
      </w:r>
      <w:r w:rsidR="0028384B">
        <w:rPr>
          <w:noProof/>
        </w:rPr>
        <w:t> </w:t>
      </w:r>
      <w:r w:rsidR="0028384B" w:rsidRPr="002F16A1">
        <w:rPr>
          <w:noProof/>
        </w:rPr>
        <w:t>wer</w:t>
      </w:r>
      <w:r w:rsidRPr="002F16A1">
        <w:rPr>
          <w:noProof/>
        </w:rPr>
        <w:t>yfikacji oraz klas efektywności pod względem śladu środowiskowego</w:t>
      </w:r>
      <w:r w:rsidRPr="0028384B">
        <w:rPr>
          <w:noProof/>
        </w:rPr>
        <w:t>;</w:t>
      </w:r>
      <w:r w:rsidR="0028384B" w:rsidRPr="0028384B">
        <w:rPr>
          <w:noProof/>
        </w:rPr>
        <w:t xml:space="preserve"> </w:t>
      </w:r>
    </w:p>
    <w:p w:rsidR="00AD62E2" w:rsidRPr="002F16A1" w:rsidRDefault="00AD62E2" w:rsidP="00D822B1">
      <w:pPr>
        <w:pStyle w:val="Tiret0"/>
        <w:rPr>
          <w:noProof/>
        </w:rPr>
      </w:pPr>
      <w:r w:rsidRPr="002F16A1">
        <w:rPr>
          <w:noProof/>
        </w:rPr>
        <w:t>zapewnienia sekretariatu Europejskiej Rady ds. Surowców Krytycznych; </w:t>
      </w:r>
    </w:p>
    <w:p w:rsidR="00AD62E2" w:rsidRPr="002F16A1" w:rsidRDefault="00AD62E2" w:rsidP="00D822B1">
      <w:pPr>
        <w:pStyle w:val="Tiret0"/>
        <w:rPr>
          <w:noProof/>
        </w:rPr>
      </w:pPr>
      <w:r w:rsidRPr="002F16A1">
        <w:rPr>
          <w:noProof/>
        </w:rPr>
        <w:t>prowadzenia prac administracyjnych dotyczących badań</w:t>
      </w:r>
      <w:r w:rsidR="0028384B" w:rsidRPr="002F16A1">
        <w:rPr>
          <w:noProof/>
        </w:rPr>
        <w:t xml:space="preserve"> i</w:t>
      </w:r>
      <w:r w:rsidR="0028384B">
        <w:rPr>
          <w:noProof/>
        </w:rPr>
        <w:t> </w:t>
      </w:r>
      <w:r w:rsidR="0028384B" w:rsidRPr="002F16A1">
        <w:rPr>
          <w:noProof/>
        </w:rPr>
        <w:t>umó</w:t>
      </w:r>
      <w:r w:rsidRPr="002F16A1">
        <w:rPr>
          <w:noProof/>
        </w:rPr>
        <w:t>w; </w:t>
      </w:r>
    </w:p>
    <w:p w:rsidR="00AD62E2" w:rsidRPr="002F16A1" w:rsidRDefault="00AD62E2" w:rsidP="00D822B1">
      <w:pPr>
        <w:pStyle w:val="Tiret0"/>
        <w:rPr>
          <w:noProof/>
        </w:rPr>
      </w:pPr>
      <w:r w:rsidRPr="002F16A1">
        <w:rPr>
          <w:noProof/>
        </w:rPr>
        <w:t>wykonywania zadań</w:t>
      </w:r>
      <w:r w:rsidR="0028384B" w:rsidRPr="002F16A1">
        <w:rPr>
          <w:noProof/>
        </w:rPr>
        <w:t xml:space="preserve"> w</w:t>
      </w:r>
      <w:r w:rsidR="0028384B">
        <w:rPr>
          <w:noProof/>
        </w:rPr>
        <w:t> </w:t>
      </w:r>
      <w:r w:rsidR="0028384B" w:rsidRPr="002F16A1">
        <w:rPr>
          <w:noProof/>
        </w:rPr>
        <w:t>zak</w:t>
      </w:r>
      <w:r w:rsidRPr="002F16A1">
        <w:rPr>
          <w:noProof/>
        </w:rPr>
        <w:t>resie monitorowania, gromadzenia danych</w:t>
      </w:r>
      <w:r w:rsidR="0028384B" w:rsidRPr="002F16A1">
        <w:rPr>
          <w:noProof/>
        </w:rPr>
        <w:t xml:space="preserve"> i</w:t>
      </w:r>
      <w:r w:rsidR="0028384B">
        <w:rPr>
          <w:noProof/>
        </w:rPr>
        <w:t> </w:t>
      </w:r>
      <w:r w:rsidR="0028384B" w:rsidRPr="002F16A1">
        <w:rPr>
          <w:noProof/>
        </w:rPr>
        <w:t>oce</w:t>
      </w:r>
      <w:r w:rsidRPr="002F16A1">
        <w:rPr>
          <w:noProof/>
        </w:rPr>
        <w:t>ny ryzyka,</w:t>
      </w:r>
      <w:r w:rsidR="0028384B" w:rsidRPr="002F16A1">
        <w:rPr>
          <w:noProof/>
        </w:rPr>
        <w:t xml:space="preserve"> w</w:t>
      </w:r>
      <w:r w:rsidR="0028384B">
        <w:rPr>
          <w:noProof/>
        </w:rPr>
        <w:t> </w:t>
      </w:r>
      <w:r w:rsidR="0028384B" w:rsidRPr="002F16A1">
        <w:rPr>
          <w:noProof/>
        </w:rPr>
        <w:t>szc</w:t>
      </w:r>
      <w:r w:rsidRPr="002F16A1">
        <w:rPr>
          <w:noProof/>
        </w:rPr>
        <w:t>zególności</w:t>
      </w:r>
      <w:r w:rsidR="0028384B" w:rsidRPr="002F16A1">
        <w:rPr>
          <w:noProof/>
        </w:rPr>
        <w:t xml:space="preserve"> w</w:t>
      </w:r>
      <w:r w:rsidR="0028384B">
        <w:rPr>
          <w:noProof/>
        </w:rPr>
        <w:t> </w:t>
      </w:r>
      <w:r w:rsidR="0028384B" w:rsidRPr="002F16A1">
        <w:rPr>
          <w:noProof/>
        </w:rPr>
        <w:t>zak</w:t>
      </w:r>
      <w:r w:rsidRPr="002F16A1">
        <w:rPr>
          <w:noProof/>
        </w:rPr>
        <w:t>resie: monitorowania rynku</w:t>
      </w:r>
      <w:r w:rsidR="0028384B" w:rsidRPr="002F16A1">
        <w:rPr>
          <w:noProof/>
        </w:rPr>
        <w:t xml:space="preserve"> i</w:t>
      </w:r>
      <w:r w:rsidR="0028384B">
        <w:rPr>
          <w:noProof/>
        </w:rPr>
        <w:t> </w:t>
      </w:r>
      <w:r w:rsidR="0028384B" w:rsidRPr="002F16A1">
        <w:rPr>
          <w:noProof/>
        </w:rPr>
        <w:t>spr</w:t>
      </w:r>
      <w:r w:rsidRPr="002F16A1">
        <w:rPr>
          <w:noProof/>
        </w:rPr>
        <w:t>awozdawczości dotyczącej surowców krytycznych</w:t>
      </w:r>
      <w:r w:rsidR="0028384B" w:rsidRPr="002F16A1">
        <w:rPr>
          <w:noProof/>
        </w:rPr>
        <w:t xml:space="preserve"> i</w:t>
      </w:r>
      <w:r w:rsidR="0028384B">
        <w:rPr>
          <w:noProof/>
        </w:rPr>
        <w:t> </w:t>
      </w:r>
      <w:r w:rsidR="0028384B" w:rsidRPr="002F16A1">
        <w:rPr>
          <w:noProof/>
        </w:rPr>
        <w:t>str</w:t>
      </w:r>
      <w:r w:rsidRPr="002F16A1">
        <w:rPr>
          <w:noProof/>
        </w:rPr>
        <w:t>ategicznych oraz oceny ich krytyczności; </w:t>
      </w:r>
    </w:p>
    <w:p w:rsidR="00AD62E2" w:rsidRPr="002F16A1" w:rsidRDefault="00AD62E2" w:rsidP="00D822B1">
      <w:pPr>
        <w:pStyle w:val="Tiret0"/>
        <w:rPr>
          <w:noProof/>
        </w:rPr>
      </w:pPr>
      <w:r w:rsidRPr="002F16A1">
        <w:rPr>
          <w:noProof/>
        </w:rPr>
        <w:t>koordynowania informacji pochodzących</w:t>
      </w:r>
      <w:r w:rsidR="0028384B" w:rsidRPr="002F16A1">
        <w:rPr>
          <w:noProof/>
        </w:rPr>
        <w:t xml:space="preserve"> z</w:t>
      </w:r>
      <w:r w:rsidR="0028384B">
        <w:rPr>
          <w:noProof/>
        </w:rPr>
        <w:t> </w:t>
      </w:r>
      <w:r w:rsidR="0028384B" w:rsidRPr="002F16A1">
        <w:rPr>
          <w:noProof/>
        </w:rPr>
        <w:t>pań</w:t>
      </w:r>
      <w:r w:rsidRPr="002F16A1">
        <w:rPr>
          <w:noProof/>
        </w:rPr>
        <w:t>stw członkowskich; </w:t>
      </w:r>
    </w:p>
    <w:p w:rsidR="00AD62E2" w:rsidRPr="002F16A1" w:rsidRDefault="00AD62E2" w:rsidP="00D822B1">
      <w:pPr>
        <w:pStyle w:val="Tiret0"/>
        <w:rPr>
          <w:noProof/>
        </w:rPr>
      </w:pPr>
      <w:r w:rsidRPr="002F16A1">
        <w:rPr>
          <w:noProof/>
        </w:rPr>
        <w:t>zapewnienia egzekwowania zobowiązań państw członkowskich</w:t>
      </w:r>
      <w:r w:rsidR="0028384B" w:rsidRPr="002F16A1">
        <w:rPr>
          <w:noProof/>
        </w:rPr>
        <w:t xml:space="preserve"> w</w:t>
      </w:r>
      <w:r w:rsidR="0028384B">
        <w:rPr>
          <w:noProof/>
        </w:rPr>
        <w:t> </w:t>
      </w:r>
      <w:r w:rsidR="0028384B" w:rsidRPr="002F16A1">
        <w:rPr>
          <w:noProof/>
        </w:rPr>
        <w:t>zak</w:t>
      </w:r>
      <w:r w:rsidRPr="002F16A1">
        <w:rPr>
          <w:noProof/>
        </w:rPr>
        <w:t>resie środków dotyczących obiegu zamkniętego,</w:t>
      </w:r>
      <w:r w:rsidR="0028384B" w:rsidRPr="002F16A1">
        <w:rPr>
          <w:noProof/>
        </w:rPr>
        <w:t xml:space="preserve"> w</w:t>
      </w:r>
      <w:r w:rsidR="0028384B">
        <w:rPr>
          <w:noProof/>
        </w:rPr>
        <w:t> </w:t>
      </w:r>
      <w:r w:rsidR="0028384B" w:rsidRPr="002F16A1">
        <w:rPr>
          <w:noProof/>
        </w:rPr>
        <w:t>tym</w:t>
      </w:r>
      <w:r w:rsidRPr="002F16A1">
        <w:rPr>
          <w:noProof/>
        </w:rPr>
        <w:t xml:space="preserve"> środków dotyczących odpadów wydobywczych; </w:t>
      </w:r>
    </w:p>
    <w:p w:rsidR="00AD62E2" w:rsidRPr="002F16A1" w:rsidRDefault="00AD62E2" w:rsidP="00D822B1">
      <w:pPr>
        <w:pStyle w:val="Tiret0"/>
        <w:rPr>
          <w:noProof/>
        </w:rPr>
      </w:pPr>
      <w:r w:rsidRPr="002F16A1">
        <w:rPr>
          <w:noProof/>
        </w:rPr>
        <w:t>oceny przydatności metody dotyczącej śladu środowiskowego, opracowania metod obliczeniowych</w:t>
      </w:r>
      <w:r w:rsidR="0028384B" w:rsidRPr="002F16A1">
        <w:rPr>
          <w:noProof/>
        </w:rPr>
        <w:t xml:space="preserve"> i</w:t>
      </w:r>
      <w:r w:rsidR="0028384B">
        <w:rPr>
          <w:noProof/>
        </w:rPr>
        <w:t> </w:t>
      </w:r>
      <w:r w:rsidR="0028384B" w:rsidRPr="002F16A1">
        <w:rPr>
          <w:noProof/>
        </w:rPr>
        <w:t>mon</w:t>
      </w:r>
      <w:r w:rsidRPr="002F16A1">
        <w:rPr>
          <w:noProof/>
        </w:rPr>
        <w:t>itorowania wdrażania środków; </w:t>
      </w:r>
    </w:p>
    <w:p w:rsidR="00AD62E2" w:rsidRPr="002F16A1" w:rsidRDefault="00AD62E2" w:rsidP="00D822B1">
      <w:pPr>
        <w:pStyle w:val="Tiret0"/>
        <w:rPr>
          <w:noProof/>
        </w:rPr>
      </w:pPr>
      <w:r w:rsidRPr="002F16A1">
        <w:rPr>
          <w:noProof/>
        </w:rPr>
        <w:t>egzekwowania działań</w:t>
      </w:r>
      <w:r w:rsidR="0028384B" w:rsidRPr="002F16A1">
        <w:rPr>
          <w:noProof/>
        </w:rPr>
        <w:t xml:space="preserve"> w</w:t>
      </w:r>
      <w:r w:rsidR="0028384B">
        <w:rPr>
          <w:noProof/>
        </w:rPr>
        <w:t> </w:t>
      </w:r>
      <w:r w:rsidR="0028384B" w:rsidRPr="002F16A1">
        <w:rPr>
          <w:noProof/>
        </w:rPr>
        <w:t>zak</w:t>
      </w:r>
      <w:r w:rsidRPr="002F16A1">
        <w:rPr>
          <w:noProof/>
        </w:rPr>
        <w:t>resie normalizacji</w:t>
      </w:r>
      <w:r w:rsidR="0028384B" w:rsidRPr="002F16A1">
        <w:rPr>
          <w:noProof/>
        </w:rPr>
        <w:t xml:space="preserve"> i</w:t>
      </w:r>
      <w:r w:rsidR="0028384B">
        <w:rPr>
          <w:noProof/>
        </w:rPr>
        <w:t> </w:t>
      </w:r>
      <w:r w:rsidR="0028384B" w:rsidRPr="002F16A1">
        <w:rPr>
          <w:noProof/>
        </w:rPr>
        <w:t>prz</w:t>
      </w:r>
      <w:r w:rsidRPr="002F16A1">
        <w:rPr>
          <w:noProof/>
        </w:rPr>
        <w:t>ygotowania wniosków</w:t>
      </w:r>
      <w:r w:rsidR="0028384B" w:rsidRPr="002F16A1">
        <w:rPr>
          <w:noProof/>
        </w:rPr>
        <w:t xml:space="preserve"> o</w:t>
      </w:r>
      <w:r w:rsidR="0028384B">
        <w:rPr>
          <w:noProof/>
        </w:rPr>
        <w:t> </w:t>
      </w:r>
      <w:r w:rsidR="0028384B" w:rsidRPr="002F16A1">
        <w:rPr>
          <w:noProof/>
        </w:rPr>
        <w:t>nor</w:t>
      </w:r>
      <w:r w:rsidRPr="002F16A1">
        <w:rPr>
          <w:noProof/>
        </w:rPr>
        <w:t>malizację; </w:t>
      </w:r>
    </w:p>
    <w:p w:rsidR="00AD62E2" w:rsidRPr="002F16A1" w:rsidRDefault="00AD62E2" w:rsidP="00D822B1">
      <w:pPr>
        <w:pStyle w:val="Tiret0"/>
        <w:rPr>
          <w:noProof/>
        </w:rPr>
      </w:pPr>
      <w:r w:rsidRPr="002F16A1">
        <w:rPr>
          <w:noProof/>
        </w:rPr>
        <w:t>koordynowania krajowych działań poszukiwawczych; </w:t>
      </w:r>
    </w:p>
    <w:p w:rsidR="00AD62E2" w:rsidRPr="002F16A1" w:rsidRDefault="00AD62E2" w:rsidP="00D822B1">
      <w:pPr>
        <w:pStyle w:val="Tiret0"/>
        <w:rPr>
          <w:noProof/>
        </w:rPr>
      </w:pPr>
      <w:r w:rsidRPr="002F16A1">
        <w:rPr>
          <w:noProof/>
        </w:rPr>
        <w:t>koordynowania informacji pochodzących od państw członkowskich dotyczących zapasów strategicznych oraz,</w:t>
      </w:r>
      <w:r w:rsidR="0028384B" w:rsidRPr="002F16A1">
        <w:rPr>
          <w:noProof/>
        </w:rPr>
        <w:t xml:space="preserve"> w</w:t>
      </w:r>
      <w:r w:rsidR="0028384B">
        <w:rPr>
          <w:noProof/>
        </w:rPr>
        <w:t> </w:t>
      </w:r>
      <w:r w:rsidR="0028384B" w:rsidRPr="002F16A1">
        <w:rPr>
          <w:noProof/>
        </w:rPr>
        <w:t>mia</w:t>
      </w:r>
      <w:r w:rsidRPr="002F16A1">
        <w:rPr>
          <w:noProof/>
        </w:rPr>
        <w:t>rę możliwości, opracowywania wytycznych; </w:t>
      </w:r>
    </w:p>
    <w:p w:rsidR="00AD62E2" w:rsidRPr="002F16A1" w:rsidRDefault="00AD62E2" w:rsidP="00D822B1">
      <w:pPr>
        <w:pStyle w:val="Tiret0"/>
        <w:rPr>
          <w:noProof/>
        </w:rPr>
      </w:pPr>
      <w:r w:rsidRPr="002F16A1">
        <w:rPr>
          <w:noProof/>
        </w:rPr>
        <w:t>zapewnienia stałego wsparcia</w:t>
      </w:r>
      <w:r w:rsidR="0028384B" w:rsidRPr="002F16A1">
        <w:rPr>
          <w:noProof/>
        </w:rPr>
        <w:t xml:space="preserve"> i</w:t>
      </w:r>
      <w:r w:rsidR="0028384B">
        <w:rPr>
          <w:noProof/>
        </w:rPr>
        <w:t> </w:t>
      </w:r>
      <w:r w:rsidR="0028384B" w:rsidRPr="002F16A1">
        <w:rPr>
          <w:noProof/>
        </w:rPr>
        <w:t>spr</w:t>
      </w:r>
      <w:r w:rsidRPr="002F16A1">
        <w:rPr>
          <w:noProof/>
        </w:rPr>
        <w:t>awozdawczości</w:t>
      </w:r>
      <w:r w:rsidR="0028384B" w:rsidRPr="002F16A1">
        <w:rPr>
          <w:noProof/>
        </w:rPr>
        <w:t xml:space="preserve"> w</w:t>
      </w:r>
      <w:r w:rsidR="0028384B">
        <w:rPr>
          <w:noProof/>
        </w:rPr>
        <w:t> </w:t>
      </w:r>
      <w:r w:rsidR="0028384B" w:rsidRPr="002F16A1">
        <w:rPr>
          <w:noProof/>
        </w:rPr>
        <w:t>zak</w:t>
      </w:r>
      <w:r w:rsidRPr="002F16A1">
        <w:rPr>
          <w:noProof/>
        </w:rPr>
        <w:t>resie projektów strategicznych,</w:t>
      </w:r>
      <w:r w:rsidR="0028384B" w:rsidRPr="002F16A1">
        <w:rPr>
          <w:noProof/>
        </w:rPr>
        <w:t xml:space="preserve"> w</w:t>
      </w:r>
      <w:r w:rsidR="0028384B">
        <w:rPr>
          <w:noProof/>
        </w:rPr>
        <w:t> </w:t>
      </w:r>
      <w:r w:rsidR="0028384B" w:rsidRPr="002F16A1">
        <w:rPr>
          <w:noProof/>
        </w:rPr>
        <w:t>szc</w:t>
      </w:r>
      <w:r w:rsidRPr="002F16A1">
        <w:rPr>
          <w:noProof/>
        </w:rPr>
        <w:t>zególności</w:t>
      </w:r>
      <w:r w:rsidR="0028384B" w:rsidRPr="002F16A1">
        <w:rPr>
          <w:noProof/>
        </w:rPr>
        <w:t xml:space="preserve"> w</w:t>
      </w:r>
      <w:r w:rsidR="0028384B">
        <w:rPr>
          <w:noProof/>
        </w:rPr>
        <w:t> </w:t>
      </w:r>
      <w:r w:rsidR="0028384B" w:rsidRPr="002F16A1">
        <w:rPr>
          <w:noProof/>
        </w:rPr>
        <w:t>odn</w:t>
      </w:r>
      <w:r w:rsidRPr="002F16A1">
        <w:rPr>
          <w:noProof/>
        </w:rPr>
        <w:t>iesieniu od procesów wydawania pozwoleń, oraz zapewnienia wsparcia</w:t>
      </w:r>
      <w:r w:rsidR="0028384B" w:rsidRPr="002F16A1">
        <w:rPr>
          <w:noProof/>
        </w:rPr>
        <w:t xml:space="preserve"> w</w:t>
      </w:r>
      <w:r w:rsidR="0028384B">
        <w:rPr>
          <w:noProof/>
        </w:rPr>
        <w:t> </w:t>
      </w:r>
      <w:r w:rsidR="0028384B" w:rsidRPr="002F16A1">
        <w:rPr>
          <w:noProof/>
        </w:rPr>
        <w:t>zak</w:t>
      </w:r>
      <w:r w:rsidRPr="002F16A1">
        <w:rPr>
          <w:noProof/>
        </w:rPr>
        <w:t>resie procesu selekcji. </w:t>
      </w:r>
    </w:p>
    <w:p w:rsidR="00AD62E2" w:rsidRPr="002F16A1" w:rsidRDefault="00AD62E2" w:rsidP="00AD62E2">
      <w:pPr>
        <w:rPr>
          <w:noProof/>
        </w:rPr>
      </w:pPr>
      <w:r w:rsidRPr="002F16A1">
        <w:rPr>
          <w:noProof/>
        </w:rPr>
        <w:t>Jeśli chodzi</w:t>
      </w:r>
      <w:r w:rsidR="0028384B" w:rsidRPr="002F16A1">
        <w:rPr>
          <w:noProof/>
        </w:rPr>
        <w:t xml:space="preserve"> o</w:t>
      </w:r>
      <w:r w:rsidR="0028384B">
        <w:rPr>
          <w:noProof/>
        </w:rPr>
        <w:t> </w:t>
      </w:r>
      <w:r w:rsidR="0028384B" w:rsidRPr="002F16A1">
        <w:rPr>
          <w:noProof/>
        </w:rPr>
        <w:t>pot</w:t>
      </w:r>
      <w:r w:rsidRPr="002F16A1">
        <w:rPr>
          <w:noProof/>
        </w:rPr>
        <w:t>rzeby kadrowe, Komisja dokładnie przeanalizowała sposoby podziału pracy między dyrekcje generalne, możliwości przeniesienia personelu tam, gdzie to możliwe, oraz zlecania na zewnątrz wsparcia naukowego</w:t>
      </w:r>
      <w:r w:rsidR="0028384B" w:rsidRPr="002F16A1">
        <w:rPr>
          <w:noProof/>
        </w:rPr>
        <w:t xml:space="preserve"> i</w:t>
      </w:r>
      <w:r w:rsidR="0028384B">
        <w:rPr>
          <w:noProof/>
        </w:rPr>
        <w:t> </w:t>
      </w:r>
      <w:r w:rsidR="0028384B" w:rsidRPr="002F16A1">
        <w:rPr>
          <w:noProof/>
        </w:rPr>
        <w:t>tec</w:t>
      </w:r>
      <w:r w:rsidRPr="002F16A1">
        <w:rPr>
          <w:noProof/>
        </w:rPr>
        <w:t>hnicznego</w:t>
      </w:r>
      <w:r w:rsidR="0028384B" w:rsidRPr="002F16A1">
        <w:rPr>
          <w:noProof/>
        </w:rPr>
        <w:t xml:space="preserve"> w</w:t>
      </w:r>
      <w:r w:rsidR="0028384B">
        <w:rPr>
          <w:noProof/>
        </w:rPr>
        <w:t> </w:t>
      </w:r>
      <w:r w:rsidR="0028384B" w:rsidRPr="002F16A1">
        <w:rPr>
          <w:noProof/>
        </w:rPr>
        <w:t>cel</w:t>
      </w:r>
      <w:r w:rsidRPr="002F16A1">
        <w:rPr>
          <w:noProof/>
        </w:rPr>
        <w:t>u przygotowania aktów delegowanych</w:t>
      </w:r>
      <w:r w:rsidR="0028384B" w:rsidRPr="002F16A1">
        <w:rPr>
          <w:noProof/>
        </w:rPr>
        <w:t xml:space="preserve"> i</w:t>
      </w:r>
      <w:r w:rsidR="0028384B">
        <w:rPr>
          <w:noProof/>
        </w:rPr>
        <w:t> </w:t>
      </w:r>
      <w:r w:rsidR="0028384B" w:rsidRPr="002F16A1">
        <w:rPr>
          <w:noProof/>
        </w:rPr>
        <w:t>wyk</w:t>
      </w:r>
      <w:r w:rsidRPr="002F16A1">
        <w:rPr>
          <w:noProof/>
        </w:rPr>
        <w:t>onawczych oraz zadań przekrojowych. Jest jednak oczywiste, że ambitne założenia dotyczące środków</w:t>
      </w:r>
      <w:r w:rsidR="0028384B" w:rsidRPr="002F16A1">
        <w:rPr>
          <w:noProof/>
        </w:rPr>
        <w:t xml:space="preserve"> i</w:t>
      </w:r>
      <w:r w:rsidR="0028384B">
        <w:rPr>
          <w:noProof/>
        </w:rPr>
        <w:t> </w:t>
      </w:r>
      <w:r w:rsidR="0028384B" w:rsidRPr="002F16A1">
        <w:rPr>
          <w:noProof/>
        </w:rPr>
        <w:t>ros</w:t>
      </w:r>
      <w:r w:rsidRPr="002F16A1">
        <w:rPr>
          <w:noProof/>
        </w:rPr>
        <w:t>nące znaczenie surowców krytycznych wymagają ustrukturyzowanego podejścia do rozwijania unijnych zdolności do podejmowania działań</w:t>
      </w:r>
      <w:r w:rsidR="0028384B" w:rsidRPr="002F16A1">
        <w:rPr>
          <w:noProof/>
        </w:rPr>
        <w:t xml:space="preserve"> w</w:t>
      </w:r>
      <w:r w:rsidR="0028384B">
        <w:rPr>
          <w:noProof/>
        </w:rPr>
        <w:t> </w:t>
      </w:r>
      <w:r w:rsidR="0028384B" w:rsidRPr="002F16A1">
        <w:rPr>
          <w:noProof/>
        </w:rPr>
        <w:t>tym</w:t>
      </w:r>
      <w:r w:rsidRPr="002F16A1">
        <w:rPr>
          <w:noProof/>
        </w:rPr>
        <w:t xml:space="preserve"> zakresie. </w:t>
      </w:r>
    </w:p>
    <w:p w:rsidR="00AD62E2" w:rsidRPr="002F16A1" w:rsidRDefault="00AD62E2" w:rsidP="00AD62E2">
      <w:pPr>
        <w:pStyle w:val="ManualHeading1"/>
        <w:rPr>
          <w:noProof/>
        </w:rPr>
      </w:pPr>
      <w:r w:rsidRPr="002F16A1">
        <w:rPr>
          <w:noProof/>
        </w:rPr>
        <w:t>5.</w:t>
      </w:r>
      <w:r w:rsidRPr="002F16A1">
        <w:rPr>
          <w:noProof/>
        </w:rPr>
        <w:tab/>
        <w:t>INNE ELEMENTY</w:t>
      </w:r>
    </w:p>
    <w:p w:rsidR="00AD62E2" w:rsidRPr="002F16A1" w:rsidRDefault="00AD62E2" w:rsidP="00AD62E2">
      <w:pPr>
        <w:pStyle w:val="ManualHeading2"/>
        <w:rPr>
          <w:noProof/>
        </w:rPr>
      </w:pPr>
      <w:r w:rsidRPr="002F16A1">
        <w:rPr>
          <w:noProof/>
        </w:rPr>
        <w:t>•</w:t>
      </w:r>
      <w:r w:rsidRPr="002F16A1">
        <w:rPr>
          <w:noProof/>
        </w:rPr>
        <w:tab/>
        <w:t>Plany wdrożenia</w:t>
      </w:r>
      <w:r w:rsidR="0028384B" w:rsidRPr="002F16A1">
        <w:rPr>
          <w:noProof/>
        </w:rPr>
        <w:t xml:space="preserve"> i</w:t>
      </w:r>
      <w:r w:rsidR="0028384B">
        <w:rPr>
          <w:noProof/>
        </w:rPr>
        <w:t> </w:t>
      </w:r>
      <w:r w:rsidR="0028384B" w:rsidRPr="002F16A1">
        <w:rPr>
          <w:noProof/>
        </w:rPr>
        <w:t>mon</w:t>
      </w:r>
      <w:r w:rsidRPr="002F16A1">
        <w:rPr>
          <w:noProof/>
        </w:rPr>
        <w:t>itorowanie, ocena</w:t>
      </w:r>
      <w:r w:rsidR="0028384B" w:rsidRPr="002F16A1">
        <w:rPr>
          <w:noProof/>
        </w:rPr>
        <w:t xml:space="preserve"> i</w:t>
      </w:r>
      <w:r w:rsidR="0028384B">
        <w:rPr>
          <w:noProof/>
        </w:rPr>
        <w:t> </w:t>
      </w:r>
      <w:r w:rsidR="0028384B" w:rsidRPr="002F16A1">
        <w:rPr>
          <w:noProof/>
        </w:rPr>
        <w:t>spr</w:t>
      </w:r>
      <w:r w:rsidRPr="002F16A1">
        <w:rPr>
          <w:noProof/>
        </w:rPr>
        <w:t>awozdania</w:t>
      </w:r>
    </w:p>
    <w:p w:rsidR="00AD62E2" w:rsidRPr="002F16A1" w:rsidRDefault="00AD62E2" w:rsidP="00AD62E2">
      <w:pPr>
        <w:rPr>
          <w:noProof/>
        </w:rPr>
      </w:pPr>
      <w:r w:rsidRPr="002F16A1">
        <w:rPr>
          <w:noProof/>
        </w:rPr>
        <w:t>Komisja oceni spójność, wyniki, skutki, proporcjonalność</w:t>
      </w:r>
      <w:r w:rsidR="0028384B" w:rsidRPr="002F16A1">
        <w:rPr>
          <w:noProof/>
        </w:rPr>
        <w:t xml:space="preserve"> i</w:t>
      </w:r>
      <w:r w:rsidR="0028384B">
        <w:rPr>
          <w:noProof/>
        </w:rPr>
        <w:t> </w:t>
      </w:r>
      <w:r w:rsidR="0028384B" w:rsidRPr="002F16A1">
        <w:rPr>
          <w:noProof/>
        </w:rPr>
        <w:t>pom</w:t>
      </w:r>
      <w:r w:rsidRPr="002F16A1">
        <w:rPr>
          <w:noProof/>
        </w:rPr>
        <w:t>ocniczość przedmiotowego rozporządzenia po upływie pięciu lat od daty rozpoczęcia jego stosowania. </w:t>
      </w:r>
    </w:p>
    <w:p w:rsidR="00AD62E2" w:rsidRPr="002F16A1" w:rsidRDefault="00AD62E2" w:rsidP="00AD62E2">
      <w:pPr>
        <w:rPr>
          <w:noProof/>
        </w:rPr>
      </w:pPr>
      <w:r w:rsidRPr="002F16A1">
        <w:rPr>
          <w:noProof/>
        </w:rPr>
        <w:t>Główne wnioski</w:t>
      </w:r>
      <w:r w:rsidR="0028384B" w:rsidRPr="002F16A1">
        <w:rPr>
          <w:noProof/>
        </w:rPr>
        <w:t xml:space="preserve"> z</w:t>
      </w:r>
      <w:r w:rsidR="0028384B">
        <w:rPr>
          <w:noProof/>
        </w:rPr>
        <w:t> </w:t>
      </w:r>
      <w:r w:rsidR="0028384B" w:rsidRPr="002F16A1">
        <w:rPr>
          <w:noProof/>
        </w:rPr>
        <w:t>oce</w:t>
      </w:r>
      <w:r w:rsidRPr="002F16A1">
        <w:rPr>
          <w:noProof/>
        </w:rPr>
        <w:t>ny zostaną przedstawione</w:t>
      </w:r>
      <w:r w:rsidR="0028384B" w:rsidRPr="002F16A1">
        <w:rPr>
          <w:noProof/>
        </w:rPr>
        <w:t xml:space="preserve"> w</w:t>
      </w:r>
      <w:r w:rsidR="0028384B">
        <w:rPr>
          <w:noProof/>
        </w:rPr>
        <w:t> </w:t>
      </w:r>
      <w:r w:rsidR="0028384B" w:rsidRPr="002F16A1">
        <w:rPr>
          <w:noProof/>
        </w:rPr>
        <w:t>spr</w:t>
      </w:r>
      <w:r w:rsidRPr="002F16A1">
        <w:rPr>
          <w:noProof/>
        </w:rPr>
        <w:t>awozdaniu dla Parlamentu Europejskiego, Rady, Europejskiego Komitetu Ekonomiczno-Społecznego</w:t>
      </w:r>
      <w:r w:rsidR="0028384B" w:rsidRPr="002F16A1">
        <w:rPr>
          <w:noProof/>
        </w:rPr>
        <w:t xml:space="preserve"> i</w:t>
      </w:r>
      <w:r w:rsidR="0028384B">
        <w:rPr>
          <w:noProof/>
        </w:rPr>
        <w:t> </w:t>
      </w:r>
      <w:r w:rsidR="0028384B" w:rsidRPr="002F16A1">
        <w:rPr>
          <w:noProof/>
        </w:rPr>
        <w:t>Kom</w:t>
      </w:r>
      <w:r w:rsidRPr="002F16A1">
        <w:rPr>
          <w:noProof/>
        </w:rPr>
        <w:t>itetu Regionów, które zostanie podane do wiadomości publicznej. </w:t>
      </w:r>
    </w:p>
    <w:p w:rsidR="00AD62E2" w:rsidRPr="002F16A1" w:rsidRDefault="00AD62E2" w:rsidP="00AD62E2">
      <w:pPr>
        <w:rPr>
          <w:rFonts w:eastAsia="Times New Roman"/>
          <w:noProof/>
          <w:szCs w:val="24"/>
        </w:rPr>
      </w:pPr>
      <w:r w:rsidRPr="002F16A1">
        <w:rPr>
          <w:noProof/>
        </w:rPr>
        <w:t>W celu przeprowadzenia oceny Europejska Rada ds. Surowców Krytycznych, państwa członkowskie</w:t>
      </w:r>
      <w:r w:rsidR="0028384B" w:rsidRPr="002F16A1">
        <w:rPr>
          <w:noProof/>
        </w:rPr>
        <w:t xml:space="preserve"> i</w:t>
      </w:r>
      <w:r w:rsidR="0028384B">
        <w:rPr>
          <w:noProof/>
        </w:rPr>
        <w:t> </w:t>
      </w:r>
      <w:r w:rsidR="0028384B" w:rsidRPr="002F16A1">
        <w:rPr>
          <w:noProof/>
        </w:rPr>
        <w:t>wła</w:t>
      </w:r>
      <w:r w:rsidRPr="002F16A1">
        <w:rPr>
          <w:noProof/>
        </w:rPr>
        <w:t>ściwe organy krajowe dostarczą Komisji odpowiednie informacje na jej żądanie</w:t>
      </w:r>
      <w:r w:rsidR="0028384B" w:rsidRPr="002F16A1">
        <w:rPr>
          <w:noProof/>
        </w:rPr>
        <w:t>. W</w:t>
      </w:r>
      <w:r w:rsidR="0028384B">
        <w:rPr>
          <w:noProof/>
        </w:rPr>
        <w:t> </w:t>
      </w:r>
      <w:r w:rsidR="0028384B" w:rsidRPr="002F16A1">
        <w:rPr>
          <w:noProof/>
        </w:rPr>
        <w:t>szc</w:t>
      </w:r>
      <w:r w:rsidRPr="002F16A1">
        <w:rPr>
          <w:noProof/>
        </w:rPr>
        <w:t>zególności będą to informacje na temat postępów</w:t>
      </w:r>
      <w:r w:rsidR="0028384B" w:rsidRPr="002F16A1">
        <w:rPr>
          <w:noProof/>
        </w:rPr>
        <w:t xml:space="preserve"> w</w:t>
      </w:r>
      <w:r w:rsidR="0028384B">
        <w:rPr>
          <w:noProof/>
        </w:rPr>
        <w:t> </w:t>
      </w:r>
      <w:r w:rsidR="0028384B" w:rsidRPr="002F16A1">
        <w:rPr>
          <w:noProof/>
        </w:rPr>
        <w:t>osi</w:t>
      </w:r>
      <w:r w:rsidRPr="002F16A1">
        <w:rPr>
          <w:noProof/>
        </w:rPr>
        <w:t>ąganiu wskaźnika referencyjnego zdolności UE na wszystkich etapach łańcucha wartości oraz skuteczności działań monitorujących.</w:t>
      </w:r>
    </w:p>
    <w:p w:rsidR="00AD62E2" w:rsidRPr="002F16A1" w:rsidRDefault="00AD62E2" w:rsidP="00AD62E2">
      <w:pPr>
        <w:rPr>
          <w:noProof/>
        </w:rPr>
      </w:pPr>
    </w:p>
    <w:p w:rsidR="00AD62E2" w:rsidRPr="002F16A1" w:rsidRDefault="00AD62E2" w:rsidP="00AD62E2">
      <w:pPr>
        <w:pStyle w:val="ManualHeading2"/>
        <w:rPr>
          <w:noProof/>
        </w:rPr>
      </w:pPr>
      <w:r w:rsidRPr="002F16A1">
        <w:rPr>
          <w:noProof/>
        </w:rPr>
        <w:t>•</w:t>
      </w:r>
      <w:r w:rsidRPr="002F16A1">
        <w:rPr>
          <w:noProof/>
        </w:rPr>
        <w:tab/>
        <w:t>Szczegółowe objaśnienia poszczególnych przepisów wniosku</w:t>
      </w:r>
    </w:p>
    <w:p w:rsidR="00AD62E2" w:rsidRPr="002F16A1" w:rsidRDefault="00AD62E2" w:rsidP="00AD62E2">
      <w:pPr>
        <w:rPr>
          <w:noProof/>
        </w:rPr>
      </w:pPr>
      <w:r w:rsidRPr="002F16A1">
        <w:rPr>
          <w:noProof/>
        </w:rPr>
        <w:t xml:space="preserve">W </w:t>
      </w:r>
      <w:r w:rsidRPr="002F16A1">
        <w:rPr>
          <w:b/>
          <w:noProof/>
        </w:rPr>
        <w:t>rozdziale I</w:t>
      </w:r>
      <w:r w:rsidRPr="002F16A1">
        <w:rPr>
          <w:noProof/>
        </w:rPr>
        <w:t xml:space="preserve"> rozporządzenia zawarto przepisy ogólne oraz definicje</w:t>
      </w:r>
      <w:r w:rsidR="0028384B" w:rsidRPr="002F16A1">
        <w:rPr>
          <w:noProof/>
        </w:rPr>
        <w:t>. W</w:t>
      </w:r>
      <w:r w:rsidR="0028384B">
        <w:rPr>
          <w:noProof/>
        </w:rPr>
        <w:t> </w:t>
      </w:r>
      <w:r w:rsidR="0028384B" w:rsidRPr="002F16A1">
        <w:rPr>
          <w:noProof/>
        </w:rPr>
        <w:t>roz</w:t>
      </w:r>
      <w:r w:rsidRPr="002F16A1">
        <w:rPr>
          <w:noProof/>
        </w:rPr>
        <w:t>porządzeniu stwierdza się, że celem ogólnym jest zapewnienie dostępu UE do bezpiecznych</w:t>
      </w:r>
      <w:r w:rsidR="0028384B" w:rsidRPr="002F16A1">
        <w:rPr>
          <w:noProof/>
        </w:rPr>
        <w:t xml:space="preserve"> i</w:t>
      </w:r>
      <w:r w:rsidR="0028384B">
        <w:rPr>
          <w:noProof/>
        </w:rPr>
        <w:t> </w:t>
      </w:r>
      <w:r w:rsidR="0028384B" w:rsidRPr="002F16A1">
        <w:rPr>
          <w:noProof/>
        </w:rPr>
        <w:t>zró</w:t>
      </w:r>
      <w:r w:rsidRPr="002F16A1">
        <w:rPr>
          <w:noProof/>
        </w:rPr>
        <w:t>wnoważonych dostaw surowców krytycznych dzięki realizacji czterech celów szczegółowych, którymi są: zwiększenie zdolności UE na poszczególnych etapach łańcucha wartości, dywersyfikacja przywozu surowców do UE, poprawa zdolności monitorowania</w:t>
      </w:r>
      <w:r w:rsidR="0028384B" w:rsidRPr="002F16A1">
        <w:rPr>
          <w:noProof/>
        </w:rPr>
        <w:t xml:space="preserve"> i</w:t>
      </w:r>
      <w:r w:rsidR="0028384B">
        <w:rPr>
          <w:noProof/>
        </w:rPr>
        <w:t> </w:t>
      </w:r>
      <w:r w:rsidR="0028384B" w:rsidRPr="002F16A1">
        <w:rPr>
          <w:noProof/>
        </w:rPr>
        <w:t>ogr</w:t>
      </w:r>
      <w:r w:rsidRPr="002F16A1">
        <w:rPr>
          <w:noProof/>
        </w:rPr>
        <w:t>aniczania ryzyka oraz zapewnienie dobrze funkcjonującego jednolitego rynku przy jednoczesnej poprawie zrównoważoności</w:t>
      </w:r>
      <w:r w:rsidR="0028384B" w:rsidRPr="002F16A1">
        <w:rPr>
          <w:noProof/>
        </w:rPr>
        <w:t xml:space="preserve"> i</w:t>
      </w:r>
      <w:r w:rsidR="0028384B">
        <w:rPr>
          <w:noProof/>
        </w:rPr>
        <w:t> </w:t>
      </w:r>
      <w:r w:rsidR="0028384B" w:rsidRPr="002F16A1">
        <w:rPr>
          <w:noProof/>
        </w:rPr>
        <w:t>obi</w:t>
      </w:r>
      <w:r w:rsidRPr="002F16A1">
        <w:rPr>
          <w:noProof/>
        </w:rPr>
        <w:t>egu zamkniętego surowców krytycznych</w:t>
      </w:r>
      <w:r w:rsidR="0028384B" w:rsidRPr="002F16A1">
        <w:rPr>
          <w:noProof/>
        </w:rPr>
        <w:t>. W</w:t>
      </w:r>
      <w:r w:rsidR="0028384B">
        <w:rPr>
          <w:noProof/>
        </w:rPr>
        <w:t> </w:t>
      </w:r>
      <w:r w:rsidR="0028384B" w:rsidRPr="002F16A1">
        <w:rPr>
          <w:noProof/>
        </w:rPr>
        <w:t>roz</w:t>
      </w:r>
      <w:r w:rsidRPr="002F16A1">
        <w:rPr>
          <w:noProof/>
        </w:rPr>
        <w:t>porządzeniu ustalono wskaźniki referencyjne pozwalające na określenie postępów</w:t>
      </w:r>
      <w:r w:rsidR="0028384B" w:rsidRPr="002F16A1">
        <w:rPr>
          <w:noProof/>
        </w:rPr>
        <w:t xml:space="preserve"> w</w:t>
      </w:r>
      <w:r w:rsidR="0028384B">
        <w:rPr>
          <w:noProof/>
        </w:rPr>
        <w:t> </w:t>
      </w:r>
      <w:r w:rsidR="0028384B" w:rsidRPr="002F16A1">
        <w:rPr>
          <w:noProof/>
        </w:rPr>
        <w:t>rea</w:t>
      </w:r>
      <w:r w:rsidRPr="002F16A1">
        <w:rPr>
          <w:noProof/>
        </w:rPr>
        <w:t>lizacji dwóch pierwszych opisanych wyżej celów. </w:t>
      </w:r>
    </w:p>
    <w:p w:rsidR="00AD62E2" w:rsidRPr="002F16A1" w:rsidRDefault="00AD62E2" w:rsidP="00AD62E2">
      <w:pPr>
        <w:rPr>
          <w:noProof/>
        </w:rPr>
      </w:pPr>
      <w:r w:rsidRPr="002F16A1">
        <w:rPr>
          <w:noProof/>
        </w:rPr>
        <w:t xml:space="preserve">W </w:t>
      </w:r>
      <w:r w:rsidRPr="002F16A1">
        <w:rPr>
          <w:b/>
          <w:noProof/>
        </w:rPr>
        <w:t>rozdziale II</w:t>
      </w:r>
      <w:r w:rsidRPr="002F16A1">
        <w:rPr>
          <w:noProof/>
        </w:rPr>
        <w:t xml:space="preserve"> określono wykazy surowców krytycznych</w:t>
      </w:r>
      <w:r w:rsidR="0028384B" w:rsidRPr="002F16A1">
        <w:rPr>
          <w:noProof/>
        </w:rPr>
        <w:t xml:space="preserve"> i</w:t>
      </w:r>
      <w:r w:rsidR="0028384B">
        <w:rPr>
          <w:noProof/>
        </w:rPr>
        <w:t> </w:t>
      </w:r>
      <w:r w:rsidR="0028384B" w:rsidRPr="002F16A1">
        <w:rPr>
          <w:noProof/>
        </w:rPr>
        <w:t>str</w:t>
      </w:r>
      <w:r w:rsidRPr="002F16A1">
        <w:rPr>
          <w:noProof/>
        </w:rPr>
        <w:t>ategicznych, które należy weryfikować co najmniej raz na cztery lata, stosując metodyki przedstawione</w:t>
      </w:r>
      <w:r w:rsidR="0028384B" w:rsidRPr="002F16A1">
        <w:rPr>
          <w:noProof/>
        </w:rPr>
        <w:t xml:space="preserve"> w</w:t>
      </w:r>
      <w:r w:rsidR="0028384B">
        <w:rPr>
          <w:noProof/>
        </w:rPr>
        <w:t> </w:t>
      </w:r>
      <w:r w:rsidR="0028384B" w:rsidRPr="002F16A1">
        <w:rPr>
          <w:noProof/>
        </w:rPr>
        <w:t>zał</w:t>
      </w:r>
      <w:r w:rsidRPr="002F16A1">
        <w:rPr>
          <w:noProof/>
        </w:rPr>
        <w:t xml:space="preserve">ącznikach I </w:t>
      </w:r>
      <w:r w:rsidR="002F16A1">
        <w:rPr>
          <w:noProof/>
        </w:rPr>
        <w:t xml:space="preserve">i </w:t>
      </w:r>
      <w:r w:rsidRPr="002F16A1">
        <w:rPr>
          <w:noProof/>
        </w:rPr>
        <w:t>II</w:t>
      </w:r>
      <w:r w:rsidR="0028384B" w:rsidRPr="002F16A1">
        <w:rPr>
          <w:noProof/>
        </w:rPr>
        <w:t>. W</w:t>
      </w:r>
      <w:r w:rsidR="0028384B">
        <w:rPr>
          <w:noProof/>
        </w:rPr>
        <w:t> </w:t>
      </w:r>
      <w:r w:rsidR="0028384B" w:rsidRPr="002F16A1">
        <w:rPr>
          <w:noProof/>
        </w:rPr>
        <w:t>wyk</w:t>
      </w:r>
      <w:r w:rsidRPr="002F16A1">
        <w:rPr>
          <w:noProof/>
        </w:rPr>
        <w:t>azach tych określono zakres poszczególnych środków. </w:t>
      </w:r>
    </w:p>
    <w:p w:rsidR="005B605E" w:rsidRPr="002F16A1" w:rsidRDefault="005B605E" w:rsidP="005B605E">
      <w:pPr>
        <w:pBdr>
          <w:top w:val="single" w:sz="4" w:space="1" w:color="auto"/>
          <w:left w:val="single" w:sz="4" w:space="4" w:color="auto"/>
          <w:bottom w:val="single" w:sz="4" w:space="1" w:color="auto"/>
          <w:right w:val="single" w:sz="4" w:space="4" w:color="auto"/>
        </w:pBdr>
        <w:rPr>
          <w:noProof/>
        </w:rPr>
      </w:pPr>
      <w:r w:rsidRPr="002F16A1">
        <w:rPr>
          <w:noProof/>
        </w:rPr>
        <w:t>Komisja ocenia ponad 80 wykorzystywanych</w:t>
      </w:r>
      <w:r w:rsidR="0028384B" w:rsidRPr="002F16A1">
        <w:rPr>
          <w:noProof/>
        </w:rPr>
        <w:t xml:space="preserve"> w</w:t>
      </w:r>
      <w:r w:rsidR="0028384B">
        <w:rPr>
          <w:noProof/>
        </w:rPr>
        <w:t> </w:t>
      </w:r>
      <w:r w:rsidR="0028384B" w:rsidRPr="002F16A1">
        <w:rPr>
          <w:noProof/>
        </w:rPr>
        <w:t>gos</w:t>
      </w:r>
      <w:r w:rsidRPr="002F16A1">
        <w:rPr>
          <w:noProof/>
        </w:rPr>
        <w:t>podarce unijnej materiałów pod kątem ryzyka związanego</w:t>
      </w:r>
      <w:r w:rsidR="0028384B" w:rsidRPr="002F16A1">
        <w:rPr>
          <w:noProof/>
        </w:rPr>
        <w:t xml:space="preserve"> z</w:t>
      </w:r>
      <w:r w:rsidR="0028384B">
        <w:rPr>
          <w:noProof/>
        </w:rPr>
        <w:t> </w:t>
      </w:r>
      <w:r w:rsidR="0028384B" w:rsidRPr="002F16A1">
        <w:rPr>
          <w:noProof/>
        </w:rPr>
        <w:t>dos</w:t>
      </w:r>
      <w:r w:rsidRPr="002F16A1">
        <w:rPr>
          <w:noProof/>
        </w:rPr>
        <w:t>tawą</w:t>
      </w:r>
      <w:r w:rsidR="0028384B" w:rsidRPr="002F16A1">
        <w:rPr>
          <w:noProof/>
        </w:rPr>
        <w:t xml:space="preserve"> i</w:t>
      </w:r>
      <w:r w:rsidR="0028384B">
        <w:rPr>
          <w:noProof/>
        </w:rPr>
        <w:t> </w:t>
      </w:r>
      <w:r w:rsidR="0028384B" w:rsidRPr="002F16A1">
        <w:rPr>
          <w:noProof/>
        </w:rPr>
        <w:t>zna</w:t>
      </w:r>
      <w:r w:rsidRPr="002F16A1">
        <w:rPr>
          <w:noProof/>
        </w:rPr>
        <w:t>czenia gospodarczego</w:t>
      </w:r>
      <w:r w:rsidR="0028384B" w:rsidRPr="002F16A1">
        <w:rPr>
          <w:noProof/>
        </w:rPr>
        <w:t xml:space="preserve"> w</w:t>
      </w:r>
      <w:r w:rsidR="0028384B">
        <w:rPr>
          <w:noProof/>
        </w:rPr>
        <w:t> </w:t>
      </w:r>
      <w:r w:rsidR="0028384B" w:rsidRPr="002F16A1">
        <w:rPr>
          <w:noProof/>
        </w:rPr>
        <w:t>opa</w:t>
      </w:r>
      <w:r w:rsidRPr="002F16A1">
        <w:rPr>
          <w:noProof/>
        </w:rPr>
        <w:t>rciu</w:t>
      </w:r>
      <w:r w:rsidR="0028384B" w:rsidRPr="002F16A1">
        <w:rPr>
          <w:noProof/>
        </w:rPr>
        <w:t xml:space="preserve"> o</w:t>
      </w:r>
      <w:r w:rsidR="0028384B">
        <w:rPr>
          <w:noProof/>
        </w:rPr>
        <w:t> </w:t>
      </w:r>
      <w:r w:rsidR="0028384B" w:rsidRPr="002F16A1">
        <w:rPr>
          <w:noProof/>
        </w:rPr>
        <w:t>uśr</w:t>
      </w:r>
      <w:r w:rsidRPr="002F16A1">
        <w:rPr>
          <w:noProof/>
        </w:rPr>
        <w:t>ednione dane</w:t>
      </w:r>
      <w:r w:rsidR="0028384B" w:rsidRPr="002F16A1">
        <w:rPr>
          <w:noProof/>
        </w:rPr>
        <w:t xml:space="preserve"> z</w:t>
      </w:r>
      <w:r w:rsidR="0028384B">
        <w:rPr>
          <w:noProof/>
        </w:rPr>
        <w:t> </w:t>
      </w:r>
      <w:r w:rsidR="0028384B" w:rsidRPr="002F16A1">
        <w:rPr>
          <w:noProof/>
        </w:rPr>
        <w:t>ost</w:t>
      </w:r>
      <w:r w:rsidRPr="002F16A1">
        <w:rPr>
          <w:noProof/>
        </w:rPr>
        <w:t>atniego pełnego pięcioletniego okresu. Ryzyko związane</w:t>
      </w:r>
      <w:r w:rsidR="0028384B" w:rsidRPr="002F16A1">
        <w:rPr>
          <w:noProof/>
        </w:rPr>
        <w:t xml:space="preserve"> z</w:t>
      </w:r>
      <w:r w:rsidR="0028384B">
        <w:rPr>
          <w:noProof/>
        </w:rPr>
        <w:t> </w:t>
      </w:r>
      <w:r w:rsidR="0028384B" w:rsidRPr="002F16A1">
        <w:rPr>
          <w:noProof/>
        </w:rPr>
        <w:t>dos</w:t>
      </w:r>
      <w:r w:rsidRPr="002F16A1">
        <w:rPr>
          <w:noProof/>
        </w:rPr>
        <w:t>tawą określa się na podstawie koncentracji podaży na świecie i w UE, zależności Unii od przywozu, udziału materiałów wtórnych</w:t>
      </w:r>
      <w:r w:rsidR="0028384B" w:rsidRPr="002F16A1">
        <w:rPr>
          <w:noProof/>
        </w:rPr>
        <w:t xml:space="preserve"> i</w:t>
      </w:r>
      <w:r w:rsidR="0028384B">
        <w:rPr>
          <w:noProof/>
        </w:rPr>
        <w:t> </w:t>
      </w:r>
      <w:r w:rsidR="0028384B" w:rsidRPr="002F16A1">
        <w:rPr>
          <w:noProof/>
        </w:rPr>
        <w:t>tec</w:t>
      </w:r>
      <w:r w:rsidRPr="002F16A1">
        <w:rPr>
          <w:noProof/>
        </w:rPr>
        <w:t>hnicznej zastępowalności. Znaczenie gospodarcze oblicza się na podstawie udziału wykorzystania</w:t>
      </w:r>
      <w:r w:rsidR="0028384B" w:rsidRPr="002F16A1">
        <w:rPr>
          <w:noProof/>
        </w:rPr>
        <w:t xml:space="preserve"> w</w:t>
      </w:r>
      <w:r w:rsidR="0028384B">
        <w:rPr>
          <w:noProof/>
        </w:rPr>
        <w:t> </w:t>
      </w:r>
      <w:r w:rsidR="0028384B" w:rsidRPr="002F16A1">
        <w:rPr>
          <w:noProof/>
        </w:rPr>
        <w:t>sek</w:t>
      </w:r>
      <w:r w:rsidRPr="002F16A1">
        <w:rPr>
          <w:noProof/>
        </w:rPr>
        <w:t>torach opisanych kodem dwucyfrowym według klasyfikacji NACE oraz wartości dodanej tych sektorów,</w:t>
      </w:r>
      <w:r w:rsidR="0028384B" w:rsidRPr="002F16A1">
        <w:rPr>
          <w:noProof/>
        </w:rPr>
        <w:t xml:space="preserve"> z</w:t>
      </w:r>
      <w:r w:rsidR="0028384B">
        <w:rPr>
          <w:noProof/>
        </w:rPr>
        <w:t> </w:t>
      </w:r>
      <w:r w:rsidR="0028384B" w:rsidRPr="002F16A1">
        <w:rPr>
          <w:noProof/>
        </w:rPr>
        <w:t>uwz</w:t>
      </w:r>
      <w:r w:rsidRPr="002F16A1">
        <w:rPr>
          <w:noProof/>
        </w:rPr>
        <w:t>ględnieniem zastępowalności ekonomicznej. Surowce, dla których wartość przekracza określone progi, są tzw. surowcami krytycznymi.</w:t>
      </w:r>
    </w:p>
    <w:p w:rsidR="005B605E" w:rsidRPr="0028384B" w:rsidRDefault="005B605E" w:rsidP="005B605E">
      <w:pPr>
        <w:pBdr>
          <w:top w:val="single" w:sz="4" w:space="1" w:color="auto"/>
          <w:left w:val="single" w:sz="4" w:space="4" w:color="auto"/>
          <w:bottom w:val="single" w:sz="4" w:space="1" w:color="auto"/>
          <w:right w:val="single" w:sz="4" w:space="4" w:color="auto"/>
        </w:pBdr>
        <w:rPr>
          <w:noProof/>
        </w:rPr>
      </w:pPr>
      <w:r w:rsidRPr="002F16A1">
        <w:rPr>
          <w:noProof/>
        </w:rPr>
        <w:t>Ta uznana metodyka pozwala na zidentyfikowanie wyzwań związanych</w:t>
      </w:r>
      <w:r w:rsidR="0028384B" w:rsidRPr="002F16A1">
        <w:rPr>
          <w:noProof/>
        </w:rPr>
        <w:t xml:space="preserve"> z</w:t>
      </w:r>
      <w:r w:rsidR="0028384B">
        <w:rPr>
          <w:noProof/>
        </w:rPr>
        <w:t> </w:t>
      </w:r>
      <w:r w:rsidR="0028384B" w:rsidRPr="002F16A1">
        <w:rPr>
          <w:noProof/>
        </w:rPr>
        <w:t>łań</w:t>
      </w:r>
      <w:r w:rsidRPr="002F16A1">
        <w:rPr>
          <w:noProof/>
        </w:rPr>
        <w:t>cuchami dostaw</w:t>
      </w:r>
      <w:r w:rsidR="0028384B" w:rsidRPr="002F16A1">
        <w:rPr>
          <w:noProof/>
        </w:rPr>
        <w:t xml:space="preserve"> w</w:t>
      </w:r>
      <w:r w:rsidR="0028384B">
        <w:rPr>
          <w:noProof/>
        </w:rPr>
        <w:t> </w:t>
      </w:r>
      <w:r w:rsidR="0028384B" w:rsidRPr="002F16A1">
        <w:rPr>
          <w:noProof/>
        </w:rPr>
        <w:t>cał</w:t>
      </w:r>
      <w:r w:rsidRPr="002F16A1">
        <w:rPr>
          <w:noProof/>
        </w:rPr>
        <w:t>ej gospodarce unijnej. Konieczne jest jednak przyjęcie podejścia uzupełniającego</w:t>
      </w:r>
      <w:r w:rsidR="0028384B" w:rsidRPr="002F16A1">
        <w:rPr>
          <w:noProof/>
        </w:rPr>
        <w:t xml:space="preserve"> w</w:t>
      </w:r>
      <w:r w:rsidR="0028384B">
        <w:rPr>
          <w:noProof/>
        </w:rPr>
        <w:t> </w:t>
      </w:r>
      <w:r w:rsidR="0028384B" w:rsidRPr="002F16A1">
        <w:rPr>
          <w:noProof/>
        </w:rPr>
        <w:t>cel</w:t>
      </w:r>
      <w:r w:rsidRPr="002F16A1">
        <w:rPr>
          <w:noProof/>
        </w:rPr>
        <w:t>u zapewnienia bardziej dynamicznej perspektywy przewidywanego rozwoju światowego popytu</w:t>
      </w:r>
      <w:r w:rsidR="0028384B" w:rsidRPr="002F16A1">
        <w:rPr>
          <w:noProof/>
        </w:rPr>
        <w:t xml:space="preserve"> i</w:t>
      </w:r>
      <w:r w:rsidR="0028384B">
        <w:rPr>
          <w:noProof/>
        </w:rPr>
        <w:t> </w:t>
      </w:r>
      <w:r w:rsidR="0028384B" w:rsidRPr="002F16A1">
        <w:rPr>
          <w:noProof/>
        </w:rPr>
        <w:t>pod</w:t>
      </w:r>
      <w:r w:rsidRPr="002F16A1">
        <w:rPr>
          <w:noProof/>
        </w:rPr>
        <w:t>aży</w:t>
      </w:r>
      <w:r w:rsidR="0028384B" w:rsidRPr="002F16A1">
        <w:rPr>
          <w:noProof/>
        </w:rPr>
        <w:t>. W</w:t>
      </w:r>
      <w:r w:rsidR="0028384B">
        <w:rPr>
          <w:noProof/>
        </w:rPr>
        <w:t> </w:t>
      </w:r>
      <w:r w:rsidR="0028384B" w:rsidRPr="002F16A1">
        <w:rPr>
          <w:noProof/>
        </w:rPr>
        <w:t>ram</w:t>
      </w:r>
      <w:r w:rsidRPr="002F16A1">
        <w:rPr>
          <w:noProof/>
        </w:rPr>
        <w:t>ach tego podejścia należy określić surowce niezbędne do osiągnięcia unijnych celów związanych</w:t>
      </w:r>
      <w:r w:rsidR="0028384B" w:rsidRPr="002F16A1">
        <w:rPr>
          <w:noProof/>
        </w:rPr>
        <w:t xml:space="preserve"> z</w:t>
      </w:r>
      <w:r w:rsidR="0028384B">
        <w:rPr>
          <w:noProof/>
        </w:rPr>
        <w:t> </w:t>
      </w:r>
      <w:r w:rsidR="0028384B" w:rsidRPr="002F16A1">
        <w:rPr>
          <w:noProof/>
        </w:rPr>
        <w:t>dwo</w:t>
      </w:r>
      <w:r w:rsidRPr="002F16A1">
        <w:rPr>
          <w:noProof/>
        </w:rPr>
        <w:t>jaką transformacją oraz celów</w:t>
      </w:r>
      <w:r w:rsidR="0028384B" w:rsidRPr="002F16A1">
        <w:rPr>
          <w:noProof/>
        </w:rPr>
        <w:t xml:space="preserve"> w</w:t>
      </w:r>
      <w:r w:rsidR="0028384B">
        <w:rPr>
          <w:noProof/>
        </w:rPr>
        <w:t> </w:t>
      </w:r>
      <w:r w:rsidR="0028384B" w:rsidRPr="002F16A1">
        <w:rPr>
          <w:noProof/>
        </w:rPr>
        <w:t>zak</w:t>
      </w:r>
      <w:r w:rsidRPr="002F16A1">
        <w:rPr>
          <w:noProof/>
        </w:rPr>
        <w:t>resie obrony</w:t>
      </w:r>
      <w:r w:rsidR="0028384B" w:rsidRPr="002F16A1">
        <w:rPr>
          <w:noProof/>
        </w:rPr>
        <w:t xml:space="preserve"> i</w:t>
      </w:r>
      <w:r w:rsidR="0028384B">
        <w:rPr>
          <w:noProof/>
        </w:rPr>
        <w:t> </w:t>
      </w:r>
      <w:r w:rsidR="0028384B" w:rsidRPr="002F16A1">
        <w:rPr>
          <w:noProof/>
        </w:rPr>
        <w:t>tec</w:t>
      </w:r>
      <w:r w:rsidRPr="002F16A1">
        <w:rPr>
          <w:noProof/>
        </w:rPr>
        <w:t>hniki lotniczej</w:t>
      </w:r>
      <w:r w:rsidR="0028384B" w:rsidRPr="002F16A1">
        <w:rPr>
          <w:noProof/>
        </w:rPr>
        <w:t xml:space="preserve"> i</w:t>
      </w:r>
      <w:r w:rsidR="0028384B">
        <w:rPr>
          <w:noProof/>
        </w:rPr>
        <w:t> </w:t>
      </w:r>
      <w:r w:rsidR="0028384B" w:rsidRPr="002F16A1">
        <w:rPr>
          <w:noProof/>
        </w:rPr>
        <w:t>kos</w:t>
      </w:r>
      <w:r w:rsidRPr="002F16A1">
        <w:rPr>
          <w:noProof/>
        </w:rPr>
        <w:t>micznej,</w:t>
      </w:r>
      <w:r w:rsidR="0028384B" w:rsidRPr="002F16A1">
        <w:rPr>
          <w:noProof/>
        </w:rPr>
        <w:t xml:space="preserve"> a</w:t>
      </w:r>
      <w:r w:rsidR="0028384B">
        <w:rPr>
          <w:noProof/>
        </w:rPr>
        <w:t> </w:t>
      </w:r>
      <w:r w:rsidR="0028384B" w:rsidRPr="002F16A1">
        <w:rPr>
          <w:noProof/>
        </w:rPr>
        <w:t>tak</w:t>
      </w:r>
      <w:r w:rsidRPr="002F16A1">
        <w:rPr>
          <w:noProof/>
        </w:rPr>
        <w:t>że przeanalizować przyszłe wyzwania</w:t>
      </w:r>
      <w:r w:rsidR="0028384B" w:rsidRPr="002F16A1">
        <w:rPr>
          <w:noProof/>
        </w:rPr>
        <w:t xml:space="preserve"> i</w:t>
      </w:r>
      <w:r w:rsidR="0028384B">
        <w:rPr>
          <w:noProof/>
        </w:rPr>
        <w:t> </w:t>
      </w:r>
      <w:r w:rsidR="0028384B" w:rsidRPr="002F16A1">
        <w:rPr>
          <w:noProof/>
        </w:rPr>
        <w:t>klu</w:t>
      </w:r>
      <w:r w:rsidRPr="002F16A1">
        <w:rPr>
          <w:noProof/>
        </w:rPr>
        <w:t>czowe zależności</w:t>
      </w:r>
      <w:r w:rsidR="0028384B" w:rsidRPr="002F16A1">
        <w:rPr>
          <w:noProof/>
        </w:rPr>
        <w:t xml:space="preserve"> w</w:t>
      </w:r>
      <w:r w:rsidR="0028384B">
        <w:rPr>
          <w:noProof/>
        </w:rPr>
        <w:t> </w:t>
      </w:r>
      <w:r w:rsidR="0028384B" w:rsidRPr="002F16A1">
        <w:rPr>
          <w:noProof/>
        </w:rPr>
        <w:t>zak</w:t>
      </w:r>
      <w:r w:rsidRPr="002F16A1">
        <w:rPr>
          <w:noProof/>
        </w:rPr>
        <w:t>resie dostaw tych surowców</w:t>
      </w:r>
      <w:r w:rsidRPr="0028384B">
        <w:rPr>
          <w:noProof/>
        </w:rPr>
        <w:t>.</w:t>
      </w:r>
      <w:r w:rsidR="0028384B" w:rsidRPr="0028384B">
        <w:rPr>
          <w:noProof/>
        </w:rPr>
        <w:t xml:space="preserve"> </w:t>
      </w:r>
    </w:p>
    <w:p w:rsidR="005B605E" w:rsidRPr="002F16A1" w:rsidRDefault="005B605E" w:rsidP="005B605E">
      <w:pPr>
        <w:pBdr>
          <w:top w:val="single" w:sz="4" w:space="1" w:color="auto"/>
          <w:left w:val="single" w:sz="4" w:space="4" w:color="auto"/>
          <w:bottom w:val="single" w:sz="4" w:space="1" w:color="auto"/>
          <w:right w:val="single" w:sz="4" w:space="4" w:color="auto"/>
        </w:pBdr>
        <w:rPr>
          <w:noProof/>
        </w:rPr>
      </w:pPr>
      <w:r w:rsidRPr="002F16A1">
        <w:rPr>
          <w:noProof/>
        </w:rPr>
        <w:t>Wszystkie surowce poddane przeglądowi</w:t>
      </w:r>
      <w:r w:rsidR="0028384B" w:rsidRPr="002F16A1">
        <w:rPr>
          <w:noProof/>
        </w:rPr>
        <w:t xml:space="preserve"> w</w:t>
      </w:r>
      <w:r w:rsidR="0028384B">
        <w:rPr>
          <w:noProof/>
        </w:rPr>
        <w:t> </w:t>
      </w:r>
      <w:r w:rsidR="0028384B" w:rsidRPr="002F16A1">
        <w:rPr>
          <w:noProof/>
        </w:rPr>
        <w:t>ram</w:t>
      </w:r>
      <w:r w:rsidRPr="002F16A1">
        <w:rPr>
          <w:noProof/>
        </w:rPr>
        <w:t>ach oceny ich krytyczności są przyporządkowane zgodnie</w:t>
      </w:r>
      <w:r w:rsidR="0028384B" w:rsidRPr="002F16A1">
        <w:rPr>
          <w:noProof/>
        </w:rPr>
        <w:t xml:space="preserve"> z</w:t>
      </w:r>
      <w:r w:rsidR="0028384B">
        <w:rPr>
          <w:noProof/>
        </w:rPr>
        <w:t> </w:t>
      </w:r>
      <w:r w:rsidR="0028384B" w:rsidRPr="002F16A1">
        <w:rPr>
          <w:noProof/>
        </w:rPr>
        <w:t>ich</w:t>
      </w:r>
      <w:r w:rsidRPr="002F16A1">
        <w:rPr>
          <w:noProof/>
        </w:rPr>
        <w:t xml:space="preserve"> zastosowaniem</w:t>
      </w:r>
      <w:r w:rsidR="0028384B" w:rsidRPr="002F16A1">
        <w:rPr>
          <w:noProof/>
        </w:rPr>
        <w:t xml:space="preserve"> i</w:t>
      </w:r>
      <w:r w:rsidR="0028384B">
        <w:rPr>
          <w:noProof/>
        </w:rPr>
        <w:t> </w:t>
      </w:r>
      <w:r w:rsidR="0028384B" w:rsidRPr="002F16A1">
        <w:rPr>
          <w:noProof/>
        </w:rPr>
        <w:t>zna</w:t>
      </w:r>
      <w:r w:rsidRPr="002F16A1">
        <w:rPr>
          <w:noProof/>
        </w:rPr>
        <w:t>czeniem dla technologii wspierających osiąganie celów związanych</w:t>
      </w:r>
      <w:r w:rsidR="0028384B" w:rsidRPr="002F16A1">
        <w:rPr>
          <w:noProof/>
        </w:rPr>
        <w:t xml:space="preserve"> z</w:t>
      </w:r>
      <w:r w:rsidR="0028384B">
        <w:rPr>
          <w:noProof/>
        </w:rPr>
        <w:t> </w:t>
      </w:r>
      <w:r w:rsidR="0028384B" w:rsidRPr="002F16A1">
        <w:rPr>
          <w:noProof/>
        </w:rPr>
        <w:t>dwo</w:t>
      </w:r>
      <w:r w:rsidRPr="002F16A1">
        <w:rPr>
          <w:noProof/>
        </w:rPr>
        <w:t>jaką transformacją – ekologiczną</w:t>
      </w:r>
      <w:r w:rsidR="0028384B" w:rsidRPr="002F16A1">
        <w:rPr>
          <w:noProof/>
        </w:rPr>
        <w:t xml:space="preserve"> i</w:t>
      </w:r>
      <w:r w:rsidR="0028384B">
        <w:rPr>
          <w:noProof/>
        </w:rPr>
        <w:t> </w:t>
      </w:r>
      <w:r w:rsidR="0028384B" w:rsidRPr="002F16A1">
        <w:rPr>
          <w:noProof/>
        </w:rPr>
        <w:t>cyf</w:t>
      </w:r>
      <w:r w:rsidRPr="002F16A1">
        <w:rPr>
          <w:noProof/>
        </w:rPr>
        <w:t>rową – oraz celów</w:t>
      </w:r>
      <w:r w:rsidR="0028384B" w:rsidRPr="002F16A1">
        <w:rPr>
          <w:noProof/>
        </w:rPr>
        <w:t xml:space="preserve"> w</w:t>
      </w:r>
      <w:r w:rsidR="0028384B">
        <w:rPr>
          <w:noProof/>
        </w:rPr>
        <w:t> </w:t>
      </w:r>
      <w:r w:rsidR="0028384B" w:rsidRPr="002F16A1">
        <w:rPr>
          <w:noProof/>
        </w:rPr>
        <w:t>zak</w:t>
      </w:r>
      <w:r w:rsidRPr="002F16A1">
        <w:rPr>
          <w:noProof/>
        </w:rPr>
        <w:t>resie obrony</w:t>
      </w:r>
      <w:r w:rsidR="0028384B" w:rsidRPr="002F16A1">
        <w:rPr>
          <w:noProof/>
        </w:rPr>
        <w:t xml:space="preserve"> i</w:t>
      </w:r>
      <w:r w:rsidR="0028384B">
        <w:rPr>
          <w:noProof/>
        </w:rPr>
        <w:t> </w:t>
      </w:r>
      <w:r w:rsidR="0028384B" w:rsidRPr="002F16A1">
        <w:rPr>
          <w:noProof/>
        </w:rPr>
        <w:t>tec</w:t>
      </w:r>
      <w:r w:rsidRPr="002F16A1">
        <w:rPr>
          <w:noProof/>
        </w:rPr>
        <w:t>hniki lotniczej</w:t>
      </w:r>
      <w:r w:rsidR="0028384B" w:rsidRPr="002F16A1">
        <w:rPr>
          <w:noProof/>
        </w:rPr>
        <w:t xml:space="preserve"> i</w:t>
      </w:r>
      <w:r w:rsidR="0028384B">
        <w:rPr>
          <w:noProof/>
        </w:rPr>
        <w:t> </w:t>
      </w:r>
      <w:r w:rsidR="0028384B" w:rsidRPr="002F16A1">
        <w:rPr>
          <w:noProof/>
        </w:rPr>
        <w:t>kos</w:t>
      </w:r>
      <w:r w:rsidRPr="002F16A1">
        <w:rPr>
          <w:noProof/>
        </w:rPr>
        <w:t xml:space="preserve">micznej. Aby dokonać takiego jakościowego przyporządkowania, przeprowadzono analizę opartą na następujących publikacjach: </w:t>
      </w:r>
      <w:r w:rsidRPr="002F16A1">
        <w:rPr>
          <w:i/>
          <w:iCs/>
          <w:noProof/>
        </w:rPr>
        <w:t>Materials Dependencies for Dual-Use Technologies Relevant to Europe's Defense Sector</w:t>
      </w:r>
      <w:r w:rsidRPr="002F16A1">
        <w:rPr>
          <w:noProof/>
        </w:rPr>
        <w:t xml:space="preserve"> [</w:t>
      </w:r>
      <w:r w:rsidRPr="002F16A1">
        <w:rPr>
          <w:i/>
          <w:iCs/>
          <w:noProof/>
        </w:rPr>
        <w:t>Zależności materiałowe</w:t>
      </w:r>
      <w:r w:rsidR="0028384B" w:rsidRPr="002F16A1">
        <w:rPr>
          <w:i/>
          <w:iCs/>
          <w:noProof/>
        </w:rPr>
        <w:t xml:space="preserve"> w</w:t>
      </w:r>
      <w:r w:rsidR="0028384B">
        <w:rPr>
          <w:i/>
          <w:iCs/>
          <w:noProof/>
        </w:rPr>
        <w:t> </w:t>
      </w:r>
      <w:r w:rsidR="0028384B" w:rsidRPr="002F16A1">
        <w:rPr>
          <w:i/>
          <w:iCs/>
          <w:noProof/>
        </w:rPr>
        <w:t>tec</w:t>
      </w:r>
      <w:r w:rsidRPr="002F16A1">
        <w:rPr>
          <w:i/>
          <w:iCs/>
          <w:noProof/>
        </w:rPr>
        <w:t>hnologiach podwójnego zastosowania istotnych dla europejskiego sektora obronnego</w:t>
      </w:r>
      <w:r w:rsidRPr="002F16A1">
        <w:rPr>
          <w:noProof/>
        </w:rPr>
        <w:t>]</w:t>
      </w:r>
      <w:r w:rsidRPr="002F16A1">
        <w:rPr>
          <w:rStyle w:val="FootnoteReference"/>
          <w:noProof/>
        </w:rPr>
        <w:footnoteReference w:id="23"/>
      </w:r>
      <w:r w:rsidR="0028384B" w:rsidRPr="002F16A1">
        <w:rPr>
          <w:noProof/>
        </w:rPr>
        <w:t xml:space="preserve"> z</w:t>
      </w:r>
      <w:r w:rsidR="0028384B">
        <w:rPr>
          <w:noProof/>
        </w:rPr>
        <w:t> </w:t>
      </w:r>
      <w:r w:rsidR="0028384B" w:rsidRPr="002F16A1">
        <w:rPr>
          <w:noProof/>
        </w:rPr>
        <w:t>2</w:t>
      </w:r>
      <w:r w:rsidRPr="002F16A1">
        <w:rPr>
          <w:noProof/>
        </w:rPr>
        <w:t>0</w:t>
      </w:r>
      <w:r w:rsidRPr="0028384B">
        <w:rPr>
          <w:noProof/>
        </w:rPr>
        <w:t>19</w:t>
      </w:r>
      <w:r w:rsidR="0028384B" w:rsidRPr="0028384B">
        <w:rPr>
          <w:noProof/>
        </w:rPr>
        <w:t> </w:t>
      </w:r>
      <w:r w:rsidRPr="0028384B">
        <w:rPr>
          <w:noProof/>
        </w:rPr>
        <w:t>r.</w:t>
      </w:r>
      <w:r w:rsidRPr="002F16A1">
        <w:rPr>
          <w:noProof/>
        </w:rPr>
        <w:t xml:space="preserve">, </w:t>
      </w:r>
      <w:r w:rsidRPr="002F16A1">
        <w:rPr>
          <w:i/>
          <w:iCs/>
          <w:noProof/>
        </w:rPr>
        <w:t>Critical Raw Materials for Strategic Technologies and Sectors –</w:t>
      </w:r>
      <w:r w:rsidR="0028384B" w:rsidRPr="002F16A1">
        <w:rPr>
          <w:i/>
          <w:iCs/>
          <w:noProof/>
        </w:rPr>
        <w:t xml:space="preserve"> a</w:t>
      </w:r>
      <w:r w:rsidR="0028384B">
        <w:rPr>
          <w:i/>
          <w:iCs/>
          <w:noProof/>
        </w:rPr>
        <w:t> </w:t>
      </w:r>
      <w:r w:rsidR="0028384B" w:rsidRPr="002F16A1">
        <w:rPr>
          <w:i/>
          <w:iCs/>
          <w:noProof/>
        </w:rPr>
        <w:t>For</w:t>
      </w:r>
      <w:r w:rsidRPr="002F16A1">
        <w:rPr>
          <w:i/>
          <w:iCs/>
          <w:noProof/>
        </w:rPr>
        <w:t>esight Study</w:t>
      </w:r>
      <w:r w:rsidRPr="002F16A1">
        <w:rPr>
          <w:rStyle w:val="FootnoteReference"/>
          <w:noProof/>
        </w:rPr>
        <w:footnoteReference w:id="24"/>
      </w:r>
      <w:r w:rsidRPr="002F16A1">
        <w:rPr>
          <w:noProof/>
        </w:rPr>
        <w:t xml:space="preserve"> [</w:t>
      </w:r>
      <w:r w:rsidRPr="002F16A1">
        <w:rPr>
          <w:i/>
          <w:iCs/>
          <w:noProof/>
        </w:rPr>
        <w:t>Surowce krytyczne na potrzeby strategicznych technologii</w:t>
      </w:r>
      <w:r w:rsidR="0028384B" w:rsidRPr="002F16A1">
        <w:rPr>
          <w:i/>
          <w:iCs/>
          <w:noProof/>
        </w:rPr>
        <w:t xml:space="preserve"> i</w:t>
      </w:r>
      <w:r w:rsidR="0028384B">
        <w:rPr>
          <w:i/>
          <w:iCs/>
          <w:noProof/>
        </w:rPr>
        <w:t> </w:t>
      </w:r>
      <w:r w:rsidR="0028384B" w:rsidRPr="002F16A1">
        <w:rPr>
          <w:i/>
          <w:iCs/>
          <w:noProof/>
        </w:rPr>
        <w:t>sek</w:t>
      </w:r>
      <w:r w:rsidRPr="002F16A1">
        <w:rPr>
          <w:i/>
          <w:iCs/>
          <w:noProof/>
        </w:rPr>
        <w:t>torów – badanie prospektywne</w:t>
      </w:r>
      <w:r w:rsidRPr="002F16A1">
        <w:rPr>
          <w:noProof/>
        </w:rPr>
        <w:t xml:space="preserve">], </w:t>
      </w:r>
      <w:r w:rsidRPr="002F16A1">
        <w:rPr>
          <w:i/>
          <w:iCs/>
          <w:noProof/>
        </w:rPr>
        <w:t>Study on the resilience of critical supply chains for energy security and clean energy transition during and after the COVID-19 crisis</w:t>
      </w:r>
      <w:r w:rsidRPr="002F16A1">
        <w:rPr>
          <w:rStyle w:val="FootnoteReference"/>
          <w:noProof/>
        </w:rPr>
        <w:footnoteReference w:id="25"/>
      </w:r>
      <w:r w:rsidRPr="002F16A1">
        <w:rPr>
          <w:noProof/>
        </w:rPr>
        <w:t xml:space="preserve"> [</w:t>
      </w:r>
      <w:r w:rsidRPr="002F16A1">
        <w:rPr>
          <w:i/>
          <w:iCs/>
          <w:noProof/>
        </w:rPr>
        <w:t>Badanie dotyczące odporności łańcuchów dostaw</w:t>
      </w:r>
      <w:r w:rsidR="0028384B" w:rsidRPr="002F16A1">
        <w:rPr>
          <w:i/>
          <w:iCs/>
          <w:noProof/>
        </w:rPr>
        <w:t xml:space="preserve"> o</w:t>
      </w:r>
      <w:r w:rsidR="0028384B">
        <w:rPr>
          <w:i/>
          <w:iCs/>
          <w:noProof/>
        </w:rPr>
        <w:t> </w:t>
      </w:r>
      <w:r w:rsidR="0028384B" w:rsidRPr="002F16A1">
        <w:rPr>
          <w:i/>
          <w:iCs/>
          <w:noProof/>
        </w:rPr>
        <w:t>kry</w:t>
      </w:r>
      <w:r w:rsidRPr="002F16A1">
        <w:rPr>
          <w:i/>
          <w:iCs/>
          <w:noProof/>
        </w:rPr>
        <w:t>tycznym znaczeniu dla bezpieczeństwa energetycznego</w:t>
      </w:r>
      <w:r w:rsidR="0028384B" w:rsidRPr="002F16A1">
        <w:rPr>
          <w:i/>
          <w:iCs/>
          <w:noProof/>
        </w:rPr>
        <w:t xml:space="preserve"> i</w:t>
      </w:r>
      <w:r w:rsidR="0028384B">
        <w:rPr>
          <w:i/>
          <w:iCs/>
          <w:noProof/>
        </w:rPr>
        <w:t> </w:t>
      </w:r>
      <w:r w:rsidR="0028384B" w:rsidRPr="002F16A1">
        <w:rPr>
          <w:i/>
          <w:iCs/>
          <w:noProof/>
        </w:rPr>
        <w:t>prz</w:t>
      </w:r>
      <w:r w:rsidRPr="002F16A1">
        <w:rPr>
          <w:i/>
          <w:iCs/>
          <w:noProof/>
        </w:rPr>
        <w:t>ejścia na czystą energię podczas kryzysu związanego z COVID-19</w:t>
      </w:r>
      <w:r w:rsidR="0028384B" w:rsidRPr="002F16A1">
        <w:rPr>
          <w:i/>
          <w:iCs/>
          <w:noProof/>
        </w:rPr>
        <w:t xml:space="preserve"> i</w:t>
      </w:r>
      <w:r w:rsidR="0028384B">
        <w:rPr>
          <w:i/>
          <w:iCs/>
          <w:noProof/>
        </w:rPr>
        <w:t> </w:t>
      </w:r>
      <w:r w:rsidR="0028384B" w:rsidRPr="002F16A1">
        <w:rPr>
          <w:i/>
          <w:iCs/>
          <w:noProof/>
        </w:rPr>
        <w:t>póź</w:t>
      </w:r>
      <w:r w:rsidRPr="002F16A1">
        <w:rPr>
          <w:i/>
          <w:iCs/>
          <w:noProof/>
        </w:rPr>
        <w:t>niej</w:t>
      </w:r>
      <w:r w:rsidRPr="002F16A1">
        <w:rPr>
          <w:noProof/>
        </w:rPr>
        <w:t>]</w:t>
      </w:r>
      <w:r w:rsidR="0028384B" w:rsidRPr="002F16A1">
        <w:rPr>
          <w:noProof/>
        </w:rPr>
        <w:t xml:space="preserve"> z</w:t>
      </w:r>
      <w:r w:rsidR="0028384B">
        <w:rPr>
          <w:noProof/>
        </w:rPr>
        <w:t> </w:t>
      </w:r>
      <w:r w:rsidR="0028384B" w:rsidRPr="002F16A1">
        <w:rPr>
          <w:noProof/>
        </w:rPr>
        <w:t>2</w:t>
      </w:r>
      <w:r w:rsidRPr="002F16A1">
        <w:rPr>
          <w:noProof/>
        </w:rPr>
        <w:t>0</w:t>
      </w:r>
      <w:r w:rsidRPr="0028384B">
        <w:rPr>
          <w:noProof/>
        </w:rPr>
        <w:t>20</w:t>
      </w:r>
      <w:r w:rsidR="0028384B" w:rsidRPr="0028384B">
        <w:rPr>
          <w:noProof/>
        </w:rPr>
        <w:t> </w:t>
      </w:r>
      <w:r w:rsidRPr="0028384B">
        <w:rPr>
          <w:noProof/>
        </w:rPr>
        <w:t>r.</w:t>
      </w:r>
      <w:r w:rsidRPr="002F16A1">
        <w:rPr>
          <w:noProof/>
        </w:rPr>
        <w:t xml:space="preserve"> oraz </w:t>
      </w:r>
      <w:r w:rsidRPr="002F16A1">
        <w:rPr>
          <w:i/>
          <w:iCs/>
          <w:noProof/>
        </w:rPr>
        <w:t>Supply Chain Analysis and Material Demand Forecast in Strategic Technologies and Sectors in the EU – A Foresight Study</w:t>
      </w:r>
      <w:r w:rsidRPr="002F16A1">
        <w:rPr>
          <w:rStyle w:val="FootnoteReference"/>
          <w:noProof/>
        </w:rPr>
        <w:footnoteReference w:id="26"/>
      </w:r>
      <w:r w:rsidRPr="002F16A1">
        <w:rPr>
          <w:noProof/>
        </w:rPr>
        <w:t xml:space="preserve"> [</w:t>
      </w:r>
      <w:r w:rsidRPr="002F16A1">
        <w:rPr>
          <w:i/>
          <w:iCs/>
          <w:noProof/>
        </w:rPr>
        <w:t>Analiza łańcucha dostaw</w:t>
      </w:r>
      <w:r w:rsidR="0028384B" w:rsidRPr="002F16A1">
        <w:rPr>
          <w:i/>
          <w:iCs/>
          <w:noProof/>
        </w:rPr>
        <w:t xml:space="preserve"> i</w:t>
      </w:r>
      <w:r w:rsidR="0028384B">
        <w:rPr>
          <w:i/>
          <w:iCs/>
          <w:noProof/>
        </w:rPr>
        <w:t> </w:t>
      </w:r>
      <w:r w:rsidR="0028384B" w:rsidRPr="002F16A1">
        <w:rPr>
          <w:i/>
          <w:iCs/>
          <w:noProof/>
        </w:rPr>
        <w:t>pro</w:t>
      </w:r>
      <w:r w:rsidRPr="002F16A1">
        <w:rPr>
          <w:i/>
          <w:iCs/>
          <w:noProof/>
        </w:rPr>
        <w:t>gnoza popytu na materiały</w:t>
      </w:r>
      <w:r w:rsidR="0028384B" w:rsidRPr="002F16A1">
        <w:rPr>
          <w:i/>
          <w:iCs/>
          <w:noProof/>
        </w:rPr>
        <w:t xml:space="preserve"> w</w:t>
      </w:r>
      <w:r w:rsidR="0028384B">
        <w:rPr>
          <w:i/>
          <w:iCs/>
          <w:noProof/>
        </w:rPr>
        <w:t> </w:t>
      </w:r>
      <w:r w:rsidR="0028384B" w:rsidRPr="002F16A1">
        <w:rPr>
          <w:i/>
          <w:iCs/>
          <w:noProof/>
        </w:rPr>
        <w:t>tec</w:t>
      </w:r>
      <w:r w:rsidRPr="002F16A1">
        <w:rPr>
          <w:i/>
          <w:iCs/>
          <w:noProof/>
        </w:rPr>
        <w:t>hnologiach</w:t>
      </w:r>
      <w:r w:rsidR="0028384B" w:rsidRPr="002F16A1">
        <w:rPr>
          <w:i/>
          <w:iCs/>
          <w:noProof/>
        </w:rPr>
        <w:t xml:space="preserve"> i</w:t>
      </w:r>
      <w:r w:rsidR="0028384B">
        <w:rPr>
          <w:i/>
          <w:iCs/>
          <w:noProof/>
        </w:rPr>
        <w:t> </w:t>
      </w:r>
      <w:r w:rsidR="0028384B" w:rsidRPr="002F16A1">
        <w:rPr>
          <w:i/>
          <w:iCs/>
          <w:noProof/>
        </w:rPr>
        <w:t>sek</w:t>
      </w:r>
      <w:r w:rsidRPr="002F16A1">
        <w:rPr>
          <w:i/>
          <w:iCs/>
          <w:noProof/>
        </w:rPr>
        <w:t>torach strategicznych w UE – badanie prospektywne</w:t>
      </w:r>
      <w:r w:rsidRPr="002F16A1">
        <w:rPr>
          <w:noProof/>
        </w:rPr>
        <w:t>]</w:t>
      </w:r>
      <w:r w:rsidR="0028384B" w:rsidRPr="002F16A1">
        <w:rPr>
          <w:noProof/>
        </w:rPr>
        <w:t xml:space="preserve"> z</w:t>
      </w:r>
      <w:r w:rsidR="0028384B">
        <w:rPr>
          <w:noProof/>
        </w:rPr>
        <w:t> </w:t>
      </w:r>
      <w:r w:rsidR="0028384B" w:rsidRPr="002F16A1">
        <w:rPr>
          <w:noProof/>
        </w:rPr>
        <w:t>2</w:t>
      </w:r>
      <w:r w:rsidRPr="002F16A1">
        <w:rPr>
          <w:noProof/>
        </w:rPr>
        <w:t>0</w:t>
      </w:r>
      <w:r w:rsidRPr="0028384B">
        <w:rPr>
          <w:noProof/>
        </w:rPr>
        <w:t>23</w:t>
      </w:r>
      <w:r w:rsidR="0028384B" w:rsidRPr="0028384B">
        <w:rPr>
          <w:noProof/>
        </w:rPr>
        <w:t> </w:t>
      </w:r>
      <w:r w:rsidRPr="0028384B">
        <w:rPr>
          <w:noProof/>
        </w:rPr>
        <w:t>r</w:t>
      </w:r>
      <w:r w:rsidR="0028384B" w:rsidRPr="0028384B">
        <w:rPr>
          <w:noProof/>
        </w:rPr>
        <w:t>.</w:t>
      </w:r>
      <w:r w:rsidR="0028384B" w:rsidRPr="002F16A1">
        <w:rPr>
          <w:noProof/>
        </w:rPr>
        <w:t xml:space="preserve"> W</w:t>
      </w:r>
      <w:r w:rsidR="0028384B">
        <w:rPr>
          <w:noProof/>
        </w:rPr>
        <w:t> </w:t>
      </w:r>
      <w:r w:rsidR="0028384B" w:rsidRPr="002F16A1">
        <w:rPr>
          <w:noProof/>
        </w:rPr>
        <w:t>ana</w:t>
      </w:r>
      <w:r w:rsidRPr="002F16A1">
        <w:rPr>
          <w:noProof/>
        </w:rPr>
        <w:t>lizie tej uwzględniono również prace odpowiednich organizacji międzynarodowych, takich jak Międzynarodowa Agencja Energetyczna</w:t>
      </w:r>
      <w:r w:rsidRPr="002F16A1">
        <w:rPr>
          <w:rStyle w:val="FootnoteReference"/>
          <w:noProof/>
        </w:rPr>
        <w:footnoteReference w:id="27"/>
      </w:r>
      <w:r w:rsidRPr="002F16A1">
        <w:rPr>
          <w:noProof/>
        </w:rPr>
        <w:t xml:space="preserve"> czy OECD</w:t>
      </w:r>
      <w:r w:rsidRPr="002F16A1">
        <w:rPr>
          <w:rStyle w:val="FootnoteReference"/>
          <w:noProof/>
        </w:rPr>
        <w:footnoteReference w:id="28"/>
      </w:r>
      <w:r w:rsidRPr="002F16A1">
        <w:rPr>
          <w:noProof/>
        </w:rPr>
        <w:t xml:space="preserve"> oraz inne źródła danych. </w:t>
      </w:r>
    </w:p>
    <w:p w:rsidR="005B605E" w:rsidRPr="002F16A1" w:rsidRDefault="005B605E" w:rsidP="005B605E">
      <w:pPr>
        <w:pBdr>
          <w:top w:val="single" w:sz="4" w:space="1" w:color="auto"/>
          <w:left w:val="single" w:sz="4" w:space="4" w:color="auto"/>
          <w:bottom w:val="single" w:sz="4" w:space="1" w:color="auto"/>
          <w:right w:val="single" w:sz="4" w:space="4" w:color="auto"/>
        </w:pBdr>
        <w:rPr>
          <w:noProof/>
        </w:rPr>
      </w:pPr>
      <w:r w:rsidRPr="002F16A1">
        <w:rPr>
          <w:noProof/>
        </w:rPr>
        <w:t>Jeżeli surowiec ma duże znaczenie dla danej technologii, brane są pod uwagę dodatkowe czynniki</w:t>
      </w:r>
      <w:r w:rsidR="0028384B" w:rsidRPr="002F16A1">
        <w:rPr>
          <w:noProof/>
        </w:rPr>
        <w:t xml:space="preserve"> w</w:t>
      </w:r>
      <w:r w:rsidR="0028384B">
        <w:rPr>
          <w:noProof/>
        </w:rPr>
        <w:t> </w:t>
      </w:r>
      <w:r w:rsidR="0028384B" w:rsidRPr="002F16A1">
        <w:rPr>
          <w:noProof/>
        </w:rPr>
        <w:t>opa</w:t>
      </w:r>
      <w:r w:rsidRPr="002F16A1">
        <w:rPr>
          <w:noProof/>
        </w:rPr>
        <w:t>rciu</w:t>
      </w:r>
      <w:r w:rsidR="0028384B" w:rsidRPr="002F16A1">
        <w:rPr>
          <w:noProof/>
        </w:rPr>
        <w:t xml:space="preserve"> o</w:t>
      </w:r>
      <w:r w:rsidR="0028384B">
        <w:rPr>
          <w:noProof/>
        </w:rPr>
        <w:t> </w:t>
      </w:r>
      <w:r w:rsidR="0028384B" w:rsidRPr="002F16A1">
        <w:rPr>
          <w:noProof/>
        </w:rPr>
        <w:t>pod</w:t>
      </w:r>
      <w:r w:rsidRPr="002F16A1">
        <w:rPr>
          <w:noProof/>
        </w:rPr>
        <w:t>ejście półilościowe określone</w:t>
      </w:r>
      <w:r w:rsidR="0028384B" w:rsidRPr="002F16A1">
        <w:rPr>
          <w:noProof/>
        </w:rPr>
        <w:t xml:space="preserve"> w</w:t>
      </w:r>
      <w:r w:rsidR="0028384B">
        <w:rPr>
          <w:noProof/>
        </w:rPr>
        <w:t> </w:t>
      </w:r>
      <w:r w:rsidR="0028384B" w:rsidRPr="002F16A1">
        <w:rPr>
          <w:noProof/>
        </w:rPr>
        <w:t>zał</w:t>
      </w:r>
      <w:r w:rsidRPr="002F16A1">
        <w:rPr>
          <w:noProof/>
        </w:rPr>
        <w:t>ączniku I do niniejszego rozporządzenia</w:t>
      </w:r>
      <w:r w:rsidR="0028384B" w:rsidRPr="002F16A1">
        <w:rPr>
          <w:noProof/>
        </w:rPr>
        <w:t>. W</w:t>
      </w:r>
      <w:r w:rsidR="0028384B">
        <w:rPr>
          <w:noProof/>
        </w:rPr>
        <w:t> </w:t>
      </w:r>
      <w:r w:rsidR="0028384B" w:rsidRPr="002F16A1">
        <w:rPr>
          <w:noProof/>
        </w:rPr>
        <w:t>cel</w:t>
      </w:r>
      <w:r w:rsidRPr="002F16A1">
        <w:rPr>
          <w:noProof/>
        </w:rPr>
        <w:t>u oszacowania, czy może wystąpić luka</w:t>
      </w:r>
      <w:r w:rsidR="0028384B" w:rsidRPr="002F16A1">
        <w:rPr>
          <w:noProof/>
        </w:rPr>
        <w:t xml:space="preserve"> w</w:t>
      </w:r>
      <w:r w:rsidR="0028384B">
        <w:rPr>
          <w:noProof/>
        </w:rPr>
        <w:t> </w:t>
      </w:r>
      <w:r w:rsidR="0028384B" w:rsidRPr="002F16A1">
        <w:rPr>
          <w:noProof/>
        </w:rPr>
        <w:t>pod</w:t>
      </w:r>
      <w:r w:rsidRPr="002F16A1">
        <w:rPr>
          <w:noProof/>
        </w:rPr>
        <w:t>aży,</w:t>
      </w:r>
      <w:r w:rsidR="0028384B" w:rsidRPr="002F16A1">
        <w:rPr>
          <w:noProof/>
        </w:rPr>
        <w:t xml:space="preserve"> a</w:t>
      </w:r>
      <w:r w:rsidR="0028384B">
        <w:rPr>
          <w:noProof/>
        </w:rPr>
        <w:t> </w:t>
      </w:r>
      <w:r w:rsidR="0028384B" w:rsidRPr="002F16A1">
        <w:rPr>
          <w:noProof/>
        </w:rPr>
        <w:t>jeż</w:t>
      </w:r>
      <w:r w:rsidRPr="002F16A1">
        <w:rPr>
          <w:noProof/>
        </w:rPr>
        <w:t>eli tak, to na jaką skalę,</w:t>
      </w:r>
      <w:r w:rsidR="0028384B" w:rsidRPr="002F16A1">
        <w:rPr>
          <w:noProof/>
        </w:rPr>
        <w:t xml:space="preserve"> w</w:t>
      </w:r>
      <w:r w:rsidR="0028384B">
        <w:rPr>
          <w:noProof/>
        </w:rPr>
        <w:t> </w:t>
      </w:r>
      <w:r w:rsidR="0028384B" w:rsidRPr="002F16A1">
        <w:rPr>
          <w:noProof/>
        </w:rPr>
        <w:t>moż</w:t>
      </w:r>
      <w:r w:rsidRPr="002F16A1">
        <w:rPr>
          <w:noProof/>
        </w:rPr>
        <w:t>liwie wiarygodnym</w:t>
      </w:r>
      <w:r w:rsidR="0028384B" w:rsidRPr="002F16A1">
        <w:rPr>
          <w:noProof/>
        </w:rPr>
        <w:t xml:space="preserve"> i</w:t>
      </w:r>
      <w:r w:rsidR="0028384B">
        <w:rPr>
          <w:noProof/>
        </w:rPr>
        <w:t> </w:t>
      </w:r>
      <w:r w:rsidR="0028384B" w:rsidRPr="002F16A1">
        <w:rPr>
          <w:noProof/>
        </w:rPr>
        <w:t>dos</w:t>
      </w:r>
      <w:r w:rsidRPr="002F16A1">
        <w:rPr>
          <w:noProof/>
        </w:rPr>
        <w:t xml:space="preserve">tępnym zakresie określa się prognozy popytu </w:t>
      </w:r>
      <w:r w:rsidRPr="0028384B">
        <w:rPr>
          <w:noProof/>
        </w:rPr>
        <w:t>do</w:t>
      </w:r>
      <w:r w:rsidR="0028384B" w:rsidRPr="0028384B">
        <w:rPr>
          <w:noProof/>
        </w:rPr>
        <w:t> </w:t>
      </w:r>
      <w:r w:rsidRPr="0028384B">
        <w:rPr>
          <w:noProof/>
        </w:rPr>
        <w:t>2</w:t>
      </w:r>
      <w:r w:rsidRPr="002F16A1">
        <w:rPr>
          <w:noProof/>
        </w:rPr>
        <w:t>0</w:t>
      </w:r>
      <w:r w:rsidRPr="0028384B">
        <w:rPr>
          <w:noProof/>
        </w:rPr>
        <w:t>30</w:t>
      </w:r>
      <w:r w:rsidR="0028384B" w:rsidRPr="0028384B">
        <w:rPr>
          <w:noProof/>
        </w:rPr>
        <w:t> </w:t>
      </w:r>
      <w:r w:rsidRPr="0028384B">
        <w:rPr>
          <w:noProof/>
        </w:rPr>
        <w:t>r.</w:t>
      </w:r>
      <w:r w:rsidR="0028384B" w:rsidRPr="002F16A1">
        <w:rPr>
          <w:noProof/>
        </w:rPr>
        <w:t xml:space="preserve"> i</w:t>
      </w:r>
      <w:r w:rsidR="0028384B">
        <w:rPr>
          <w:noProof/>
        </w:rPr>
        <w:t> </w:t>
      </w:r>
      <w:r w:rsidR="0028384B" w:rsidRPr="002F16A1">
        <w:rPr>
          <w:noProof/>
        </w:rPr>
        <w:t>póź</w:t>
      </w:r>
      <w:r w:rsidRPr="002F16A1">
        <w:rPr>
          <w:noProof/>
        </w:rPr>
        <w:t>niej oraz porównuje się prognozowany popyt</w:t>
      </w:r>
      <w:r w:rsidR="0028384B" w:rsidRPr="002F16A1">
        <w:rPr>
          <w:noProof/>
        </w:rPr>
        <w:t xml:space="preserve"> z</w:t>
      </w:r>
      <w:r w:rsidR="0028384B">
        <w:rPr>
          <w:noProof/>
        </w:rPr>
        <w:t> </w:t>
      </w:r>
      <w:r w:rsidR="0028384B" w:rsidRPr="002F16A1">
        <w:rPr>
          <w:noProof/>
        </w:rPr>
        <w:t>obe</w:t>
      </w:r>
      <w:r w:rsidRPr="002F16A1">
        <w:rPr>
          <w:noProof/>
        </w:rPr>
        <w:t>cną podażą, zarówno</w:t>
      </w:r>
      <w:r w:rsidR="0028384B" w:rsidRPr="002F16A1">
        <w:rPr>
          <w:noProof/>
        </w:rPr>
        <w:t xml:space="preserve"> w</w:t>
      </w:r>
      <w:r w:rsidR="0028384B">
        <w:rPr>
          <w:noProof/>
        </w:rPr>
        <w:t> </w:t>
      </w:r>
      <w:r w:rsidR="0028384B" w:rsidRPr="002F16A1">
        <w:rPr>
          <w:noProof/>
        </w:rPr>
        <w:t>odn</w:t>
      </w:r>
      <w:r w:rsidRPr="002F16A1">
        <w:rPr>
          <w:noProof/>
        </w:rPr>
        <w:t>iesieniu do UE, jak</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ska</w:t>
      </w:r>
      <w:r w:rsidRPr="002F16A1">
        <w:rPr>
          <w:noProof/>
        </w:rPr>
        <w:t>li globalnej. Aby ocenić, jak produkcja surowca mogłaby reagować na sygnały płynące</w:t>
      </w:r>
      <w:r w:rsidR="0028384B" w:rsidRPr="002F16A1">
        <w:rPr>
          <w:noProof/>
        </w:rPr>
        <w:t xml:space="preserve"> z</w:t>
      </w:r>
      <w:r w:rsidR="0028384B">
        <w:rPr>
          <w:noProof/>
        </w:rPr>
        <w:t> </w:t>
      </w:r>
      <w:r w:rsidR="0028384B" w:rsidRPr="002F16A1">
        <w:rPr>
          <w:noProof/>
        </w:rPr>
        <w:t>ryn</w:t>
      </w:r>
      <w:r w:rsidRPr="002F16A1">
        <w:rPr>
          <w:noProof/>
        </w:rPr>
        <w:t>ku, znane zasoby danego surowca porównuje się</w:t>
      </w:r>
      <w:r w:rsidR="0028384B" w:rsidRPr="002F16A1">
        <w:rPr>
          <w:noProof/>
        </w:rPr>
        <w:t xml:space="preserve"> z</w:t>
      </w:r>
      <w:r w:rsidR="0028384B">
        <w:rPr>
          <w:noProof/>
        </w:rPr>
        <w:t> </w:t>
      </w:r>
      <w:r w:rsidR="0028384B" w:rsidRPr="002F16A1">
        <w:rPr>
          <w:noProof/>
        </w:rPr>
        <w:t>obe</w:t>
      </w:r>
      <w:r w:rsidRPr="002F16A1">
        <w:rPr>
          <w:noProof/>
        </w:rPr>
        <w:t>cną wielkością jego światowej produkcji. Wielkość produkcji światowej jest ponadto określana</w:t>
      </w:r>
      <w:r w:rsidR="0028384B" w:rsidRPr="002F16A1">
        <w:rPr>
          <w:noProof/>
        </w:rPr>
        <w:t xml:space="preserve"> w</w:t>
      </w:r>
      <w:r w:rsidR="0028384B">
        <w:rPr>
          <w:noProof/>
        </w:rPr>
        <w:t> </w:t>
      </w:r>
      <w:r w:rsidR="0028384B" w:rsidRPr="002F16A1">
        <w:rPr>
          <w:noProof/>
        </w:rPr>
        <w:t>uję</w:t>
      </w:r>
      <w:r w:rsidRPr="002F16A1">
        <w:rPr>
          <w:noProof/>
        </w:rPr>
        <w:t>ciu logarytmicznym, ponieważ trudniej jest odpowiednio zwiększyć duże wielkości produkcji</w:t>
      </w:r>
      <w:r w:rsidR="0028384B" w:rsidRPr="002F16A1">
        <w:rPr>
          <w:noProof/>
        </w:rPr>
        <w:t>. W</w:t>
      </w:r>
      <w:r w:rsidR="0028384B">
        <w:rPr>
          <w:noProof/>
        </w:rPr>
        <w:t> </w:t>
      </w:r>
      <w:r w:rsidR="0028384B" w:rsidRPr="002F16A1">
        <w:rPr>
          <w:noProof/>
        </w:rPr>
        <w:t>wyn</w:t>
      </w:r>
      <w:r w:rsidRPr="002F16A1">
        <w:rPr>
          <w:noProof/>
        </w:rPr>
        <w:t>iku tych rozważań zaproponowano wykaz surowców strategicznych określony</w:t>
      </w:r>
      <w:r w:rsidR="0028384B" w:rsidRPr="002F16A1">
        <w:rPr>
          <w:noProof/>
        </w:rPr>
        <w:t xml:space="preserve"> w</w:t>
      </w:r>
      <w:r w:rsidR="0028384B">
        <w:rPr>
          <w:noProof/>
        </w:rPr>
        <w:t> </w:t>
      </w:r>
      <w:r w:rsidR="0028384B" w:rsidRPr="002F16A1">
        <w:rPr>
          <w:noProof/>
        </w:rPr>
        <w:t>zał</w:t>
      </w:r>
      <w:r w:rsidRPr="002F16A1">
        <w:rPr>
          <w:noProof/>
        </w:rPr>
        <w:t>ączniku I.</w:t>
      </w:r>
    </w:p>
    <w:p w:rsidR="00AD62E2" w:rsidRPr="0028384B" w:rsidRDefault="00AD62E2" w:rsidP="00AD62E2">
      <w:pPr>
        <w:rPr>
          <w:noProof/>
        </w:rPr>
      </w:pPr>
      <w:r w:rsidRPr="002F16A1">
        <w:rPr>
          <w:noProof/>
        </w:rPr>
        <w:t xml:space="preserve">W </w:t>
      </w:r>
      <w:r w:rsidRPr="002F16A1">
        <w:rPr>
          <w:b/>
          <w:noProof/>
        </w:rPr>
        <w:t>rozdziale III</w:t>
      </w:r>
      <w:r w:rsidRPr="002F16A1">
        <w:rPr>
          <w:noProof/>
        </w:rPr>
        <w:t xml:space="preserve"> określono ramy służące wzmocnieniu unijnego łańcucha wartości surowców strategicznych dzięki wyselekcjonowaniu</w:t>
      </w:r>
      <w:r w:rsidR="0028384B" w:rsidRPr="002F16A1">
        <w:rPr>
          <w:noProof/>
        </w:rPr>
        <w:t xml:space="preserve"> i</w:t>
      </w:r>
      <w:r w:rsidR="0028384B">
        <w:rPr>
          <w:noProof/>
        </w:rPr>
        <w:t> </w:t>
      </w:r>
      <w:r w:rsidR="0028384B" w:rsidRPr="002F16A1">
        <w:rPr>
          <w:noProof/>
        </w:rPr>
        <w:t>rea</w:t>
      </w:r>
      <w:r w:rsidRPr="002F16A1">
        <w:rPr>
          <w:noProof/>
        </w:rPr>
        <w:t>lizacji projektów strategicznych, które będą kwalifikować się do usprawnionych procesów wydawania pozwoleń oraz ułatwionego dostępu do finansowania, co zostanie również usprawnione dzięki lepszej koordynacji</w:t>
      </w:r>
      <w:r w:rsidRPr="0028384B">
        <w:rPr>
          <w:noProof/>
        </w:rPr>
        <w:t>.</w:t>
      </w:r>
      <w:r w:rsidR="0028384B" w:rsidRPr="0028384B">
        <w:rPr>
          <w:noProof/>
        </w:rPr>
        <w:t xml:space="preserve"> </w:t>
      </w:r>
    </w:p>
    <w:p w:rsidR="00AD62E2" w:rsidRPr="002F16A1" w:rsidRDefault="00AD62E2" w:rsidP="00AD62E2">
      <w:pPr>
        <w:rPr>
          <w:noProof/>
        </w:rPr>
      </w:pPr>
      <w:r w:rsidRPr="002F16A1">
        <w:rPr>
          <w:noProof/>
        </w:rPr>
        <w:t>W sekcji 1 określono zasady dotyczące wyboru</w:t>
      </w:r>
      <w:r w:rsidR="0028384B" w:rsidRPr="002F16A1">
        <w:rPr>
          <w:noProof/>
        </w:rPr>
        <w:t xml:space="preserve"> i</w:t>
      </w:r>
      <w:r w:rsidR="0028384B">
        <w:rPr>
          <w:noProof/>
        </w:rPr>
        <w:t> </w:t>
      </w:r>
      <w:r w:rsidR="0028384B" w:rsidRPr="002F16A1">
        <w:rPr>
          <w:noProof/>
        </w:rPr>
        <w:t>rea</w:t>
      </w:r>
      <w:r w:rsidRPr="002F16A1">
        <w:rPr>
          <w:noProof/>
        </w:rPr>
        <w:t>lizacji projektów strategicznych,</w:t>
      </w:r>
      <w:r w:rsidR="0028384B" w:rsidRPr="002F16A1">
        <w:rPr>
          <w:noProof/>
        </w:rPr>
        <w:t xml:space="preserve"> w</w:t>
      </w:r>
      <w:r w:rsidR="0028384B">
        <w:rPr>
          <w:noProof/>
        </w:rPr>
        <w:t> </w:t>
      </w:r>
      <w:r w:rsidR="0028384B" w:rsidRPr="002F16A1">
        <w:rPr>
          <w:noProof/>
        </w:rPr>
        <w:t>tym</w:t>
      </w:r>
      <w:r w:rsidRPr="002F16A1">
        <w:rPr>
          <w:noProof/>
        </w:rPr>
        <w:t xml:space="preserve"> kryteria uznania projektu za projekt strategiczny oraz procedury takiego uznawania</w:t>
      </w:r>
      <w:r w:rsidR="0028384B" w:rsidRPr="002F16A1">
        <w:rPr>
          <w:noProof/>
        </w:rPr>
        <w:t xml:space="preserve"> i</w:t>
      </w:r>
      <w:r w:rsidR="0028384B">
        <w:rPr>
          <w:noProof/>
        </w:rPr>
        <w:t> </w:t>
      </w:r>
      <w:r w:rsidR="0028384B" w:rsidRPr="002F16A1">
        <w:rPr>
          <w:noProof/>
        </w:rPr>
        <w:t>rea</w:t>
      </w:r>
      <w:r w:rsidRPr="002F16A1">
        <w:rPr>
          <w:noProof/>
        </w:rPr>
        <w:t xml:space="preserve">lizacji projektów. </w:t>
      </w:r>
    </w:p>
    <w:p w:rsidR="00AD62E2" w:rsidRPr="002F16A1" w:rsidRDefault="00AD62E2" w:rsidP="00AD62E2">
      <w:pPr>
        <w:rPr>
          <w:noProof/>
        </w:rPr>
      </w:pPr>
      <w:r w:rsidRPr="002F16A1">
        <w:rPr>
          <w:noProof/>
        </w:rPr>
        <w:t>W sekcji 2 określono usprawnione procesy wydawania pozwoleń</w:t>
      </w:r>
      <w:r w:rsidR="0028384B" w:rsidRPr="002F16A1">
        <w:rPr>
          <w:noProof/>
        </w:rPr>
        <w:t xml:space="preserve"> w</w:t>
      </w:r>
      <w:r w:rsidR="0028384B">
        <w:rPr>
          <w:noProof/>
        </w:rPr>
        <w:t> </w:t>
      </w:r>
      <w:r w:rsidR="0028384B" w:rsidRPr="002F16A1">
        <w:rPr>
          <w:noProof/>
        </w:rPr>
        <w:t>odn</w:t>
      </w:r>
      <w:r w:rsidRPr="002F16A1">
        <w:rPr>
          <w:noProof/>
        </w:rPr>
        <w:t>iesieniu do projektów dotyczących surowców krytycznych,</w:t>
      </w:r>
      <w:r w:rsidR="0028384B" w:rsidRPr="002F16A1">
        <w:rPr>
          <w:noProof/>
        </w:rPr>
        <w:t xml:space="preserve"> a</w:t>
      </w:r>
      <w:r w:rsidR="0028384B">
        <w:rPr>
          <w:noProof/>
        </w:rPr>
        <w:t> </w:t>
      </w:r>
      <w:r w:rsidR="0028384B" w:rsidRPr="002F16A1">
        <w:rPr>
          <w:noProof/>
        </w:rPr>
        <w:t>w</w:t>
      </w:r>
      <w:r w:rsidR="0028384B">
        <w:rPr>
          <w:noProof/>
        </w:rPr>
        <w:t> </w:t>
      </w:r>
      <w:r w:rsidR="0028384B" w:rsidRPr="002F16A1">
        <w:rPr>
          <w:noProof/>
        </w:rPr>
        <w:t>szc</w:t>
      </w:r>
      <w:r w:rsidRPr="002F16A1">
        <w:rPr>
          <w:noProof/>
        </w:rPr>
        <w:t>zególności projektów strategicznych.</w:t>
      </w:r>
    </w:p>
    <w:p w:rsidR="00AD62E2" w:rsidRPr="002F16A1" w:rsidRDefault="00AD62E2" w:rsidP="00AD62E2">
      <w:pPr>
        <w:rPr>
          <w:noProof/>
        </w:rPr>
      </w:pPr>
      <w:r w:rsidRPr="002F16A1">
        <w:rPr>
          <w:noProof/>
        </w:rPr>
        <w:t>Celem przepisów zawartych</w:t>
      </w:r>
      <w:r w:rsidR="0028384B" w:rsidRPr="002F16A1">
        <w:rPr>
          <w:noProof/>
        </w:rPr>
        <w:t xml:space="preserve"> w</w:t>
      </w:r>
      <w:r w:rsidR="0028384B">
        <w:rPr>
          <w:noProof/>
        </w:rPr>
        <w:t> </w:t>
      </w:r>
      <w:r w:rsidR="0028384B" w:rsidRPr="002F16A1">
        <w:rPr>
          <w:noProof/>
        </w:rPr>
        <w:t>sek</w:t>
      </w:r>
      <w:r w:rsidRPr="002F16A1">
        <w:rPr>
          <w:noProof/>
        </w:rPr>
        <w:t>cji 3 jest zapewnienie warunków podstawowych na potrzeby projektów strategicznych,</w:t>
      </w:r>
      <w:r w:rsidR="0028384B" w:rsidRPr="002F16A1">
        <w:rPr>
          <w:noProof/>
        </w:rPr>
        <w:t xml:space="preserve"> w</w:t>
      </w:r>
      <w:r w:rsidR="0028384B">
        <w:rPr>
          <w:noProof/>
        </w:rPr>
        <w:t> </w:t>
      </w:r>
      <w:r w:rsidR="0028384B" w:rsidRPr="002F16A1">
        <w:rPr>
          <w:noProof/>
        </w:rPr>
        <w:t>tym</w:t>
      </w:r>
      <w:r w:rsidRPr="002F16A1">
        <w:rPr>
          <w:noProof/>
        </w:rPr>
        <w:t xml:space="preserve"> wsparcia państw członkowskich</w:t>
      </w:r>
      <w:r w:rsidR="0028384B" w:rsidRPr="002F16A1">
        <w:rPr>
          <w:noProof/>
        </w:rPr>
        <w:t xml:space="preserve"> w</w:t>
      </w:r>
      <w:r w:rsidR="0028384B">
        <w:rPr>
          <w:noProof/>
        </w:rPr>
        <w:t> </w:t>
      </w:r>
      <w:r w:rsidR="0028384B" w:rsidRPr="002F16A1">
        <w:rPr>
          <w:noProof/>
        </w:rPr>
        <w:t>cel</w:t>
      </w:r>
      <w:r w:rsidRPr="002F16A1">
        <w:rPr>
          <w:noProof/>
        </w:rPr>
        <w:t>u przyspieszenia realizacji tych projektów, koordynacji pomocy finansowej</w:t>
      </w:r>
      <w:r w:rsidR="0028384B" w:rsidRPr="002F16A1">
        <w:rPr>
          <w:noProof/>
        </w:rPr>
        <w:t xml:space="preserve"> i</w:t>
      </w:r>
      <w:r w:rsidR="0028384B">
        <w:rPr>
          <w:noProof/>
        </w:rPr>
        <w:t> </w:t>
      </w:r>
      <w:r w:rsidR="0028384B" w:rsidRPr="002F16A1">
        <w:rPr>
          <w:noProof/>
        </w:rPr>
        <w:t>uła</w:t>
      </w:r>
      <w:r w:rsidRPr="002F16A1">
        <w:rPr>
          <w:noProof/>
        </w:rPr>
        <w:t>twienia zawierania umów odbioru.</w:t>
      </w:r>
    </w:p>
    <w:p w:rsidR="00AD62E2" w:rsidRPr="002F16A1" w:rsidRDefault="00AD62E2" w:rsidP="00AD62E2">
      <w:pPr>
        <w:rPr>
          <w:noProof/>
        </w:rPr>
      </w:pPr>
      <w:r w:rsidRPr="002F16A1">
        <w:rPr>
          <w:noProof/>
        </w:rPr>
        <w:t>W sekcji 4 zawarto przepisy dotyczące opracowania programów poszukiwań ogólnych</w:t>
      </w:r>
      <w:r w:rsidR="0028384B" w:rsidRPr="002F16A1">
        <w:rPr>
          <w:noProof/>
        </w:rPr>
        <w:t xml:space="preserve"> w</w:t>
      </w:r>
      <w:r w:rsidR="0028384B">
        <w:rPr>
          <w:noProof/>
        </w:rPr>
        <w:t> </w:t>
      </w:r>
      <w:r w:rsidR="0028384B" w:rsidRPr="002F16A1">
        <w:rPr>
          <w:noProof/>
        </w:rPr>
        <w:t>Eur</w:t>
      </w:r>
      <w:r w:rsidRPr="002F16A1">
        <w:rPr>
          <w:noProof/>
        </w:rPr>
        <w:t>opie</w:t>
      </w:r>
      <w:r w:rsidR="0028384B" w:rsidRPr="002F16A1">
        <w:rPr>
          <w:noProof/>
        </w:rPr>
        <w:t xml:space="preserve"> w</w:t>
      </w:r>
      <w:r w:rsidR="0028384B">
        <w:rPr>
          <w:noProof/>
        </w:rPr>
        <w:t> </w:t>
      </w:r>
      <w:r w:rsidR="0028384B" w:rsidRPr="002F16A1">
        <w:rPr>
          <w:noProof/>
        </w:rPr>
        <w:t>cel</w:t>
      </w:r>
      <w:r w:rsidRPr="002F16A1">
        <w:rPr>
          <w:noProof/>
        </w:rPr>
        <w:t>u ułatwienia realizacji projektów dotyczących poszukiwań</w:t>
      </w:r>
      <w:r w:rsidR="0028384B" w:rsidRPr="002F16A1">
        <w:rPr>
          <w:noProof/>
        </w:rPr>
        <w:t xml:space="preserve"> i</w:t>
      </w:r>
      <w:r w:rsidR="0028384B">
        <w:rPr>
          <w:noProof/>
        </w:rPr>
        <w:t> </w:t>
      </w:r>
      <w:r w:rsidR="0028384B" w:rsidRPr="002F16A1">
        <w:rPr>
          <w:noProof/>
        </w:rPr>
        <w:t>wyd</w:t>
      </w:r>
      <w:r w:rsidRPr="002F16A1">
        <w:rPr>
          <w:noProof/>
        </w:rPr>
        <w:t>obycia.</w:t>
      </w:r>
    </w:p>
    <w:p w:rsidR="00AD62E2" w:rsidRPr="0028384B" w:rsidRDefault="00AD62E2" w:rsidP="000154FC">
      <w:pPr>
        <w:rPr>
          <w:noProof/>
        </w:rPr>
      </w:pPr>
      <w:r w:rsidRPr="002F16A1">
        <w:rPr>
          <w:noProof/>
        </w:rPr>
        <w:t xml:space="preserve">W </w:t>
      </w:r>
      <w:r w:rsidRPr="002F16A1">
        <w:rPr>
          <w:b/>
          <w:noProof/>
        </w:rPr>
        <w:t>rozdziale IV</w:t>
      </w:r>
      <w:r w:rsidRPr="002F16A1">
        <w:rPr>
          <w:noProof/>
        </w:rPr>
        <w:t xml:space="preserve"> opracowano mechanizm skoordynowanego monitorowania łańcuchów dostaw surowców krytycznych</w:t>
      </w:r>
      <w:r w:rsidR="0028384B" w:rsidRPr="002F16A1">
        <w:rPr>
          <w:noProof/>
        </w:rPr>
        <w:t xml:space="preserve"> i</w:t>
      </w:r>
      <w:r w:rsidR="0028384B">
        <w:rPr>
          <w:noProof/>
        </w:rPr>
        <w:t> </w:t>
      </w:r>
      <w:r w:rsidR="0028384B" w:rsidRPr="002F16A1">
        <w:rPr>
          <w:noProof/>
        </w:rPr>
        <w:t>prz</w:t>
      </w:r>
      <w:r w:rsidRPr="002F16A1">
        <w:rPr>
          <w:noProof/>
        </w:rPr>
        <w:t>edstawiono środki służące ograniczeniu ryzyka związanego</w:t>
      </w:r>
      <w:r w:rsidR="0028384B" w:rsidRPr="002F16A1">
        <w:rPr>
          <w:noProof/>
        </w:rPr>
        <w:t xml:space="preserve"> z</w:t>
      </w:r>
      <w:r w:rsidR="0028384B">
        <w:rPr>
          <w:noProof/>
        </w:rPr>
        <w:t> </w:t>
      </w:r>
      <w:r w:rsidR="0028384B" w:rsidRPr="002F16A1">
        <w:rPr>
          <w:noProof/>
        </w:rPr>
        <w:t>dos</w:t>
      </w:r>
      <w:r w:rsidRPr="002F16A1">
        <w:rPr>
          <w:noProof/>
        </w:rPr>
        <w:t>tawami. Określono</w:t>
      </w:r>
      <w:r w:rsidR="0028384B" w:rsidRPr="002F16A1">
        <w:rPr>
          <w:noProof/>
        </w:rPr>
        <w:t xml:space="preserve"> w</w:t>
      </w:r>
      <w:r w:rsidR="0028384B">
        <w:rPr>
          <w:noProof/>
        </w:rPr>
        <w:t> </w:t>
      </w:r>
      <w:r w:rsidR="0028384B" w:rsidRPr="002F16A1">
        <w:rPr>
          <w:noProof/>
        </w:rPr>
        <w:t>nim</w:t>
      </w:r>
      <w:r w:rsidRPr="002F16A1">
        <w:rPr>
          <w:noProof/>
        </w:rPr>
        <w:t xml:space="preserve"> ramy systematycznego monitorowania ryzyka związanego</w:t>
      </w:r>
      <w:r w:rsidR="0028384B" w:rsidRPr="002F16A1">
        <w:rPr>
          <w:noProof/>
        </w:rPr>
        <w:t xml:space="preserve"> z</w:t>
      </w:r>
      <w:r w:rsidR="0028384B">
        <w:rPr>
          <w:noProof/>
        </w:rPr>
        <w:t> </w:t>
      </w:r>
      <w:r w:rsidR="0028384B" w:rsidRPr="002F16A1">
        <w:rPr>
          <w:noProof/>
        </w:rPr>
        <w:t>dos</w:t>
      </w:r>
      <w:r w:rsidRPr="002F16A1">
        <w:rPr>
          <w:noProof/>
        </w:rPr>
        <w:t>tawami surowców krytycznych na różnych etapach łańcuchów wartości. Ustanowiono</w:t>
      </w:r>
      <w:r w:rsidR="0028384B" w:rsidRPr="002F16A1">
        <w:rPr>
          <w:noProof/>
        </w:rPr>
        <w:t xml:space="preserve"> w</w:t>
      </w:r>
      <w:r w:rsidR="0028384B">
        <w:rPr>
          <w:noProof/>
        </w:rPr>
        <w:t> </w:t>
      </w:r>
      <w:r w:rsidR="0028384B" w:rsidRPr="002F16A1">
        <w:rPr>
          <w:noProof/>
        </w:rPr>
        <w:t>nim</w:t>
      </w:r>
      <w:r w:rsidRPr="002F16A1">
        <w:rPr>
          <w:noProof/>
        </w:rPr>
        <w:t xml:space="preserve"> również ramy ograniczania ryzyka przez koordynację zapasów strategicznych surowców strategicznych, wymaganie od dużych importerów</w:t>
      </w:r>
      <w:r w:rsidR="0028384B" w:rsidRPr="002F16A1">
        <w:rPr>
          <w:noProof/>
        </w:rPr>
        <w:t xml:space="preserve"> i</w:t>
      </w:r>
      <w:r w:rsidR="0028384B">
        <w:rPr>
          <w:noProof/>
        </w:rPr>
        <w:t> </w:t>
      </w:r>
      <w:r w:rsidR="0028384B" w:rsidRPr="002F16A1">
        <w:rPr>
          <w:noProof/>
        </w:rPr>
        <w:t>pro</w:t>
      </w:r>
      <w:r w:rsidRPr="002F16A1">
        <w:rPr>
          <w:noProof/>
        </w:rPr>
        <w:t>ducentów regularnego kontrolowania swoich łańcuchów dostaw oraz ułatwienie dokonywania wspólnych zakupów surowców strategicznych</w:t>
      </w:r>
      <w:r w:rsidRPr="0028384B">
        <w:rPr>
          <w:noProof/>
        </w:rPr>
        <w:t>.</w:t>
      </w:r>
      <w:r w:rsidR="0028384B" w:rsidRPr="0028384B">
        <w:rPr>
          <w:noProof/>
        </w:rPr>
        <w:t xml:space="preserve"> </w:t>
      </w:r>
    </w:p>
    <w:p w:rsidR="00AD62E2" w:rsidRPr="002F16A1" w:rsidRDefault="00AD62E2" w:rsidP="00AD62E2">
      <w:pPr>
        <w:rPr>
          <w:noProof/>
        </w:rPr>
      </w:pPr>
      <w:r w:rsidRPr="002F16A1">
        <w:rPr>
          <w:noProof/>
        </w:rPr>
        <w:t xml:space="preserve">W </w:t>
      </w:r>
      <w:r w:rsidRPr="002F16A1">
        <w:rPr>
          <w:b/>
          <w:noProof/>
        </w:rPr>
        <w:t>rozdziale V</w:t>
      </w:r>
      <w:r w:rsidRPr="002F16A1">
        <w:rPr>
          <w:noProof/>
        </w:rPr>
        <w:t xml:space="preserve"> zawarto przepisy dotyczące stworzenia obiegu zamkniętego surowców krytycznych oraz zmniejszenia śladu środowiskowego surowców krytycznych. </w:t>
      </w:r>
    </w:p>
    <w:p w:rsidR="00AD62E2" w:rsidRPr="002F16A1" w:rsidRDefault="00AD62E2" w:rsidP="00AD62E2">
      <w:pPr>
        <w:rPr>
          <w:noProof/>
        </w:rPr>
      </w:pPr>
      <w:r w:rsidRPr="002F16A1">
        <w:rPr>
          <w:noProof/>
        </w:rPr>
        <w:t>W sekcji 1 określono zasady dla państw członkowskich dotyczące uchwalania</w:t>
      </w:r>
      <w:r w:rsidR="0028384B" w:rsidRPr="002F16A1">
        <w:rPr>
          <w:noProof/>
        </w:rPr>
        <w:t xml:space="preserve"> i</w:t>
      </w:r>
      <w:r w:rsidR="0028384B">
        <w:rPr>
          <w:noProof/>
        </w:rPr>
        <w:t> </w:t>
      </w:r>
      <w:r w:rsidR="0028384B" w:rsidRPr="002F16A1">
        <w:rPr>
          <w:noProof/>
        </w:rPr>
        <w:t>wdr</w:t>
      </w:r>
      <w:r w:rsidRPr="002F16A1">
        <w:rPr>
          <w:noProof/>
        </w:rPr>
        <w:t>ażania środków</w:t>
      </w:r>
      <w:r w:rsidR="0028384B" w:rsidRPr="002F16A1">
        <w:rPr>
          <w:noProof/>
        </w:rPr>
        <w:t xml:space="preserve"> w</w:t>
      </w:r>
      <w:r w:rsidR="0028384B">
        <w:rPr>
          <w:noProof/>
        </w:rPr>
        <w:t> </w:t>
      </w:r>
      <w:r w:rsidR="0028384B" w:rsidRPr="002F16A1">
        <w:rPr>
          <w:noProof/>
        </w:rPr>
        <w:t>zak</w:t>
      </w:r>
      <w:r w:rsidRPr="002F16A1">
        <w:rPr>
          <w:noProof/>
        </w:rPr>
        <w:t>resie obiegu zamkniętego,</w:t>
      </w:r>
      <w:r w:rsidR="0028384B" w:rsidRPr="002F16A1">
        <w:rPr>
          <w:noProof/>
        </w:rPr>
        <w:t xml:space="preserve"> w</w:t>
      </w:r>
      <w:r w:rsidR="0028384B">
        <w:rPr>
          <w:noProof/>
        </w:rPr>
        <w:t> </w:t>
      </w:r>
      <w:r w:rsidR="0028384B" w:rsidRPr="002F16A1">
        <w:rPr>
          <w:noProof/>
        </w:rPr>
        <w:t>szc</w:t>
      </w:r>
      <w:r w:rsidRPr="002F16A1">
        <w:rPr>
          <w:noProof/>
        </w:rPr>
        <w:t>zególności</w:t>
      </w:r>
      <w:r w:rsidR="0028384B" w:rsidRPr="002F16A1">
        <w:rPr>
          <w:noProof/>
        </w:rPr>
        <w:t xml:space="preserve"> w</w:t>
      </w:r>
      <w:r w:rsidR="0028384B">
        <w:rPr>
          <w:noProof/>
        </w:rPr>
        <w:t> </w:t>
      </w:r>
      <w:r w:rsidR="0028384B" w:rsidRPr="002F16A1">
        <w:rPr>
          <w:noProof/>
        </w:rPr>
        <w:t>odn</w:t>
      </w:r>
      <w:r w:rsidRPr="002F16A1">
        <w:rPr>
          <w:noProof/>
        </w:rPr>
        <w:t>iesieniu do strumieni odpadów charakteryzujących się wysokim potencjałem</w:t>
      </w:r>
      <w:r w:rsidR="0028384B" w:rsidRPr="002F16A1">
        <w:rPr>
          <w:noProof/>
        </w:rPr>
        <w:t xml:space="preserve"> w</w:t>
      </w:r>
      <w:r w:rsidR="0028384B">
        <w:rPr>
          <w:noProof/>
        </w:rPr>
        <w:t> </w:t>
      </w:r>
      <w:r w:rsidR="0028384B" w:rsidRPr="002F16A1">
        <w:rPr>
          <w:noProof/>
        </w:rPr>
        <w:t>zak</w:t>
      </w:r>
      <w:r w:rsidRPr="002F16A1">
        <w:rPr>
          <w:noProof/>
        </w:rPr>
        <w:t>resie odzyskiwania surowców krytycznych, jak również zasady dla państw członkowskich</w:t>
      </w:r>
      <w:r w:rsidR="0028384B" w:rsidRPr="002F16A1">
        <w:rPr>
          <w:noProof/>
        </w:rPr>
        <w:t xml:space="preserve"> i</w:t>
      </w:r>
      <w:r w:rsidR="0028384B">
        <w:rPr>
          <w:noProof/>
        </w:rPr>
        <w:t> </w:t>
      </w:r>
      <w:r w:rsidR="0028384B" w:rsidRPr="002F16A1">
        <w:rPr>
          <w:noProof/>
        </w:rPr>
        <w:t>pod</w:t>
      </w:r>
      <w:r w:rsidRPr="002F16A1">
        <w:rPr>
          <w:noProof/>
        </w:rPr>
        <w:t>miotów gospodarujących odpadami wydobywczymi dotyczące oceny potencjału</w:t>
      </w:r>
      <w:r w:rsidR="0028384B" w:rsidRPr="002F16A1">
        <w:rPr>
          <w:noProof/>
        </w:rPr>
        <w:t xml:space="preserve"> w</w:t>
      </w:r>
      <w:r w:rsidR="0028384B">
        <w:rPr>
          <w:noProof/>
        </w:rPr>
        <w:t> </w:t>
      </w:r>
      <w:r w:rsidR="0028384B" w:rsidRPr="002F16A1">
        <w:rPr>
          <w:noProof/>
        </w:rPr>
        <w:t>zak</w:t>
      </w:r>
      <w:r w:rsidRPr="002F16A1">
        <w:rPr>
          <w:noProof/>
        </w:rPr>
        <w:t>resie odzyskiwania surowców krytycznych ze składowisk odpadów wydobywczych. Określono</w:t>
      </w:r>
      <w:r w:rsidR="0028384B" w:rsidRPr="002F16A1">
        <w:rPr>
          <w:noProof/>
        </w:rPr>
        <w:t xml:space="preserve"> w</w:t>
      </w:r>
      <w:r w:rsidR="0028384B">
        <w:rPr>
          <w:noProof/>
        </w:rPr>
        <w:t> </w:t>
      </w:r>
      <w:r w:rsidR="0028384B" w:rsidRPr="002F16A1">
        <w:rPr>
          <w:noProof/>
        </w:rPr>
        <w:t>nie</w:t>
      </w:r>
      <w:r w:rsidRPr="002F16A1">
        <w:rPr>
          <w:noProof/>
        </w:rPr>
        <w:t>j również, jak zwiększyć obieg zamknięty magnesów trwałych za pomocą wprowadzenia wymogu informowania</w:t>
      </w:r>
      <w:r w:rsidR="0028384B" w:rsidRPr="002F16A1">
        <w:rPr>
          <w:noProof/>
        </w:rPr>
        <w:t xml:space="preserve"> o</w:t>
      </w:r>
      <w:r w:rsidR="0028384B">
        <w:rPr>
          <w:noProof/>
        </w:rPr>
        <w:t> </w:t>
      </w:r>
      <w:r w:rsidR="0028384B" w:rsidRPr="002F16A1">
        <w:rPr>
          <w:noProof/>
        </w:rPr>
        <w:t>rod</w:t>
      </w:r>
      <w:r w:rsidRPr="002F16A1">
        <w:rPr>
          <w:noProof/>
        </w:rPr>
        <w:t>zaju</w:t>
      </w:r>
      <w:r w:rsidR="0028384B" w:rsidRPr="002F16A1">
        <w:rPr>
          <w:noProof/>
        </w:rPr>
        <w:t xml:space="preserve"> i</w:t>
      </w:r>
      <w:r w:rsidR="0028384B">
        <w:rPr>
          <w:noProof/>
        </w:rPr>
        <w:t> </w:t>
      </w:r>
      <w:r w:rsidR="0028384B" w:rsidRPr="002F16A1">
        <w:rPr>
          <w:noProof/>
        </w:rPr>
        <w:t>skł</w:t>
      </w:r>
      <w:r w:rsidRPr="002F16A1">
        <w:rPr>
          <w:noProof/>
        </w:rPr>
        <w:t>adzie magnesów trwałych zawartych</w:t>
      </w:r>
      <w:r w:rsidR="0028384B" w:rsidRPr="002F16A1">
        <w:rPr>
          <w:noProof/>
        </w:rPr>
        <w:t xml:space="preserve"> w</w:t>
      </w:r>
      <w:r w:rsidR="0028384B">
        <w:rPr>
          <w:noProof/>
        </w:rPr>
        <w:t> </w:t>
      </w:r>
      <w:r w:rsidR="0028384B" w:rsidRPr="002F16A1">
        <w:rPr>
          <w:noProof/>
        </w:rPr>
        <w:t>pro</w:t>
      </w:r>
      <w:r w:rsidRPr="002F16A1">
        <w:rPr>
          <w:noProof/>
        </w:rPr>
        <w:t>duktach oraz</w:t>
      </w:r>
      <w:r w:rsidR="0028384B" w:rsidRPr="002F16A1">
        <w:rPr>
          <w:noProof/>
        </w:rPr>
        <w:t xml:space="preserve"> o</w:t>
      </w:r>
      <w:r w:rsidR="0028384B">
        <w:rPr>
          <w:noProof/>
        </w:rPr>
        <w:t> </w:t>
      </w:r>
      <w:r w:rsidR="0028384B" w:rsidRPr="002F16A1">
        <w:rPr>
          <w:noProof/>
        </w:rPr>
        <w:t>ich</w:t>
      </w:r>
      <w:r w:rsidRPr="002F16A1">
        <w:rPr>
          <w:noProof/>
        </w:rPr>
        <w:t xml:space="preserve"> zawartości surowców krytycznych pochodzących</w:t>
      </w:r>
      <w:r w:rsidR="0028384B" w:rsidRPr="002F16A1">
        <w:rPr>
          <w:noProof/>
        </w:rPr>
        <w:t xml:space="preserve"> z</w:t>
      </w:r>
      <w:r w:rsidR="0028384B">
        <w:rPr>
          <w:noProof/>
        </w:rPr>
        <w:t> </w:t>
      </w:r>
      <w:r w:rsidR="0028384B" w:rsidRPr="002F16A1">
        <w:rPr>
          <w:noProof/>
        </w:rPr>
        <w:t>rec</w:t>
      </w:r>
      <w:r w:rsidRPr="002F16A1">
        <w:rPr>
          <w:noProof/>
        </w:rPr>
        <w:t>yklingu. Ponadto przewidziano</w:t>
      </w:r>
      <w:r w:rsidR="0028384B" w:rsidRPr="002F16A1">
        <w:rPr>
          <w:noProof/>
        </w:rPr>
        <w:t xml:space="preserve"> w</w:t>
      </w:r>
      <w:r w:rsidR="0028384B">
        <w:rPr>
          <w:noProof/>
        </w:rPr>
        <w:t> </w:t>
      </w:r>
      <w:r w:rsidR="0028384B" w:rsidRPr="002F16A1">
        <w:rPr>
          <w:noProof/>
        </w:rPr>
        <w:t>nie</w:t>
      </w:r>
      <w:r w:rsidRPr="002F16A1">
        <w:rPr>
          <w:noProof/>
        </w:rPr>
        <w:t>j, że po przeprowadzeniu specjalnej oceny można wprowadzić minimalne progi zawartości materiałów</w:t>
      </w:r>
      <w:r w:rsidR="0028384B" w:rsidRPr="002F16A1">
        <w:rPr>
          <w:noProof/>
        </w:rPr>
        <w:t xml:space="preserve"> z</w:t>
      </w:r>
      <w:r w:rsidR="0028384B">
        <w:rPr>
          <w:noProof/>
        </w:rPr>
        <w:t> </w:t>
      </w:r>
      <w:r w:rsidR="0028384B" w:rsidRPr="002F16A1">
        <w:rPr>
          <w:noProof/>
        </w:rPr>
        <w:t>rec</w:t>
      </w:r>
      <w:r w:rsidRPr="002F16A1">
        <w:rPr>
          <w:noProof/>
        </w:rPr>
        <w:t xml:space="preserve">yklingu. </w:t>
      </w:r>
    </w:p>
    <w:p w:rsidR="001866FC" w:rsidRPr="002F16A1" w:rsidRDefault="001866FC" w:rsidP="00AD62E2">
      <w:pPr>
        <w:rPr>
          <w:noProof/>
        </w:rPr>
      </w:pPr>
      <w:r w:rsidRPr="002F16A1">
        <w:rPr>
          <w:noProof/>
        </w:rPr>
        <w:t>W sekcji 2 określono zasady uznawania przez Komisję systemów certyfikacji związanych ze zrównoważonym charakterem surowców krytycznych. Zawarto</w:t>
      </w:r>
      <w:r w:rsidR="0028384B" w:rsidRPr="002F16A1">
        <w:rPr>
          <w:noProof/>
        </w:rPr>
        <w:t xml:space="preserve"> w</w:t>
      </w:r>
      <w:r w:rsidR="0028384B">
        <w:rPr>
          <w:noProof/>
        </w:rPr>
        <w:t> </w:t>
      </w:r>
      <w:r w:rsidR="0028384B" w:rsidRPr="002F16A1">
        <w:rPr>
          <w:noProof/>
        </w:rPr>
        <w:t>nie</w:t>
      </w:r>
      <w:r w:rsidRPr="002F16A1">
        <w:rPr>
          <w:noProof/>
        </w:rPr>
        <w:t>j również przepisy dotyczące deklarowania śladu środowiskowego surowców krytycznych wprowadzanych na rynek UE.</w:t>
      </w:r>
    </w:p>
    <w:p w:rsidR="002B200B" w:rsidRPr="002F16A1" w:rsidRDefault="001866FC" w:rsidP="00AD62E2">
      <w:pPr>
        <w:rPr>
          <w:noProof/>
        </w:rPr>
      </w:pPr>
      <w:r w:rsidRPr="002F16A1">
        <w:rPr>
          <w:noProof/>
        </w:rPr>
        <w:t>W sekcji 3 określono przepisy dotyczące swobodnego przepływu, zgodności</w:t>
      </w:r>
      <w:r w:rsidR="0028384B" w:rsidRPr="002F16A1">
        <w:rPr>
          <w:noProof/>
        </w:rPr>
        <w:t xml:space="preserve"> i</w:t>
      </w:r>
      <w:r w:rsidR="0028384B">
        <w:rPr>
          <w:noProof/>
        </w:rPr>
        <w:t> </w:t>
      </w:r>
      <w:r w:rsidR="0028384B" w:rsidRPr="002F16A1">
        <w:rPr>
          <w:noProof/>
        </w:rPr>
        <w:t>nad</w:t>
      </w:r>
      <w:r w:rsidRPr="002F16A1">
        <w:rPr>
          <w:noProof/>
        </w:rPr>
        <w:t>zoru rynku</w:t>
      </w:r>
      <w:r w:rsidR="0028384B" w:rsidRPr="002F16A1">
        <w:rPr>
          <w:noProof/>
        </w:rPr>
        <w:t xml:space="preserve"> w</w:t>
      </w:r>
      <w:r w:rsidR="0028384B">
        <w:rPr>
          <w:noProof/>
        </w:rPr>
        <w:t> </w:t>
      </w:r>
      <w:r w:rsidR="0028384B" w:rsidRPr="002F16A1">
        <w:rPr>
          <w:noProof/>
        </w:rPr>
        <w:t>odn</w:t>
      </w:r>
      <w:r w:rsidRPr="002F16A1">
        <w:rPr>
          <w:noProof/>
        </w:rPr>
        <w:t>iesieniu do produktów zawierających magnesy trwałe</w:t>
      </w:r>
      <w:r w:rsidR="0028384B" w:rsidRPr="002F16A1">
        <w:rPr>
          <w:noProof/>
        </w:rPr>
        <w:t xml:space="preserve"> i</w:t>
      </w:r>
      <w:r w:rsidR="0028384B">
        <w:rPr>
          <w:noProof/>
        </w:rPr>
        <w:t> </w:t>
      </w:r>
      <w:r w:rsidR="0028384B" w:rsidRPr="002F16A1">
        <w:rPr>
          <w:noProof/>
        </w:rPr>
        <w:t>sur</w:t>
      </w:r>
      <w:r w:rsidRPr="002F16A1">
        <w:rPr>
          <w:noProof/>
        </w:rPr>
        <w:t>owce krytyczne, dla których należy zadeklarować ślad środowiskowy.</w:t>
      </w:r>
    </w:p>
    <w:p w:rsidR="00AD62E2" w:rsidRPr="002F16A1" w:rsidRDefault="00AD62E2" w:rsidP="00AD62E2">
      <w:pPr>
        <w:rPr>
          <w:noProof/>
        </w:rPr>
      </w:pPr>
      <w:r w:rsidRPr="002F16A1">
        <w:rPr>
          <w:noProof/>
        </w:rPr>
        <w:t xml:space="preserve">W </w:t>
      </w:r>
      <w:r w:rsidRPr="002F16A1">
        <w:rPr>
          <w:b/>
          <w:noProof/>
        </w:rPr>
        <w:t>rozdziale VI</w:t>
      </w:r>
      <w:r w:rsidRPr="002F16A1">
        <w:rPr>
          <w:noProof/>
        </w:rPr>
        <w:t xml:space="preserve"> określono ramy współpracy</w:t>
      </w:r>
      <w:r w:rsidR="0028384B" w:rsidRPr="002F16A1">
        <w:rPr>
          <w:noProof/>
        </w:rPr>
        <w:t xml:space="preserve"> w</w:t>
      </w:r>
      <w:r w:rsidR="0028384B">
        <w:rPr>
          <w:noProof/>
        </w:rPr>
        <w:t> </w:t>
      </w:r>
      <w:r w:rsidR="0028384B" w:rsidRPr="002F16A1">
        <w:rPr>
          <w:noProof/>
        </w:rPr>
        <w:t>zak</w:t>
      </w:r>
      <w:r w:rsidRPr="002F16A1">
        <w:rPr>
          <w:noProof/>
        </w:rPr>
        <w:t>resie partnerstw strategicznych</w:t>
      </w:r>
      <w:r w:rsidR="0028384B" w:rsidRPr="002F16A1">
        <w:rPr>
          <w:noProof/>
        </w:rPr>
        <w:t xml:space="preserve"> z</w:t>
      </w:r>
      <w:r w:rsidR="0028384B">
        <w:rPr>
          <w:noProof/>
        </w:rPr>
        <w:t> </w:t>
      </w:r>
      <w:r w:rsidR="0028384B" w:rsidRPr="002F16A1">
        <w:rPr>
          <w:noProof/>
        </w:rPr>
        <w:t>pań</w:t>
      </w:r>
      <w:r w:rsidRPr="002F16A1">
        <w:rPr>
          <w:noProof/>
        </w:rPr>
        <w:t>stwami trzecimi</w:t>
      </w:r>
      <w:r w:rsidR="0028384B" w:rsidRPr="002F16A1">
        <w:rPr>
          <w:noProof/>
        </w:rPr>
        <w:t xml:space="preserve"> w</w:t>
      </w:r>
      <w:r w:rsidR="0028384B">
        <w:rPr>
          <w:noProof/>
        </w:rPr>
        <w:t> </w:t>
      </w:r>
      <w:r w:rsidR="0028384B" w:rsidRPr="002F16A1">
        <w:rPr>
          <w:noProof/>
        </w:rPr>
        <w:t>odn</w:t>
      </w:r>
      <w:r w:rsidRPr="002F16A1">
        <w:rPr>
          <w:noProof/>
        </w:rPr>
        <w:t>iesieniu do surowców, które to ramy służą zwiększeniu synergii między partnerstwami strategicznymi</w:t>
      </w:r>
      <w:r w:rsidR="0028384B" w:rsidRPr="002F16A1">
        <w:rPr>
          <w:noProof/>
        </w:rPr>
        <w:t xml:space="preserve"> a</w:t>
      </w:r>
      <w:r w:rsidR="0028384B">
        <w:rPr>
          <w:noProof/>
        </w:rPr>
        <w:t> </w:t>
      </w:r>
      <w:r w:rsidR="0028384B" w:rsidRPr="002F16A1">
        <w:rPr>
          <w:noProof/>
        </w:rPr>
        <w:t>wsp</w:t>
      </w:r>
      <w:r w:rsidRPr="002F16A1">
        <w:rPr>
          <w:noProof/>
        </w:rPr>
        <w:t>ółpracą państw członkowskich</w:t>
      </w:r>
      <w:r w:rsidR="0028384B" w:rsidRPr="002F16A1">
        <w:rPr>
          <w:noProof/>
        </w:rPr>
        <w:t xml:space="preserve"> z</w:t>
      </w:r>
      <w:r w:rsidR="0028384B">
        <w:rPr>
          <w:noProof/>
        </w:rPr>
        <w:t> </w:t>
      </w:r>
      <w:r w:rsidR="0028384B" w:rsidRPr="002F16A1">
        <w:rPr>
          <w:noProof/>
        </w:rPr>
        <w:t>odp</w:t>
      </w:r>
      <w:r w:rsidRPr="002F16A1">
        <w:rPr>
          <w:noProof/>
        </w:rPr>
        <w:t>owiednimi państwami trzecimi.</w:t>
      </w:r>
    </w:p>
    <w:p w:rsidR="00AD62E2" w:rsidRPr="002F16A1" w:rsidRDefault="00AD62E2" w:rsidP="00AD62E2">
      <w:pPr>
        <w:rPr>
          <w:noProof/>
        </w:rPr>
      </w:pPr>
      <w:r w:rsidRPr="002F16A1">
        <w:rPr>
          <w:noProof/>
        </w:rPr>
        <w:t xml:space="preserve">W </w:t>
      </w:r>
      <w:r w:rsidRPr="002F16A1">
        <w:rPr>
          <w:b/>
          <w:noProof/>
        </w:rPr>
        <w:t>rozdziale VII</w:t>
      </w:r>
      <w:r w:rsidRPr="002F16A1">
        <w:rPr>
          <w:noProof/>
        </w:rPr>
        <w:t xml:space="preserve"> ustanawia się Europejską Radę ds. Surowców Krytycznych, składającą się</w:t>
      </w:r>
      <w:r w:rsidR="0028384B" w:rsidRPr="002F16A1">
        <w:rPr>
          <w:noProof/>
        </w:rPr>
        <w:t xml:space="preserve"> z</w:t>
      </w:r>
      <w:r w:rsidR="0028384B">
        <w:rPr>
          <w:noProof/>
        </w:rPr>
        <w:t> </w:t>
      </w:r>
      <w:r w:rsidR="0028384B" w:rsidRPr="002F16A1">
        <w:rPr>
          <w:noProof/>
        </w:rPr>
        <w:t>prz</w:t>
      </w:r>
      <w:r w:rsidRPr="002F16A1">
        <w:rPr>
          <w:noProof/>
        </w:rPr>
        <w:t>edstawicieli wysokiego szczebla pochodzących</w:t>
      </w:r>
      <w:r w:rsidR="0028384B" w:rsidRPr="002F16A1">
        <w:rPr>
          <w:noProof/>
        </w:rPr>
        <w:t xml:space="preserve"> z</w:t>
      </w:r>
      <w:r w:rsidR="0028384B">
        <w:rPr>
          <w:noProof/>
        </w:rPr>
        <w:t> </w:t>
      </w:r>
      <w:r w:rsidR="0028384B" w:rsidRPr="002F16A1">
        <w:rPr>
          <w:noProof/>
        </w:rPr>
        <w:t>pań</w:t>
      </w:r>
      <w:r w:rsidRPr="002F16A1">
        <w:rPr>
          <w:noProof/>
        </w:rPr>
        <w:t>stw członkowskich</w:t>
      </w:r>
      <w:r w:rsidR="0028384B" w:rsidRPr="002F16A1">
        <w:rPr>
          <w:noProof/>
        </w:rPr>
        <w:t xml:space="preserve"> i</w:t>
      </w:r>
      <w:r w:rsidR="0028384B">
        <w:rPr>
          <w:noProof/>
        </w:rPr>
        <w:t> </w:t>
      </w:r>
      <w:r w:rsidR="0028384B" w:rsidRPr="002F16A1">
        <w:rPr>
          <w:noProof/>
        </w:rPr>
        <w:t>Kom</w:t>
      </w:r>
      <w:r w:rsidRPr="002F16A1">
        <w:rPr>
          <w:noProof/>
        </w:rPr>
        <w:t>isji, która będzie przewodniczyła Radzie. Rada ta będzie doradzała Komisji oraz pomagała</w:t>
      </w:r>
      <w:r w:rsidR="0028384B" w:rsidRPr="002F16A1">
        <w:rPr>
          <w:noProof/>
        </w:rPr>
        <w:t xml:space="preserve"> w</w:t>
      </w:r>
      <w:r w:rsidR="0028384B">
        <w:rPr>
          <w:noProof/>
        </w:rPr>
        <w:t> </w:t>
      </w:r>
      <w:r w:rsidR="0028384B" w:rsidRPr="002F16A1">
        <w:rPr>
          <w:noProof/>
        </w:rPr>
        <w:t>koo</w:t>
      </w:r>
      <w:r w:rsidRPr="002F16A1">
        <w:rPr>
          <w:noProof/>
        </w:rPr>
        <w:t>rdynacji, współpracy</w:t>
      </w:r>
      <w:r w:rsidR="0028384B" w:rsidRPr="002F16A1">
        <w:rPr>
          <w:noProof/>
        </w:rPr>
        <w:t xml:space="preserve"> i</w:t>
      </w:r>
      <w:r w:rsidR="0028384B">
        <w:rPr>
          <w:noProof/>
        </w:rPr>
        <w:t> </w:t>
      </w:r>
      <w:r w:rsidR="0028384B" w:rsidRPr="002F16A1">
        <w:rPr>
          <w:noProof/>
        </w:rPr>
        <w:t>wym</w:t>
      </w:r>
      <w:r w:rsidRPr="002F16A1">
        <w:rPr>
          <w:noProof/>
        </w:rPr>
        <w:t>ianie informacji</w:t>
      </w:r>
      <w:r w:rsidR="0028384B" w:rsidRPr="002F16A1">
        <w:rPr>
          <w:noProof/>
        </w:rPr>
        <w:t xml:space="preserve"> w</w:t>
      </w:r>
      <w:r w:rsidR="0028384B">
        <w:rPr>
          <w:noProof/>
        </w:rPr>
        <w:t> </w:t>
      </w:r>
      <w:r w:rsidR="0028384B" w:rsidRPr="002F16A1">
        <w:rPr>
          <w:noProof/>
        </w:rPr>
        <w:t>cel</w:t>
      </w:r>
      <w:r w:rsidRPr="002F16A1">
        <w:rPr>
          <w:noProof/>
        </w:rPr>
        <w:t>u wsparcia wdrażania niniejszego rozporządzenia. </w:t>
      </w:r>
    </w:p>
    <w:p w:rsidR="00AD62E2" w:rsidRPr="002F16A1" w:rsidRDefault="00AD62E2" w:rsidP="00AD62E2">
      <w:pPr>
        <w:rPr>
          <w:noProof/>
        </w:rPr>
      </w:pPr>
      <w:r w:rsidRPr="002F16A1">
        <w:rPr>
          <w:noProof/>
        </w:rPr>
        <w:t xml:space="preserve">W </w:t>
      </w:r>
      <w:r w:rsidRPr="002F16A1">
        <w:rPr>
          <w:b/>
          <w:noProof/>
        </w:rPr>
        <w:t>rozdziałach VIII</w:t>
      </w:r>
      <w:r w:rsidRPr="002F16A1">
        <w:rPr>
          <w:noProof/>
        </w:rPr>
        <w:t xml:space="preserve"> </w:t>
      </w:r>
      <w:r w:rsidRPr="002F16A1">
        <w:rPr>
          <w:b/>
          <w:noProof/>
        </w:rPr>
        <w:t>i</w:t>
      </w:r>
      <w:r w:rsidRPr="002F16A1">
        <w:rPr>
          <w:noProof/>
        </w:rPr>
        <w:t xml:space="preserve"> </w:t>
      </w:r>
      <w:r w:rsidRPr="002F16A1">
        <w:rPr>
          <w:b/>
          <w:noProof/>
        </w:rPr>
        <w:t>IX</w:t>
      </w:r>
      <w:r w:rsidRPr="002F16A1">
        <w:rPr>
          <w:noProof/>
        </w:rPr>
        <w:t xml:space="preserve"> zawarto artykuły dotyczące aktów delegowanych</w:t>
      </w:r>
      <w:r w:rsidR="0028384B" w:rsidRPr="002F16A1">
        <w:rPr>
          <w:noProof/>
        </w:rPr>
        <w:t xml:space="preserve"> i</w:t>
      </w:r>
      <w:r w:rsidR="0028384B">
        <w:rPr>
          <w:noProof/>
        </w:rPr>
        <w:t> </w:t>
      </w:r>
      <w:r w:rsidR="0028384B" w:rsidRPr="002F16A1">
        <w:rPr>
          <w:noProof/>
        </w:rPr>
        <w:t>wyk</w:t>
      </w:r>
      <w:r w:rsidRPr="002F16A1">
        <w:rPr>
          <w:noProof/>
        </w:rPr>
        <w:t>onawczych oraz zmian</w:t>
      </w:r>
      <w:r w:rsidR="0028384B" w:rsidRPr="002F16A1">
        <w:rPr>
          <w:noProof/>
        </w:rPr>
        <w:t xml:space="preserve"> w</w:t>
      </w:r>
      <w:r w:rsidR="0028384B">
        <w:rPr>
          <w:noProof/>
        </w:rPr>
        <w:t> </w:t>
      </w:r>
      <w:r w:rsidR="0028384B" w:rsidRPr="002F16A1">
        <w:rPr>
          <w:noProof/>
        </w:rPr>
        <w:t>inn</w:t>
      </w:r>
      <w:r w:rsidRPr="002F16A1">
        <w:rPr>
          <w:noProof/>
        </w:rPr>
        <w:t>ych przepisach. </w:t>
      </w:r>
    </w:p>
    <w:p w:rsidR="00AD62E2" w:rsidRPr="002F16A1" w:rsidRDefault="00AD62E2" w:rsidP="00AD62E2">
      <w:pPr>
        <w:rPr>
          <w:noProof/>
        </w:rPr>
      </w:pPr>
      <w:r w:rsidRPr="002F16A1">
        <w:rPr>
          <w:noProof/>
        </w:rPr>
        <w:t xml:space="preserve">W </w:t>
      </w:r>
      <w:r w:rsidRPr="002F16A1">
        <w:rPr>
          <w:b/>
          <w:noProof/>
        </w:rPr>
        <w:t xml:space="preserve">rozdziale X </w:t>
      </w:r>
      <w:r w:rsidRPr="002F16A1">
        <w:rPr>
          <w:noProof/>
        </w:rPr>
        <w:t>zawarto artykuły dotyczące sankcji, postępów</w:t>
      </w:r>
      <w:r w:rsidR="0028384B" w:rsidRPr="002F16A1">
        <w:rPr>
          <w:noProof/>
        </w:rPr>
        <w:t xml:space="preserve"> w</w:t>
      </w:r>
      <w:r w:rsidR="0028384B">
        <w:rPr>
          <w:noProof/>
        </w:rPr>
        <w:t> </w:t>
      </w:r>
      <w:r w:rsidR="0028384B" w:rsidRPr="002F16A1">
        <w:rPr>
          <w:noProof/>
        </w:rPr>
        <w:t>mon</w:t>
      </w:r>
      <w:r w:rsidRPr="002F16A1">
        <w:rPr>
          <w:noProof/>
        </w:rPr>
        <w:t>itorowaniu oraz przeprowadzania oceny niniejszego rozporządzenia. Ustalono</w:t>
      </w:r>
      <w:r w:rsidR="0028384B" w:rsidRPr="002F16A1">
        <w:rPr>
          <w:noProof/>
        </w:rPr>
        <w:t xml:space="preserve"> w</w:t>
      </w:r>
      <w:r w:rsidR="0028384B">
        <w:rPr>
          <w:noProof/>
        </w:rPr>
        <w:t> </w:t>
      </w:r>
      <w:r w:rsidR="0028384B" w:rsidRPr="002F16A1">
        <w:rPr>
          <w:noProof/>
        </w:rPr>
        <w:t>nim</w:t>
      </w:r>
      <w:r w:rsidRPr="002F16A1">
        <w:rPr>
          <w:noProof/>
        </w:rPr>
        <w:t xml:space="preserve"> również wspólne zasady sprawozdawczości dla państw członkowskich</w:t>
      </w:r>
      <w:r w:rsidR="0028384B" w:rsidRPr="002F16A1">
        <w:rPr>
          <w:noProof/>
        </w:rPr>
        <w:t xml:space="preserve"> w</w:t>
      </w:r>
      <w:r w:rsidR="0028384B">
        <w:rPr>
          <w:noProof/>
        </w:rPr>
        <w:t> </w:t>
      </w:r>
      <w:r w:rsidR="0028384B" w:rsidRPr="002F16A1">
        <w:rPr>
          <w:noProof/>
        </w:rPr>
        <w:t>odn</w:t>
      </w:r>
      <w:r w:rsidRPr="002F16A1">
        <w:rPr>
          <w:noProof/>
        </w:rPr>
        <w:t>iesieniu do różnych środków oraz zawarto artykuł zapewniający spójne przetwarzanie informacji poufnych zgromadzonych na mocy niniejszego rozporządzenia. </w:t>
      </w:r>
    </w:p>
    <w:p w:rsidR="00AD62E2" w:rsidRPr="002F16A1" w:rsidRDefault="00AD62E2" w:rsidP="00AD62E2">
      <w:pPr>
        <w:rPr>
          <w:noProof/>
        </w:rPr>
      </w:pPr>
      <w:r w:rsidRPr="002F16A1">
        <w:rPr>
          <w:noProof/>
        </w:rPr>
        <w:t xml:space="preserve">W </w:t>
      </w:r>
      <w:r w:rsidRPr="002F16A1">
        <w:rPr>
          <w:b/>
          <w:noProof/>
        </w:rPr>
        <w:t>załączniku I</w:t>
      </w:r>
      <w:r w:rsidRPr="002F16A1">
        <w:rPr>
          <w:noProof/>
        </w:rPr>
        <w:t xml:space="preserve"> zamieszczono wykaz surowców strategicznych</w:t>
      </w:r>
      <w:r w:rsidR="0028384B" w:rsidRPr="002F16A1">
        <w:rPr>
          <w:noProof/>
        </w:rPr>
        <w:t xml:space="preserve"> i</w:t>
      </w:r>
      <w:r w:rsidR="0028384B">
        <w:rPr>
          <w:noProof/>
        </w:rPr>
        <w:t> </w:t>
      </w:r>
      <w:r w:rsidR="0028384B" w:rsidRPr="002F16A1">
        <w:rPr>
          <w:noProof/>
        </w:rPr>
        <w:t>met</w:t>
      </w:r>
      <w:r w:rsidRPr="002F16A1">
        <w:rPr>
          <w:noProof/>
        </w:rPr>
        <w:t>odykę ich wyboru. </w:t>
      </w:r>
    </w:p>
    <w:p w:rsidR="00AD62E2" w:rsidRPr="002F16A1" w:rsidRDefault="00AD62E2" w:rsidP="00AD62E2">
      <w:pPr>
        <w:rPr>
          <w:noProof/>
        </w:rPr>
      </w:pPr>
      <w:r w:rsidRPr="002F16A1">
        <w:rPr>
          <w:noProof/>
        </w:rPr>
        <w:t xml:space="preserve">W </w:t>
      </w:r>
      <w:r w:rsidRPr="002F16A1">
        <w:rPr>
          <w:b/>
          <w:noProof/>
        </w:rPr>
        <w:t>załączniku II</w:t>
      </w:r>
      <w:r w:rsidRPr="002F16A1">
        <w:rPr>
          <w:noProof/>
        </w:rPr>
        <w:t xml:space="preserve"> zamieszczono wykaz surowców krytycznych</w:t>
      </w:r>
      <w:r w:rsidR="0028384B" w:rsidRPr="002F16A1">
        <w:rPr>
          <w:noProof/>
        </w:rPr>
        <w:t xml:space="preserve"> i</w:t>
      </w:r>
      <w:r w:rsidR="0028384B">
        <w:rPr>
          <w:noProof/>
        </w:rPr>
        <w:t> </w:t>
      </w:r>
      <w:r w:rsidR="0028384B" w:rsidRPr="002F16A1">
        <w:rPr>
          <w:noProof/>
        </w:rPr>
        <w:t>met</w:t>
      </w:r>
      <w:r w:rsidRPr="002F16A1">
        <w:rPr>
          <w:noProof/>
        </w:rPr>
        <w:t>odykę ich wyboru. </w:t>
      </w:r>
    </w:p>
    <w:p w:rsidR="00AD62E2" w:rsidRPr="002F16A1" w:rsidRDefault="00AD62E2" w:rsidP="00AD62E2">
      <w:pPr>
        <w:rPr>
          <w:noProof/>
        </w:rPr>
      </w:pPr>
      <w:r w:rsidRPr="002F16A1">
        <w:rPr>
          <w:noProof/>
        </w:rPr>
        <w:t xml:space="preserve">W </w:t>
      </w:r>
      <w:r w:rsidRPr="002F16A1">
        <w:rPr>
          <w:b/>
          <w:noProof/>
        </w:rPr>
        <w:t>załączniku III</w:t>
      </w:r>
      <w:r w:rsidRPr="002F16A1">
        <w:rPr>
          <w:noProof/>
        </w:rPr>
        <w:t xml:space="preserve"> określono elementy, które należy uwzględnić</w:t>
      </w:r>
      <w:r w:rsidR="0028384B" w:rsidRPr="002F16A1">
        <w:rPr>
          <w:noProof/>
        </w:rPr>
        <w:t xml:space="preserve"> w</w:t>
      </w:r>
      <w:r w:rsidR="0028384B">
        <w:rPr>
          <w:noProof/>
        </w:rPr>
        <w:t> </w:t>
      </w:r>
      <w:r w:rsidR="0028384B" w:rsidRPr="002F16A1">
        <w:rPr>
          <w:noProof/>
        </w:rPr>
        <w:t>oce</w:t>
      </w:r>
      <w:r w:rsidRPr="002F16A1">
        <w:rPr>
          <w:noProof/>
        </w:rPr>
        <w:t>nie zgodności projektu</w:t>
      </w:r>
      <w:r w:rsidR="0028384B" w:rsidRPr="002F16A1">
        <w:rPr>
          <w:noProof/>
        </w:rPr>
        <w:t xml:space="preserve"> w</w:t>
      </w:r>
      <w:r w:rsidR="0028384B">
        <w:rPr>
          <w:noProof/>
        </w:rPr>
        <w:t> </w:t>
      </w:r>
      <w:r w:rsidR="0028384B" w:rsidRPr="002F16A1">
        <w:rPr>
          <w:noProof/>
        </w:rPr>
        <w:t>zak</w:t>
      </w:r>
      <w:r w:rsidRPr="002F16A1">
        <w:rPr>
          <w:noProof/>
        </w:rPr>
        <w:t>resie surowców</w:t>
      </w:r>
      <w:r w:rsidR="0028384B" w:rsidRPr="002F16A1">
        <w:rPr>
          <w:noProof/>
        </w:rPr>
        <w:t xml:space="preserve"> z</w:t>
      </w:r>
      <w:r w:rsidR="0028384B">
        <w:rPr>
          <w:noProof/>
        </w:rPr>
        <w:t> </w:t>
      </w:r>
      <w:r w:rsidR="0028384B" w:rsidRPr="002F16A1">
        <w:rPr>
          <w:noProof/>
        </w:rPr>
        <w:t>kry</w:t>
      </w:r>
      <w:r w:rsidRPr="002F16A1">
        <w:rPr>
          <w:noProof/>
        </w:rPr>
        <w:t>teriami uznania projektu za projekt strategiczny. </w:t>
      </w:r>
    </w:p>
    <w:p w:rsidR="00AD62E2" w:rsidRPr="002F16A1" w:rsidRDefault="00AD62E2" w:rsidP="00AD62E2">
      <w:pPr>
        <w:rPr>
          <w:noProof/>
        </w:rPr>
      </w:pPr>
      <w:r w:rsidRPr="002F16A1">
        <w:rPr>
          <w:noProof/>
        </w:rPr>
        <w:t xml:space="preserve">W </w:t>
      </w:r>
      <w:r w:rsidRPr="002F16A1">
        <w:rPr>
          <w:b/>
          <w:noProof/>
        </w:rPr>
        <w:t>załączniku IV</w:t>
      </w:r>
      <w:r w:rsidRPr="002F16A1">
        <w:rPr>
          <w:noProof/>
        </w:rPr>
        <w:t xml:space="preserve"> określono kryteria, które musi spełniać uznany program certyfikacji. </w:t>
      </w:r>
    </w:p>
    <w:p w:rsidR="00AD62E2" w:rsidRPr="0028384B" w:rsidRDefault="00AD62E2" w:rsidP="00AD62E2">
      <w:pPr>
        <w:rPr>
          <w:noProof/>
        </w:rPr>
      </w:pPr>
      <w:r w:rsidRPr="002F16A1">
        <w:rPr>
          <w:noProof/>
        </w:rPr>
        <w:t xml:space="preserve">W </w:t>
      </w:r>
      <w:r w:rsidRPr="002F16A1">
        <w:rPr>
          <w:b/>
          <w:noProof/>
        </w:rPr>
        <w:t>załączniku V</w:t>
      </w:r>
      <w:r w:rsidRPr="002F16A1">
        <w:rPr>
          <w:noProof/>
        </w:rPr>
        <w:t xml:space="preserve"> określono element, który należy wziąć pod uwagę przy definiowaniu zasad obliczania</w:t>
      </w:r>
      <w:r w:rsidR="0028384B" w:rsidRPr="002F16A1">
        <w:rPr>
          <w:noProof/>
        </w:rPr>
        <w:t xml:space="preserve"> i</w:t>
      </w:r>
      <w:r w:rsidR="0028384B">
        <w:rPr>
          <w:noProof/>
        </w:rPr>
        <w:t> </w:t>
      </w:r>
      <w:r w:rsidR="0028384B" w:rsidRPr="002F16A1">
        <w:rPr>
          <w:noProof/>
        </w:rPr>
        <w:t>wer</w:t>
      </w:r>
      <w:r w:rsidRPr="002F16A1">
        <w:rPr>
          <w:noProof/>
        </w:rPr>
        <w:t>yfikacji śladu środowiskowego surowców krytycznych</w:t>
      </w:r>
      <w:r w:rsidRPr="0028384B">
        <w:rPr>
          <w:noProof/>
        </w:rPr>
        <w:t>.</w:t>
      </w:r>
      <w:r w:rsidR="0028384B" w:rsidRPr="0028384B">
        <w:rPr>
          <w:noProof/>
        </w:rPr>
        <w:t xml:space="preserve"> </w:t>
      </w:r>
    </w:p>
    <w:p w:rsidR="00AD62E2" w:rsidRPr="0028384B" w:rsidRDefault="00AD62E2" w:rsidP="00AD62E2">
      <w:pPr>
        <w:rPr>
          <w:noProof/>
        </w:rPr>
      </w:pPr>
      <w:r w:rsidRPr="002F16A1">
        <w:rPr>
          <w:noProof/>
        </w:rPr>
        <w:t xml:space="preserve">W </w:t>
      </w:r>
      <w:r w:rsidRPr="002F16A1">
        <w:rPr>
          <w:b/>
          <w:noProof/>
        </w:rPr>
        <w:t>załączniku VI</w:t>
      </w:r>
      <w:r w:rsidRPr="002F16A1">
        <w:rPr>
          <w:noProof/>
        </w:rPr>
        <w:t xml:space="preserve"> przedstawiono wykaz kodów Nomenklatury scalonej</w:t>
      </w:r>
      <w:r w:rsidR="0028384B" w:rsidRPr="002F16A1">
        <w:rPr>
          <w:noProof/>
        </w:rPr>
        <w:t xml:space="preserve"> i</w:t>
      </w:r>
      <w:r w:rsidR="0028384B">
        <w:rPr>
          <w:noProof/>
        </w:rPr>
        <w:t> </w:t>
      </w:r>
      <w:r w:rsidR="0028384B" w:rsidRPr="002F16A1">
        <w:rPr>
          <w:noProof/>
        </w:rPr>
        <w:t>opi</w:t>
      </w:r>
      <w:r w:rsidRPr="002F16A1">
        <w:rPr>
          <w:noProof/>
        </w:rPr>
        <w:t>sy produktów odpowiadające produktom podlegającym wymogom</w:t>
      </w:r>
      <w:r w:rsidR="0028384B" w:rsidRPr="002F16A1">
        <w:rPr>
          <w:noProof/>
        </w:rPr>
        <w:t xml:space="preserve"> w</w:t>
      </w:r>
      <w:r w:rsidR="0028384B">
        <w:rPr>
          <w:noProof/>
        </w:rPr>
        <w:t> </w:t>
      </w:r>
      <w:r w:rsidR="0028384B" w:rsidRPr="002F16A1">
        <w:rPr>
          <w:noProof/>
        </w:rPr>
        <w:t>zak</w:t>
      </w:r>
      <w:r w:rsidRPr="002F16A1">
        <w:rPr>
          <w:noProof/>
        </w:rPr>
        <w:t>resie obiegu zamkniętego magnesów trwałych</w:t>
      </w:r>
      <w:r w:rsidRPr="0028384B">
        <w:rPr>
          <w:noProof/>
        </w:rPr>
        <w:t>.</w:t>
      </w:r>
      <w:r w:rsidR="0028384B" w:rsidRPr="0028384B">
        <w:rPr>
          <w:noProof/>
        </w:rPr>
        <w:t xml:space="preserve"> </w:t>
      </w:r>
    </w:p>
    <w:p w:rsidR="00AD62E2" w:rsidRPr="002F16A1" w:rsidRDefault="00AD62E2" w:rsidP="00AD62E2">
      <w:pPr>
        <w:rPr>
          <w:noProof/>
        </w:rPr>
      </w:pPr>
    </w:p>
    <w:p w:rsidR="00AD62E2" w:rsidRPr="002F16A1" w:rsidRDefault="00AD62E2" w:rsidP="00AD62E2">
      <w:pPr>
        <w:rPr>
          <w:noProof/>
        </w:rPr>
        <w:sectPr w:rsidR="00AD62E2" w:rsidRPr="002F16A1" w:rsidSect="00D32217">
          <w:footerReference w:type="default" r:id="rId10"/>
          <w:footerReference w:type="first" r:id="rId11"/>
          <w:pgSz w:w="11907" w:h="16839"/>
          <w:pgMar w:top="1134" w:right="1417" w:bottom="1134" w:left="1417" w:header="709" w:footer="709" w:gutter="0"/>
          <w:cols w:space="708"/>
          <w:docGrid w:linePitch="360"/>
        </w:sectPr>
      </w:pPr>
    </w:p>
    <w:p w:rsidR="00691F59" w:rsidRPr="002F16A1" w:rsidRDefault="00596E81" w:rsidP="00596E81">
      <w:pPr>
        <w:pStyle w:val="Rfrenceinterinstitutionnelle"/>
        <w:rPr>
          <w:noProof/>
        </w:rPr>
      </w:pPr>
      <w:r w:rsidRPr="00596E81">
        <w:t>2023/0079 (COD)</w:t>
      </w:r>
    </w:p>
    <w:p w:rsidR="00AD62E2" w:rsidRPr="002F16A1" w:rsidRDefault="00B32C8B" w:rsidP="00B32C8B">
      <w:pPr>
        <w:pStyle w:val="Statut"/>
        <w:rPr>
          <w:noProof/>
        </w:rPr>
      </w:pPr>
      <w:r w:rsidRPr="00B32C8B">
        <w:rPr>
          <w:noProof/>
        </w:rPr>
        <w:t>Wniosek</w:t>
      </w:r>
    </w:p>
    <w:p w:rsidR="00AD62E2" w:rsidRPr="002F16A1" w:rsidRDefault="00B32C8B" w:rsidP="00B32C8B">
      <w:pPr>
        <w:pStyle w:val="Typedudocument"/>
        <w:rPr>
          <w:noProof/>
        </w:rPr>
      </w:pPr>
      <w:r w:rsidRPr="00B32C8B">
        <w:rPr>
          <w:noProof/>
        </w:rPr>
        <w:t>ROZPORZĄDZENIE PARLAMENTU EUROPEJSKIEGO I RADY</w:t>
      </w:r>
    </w:p>
    <w:p w:rsidR="00AD62E2" w:rsidRPr="002F16A1" w:rsidRDefault="00B32C8B" w:rsidP="00B32C8B">
      <w:pPr>
        <w:pStyle w:val="Titreobjet"/>
        <w:rPr>
          <w:noProof/>
        </w:rPr>
      </w:pPr>
      <w:r w:rsidRPr="00B32C8B">
        <w:rPr>
          <w:noProof/>
        </w:rPr>
        <w:t>ustanawiające ramy na potrzeby zapewnienia bezpiecznych i zrównoważonych dostaw surowców krytycznych oraz zmieniające rozporządzenia (UE) nr 168/2013, (UE) 2018/858, (UE) 2018/1724 i (UE) 2019/1020</w:t>
      </w:r>
    </w:p>
    <w:p w:rsidR="00AD62E2" w:rsidRPr="002F16A1" w:rsidRDefault="00B32C8B" w:rsidP="00B32C8B">
      <w:pPr>
        <w:pStyle w:val="IntrtEEE"/>
        <w:rPr>
          <w:noProof/>
        </w:rPr>
      </w:pPr>
      <w:r w:rsidRPr="00B32C8B">
        <w:rPr>
          <w:noProof/>
        </w:rPr>
        <w:t>(Tekst mający znaczenie dla EOG)</w:t>
      </w:r>
    </w:p>
    <w:p w:rsidR="00AD62E2" w:rsidRPr="002F16A1" w:rsidRDefault="00AD62E2" w:rsidP="00AD62E2">
      <w:pPr>
        <w:pStyle w:val="Institutionquiagit"/>
        <w:rPr>
          <w:noProof/>
        </w:rPr>
      </w:pPr>
      <w:r w:rsidRPr="002F16A1">
        <w:rPr>
          <w:noProof/>
        </w:rPr>
        <w:t>PARLAMENT EUROPEJSKI I RADA UNII EUROPEJSKIEJ,</w:t>
      </w:r>
    </w:p>
    <w:p w:rsidR="00AD62E2" w:rsidRPr="002F16A1" w:rsidRDefault="00AD62E2" w:rsidP="00AD62E2">
      <w:pPr>
        <w:rPr>
          <w:noProof/>
        </w:rPr>
      </w:pPr>
      <w:r w:rsidRPr="002F16A1">
        <w:rPr>
          <w:noProof/>
        </w:rPr>
        <w:t>uwzględniając Traktat</w:t>
      </w:r>
      <w:r w:rsidR="0028384B" w:rsidRPr="002F16A1">
        <w:rPr>
          <w:noProof/>
        </w:rPr>
        <w:t xml:space="preserve"> o</w:t>
      </w:r>
      <w:r w:rsidR="0028384B">
        <w:rPr>
          <w:noProof/>
        </w:rPr>
        <w:t> </w:t>
      </w:r>
      <w:r w:rsidR="0028384B" w:rsidRPr="002F16A1">
        <w:rPr>
          <w:noProof/>
        </w:rPr>
        <w:t>fun</w:t>
      </w:r>
      <w:r w:rsidRPr="002F16A1">
        <w:rPr>
          <w:noProof/>
        </w:rPr>
        <w:t>kcjonowaniu Unii Europejskiej,</w:t>
      </w:r>
      <w:r w:rsidR="0028384B" w:rsidRPr="002F16A1">
        <w:rPr>
          <w:noProof/>
        </w:rPr>
        <w:t xml:space="preserve"> w</w:t>
      </w:r>
      <w:r w:rsidR="0028384B">
        <w:rPr>
          <w:noProof/>
        </w:rPr>
        <w:t> </w:t>
      </w:r>
      <w:r w:rsidR="0028384B" w:rsidRPr="002F16A1">
        <w:rPr>
          <w:noProof/>
        </w:rPr>
        <w:t>szc</w:t>
      </w:r>
      <w:r w:rsidRPr="002F16A1">
        <w:rPr>
          <w:noProof/>
        </w:rPr>
        <w:t xml:space="preserve">zególności jego </w:t>
      </w:r>
      <w:r w:rsidRPr="0028384B">
        <w:rPr>
          <w:noProof/>
        </w:rPr>
        <w:t>art.</w:t>
      </w:r>
      <w:r w:rsidR="0028384B" w:rsidRPr="0028384B">
        <w:rPr>
          <w:noProof/>
        </w:rPr>
        <w:t> </w:t>
      </w:r>
      <w:r w:rsidRPr="0028384B">
        <w:rPr>
          <w:noProof/>
        </w:rPr>
        <w:t>1</w:t>
      </w:r>
      <w:r w:rsidRPr="002F16A1">
        <w:rPr>
          <w:noProof/>
        </w:rPr>
        <w:t>14,</w:t>
      </w:r>
    </w:p>
    <w:p w:rsidR="00AD62E2" w:rsidRPr="002F16A1" w:rsidRDefault="00AD62E2" w:rsidP="00AD62E2">
      <w:pPr>
        <w:rPr>
          <w:noProof/>
        </w:rPr>
      </w:pPr>
      <w:r w:rsidRPr="002F16A1">
        <w:rPr>
          <w:noProof/>
        </w:rPr>
        <w:t>uwzględniając wniosek Komisji Europejskiej,</w:t>
      </w:r>
    </w:p>
    <w:p w:rsidR="00AD62E2" w:rsidRPr="002F16A1" w:rsidRDefault="00AD62E2" w:rsidP="00AD62E2">
      <w:pPr>
        <w:rPr>
          <w:noProof/>
        </w:rPr>
      </w:pPr>
      <w:r w:rsidRPr="002F16A1">
        <w:rPr>
          <w:noProof/>
        </w:rPr>
        <w:t>po przekazaniu projektu aktu ustawodawczego parlamentom narodowym,</w:t>
      </w:r>
    </w:p>
    <w:p w:rsidR="00AD62E2" w:rsidRPr="002F16A1" w:rsidRDefault="00AD62E2" w:rsidP="00AD62E2">
      <w:pPr>
        <w:rPr>
          <w:noProof/>
        </w:rPr>
      </w:pPr>
      <w:r w:rsidRPr="002F16A1">
        <w:rPr>
          <w:noProof/>
        </w:rPr>
        <w:t>uwzględniając opinię Europejskiego Komitetu Ekonomiczno-Społecznego</w:t>
      </w:r>
      <w:r w:rsidRPr="002F16A1">
        <w:rPr>
          <w:rStyle w:val="FootnoteReference"/>
          <w:noProof/>
        </w:rPr>
        <w:footnoteReference w:id="29"/>
      </w:r>
      <w:r w:rsidRPr="002F16A1">
        <w:rPr>
          <w:noProof/>
        </w:rPr>
        <w:t xml:space="preserve">, </w:t>
      </w:r>
    </w:p>
    <w:p w:rsidR="00AD62E2" w:rsidRPr="002F16A1" w:rsidRDefault="00AD62E2" w:rsidP="00AD62E2">
      <w:pPr>
        <w:rPr>
          <w:noProof/>
        </w:rPr>
      </w:pPr>
      <w:r w:rsidRPr="002F16A1">
        <w:rPr>
          <w:noProof/>
        </w:rPr>
        <w:t>stanowiąc zgodnie ze zwykłą procedurą ustawodawczą,</w:t>
      </w:r>
    </w:p>
    <w:p w:rsidR="00AD62E2" w:rsidRPr="002F16A1" w:rsidRDefault="00AD62E2" w:rsidP="00AD62E2">
      <w:pPr>
        <w:rPr>
          <w:noProof/>
        </w:rPr>
      </w:pPr>
      <w:r w:rsidRPr="002F16A1">
        <w:rPr>
          <w:noProof/>
        </w:rPr>
        <w:t>a także mając na uwadze, co następuje:</w:t>
      </w:r>
    </w:p>
    <w:p w:rsidR="00AD62E2" w:rsidRPr="002F16A1" w:rsidRDefault="00733965" w:rsidP="00733965">
      <w:pPr>
        <w:pStyle w:val="ManualConsidrant"/>
        <w:rPr>
          <w:noProof/>
        </w:rPr>
      </w:pPr>
      <w:r w:rsidRPr="00733965">
        <w:t>(1)</w:t>
      </w:r>
      <w:r w:rsidRPr="00733965">
        <w:tab/>
      </w:r>
      <w:r w:rsidR="00AD62E2" w:rsidRPr="002F16A1">
        <w:rPr>
          <w:noProof/>
        </w:rPr>
        <w:t>Dostęp do surowców ma zasadnicze znaczenie dla gospodarki Unii oraz dla funkcjonowania rynku wewnętrznego. Istnieje grupa surowców nieenergetycznych</w:t>
      </w:r>
      <w:r w:rsidR="0028384B" w:rsidRPr="002F16A1">
        <w:rPr>
          <w:noProof/>
        </w:rPr>
        <w:t xml:space="preserve"> i</w:t>
      </w:r>
      <w:r w:rsidR="0028384B">
        <w:rPr>
          <w:noProof/>
        </w:rPr>
        <w:t> </w:t>
      </w:r>
      <w:r w:rsidR="0028384B" w:rsidRPr="002F16A1">
        <w:rPr>
          <w:noProof/>
        </w:rPr>
        <w:t>nie</w:t>
      </w:r>
      <w:r w:rsidR="00AD62E2" w:rsidRPr="002F16A1">
        <w:rPr>
          <w:noProof/>
        </w:rPr>
        <w:t>rolnych, które ze względu na swoje duże znaczenie gospodarcze</w:t>
      </w:r>
      <w:r w:rsidR="0028384B" w:rsidRPr="002F16A1">
        <w:rPr>
          <w:noProof/>
        </w:rPr>
        <w:t xml:space="preserve"> i</w:t>
      </w:r>
      <w:r w:rsidR="0028384B">
        <w:rPr>
          <w:noProof/>
        </w:rPr>
        <w:t> </w:t>
      </w:r>
      <w:r w:rsidR="0028384B" w:rsidRPr="002F16A1">
        <w:rPr>
          <w:noProof/>
        </w:rPr>
        <w:t>nar</w:t>
      </w:r>
      <w:r w:rsidR="00AD62E2" w:rsidRPr="002F16A1">
        <w:rPr>
          <w:noProof/>
        </w:rPr>
        <w:t>ażenie na wysokie ryzyko niedoboru, często spowodowane wysoką koncentracją dostaw</w:t>
      </w:r>
      <w:r w:rsidR="0028384B" w:rsidRPr="002F16A1">
        <w:rPr>
          <w:noProof/>
        </w:rPr>
        <w:t xml:space="preserve"> z</w:t>
      </w:r>
      <w:r w:rsidR="0028384B">
        <w:rPr>
          <w:noProof/>
        </w:rPr>
        <w:t> </w:t>
      </w:r>
      <w:r w:rsidR="0028384B" w:rsidRPr="002F16A1">
        <w:rPr>
          <w:noProof/>
        </w:rPr>
        <w:t>kil</w:t>
      </w:r>
      <w:r w:rsidR="00AD62E2" w:rsidRPr="002F16A1">
        <w:rPr>
          <w:noProof/>
        </w:rPr>
        <w:t>ku państw trzecich, są uważane za krytyczne. Biorąc pod uwagę kluczową rolę wielu tego rodzaju surowców krytycznych</w:t>
      </w:r>
      <w:r w:rsidR="0028384B" w:rsidRPr="002F16A1">
        <w:rPr>
          <w:noProof/>
        </w:rPr>
        <w:t xml:space="preserve"> w</w:t>
      </w:r>
      <w:r w:rsidR="0028384B">
        <w:rPr>
          <w:noProof/>
        </w:rPr>
        <w:t> </w:t>
      </w:r>
      <w:r w:rsidR="0028384B" w:rsidRPr="002F16A1">
        <w:rPr>
          <w:noProof/>
        </w:rPr>
        <w:t>osi</w:t>
      </w:r>
      <w:r w:rsidR="00AD62E2" w:rsidRPr="002F16A1">
        <w:rPr>
          <w:noProof/>
        </w:rPr>
        <w:t>ągnięciu transformacji ekologicznej</w:t>
      </w:r>
      <w:r w:rsidR="0028384B" w:rsidRPr="002F16A1">
        <w:rPr>
          <w:noProof/>
        </w:rPr>
        <w:t xml:space="preserve"> i</w:t>
      </w:r>
      <w:r w:rsidR="0028384B">
        <w:rPr>
          <w:noProof/>
        </w:rPr>
        <w:t> </w:t>
      </w:r>
      <w:r w:rsidR="0028384B" w:rsidRPr="002F16A1">
        <w:rPr>
          <w:noProof/>
        </w:rPr>
        <w:t>cyf</w:t>
      </w:r>
      <w:r w:rsidR="00AD62E2" w:rsidRPr="002F16A1">
        <w:rPr>
          <w:noProof/>
        </w:rPr>
        <w:t>rowej oraz wykorzystywanie ich</w:t>
      </w:r>
      <w:r w:rsidR="0028384B" w:rsidRPr="002F16A1">
        <w:rPr>
          <w:noProof/>
        </w:rPr>
        <w:t xml:space="preserve"> w</w:t>
      </w:r>
      <w:r w:rsidR="0028384B">
        <w:rPr>
          <w:noProof/>
        </w:rPr>
        <w:t> </w:t>
      </w:r>
      <w:r w:rsidR="0028384B" w:rsidRPr="002F16A1">
        <w:rPr>
          <w:noProof/>
        </w:rPr>
        <w:t>zas</w:t>
      </w:r>
      <w:r w:rsidR="00AD62E2" w:rsidRPr="002F16A1">
        <w:rPr>
          <w:noProof/>
        </w:rPr>
        <w:t>tosowaniach obronnych</w:t>
      </w:r>
      <w:r w:rsidR="0028384B" w:rsidRPr="002F16A1">
        <w:rPr>
          <w:noProof/>
        </w:rPr>
        <w:t xml:space="preserve"> i</w:t>
      </w:r>
      <w:r w:rsidR="0028384B">
        <w:rPr>
          <w:noProof/>
        </w:rPr>
        <w:t> </w:t>
      </w:r>
      <w:r w:rsidR="0028384B" w:rsidRPr="002F16A1">
        <w:rPr>
          <w:noProof/>
        </w:rPr>
        <w:t>kos</w:t>
      </w:r>
      <w:r w:rsidR="00AD62E2" w:rsidRPr="002F16A1">
        <w:rPr>
          <w:noProof/>
        </w:rPr>
        <w:t>micznych,</w:t>
      </w:r>
      <w:r w:rsidR="0028384B" w:rsidRPr="002F16A1">
        <w:rPr>
          <w:noProof/>
        </w:rPr>
        <w:t xml:space="preserve"> w</w:t>
      </w:r>
      <w:r w:rsidR="0028384B">
        <w:rPr>
          <w:noProof/>
        </w:rPr>
        <w:t> </w:t>
      </w:r>
      <w:r w:rsidR="0028384B" w:rsidRPr="002F16A1">
        <w:rPr>
          <w:noProof/>
        </w:rPr>
        <w:t>naj</w:t>
      </w:r>
      <w:r w:rsidR="00AD62E2" w:rsidRPr="002F16A1">
        <w:rPr>
          <w:noProof/>
        </w:rPr>
        <w:t>bliższych dziesięcioleciach popyt na nie będzie gwałtownie rósł. Jednocześnie zwiększa się również ryzyko zakłócenia dostaw, co jest spowodowane nasilaniem się napięć geopolitycznych</w:t>
      </w:r>
      <w:r w:rsidR="0028384B" w:rsidRPr="002F16A1">
        <w:rPr>
          <w:noProof/>
        </w:rPr>
        <w:t xml:space="preserve"> i</w:t>
      </w:r>
      <w:r w:rsidR="0028384B">
        <w:rPr>
          <w:noProof/>
        </w:rPr>
        <w:t> </w:t>
      </w:r>
      <w:r w:rsidR="0028384B" w:rsidRPr="002F16A1">
        <w:rPr>
          <w:noProof/>
        </w:rPr>
        <w:t>kon</w:t>
      </w:r>
      <w:r w:rsidR="00AD62E2" w:rsidRPr="002F16A1">
        <w:rPr>
          <w:noProof/>
        </w:rPr>
        <w:t>kurowaniem</w:t>
      </w:r>
      <w:r w:rsidR="0028384B" w:rsidRPr="002F16A1">
        <w:rPr>
          <w:noProof/>
        </w:rPr>
        <w:t xml:space="preserve"> o</w:t>
      </w:r>
      <w:r w:rsidR="0028384B">
        <w:rPr>
          <w:noProof/>
        </w:rPr>
        <w:t> </w:t>
      </w:r>
      <w:r w:rsidR="0028384B" w:rsidRPr="002F16A1">
        <w:rPr>
          <w:noProof/>
        </w:rPr>
        <w:t>zas</w:t>
      </w:r>
      <w:r w:rsidR="00AD62E2" w:rsidRPr="002F16A1">
        <w:rPr>
          <w:noProof/>
        </w:rPr>
        <w:t>oby. Ponadto</w:t>
      </w:r>
      <w:r w:rsidR="0028384B" w:rsidRPr="002F16A1">
        <w:rPr>
          <w:noProof/>
        </w:rPr>
        <w:t xml:space="preserve"> w</w:t>
      </w:r>
      <w:r w:rsidR="0028384B">
        <w:rPr>
          <w:noProof/>
        </w:rPr>
        <w:t> </w:t>
      </w:r>
      <w:r w:rsidR="0028384B" w:rsidRPr="002F16A1">
        <w:rPr>
          <w:noProof/>
        </w:rPr>
        <w:t>prz</w:t>
      </w:r>
      <w:r w:rsidR="00AD62E2" w:rsidRPr="002F16A1">
        <w:rPr>
          <w:noProof/>
        </w:rPr>
        <w:t>ypadku braku prawidłowego zarządzania zwiększonym popytem na surowce krytyczne sytuacja ta może doprowadzić do pojawienia się negatywnych skutków środowiskowych</w:t>
      </w:r>
      <w:r w:rsidR="0028384B" w:rsidRPr="002F16A1">
        <w:rPr>
          <w:noProof/>
        </w:rPr>
        <w:t xml:space="preserve"> i</w:t>
      </w:r>
      <w:r w:rsidR="0028384B">
        <w:rPr>
          <w:noProof/>
        </w:rPr>
        <w:t> </w:t>
      </w:r>
      <w:r w:rsidR="0028384B" w:rsidRPr="002F16A1">
        <w:rPr>
          <w:noProof/>
        </w:rPr>
        <w:t>spo</w:t>
      </w:r>
      <w:r w:rsidR="00AD62E2" w:rsidRPr="002F16A1">
        <w:rPr>
          <w:noProof/>
        </w:rPr>
        <w:t>łecznych</w:t>
      </w:r>
      <w:r w:rsidR="0028384B" w:rsidRPr="002F16A1">
        <w:rPr>
          <w:noProof/>
        </w:rPr>
        <w:t>. W</w:t>
      </w:r>
      <w:r w:rsidR="0028384B">
        <w:rPr>
          <w:noProof/>
        </w:rPr>
        <w:t> </w:t>
      </w:r>
      <w:r w:rsidR="0028384B" w:rsidRPr="002F16A1">
        <w:rPr>
          <w:noProof/>
        </w:rPr>
        <w:t>świ</w:t>
      </w:r>
      <w:r w:rsidR="00AD62E2" w:rsidRPr="002F16A1">
        <w:rPr>
          <w:noProof/>
        </w:rPr>
        <w:t>etle wspomnianych tendencji należy podjąć działania na rzecz zapewnienia dostępu do bezpiecznych</w:t>
      </w:r>
      <w:r w:rsidR="0028384B" w:rsidRPr="002F16A1">
        <w:rPr>
          <w:noProof/>
        </w:rPr>
        <w:t xml:space="preserve"> i</w:t>
      </w:r>
      <w:r w:rsidR="0028384B">
        <w:rPr>
          <w:noProof/>
        </w:rPr>
        <w:t> </w:t>
      </w:r>
      <w:r w:rsidR="0028384B" w:rsidRPr="002F16A1">
        <w:rPr>
          <w:noProof/>
        </w:rPr>
        <w:t>zró</w:t>
      </w:r>
      <w:r w:rsidR="00AD62E2" w:rsidRPr="002F16A1">
        <w:rPr>
          <w:noProof/>
        </w:rPr>
        <w:t>wnoważonych dostaw surowców krytycznych</w:t>
      </w:r>
      <w:r w:rsidR="0028384B" w:rsidRPr="002F16A1">
        <w:rPr>
          <w:noProof/>
        </w:rPr>
        <w:t xml:space="preserve"> w</w:t>
      </w:r>
      <w:r w:rsidR="0028384B">
        <w:rPr>
          <w:noProof/>
        </w:rPr>
        <w:t> </w:t>
      </w:r>
      <w:r w:rsidR="0028384B" w:rsidRPr="002F16A1">
        <w:rPr>
          <w:noProof/>
        </w:rPr>
        <w:t>cel</w:t>
      </w:r>
      <w:r w:rsidR="00AD62E2" w:rsidRPr="002F16A1">
        <w:rPr>
          <w:noProof/>
        </w:rPr>
        <w:t>u zagwarantowania odporności gospodarczej</w:t>
      </w:r>
      <w:r w:rsidR="0028384B" w:rsidRPr="002F16A1">
        <w:rPr>
          <w:noProof/>
        </w:rPr>
        <w:t xml:space="preserve"> i</w:t>
      </w:r>
      <w:r w:rsidR="0028384B">
        <w:rPr>
          <w:noProof/>
        </w:rPr>
        <w:t> </w:t>
      </w:r>
      <w:r w:rsidR="0028384B" w:rsidRPr="002F16A1">
        <w:rPr>
          <w:noProof/>
        </w:rPr>
        <w:t>otw</w:t>
      </w:r>
      <w:r w:rsidR="00AD62E2" w:rsidRPr="002F16A1">
        <w:rPr>
          <w:noProof/>
        </w:rPr>
        <w:t>artej strategicznej autonomii Unii. </w:t>
      </w:r>
    </w:p>
    <w:p w:rsidR="00AD62E2" w:rsidRPr="002F16A1" w:rsidRDefault="00733965" w:rsidP="00733965">
      <w:pPr>
        <w:pStyle w:val="ManualConsidrant"/>
        <w:rPr>
          <w:noProof/>
        </w:rPr>
      </w:pPr>
      <w:r w:rsidRPr="00733965">
        <w:t>(2)</w:t>
      </w:r>
      <w:r w:rsidRPr="00733965">
        <w:tab/>
      </w:r>
      <w:r w:rsidR="00AD62E2" w:rsidRPr="002F16A1">
        <w:rPr>
          <w:noProof/>
        </w:rPr>
        <w:t>Biorąc pod uwagę złożony</w:t>
      </w:r>
      <w:r w:rsidR="0028384B" w:rsidRPr="002F16A1">
        <w:rPr>
          <w:noProof/>
        </w:rPr>
        <w:t xml:space="preserve"> i</w:t>
      </w:r>
      <w:r w:rsidR="0028384B">
        <w:rPr>
          <w:noProof/>
        </w:rPr>
        <w:t> </w:t>
      </w:r>
      <w:r w:rsidR="0028384B" w:rsidRPr="002F16A1">
        <w:rPr>
          <w:noProof/>
        </w:rPr>
        <w:t>tra</w:t>
      </w:r>
      <w:r w:rsidR="00AD62E2" w:rsidRPr="002F16A1">
        <w:rPr>
          <w:noProof/>
        </w:rPr>
        <w:t>nsgraniczny charakter łańcuchów wartości surowców krytycznych, nieskoordynowane działania krajowe służące zapewnieniu bezpiecznych</w:t>
      </w:r>
      <w:r w:rsidR="0028384B" w:rsidRPr="002F16A1">
        <w:rPr>
          <w:noProof/>
        </w:rPr>
        <w:t xml:space="preserve"> i</w:t>
      </w:r>
      <w:r w:rsidR="0028384B">
        <w:rPr>
          <w:noProof/>
        </w:rPr>
        <w:t> </w:t>
      </w:r>
      <w:r w:rsidR="0028384B" w:rsidRPr="002F16A1">
        <w:rPr>
          <w:noProof/>
        </w:rPr>
        <w:t>zró</w:t>
      </w:r>
      <w:r w:rsidR="00AD62E2" w:rsidRPr="002F16A1">
        <w:rPr>
          <w:noProof/>
        </w:rPr>
        <w:t>wnoważonych dostaw surowców krytycznych</w:t>
      </w:r>
      <w:r w:rsidR="0028384B" w:rsidRPr="002F16A1">
        <w:rPr>
          <w:noProof/>
        </w:rPr>
        <w:t xml:space="preserve"> z</w:t>
      </w:r>
      <w:r w:rsidR="0028384B">
        <w:rPr>
          <w:noProof/>
        </w:rPr>
        <w:t> </w:t>
      </w:r>
      <w:r w:rsidR="0028384B" w:rsidRPr="002F16A1">
        <w:rPr>
          <w:noProof/>
        </w:rPr>
        <w:t>duż</w:t>
      </w:r>
      <w:r w:rsidR="00AD62E2" w:rsidRPr="002F16A1">
        <w:rPr>
          <w:noProof/>
        </w:rPr>
        <w:t>ym prawdopodobieństwem mogą spowodować zakłócenie konkurencji</w:t>
      </w:r>
      <w:r w:rsidR="0028384B" w:rsidRPr="002F16A1">
        <w:rPr>
          <w:noProof/>
        </w:rPr>
        <w:t xml:space="preserve"> i</w:t>
      </w:r>
      <w:r w:rsidR="0028384B">
        <w:rPr>
          <w:noProof/>
        </w:rPr>
        <w:t> </w:t>
      </w:r>
      <w:r w:rsidR="0028384B" w:rsidRPr="002F16A1">
        <w:rPr>
          <w:noProof/>
        </w:rPr>
        <w:t>fra</w:t>
      </w:r>
      <w:r w:rsidR="00AD62E2" w:rsidRPr="002F16A1">
        <w:rPr>
          <w:noProof/>
        </w:rPr>
        <w:t>gmentację rynku wewnętrznego</w:t>
      </w:r>
      <w:r w:rsidR="0028384B" w:rsidRPr="002F16A1">
        <w:rPr>
          <w:noProof/>
        </w:rPr>
        <w:t>. W</w:t>
      </w:r>
      <w:r w:rsidR="0028384B">
        <w:rPr>
          <w:noProof/>
        </w:rPr>
        <w:t> </w:t>
      </w:r>
      <w:r w:rsidR="0028384B" w:rsidRPr="002F16A1">
        <w:rPr>
          <w:noProof/>
        </w:rPr>
        <w:t>zwi</w:t>
      </w:r>
      <w:r w:rsidR="00AD62E2" w:rsidRPr="002F16A1">
        <w:rPr>
          <w:noProof/>
        </w:rPr>
        <w:t>ązku</w:t>
      </w:r>
      <w:r w:rsidR="0028384B" w:rsidRPr="002F16A1">
        <w:rPr>
          <w:noProof/>
        </w:rPr>
        <w:t xml:space="preserve"> z</w:t>
      </w:r>
      <w:r w:rsidR="0028384B">
        <w:rPr>
          <w:noProof/>
        </w:rPr>
        <w:t> </w:t>
      </w:r>
      <w:r w:rsidR="0028384B" w:rsidRPr="002F16A1">
        <w:rPr>
          <w:noProof/>
        </w:rPr>
        <w:t>tym</w:t>
      </w:r>
      <w:r w:rsidR="00AD62E2" w:rsidRPr="002F16A1">
        <w:rPr>
          <w:noProof/>
        </w:rPr>
        <w:t>, aby zagwarantować funkcjonowanie rynku wewnętrznego, należy opracować wspólne ramy unijne</w:t>
      </w:r>
      <w:r w:rsidR="0028384B" w:rsidRPr="002F16A1">
        <w:rPr>
          <w:noProof/>
        </w:rPr>
        <w:t xml:space="preserve"> w</w:t>
      </w:r>
      <w:r w:rsidR="0028384B">
        <w:rPr>
          <w:noProof/>
        </w:rPr>
        <w:t> </w:t>
      </w:r>
      <w:r w:rsidR="0028384B" w:rsidRPr="002F16A1">
        <w:rPr>
          <w:noProof/>
        </w:rPr>
        <w:t>cel</w:t>
      </w:r>
      <w:r w:rsidR="00AD62E2" w:rsidRPr="002F16A1">
        <w:rPr>
          <w:noProof/>
        </w:rPr>
        <w:t>u wspólnego stawienia czoła temu istotnemu wyzwaniu.    </w:t>
      </w:r>
    </w:p>
    <w:p w:rsidR="00AD62E2" w:rsidRPr="002F16A1" w:rsidRDefault="00733965" w:rsidP="00733965">
      <w:pPr>
        <w:pStyle w:val="ManualConsidrant"/>
        <w:rPr>
          <w:noProof/>
        </w:rPr>
      </w:pPr>
      <w:r w:rsidRPr="00733965">
        <w:t>(3)</w:t>
      </w:r>
      <w:r w:rsidRPr="00733965">
        <w:tab/>
      </w:r>
      <w:r w:rsidR="00AD62E2" w:rsidRPr="002F16A1">
        <w:rPr>
          <w:noProof/>
        </w:rPr>
        <w:t>Po pierwsze, aby skutecznie zapewnić dostęp Unii do bezpiecznych</w:t>
      </w:r>
      <w:r w:rsidR="0028384B" w:rsidRPr="002F16A1">
        <w:rPr>
          <w:noProof/>
        </w:rPr>
        <w:t xml:space="preserve"> i</w:t>
      </w:r>
      <w:r w:rsidR="0028384B">
        <w:rPr>
          <w:noProof/>
        </w:rPr>
        <w:t> </w:t>
      </w:r>
      <w:r w:rsidR="0028384B" w:rsidRPr="002F16A1">
        <w:rPr>
          <w:noProof/>
        </w:rPr>
        <w:t>zró</w:t>
      </w:r>
      <w:r w:rsidR="00AD62E2" w:rsidRPr="002F16A1">
        <w:rPr>
          <w:noProof/>
        </w:rPr>
        <w:t>wnoważonych dostaw surowców krytycznych,</w:t>
      </w:r>
      <w:r w:rsidR="0028384B" w:rsidRPr="002F16A1">
        <w:rPr>
          <w:noProof/>
        </w:rPr>
        <w:t xml:space="preserve"> w</w:t>
      </w:r>
      <w:r w:rsidR="0028384B">
        <w:rPr>
          <w:noProof/>
        </w:rPr>
        <w:t> </w:t>
      </w:r>
      <w:r w:rsidR="0028384B" w:rsidRPr="002F16A1">
        <w:rPr>
          <w:noProof/>
        </w:rPr>
        <w:t>ram</w:t>
      </w:r>
      <w:r w:rsidR="00AD62E2" w:rsidRPr="002F16A1">
        <w:rPr>
          <w:noProof/>
        </w:rPr>
        <w:t>ach tych należy uwzględnić środki mające na celu zmniejszenie rosnącego ryzyka dla Unii związanego</w:t>
      </w:r>
      <w:r w:rsidR="0028384B" w:rsidRPr="002F16A1">
        <w:rPr>
          <w:noProof/>
        </w:rPr>
        <w:t xml:space="preserve"> z</w:t>
      </w:r>
      <w:r w:rsidR="0028384B">
        <w:rPr>
          <w:noProof/>
        </w:rPr>
        <w:t> </w:t>
      </w:r>
      <w:r w:rsidR="0028384B" w:rsidRPr="002F16A1">
        <w:rPr>
          <w:noProof/>
        </w:rPr>
        <w:t>dos</w:t>
      </w:r>
      <w:r w:rsidR="00AD62E2" w:rsidRPr="002F16A1">
        <w:rPr>
          <w:noProof/>
        </w:rPr>
        <w:t>tawami</w:t>
      </w:r>
      <w:r w:rsidR="0028384B" w:rsidRPr="002F16A1">
        <w:rPr>
          <w:noProof/>
        </w:rPr>
        <w:t xml:space="preserve"> w</w:t>
      </w:r>
      <w:r w:rsidR="0028384B">
        <w:rPr>
          <w:noProof/>
        </w:rPr>
        <w:t> </w:t>
      </w:r>
      <w:r w:rsidR="0028384B" w:rsidRPr="002F16A1">
        <w:rPr>
          <w:noProof/>
        </w:rPr>
        <w:t>dro</w:t>
      </w:r>
      <w:r w:rsidR="00AD62E2" w:rsidRPr="002F16A1">
        <w:rPr>
          <w:noProof/>
        </w:rPr>
        <w:t>dze zwiększenia zdolności Unii na wszystkich etapach łańcucha wartości surowców strategicznych,</w:t>
      </w:r>
      <w:r w:rsidR="0028384B" w:rsidRPr="002F16A1">
        <w:rPr>
          <w:noProof/>
        </w:rPr>
        <w:t xml:space="preserve"> w</w:t>
      </w:r>
      <w:r w:rsidR="0028384B">
        <w:rPr>
          <w:noProof/>
        </w:rPr>
        <w:t> </w:t>
      </w:r>
      <w:r w:rsidR="0028384B" w:rsidRPr="002F16A1">
        <w:rPr>
          <w:noProof/>
        </w:rPr>
        <w:t>tym</w:t>
      </w:r>
      <w:r w:rsidR="00AD62E2" w:rsidRPr="002F16A1">
        <w:rPr>
          <w:noProof/>
        </w:rPr>
        <w:t xml:space="preserve"> na etapach wydobycia, przetwarzania</w:t>
      </w:r>
      <w:r w:rsidR="0028384B" w:rsidRPr="002F16A1">
        <w:rPr>
          <w:noProof/>
        </w:rPr>
        <w:t xml:space="preserve"> i</w:t>
      </w:r>
      <w:r w:rsidR="0028384B">
        <w:rPr>
          <w:noProof/>
        </w:rPr>
        <w:t> </w:t>
      </w:r>
      <w:r w:rsidR="0028384B" w:rsidRPr="002F16A1">
        <w:rPr>
          <w:noProof/>
        </w:rPr>
        <w:t>rec</w:t>
      </w:r>
      <w:r w:rsidR="00AD62E2" w:rsidRPr="002F16A1">
        <w:rPr>
          <w:noProof/>
        </w:rPr>
        <w:t>yklingu, tak aby osiągnąć wskaźniki referencyjne zdefiniowane dla poszczególnych surowców strategicznych. Po drugie –</w:t>
      </w:r>
      <w:r w:rsidR="0028384B" w:rsidRPr="002F16A1">
        <w:rPr>
          <w:noProof/>
        </w:rPr>
        <w:t xml:space="preserve"> z</w:t>
      </w:r>
      <w:r w:rsidR="0028384B">
        <w:rPr>
          <w:noProof/>
        </w:rPr>
        <w:t> </w:t>
      </w:r>
      <w:r w:rsidR="0028384B" w:rsidRPr="002F16A1">
        <w:rPr>
          <w:noProof/>
        </w:rPr>
        <w:t>uwa</w:t>
      </w:r>
      <w:r w:rsidR="00AD62E2" w:rsidRPr="002F16A1">
        <w:rPr>
          <w:noProof/>
        </w:rPr>
        <w:t>gi na fakt, że Unia będzie</w:t>
      </w:r>
      <w:r w:rsidR="0028384B" w:rsidRPr="002F16A1">
        <w:rPr>
          <w:noProof/>
        </w:rPr>
        <w:t xml:space="preserve"> w</w:t>
      </w:r>
      <w:r w:rsidR="0028384B">
        <w:rPr>
          <w:noProof/>
        </w:rPr>
        <w:t> </w:t>
      </w:r>
      <w:r w:rsidR="0028384B" w:rsidRPr="002F16A1">
        <w:rPr>
          <w:noProof/>
        </w:rPr>
        <w:t>dal</w:t>
      </w:r>
      <w:r w:rsidR="00AD62E2" w:rsidRPr="002F16A1">
        <w:rPr>
          <w:noProof/>
        </w:rPr>
        <w:t>szym ciągu polegać na przywozie –</w:t>
      </w:r>
      <w:r w:rsidR="0028384B" w:rsidRPr="002F16A1">
        <w:rPr>
          <w:noProof/>
        </w:rPr>
        <w:t xml:space="preserve"> w</w:t>
      </w:r>
      <w:r w:rsidR="0028384B">
        <w:rPr>
          <w:noProof/>
        </w:rPr>
        <w:t> </w:t>
      </w:r>
      <w:r w:rsidR="0028384B" w:rsidRPr="002F16A1">
        <w:rPr>
          <w:noProof/>
        </w:rPr>
        <w:t>ram</w:t>
      </w:r>
      <w:r w:rsidR="00AD62E2" w:rsidRPr="002F16A1">
        <w:rPr>
          <w:noProof/>
        </w:rPr>
        <w:t>ach tych należy uwzględnić środki służące zwiększeniu dywersyfikacji zewnętrznych dostaw surowców strategicznych. Po trzecie należy zapewnić środki mające na celu zwiększenie zdolności Unii</w:t>
      </w:r>
      <w:r w:rsidR="0028384B" w:rsidRPr="002F16A1">
        <w:rPr>
          <w:noProof/>
        </w:rPr>
        <w:t xml:space="preserve"> w</w:t>
      </w:r>
      <w:r w:rsidR="0028384B">
        <w:rPr>
          <w:noProof/>
        </w:rPr>
        <w:t> </w:t>
      </w:r>
      <w:r w:rsidR="0028384B" w:rsidRPr="002F16A1">
        <w:rPr>
          <w:noProof/>
        </w:rPr>
        <w:t>zak</w:t>
      </w:r>
      <w:r w:rsidR="00AD62E2" w:rsidRPr="002F16A1">
        <w:rPr>
          <w:noProof/>
        </w:rPr>
        <w:t>resie monitorowania</w:t>
      </w:r>
      <w:r w:rsidR="0028384B" w:rsidRPr="002F16A1">
        <w:rPr>
          <w:noProof/>
        </w:rPr>
        <w:t xml:space="preserve"> i</w:t>
      </w:r>
      <w:r w:rsidR="0028384B">
        <w:rPr>
          <w:noProof/>
        </w:rPr>
        <w:t> </w:t>
      </w:r>
      <w:r w:rsidR="0028384B" w:rsidRPr="002F16A1">
        <w:rPr>
          <w:noProof/>
        </w:rPr>
        <w:t>ogr</w:t>
      </w:r>
      <w:r w:rsidR="00AD62E2" w:rsidRPr="002F16A1">
        <w:rPr>
          <w:noProof/>
        </w:rPr>
        <w:t>aniczania istniejącego</w:t>
      </w:r>
      <w:r w:rsidR="0028384B" w:rsidRPr="002F16A1">
        <w:rPr>
          <w:noProof/>
        </w:rPr>
        <w:t xml:space="preserve"> i</w:t>
      </w:r>
      <w:r w:rsidR="0028384B">
        <w:rPr>
          <w:noProof/>
        </w:rPr>
        <w:t> </w:t>
      </w:r>
      <w:r w:rsidR="0028384B" w:rsidRPr="002F16A1">
        <w:rPr>
          <w:noProof/>
        </w:rPr>
        <w:t>prz</w:t>
      </w:r>
      <w:r w:rsidR="00AD62E2" w:rsidRPr="002F16A1">
        <w:rPr>
          <w:noProof/>
        </w:rPr>
        <w:t>yszłego ryzyka związanego</w:t>
      </w:r>
      <w:r w:rsidR="0028384B" w:rsidRPr="002F16A1">
        <w:rPr>
          <w:noProof/>
        </w:rPr>
        <w:t xml:space="preserve"> z</w:t>
      </w:r>
      <w:r w:rsidR="0028384B">
        <w:rPr>
          <w:noProof/>
        </w:rPr>
        <w:t> </w:t>
      </w:r>
      <w:r w:rsidR="0028384B" w:rsidRPr="002F16A1">
        <w:rPr>
          <w:noProof/>
        </w:rPr>
        <w:t>dos</w:t>
      </w:r>
      <w:r w:rsidR="00AD62E2" w:rsidRPr="002F16A1">
        <w:rPr>
          <w:noProof/>
        </w:rPr>
        <w:t>tawami. Po czwarte</w:t>
      </w:r>
      <w:r w:rsidR="0028384B" w:rsidRPr="002F16A1">
        <w:rPr>
          <w:noProof/>
        </w:rPr>
        <w:t xml:space="preserve"> w</w:t>
      </w:r>
      <w:r w:rsidR="0028384B">
        <w:rPr>
          <w:noProof/>
        </w:rPr>
        <w:t> </w:t>
      </w:r>
      <w:r w:rsidR="0028384B" w:rsidRPr="002F16A1">
        <w:rPr>
          <w:noProof/>
        </w:rPr>
        <w:t>ram</w:t>
      </w:r>
      <w:r w:rsidR="00AD62E2" w:rsidRPr="002F16A1">
        <w:rPr>
          <w:noProof/>
        </w:rPr>
        <w:t>ach tych należy uwzględnić środki umożliwiające zwiększenie obiegu zamkniętego</w:t>
      </w:r>
      <w:r w:rsidR="0028384B" w:rsidRPr="002F16A1">
        <w:rPr>
          <w:noProof/>
        </w:rPr>
        <w:t xml:space="preserve"> i</w:t>
      </w:r>
      <w:r w:rsidR="0028384B">
        <w:rPr>
          <w:noProof/>
        </w:rPr>
        <w:t> </w:t>
      </w:r>
      <w:r w:rsidR="0028384B" w:rsidRPr="002F16A1">
        <w:rPr>
          <w:noProof/>
        </w:rPr>
        <w:t>zró</w:t>
      </w:r>
      <w:r w:rsidR="00AD62E2" w:rsidRPr="002F16A1">
        <w:rPr>
          <w:noProof/>
        </w:rPr>
        <w:t>wnoważoności surowców krytycznych zużywanych</w:t>
      </w:r>
      <w:r w:rsidR="0028384B" w:rsidRPr="002F16A1">
        <w:rPr>
          <w:noProof/>
        </w:rPr>
        <w:t xml:space="preserve"> w</w:t>
      </w:r>
      <w:r w:rsidR="0028384B">
        <w:rPr>
          <w:noProof/>
        </w:rPr>
        <w:t> </w:t>
      </w:r>
      <w:r w:rsidR="0028384B" w:rsidRPr="002F16A1">
        <w:rPr>
          <w:noProof/>
        </w:rPr>
        <w:t>Uni</w:t>
      </w:r>
      <w:r w:rsidR="00AD62E2" w:rsidRPr="002F16A1">
        <w:rPr>
          <w:noProof/>
        </w:rPr>
        <w:t>i. </w:t>
      </w:r>
    </w:p>
    <w:p w:rsidR="00AD62E2" w:rsidRPr="0028384B" w:rsidRDefault="00733965" w:rsidP="00733965">
      <w:pPr>
        <w:pStyle w:val="ManualConsidrant"/>
        <w:rPr>
          <w:noProof/>
        </w:rPr>
      </w:pPr>
      <w:r w:rsidRPr="00733965">
        <w:t>(4)</w:t>
      </w:r>
      <w:r w:rsidRPr="00733965">
        <w:tab/>
      </w:r>
      <w:r w:rsidR="00AD62E2" w:rsidRPr="002F16A1">
        <w:rPr>
          <w:noProof/>
        </w:rPr>
        <w:t>W celu zapewnienia, aby środki określone</w:t>
      </w:r>
      <w:r w:rsidR="0028384B" w:rsidRPr="002F16A1">
        <w:rPr>
          <w:noProof/>
        </w:rPr>
        <w:t xml:space="preserve"> w</w:t>
      </w:r>
      <w:r w:rsidR="0028384B">
        <w:rPr>
          <w:noProof/>
        </w:rPr>
        <w:t> </w:t>
      </w:r>
      <w:r w:rsidR="0028384B" w:rsidRPr="002F16A1">
        <w:rPr>
          <w:noProof/>
        </w:rPr>
        <w:t>nin</w:t>
      </w:r>
      <w:r w:rsidR="00AD62E2" w:rsidRPr="002F16A1">
        <w:rPr>
          <w:noProof/>
        </w:rPr>
        <w:t>iejszym rozporządzeniu skupiały się na najważniejszych surowcach, należy opracować wykaz surowców strategicznych oraz wykaz surowców krytycznych. Celem tych wykazów powinno być również kierowanie działaniami państw członkowskich na rzecz osiągnięcia celów niniejszego rozporządzenia oraz koordynowanie tych działań</w:t>
      </w:r>
      <w:r w:rsidR="0028384B" w:rsidRPr="002F16A1">
        <w:rPr>
          <w:noProof/>
        </w:rPr>
        <w:t>. W</w:t>
      </w:r>
      <w:r w:rsidR="0028384B">
        <w:rPr>
          <w:noProof/>
        </w:rPr>
        <w:t> </w:t>
      </w:r>
      <w:r w:rsidR="0028384B" w:rsidRPr="002F16A1">
        <w:rPr>
          <w:noProof/>
        </w:rPr>
        <w:t>wyk</w:t>
      </w:r>
      <w:r w:rsidR="00AD62E2" w:rsidRPr="002F16A1">
        <w:rPr>
          <w:noProof/>
        </w:rPr>
        <w:t>azie surowców strategicznych należy uwzględnić surowce, które mają duże znaczenie strategiczne, biorąc pod uwagę ich zastosowanie</w:t>
      </w:r>
      <w:r w:rsidR="0028384B" w:rsidRPr="002F16A1">
        <w:rPr>
          <w:noProof/>
        </w:rPr>
        <w:t xml:space="preserve"> w</w:t>
      </w:r>
      <w:r w:rsidR="0028384B">
        <w:rPr>
          <w:noProof/>
        </w:rPr>
        <w:t> </w:t>
      </w:r>
      <w:r w:rsidR="0028384B" w:rsidRPr="002F16A1">
        <w:rPr>
          <w:noProof/>
        </w:rPr>
        <w:t>tec</w:t>
      </w:r>
      <w:r w:rsidR="00AD62E2" w:rsidRPr="002F16A1">
        <w:rPr>
          <w:noProof/>
        </w:rPr>
        <w:t>hnologiach strategicznych leżących</w:t>
      </w:r>
      <w:r w:rsidR="0028384B" w:rsidRPr="002F16A1">
        <w:rPr>
          <w:noProof/>
        </w:rPr>
        <w:t xml:space="preserve"> u</w:t>
      </w:r>
      <w:r w:rsidR="0028384B">
        <w:rPr>
          <w:noProof/>
        </w:rPr>
        <w:t> </w:t>
      </w:r>
      <w:r w:rsidR="0028384B" w:rsidRPr="002F16A1">
        <w:rPr>
          <w:noProof/>
        </w:rPr>
        <w:t>pod</w:t>
      </w:r>
      <w:r w:rsidR="00AD62E2" w:rsidRPr="002F16A1">
        <w:rPr>
          <w:noProof/>
        </w:rPr>
        <w:t>staw transformacji ekologicznej</w:t>
      </w:r>
      <w:r w:rsidR="0028384B" w:rsidRPr="002F16A1">
        <w:rPr>
          <w:noProof/>
        </w:rPr>
        <w:t xml:space="preserve"> i</w:t>
      </w:r>
      <w:r w:rsidR="0028384B">
        <w:rPr>
          <w:noProof/>
        </w:rPr>
        <w:t> </w:t>
      </w:r>
      <w:r w:rsidR="0028384B" w:rsidRPr="002F16A1">
        <w:rPr>
          <w:noProof/>
        </w:rPr>
        <w:t>cyf</w:t>
      </w:r>
      <w:r w:rsidR="00AD62E2" w:rsidRPr="002F16A1">
        <w:rPr>
          <w:noProof/>
        </w:rPr>
        <w:t>rowej lub wykorzystanie</w:t>
      </w:r>
      <w:r w:rsidR="0028384B" w:rsidRPr="002F16A1">
        <w:rPr>
          <w:noProof/>
        </w:rPr>
        <w:t xml:space="preserve"> w</w:t>
      </w:r>
      <w:r w:rsidR="0028384B">
        <w:rPr>
          <w:noProof/>
        </w:rPr>
        <w:t> </w:t>
      </w:r>
      <w:r w:rsidR="0028384B" w:rsidRPr="002F16A1">
        <w:rPr>
          <w:noProof/>
        </w:rPr>
        <w:t>zas</w:t>
      </w:r>
      <w:r w:rsidR="00AD62E2" w:rsidRPr="002F16A1">
        <w:rPr>
          <w:noProof/>
        </w:rPr>
        <w:t>tosowaniach obronnych lub kosmicznych, oraz charakteryzują się potencjalnie dużą luką między światową podażą</w:t>
      </w:r>
      <w:r w:rsidR="0028384B" w:rsidRPr="002F16A1">
        <w:rPr>
          <w:noProof/>
        </w:rPr>
        <w:t xml:space="preserve"> a</w:t>
      </w:r>
      <w:r w:rsidR="0028384B">
        <w:rPr>
          <w:noProof/>
        </w:rPr>
        <w:t> </w:t>
      </w:r>
      <w:r w:rsidR="0028384B" w:rsidRPr="002F16A1">
        <w:rPr>
          <w:noProof/>
        </w:rPr>
        <w:t>pro</w:t>
      </w:r>
      <w:r w:rsidR="00AD62E2" w:rsidRPr="002F16A1">
        <w:rPr>
          <w:noProof/>
        </w:rPr>
        <w:t>gnozowanym popytem</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prz</w:t>
      </w:r>
      <w:r w:rsidR="00AD62E2" w:rsidRPr="002F16A1">
        <w:rPr>
          <w:noProof/>
        </w:rPr>
        <w:t>ypadku których zwiększenie produkcji jest stosunkowo trudne, na przykład ze względu na długi czas realizacji nowych projektów mających na celu zwiększenie potencjału podaży. Aby uwzględnić możliwe zmiany technologiczne</w:t>
      </w:r>
      <w:r w:rsidR="0028384B" w:rsidRPr="002F16A1">
        <w:rPr>
          <w:noProof/>
        </w:rPr>
        <w:t xml:space="preserve"> i</w:t>
      </w:r>
      <w:r w:rsidR="0028384B">
        <w:rPr>
          <w:noProof/>
        </w:rPr>
        <w:t> </w:t>
      </w:r>
      <w:r w:rsidR="0028384B" w:rsidRPr="002F16A1">
        <w:rPr>
          <w:noProof/>
        </w:rPr>
        <w:t>gos</w:t>
      </w:r>
      <w:r w:rsidR="00AD62E2" w:rsidRPr="002F16A1">
        <w:rPr>
          <w:noProof/>
        </w:rPr>
        <w:t>podarcze, wykaz surowców strategicznych należy okresowo weryfikować</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raz</w:t>
      </w:r>
      <w:r w:rsidR="00AD62E2" w:rsidRPr="002F16A1">
        <w:rPr>
          <w:noProof/>
        </w:rPr>
        <w:t>ie potrzeby aktualizować</w:t>
      </w:r>
      <w:r w:rsidR="0028384B" w:rsidRPr="002F16A1">
        <w:rPr>
          <w:noProof/>
        </w:rPr>
        <w:t>. W</w:t>
      </w:r>
      <w:r w:rsidR="0028384B">
        <w:rPr>
          <w:noProof/>
        </w:rPr>
        <w:t> </w:t>
      </w:r>
      <w:r w:rsidR="0028384B" w:rsidRPr="002F16A1">
        <w:rPr>
          <w:noProof/>
        </w:rPr>
        <w:t>cel</w:t>
      </w:r>
      <w:r w:rsidR="00AD62E2" w:rsidRPr="002F16A1">
        <w:rPr>
          <w:noProof/>
        </w:rPr>
        <w:t>u zagwarantowania, że podjęte działania na rzecz zwiększenia zdolności Unii</w:t>
      </w:r>
      <w:r w:rsidR="0028384B" w:rsidRPr="002F16A1">
        <w:rPr>
          <w:noProof/>
        </w:rPr>
        <w:t xml:space="preserve"> w</w:t>
      </w:r>
      <w:r w:rsidR="0028384B">
        <w:rPr>
          <w:noProof/>
        </w:rPr>
        <w:t> </w:t>
      </w:r>
      <w:r w:rsidR="0028384B" w:rsidRPr="002F16A1">
        <w:rPr>
          <w:noProof/>
        </w:rPr>
        <w:t>cał</w:t>
      </w:r>
      <w:r w:rsidR="00AD62E2" w:rsidRPr="002F16A1">
        <w:rPr>
          <w:noProof/>
        </w:rPr>
        <w:t>ym łańcuchu wartości, wzmocnienia zdolności Unii</w:t>
      </w:r>
      <w:r w:rsidR="0028384B" w:rsidRPr="002F16A1">
        <w:rPr>
          <w:noProof/>
        </w:rPr>
        <w:t xml:space="preserve"> w</w:t>
      </w:r>
      <w:r w:rsidR="0028384B">
        <w:rPr>
          <w:noProof/>
        </w:rPr>
        <w:t> </w:t>
      </w:r>
      <w:r w:rsidR="0028384B" w:rsidRPr="002F16A1">
        <w:rPr>
          <w:noProof/>
        </w:rPr>
        <w:t>zak</w:t>
      </w:r>
      <w:r w:rsidR="00AD62E2" w:rsidRPr="002F16A1">
        <w:rPr>
          <w:noProof/>
        </w:rPr>
        <w:t>resie monitorowania</w:t>
      </w:r>
      <w:r w:rsidR="0028384B" w:rsidRPr="002F16A1">
        <w:rPr>
          <w:noProof/>
        </w:rPr>
        <w:t xml:space="preserve"> i</w:t>
      </w:r>
      <w:r w:rsidR="0028384B">
        <w:rPr>
          <w:noProof/>
        </w:rPr>
        <w:t> </w:t>
      </w:r>
      <w:r w:rsidR="0028384B" w:rsidRPr="002F16A1">
        <w:rPr>
          <w:noProof/>
        </w:rPr>
        <w:t>ogr</w:t>
      </w:r>
      <w:r w:rsidR="00AD62E2" w:rsidRPr="002F16A1">
        <w:rPr>
          <w:noProof/>
        </w:rPr>
        <w:t>aniczania ryzyka związanego</w:t>
      </w:r>
      <w:r w:rsidR="0028384B" w:rsidRPr="002F16A1">
        <w:rPr>
          <w:noProof/>
        </w:rPr>
        <w:t xml:space="preserve"> z</w:t>
      </w:r>
      <w:r w:rsidR="0028384B">
        <w:rPr>
          <w:noProof/>
        </w:rPr>
        <w:t> </w:t>
      </w:r>
      <w:r w:rsidR="0028384B" w:rsidRPr="002F16A1">
        <w:rPr>
          <w:noProof/>
        </w:rPr>
        <w:t>dos</w:t>
      </w:r>
      <w:r w:rsidR="00AD62E2" w:rsidRPr="002F16A1">
        <w:rPr>
          <w:noProof/>
        </w:rPr>
        <w:t>tawami oraz zwiększenia dywersyfikacji dostaw zostaną ukierunkowane na surowce,</w:t>
      </w:r>
      <w:r w:rsidR="0028384B" w:rsidRPr="002F16A1">
        <w:rPr>
          <w:noProof/>
        </w:rPr>
        <w:t xml:space="preserve"> w</w:t>
      </w:r>
      <w:r w:rsidR="0028384B">
        <w:rPr>
          <w:noProof/>
        </w:rPr>
        <w:t> </w:t>
      </w:r>
      <w:r w:rsidR="0028384B" w:rsidRPr="002F16A1">
        <w:rPr>
          <w:noProof/>
        </w:rPr>
        <w:t>odn</w:t>
      </w:r>
      <w:r w:rsidR="00AD62E2" w:rsidRPr="002F16A1">
        <w:rPr>
          <w:noProof/>
        </w:rPr>
        <w:t>iesieniu do których wspomniane działania są najbardziej potrzebne, odpowiednie środki powinny mieć zastosowanie wyłącznie do surowców wymienionych</w:t>
      </w:r>
      <w:r w:rsidR="0028384B" w:rsidRPr="002F16A1">
        <w:rPr>
          <w:noProof/>
        </w:rPr>
        <w:t xml:space="preserve"> w</w:t>
      </w:r>
      <w:r w:rsidR="0028384B">
        <w:rPr>
          <w:noProof/>
        </w:rPr>
        <w:t> </w:t>
      </w:r>
      <w:r w:rsidR="0028384B" w:rsidRPr="002F16A1">
        <w:rPr>
          <w:noProof/>
        </w:rPr>
        <w:t>wyk</w:t>
      </w:r>
      <w:r w:rsidR="00AD62E2" w:rsidRPr="002F16A1">
        <w:rPr>
          <w:noProof/>
        </w:rPr>
        <w:t>azie surowców strategicznych.</w:t>
      </w:r>
    </w:p>
    <w:p w:rsidR="00AD62E2" w:rsidRPr="002F16A1" w:rsidRDefault="00733965" w:rsidP="00733965">
      <w:pPr>
        <w:pStyle w:val="ManualConsidrant"/>
        <w:rPr>
          <w:noProof/>
        </w:rPr>
      </w:pPr>
      <w:r w:rsidRPr="00733965">
        <w:t>(5)</w:t>
      </w:r>
      <w:r w:rsidRPr="00733965">
        <w:tab/>
      </w:r>
      <w:r w:rsidR="00AD62E2" w:rsidRPr="0028384B">
        <w:rPr>
          <w:noProof/>
        </w:rPr>
        <w:t>W</w:t>
      </w:r>
      <w:r w:rsidR="00AD62E2" w:rsidRPr="002F16A1">
        <w:rPr>
          <w:noProof/>
        </w:rPr>
        <w:t>ykaz surowców krytycznych powinien zawierać wszystkie surowce strategiczne oraz wszelkie inne surowce</w:t>
      </w:r>
      <w:r w:rsidR="0028384B" w:rsidRPr="002F16A1">
        <w:rPr>
          <w:noProof/>
        </w:rPr>
        <w:t xml:space="preserve"> o</w:t>
      </w:r>
      <w:r w:rsidR="0028384B">
        <w:rPr>
          <w:noProof/>
        </w:rPr>
        <w:t> </w:t>
      </w:r>
      <w:r w:rsidR="0028384B" w:rsidRPr="002F16A1">
        <w:rPr>
          <w:noProof/>
        </w:rPr>
        <w:t>duż</w:t>
      </w:r>
      <w:r w:rsidR="00AD62E2" w:rsidRPr="002F16A1">
        <w:rPr>
          <w:noProof/>
        </w:rPr>
        <w:t>ym znaczeniu dla całej gospodarki Unii,</w:t>
      </w:r>
      <w:r w:rsidR="0028384B" w:rsidRPr="002F16A1">
        <w:rPr>
          <w:noProof/>
        </w:rPr>
        <w:t xml:space="preserve"> w</w:t>
      </w:r>
      <w:r w:rsidR="0028384B">
        <w:rPr>
          <w:noProof/>
        </w:rPr>
        <w:t> </w:t>
      </w:r>
      <w:r w:rsidR="0028384B" w:rsidRPr="002F16A1">
        <w:rPr>
          <w:noProof/>
        </w:rPr>
        <w:t>któ</w:t>
      </w:r>
      <w:r w:rsidR="00AD62E2" w:rsidRPr="002F16A1">
        <w:rPr>
          <w:noProof/>
        </w:rPr>
        <w:t>rych przypadku istnieje wysokie ryzyko zakłócenia dostaw</w:t>
      </w:r>
      <w:r w:rsidR="0028384B" w:rsidRPr="002F16A1">
        <w:rPr>
          <w:noProof/>
        </w:rPr>
        <w:t>. W</w:t>
      </w:r>
      <w:r w:rsidR="0028384B">
        <w:rPr>
          <w:noProof/>
        </w:rPr>
        <w:t> </w:t>
      </w:r>
      <w:r w:rsidR="0028384B" w:rsidRPr="002F16A1">
        <w:rPr>
          <w:noProof/>
        </w:rPr>
        <w:t>cel</w:t>
      </w:r>
      <w:r w:rsidR="00AD62E2" w:rsidRPr="002F16A1">
        <w:rPr>
          <w:noProof/>
        </w:rPr>
        <w:t>u uwzględnienia ewentualnych zmian technologicznych</w:t>
      </w:r>
      <w:r w:rsidR="0028384B" w:rsidRPr="002F16A1">
        <w:rPr>
          <w:noProof/>
        </w:rPr>
        <w:t xml:space="preserve"> i</w:t>
      </w:r>
      <w:r w:rsidR="0028384B">
        <w:rPr>
          <w:noProof/>
        </w:rPr>
        <w:t> </w:t>
      </w:r>
      <w:r w:rsidR="0028384B" w:rsidRPr="002F16A1">
        <w:rPr>
          <w:noProof/>
        </w:rPr>
        <w:t>gos</w:t>
      </w:r>
      <w:r w:rsidR="00AD62E2" w:rsidRPr="002F16A1">
        <w:rPr>
          <w:noProof/>
        </w:rPr>
        <w:t>podarczych Komisja powinna – tak jak robi to obecnie – przeprowadzać okresową ocenę na podstawie danych dotyczących produkcji, handlu, zastosowań, recyklingu</w:t>
      </w:r>
      <w:r w:rsidR="0028384B" w:rsidRPr="002F16A1">
        <w:rPr>
          <w:noProof/>
        </w:rPr>
        <w:t xml:space="preserve"> i</w:t>
      </w:r>
      <w:r w:rsidR="0028384B">
        <w:rPr>
          <w:noProof/>
        </w:rPr>
        <w:t> </w:t>
      </w:r>
      <w:r w:rsidR="0028384B" w:rsidRPr="002F16A1">
        <w:rPr>
          <w:noProof/>
        </w:rPr>
        <w:t>zas</w:t>
      </w:r>
      <w:r w:rsidR="00AD62E2" w:rsidRPr="002F16A1">
        <w:rPr>
          <w:noProof/>
        </w:rPr>
        <w:t>tępowania szerokiej gamy surowców</w:t>
      </w:r>
      <w:r w:rsidR="0028384B" w:rsidRPr="002F16A1">
        <w:rPr>
          <w:noProof/>
        </w:rPr>
        <w:t xml:space="preserve"> w</w:t>
      </w:r>
      <w:r w:rsidR="0028384B">
        <w:rPr>
          <w:noProof/>
        </w:rPr>
        <w:t> </w:t>
      </w:r>
      <w:r w:rsidR="0028384B" w:rsidRPr="002F16A1">
        <w:rPr>
          <w:noProof/>
        </w:rPr>
        <w:t>cel</w:t>
      </w:r>
      <w:r w:rsidR="00AD62E2" w:rsidRPr="002F16A1">
        <w:rPr>
          <w:noProof/>
        </w:rPr>
        <w:t>u aktualizacji wykazów surowców krytycznych</w:t>
      </w:r>
      <w:r w:rsidR="0028384B" w:rsidRPr="002F16A1">
        <w:rPr>
          <w:noProof/>
        </w:rPr>
        <w:t xml:space="preserve"> i</w:t>
      </w:r>
      <w:r w:rsidR="0028384B">
        <w:rPr>
          <w:noProof/>
        </w:rPr>
        <w:t> </w:t>
      </w:r>
      <w:r w:rsidR="0028384B" w:rsidRPr="002F16A1">
        <w:rPr>
          <w:noProof/>
        </w:rPr>
        <w:t>str</w:t>
      </w:r>
      <w:r w:rsidR="00AD62E2" w:rsidRPr="002F16A1">
        <w:rPr>
          <w:noProof/>
        </w:rPr>
        <w:t>ategicznych, aby odzwierciedlić zmiany znaczenia gospodarczego tych surowców oraz ryzyko związane</w:t>
      </w:r>
      <w:r w:rsidR="0028384B" w:rsidRPr="002F16A1">
        <w:rPr>
          <w:noProof/>
        </w:rPr>
        <w:t xml:space="preserve"> z</w:t>
      </w:r>
      <w:r w:rsidR="0028384B">
        <w:rPr>
          <w:noProof/>
        </w:rPr>
        <w:t> </w:t>
      </w:r>
      <w:r w:rsidR="0028384B" w:rsidRPr="002F16A1">
        <w:rPr>
          <w:noProof/>
        </w:rPr>
        <w:t>ich</w:t>
      </w:r>
      <w:r w:rsidR="00AD62E2" w:rsidRPr="002F16A1">
        <w:rPr>
          <w:noProof/>
        </w:rPr>
        <w:t xml:space="preserve"> dostawami. Wykaz surowców krytycznych powinien zawierać te surowce, które osiągają lub przekraczają progi dotyczące zarówno znaczenia gospodarczego, jak</w:t>
      </w:r>
      <w:r w:rsidR="0028384B" w:rsidRPr="002F16A1">
        <w:rPr>
          <w:noProof/>
        </w:rPr>
        <w:t xml:space="preserve"> i</w:t>
      </w:r>
      <w:r w:rsidR="0028384B">
        <w:rPr>
          <w:noProof/>
        </w:rPr>
        <w:t> </w:t>
      </w:r>
      <w:r w:rsidR="0028384B" w:rsidRPr="002F16A1">
        <w:rPr>
          <w:noProof/>
        </w:rPr>
        <w:t>ryz</w:t>
      </w:r>
      <w:r w:rsidR="00AD62E2" w:rsidRPr="002F16A1">
        <w:rPr>
          <w:noProof/>
        </w:rPr>
        <w:t>yka związanego</w:t>
      </w:r>
      <w:r w:rsidR="0028384B" w:rsidRPr="002F16A1">
        <w:rPr>
          <w:noProof/>
        </w:rPr>
        <w:t xml:space="preserve"> z</w:t>
      </w:r>
      <w:r w:rsidR="0028384B">
        <w:rPr>
          <w:noProof/>
        </w:rPr>
        <w:t> </w:t>
      </w:r>
      <w:r w:rsidR="0028384B" w:rsidRPr="002F16A1">
        <w:rPr>
          <w:noProof/>
        </w:rPr>
        <w:t>dos</w:t>
      </w:r>
      <w:r w:rsidR="00AD62E2" w:rsidRPr="002F16A1">
        <w:rPr>
          <w:noProof/>
        </w:rPr>
        <w:t>tawami, bez klasyfikowania odnośnych surowców pod kątem ich krytyczności. Wspomniana ocena powinna opierać się na średniej wyciągniętej</w:t>
      </w:r>
      <w:r w:rsidR="0028384B" w:rsidRPr="002F16A1">
        <w:rPr>
          <w:noProof/>
        </w:rPr>
        <w:t xml:space="preserve"> z</w:t>
      </w:r>
      <w:r w:rsidR="0028384B">
        <w:rPr>
          <w:noProof/>
        </w:rPr>
        <w:t> </w:t>
      </w:r>
      <w:r w:rsidR="0028384B" w:rsidRPr="002F16A1">
        <w:rPr>
          <w:noProof/>
        </w:rPr>
        <w:t>naj</w:t>
      </w:r>
      <w:r w:rsidR="00AD62E2" w:rsidRPr="002F16A1">
        <w:rPr>
          <w:noProof/>
        </w:rPr>
        <w:t>nowszych dostępnych danych</w:t>
      </w:r>
      <w:r w:rsidR="0028384B" w:rsidRPr="002F16A1">
        <w:rPr>
          <w:noProof/>
        </w:rPr>
        <w:t xml:space="preserve"> z</w:t>
      </w:r>
      <w:r w:rsidR="0028384B">
        <w:rPr>
          <w:noProof/>
        </w:rPr>
        <w:t> </w:t>
      </w:r>
      <w:r w:rsidR="0028384B" w:rsidRPr="002F16A1">
        <w:rPr>
          <w:noProof/>
        </w:rPr>
        <w:t>okr</w:t>
      </w:r>
      <w:r w:rsidR="00AD62E2" w:rsidRPr="002F16A1">
        <w:rPr>
          <w:noProof/>
        </w:rPr>
        <w:t>esu pięciu lat. Środki określone</w:t>
      </w:r>
      <w:r w:rsidR="0028384B" w:rsidRPr="002F16A1">
        <w:rPr>
          <w:noProof/>
        </w:rPr>
        <w:t xml:space="preserve"> w</w:t>
      </w:r>
      <w:r w:rsidR="0028384B">
        <w:rPr>
          <w:noProof/>
        </w:rPr>
        <w:t> </w:t>
      </w:r>
      <w:r w:rsidR="0028384B" w:rsidRPr="002F16A1">
        <w:rPr>
          <w:noProof/>
        </w:rPr>
        <w:t>nin</w:t>
      </w:r>
      <w:r w:rsidR="00AD62E2" w:rsidRPr="002F16A1">
        <w:rPr>
          <w:noProof/>
        </w:rPr>
        <w:t>iejszym rozporządzeniu dotyczące punktu kompleksowej obsługi</w:t>
      </w:r>
      <w:r w:rsidR="0028384B" w:rsidRPr="002F16A1">
        <w:rPr>
          <w:noProof/>
        </w:rPr>
        <w:t xml:space="preserve"> w</w:t>
      </w:r>
      <w:r w:rsidR="0028384B">
        <w:rPr>
          <w:noProof/>
        </w:rPr>
        <w:t> </w:t>
      </w:r>
      <w:r w:rsidR="0028384B" w:rsidRPr="002F16A1">
        <w:rPr>
          <w:noProof/>
        </w:rPr>
        <w:t>zak</w:t>
      </w:r>
      <w:r w:rsidR="00AD62E2" w:rsidRPr="002F16A1">
        <w:rPr>
          <w:noProof/>
        </w:rPr>
        <w:t>resie wydawania pozwoleń, planowania, poszukiwania, monitorowania, obiegu zamkniętego</w:t>
      </w:r>
      <w:r w:rsidR="0028384B" w:rsidRPr="002F16A1">
        <w:rPr>
          <w:noProof/>
        </w:rPr>
        <w:t xml:space="preserve"> i</w:t>
      </w:r>
      <w:r w:rsidR="0028384B">
        <w:rPr>
          <w:noProof/>
        </w:rPr>
        <w:t> </w:t>
      </w:r>
      <w:r w:rsidR="0028384B" w:rsidRPr="002F16A1">
        <w:rPr>
          <w:noProof/>
        </w:rPr>
        <w:t>zró</w:t>
      </w:r>
      <w:r w:rsidR="00AD62E2" w:rsidRPr="002F16A1">
        <w:rPr>
          <w:noProof/>
        </w:rPr>
        <w:t xml:space="preserve">wnoważoności powinny mieć zastosowanie do wszystkich surowców krytycznych.   </w:t>
      </w:r>
    </w:p>
    <w:p w:rsidR="00AD62E2" w:rsidRPr="002F16A1" w:rsidRDefault="00733965" w:rsidP="00733965">
      <w:pPr>
        <w:pStyle w:val="ManualConsidrant"/>
        <w:rPr>
          <w:noProof/>
        </w:rPr>
      </w:pPr>
      <w:r w:rsidRPr="00733965">
        <w:t>(6)</w:t>
      </w:r>
      <w:r w:rsidRPr="00733965">
        <w:tab/>
      </w:r>
      <w:r w:rsidR="00AD62E2" w:rsidRPr="002F16A1">
        <w:rPr>
          <w:noProof/>
        </w:rPr>
        <w:t>Aby zwiększyć zdolności Unii</w:t>
      </w:r>
      <w:r w:rsidR="0028384B" w:rsidRPr="002F16A1">
        <w:rPr>
          <w:noProof/>
        </w:rPr>
        <w:t xml:space="preserve"> w</w:t>
      </w:r>
      <w:r w:rsidR="0028384B">
        <w:rPr>
          <w:noProof/>
        </w:rPr>
        <w:t> </w:t>
      </w:r>
      <w:r w:rsidR="0028384B" w:rsidRPr="002F16A1">
        <w:rPr>
          <w:noProof/>
        </w:rPr>
        <w:t>cał</w:t>
      </w:r>
      <w:r w:rsidR="00AD62E2" w:rsidRPr="002F16A1">
        <w:rPr>
          <w:noProof/>
        </w:rPr>
        <w:t>ym łańcuchu wartości surowców strategicznych, należy określić wskaźniki referencyjne umożliwiające kierowanie podejmowanymi działaniami</w:t>
      </w:r>
      <w:r w:rsidR="0028384B" w:rsidRPr="002F16A1">
        <w:rPr>
          <w:noProof/>
        </w:rPr>
        <w:t xml:space="preserve"> i</w:t>
      </w:r>
      <w:r w:rsidR="0028384B">
        <w:rPr>
          <w:noProof/>
        </w:rPr>
        <w:t> </w:t>
      </w:r>
      <w:r w:rsidR="0028384B" w:rsidRPr="002F16A1">
        <w:rPr>
          <w:noProof/>
        </w:rPr>
        <w:t>śle</w:t>
      </w:r>
      <w:r w:rsidR="00AD62E2" w:rsidRPr="002F16A1">
        <w:rPr>
          <w:noProof/>
        </w:rPr>
        <w:t>dzenie postępów. Celem powinno być zwiększenie zdolności</w:t>
      </w:r>
      <w:r w:rsidR="0028384B" w:rsidRPr="002F16A1">
        <w:rPr>
          <w:noProof/>
        </w:rPr>
        <w:t xml:space="preserve"> w</w:t>
      </w:r>
      <w:r w:rsidR="0028384B">
        <w:rPr>
          <w:noProof/>
        </w:rPr>
        <w:t> </w:t>
      </w:r>
      <w:r w:rsidR="0028384B" w:rsidRPr="002F16A1">
        <w:rPr>
          <w:noProof/>
        </w:rPr>
        <w:t>odn</w:t>
      </w:r>
      <w:r w:rsidR="00AD62E2" w:rsidRPr="002F16A1">
        <w:rPr>
          <w:noProof/>
        </w:rPr>
        <w:t>iesieniu do poszczególnych surowców strategicznych na każdym etapie łańcucha wartości przy jednoczesnym dążeniu do osiągnięcia ogólnych wskaźników referencyjnych dotyczących zdolności</w:t>
      </w:r>
      <w:r w:rsidR="0028384B" w:rsidRPr="002F16A1">
        <w:rPr>
          <w:noProof/>
        </w:rPr>
        <w:t xml:space="preserve"> w</w:t>
      </w:r>
      <w:r w:rsidR="0028384B">
        <w:rPr>
          <w:noProof/>
        </w:rPr>
        <w:t> </w:t>
      </w:r>
      <w:r w:rsidR="0028384B" w:rsidRPr="002F16A1">
        <w:rPr>
          <w:noProof/>
        </w:rPr>
        <w:t>zak</w:t>
      </w:r>
      <w:r w:rsidR="00AD62E2" w:rsidRPr="002F16A1">
        <w:rPr>
          <w:noProof/>
        </w:rPr>
        <w:t>resie wydobywania, przetwarzania</w:t>
      </w:r>
      <w:r w:rsidR="0028384B" w:rsidRPr="002F16A1">
        <w:rPr>
          <w:noProof/>
        </w:rPr>
        <w:t xml:space="preserve"> i</w:t>
      </w:r>
      <w:r w:rsidR="0028384B">
        <w:rPr>
          <w:noProof/>
        </w:rPr>
        <w:t> </w:t>
      </w:r>
      <w:r w:rsidR="0028384B" w:rsidRPr="002F16A1">
        <w:rPr>
          <w:noProof/>
        </w:rPr>
        <w:t>rec</w:t>
      </w:r>
      <w:r w:rsidR="00AD62E2" w:rsidRPr="002F16A1">
        <w:rPr>
          <w:noProof/>
        </w:rPr>
        <w:t>yklingu surowców strategicznych. Po pierwsze Unia powinna zwiększyć wykorzystanie swoich własnych geologicznych zasobów surowców strategicznych oraz wzmocnić swój potencjał</w:t>
      </w:r>
      <w:r w:rsidR="0028384B" w:rsidRPr="002F16A1">
        <w:rPr>
          <w:noProof/>
        </w:rPr>
        <w:t xml:space="preserve"> w</w:t>
      </w:r>
      <w:r w:rsidR="0028384B">
        <w:rPr>
          <w:noProof/>
        </w:rPr>
        <w:t> </w:t>
      </w:r>
      <w:r w:rsidR="0028384B" w:rsidRPr="002F16A1">
        <w:rPr>
          <w:noProof/>
        </w:rPr>
        <w:t>tym</w:t>
      </w:r>
      <w:r w:rsidR="00AD62E2" w:rsidRPr="002F16A1">
        <w:rPr>
          <w:noProof/>
        </w:rPr>
        <w:t xml:space="preserve"> zakresie, aby móc wydobywać surowce niezbędne do pokrycia co najmniej 1</w:t>
      </w:r>
      <w:r w:rsidR="00AD62E2" w:rsidRPr="0028384B">
        <w:rPr>
          <w:noProof/>
        </w:rPr>
        <w:t>0</w:t>
      </w:r>
      <w:r w:rsidR="0028384B" w:rsidRPr="0028384B">
        <w:rPr>
          <w:noProof/>
        </w:rPr>
        <w:t> </w:t>
      </w:r>
      <w:r w:rsidR="00AD62E2" w:rsidRPr="0028384B">
        <w:rPr>
          <w:noProof/>
        </w:rPr>
        <w:t>%</w:t>
      </w:r>
      <w:r w:rsidR="00AD62E2" w:rsidRPr="002F16A1">
        <w:rPr>
          <w:noProof/>
        </w:rPr>
        <w:t xml:space="preserve"> zużycia surowców strategicznych</w:t>
      </w:r>
      <w:r w:rsidR="0028384B" w:rsidRPr="002F16A1">
        <w:rPr>
          <w:noProof/>
        </w:rPr>
        <w:t xml:space="preserve"> w</w:t>
      </w:r>
      <w:r w:rsidR="0028384B">
        <w:rPr>
          <w:noProof/>
        </w:rPr>
        <w:t> </w:t>
      </w:r>
      <w:r w:rsidR="0028384B" w:rsidRPr="002F16A1">
        <w:rPr>
          <w:noProof/>
        </w:rPr>
        <w:t>Uni</w:t>
      </w:r>
      <w:r w:rsidR="00AD62E2" w:rsidRPr="002F16A1">
        <w:rPr>
          <w:noProof/>
        </w:rPr>
        <w:t>i. Mając na uwadze to, że zdolność wydobywcza jest silnie uzależniona od dostępności unijnych zasobów geologicznych, osiągnięcie wspomnianego wskaźnika referencyjnego zależy od rzeczonej dostępności. Po drugie, aby stworzyć pełny łańcuch wartości</w:t>
      </w:r>
      <w:r w:rsidR="0028384B" w:rsidRPr="002F16A1">
        <w:rPr>
          <w:noProof/>
        </w:rPr>
        <w:t xml:space="preserve"> i</w:t>
      </w:r>
      <w:r w:rsidR="0028384B">
        <w:rPr>
          <w:noProof/>
        </w:rPr>
        <w:t> </w:t>
      </w:r>
      <w:r w:rsidR="0028384B" w:rsidRPr="002F16A1">
        <w:rPr>
          <w:noProof/>
        </w:rPr>
        <w:t>zap</w:t>
      </w:r>
      <w:r w:rsidR="00AD62E2" w:rsidRPr="002F16A1">
        <w:rPr>
          <w:noProof/>
        </w:rPr>
        <w:t>obiec jakimkolwiek wąskim gardłom na etapach pośrednich, Unia powinna ponadto zwiększyć swoją zdolność przetwórczą</w:t>
      </w:r>
      <w:r w:rsidR="0028384B" w:rsidRPr="002F16A1">
        <w:rPr>
          <w:noProof/>
        </w:rPr>
        <w:t xml:space="preserve"> w</w:t>
      </w:r>
      <w:r w:rsidR="0028384B">
        <w:rPr>
          <w:noProof/>
        </w:rPr>
        <w:t> </w:t>
      </w:r>
      <w:r w:rsidR="0028384B" w:rsidRPr="002F16A1">
        <w:rPr>
          <w:noProof/>
        </w:rPr>
        <w:t>cał</w:t>
      </w:r>
      <w:r w:rsidR="00AD62E2" w:rsidRPr="002F16A1">
        <w:rPr>
          <w:noProof/>
        </w:rPr>
        <w:t>ym łańcuchu wartości oraz być</w:t>
      </w:r>
      <w:r w:rsidR="0028384B" w:rsidRPr="002F16A1">
        <w:rPr>
          <w:noProof/>
        </w:rPr>
        <w:t xml:space="preserve"> w</w:t>
      </w:r>
      <w:r w:rsidR="0028384B">
        <w:rPr>
          <w:noProof/>
        </w:rPr>
        <w:t> </w:t>
      </w:r>
      <w:r w:rsidR="0028384B" w:rsidRPr="002F16A1">
        <w:rPr>
          <w:noProof/>
        </w:rPr>
        <w:t>sta</w:t>
      </w:r>
      <w:r w:rsidR="00AD62E2" w:rsidRPr="002F16A1">
        <w:rPr>
          <w:noProof/>
        </w:rPr>
        <w:t>nie pokryć co najmniej 4</w:t>
      </w:r>
      <w:r w:rsidR="00AD62E2" w:rsidRPr="0028384B">
        <w:rPr>
          <w:noProof/>
        </w:rPr>
        <w:t>0</w:t>
      </w:r>
      <w:r w:rsidR="0028384B" w:rsidRPr="0028384B">
        <w:rPr>
          <w:noProof/>
        </w:rPr>
        <w:t> </w:t>
      </w:r>
      <w:r w:rsidR="00AD62E2" w:rsidRPr="0028384B">
        <w:rPr>
          <w:noProof/>
        </w:rPr>
        <w:t>%</w:t>
      </w:r>
      <w:r w:rsidR="00AD62E2" w:rsidRPr="002F16A1">
        <w:rPr>
          <w:noProof/>
        </w:rPr>
        <w:t xml:space="preserve"> swojego rocznego zużycia surowców strategicznych. Po trzecie przewiduje się, że</w:t>
      </w:r>
      <w:r w:rsidR="0028384B" w:rsidRPr="002F16A1">
        <w:rPr>
          <w:noProof/>
        </w:rPr>
        <w:t xml:space="preserve"> w</w:t>
      </w:r>
      <w:r w:rsidR="0028384B">
        <w:rPr>
          <w:noProof/>
        </w:rPr>
        <w:t> </w:t>
      </w:r>
      <w:r w:rsidR="0028384B" w:rsidRPr="002F16A1">
        <w:rPr>
          <w:noProof/>
        </w:rPr>
        <w:t>naj</w:t>
      </w:r>
      <w:r w:rsidR="00AD62E2" w:rsidRPr="002F16A1">
        <w:rPr>
          <w:noProof/>
        </w:rPr>
        <w:t>bliższych dziesięcioleciach będzie można pokryć rosnący udział unijnego zużycia surowców strategicznych za pomocą surowców wtórnych, co zwiększy zarówno bezpieczeństwo, jak</w:t>
      </w:r>
      <w:r w:rsidR="0028384B" w:rsidRPr="002F16A1">
        <w:rPr>
          <w:noProof/>
        </w:rPr>
        <w:t xml:space="preserve"> i</w:t>
      </w:r>
      <w:r w:rsidR="0028384B">
        <w:rPr>
          <w:noProof/>
        </w:rPr>
        <w:t> </w:t>
      </w:r>
      <w:r w:rsidR="0028384B" w:rsidRPr="002F16A1">
        <w:rPr>
          <w:noProof/>
        </w:rPr>
        <w:t>zró</w:t>
      </w:r>
      <w:r w:rsidR="00AD62E2" w:rsidRPr="002F16A1">
        <w:rPr>
          <w:noProof/>
        </w:rPr>
        <w:t>wnoważoność dostaw surowców do Unii</w:t>
      </w:r>
      <w:r w:rsidR="0028384B" w:rsidRPr="002F16A1">
        <w:rPr>
          <w:noProof/>
        </w:rPr>
        <w:t>. W</w:t>
      </w:r>
      <w:r w:rsidR="0028384B">
        <w:rPr>
          <w:noProof/>
        </w:rPr>
        <w:t> </w:t>
      </w:r>
      <w:r w:rsidR="0028384B" w:rsidRPr="002F16A1">
        <w:rPr>
          <w:noProof/>
        </w:rPr>
        <w:t>zwi</w:t>
      </w:r>
      <w:r w:rsidR="00AD62E2" w:rsidRPr="002F16A1">
        <w:rPr>
          <w:noProof/>
        </w:rPr>
        <w:t>ązku</w:t>
      </w:r>
      <w:r w:rsidR="0028384B" w:rsidRPr="002F16A1">
        <w:rPr>
          <w:noProof/>
        </w:rPr>
        <w:t xml:space="preserve"> z</w:t>
      </w:r>
      <w:r w:rsidR="0028384B">
        <w:rPr>
          <w:noProof/>
        </w:rPr>
        <w:t> </w:t>
      </w:r>
      <w:r w:rsidR="0028384B" w:rsidRPr="002F16A1">
        <w:rPr>
          <w:noProof/>
        </w:rPr>
        <w:t>tym</w:t>
      </w:r>
      <w:r w:rsidR="00AD62E2" w:rsidRPr="002F16A1">
        <w:rPr>
          <w:noProof/>
        </w:rPr>
        <w:t xml:space="preserve"> zdolność Unii</w:t>
      </w:r>
      <w:r w:rsidR="0028384B" w:rsidRPr="002F16A1">
        <w:rPr>
          <w:noProof/>
        </w:rPr>
        <w:t xml:space="preserve"> w</w:t>
      </w:r>
      <w:r w:rsidR="0028384B">
        <w:rPr>
          <w:noProof/>
        </w:rPr>
        <w:t> </w:t>
      </w:r>
      <w:r w:rsidR="0028384B" w:rsidRPr="002F16A1">
        <w:rPr>
          <w:noProof/>
        </w:rPr>
        <w:t>zak</w:t>
      </w:r>
      <w:r w:rsidR="00AD62E2" w:rsidRPr="002F16A1">
        <w:rPr>
          <w:noProof/>
        </w:rPr>
        <w:t>resie recyklingu powinna być</w:t>
      </w:r>
      <w:r w:rsidR="0028384B" w:rsidRPr="002F16A1">
        <w:rPr>
          <w:noProof/>
        </w:rPr>
        <w:t xml:space="preserve"> w</w:t>
      </w:r>
      <w:r w:rsidR="0028384B">
        <w:rPr>
          <w:noProof/>
        </w:rPr>
        <w:t> </w:t>
      </w:r>
      <w:r w:rsidR="0028384B" w:rsidRPr="002F16A1">
        <w:rPr>
          <w:noProof/>
        </w:rPr>
        <w:t>sta</w:t>
      </w:r>
      <w:r w:rsidR="00AD62E2" w:rsidRPr="002F16A1">
        <w:rPr>
          <w:noProof/>
        </w:rPr>
        <w:t>nie pokryć co najmniej 1</w:t>
      </w:r>
      <w:r w:rsidR="00AD62E2" w:rsidRPr="0028384B">
        <w:rPr>
          <w:noProof/>
        </w:rPr>
        <w:t>5</w:t>
      </w:r>
      <w:r w:rsidR="0028384B" w:rsidRPr="0028384B">
        <w:rPr>
          <w:noProof/>
        </w:rPr>
        <w:t> </w:t>
      </w:r>
      <w:r w:rsidR="00AD62E2" w:rsidRPr="0028384B">
        <w:rPr>
          <w:noProof/>
        </w:rPr>
        <w:t>%</w:t>
      </w:r>
      <w:r w:rsidR="00AD62E2" w:rsidRPr="002F16A1">
        <w:rPr>
          <w:noProof/>
        </w:rPr>
        <w:t xml:space="preserve"> jej rocznego zużycia surowców strategicznych. Zdefiniowane wskaźniki referencyjne odnoszą się do horyzontu czasowego 2030 zgodnie</w:t>
      </w:r>
      <w:r w:rsidR="0028384B" w:rsidRPr="002F16A1">
        <w:rPr>
          <w:noProof/>
        </w:rPr>
        <w:t xml:space="preserve"> z</w:t>
      </w:r>
      <w:r w:rsidR="0028384B">
        <w:rPr>
          <w:noProof/>
        </w:rPr>
        <w:t> </w:t>
      </w:r>
      <w:r w:rsidR="0028384B" w:rsidRPr="002F16A1">
        <w:rPr>
          <w:noProof/>
        </w:rPr>
        <w:t>uni</w:t>
      </w:r>
      <w:r w:rsidR="00AD62E2" w:rsidRPr="002F16A1">
        <w:rPr>
          <w:noProof/>
        </w:rPr>
        <w:t>jnymi celami</w:t>
      </w:r>
      <w:r w:rsidR="0028384B" w:rsidRPr="002F16A1">
        <w:rPr>
          <w:noProof/>
        </w:rPr>
        <w:t xml:space="preserve"> w</w:t>
      </w:r>
      <w:r w:rsidR="0028384B">
        <w:rPr>
          <w:noProof/>
        </w:rPr>
        <w:t> </w:t>
      </w:r>
      <w:r w:rsidR="0028384B" w:rsidRPr="002F16A1">
        <w:rPr>
          <w:noProof/>
        </w:rPr>
        <w:t>dzi</w:t>
      </w:r>
      <w:r w:rsidR="00AD62E2" w:rsidRPr="002F16A1">
        <w:rPr>
          <w:noProof/>
        </w:rPr>
        <w:t>edzinie klimatu</w:t>
      </w:r>
      <w:r w:rsidR="0028384B" w:rsidRPr="002F16A1">
        <w:rPr>
          <w:noProof/>
        </w:rPr>
        <w:t xml:space="preserve"> i</w:t>
      </w:r>
      <w:r w:rsidR="0028384B">
        <w:rPr>
          <w:noProof/>
        </w:rPr>
        <w:t> </w:t>
      </w:r>
      <w:r w:rsidR="0028384B" w:rsidRPr="002F16A1">
        <w:rPr>
          <w:noProof/>
        </w:rPr>
        <w:t>ene</w:t>
      </w:r>
      <w:r w:rsidR="00AD62E2" w:rsidRPr="002F16A1">
        <w:rPr>
          <w:noProof/>
        </w:rPr>
        <w:t>rgii określonymi</w:t>
      </w:r>
      <w:r w:rsidR="0028384B" w:rsidRPr="002F16A1">
        <w:rPr>
          <w:noProof/>
        </w:rPr>
        <w:t xml:space="preserve"> w</w:t>
      </w:r>
      <w:r w:rsidR="0028384B">
        <w:rPr>
          <w:noProof/>
        </w:rPr>
        <w:t> </w:t>
      </w:r>
      <w:r w:rsidR="0028384B" w:rsidRPr="002F16A1">
        <w:rPr>
          <w:noProof/>
        </w:rPr>
        <w:t>roz</w:t>
      </w:r>
      <w:r w:rsidR="00AD62E2" w:rsidRPr="002F16A1">
        <w:rPr>
          <w:noProof/>
        </w:rPr>
        <w:t>porządzeniu Parlamentu Europejskiego</w:t>
      </w:r>
      <w:r w:rsidR="0028384B" w:rsidRPr="002F16A1">
        <w:rPr>
          <w:noProof/>
        </w:rPr>
        <w:t xml:space="preserve"> i</w:t>
      </w:r>
      <w:r w:rsidR="0028384B">
        <w:rPr>
          <w:noProof/>
        </w:rPr>
        <w:t> </w:t>
      </w:r>
      <w:r w:rsidR="0028384B" w:rsidRPr="002F16A1">
        <w:rPr>
          <w:noProof/>
        </w:rPr>
        <w:t>Rad</w:t>
      </w:r>
      <w:r w:rsidR="00AD62E2" w:rsidRPr="002F16A1">
        <w:rPr>
          <w:noProof/>
        </w:rPr>
        <w:t>y (UE) 2021/1119</w:t>
      </w:r>
      <w:r w:rsidR="00AD62E2" w:rsidRPr="002F16A1">
        <w:rPr>
          <w:rStyle w:val="FootnoteReference"/>
          <w:noProof/>
        </w:rPr>
        <w:footnoteReference w:id="30"/>
      </w:r>
      <w:r w:rsidR="00AD62E2" w:rsidRPr="002F16A1">
        <w:rPr>
          <w:noProof/>
        </w:rPr>
        <w:t xml:space="preserve"> oraz</w:t>
      </w:r>
      <w:r w:rsidR="0028384B" w:rsidRPr="002F16A1">
        <w:rPr>
          <w:noProof/>
        </w:rPr>
        <w:t xml:space="preserve"> z</w:t>
      </w:r>
      <w:r w:rsidR="0028384B">
        <w:rPr>
          <w:noProof/>
        </w:rPr>
        <w:t> </w:t>
      </w:r>
      <w:r w:rsidR="0028384B" w:rsidRPr="002F16A1">
        <w:rPr>
          <w:noProof/>
        </w:rPr>
        <w:t>cel</w:t>
      </w:r>
      <w:r w:rsidR="00AD62E2" w:rsidRPr="002F16A1">
        <w:rPr>
          <w:noProof/>
        </w:rPr>
        <w:t>ami cyfrowymi określonymi</w:t>
      </w:r>
      <w:r w:rsidR="0028384B" w:rsidRPr="002F16A1">
        <w:rPr>
          <w:noProof/>
        </w:rPr>
        <w:t xml:space="preserve"> w</w:t>
      </w:r>
      <w:r w:rsidR="0028384B">
        <w:rPr>
          <w:noProof/>
        </w:rPr>
        <w:t> </w:t>
      </w:r>
      <w:r w:rsidR="0028384B" w:rsidRPr="002F16A1">
        <w:rPr>
          <w:noProof/>
        </w:rPr>
        <w:t>ram</w:t>
      </w:r>
      <w:r w:rsidR="00AD62E2" w:rsidRPr="002F16A1">
        <w:rPr>
          <w:noProof/>
        </w:rPr>
        <w:t>ach cyfrowej dekady</w:t>
      </w:r>
      <w:r w:rsidR="00AD62E2" w:rsidRPr="002F16A1">
        <w:rPr>
          <w:rStyle w:val="FootnoteReference"/>
          <w:noProof/>
        </w:rPr>
        <w:footnoteReference w:id="31"/>
      </w:r>
      <w:r w:rsidR="00AD62E2" w:rsidRPr="002F16A1">
        <w:rPr>
          <w:noProof/>
        </w:rPr>
        <w:t>,</w:t>
      </w:r>
      <w:r w:rsidR="0028384B" w:rsidRPr="002F16A1">
        <w:rPr>
          <w:noProof/>
        </w:rPr>
        <w:t xml:space="preserve"> u</w:t>
      </w:r>
      <w:r w:rsidR="0028384B">
        <w:rPr>
          <w:noProof/>
        </w:rPr>
        <w:t> </w:t>
      </w:r>
      <w:r w:rsidR="0028384B" w:rsidRPr="002F16A1">
        <w:rPr>
          <w:noProof/>
        </w:rPr>
        <w:t>któ</w:t>
      </w:r>
      <w:r w:rsidR="00AD62E2" w:rsidRPr="002F16A1">
        <w:rPr>
          <w:noProof/>
        </w:rPr>
        <w:t>rej podstaw leżą. Ponadto wysokiej jakości miejsca pracy,</w:t>
      </w:r>
      <w:r w:rsidR="0028384B" w:rsidRPr="002F16A1">
        <w:rPr>
          <w:noProof/>
        </w:rPr>
        <w:t xml:space="preserve"> w</w:t>
      </w:r>
      <w:r w:rsidR="0028384B">
        <w:rPr>
          <w:noProof/>
        </w:rPr>
        <w:t> </w:t>
      </w:r>
      <w:r w:rsidR="0028384B" w:rsidRPr="002F16A1">
        <w:rPr>
          <w:noProof/>
        </w:rPr>
        <w:t>tym</w:t>
      </w:r>
      <w:r w:rsidR="00AD62E2" w:rsidRPr="002F16A1">
        <w:rPr>
          <w:noProof/>
        </w:rPr>
        <w:t xml:space="preserve"> rozwój umiejętności</w:t>
      </w:r>
      <w:r w:rsidR="0028384B" w:rsidRPr="002F16A1">
        <w:rPr>
          <w:noProof/>
        </w:rPr>
        <w:t xml:space="preserve"> i</w:t>
      </w:r>
      <w:r w:rsidR="0028384B">
        <w:rPr>
          <w:noProof/>
        </w:rPr>
        <w:t> </w:t>
      </w:r>
      <w:r w:rsidR="0028384B" w:rsidRPr="002F16A1">
        <w:rPr>
          <w:noProof/>
        </w:rPr>
        <w:t>zmi</w:t>
      </w:r>
      <w:r w:rsidR="00AD62E2" w:rsidRPr="002F16A1">
        <w:rPr>
          <w:noProof/>
        </w:rPr>
        <w:t>ana zatrudnienia, przyczynią się do ograniczenia ryzyka na sektorowym rynku pracy</w:t>
      </w:r>
      <w:r w:rsidR="0028384B" w:rsidRPr="002F16A1">
        <w:rPr>
          <w:noProof/>
        </w:rPr>
        <w:t xml:space="preserve"> i</w:t>
      </w:r>
      <w:r w:rsidR="0028384B">
        <w:rPr>
          <w:noProof/>
        </w:rPr>
        <w:t> </w:t>
      </w:r>
      <w:r w:rsidR="0028384B" w:rsidRPr="002F16A1">
        <w:rPr>
          <w:noProof/>
        </w:rPr>
        <w:t>pom</w:t>
      </w:r>
      <w:r w:rsidR="00AD62E2" w:rsidRPr="002F16A1">
        <w:rPr>
          <w:noProof/>
        </w:rPr>
        <w:t>ogą</w:t>
      </w:r>
      <w:r w:rsidR="0028384B" w:rsidRPr="002F16A1">
        <w:rPr>
          <w:noProof/>
        </w:rPr>
        <w:t xml:space="preserve"> w</w:t>
      </w:r>
      <w:r w:rsidR="0028384B">
        <w:rPr>
          <w:noProof/>
        </w:rPr>
        <w:t> </w:t>
      </w:r>
      <w:r w:rsidR="0028384B" w:rsidRPr="002F16A1">
        <w:rPr>
          <w:noProof/>
        </w:rPr>
        <w:t>zap</w:t>
      </w:r>
      <w:r w:rsidR="00AD62E2" w:rsidRPr="002F16A1">
        <w:rPr>
          <w:noProof/>
        </w:rPr>
        <w:t>ewnieniu konkurencyjności UE.</w:t>
      </w:r>
    </w:p>
    <w:p w:rsidR="00AD62E2" w:rsidRPr="002F16A1" w:rsidRDefault="00733965" w:rsidP="00733965">
      <w:pPr>
        <w:pStyle w:val="ManualConsidrant"/>
        <w:rPr>
          <w:noProof/>
        </w:rPr>
      </w:pPr>
      <w:r w:rsidRPr="00733965">
        <w:t>(7)</w:t>
      </w:r>
      <w:r w:rsidRPr="00733965">
        <w:tab/>
      </w:r>
      <w:r w:rsidR="00AD62E2" w:rsidRPr="002F16A1">
        <w:rPr>
          <w:noProof/>
        </w:rPr>
        <w:t>W przypadku niektórych surowców pod względem dostaw Unia jest praktycznie całkowicie uzależniona od jednego państwa. Taka zależność jest obarczona wysokim ryzykiem występowania zakłóceń dostaw. Aby ograniczyć takie potencjalne ryzyko</w:t>
      </w:r>
      <w:r w:rsidR="0028384B" w:rsidRPr="002F16A1">
        <w:rPr>
          <w:noProof/>
        </w:rPr>
        <w:t xml:space="preserve"> i</w:t>
      </w:r>
      <w:r w:rsidR="0028384B">
        <w:rPr>
          <w:noProof/>
        </w:rPr>
        <w:t> </w:t>
      </w:r>
      <w:r w:rsidR="0028384B" w:rsidRPr="002F16A1">
        <w:rPr>
          <w:noProof/>
        </w:rPr>
        <w:t>zwi</w:t>
      </w:r>
      <w:r w:rsidR="00AD62E2" w:rsidRPr="002F16A1">
        <w:rPr>
          <w:noProof/>
        </w:rPr>
        <w:t xml:space="preserve">ększyć odporność gospodarczą Unii, należy podjąć działania mające na celu zapewnienie, aby </w:t>
      </w:r>
      <w:r w:rsidR="00AD62E2" w:rsidRPr="0028384B">
        <w:rPr>
          <w:noProof/>
        </w:rPr>
        <w:t>do</w:t>
      </w:r>
      <w:r w:rsidR="0028384B" w:rsidRPr="0028384B">
        <w:rPr>
          <w:noProof/>
        </w:rPr>
        <w:t> </w:t>
      </w:r>
      <w:r w:rsidR="00AD62E2" w:rsidRPr="0028384B">
        <w:rPr>
          <w:noProof/>
        </w:rPr>
        <w:t>2</w:t>
      </w:r>
      <w:r w:rsidR="00AD62E2" w:rsidRPr="002F16A1">
        <w:rPr>
          <w:noProof/>
        </w:rPr>
        <w:t>0</w:t>
      </w:r>
      <w:r w:rsidR="00AD62E2" w:rsidRPr="0028384B">
        <w:rPr>
          <w:noProof/>
        </w:rPr>
        <w:t>30</w:t>
      </w:r>
      <w:r w:rsidR="0028384B" w:rsidRPr="0028384B">
        <w:rPr>
          <w:noProof/>
        </w:rPr>
        <w:t> </w:t>
      </w:r>
      <w:r w:rsidR="00AD62E2" w:rsidRPr="0028384B">
        <w:rPr>
          <w:noProof/>
        </w:rPr>
        <w:t>r.</w:t>
      </w:r>
      <w:r w:rsidR="00AD62E2" w:rsidRPr="002F16A1">
        <w:rPr>
          <w:noProof/>
        </w:rPr>
        <w:t xml:space="preserve"> Unia nie była uzależniona od jednego państwa trzeciego</w:t>
      </w:r>
      <w:r w:rsidR="0028384B" w:rsidRPr="002F16A1">
        <w:rPr>
          <w:noProof/>
        </w:rPr>
        <w:t xml:space="preserve"> w</w:t>
      </w:r>
      <w:r w:rsidR="0028384B">
        <w:rPr>
          <w:noProof/>
        </w:rPr>
        <w:t> </w:t>
      </w:r>
      <w:r w:rsidR="0028384B" w:rsidRPr="002F16A1">
        <w:rPr>
          <w:noProof/>
        </w:rPr>
        <w:t>odn</w:t>
      </w:r>
      <w:r w:rsidR="00AD62E2" w:rsidRPr="002F16A1">
        <w:rPr>
          <w:noProof/>
        </w:rPr>
        <w:t>iesieniu do co najmniej 6</w:t>
      </w:r>
      <w:r w:rsidR="00AD62E2" w:rsidRPr="0028384B">
        <w:rPr>
          <w:noProof/>
        </w:rPr>
        <w:t>5</w:t>
      </w:r>
      <w:r w:rsidR="0028384B" w:rsidRPr="0028384B">
        <w:rPr>
          <w:noProof/>
        </w:rPr>
        <w:t> </w:t>
      </w:r>
      <w:r w:rsidR="00AD62E2" w:rsidRPr="0028384B">
        <w:rPr>
          <w:noProof/>
        </w:rPr>
        <w:t>%</w:t>
      </w:r>
      <w:r w:rsidR="00AD62E2" w:rsidRPr="002F16A1">
        <w:rPr>
          <w:noProof/>
        </w:rPr>
        <w:t xml:space="preserve"> swojego zaopatrzenia</w:t>
      </w:r>
      <w:r w:rsidR="0028384B" w:rsidRPr="002F16A1">
        <w:rPr>
          <w:noProof/>
        </w:rPr>
        <w:t xml:space="preserve"> w</w:t>
      </w:r>
      <w:r w:rsidR="0028384B">
        <w:rPr>
          <w:noProof/>
        </w:rPr>
        <w:t> </w:t>
      </w:r>
      <w:r w:rsidR="0028384B" w:rsidRPr="002F16A1">
        <w:rPr>
          <w:noProof/>
        </w:rPr>
        <w:t>jak</w:t>
      </w:r>
      <w:r w:rsidR="00AD62E2" w:rsidRPr="002F16A1">
        <w:rPr>
          <w:noProof/>
        </w:rPr>
        <w:t>ikolwiek surowiec strategiczny – zarówno nieprzetworzony, jak i na którymkolwiek etapie przetwarzania, ze szczególnym uwzględnieniem państw,</w:t>
      </w:r>
      <w:r w:rsidR="0028384B" w:rsidRPr="002F16A1">
        <w:rPr>
          <w:noProof/>
        </w:rPr>
        <w:t xml:space="preserve"> z</w:t>
      </w:r>
      <w:r w:rsidR="0028384B">
        <w:rPr>
          <w:noProof/>
        </w:rPr>
        <w:t> </w:t>
      </w:r>
      <w:r w:rsidR="0028384B" w:rsidRPr="002F16A1">
        <w:rPr>
          <w:noProof/>
        </w:rPr>
        <w:t>któ</w:t>
      </w:r>
      <w:r w:rsidR="00AD62E2" w:rsidRPr="002F16A1">
        <w:rPr>
          <w:noProof/>
        </w:rPr>
        <w:t>rymi zawarła partnerstwo strategiczne</w:t>
      </w:r>
      <w:r w:rsidR="0028384B" w:rsidRPr="002F16A1">
        <w:rPr>
          <w:noProof/>
        </w:rPr>
        <w:t xml:space="preserve"> w</w:t>
      </w:r>
      <w:r w:rsidR="0028384B">
        <w:rPr>
          <w:noProof/>
        </w:rPr>
        <w:t> </w:t>
      </w:r>
      <w:r w:rsidR="0028384B" w:rsidRPr="002F16A1">
        <w:rPr>
          <w:noProof/>
        </w:rPr>
        <w:t>zak</w:t>
      </w:r>
      <w:r w:rsidR="00AD62E2" w:rsidRPr="002F16A1">
        <w:rPr>
          <w:noProof/>
        </w:rPr>
        <w:t>resie surowców, które powinno</w:t>
      </w:r>
      <w:r w:rsidR="0028384B" w:rsidRPr="002F16A1">
        <w:rPr>
          <w:noProof/>
        </w:rPr>
        <w:t xml:space="preserve"> w</w:t>
      </w:r>
      <w:r w:rsidR="0028384B">
        <w:rPr>
          <w:noProof/>
        </w:rPr>
        <w:t> </w:t>
      </w:r>
      <w:r w:rsidR="0028384B" w:rsidRPr="002F16A1">
        <w:rPr>
          <w:noProof/>
        </w:rPr>
        <w:t>wię</w:t>
      </w:r>
      <w:r w:rsidR="00AD62E2" w:rsidRPr="002F16A1">
        <w:rPr>
          <w:noProof/>
        </w:rPr>
        <w:t>kszym stopniu zapewnić ograniczenie ryzyka związanego</w:t>
      </w:r>
      <w:r w:rsidR="0028384B" w:rsidRPr="002F16A1">
        <w:rPr>
          <w:noProof/>
        </w:rPr>
        <w:t xml:space="preserve"> z</w:t>
      </w:r>
      <w:r w:rsidR="0028384B">
        <w:rPr>
          <w:noProof/>
        </w:rPr>
        <w:t> </w:t>
      </w:r>
      <w:r w:rsidR="0028384B" w:rsidRPr="002F16A1">
        <w:rPr>
          <w:noProof/>
        </w:rPr>
        <w:t>dos</w:t>
      </w:r>
      <w:r w:rsidR="00AD62E2" w:rsidRPr="002F16A1">
        <w:rPr>
          <w:noProof/>
        </w:rPr>
        <w:t>tawami.</w:t>
      </w:r>
    </w:p>
    <w:p w:rsidR="00AD62E2" w:rsidRPr="002F16A1" w:rsidRDefault="00733965" w:rsidP="00733965">
      <w:pPr>
        <w:pStyle w:val="ManualConsidrant"/>
        <w:rPr>
          <w:noProof/>
        </w:rPr>
      </w:pPr>
      <w:r w:rsidRPr="00733965">
        <w:t>(8)</w:t>
      </w:r>
      <w:r w:rsidRPr="00733965">
        <w:tab/>
      </w:r>
      <w:r w:rsidR="00AD62E2" w:rsidRPr="002F16A1">
        <w:rPr>
          <w:noProof/>
        </w:rPr>
        <w:t>Należy wdrożyć odpowiednie środki</w:t>
      </w:r>
      <w:r w:rsidR="0028384B" w:rsidRPr="002F16A1">
        <w:rPr>
          <w:noProof/>
        </w:rPr>
        <w:t xml:space="preserve"> w</w:t>
      </w:r>
      <w:r w:rsidR="0028384B">
        <w:rPr>
          <w:noProof/>
        </w:rPr>
        <w:t> </w:t>
      </w:r>
      <w:r w:rsidR="0028384B" w:rsidRPr="002F16A1">
        <w:rPr>
          <w:noProof/>
        </w:rPr>
        <w:t>cel</w:t>
      </w:r>
      <w:r w:rsidR="00AD62E2" w:rsidRPr="002F16A1">
        <w:rPr>
          <w:noProof/>
        </w:rPr>
        <w:t>u wsparcia realizacji projektów strategicznych</w:t>
      </w:r>
      <w:r w:rsidR="0028384B" w:rsidRPr="002F16A1">
        <w:rPr>
          <w:noProof/>
        </w:rPr>
        <w:t xml:space="preserve"> w</w:t>
      </w:r>
      <w:r w:rsidR="0028384B">
        <w:rPr>
          <w:noProof/>
        </w:rPr>
        <w:t> </w:t>
      </w:r>
      <w:r w:rsidR="0028384B" w:rsidRPr="002F16A1">
        <w:rPr>
          <w:noProof/>
        </w:rPr>
        <w:t>zak</w:t>
      </w:r>
      <w:r w:rsidR="00AD62E2" w:rsidRPr="002F16A1">
        <w:rPr>
          <w:noProof/>
        </w:rPr>
        <w:t>resie wydobycia, przetwarzania lub recyklingu surowców strategicznych</w:t>
      </w:r>
      <w:r w:rsidR="0028384B" w:rsidRPr="002F16A1">
        <w:rPr>
          <w:noProof/>
        </w:rPr>
        <w:t xml:space="preserve"> w</w:t>
      </w:r>
      <w:r w:rsidR="0028384B">
        <w:rPr>
          <w:noProof/>
        </w:rPr>
        <w:t> </w:t>
      </w:r>
      <w:r w:rsidR="0028384B" w:rsidRPr="002F16A1">
        <w:rPr>
          <w:noProof/>
        </w:rPr>
        <w:t>Uni</w:t>
      </w:r>
      <w:r w:rsidR="00AD62E2" w:rsidRPr="002F16A1">
        <w:rPr>
          <w:noProof/>
        </w:rPr>
        <w:t>i, które to projekty razem</w:t>
      </w:r>
      <w:r w:rsidR="0028384B" w:rsidRPr="002F16A1">
        <w:rPr>
          <w:noProof/>
        </w:rPr>
        <w:t xml:space="preserve"> z</w:t>
      </w:r>
      <w:r w:rsidR="0028384B">
        <w:rPr>
          <w:noProof/>
        </w:rPr>
        <w:t> </w:t>
      </w:r>
      <w:r w:rsidR="0028384B" w:rsidRPr="002F16A1">
        <w:rPr>
          <w:noProof/>
        </w:rPr>
        <w:t>dzi</w:t>
      </w:r>
      <w:r w:rsidR="00AD62E2" w:rsidRPr="002F16A1">
        <w:rPr>
          <w:noProof/>
        </w:rPr>
        <w:t>ałaniami podejmowanymi przez państwa członkowskie powinny przyczynić się do zwiększenia zdolności pozwalających osiągnąć wskaźniki referencyjne. Inne środki,</w:t>
      </w:r>
      <w:r w:rsidR="0028384B" w:rsidRPr="002F16A1">
        <w:rPr>
          <w:noProof/>
        </w:rPr>
        <w:t xml:space="preserve"> w</w:t>
      </w:r>
      <w:r w:rsidR="0028384B">
        <w:rPr>
          <w:noProof/>
        </w:rPr>
        <w:t> </w:t>
      </w:r>
      <w:r w:rsidR="0028384B" w:rsidRPr="002F16A1">
        <w:rPr>
          <w:noProof/>
        </w:rPr>
        <w:t>szc</w:t>
      </w:r>
      <w:r w:rsidR="00AD62E2" w:rsidRPr="002F16A1">
        <w:rPr>
          <w:noProof/>
        </w:rPr>
        <w:t>zególności dotyczące poszukiwania lub obiegu zamkniętego, również powinny przyczynić się do wzmocnienia różnych etapów łańcucha wartości,</w:t>
      </w:r>
      <w:r w:rsidR="0028384B" w:rsidRPr="002F16A1">
        <w:rPr>
          <w:noProof/>
        </w:rPr>
        <w:t xml:space="preserve"> a</w:t>
      </w:r>
      <w:r w:rsidR="0028384B">
        <w:rPr>
          <w:noProof/>
        </w:rPr>
        <w:t> </w:t>
      </w:r>
      <w:r w:rsidR="0028384B" w:rsidRPr="002F16A1">
        <w:rPr>
          <w:noProof/>
        </w:rPr>
        <w:t>tym</w:t>
      </w:r>
      <w:r w:rsidR="00AD62E2" w:rsidRPr="002F16A1">
        <w:rPr>
          <w:noProof/>
        </w:rPr>
        <w:t xml:space="preserve"> samym do osiągnięcia wskaźników referencyjnych. Aby zapewnić terminowe osiągnięcie wskaźników referencyjnych Komisja –</w:t>
      </w:r>
      <w:r w:rsidR="0028384B" w:rsidRPr="002F16A1">
        <w:rPr>
          <w:noProof/>
        </w:rPr>
        <w:t xml:space="preserve"> z</w:t>
      </w:r>
      <w:r w:rsidR="0028384B">
        <w:rPr>
          <w:noProof/>
        </w:rPr>
        <w:t> </w:t>
      </w:r>
      <w:r w:rsidR="0028384B" w:rsidRPr="002F16A1">
        <w:rPr>
          <w:noProof/>
        </w:rPr>
        <w:t>pom</w:t>
      </w:r>
      <w:r w:rsidR="00AD62E2" w:rsidRPr="002F16A1">
        <w:rPr>
          <w:noProof/>
        </w:rPr>
        <w:t>ocą Europejskiej Rady ds. Surowców Krytycznych („Rada”) – powinna śledzić postępy</w:t>
      </w:r>
      <w:r w:rsidR="0028384B" w:rsidRPr="002F16A1">
        <w:rPr>
          <w:noProof/>
        </w:rPr>
        <w:t xml:space="preserve"> w</w:t>
      </w:r>
      <w:r w:rsidR="0028384B">
        <w:rPr>
          <w:noProof/>
        </w:rPr>
        <w:t> </w:t>
      </w:r>
      <w:r w:rsidR="0028384B" w:rsidRPr="002F16A1">
        <w:rPr>
          <w:noProof/>
        </w:rPr>
        <w:t>osi</w:t>
      </w:r>
      <w:r w:rsidR="00AD62E2" w:rsidRPr="002F16A1">
        <w:rPr>
          <w:noProof/>
        </w:rPr>
        <w:t>ąganiu tych wskaźników</w:t>
      </w:r>
      <w:r w:rsidR="0028384B" w:rsidRPr="002F16A1">
        <w:rPr>
          <w:noProof/>
        </w:rPr>
        <w:t xml:space="preserve"> i</w:t>
      </w:r>
      <w:r w:rsidR="0028384B">
        <w:rPr>
          <w:noProof/>
        </w:rPr>
        <w:t> </w:t>
      </w:r>
      <w:r w:rsidR="0028384B" w:rsidRPr="002F16A1">
        <w:rPr>
          <w:noProof/>
        </w:rPr>
        <w:t>skł</w:t>
      </w:r>
      <w:r w:rsidR="00AD62E2" w:rsidRPr="002F16A1">
        <w:rPr>
          <w:noProof/>
        </w:rPr>
        <w:t>adać sprawozdania</w:t>
      </w:r>
      <w:r w:rsidR="0028384B" w:rsidRPr="002F16A1">
        <w:rPr>
          <w:noProof/>
        </w:rPr>
        <w:t xml:space="preserve"> z</w:t>
      </w:r>
      <w:r w:rsidR="0028384B">
        <w:rPr>
          <w:noProof/>
        </w:rPr>
        <w:t> </w:t>
      </w:r>
      <w:r w:rsidR="0028384B" w:rsidRPr="002F16A1">
        <w:rPr>
          <w:noProof/>
        </w:rPr>
        <w:t>tyc</w:t>
      </w:r>
      <w:r w:rsidR="00AD62E2" w:rsidRPr="002F16A1">
        <w:rPr>
          <w:noProof/>
        </w:rPr>
        <w:t>h postępów</w:t>
      </w:r>
      <w:r w:rsidR="0028384B" w:rsidRPr="002F16A1">
        <w:rPr>
          <w:noProof/>
        </w:rPr>
        <w:t>. W</w:t>
      </w:r>
      <w:r w:rsidR="0028384B">
        <w:rPr>
          <w:noProof/>
        </w:rPr>
        <w:t> </w:t>
      </w:r>
      <w:r w:rsidR="0028384B" w:rsidRPr="002F16A1">
        <w:rPr>
          <w:noProof/>
        </w:rPr>
        <w:t>prz</w:t>
      </w:r>
      <w:r w:rsidR="00AD62E2" w:rsidRPr="002F16A1">
        <w:rPr>
          <w:noProof/>
        </w:rPr>
        <w:t>ypadku gdy wykazane postępy</w:t>
      </w:r>
      <w:r w:rsidR="0028384B" w:rsidRPr="002F16A1">
        <w:rPr>
          <w:noProof/>
        </w:rPr>
        <w:t xml:space="preserve"> w</w:t>
      </w:r>
      <w:r w:rsidR="0028384B">
        <w:rPr>
          <w:noProof/>
        </w:rPr>
        <w:t> </w:t>
      </w:r>
      <w:r w:rsidR="0028384B" w:rsidRPr="002F16A1">
        <w:rPr>
          <w:noProof/>
        </w:rPr>
        <w:t>kie</w:t>
      </w:r>
      <w:r w:rsidR="00AD62E2" w:rsidRPr="002F16A1">
        <w:rPr>
          <w:noProof/>
        </w:rPr>
        <w:t>runku osiągnięcia odpowiednich wskaźników referencyjnych są zasadniczo niewystarczające, Komisja powinna ocenić wykonalność</w:t>
      </w:r>
      <w:r w:rsidR="0028384B" w:rsidRPr="002F16A1">
        <w:rPr>
          <w:noProof/>
        </w:rPr>
        <w:t xml:space="preserve"> i</w:t>
      </w:r>
      <w:r w:rsidR="0028384B">
        <w:rPr>
          <w:noProof/>
        </w:rPr>
        <w:t> </w:t>
      </w:r>
      <w:r w:rsidR="0028384B" w:rsidRPr="002F16A1">
        <w:rPr>
          <w:noProof/>
        </w:rPr>
        <w:t>pro</w:t>
      </w:r>
      <w:r w:rsidR="00AD62E2" w:rsidRPr="002F16A1">
        <w:rPr>
          <w:noProof/>
        </w:rPr>
        <w:t>porcjonalność dodatkowych środków. Brak postępów jedynie</w:t>
      </w:r>
      <w:r w:rsidR="0028384B" w:rsidRPr="002F16A1">
        <w:rPr>
          <w:noProof/>
        </w:rPr>
        <w:t xml:space="preserve"> w</w:t>
      </w:r>
      <w:r w:rsidR="0028384B">
        <w:rPr>
          <w:noProof/>
        </w:rPr>
        <w:t> </w:t>
      </w:r>
      <w:r w:rsidR="0028384B" w:rsidRPr="002F16A1">
        <w:rPr>
          <w:noProof/>
        </w:rPr>
        <w:t>odn</w:t>
      </w:r>
      <w:r w:rsidR="00AD62E2" w:rsidRPr="002F16A1">
        <w:rPr>
          <w:noProof/>
        </w:rPr>
        <w:t>iesieniu do jednego surowca strategicznego lub niewielkiej grupy surowców strategicznych co do zasady nie uzasadnia podjęcia dodatkowych działań ze strony Unii. </w:t>
      </w:r>
    </w:p>
    <w:p w:rsidR="00AD62E2" w:rsidRPr="002F16A1" w:rsidRDefault="00733965" w:rsidP="00733965">
      <w:pPr>
        <w:pStyle w:val="ManualConsidrant"/>
        <w:rPr>
          <w:noProof/>
        </w:rPr>
      </w:pPr>
      <w:r w:rsidRPr="00733965">
        <w:t>(9)</w:t>
      </w:r>
      <w:r w:rsidRPr="00733965">
        <w:tab/>
      </w:r>
      <w:r w:rsidR="00AD62E2" w:rsidRPr="002F16A1">
        <w:rPr>
          <w:noProof/>
        </w:rPr>
        <w:t>Aby zbudować zdolności</w:t>
      </w:r>
      <w:r w:rsidR="0028384B" w:rsidRPr="002F16A1">
        <w:rPr>
          <w:noProof/>
        </w:rPr>
        <w:t xml:space="preserve"> w</w:t>
      </w:r>
      <w:r w:rsidR="0028384B">
        <w:rPr>
          <w:noProof/>
        </w:rPr>
        <w:t> </w:t>
      </w:r>
      <w:r w:rsidR="0028384B" w:rsidRPr="002F16A1">
        <w:rPr>
          <w:noProof/>
        </w:rPr>
        <w:t>Uni</w:t>
      </w:r>
      <w:r w:rsidR="00AD62E2" w:rsidRPr="002F16A1">
        <w:rPr>
          <w:noProof/>
        </w:rPr>
        <w:t>i, Komisja – przy wsparciu Rady – powinna zidentyfikować projekty strategiczne</w:t>
      </w:r>
      <w:r w:rsidR="0028384B" w:rsidRPr="002F16A1">
        <w:rPr>
          <w:noProof/>
        </w:rPr>
        <w:t xml:space="preserve"> w</w:t>
      </w:r>
      <w:r w:rsidR="0028384B">
        <w:rPr>
          <w:noProof/>
        </w:rPr>
        <w:t> </w:t>
      </w:r>
      <w:r w:rsidR="0028384B" w:rsidRPr="002F16A1">
        <w:rPr>
          <w:noProof/>
        </w:rPr>
        <w:t>Uni</w:t>
      </w:r>
      <w:r w:rsidR="00AD62E2" w:rsidRPr="002F16A1">
        <w:rPr>
          <w:noProof/>
        </w:rPr>
        <w:t>i, które mają być realizowane</w:t>
      </w:r>
      <w:r w:rsidR="0028384B" w:rsidRPr="002F16A1">
        <w:rPr>
          <w:noProof/>
        </w:rPr>
        <w:t xml:space="preserve"> w</w:t>
      </w:r>
      <w:r w:rsidR="0028384B">
        <w:rPr>
          <w:noProof/>
        </w:rPr>
        <w:t> </w:t>
      </w:r>
      <w:r w:rsidR="0028384B" w:rsidRPr="002F16A1">
        <w:rPr>
          <w:noProof/>
        </w:rPr>
        <w:t>obs</w:t>
      </w:r>
      <w:r w:rsidR="00AD62E2" w:rsidRPr="002F16A1">
        <w:rPr>
          <w:noProof/>
        </w:rPr>
        <w:t>zarach wydobycia, przetwarzania lub recyklingu surowców strategicznych. Skuteczne wsparcie na rzecz realizacji projektów strategicznych może przyczynić się do poprawy dostępu do surowców</w:t>
      </w:r>
      <w:r w:rsidR="0028384B" w:rsidRPr="002F16A1">
        <w:rPr>
          <w:noProof/>
        </w:rPr>
        <w:t xml:space="preserve"> w</w:t>
      </w:r>
      <w:r w:rsidR="0028384B">
        <w:rPr>
          <w:noProof/>
        </w:rPr>
        <w:t> </w:t>
      </w:r>
      <w:r w:rsidR="0028384B" w:rsidRPr="002F16A1">
        <w:rPr>
          <w:noProof/>
        </w:rPr>
        <w:t>sek</w:t>
      </w:r>
      <w:r w:rsidR="00AD62E2" w:rsidRPr="002F16A1">
        <w:rPr>
          <w:noProof/>
        </w:rPr>
        <w:t>torach na kolejnych szczeblach łańcucha wartości oraz do stworzenia możliwości ekonomicznych</w:t>
      </w:r>
      <w:r w:rsidR="0028384B" w:rsidRPr="002F16A1">
        <w:rPr>
          <w:noProof/>
        </w:rPr>
        <w:t xml:space="preserve"> w</w:t>
      </w:r>
      <w:r w:rsidR="0028384B">
        <w:rPr>
          <w:noProof/>
        </w:rPr>
        <w:t> </w:t>
      </w:r>
      <w:r w:rsidR="0028384B" w:rsidRPr="002F16A1">
        <w:rPr>
          <w:noProof/>
        </w:rPr>
        <w:t>cał</w:t>
      </w:r>
      <w:r w:rsidR="00AD62E2" w:rsidRPr="002F16A1">
        <w:rPr>
          <w:noProof/>
        </w:rPr>
        <w:t>ym łańcuchu wartości,</w:t>
      </w:r>
      <w:r w:rsidR="0028384B" w:rsidRPr="002F16A1">
        <w:rPr>
          <w:noProof/>
        </w:rPr>
        <w:t xml:space="preserve"> w</w:t>
      </w:r>
      <w:r w:rsidR="0028384B">
        <w:rPr>
          <w:noProof/>
        </w:rPr>
        <w:t> </w:t>
      </w:r>
      <w:r w:rsidR="0028384B" w:rsidRPr="002F16A1">
        <w:rPr>
          <w:noProof/>
        </w:rPr>
        <w:t>tym</w:t>
      </w:r>
      <w:r w:rsidR="00AD62E2" w:rsidRPr="002F16A1">
        <w:rPr>
          <w:noProof/>
        </w:rPr>
        <w:t xml:space="preserve"> dla MŚP, jak również do generowania zatrudnienia</w:t>
      </w:r>
      <w:r w:rsidR="0028384B" w:rsidRPr="002F16A1">
        <w:rPr>
          <w:noProof/>
        </w:rPr>
        <w:t>. W</w:t>
      </w:r>
      <w:r w:rsidR="0028384B">
        <w:rPr>
          <w:noProof/>
        </w:rPr>
        <w:t> </w:t>
      </w:r>
      <w:r w:rsidR="0028384B" w:rsidRPr="002F16A1">
        <w:rPr>
          <w:noProof/>
        </w:rPr>
        <w:t>zwi</w:t>
      </w:r>
      <w:r w:rsidR="00AD62E2" w:rsidRPr="002F16A1">
        <w:rPr>
          <w:noProof/>
        </w:rPr>
        <w:t>ązku</w:t>
      </w:r>
      <w:r w:rsidR="0028384B" w:rsidRPr="002F16A1">
        <w:rPr>
          <w:noProof/>
        </w:rPr>
        <w:t xml:space="preserve"> z</w:t>
      </w:r>
      <w:r w:rsidR="0028384B">
        <w:rPr>
          <w:noProof/>
        </w:rPr>
        <w:t> </w:t>
      </w:r>
      <w:r w:rsidR="0028384B" w:rsidRPr="002F16A1">
        <w:rPr>
          <w:noProof/>
        </w:rPr>
        <w:t>tym</w:t>
      </w:r>
      <w:r w:rsidR="00AD62E2" w:rsidRPr="002F16A1">
        <w:rPr>
          <w:noProof/>
        </w:rPr>
        <w:t>, aby zapewnić rozwój projektów strategicznych</w:t>
      </w:r>
      <w:r w:rsidR="0028384B" w:rsidRPr="002F16A1">
        <w:rPr>
          <w:noProof/>
        </w:rPr>
        <w:t xml:space="preserve"> w</w:t>
      </w:r>
      <w:r w:rsidR="0028384B">
        <w:rPr>
          <w:noProof/>
        </w:rPr>
        <w:t> </w:t>
      </w:r>
      <w:r w:rsidR="0028384B" w:rsidRPr="002F16A1">
        <w:rPr>
          <w:noProof/>
        </w:rPr>
        <w:t>cał</w:t>
      </w:r>
      <w:r w:rsidR="00AD62E2" w:rsidRPr="002F16A1">
        <w:rPr>
          <w:noProof/>
        </w:rPr>
        <w:t>ej Unii,</w:t>
      </w:r>
      <w:r w:rsidR="0028384B" w:rsidRPr="002F16A1">
        <w:rPr>
          <w:noProof/>
        </w:rPr>
        <w:t xml:space="preserve"> w</w:t>
      </w:r>
      <w:r w:rsidR="0028384B">
        <w:rPr>
          <w:noProof/>
        </w:rPr>
        <w:t> </w:t>
      </w:r>
      <w:r w:rsidR="0028384B" w:rsidRPr="002F16A1">
        <w:rPr>
          <w:noProof/>
        </w:rPr>
        <w:t>ram</w:t>
      </w:r>
      <w:r w:rsidR="00AD62E2" w:rsidRPr="002F16A1">
        <w:rPr>
          <w:noProof/>
        </w:rPr>
        <w:t>ach tego rodzaju projektów powinno zastosować się uproszczone</w:t>
      </w:r>
      <w:r w:rsidR="0028384B" w:rsidRPr="002F16A1">
        <w:rPr>
          <w:noProof/>
        </w:rPr>
        <w:t xml:space="preserve"> i</w:t>
      </w:r>
      <w:r w:rsidR="0028384B">
        <w:rPr>
          <w:noProof/>
        </w:rPr>
        <w:t> </w:t>
      </w:r>
      <w:r w:rsidR="0028384B" w:rsidRPr="002F16A1">
        <w:rPr>
          <w:noProof/>
        </w:rPr>
        <w:t>prz</w:t>
      </w:r>
      <w:r w:rsidR="00AD62E2" w:rsidRPr="002F16A1">
        <w:rPr>
          <w:noProof/>
        </w:rPr>
        <w:t>ewidywalne procedury wydawania pozwoleń oraz zaoferować wsparcie</w:t>
      </w:r>
      <w:r w:rsidR="0028384B" w:rsidRPr="002F16A1">
        <w:rPr>
          <w:noProof/>
        </w:rPr>
        <w:t xml:space="preserve"> w</w:t>
      </w:r>
      <w:r w:rsidR="0028384B">
        <w:rPr>
          <w:noProof/>
        </w:rPr>
        <w:t> </w:t>
      </w:r>
      <w:r w:rsidR="0028384B" w:rsidRPr="002F16A1">
        <w:rPr>
          <w:noProof/>
        </w:rPr>
        <w:t>uzy</w:t>
      </w:r>
      <w:r w:rsidR="00AD62E2" w:rsidRPr="002F16A1">
        <w:rPr>
          <w:noProof/>
        </w:rPr>
        <w:t>skaniu dostępu do finansowania. Przed udzieleniem takiego wsparcia należy ocenić projekty pod kątem spełnienia zestawu kryteriów, co pozwoli skoncentrować wsparcie</w:t>
      </w:r>
      <w:r w:rsidR="0028384B" w:rsidRPr="002F16A1">
        <w:rPr>
          <w:noProof/>
        </w:rPr>
        <w:t xml:space="preserve"> i</w:t>
      </w:r>
      <w:r w:rsidR="0028384B">
        <w:rPr>
          <w:noProof/>
        </w:rPr>
        <w:t> </w:t>
      </w:r>
      <w:r w:rsidR="0028384B" w:rsidRPr="002F16A1">
        <w:rPr>
          <w:noProof/>
        </w:rPr>
        <w:t>zap</w:t>
      </w:r>
      <w:r w:rsidR="00AD62E2" w:rsidRPr="002F16A1">
        <w:rPr>
          <w:noProof/>
        </w:rPr>
        <w:t>ewnić wartość dodaną projektów. Projekty strategiczne realizowane</w:t>
      </w:r>
      <w:r w:rsidR="0028384B" w:rsidRPr="002F16A1">
        <w:rPr>
          <w:noProof/>
        </w:rPr>
        <w:t xml:space="preserve"> w</w:t>
      </w:r>
      <w:r w:rsidR="0028384B">
        <w:rPr>
          <w:noProof/>
        </w:rPr>
        <w:t> </w:t>
      </w:r>
      <w:r w:rsidR="0028384B" w:rsidRPr="002F16A1">
        <w:rPr>
          <w:noProof/>
        </w:rPr>
        <w:t>Uni</w:t>
      </w:r>
      <w:r w:rsidR="00AD62E2" w:rsidRPr="002F16A1">
        <w:rPr>
          <w:noProof/>
        </w:rPr>
        <w:t>i powinny przyczyniać się do poprawy bezpieczeństwa dostaw surowców strategicznych</w:t>
      </w:r>
      <w:r w:rsidR="0028384B" w:rsidRPr="002F16A1">
        <w:rPr>
          <w:noProof/>
        </w:rPr>
        <w:t xml:space="preserve"> w</w:t>
      </w:r>
      <w:r w:rsidR="0028384B">
        <w:rPr>
          <w:noProof/>
        </w:rPr>
        <w:t> </w:t>
      </w:r>
      <w:r w:rsidR="0028384B" w:rsidRPr="002F16A1">
        <w:rPr>
          <w:noProof/>
        </w:rPr>
        <w:t>Uni</w:t>
      </w:r>
      <w:r w:rsidR="00AD62E2" w:rsidRPr="002F16A1">
        <w:rPr>
          <w:noProof/>
        </w:rPr>
        <w:t>i, wykazywać dostateczną wykonalność techniczną</w:t>
      </w:r>
      <w:r w:rsidR="0028384B" w:rsidRPr="002F16A1">
        <w:rPr>
          <w:noProof/>
        </w:rPr>
        <w:t xml:space="preserve"> i</w:t>
      </w:r>
      <w:r w:rsidR="0028384B">
        <w:rPr>
          <w:noProof/>
        </w:rPr>
        <w:t> </w:t>
      </w:r>
      <w:r w:rsidR="0028384B" w:rsidRPr="002F16A1">
        <w:rPr>
          <w:noProof/>
        </w:rPr>
        <w:t>pow</w:t>
      </w:r>
      <w:r w:rsidR="00AD62E2" w:rsidRPr="002F16A1">
        <w:rPr>
          <w:noProof/>
        </w:rPr>
        <w:t>inny być wdrażane</w:t>
      </w:r>
      <w:r w:rsidR="0028384B" w:rsidRPr="002F16A1">
        <w:rPr>
          <w:noProof/>
        </w:rPr>
        <w:t xml:space="preserve"> w</w:t>
      </w:r>
      <w:r w:rsidR="0028384B">
        <w:rPr>
          <w:noProof/>
        </w:rPr>
        <w:t> </w:t>
      </w:r>
      <w:r w:rsidR="0028384B" w:rsidRPr="002F16A1">
        <w:rPr>
          <w:noProof/>
        </w:rPr>
        <w:t>spo</w:t>
      </w:r>
      <w:r w:rsidR="00AD62E2" w:rsidRPr="002F16A1">
        <w:rPr>
          <w:noProof/>
        </w:rPr>
        <w:t>sób zrównoważony pod względem środowiskowym</w:t>
      </w:r>
      <w:r w:rsidR="0028384B" w:rsidRPr="002F16A1">
        <w:rPr>
          <w:noProof/>
        </w:rPr>
        <w:t xml:space="preserve"> i</w:t>
      </w:r>
      <w:r w:rsidR="0028384B">
        <w:rPr>
          <w:noProof/>
        </w:rPr>
        <w:t> </w:t>
      </w:r>
      <w:r w:rsidR="0028384B" w:rsidRPr="002F16A1">
        <w:rPr>
          <w:noProof/>
        </w:rPr>
        <w:t>spo</w:t>
      </w:r>
      <w:r w:rsidR="00AD62E2" w:rsidRPr="002F16A1">
        <w:rPr>
          <w:noProof/>
        </w:rPr>
        <w:t>łecznym. Powinny one również oferować korzyści transgraniczne poza państwem członkowskim,</w:t>
      </w:r>
      <w:r w:rsidR="0028384B" w:rsidRPr="002F16A1">
        <w:rPr>
          <w:noProof/>
        </w:rPr>
        <w:t xml:space="preserve"> w</w:t>
      </w:r>
      <w:r w:rsidR="0028384B">
        <w:rPr>
          <w:noProof/>
        </w:rPr>
        <w:t> </w:t>
      </w:r>
      <w:r w:rsidR="0028384B" w:rsidRPr="002F16A1">
        <w:rPr>
          <w:noProof/>
        </w:rPr>
        <w:t>któ</w:t>
      </w:r>
      <w:r w:rsidR="00AD62E2" w:rsidRPr="002F16A1">
        <w:rPr>
          <w:noProof/>
        </w:rPr>
        <w:t>rym są realizowane. Jeżeli Komisja stwierdzi, że wspomniane kryteria zostały spełnione, powinna wydać decyzję</w:t>
      </w:r>
      <w:r w:rsidR="0028384B" w:rsidRPr="002F16A1">
        <w:rPr>
          <w:noProof/>
        </w:rPr>
        <w:t xml:space="preserve"> o</w:t>
      </w:r>
      <w:r w:rsidR="0028384B">
        <w:rPr>
          <w:noProof/>
        </w:rPr>
        <w:t> </w:t>
      </w:r>
      <w:r w:rsidR="0028384B" w:rsidRPr="002F16A1">
        <w:rPr>
          <w:noProof/>
        </w:rPr>
        <w:t>uzn</w:t>
      </w:r>
      <w:r w:rsidR="00AD62E2" w:rsidRPr="002F16A1">
        <w:rPr>
          <w:noProof/>
        </w:rPr>
        <w:t>aniu danego projektu za projekt strategiczny. Ponieważ szybkie uznanie ma kluczowe znaczenie dla skutecznego wsparcia bezpieczeństwa dostaw</w:t>
      </w:r>
      <w:r w:rsidR="0028384B" w:rsidRPr="002F16A1">
        <w:rPr>
          <w:noProof/>
        </w:rPr>
        <w:t xml:space="preserve"> w</w:t>
      </w:r>
      <w:r w:rsidR="0028384B">
        <w:rPr>
          <w:noProof/>
        </w:rPr>
        <w:t> </w:t>
      </w:r>
      <w:r w:rsidR="0028384B" w:rsidRPr="002F16A1">
        <w:rPr>
          <w:noProof/>
        </w:rPr>
        <w:t>Uni</w:t>
      </w:r>
      <w:r w:rsidR="00AD62E2" w:rsidRPr="002F16A1">
        <w:rPr>
          <w:noProof/>
        </w:rPr>
        <w:t>i, procedura oceny powinna pozostać prosta</w:t>
      </w:r>
      <w:r w:rsidR="0028384B" w:rsidRPr="002F16A1">
        <w:rPr>
          <w:noProof/>
        </w:rPr>
        <w:t xml:space="preserve"> i</w:t>
      </w:r>
      <w:r w:rsidR="0028384B">
        <w:rPr>
          <w:noProof/>
        </w:rPr>
        <w:t> </w:t>
      </w:r>
      <w:r w:rsidR="0028384B" w:rsidRPr="002F16A1">
        <w:rPr>
          <w:noProof/>
        </w:rPr>
        <w:t>nie</w:t>
      </w:r>
      <w:r w:rsidR="00AD62E2" w:rsidRPr="002F16A1">
        <w:rPr>
          <w:noProof/>
        </w:rPr>
        <w:t xml:space="preserve"> powinna być zbyt uciążliwa.</w:t>
      </w:r>
    </w:p>
    <w:p w:rsidR="00AD62E2" w:rsidRPr="002F16A1" w:rsidRDefault="00733965" w:rsidP="00733965">
      <w:pPr>
        <w:pStyle w:val="ManualConsidrant"/>
        <w:rPr>
          <w:noProof/>
        </w:rPr>
      </w:pPr>
      <w:r w:rsidRPr="00733965">
        <w:t>(10)</w:t>
      </w:r>
      <w:r w:rsidRPr="00733965">
        <w:tab/>
      </w:r>
      <w:r w:rsidR="00AD62E2" w:rsidRPr="002F16A1">
        <w:rPr>
          <w:noProof/>
        </w:rPr>
        <w:t>Aby zdywersyfikować dostawy surowców strategicznych</w:t>
      </w:r>
      <w:r w:rsidR="0028384B" w:rsidRPr="002F16A1">
        <w:rPr>
          <w:noProof/>
        </w:rPr>
        <w:t xml:space="preserve"> w</w:t>
      </w:r>
      <w:r w:rsidR="0028384B">
        <w:rPr>
          <w:noProof/>
        </w:rPr>
        <w:t> </w:t>
      </w:r>
      <w:r w:rsidR="0028384B" w:rsidRPr="002F16A1">
        <w:rPr>
          <w:noProof/>
        </w:rPr>
        <w:t>Uni</w:t>
      </w:r>
      <w:r w:rsidR="00AD62E2" w:rsidRPr="002F16A1">
        <w:rPr>
          <w:noProof/>
        </w:rPr>
        <w:t>i, Komisja – przy wsparciu Rady – powinna zidentyfikować projekty strategiczne</w:t>
      </w:r>
      <w:r w:rsidR="0028384B" w:rsidRPr="002F16A1">
        <w:rPr>
          <w:noProof/>
        </w:rPr>
        <w:t xml:space="preserve"> w</w:t>
      </w:r>
      <w:r w:rsidR="0028384B">
        <w:rPr>
          <w:noProof/>
        </w:rPr>
        <w:t> </w:t>
      </w:r>
      <w:r w:rsidR="0028384B" w:rsidRPr="002F16A1">
        <w:rPr>
          <w:noProof/>
        </w:rPr>
        <w:t>pań</w:t>
      </w:r>
      <w:r w:rsidR="00AD62E2" w:rsidRPr="002F16A1">
        <w:rPr>
          <w:noProof/>
        </w:rPr>
        <w:t>stwach trzecich, które mają być realizowane</w:t>
      </w:r>
      <w:r w:rsidR="0028384B" w:rsidRPr="002F16A1">
        <w:rPr>
          <w:noProof/>
        </w:rPr>
        <w:t xml:space="preserve"> w</w:t>
      </w:r>
      <w:r w:rsidR="0028384B">
        <w:rPr>
          <w:noProof/>
        </w:rPr>
        <w:t> </w:t>
      </w:r>
      <w:r w:rsidR="0028384B" w:rsidRPr="002F16A1">
        <w:rPr>
          <w:noProof/>
        </w:rPr>
        <w:t>obs</w:t>
      </w:r>
      <w:r w:rsidR="00AD62E2" w:rsidRPr="002F16A1">
        <w:rPr>
          <w:noProof/>
        </w:rPr>
        <w:t>zarach wydobycia, przetwarzania lub recyklingu surowców strategicznych</w:t>
      </w:r>
      <w:r w:rsidR="0028384B" w:rsidRPr="002F16A1">
        <w:rPr>
          <w:noProof/>
        </w:rPr>
        <w:t>. W</w:t>
      </w:r>
      <w:r w:rsidR="0028384B">
        <w:rPr>
          <w:noProof/>
        </w:rPr>
        <w:t> </w:t>
      </w:r>
      <w:r w:rsidR="0028384B" w:rsidRPr="002F16A1">
        <w:rPr>
          <w:noProof/>
        </w:rPr>
        <w:t>cel</w:t>
      </w:r>
      <w:r w:rsidR="00AD62E2" w:rsidRPr="002F16A1">
        <w:rPr>
          <w:noProof/>
        </w:rPr>
        <w:t>u zapewnienia skutecznej realizacji tego rodzaju projektów należy zagwarantować</w:t>
      </w:r>
      <w:r w:rsidR="0028384B" w:rsidRPr="002F16A1">
        <w:rPr>
          <w:noProof/>
        </w:rPr>
        <w:t xml:space="preserve"> w</w:t>
      </w:r>
      <w:r w:rsidR="0028384B">
        <w:rPr>
          <w:noProof/>
        </w:rPr>
        <w:t> </w:t>
      </w:r>
      <w:r w:rsidR="0028384B" w:rsidRPr="002F16A1">
        <w:rPr>
          <w:noProof/>
        </w:rPr>
        <w:t>ich</w:t>
      </w:r>
      <w:r w:rsidR="00AD62E2" w:rsidRPr="002F16A1">
        <w:rPr>
          <w:noProof/>
        </w:rPr>
        <w:t xml:space="preserve"> ramach lepszy dostęp do finansowania. Aby zapewnić wartość dodaną projektów, należy ocenić je pod względem spełnienia zestawu kryteriów. Podobnie jak projekty realizowane</w:t>
      </w:r>
      <w:r w:rsidR="0028384B" w:rsidRPr="002F16A1">
        <w:rPr>
          <w:noProof/>
        </w:rPr>
        <w:t xml:space="preserve"> w</w:t>
      </w:r>
      <w:r w:rsidR="0028384B">
        <w:rPr>
          <w:noProof/>
        </w:rPr>
        <w:t> </w:t>
      </w:r>
      <w:r w:rsidR="0028384B" w:rsidRPr="002F16A1">
        <w:rPr>
          <w:noProof/>
        </w:rPr>
        <w:t>Uni</w:t>
      </w:r>
      <w:r w:rsidR="00AD62E2" w:rsidRPr="002F16A1">
        <w:rPr>
          <w:noProof/>
        </w:rPr>
        <w:t>i projekty strategiczne realizowane</w:t>
      </w:r>
      <w:r w:rsidR="0028384B" w:rsidRPr="002F16A1">
        <w:rPr>
          <w:noProof/>
        </w:rPr>
        <w:t xml:space="preserve"> w</w:t>
      </w:r>
      <w:r w:rsidR="0028384B">
        <w:rPr>
          <w:noProof/>
        </w:rPr>
        <w:t> </w:t>
      </w:r>
      <w:r w:rsidR="0028384B" w:rsidRPr="002F16A1">
        <w:rPr>
          <w:noProof/>
        </w:rPr>
        <w:t>pań</w:t>
      </w:r>
      <w:r w:rsidR="00AD62E2" w:rsidRPr="002F16A1">
        <w:rPr>
          <w:noProof/>
        </w:rPr>
        <w:t>stwach trzecich powinny przyczyniać się do poprawy bezpieczeństwa dostaw surowców strategicznych</w:t>
      </w:r>
      <w:r w:rsidR="0028384B" w:rsidRPr="002F16A1">
        <w:rPr>
          <w:noProof/>
        </w:rPr>
        <w:t xml:space="preserve"> w</w:t>
      </w:r>
      <w:r w:rsidR="0028384B">
        <w:rPr>
          <w:noProof/>
        </w:rPr>
        <w:t> </w:t>
      </w:r>
      <w:r w:rsidR="0028384B" w:rsidRPr="002F16A1">
        <w:rPr>
          <w:noProof/>
        </w:rPr>
        <w:t>Uni</w:t>
      </w:r>
      <w:r w:rsidR="00AD62E2" w:rsidRPr="002F16A1">
        <w:rPr>
          <w:noProof/>
        </w:rPr>
        <w:t>i, wykazywać dostateczną wykonalność techniczną</w:t>
      </w:r>
      <w:r w:rsidR="0028384B" w:rsidRPr="002F16A1">
        <w:rPr>
          <w:noProof/>
        </w:rPr>
        <w:t xml:space="preserve"> i</w:t>
      </w:r>
      <w:r w:rsidR="0028384B">
        <w:rPr>
          <w:noProof/>
        </w:rPr>
        <w:t> </w:t>
      </w:r>
      <w:r w:rsidR="0028384B" w:rsidRPr="002F16A1">
        <w:rPr>
          <w:noProof/>
        </w:rPr>
        <w:t>pow</w:t>
      </w:r>
      <w:r w:rsidR="00AD62E2" w:rsidRPr="002F16A1">
        <w:rPr>
          <w:noProof/>
        </w:rPr>
        <w:t>inny być wdrażane</w:t>
      </w:r>
      <w:r w:rsidR="0028384B" w:rsidRPr="002F16A1">
        <w:rPr>
          <w:noProof/>
        </w:rPr>
        <w:t xml:space="preserve"> w</w:t>
      </w:r>
      <w:r w:rsidR="0028384B">
        <w:rPr>
          <w:noProof/>
        </w:rPr>
        <w:t> </w:t>
      </w:r>
      <w:r w:rsidR="0028384B" w:rsidRPr="002F16A1">
        <w:rPr>
          <w:noProof/>
        </w:rPr>
        <w:t>spo</w:t>
      </w:r>
      <w:r w:rsidR="00AD62E2" w:rsidRPr="002F16A1">
        <w:rPr>
          <w:noProof/>
        </w:rPr>
        <w:t>sób zrównoważony. Projekty realizowane na rynkach wschodzących</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gos</w:t>
      </w:r>
      <w:r w:rsidR="00AD62E2" w:rsidRPr="002F16A1">
        <w:rPr>
          <w:noProof/>
        </w:rPr>
        <w:t>podarkach rozwijających się powinny przynosić wzajemne korzyści Unii</w:t>
      </w:r>
      <w:r w:rsidR="0028384B" w:rsidRPr="002F16A1">
        <w:rPr>
          <w:noProof/>
        </w:rPr>
        <w:t xml:space="preserve"> i</w:t>
      </w:r>
      <w:r w:rsidR="0028384B">
        <w:rPr>
          <w:noProof/>
        </w:rPr>
        <w:t> </w:t>
      </w:r>
      <w:r w:rsidR="0028384B" w:rsidRPr="002F16A1">
        <w:rPr>
          <w:noProof/>
        </w:rPr>
        <w:t>pań</w:t>
      </w:r>
      <w:r w:rsidR="00AD62E2" w:rsidRPr="002F16A1">
        <w:rPr>
          <w:noProof/>
        </w:rPr>
        <w:t>stwu trzeciemu,</w:t>
      </w:r>
      <w:r w:rsidR="0028384B" w:rsidRPr="002F16A1">
        <w:rPr>
          <w:noProof/>
        </w:rPr>
        <w:t xml:space="preserve"> w</w:t>
      </w:r>
      <w:r w:rsidR="0028384B">
        <w:rPr>
          <w:noProof/>
        </w:rPr>
        <w:t> </w:t>
      </w:r>
      <w:r w:rsidR="0028384B" w:rsidRPr="002F16A1">
        <w:rPr>
          <w:noProof/>
        </w:rPr>
        <w:t>któ</w:t>
      </w:r>
      <w:r w:rsidR="00AD62E2" w:rsidRPr="002F16A1">
        <w:rPr>
          <w:noProof/>
        </w:rPr>
        <w:t>rym realizowany jest dany projekt, jak również powinny generować wartość dodaną</w:t>
      </w:r>
      <w:r w:rsidR="0028384B" w:rsidRPr="002F16A1">
        <w:rPr>
          <w:noProof/>
        </w:rPr>
        <w:t xml:space="preserve"> w</w:t>
      </w:r>
      <w:r w:rsidR="0028384B">
        <w:rPr>
          <w:noProof/>
        </w:rPr>
        <w:t> </w:t>
      </w:r>
      <w:r w:rsidR="0028384B" w:rsidRPr="002F16A1">
        <w:rPr>
          <w:noProof/>
        </w:rPr>
        <w:t>tym</w:t>
      </w:r>
      <w:r w:rsidR="00AD62E2" w:rsidRPr="002F16A1">
        <w:rPr>
          <w:noProof/>
        </w:rPr>
        <w:t xml:space="preserve"> państwie,</w:t>
      </w:r>
      <w:r w:rsidR="0028384B" w:rsidRPr="002F16A1">
        <w:rPr>
          <w:noProof/>
        </w:rPr>
        <w:t xml:space="preserve"> z</w:t>
      </w:r>
      <w:r w:rsidR="0028384B">
        <w:rPr>
          <w:noProof/>
        </w:rPr>
        <w:t> </w:t>
      </w:r>
      <w:r w:rsidR="0028384B" w:rsidRPr="002F16A1">
        <w:rPr>
          <w:noProof/>
        </w:rPr>
        <w:t>uwz</w:t>
      </w:r>
      <w:r w:rsidR="00AD62E2" w:rsidRPr="002F16A1">
        <w:rPr>
          <w:noProof/>
        </w:rPr>
        <w:t>ględnieniem również zgodności projektu ze wspólną polityką handlową Unii. Taka wartość może pochodzić</w:t>
      </w:r>
      <w:r w:rsidR="0028384B" w:rsidRPr="002F16A1">
        <w:rPr>
          <w:noProof/>
        </w:rPr>
        <w:t xml:space="preserve"> z</w:t>
      </w:r>
      <w:r w:rsidR="0028384B">
        <w:rPr>
          <w:noProof/>
        </w:rPr>
        <w:t> </w:t>
      </w:r>
      <w:r w:rsidR="0028384B" w:rsidRPr="002F16A1">
        <w:rPr>
          <w:noProof/>
        </w:rPr>
        <w:t>wkł</w:t>
      </w:r>
      <w:r w:rsidR="00AD62E2" w:rsidRPr="002F16A1">
        <w:rPr>
          <w:noProof/>
        </w:rPr>
        <w:t>adu danego projektu</w:t>
      </w:r>
      <w:r w:rsidR="0028384B" w:rsidRPr="002F16A1">
        <w:rPr>
          <w:noProof/>
        </w:rPr>
        <w:t xml:space="preserve"> w</w:t>
      </w:r>
      <w:r w:rsidR="0028384B">
        <w:rPr>
          <w:noProof/>
        </w:rPr>
        <w:t> </w:t>
      </w:r>
      <w:r w:rsidR="0028384B" w:rsidRPr="002F16A1">
        <w:rPr>
          <w:noProof/>
        </w:rPr>
        <w:t>wię</w:t>
      </w:r>
      <w:r w:rsidR="00AD62E2" w:rsidRPr="002F16A1">
        <w:rPr>
          <w:noProof/>
        </w:rPr>
        <w:t>cej niż jeden etap łańcucha wartości,</w:t>
      </w:r>
      <w:r w:rsidR="0028384B" w:rsidRPr="002F16A1">
        <w:rPr>
          <w:noProof/>
        </w:rPr>
        <w:t xml:space="preserve"> a</w:t>
      </w:r>
      <w:r w:rsidR="0028384B">
        <w:rPr>
          <w:noProof/>
        </w:rPr>
        <w:t> </w:t>
      </w:r>
      <w:r w:rsidR="0028384B" w:rsidRPr="002F16A1">
        <w:rPr>
          <w:noProof/>
        </w:rPr>
        <w:t>tak</w:t>
      </w:r>
      <w:r w:rsidR="00AD62E2" w:rsidRPr="002F16A1">
        <w:rPr>
          <w:noProof/>
        </w:rPr>
        <w:t>że</w:t>
      </w:r>
      <w:r w:rsidR="0028384B" w:rsidRPr="002F16A1">
        <w:rPr>
          <w:noProof/>
        </w:rPr>
        <w:t xml:space="preserve"> z</w:t>
      </w:r>
      <w:r w:rsidR="0028384B">
        <w:rPr>
          <w:noProof/>
        </w:rPr>
        <w:t> </w:t>
      </w:r>
      <w:r w:rsidR="0028384B" w:rsidRPr="002F16A1">
        <w:rPr>
          <w:noProof/>
        </w:rPr>
        <w:t>wyg</w:t>
      </w:r>
      <w:r w:rsidR="00AD62E2" w:rsidRPr="002F16A1">
        <w:rPr>
          <w:noProof/>
        </w:rPr>
        <w:t>enerowania</w:t>
      </w:r>
      <w:r w:rsidR="0028384B" w:rsidRPr="002F16A1">
        <w:rPr>
          <w:noProof/>
        </w:rPr>
        <w:t xml:space="preserve"> w</w:t>
      </w:r>
      <w:r w:rsidR="0028384B">
        <w:rPr>
          <w:noProof/>
        </w:rPr>
        <w:t> </w:t>
      </w:r>
      <w:r w:rsidR="0028384B" w:rsidRPr="002F16A1">
        <w:rPr>
          <w:noProof/>
        </w:rPr>
        <w:t>dro</w:t>
      </w:r>
      <w:r w:rsidR="00AD62E2" w:rsidRPr="002F16A1">
        <w:rPr>
          <w:noProof/>
        </w:rPr>
        <w:t>dze realizacji projektu szerzej zakrojonych korzyści gospodarczych</w:t>
      </w:r>
      <w:r w:rsidR="0028384B" w:rsidRPr="002F16A1">
        <w:rPr>
          <w:noProof/>
        </w:rPr>
        <w:t xml:space="preserve"> i</w:t>
      </w:r>
      <w:r w:rsidR="0028384B">
        <w:rPr>
          <w:noProof/>
        </w:rPr>
        <w:t> </w:t>
      </w:r>
      <w:r w:rsidR="0028384B" w:rsidRPr="002F16A1">
        <w:rPr>
          <w:noProof/>
        </w:rPr>
        <w:t>spo</w:t>
      </w:r>
      <w:r w:rsidR="00AD62E2" w:rsidRPr="002F16A1">
        <w:rPr>
          <w:noProof/>
        </w:rPr>
        <w:t>łecznych,</w:t>
      </w:r>
      <w:r w:rsidR="0028384B" w:rsidRPr="002F16A1">
        <w:rPr>
          <w:noProof/>
        </w:rPr>
        <w:t xml:space="preserve"> w</w:t>
      </w:r>
      <w:r w:rsidR="0028384B">
        <w:rPr>
          <w:noProof/>
        </w:rPr>
        <w:t> </w:t>
      </w:r>
      <w:r w:rsidR="0028384B" w:rsidRPr="002F16A1">
        <w:rPr>
          <w:noProof/>
        </w:rPr>
        <w:t>tym</w:t>
      </w:r>
      <w:r w:rsidR="00AD62E2" w:rsidRPr="002F16A1">
        <w:rPr>
          <w:noProof/>
        </w:rPr>
        <w:t xml:space="preserve"> stworzenia miejsc pracy spełniających normy międzynarodowe. Jeżeli Komisja stwierdzi, że wspomniane kryteria zostały spełnione, powinna wydać decyzję</w:t>
      </w:r>
      <w:r w:rsidR="0028384B" w:rsidRPr="002F16A1">
        <w:rPr>
          <w:noProof/>
        </w:rPr>
        <w:t xml:space="preserve"> o</w:t>
      </w:r>
      <w:r w:rsidR="0028384B">
        <w:rPr>
          <w:noProof/>
        </w:rPr>
        <w:t> </w:t>
      </w:r>
      <w:r w:rsidR="0028384B" w:rsidRPr="002F16A1">
        <w:rPr>
          <w:noProof/>
        </w:rPr>
        <w:t>uzn</w:t>
      </w:r>
      <w:r w:rsidR="00AD62E2" w:rsidRPr="002F16A1">
        <w:rPr>
          <w:noProof/>
        </w:rPr>
        <w:t>aniu danego projektu za projekt strategiczny.</w:t>
      </w:r>
    </w:p>
    <w:p w:rsidR="00AD62E2" w:rsidRPr="0028384B" w:rsidRDefault="00733965" w:rsidP="00733965">
      <w:pPr>
        <w:pStyle w:val="ManualConsidrant"/>
        <w:rPr>
          <w:noProof/>
        </w:rPr>
      </w:pPr>
      <w:r w:rsidRPr="00733965">
        <w:t>(11)</w:t>
      </w:r>
      <w:r w:rsidRPr="00733965">
        <w:tab/>
      </w:r>
      <w:r w:rsidR="00AD62E2" w:rsidRPr="002F16A1">
        <w:rPr>
          <w:noProof/>
        </w:rPr>
        <w:t>Aby zapewnić zrównoważony charakter zwiększonej produkcji surowców, projekty dotyczące nowych surowców powinny być wdrażane</w:t>
      </w:r>
      <w:r w:rsidR="0028384B" w:rsidRPr="002F16A1">
        <w:rPr>
          <w:noProof/>
        </w:rPr>
        <w:t xml:space="preserve"> w</w:t>
      </w:r>
      <w:r w:rsidR="0028384B">
        <w:rPr>
          <w:noProof/>
        </w:rPr>
        <w:t> </w:t>
      </w:r>
      <w:r w:rsidR="0028384B" w:rsidRPr="002F16A1">
        <w:rPr>
          <w:noProof/>
        </w:rPr>
        <w:t>zró</w:t>
      </w:r>
      <w:r w:rsidR="00AD62E2" w:rsidRPr="002F16A1">
        <w:rPr>
          <w:noProof/>
        </w:rPr>
        <w:t>wnoważony sposób</w:t>
      </w:r>
      <w:r w:rsidR="0028384B" w:rsidRPr="002F16A1">
        <w:rPr>
          <w:noProof/>
        </w:rPr>
        <w:t>. W</w:t>
      </w:r>
      <w:r w:rsidR="0028384B">
        <w:rPr>
          <w:noProof/>
        </w:rPr>
        <w:t> </w:t>
      </w:r>
      <w:r w:rsidR="0028384B" w:rsidRPr="002F16A1">
        <w:rPr>
          <w:noProof/>
        </w:rPr>
        <w:t>zwi</w:t>
      </w:r>
      <w:r w:rsidR="00AD62E2" w:rsidRPr="002F16A1">
        <w:rPr>
          <w:noProof/>
        </w:rPr>
        <w:t>ązku</w:t>
      </w:r>
      <w:r w:rsidR="0028384B" w:rsidRPr="002F16A1">
        <w:rPr>
          <w:noProof/>
        </w:rPr>
        <w:t xml:space="preserve"> z</w:t>
      </w:r>
      <w:r w:rsidR="0028384B">
        <w:rPr>
          <w:noProof/>
        </w:rPr>
        <w:t> </w:t>
      </w:r>
      <w:r w:rsidR="0028384B" w:rsidRPr="002F16A1">
        <w:rPr>
          <w:noProof/>
        </w:rPr>
        <w:t>tym</w:t>
      </w:r>
      <w:r w:rsidR="00AD62E2" w:rsidRPr="002F16A1">
        <w:rPr>
          <w:noProof/>
        </w:rPr>
        <w:t xml:space="preserve"> projekty strategiczne otrzymujące wsparcie na podstawie niniejszego rozporządzenia należy oceniać</w:t>
      </w:r>
      <w:r w:rsidR="0028384B" w:rsidRPr="002F16A1">
        <w:rPr>
          <w:noProof/>
        </w:rPr>
        <w:t xml:space="preserve"> z</w:t>
      </w:r>
      <w:r w:rsidR="0028384B">
        <w:rPr>
          <w:noProof/>
        </w:rPr>
        <w:t> </w:t>
      </w:r>
      <w:r w:rsidR="0028384B" w:rsidRPr="002F16A1">
        <w:rPr>
          <w:noProof/>
        </w:rPr>
        <w:t>uwz</w:t>
      </w:r>
      <w:r w:rsidR="00AD62E2" w:rsidRPr="002F16A1">
        <w:rPr>
          <w:noProof/>
        </w:rPr>
        <w:t>ględnieniem międzynarodowych instrumentów obejmujących wszystkie aspekty zrównoważoności podkreślone</w:t>
      </w:r>
      <w:r w:rsidR="0028384B" w:rsidRPr="002F16A1">
        <w:rPr>
          <w:noProof/>
        </w:rPr>
        <w:t xml:space="preserve"> w</w:t>
      </w:r>
      <w:r w:rsidR="0028384B">
        <w:rPr>
          <w:noProof/>
        </w:rPr>
        <w:t> </w:t>
      </w:r>
      <w:r w:rsidR="0028384B" w:rsidRPr="002F16A1">
        <w:rPr>
          <w:noProof/>
        </w:rPr>
        <w:t>Uni</w:t>
      </w:r>
      <w:r w:rsidR="00AD62E2" w:rsidRPr="002F16A1">
        <w:rPr>
          <w:noProof/>
        </w:rPr>
        <w:t>jnych zasadach dotyczących zrównoważonych surowców</w:t>
      </w:r>
      <w:r w:rsidR="00AD62E2" w:rsidRPr="002F16A1">
        <w:rPr>
          <w:rStyle w:val="FootnoteReference"/>
          <w:noProof/>
        </w:rPr>
        <w:footnoteReference w:id="32"/>
      </w:r>
      <w:r w:rsidR="00AD62E2" w:rsidRPr="002F16A1">
        <w:rPr>
          <w:noProof/>
        </w:rPr>
        <w:t>,</w:t>
      </w:r>
      <w:r w:rsidR="0028384B" w:rsidRPr="002F16A1">
        <w:rPr>
          <w:noProof/>
        </w:rPr>
        <w:t xml:space="preserve"> w</w:t>
      </w:r>
      <w:r w:rsidR="0028384B">
        <w:rPr>
          <w:noProof/>
        </w:rPr>
        <w:t> </w:t>
      </w:r>
      <w:r w:rsidR="0028384B" w:rsidRPr="002F16A1">
        <w:rPr>
          <w:noProof/>
        </w:rPr>
        <w:t>tym</w:t>
      </w:r>
      <w:r w:rsidR="00AD62E2" w:rsidRPr="002F16A1">
        <w:rPr>
          <w:noProof/>
        </w:rPr>
        <w:t xml:space="preserve"> zapewnienie ochrony środowiska, społecznie odpowiedzialne praktyki,</w:t>
      </w:r>
      <w:r w:rsidR="0028384B" w:rsidRPr="002F16A1">
        <w:rPr>
          <w:noProof/>
        </w:rPr>
        <w:t xml:space="preserve"> w</w:t>
      </w:r>
      <w:r w:rsidR="0028384B">
        <w:rPr>
          <w:noProof/>
        </w:rPr>
        <w:t> </w:t>
      </w:r>
      <w:r w:rsidR="0028384B" w:rsidRPr="002F16A1">
        <w:rPr>
          <w:noProof/>
        </w:rPr>
        <w:t>tym</w:t>
      </w:r>
      <w:r w:rsidR="00AD62E2" w:rsidRPr="002F16A1">
        <w:rPr>
          <w:noProof/>
        </w:rPr>
        <w:t xml:space="preserve"> poszanowanie praw człowieka takich jak prawa kobiet, oraz przejrzyste praktyki działalności gospodarczej. Projekty te powinny również zapewniać zaangażowanie</w:t>
      </w:r>
      <w:r w:rsidR="0028384B" w:rsidRPr="002F16A1">
        <w:rPr>
          <w:noProof/>
        </w:rPr>
        <w:t xml:space="preserve"> w</w:t>
      </w:r>
      <w:r w:rsidR="0028384B">
        <w:rPr>
          <w:noProof/>
        </w:rPr>
        <w:t> </w:t>
      </w:r>
      <w:r w:rsidR="0028384B" w:rsidRPr="002F16A1">
        <w:rPr>
          <w:noProof/>
        </w:rPr>
        <w:t>dob</w:t>
      </w:r>
      <w:r w:rsidR="00AD62E2" w:rsidRPr="002F16A1">
        <w:rPr>
          <w:noProof/>
        </w:rPr>
        <w:t>rej wierze oraz kompleksowe</w:t>
      </w:r>
      <w:r w:rsidR="0028384B" w:rsidRPr="002F16A1">
        <w:rPr>
          <w:noProof/>
        </w:rPr>
        <w:t xml:space="preserve"> i</w:t>
      </w:r>
      <w:r w:rsidR="0028384B">
        <w:rPr>
          <w:noProof/>
        </w:rPr>
        <w:t> </w:t>
      </w:r>
      <w:r w:rsidR="0028384B" w:rsidRPr="002F16A1">
        <w:rPr>
          <w:noProof/>
        </w:rPr>
        <w:t>kon</w:t>
      </w:r>
      <w:r w:rsidR="00AD62E2" w:rsidRPr="002F16A1">
        <w:rPr>
          <w:noProof/>
        </w:rPr>
        <w:t>struktywne konsultacje ze społecznościami lokalnymi,</w:t>
      </w:r>
      <w:r w:rsidR="0028384B" w:rsidRPr="002F16A1">
        <w:rPr>
          <w:noProof/>
        </w:rPr>
        <w:t xml:space="preserve"> w</w:t>
      </w:r>
      <w:r w:rsidR="0028384B">
        <w:rPr>
          <w:noProof/>
        </w:rPr>
        <w:t> </w:t>
      </w:r>
      <w:r w:rsidR="0028384B" w:rsidRPr="002F16A1">
        <w:rPr>
          <w:noProof/>
        </w:rPr>
        <w:t>tym z</w:t>
      </w:r>
      <w:r w:rsidR="0028384B">
        <w:rPr>
          <w:noProof/>
        </w:rPr>
        <w:t> </w:t>
      </w:r>
      <w:r w:rsidR="0028384B" w:rsidRPr="002F16A1">
        <w:rPr>
          <w:noProof/>
        </w:rPr>
        <w:t>lud</w:t>
      </w:r>
      <w:r w:rsidR="00AD62E2" w:rsidRPr="002F16A1">
        <w:rPr>
          <w:noProof/>
        </w:rPr>
        <w:t>nością rdzenną. Aby promotorzy projektów mogli jednoznacznie</w:t>
      </w:r>
      <w:r w:rsidR="0028384B" w:rsidRPr="002F16A1">
        <w:rPr>
          <w:noProof/>
        </w:rPr>
        <w:t xml:space="preserve"> i</w:t>
      </w:r>
      <w:r w:rsidR="0028384B">
        <w:rPr>
          <w:noProof/>
        </w:rPr>
        <w:t> </w:t>
      </w:r>
      <w:r w:rsidR="0028384B" w:rsidRPr="002F16A1">
        <w:rPr>
          <w:noProof/>
        </w:rPr>
        <w:t>sku</w:t>
      </w:r>
      <w:r w:rsidR="00AD62E2" w:rsidRPr="002F16A1">
        <w:rPr>
          <w:noProof/>
        </w:rPr>
        <w:t>tecznie spełnić rzeczone kryterium, zgodność</w:t>
      </w:r>
      <w:r w:rsidR="0028384B" w:rsidRPr="002F16A1">
        <w:rPr>
          <w:noProof/>
        </w:rPr>
        <w:t xml:space="preserve"> z</w:t>
      </w:r>
      <w:r w:rsidR="0028384B">
        <w:rPr>
          <w:noProof/>
        </w:rPr>
        <w:t> </w:t>
      </w:r>
      <w:r w:rsidR="0028384B" w:rsidRPr="002F16A1">
        <w:rPr>
          <w:noProof/>
        </w:rPr>
        <w:t>odp</w:t>
      </w:r>
      <w:r w:rsidR="00AD62E2" w:rsidRPr="002F16A1">
        <w:rPr>
          <w:noProof/>
        </w:rPr>
        <w:t>owiednimi przepisami Unii, międzynarodowymi normami, wytycznymi</w:t>
      </w:r>
      <w:r w:rsidR="0028384B" w:rsidRPr="002F16A1">
        <w:rPr>
          <w:noProof/>
        </w:rPr>
        <w:t xml:space="preserve"> i</w:t>
      </w:r>
      <w:r w:rsidR="0028384B">
        <w:rPr>
          <w:noProof/>
        </w:rPr>
        <w:t> </w:t>
      </w:r>
      <w:r w:rsidR="0028384B" w:rsidRPr="002F16A1">
        <w:rPr>
          <w:noProof/>
        </w:rPr>
        <w:t>zas</w:t>
      </w:r>
      <w:r w:rsidR="00AD62E2" w:rsidRPr="002F16A1">
        <w:rPr>
          <w:noProof/>
        </w:rPr>
        <w:t>adami lub udział</w:t>
      </w:r>
      <w:r w:rsidR="0028384B" w:rsidRPr="002F16A1">
        <w:rPr>
          <w:noProof/>
        </w:rPr>
        <w:t xml:space="preserve"> w</w:t>
      </w:r>
      <w:r w:rsidR="0028384B">
        <w:rPr>
          <w:noProof/>
        </w:rPr>
        <w:t> </w:t>
      </w:r>
      <w:r w:rsidR="0028384B" w:rsidRPr="002F16A1">
        <w:rPr>
          <w:noProof/>
        </w:rPr>
        <w:t>sys</w:t>
      </w:r>
      <w:r w:rsidR="00AD62E2" w:rsidRPr="002F16A1">
        <w:rPr>
          <w:noProof/>
        </w:rPr>
        <w:t>temie certyfikacji uznanym zgodnie</w:t>
      </w:r>
      <w:r w:rsidR="0028384B" w:rsidRPr="002F16A1">
        <w:rPr>
          <w:noProof/>
        </w:rPr>
        <w:t xml:space="preserve"> z</w:t>
      </w:r>
      <w:r w:rsidR="0028384B">
        <w:rPr>
          <w:noProof/>
        </w:rPr>
        <w:t> </w:t>
      </w:r>
      <w:r w:rsidR="0028384B" w:rsidRPr="002F16A1">
        <w:rPr>
          <w:noProof/>
        </w:rPr>
        <w:t>nin</w:t>
      </w:r>
      <w:r w:rsidR="00AD62E2" w:rsidRPr="002F16A1">
        <w:rPr>
          <w:noProof/>
        </w:rPr>
        <w:t>iejszym rozporządzeniem powinny zostać uznane za wystarczające</w:t>
      </w:r>
      <w:r w:rsidR="00AD62E2" w:rsidRPr="0028384B">
        <w:rPr>
          <w:noProof/>
        </w:rPr>
        <w:t>.</w:t>
      </w:r>
      <w:r w:rsidR="0028384B" w:rsidRPr="0028384B">
        <w:rPr>
          <w:noProof/>
        </w:rPr>
        <w:t xml:space="preserve"> </w:t>
      </w:r>
    </w:p>
    <w:p w:rsidR="00AD62E2" w:rsidRPr="002F16A1" w:rsidRDefault="00733965" w:rsidP="00733965">
      <w:pPr>
        <w:pStyle w:val="ManualConsidrant"/>
        <w:rPr>
          <w:noProof/>
        </w:rPr>
      </w:pPr>
      <w:r w:rsidRPr="00733965">
        <w:t>(12)</w:t>
      </w:r>
      <w:r w:rsidRPr="00733965">
        <w:tab/>
      </w:r>
      <w:r w:rsidR="00AD62E2" w:rsidRPr="002F16A1">
        <w:rPr>
          <w:noProof/>
        </w:rPr>
        <w:t>Każdy promotor projektu dotyczącego surowców strategicznych powinien móc złożyć do Komisji wniosek</w:t>
      </w:r>
      <w:r w:rsidR="0028384B" w:rsidRPr="002F16A1">
        <w:rPr>
          <w:noProof/>
        </w:rPr>
        <w:t xml:space="preserve"> o</w:t>
      </w:r>
      <w:r w:rsidR="0028384B">
        <w:rPr>
          <w:noProof/>
        </w:rPr>
        <w:t> </w:t>
      </w:r>
      <w:r w:rsidR="0028384B" w:rsidRPr="002F16A1">
        <w:rPr>
          <w:noProof/>
        </w:rPr>
        <w:t>uzn</w:t>
      </w:r>
      <w:r w:rsidR="00AD62E2" w:rsidRPr="002F16A1">
        <w:rPr>
          <w:noProof/>
        </w:rPr>
        <w:t>anie jego projektu za projekt strategiczny. Taki wniosek powinien zawierać dokumenty</w:t>
      </w:r>
      <w:r w:rsidR="0028384B" w:rsidRPr="002F16A1">
        <w:rPr>
          <w:noProof/>
        </w:rPr>
        <w:t xml:space="preserve"> i</w:t>
      </w:r>
      <w:r w:rsidR="0028384B">
        <w:rPr>
          <w:noProof/>
        </w:rPr>
        <w:t> </w:t>
      </w:r>
      <w:r w:rsidR="0028384B" w:rsidRPr="002F16A1">
        <w:rPr>
          <w:noProof/>
        </w:rPr>
        <w:t>dow</w:t>
      </w:r>
      <w:r w:rsidR="00AD62E2" w:rsidRPr="002F16A1">
        <w:rPr>
          <w:noProof/>
        </w:rPr>
        <w:t>ody potwierdzające spełnienie określonych kryteriów. Aby lepiej ocenić efektywność społeczną, środowiskową</w:t>
      </w:r>
      <w:r w:rsidR="0028384B" w:rsidRPr="002F16A1">
        <w:rPr>
          <w:noProof/>
        </w:rPr>
        <w:t xml:space="preserve"> i</w:t>
      </w:r>
      <w:r w:rsidR="0028384B">
        <w:rPr>
          <w:noProof/>
        </w:rPr>
        <w:t> </w:t>
      </w:r>
      <w:r w:rsidR="0028384B" w:rsidRPr="002F16A1">
        <w:rPr>
          <w:noProof/>
        </w:rPr>
        <w:t>eko</w:t>
      </w:r>
      <w:r w:rsidR="00AD62E2" w:rsidRPr="002F16A1">
        <w:rPr>
          <w:noProof/>
        </w:rPr>
        <w:t>nomiczną, wykonalność projektu oraz poziom pewności szacunków, promotor projektu powinien również przedstawić klasyfikację projektu zgodną</w:t>
      </w:r>
      <w:r w:rsidR="0028384B" w:rsidRPr="002F16A1">
        <w:rPr>
          <w:noProof/>
        </w:rPr>
        <w:t xml:space="preserve"> z</w:t>
      </w:r>
      <w:r w:rsidR="0028384B">
        <w:rPr>
          <w:noProof/>
        </w:rPr>
        <w:t> </w:t>
      </w:r>
      <w:r w:rsidR="0028384B" w:rsidRPr="002F16A1">
        <w:rPr>
          <w:noProof/>
        </w:rPr>
        <w:t>ram</w:t>
      </w:r>
      <w:r w:rsidR="00AD62E2" w:rsidRPr="002F16A1">
        <w:rPr>
          <w:noProof/>
        </w:rPr>
        <w:t>ową klasyfikacją zasobów ONZ,</w:t>
      </w:r>
      <w:r w:rsidR="0028384B" w:rsidRPr="002F16A1">
        <w:rPr>
          <w:noProof/>
        </w:rPr>
        <w:t xml:space="preserve"> a</w:t>
      </w:r>
      <w:r w:rsidR="0028384B">
        <w:rPr>
          <w:noProof/>
        </w:rPr>
        <w:t> </w:t>
      </w:r>
      <w:r w:rsidR="0028384B" w:rsidRPr="002F16A1">
        <w:rPr>
          <w:noProof/>
        </w:rPr>
        <w:t>w</w:t>
      </w:r>
      <w:r w:rsidR="0028384B">
        <w:rPr>
          <w:noProof/>
        </w:rPr>
        <w:t> </w:t>
      </w:r>
      <w:r w:rsidR="0028384B" w:rsidRPr="002F16A1">
        <w:rPr>
          <w:noProof/>
        </w:rPr>
        <w:t>cel</w:t>
      </w:r>
      <w:r w:rsidR="00AD62E2" w:rsidRPr="002F16A1">
        <w:rPr>
          <w:noProof/>
        </w:rPr>
        <w:t>u obiektywnej walidacji klasyfikacji powinien poprzeć ją odpowiednimi dowodami</w:t>
      </w:r>
      <w:r w:rsidR="00AD62E2" w:rsidRPr="0028384B">
        <w:rPr>
          <w:noProof/>
        </w:rPr>
        <w:t>.</w:t>
      </w:r>
      <w:r w:rsidR="0028384B" w:rsidRPr="0028384B">
        <w:rPr>
          <w:noProof/>
        </w:rPr>
        <w:t xml:space="preserve"> </w:t>
      </w:r>
      <w:r w:rsidR="00AD62E2" w:rsidRPr="0028384B">
        <w:rPr>
          <w:noProof/>
        </w:rPr>
        <w:t>D</w:t>
      </w:r>
      <w:r w:rsidR="00AD62E2" w:rsidRPr="002F16A1">
        <w:rPr>
          <w:noProof/>
        </w:rPr>
        <w:t>o wniosku należy również dołączyć harmonogram projektu, który pozwoli oszacować, kiedy dany projekt przyczyni się do osiągnięcia wskaźników referencyjnych dotyczących zdolności krajowych lub dywersyfikacji. Biorąc pod uwagę fakt, że społeczna akceptacja projektów wydobywczych ma kluczowe znaczenie dla ich skutecznego wdrożenia, promotor powinien również przedstawić plan</w:t>
      </w:r>
      <w:r w:rsidR="0028384B" w:rsidRPr="002F16A1">
        <w:rPr>
          <w:noProof/>
        </w:rPr>
        <w:t xml:space="preserve"> z</w:t>
      </w:r>
      <w:r w:rsidR="0028384B">
        <w:rPr>
          <w:noProof/>
        </w:rPr>
        <w:t> </w:t>
      </w:r>
      <w:r w:rsidR="0028384B" w:rsidRPr="002F16A1">
        <w:rPr>
          <w:noProof/>
        </w:rPr>
        <w:t>dzi</w:t>
      </w:r>
      <w:r w:rsidR="00AD62E2" w:rsidRPr="002F16A1">
        <w:rPr>
          <w:noProof/>
        </w:rPr>
        <w:t>ałaniami mającymi ułatwić uzyskanie akceptacji społeczeństwa. Należy zwrócić szczególną uwagę na partnerów społecznych, społeczeństwo obywatelskie</w:t>
      </w:r>
      <w:r w:rsidR="0028384B" w:rsidRPr="002F16A1">
        <w:rPr>
          <w:noProof/>
        </w:rPr>
        <w:t xml:space="preserve"> i</w:t>
      </w:r>
      <w:r w:rsidR="0028384B">
        <w:rPr>
          <w:noProof/>
        </w:rPr>
        <w:t> </w:t>
      </w:r>
      <w:r w:rsidR="0028384B" w:rsidRPr="002F16A1">
        <w:rPr>
          <w:noProof/>
        </w:rPr>
        <w:t>inn</w:t>
      </w:r>
      <w:r w:rsidR="00AD62E2" w:rsidRPr="002F16A1">
        <w:rPr>
          <w:noProof/>
        </w:rPr>
        <w:t>e podmioty sprawujące nadzór. Promotor powinien również przedstawić biznesplan zawierający informacje na temat rentowności danego projektu oraz przegląd już zawartych umów</w:t>
      </w:r>
      <w:r w:rsidR="0028384B" w:rsidRPr="002F16A1">
        <w:rPr>
          <w:noProof/>
        </w:rPr>
        <w:t xml:space="preserve"> o</w:t>
      </w:r>
      <w:r w:rsidR="0028384B">
        <w:rPr>
          <w:noProof/>
        </w:rPr>
        <w:t> </w:t>
      </w:r>
      <w:r w:rsidR="0028384B" w:rsidRPr="002F16A1">
        <w:rPr>
          <w:noProof/>
        </w:rPr>
        <w:t>fin</w:t>
      </w:r>
      <w:r w:rsidR="00AD62E2" w:rsidRPr="002F16A1">
        <w:rPr>
          <w:noProof/>
        </w:rPr>
        <w:t>ansowaniu</w:t>
      </w:r>
      <w:r w:rsidR="0028384B" w:rsidRPr="002F16A1">
        <w:rPr>
          <w:noProof/>
        </w:rPr>
        <w:t xml:space="preserve"> i</w:t>
      </w:r>
      <w:r w:rsidR="0028384B">
        <w:rPr>
          <w:noProof/>
        </w:rPr>
        <w:t> </w:t>
      </w:r>
      <w:r w:rsidR="0028384B" w:rsidRPr="002F16A1">
        <w:rPr>
          <w:noProof/>
        </w:rPr>
        <w:t>umó</w:t>
      </w:r>
      <w:r w:rsidR="00AD62E2" w:rsidRPr="002F16A1">
        <w:rPr>
          <w:noProof/>
        </w:rPr>
        <w:t>w odbioru,</w:t>
      </w:r>
      <w:r w:rsidR="0028384B" w:rsidRPr="002F16A1">
        <w:rPr>
          <w:noProof/>
        </w:rPr>
        <w:t xml:space="preserve"> a</w:t>
      </w:r>
      <w:r w:rsidR="0028384B">
        <w:rPr>
          <w:noProof/>
        </w:rPr>
        <w:t> </w:t>
      </w:r>
      <w:r w:rsidR="0028384B" w:rsidRPr="002F16A1">
        <w:rPr>
          <w:noProof/>
        </w:rPr>
        <w:t>tak</w:t>
      </w:r>
      <w:r w:rsidR="00AD62E2" w:rsidRPr="002F16A1">
        <w:rPr>
          <w:noProof/>
        </w:rPr>
        <w:t>że szacunki dotyczące możliwego stworzenia miejsc pracy oraz potrzeb związanych</w:t>
      </w:r>
      <w:r w:rsidR="0028384B" w:rsidRPr="002F16A1">
        <w:rPr>
          <w:noProof/>
        </w:rPr>
        <w:t xml:space="preserve"> z</w:t>
      </w:r>
      <w:r w:rsidR="0028384B">
        <w:rPr>
          <w:noProof/>
        </w:rPr>
        <w:t> </w:t>
      </w:r>
      <w:r w:rsidR="0028384B" w:rsidRPr="002F16A1">
        <w:rPr>
          <w:noProof/>
        </w:rPr>
        <w:t>zat</w:t>
      </w:r>
      <w:r w:rsidR="00AD62E2" w:rsidRPr="002F16A1">
        <w:rPr>
          <w:noProof/>
        </w:rPr>
        <w:t>rudnieniem</w:t>
      </w:r>
      <w:r w:rsidR="0028384B" w:rsidRPr="002F16A1">
        <w:rPr>
          <w:noProof/>
        </w:rPr>
        <w:t xml:space="preserve"> w</w:t>
      </w:r>
      <w:r w:rsidR="0028384B">
        <w:rPr>
          <w:noProof/>
        </w:rPr>
        <w:t> </w:t>
      </w:r>
      <w:r w:rsidR="0028384B" w:rsidRPr="002F16A1">
        <w:rPr>
          <w:noProof/>
        </w:rPr>
        <w:t>ram</w:t>
      </w:r>
      <w:r w:rsidR="00AD62E2" w:rsidRPr="002F16A1">
        <w:rPr>
          <w:noProof/>
        </w:rPr>
        <w:t>ach projektu wykwalifikowanej siły roboczej,</w:t>
      </w:r>
      <w:r w:rsidR="0028384B" w:rsidRPr="002F16A1">
        <w:rPr>
          <w:noProof/>
        </w:rPr>
        <w:t xml:space="preserve"> w</w:t>
      </w:r>
      <w:r w:rsidR="0028384B">
        <w:rPr>
          <w:noProof/>
        </w:rPr>
        <w:t> </w:t>
      </w:r>
      <w:r w:rsidR="0028384B" w:rsidRPr="002F16A1">
        <w:rPr>
          <w:noProof/>
        </w:rPr>
        <w:t>tym</w:t>
      </w:r>
      <w:r w:rsidR="00AD62E2" w:rsidRPr="002F16A1">
        <w:rPr>
          <w:noProof/>
        </w:rPr>
        <w:t xml:space="preserve"> potrzeb</w:t>
      </w:r>
      <w:r w:rsidR="0028384B" w:rsidRPr="002F16A1">
        <w:rPr>
          <w:noProof/>
        </w:rPr>
        <w:t xml:space="preserve"> w</w:t>
      </w:r>
      <w:r w:rsidR="0028384B">
        <w:rPr>
          <w:noProof/>
        </w:rPr>
        <w:t> </w:t>
      </w:r>
      <w:r w:rsidR="0028384B" w:rsidRPr="002F16A1">
        <w:rPr>
          <w:noProof/>
        </w:rPr>
        <w:t>zak</w:t>
      </w:r>
      <w:r w:rsidR="00AD62E2" w:rsidRPr="002F16A1">
        <w:rPr>
          <w:noProof/>
        </w:rPr>
        <w:t xml:space="preserve">resie podnoszenia lub zmiany kwalifikacji. </w:t>
      </w:r>
    </w:p>
    <w:p w:rsidR="00AD62E2" w:rsidRPr="002F16A1" w:rsidRDefault="00733965" w:rsidP="00733965">
      <w:pPr>
        <w:pStyle w:val="ManualConsidrant"/>
        <w:rPr>
          <w:noProof/>
        </w:rPr>
      </w:pPr>
      <w:r w:rsidRPr="00733965">
        <w:t>(13)</w:t>
      </w:r>
      <w:r w:rsidRPr="00733965">
        <w:tab/>
      </w:r>
      <w:r w:rsidR="00AD62E2" w:rsidRPr="002F16A1">
        <w:rPr>
          <w:noProof/>
        </w:rPr>
        <w:t>Aby zapewnić skuteczne</w:t>
      </w:r>
      <w:r w:rsidR="0028384B" w:rsidRPr="002F16A1">
        <w:rPr>
          <w:noProof/>
        </w:rPr>
        <w:t xml:space="preserve"> i</w:t>
      </w:r>
      <w:r w:rsidR="0028384B">
        <w:rPr>
          <w:noProof/>
        </w:rPr>
        <w:t> </w:t>
      </w:r>
      <w:r w:rsidR="0028384B" w:rsidRPr="002F16A1">
        <w:rPr>
          <w:noProof/>
        </w:rPr>
        <w:t>efe</w:t>
      </w:r>
      <w:r w:rsidR="00AD62E2" w:rsidRPr="002F16A1">
        <w:rPr>
          <w:noProof/>
        </w:rPr>
        <w:t>ktywne rozpatrzenie wniosków, Komisja powinna móc</w:t>
      </w:r>
      <w:r w:rsidR="0028384B" w:rsidRPr="002F16A1">
        <w:rPr>
          <w:noProof/>
        </w:rPr>
        <w:t xml:space="preserve"> w</w:t>
      </w:r>
      <w:r w:rsidR="0028384B">
        <w:rPr>
          <w:noProof/>
        </w:rPr>
        <w:t> </w:t>
      </w:r>
      <w:r w:rsidR="0028384B" w:rsidRPr="002F16A1">
        <w:rPr>
          <w:noProof/>
        </w:rPr>
        <w:t>pie</w:t>
      </w:r>
      <w:r w:rsidR="00AD62E2" w:rsidRPr="002F16A1">
        <w:rPr>
          <w:noProof/>
        </w:rPr>
        <w:t>rwszej kolejności rozpatrzyć wnioski dotyczące projektów związanych</w:t>
      </w:r>
      <w:r w:rsidR="0028384B" w:rsidRPr="002F16A1">
        <w:rPr>
          <w:noProof/>
        </w:rPr>
        <w:t xml:space="preserve"> z</w:t>
      </w:r>
      <w:r w:rsidR="0028384B">
        <w:rPr>
          <w:noProof/>
        </w:rPr>
        <w:t> </w:t>
      </w:r>
      <w:r w:rsidR="0028384B" w:rsidRPr="002F16A1">
        <w:rPr>
          <w:noProof/>
        </w:rPr>
        <w:t>kon</w:t>
      </w:r>
      <w:r w:rsidR="00AD62E2" w:rsidRPr="002F16A1">
        <w:rPr>
          <w:noProof/>
        </w:rPr>
        <w:t>kretnymi niedostatecznie reprezentowanymi etapami łańcucha wartości lub surowcami strategicznymi, co pozwoli jej zapewnić zrównoważone postępy Unii</w:t>
      </w:r>
      <w:r w:rsidR="0028384B" w:rsidRPr="002F16A1">
        <w:rPr>
          <w:noProof/>
        </w:rPr>
        <w:t xml:space="preserve"> w</w:t>
      </w:r>
      <w:r w:rsidR="0028384B">
        <w:rPr>
          <w:noProof/>
        </w:rPr>
        <w:t> </w:t>
      </w:r>
      <w:r w:rsidR="0028384B" w:rsidRPr="002F16A1">
        <w:rPr>
          <w:noProof/>
        </w:rPr>
        <w:t>kie</w:t>
      </w:r>
      <w:r w:rsidR="00AD62E2" w:rsidRPr="002F16A1">
        <w:rPr>
          <w:noProof/>
        </w:rPr>
        <w:t>runku osiągnięcia wszystkich wskaźników referencyjnych dotyczących zdolności Unii, określonych</w:t>
      </w:r>
      <w:r w:rsidR="0028384B" w:rsidRPr="002F16A1">
        <w:rPr>
          <w:noProof/>
        </w:rPr>
        <w:t xml:space="preserve"> w</w:t>
      </w:r>
      <w:r w:rsidR="0028384B">
        <w:rPr>
          <w:noProof/>
        </w:rPr>
        <w:t> </w:t>
      </w:r>
      <w:r w:rsidR="0028384B" w:rsidRPr="002F16A1">
        <w:rPr>
          <w:noProof/>
        </w:rPr>
        <w:t>nin</w:t>
      </w:r>
      <w:r w:rsidR="00AD62E2" w:rsidRPr="002F16A1">
        <w:rPr>
          <w:noProof/>
        </w:rPr>
        <w:t xml:space="preserve">iejszym rozporządzeniu. </w:t>
      </w:r>
    </w:p>
    <w:p w:rsidR="00AD62E2" w:rsidRPr="002F16A1" w:rsidRDefault="00733965" w:rsidP="00733965">
      <w:pPr>
        <w:pStyle w:val="ManualConsidrant"/>
        <w:rPr>
          <w:noProof/>
        </w:rPr>
      </w:pPr>
      <w:r w:rsidRPr="00733965">
        <w:t>(14)</w:t>
      </w:r>
      <w:r w:rsidRPr="00733965">
        <w:tab/>
      </w:r>
      <w:r w:rsidR="00AD62E2" w:rsidRPr="002F16A1">
        <w:rPr>
          <w:noProof/>
        </w:rPr>
        <w:t>Mając na względzie to, że współpraca państwa członkowskiego, na którego terytorium będzie realizowany projekt strategiczny, jest niezbędna do zapewnienia skutecznego wdrożenia tego projektu, dane państwo członkowskie powinno mieć prawo sprzeciwu wobec uznania danego projektu za projekt strategiczny,</w:t>
      </w:r>
      <w:r w:rsidR="0028384B" w:rsidRPr="002F16A1">
        <w:rPr>
          <w:noProof/>
        </w:rPr>
        <w:t xml:space="preserve"> a</w:t>
      </w:r>
      <w:r w:rsidR="0028384B">
        <w:rPr>
          <w:noProof/>
        </w:rPr>
        <w:t> </w:t>
      </w:r>
      <w:r w:rsidR="0028384B" w:rsidRPr="002F16A1">
        <w:rPr>
          <w:noProof/>
        </w:rPr>
        <w:t>tym</w:t>
      </w:r>
      <w:r w:rsidR="00AD62E2" w:rsidRPr="002F16A1">
        <w:rPr>
          <w:noProof/>
        </w:rPr>
        <w:t xml:space="preserve"> samym powinno móc uniemożliwić przyznanie projektowi statusu projektu strategicznego wbrew jego woli</w:t>
      </w:r>
      <w:r w:rsidR="0028384B" w:rsidRPr="002F16A1">
        <w:rPr>
          <w:noProof/>
        </w:rPr>
        <w:t>. W</w:t>
      </w:r>
      <w:r w:rsidR="0028384B">
        <w:rPr>
          <w:noProof/>
        </w:rPr>
        <w:t> </w:t>
      </w:r>
      <w:r w:rsidR="0028384B" w:rsidRPr="002F16A1">
        <w:rPr>
          <w:noProof/>
        </w:rPr>
        <w:t>prz</w:t>
      </w:r>
      <w:r w:rsidR="00AD62E2" w:rsidRPr="002F16A1">
        <w:rPr>
          <w:noProof/>
        </w:rPr>
        <w:t>ypadku sprzeciwu dane państwo członkowskie powinno uzasadnić swój sprzeciw, odwołując się do mających zastosowanie kryteriów. Unia nie powinna również przyznawać statusu projektu strategicznego projektom, które będą realizowane przez państwo trzecie wbrew woli jego rządu,</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zwi</w:t>
      </w:r>
      <w:r w:rsidR="00AD62E2" w:rsidRPr="002F16A1">
        <w:rPr>
          <w:noProof/>
        </w:rPr>
        <w:t>ązku</w:t>
      </w:r>
      <w:r w:rsidR="0028384B" w:rsidRPr="002F16A1">
        <w:rPr>
          <w:noProof/>
        </w:rPr>
        <w:t xml:space="preserve"> z</w:t>
      </w:r>
      <w:r w:rsidR="0028384B">
        <w:rPr>
          <w:noProof/>
        </w:rPr>
        <w:t> </w:t>
      </w:r>
      <w:r w:rsidR="0028384B" w:rsidRPr="002F16A1">
        <w:rPr>
          <w:noProof/>
        </w:rPr>
        <w:t>tym</w:t>
      </w:r>
      <w:r w:rsidR="00AD62E2" w:rsidRPr="002F16A1">
        <w:rPr>
          <w:noProof/>
        </w:rPr>
        <w:t xml:space="preserve"> powinna powstrzymać się od przyznania statusu projektu strategicznego</w:t>
      </w:r>
      <w:r w:rsidR="0028384B" w:rsidRPr="002F16A1">
        <w:rPr>
          <w:noProof/>
        </w:rPr>
        <w:t xml:space="preserve"> w</w:t>
      </w:r>
      <w:r w:rsidR="0028384B">
        <w:rPr>
          <w:noProof/>
        </w:rPr>
        <w:t> </w:t>
      </w:r>
      <w:r w:rsidR="0028384B" w:rsidRPr="002F16A1">
        <w:rPr>
          <w:noProof/>
        </w:rPr>
        <w:t>prz</w:t>
      </w:r>
      <w:r w:rsidR="00AD62E2" w:rsidRPr="002F16A1">
        <w:rPr>
          <w:noProof/>
        </w:rPr>
        <w:t>ypadku sprzeciwu rządu państwa trzeciego.   </w:t>
      </w:r>
    </w:p>
    <w:p w:rsidR="00AD62E2" w:rsidRPr="002F16A1" w:rsidRDefault="00733965" w:rsidP="00733965">
      <w:pPr>
        <w:pStyle w:val="ManualConsidrant"/>
        <w:rPr>
          <w:noProof/>
        </w:rPr>
      </w:pPr>
      <w:r w:rsidRPr="00733965">
        <w:t>(15)</w:t>
      </w:r>
      <w:r w:rsidRPr="00733965">
        <w:tab/>
      </w:r>
      <w:r w:rsidR="00AD62E2" w:rsidRPr="002F16A1">
        <w:rPr>
          <w:noProof/>
        </w:rPr>
        <w:t>Aby zapobiec nadużyciom związanym</w:t>
      </w:r>
      <w:r w:rsidR="0028384B" w:rsidRPr="002F16A1">
        <w:rPr>
          <w:noProof/>
        </w:rPr>
        <w:t xml:space="preserve"> z</w:t>
      </w:r>
      <w:r w:rsidR="0028384B">
        <w:rPr>
          <w:noProof/>
        </w:rPr>
        <w:t> </w:t>
      </w:r>
      <w:r w:rsidR="0028384B" w:rsidRPr="002F16A1">
        <w:rPr>
          <w:noProof/>
        </w:rPr>
        <w:t>uzn</w:t>
      </w:r>
      <w:r w:rsidR="00AD62E2" w:rsidRPr="002F16A1">
        <w:rPr>
          <w:noProof/>
        </w:rPr>
        <w:t>awaniem projektów za projekty strategiczne, Komisja powinna mieć możliwość uchylenia swojej początkowej decyzji</w:t>
      </w:r>
      <w:r w:rsidR="0028384B" w:rsidRPr="002F16A1">
        <w:rPr>
          <w:noProof/>
        </w:rPr>
        <w:t xml:space="preserve"> o</w:t>
      </w:r>
      <w:r w:rsidR="0028384B">
        <w:rPr>
          <w:noProof/>
        </w:rPr>
        <w:t> </w:t>
      </w:r>
      <w:r w:rsidR="0028384B" w:rsidRPr="002F16A1">
        <w:rPr>
          <w:noProof/>
        </w:rPr>
        <w:t>uzn</w:t>
      </w:r>
      <w:r w:rsidR="00AD62E2" w:rsidRPr="002F16A1">
        <w:rPr>
          <w:noProof/>
        </w:rPr>
        <w:t>aniu danego projektu za projekt strategiczny,</w:t>
      </w:r>
      <w:r w:rsidR="0028384B" w:rsidRPr="002F16A1">
        <w:rPr>
          <w:noProof/>
        </w:rPr>
        <w:t xml:space="preserve"> w</w:t>
      </w:r>
      <w:r w:rsidR="0028384B">
        <w:rPr>
          <w:noProof/>
        </w:rPr>
        <w:t> </w:t>
      </w:r>
      <w:r w:rsidR="0028384B" w:rsidRPr="002F16A1">
        <w:rPr>
          <w:noProof/>
        </w:rPr>
        <w:t>prz</w:t>
      </w:r>
      <w:r w:rsidR="00AD62E2" w:rsidRPr="002F16A1">
        <w:rPr>
          <w:noProof/>
        </w:rPr>
        <w:t>ypadku gdy dany projekt nie spełnia już określonych warunków lub gdy uznanie go za projekt strategiczny opierało się na wniosku zawierającym nieprawidłowe informacje. Wcześniej Komisja powinna się jednak skonsultować</w:t>
      </w:r>
      <w:r w:rsidR="0028384B" w:rsidRPr="002F16A1">
        <w:rPr>
          <w:noProof/>
        </w:rPr>
        <w:t xml:space="preserve"> z</w:t>
      </w:r>
      <w:r w:rsidR="0028384B">
        <w:rPr>
          <w:noProof/>
        </w:rPr>
        <w:t> </w:t>
      </w:r>
      <w:r w:rsidR="0028384B" w:rsidRPr="002F16A1">
        <w:rPr>
          <w:noProof/>
        </w:rPr>
        <w:t>Rad</w:t>
      </w:r>
      <w:r w:rsidR="00AD62E2" w:rsidRPr="002F16A1">
        <w:rPr>
          <w:noProof/>
        </w:rPr>
        <w:t>ą</w:t>
      </w:r>
      <w:r w:rsidR="0028384B" w:rsidRPr="002F16A1">
        <w:rPr>
          <w:noProof/>
        </w:rPr>
        <w:t xml:space="preserve"> i</w:t>
      </w:r>
      <w:r w:rsidR="0028384B">
        <w:rPr>
          <w:noProof/>
        </w:rPr>
        <w:t> </w:t>
      </w:r>
      <w:r w:rsidR="0028384B" w:rsidRPr="002F16A1">
        <w:rPr>
          <w:noProof/>
        </w:rPr>
        <w:t>wys</w:t>
      </w:r>
      <w:r w:rsidR="00AD62E2" w:rsidRPr="002F16A1">
        <w:rPr>
          <w:noProof/>
        </w:rPr>
        <w:t>łuchać promotora projektu.</w:t>
      </w:r>
    </w:p>
    <w:p w:rsidR="00AD62E2" w:rsidRPr="002F16A1" w:rsidRDefault="00733965" w:rsidP="00733965">
      <w:pPr>
        <w:pStyle w:val="ManualConsidrant"/>
        <w:rPr>
          <w:noProof/>
        </w:rPr>
      </w:pPr>
      <w:r w:rsidRPr="00733965">
        <w:t>(16)</w:t>
      </w:r>
      <w:r w:rsidRPr="00733965">
        <w:tab/>
      </w:r>
      <w:r w:rsidR="00AD62E2" w:rsidRPr="002F16A1">
        <w:rPr>
          <w:noProof/>
        </w:rPr>
        <w:t>Biorąc pod uwagę znaczenie projektów strategicznych dla zapewnienia bezpieczeństwa dostaw surowców strategicznych, należy uznać, że projekty te leżą</w:t>
      </w:r>
      <w:r w:rsidR="0028384B" w:rsidRPr="002F16A1">
        <w:rPr>
          <w:noProof/>
        </w:rPr>
        <w:t xml:space="preserve"> w</w:t>
      </w:r>
      <w:r w:rsidR="0028384B">
        <w:rPr>
          <w:noProof/>
        </w:rPr>
        <w:t> </w:t>
      </w:r>
      <w:r w:rsidR="0028384B" w:rsidRPr="002F16A1">
        <w:rPr>
          <w:noProof/>
        </w:rPr>
        <w:t>int</w:t>
      </w:r>
      <w:r w:rsidR="00AD62E2" w:rsidRPr="002F16A1">
        <w:rPr>
          <w:noProof/>
        </w:rPr>
        <w:t>eresie publicznym. Zapewnienie bezpieczeństwa dostaw surowców strategicznych ma zasadnicze znaczenie dla powodzenia transformacji ekologicznej</w:t>
      </w:r>
      <w:r w:rsidR="0028384B" w:rsidRPr="002F16A1">
        <w:rPr>
          <w:noProof/>
        </w:rPr>
        <w:t xml:space="preserve"> i</w:t>
      </w:r>
      <w:r w:rsidR="0028384B">
        <w:rPr>
          <w:noProof/>
        </w:rPr>
        <w:t> </w:t>
      </w:r>
      <w:r w:rsidR="0028384B" w:rsidRPr="002F16A1">
        <w:rPr>
          <w:noProof/>
        </w:rPr>
        <w:t>cyf</w:t>
      </w:r>
      <w:r w:rsidR="00AD62E2" w:rsidRPr="002F16A1">
        <w:rPr>
          <w:noProof/>
        </w:rPr>
        <w:t>rowej, jak również dla odporności sektora obrony</w:t>
      </w:r>
      <w:r w:rsidR="0028384B" w:rsidRPr="002F16A1">
        <w:rPr>
          <w:noProof/>
        </w:rPr>
        <w:t xml:space="preserve"> i</w:t>
      </w:r>
      <w:r w:rsidR="0028384B">
        <w:rPr>
          <w:noProof/>
        </w:rPr>
        <w:t> </w:t>
      </w:r>
      <w:r w:rsidR="0028384B" w:rsidRPr="002F16A1">
        <w:rPr>
          <w:noProof/>
        </w:rPr>
        <w:t>sek</w:t>
      </w:r>
      <w:r w:rsidR="00AD62E2" w:rsidRPr="002F16A1">
        <w:rPr>
          <w:noProof/>
        </w:rPr>
        <w:t>tora kosmicznego. Aby przyczynić się do poprawy bezpieczeństwa dostaw surowców strategicznych</w:t>
      </w:r>
      <w:r w:rsidR="0028384B" w:rsidRPr="002F16A1">
        <w:rPr>
          <w:noProof/>
        </w:rPr>
        <w:t xml:space="preserve"> w</w:t>
      </w:r>
      <w:r w:rsidR="0028384B">
        <w:rPr>
          <w:noProof/>
        </w:rPr>
        <w:t> </w:t>
      </w:r>
      <w:r w:rsidR="0028384B" w:rsidRPr="002F16A1">
        <w:rPr>
          <w:noProof/>
        </w:rPr>
        <w:t>Uni</w:t>
      </w:r>
      <w:r w:rsidR="00AD62E2" w:rsidRPr="002F16A1">
        <w:rPr>
          <w:noProof/>
        </w:rPr>
        <w:t>i, państwa członkowskie mogą udzielić wsparcia</w:t>
      </w:r>
      <w:r w:rsidR="0028384B" w:rsidRPr="002F16A1">
        <w:rPr>
          <w:noProof/>
        </w:rPr>
        <w:t xml:space="preserve"> w</w:t>
      </w:r>
      <w:r w:rsidR="0028384B">
        <w:rPr>
          <w:noProof/>
        </w:rPr>
        <w:t> </w:t>
      </w:r>
      <w:r w:rsidR="0028384B" w:rsidRPr="002F16A1">
        <w:rPr>
          <w:noProof/>
        </w:rPr>
        <w:t>zak</w:t>
      </w:r>
      <w:r w:rsidR="00AD62E2" w:rsidRPr="002F16A1">
        <w:rPr>
          <w:noProof/>
        </w:rPr>
        <w:t>resie krajowych procedur wydawania pozwoleń, co pozwoli przyspieszyć realizację projektów strategicznych zgodnie</w:t>
      </w:r>
      <w:r w:rsidR="0028384B" w:rsidRPr="002F16A1">
        <w:rPr>
          <w:noProof/>
        </w:rPr>
        <w:t xml:space="preserve"> z</w:t>
      </w:r>
      <w:r w:rsidR="0028384B">
        <w:rPr>
          <w:noProof/>
        </w:rPr>
        <w:t> </w:t>
      </w:r>
      <w:r w:rsidR="0028384B" w:rsidRPr="002F16A1">
        <w:rPr>
          <w:noProof/>
        </w:rPr>
        <w:t>pra</w:t>
      </w:r>
      <w:r w:rsidR="00AD62E2" w:rsidRPr="002F16A1">
        <w:rPr>
          <w:noProof/>
        </w:rPr>
        <w:t>wem Unii.</w:t>
      </w:r>
    </w:p>
    <w:p w:rsidR="00AD62E2" w:rsidRPr="0028384B" w:rsidRDefault="00733965" w:rsidP="00733965">
      <w:pPr>
        <w:pStyle w:val="ManualConsidrant"/>
        <w:rPr>
          <w:noProof/>
        </w:rPr>
      </w:pPr>
      <w:r w:rsidRPr="00733965">
        <w:t>(17)</w:t>
      </w:r>
      <w:r w:rsidRPr="00733965">
        <w:tab/>
      </w:r>
      <w:r w:rsidR="00AD62E2" w:rsidRPr="002F16A1">
        <w:rPr>
          <w:noProof/>
        </w:rPr>
        <w:t>Krajowe procesy wydawania pozwoleń zapewniają bezpieczeństwo, pewność</w:t>
      </w:r>
      <w:r w:rsidR="0028384B" w:rsidRPr="002F16A1">
        <w:rPr>
          <w:noProof/>
        </w:rPr>
        <w:t xml:space="preserve"> i</w:t>
      </w:r>
      <w:r w:rsidR="0028384B">
        <w:rPr>
          <w:noProof/>
        </w:rPr>
        <w:t> </w:t>
      </w:r>
      <w:r w:rsidR="0028384B" w:rsidRPr="002F16A1">
        <w:rPr>
          <w:noProof/>
        </w:rPr>
        <w:t>zgo</w:t>
      </w:r>
      <w:r w:rsidR="00AD62E2" w:rsidRPr="002F16A1">
        <w:rPr>
          <w:noProof/>
        </w:rPr>
        <w:t>dność projektów dotyczących surowców</w:t>
      </w:r>
      <w:r w:rsidR="0028384B" w:rsidRPr="002F16A1">
        <w:rPr>
          <w:noProof/>
        </w:rPr>
        <w:t xml:space="preserve"> z</w:t>
      </w:r>
      <w:r w:rsidR="0028384B">
        <w:rPr>
          <w:noProof/>
        </w:rPr>
        <w:t> </w:t>
      </w:r>
      <w:r w:rsidR="0028384B" w:rsidRPr="002F16A1">
        <w:rPr>
          <w:noProof/>
        </w:rPr>
        <w:t>wym</w:t>
      </w:r>
      <w:r w:rsidR="00AD62E2" w:rsidRPr="002F16A1">
        <w:rPr>
          <w:noProof/>
        </w:rPr>
        <w:t>ogami środowiskowymi, społecznymi oraz</w:t>
      </w:r>
      <w:r w:rsidR="0028384B" w:rsidRPr="002F16A1">
        <w:rPr>
          <w:noProof/>
        </w:rPr>
        <w:t xml:space="preserve"> w</w:t>
      </w:r>
      <w:r w:rsidR="0028384B">
        <w:rPr>
          <w:noProof/>
        </w:rPr>
        <w:t> </w:t>
      </w:r>
      <w:r w:rsidR="0028384B" w:rsidRPr="002F16A1">
        <w:rPr>
          <w:noProof/>
        </w:rPr>
        <w:t>zak</w:t>
      </w:r>
      <w:r w:rsidR="00AD62E2" w:rsidRPr="002F16A1">
        <w:rPr>
          <w:noProof/>
        </w:rPr>
        <w:t>resie bezpieczeństwa</w:t>
      </w:r>
      <w:r w:rsidR="0028384B" w:rsidRPr="002F16A1">
        <w:rPr>
          <w:noProof/>
        </w:rPr>
        <w:t>. W</w:t>
      </w:r>
      <w:r w:rsidR="0028384B">
        <w:rPr>
          <w:noProof/>
        </w:rPr>
        <w:t> </w:t>
      </w:r>
      <w:r w:rsidR="0028384B" w:rsidRPr="002F16A1">
        <w:rPr>
          <w:noProof/>
        </w:rPr>
        <w:t>pra</w:t>
      </w:r>
      <w:r w:rsidR="00AD62E2" w:rsidRPr="002F16A1">
        <w:rPr>
          <w:noProof/>
        </w:rPr>
        <w:t>wodawstwie UE dotyczącym ochrony środowiska określone są wspólne warunki dotyczące procesu</w:t>
      </w:r>
      <w:r w:rsidR="0028384B" w:rsidRPr="002F16A1">
        <w:rPr>
          <w:noProof/>
        </w:rPr>
        <w:t xml:space="preserve"> i</w:t>
      </w:r>
      <w:r w:rsidR="0028384B">
        <w:rPr>
          <w:noProof/>
        </w:rPr>
        <w:t> </w:t>
      </w:r>
      <w:r w:rsidR="0028384B" w:rsidRPr="002F16A1">
        <w:rPr>
          <w:noProof/>
        </w:rPr>
        <w:t>zaw</w:t>
      </w:r>
      <w:r w:rsidR="00AD62E2" w:rsidRPr="002F16A1">
        <w:rPr>
          <w:noProof/>
        </w:rPr>
        <w:t>artości krajowych procesów wydawania pozwoleń, które to warunki zapewniają wysoki poziom ochrony środowiska</w:t>
      </w:r>
      <w:r w:rsidR="0028384B" w:rsidRPr="002F16A1">
        <w:rPr>
          <w:noProof/>
        </w:rPr>
        <w:t xml:space="preserve"> i</w:t>
      </w:r>
      <w:r w:rsidR="0028384B">
        <w:rPr>
          <w:noProof/>
        </w:rPr>
        <w:t> </w:t>
      </w:r>
      <w:r w:rsidR="0028384B" w:rsidRPr="002F16A1">
        <w:rPr>
          <w:noProof/>
        </w:rPr>
        <w:t>umo</w:t>
      </w:r>
      <w:r w:rsidR="00AD62E2" w:rsidRPr="002F16A1">
        <w:rPr>
          <w:noProof/>
        </w:rPr>
        <w:t>żliwiają zrównoważone wykorzystywanie potencjału Unii</w:t>
      </w:r>
      <w:r w:rsidR="0028384B" w:rsidRPr="002F16A1">
        <w:rPr>
          <w:noProof/>
        </w:rPr>
        <w:t xml:space="preserve"> w</w:t>
      </w:r>
      <w:r w:rsidR="0028384B">
        <w:rPr>
          <w:noProof/>
        </w:rPr>
        <w:t> </w:t>
      </w:r>
      <w:r w:rsidR="0028384B" w:rsidRPr="002F16A1">
        <w:rPr>
          <w:noProof/>
        </w:rPr>
        <w:t>cał</w:t>
      </w:r>
      <w:r w:rsidR="00AD62E2" w:rsidRPr="002F16A1">
        <w:rPr>
          <w:noProof/>
        </w:rPr>
        <w:t>ym łańcuchu wartości surowców. Przyznanie statusu projektu strategicznego powinno zatem pozostawać bez uszczerbku dla jakichkolwiek mających zastosowanie warunków wydawania pozwoleń na realizację odpowiednich projektów,</w:t>
      </w:r>
      <w:r w:rsidR="0028384B" w:rsidRPr="002F16A1">
        <w:rPr>
          <w:noProof/>
        </w:rPr>
        <w:t xml:space="preserve"> w</w:t>
      </w:r>
      <w:r w:rsidR="0028384B">
        <w:rPr>
          <w:noProof/>
        </w:rPr>
        <w:t> </w:t>
      </w:r>
      <w:r w:rsidR="0028384B" w:rsidRPr="002F16A1">
        <w:rPr>
          <w:noProof/>
        </w:rPr>
        <w:t>tym</w:t>
      </w:r>
      <w:r w:rsidR="00AD62E2" w:rsidRPr="002F16A1">
        <w:rPr>
          <w:noProof/>
        </w:rPr>
        <w:t xml:space="preserve"> dla warunków określonych</w:t>
      </w:r>
      <w:r w:rsidR="0028384B" w:rsidRPr="002F16A1">
        <w:rPr>
          <w:noProof/>
        </w:rPr>
        <w:t xml:space="preserve"> w</w:t>
      </w:r>
      <w:r w:rsidR="0028384B">
        <w:rPr>
          <w:noProof/>
        </w:rPr>
        <w:t> </w:t>
      </w:r>
      <w:r w:rsidR="0028384B" w:rsidRPr="002F16A1">
        <w:rPr>
          <w:noProof/>
        </w:rPr>
        <w:t>dyr</w:t>
      </w:r>
      <w:r w:rsidR="00AD62E2" w:rsidRPr="002F16A1">
        <w:rPr>
          <w:noProof/>
        </w:rPr>
        <w:t>ektywie Parlamentu Europejskiego</w:t>
      </w:r>
      <w:r w:rsidR="0028384B" w:rsidRPr="002F16A1">
        <w:rPr>
          <w:noProof/>
        </w:rPr>
        <w:t xml:space="preserve"> i</w:t>
      </w:r>
      <w:r w:rsidR="0028384B">
        <w:rPr>
          <w:noProof/>
        </w:rPr>
        <w:t> </w:t>
      </w:r>
      <w:r w:rsidR="0028384B" w:rsidRPr="002F16A1">
        <w:rPr>
          <w:noProof/>
        </w:rPr>
        <w:t>Rad</w:t>
      </w:r>
      <w:r w:rsidR="00AD62E2" w:rsidRPr="002F16A1">
        <w:rPr>
          <w:noProof/>
        </w:rPr>
        <w:t>y 2011/92/UE</w:t>
      </w:r>
      <w:r w:rsidR="00AD62E2" w:rsidRPr="002F16A1">
        <w:rPr>
          <w:rStyle w:val="FootnoteReference"/>
          <w:noProof/>
        </w:rPr>
        <w:footnoteReference w:id="33"/>
      </w:r>
      <w:r w:rsidR="00AD62E2" w:rsidRPr="002F16A1">
        <w:rPr>
          <w:noProof/>
        </w:rPr>
        <w:t>, dyrektywie Rady 92/43/EWG</w:t>
      </w:r>
      <w:r w:rsidR="00AD62E2" w:rsidRPr="002F16A1">
        <w:rPr>
          <w:rStyle w:val="FootnoteReference"/>
          <w:noProof/>
        </w:rPr>
        <w:footnoteReference w:id="34"/>
      </w:r>
      <w:r w:rsidR="00AD62E2" w:rsidRPr="002F16A1">
        <w:rPr>
          <w:noProof/>
        </w:rPr>
        <w:t>, dyrektywie 2000/60/WE</w:t>
      </w:r>
      <w:r w:rsidR="00AD62E2" w:rsidRPr="002F16A1">
        <w:rPr>
          <w:rStyle w:val="FootnoteReference"/>
          <w:noProof/>
        </w:rPr>
        <w:footnoteReference w:id="35"/>
      </w:r>
      <w:r w:rsidR="00AD62E2" w:rsidRPr="002F16A1">
        <w:rPr>
          <w:noProof/>
        </w:rPr>
        <w:t xml:space="preserve"> Parlamentu Europejskiego</w:t>
      </w:r>
      <w:r w:rsidR="0028384B" w:rsidRPr="002F16A1">
        <w:rPr>
          <w:noProof/>
        </w:rPr>
        <w:t xml:space="preserve"> i</w:t>
      </w:r>
      <w:r w:rsidR="0028384B">
        <w:rPr>
          <w:noProof/>
        </w:rPr>
        <w:t> </w:t>
      </w:r>
      <w:r w:rsidR="0028384B" w:rsidRPr="002F16A1">
        <w:rPr>
          <w:noProof/>
        </w:rPr>
        <w:t>Rad</w:t>
      </w:r>
      <w:r w:rsidR="00AD62E2" w:rsidRPr="002F16A1">
        <w:rPr>
          <w:noProof/>
        </w:rPr>
        <w:t>y, dyrektywie Parlamentu Europejskiego</w:t>
      </w:r>
      <w:r w:rsidR="0028384B" w:rsidRPr="002F16A1">
        <w:rPr>
          <w:noProof/>
        </w:rPr>
        <w:t xml:space="preserve"> i</w:t>
      </w:r>
      <w:r w:rsidR="0028384B">
        <w:rPr>
          <w:noProof/>
        </w:rPr>
        <w:t> </w:t>
      </w:r>
      <w:r w:rsidR="0028384B" w:rsidRPr="002F16A1">
        <w:rPr>
          <w:noProof/>
        </w:rPr>
        <w:t>Rad</w:t>
      </w:r>
      <w:r w:rsidR="00AD62E2" w:rsidRPr="002F16A1">
        <w:rPr>
          <w:noProof/>
        </w:rPr>
        <w:t>y 2010/75/UE</w:t>
      </w:r>
      <w:r w:rsidR="00AD62E2" w:rsidRPr="002F16A1">
        <w:rPr>
          <w:rStyle w:val="FootnoteReference"/>
          <w:noProof/>
        </w:rPr>
        <w:footnoteReference w:id="36"/>
      </w:r>
      <w:r w:rsidR="00AD62E2" w:rsidRPr="002F16A1">
        <w:rPr>
          <w:noProof/>
        </w:rPr>
        <w:t xml:space="preserve"> oraz</w:t>
      </w:r>
      <w:r w:rsidR="0028384B" w:rsidRPr="002F16A1">
        <w:rPr>
          <w:noProof/>
        </w:rPr>
        <w:t xml:space="preserve"> w</w:t>
      </w:r>
      <w:r w:rsidR="0028384B">
        <w:rPr>
          <w:noProof/>
        </w:rPr>
        <w:t> </w:t>
      </w:r>
      <w:r w:rsidR="0028384B" w:rsidRPr="002F16A1">
        <w:rPr>
          <w:noProof/>
        </w:rPr>
        <w:t>dyr</w:t>
      </w:r>
      <w:r w:rsidR="00AD62E2" w:rsidRPr="002F16A1">
        <w:rPr>
          <w:noProof/>
        </w:rPr>
        <w:t>ektywie 2004/35/WE</w:t>
      </w:r>
      <w:r w:rsidR="00AD62E2" w:rsidRPr="002F16A1">
        <w:rPr>
          <w:rStyle w:val="FootnoteReference"/>
          <w:noProof/>
        </w:rPr>
        <w:footnoteReference w:id="37"/>
      </w:r>
      <w:r w:rsidR="00AD62E2" w:rsidRPr="002F16A1">
        <w:rPr>
          <w:noProof/>
        </w:rPr>
        <w:t xml:space="preserve"> Parlamentu Europejskiego</w:t>
      </w:r>
      <w:r w:rsidR="0028384B" w:rsidRPr="002F16A1">
        <w:rPr>
          <w:noProof/>
        </w:rPr>
        <w:t xml:space="preserve"> i</w:t>
      </w:r>
      <w:r w:rsidR="0028384B">
        <w:rPr>
          <w:noProof/>
        </w:rPr>
        <w:t> </w:t>
      </w:r>
      <w:r w:rsidR="0028384B" w:rsidRPr="002F16A1">
        <w:rPr>
          <w:noProof/>
        </w:rPr>
        <w:t>Rad</w:t>
      </w:r>
      <w:r w:rsidR="00AD62E2" w:rsidRPr="002F16A1">
        <w:rPr>
          <w:noProof/>
        </w:rPr>
        <w:t>y, dyrektywie Parlamentu Europejskiego</w:t>
      </w:r>
      <w:r w:rsidR="0028384B" w:rsidRPr="002F16A1">
        <w:rPr>
          <w:noProof/>
        </w:rPr>
        <w:t xml:space="preserve"> i</w:t>
      </w:r>
      <w:r w:rsidR="0028384B">
        <w:rPr>
          <w:noProof/>
        </w:rPr>
        <w:t> </w:t>
      </w:r>
      <w:r w:rsidR="0028384B" w:rsidRPr="002F16A1">
        <w:rPr>
          <w:noProof/>
        </w:rPr>
        <w:t>Rad</w:t>
      </w:r>
      <w:r w:rsidR="00AD62E2" w:rsidRPr="002F16A1">
        <w:rPr>
          <w:noProof/>
        </w:rPr>
        <w:t>y 2009/147/WE</w:t>
      </w:r>
      <w:r w:rsidR="00AD62E2" w:rsidRPr="002F16A1">
        <w:rPr>
          <w:rStyle w:val="FootnoteReference"/>
          <w:noProof/>
        </w:rPr>
        <w:footnoteReference w:id="38"/>
      </w:r>
      <w:r w:rsidR="0028384B" w:rsidRPr="002F16A1">
        <w:rPr>
          <w:noProof/>
        </w:rPr>
        <w:t xml:space="preserve"> i</w:t>
      </w:r>
      <w:r w:rsidR="0028384B">
        <w:rPr>
          <w:noProof/>
        </w:rPr>
        <w:t> </w:t>
      </w:r>
      <w:r w:rsidR="0028384B" w:rsidRPr="002F16A1">
        <w:rPr>
          <w:noProof/>
        </w:rPr>
        <w:t>dyr</w:t>
      </w:r>
      <w:r w:rsidR="00AD62E2" w:rsidRPr="002F16A1">
        <w:rPr>
          <w:noProof/>
        </w:rPr>
        <w:t>ektywie 2006/21/WE</w:t>
      </w:r>
      <w:r w:rsidR="00AD62E2" w:rsidRPr="002F16A1">
        <w:rPr>
          <w:rStyle w:val="FootnoteReference"/>
          <w:noProof/>
        </w:rPr>
        <w:footnoteReference w:id="39"/>
      </w:r>
      <w:r w:rsidR="00AD62E2" w:rsidRPr="002F16A1">
        <w:rPr>
          <w:noProof/>
        </w:rPr>
        <w:t xml:space="preserve"> Parlamentu Europejskiego</w:t>
      </w:r>
      <w:r w:rsidR="0028384B" w:rsidRPr="002F16A1">
        <w:rPr>
          <w:noProof/>
        </w:rPr>
        <w:t xml:space="preserve"> i</w:t>
      </w:r>
      <w:r w:rsidR="0028384B">
        <w:rPr>
          <w:noProof/>
        </w:rPr>
        <w:t> </w:t>
      </w:r>
      <w:r w:rsidR="0028384B" w:rsidRPr="002F16A1">
        <w:rPr>
          <w:noProof/>
        </w:rPr>
        <w:t>Rad</w:t>
      </w:r>
      <w:r w:rsidR="00AD62E2" w:rsidRPr="002F16A1">
        <w:rPr>
          <w:noProof/>
        </w:rPr>
        <w:t>y</w:t>
      </w:r>
      <w:r w:rsidR="00AD62E2" w:rsidRPr="0028384B">
        <w:rPr>
          <w:noProof/>
        </w:rPr>
        <w:t>.</w:t>
      </w:r>
      <w:r w:rsidR="0028384B" w:rsidRPr="0028384B">
        <w:rPr>
          <w:noProof/>
        </w:rPr>
        <w:t xml:space="preserve"> </w:t>
      </w:r>
    </w:p>
    <w:p w:rsidR="00AD62E2" w:rsidRPr="002F16A1" w:rsidRDefault="00733965" w:rsidP="00733965">
      <w:pPr>
        <w:pStyle w:val="ManualConsidrant"/>
        <w:rPr>
          <w:noProof/>
        </w:rPr>
      </w:pPr>
      <w:r w:rsidRPr="00733965">
        <w:t>(18)</w:t>
      </w:r>
      <w:r w:rsidRPr="00733965">
        <w:tab/>
      </w:r>
      <w:r w:rsidR="00AD62E2" w:rsidRPr="002F16A1">
        <w:rPr>
          <w:noProof/>
        </w:rPr>
        <w:t>Jednocześnie nieprzewidywalność, złożoność</w:t>
      </w:r>
      <w:r w:rsidR="0028384B" w:rsidRPr="002F16A1">
        <w:rPr>
          <w:noProof/>
        </w:rPr>
        <w:t xml:space="preserve"> i</w:t>
      </w:r>
      <w:r w:rsidR="0028384B">
        <w:rPr>
          <w:noProof/>
        </w:rPr>
        <w:t> </w:t>
      </w:r>
      <w:r w:rsidR="0028384B" w:rsidRPr="002F16A1">
        <w:rPr>
          <w:noProof/>
        </w:rPr>
        <w:t>nie</w:t>
      </w:r>
      <w:r w:rsidR="00AD62E2" w:rsidRPr="002F16A1">
        <w:rPr>
          <w:noProof/>
        </w:rPr>
        <w:t>kiedy zbyt długi czas trwania krajowych procesów wydawania pozwoleń osłabia bezpieczeństwo inwestycyjne, które jest niezbędne do skutecznego rozwoju projektów dotyczących surowców strategicznych</w:t>
      </w:r>
      <w:r w:rsidR="0028384B" w:rsidRPr="002F16A1">
        <w:rPr>
          <w:noProof/>
        </w:rPr>
        <w:t>. W</w:t>
      </w:r>
      <w:r w:rsidR="0028384B">
        <w:rPr>
          <w:noProof/>
        </w:rPr>
        <w:t> </w:t>
      </w:r>
      <w:r w:rsidR="0028384B" w:rsidRPr="002F16A1">
        <w:rPr>
          <w:noProof/>
        </w:rPr>
        <w:t>zwi</w:t>
      </w:r>
      <w:r w:rsidR="00AD62E2" w:rsidRPr="002F16A1">
        <w:rPr>
          <w:noProof/>
        </w:rPr>
        <w:t>ązku</w:t>
      </w:r>
      <w:r w:rsidR="0028384B" w:rsidRPr="002F16A1">
        <w:rPr>
          <w:noProof/>
        </w:rPr>
        <w:t xml:space="preserve"> z</w:t>
      </w:r>
      <w:r w:rsidR="0028384B">
        <w:rPr>
          <w:noProof/>
        </w:rPr>
        <w:t> </w:t>
      </w:r>
      <w:r w:rsidR="0028384B" w:rsidRPr="002F16A1">
        <w:rPr>
          <w:noProof/>
        </w:rPr>
        <w:t>tym</w:t>
      </w:r>
      <w:r w:rsidR="00AD62E2" w:rsidRPr="002F16A1">
        <w:rPr>
          <w:noProof/>
        </w:rPr>
        <w:t>, aby zapewnić</w:t>
      </w:r>
      <w:r w:rsidR="0028384B" w:rsidRPr="002F16A1">
        <w:rPr>
          <w:noProof/>
        </w:rPr>
        <w:t xml:space="preserve"> i</w:t>
      </w:r>
      <w:r w:rsidR="0028384B">
        <w:rPr>
          <w:noProof/>
        </w:rPr>
        <w:t> </w:t>
      </w:r>
      <w:r w:rsidR="0028384B" w:rsidRPr="002F16A1">
        <w:rPr>
          <w:noProof/>
        </w:rPr>
        <w:t>prz</w:t>
      </w:r>
      <w:r w:rsidR="00AD62E2" w:rsidRPr="002F16A1">
        <w:rPr>
          <w:noProof/>
        </w:rPr>
        <w:t>yspieszyć skuteczne wdrożenie projektów strategicznych, państwa członkowskie powinny zastosować uproszczoną</w:t>
      </w:r>
      <w:r w:rsidR="0028384B" w:rsidRPr="002F16A1">
        <w:rPr>
          <w:noProof/>
        </w:rPr>
        <w:t xml:space="preserve"> i</w:t>
      </w:r>
      <w:r w:rsidR="0028384B">
        <w:rPr>
          <w:noProof/>
        </w:rPr>
        <w:t> </w:t>
      </w:r>
      <w:r w:rsidR="0028384B" w:rsidRPr="002F16A1">
        <w:rPr>
          <w:noProof/>
        </w:rPr>
        <w:t>prz</w:t>
      </w:r>
      <w:r w:rsidR="00AD62E2" w:rsidRPr="002F16A1">
        <w:rPr>
          <w:noProof/>
        </w:rPr>
        <w:t>ewidywalną procedurę wydawania pozwoleń na realizację projektów strategicznych. Projekty strategiczne powinny zatem otrzymać „status priorytetowy” na poziomie krajowym, aby zapewnić im szybkie postępowanie administracyjne oraz ich pilne traktowanie we wszystkich powiązanych</w:t>
      </w:r>
      <w:r w:rsidR="0028384B" w:rsidRPr="002F16A1">
        <w:rPr>
          <w:noProof/>
        </w:rPr>
        <w:t xml:space="preserve"> z</w:t>
      </w:r>
      <w:r w:rsidR="0028384B">
        <w:rPr>
          <w:noProof/>
        </w:rPr>
        <w:t> </w:t>
      </w:r>
      <w:r w:rsidR="0028384B" w:rsidRPr="002F16A1">
        <w:rPr>
          <w:noProof/>
        </w:rPr>
        <w:t>nim</w:t>
      </w:r>
      <w:r w:rsidR="00AD62E2" w:rsidRPr="002F16A1">
        <w:rPr>
          <w:noProof/>
        </w:rPr>
        <w:t>i postępowaniach sądowych</w:t>
      </w:r>
      <w:r w:rsidR="0028384B" w:rsidRPr="002F16A1">
        <w:rPr>
          <w:noProof/>
        </w:rPr>
        <w:t xml:space="preserve"> i</w:t>
      </w:r>
      <w:r w:rsidR="0028384B">
        <w:rPr>
          <w:noProof/>
        </w:rPr>
        <w:t> </w:t>
      </w:r>
      <w:r w:rsidR="0028384B" w:rsidRPr="002F16A1">
        <w:rPr>
          <w:noProof/>
        </w:rPr>
        <w:t>pro</w:t>
      </w:r>
      <w:r w:rsidR="00AD62E2" w:rsidRPr="002F16A1">
        <w:rPr>
          <w:noProof/>
        </w:rPr>
        <w:t>cedurach rozwiązywania sporów. Niniejsze rozporządzenie nie powinno uniemożliwiać właściwym organom ułatwiania wydawania pozwoleń na realizację innych projektów dotyczących łańcucha wartości surowców krytycznych, które to projekty nie są projektami strategicznymi. </w:t>
      </w:r>
    </w:p>
    <w:p w:rsidR="00AD62E2" w:rsidRPr="002F16A1" w:rsidRDefault="00733965" w:rsidP="00733965">
      <w:pPr>
        <w:pStyle w:val="ManualConsidrant"/>
        <w:rPr>
          <w:noProof/>
        </w:rPr>
      </w:pPr>
      <w:r w:rsidRPr="00733965">
        <w:t>(19)</w:t>
      </w:r>
      <w:r w:rsidRPr="00733965">
        <w:tab/>
      </w:r>
      <w:r w:rsidR="00AD62E2" w:rsidRPr="002F16A1">
        <w:rPr>
          <w:noProof/>
        </w:rPr>
        <w:t>Biorąc pod uwagę rolę projektów strategicznych</w:t>
      </w:r>
      <w:r w:rsidR="0028384B" w:rsidRPr="002F16A1">
        <w:rPr>
          <w:noProof/>
        </w:rPr>
        <w:t xml:space="preserve"> w</w:t>
      </w:r>
      <w:r w:rsidR="0028384B">
        <w:rPr>
          <w:noProof/>
        </w:rPr>
        <w:t> </w:t>
      </w:r>
      <w:r w:rsidR="0028384B" w:rsidRPr="002F16A1">
        <w:rPr>
          <w:noProof/>
        </w:rPr>
        <w:t>zap</w:t>
      </w:r>
      <w:r w:rsidR="00AD62E2" w:rsidRPr="002F16A1">
        <w:rPr>
          <w:noProof/>
        </w:rPr>
        <w:t>ewnieniu bezpieczeństwa dostaw surowców strategicznych</w:t>
      </w:r>
      <w:r w:rsidR="0028384B" w:rsidRPr="002F16A1">
        <w:rPr>
          <w:noProof/>
        </w:rPr>
        <w:t xml:space="preserve"> w</w:t>
      </w:r>
      <w:r w:rsidR="0028384B">
        <w:rPr>
          <w:noProof/>
        </w:rPr>
        <w:t> </w:t>
      </w:r>
      <w:r w:rsidR="0028384B" w:rsidRPr="002F16A1">
        <w:rPr>
          <w:noProof/>
        </w:rPr>
        <w:t>Uni</w:t>
      </w:r>
      <w:r w:rsidR="00AD62E2" w:rsidRPr="002F16A1">
        <w:rPr>
          <w:noProof/>
        </w:rPr>
        <w:t>i oraz ich wkład</w:t>
      </w:r>
      <w:r w:rsidR="0028384B" w:rsidRPr="002F16A1">
        <w:rPr>
          <w:noProof/>
        </w:rPr>
        <w:t xml:space="preserve"> w</w:t>
      </w:r>
      <w:r w:rsidR="0028384B">
        <w:rPr>
          <w:noProof/>
        </w:rPr>
        <w:t> </w:t>
      </w:r>
      <w:r w:rsidR="0028384B" w:rsidRPr="002F16A1">
        <w:rPr>
          <w:noProof/>
        </w:rPr>
        <w:t>otw</w:t>
      </w:r>
      <w:r w:rsidR="00AD62E2" w:rsidRPr="002F16A1">
        <w:rPr>
          <w:noProof/>
        </w:rPr>
        <w:t>artą strategiczną autonomię Unii,</w:t>
      </w:r>
      <w:r w:rsidR="0028384B" w:rsidRPr="002F16A1">
        <w:rPr>
          <w:noProof/>
        </w:rPr>
        <w:t xml:space="preserve"> a</w:t>
      </w:r>
      <w:r w:rsidR="0028384B">
        <w:rPr>
          <w:noProof/>
        </w:rPr>
        <w:t> </w:t>
      </w:r>
      <w:r w:rsidR="0028384B" w:rsidRPr="002F16A1">
        <w:rPr>
          <w:noProof/>
        </w:rPr>
        <w:t>tak</w:t>
      </w:r>
      <w:r w:rsidR="00AD62E2" w:rsidRPr="002F16A1">
        <w:rPr>
          <w:noProof/>
        </w:rPr>
        <w:t>że transformację ekologiczną</w:t>
      </w:r>
      <w:r w:rsidR="0028384B" w:rsidRPr="002F16A1">
        <w:rPr>
          <w:noProof/>
        </w:rPr>
        <w:t xml:space="preserve"> i</w:t>
      </w:r>
      <w:r w:rsidR="0028384B">
        <w:rPr>
          <w:noProof/>
        </w:rPr>
        <w:t> </w:t>
      </w:r>
      <w:r w:rsidR="0028384B" w:rsidRPr="002F16A1">
        <w:rPr>
          <w:noProof/>
        </w:rPr>
        <w:t>cyf</w:t>
      </w:r>
      <w:r w:rsidR="00AD62E2" w:rsidRPr="002F16A1">
        <w:rPr>
          <w:noProof/>
        </w:rPr>
        <w:t>rową, organ odpowiedzialny za wydawanie pozwoleń powinien uznać projekty strategiczne za leżące</w:t>
      </w:r>
      <w:r w:rsidR="0028384B" w:rsidRPr="002F16A1">
        <w:rPr>
          <w:noProof/>
        </w:rPr>
        <w:t xml:space="preserve"> w</w:t>
      </w:r>
      <w:r w:rsidR="0028384B">
        <w:rPr>
          <w:noProof/>
        </w:rPr>
        <w:t> </w:t>
      </w:r>
      <w:r w:rsidR="0028384B" w:rsidRPr="002F16A1">
        <w:rPr>
          <w:noProof/>
        </w:rPr>
        <w:t>int</w:t>
      </w:r>
      <w:r w:rsidR="00AD62E2" w:rsidRPr="002F16A1">
        <w:rPr>
          <w:noProof/>
        </w:rPr>
        <w:t>eresie publicznym. Projekty strategiczne, które wywierają negatywny wpływ na środowisko</w:t>
      </w:r>
      <w:r w:rsidR="0028384B" w:rsidRPr="002F16A1">
        <w:rPr>
          <w:noProof/>
        </w:rPr>
        <w:t xml:space="preserve"> w</w:t>
      </w:r>
      <w:r w:rsidR="0028384B">
        <w:rPr>
          <w:noProof/>
        </w:rPr>
        <w:t> </w:t>
      </w:r>
      <w:r w:rsidR="0028384B" w:rsidRPr="002F16A1">
        <w:rPr>
          <w:noProof/>
        </w:rPr>
        <w:t>zak</w:t>
      </w:r>
      <w:r w:rsidR="00AD62E2" w:rsidRPr="002F16A1">
        <w:rPr>
          <w:noProof/>
        </w:rPr>
        <w:t>resie, jaki podlega zakresowi dyrektywy 2000/60/WE, dyrektywy Rady 92/43/EWG</w:t>
      </w:r>
      <w:r w:rsidR="0028384B" w:rsidRPr="002F16A1">
        <w:rPr>
          <w:noProof/>
        </w:rPr>
        <w:t xml:space="preserve"> i</w:t>
      </w:r>
      <w:r w:rsidR="0028384B">
        <w:rPr>
          <w:noProof/>
        </w:rPr>
        <w:t> </w:t>
      </w:r>
      <w:r w:rsidR="0028384B" w:rsidRPr="002F16A1">
        <w:rPr>
          <w:noProof/>
        </w:rPr>
        <w:t>dyr</w:t>
      </w:r>
      <w:r w:rsidR="00AD62E2" w:rsidRPr="002F16A1">
        <w:rPr>
          <w:noProof/>
        </w:rPr>
        <w:t>ektywy 2009/147/WE</w:t>
      </w:r>
      <w:r w:rsidR="00AD62E2" w:rsidRPr="002F16A1">
        <w:rPr>
          <w:rStyle w:val="FootnoteReference"/>
          <w:noProof/>
        </w:rPr>
        <w:footnoteReference w:id="40"/>
      </w:r>
      <w:r w:rsidR="00AD62E2" w:rsidRPr="002F16A1">
        <w:rPr>
          <w:noProof/>
        </w:rPr>
        <w:t>, mogą zostać zatwierdzone, jeżeli organ odpowiedzialny za wydawanie pozwoleń stwierdzi na podstawie swojej indywidualnej oceny, że interes publiczny, któremu ma służyć dany projekt, ma charakter nadrzędny wobec negatywnego wpływu na środowisko, pod warunkiem że wszystkie odpowiednie warunki określone</w:t>
      </w:r>
      <w:r w:rsidR="0028384B" w:rsidRPr="002F16A1">
        <w:rPr>
          <w:noProof/>
        </w:rPr>
        <w:t xml:space="preserve"> w</w:t>
      </w:r>
      <w:r w:rsidR="0028384B">
        <w:rPr>
          <w:noProof/>
        </w:rPr>
        <w:t> </w:t>
      </w:r>
      <w:r w:rsidR="0028384B" w:rsidRPr="002F16A1">
        <w:rPr>
          <w:noProof/>
        </w:rPr>
        <w:t>wym</w:t>
      </w:r>
      <w:r w:rsidR="00AD62E2" w:rsidRPr="002F16A1">
        <w:rPr>
          <w:noProof/>
        </w:rPr>
        <w:t>ienionych dyrektywach są spełnione</w:t>
      </w:r>
      <w:r w:rsidR="0028384B" w:rsidRPr="002F16A1">
        <w:rPr>
          <w:noProof/>
        </w:rPr>
        <w:t>. W</w:t>
      </w:r>
      <w:r w:rsidR="0028384B">
        <w:rPr>
          <w:noProof/>
        </w:rPr>
        <w:t> </w:t>
      </w:r>
      <w:r w:rsidR="0028384B" w:rsidRPr="002F16A1">
        <w:rPr>
          <w:noProof/>
        </w:rPr>
        <w:t>sto</w:t>
      </w:r>
      <w:r w:rsidR="00AD62E2" w:rsidRPr="002F16A1">
        <w:rPr>
          <w:noProof/>
        </w:rPr>
        <w:t xml:space="preserve">sownych przypadkach we wspomnianej indywidualnej ocenie należy uwzględnić geologiczną specyfikę miejsc wydobycia, która ogranicza wybór lokalizacji. </w:t>
      </w:r>
    </w:p>
    <w:p w:rsidR="00AD62E2" w:rsidRPr="002F16A1" w:rsidRDefault="00733965" w:rsidP="00733965">
      <w:pPr>
        <w:pStyle w:val="ManualConsidrant"/>
        <w:rPr>
          <w:noProof/>
        </w:rPr>
      </w:pPr>
      <w:r w:rsidRPr="00733965">
        <w:t>(20)</w:t>
      </w:r>
      <w:r w:rsidRPr="00733965">
        <w:tab/>
      </w:r>
      <w:r w:rsidR="00AD62E2" w:rsidRPr="002F16A1">
        <w:rPr>
          <w:noProof/>
        </w:rPr>
        <w:t>Aby zmniejszyć złożoność oraz zwiększyć skuteczność</w:t>
      </w:r>
      <w:r w:rsidR="0028384B" w:rsidRPr="002F16A1">
        <w:rPr>
          <w:noProof/>
        </w:rPr>
        <w:t xml:space="preserve"> i</w:t>
      </w:r>
      <w:r w:rsidR="0028384B">
        <w:rPr>
          <w:noProof/>
        </w:rPr>
        <w:t> </w:t>
      </w:r>
      <w:r w:rsidR="0028384B" w:rsidRPr="002F16A1">
        <w:rPr>
          <w:noProof/>
        </w:rPr>
        <w:t>prz</w:t>
      </w:r>
      <w:r w:rsidR="00AD62E2" w:rsidRPr="002F16A1">
        <w:rPr>
          <w:noProof/>
        </w:rPr>
        <w:t>ejrzystość procesu wydawania pozwoleń, promotorzy projektów dotyczących surowców krytycznych powinni mieć możliwość interakcji</w:t>
      </w:r>
      <w:r w:rsidR="0028384B" w:rsidRPr="002F16A1">
        <w:rPr>
          <w:noProof/>
        </w:rPr>
        <w:t xml:space="preserve"> z</w:t>
      </w:r>
      <w:r w:rsidR="0028384B">
        <w:rPr>
          <w:noProof/>
        </w:rPr>
        <w:t> </w:t>
      </w:r>
      <w:r w:rsidR="0028384B" w:rsidRPr="002F16A1">
        <w:rPr>
          <w:noProof/>
        </w:rPr>
        <w:t>jed</w:t>
      </w:r>
      <w:r w:rsidR="00AD62E2" w:rsidRPr="002F16A1">
        <w:rPr>
          <w:noProof/>
        </w:rPr>
        <w:t>nym organem krajowym, który odpowiada za ułatwianie</w:t>
      </w:r>
      <w:r w:rsidR="0028384B" w:rsidRPr="002F16A1">
        <w:rPr>
          <w:noProof/>
        </w:rPr>
        <w:t xml:space="preserve"> i</w:t>
      </w:r>
      <w:r w:rsidR="0028384B">
        <w:rPr>
          <w:noProof/>
        </w:rPr>
        <w:t> </w:t>
      </w:r>
      <w:r w:rsidR="0028384B" w:rsidRPr="002F16A1">
        <w:rPr>
          <w:noProof/>
        </w:rPr>
        <w:t>koo</w:t>
      </w:r>
      <w:r w:rsidR="00AD62E2" w:rsidRPr="002F16A1">
        <w:rPr>
          <w:noProof/>
        </w:rPr>
        <w:t>rdynację całego procesu wydawania pozwoleń,</w:t>
      </w:r>
      <w:r w:rsidR="0028384B" w:rsidRPr="002F16A1">
        <w:rPr>
          <w:noProof/>
        </w:rPr>
        <w:t xml:space="preserve"> a</w:t>
      </w:r>
      <w:r w:rsidR="0028384B">
        <w:rPr>
          <w:noProof/>
        </w:rPr>
        <w:t> </w:t>
      </w:r>
      <w:r w:rsidR="0028384B" w:rsidRPr="002F16A1">
        <w:rPr>
          <w:noProof/>
        </w:rPr>
        <w:t>w</w:t>
      </w:r>
      <w:r w:rsidR="0028384B">
        <w:rPr>
          <w:noProof/>
        </w:rPr>
        <w:t> </w:t>
      </w:r>
      <w:r w:rsidR="0028384B" w:rsidRPr="002F16A1">
        <w:rPr>
          <w:noProof/>
        </w:rPr>
        <w:t>prz</w:t>
      </w:r>
      <w:r w:rsidR="00AD62E2" w:rsidRPr="002F16A1">
        <w:rPr>
          <w:noProof/>
        </w:rPr>
        <w:t>ypadku projektów strategicznych wydaje kompleksową decyzję</w:t>
      </w:r>
      <w:r w:rsidR="0028384B" w:rsidRPr="002F16A1">
        <w:rPr>
          <w:noProof/>
        </w:rPr>
        <w:t xml:space="preserve"> w</w:t>
      </w:r>
      <w:r w:rsidR="0028384B">
        <w:rPr>
          <w:noProof/>
        </w:rPr>
        <w:t> </w:t>
      </w:r>
      <w:r w:rsidR="0028384B" w:rsidRPr="002F16A1">
        <w:rPr>
          <w:noProof/>
        </w:rPr>
        <w:t>prz</w:t>
      </w:r>
      <w:r w:rsidR="00AD62E2" w:rsidRPr="002F16A1">
        <w:rPr>
          <w:noProof/>
        </w:rPr>
        <w:t>ewidzianym terminie</w:t>
      </w:r>
      <w:r w:rsidR="0028384B" w:rsidRPr="002F16A1">
        <w:rPr>
          <w:noProof/>
        </w:rPr>
        <w:t>. W</w:t>
      </w:r>
      <w:r w:rsidR="0028384B">
        <w:rPr>
          <w:noProof/>
        </w:rPr>
        <w:t> </w:t>
      </w:r>
      <w:r w:rsidR="0028384B" w:rsidRPr="002F16A1">
        <w:rPr>
          <w:noProof/>
        </w:rPr>
        <w:t>tym</w:t>
      </w:r>
      <w:r w:rsidR="00AD62E2" w:rsidRPr="002F16A1">
        <w:rPr>
          <w:noProof/>
        </w:rPr>
        <w:t xml:space="preserve"> celu państwa członkowskie powinny wyznaczyć jeden właściwy organ krajowy. Jeżeli okaże się to niezbędne ze względu na wewnętrzną organizację państwa członkowskiego, powinna istnieć możliwość przekazania zadań właściwego organu krajowego innemu organowi na takich samych warunkach. Aby zapewnić skuteczne wypełnianie obowiązków właściwego organu krajowego, państwa członkowskie powinny udostępnić swojemu właściwemu organowi krajowemu lub jakiemukolwiek organowi działającemu</w:t>
      </w:r>
      <w:r w:rsidR="0028384B" w:rsidRPr="002F16A1">
        <w:rPr>
          <w:noProof/>
        </w:rPr>
        <w:t xml:space="preserve"> w</w:t>
      </w:r>
      <w:r w:rsidR="0028384B">
        <w:rPr>
          <w:noProof/>
        </w:rPr>
        <w:t> </w:t>
      </w:r>
      <w:r w:rsidR="0028384B" w:rsidRPr="002F16A1">
        <w:rPr>
          <w:noProof/>
        </w:rPr>
        <w:t>jeg</w:t>
      </w:r>
      <w:r w:rsidR="00AD62E2" w:rsidRPr="002F16A1">
        <w:rPr>
          <w:noProof/>
        </w:rPr>
        <w:t>o imieniu wystarczający personel</w:t>
      </w:r>
      <w:r w:rsidR="0028384B" w:rsidRPr="002F16A1">
        <w:rPr>
          <w:noProof/>
        </w:rPr>
        <w:t xml:space="preserve"> i</w:t>
      </w:r>
      <w:r w:rsidR="0028384B">
        <w:rPr>
          <w:noProof/>
        </w:rPr>
        <w:t> </w:t>
      </w:r>
      <w:r w:rsidR="0028384B" w:rsidRPr="002F16A1">
        <w:rPr>
          <w:noProof/>
        </w:rPr>
        <w:t>zas</w:t>
      </w:r>
      <w:r w:rsidR="00AD62E2" w:rsidRPr="002F16A1">
        <w:rPr>
          <w:noProof/>
        </w:rPr>
        <w:t>oby.</w:t>
      </w:r>
    </w:p>
    <w:p w:rsidR="00AD62E2" w:rsidRPr="002F16A1" w:rsidRDefault="00733965" w:rsidP="00733965">
      <w:pPr>
        <w:pStyle w:val="ManualConsidrant"/>
        <w:rPr>
          <w:noProof/>
        </w:rPr>
      </w:pPr>
      <w:r w:rsidRPr="00733965">
        <w:t>(21)</w:t>
      </w:r>
      <w:r w:rsidRPr="00733965">
        <w:tab/>
      </w:r>
      <w:r w:rsidR="00AD62E2" w:rsidRPr="002F16A1">
        <w:rPr>
          <w:noProof/>
        </w:rPr>
        <w:t>Aby zapewnić jasność</w:t>
      </w:r>
      <w:r w:rsidR="0028384B" w:rsidRPr="002F16A1">
        <w:rPr>
          <w:noProof/>
        </w:rPr>
        <w:t xml:space="preserve"> w</w:t>
      </w:r>
      <w:r w:rsidR="0028384B">
        <w:rPr>
          <w:noProof/>
        </w:rPr>
        <w:t> </w:t>
      </w:r>
      <w:r w:rsidR="0028384B" w:rsidRPr="002F16A1">
        <w:rPr>
          <w:noProof/>
        </w:rPr>
        <w:t>kwe</w:t>
      </w:r>
      <w:r w:rsidR="00AD62E2" w:rsidRPr="002F16A1">
        <w:rPr>
          <w:noProof/>
        </w:rPr>
        <w:t>stii statusu pozwoleń na realizację projektów strategicznych oraz ograniczyć skuteczność nieuczciwych taktyk</w:t>
      </w:r>
      <w:r w:rsidR="0028384B" w:rsidRPr="002F16A1">
        <w:rPr>
          <w:noProof/>
        </w:rPr>
        <w:t xml:space="preserve"> w</w:t>
      </w:r>
      <w:r w:rsidR="0028384B">
        <w:rPr>
          <w:noProof/>
        </w:rPr>
        <w:t> </w:t>
      </w:r>
      <w:r w:rsidR="0028384B" w:rsidRPr="002F16A1">
        <w:rPr>
          <w:noProof/>
        </w:rPr>
        <w:t>pos</w:t>
      </w:r>
      <w:r w:rsidR="00AD62E2" w:rsidRPr="002F16A1">
        <w:rPr>
          <w:noProof/>
        </w:rPr>
        <w:t>tępowaniu sądowym, nie osłabiając przy tym skutecznej kontroli sądowej, państwa członkowskie powinny dopilnować, aby wszelkie spory dotyczące procesu wydawania pozwoleń na realizację projektów strategicznych były rozstrzygane</w:t>
      </w:r>
      <w:r w:rsidR="0028384B" w:rsidRPr="002F16A1">
        <w:rPr>
          <w:noProof/>
        </w:rPr>
        <w:t xml:space="preserve"> w</w:t>
      </w:r>
      <w:r w:rsidR="0028384B">
        <w:rPr>
          <w:noProof/>
        </w:rPr>
        <w:t> </w:t>
      </w:r>
      <w:r w:rsidR="0028384B" w:rsidRPr="002F16A1">
        <w:rPr>
          <w:noProof/>
        </w:rPr>
        <w:t>odp</w:t>
      </w:r>
      <w:r w:rsidR="00AD62E2" w:rsidRPr="002F16A1">
        <w:rPr>
          <w:noProof/>
        </w:rPr>
        <w:t>owiednim czasie</w:t>
      </w:r>
      <w:r w:rsidR="0028384B" w:rsidRPr="002F16A1">
        <w:rPr>
          <w:noProof/>
        </w:rPr>
        <w:t>. W</w:t>
      </w:r>
      <w:r w:rsidR="0028384B">
        <w:rPr>
          <w:noProof/>
        </w:rPr>
        <w:t> </w:t>
      </w:r>
      <w:r w:rsidR="0028384B" w:rsidRPr="002F16A1">
        <w:rPr>
          <w:noProof/>
        </w:rPr>
        <w:t>tym</w:t>
      </w:r>
      <w:r w:rsidR="00AD62E2" w:rsidRPr="002F16A1">
        <w:rPr>
          <w:noProof/>
        </w:rPr>
        <w:t xml:space="preserve"> celu właściwe organy krajowe powinny zapewnić, aby wnioskodawcy</w:t>
      </w:r>
      <w:r w:rsidR="0028384B" w:rsidRPr="002F16A1">
        <w:rPr>
          <w:noProof/>
        </w:rPr>
        <w:t xml:space="preserve"> i</w:t>
      </w:r>
      <w:r w:rsidR="0028384B">
        <w:rPr>
          <w:noProof/>
        </w:rPr>
        <w:t> </w:t>
      </w:r>
      <w:r w:rsidR="0028384B" w:rsidRPr="002F16A1">
        <w:rPr>
          <w:noProof/>
        </w:rPr>
        <w:t>pro</w:t>
      </w:r>
      <w:r w:rsidR="00AD62E2" w:rsidRPr="002F16A1">
        <w:rPr>
          <w:noProof/>
        </w:rPr>
        <w:t>motorzy projektów mieli dostęp do prostej procedury rozstrzygania sporów oraz aby projekty strategiczne były traktowane jako pilne we wszystkich powiązanych</w:t>
      </w:r>
      <w:r w:rsidR="0028384B" w:rsidRPr="002F16A1">
        <w:rPr>
          <w:noProof/>
        </w:rPr>
        <w:t xml:space="preserve"> z</w:t>
      </w:r>
      <w:r w:rsidR="0028384B">
        <w:rPr>
          <w:noProof/>
        </w:rPr>
        <w:t> </w:t>
      </w:r>
      <w:r w:rsidR="0028384B" w:rsidRPr="002F16A1">
        <w:rPr>
          <w:noProof/>
        </w:rPr>
        <w:t>nim</w:t>
      </w:r>
      <w:r w:rsidR="00AD62E2" w:rsidRPr="002F16A1">
        <w:rPr>
          <w:noProof/>
        </w:rPr>
        <w:t>i postępowaniach sądowych</w:t>
      </w:r>
      <w:r w:rsidR="0028384B" w:rsidRPr="002F16A1">
        <w:rPr>
          <w:noProof/>
        </w:rPr>
        <w:t xml:space="preserve"> i</w:t>
      </w:r>
      <w:r w:rsidR="0028384B">
        <w:rPr>
          <w:noProof/>
        </w:rPr>
        <w:t> </w:t>
      </w:r>
      <w:r w:rsidR="0028384B" w:rsidRPr="002F16A1">
        <w:rPr>
          <w:noProof/>
        </w:rPr>
        <w:t>pro</w:t>
      </w:r>
      <w:r w:rsidR="00AD62E2" w:rsidRPr="002F16A1">
        <w:rPr>
          <w:noProof/>
        </w:rPr>
        <w:t>cedurach rozwiązywania sporów. </w:t>
      </w:r>
    </w:p>
    <w:p w:rsidR="00AD62E2" w:rsidRPr="002F16A1" w:rsidRDefault="00733965" w:rsidP="00733965">
      <w:pPr>
        <w:pStyle w:val="ManualConsidrant"/>
        <w:rPr>
          <w:noProof/>
        </w:rPr>
      </w:pPr>
      <w:r w:rsidRPr="00733965">
        <w:t>(22)</w:t>
      </w:r>
      <w:r w:rsidRPr="00733965">
        <w:tab/>
      </w:r>
      <w:r w:rsidR="00AD62E2" w:rsidRPr="002F16A1">
        <w:rPr>
          <w:noProof/>
        </w:rPr>
        <w:t>Aby umożliwić obywatelom</w:t>
      </w:r>
      <w:r w:rsidR="0028384B" w:rsidRPr="002F16A1">
        <w:rPr>
          <w:noProof/>
        </w:rPr>
        <w:t xml:space="preserve"> i</w:t>
      </w:r>
      <w:r w:rsidR="0028384B">
        <w:rPr>
          <w:noProof/>
        </w:rPr>
        <w:t> </w:t>
      </w:r>
      <w:r w:rsidR="0028384B" w:rsidRPr="002F16A1">
        <w:rPr>
          <w:noProof/>
        </w:rPr>
        <w:t>prz</w:t>
      </w:r>
      <w:r w:rsidR="00AD62E2" w:rsidRPr="002F16A1">
        <w:rPr>
          <w:noProof/>
        </w:rPr>
        <w:t>edsiębiorstwom bezpośrednie korzystanie</w:t>
      </w:r>
      <w:r w:rsidR="0028384B" w:rsidRPr="002F16A1">
        <w:rPr>
          <w:noProof/>
        </w:rPr>
        <w:t xml:space="preserve"> z</w:t>
      </w:r>
      <w:r w:rsidR="0028384B">
        <w:rPr>
          <w:noProof/>
        </w:rPr>
        <w:t> </w:t>
      </w:r>
      <w:r w:rsidR="0028384B" w:rsidRPr="002F16A1">
        <w:rPr>
          <w:noProof/>
        </w:rPr>
        <w:t>dob</w:t>
      </w:r>
      <w:r w:rsidR="00AD62E2" w:rsidRPr="002F16A1">
        <w:rPr>
          <w:noProof/>
        </w:rPr>
        <w:t>rodziejstw rynku wewnętrznego bez ponoszenia niepotrzebnego dodatkowego obciążenia administracyjnego,</w:t>
      </w:r>
      <w:r w:rsidR="0028384B" w:rsidRPr="002F16A1">
        <w:rPr>
          <w:noProof/>
        </w:rPr>
        <w:t xml:space="preserve"> w</w:t>
      </w:r>
      <w:r w:rsidR="0028384B">
        <w:rPr>
          <w:noProof/>
        </w:rPr>
        <w:t> </w:t>
      </w:r>
      <w:r w:rsidR="0028384B" w:rsidRPr="002F16A1">
        <w:rPr>
          <w:noProof/>
        </w:rPr>
        <w:t>roz</w:t>
      </w:r>
      <w:r w:rsidR="00AD62E2" w:rsidRPr="002F16A1">
        <w:rPr>
          <w:noProof/>
        </w:rPr>
        <w:t>porządzeniu Parlamentu Europejskiego</w:t>
      </w:r>
      <w:r w:rsidR="0028384B" w:rsidRPr="002F16A1">
        <w:rPr>
          <w:noProof/>
        </w:rPr>
        <w:t xml:space="preserve"> i</w:t>
      </w:r>
      <w:r w:rsidR="0028384B">
        <w:rPr>
          <w:noProof/>
        </w:rPr>
        <w:t> </w:t>
      </w:r>
      <w:r w:rsidR="0028384B" w:rsidRPr="002F16A1">
        <w:rPr>
          <w:noProof/>
        </w:rPr>
        <w:t>Rad</w:t>
      </w:r>
      <w:r w:rsidR="00AD62E2" w:rsidRPr="002F16A1">
        <w:rPr>
          <w:noProof/>
        </w:rPr>
        <w:t>y (UE) 2018/1724</w:t>
      </w:r>
      <w:r w:rsidR="00AD62E2" w:rsidRPr="002F16A1">
        <w:rPr>
          <w:rStyle w:val="FootnoteReference"/>
          <w:noProof/>
        </w:rPr>
        <w:footnoteReference w:id="41"/>
      </w:r>
      <w:r w:rsidR="00AD62E2" w:rsidRPr="002F16A1">
        <w:rPr>
          <w:noProof/>
        </w:rPr>
        <w:t>,</w:t>
      </w:r>
      <w:r w:rsidR="0028384B" w:rsidRPr="002F16A1">
        <w:rPr>
          <w:noProof/>
        </w:rPr>
        <w:t xml:space="preserve"> w</w:t>
      </w:r>
      <w:r w:rsidR="0028384B">
        <w:rPr>
          <w:noProof/>
        </w:rPr>
        <w:t> </w:t>
      </w:r>
      <w:r w:rsidR="0028384B" w:rsidRPr="002F16A1">
        <w:rPr>
          <w:noProof/>
        </w:rPr>
        <w:t>któ</w:t>
      </w:r>
      <w:r w:rsidR="00AD62E2" w:rsidRPr="002F16A1">
        <w:rPr>
          <w:noProof/>
        </w:rPr>
        <w:t>rym ustanowiono jednolity portal cyfrowy, przewidziano ogólne zasady zapewniania internetowego dostępu do informacji, procedur</w:t>
      </w:r>
      <w:r w:rsidR="0028384B" w:rsidRPr="002F16A1">
        <w:rPr>
          <w:noProof/>
        </w:rPr>
        <w:t xml:space="preserve"> i</w:t>
      </w:r>
      <w:r w:rsidR="0028384B">
        <w:rPr>
          <w:noProof/>
        </w:rPr>
        <w:t> </w:t>
      </w:r>
      <w:r w:rsidR="0028384B" w:rsidRPr="002F16A1">
        <w:rPr>
          <w:noProof/>
        </w:rPr>
        <w:t>usł</w:t>
      </w:r>
      <w:r w:rsidR="00AD62E2" w:rsidRPr="002F16A1">
        <w:rPr>
          <w:noProof/>
        </w:rPr>
        <w:t>ug wsparcia, które mają znaczenie dla funkcjonowania rynku wewnętrznego. Wymogi informacyjne</w:t>
      </w:r>
      <w:r w:rsidR="0028384B" w:rsidRPr="002F16A1">
        <w:rPr>
          <w:noProof/>
        </w:rPr>
        <w:t xml:space="preserve"> i</w:t>
      </w:r>
      <w:r w:rsidR="0028384B">
        <w:rPr>
          <w:noProof/>
        </w:rPr>
        <w:t> </w:t>
      </w:r>
      <w:r w:rsidR="0028384B" w:rsidRPr="002F16A1">
        <w:rPr>
          <w:noProof/>
        </w:rPr>
        <w:t>pro</w:t>
      </w:r>
      <w:r w:rsidR="00AD62E2" w:rsidRPr="002F16A1">
        <w:rPr>
          <w:noProof/>
        </w:rPr>
        <w:t>cedury objęte niniejszym rozporządzeniem powinny być zgodne</w:t>
      </w:r>
      <w:r w:rsidR="0028384B" w:rsidRPr="002F16A1">
        <w:rPr>
          <w:noProof/>
        </w:rPr>
        <w:t xml:space="preserve"> z</w:t>
      </w:r>
      <w:r w:rsidR="0028384B">
        <w:rPr>
          <w:noProof/>
        </w:rPr>
        <w:t> </w:t>
      </w:r>
      <w:r w:rsidR="0028384B" w:rsidRPr="002F16A1">
        <w:rPr>
          <w:noProof/>
        </w:rPr>
        <w:t>wym</w:t>
      </w:r>
      <w:r w:rsidR="00AD62E2" w:rsidRPr="002F16A1">
        <w:rPr>
          <w:noProof/>
        </w:rPr>
        <w:t>ogami rozporządzenia (UE) 2018/1724</w:t>
      </w:r>
      <w:r w:rsidR="0028384B" w:rsidRPr="002F16A1">
        <w:rPr>
          <w:noProof/>
        </w:rPr>
        <w:t>. W</w:t>
      </w:r>
      <w:r w:rsidR="0028384B">
        <w:rPr>
          <w:noProof/>
        </w:rPr>
        <w:t> </w:t>
      </w:r>
      <w:r w:rsidR="0028384B" w:rsidRPr="002F16A1">
        <w:rPr>
          <w:noProof/>
        </w:rPr>
        <w:t>szc</w:t>
      </w:r>
      <w:r w:rsidR="00AD62E2" w:rsidRPr="002F16A1">
        <w:rPr>
          <w:noProof/>
        </w:rPr>
        <w:t>zególności należy zapewnić, aby promotorzy projektów strategicznych mieli pełny dostęp online do wszelkich procedur związanych</w:t>
      </w:r>
      <w:r w:rsidR="0028384B" w:rsidRPr="002F16A1">
        <w:rPr>
          <w:noProof/>
        </w:rPr>
        <w:t xml:space="preserve"> z</w:t>
      </w:r>
      <w:r w:rsidR="0028384B">
        <w:rPr>
          <w:noProof/>
        </w:rPr>
        <w:t> </w:t>
      </w:r>
      <w:r w:rsidR="0028384B" w:rsidRPr="002F16A1">
        <w:rPr>
          <w:noProof/>
        </w:rPr>
        <w:t>pro</w:t>
      </w:r>
      <w:r w:rsidR="00AD62E2" w:rsidRPr="002F16A1">
        <w:rPr>
          <w:noProof/>
        </w:rPr>
        <w:t>cesem wydawania pozwoleń oraz mogli przeprowadzać te procedury również</w:t>
      </w:r>
      <w:r w:rsidR="0028384B" w:rsidRPr="002F16A1">
        <w:rPr>
          <w:noProof/>
        </w:rPr>
        <w:t xml:space="preserve"> w</w:t>
      </w:r>
      <w:r w:rsidR="0028384B">
        <w:rPr>
          <w:noProof/>
        </w:rPr>
        <w:t> </w:t>
      </w:r>
      <w:r w:rsidR="0028384B" w:rsidRPr="002F16A1">
        <w:rPr>
          <w:noProof/>
        </w:rPr>
        <w:t>peł</w:t>
      </w:r>
      <w:r w:rsidR="00AD62E2" w:rsidRPr="002F16A1">
        <w:rPr>
          <w:noProof/>
        </w:rPr>
        <w:t>ni online,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6</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28384B" w:rsidRPr="002F16A1">
        <w:rPr>
          <w:noProof/>
        </w:rPr>
        <w:t xml:space="preserve"> i</w:t>
      </w:r>
      <w:r w:rsidR="0028384B">
        <w:rPr>
          <w:noProof/>
        </w:rPr>
        <w:t> </w:t>
      </w:r>
      <w:r w:rsidR="0028384B" w:rsidRPr="002F16A1">
        <w:rPr>
          <w:noProof/>
        </w:rPr>
        <w:t>zał</w:t>
      </w:r>
      <w:r w:rsidR="00AD62E2" w:rsidRPr="002F16A1">
        <w:rPr>
          <w:noProof/>
        </w:rPr>
        <w:t>ącznikiem II do rozporządzenia (UE) 2018/1724. </w:t>
      </w:r>
    </w:p>
    <w:p w:rsidR="00AD62E2" w:rsidRPr="002F16A1" w:rsidRDefault="00733965" w:rsidP="00733965">
      <w:pPr>
        <w:pStyle w:val="ManualConsidrant"/>
        <w:rPr>
          <w:noProof/>
        </w:rPr>
      </w:pPr>
      <w:r w:rsidRPr="00733965">
        <w:t>(23)</w:t>
      </w:r>
      <w:r w:rsidRPr="00733965">
        <w:tab/>
      </w:r>
      <w:r w:rsidR="00AD62E2" w:rsidRPr="002F16A1">
        <w:rPr>
          <w:noProof/>
        </w:rPr>
        <w:t>Aby zapewnić promotorom projektów</w:t>
      </w:r>
      <w:r w:rsidR="0028384B" w:rsidRPr="002F16A1">
        <w:rPr>
          <w:noProof/>
        </w:rPr>
        <w:t xml:space="preserve"> i</w:t>
      </w:r>
      <w:r w:rsidR="0028384B">
        <w:rPr>
          <w:noProof/>
        </w:rPr>
        <w:t> </w:t>
      </w:r>
      <w:r w:rsidR="0028384B" w:rsidRPr="002F16A1">
        <w:rPr>
          <w:noProof/>
        </w:rPr>
        <w:t>inn</w:t>
      </w:r>
      <w:r w:rsidR="00AD62E2" w:rsidRPr="002F16A1">
        <w:rPr>
          <w:noProof/>
        </w:rPr>
        <w:t>ym inwestorom bezpieczeństwo</w:t>
      </w:r>
      <w:r w:rsidR="0028384B" w:rsidRPr="002F16A1">
        <w:rPr>
          <w:noProof/>
        </w:rPr>
        <w:t xml:space="preserve"> i</w:t>
      </w:r>
      <w:r w:rsidR="0028384B">
        <w:rPr>
          <w:noProof/>
        </w:rPr>
        <w:t> </w:t>
      </w:r>
      <w:r w:rsidR="0028384B" w:rsidRPr="002F16A1">
        <w:rPr>
          <w:noProof/>
        </w:rPr>
        <w:t>jas</w:t>
      </w:r>
      <w:r w:rsidR="00AD62E2" w:rsidRPr="002F16A1">
        <w:rPr>
          <w:noProof/>
        </w:rPr>
        <w:t>ność, które są niezbędne do lepszego rozwoju projektu strategicznego, państwa członkowskie powinny dopilnować, aby czas trwania procesu wydawania pozwoleń powiązanego</w:t>
      </w:r>
      <w:r w:rsidR="0028384B" w:rsidRPr="002F16A1">
        <w:rPr>
          <w:noProof/>
        </w:rPr>
        <w:t xml:space="preserve"> z</w:t>
      </w:r>
      <w:r w:rsidR="0028384B">
        <w:rPr>
          <w:noProof/>
        </w:rPr>
        <w:t> </w:t>
      </w:r>
      <w:r w:rsidR="0028384B" w:rsidRPr="002F16A1">
        <w:rPr>
          <w:noProof/>
        </w:rPr>
        <w:t>tak</w:t>
      </w:r>
      <w:r w:rsidR="00AD62E2" w:rsidRPr="002F16A1">
        <w:rPr>
          <w:noProof/>
        </w:rPr>
        <w:t>imi projektami nie przekraczał ustalonych ram czasowych</w:t>
      </w:r>
      <w:r w:rsidR="0028384B" w:rsidRPr="002F16A1">
        <w:rPr>
          <w:noProof/>
        </w:rPr>
        <w:t>. W</w:t>
      </w:r>
      <w:r w:rsidR="0028384B">
        <w:rPr>
          <w:noProof/>
        </w:rPr>
        <w:t> </w:t>
      </w:r>
      <w:r w:rsidR="0028384B" w:rsidRPr="002F16A1">
        <w:rPr>
          <w:noProof/>
        </w:rPr>
        <w:t>prz</w:t>
      </w:r>
      <w:r w:rsidR="00AD62E2" w:rsidRPr="002F16A1">
        <w:rPr>
          <w:noProof/>
        </w:rPr>
        <w:t>ypadku projektów strategicznych dotyczących wyłącznie przetwarzania lub recyklingu czas trwania procesu wydawania pozwoleń nie powinien przekraczać jednego roku</w:t>
      </w:r>
      <w:r w:rsidR="0028384B" w:rsidRPr="002F16A1">
        <w:rPr>
          <w:noProof/>
        </w:rPr>
        <w:t>. Z</w:t>
      </w:r>
      <w:r w:rsidR="0028384B">
        <w:rPr>
          <w:noProof/>
        </w:rPr>
        <w:t> </w:t>
      </w:r>
      <w:r w:rsidR="0028384B" w:rsidRPr="002F16A1">
        <w:rPr>
          <w:noProof/>
        </w:rPr>
        <w:t>kol</w:t>
      </w:r>
      <w:r w:rsidR="00AD62E2" w:rsidRPr="002F16A1">
        <w:rPr>
          <w:noProof/>
        </w:rPr>
        <w:t>ei</w:t>
      </w:r>
      <w:r w:rsidR="0028384B" w:rsidRPr="002F16A1">
        <w:rPr>
          <w:noProof/>
        </w:rPr>
        <w:t xml:space="preserve"> w</w:t>
      </w:r>
      <w:r w:rsidR="0028384B">
        <w:rPr>
          <w:noProof/>
        </w:rPr>
        <w:t> </w:t>
      </w:r>
      <w:r w:rsidR="0028384B" w:rsidRPr="002F16A1">
        <w:rPr>
          <w:noProof/>
        </w:rPr>
        <w:t>prz</w:t>
      </w:r>
      <w:r w:rsidR="00AD62E2" w:rsidRPr="002F16A1">
        <w:rPr>
          <w:noProof/>
        </w:rPr>
        <w:t>ypadku projektów strategicznych obejmujących wydobycie czas trwania procesu wydawania pozwoleń, przy uwzględnieniu złożoności projektu</w:t>
      </w:r>
      <w:r w:rsidR="0028384B" w:rsidRPr="002F16A1">
        <w:rPr>
          <w:noProof/>
        </w:rPr>
        <w:t xml:space="preserve"> i</w:t>
      </w:r>
      <w:r w:rsidR="0028384B">
        <w:rPr>
          <w:noProof/>
        </w:rPr>
        <w:t> </w:t>
      </w:r>
      <w:r w:rsidR="0028384B" w:rsidRPr="002F16A1">
        <w:rPr>
          <w:noProof/>
        </w:rPr>
        <w:t>zak</w:t>
      </w:r>
      <w:r w:rsidR="00AD62E2" w:rsidRPr="002F16A1">
        <w:rPr>
          <w:noProof/>
        </w:rPr>
        <w:t>resu potencjalnych skutków, nie powinien przekraczać dwóch lat. Aby skutecznie przestrzegać tych limitów czasowych, państwa członkowskie powinny zapewnić, aby ich odpowiedzialne organy dysponowały wystarczającymi zasobami</w:t>
      </w:r>
      <w:r w:rsidR="0028384B" w:rsidRPr="002F16A1">
        <w:rPr>
          <w:noProof/>
        </w:rPr>
        <w:t xml:space="preserve"> i</w:t>
      </w:r>
      <w:r w:rsidR="0028384B">
        <w:rPr>
          <w:noProof/>
        </w:rPr>
        <w:t> </w:t>
      </w:r>
      <w:r w:rsidR="0028384B" w:rsidRPr="002F16A1">
        <w:rPr>
          <w:noProof/>
        </w:rPr>
        <w:t>per</w:t>
      </w:r>
      <w:r w:rsidR="00AD62E2" w:rsidRPr="002F16A1">
        <w:rPr>
          <w:noProof/>
        </w:rPr>
        <w:t>sonelem. Za pomocą Instrumentu Wsparcia Technicznego Komisja wspiera państwa członkowskie na ich wniosek</w:t>
      </w:r>
      <w:r w:rsidR="0028384B" w:rsidRPr="002F16A1">
        <w:rPr>
          <w:noProof/>
        </w:rPr>
        <w:t xml:space="preserve"> w</w:t>
      </w:r>
      <w:r w:rsidR="0028384B">
        <w:rPr>
          <w:noProof/>
        </w:rPr>
        <w:t> </w:t>
      </w:r>
      <w:r w:rsidR="0028384B" w:rsidRPr="002F16A1">
        <w:rPr>
          <w:noProof/>
        </w:rPr>
        <w:t>opr</w:t>
      </w:r>
      <w:r w:rsidR="00AD62E2" w:rsidRPr="002F16A1">
        <w:rPr>
          <w:noProof/>
        </w:rPr>
        <w:t>acowywaniu, rozwijaniu</w:t>
      </w:r>
      <w:r w:rsidR="0028384B" w:rsidRPr="002F16A1">
        <w:rPr>
          <w:noProof/>
        </w:rPr>
        <w:t xml:space="preserve"> i</w:t>
      </w:r>
      <w:r w:rsidR="0028384B">
        <w:rPr>
          <w:noProof/>
        </w:rPr>
        <w:t> </w:t>
      </w:r>
      <w:r w:rsidR="0028384B" w:rsidRPr="002F16A1">
        <w:rPr>
          <w:noProof/>
        </w:rPr>
        <w:t>wdr</w:t>
      </w:r>
      <w:r w:rsidR="00AD62E2" w:rsidRPr="002F16A1">
        <w:rPr>
          <w:noProof/>
        </w:rPr>
        <w:t>ażaniu reform obejmujących zwiększenie potencjału administracyjnego związanego</w:t>
      </w:r>
      <w:r w:rsidR="0028384B" w:rsidRPr="002F16A1">
        <w:rPr>
          <w:noProof/>
        </w:rPr>
        <w:t xml:space="preserve"> z</w:t>
      </w:r>
      <w:r w:rsidR="0028384B">
        <w:rPr>
          <w:noProof/>
        </w:rPr>
        <w:t> </w:t>
      </w:r>
      <w:r w:rsidR="0028384B" w:rsidRPr="002F16A1">
        <w:rPr>
          <w:noProof/>
        </w:rPr>
        <w:t>wyd</w:t>
      </w:r>
      <w:r w:rsidR="00AD62E2" w:rsidRPr="002F16A1">
        <w:rPr>
          <w:noProof/>
        </w:rPr>
        <w:t>awaniem pozwoleń krajowych.</w:t>
      </w:r>
    </w:p>
    <w:p w:rsidR="00AD62E2" w:rsidRPr="002F16A1" w:rsidRDefault="00733965" w:rsidP="00733965">
      <w:pPr>
        <w:pStyle w:val="ManualConsidrant"/>
        <w:rPr>
          <w:noProof/>
        </w:rPr>
      </w:pPr>
      <w:r w:rsidRPr="00733965">
        <w:t>(24)</w:t>
      </w:r>
      <w:r w:rsidRPr="00733965">
        <w:tab/>
      </w:r>
      <w:r w:rsidR="00AD62E2" w:rsidRPr="002F16A1">
        <w:rPr>
          <w:noProof/>
        </w:rPr>
        <w:t>Oceny wpływu na środowisko</w:t>
      </w:r>
      <w:r w:rsidR="0028384B" w:rsidRPr="002F16A1">
        <w:rPr>
          <w:noProof/>
        </w:rPr>
        <w:t xml:space="preserve"> i</w:t>
      </w:r>
      <w:r w:rsidR="0028384B">
        <w:rPr>
          <w:noProof/>
        </w:rPr>
        <w:t> </w:t>
      </w:r>
      <w:r w:rsidR="0028384B" w:rsidRPr="002F16A1">
        <w:rPr>
          <w:noProof/>
        </w:rPr>
        <w:t>poz</w:t>
      </w:r>
      <w:r w:rsidR="00AD62E2" w:rsidRPr="002F16A1">
        <w:rPr>
          <w:noProof/>
        </w:rPr>
        <w:t>wolenia wymagane na mocy prawa Unii,</w:t>
      </w:r>
      <w:r w:rsidR="0028384B" w:rsidRPr="002F16A1">
        <w:rPr>
          <w:noProof/>
        </w:rPr>
        <w:t xml:space="preserve"> w</w:t>
      </w:r>
      <w:r w:rsidR="0028384B">
        <w:rPr>
          <w:noProof/>
        </w:rPr>
        <w:t> </w:t>
      </w:r>
      <w:r w:rsidR="0028384B" w:rsidRPr="002F16A1">
        <w:rPr>
          <w:noProof/>
        </w:rPr>
        <w:t>tym</w:t>
      </w:r>
      <w:r w:rsidR="00AD62E2" w:rsidRPr="002F16A1">
        <w:rPr>
          <w:noProof/>
        </w:rPr>
        <w:t xml:space="preserve"> dotyczące wody, siedlisk</w:t>
      </w:r>
      <w:r w:rsidR="0028384B" w:rsidRPr="002F16A1">
        <w:rPr>
          <w:noProof/>
        </w:rPr>
        <w:t xml:space="preserve"> i</w:t>
      </w:r>
      <w:r w:rsidR="0028384B">
        <w:rPr>
          <w:noProof/>
        </w:rPr>
        <w:t> </w:t>
      </w:r>
      <w:r w:rsidR="0028384B" w:rsidRPr="002F16A1">
        <w:rPr>
          <w:noProof/>
        </w:rPr>
        <w:t>pta</w:t>
      </w:r>
      <w:r w:rsidR="00AD62E2" w:rsidRPr="002F16A1">
        <w:rPr>
          <w:noProof/>
        </w:rPr>
        <w:t>ków, są integralną częścią procesu wydawania pozwoleń na realizację projektów dotyczących surowców, jak również stanowią niezbędne zabezpieczenie, które zapobiega negatywnemu wpływowi na środowisko lub go ogranicza. Aby zapewnić przewidywalność</w:t>
      </w:r>
      <w:r w:rsidR="0028384B" w:rsidRPr="002F16A1">
        <w:rPr>
          <w:noProof/>
        </w:rPr>
        <w:t xml:space="preserve"> i</w:t>
      </w:r>
      <w:r w:rsidR="0028384B">
        <w:rPr>
          <w:noProof/>
        </w:rPr>
        <w:t> </w:t>
      </w:r>
      <w:r w:rsidR="0028384B" w:rsidRPr="002F16A1">
        <w:rPr>
          <w:noProof/>
        </w:rPr>
        <w:t>odp</w:t>
      </w:r>
      <w:r w:rsidR="00AD62E2" w:rsidRPr="002F16A1">
        <w:rPr>
          <w:noProof/>
        </w:rPr>
        <w:t>owiedni czas trwania procesów wydawania pozwoleń na realizację projektów strategicznych, należy wykorzystać jednak wszelkie możliwości usprawnienia wymaganych ocen</w:t>
      </w:r>
      <w:r w:rsidR="0028384B" w:rsidRPr="002F16A1">
        <w:rPr>
          <w:noProof/>
        </w:rPr>
        <w:t xml:space="preserve"> i</w:t>
      </w:r>
      <w:r w:rsidR="0028384B">
        <w:rPr>
          <w:noProof/>
        </w:rPr>
        <w:t> </w:t>
      </w:r>
      <w:r w:rsidR="0028384B" w:rsidRPr="002F16A1">
        <w:rPr>
          <w:noProof/>
        </w:rPr>
        <w:t>poz</w:t>
      </w:r>
      <w:r w:rsidR="00AD62E2" w:rsidRPr="002F16A1">
        <w:rPr>
          <w:noProof/>
        </w:rPr>
        <w:t>woleń, nie obniżając przy tym poziomu ochrony środowiska</w:t>
      </w:r>
      <w:r w:rsidR="0028384B" w:rsidRPr="002F16A1">
        <w:rPr>
          <w:noProof/>
        </w:rPr>
        <w:t>. W</w:t>
      </w:r>
      <w:r w:rsidR="0028384B">
        <w:rPr>
          <w:noProof/>
        </w:rPr>
        <w:t> </w:t>
      </w:r>
      <w:r w:rsidR="0028384B" w:rsidRPr="002F16A1">
        <w:rPr>
          <w:noProof/>
        </w:rPr>
        <w:t>tym</w:t>
      </w:r>
      <w:r w:rsidR="00AD62E2" w:rsidRPr="002F16A1">
        <w:rPr>
          <w:noProof/>
        </w:rPr>
        <w:t xml:space="preserve"> kontekście należy zapewnić, aby niezbędne oceny były ze sobą odpowiednio powiązane, co pozwoli zapobiec ich niepotrzebnemu powielaniu,</w:t>
      </w:r>
      <w:r w:rsidR="0028384B" w:rsidRPr="002F16A1">
        <w:rPr>
          <w:noProof/>
        </w:rPr>
        <w:t xml:space="preserve"> a</w:t>
      </w:r>
      <w:r w:rsidR="0028384B">
        <w:rPr>
          <w:noProof/>
        </w:rPr>
        <w:t> </w:t>
      </w:r>
      <w:r w:rsidR="0028384B" w:rsidRPr="002F16A1">
        <w:rPr>
          <w:noProof/>
        </w:rPr>
        <w:t>tak</w:t>
      </w:r>
      <w:r w:rsidR="00AD62E2" w:rsidRPr="002F16A1">
        <w:rPr>
          <w:noProof/>
        </w:rPr>
        <w:t>że dopilnować, aby promotorzy projektów</w:t>
      </w:r>
      <w:r w:rsidR="0028384B" w:rsidRPr="002F16A1">
        <w:rPr>
          <w:noProof/>
        </w:rPr>
        <w:t xml:space="preserve"> i</w:t>
      </w:r>
      <w:r w:rsidR="0028384B">
        <w:rPr>
          <w:noProof/>
        </w:rPr>
        <w:t> </w:t>
      </w:r>
      <w:r w:rsidR="0028384B" w:rsidRPr="002F16A1">
        <w:rPr>
          <w:noProof/>
        </w:rPr>
        <w:t>odp</w:t>
      </w:r>
      <w:r w:rsidR="00AD62E2" w:rsidRPr="002F16A1">
        <w:rPr>
          <w:noProof/>
        </w:rPr>
        <w:t>owiedzialne organy wyraźnie zaakceptowały zakres takiej kompleksowej oceny przed jej przeprowadzeniem, aby uniknąć zbędnych działań następczych. </w:t>
      </w:r>
    </w:p>
    <w:p w:rsidR="00AD62E2" w:rsidRPr="002F16A1" w:rsidRDefault="00733965" w:rsidP="00733965">
      <w:pPr>
        <w:pStyle w:val="ManualConsidrant"/>
        <w:rPr>
          <w:noProof/>
        </w:rPr>
      </w:pPr>
      <w:r w:rsidRPr="00733965">
        <w:t>(25)</w:t>
      </w:r>
      <w:r w:rsidRPr="00733965">
        <w:tab/>
      </w:r>
      <w:r w:rsidR="00AD62E2" w:rsidRPr="002F16A1">
        <w:rPr>
          <w:noProof/>
        </w:rPr>
        <w:t>Przeszkodami</w:t>
      </w:r>
      <w:r w:rsidR="0028384B" w:rsidRPr="002F16A1">
        <w:rPr>
          <w:noProof/>
        </w:rPr>
        <w:t xml:space="preserve"> w</w:t>
      </w:r>
      <w:r w:rsidR="0028384B">
        <w:rPr>
          <w:noProof/>
        </w:rPr>
        <w:t> </w:t>
      </w:r>
      <w:r w:rsidR="0028384B" w:rsidRPr="002F16A1">
        <w:rPr>
          <w:noProof/>
        </w:rPr>
        <w:t>rea</w:t>
      </w:r>
      <w:r w:rsidR="00AD62E2" w:rsidRPr="002F16A1">
        <w:rPr>
          <w:noProof/>
        </w:rPr>
        <w:t>lizacji projektów</w:t>
      </w:r>
      <w:r w:rsidR="0028384B" w:rsidRPr="002F16A1">
        <w:rPr>
          <w:noProof/>
        </w:rPr>
        <w:t xml:space="preserve"> w</w:t>
      </w:r>
      <w:r w:rsidR="0028384B">
        <w:rPr>
          <w:noProof/>
        </w:rPr>
        <w:t> </w:t>
      </w:r>
      <w:r w:rsidR="0028384B" w:rsidRPr="002F16A1">
        <w:rPr>
          <w:noProof/>
        </w:rPr>
        <w:t>zak</w:t>
      </w:r>
      <w:r w:rsidR="00AD62E2" w:rsidRPr="002F16A1">
        <w:rPr>
          <w:noProof/>
        </w:rPr>
        <w:t>resie surowców krytycznych mogą być konflikty związane</w:t>
      </w:r>
      <w:r w:rsidR="0028384B" w:rsidRPr="002F16A1">
        <w:rPr>
          <w:noProof/>
        </w:rPr>
        <w:t xml:space="preserve"> z</w:t>
      </w:r>
      <w:r w:rsidR="0028384B">
        <w:rPr>
          <w:noProof/>
        </w:rPr>
        <w:t> </w:t>
      </w:r>
      <w:r w:rsidR="0028384B" w:rsidRPr="002F16A1">
        <w:rPr>
          <w:noProof/>
        </w:rPr>
        <w:t>uży</w:t>
      </w:r>
      <w:r w:rsidR="00AD62E2" w:rsidRPr="002F16A1">
        <w:rPr>
          <w:noProof/>
        </w:rPr>
        <w:t>tkowaniem gruntów. Dobrze opracowane plany,</w:t>
      </w:r>
      <w:r w:rsidR="0028384B" w:rsidRPr="002F16A1">
        <w:rPr>
          <w:noProof/>
        </w:rPr>
        <w:t xml:space="preserve"> w</w:t>
      </w:r>
      <w:r w:rsidR="0028384B">
        <w:rPr>
          <w:noProof/>
        </w:rPr>
        <w:t> </w:t>
      </w:r>
      <w:r w:rsidR="0028384B" w:rsidRPr="002F16A1">
        <w:rPr>
          <w:noProof/>
        </w:rPr>
        <w:t>tym</w:t>
      </w:r>
      <w:r w:rsidR="00AD62E2" w:rsidRPr="002F16A1">
        <w:rPr>
          <w:noProof/>
        </w:rPr>
        <w:t xml:space="preserve"> plany zagospodarowania przestrzennego</w:t>
      </w:r>
      <w:r w:rsidR="0028384B" w:rsidRPr="002F16A1">
        <w:rPr>
          <w:noProof/>
        </w:rPr>
        <w:t xml:space="preserve"> i</w:t>
      </w:r>
      <w:r w:rsidR="0028384B">
        <w:rPr>
          <w:noProof/>
        </w:rPr>
        <w:t> </w:t>
      </w:r>
      <w:r w:rsidR="0028384B" w:rsidRPr="002F16A1">
        <w:rPr>
          <w:noProof/>
        </w:rPr>
        <w:t>pod</w:t>
      </w:r>
      <w:r w:rsidR="00AD62E2" w:rsidRPr="002F16A1">
        <w:rPr>
          <w:noProof/>
        </w:rPr>
        <w:t>ziału na strefy,</w:t>
      </w:r>
      <w:r w:rsidR="0028384B" w:rsidRPr="002F16A1">
        <w:rPr>
          <w:noProof/>
        </w:rPr>
        <w:t xml:space="preserve"> w</w:t>
      </w:r>
      <w:r w:rsidR="0028384B">
        <w:rPr>
          <w:noProof/>
        </w:rPr>
        <w:t> </w:t>
      </w:r>
      <w:r w:rsidR="0028384B" w:rsidRPr="002F16A1">
        <w:rPr>
          <w:noProof/>
        </w:rPr>
        <w:t>któ</w:t>
      </w:r>
      <w:r w:rsidR="00AD62E2" w:rsidRPr="002F16A1">
        <w:rPr>
          <w:noProof/>
        </w:rPr>
        <w:t>rych to planach uwzględniono możliwości wdrożenia projektów dotyczących surowców krytycznych</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odn</w:t>
      </w:r>
      <w:r w:rsidR="00AD62E2" w:rsidRPr="002F16A1">
        <w:rPr>
          <w:noProof/>
        </w:rPr>
        <w:t>iesieniu do których oceniono potencjalny wpływ na środowisko, mogą pomóc</w:t>
      </w:r>
      <w:r w:rsidR="0028384B" w:rsidRPr="002F16A1">
        <w:rPr>
          <w:noProof/>
        </w:rPr>
        <w:t xml:space="preserve"> w</w:t>
      </w:r>
      <w:r w:rsidR="0028384B">
        <w:rPr>
          <w:noProof/>
        </w:rPr>
        <w:t> </w:t>
      </w:r>
      <w:r w:rsidR="0028384B" w:rsidRPr="002F16A1">
        <w:rPr>
          <w:noProof/>
        </w:rPr>
        <w:t>zap</w:t>
      </w:r>
      <w:r w:rsidR="00AD62E2" w:rsidRPr="002F16A1">
        <w:rPr>
          <w:noProof/>
        </w:rPr>
        <w:t>ewnieniu równowagi między dobrami publicznymi</w:t>
      </w:r>
      <w:r w:rsidR="0028384B" w:rsidRPr="002F16A1">
        <w:rPr>
          <w:noProof/>
        </w:rPr>
        <w:t xml:space="preserve"> i</w:t>
      </w:r>
      <w:r w:rsidR="0028384B">
        <w:rPr>
          <w:noProof/>
        </w:rPr>
        <w:t> </w:t>
      </w:r>
      <w:r w:rsidR="0028384B" w:rsidRPr="002F16A1">
        <w:rPr>
          <w:noProof/>
        </w:rPr>
        <w:t>int</w:t>
      </w:r>
      <w:r w:rsidR="00AD62E2" w:rsidRPr="002F16A1">
        <w:rPr>
          <w:noProof/>
        </w:rPr>
        <w:t>eresami publicznymi, zmniejszając jednocześnie ryzyko konfliktu</w:t>
      </w:r>
      <w:r w:rsidR="0028384B" w:rsidRPr="002F16A1">
        <w:rPr>
          <w:noProof/>
        </w:rPr>
        <w:t xml:space="preserve"> i</w:t>
      </w:r>
      <w:r w:rsidR="0028384B">
        <w:rPr>
          <w:noProof/>
        </w:rPr>
        <w:t> </w:t>
      </w:r>
      <w:r w:rsidR="0028384B" w:rsidRPr="002F16A1">
        <w:rPr>
          <w:noProof/>
        </w:rPr>
        <w:t>prz</w:t>
      </w:r>
      <w:r w:rsidR="00AD62E2" w:rsidRPr="002F16A1">
        <w:rPr>
          <w:noProof/>
        </w:rPr>
        <w:t>yspieszając zrównoważoną realizację projektów</w:t>
      </w:r>
      <w:r w:rsidR="0028384B" w:rsidRPr="002F16A1">
        <w:rPr>
          <w:noProof/>
        </w:rPr>
        <w:t xml:space="preserve"> w</w:t>
      </w:r>
      <w:r w:rsidR="0028384B">
        <w:rPr>
          <w:noProof/>
        </w:rPr>
        <w:t> </w:t>
      </w:r>
      <w:r w:rsidR="0028384B" w:rsidRPr="002F16A1">
        <w:rPr>
          <w:noProof/>
        </w:rPr>
        <w:t>zak</w:t>
      </w:r>
      <w:r w:rsidR="00AD62E2" w:rsidRPr="002F16A1">
        <w:rPr>
          <w:noProof/>
        </w:rPr>
        <w:t>resie surowców</w:t>
      </w:r>
      <w:r w:rsidR="0028384B" w:rsidRPr="002F16A1">
        <w:rPr>
          <w:noProof/>
        </w:rPr>
        <w:t xml:space="preserve"> w</w:t>
      </w:r>
      <w:r w:rsidR="0028384B">
        <w:rPr>
          <w:noProof/>
        </w:rPr>
        <w:t> </w:t>
      </w:r>
      <w:r w:rsidR="0028384B" w:rsidRPr="002F16A1">
        <w:rPr>
          <w:noProof/>
        </w:rPr>
        <w:t>Uni</w:t>
      </w:r>
      <w:r w:rsidR="00AD62E2" w:rsidRPr="002F16A1">
        <w:rPr>
          <w:noProof/>
        </w:rPr>
        <w:t>i. Odpowiedzialne organy krajowe, regionalne</w:t>
      </w:r>
      <w:r w:rsidR="0028384B" w:rsidRPr="002F16A1">
        <w:rPr>
          <w:noProof/>
        </w:rPr>
        <w:t xml:space="preserve"> i</w:t>
      </w:r>
      <w:r w:rsidR="0028384B">
        <w:rPr>
          <w:noProof/>
        </w:rPr>
        <w:t> </w:t>
      </w:r>
      <w:r w:rsidR="0028384B" w:rsidRPr="002F16A1">
        <w:rPr>
          <w:noProof/>
        </w:rPr>
        <w:t>lok</w:t>
      </w:r>
      <w:r w:rsidR="00AD62E2" w:rsidRPr="002F16A1">
        <w:rPr>
          <w:noProof/>
        </w:rPr>
        <w:t>alne powinny zatem rozważyć uwzględnienie przepisów obowiązujących</w:t>
      </w:r>
      <w:r w:rsidR="0028384B" w:rsidRPr="002F16A1">
        <w:rPr>
          <w:noProof/>
        </w:rPr>
        <w:t xml:space="preserve"> w</w:t>
      </w:r>
      <w:r w:rsidR="0028384B">
        <w:rPr>
          <w:noProof/>
        </w:rPr>
        <w:t> </w:t>
      </w:r>
      <w:r w:rsidR="0028384B" w:rsidRPr="002F16A1">
        <w:rPr>
          <w:noProof/>
        </w:rPr>
        <w:t>odn</w:t>
      </w:r>
      <w:r w:rsidR="00AD62E2" w:rsidRPr="002F16A1">
        <w:rPr>
          <w:noProof/>
        </w:rPr>
        <w:t>iesieniu do projektów dotyczących surowców podczas opracowywania wspomnianych planów. </w:t>
      </w:r>
    </w:p>
    <w:p w:rsidR="00AD62E2" w:rsidRPr="002F16A1" w:rsidRDefault="00733965" w:rsidP="00733965">
      <w:pPr>
        <w:pStyle w:val="ManualConsidrant"/>
        <w:rPr>
          <w:rFonts w:eastAsia="Times New Roman"/>
          <w:noProof/>
        </w:rPr>
      </w:pPr>
      <w:r w:rsidRPr="00733965">
        <w:t>(26)</w:t>
      </w:r>
      <w:r w:rsidRPr="00733965">
        <w:tab/>
      </w:r>
      <w:r w:rsidR="00AD62E2" w:rsidRPr="002F16A1">
        <w:rPr>
          <w:noProof/>
        </w:rPr>
        <w:t>W ramach realizowanych na terenie Unii projektów dotyczących surowców krytycznych często występują trudności</w:t>
      </w:r>
      <w:r w:rsidR="0028384B" w:rsidRPr="002F16A1">
        <w:rPr>
          <w:noProof/>
        </w:rPr>
        <w:t xml:space="preserve"> z</w:t>
      </w:r>
      <w:r w:rsidR="0028384B">
        <w:rPr>
          <w:noProof/>
        </w:rPr>
        <w:t> </w:t>
      </w:r>
      <w:r w:rsidR="0028384B" w:rsidRPr="002F16A1">
        <w:rPr>
          <w:noProof/>
        </w:rPr>
        <w:t>dos</w:t>
      </w:r>
      <w:r w:rsidR="00AD62E2" w:rsidRPr="002F16A1">
        <w:rPr>
          <w:noProof/>
        </w:rPr>
        <w:t>tępem do finansowania. Rynki surowców krytycznych często charakteryzują się wysoką zmiennością cen, długimi terminami, wysoką koncentracją</w:t>
      </w:r>
      <w:r w:rsidR="0028384B" w:rsidRPr="002F16A1">
        <w:rPr>
          <w:noProof/>
        </w:rPr>
        <w:t xml:space="preserve"> i</w:t>
      </w:r>
      <w:r w:rsidR="0028384B">
        <w:rPr>
          <w:noProof/>
        </w:rPr>
        <w:t> </w:t>
      </w:r>
      <w:r w:rsidR="0028384B" w:rsidRPr="002F16A1">
        <w:rPr>
          <w:noProof/>
        </w:rPr>
        <w:t>bra</w:t>
      </w:r>
      <w:r w:rsidR="00AD62E2" w:rsidRPr="002F16A1">
        <w:rPr>
          <w:noProof/>
        </w:rPr>
        <w:t>kiem przejrzystości. Dodatkowo finansowanie tego sektora wymaga zaawansowanej wiedzy eksperckiej, którą instytucje finansowe często nie dysponują. Aby zaradzić tym trudnościom</w:t>
      </w:r>
      <w:r w:rsidR="0028384B" w:rsidRPr="002F16A1">
        <w:rPr>
          <w:noProof/>
        </w:rPr>
        <w:t xml:space="preserve"> i</w:t>
      </w:r>
      <w:r w:rsidR="0028384B">
        <w:rPr>
          <w:noProof/>
        </w:rPr>
        <w:t> </w:t>
      </w:r>
      <w:r w:rsidR="0028384B" w:rsidRPr="002F16A1">
        <w:rPr>
          <w:noProof/>
        </w:rPr>
        <w:t>wni</w:t>
      </w:r>
      <w:r w:rsidR="00AD62E2" w:rsidRPr="002F16A1">
        <w:rPr>
          <w:noProof/>
        </w:rPr>
        <w:t>eść wkład</w:t>
      </w:r>
      <w:r w:rsidR="0028384B" w:rsidRPr="002F16A1">
        <w:rPr>
          <w:noProof/>
        </w:rPr>
        <w:t xml:space="preserve"> w</w:t>
      </w:r>
      <w:r w:rsidR="0028384B">
        <w:rPr>
          <w:noProof/>
        </w:rPr>
        <w:t> </w:t>
      </w:r>
      <w:r w:rsidR="0028384B" w:rsidRPr="002F16A1">
        <w:rPr>
          <w:noProof/>
        </w:rPr>
        <w:t>zap</w:t>
      </w:r>
      <w:r w:rsidR="00AD62E2" w:rsidRPr="002F16A1">
        <w:rPr>
          <w:noProof/>
        </w:rPr>
        <w:t>ewnienie stabilnych</w:t>
      </w:r>
      <w:r w:rsidR="0028384B" w:rsidRPr="002F16A1">
        <w:rPr>
          <w:noProof/>
        </w:rPr>
        <w:t xml:space="preserve"> i</w:t>
      </w:r>
      <w:r w:rsidR="0028384B">
        <w:rPr>
          <w:noProof/>
        </w:rPr>
        <w:t> </w:t>
      </w:r>
      <w:r w:rsidR="0028384B" w:rsidRPr="002F16A1">
        <w:rPr>
          <w:noProof/>
        </w:rPr>
        <w:t>nie</w:t>
      </w:r>
      <w:r w:rsidR="00AD62E2" w:rsidRPr="002F16A1">
        <w:rPr>
          <w:noProof/>
        </w:rPr>
        <w:t>zawodnych dostaw surowców strategicznych, państwa członkowskie</w:t>
      </w:r>
      <w:r w:rsidR="0028384B" w:rsidRPr="002F16A1">
        <w:rPr>
          <w:noProof/>
        </w:rPr>
        <w:t xml:space="preserve"> i</w:t>
      </w:r>
      <w:r w:rsidR="0028384B">
        <w:rPr>
          <w:noProof/>
        </w:rPr>
        <w:t> </w:t>
      </w:r>
      <w:r w:rsidR="0028384B" w:rsidRPr="002F16A1">
        <w:rPr>
          <w:noProof/>
        </w:rPr>
        <w:t>Kom</w:t>
      </w:r>
      <w:r w:rsidR="00AD62E2" w:rsidRPr="002F16A1">
        <w:rPr>
          <w:noProof/>
        </w:rPr>
        <w:t>isja powinny udzielić pomocy</w:t>
      </w:r>
      <w:r w:rsidR="0028384B" w:rsidRPr="002F16A1">
        <w:rPr>
          <w:noProof/>
        </w:rPr>
        <w:t xml:space="preserve"> w</w:t>
      </w:r>
      <w:r w:rsidR="0028384B">
        <w:rPr>
          <w:noProof/>
        </w:rPr>
        <w:t> </w:t>
      </w:r>
      <w:r w:rsidR="0028384B" w:rsidRPr="002F16A1">
        <w:rPr>
          <w:noProof/>
        </w:rPr>
        <w:t>dos</w:t>
      </w:r>
      <w:r w:rsidR="00AD62E2" w:rsidRPr="002F16A1">
        <w:rPr>
          <w:noProof/>
        </w:rPr>
        <w:t>tępie do finansowania</w:t>
      </w:r>
      <w:r w:rsidR="0028384B" w:rsidRPr="002F16A1">
        <w:rPr>
          <w:noProof/>
        </w:rPr>
        <w:t xml:space="preserve"> i</w:t>
      </w:r>
      <w:r w:rsidR="0028384B">
        <w:rPr>
          <w:noProof/>
        </w:rPr>
        <w:t> </w:t>
      </w:r>
      <w:r w:rsidR="0028384B" w:rsidRPr="002F16A1">
        <w:rPr>
          <w:noProof/>
        </w:rPr>
        <w:t>zap</w:t>
      </w:r>
      <w:r w:rsidR="00AD62E2" w:rsidRPr="002F16A1">
        <w:rPr>
          <w:noProof/>
        </w:rPr>
        <w:t xml:space="preserve">ewnić wsparcie administracyjne. </w:t>
      </w:r>
    </w:p>
    <w:p w:rsidR="00AD62E2" w:rsidRPr="002F16A1" w:rsidRDefault="00733965" w:rsidP="00733965">
      <w:pPr>
        <w:pStyle w:val="ManualConsidrant"/>
        <w:rPr>
          <w:rFonts w:eastAsia="Times New Roman"/>
          <w:noProof/>
        </w:rPr>
      </w:pPr>
      <w:r w:rsidRPr="00733965">
        <w:t>(27)</w:t>
      </w:r>
      <w:r w:rsidRPr="00733965">
        <w:tab/>
      </w:r>
      <w:r w:rsidR="00AD62E2" w:rsidRPr="002F16A1">
        <w:rPr>
          <w:noProof/>
        </w:rPr>
        <w:t>Silny łańcuch wartości można zbudować</w:t>
      </w:r>
      <w:r w:rsidR="0028384B" w:rsidRPr="002F16A1">
        <w:rPr>
          <w:noProof/>
        </w:rPr>
        <w:t xml:space="preserve"> w</w:t>
      </w:r>
      <w:r w:rsidR="0028384B">
        <w:rPr>
          <w:noProof/>
        </w:rPr>
        <w:t> </w:t>
      </w:r>
      <w:r w:rsidR="0028384B" w:rsidRPr="002F16A1">
        <w:rPr>
          <w:noProof/>
        </w:rPr>
        <w:t>Eur</w:t>
      </w:r>
      <w:r w:rsidR="00AD62E2" w:rsidRPr="002F16A1">
        <w:rPr>
          <w:noProof/>
        </w:rPr>
        <w:t>opie wyłącznie za pomocą odpowiednich środków finansowych. Komisja będzie współpracować</w:t>
      </w:r>
      <w:r w:rsidR="0028384B" w:rsidRPr="002F16A1">
        <w:rPr>
          <w:noProof/>
        </w:rPr>
        <w:t xml:space="preserve"> z</w:t>
      </w:r>
      <w:r w:rsidR="0028384B">
        <w:rPr>
          <w:noProof/>
        </w:rPr>
        <w:t> </w:t>
      </w:r>
      <w:r w:rsidR="0028384B" w:rsidRPr="002F16A1">
        <w:rPr>
          <w:noProof/>
        </w:rPr>
        <w:t>par</w:t>
      </w:r>
      <w:r w:rsidR="00AD62E2" w:rsidRPr="002F16A1">
        <w:rPr>
          <w:noProof/>
        </w:rPr>
        <w:t>tnerami wykonawczymi InvestEU, aby znaleźć sposoby na zwiększenie skali wsparcia inwestycji zgodnie ze wspólnymi celami określonymi</w:t>
      </w:r>
      <w:r w:rsidR="0028384B" w:rsidRPr="002F16A1">
        <w:rPr>
          <w:noProof/>
        </w:rPr>
        <w:t xml:space="preserve"> w</w:t>
      </w:r>
      <w:r w:rsidR="0028384B">
        <w:rPr>
          <w:noProof/>
        </w:rPr>
        <w:t> </w:t>
      </w:r>
      <w:r w:rsidR="0028384B" w:rsidRPr="002F16A1">
        <w:rPr>
          <w:noProof/>
        </w:rPr>
        <w:t>roz</w:t>
      </w:r>
      <w:r w:rsidR="00AD62E2" w:rsidRPr="002F16A1">
        <w:rPr>
          <w:noProof/>
        </w:rPr>
        <w:t>porządzeniu (UE) 2021/523</w:t>
      </w:r>
      <w:r w:rsidR="00AD62E2" w:rsidRPr="002F16A1">
        <w:rPr>
          <w:rStyle w:val="FootnoteReference"/>
          <w:noProof/>
        </w:rPr>
        <w:footnoteReference w:id="42"/>
      </w:r>
      <w:r w:rsidR="00AD62E2" w:rsidRPr="002F16A1">
        <w:rPr>
          <w:noProof/>
        </w:rPr>
        <w:t xml:space="preserve"> oraz</w:t>
      </w:r>
      <w:r w:rsidR="0028384B" w:rsidRPr="002F16A1">
        <w:rPr>
          <w:noProof/>
        </w:rPr>
        <w:t xml:space="preserve"> w</w:t>
      </w:r>
      <w:r w:rsidR="0028384B">
        <w:rPr>
          <w:noProof/>
        </w:rPr>
        <w:t> </w:t>
      </w:r>
      <w:r w:rsidR="0028384B" w:rsidRPr="002F16A1">
        <w:rPr>
          <w:noProof/>
        </w:rPr>
        <w:t>nin</w:t>
      </w:r>
      <w:r w:rsidR="00AD62E2" w:rsidRPr="002F16A1">
        <w:rPr>
          <w:noProof/>
        </w:rPr>
        <w:t>iejszym rozporządzeniu. Centrum Doradztwa InvestEU może pomóc</w:t>
      </w:r>
      <w:r w:rsidR="0028384B" w:rsidRPr="002F16A1">
        <w:rPr>
          <w:noProof/>
        </w:rPr>
        <w:t xml:space="preserve"> w</w:t>
      </w:r>
      <w:r w:rsidR="0028384B">
        <w:rPr>
          <w:noProof/>
        </w:rPr>
        <w:t> </w:t>
      </w:r>
      <w:r w:rsidR="0028384B" w:rsidRPr="002F16A1">
        <w:rPr>
          <w:noProof/>
        </w:rPr>
        <w:t>stw</w:t>
      </w:r>
      <w:r w:rsidR="00AD62E2" w:rsidRPr="002F16A1">
        <w:rPr>
          <w:noProof/>
        </w:rPr>
        <w:t>orzeniu wykazu rentownych projektów.</w:t>
      </w:r>
    </w:p>
    <w:p w:rsidR="00AD62E2" w:rsidRPr="002F16A1" w:rsidRDefault="00733965" w:rsidP="00733965">
      <w:pPr>
        <w:pStyle w:val="ManualConsidrant"/>
        <w:rPr>
          <w:rFonts w:eastAsia="Times New Roman"/>
          <w:noProof/>
        </w:rPr>
      </w:pPr>
      <w:r w:rsidRPr="00733965">
        <w:t>(28)</w:t>
      </w:r>
      <w:r w:rsidRPr="00733965">
        <w:tab/>
      </w:r>
      <w:r w:rsidR="00AD62E2" w:rsidRPr="002F16A1">
        <w:rPr>
          <w:noProof/>
        </w:rPr>
        <w:t>Aby wyeliminować ograniczenia</w:t>
      </w:r>
      <w:r w:rsidR="0028384B" w:rsidRPr="002F16A1">
        <w:rPr>
          <w:noProof/>
        </w:rPr>
        <w:t xml:space="preserve"> w</w:t>
      </w:r>
      <w:r w:rsidR="0028384B">
        <w:rPr>
          <w:noProof/>
        </w:rPr>
        <w:t> </w:t>
      </w:r>
      <w:r w:rsidR="0028384B" w:rsidRPr="002F16A1">
        <w:rPr>
          <w:noProof/>
        </w:rPr>
        <w:t>prz</w:t>
      </w:r>
      <w:r w:rsidR="00AD62E2" w:rsidRPr="002F16A1">
        <w:rPr>
          <w:noProof/>
        </w:rPr>
        <w:t>ypadku działań na rzecz inwestycji publicznych</w:t>
      </w:r>
      <w:r w:rsidR="0028384B" w:rsidRPr="002F16A1">
        <w:rPr>
          <w:noProof/>
        </w:rPr>
        <w:t xml:space="preserve"> i</w:t>
      </w:r>
      <w:r w:rsidR="0028384B">
        <w:rPr>
          <w:noProof/>
        </w:rPr>
        <w:t> </w:t>
      </w:r>
      <w:r w:rsidR="0028384B" w:rsidRPr="002F16A1">
        <w:rPr>
          <w:noProof/>
        </w:rPr>
        <w:t>pry</w:t>
      </w:r>
      <w:r w:rsidR="00AD62E2" w:rsidRPr="002F16A1">
        <w:rPr>
          <w:noProof/>
        </w:rPr>
        <w:t>watnych, które to działania są obecnie często rozdrobnione, oraz ułatwić integrację</w:t>
      </w:r>
      <w:r w:rsidR="0028384B" w:rsidRPr="002F16A1">
        <w:rPr>
          <w:noProof/>
        </w:rPr>
        <w:t xml:space="preserve"> i</w:t>
      </w:r>
      <w:r w:rsidR="0028384B">
        <w:rPr>
          <w:noProof/>
        </w:rPr>
        <w:t> </w:t>
      </w:r>
      <w:r w:rsidR="0028384B" w:rsidRPr="002F16A1">
        <w:rPr>
          <w:noProof/>
        </w:rPr>
        <w:t>zwr</w:t>
      </w:r>
      <w:r w:rsidR="00AD62E2" w:rsidRPr="002F16A1">
        <w:rPr>
          <w:noProof/>
        </w:rPr>
        <w:t>ot</w:t>
      </w:r>
      <w:r w:rsidR="0028384B" w:rsidRPr="002F16A1">
        <w:rPr>
          <w:noProof/>
        </w:rPr>
        <w:t xml:space="preserve"> z</w:t>
      </w:r>
      <w:r w:rsidR="0028384B">
        <w:rPr>
          <w:noProof/>
        </w:rPr>
        <w:t> </w:t>
      </w:r>
      <w:r w:rsidR="0028384B" w:rsidRPr="002F16A1">
        <w:rPr>
          <w:noProof/>
        </w:rPr>
        <w:t>inw</w:t>
      </w:r>
      <w:r w:rsidR="00AD62E2" w:rsidRPr="002F16A1">
        <w:rPr>
          <w:noProof/>
        </w:rPr>
        <w:t>estycji, Komisja, państwa członkowskie</w:t>
      </w:r>
      <w:r w:rsidR="0028384B" w:rsidRPr="002F16A1">
        <w:rPr>
          <w:noProof/>
        </w:rPr>
        <w:t xml:space="preserve"> i</w:t>
      </w:r>
      <w:r w:rsidR="0028384B">
        <w:rPr>
          <w:noProof/>
        </w:rPr>
        <w:t> </w:t>
      </w:r>
      <w:r w:rsidR="0028384B" w:rsidRPr="002F16A1">
        <w:rPr>
          <w:noProof/>
        </w:rPr>
        <w:t>ban</w:t>
      </w:r>
      <w:r w:rsidR="00AD62E2" w:rsidRPr="002F16A1">
        <w:rPr>
          <w:noProof/>
        </w:rPr>
        <w:t>ki prorozwojowe powinny stworzyć</w:t>
      </w:r>
      <w:r w:rsidR="0028384B" w:rsidRPr="002F16A1">
        <w:rPr>
          <w:noProof/>
        </w:rPr>
        <w:t xml:space="preserve"> i</w:t>
      </w:r>
      <w:r w:rsidR="0028384B">
        <w:rPr>
          <w:noProof/>
        </w:rPr>
        <w:t> </w:t>
      </w:r>
      <w:r w:rsidR="0028384B" w:rsidRPr="002F16A1">
        <w:rPr>
          <w:noProof/>
        </w:rPr>
        <w:t>lep</w:t>
      </w:r>
      <w:r w:rsidR="00AD62E2" w:rsidRPr="002F16A1">
        <w:rPr>
          <w:noProof/>
        </w:rPr>
        <w:t>iej koordynować synergie między istniejącymi programami finansowania na szczeblu unijnym</w:t>
      </w:r>
      <w:r w:rsidR="0028384B" w:rsidRPr="002F16A1">
        <w:rPr>
          <w:noProof/>
        </w:rPr>
        <w:t xml:space="preserve"> i</w:t>
      </w:r>
      <w:r w:rsidR="0028384B">
        <w:rPr>
          <w:noProof/>
        </w:rPr>
        <w:t> </w:t>
      </w:r>
      <w:r w:rsidR="0028384B" w:rsidRPr="002F16A1">
        <w:rPr>
          <w:noProof/>
        </w:rPr>
        <w:t>kra</w:t>
      </w:r>
      <w:r w:rsidR="00AD62E2" w:rsidRPr="002F16A1">
        <w:rPr>
          <w:noProof/>
        </w:rPr>
        <w:t>jowym,</w:t>
      </w:r>
      <w:r w:rsidR="0028384B" w:rsidRPr="002F16A1">
        <w:rPr>
          <w:noProof/>
        </w:rPr>
        <w:t xml:space="preserve"> a</w:t>
      </w:r>
      <w:r w:rsidR="0028384B">
        <w:rPr>
          <w:noProof/>
        </w:rPr>
        <w:t> </w:t>
      </w:r>
      <w:r w:rsidR="0028384B" w:rsidRPr="002F16A1">
        <w:rPr>
          <w:noProof/>
        </w:rPr>
        <w:t>tak</w:t>
      </w:r>
      <w:r w:rsidR="00AD62E2" w:rsidRPr="002F16A1">
        <w:rPr>
          <w:noProof/>
        </w:rPr>
        <w:t>że powinny zapewnić lepszą koordynację</w:t>
      </w:r>
      <w:r w:rsidR="0028384B" w:rsidRPr="002F16A1">
        <w:rPr>
          <w:noProof/>
        </w:rPr>
        <w:t xml:space="preserve"> i</w:t>
      </w:r>
      <w:r w:rsidR="0028384B">
        <w:rPr>
          <w:noProof/>
        </w:rPr>
        <w:t> </w:t>
      </w:r>
      <w:r w:rsidR="0028384B" w:rsidRPr="002F16A1">
        <w:rPr>
          <w:noProof/>
        </w:rPr>
        <w:t>wsp</w:t>
      </w:r>
      <w:r w:rsidR="00AD62E2" w:rsidRPr="002F16A1">
        <w:rPr>
          <w:noProof/>
        </w:rPr>
        <w:t>ółpracę</w:t>
      </w:r>
      <w:r w:rsidR="0028384B" w:rsidRPr="002F16A1">
        <w:rPr>
          <w:noProof/>
        </w:rPr>
        <w:t xml:space="preserve"> z</w:t>
      </w:r>
      <w:r w:rsidR="0028384B">
        <w:rPr>
          <w:noProof/>
        </w:rPr>
        <w:t> </w:t>
      </w:r>
      <w:r w:rsidR="0028384B" w:rsidRPr="002F16A1">
        <w:rPr>
          <w:noProof/>
        </w:rPr>
        <w:t>prz</w:t>
      </w:r>
      <w:r w:rsidR="00AD62E2" w:rsidRPr="002F16A1">
        <w:rPr>
          <w:noProof/>
        </w:rPr>
        <w:t>emysłem</w:t>
      </w:r>
      <w:r w:rsidR="0028384B" w:rsidRPr="002F16A1">
        <w:rPr>
          <w:noProof/>
        </w:rPr>
        <w:t xml:space="preserve"> i</w:t>
      </w:r>
      <w:r w:rsidR="0028384B">
        <w:rPr>
          <w:noProof/>
        </w:rPr>
        <w:t> </w:t>
      </w:r>
      <w:r w:rsidR="0028384B" w:rsidRPr="002F16A1">
        <w:rPr>
          <w:noProof/>
        </w:rPr>
        <w:t>naj</w:t>
      </w:r>
      <w:r w:rsidR="00AD62E2" w:rsidRPr="002F16A1">
        <w:rPr>
          <w:noProof/>
        </w:rPr>
        <w:t>ważniejszymi zainteresowanymi stronami</w:t>
      </w:r>
      <w:r w:rsidR="0028384B" w:rsidRPr="002F16A1">
        <w:rPr>
          <w:noProof/>
        </w:rPr>
        <w:t xml:space="preserve"> z</w:t>
      </w:r>
      <w:r w:rsidR="0028384B">
        <w:rPr>
          <w:noProof/>
        </w:rPr>
        <w:t> </w:t>
      </w:r>
      <w:r w:rsidR="0028384B" w:rsidRPr="002F16A1">
        <w:rPr>
          <w:noProof/>
        </w:rPr>
        <w:t>sek</w:t>
      </w:r>
      <w:r w:rsidR="00AD62E2" w:rsidRPr="002F16A1">
        <w:rPr>
          <w:noProof/>
        </w:rPr>
        <w:t>tora prywatnego</w:t>
      </w:r>
      <w:r w:rsidR="0028384B" w:rsidRPr="002F16A1">
        <w:rPr>
          <w:noProof/>
        </w:rPr>
        <w:t>. W</w:t>
      </w:r>
      <w:r w:rsidR="0028384B">
        <w:rPr>
          <w:noProof/>
        </w:rPr>
        <w:t> </w:t>
      </w:r>
      <w:r w:rsidR="0028384B" w:rsidRPr="002F16A1">
        <w:rPr>
          <w:noProof/>
        </w:rPr>
        <w:t>tym</w:t>
      </w:r>
      <w:r w:rsidR="00AD62E2" w:rsidRPr="002F16A1">
        <w:rPr>
          <w:noProof/>
        </w:rPr>
        <w:t xml:space="preserve"> celu należy stworzyć specjalną podgrupę Europejskiej Rady ds. Surowców Krytycznych, składającą się</w:t>
      </w:r>
      <w:r w:rsidR="0028384B" w:rsidRPr="002F16A1">
        <w:rPr>
          <w:noProof/>
        </w:rPr>
        <w:t xml:space="preserve"> z</w:t>
      </w:r>
      <w:r w:rsidR="0028384B">
        <w:rPr>
          <w:noProof/>
        </w:rPr>
        <w:t> </w:t>
      </w:r>
      <w:r w:rsidR="0028384B" w:rsidRPr="002F16A1">
        <w:rPr>
          <w:noProof/>
        </w:rPr>
        <w:t>eks</w:t>
      </w:r>
      <w:r w:rsidR="00AD62E2" w:rsidRPr="002F16A1">
        <w:rPr>
          <w:noProof/>
        </w:rPr>
        <w:t>pertów</w:t>
      </w:r>
      <w:r w:rsidR="0028384B" w:rsidRPr="002F16A1">
        <w:rPr>
          <w:noProof/>
        </w:rPr>
        <w:t xml:space="preserve"> z</w:t>
      </w:r>
      <w:r w:rsidR="0028384B">
        <w:rPr>
          <w:noProof/>
        </w:rPr>
        <w:t> </w:t>
      </w:r>
      <w:r w:rsidR="0028384B" w:rsidRPr="002F16A1">
        <w:rPr>
          <w:noProof/>
        </w:rPr>
        <w:t>pań</w:t>
      </w:r>
      <w:r w:rsidR="00AD62E2" w:rsidRPr="002F16A1">
        <w:rPr>
          <w:noProof/>
        </w:rPr>
        <w:t>stw członkowskich</w:t>
      </w:r>
      <w:r w:rsidR="0028384B" w:rsidRPr="002F16A1">
        <w:rPr>
          <w:noProof/>
        </w:rPr>
        <w:t xml:space="preserve"> i</w:t>
      </w:r>
      <w:r w:rsidR="0028384B">
        <w:rPr>
          <w:noProof/>
        </w:rPr>
        <w:t> </w:t>
      </w:r>
      <w:r w:rsidR="0028384B" w:rsidRPr="002F16A1">
        <w:rPr>
          <w:noProof/>
        </w:rPr>
        <w:t>Kom</w:t>
      </w:r>
      <w:r w:rsidR="00AD62E2" w:rsidRPr="002F16A1">
        <w:rPr>
          <w:noProof/>
        </w:rPr>
        <w:t>isji oraz</w:t>
      </w:r>
      <w:r w:rsidR="0028384B" w:rsidRPr="002F16A1">
        <w:rPr>
          <w:noProof/>
        </w:rPr>
        <w:t xml:space="preserve"> z</w:t>
      </w:r>
      <w:r w:rsidR="0028384B">
        <w:rPr>
          <w:noProof/>
        </w:rPr>
        <w:t> </w:t>
      </w:r>
      <w:r w:rsidR="0028384B" w:rsidRPr="002F16A1">
        <w:rPr>
          <w:noProof/>
        </w:rPr>
        <w:t>odp</w:t>
      </w:r>
      <w:r w:rsidR="00AD62E2" w:rsidRPr="002F16A1">
        <w:rPr>
          <w:noProof/>
        </w:rPr>
        <w:t>owiednich publicznych instytucji finansowych. Podgrupa ta powinna zajmować się omawianiem indywidualnych potrzeb finansowych</w:t>
      </w:r>
      <w:r w:rsidR="0028384B" w:rsidRPr="002F16A1">
        <w:rPr>
          <w:noProof/>
        </w:rPr>
        <w:t xml:space="preserve"> w</w:t>
      </w:r>
      <w:r w:rsidR="0028384B">
        <w:rPr>
          <w:noProof/>
        </w:rPr>
        <w:t> </w:t>
      </w:r>
      <w:r w:rsidR="0028384B" w:rsidRPr="002F16A1">
        <w:rPr>
          <w:noProof/>
        </w:rPr>
        <w:t>ram</w:t>
      </w:r>
      <w:r w:rsidR="00AD62E2" w:rsidRPr="002F16A1">
        <w:rPr>
          <w:noProof/>
        </w:rPr>
        <w:t>ach konkretnych projektów strategicznych oraz istniejących możliwości ich finansowania, dzięki czemu będzie mogła zasugerować promotorom projektów, jak najlepiej wykorzystać dostępne możliwości finansowania. Podczas dyskusji</w:t>
      </w:r>
      <w:r w:rsidR="0028384B" w:rsidRPr="002F16A1">
        <w:rPr>
          <w:noProof/>
        </w:rPr>
        <w:t xml:space="preserve"> i</w:t>
      </w:r>
      <w:r w:rsidR="0028384B">
        <w:rPr>
          <w:noProof/>
        </w:rPr>
        <w:t> </w:t>
      </w:r>
      <w:r w:rsidR="0028384B" w:rsidRPr="002F16A1">
        <w:rPr>
          <w:noProof/>
        </w:rPr>
        <w:t>wyd</w:t>
      </w:r>
      <w:r w:rsidR="00AD62E2" w:rsidRPr="002F16A1">
        <w:rPr>
          <w:noProof/>
        </w:rPr>
        <w:t>awania zaleceń dotyczących finansowania projektów strategicznych</w:t>
      </w:r>
      <w:r w:rsidR="0028384B" w:rsidRPr="002F16A1">
        <w:rPr>
          <w:noProof/>
        </w:rPr>
        <w:t xml:space="preserve"> w</w:t>
      </w:r>
      <w:r w:rsidR="0028384B">
        <w:rPr>
          <w:noProof/>
        </w:rPr>
        <w:t> </w:t>
      </w:r>
      <w:r w:rsidR="0028384B" w:rsidRPr="002F16A1">
        <w:rPr>
          <w:noProof/>
        </w:rPr>
        <w:t>pań</w:t>
      </w:r>
      <w:r w:rsidR="00AD62E2" w:rsidRPr="002F16A1">
        <w:rPr>
          <w:noProof/>
        </w:rPr>
        <w:t>stwach trzecich Europejska Rada ds. Surowców Krytycznych powinna</w:t>
      </w:r>
      <w:r w:rsidR="0028384B" w:rsidRPr="002F16A1">
        <w:rPr>
          <w:noProof/>
        </w:rPr>
        <w:t xml:space="preserve"> w</w:t>
      </w:r>
      <w:r w:rsidR="0028384B">
        <w:rPr>
          <w:noProof/>
        </w:rPr>
        <w:t> </w:t>
      </w:r>
      <w:r w:rsidR="0028384B" w:rsidRPr="002F16A1">
        <w:rPr>
          <w:noProof/>
        </w:rPr>
        <w:t>szc</w:t>
      </w:r>
      <w:r w:rsidR="00AD62E2" w:rsidRPr="002F16A1">
        <w:rPr>
          <w:noProof/>
        </w:rPr>
        <w:t>zególności uwzględnić strategię Global Gateway</w:t>
      </w:r>
      <w:r w:rsidR="00AD62E2" w:rsidRPr="002F16A1">
        <w:rPr>
          <w:rStyle w:val="FootnoteReference"/>
          <w:noProof/>
        </w:rPr>
        <w:footnoteReference w:id="43"/>
      </w:r>
      <w:r w:rsidR="00AD62E2" w:rsidRPr="002F16A1">
        <w:rPr>
          <w:noProof/>
        </w:rPr>
        <w:t>. </w:t>
      </w:r>
    </w:p>
    <w:p w:rsidR="00AD62E2" w:rsidRPr="002F16A1" w:rsidRDefault="00733965" w:rsidP="00733965">
      <w:pPr>
        <w:pStyle w:val="ManualConsidrant"/>
        <w:rPr>
          <w:noProof/>
        </w:rPr>
      </w:pPr>
      <w:r w:rsidRPr="00733965">
        <w:t>(29)</w:t>
      </w:r>
      <w:r w:rsidRPr="00733965">
        <w:tab/>
      </w:r>
      <w:r w:rsidR="00AD62E2" w:rsidRPr="002F16A1">
        <w:rPr>
          <w:noProof/>
        </w:rPr>
        <w:t>Zasadnicze znaczenie mają inwestycje prywatne realizowane przez przedsiębiorstwa, inwestorów finansowych</w:t>
      </w:r>
      <w:r w:rsidR="0028384B" w:rsidRPr="002F16A1">
        <w:rPr>
          <w:noProof/>
        </w:rPr>
        <w:t xml:space="preserve"> i</w:t>
      </w:r>
      <w:r w:rsidR="0028384B">
        <w:rPr>
          <w:noProof/>
        </w:rPr>
        <w:t> </w:t>
      </w:r>
      <w:r w:rsidR="0028384B" w:rsidRPr="002F16A1">
        <w:rPr>
          <w:noProof/>
        </w:rPr>
        <w:t>odb</w:t>
      </w:r>
      <w:r w:rsidR="00AD62E2" w:rsidRPr="002F16A1">
        <w:rPr>
          <w:noProof/>
        </w:rPr>
        <w:t>iorców. Ponieważ jednak same inwestycje prywatne są niewystarczające, skuteczna realizacja projektów</w:t>
      </w:r>
      <w:r w:rsidR="0028384B" w:rsidRPr="002F16A1">
        <w:rPr>
          <w:noProof/>
        </w:rPr>
        <w:t xml:space="preserve"> w</w:t>
      </w:r>
      <w:r w:rsidR="0028384B">
        <w:rPr>
          <w:noProof/>
        </w:rPr>
        <w:t> </w:t>
      </w:r>
      <w:r w:rsidR="0028384B" w:rsidRPr="002F16A1">
        <w:rPr>
          <w:noProof/>
        </w:rPr>
        <w:t>cał</w:t>
      </w:r>
      <w:r w:rsidR="00AD62E2" w:rsidRPr="002F16A1">
        <w:rPr>
          <w:noProof/>
        </w:rPr>
        <w:t>ym łańcuchu wartości surowców krytycznych może wymagać wsparcia publicznego, na przykład</w:t>
      </w:r>
      <w:r w:rsidR="0028384B" w:rsidRPr="002F16A1">
        <w:rPr>
          <w:noProof/>
        </w:rPr>
        <w:t xml:space="preserve"> w</w:t>
      </w:r>
      <w:r w:rsidR="0028384B">
        <w:rPr>
          <w:noProof/>
        </w:rPr>
        <w:t> </w:t>
      </w:r>
      <w:r w:rsidR="0028384B" w:rsidRPr="002F16A1">
        <w:rPr>
          <w:noProof/>
        </w:rPr>
        <w:t>for</w:t>
      </w:r>
      <w:r w:rsidR="00AD62E2" w:rsidRPr="002F16A1">
        <w:rPr>
          <w:noProof/>
        </w:rPr>
        <w:t>mie gwarancji, kredytów lub inwestycji kapitałowych</w:t>
      </w:r>
      <w:r w:rsidR="0028384B" w:rsidRPr="002F16A1">
        <w:rPr>
          <w:noProof/>
        </w:rPr>
        <w:t xml:space="preserve"> i</w:t>
      </w:r>
      <w:r w:rsidR="0028384B">
        <w:rPr>
          <w:noProof/>
        </w:rPr>
        <w:t> </w:t>
      </w:r>
      <w:r w:rsidR="0028384B" w:rsidRPr="002F16A1">
        <w:rPr>
          <w:i/>
          <w:iCs/>
          <w:noProof/>
        </w:rPr>
        <w:t>qua</w:t>
      </w:r>
      <w:r w:rsidR="00AD62E2" w:rsidRPr="002F16A1">
        <w:rPr>
          <w:i/>
          <w:iCs/>
          <w:noProof/>
        </w:rPr>
        <w:t>si</w:t>
      </w:r>
      <w:r w:rsidR="00AD62E2" w:rsidRPr="002F16A1">
        <w:rPr>
          <w:noProof/>
        </w:rPr>
        <w:t>-kapitałowych. Takie wsparcie publiczne może stanowić pomoc państwa. Taka pomoc musi wywoływać efekt zachęty oraz być konieczna, odpowiednia</w:t>
      </w:r>
      <w:r w:rsidR="0028384B" w:rsidRPr="002F16A1">
        <w:rPr>
          <w:noProof/>
        </w:rPr>
        <w:t xml:space="preserve"> i</w:t>
      </w:r>
      <w:r w:rsidR="0028384B">
        <w:rPr>
          <w:noProof/>
        </w:rPr>
        <w:t> </w:t>
      </w:r>
      <w:r w:rsidR="0028384B" w:rsidRPr="002F16A1">
        <w:rPr>
          <w:noProof/>
        </w:rPr>
        <w:t>pro</w:t>
      </w:r>
      <w:r w:rsidR="00AD62E2" w:rsidRPr="002F16A1">
        <w:rPr>
          <w:noProof/>
        </w:rPr>
        <w:t>porcjonalna</w:t>
      </w:r>
      <w:r w:rsidR="0028384B" w:rsidRPr="002F16A1">
        <w:rPr>
          <w:noProof/>
        </w:rPr>
        <w:t>. W</w:t>
      </w:r>
      <w:r w:rsidR="0028384B">
        <w:rPr>
          <w:noProof/>
        </w:rPr>
        <w:t> </w:t>
      </w:r>
      <w:r w:rsidR="0028384B" w:rsidRPr="002F16A1">
        <w:rPr>
          <w:noProof/>
        </w:rPr>
        <w:t>ist</w:t>
      </w:r>
      <w:r w:rsidR="00AD62E2" w:rsidRPr="002F16A1">
        <w:rPr>
          <w:noProof/>
        </w:rPr>
        <w:t>niejących wytycznych dotyczących pomocy państwa, które niedawno poddano gruntownemu przeglądowi zgodnie</w:t>
      </w:r>
      <w:r w:rsidR="0028384B" w:rsidRPr="002F16A1">
        <w:rPr>
          <w:noProof/>
        </w:rPr>
        <w:t xml:space="preserve"> z</w:t>
      </w:r>
      <w:r w:rsidR="0028384B">
        <w:rPr>
          <w:noProof/>
        </w:rPr>
        <w:t> </w:t>
      </w:r>
      <w:r w:rsidR="0028384B" w:rsidRPr="002F16A1">
        <w:rPr>
          <w:noProof/>
        </w:rPr>
        <w:t>cel</w:t>
      </w:r>
      <w:r w:rsidR="00AD62E2" w:rsidRPr="002F16A1">
        <w:rPr>
          <w:noProof/>
        </w:rPr>
        <w:t>ami dwojakiej transformacji, przewidziano szereg możliwości wsparcia inwestycji</w:t>
      </w:r>
      <w:r w:rsidR="0028384B" w:rsidRPr="002F16A1">
        <w:rPr>
          <w:noProof/>
        </w:rPr>
        <w:t xml:space="preserve"> w</w:t>
      </w:r>
      <w:r w:rsidR="0028384B">
        <w:rPr>
          <w:noProof/>
        </w:rPr>
        <w:t> </w:t>
      </w:r>
      <w:r w:rsidR="0028384B" w:rsidRPr="002F16A1">
        <w:rPr>
          <w:noProof/>
        </w:rPr>
        <w:t>cał</w:t>
      </w:r>
      <w:r w:rsidR="00AD62E2" w:rsidRPr="002F16A1">
        <w:rPr>
          <w:noProof/>
        </w:rPr>
        <w:t xml:space="preserve">ym łańcuchu wartości surowców krytycznych na określonych warunkach. </w:t>
      </w:r>
    </w:p>
    <w:p w:rsidR="00AD62E2" w:rsidRPr="002F16A1" w:rsidRDefault="00733965" w:rsidP="00733965">
      <w:pPr>
        <w:pStyle w:val="ManualConsidrant"/>
        <w:rPr>
          <w:noProof/>
        </w:rPr>
      </w:pPr>
      <w:r w:rsidRPr="00733965">
        <w:t>(30)</w:t>
      </w:r>
      <w:r w:rsidRPr="00733965">
        <w:tab/>
      </w:r>
      <w:r w:rsidR="00AD62E2" w:rsidRPr="002F16A1">
        <w:rPr>
          <w:noProof/>
        </w:rPr>
        <w:t>Wsparcie publiczne wykorzystuje się do korygowania niedoskonałości rynku lub nieoptymalnych sytuacji</w:t>
      </w:r>
      <w:r w:rsidR="0028384B" w:rsidRPr="002F16A1">
        <w:rPr>
          <w:noProof/>
        </w:rPr>
        <w:t xml:space="preserve"> w</w:t>
      </w:r>
      <w:r w:rsidR="0028384B">
        <w:rPr>
          <w:noProof/>
        </w:rPr>
        <w:t> </w:t>
      </w:r>
      <w:r w:rsidR="0028384B" w:rsidRPr="002F16A1">
        <w:rPr>
          <w:noProof/>
        </w:rPr>
        <w:t>zak</w:t>
      </w:r>
      <w:r w:rsidR="00AD62E2" w:rsidRPr="002F16A1">
        <w:rPr>
          <w:noProof/>
        </w:rPr>
        <w:t>resie inwestycji</w:t>
      </w:r>
      <w:r w:rsidR="0028384B" w:rsidRPr="002F16A1">
        <w:rPr>
          <w:noProof/>
        </w:rPr>
        <w:t xml:space="preserve"> w</w:t>
      </w:r>
      <w:r w:rsidR="0028384B">
        <w:rPr>
          <w:noProof/>
        </w:rPr>
        <w:t> </w:t>
      </w:r>
      <w:r w:rsidR="0028384B" w:rsidRPr="002F16A1">
        <w:rPr>
          <w:noProof/>
        </w:rPr>
        <w:t>pro</w:t>
      </w:r>
      <w:r w:rsidR="00AD62E2" w:rsidRPr="002F16A1">
        <w:rPr>
          <w:noProof/>
        </w:rPr>
        <w:t>porcjonalny sposób,</w:t>
      </w:r>
      <w:r w:rsidR="0028384B" w:rsidRPr="002F16A1">
        <w:rPr>
          <w:noProof/>
        </w:rPr>
        <w:t xml:space="preserve"> a</w:t>
      </w:r>
      <w:r w:rsidR="0028384B">
        <w:rPr>
          <w:noProof/>
        </w:rPr>
        <w:t> </w:t>
      </w:r>
      <w:r w:rsidR="0028384B" w:rsidRPr="002F16A1">
        <w:rPr>
          <w:noProof/>
        </w:rPr>
        <w:t>dzi</w:t>
      </w:r>
      <w:r w:rsidR="00AD62E2" w:rsidRPr="002F16A1">
        <w:rPr>
          <w:noProof/>
        </w:rPr>
        <w:t>ałania nie powinny powielać lub wypierać finansowania prywatnego ani zakłócać konkurencji na rynku wewnętrznym. Działania te powinny tworzyć wyraźną wartość dodaną dla Unii.</w:t>
      </w:r>
    </w:p>
    <w:p w:rsidR="00AD62E2" w:rsidRPr="002F16A1" w:rsidRDefault="00733965" w:rsidP="00733965">
      <w:pPr>
        <w:pStyle w:val="ManualConsidrant"/>
        <w:rPr>
          <w:noProof/>
        </w:rPr>
      </w:pPr>
      <w:r w:rsidRPr="00733965">
        <w:t>(31)</w:t>
      </w:r>
      <w:r w:rsidRPr="00733965">
        <w:tab/>
      </w:r>
      <w:r w:rsidR="00AD62E2" w:rsidRPr="002F16A1">
        <w:rPr>
          <w:noProof/>
        </w:rPr>
        <w:t>Zmienność cen niektórych surowców strategicznych, którą zaostrzają ograniczone środki umożliwiające zabezpieczenie tych cen na rynkach terminowych, stanowi przeszkodę zarówno dla promotorów projektów, którzy chcieliby zapewnić finansowanie projektów</w:t>
      </w:r>
      <w:r w:rsidR="0028384B" w:rsidRPr="002F16A1">
        <w:rPr>
          <w:noProof/>
        </w:rPr>
        <w:t xml:space="preserve"> w</w:t>
      </w:r>
      <w:r w:rsidR="0028384B">
        <w:rPr>
          <w:noProof/>
        </w:rPr>
        <w:t> </w:t>
      </w:r>
      <w:r w:rsidR="0028384B" w:rsidRPr="002F16A1">
        <w:rPr>
          <w:noProof/>
        </w:rPr>
        <w:t>zak</w:t>
      </w:r>
      <w:r w:rsidR="00AD62E2" w:rsidRPr="002F16A1">
        <w:rPr>
          <w:noProof/>
        </w:rPr>
        <w:t>resie surowców strategicznych, jak</w:t>
      </w:r>
      <w:r w:rsidR="0028384B" w:rsidRPr="002F16A1">
        <w:rPr>
          <w:noProof/>
        </w:rPr>
        <w:t xml:space="preserve"> i</w:t>
      </w:r>
      <w:r w:rsidR="0028384B">
        <w:rPr>
          <w:noProof/>
        </w:rPr>
        <w:t> </w:t>
      </w:r>
      <w:r w:rsidR="0028384B" w:rsidRPr="002F16A1">
        <w:rPr>
          <w:noProof/>
        </w:rPr>
        <w:t>dla</w:t>
      </w:r>
      <w:r w:rsidR="00AD62E2" w:rsidRPr="002F16A1">
        <w:rPr>
          <w:noProof/>
        </w:rPr>
        <w:t xml:space="preserve"> konsumentów na kolejnych szczeblach, którym zależy na stabilnych</w:t>
      </w:r>
      <w:r w:rsidR="0028384B" w:rsidRPr="002F16A1">
        <w:rPr>
          <w:noProof/>
        </w:rPr>
        <w:t xml:space="preserve"> i</w:t>
      </w:r>
      <w:r w:rsidR="0028384B">
        <w:rPr>
          <w:noProof/>
        </w:rPr>
        <w:t> </w:t>
      </w:r>
      <w:r w:rsidR="0028384B" w:rsidRPr="002F16A1">
        <w:rPr>
          <w:noProof/>
        </w:rPr>
        <w:t>prz</w:t>
      </w:r>
      <w:r w:rsidR="00AD62E2" w:rsidRPr="002F16A1">
        <w:rPr>
          <w:noProof/>
        </w:rPr>
        <w:t>ewidywalnych cenach kluczowych produktów. Aby zmniejszyć niepewność</w:t>
      </w:r>
      <w:r w:rsidR="0028384B" w:rsidRPr="002F16A1">
        <w:rPr>
          <w:noProof/>
        </w:rPr>
        <w:t xml:space="preserve"> w</w:t>
      </w:r>
      <w:r w:rsidR="0028384B">
        <w:rPr>
          <w:noProof/>
        </w:rPr>
        <w:t> </w:t>
      </w:r>
      <w:r w:rsidR="0028384B" w:rsidRPr="002F16A1">
        <w:rPr>
          <w:noProof/>
        </w:rPr>
        <w:t>kwe</w:t>
      </w:r>
      <w:r w:rsidR="00AD62E2" w:rsidRPr="002F16A1">
        <w:rPr>
          <w:noProof/>
        </w:rPr>
        <w:t>stii przyszłych cen surowców strategicznych, należy przewidzieć ustanowienie systemu, który umożliwi zarówno zainteresowanym odbiorcom, jak</w:t>
      </w:r>
      <w:r w:rsidR="0028384B" w:rsidRPr="002F16A1">
        <w:rPr>
          <w:noProof/>
        </w:rPr>
        <w:t xml:space="preserve"> i</w:t>
      </w:r>
      <w:r w:rsidR="0028384B">
        <w:rPr>
          <w:noProof/>
        </w:rPr>
        <w:t> </w:t>
      </w:r>
      <w:r w:rsidR="0028384B" w:rsidRPr="002F16A1">
        <w:rPr>
          <w:noProof/>
        </w:rPr>
        <w:t>pro</w:t>
      </w:r>
      <w:r w:rsidR="00AD62E2" w:rsidRPr="002F16A1">
        <w:rPr>
          <w:noProof/>
        </w:rPr>
        <w:t>motorom projektów strategicznych określenie swoich ofert zakupu lub sprzedaży oraz skontaktowanie się ze sobą</w:t>
      </w:r>
      <w:r w:rsidR="0028384B" w:rsidRPr="002F16A1">
        <w:rPr>
          <w:noProof/>
        </w:rPr>
        <w:t xml:space="preserve"> w</w:t>
      </w:r>
      <w:r w:rsidR="0028384B">
        <w:rPr>
          <w:noProof/>
        </w:rPr>
        <w:t> </w:t>
      </w:r>
      <w:r w:rsidR="0028384B" w:rsidRPr="002F16A1">
        <w:rPr>
          <w:noProof/>
        </w:rPr>
        <w:t>prz</w:t>
      </w:r>
      <w:r w:rsidR="00AD62E2" w:rsidRPr="002F16A1">
        <w:rPr>
          <w:noProof/>
        </w:rPr>
        <w:t>ypadku potencjalnej zgodności ofert.</w:t>
      </w:r>
    </w:p>
    <w:p w:rsidR="00AD62E2" w:rsidRPr="002F16A1" w:rsidRDefault="00733965" w:rsidP="00733965">
      <w:pPr>
        <w:pStyle w:val="ManualConsidrant"/>
        <w:rPr>
          <w:noProof/>
        </w:rPr>
      </w:pPr>
      <w:r w:rsidRPr="00733965">
        <w:t>(32)</w:t>
      </w:r>
      <w:r w:rsidRPr="00733965">
        <w:tab/>
      </w:r>
      <w:r w:rsidR="00AD62E2" w:rsidRPr="002F16A1">
        <w:rPr>
          <w:noProof/>
        </w:rPr>
        <w:t>Obecna wiedza na temat złóż mineralnych</w:t>
      </w:r>
      <w:r w:rsidR="0028384B" w:rsidRPr="002F16A1">
        <w:rPr>
          <w:noProof/>
        </w:rPr>
        <w:t xml:space="preserve"> i</w:t>
      </w:r>
      <w:r w:rsidR="0028384B">
        <w:rPr>
          <w:noProof/>
        </w:rPr>
        <w:t> </w:t>
      </w:r>
      <w:r w:rsidR="0028384B" w:rsidRPr="002F16A1">
        <w:rPr>
          <w:noProof/>
        </w:rPr>
        <w:t>map</w:t>
      </w:r>
      <w:r w:rsidR="00AD62E2" w:rsidRPr="002F16A1">
        <w:rPr>
          <w:noProof/>
        </w:rPr>
        <w:t>owanie obszarów występowania surowców</w:t>
      </w:r>
      <w:r w:rsidR="0028384B" w:rsidRPr="002F16A1">
        <w:rPr>
          <w:noProof/>
        </w:rPr>
        <w:t xml:space="preserve"> w</w:t>
      </w:r>
      <w:r w:rsidR="0028384B">
        <w:rPr>
          <w:noProof/>
        </w:rPr>
        <w:t> </w:t>
      </w:r>
      <w:r w:rsidR="0028384B" w:rsidRPr="002F16A1">
        <w:rPr>
          <w:noProof/>
        </w:rPr>
        <w:t>Uni</w:t>
      </w:r>
      <w:r w:rsidR="00AD62E2" w:rsidRPr="002F16A1">
        <w:rPr>
          <w:noProof/>
        </w:rPr>
        <w:t>i pochodzą</w:t>
      </w:r>
      <w:r w:rsidR="0028384B" w:rsidRPr="002F16A1">
        <w:rPr>
          <w:noProof/>
        </w:rPr>
        <w:t xml:space="preserve"> z</w:t>
      </w:r>
      <w:r w:rsidR="0028384B">
        <w:rPr>
          <w:noProof/>
        </w:rPr>
        <w:t> </w:t>
      </w:r>
      <w:r w:rsidR="0028384B" w:rsidRPr="002F16A1">
        <w:rPr>
          <w:noProof/>
        </w:rPr>
        <w:t>okr</w:t>
      </w:r>
      <w:r w:rsidR="00AD62E2" w:rsidRPr="002F16A1">
        <w:rPr>
          <w:noProof/>
        </w:rPr>
        <w:t>esu, gdy nie traktowano zapewnienia dostaw surowców krytycznych na rzecz rozwoju technologii strategicznych</w:t>
      </w:r>
      <w:r w:rsidR="0028384B" w:rsidRPr="002F16A1">
        <w:rPr>
          <w:noProof/>
        </w:rPr>
        <w:t xml:space="preserve"> w</w:t>
      </w:r>
      <w:r w:rsidR="0028384B">
        <w:rPr>
          <w:noProof/>
        </w:rPr>
        <w:t> </w:t>
      </w:r>
      <w:r w:rsidR="0028384B" w:rsidRPr="002F16A1">
        <w:rPr>
          <w:noProof/>
        </w:rPr>
        <w:t>spo</w:t>
      </w:r>
      <w:r w:rsidR="00AD62E2" w:rsidRPr="002F16A1">
        <w:rPr>
          <w:noProof/>
        </w:rPr>
        <w:t>sób priorytetowy</w:t>
      </w:r>
      <w:r w:rsidR="0028384B" w:rsidRPr="002F16A1">
        <w:rPr>
          <w:noProof/>
        </w:rPr>
        <w:t>. W</w:t>
      </w:r>
      <w:r w:rsidR="0028384B">
        <w:rPr>
          <w:noProof/>
        </w:rPr>
        <w:t> </w:t>
      </w:r>
      <w:r w:rsidR="0028384B" w:rsidRPr="002F16A1">
        <w:rPr>
          <w:noProof/>
        </w:rPr>
        <w:t>cel</w:t>
      </w:r>
      <w:r w:rsidR="00AD62E2" w:rsidRPr="002F16A1">
        <w:rPr>
          <w:noProof/>
        </w:rPr>
        <w:t>u gromadzenia</w:t>
      </w:r>
      <w:r w:rsidR="0028384B" w:rsidRPr="002F16A1">
        <w:rPr>
          <w:noProof/>
        </w:rPr>
        <w:t xml:space="preserve"> i</w:t>
      </w:r>
      <w:r w:rsidR="0028384B">
        <w:rPr>
          <w:noProof/>
        </w:rPr>
        <w:t> </w:t>
      </w:r>
      <w:r w:rsidR="0028384B" w:rsidRPr="002F16A1">
        <w:rPr>
          <w:noProof/>
        </w:rPr>
        <w:t>akt</w:t>
      </w:r>
      <w:r w:rsidR="00AD62E2" w:rsidRPr="002F16A1">
        <w:rPr>
          <w:noProof/>
        </w:rPr>
        <w:t>ualizacji wiedzy na temat obszarów występowania surowców krytycznych państwa członkowskie powinny opracować programy krajowe</w:t>
      </w:r>
      <w:r w:rsidR="0028384B" w:rsidRPr="002F16A1">
        <w:rPr>
          <w:noProof/>
        </w:rPr>
        <w:t xml:space="preserve"> w</w:t>
      </w:r>
      <w:r w:rsidR="0028384B">
        <w:rPr>
          <w:noProof/>
        </w:rPr>
        <w:t> </w:t>
      </w:r>
      <w:r w:rsidR="0028384B" w:rsidRPr="002F16A1">
        <w:rPr>
          <w:noProof/>
        </w:rPr>
        <w:t>zak</w:t>
      </w:r>
      <w:r w:rsidR="00AD62E2" w:rsidRPr="002F16A1">
        <w:rPr>
          <w:noProof/>
        </w:rPr>
        <w:t>resie poszukiwania ogólnego surowców krytycznych, które powinny obejmować działania takie jak tworzenie map złóż surowców mineralnych, badania geochemiczne, badania</w:t>
      </w:r>
      <w:r w:rsidR="0028384B" w:rsidRPr="002F16A1">
        <w:rPr>
          <w:noProof/>
        </w:rPr>
        <w:t xml:space="preserve"> z</w:t>
      </w:r>
      <w:r w:rsidR="0028384B">
        <w:rPr>
          <w:noProof/>
        </w:rPr>
        <w:t> </w:t>
      </w:r>
      <w:r w:rsidR="0028384B" w:rsidRPr="002F16A1">
        <w:rPr>
          <w:noProof/>
        </w:rPr>
        <w:t>zak</w:t>
      </w:r>
      <w:r w:rsidR="00AD62E2" w:rsidRPr="002F16A1">
        <w:rPr>
          <w:noProof/>
        </w:rPr>
        <w:t>resu nauk</w:t>
      </w:r>
      <w:r w:rsidR="0028384B" w:rsidRPr="002F16A1">
        <w:rPr>
          <w:noProof/>
        </w:rPr>
        <w:t xml:space="preserve"> o</w:t>
      </w:r>
      <w:r w:rsidR="0028384B">
        <w:rPr>
          <w:noProof/>
        </w:rPr>
        <w:t> </w:t>
      </w:r>
      <w:r w:rsidR="0028384B" w:rsidRPr="002F16A1">
        <w:rPr>
          <w:noProof/>
        </w:rPr>
        <w:t>zie</w:t>
      </w:r>
      <w:r w:rsidR="00AD62E2" w:rsidRPr="002F16A1">
        <w:rPr>
          <w:noProof/>
        </w:rPr>
        <w:t>mi oraz ponowna analiza istniejących zbiorów danych naukowych</w:t>
      </w:r>
      <w:r w:rsidR="0028384B" w:rsidRPr="002F16A1">
        <w:rPr>
          <w:noProof/>
        </w:rPr>
        <w:t xml:space="preserve"> w</w:t>
      </w:r>
      <w:r w:rsidR="0028384B">
        <w:rPr>
          <w:noProof/>
        </w:rPr>
        <w:t> </w:t>
      </w:r>
      <w:r w:rsidR="0028384B" w:rsidRPr="002F16A1">
        <w:rPr>
          <w:noProof/>
        </w:rPr>
        <w:t>dzi</w:t>
      </w:r>
      <w:r w:rsidR="00AD62E2" w:rsidRPr="002F16A1">
        <w:rPr>
          <w:noProof/>
        </w:rPr>
        <w:t>edzinie geologii. Identyfikacja obszarów występowania surowców oraz ocena wykonalności technicznej</w:t>
      </w:r>
      <w:r w:rsidR="0028384B" w:rsidRPr="002F16A1">
        <w:rPr>
          <w:noProof/>
        </w:rPr>
        <w:t xml:space="preserve"> i</w:t>
      </w:r>
      <w:r w:rsidR="0028384B">
        <w:rPr>
          <w:noProof/>
        </w:rPr>
        <w:t> </w:t>
      </w:r>
      <w:r w:rsidR="0028384B" w:rsidRPr="002F16A1">
        <w:rPr>
          <w:noProof/>
        </w:rPr>
        <w:t>opł</w:t>
      </w:r>
      <w:r w:rsidR="00AD62E2" w:rsidRPr="002F16A1">
        <w:rPr>
          <w:noProof/>
        </w:rPr>
        <w:t>acalności ekonomicznej ich wydobywania są obarczone wysokim ryzykiem finansowym. Aby zmniejszyć przedmiotowe ryzyko</w:t>
      </w:r>
      <w:r w:rsidR="0028384B" w:rsidRPr="002F16A1">
        <w:rPr>
          <w:noProof/>
        </w:rPr>
        <w:t xml:space="preserve"> i</w:t>
      </w:r>
      <w:r w:rsidR="0028384B">
        <w:rPr>
          <w:noProof/>
        </w:rPr>
        <w:t> </w:t>
      </w:r>
      <w:r w:rsidR="0028384B" w:rsidRPr="002F16A1">
        <w:rPr>
          <w:noProof/>
        </w:rPr>
        <w:t>uła</w:t>
      </w:r>
      <w:r w:rsidR="00AD62E2" w:rsidRPr="002F16A1">
        <w:rPr>
          <w:noProof/>
        </w:rPr>
        <w:t>twić rozwijanie projektów wydobywczych, państwa członkowskie powinny udostępniać publicznie informacje zgromadzone podczas swojego odpowiedniego krajowego programu poszukiwań, wykorzystując do tego,</w:t>
      </w:r>
      <w:r w:rsidR="0028384B" w:rsidRPr="002F16A1">
        <w:rPr>
          <w:noProof/>
        </w:rPr>
        <w:t xml:space="preserve"> w</w:t>
      </w:r>
      <w:r w:rsidR="0028384B">
        <w:rPr>
          <w:noProof/>
        </w:rPr>
        <w:t> </w:t>
      </w:r>
      <w:r w:rsidR="0028384B" w:rsidRPr="002F16A1">
        <w:rPr>
          <w:noProof/>
        </w:rPr>
        <w:t>sto</w:t>
      </w:r>
      <w:r w:rsidR="00AD62E2" w:rsidRPr="002F16A1">
        <w:rPr>
          <w:noProof/>
        </w:rPr>
        <w:t>sownych przypadkach, ramy infrastruktury informacji przestrzennej ustanowione na mocy dyrektywy 2007/2/WE Parlamentu Europejskiego</w:t>
      </w:r>
      <w:r w:rsidR="0028384B" w:rsidRPr="002F16A1">
        <w:rPr>
          <w:noProof/>
        </w:rPr>
        <w:t xml:space="preserve"> i</w:t>
      </w:r>
      <w:r w:rsidR="0028384B">
        <w:rPr>
          <w:noProof/>
        </w:rPr>
        <w:t> </w:t>
      </w:r>
      <w:r w:rsidR="0028384B" w:rsidRPr="002F16A1">
        <w:rPr>
          <w:noProof/>
        </w:rPr>
        <w:t>Rad</w:t>
      </w:r>
      <w:r w:rsidR="00AD62E2" w:rsidRPr="002F16A1">
        <w:rPr>
          <w:noProof/>
        </w:rPr>
        <w:t>y</w:t>
      </w:r>
      <w:r w:rsidR="00AD62E2" w:rsidRPr="002F16A1">
        <w:rPr>
          <w:rStyle w:val="FootnoteReference"/>
          <w:noProof/>
        </w:rPr>
        <w:footnoteReference w:id="44"/>
      </w:r>
      <w:r w:rsidR="00AD62E2" w:rsidRPr="002F16A1">
        <w:rPr>
          <w:noProof/>
        </w:rPr>
        <w:t>. </w:t>
      </w:r>
    </w:p>
    <w:p w:rsidR="00AD62E2" w:rsidRPr="002F16A1" w:rsidRDefault="00733965" w:rsidP="00733965">
      <w:pPr>
        <w:pStyle w:val="ManualConsidrant"/>
        <w:rPr>
          <w:noProof/>
        </w:rPr>
      </w:pPr>
      <w:r w:rsidRPr="00733965">
        <w:t>(33)</w:t>
      </w:r>
      <w:r w:rsidRPr="00733965">
        <w:tab/>
      </w:r>
      <w:r w:rsidR="00AD62E2" w:rsidRPr="002F16A1">
        <w:rPr>
          <w:noProof/>
        </w:rPr>
        <w:t>Dane satelitarne</w:t>
      </w:r>
      <w:r w:rsidR="0028384B" w:rsidRPr="002F16A1">
        <w:rPr>
          <w:noProof/>
        </w:rPr>
        <w:t xml:space="preserve"> i</w:t>
      </w:r>
      <w:r w:rsidR="0028384B">
        <w:rPr>
          <w:noProof/>
        </w:rPr>
        <w:t> </w:t>
      </w:r>
      <w:r w:rsidR="0028384B" w:rsidRPr="002F16A1">
        <w:rPr>
          <w:noProof/>
        </w:rPr>
        <w:t>usł</w:t>
      </w:r>
      <w:r w:rsidR="00AD62E2" w:rsidRPr="002F16A1">
        <w:rPr>
          <w:noProof/>
        </w:rPr>
        <w:t>ugi związane</w:t>
      </w:r>
      <w:r w:rsidR="0028384B" w:rsidRPr="002F16A1">
        <w:rPr>
          <w:noProof/>
        </w:rPr>
        <w:t xml:space="preserve"> z</w:t>
      </w:r>
      <w:r w:rsidR="0028384B">
        <w:rPr>
          <w:noProof/>
        </w:rPr>
        <w:t> </w:t>
      </w:r>
      <w:r w:rsidR="0028384B" w:rsidRPr="002F16A1">
        <w:rPr>
          <w:noProof/>
        </w:rPr>
        <w:t>obs</w:t>
      </w:r>
      <w:r w:rsidR="00AD62E2" w:rsidRPr="002F16A1">
        <w:rPr>
          <w:noProof/>
        </w:rPr>
        <w:t>erwacją Ziemi mogą wesprzeć działania na rzecz zrównoważonych łańcuchów wartości surowców krytycznych przez zapewnienie nieustannego napływu informacji, które mogą być przydatne</w:t>
      </w:r>
      <w:r w:rsidR="0028384B" w:rsidRPr="002F16A1">
        <w:rPr>
          <w:noProof/>
        </w:rPr>
        <w:t xml:space="preserve"> w</w:t>
      </w:r>
      <w:r w:rsidR="0028384B">
        <w:rPr>
          <w:noProof/>
        </w:rPr>
        <w:t> </w:t>
      </w:r>
      <w:r w:rsidR="0028384B" w:rsidRPr="002F16A1">
        <w:rPr>
          <w:noProof/>
        </w:rPr>
        <w:t>kon</w:t>
      </w:r>
      <w:r w:rsidR="00AD62E2" w:rsidRPr="002F16A1">
        <w:rPr>
          <w:noProof/>
        </w:rPr>
        <w:t>tekście działań takich jak monitorowanie obszarów wydobywczych</w:t>
      </w:r>
      <w:r w:rsidR="0028384B" w:rsidRPr="002F16A1">
        <w:rPr>
          <w:noProof/>
        </w:rPr>
        <w:t xml:space="preserve"> i</w:t>
      </w:r>
      <w:r w:rsidR="0028384B">
        <w:rPr>
          <w:noProof/>
        </w:rPr>
        <w:t> </w:t>
      </w:r>
      <w:r w:rsidR="0028384B" w:rsidRPr="002F16A1">
        <w:rPr>
          <w:noProof/>
        </w:rPr>
        <w:t>zar</w:t>
      </w:r>
      <w:r w:rsidR="00AD62E2" w:rsidRPr="002F16A1">
        <w:rPr>
          <w:noProof/>
        </w:rPr>
        <w:t>ządzanie nimi, ocena wpływu na środowisko</w:t>
      </w:r>
      <w:r w:rsidR="0028384B" w:rsidRPr="002F16A1">
        <w:rPr>
          <w:noProof/>
        </w:rPr>
        <w:t xml:space="preserve"> i</w:t>
      </w:r>
      <w:r w:rsidR="0028384B">
        <w:rPr>
          <w:noProof/>
        </w:rPr>
        <w:t> </w:t>
      </w:r>
      <w:r w:rsidR="0028384B" w:rsidRPr="002F16A1">
        <w:rPr>
          <w:noProof/>
        </w:rPr>
        <w:t>oce</w:t>
      </w:r>
      <w:r w:rsidR="00AD62E2" w:rsidRPr="002F16A1">
        <w:rPr>
          <w:noProof/>
        </w:rPr>
        <w:t>na skutków społeczno-ekonomicznych lub poszukiwanie zasobów mineralnych. Obserwacja Ziemi może również dostarczyć danych na temat odległych</w:t>
      </w:r>
      <w:r w:rsidR="0028384B" w:rsidRPr="002F16A1">
        <w:rPr>
          <w:noProof/>
        </w:rPr>
        <w:t xml:space="preserve"> i</w:t>
      </w:r>
      <w:r w:rsidR="0028384B">
        <w:rPr>
          <w:noProof/>
        </w:rPr>
        <w:t> </w:t>
      </w:r>
      <w:r w:rsidR="0028384B" w:rsidRPr="002F16A1">
        <w:rPr>
          <w:noProof/>
        </w:rPr>
        <w:t>nie</w:t>
      </w:r>
      <w:r w:rsidR="00AD62E2" w:rsidRPr="002F16A1">
        <w:rPr>
          <w:noProof/>
        </w:rPr>
        <w:t>dostępnych obszarów</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zwi</w:t>
      </w:r>
      <w:r w:rsidR="00AD62E2" w:rsidRPr="002F16A1">
        <w:rPr>
          <w:noProof/>
        </w:rPr>
        <w:t>ązku</w:t>
      </w:r>
      <w:r w:rsidR="0028384B" w:rsidRPr="002F16A1">
        <w:rPr>
          <w:noProof/>
        </w:rPr>
        <w:t xml:space="preserve"> z</w:t>
      </w:r>
      <w:r w:rsidR="0028384B">
        <w:rPr>
          <w:noProof/>
        </w:rPr>
        <w:t> </w:t>
      </w:r>
      <w:r w:rsidR="0028384B" w:rsidRPr="002F16A1">
        <w:rPr>
          <w:noProof/>
        </w:rPr>
        <w:t>tym</w:t>
      </w:r>
      <w:r w:rsidR="00AD62E2" w:rsidRPr="002F16A1">
        <w:rPr>
          <w:noProof/>
        </w:rPr>
        <w:t xml:space="preserve"> państwa członkowskie powinny wziąć ją pod uwagę podczas opracowywania</w:t>
      </w:r>
      <w:r w:rsidR="0028384B" w:rsidRPr="002F16A1">
        <w:rPr>
          <w:noProof/>
        </w:rPr>
        <w:t xml:space="preserve"> i</w:t>
      </w:r>
      <w:r w:rsidR="0028384B">
        <w:rPr>
          <w:noProof/>
        </w:rPr>
        <w:t> </w:t>
      </w:r>
      <w:r w:rsidR="0028384B" w:rsidRPr="002F16A1">
        <w:rPr>
          <w:noProof/>
        </w:rPr>
        <w:t>wdr</w:t>
      </w:r>
      <w:r w:rsidR="00AD62E2" w:rsidRPr="002F16A1">
        <w:rPr>
          <w:noProof/>
        </w:rPr>
        <w:t>ażania swoich krajowych programów poszukiwań</w:t>
      </w:r>
      <w:r w:rsidR="0028384B" w:rsidRPr="002F16A1">
        <w:rPr>
          <w:noProof/>
        </w:rPr>
        <w:t xml:space="preserve"> w</w:t>
      </w:r>
      <w:r w:rsidR="0028384B">
        <w:rPr>
          <w:noProof/>
        </w:rPr>
        <w:t> </w:t>
      </w:r>
      <w:r w:rsidR="0028384B" w:rsidRPr="002F16A1">
        <w:rPr>
          <w:noProof/>
        </w:rPr>
        <w:t>moż</w:t>
      </w:r>
      <w:r w:rsidR="00AD62E2" w:rsidRPr="002F16A1">
        <w:rPr>
          <w:noProof/>
        </w:rPr>
        <w:t>liwie jak największym zakresie.</w:t>
      </w:r>
    </w:p>
    <w:p w:rsidR="00AD62E2" w:rsidRPr="002F16A1" w:rsidRDefault="00733965" w:rsidP="00733965">
      <w:pPr>
        <w:pStyle w:val="ManualConsidrant"/>
        <w:rPr>
          <w:noProof/>
        </w:rPr>
      </w:pPr>
      <w:r w:rsidRPr="00733965">
        <w:t>(34)</w:t>
      </w:r>
      <w:r w:rsidRPr="00733965">
        <w:tab/>
      </w:r>
      <w:r w:rsidR="00AD62E2" w:rsidRPr="002F16A1">
        <w:rPr>
          <w:noProof/>
        </w:rPr>
        <w:t>Chociaż wzmocnienie unijnego łańcucha wartości surowców krytycznych jest niezbędne do zwiększenia bezpieczeństwa dostaw, łańcuchy dostaw surowców krytycznych</w:t>
      </w:r>
      <w:r w:rsidR="0028384B" w:rsidRPr="002F16A1">
        <w:rPr>
          <w:noProof/>
        </w:rPr>
        <w:t xml:space="preserve"> w</w:t>
      </w:r>
      <w:r w:rsidR="0028384B">
        <w:rPr>
          <w:noProof/>
        </w:rPr>
        <w:t> </w:t>
      </w:r>
      <w:r w:rsidR="0028384B" w:rsidRPr="002F16A1">
        <w:rPr>
          <w:noProof/>
        </w:rPr>
        <w:t>dal</w:t>
      </w:r>
      <w:r w:rsidR="00AD62E2" w:rsidRPr="002F16A1">
        <w:rPr>
          <w:noProof/>
        </w:rPr>
        <w:t>szym ciągu będą miały charakter globalny</w:t>
      </w:r>
      <w:r w:rsidR="0028384B" w:rsidRPr="002F16A1">
        <w:rPr>
          <w:noProof/>
        </w:rPr>
        <w:t xml:space="preserve"> i</w:t>
      </w:r>
      <w:r w:rsidR="0028384B">
        <w:rPr>
          <w:noProof/>
        </w:rPr>
        <w:t> </w:t>
      </w:r>
      <w:r w:rsidR="0028384B" w:rsidRPr="002F16A1">
        <w:rPr>
          <w:noProof/>
        </w:rPr>
        <w:t>będ</w:t>
      </w:r>
      <w:r w:rsidR="00AD62E2" w:rsidRPr="002F16A1">
        <w:rPr>
          <w:noProof/>
        </w:rPr>
        <w:t>ą narażone na czynniki zewnętrzne. Niedawne lub trwające wydarzenia – od kryzysu związanego z COVID-19 po niczym niesprowokowaną</w:t>
      </w:r>
      <w:r w:rsidR="0028384B" w:rsidRPr="002F16A1">
        <w:rPr>
          <w:noProof/>
        </w:rPr>
        <w:t xml:space="preserve"> i</w:t>
      </w:r>
      <w:r w:rsidR="0028384B">
        <w:rPr>
          <w:noProof/>
        </w:rPr>
        <w:t> </w:t>
      </w:r>
      <w:r w:rsidR="0028384B" w:rsidRPr="002F16A1">
        <w:rPr>
          <w:noProof/>
        </w:rPr>
        <w:t>nie</w:t>
      </w:r>
      <w:r w:rsidR="00AD62E2" w:rsidRPr="002F16A1">
        <w:rPr>
          <w:noProof/>
        </w:rPr>
        <w:t>uzasadnioną agresję wojskową Rosji wobec Ukrainy – uwydatniły podatność niektórych unijnych łańcuchów dostaw na zakłócenia. Aby państwa członkowskie</w:t>
      </w:r>
      <w:r w:rsidR="0028384B" w:rsidRPr="002F16A1">
        <w:rPr>
          <w:noProof/>
        </w:rPr>
        <w:t xml:space="preserve"> i</w:t>
      </w:r>
      <w:r w:rsidR="0028384B">
        <w:rPr>
          <w:noProof/>
        </w:rPr>
        <w:t> </w:t>
      </w:r>
      <w:r w:rsidR="0028384B" w:rsidRPr="002F16A1">
        <w:rPr>
          <w:noProof/>
        </w:rPr>
        <w:t>sek</w:t>
      </w:r>
      <w:r w:rsidR="00AD62E2" w:rsidRPr="002F16A1">
        <w:rPr>
          <w:noProof/>
        </w:rPr>
        <w:t>tory przemysłu europejskiego były</w:t>
      </w:r>
      <w:r w:rsidR="0028384B" w:rsidRPr="002F16A1">
        <w:rPr>
          <w:noProof/>
        </w:rPr>
        <w:t xml:space="preserve"> w</w:t>
      </w:r>
      <w:r w:rsidR="0028384B">
        <w:rPr>
          <w:noProof/>
        </w:rPr>
        <w:t> </w:t>
      </w:r>
      <w:r w:rsidR="0028384B" w:rsidRPr="002F16A1">
        <w:rPr>
          <w:noProof/>
        </w:rPr>
        <w:t>sta</w:t>
      </w:r>
      <w:r w:rsidR="00AD62E2" w:rsidRPr="002F16A1">
        <w:rPr>
          <w:noProof/>
        </w:rPr>
        <w:t>nie przewidzieć zakłócenia dostaw oraz mogły przygotować się do tego, by przeciwstawić się ich konsekwencjom, należy opracować działania mające na celu zwiększenie zdolności</w:t>
      </w:r>
      <w:r w:rsidR="0028384B" w:rsidRPr="002F16A1">
        <w:rPr>
          <w:noProof/>
        </w:rPr>
        <w:t xml:space="preserve"> w</w:t>
      </w:r>
      <w:r w:rsidR="0028384B">
        <w:rPr>
          <w:noProof/>
        </w:rPr>
        <w:t> </w:t>
      </w:r>
      <w:r w:rsidR="0028384B" w:rsidRPr="002F16A1">
        <w:rPr>
          <w:noProof/>
        </w:rPr>
        <w:t>zak</w:t>
      </w:r>
      <w:r w:rsidR="00AD62E2" w:rsidRPr="002F16A1">
        <w:rPr>
          <w:noProof/>
        </w:rPr>
        <w:t>resie monitorowania, koordynację zapasów strategicznych oraz poprawę przygotowania przedsiębiorstw.</w:t>
      </w:r>
    </w:p>
    <w:p w:rsidR="00AD62E2" w:rsidRPr="002F16A1" w:rsidRDefault="00733965" w:rsidP="00733965">
      <w:pPr>
        <w:pStyle w:val="ManualConsidrant"/>
        <w:rPr>
          <w:noProof/>
        </w:rPr>
      </w:pPr>
      <w:r w:rsidRPr="00733965">
        <w:t>(35)</w:t>
      </w:r>
      <w:r w:rsidRPr="00733965">
        <w:tab/>
      </w:r>
      <w:r w:rsidR="00AD62E2" w:rsidRPr="002F16A1">
        <w:rPr>
          <w:noProof/>
        </w:rPr>
        <w:t>Państwa członkowskie nie dysponują takimi samymi zdolnościami, jeśli chodzi</w:t>
      </w:r>
      <w:r w:rsidR="0028384B" w:rsidRPr="002F16A1">
        <w:rPr>
          <w:noProof/>
        </w:rPr>
        <w:t xml:space="preserve"> o</w:t>
      </w:r>
      <w:r w:rsidR="0028384B">
        <w:rPr>
          <w:noProof/>
        </w:rPr>
        <w:t> </w:t>
      </w:r>
      <w:r w:rsidR="0028384B" w:rsidRPr="002F16A1">
        <w:rPr>
          <w:noProof/>
        </w:rPr>
        <w:t>świ</w:t>
      </w:r>
      <w:r w:rsidR="00AD62E2" w:rsidRPr="002F16A1">
        <w:rPr>
          <w:noProof/>
        </w:rPr>
        <w:t>adomość ryzyka</w:t>
      </w:r>
      <w:r w:rsidR="0028384B" w:rsidRPr="002F16A1">
        <w:rPr>
          <w:noProof/>
        </w:rPr>
        <w:t xml:space="preserve"> i</w:t>
      </w:r>
      <w:r w:rsidR="0028384B">
        <w:rPr>
          <w:noProof/>
        </w:rPr>
        <w:t> </w:t>
      </w:r>
      <w:r w:rsidR="0028384B" w:rsidRPr="002F16A1">
        <w:rPr>
          <w:noProof/>
        </w:rPr>
        <w:t>prz</w:t>
      </w:r>
      <w:r w:rsidR="00AD62E2" w:rsidRPr="002F16A1">
        <w:rPr>
          <w:noProof/>
        </w:rPr>
        <w:t>ewidywanie zagrożeń,</w:t>
      </w:r>
      <w:r w:rsidR="0028384B" w:rsidRPr="002F16A1">
        <w:rPr>
          <w:noProof/>
        </w:rPr>
        <w:t xml:space="preserve"> i</w:t>
      </w:r>
      <w:r w:rsidR="0028384B">
        <w:rPr>
          <w:noProof/>
        </w:rPr>
        <w:t> </w:t>
      </w:r>
      <w:r w:rsidR="0028384B" w:rsidRPr="002F16A1">
        <w:rPr>
          <w:noProof/>
        </w:rPr>
        <w:t>nie</w:t>
      </w:r>
      <w:r w:rsidR="00AD62E2" w:rsidRPr="002F16A1">
        <w:rPr>
          <w:noProof/>
        </w:rPr>
        <w:t xml:space="preserve"> wszystkie państwa członkowskie opracowały specjalne struktury służące do monitorowania łańcuchów dostaw surowców krytycznych</w:t>
      </w:r>
      <w:r w:rsidR="0028384B" w:rsidRPr="002F16A1">
        <w:rPr>
          <w:noProof/>
        </w:rPr>
        <w:t xml:space="preserve"> i</w:t>
      </w:r>
      <w:r w:rsidR="0028384B">
        <w:rPr>
          <w:noProof/>
        </w:rPr>
        <w:t> </w:t>
      </w:r>
      <w:r w:rsidR="0028384B" w:rsidRPr="002F16A1">
        <w:rPr>
          <w:noProof/>
        </w:rPr>
        <w:t>mog</w:t>
      </w:r>
      <w:r w:rsidR="00AD62E2" w:rsidRPr="002F16A1">
        <w:rPr>
          <w:noProof/>
        </w:rPr>
        <w:t>ą informować przedsiębiorstwa</w:t>
      </w:r>
      <w:r w:rsidR="0028384B" w:rsidRPr="002F16A1">
        <w:rPr>
          <w:noProof/>
        </w:rPr>
        <w:t xml:space="preserve"> o</w:t>
      </w:r>
      <w:r w:rsidR="0028384B">
        <w:rPr>
          <w:noProof/>
        </w:rPr>
        <w:t> </w:t>
      </w:r>
      <w:r w:rsidR="0028384B" w:rsidRPr="002F16A1">
        <w:rPr>
          <w:noProof/>
        </w:rPr>
        <w:t>pot</w:t>
      </w:r>
      <w:r w:rsidR="00AD62E2" w:rsidRPr="002F16A1">
        <w:rPr>
          <w:noProof/>
        </w:rPr>
        <w:t>encjalnych zagrożeniach związanych</w:t>
      </w:r>
      <w:r w:rsidR="0028384B" w:rsidRPr="002F16A1">
        <w:rPr>
          <w:noProof/>
        </w:rPr>
        <w:t xml:space="preserve"> z</w:t>
      </w:r>
      <w:r w:rsidR="0028384B">
        <w:rPr>
          <w:noProof/>
        </w:rPr>
        <w:t> </w:t>
      </w:r>
      <w:r w:rsidR="0028384B" w:rsidRPr="002F16A1">
        <w:rPr>
          <w:noProof/>
        </w:rPr>
        <w:t>zak</w:t>
      </w:r>
      <w:r w:rsidR="00AD62E2" w:rsidRPr="002F16A1">
        <w:rPr>
          <w:noProof/>
        </w:rPr>
        <w:t>łóceniami dostaw. Ponadto, podczas gdy niektóre przedsiębiorstwa zainwestowały</w:t>
      </w:r>
      <w:r w:rsidR="0028384B" w:rsidRPr="002F16A1">
        <w:rPr>
          <w:noProof/>
        </w:rPr>
        <w:t xml:space="preserve"> w</w:t>
      </w:r>
      <w:r w:rsidR="0028384B">
        <w:rPr>
          <w:noProof/>
        </w:rPr>
        <w:t> </w:t>
      </w:r>
      <w:r w:rsidR="0028384B" w:rsidRPr="002F16A1">
        <w:rPr>
          <w:noProof/>
        </w:rPr>
        <w:t>mon</w:t>
      </w:r>
      <w:r w:rsidR="00AD62E2" w:rsidRPr="002F16A1">
        <w:rPr>
          <w:noProof/>
        </w:rPr>
        <w:t>itorowanie swoich łańcuchów dostaw, inne nie mają takich możliwości</w:t>
      </w:r>
      <w:r w:rsidR="0028384B" w:rsidRPr="002F16A1">
        <w:rPr>
          <w:noProof/>
        </w:rPr>
        <w:t>. W</w:t>
      </w:r>
      <w:r w:rsidR="0028384B">
        <w:rPr>
          <w:noProof/>
        </w:rPr>
        <w:t> </w:t>
      </w:r>
      <w:r w:rsidR="0028384B" w:rsidRPr="002F16A1">
        <w:rPr>
          <w:noProof/>
        </w:rPr>
        <w:t>zwi</w:t>
      </w:r>
      <w:r w:rsidR="00AD62E2" w:rsidRPr="002F16A1">
        <w:rPr>
          <w:noProof/>
        </w:rPr>
        <w:t>ązku</w:t>
      </w:r>
      <w:r w:rsidR="0028384B" w:rsidRPr="002F16A1">
        <w:rPr>
          <w:noProof/>
        </w:rPr>
        <w:t xml:space="preserve"> z</w:t>
      </w:r>
      <w:r w:rsidR="0028384B">
        <w:rPr>
          <w:noProof/>
        </w:rPr>
        <w:t> </w:t>
      </w:r>
      <w:r w:rsidR="0028384B" w:rsidRPr="002F16A1">
        <w:rPr>
          <w:noProof/>
        </w:rPr>
        <w:t>tym</w:t>
      </w:r>
      <w:r w:rsidR="00AD62E2" w:rsidRPr="002F16A1">
        <w:rPr>
          <w:noProof/>
        </w:rPr>
        <w:t>, biorąc pod uwagę globalny wymiar łańcuchów dostaw surowców krytycznych oraz ich złożoność, Komisja powinna opracować specjalną tablicę wskaźników monitorowania służącą do oceny ryzyka związanego</w:t>
      </w:r>
      <w:r w:rsidR="0028384B" w:rsidRPr="002F16A1">
        <w:rPr>
          <w:noProof/>
        </w:rPr>
        <w:t xml:space="preserve"> z</w:t>
      </w:r>
      <w:r w:rsidR="0028384B">
        <w:rPr>
          <w:noProof/>
        </w:rPr>
        <w:t> </w:t>
      </w:r>
      <w:r w:rsidR="0028384B" w:rsidRPr="002F16A1">
        <w:rPr>
          <w:noProof/>
        </w:rPr>
        <w:t>dos</w:t>
      </w:r>
      <w:r w:rsidR="00AD62E2" w:rsidRPr="002F16A1">
        <w:rPr>
          <w:noProof/>
        </w:rPr>
        <w:t>tawami surowców krytycznych oraz zapewnić organom publicznym</w:t>
      </w:r>
      <w:r w:rsidR="0028384B" w:rsidRPr="002F16A1">
        <w:rPr>
          <w:noProof/>
        </w:rPr>
        <w:t xml:space="preserve"> i</w:t>
      </w:r>
      <w:r w:rsidR="0028384B">
        <w:rPr>
          <w:noProof/>
        </w:rPr>
        <w:t> </w:t>
      </w:r>
      <w:r w:rsidR="0028384B" w:rsidRPr="002F16A1">
        <w:rPr>
          <w:noProof/>
        </w:rPr>
        <w:t>pod</w:t>
      </w:r>
      <w:r w:rsidR="00AD62E2" w:rsidRPr="002F16A1">
        <w:rPr>
          <w:noProof/>
        </w:rPr>
        <w:t>miotom prywatnym dostęp do zgromadzonych informacji, co przyczyni się do zwiększenia synergii między państwami członkowskimi. Aby zapewnić dostateczne przygotowanie unijnych łańcuchów wartości na potencjalne zakłócenia dostaw, Komisja powinna przeprowadzić testy warunków skrajnych oceniające podatność łańcuchów dostaw surowców strategicznych oraz ich narażenie na ryzyko związane</w:t>
      </w:r>
      <w:r w:rsidR="0028384B" w:rsidRPr="002F16A1">
        <w:rPr>
          <w:noProof/>
        </w:rPr>
        <w:t xml:space="preserve"> z</w:t>
      </w:r>
      <w:r w:rsidR="0028384B">
        <w:rPr>
          <w:noProof/>
        </w:rPr>
        <w:t> </w:t>
      </w:r>
      <w:r w:rsidR="0028384B" w:rsidRPr="002F16A1">
        <w:rPr>
          <w:noProof/>
        </w:rPr>
        <w:t>dos</w:t>
      </w:r>
      <w:r w:rsidR="00AD62E2" w:rsidRPr="002F16A1">
        <w:rPr>
          <w:noProof/>
        </w:rPr>
        <w:t>tawami. Państwa członkowskie powinny wnieść swój wkład w te działania, przeprowadzając takie testy warunków skrajnych</w:t>
      </w:r>
      <w:r w:rsidR="0028384B" w:rsidRPr="002F16A1">
        <w:rPr>
          <w:noProof/>
        </w:rPr>
        <w:t xml:space="preserve"> w</w:t>
      </w:r>
      <w:r w:rsidR="0028384B">
        <w:rPr>
          <w:noProof/>
        </w:rPr>
        <w:t> </w:t>
      </w:r>
      <w:r w:rsidR="0028384B" w:rsidRPr="002F16A1">
        <w:rPr>
          <w:noProof/>
        </w:rPr>
        <w:t>mia</w:t>
      </w:r>
      <w:r w:rsidR="00AD62E2" w:rsidRPr="002F16A1">
        <w:rPr>
          <w:noProof/>
        </w:rPr>
        <w:t>rę możliwości za pośrednictwem swoich krajowych agencji dostaw</w:t>
      </w:r>
      <w:r w:rsidR="0028384B" w:rsidRPr="002F16A1">
        <w:rPr>
          <w:noProof/>
        </w:rPr>
        <w:t xml:space="preserve"> i</w:t>
      </w:r>
      <w:r w:rsidR="0028384B">
        <w:rPr>
          <w:noProof/>
        </w:rPr>
        <w:t> </w:t>
      </w:r>
      <w:r w:rsidR="0028384B" w:rsidRPr="002F16A1">
        <w:rPr>
          <w:noProof/>
        </w:rPr>
        <w:t>age</w:t>
      </w:r>
      <w:r w:rsidR="00AD62E2" w:rsidRPr="002F16A1">
        <w:rPr>
          <w:noProof/>
        </w:rPr>
        <w:t>ncji informacyjnych działających</w:t>
      </w:r>
      <w:r w:rsidR="0028384B" w:rsidRPr="002F16A1">
        <w:rPr>
          <w:noProof/>
        </w:rPr>
        <w:t xml:space="preserve"> w</w:t>
      </w:r>
      <w:r w:rsidR="0028384B">
        <w:rPr>
          <w:noProof/>
        </w:rPr>
        <w:t> </w:t>
      </w:r>
      <w:r w:rsidR="0028384B" w:rsidRPr="002F16A1">
        <w:rPr>
          <w:noProof/>
        </w:rPr>
        <w:t>obs</w:t>
      </w:r>
      <w:r w:rsidR="00AD62E2" w:rsidRPr="002F16A1">
        <w:rPr>
          <w:noProof/>
        </w:rPr>
        <w:t>zarze surowców krytycznych. Rada ds. Surowców Krytycznych powinna zapewnić koordynację przeprowadzania testów warunków skrajnych przez Komisję</w:t>
      </w:r>
      <w:r w:rsidR="0028384B" w:rsidRPr="002F16A1">
        <w:rPr>
          <w:noProof/>
        </w:rPr>
        <w:t xml:space="preserve"> i</w:t>
      </w:r>
      <w:r w:rsidR="0028384B">
        <w:rPr>
          <w:noProof/>
        </w:rPr>
        <w:t> </w:t>
      </w:r>
      <w:r w:rsidR="0028384B" w:rsidRPr="002F16A1">
        <w:rPr>
          <w:noProof/>
        </w:rPr>
        <w:t>pań</w:t>
      </w:r>
      <w:r w:rsidR="00AD62E2" w:rsidRPr="002F16A1">
        <w:rPr>
          <w:noProof/>
        </w:rPr>
        <w:t>stwa członkowskie</w:t>
      </w:r>
      <w:r w:rsidR="0028384B" w:rsidRPr="002F16A1">
        <w:rPr>
          <w:noProof/>
        </w:rPr>
        <w:t>. W</w:t>
      </w:r>
      <w:r w:rsidR="0028384B">
        <w:rPr>
          <w:noProof/>
        </w:rPr>
        <w:t> </w:t>
      </w:r>
      <w:r w:rsidR="0028384B" w:rsidRPr="002F16A1">
        <w:rPr>
          <w:noProof/>
        </w:rPr>
        <w:t>prz</w:t>
      </w:r>
      <w:r w:rsidR="00AD62E2" w:rsidRPr="002F16A1">
        <w:rPr>
          <w:noProof/>
        </w:rPr>
        <w:t>ypadku gdy żadne państwo członkowskie nie ma możliwości przeprowadzenia wymaganego testu warunków skrajnych</w:t>
      </w:r>
      <w:r w:rsidR="0028384B" w:rsidRPr="002F16A1">
        <w:rPr>
          <w:noProof/>
        </w:rPr>
        <w:t xml:space="preserve"> w</w:t>
      </w:r>
      <w:r w:rsidR="0028384B">
        <w:rPr>
          <w:noProof/>
        </w:rPr>
        <w:t> </w:t>
      </w:r>
      <w:r w:rsidR="0028384B" w:rsidRPr="002F16A1">
        <w:rPr>
          <w:noProof/>
        </w:rPr>
        <w:t>odn</w:t>
      </w:r>
      <w:r w:rsidR="00AD62E2" w:rsidRPr="002F16A1">
        <w:rPr>
          <w:noProof/>
        </w:rPr>
        <w:t>iesieniu do danego surowca strategicznego, Komisja powinna sama przeprowadzić taki test. Podczas podawania wyników takich testów warunków skrajnych do wiadomości publicznej Komisja powinna również zasugerować potencjalne strategie, które mogą przyjąć organy publiczne</w:t>
      </w:r>
      <w:r w:rsidR="0028384B" w:rsidRPr="002F16A1">
        <w:rPr>
          <w:noProof/>
        </w:rPr>
        <w:t xml:space="preserve"> i</w:t>
      </w:r>
      <w:r w:rsidR="0028384B">
        <w:rPr>
          <w:noProof/>
        </w:rPr>
        <w:t> </w:t>
      </w:r>
      <w:r w:rsidR="0028384B" w:rsidRPr="002F16A1">
        <w:rPr>
          <w:noProof/>
        </w:rPr>
        <w:t>pod</w:t>
      </w:r>
      <w:r w:rsidR="00AD62E2" w:rsidRPr="002F16A1">
        <w:rPr>
          <w:noProof/>
        </w:rPr>
        <w:t>mioty prywatne</w:t>
      </w:r>
      <w:r w:rsidR="0028384B" w:rsidRPr="002F16A1">
        <w:rPr>
          <w:noProof/>
        </w:rPr>
        <w:t xml:space="preserve"> w</w:t>
      </w:r>
      <w:r w:rsidR="0028384B">
        <w:rPr>
          <w:noProof/>
        </w:rPr>
        <w:t> </w:t>
      </w:r>
      <w:r w:rsidR="0028384B" w:rsidRPr="002F16A1">
        <w:rPr>
          <w:noProof/>
        </w:rPr>
        <w:t>cel</w:t>
      </w:r>
      <w:r w:rsidR="00AD62E2" w:rsidRPr="002F16A1">
        <w:rPr>
          <w:noProof/>
        </w:rPr>
        <w:t>u ograniczenia ryzyka związanego</w:t>
      </w:r>
      <w:r w:rsidR="0028384B" w:rsidRPr="002F16A1">
        <w:rPr>
          <w:noProof/>
        </w:rPr>
        <w:t xml:space="preserve"> z</w:t>
      </w:r>
      <w:r w:rsidR="0028384B">
        <w:rPr>
          <w:noProof/>
        </w:rPr>
        <w:t> </w:t>
      </w:r>
      <w:r w:rsidR="0028384B" w:rsidRPr="002F16A1">
        <w:rPr>
          <w:noProof/>
        </w:rPr>
        <w:t>dos</w:t>
      </w:r>
      <w:r w:rsidR="00AD62E2" w:rsidRPr="002F16A1">
        <w:rPr>
          <w:noProof/>
        </w:rPr>
        <w:t>tawami, takie jak stworzenie zapasów strategicznych lub dalsza dywersyfikacja swoich dostaw. Na potrzeby gromadzenia informacji niezbędnych do monitorowania działań podejmowanych</w:t>
      </w:r>
      <w:r w:rsidR="0028384B" w:rsidRPr="002F16A1">
        <w:rPr>
          <w:noProof/>
        </w:rPr>
        <w:t xml:space="preserve"> w</w:t>
      </w:r>
      <w:r w:rsidR="0028384B">
        <w:rPr>
          <w:noProof/>
        </w:rPr>
        <w:t> </w:t>
      </w:r>
      <w:r w:rsidR="0028384B" w:rsidRPr="002F16A1">
        <w:rPr>
          <w:noProof/>
        </w:rPr>
        <w:t>ram</w:t>
      </w:r>
      <w:r w:rsidR="00AD62E2" w:rsidRPr="002F16A1">
        <w:rPr>
          <w:noProof/>
        </w:rPr>
        <w:t>ach testów warunków skrajnych Komisja powinna zadbać</w:t>
      </w:r>
      <w:r w:rsidR="0028384B" w:rsidRPr="002F16A1">
        <w:rPr>
          <w:noProof/>
        </w:rPr>
        <w:t xml:space="preserve"> o</w:t>
      </w:r>
      <w:r w:rsidR="0028384B">
        <w:rPr>
          <w:noProof/>
        </w:rPr>
        <w:t> </w:t>
      </w:r>
      <w:r w:rsidR="0028384B" w:rsidRPr="002F16A1">
        <w:rPr>
          <w:noProof/>
        </w:rPr>
        <w:t>koo</w:t>
      </w:r>
      <w:r w:rsidR="00AD62E2" w:rsidRPr="002F16A1">
        <w:rPr>
          <w:noProof/>
        </w:rPr>
        <w:t>rdynację</w:t>
      </w:r>
      <w:r w:rsidR="0028384B" w:rsidRPr="002F16A1">
        <w:rPr>
          <w:noProof/>
        </w:rPr>
        <w:t xml:space="preserve"> z</w:t>
      </w:r>
      <w:r w:rsidR="0028384B">
        <w:rPr>
          <w:noProof/>
        </w:rPr>
        <w:t> </w:t>
      </w:r>
      <w:r w:rsidR="0028384B" w:rsidRPr="002F16A1">
        <w:rPr>
          <w:noProof/>
        </w:rPr>
        <w:t>odp</w:t>
      </w:r>
      <w:r w:rsidR="00AD62E2" w:rsidRPr="002F16A1">
        <w:rPr>
          <w:noProof/>
        </w:rPr>
        <w:t>owiednią stałą podgrupą Rady ds. Surowców Krytycznych,</w:t>
      </w:r>
      <w:r w:rsidR="0028384B" w:rsidRPr="002F16A1">
        <w:rPr>
          <w:noProof/>
        </w:rPr>
        <w:t xml:space="preserve"> a</w:t>
      </w:r>
      <w:r w:rsidR="0028384B">
        <w:rPr>
          <w:noProof/>
        </w:rPr>
        <w:t> </w:t>
      </w:r>
      <w:r w:rsidR="0028384B" w:rsidRPr="002F16A1">
        <w:rPr>
          <w:noProof/>
        </w:rPr>
        <w:t>pań</w:t>
      </w:r>
      <w:r w:rsidR="00AD62E2" w:rsidRPr="002F16A1">
        <w:rPr>
          <w:noProof/>
        </w:rPr>
        <w:t>stwa członkowskie powinny zidentyfikować</w:t>
      </w:r>
      <w:r w:rsidR="0028384B" w:rsidRPr="002F16A1">
        <w:rPr>
          <w:noProof/>
        </w:rPr>
        <w:t xml:space="preserve"> i</w:t>
      </w:r>
      <w:r w:rsidR="0028384B">
        <w:rPr>
          <w:noProof/>
        </w:rPr>
        <w:t> </w:t>
      </w:r>
      <w:r w:rsidR="0028384B" w:rsidRPr="002F16A1">
        <w:rPr>
          <w:noProof/>
        </w:rPr>
        <w:t>mon</w:t>
      </w:r>
      <w:r w:rsidR="00AD62E2" w:rsidRPr="002F16A1">
        <w:rPr>
          <w:noProof/>
        </w:rPr>
        <w:t>itorować kluczowych operatorów rynku, którzy mają istotne znaczenie dla funkcjonowania łańcucha wartości</w:t>
      </w:r>
      <w:r w:rsidR="0028384B" w:rsidRPr="002F16A1">
        <w:rPr>
          <w:noProof/>
        </w:rPr>
        <w:t>. W</w:t>
      </w:r>
      <w:r w:rsidR="0028384B">
        <w:rPr>
          <w:noProof/>
        </w:rPr>
        <w:t> </w:t>
      </w:r>
      <w:r w:rsidR="0028384B" w:rsidRPr="002F16A1">
        <w:rPr>
          <w:noProof/>
        </w:rPr>
        <w:t>prz</w:t>
      </w:r>
      <w:r w:rsidR="00AD62E2" w:rsidRPr="002F16A1">
        <w:rPr>
          <w:noProof/>
        </w:rPr>
        <w:t>ypadku gdy żaden członek stałej podgrupy nie ma możliwości przeprowadzenia wymaganego testu warunków skrajnych</w:t>
      </w:r>
      <w:r w:rsidR="0028384B" w:rsidRPr="002F16A1">
        <w:rPr>
          <w:noProof/>
        </w:rPr>
        <w:t xml:space="preserve"> w</w:t>
      </w:r>
      <w:r w:rsidR="0028384B">
        <w:rPr>
          <w:noProof/>
        </w:rPr>
        <w:t> </w:t>
      </w:r>
      <w:r w:rsidR="0028384B" w:rsidRPr="002F16A1">
        <w:rPr>
          <w:noProof/>
        </w:rPr>
        <w:t>odn</w:t>
      </w:r>
      <w:r w:rsidR="00AD62E2" w:rsidRPr="002F16A1">
        <w:rPr>
          <w:noProof/>
        </w:rPr>
        <w:t xml:space="preserve">iesieniu do danego surowca strategicznego, Komisja powinna sama przeprowadzić taki test. </w:t>
      </w:r>
    </w:p>
    <w:p w:rsidR="00AD62E2" w:rsidRPr="002F16A1" w:rsidRDefault="00733965" w:rsidP="00733965">
      <w:pPr>
        <w:pStyle w:val="ManualConsidrant"/>
        <w:rPr>
          <w:noProof/>
        </w:rPr>
      </w:pPr>
      <w:r w:rsidRPr="00733965">
        <w:t>(36)</w:t>
      </w:r>
      <w:r w:rsidRPr="00733965">
        <w:tab/>
      </w:r>
      <w:r w:rsidR="00AD62E2" w:rsidRPr="002F16A1">
        <w:rPr>
          <w:noProof/>
        </w:rPr>
        <w:t>Zapasy strategiczne są ważnym narzędziem umożliwiającym ograniczenie zakłóceń dostaw,</w:t>
      </w:r>
      <w:r w:rsidR="0028384B" w:rsidRPr="002F16A1">
        <w:rPr>
          <w:noProof/>
        </w:rPr>
        <w:t xml:space="preserve"> w</w:t>
      </w:r>
      <w:r w:rsidR="0028384B">
        <w:rPr>
          <w:noProof/>
        </w:rPr>
        <w:t> </w:t>
      </w:r>
      <w:r w:rsidR="0028384B" w:rsidRPr="002F16A1">
        <w:rPr>
          <w:noProof/>
        </w:rPr>
        <w:t>szc</w:t>
      </w:r>
      <w:r w:rsidR="00AD62E2" w:rsidRPr="002F16A1">
        <w:rPr>
          <w:noProof/>
        </w:rPr>
        <w:t>zególności dostaw surowców. Mimo że zaproponowany nadzwyczajny instrument jednolitego rynku umożliwia ewentualne stworzenie takich zapasów</w:t>
      </w:r>
      <w:r w:rsidR="0028384B" w:rsidRPr="002F16A1">
        <w:rPr>
          <w:noProof/>
        </w:rPr>
        <w:t xml:space="preserve"> w</w:t>
      </w:r>
      <w:r w:rsidR="0028384B">
        <w:rPr>
          <w:noProof/>
        </w:rPr>
        <w:t> </w:t>
      </w:r>
      <w:r w:rsidR="0028384B" w:rsidRPr="002F16A1">
        <w:rPr>
          <w:noProof/>
        </w:rPr>
        <w:t>prz</w:t>
      </w:r>
      <w:r w:rsidR="00AD62E2" w:rsidRPr="002F16A1">
        <w:rPr>
          <w:noProof/>
        </w:rPr>
        <w:t>ypadku uruchomienia trybu podwyższonej czujności dotyczącej jednolitego rynku, państwa członkowskie</w:t>
      </w:r>
      <w:r w:rsidR="0028384B" w:rsidRPr="002F16A1">
        <w:rPr>
          <w:noProof/>
        </w:rPr>
        <w:t xml:space="preserve"> i</w:t>
      </w:r>
      <w:r w:rsidR="0028384B">
        <w:rPr>
          <w:noProof/>
        </w:rPr>
        <w:t> </w:t>
      </w:r>
      <w:r w:rsidR="0028384B" w:rsidRPr="002F16A1">
        <w:rPr>
          <w:noProof/>
        </w:rPr>
        <w:t>prz</w:t>
      </w:r>
      <w:r w:rsidR="00AD62E2" w:rsidRPr="002F16A1">
        <w:rPr>
          <w:noProof/>
        </w:rPr>
        <w:t>edsiębiorstwa nie mają obowiązku stworzenia ani koordynacji swoich zapasów strategicznych, dopóki nie dojdzie do zakłócenia dostaw. Ponadto</w:t>
      </w:r>
      <w:r w:rsidR="0028384B" w:rsidRPr="002F16A1">
        <w:rPr>
          <w:noProof/>
        </w:rPr>
        <w:t xml:space="preserve"> w</w:t>
      </w:r>
      <w:r w:rsidR="0028384B">
        <w:rPr>
          <w:noProof/>
        </w:rPr>
        <w:t> </w:t>
      </w:r>
      <w:r w:rsidR="0028384B" w:rsidRPr="002F16A1">
        <w:rPr>
          <w:noProof/>
        </w:rPr>
        <w:t>Uni</w:t>
      </w:r>
      <w:r w:rsidR="00AD62E2" w:rsidRPr="002F16A1">
        <w:rPr>
          <w:noProof/>
        </w:rPr>
        <w:t>i Europejskiej nie funkcjonuje żaden mechanizm koordynacji, który umożliwiałby opracowanie wspólnej oceny oraz analizy potencjalnego powielania działań</w:t>
      </w:r>
      <w:r w:rsidR="0028384B" w:rsidRPr="002F16A1">
        <w:rPr>
          <w:noProof/>
        </w:rPr>
        <w:t xml:space="preserve"> i</w:t>
      </w:r>
      <w:r w:rsidR="0028384B">
        <w:rPr>
          <w:noProof/>
        </w:rPr>
        <w:t> </w:t>
      </w:r>
      <w:r w:rsidR="0028384B" w:rsidRPr="002F16A1">
        <w:rPr>
          <w:noProof/>
        </w:rPr>
        <w:t>pot</w:t>
      </w:r>
      <w:r w:rsidR="00AD62E2" w:rsidRPr="002F16A1">
        <w:rPr>
          <w:noProof/>
        </w:rPr>
        <w:t>encjalnych synergii</w:t>
      </w:r>
      <w:r w:rsidR="0028384B" w:rsidRPr="002F16A1">
        <w:rPr>
          <w:noProof/>
        </w:rPr>
        <w:t>. W</w:t>
      </w:r>
      <w:r w:rsidR="0028384B">
        <w:rPr>
          <w:noProof/>
        </w:rPr>
        <w:t> </w:t>
      </w:r>
      <w:r w:rsidR="0028384B" w:rsidRPr="002F16A1">
        <w:rPr>
          <w:noProof/>
        </w:rPr>
        <w:t>zwi</w:t>
      </w:r>
      <w:r w:rsidR="00AD62E2" w:rsidRPr="002F16A1">
        <w:rPr>
          <w:noProof/>
        </w:rPr>
        <w:t>ązku</w:t>
      </w:r>
      <w:r w:rsidR="0028384B" w:rsidRPr="002F16A1">
        <w:rPr>
          <w:noProof/>
        </w:rPr>
        <w:t xml:space="preserve"> z</w:t>
      </w:r>
      <w:r w:rsidR="0028384B">
        <w:rPr>
          <w:noProof/>
        </w:rPr>
        <w:t> </w:t>
      </w:r>
      <w:r w:rsidR="0028384B" w:rsidRPr="002F16A1">
        <w:rPr>
          <w:noProof/>
        </w:rPr>
        <w:t>tym</w:t>
      </w:r>
      <w:r w:rsidR="00AD62E2" w:rsidRPr="002F16A1">
        <w:rPr>
          <w:noProof/>
        </w:rPr>
        <w:t>, biorąc pod uwagę obecny brak odpowiednich informacji, państwa członkowskie powinny</w:t>
      </w:r>
      <w:r w:rsidR="0028384B" w:rsidRPr="002F16A1">
        <w:rPr>
          <w:noProof/>
        </w:rPr>
        <w:t xml:space="preserve"> w</w:t>
      </w:r>
      <w:r w:rsidR="0028384B">
        <w:rPr>
          <w:noProof/>
        </w:rPr>
        <w:t> </w:t>
      </w:r>
      <w:r w:rsidR="0028384B" w:rsidRPr="002F16A1">
        <w:rPr>
          <w:noProof/>
        </w:rPr>
        <w:t>pie</w:t>
      </w:r>
      <w:r w:rsidR="00AD62E2" w:rsidRPr="002F16A1">
        <w:rPr>
          <w:noProof/>
        </w:rPr>
        <w:t>rwszej kolejności przekazywać informacje na temat swoich zapasów strategicznych Komisji, niezależnie od tego, czy tymi zapasami zarządzają organy publiczne, czy podmioty gospodarcze działające</w:t>
      </w:r>
      <w:r w:rsidR="0028384B" w:rsidRPr="002F16A1">
        <w:rPr>
          <w:noProof/>
        </w:rPr>
        <w:t xml:space="preserve"> w</w:t>
      </w:r>
      <w:r w:rsidR="0028384B">
        <w:rPr>
          <w:noProof/>
        </w:rPr>
        <w:t> </w:t>
      </w:r>
      <w:r w:rsidR="0028384B" w:rsidRPr="002F16A1">
        <w:rPr>
          <w:noProof/>
        </w:rPr>
        <w:t>imi</w:t>
      </w:r>
      <w:r w:rsidR="00AD62E2" w:rsidRPr="002F16A1">
        <w:rPr>
          <w:noProof/>
        </w:rPr>
        <w:t>eniu państw członkowskich. Takie informacje powinny obejmować poziom dostępnych zapasów poszczególnych surowców strategicznych, perspektywę dla poziomów zapasów oraz zasady</w:t>
      </w:r>
      <w:r w:rsidR="0028384B" w:rsidRPr="002F16A1">
        <w:rPr>
          <w:noProof/>
        </w:rPr>
        <w:t xml:space="preserve"> i</w:t>
      </w:r>
      <w:r w:rsidR="0028384B">
        <w:rPr>
          <w:noProof/>
        </w:rPr>
        <w:t> </w:t>
      </w:r>
      <w:r w:rsidR="0028384B" w:rsidRPr="002F16A1">
        <w:rPr>
          <w:noProof/>
        </w:rPr>
        <w:t>pro</w:t>
      </w:r>
      <w:r w:rsidR="00AD62E2" w:rsidRPr="002F16A1">
        <w:rPr>
          <w:noProof/>
        </w:rPr>
        <w:t>cedury mające zastosowanie do tych zapasów. Każdy wniosek</w:t>
      </w:r>
      <w:r w:rsidR="0028384B" w:rsidRPr="002F16A1">
        <w:rPr>
          <w:noProof/>
        </w:rPr>
        <w:t xml:space="preserve"> o</w:t>
      </w:r>
      <w:r w:rsidR="0028384B">
        <w:rPr>
          <w:noProof/>
        </w:rPr>
        <w:t> </w:t>
      </w:r>
      <w:r w:rsidR="0028384B" w:rsidRPr="002F16A1">
        <w:rPr>
          <w:noProof/>
        </w:rPr>
        <w:t>udz</w:t>
      </w:r>
      <w:r w:rsidR="00AD62E2" w:rsidRPr="002F16A1">
        <w:rPr>
          <w:noProof/>
        </w:rPr>
        <w:t>ielenie informacji powinien być proporcjonalny,</w:t>
      </w:r>
      <w:r w:rsidR="0028384B" w:rsidRPr="002F16A1">
        <w:rPr>
          <w:noProof/>
        </w:rPr>
        <w:t xml:space="preserve"> a</w:t>
      </w:r>
      <w:r w:rsidR="0028384B">
        <w:rPr>
          <w:noProof/>
        </w:rPr>
        <w:t> </w:t>
      </w:r>
      <w:r w:rsidR="0028384B" w:rsidRPr="002F16A1">
        <w:rPr>
          <w:noProof/>
        </w:rPr>
        <w:t>tak</w:t>
      </w:r>
      <w:r w:rsidR="00AD62E2" w:rsidRPr="002F16A1">
        <w:rPr>
          <w:noProof/>
        </w:rPr>
        <w:t>że należy uwzględnić</w:t>
      </w:r>
      <w:r w:rsidR="0028384B" w:rsidRPr="002F16A1">
        <w:rPr>
          <w:noProof/>
        </w:rPr>
        <w:t xml:space="preserve"> w</w:t>
      </w:r>
      <w:r w:rsidR="0028384B">
        <w:rPr>
          <w:noProof/>
        </w:rPr>
        <w:t> </w:t>
      </w:r>
      <w:r w:rsidR="0028384B" w:rsidRPr="002F16A1">
        <w:rPr>
          <w:noProof/>
        </w:rPr>
        <w:t>nim</w:t>
      </w:r>
      <w:r w:rsidR="00AD62E2" w:rsidRPr="002F16A1">
        <w:rPr>
          <w:noProof/>
        </w:rPr>
        <w:t xml:space="preserve"> koszty</w:t>
      </w:r>
      <w:r w:rsidR="0028384B" w:rsidRPr="002F16A1">
        <w:rPr>
          <w:noProof/>
        </w:rPr>
        <w:t xml:space="preserve"> i</w:t>
      </w:r>
      <w:r w:rsidR="0028384B">
        <w:rPr>
          <w:noProof/>
        </w:rPr>
        <w:t> </w:t>
      </w:r>
      <w:r w:rsidR="0028384B" w:rsidRPr="002F16A1">
        <w:rPr>
          <w:noProof/>
        </w:rPr>
        <w:t>wys</w:t>
      </w:r>
      <w:r w:rsidR="00AD62E2" w:rsidRPr="002F16A1">
        <w:rPr>
          <w:noProof/>
        </w:rPr>
        <w:t>iłki związane</w:t>
      </w:r>
      <w:r w:rsidR="0028384B" w:rsidRPr="002F16A1">
        <w:rPr>
          <w:noProof/>
        </w:rPr>
        <w:t xml:space="preserve"> z</w:t>
      </w:r>
      <w:r w:rsidR="0028384B">
        <w:rPr>
          <w:noProof/>
        </w:rPr>
        <w:t> </w:t>
      </w:r>
      <w:r w:rsidR="0028384B" w:rsidRPr="002F16A1">
        <w:rPr>
          <w:noProof/>
        </w:rPr>
        <w:t>udo</w:t>
      </w:r>
      <w:r w:rsidR="00AD62E2" w:rsidRPr="002F16A1">
        <w:rPr>
          <w:noProof/>
        </w:rPr>
        <w:t>stępnieniem danych oraz wpływ tych danych na bezpieczeństwo narodowe</w:t>
      </w:r>
      <w:r w:rsidR="0028384B" w:rsidRPr="002F16A1">
        <w:rPr>
          <w:noProof/>
        </w:rPr>
        <w:t xml:space="preserve"> i</w:t>
      </w:r>
      <w:r w:rsidR="0028384B">
        <w:rPr>
          <w:noProof/>
        </w:rPr>
        <w:t> </w:t>
      </w:r>
      <w:r w:rsidR="0028384B" w:rsidRPr="002F16A1">
        <w:rPr>
          <w:noProof/>
        </w:rPr>
        <w:t>okr</w:t>
      </w:r>
      <w:r w:rsidR="00AD62E2" w:rsidRPr="002F16A1">
        <w:rPr>
          <w:noProof/>
        </w:rPr>
        <w:t>eślić odpowiednie terminy dostarczenia żądanych informacji. Informacje dotyczące zapasów podmiotów gospodarczych można dodać do analizy, nie nakłada to jednak na nie obowiązku udzielenia informacji. Komisja powinna przetwarzać dane</w:t>
      </w:r>
      <w:r w:rsidR="0028384B" w:rsidRPr="002F16A1">
        <w:rPr>
          <w:noProof/>
        </w:rPr>
        <w:t xml:space="preserve"> w</w:t>
      </w:r>
      <w:r w:rsidR="0028384B">
        <w:rPr>
          <w:noProof/>
        </w:rPr>
        <w:t> </w:t>
      </w:r>
      <w:r w:rsidR="0028384B" w:rsidRPr="002F16A1">
        <w:rPr>
          <w:noProof/>
        </w:rPr>
        <w:t>bez</w:t>
      </w:r>
      <w:r w:rsidR="00AD62E2" w:rsidRPr="002F16A1">
        <w:rPr>
          <w:noProof/>
        </w:rPr>
        <w:t>pieczny sposób</w:t>
      </w:r>
      <w:r w:rsidR="0028384B" w:rsidRPr="002F16A1">
        <w:rPr>
          <w:noProof/>
        </w:rPr>
        <w:t xml:space="preserve"> i</w:t>
      </w:r>
      <w:r w:rsidR="0028384B">
        <w:rPr>
          <w:noProof/>
        </w:rPr>
        <w:t> </w:t>
      </w:r>
      <w:r w:rsidR="0028384B" w:rsidRPr="002F16A1">
        <w:rPr>
          <w:noProof/>
        </w:rPr>
        <w:t>pub</w:t>
      </w:r>
      <w:r w:rsidR="00AD62E2" w:rsidRPr="002F16A1">
        <w:rPr>
          <w:noProof/>
        </w:rPr>
        <w:t>likować informacje wyłącznie</w:t>
      </w:r>
      <w:r w:rsidR="0028384B" w:rsidRPr="002F16A1">
        <w:rPr>
          <w:noProof/>
        </w:rPr>
        <w:t xml:space="preserve"> w</w:t>
      </w:r>
      <w:r w:rsidR="0028384B">
        <w:rPr>
          <w:noProof/>
        </w:rPr>
        <w:t> </w:t>
      </w:r>
      <w:r w:rsidR="0028384B" w:rsidRPr="002F16A1">
        <w:rPr>
          <w:noProof/>
        </w:rPr>
        <w:t>for</w:t>
      </w:r>
      <w:r w:rsidR="00AD62E2" w:rsidRPr="002F16A1">
        <w:rPr>
          <w:noProof/>
        </w:rPr>
        <w:t>mie zagregowanej</w:t>
      </w:r>
      <w:r w:rsidR="0028384B" w:rsidRPr="002F16A1">
        <w:rPr>
          <w:noProof/>
        </w:rPr>
        <w:t>. W</w:t>
      </w:r>
      <w:r w:rsidR="0028384B">
        <w:rPr>
          <w:noProof/>
        </w:rPr>
        <w:t> </w:t>
      </w:r>
      <w:r w:rsidR="0028384B" w:rsidRPr="002F16A1">
        <w:rPr>
          <w:noProof/>
        </w:rPr>
        <w:t>dru</w:t>
      </w:r>
      <w:r w:rsidR="00AD62E2" w:rsidRPr="002F16A1">
        <w:rPr>
          <w:noProof/>
        </w:rPr>
        <w:t>giej kolejności Komisja powinna, na podstawie uzyskanych informacji, opracować wstępny wskaźnik referencyjny określający, co należy uznać za bezpieczny poziom unijnych zapasów, uwzględniając przy tym całkowite roczne zużycie danych surowców strategicznych</w:t>
      </w:r>
      <w:r w:rsidR="0028384B" w:rsidRPr="002F16A1">
        <w:rPr>
          <w:noProof/>
        </w:rPr>
        <w:t xml:space="preserve"> w</w:t>
      </w:r>
      <w:r w:rsidR="0028384B">
        <w:rPr>
          <w:noProof/>
        </w:rPr>
        <w:t> </w:t>
      </w:r>
      <w:r w:rsidR="0028384B" w:rsidRPr="002F16A1">
        <w:rPr>
          <w:noProof/>
        </w:rPr>
        <w:t>Uni</w:t>
      </w:r>
      <w:r w:rsidR="00AD62E2" w:rsidRPr="002F16A1">
        <w:rPr>
          <w:noProof/>
        </w:rPr>
        <w:t>i. Opierając się na porównaniu między istniejącymi zapasami</w:t>
      </w:r>
      <w:r w:rsidR="0028384B" w:rsidRPr="002F16A1">
        <w:rPr>
          <w:noProof/>
        </w:rPr>
        <w:t xml:space="preserve"> i</w:t>
      </w:r>
      <w:r w:rsidR="0028384B">
        <w:rPr>
          <w:noProof/>
        </w:rPr>
        <w:t> </w:t>
      </w:r>
      <w:r w:rsidR="0028384B" w:rsidRPr="002F16A1">
        <w:rPr>
          <w:noProof/>
        </w:rPr>
        <w:t>ogó</w:t>
      </w:r>
      <w:r w:rsidR="00AD62E2" w:rsidRPr="002F16A1">
        <w:rPr>
          <w:noProof/>
        </w:rPr>
        <w:t>lnymi poziomami zapasów strategicznych surowców strategicznych</w:t>
      </w:r>
      <w:r w:rsidR="0028384B" w:rsidRPr="002F16A1">
        <w:rPr>
          <w:noProof/>
        </w:rPr>
        <w:t xml:space="preserve"> w</w:t>
      </w:r>
      <w:r w:rsidR="0028384B">
        <w:rPr>
          <w:noProof/>
        </w:rPr>
        <w:t> </w:t>
      </w:r>
      <w:r w:rsidR="0028384B" w:rsidRPr="002F16A1">
        <w:rPr>
          <w:noProof/>
        </w:rPr>
        <w:t>cał</w:t>
      </w:r>
      <w:r w:rsidR="00AD62E2" w:rsidRPr="002F16A1">
        <w:rPr>
          <w:noProof/>
        </w:rPr>
        <w:t>ej Unii, Rada ds. Surowców Krytycznych, działając</w:t>
      </w:r>
      <w:r w:rsidR="0028384B" w:rsidRPr="002F16A1">
        <w:rPr>
          <w:noProof/>
        </w:rPr>
        <w:t xml:space="preserve"> w</w:t>
      </w:r>
      <w:r w:rsidR="0028384B">
        <w:rPr>
          <w:noProof/>
        </w:rPr>
        <w:t> </w:t>
      </w:r>
      <w:r w:rsidR="0028384B" w:rsidRPr="002F16A1">
        <w:rPr>
          <w:noProof/>
        </w:rPr>
        <w:t>por</w:t>
      </w:r>
      <w:r w:rsidR="00AD62E2" w:rsidRPr="002F16A1">
        <w:rPr>
          <w:noProof/>
        </w:rPr>
        <w:t>ozumieniu</w:t>
      </w:r>
      <w:r w:rsidR="0028384B" w:rsidRPr="002F16A1">
        <w:rPr>
          <w:noProof/>
        </w:rPr>
        <w:t xml:space="preserve"> z</w:t>
      </w:r>
      <w:r w:rsidR="0028384B">
        <w:rPr>
          <w:noProof/>
        </w:rPr>
        <w:t> </w:t>
      </w:r>
      <w:r w:rsidR="0028384B" w:rsidRPr="002F16A1">
        <w:rPr>
          <w:noProof/>
        </w:rPr>
        <w:t>Kom</w:t>
      </w:r>
      <w:r w:rsidR="00AD62E2" w:rsidRPr="002F16A1">
        <w:rPr>
          <w:noProof/>
        </w:rPr>
        <w:t>isją, powinna być</w:t>
      </w:r>
      <w:r w:rsidR="0028384B" w:rsidRPr="002F16A1">
        <w:rPr>
          <w:noProof/>
        </w:rPr>
        <w:t xml:space="preserve"> w</w:t>
      </w:r>
      <w:r w:rsidR="0028384B">
        <w:rPr>
          <w:noProof/>
        </w:rPr>
        <w:t> </w:t>
      </w:r>
      <w:r w:rsidR="0028384B" w:rsidRPr="002F16A1">
        <w:rPr>
          <w:noProof/>
        </w:rPr>
        <w:t>sta</w:t>
      </w:r>
      <w:r w:rsidR="00AD62E2" w:rsidRPr="002F16A1">
        <w:rPr>
          <w:noProof/>
        </w:rPr>
        <w:t>nie wydawać niewiążące opinie dla państw członkowskich dotyczące sposobu zwiększenia konwergencji</w:t>
      </w:r>
      <w:r w:rsidR="0028384B" w:rsidRPr="002F16A1">
        <w:rPr>
          <w:noProof/>
        </w:rPr>
        <w:t xml:space="preserve"> i</w:t>
      </w:r>
      <w:r w:rsidR="0028384B">
        <w:rPr>
          <w:noProof/>
        </w:rPr>
        <w:t> </w:t>
      </w:r>
      <w:r w:rsidR="0028384B" w:rsidRPr="002F16A1">
        <w:rPr>
          <w:noProof/>
        </w:rPr>
        <w:t>słu</w:t>
      </w:r>
      <w:r w:rsidR="00AD62E2" w:rsidRPr="002F16A1">
        <w:rPr>
          <w:noProof/>
        </w:rPr>
        <w:t>żące zachęcaniu ich do budowania własnych zapasów strategicznych</w:t>
      </w:r>
      <w:r w:rsidR="0028384B" w:rsidRPr="002F16A1">
        <w:rPr>
          <w:noProof/>
        </w:rPr>
        <w:t>. W</w:t>
      </w:r>
      <w:r w:rsidR="0028384B">
        <w:rPr>
          <w:noProof/>
        </w:rPr>
        <w:t> </w:t>
      </w:r>
      <w:r w:rsidR="0028384B" w:rsidRPr="002F16A1">
        <w:rPr>
          <w:noProof/>
        </w:rPr>
        <w:t>tym</w:t>
      </w:r>
      <w:r w:rsidR="00AD62E2" w:rsidRPr="002F16A1">
        <w:rPr>
          <w:noProof/>
        </w:rPr>
        <w:t xml:space="preserve"> kontekście Rada ds. Surowców Krytycznych powinna uwzględnić potrzebę utrzymania zachęt do rozbudowy zapasów strategicznych przez podmioty prywatne wykorzystujące surowce strategiczne.</w:t>
      </w:r>
    </w:p>
    <w:p w:rsidR="00AD62E2" w:rsidRPr="002F16A1" w:rsidRDefault="00733965" w:rsidP="00733965">
      <w:pPr>
        <w:pStyle w:val="ManualConsidrant"/>
        <w:rPr>
          <w:noProof/>
        </w:rPr>
      </w:pPr>
      <w:r w:rsidRPr="00733965">
        <w:t>(37)</w:t>
      </w:r>
      <w:r w:rsidRPr="00733965">
        <w:tab/>
      </w:r>
      <w:r w:rsidR="00AD62E2" w:rsidRPr="002F16A1">
        <w:rPr>
          <w:noProof/>
        </w:rPr>
        <w:t>W celu zapewnienia dalszej koordynacji Komisja powinna zapewnić, aby przed uczestnictwem państw członkowskich</w:t>
      </w:r>
      <w:r w:rsidR="0028384B" w:rsidRPr="002F16A1">
        <w:rPr>
          <w:noProof/>
        </w:rPr>
        <w:t xml:space="preserve"> w</w:t>
      </w:r>
      <w:r w:rsidR="0028384B">
        <w:rPr>
          <w:noProof/>
        </w:rPr>
        <w:t> </w:t>
      </w:r>
      <w:r w:rsidR="0028384B" w:rsidRPr="002F16A1">
        <w:rPr>
          <w:noProof/>
        </w:rPr>
        <w:t>mię</w:t>
      </w:r>
      <w:r w:rsidR="00AD62E2" w:rsidRPr="002F16A1">
        <w:rPr>
          <w:noProof/>
        </w:rPr>
        <w:t>dzynarodowych forach, na których mogą być omawiane kwestie takich zapasów strategicznych, odbywały się niezbędne konsultacje,</w:t>
      </w:r>
      <w:r w:rsidR="0028384B" w:rsidRPr="002F16A1">
        <w:rPr>
          <w:noProof/>
        </w:rPr>
        <w:t xml:space="preserve"> w</w:t>
      </w:r>
      <w:r w:rsidR="0028384B">
        <w:rPr>
          <w:noProof/>
        </w:rPr>
        <w:t> </w:t>
      </w:r>
      <w:r w:rsidR="0028384B" w:rsidRPr="002F16A1">
        <w:rPr>
          <w:noProof/>
        </w:rPr>
        <w:t>szc</w:t>
      </w:r>
      <w:r w:rsidR="00AD62E2" w:rsidRPr="002F16A1">
        <w:rPr>
          <w:noProof/>
        </w:rPr>
        <w:t>zególności</w:t>
      </w:r>
      <w:r w:rsidR="0028384B" w:rsidRPr="002F16A1">
        <w:rPr>
          <w:noProof/>
        </w:rPr>
        <w:t xml:space="preserve"> w</w:t>
      </w:r>
      <w:r w:rsidR="0028384B">
        <w:rPr>
          <w:noProof/>
        </w:rPr>
        <w:t> </w:t>
      </w:r>
      <w:r w:rsidR="0028384B" w:rsidRPr="002F16A1">
        <w:rPr>
          <w:noProof/>
        </w:rPr>
        <w:t>ram</w:t>
      </w:r>
      <w:r w:rsidR="00AD62E2" w:rsidRPr="002F16A1">
        <w:rPr>
          <w:noProof/>
        </w:rPr>
        <w:t>ach dedykowanej stałej podgrupy</w:t>
      </w:r>
      <w:r w:rsidR="0028384B" w:rsidRPr="002F16A1">
        <w:rPr>
          <w:noProof/>
        </w:rPr>
        <w:t xml:space="preserve"> w</w:t>
      </w:r>
      <w:r w:rsidR="0028384B">
        <w:rPr>
          <w:noProof/>
        </w:rPr>
        <w:t> </w:t>
      </w:r>
      <w:r w:rsidR="0028384B" w:rsidRPr="002F16A1">
        <w:rPr>
          <w:noProof/>
        </w:rPr>
        <w:t>Rad</w:t>
      </w:r>
      <w:r w:rsidR="00AD62E2" w:rsidRPr="002F16A1">
        <w:rPr>
          <w:noProof/>
        </w:rPr>
        <w:t>zie ds. Surowców Krytycznych. Podobnie</w:t>
      </w:r>
      <w:r w:rsidR="0028384B" w:rsidRPr="002F16A1">
        <w:rPr>
          <w:noProof/>
        </w:rPr>
        <w:t xml:space="preserve"> w</w:t>
      </w:r>
      <w:r w:rsidR="0028384B">
        <w:rPr>
          <w:noProof/>
        </w:rPr>
        <w:t> </w:t>
      </w:r>
      <w:r w:rsidR="0028384B" w:rsidRPr="002F16A1">
        <w:rPr>
          <w:noProof/>
        </w:rPr>
        <w:t>cel</w:t>
      </w:r>
      <w:r w:rsidR="00AD62E2" w:rsidRPr="002F16A1">
        <w:rPr>
          <w:noProof/>
        </w:rPr>
        <w:t>u zwiększenia komplementarności między niniejszym wnioskiem</w:t>
      </w:r>
      <w:r w:rsidR="0028384B" w:rsidRPr="002F16A1">
        <w:rPr>
          <w:noProof/>
        </w:rPr>
        <w:t xml:space="preserve"> a</w:t>
      </w:r>
      <w:r w:rsidR="0028384B">
        <w:rPr>
          <w:noProof/>
        </w:rPr>
        <w:t> </w:t>
      </w:r>
      <w:r w:rsidR="0028384B" w:rsidRPr="002F16A1">
        <w:rPr>
          <w:noProof/>
        </w:rPr>
        <w:t>inn</w:t>
      </w:r>
      <w:r w:rsidR="00AD62E2" w:rsidRPr="002F16A1">
        <w:rPr>
          <w:noProof/>
        </w:rPr>
        <w:t>ymi horyzontalnymi lub tematycznymi instrumentami, Komisja powinna zapewnić, aby zgromadzone</w:t>
      </w:r>
      <w:r w:rsidR="0028384B" w:rsidRPr="002F16A1">
        <w:rPr>
          <w:noProof/>
        </w:rPr>
        <w:t xml:space="preserve"> i</w:t>
      </w:r>
      <w:r w:rsidR="0028384B">
        <w:rPr>
          <w:noProof/>
        </w:rPr>
        <w:t> </w:t>
      </w:r>
      <w:r w:rsidR="0028384B" w:rsidRPr="002F16A1">
        <w:rPr>
          <w:noProof/>
        </w:rPr>
        <w:t>zag</w:t>
      </w:r>
      <w:r w:rsidR="00AD62E2" w:rsidRPr="002F16A1">
        <w:rPr>
          <w:noProof/>
        </w:rPr>
        <w:t>regowane informacje były przekazywane do mechanizmów podwyższonej czujności lub zarządzania kryzysowego, takich jak proponowana grupa doradcza nadzwyczajnego instrumentu jednolitego rynku, Europejska Rada ds. Półprzewodników ustanowiona</w:t>
      </w:r>
      <w:r w:rsidR="0028384B" w:rsidRPr="002F16A1">
        <w:rPr>
          <w:noProof/>
        </w:rPr>
        <w:t xml:space="preserve"> w</w:t>
      </w:r>
      <w:r w:rsidR="0028384B">
        <w:rPr>
          <w:noProof/>
        </w:rPr>
        <w:t> </w:t>
      </w:r>
      <w:r w:rsidR="0028384B" w:rsidRPr="002F16A1">
        <w:rPr>
          <w:noProof/>
        </w:rPr>
        <w:t>akc</w:t>
      </w:r>
      <w:r w:rsidR="00AD62E2" w:rsidRPr="002F16A1">
        <w:rPr>
          <w:noProof/>
        </w:rPr>
        <w:t>ie</w:t>
      </w:r>
      <w:r w:rsidR="0028384B" w:rsidRPr="002F16A1">
        <w:rPr>
          <w:noProof/>
        </w:rPr>
        <w:t xml:space="preserve"> w</w:t>
      </w:r>
      <w:r w:rsidR="0028384B">
        <w:rPr>
          <w:noProof/>
        </w:rPr>
        <w:t> </w:t>
      </w:r>
      <w:r w:rsidR="0028384B" w:rsidRPr="002F16A1">
        <w:rPr>
          <w:noProof/>
        </w:rPr>
        <w:t>spr</w:t>
      </w:r>
      <w:r w:rsidR="00AD62E2" w:rsidRPr="002F16A1">
        <w:rPr>
          <w:noProof/>
        </w:rPr>
        <w:t>awie czipów, Zarząd HERA czy Rada ds. Kryzysów Zdrowotnych.</w:t>
      </w:r>
    </w:p>
    <w:p w:rsidR="00AD62E2" w:rsidRPr="002F16A1" w:rsidRDefault="00733965" w:rsidP="00733965">
      <w:pPr>
        <w:pStyle w:val="ManualConsidrant"/>
        <w:rPr>
          <w:noProof/>
        </w:rPr>
      </w:pPr>
      <w:r w:rsidRPr="00733965">
        <w:t>(38)</w:t>
      </w:r>
      <w:r w:rsidRPr="00733965">
        <w:tab/>
      </w:r>
      <w:r w:rsidR="00AD62E2" w:rsidRPr="002F16A1">
        <w:rPr>
          <w:noProof/>
        </w:rPr>
        <w:t>W celu zapewnienia, aby duże przedsiębiorstwa wytwarzające technologie strategiczne</w:t>
      </w:r>
      <w:r w:rsidR="0028384B" w:rsidRPr="002F16A1">
        <w:rPr>
          <w:noProof/>
        </w:rPr>
        <w:t xml:space="preserve"> w</w:t>
      </w:r>
      <w:r w:rsidR="0028384B">
        <w:rPr>
          <w:noProof/>
        </w:rPr>
        <w:t> </w:t>
      </w:r>
      <w:r w:rsidR="0028384B" w:rsidRPr="002F16A1">
        <w:rPr>
          <w:noProof/>
        </w:rPr>
        <w:t>Uni</w:t>
      </w:r>
      <w:r w:rsidR="00AD62E2" w:rsidRPr="002F16A1">
        <w:rPr>
          <w:noProof/>
        </w:rPr>
        <w:t>i</w:t>
      </w:r>
      <w:r w:rsidR="0028384B" w:rsidRPr="002F16A1">
        <w:rPr>
          <w:noProof/>
        </w:rPr>
        <w:t xml:space="preserve"> z</w:t>
      </w:r>
      <w:r w:rsidR="0028384B">
        <w:rPr>
          <w:noProof/>
        </w:rPr>
        <w:t> </w:t>
      </w:r>
      <w:r w:rsidR="0028384B" w:rsidRPr="002F16A1">
        <w:rPr>
          <w:noProof/>
        </w:rPr>
        <w:t>wyk</w:t>
      </w:r>
      <w:r w:rsidR="00AD62E2" w:rsidRPr="002F16A1">
        <w:rPr>
          <w:noProof/>
        </w:rPr>
        <w:t>orzystaniem surowców strategicznych były wystarczająco przygotowane na poradzenie sobie</w:t>
      </w:r>
      <w:r w:rsidR="0028384B" w:rsidRPr="002F16A1">
        <w:rPr>
          <w:noProof/>
        </w:rPr>
        <w:t xml:space="preserve"> z</w:t>
      </w:r>
      <w:r w:rsidR="0028384B">
        <w:rPr>
          <w:noProof/>
        </w:rPr>
        <w:t> </w:t>
      </w:r>
      <w:r w:rsidR="0028384B" w:rsidRPr="002F16A1">
        <w:rPr>
          <w:noProof/>
        </w:rPr>
        <w:t>zak</w:t>
      </w:r>
      <w:r w:rsidR="00AD62E2" w:rsidRPr="002F16A1">
        <w:rPr>
          <w:noProof/>
        </w:rPr>
        <w:t>łóceniami dostaw, powinny one prowadzić audyt swoich łańcuchów dostaw</w:t>
      </w:r>
      <w:r w:rsidR="0028384B" w:rsidRPr="002F16A1">
        <w:rPr>
          <w:noProof/>
        </w:rPr>
        <w:t xml:space="preserve"> i</w:t>
      </w:r>
      <w:r w:rsidR="0028384B">
        <w:rPr>
          <w:noProof/>
        </w:rPr>
        <w:t> </w:t>
      </w:r>
      <w:r w:rsidR="0028384B" w:rsidRPr="002F16A1">
        <w:rPr>
          <w:noProof/>
        </w:rPr>
        <w:t>odp</w:t>
      </w:r>
      <w:r w:rsidR="00AD62E2" w:rsidRPr="002F16A1">
        <w:rPr>
          <w:noProof/>
        </w:rPr>
        <w:t>owiednio składać sprawozdanie swojej radzie dyrektorów. Dzięki temu będą one uwzględniały ryzyko związane</w:t>
      </w:r>
      <w:r w:rsidR="0028384B" w:rsidRPr="002F16A1">
        <w:rPr>
          <w:noProof/>
        </w:rPr>
        <w:t xml:space="preserve"> z</w:t>
      </w:r>
      <w:r w:rsidR="0028384B">
        <w:rPr>
          <w:noProof/>
        </w:rPr>
        <w:t> </w:t>
      </w:r>
      <w:r w:rsidR="0028384B" w:rsidRPr="002F16A1">
        <w:rPr>
          <w:noProof/>
        </w:rPr>
        <w:t>dos</w:t>
      </w:r>
      <w:r w:rsidR="00AD62E2" w:rsidRPr="002F16A1">
        <w:rPr>
          <w:noProof/>
        </w:rPr>
        <w:t>tawami surowców strategicznych</w:t>
      </w:r>
      <w:r w:rsidR="0028384B" w:rsidRPr="002F16A1">
        <w:rPr>
          <w:noProof/>
        </w:rPr>
        <w:t xml:space="preserve"> i</w:t>
      </w:r>
      <w:r w:rsidR="0028384B">
        <w:rPr>
          <w:noProof/>
        </w:rPr>
        <w:t> </w:t>
      </w:r>
      <w:r w:rsidR="0028384B" w:rsidRPr="002F16A1">
        <w:rPr>
          <w:noProof/>
        </w:rPr>
        <w:t>opr</w:t>
      </w:r>
      <w:r w:rsidR="00AD62E2" w:rsidRPr="002F16A1">
        <w:rPr>
          <w:noProof/>
        </w:rPr>
        <w:t>acują odpowiednie strategie łagodzące, aby lepiej przygotować się na wypadek zakłócenia dostaw. Podobnie duże przedsiębiorstwa, których to dotyczy, powinny prowadzić regularne testy warunków skrajnych swoich łańcuchów dostaw surowców strategicznych, aby zapewnić uwzględnienie wszystkich poszczególnych scenariuszy, które mogą mieć wpływ na ich dostawy</w:t>
      </w:r>
      <w:r w:rsidR="0028384B" w:rsidRPr="002F16A1">
        <w:rPr>
          <w:noProof/>
        </w:rPr>
        <w:t xml:space="preserve"> w</w:t>
      </w:r>
      <w:r w:rsidR="0028384B">
        <w:rPr>
          <w:noProof/>
        </w:rPr>
        <w:t> </w:t>
      </w:r>
      <w:r w:rsidR="0028384B" w:rsidRPr="002F16A1">
        <w:rPr>
          <w:noProof/>
        </w:rPr>
        <w:t>prz</w:t>
      </w:r>
      <w:r w:rsidR="00AD62E2" w:rsidRPr="002F16A1">
        <w:rPr>
          <w:noProof/>
        </w:rPr>
        <w:t>ypadku zakłócenia. Dzięki tym środkom przedsiębiorstwa poświęcą dodatkową uwagę kosztom potencjalnego ryzyka związanego</w:t>
      </w:r>
      <w:r w:rsidR="0028384B" w:rsidRPr="002F16A1">
        <w:rPr>
          <w:noProof/>
        </w:rPr>
        <w:t xml:space="preserve"> z</w:t>
      </w:r>
      <w:r w:rsidR="0028384B">
        <w:rPr>
          <w:noProof/>
        </w:rPr>
        <w:t> </w:t>
      </w:r>
      <w:r w:rsidR="0028384B" w:rsidRPr="002F16A1">
        <w:rPr>
          <w:noProof/>
        </w:rPr>
        <w:t>dos</w:t>
      </w:r>
      <w:r w:rsidR="00AD62E2" w:rsidRPr="002F16A1">
        <w:rPr>
          <w:noProof/>
        </w:rPr>
        <w:t>tawami.</w:t>
      </w:r>
    </w:p>
    <w:p w:rsidR="00AD62E2" w:rsidRPr="002F16A1" w:rsidRDefault="00733965" w:rsidP="00733965">
      <w:pPr>
        <w:pStyle w:val="ManualConsidrant"/>
        <w:rPr>
          <w:noProof/>
        </w:rPr>
      </w:pPr>
      <w:r w:rsidRPr="00733965">
        <w:t>(39)</w:t>
      </w:r>
      <w:r w:rsidRPr="00733965">
        <w:tab/>
      </w:r>
      <w:r w:rsidR="00AD62E2" w:rsidRPr="002F16A1">
        <w:rPr>
          <w:noProof/>
        </w:rPr>
        <w:t>Na wielu rynkach surowców strategicznych nie panuje pełna przejrzystość</w:t>
      </w:r>
      <w:r w:rsidR="0028384B" w:rsidRPr="002F16A1">
        <w:rPr>
          <w:noProof/>
        </w:rPr>
        <w:t xml:space="preserve"> i</w:t>
      </w:r>
      <w:r w:rsidR="0028384B">
        <w:rPr>
          <w:noProof/>
        </w:rPr>
        <w:t> </w:t>
      </w:r>
      <w:r w:rsidR="0028384B" w:rsidRPr="002F16A1">
        <w:rPr>
          <w:noProof/>
        </w:rPr>
        <w:t>wys</w:t>
      </w:r>
      <w:r w:rsidR="00AD62E2" w:rsidRPr="002F16A1">
        <w:rPr>
          <w:noProof/>
        </w:rPr>
        <w:t>tępuje na nich koncentracja po stronie podaży, co zwiększa siłę negocjacyjną sprzedawców</w:t>
      </w:r>
      <w:r w:rsidR="0028384B" w:rsidRPr="002F16A1">
        <w:rPr>
          <w:noProof/>
        </w:rPr>
        <w:t xml:space="preserve"> i</w:t>
      </w:r>
      <w:r w:rsidR="0028384B">
        <w:rPr>
          <w:noProof/>
        </w:rPr>
        <w:t> </w:t>
      </w:r>
      <w:r w:rsidR="0028384B" w:rsidRPr="002F16A1">
        <w:rPr>
          <w:noProof/>
        </w:rPr>
        <w:t>spr</w:t>
      </w:r>
      <w:r w:rsidR="00AD62E2" w:rsidRPr="002F16A1">
        <w:rPr>
          <w:noProof/>
        </w:rPr>
        <w:t>awia, że ceny dla nabywców są wyższe. Aby pomóc</w:t>
      </w:r>
      <w:r w:rsidR="0028384B" w:rsidRPr="002F16A1">
        <w:rPr>
          <w:noProof/>
        </w:rPr>
        <w:t xml:space="preserve"> w</w:t>
      </w:r>
      <w:r w:rsidR="0028384B">
        <w:rPr>
          <w:noProof/>
        </w:rPr>
        <w:t> </w:t>
      </w:r>
      <w:r w:rsidR="0028384B" w:rsidRPr="002F16A1">
        <w:rPr>
          <w:noProof/>
        </w:rPr>
        <w:t>obn</w:t>
      </w:r>
      <w:r w:rsidR="00AD62E2" w:rsidRPr="002F16A1">
        <w:rPr>
          <w:noProof/>
        </w:rPr>
        <w:t>iżeniu cen dla przedsiębiorstw mających siedzibę</w:t>
      </w:r>
      <w:r w:rsidR="0028384B" w:rsidRPr="002F16A1">
        <w:rPr>
          <w:noProof/>
        </w:rPr>
        <w:t xml:space="preserve"> w</w:t>
      </w:r>
      <w:r w:rsidR="0028384B">
        <w:rPr>
          <w:noProof/>
        </w:rPr>
        <w:t> </w:t>
      </w:r>
      <w:r w:rsidR="0028384B" w:rsidRPr="002F16A1">
        <w:rPr>
          <w:noProof/>
        </w:rPr>
        <w:t>Uni</w:t>
      </w:r>
      <w:r w:rsidR="00AD62E2" w:rsidRPr="002F16A1">
        <w:rPr>
          <w:noProof/>
        </w:rPr>
        <w:t>i, Komisja powinna ustanowić system umożliwiający zagregowanie popytu ze strony zainteresowanych nabywców. Opracowując taki system, Komisja powinna uwzględnić doświadczenie zdobyte</w:t>
      </w:r>
      <w:r w:rsidR="0028384B" w:rsidRPr="002F16A1">
        <w:rPr>
          <w:noProof/>
        </w:rPr>
        <w:t xml:space="preserve"> w</w:t>
      </w:r>
      <w:r w:rsidR="0028384B">
        <w:rPr>
          <w:noProof/>
        </w:rPr>
        <w:t> </w:t>
      </w:r>
      <w:r w:rsidR="0028384B" w:rsidRPr="002F16A1">
        <w:rPr>
          <w:noProof/>
        </w:rPr>
        <w:t>pod</w:t>
      </w:r>
      <w:r w:rsidR="00AD62E2" w:rsidRPr="002F16A1">
        <w:rPr>
          <w:noProof/>
        </w:rPr>
        <w:t>obnych przedsięwzięciach, szczególnie</w:t>
      </w:r>
      <w:r w:rsidR="0028384B" w:rsidRPr="002F16A1">
        <w:rPr>
          <w:noProof/>
        </w:rPr>
        <w:t xml:space="preserve"> w</w:t>
      </w:r>
      <w:r w:rsidR="0028384B">
        <w:rPr>
          <w:noProof/>
        </w:rPr>
        <w:t> </w:t>
      </w:r>
      <w:r w:rsidR="0028384B" w:rsidRPr="002F16A1">
        <w:rPr>
          <w:noProof/>
        </w:rPr>
        <w:t>odn</w:t>
      </w:r>
      <w:r w:rsidR="00AD62E2" w:rsidRPr="002F16A1">
        <w:rPr>
          <w:noProof/>
        </w:rPr>
        <w:t>iesieniu do wspólnych zakupów gazu ustanowionych na podstawie rozporządzenia Rady 2022/2576</w:t>
      </w:r>
      <w:r w:rsidR="00AD62E2" w:rsidRPr="002F16A1">
        <w:rPr>
          <w:rStyle w:val="FootnoteReference"/>
          <w:noProof/>
        </w:rPr>
        <w:footnoteReference w:id="45"/>
      </w:r>
      <w:r w:rsidR="00AD62E2" w:rsidRPr="002F16A1">
        <w:rPr>
          <w:noProof/>
        </w:rPr>
        <w:t>. Organy państwa członkowskiego powinny być również</w:t>
      </w:r>
      <w:r w:rsidR="0028384B" w:rsidRPr="002F16A1">
        <w:rPr>
          <w:noProof/>
        </w:rPr>
        <w:t xml:space="preserve"> w</w:t>
      </w:r>
      <w:r w:rsidR="0028384B">
        <w:rPr>
          <w:noProof/>
        </w:rPr>
        <w:t> </w:t>
      </w:r>
      <w:r w:rsidR="0028384B" w:rsidRPr="002F16A1">
        <w:rPr>
          <w:noProof/>
        </w:rPr>
        <w:t>sta</w:t>
      </w:r>
      <w:r w:rsidR="00AD62E2" w:rsidRPr="002F16A1">
        <w:rPr>
          <w:noProof/>
        </w:rPr>
        <w:t>nie uczestniczyć</w:t>
      </w:r>
      <w:r w:rsidR="0028384B" w:rsidRPr="002F16A1">
        <w:rPr>
          <w:noProof/>
        </w:rPr>
        <w:t xml:space="preserve"> w</w:t>
      </w:r>
      <w:r w:rsidR="0028384B">
        <w:rPr>
          <w:noProof/>
        </w:rPr>
        <w:t> </w:t>
      </w:r>
      <w:r w:rsidR="0028384B" w:rsidRPr="002F16A1">
        <w:rPr>
          <w:noProof/>
        </w:rPr>
        <w:t>tym</w:t>
      </w:r>
      <w:r w:rsidR="00AD62E2" w:rsidRPr="002F16A1">
        <w:rPr>
          <w:noProof/>
        </w:rPr>
        <w:t xml:space="preserve"> systemie, aby budować swoje zapasy strategiczne. Wszystkie środki wchodzące</w:t>
      </w:r>
      <w:r w:rsidR="0028384B" w:rsidRPr="002F16A1">
        <w:rPr>
          <w:noProof/>
        </w:rPr>
        <w:t xml:space="preserve"> w</w:t>
      </w:r>
      <w:r w:rsidR="0028384B">
        <w:rPr>
          <w:noProof/>
        </w:rPr>
        <w:t> </w:t>
      </w:r>
      <w:r w:rsidR="0028384B" w:rsidRPr="002F16A1">
        <w:rPr>
          <w:noProof/>
        </w:rPr>
        <w:t>zak</w:t>
      </w:r>
      <w:r w:rsidR="00AD62E2" w:rsidRPr="002F16A1">
        <w:rPr>
          <w:noProof/>
        </w:rPr>
        <w:t>res tego mechanizmu powinny być zgodne</w:t>
      </w:r>
      <w:r w:rsidR="0028384B" w:rsidRPr="002F16A1">
        <w:rPr>
          <w:noProof/>
        </w:rPr>
        <w:t xml:space="preserve"> z</w:t>
      </w:r>
      <w:r w:rsidR="0028384B">
        <w:rPr>
          <w:noProof/>
        </w:rPr>
        <w:t> </w:t>
      </w:r>
      <w:r w:rsidR="0028384B" w:rsidRPr="002F16A1">
        <w:rPr>
          <w:noProof/>
        </w:rPr>
        <w:t>uni</w:t>
      </w:r>
      <w:r w:rsidR="00AD62E2" w:rsidRPr="002F16A1">
        <w:rPr>
          <w:noProof/>
        </w:rPr>
        <w:t>jnym prawem konkurencji.</w:t>
      </w:r>
    </w:p>
    <w:p w:rsidR="00AD62E2" w:rsidRPr="002F16A1" w:rsidRDefault="00733965" w:rsidP="00733965">
      <w:pPr>
        <w:pStyle w:val="ManualConsidrant"/>
        <w:rPr>
          <w:noProof/>
        </w:rPr>
      </w:pPr>
      <w:r w:rsidRPr="00733965">
        <w:t>(40)</w:t>
      </w:r>
      <w:r w:rsidRPr="00733965">
        <w:tab/>
      </w:r>
      <w:r w:rsidR="00AD62E2" w:rsidRPr="002F16A1">
        <w:rPr>
          <w:noProof/>
        </w:rPr>
        <w:t>Przepisy dotyczące monitorowania</w:t>
      </w:r>
      <w:r w:rsidR="0028384B" w:rsidRPr="002F16A1">
        <w:rPr>
          <w:noProof/>
        </w:rPr>
        <w:t xml:space="preserve"> i</w:t>
      </w:r>
      <w:r w:rsidR="0028384B">
        <w:rPr>
          <w:noProof/>
        </w:rPr>
        <w:t> </w:t>
      </w:r>
      <w:r w:rsidR="0028384B" w:rsidRPr="002F16A1">
        <w:rPr>
          <w:noProof/>
        </w:rPr>
        <w:t>zap</w:t>
      </w:r>
      <w:r w:rsidR="00AD62E2" w:rsidRPr="002F16A1">
        <w:rPr>
          <w:noProof/>
        </w:rPr>
        <w:t>asów strategicznych ujęte</w:t>
      </w:r>
      <w:r w:rsidR="0028384B" w:rsidRPr="002F16A1">
        <w:rPr>
          <w:noProof/>
        </w:rPr>
        <w:t xml:space="preserve"> w</w:t>
      </w:r>
      <w:r w:rsidR="0028384B">
        <w:rPr>
          <w:noProof/>
        </w:rPr>
        <w:t> </w:t>
      </w:r>
      <w:r w:rsidR="0028384B" w:rsidRPr="002F16A1">
        <w:rPr>
          <w:noProof/>
        </w:rPr>
        <w:t>nin</w:t>
      </w:r>
      <w:r w:rsidR="00AD62E2" w:rsidRPr="002F16A1">
        <w:rPr>
          <w:noProof/>
        </w:rPr>
        <w:t>iejszym rozporządzeniu nie wymagają harmonizacji krajowych przepisów ustawowych</w:t>
      </w:r>
      <w:r w:rsidR="0028384B" w:rsidRPr="002F16A1">
        <w:rPr>
          <w:noProof/>
        </w:rPr>
        <w:t xml:space="preserve"> i</w:t>
      </w:r>
      <w:r w:rsidR="0028384B">
        <w:rPr>
          <w:noProof/>
        </w:rPr>
        <w:t> </w:t>
      </w:r>
      <w:r w:rsidR="0028384B" w:rsidRPr="002F16A1">
        <w:rPr>
          <w:noProof/>
        </w:rPr>
        <w:t>wyk</w:t>
      </w:r>
      <w:r w:rsidR="00AD62E2" w:rsidRPr="002F16A1">
        <w:rPr>
          <w:noProof/>
        </w:rPr>
        <w:t>onawczych</w:t>
      </w:r>
      <w:r w:rsidR="0028384B" w:rsidRPr="002F16A1">
        <w:rPr>
          <w:noProof/>
        </w:rPr>
        <w:t xml:space="preserve"> i</w:t>
      </w:r>
      <w:r w:rsidR="0028384B">
        <w:rPr>
          <w:noProof/>
        </w:rPr>
        <w:t> </w:t>
      </w:r>
      <w:r w:rsidR="0028384B" w:rsidRPr="002F16A1">
        <w:rPr>
          <w:noProof/>
        </w:rPr>
        <w:t>nie</w:t>
      </w:r>
      <w:r w:rsidR="00AD62E2" w:rsidRPr="002F16A1">
        <w:rPr>
          <w:noProof/>
        </w:rPr>
        <w:t xml:space="preserve"> zastępują obowiązujących mechanizmów. Monitorowanie</w:t>
      </w:r>
      <w:r w:rsidR="0028384B" w:rsidRPr="002F16A1">
        <w:rPr>
          <w:noProof/>
        </w:rPr>
        <w:t xml:space="preserve"> i</w:t>
      </w:r>
      <w:r w:rsidR="0028384B">
        <w:rPr>
          <w:noProof/>
        </w:rPr>
        <w:t> </w:t>
      </w:r>
      <w:r w:rsidR="0028384B" w:rsidRPr="002F16A1">
        <w:rPr>
          <w:noProof/>
        </w:rPr>
        <w:t>zac</w:t>
      </w:r>
      <w:r w:rsidR="00AD62E2" w:rsidRPr="002F16A1">
        <w:rPr>
          <w:noProof/>
        </w:rPr>
        <w:t>hęty dotyczące gotowości na wypadek zagrożeń powinny być zgodne</w:t>
      </w:r>
      <w:r w:rsidR="0028384B" w:rsidRPr="002F16A1">
        <w:rPr>
          <w:noProof/>
        </w:rPr>
        <w:t xml:space="preserve"> z</w:t>
      </w:r>
      <w:r w:rsidR="0028384B">
        <w:rPr>
          <w:noProof/>
        </w:rPr>
        <w:t> </w:t>
      </w:r>
      <w:r w:rsidR="0028384B" w:rsidRPr="002F16A1">
        <w:rPr>
          <w:noProof/>
        </w:rPr>
        <w:t>eur</w:t>
      </w:r>
      <w:r w:rsidR="00AD62E2" w:rsidRPr="002F16A1">
        <w:rPr>
          <w:noProof/>
        </w:rPr>
        <w:t>opejskimi instrumentami</w:t>
      </w:r>
      <w:r w:rsidR="0028384B" w:rsidRPr="002F16A1">
        <w:rPr>
          <w:noProof/>
        </w:rPr>
        <w:t>. W</w:t>
      </w:r>
      <w:r w:rsidR="0028384B">
        <w:rPr>
          <w:noProof/>
        </w:rPr>
        <w:t> </w:t>
      </w:r>
      <w:r w:rsidR="0028384B" w:rsidRPr="002F16A1">
        <w:rPr>
          <w:noProof/>
        </w:rPr>
        <w:t>zwi</w:t>
      </w:r>
      <w:r w:rsidR="00AD62E2" w:rsidRPr="002F16A1">
        <w:rPr>
          <w:noProof/>
        </w:rPr>
        <w:t>ązku</w:t>
      </w:r>
      <w:r w:rsidR="0028384B" w:rsidRPr="002F16A1">
        <w:rPr>
          <w:noProof/>
        </w:rPr>
        <w:t xml:space="preserve"> z</w:t>
      </w:r>
      <w:r w:rsidR="0028384B">
        <w:rPr>
          <w:noProof/>
        </w:rPr>
        <w:t> </w:t>
      </w:r>
      <w:r w:rsidR="0028384B" w:rsidRPr="002F16A1">
        <w:rPr>
          <w:noProof/>
        </w:rPr>
        <w:t>tym</w:t>
      </w:r>
      <w:r w:rsidR="00AD62E2" w:rsidRPr="002F16A1">
        <w:rPr>
          <w:noProof/>
        </w:rPr>
        <w:t xml:space="preserve"> takie instrumenty jak wniosek</w:t>
      </w:r>
      <w:r w:rsidR="0028384B" w:rsidRPr="002F16A1">
        <w:rPr>
          <w:noProof/>
        </w:rPr>
        <w:t xml:space="preserve"> w</w:t>
      </w:r>
      <w:r w:rsidR="0028384B">
        <w:rPr>
          <w:noProof/>
        </w:rPr>
        <w:t> </w:t>
      </w:r>
      <w:r w:rsidR="0028384B" w:rsidRPr="002F16A1">
        <w:rPr>
          <w:noProof/>
        </w:rPr>
        <w:t>spr</w:t>
      </w:r>
      <w:r w:rsidR="00AD62E2" w:rsidRPr="002F16A1">
        <w:rPr>
          <w:noProof/>
        </w:rPr>
        <w:t>awie nadzwyczajnego instrumentu jednolitego rynku mającego na celu przewidywanie</w:t>
      </w:r>
      <w:r w:rsidR="0028384B" w:rsidRPr="002F16A1">
        <w:rPr>
          <w:noProof/>
        </w:rPr>
        <w:t xml:space="preserve"> i</w:t>
      </w:r>
      <w:r w:rsidR="0028384B">
        <w:rPr>
          <w:noProof/>
        </w:rPr>
        <w:t> </w:t>
      </w:r>
      <w:r w:rsidR="0028384B" w:rsidRPr="002F16A1">
        <w:rPr>
          <w:noProof/>
        </w:rPr>
        <w:t>łag</w:t>
      </w:r>
      <w:r w:rsidR="00AD62E2" w:rsidRPr="002F16A1">
        <w:rPr>
          <w:noProof/>
        </w:rPr>
        <w:t>odzenie kryzysu</w:t>
      </w:r>
      <w:r w:rsidR="0028384B" w:rsidRPr="002F16A1">
        <w:rPr>
          <w:noProof/>
        </w:rPr>
        <w:t xml:space="preserve"> w</w:t>
      </w:r>
      <w:r w:rsidR="0028384B">
        <w:rPr>
          <w:noProof/>
        </w:rPr>
        <w:t> </w:t>
      </w:r>
      <w:r w:rsidR="0028384B" w:rsidRPr="002F16A1">
        <w:rPr>
          <w:noProof/>
        </w:rPr>
        <w:t>fun</w:t>
      </w:r>
      <w:r w:rsidR="00AD62E2" w:rsidRPr="002F16A1">
        <w:rPr>
          <w:noProof/>
        </w:rPr>
        <w:t>kcjonowaniu jednolitego rynku oraz odpowiadanie na taki kryzys lub rozporządzenie Rady (UE) 2022/2372</w:t>
      </w:r>
      <w:r w:rsidR="00AD62E2" w:rsidRPr="002F16A1">
        <w:rPr>
          <w:rStyle w:val="FootnoteReference"/>
          <w:noProof/>
        </w:rPr>
        <w:footnoteReference w:id="46"/>
      </w:r>
      <w:r w:rsidR="0028384B" w:rsidRPr="002F16A1">
        <w:rPr>
          <w:noProof/>
        </w:rPr>
        <w:t xml:space="preserve"> w</w:t>
      </w:r>
      <w:r w:rsidR="0028384B">
        <w:rPr>
          <w:noProof/>
        </w:rPr>
        <w:t> </w:t>
      </w:r>
      <w:r w:rsidR="0028384B" w:rsidRPr="002F16A1">
        <w:rPr>
          <w:noProof/>
        </w:rPr>
        <w:t>spr</w:t>
      </w:r>
      <w:r w:rsidR="00AD62E2" w:rsidRPr="002F16A1">
        <w:rPr>
          <w:noProof/>
        </w:rPr>
        <w:t>awie ram środków służących zapewnieniu zaopatrzenia</w:t>
      </w:r>
      <w:r w:rsidR="0028384B" w:rsidRPr="002F16A1">
        <w:rPr>
          <w:noProof/>
        </w:rPr>
        <w:t xml:space="preserve"> w</w:t>
      </w:r>
      <w:r w:rsidR="0028384B">
        <w:rPr>
          <w:noProof/>
        </w:rPr>
        <w:t> </w:t>
      </w:r>
      <w:r w:rsidR="0028384B" w:rsidRPr="002F16A1">
        <w:rPr>
          <w:noProof/>
        </w:rPr>
        <w:t>med</w:t>
      </w:r>
      <w:r w:rsidR="00AD62E2" w:rsidRPr="002F16A1">
        <w:rPr>
          <w:noProof/>
        </w:rPr>
        <w:t>yczne środki przeciwdziałania istotne podczas kryzysu</w:t>
      </w:r>
      <w:r w:rsidR="0028384B" w:rsidRPr="002F16A1">
        <w:rPr>
          <w:noProof/>
        </w:rPr>
        <w:t xml:space="preserve"> w</w:t>
      </w:r>
      <w:r w:rsidR="0028384B">
        <w:rPr>
          <w:noProof/>
        </w:rPr>
        <w:t> </w:t>
      </w:r>
      <w:r w:rsidR="0028384B" w:rsidRPr="002F16A1">
        <w:rPr>
          <w:noProof/>
        </w:rPr>
        <w:t>prz</w:t>
      </w:r>
      <w:r w:rsidR="00AD62E2" w:rsidRPr="002F16A1">
        <w:rPr>
          <w:noProof/>
        </w:rPr>
        <w:t>ypadku stanu zagrożenia zdrowia publicznego na poziomie Unii mogłyby wciąż mieć zastosowanie do surowców krytycznych</w:t>
      </w:r>
      <w:r w:rsidR="0028384B" w:rsidRPr="002F16A1">
        <w:rPr>
          <w:noProof/>
        </w:rPr>
        <w:t xml:space="preserve"> i</w:t>
      </w:r>
      <w:r w:rsidR="0028384B">
        <w:rPr>
          <w:noProof/>
        </w:rPr>
        <w:t> </w:t>
      </w:r>
      <w:r w:rsidR="0028384B" w:rsidRPr="002F16A1">
        <w:rPr>
          <w:noProof/>
        </w:rPr>
        <w:t>str</w:t>
      </w:r>
      <w:r w:rsidR="00AD62E2" w:rsidRPr="002F16A1">
        <w:rPr>
          <w:noProof/>
        </w:rPr>
        <w:t>ategicznych</w:t>
      </w:r>
      <w:r w:rsidR="0028384B" w:rsidRPr="002F16A1">
        <w:rPr>
          <w:noProof/>
        </w:rPr>
        <w:t xml:space="preserve"> w</w:t>
      </w:r>
      <w:r w:rsidR="0028384B">
        <w:rPr>
          <w:noProof/>
        </w:rPr>
        <w:t> </w:t>
      </w:r>
      <w:r w:rsidR="0028384B" w:rsidRPr="002F16A1">
        <w:rPr>
          <w:noProof/>
        </w:rPr>
        <w:t>prz</w:t>
      </w:r>
      <w:r w:rsidR="00AD62E2" w:rsidRPr="002F16A1">
        <w:rPr>
          <w:noProof/>
        </w:rPr>
        <w:t>ypadku wystąpienia kryzysu lub zagrożenia</w:t>
      </w:r>
      <w:r w:rsidR="0028384B" w:rsidRPr="002F16A1">
        <w:rPr>
          <w:noProof/>
        </w:rPr>
        <w:t xml:space="preserve"> w</w:t>
      </w:r>
      <w:r w:rsidR="0028384B">
        <w:rPr>
          <w:noProof/>
        </w:rPr>
        <w:t> </w:t>
      </w:r>
      <w:r w:rsidR="0028384B" w:rsidRPr="002F16A1">
        <w:rPr>
          <w:noProof/>
        </w:rPr>
        <w:t>sto</w:t>
      </w:r>
      <w:r w:rsidR="00AD62E2" w:rsidRPr="002F16A1">
        <w:rPr>
          <w:noProof/>
        </w:rPr>
        <w:t>pniu,</w:t>
      </w:r>
      <w:r w:rsidR="0028384B" w:rsidRPr="002F16A1">
        <w:rPr>
          <w:noProof/>
        </w:rPr>
        <w:t xml:space="preserve"> w</w:t>
      </w:r>
      <w:r w:rsidR="0028384B">
        <w:rPr>
          <w:noProof/>
        </w:rPr>
        <w:t> </w:t>
      </w:r>
      <w:r w:rsidR="0028384B" w:rsidRPr="002F16A1">
        <w:rPr>
          <w:noProof/>
        </w:rPr>
        <w:t>jak</w:t>
      </w:r>
      <w:r w:rsidR="00AD62E2" w:rsidRPr="002F16A1">
        <w:rPr>
          <w:noProof/>
        </w:rPr>
        <w:t>im surowce te są objęte zakresem takich instrumentów. Zapewnienie komplementarności</w:t>
      </w:r>
      <w:r w:rsidR="0028384B" w:rsidRPr="002F16A1">
        <w:rPr>
          <w:noProof/>
        </w:rPr>
        <w:t xml:space="preserve"> i</w:t>
      </w:r>
      <w:r w:rsidR="0028384B">
        <w:rPr>
          <w:noProof/>
        </w:rPr>
        <w:t> </w:t>
      </w:r>
      <w:r w:rsidR="0028384B" w:rsidRPr="002F16A1">
        <w:rPr>
          <w:noProof/>
        </w:rPr>
        <w:t>spó</w:t>
      </w:r>
      <w:r w:rsidR="00AD62E2" w:rsidRPr="002F16A1">
        <w:rPr>
          <w:noProof/>
        </w:rPr>
        <w:t>jności między niniejszym rozporządzeniem</w:t>
      </w:r>
      <w:r w:rsidR="0028384B" w:rsidRPr="002F16A1">
        <w:rPr>
          <w:noProof/>
        </w:rPr>
        <w:t xml:space="preserve"> a</w:t>
      </w:r>
      <w:r w:rsidR="0028384B">
        <w:rPr>
          <w:noProof/>
        </w:rPr>
        <w:t> </w:t>
      </w:r>
      <w:r w:rsidR="0028384B" w:rsidRPr="002F16A1">
        <w:rPr>
          <w:noProof/>
        </w:rPr>
        <w:t>ins</w:t>
      </w:r>
      <w:r w:rsidR="00AD62E2" w:rsidRPr="002F16A1">
        <w:rPr>
          <w:noProof/>
        </w:rPr>
        <w:t>trumentami kryzysowymi powinno odbywać się poprzez wymianę informacji.</w:t>
      </w:r>
    </w:p>
    <w:p w:rsidR="00AD62E2" w:rsidRPr="002F16A1" w:rsidRDefault="00733965" w:rsidP="00733965">
      <w:pPr>
        <w:pStyle w:val="ManualConsidrant"/>
        <w:rPr>
          <w:noProof/>
        </w:rPr>
      </w:pPr>
      <w:r w:rsidRPr="00733965">
        <w:t>(41)</w:t>
      </w:r>
      <w:r w:rsidRPr="00733965">
        <w:tab/>
      </w:r>
      <w:r w:rsidR="00AD62E2" w:rsidRPr="002F16A1">
        <w:rPr>
          <w:noProof/>
        </w:rPr>
        <w:t>Surowce najbardziej krytyczne to metale, które co do zasady można poddawać recyklingowi nieskończoną liczbę razy, niekiedy tracą one jednak przy tym na jakości</w:t>
      </w:r>
      <w:r w:rsidR="0028384B" w:rsidRPr="002F16A1">
        <w:rPr>
          <w:noProof/>
        </w:rPr>
        <w:t>. W</w:t>
      </w:r>
      <w:r w:rsidR="0028384B">
        <w:rPr>
          <w:noProof/>
        </w:rPr>
        <w:t> </w:t>
      </w:r>
      <w:r w:rsidR="0028384B" w:rsidRPr="002F16A1">
        <w:rPr>
          <w:noProof/>
        </w:rPr>
        <w:t>kon</w:t>
      </w:r>
      <w:r w:rsidR="00AD62E2" w:rsidRPr="002F16A1">
        <w:rPr>
          <w:noProof/>
        </w:rPr>
        <w:t>tekście transformacji ekologicznej stwarza to potencjał do przejścia na realny model gospodarki</w:t>
      </w:r>
      <w:r w:rsidR="0028384B" w:rsidRPr="002F16A1">
        <w:rPr>
          <w:noProof/>
        </w:rPr>
        <w:t xml:space="preserve"> o</w:t>
      </w:r>
      <w:r w:rsidR="0028384B">
        <w:rPr>
          <w:noProof/>
        </w:rPr>
        <w:t> </w:t>
      </w:r>
      <w:r w:rsidR="0028384B" w:rsidRPr="002F16A1">
        <w:rPr>
          <w:noProof/>
        </w:rPr>
        <w:t>obi</w:t>
      </w:r>
      <w:r w:rsidR="00AD62E2" w:rsidRPr="002F16A1">
        <w:rPr>
          <w:noProof/>
        </w:rPr>
        <w:t>egu zamkniętym. Po początkowym etapie szybkiego wzrostu popytu na surowce krytyczne na potrzeby nowych technologii,</w:t>
      </w:r>
      <w:r w:rsidR="0028384B" w:rsidRPr="002F16A1">
        <w:rPr>
          <w:noProof/>
        </w:rPr>
        <w:t xml:space="preserve"> w</w:t>
      </w:r>
      <w:r w:rsidR="0028384B">
        <w:rPr>
          <w:noProof/>
        </w:rPr>
        <w:t> </w:t>
      </w:r>
      <w:r w:rsidR="0028384B" w:rsidRPr="002F16A1">
        <w:rPr>
          <w:noProof/>
        </w:rPr>
        <w:t>któ</w:t>
      </w:r>
      <w:r w:rsidR="00AD62E2" w:rsidRPr="002F16A1">
        <w:rPr>
          <w:noProof/>
        </w:rPr>
        <w:t>rym pierwotne wydobycie</w:t>
      </w:r>
      <w:r w:rsidR="0028384B" w:rsidRPr="002F16A1">
        <w:rPr>
          <w:noProof/>
        </w:rPr>
        <w:t xml:space="preserve"> i</w:t>
      </w:r>
      <w:r w:rsidR="0028384B">
        <w:rPr>
          <w:noProof/>
        </w:rPr>
        <w:t> </w:t>
      </w:r>
      <w:r w:rsidR="0028384B" w:rsidRPr="002F16A1">
        <w:rPr>
          <w:noProof/>
        </w:rPr>
        <w:t>prz</w:t>
      </w:r>
      <w:r w:rsidR="00AD62E2" w:rsidRPr="002F16A1">
        <w:rPr>
          <w:noProof/>
        </w:rPr>
        <w:t>etwarzanie będą wciąż dominującym źródłem, recykling powinien stopniowo nabierać znaczenia</w:t>
      </w:r>
      <w:r w:rsidR="0028384B" w:rsidRPr="002F16A1">
        <w:rPr>
          <w:noProof/>
        </w:rPr>
        <w:t xml:space="preserve"> i</w:t>
      </w:r>
      <w:r w:rsidR="0028384B">
        <w:rPr>
          <w:noProof/>
        </w:rPr>
        <w:t> </w:t>
      </w:r>
      <w:r w:rsidR="0028384B" w:rsidRPr="002F16A1">
        <w:rPr>
          <w:noProof/>
        </w:rPr>
        <w:t>prz</w:t>
      </w:r>
      <w:r w:rsidR="00AD62E2" w:rsidRPr="002F16A1">
        <w:rPr>
          <w:noProof/>
        </w:rPr>
        <w:t>yczynić się do ograniczenia potrzeby pierwotnego wydobycia</w:t>
      </w:r>
      <w:r w:rsidR="0028384B" w:rsidRPr="002F16A1">
        <w:rPr>
          <w:noProof/>
        </w:rPr>
        <w:t xml:space="preserve"> i</w:t>
      </w:r>
      <w:r w:rsidR="0028384B">
        <w:rPr>
          <w:noProof/>
        </w:rPr>
        <w:t> </w:t>
      </w:r>
      <w:r w:rsidR="0028384B" w:rsidRPr="002F16A1">
        <w:rPr>
          <w:noProof/>
        </w:rPr>
        <w:t>zwi</w:t>
      </w:r>
      <w:r w:rsidR="00AD62E2" w:rsidRPr="002F16A1">
        <w:rPr>
          <w:noProof/>
        </w:rPr>
        <w:t>ązanych</w:t>
      </w:r>
      <w:r w:rsidR="0028384B" w:rsidRPr="002F16A1">
        <w:rPr>
          <w:noProof/>
        </w:rPr>
        <w:t xml:space="preserve"> z</w:t>
      </w:r>
      <w:r w:rsidR="0028384B">
        <w:rPr>
          <w:noProof/>
        </w:rPr>
        <w:t> </w:t>
      </w:r>
      <w:r w:rsidR="0028384B" w:rsidRPr="002F16A1">
        <w:rPr>
          <w:noProof/>
        </w:rPr>
        <w:t>nim</w:t>
      </w:r>
      <w:r w:rsidR="00AD62E2" w:rsidRPr="002F16A1">
        <w:rPr>
          <w:noProof/>
        </w:rPr>
        <w:t xml:space="preserve"> oddziaływań. Obecnie współczynnik recyklingu większości surowców krytycznych jest jednak niski,</w:t>
      </w:r>
      <w:r w:rsidR="0028384B" w:rsidRPr="002F16A1">
        <w:rPr>
          <w:noProof/>
        </w:rPr>
        <w:t xml:space="preserve"> a</w:t>
      </w:r>
      <w:r w:rsidR="0028384B">
        <w:rPr>
          <w:noProof/>
        </w:rPr>
        <w:t> </w:t>
      </w:r>
      <w:r w:rsidR="0028384B" w:rsidRPr="002F16A1">
        <w:rPr>
          <w:noProof/>
        </w:rPr>
        <w:t>sys</w:t>
      </w:r>
      <w:r w:rsidR="00AD62E2" w:rsidRPr="002F16A1">
        <w:rPr>
          <w:noProof/>
        </w:rPr>
        <w:t>temy</w:t>
      </w:r>
      <w:r w:rsidR="0028384B" w:rsidRPr="002F16A1">
        <w:rPr>
          <w:noProof/>
        </w:rPr>
        <w:t xml:space="preserve"> i</w:t>
      </w:r>
      <w:r w:rsidR="0028384B">
        <w:rPr>
          <w:noProof/>
        </w:rPr>
        <w:t> </w:t>
      </w:r>
      <w:r w:rsidR="0028384B" w:rsidRPr="002F16A1">
        <w:rPr>
          <w:noProof/>
        </w:rPr>
        <w:t>tec</w:t>
      </w:r>
      <w:r w:rsidR="00AD62E2" w:rsidRPr="002F16A1">
        <w:rPr>
          <w:noProof/>
        </w:rPr>
        <w:t>hnologie recyklingu często nie są przystosowane do specyfiki tych surowców. Konieczne jest zatem działanie ukierunkowane na poszczególne czynniki hamujące potencjał obiegu zamkniętego.</w:t>
      </w:r>
    </w:p>
    <w:p w:rsidR="00AD62E2" w:rsidRPr="002F16A1" w:rsidRDefault="00733965" w:rsidP="00733965">
      <w:pPr>
        <w:pStyle w:val="ManualConsidrant"/>
        <w:rPr>
          <w:noProof/>
        </w:rPr>
      </w:pPr>
      <w:r w:rsidRPr="00733965">
        <w:t>(42)</w:t>
      </w:r>
      <w:r w:rsidRPr="00733965">
        <w:tab/>
      </w:r>
      <w:r w:rsidR="00AD62E2" w:rsidRPr="002F16A1">
        <w:rPr>
          <w:noProof/>
        </w:rPr>
        <w:t>Państwa członkowskie zachowują istotne kompetencje</w:t>
      </w:r>
      <w:r w:rsidR="0028384B" w:rsidRPr="002F16A1">
        <w:rPr>
          <w:noProof/>
        </w:rPr>
        <w:t xml:space="preserve"> w</w:t>
      </w:r>
      <w:r w:rsidR="0028384B">
        <w:rPr>
          <w:noProof/>
        </w:rPr>
        <w:t> </w:t>
      </w:r>
      <w:r w:rsidR="0028384B" w:rsidRPr="002F16A1">
        <w:rPr>
          <w:noProof/>
        </w:rPr>
        <w:t>zak</w:t>
      </w:r>
      <w:r w:rsidR="00AD62E2" w:rsidRPr="002F16A1">
        <w:rPr>
          <w:noProof/>
        </w:rPr>
        <w:t>resie gospodarki</w:t>
      </w:r>
      <w:r w:rsidR="0028384B" w:rsidRPr="002F16A1">
        <w:rPr>
          <w:noProof/>
        </w:rPr>
        <w:t xml:space="preserve"> o</w:t>
      </w:r>
      <w:r w:rsidR="0028384B">
        <w:rPr>
          <w:noProof/>
        </w:rPr>
        <w:t> </w:t>
      </w:r>
      <w:r w:rsidR="0028384B" w:rsidRPr="002F16A1">
        <w:rPr>
          <w:noProof/>
        </w:rPr>
        <w:t>obi</w:t>
      </w:r>
      <w:r w:rsidR="00AD62E2" w:rsidRPr="002F16A1">
        <w:rPr>
          <w:noProof/>
        </w:rPr>
        <w:t>egu zamkniętym, np.</w:t>
      </w:r>
      <w:r w:rsidR="0028384B" w:rsidRPr="002F16A1">
        <w:rPr>
          <w:noProof/>
        </w:rPr>
        <w:t xml:space="preserve"> w</w:t>
      </w:r>
      <w:r w:rsidR="0028384B">
        <w:rPr>
          <w:noProof/>
        </w:rPr>
        <w:t> </w:t>
      </w:r>
      <w:r w:rsidR="0028384B" w:rsidRPr="002F16A1">
        <w:rPr>
          <w:noProof/>
        </w:rPr>
        <w:t>obs</w:t>
      </w:r>
      <w:r w:rsidR="00AD62E2" w:rsidRPr="002F16A1">
        <w:rPr>
          <w:noProof/>
        </w:rPr>
        <w:t>zarze systemów zbierania</w:t>
      </w:r>
      <w:r w:rsidR="0028384B" w:rsidRPr="002F16A1">
        <w:rPr>
          <w:noProof/>
        </w:rPr>
        <w:t xml:space="preserve"> i</w:t>
      </w:r>
      <w:r w:rsidR="0028384B">
        <w:rPr>
          <w:noProof/>
        </w:rPr>
        <w:t> </w:t>
      </w:r>
      <w:r w:rsidR="0028384B" w:rsidRPr="002F16A1">
        <w:rPr>
          <w:noProof/>
        </w:rPr>
        <w:t>prz</w:t>
      </w:r>
      <w:r w:rsidR="00AD62E2" w:rsidRPr="002F16A1">
        <w:rPr>
          <w:noProof/>
        </w:rPr>
        <w:t>etwarzania odpadów. Powinny one</w:t>
      </w:r>
      <w:r w:rsidR="0028384B" w:rsidRPr="002F16A1">
        <w:rPr>
          <w:noProof/>
        </w:rPr>
        <w:t xml:space="preserve"> z</w:t>
      </w:r>
      <w:r w:rsidR="0028384B">
        <w:rPr>
          <w:noProof/>
        </w:rPr>
        <w:t> </w:t>
      </w:r>
      <w:r w:rsidR="0028384B" w:rsidRPr="002F16A1">
        <w:rPr>
          <w:noProof/>
        </w:rPr>
        <w:t>nic</w:t>
      </w:r>
      <w:r w:rsidR="00AD62E2" w:rsidRPr="002F16A1">
        <w:rPr>
          <w:noProof/>
        </w:rPr>
        <w:t>h korzystać, aby zwiększyć współczynniki zbierania</w:t>
      </w:r>
      <w:r w:rsidR="0028384B" w:rsidRPr="002F16A1">
        <w:rPr>
          <w:noProof/>
        </w:rPr>
        <w:t xml:space="preserve"> i</w:t>
      </w:r>
      <w:r w:rsidR="0028384B">
        <w:rPr>
          <w:noProof/>
        </w:rPr>
        <w:t> </w:t>
      </w:r>
      <w:r w:rsidR="0028384B" w:rsidRPr="002F16A1">
        <w:rPr>
          <w:noProof/>
        </w:rPr>
        <w:t>rec</w:t>
      </w:r>
      <w:r w:rsidR="00AD62E2" w:rsidRPr="002F16A1">
        <w:rPr>
          <w:noProof/>
        </w:rPr>
        <w:t>yklingu</w:t>
      </w:r>
      <w:r w:rsidR="0028384B" w:rsidRPr="002F16A1">
        <w:rPr>
          <w:noProof/>
        </w:rPr>
        <w:t xml:space="preserve"> w</w:t>
      </w:r>
      <w:r w:rsidR="0028384B">
        <w:rPr>
          <w:noProof/>
        </w:rPr>
        <w:t> </w:t>
      </w:r>
      <w:r w:rsidR="0028384B" w:rsidRPr="002F16A1">
        <w:rPr>
          <w:noProof/>
        </w:rPr>
        <w:t>odn</w:t>
      </w:r>
      <w:r w:rsidR="00AD62E2" w:rsidRPr="002F16A1">
        <w:rPr>
          <w:noProof/>
        </w:rPr>
        <w:t>iesieniu do strumieni odpadów</w:t>
      </w:r>
      <w:r w:rsidR="0028384B" w:rsidRPr="002F16A1">
        <w:rPr>
          <w:noProof/>
        </w:rPr>
        <w:t xml:space="preserve"> o</w:t>
      </w:r>
      <w:r w:rsidR="0028384B">
        <w:rPr>
          <w:noProof/>
        </w:rPr>
        <w:t> </w:t>
      </w:r>
      <w:r w:rsidR="0028384B" w:rsidRPr="002F16A1">
        <w:rPr>
          <w:noProof/>
        </w:rPr>
        <w:t>wys</w:t>
      </w:r>
      <w:r w:rsidR="00AD62E2" w:rsidRPr="002F16A1">
        <w:rPr>
          <w:noProof/>
        </w:rPr>
        <w:t>okim potencjale odzysku surowców krytycznych, wykorzystując na przykład zachęty finansowe, takie jak zniżki, korzyści pieniężne lub systemy zwrotu kaucji. Organy państwa członkowskiego powinny również przyczyniać się do zmian jako nabywcy surowców krytycznych</w:t>
      </w:r>
      <w:r w:rsidR="0028384B" w:rsidRPr="002F16A1">
        <w:rPr>
          <w:noProof/>
        </w:rPr>
        <w:t xml:space="preserve"> i</w:t>
      </w:r>
      <w:r w:rsidR="0028384B">
        <w:rPr>
          <w:noProof/>
        </w:rPr>
        <w:t> </w:t>
      </w:r>
      <w:r w:rsidR="0028384B" w:rsidRPr="002F16A1">
        <w:rPr>
          <w:noProof/>
        </w:rPr>
        <w:t>zaw</w:t>
      </w:r>
      <w:r w:rsidR="00AD62E2" w:rsidRPr="002F16A1">
        <w:rPr>
          <w:noProof/>
        </w:rPr>
        <w:t>ierających je produktów,</w:t>
      </w:r>
      <w:r w:rsidR="0028384B" w:rsidRPr="002F16A1">
        <w:rPr>
          <w:noProof/>
        </w:rPr>
        <w:t xml:space="preserve"> a</w:t>
      </w:r>
      <w:r w:rsidR="0028384B">
        <w:rPr>
          <w:noProof/>
        </w:rPr>
        <w:t> </w:t>
      </w:r>
      <w:r w:rsidR="0028384B" w:rsidRPr="002F16A1">
        <w:rPr>
          <w:noProof/>
        </w:rPr>
        <w:t>kra</w:t>
      </w:r>
      <w:r w:rsidR="00AD62E2" w:rsidRPr="002F16A1">
        <w:rPr>
          <w:noProof/>
        </w:rPr>
        <w:t>jowe programy</w:t>
      </w:r>
      <w:r w:rsidR="0028384B" w:rsidRPr="002F16A1">
        <w:rPr>
          <w:noProof/>
        </w:rPr>
        <w:t xml:space="preserve"> w</w:t>
      </w:r>
      <w:r w:rsidR="0028384B">
        <w:rPr>
          <w:noProof/>
        </w:rPr>
        <w:t> </w:t>
      </w:r>
      <w:r w:rsidR="0028384B" w:rsidRPr="002F16A1">
        <w:rPr>
          <w:noProof/>
        </w:rPr>
        <w:t>zak</w:t>
      </w:r>
      <w:r w:rsidR="00AD62E2" w:rsidRPr="002F16A1">
        <w:rPr>
          <w:noProof/>
        </w:rPr>
        <w:t>resie badań naukowych</w:t>
      </w:r>
      <w:r w:rsidR="0028384B" w:rsidRPr="002F16A1">
        <w:rPr>
          <w:noProof/>
        </w:rPr>
        <w:t xml:space="preserve"> i</w:t>
      </w:r>
      <w:r w:rsidR="0028384B">
        <w:rPr>
          <w:noProof/>
        </w:rPr>
        <w:t> </w:t>
      </w:r>
      <w:r w:rsidR="0028384B" w:rsidRPr="002F16A1">
        <w:rPr>
          <w:noProof/>
        </w:rPr>
        <w:t>inn</w:t>
      </w:r>
      <w:r w:rsidR="00AD62E2" w:rsidRPr="002F16A1">
        <w:rPr>
          <w:noProof/>
        </w:rPr>
        <w:t>owacji powinny zapewniać istotne zasoby służące poprawie stanu wiedzy</w:t>
      </w:r>
      <w:r w:rsidR="0028384B" w:rsidRPr="002F16A1">
        <w:rPr>
          <w:noProof/>
        </w:rPr>
        <w:t xml:space="preserve"> i</w:t>
      </w:r>
      <w:r w:rsidR="0028384B">
        <w:rPr>
          <w:noProof/>
        </w:rPr>
        <w:t> </w:t>
      </w:r>
      <w:r w:rsidR="0028384B" w:rsidRPr="002F16A1">
        <w:rPr>
          <w:noProof/>
        </w:rPr>
        <w:t>tec</w:t>
      </w:r>
      <w:r w:rsidR="00AD62E2" w:rsidRPr="002F16A1">
        <w:rPr>
          <w:noProof/>
        </w:rPr>
        <w:t>hnologii dotyczących obiegu zamkniętego surowców krytycznych, jak również efektywności wykorzystywania materiałów. Ponadto państwa członkowskie powinny promować odzysk surowców krytycznych</w:t>
      </w:r>
      <w:r w:rsidR="0028384B" w:rsidRPr="002F16A1">
        <w:rPr>
          <w:noProof/>
        </w:rPr>
        <w:t xml:space="preserve"> z</w:t>
      </w:r>
      <w:r w:rsidR="0028384B">
        <w:rPr>
          <w:noProof/>
        </w:rPr>
        <w:t> </w:t>
      </w:r>
      <w:r w:rsidR="0028384B" w:rsidRPr="002F16A1">
        <w:rPr>
          <w:noProof/>
        </w:rPr>
        <w:t>odp</w:t>
      </w:r>
      <w:r w:rsidR="00AD62E2" w:rsidRPr="002F16A1">
        <w:rPr>
          <w:noProof/>
        </w:rPr>
        <w:t>adów wydobywczych, zwiększając dostęp do informacji</w:t>
      </w:r>
      <w:r w:rsidR="0028384B" w:rsidRPr="002F16A1">
        <w:rPr>
          <w:noProof/>
        </w:rPr>
        <w:t xml:space="preserve"> i</w:t>
      </w:r>
      <w:r w:rsidR="0028384B">
        <w:rPr>
          <w:noProof/>
        </w:rPr>
        <w:t> </w:t>
      </w:r>
      <w:r w:rsidR="0028384B" w:rsidRPr="002F16A1">
        <w:rPr>
          <w:noProof/>
        </w:rPr>
        <w:t>niw</w:t>
      </w:r>
      <w:r w:rsidR="00AD62E2" w:rsidRPr="002F16A1">
        <w:rPr>
          <w:noProof/>
        </w:rPr>
        <w:t>elując bariery prawne, gospodarcze</w:t>
      </w:r>
      <w:r w:rsidR="0028384B" w:rsidRPr="002F16A1">
        <w:rPr>
          <w:noProof/>
        </w:rPr>
        <w:t xml:space="preserve"> i</w:t>
      </w:r>
      <w:r w:rsidR="0028384B">
        <w:rPr>
          <w:noProof/>
        </w:rPr>
        <w:t> </w:t>
      </w:r>
      <w:r w:rsidR="0028384B" w:rsidRPr="002F16A1">
        <w:rPr>
          <w:noProof/>
        </w:rPr>
        <w:t>tec</w:t>
      </w:r>
      <w:r w:rsidR="00AD62E2" w:rsidRPr="002F16A1">
        <w:rPr>
          <w:noProof/>
        </w:rPr>
        <w:t>hniczne. Jednym</w:t>
      </w:r>
      <w:r w:rsidR="0028384B" w:rsidRPr="002F16A1">
        <w:rPr>
          <w:noProof/>
        </w:rPr>
        <w:t xml:space="preserve"> z</w:t>
      </w:r>
      <w:r w:rsidR="0028384B">
        <w:rPr>
          <w:noProof/>
        </w:rPr>
        <w:t> </w:t>
      </w:r>
      <w:r w:rsidR="0028384B" w:rsidRPr="002F16A1">
        <w:rPr>
          <w:noProof/>
        </w:rPr>
        <w:t>moż</w:t>
      </w:r>
      <w:r w:rsidR="00AD62E2" w:rsidRPr="002F16A1">
        <w:rPr>
          <w:noProof/>
        </w:rPr>
        <w:t>liwych rozwiązań, jakim powinny się przyjrzeć państwa członkowskie, są mechanizmy podziału ryzyka między operatorów</w:t>
      </w:r>
      <w:r w:rsidR="0028384B" w:rsidRPr="002F16A1">
        <w:rPr>
          <w:noProof/>
        </w:rPr>
        <w:t xml:space="preserve"> a</w:t>
      </w:r>
      <w:r w:rsidR="0028384B">
        <w:rPr>
          <w:noProof/>
        </w:rPr>
        <w:t> </w:t>
      </w:r>
      <w:r w:rsidR="0028384B" w:rsidRPr="002F16A1">
        <w:rPr>
          <w:noProof/>
        </w:rPr>
        <w:t>pań</w:t>
      </w:r>
      <w:r w:rsidR="00AD62E2" w:rsidRPr="002F16A1">
        <w:rPr>
          <w:noProof/>
        </w:rPr>
        <w:t>stwo członkowskie, które mają na celu promowanie odzysku</w:t>
      </w:r>
      <w:r w:rsidR="0028384B" w:rsidRPr="002F16A1">
        <w:rPr>
          <w:noProof/>
        </w:rPr>
        <w:t xml:space="preserve"> z</w:t>
      </w:r>
      <w:r w:rsidR="0028384B">
        <w:rPr>
          <w:noProof/>
        </w:rPr>
        <w:t> </w:t>
      </w:r>
      <w:r w:rsidR="0028384B" w:rsidRPr="002F16A1">
        <w:rPr>
          <w:noProof/>
        </w:rPr>
        <w:t>zam</w:t>
      </w:r>
      <w:r w:rsidR="00AD62E2" w:rsidRPr="002F16A1">
        <w:rPr>
          <w:noProof/>
        </w:rPr>
        <w:t>kniętych obiektów unieszkodliwiania odpadów wydobywczych. </w:t>
      </w:r>
    </w:p>
    <w:p w:rsidR="00AD62E2" w:rsidRPr="002F16A1" w:rsidRDefault="00733965" w:rsidP="00733965">
      <w:pPr>
        <w:pStyle w:val="ManualConsidrant"/>
        <w:rPr>
          <w:noProof/>
        </w:rPr>
      </w:pPr>
      <w:r w:rsidRPr="00733965">
        <w:t>(43)</w:t>
      </w:r>
      <w:r w:rsidRPr="00733965">
        <w:tab/>
      </w:r>
      <w:r w:rsidR="00AD62E2" w:rsidRPr="002F16A1">
        <w:rPr>
          <w:noProof/>
        </w:rPr>
        <w:t>W wielu regionach</w:t>
      </w:r>
      <w:r w:rsidR="0028384B" w:rsidRPr="002F16A1">
        <w:rPr>
          <w:noProof/>
        </w:rPr>
        <w:t xml:space="preserve"> w</w:t>
      </w:r>
      <w:r w:rsidR="0028384B">
        <w:rPr>
          <w:noProof/>
        </w:rPr>
        <w:t> </w:t>
      </w:r>
      <w:r w:rsidR="0028384B" w:rsidRPr="002F16A1">
        <w:rPr>
          <w:noProof/>
        </w:rPr>
        <w:t>Uni</w:t>
      </w:r>
      <w:r w:rsidR="00AD62E2" w:rsidRPr="002F16A1">
        <w:rPr>
          <w:noProof/>
        </w:rPr>
        <w:t>i znajdują się dawne miejsca wydobycia surowców ze znacznymi ilościami odpadów wydobywczych</w:t>
      </w:r>
      <w:r w:rsidR="0028384B" w:rsidRPr="002F16A1">
        <w:rPr>
          <w:noProof/>
        </w:rPr>
        <w:t xml:space="preserve"> w</w:t>
      </w:r>
      <w:r w:rsidR="0028384B">
        <w:rPr>
          <w:noProof/>
        </w:rPr>
        <w:t> </w:t>
      </w:r>
      <w:r w:rsidR="0028384B" w:rsidRPr="002F16A1">
        <w:rPr>
          <w:noProof/>
        </w:rPr>
        <w:t>zam</w:t>
      </w:r>
      <w:r w:rsidR="00AD62E2" w:rsidRPr="002F16A1">
        <w:rPr>
          <w:noProof/>
        </w:rPr>
        <w:t>kniętych obiektach, które to miejsca, ze względu na fakt, że ich znaczenie gospodarcze wzrasta dopiero</w:t>
      </w:r>
      <w:r w:rsidR="0028384B" w:rsidRPr="002F16A1">
        <w:rPr>
          <w:noProof/>
        </w:rPr>
        <w:t xml:space="preserve"> w</w:t>
      </w:r>
      <w:r w:rsidR="0028384B">
        <w:rPr>
          <w:noProof/>
        </w:rPr>
        <w:t> </w:t>
      </w:r>
      <w:r w:rsidR="0028384B" w:rsidRPr="002F16A1">
        <w:rPr>
          <w:noProof/>
        </w:rPr>
        <w:t>ost</w:t>
      </w:r>
      <w:r w:rsidR="00AD62E2" w:rsidRPr="002F16A1">
        <w:rPr>
          <w:noProof/>
        </w:rPr>
        <w:t>atnim czasie, nie były analizowane pod kątem potencjału</w:t>
      </w:r>
      <w:r w:rsidR="0028384B" w:rsidRPr="002F16A1">
        <w:rPr>
          <w:noProof/>
        </w:rPr>
        <w:t xml:space="preserve"> w</w:t>
      </w:r>
      <w:r w:rsidR="0028384B">
        <w:rPr>
          <w:noProof/>
        </w:rPr>
        <w:t> </w:t>
      </w:r>
      <w:r w:rsidR="0028384B" w:rsidRPr="002F16A1">
        <w:rPr>
          <w:noProof/>
        </w:rPr>
        <w:t>zak</w:t>
      </w:r>
      <w:r w:rsidR="00AD62E2" w:rsidRPr="002F16A1">
        <w:rPr>
          <w:noProof/>
        </w:rPr>
        <w:t>resie surowców krytycznych. Odzysk surowców krytycznych</w:t>
      </w:r>
      <w:r w:rsidR="0028384B" w:rsidRPr="002F16A1">
        <w:rPr>
          <w:noProof/>
        </w:rPr>
        <w:t xml:space="preserve"> z</w:t>
      </w:r>
      <w:r w:rsidR="0028384B">
        <w:rPr>
          <w:noProof/>
        </w:rPr>
        <w:t> </w:t>
      </w:r>
      <w:r w:rsidR="0028384B" w:rsidRPr="002F16A1">
        <w:rPr>
          <w:noProof/>
        </w:rPr>
        <w:t>obi</w:t>
      </w:r>
      <w:r w:rsidR="00AD62E2" w:rsidRPr="002F16A1">
        <w:rPr>
          <w:noProof/>
        </w:rPr>
        <w:t>ektów unieszkodliwiania odpadów wydobywczych ma potencjał</w:t>
      </w:r>
      <w:r w:rsidR="0028384B" w:rsidRPr="002F16A1">
        <w:rPr>
          <w:noProof/>
        </w:rPr>
        <w:t xml:space="preserve"> w</w:t>
      </w:r>
      <w:r w:rsidR="0028384B">
        <w:rPr>
          <w:noProof/>
        </w:rPr>
        <w:t> </w:t>
      </w:r>
      <w:r w:rsidR="0028384B" w:rsidRPr="002F16A1">
        <w:rPr>
          <w:noProof/>
        </w:rPr>
        <w:t>zak</w:t>
      </w:r>
      <w:r w:rsidR="00AD62E2" w:rsidRPr="002F16A1">
        <w:rPr>
          <w:noProof/>
        </w:rPr>
        <w:t>resie przyczynienia się do tworzenia wartości gospodarczej</w:t>
      </w:r>
      <w:r w:rsidR="0028384B" w:rsidRPr="002F16A1">
        <w:rPr>
          <w:noProof/>
        </w:rPr>
        <w:t xml:space="preserve"> i</w:t>
      </w:r>
      <w:r w:rsidR="0028384B">
        <w:rPr>
          <w:noProof/>
        </w:rPr>
        <w:t> </w:t>
      </w:r>
      <w:r w:rsidR="0028384B" w:rsidRPr="002F16A1">
        <w:rPr>
          <w:noProof/>
        </w:rPr>
        <w:t>mie</w:t>
      </w:r>
      <w:r w:rsidR="00AD62E2" w:rsidRPr="002F16A1">
        <w:rPr>
          <w:noProof/>
        </w:rPr>
        <w:t>jsc pracy</w:t>
      </w:r>
      <w:r w:rsidR="0028384B" w:rsidRPr="002F16A1">
        <w:rPr>
          <w:noProof/>
        </w:rPr>
        <w:t xml:space="preserve"> w</w:t>
      </w:r>
      <w:r w:rsidR="0028384B">
        <w:rPr>
          <w:noProof/>
        </w:rPr>
        <w:t> </w:t>
      </w:r>
      <w:r w:rsidR="0028384B" w:rsidRPr="002F16A1">
        <w:rPr>
          <w:noProof/>
        </w:rPr>
        <w:t>his</w:t>
      </w:r>
      <w:r w:rsidR="00AD62E2" w:rsidRPr="002F16A1">
        <w:rPr>
          <w:noProof/>
        </w:rPr>
        <w:t>torycznych regionach wydobywczych, które często są dotknięte deindustrializacją</w:t>
      </w:r>
      <w:r w:rsidR="0028384B" w:rsidRPr="002F16A1">
        <w:rPr>
          <w:noProof/>
        </w:rPr>
        <w:t xml:space="preserve"> i</w:t>
      </w:r>
      <w:r w:rsidR="0028384B">
        <w:rPr>
          <w:noProof/>
        </w:rPr>
        <w:t> </w:t>
      </w:r>
      <w:r w:rsidR="0028384B" w:rsidRPr="002F16A1">
        <w:rPr>
          <w:noProof/>
        </w:rPr>
        <w:t>zub</w:t>
      </w:r>
      <w:r w:rsidR="00AD62E2" w:rsidRPr="002F16A1">
        <w:rPr>
          <w:noProof/>
        </w:rPr>
        <w:t>ożeniem. Główną barierą dla większego wykorzystywania potencjału uzyskiwania surowców krytycznych</w:t>
      </w:r>
      <w:r w:rsidR="0028384B" w:rsidRPr="002F16A1">
        <w:rPr>
          <w:noProof/>
        </w:rPr>
        <w:t xml:space="preserve"> z</w:t>
      </w:r>
      <w:r w:rsidR="0028384B">
        <w:rPr>
          <w:noProof/>
        </w:rPr>
        <w:t> </w:t>
      </w:r>
      <w:r w:rsidR="0028384B" w:rsidRPr="002F16A1">
        <w:rPr>
          <w:noProof/>
        </w:rPr>
        <w:t>odp</w:t>
      </w:r>
      <w:r w:rsidR="00AD62E2" w:rsidRPr="002F16A1">
        <w:rPr>
          <w:noProof/>
        </w:rPr>
        <w:t>adów wydobywczych jest fakt, że nie poświęca się uwagi kwestii zawartości surowców krytycznych, szczególnie</w:t>
      </w:r>
      <w:r w:rsidR="0028384B" w:rsidRPr="002F16A1">
        <w:rPr>
          <w:noProof/>
        </w:rPr>
        <w:t xml:space="preserve"> w</w:t>
      </w:r>
      <w:r w:rsidR="0028384B">
        <w:rPr>
          <w:noProof/>
        </w:rPr>
        <w:t> </w:t>
      </w:r>
      <w:r w:rsidR="0028384B" w:rsidRPr="002F16A1">
        <w:rPr>
          <w:noProof/>
        </w:rPr>
        <w:t>zam</w:t>
      </w:r>
      <w:r w:rsidR="00AD62E2" w:rsidRPr="002F16A1">
        <w:rPr>
          <w:noProof/>
        </w:rPr>
        <w:t>kniętych obiektach unieszkodliwiania odpadów wydobywczych,</w:t>
      </w:r>
      <w:r w:rsidR="0028384B" w:rsidRPr="002F16A1">
        <w:rPr>
          <w:noProof/>
        </w:rPr>
        <w:t xml:space="preserve"> i</w:t>
      </w:r>
      <w:r w:rsidR="0028384B">
        <w:rPr>
          <w:noProof/>
        </w:rPr>
        <w:t> </w:t>
      </w:r>
      <w:r w:rsidR="0028384B" w:rsidRPr="002F16A1">
        <w:rPr>
          <w:noProof/>
        </w:rPr>
        <w:t>bra</w:t>
      </w:r>
      <w:r w:rsidR="00AD62E2" w:rsidRPr="002F16A1">
        <w:rPr>
          <w:noProof/>
        </w:rPr>
        <w:t>kuje na ten temat informacji.</w:t>
      </w:r>
    </w:p>
    <w:p w:rsidR="00AD62E2" w:rsidRPr="002F16A1" w:rsidRDefault="00733965" w:rsidP="00733965">
      <w:pPr>
        <w:pStyle w:val="ManualConsidrant"/>
        <w:rPr>
          <w:noProof/>
        </w:rPr>
      </w:pPr>
      <w:r w:rsidRPr="00733965">
        <w:t>(44)</w:t>
      </w:r>
      <w:r w:rsidRPr="00733965">
        <w:tab/>
      </w:r>
      <w:r w:rsidR="00AD62E2" w:rsidRPr="002F16A1">
        <w:rPr>
          <w:noProof/>
        </w:rPr>
        <w:t>Odzysk surowców krytycznych</w:t>
      </w:r>
      <w:r w:rsidR="0028384B" w:rsidRPr="002F16A1">
        <w:rPr>
          <w:noProof/>
        </w:rPr>
        <w:t xml:space="preserve"> z</w:t>
      </w:r>
      <w:r w:rsidR="0028384B">
        <w:rPr>
          <w:noProof/>
        </w:rPr>
        <w:t> </w:t>
      </w:r>
      <w:r w:rsidR="0028384B" w:rsidRPr="002F16A1">
        <w:rPr>
          <w:noProof/>
        </w:rPr>
        <w:t>obi</w:t>
      </w:r>
      <w:r w:rsidR="00AD62E2" w:rsidRPr="002F16A1">
        <w:rPr>
          <w:noProof/>
        </w:rPr>
        <w:t>ektów unieszkodliwiania odpadów wydobywczych powinien być częścią odzysku odpadów</w:t>
      </w:r>
      <w:r w:rsidR="0028384B" w:rsidRPr="002F16A1">
        <w:rPr>
          <w:noProof/>
        </w:rPr>
        <w:t xml:space="preserve"> z</w:t>
      </w:r>
      <w:r w:rsidR="0028384B">
        <w:rPr>
          <w:noProof/>
        </w:rPr>
        <w:t> </w:t>
      </w:r>
      <w:r w:rsidR="0028384B" w:rsidRPr="002F16A1">
        <w:rPr>
          <w:noProof/>
        </w:rPr>
        <w:t>odp</w:t>
      </w:r>
      <w:r w:rsidR="00AD62E2" w:rsidRPr="002F16A1">
        <w:rPr>
          <w:noProof/>
        </w:rPr>
        <w:t>owiednich obiektów unieszkodliwiania odpadów wydobywczych</w:t>
      </w:r>
      <w:r w:rsidR="0028384B" w:rsidRPr="002F16A1">
        <w:rPr>
          <w:noProof/>
        </w:rPr>
        <w:t>. W</w:t>
      </w:r>
      <w:r w:rsidR="0028384B">
        <w:rPr>
          <w:noProof/>
        </w:rPr>
        <w:t> </w:t>
      </w:r>
      <w:r w:rsidR="0028384B" w:rsidRPr="002F16A1">
        <w:rPr>
          <w:noProof/>
        </w:rPr>
        <w:t>dyr</w:t>
      </w:r>
      <w:r w:rsidR="00AD62E2" w:rsidRPr="002F16A1">
        <w:rPr>
          <w:noProof/>
        </w:rPr>
        <w:t>ektywie 2006/21/WE określono wymogi dotyczące wysokiego poziomu ochrony środowiska</w:t>
      </w:r>
      <w:r w:rsidR="0028384B" w:rsidRPr="002F16A1">
        <w:rPr>
          <w:noProof/>
        </w:rPr>
        <w:t xml:space="preserve"> i</w:t>
      </w:r>
      <w:r w:rsidR="0028384B">
        <w:rPr>
          <w:noProof/>
        </w:rPr>
        <w:t> </w:t>
      </w:r>
      <w:r w:rsidR="0028384B" w:rsidRPr="002F16A1">
        <w:rPr>
          <w:noProof/>
        </w:rPr>
        <w:t>zdr</w:t>
      </w:r>
      <w:r w:rsidR="00AD62E2" w:rsidRPr="002F16A1">
        <w:rPr>
          <w:noProof/>
        </w:rPr>
        <w:t>owia ludzkiego</w:t>
      </w:r>
      <w:r w:rsidR="0028384B" w:rsidRPr="002F16A1">
        <w:rPr>
          <w:noProof/>
        </w:rPr>
        <w:t xml:space="preserve"> w</w:t>
      </w:r>
      <w:r w:rsidR="0028384B">
        <w:rPr>
          <w:noProof/>
        </w:rPr>
        <w:t> </w:t>
      </w:r>
      <w:r w:rsidR="0028384B" w:rsidRPr="002F16A1">
        <w:rPr>
          <w:noProof/>
        </w:rPr>
        <w:t>odn</w:t>
      </w:r>
      <w:r w:rsidR="00AD62E2" w:rsidRPr="002F16A1">
        <w:rPr>
          <w:noProof/>
        </w:rPr>
        <w:t>iesieniu do gospodarowania odpadami</w:t>
      </w:r>
      <w:r w:rsidR="0028384B" w:rsidRPr="002F16A1">
        <w:rPr>
          <w:noProof/>
        </w:rPr>
        <w:t xml:space="preserve"> w</w:t>
      </w:r>
      <w:r w:rsidR="0028384B">
        <w:rPr>
          <w:noProof/>
        </w:rPr>
        <w:t> </w:t>
      </w:r>
      <w:r w:rsidR="0028384B" w:rsidRPr="002F16A1">
        <w:rPr>
          <w:noProof/>
        </w:rPr>
        <w:t>prz</w:t>
      </w:r>
      <w:r w:rsidR="00AD62E2" w:rsidRPr="002F16A1">
        <w:rPr>
          <w:noProof/>
        </w:rPr>
        <w:t>emyśle wydobywczym. Podczas gdy należałoby utrzymać te wymogi na wysokim poziomie, należy również ustanowić dodatkowe środki służące maksymalizacji odzysku surowców krytycznych</w:t>
      </w:r>
      <w:r w:rsidR="0028384B" w:rsidRPr="002F16A1">
        <w:rPr>
          <w:noProof/>
        </w:rPr>
        <w:t xml:space="preserve"> z</w:t>
      </w:r>
      <w:r w:rsidR="0028384B">
        <w:rPr>
          <w:noProof/>
        </w:rPr>
        <w:t> </w:t>
      </w:r>
      <w:r w:rsidR="0028384B" w:rsidRPr="002F16A1">
        <w:rPr>
          <w:noProof/>
        </w:rPr>
        <w:t>odp</w:t>
      </w:r>
      <w:r w:rsidR="00AD62E2" w:rsidRPr="002F16A1">
        <w:rPr>
          <w:noProof/>
        </w:rPr>
        <w:t>adów wydobywczych.</w:t>
      </w:r>
    </w:p>
    <w:p w:rsidR="00AD62E2" w:rsidRPr="002F16A1" w:rsidRDefault="00733965" w:rsidP="00733965">
      <w:pPr>
        <w:pStyle w:val="ManualConsidrant"/>
        <w:rPr>
          <w:noProof/>
        </w:rPr>
      </w:pPr>
      <w:r w:rsidRPr="00733965">
        <w:t>(45)</w:t>
      </w:r>
      <w:r w:rsidRPr="00733965">
        <w:tab/>
      </w:r>
      <w:r w:rsidR="00AD62E2" w:rsidRPr="002F16A1">
        <w:rPr>
          <w:noProof/>
        </w:rPr>
        <w:t>Operatorzy obiektów unieszkodliwiania odpadów wydobywczych, zarówno istniejących, jak</w:t>
      </w:r>
      <w:r w:rsidR="0028384B" w:rsidRPr="002F16A1">
        <w:rPr>
          <w:noProof/>
        </w:rPr>
        <w:t xml:space="preserve"> i</w:t>
      </w:r>
      <w:r w:rsidR="0028384B">
        <w:rPr>
          <w:noProof/>
        </w:rPr>
        <w:t> </w:t>
      </w:r>
      <w:r w:rsidR="0028384B" w:rsidRPr="002F16A1">
        <w:rPr>
          <w:noProof/>
        </w:rPr>
        <w:t>now</w:t>
      </w:r>
      <w:r w:rsidR="00AD62E2" w:rsidRPr="002F16A1">
        <w:rPr>
          <w:noProof/>
        </w:rPr>
        <w:t>ych, powinni przeprowadzić badanie na temat wstępnej oceny ekonomicznej dotyczącej odzysku surowców krytycznych</w:t>
      </w:r>
      <w:r w:rsidR="0028384B" w:rsidRPr="002F16A1">
        <w:rPr>
          <w:noProof/>
        </w:rPr>
        <w:t xml:space="preserve"> z</w:t>
      </w:r>
      <w:r w:rsidR="0028384B">
        <w:rPr>
          <w:noProof/>
        </w:rPr>
        <w:t> </w:t>
      </w:r>
      <w:r w:rsidR="0028384B" w:rsidRPr="002F16A1">
        <w:rPr>
          <w:noProof/>
        </w:rPr>
        <w:t>odp</w:t>
      </w:r>
      <w:r w:rsidR="00AD62E2" w:rsidRPr="002F16A1">
        <w:rPr>
          <w:noProof/>
        </w:rPr>
        <w:t>adów wydobywczych znajdujących się</w:t>
      </w:r>
      <w:r w:rsidR="0028384B" w:rsidRPr="002F16A1">
        <w:rPr>
          <w:noProof/>
        </w:rPr>
        <w:t xml:space="preserve"> w</w:t>
      </w:r>
      <w:r w:rsidR="0028384B">
        <w:rPr>
          <w:noProof/>
        </w:rPr>
        <w:t> </w:t>
      </w:r>
      <w:r w:rsidR="0028384B" w:rsidRPr="002F16A1">
        <w:rPr>
          <w:noProof/>
        </w:rPr>
        <w:t>obi</w:t>
      </w:r>
      <w:r w:rsidR="00AD62E2" w:rsidRPr="002F16A1">
        <w:rPr>
          <w:noProof/>
        </w:rPr>
        <w:t>ekcie</w:t>
      </w:r>
      <w:r w:rsidR="0028384B" w:rsidRPr="002F16A1">
        <w:rPr>
          <w:noProof/>
        </w:rPr>
        <w:t xml:space="preserve"> i</w:t>
      </w:r>
      <w:r w:rsidR="0028384B">
        <w:rPr>
          <w:noProof/>
        </w:rPr>
        <w:t> </w:t>
      </w:r>
      <w:r w:rsidR="0028384B" w:rsidRPr="002F16A1">
        <w:rPr>
          <w:noProof/>
        </w:rPr>
        <w:t>z</w:t>
      </w:r>
      <w:r w:rsidR="0028384B">
        <w:rPr>
          <w:noProof/>
        </w:rPr>
        <w:t> </w:t>
      </w:r>
      <w:r w:rsidR="0028384B" w:rsidRPr="002F16A1">
        <w:rPr>
          <w:noProof/>
        </w:rPr>
        <w:t>tak</w:t>
      </w:r>
      <w:r w:rsidR="00AD62E2" w:rsidRPr="002F16A1">
        <w:rPr>
          <w:noProof/>
        </w:rPr>
        <w:t>ich wytwarzanych odpadów. Zgodnie</w:t>
      </w:r>
      <w:r w:rsidR="0028384B" w:rsidRPr="002F16A1">
        <w:rPr>
          <w:noProof/>
        </w:rPr>
        <w:t xml:space="preserve"> z</w:t>
      </w:r>
      <w:r w:rsidR="0028384B">
        <w:rPr>
          <w:noProof/>
        </w:rPr>
        <w:t> </w:t>
      </w:r>
      <w:r w:rsidR="0028384B" w:rsidRPr="002F16A1">
        <w:rPr>
          <w:noProof/>
        </w:rPr>
        <w:t>hie</w:t>
      </w:r>
      <w:r w:rsidR="00AD62E2" w:rsidRPr="002F16A1">
        <w:rPr>
          <w:noProof/>
        </w:rPr>
        <w:t>rarchią postępowania</w:t>
      </w:r>
      <w:r w:rsidR="0028384B" w:rsidRPr="002F16A1">
        <w:rPr>
          <w:noProof/>
        </w:rPr>
        <w:t xml:space="preserve"> z</w:t>
      </w:r>
      <w:r w:rsidR="0028384B">
        <w:rPr>
          <w:noProof/>
        </w:rPr>
        <w:t> </w:t>
      </w:r>
      <w:r w:rsidR="0028384B" w:rsidRPr="002F16A1">
        <w:rPr>
          <w:noProof/>
        </w:rPr>
        <w:t>odp</w:t>
      </w:r>
      <w:r w:rsidR="00AD62E2" w:rsidRPr="002F16A1">
        <w:rPr>
          <w:noProof/>
        </w:rPr>
        <w:t>adami ustanowioną</w:t>
      </w:r>
      <w:r w:rsidR="0028384B" w:rsidRPr="002F16A1">
        <w:rPr>
          <w:noProof/>
        </w:rPr>
        <w:t xml:space="preserve"> w</w:t>
      </w:r>
      <w:r w:rsidR="0028384B">
        <w:rPr>
          <w:noProof/>
        </w:rPr>
        <w:t> </w:t>
      </w:r>
      <w:r w:rsidR="0028384B" w:rsidRPr="002F16A1">
        <w:rPr>
          <w:noProof/>
        </w:rPr>
        <w:t>dyr</w:t>
      </w:r>
      <w:r w:rsidR="00AD62E2" w:rsidRPr="002F16A1">
        <w:rPr>
          <w:noProof/>
        </w:rPr>
        <w:t>ektywie Parlamentu Europejskiego</w:t>
      </w:r>
      <w:r w:rsidR="0028384B" w:rsidRPr="002F16A1">
        <w:rPr>
          <w:noProof/>
        </w:rPr>
        <w:t xml:space="preserve"> i</w:t>
      </w:r>
      <w:r w:rsidR="0028384B">
        <w:rPr>
          <w:noProof/>
        </w:rPr>
        <w:t> </w:t>
      </w:r>
      <w:r w:rsidR="0028384B" w:rsidRPr="002F16A1">
        <w:rPr>
          <w:noProof/>
        </w:rPr>
        <w:t>Rad</w:t>
      </w:r>
      <w:r w:rsidR="00AD62E2" w:rsidRPr="002F16A1">
        <w:rPr>
          <w:noProof/>
        </w:rPr>
        <w:t>y 2008/98/WE</w:t>
      </w:r>
      <w:r w:rsidR="00AD62E2" w:rsidRPr="002F16A1">
        <w:rPr>
          <w:rStyle w:val="FootnoteReference"/>
          <w:noProof/>
        </w:rPr>
        <w:footnoteReference w:id="47"/>
      </w:r>
      <w:r w:rsidR="00AD62E2" w:rsidRPr="002F16A1">
        <w:rPr>
          <w:noProof/>
        </w:rPr>
        <w:t xml:space="preserve"> należy nadać pierwszeństwo zapobieganiu wytwarzania odpadów zawierających surowce krytyczne, wydobywając surowce krytyczne</w:t>
      </w:r>
      <w:r w:rsidR="0028384B" w:rsidRPr="002F16A1">
        <w:rPr>
          <w:noProof/>
        </w:rPr>
        <w:t xml:space="preserve"> z</w:t>
      </w:r>
      <w:r w:rsidR="0028384B">
        <w:rPr>
          <w:noProof/>
        </w:rPr>
        <w:t> </w:t>
      </w:r>
      <w:r w:rsidR="0028384B" w:rsidRPr="002F16A1">
        <w:rPr>
          <w:noProof/>
        </w:rPr>
        <w:t>wyd</w:t>
      </w:r>
      <w:r w:rsidR="00AD62E2" w:rsidRPr="002F16A1">
        <w:rPr>
          <w:noProof/>
        </w:rPr>
        <w:t>obytej objętości zanim stanie się ona odpadem. Przy opracowywaniu wspomnianego badania operatorzy powinni zgromadzić niezbędne informacje,</w:t>
      </w:r>
      <w:r w:rsidR="0028384B" w:rsidRPr="002F16A1">
        <w:rPr>
          <w:noProof/>
        </w:rPr>
        <w:t xml:space="preserve"> w</w:t>
      </w:r>
      <w:r w:rsidR="0028384B">
        <w:rPr>
          <w:noProof/>
        </w:rPr>
        <w:t> </w:t>
      </w:r>
      <w:r w:rsidR="0028384B" w:rsidRPr="002F16A1">
        <w:rPr>
          <w:noProof/>
        </w:rPr>
        <w:t>tym</w:t>
      </w:r>
      <w:r w:rsidR="00AD62E2" w:rsidRPr="002F16A1">
        <w:rPr>
          <w:noProof/>
        </w:rPr>
        <w:t xml:space="preserve"> dotyczące koncentracji</w:t>
      </w:r>
      <w:r w:rsidR="0028384B" w:rsidRPr="002F16A1">
        <w:rPr>
          <w:noProof/>
        </w:rPr>
        <w:t xml:space="preserve"> i</w:t>
      </w:r>
      <w:r w:rsidR="0028384B">
        <w:rPr>
          <w:noProof/>
        </w:rPr>
        <w:t> </w:t>
      </w:r>
      <w:r w:rsidR="0028384B" w:rsidRPr="002F16A1">
        <w:rPr>
          <w:noProof/>
        </w:rPr>
        <w:t>ilo</w:t>
      </w:r>
      <w:r w:rsidR="00AD62E2" w:rsidRPr="002F16A1">
        <w:rPr>
          <w:noProof/>
        </w:rPr>
        <w:t>ści surowców krytycznych</w:t>
      </w:r>
      <w:r w:rsidR="0028384B" w:rsidRPr="002F16A1">
        <w:rPr>
          <w:noProof/>
        </w:rPr>
        <w:t xml:space="preserve"> w</w:t>
      </w:r>
      <w:r w:rsidR="0028384B">
        <w:rPr>
          <w:noProof/>
        </w:rPr>
        <w:t> </w:t>
      </w:r>
      <w:r w:rsidR="0028384B" w:rsidRPr="002F16A1">
        <w:rPr>
          <w:noProof/>
        </w:rPr>
        <w:t>odp</w:t>
      </w:r>
      <w:r w:rsidR="00AD62E2" w:rsidRPr="002F16A1">
        <w:rPr>
          <w:noProof/>
        </w:rPr>
        <w:t>adach wydobywczych,</w:t>
      </w:r>
      <w:r w:rsidR="0028384B" w:rsidRPr="002F16A1">
        <w:rPr>
          <w:noProof/>
        </w:rPr>
        <w:t xml:space="preserve"> i</w:t>
      </w:r>
      <w:r w:rsidR="0028384B">
        <w:rPr>
          <w:noProof/>
        </w:rPr>
        <w:t> </w:t>
      </w:r>
      <w:r w:rsidR="0028384B" w:rsidRPr="002F16A1">
        <w:rPr>
          <w:noProof/>
        </w:rPr>
        <w:t>dok</w:t>
      </w:r>
      <w:r w:rsidR="00AD62E2" w:rsidRPr="002F16A1">
        <w:rPr>
          <w:noProof/>
        </w:rPr>
        <w:t>onać oceny szeregu wariantów dotyczących procesów, operacji lub ustaleń biznesowych, które mogłyby umożliwić ekonomicznie opłacalny odzysk surowców krytycznych. Jest to wymóg dodatkowy względem wymogów określonych</w:t>
      </w:r>
      <w:r w:rsidR="0028384B" w:rsidRPr="002F16A1">
        <w:rPr>
          <w:noProof/>
        </w:rPr>
        <w:t xml:space="preserve"> w</w:t>
      </w:r>
      <w:r w:rsidR="0028384B">
        <w:rPr>
          <w:noProof/>
        </w:rPr>
        <w:t> </w:t>
      </w:r>
      <w:r w:rsidR="0028384B" w:rsidRPr="002F16A1">
        <w:rPr>
          <w:noProof/>
        </w:rPr>
        <w:t>dyr</w:t>
      </w:r>
      <w:r w:rsidR="00AD62E2" w:rsidRPr="002F16A1">
        <w:rPr>
          <w:noProof/>
        </w:rPr>
        <w:t>ektywie 2006/21/WE</w:t>
      </w:r>
      <w:r w:rsidR="0028384B" w:rsidRPr="002F16A1">
        <w:rPr>
          <w:noProof/>
        </w:rPr>
        <w:t xml:space="preserve"> i</w:t>
      </w:r>
      <w:r w:rsidR="0028384B">
        <w:rPr>
          <w:noProof/>
        </w:rPr>
        <w:t> </w:t>
      </w:r>
      <w:r w:rsidR="0028384B" w:rsidRPr="002F16A1">
        <w:rPr>
          <w:noProof/>
        </w:rPr>
        <w:t>pra</w:t>
      </w:r>
      <w:r w:rsidR="00AD62E2" w:rsidRPr="002F16A1">
        <w:rPr>
          <w:noProof/>
        </w:rPr>
        <w:t>wie krajowym transponującym tę dyrektywę, i ma on bezpośrednie zastosowanie. Wdrażając ten wymóg, operatorzy</w:t>
      </w:r>
      <w:r w:rsidR="0028384B" w:rsidRPr="002F16A1">
        <w:rPr>
          <w:noProof/>
        </w:rPr>
        <w:t xml:space="preserve"> i</w:t>
      </w:r>
      <w:r w:rsidR="0028384B">
        <w:rPr>
          <w:noProof/>
        </w:rPr>
        <w:t> </w:t>
      </w:r>
      <w:r w:rsidR="0028384B" w:rsidRPr="002F16A1">
        <w:rPr>
          <w:noProof/>
        </w:rPr>
        <w:t>wła</w:t>
      </w:r>
      <w:r w:rsidR="00AD62E2" w:rsidRPr="002F16A1">
        <w:rPr>
          <w:noProof/>
        </w:rPr>
        <w:t>ściwe organy powinni dążyć do zminimalizowania obciążenia administracyjnego</w:t>
      </w:r>
      <w:r w:rsidR="0028384B" w:rsidRPr="002F16A1">
        <w:rPr>
          <w:noProof/>
        </w:rPr>
        <w:t xml:space="preserve"> i</w:t>
      </w:r>
      <w:r w:rsidR="0028384B">
        <w:rPr>
          <w:noProof/>
        </w:rPr>
        <w:t> </w:t>
      </w:r>
      <w:r w:rsidR="0028384B" w:rsidRPr="002F16A1">
        <w:rPr>
          <w:noProof/>
        </w:rPr>
        <w:t>moż</w:t>
      </w:r>
      <w:r w:rsidR="00AD62E2" w:rsidRPr="002F16A1">
        <w:rPr>
          <w:noProof/>
        </w:rPr>
        <w:t>liwie największej integracji procedur.</w:t>
      </w:r>
    </w:p>
    <w:p w:rsidR="00AD62E2" w:rsidRPr="002F16A1" w:rsidRDefault="00733965" w:rsidP="00733965">
      <w:pPr>
        <w:pStyle w:val="ManualConsidrant"/>
        <w:rPr>
          <w:noProof/>
        </w:rPr>
      </w:pPr>
      <w:r w:rsidRPr="00733965">
        <w:t>(46)</w:t>
      </w:r>
      <w:r w:rsidRPr="00733965">
        <w:tab/>
      </w:r>
      <w:r w:rsidR="00AD62E2" w:rsidRPr="002F16A1">
        <w:rPr>
          <w:noProof/>
        </w:rPr>
        <w:t>Aby zaradzić bieżącemu problemowi braku informacji na temat potencjału zamkniętych obiektów unieszkodliwiania odpadów wydobywczych pod kątem surowców krytycznych, państwa członkowskie powinny utworzyć bazę danych zawierającą wszystkie informacje niezbędne do promowania odzysku, szczególnie dotyczące ilości</w:t>
      </w:r>
      <w:r w:rsidR="0028384B" w:rsidRPr="002F16A1">
        <w:rPr>
          <w:noProof/>
        </w:rPr>
        <w:t xml:space="preserve"> i</w:t>
      </w:r>
      <w:r w:rsidR="0028384B">
        <w:rPr>
          <w:noProof/>
        </w:rPr>
        <w:t> </w:t>
      </w:r>
      <w:r w:rsidR="0028384B" w:rsidRPr="002F16A1">
        <w:rPr>
          <w:noProof/>
        </w:rPr>
        <w:t>kon</w:t>
      </w:r>
      <w:r w:rsidR="00AD62E2" w:rsidRPr="002F16A1">
        <w:rPr>
          <w:noProof/>
        </w:rPr>
        <w:t>centracji surowców krytycznych</w:t>
      </w:r>
      <w:r w:rsidR="0028384B" w:rsidRPr="002F16A1">
        <w:rPr>
          <w:noProof/>
        </w:rPr>
        <w:t xml:space="preserve"> w</w:t>
      </w:r>
      <w:r w:rsidR="0028384B">
        <w:rPr>
          <w:noProof/>
        </w:rPr>
        <w:t> </w:t>
      </w:r>
      <w:r w:rsidR="0028384B" w:rsidRPr="002F16A1">
        <w:rPr>
          <w:noProof/>
        </w:rPr>
        <w:t>odp</w:t>
      </w:r>
      <w:r w:rsidR="00AD62E2" w:rsidRPr="002F16A1">
        <w:rPr>
          <w:noProof/>
        </w:rPr>
        <w:t>adach wydobywczych, zachowując zgodność</w:t>
      </w:r>
      <w:r w:rsidR="0028384B" w:rsidRPr="002F16A1">
        <w:rPr>
          <w:noProof/>
        </w:rPr>
        <w:t xml:space="preserve"> z</w:t>
      </w:r>
      <w:r w:rsidR="0028384B">
        <w:rPr>
          <w:noProof/>
        </w:rPr>
        <w:t> </w:t>
      </w:r>
      <w:r w:rsidR="0028384B" w:rsidRPr="002F16A1">
        <w:rPr>
          <w:noProof/>
        </w:rPr>
        <w:t>uni</w:t>
      </w:r>
      <w:r w:rsidR="00AD62E2" w:rsidRPr="002F16A1">
        <w:rPr>
          <w:noProof/>
        </w:rPr>
        <w:t>jnymi regułami konkurencji. Informacje te powinny być dostępne publicznie oraz mieć cyfrową</w:t>
      </w:r>
      <w:r w:rsidR="0028384B" w:rsidRPr="002F16A1">
        <w:rPr>
          <w:noProof/>
        </w:rPr>
        <w:t xml:space="preserve"> i</w:t>
      </w:r>
      <w:r w:rsidR="0028384B">
        <w:rPr>
          <w:noProof/>
        </w:rPr>
        <w:t> </w:t>
      </w:r>
      <w:r w:rsidR="0028384B" w:rsidRPr="002F16A1">
        <w:rPr>
          <w:noProof/>
        </w:rPr>
        <w:t>prz</w:t>
      </w:r>
      <w:r w:rsidR="00AD62E2" w:rsidRPr="002F16A1">
        <w:rPr>
          <w:noProof/>
        </w:rPr>
        <w:t>yjazną dla użytkownika formę umożliwiającą dostęp do bardziej szczegółowych informacji technicznych</w:t>
      </w:r>
      <w:r w:rsidR="0028384B" w:rsidRPr="002F16A1">
        <w:rPr>
          <w:noProof/>
        </w:rPr>
        <w:t>. W</w:t>
      </w:r>
      <w:r w:rsidR="0028384B">
        <w:rPr>
          <w:noProof/>
        </w:rPr>
        <w:t> </w:t>
      </w:r>
      <w:r w:rsidR="0028384B" w:rsidRPr="002F16A1">
        <w:rPr>
          <w:noProof/>
        </w:rPr>
        <w:t>cel</w:t>
      </w:r>
      <w:r w:rsidR="00AD62E2" w:rsidRPr="002F16A1">
        <w:rPr>
          <w:noProof/>
        </w:rPr>
        <w:t>u ułatwienia przyjaznego dla użytkownika dostępu do informacji państwa członkowskie powinny na przykład zapewnić punkt kontaktowy umożliwiający bardziej szczegółową wymianę informacji</w:t>
      </w:r>
      <w:r w:rsidR="0028384B" w:rsidRPr="002F16A1">
        <w:rPr>
          <w:noProof/>
        </w:rPr>
        <w:t xml:space="preserve"> z</w:t>
      </w:r>
      <w:r w:rsidR="0028384B">
        <w:rPr>
          <w:noProof/>
        </w:rPr>
        <w:t> </w:t>
      </w:r>
      <w:r w:rsidR="0028384B" w:rsidRPr="002F16A1">
        <w:rPr>
          <w:noProof/>
        </w:rPr>
        <w:t>pot</w:t>
      </w:r>
      <w:r w:rsidR="00AD62E2" w:rsidRPr="002F16A1">
        <w:rPr>
          <w:noProof/>
        </w:rPr>
        <w:t>encjalnymi podmiotami opracowującymi projekty</w:t>
      </w:r>
      <w:r w:rsidR="0028384B" w:rsidRPr="002F16A1">
        <w:rPr>
          <w:noProof/>
        </w:rPr>
        <w:t xml:space="preserve"> w</w:t>
      </w:r>
      <w:r w:rsidR="0028384B">
        <w:rPr>
          <w:noProof/>
        </w:rPr>
        <w:t> </w:t>
      </w:r>
      <w:r w:rsidR="0028384B" w:rsidRPr="002F16A1">
        <w:rPr>
          <w:noProof/>
        </w:rPr>
        <w:t>zak</w:t>
      </w:r>
      <w:r w:rsidR="00AD62E2" w:rsidRPr="002F16A1">
        <w:rPr>
          <w:noProof/>
        </w:rPr>
        <w:t>resie odzysku surowców krytycznych. Baza danych powinna być zaprojektowana</w:t>
      </w:r>
      <w:r w:rsidR="0028384B" w:rsidRPr="002F16A1">
        <w:rPr>
          <w:noProof/>
        </w:rPr>
        <w:t xml:space="preserve"> w</w:t>
      </w:r>
      <w:r w:rsidR="0028384B">
        <w:rPr>
          <w:noProof/>
        </w:rPr>
        <w:t> </w:t>
      </w:r>
      <w:r w:rsidR="0028384B" w:rsidRPr="002F16A1">
        <w:rPr>
          <w:noProof/>
        </w:rPr>
        <w:t>tak</w:t>
      </w:r>
      <w:r w:rsidR="00AD62E2" w:rsidRPr="002F16A1">
        <w:rPr>
          <w:noProof/>
        </w:rPr>
        <w:t>i sposób, aby umożliwić potencjalnym promotorom projektu łatwą identyfikację obiektów</w:t>
      </w:r>
      <w:r w:rsidR="0028384B" w:rsidRPr="002F16A1">
        <w:rPr>
          <w:noProof/>
        </w:rPr>
        <w:t xml:space="preserve"> o</w:t>
      </w:r>
      <w:r w:rsidR="0028384B">
        <w:rPr>
          <w:noProof/>
        </w:rPr>
        <w:t> </w:t>
      </w:r>
      <w:r w:rsidR="0028384B" w:rsidRPr="002F16A1">
        <w:rPr>
          <w:noProof/>
        </w:rPr>
        <w:t>wys</w:t>
      </w:r>
      <w:r w:rsidR="00AD62E2" w:rsidRPr="002F16A1">
        <w:rPr>
          <w:noProof/>
        </w:rPr>
        <w:t>okim potencjale ekonomicznie opłacalnego odzysku. Aby skoncentrować ograniczone zasoby, państwa członkowskie powinny przyjąć stopniowe podejście do gromadzenia informacji</w:t>
      </w:r>
      <w:r w:rsidR="0028384B" w:rsidRPr="002F16A1">
        <w:rPr>
          <w:noProof/>
        </w:rPr>
        <w:t xml:space="preserve"> i</w:t>
      </w:r>
      <w:r w:rsidR="0028384B">
        <w:rPr>
          <w:noProof/>
        </w:rPr>
        <w:t> </w:t>
      </w:r>
      <w:r w:rsidR="0028384B" w:rsidRPr="002F16A1">
        <w:rPr>
          <w:noProof/>
        </w:rPr>
        <w:t>rea</w:t>
      </w:r>
      <w:r w:rsidR="00AD62E2" w:rsidRPr="002F16A1">
        <w:rPr>
          <w:noProof/>
        </w:rPr>
        <w:t>lizować bardziej wymagające etapy gromadzenia informacji wyłącznie</w:t>
      </w:r>
      <w:r w:rsidR="0028384B" w:rsidRPr="002F16A1">
        <w:rPr>
          <w:noProof/>
        </w:rPr>
        <w:t xml:space="preserve"> w</w:t>
      </w:r>
      <w:r w:rsidR="0028384B">
        <w:rPr>
          <w:noProof/>
        </w:rPr>
        <w:t> </w:t>
      </w:r>
      <w:r w:rsidR="0028384B" w:rsidRPr="002F16A1">
        <w:rPr>
          <w:noProof/>
        </w:rPr>
        <w:t>prz</w:t>
      </w:r>
      <w:r w:rsidR="00AD62E2" w:rsidRPr="002F16A1">
        <w:rPr>
          <w:noProof/>
        </w:rPr>
        <w:t>ypadku najbardziej obiecujących obiektów. Działania</w:t>
      </w:r>
      <w:r w:rsidR="0028384B" w:rsidRPr="002F16A1">
        <w:rPr>
          <w:noProof/>
        </w:rPr>
        <w:t xml:space="preserve"> w</w:t>
      </w:r>
      <w:r w:rsidR="0028384B">
        <w:rPr>
          <w:noProof/>
        </w:rPr>
        <w:t> </w:t>
      </w:r>
      <w:r w:rsidR="0028384B" w:rsidRPr="002F16A1">
        <w:rPr>
          <w:noProof/>
        </w:rPr>
        <w:t>zak</w:t>
      </w:r>
      <w:r w:rsidR="00AD62E2" w:rsidRPr="002F16A1">
        <w:rPr>
          <w:noProof/>
        </w:rPr>
        <w:t>resie gromadzenia informacji powinny mieć na celu dostarczenie dokładnych</w:t>
      </w:r>
      <w:r w:rsidR="0028384B" w:rsidRPr="002F16A1">
        <w:rPr>
          <w:noProof/>
        </w:rPr>
        <w:t xml:space="preserve"> i</w:t>
      </w:r>
      <w:r w:rsidR="0028384B">
        <w:rPr>
          <w:noProof/>
        </w:rPr>
        <w:t> </w:t>
      </w:r>
      <w:r w:rsidR="0028384B" w:rsidRPr="002F16A1">
        <w:rPr>
          <w:noProof/>
        </w:rPr>
        <w:t>rep</w:t>
      </w:r>
      <w:r w:rsidR="00AD62E2" w:rsidRPr="002F16A1">
        <w:rPr>
          <w:noProof/>
        </w:rPr>
        <w:t>rezentatywnych informacji dotyczących obiektów unieszkodliwiania odpadów wydobywczych</w:t>
      </w:r>
      <w:r w:rsidR="0028384B" w:rsidRPr="002F16A1">
        <w:rPr>
          <w:noProof/>
        </w:rPr>
        <w:t xml:space="preserve"> i</w:t>
      </w:r>
      <w:r w:rsidR="0028384B">
        <w:rPr>
          <w:noProof/>
        </w:rPr>
        <w:t> </w:t>
      </w:r>
      <w:r w:rsidR="0028384B" w:rsidRPr="002F16A1">
        <w:rPr>
          <w:noProof/>
        </w:rPr>
        <w:t>uzy</w:t>
      </w:r>
      <w:r w:rsidR="00AD62E2" w:rsidRPr="002F16A1">
        <w:rPr>
          <w:noProof/>
        </w:rPr>
        <w:t>skanie jak najdokładniejszego wskazania potencjału odzysku surowców krytycznych.</w:t>
      </w:r>
    </w:p>
    <w:p w:rsidR="00AD62E2" w:rsidRPr="002F16A1" w:rsidRDefault="00733965" w:rsidP="00733965">
      <w:pPr>
        <w:pStyle w:val="ManualConsidrant"/>
        <w:rPr>
          <w:noProof/>
        </w:rPr>
      </w:pPr>
      <w:r w:rsidRPr="00733965">
        <w:t>(47)</w:t>
      </w:r>
      <w:r w:rsidRPr="00733965">
        <w:tab/>
      </w:r>
      <w:r w:rsidR="00AD62E2" w:rsidRPr="002F16A1">
        <w:rPr>
          <w:noProof/>
        </w:rPr>
        <w:t>Magnesy trwałe są wbudowywane</w:t>
      </w:r>
      <w:r w:rsidR="0028384B" w:rsidRPr="002F16A1">
        <w:rPr>
          <w:noProof/>
        </w:rPr>
        <w:t xml:space="preserve"> w</w:t>
      </w:r>
      <w:r w:rsidR="0028384B">
        <w:rPr>
          <w:noProof/>
        </w:rPr>
        <w:t> </w:t>
      </w:r>
      <w:r w:rsidR="0028384B" w:rsidRPr="002F16A1">
        <w:rPr>
          <w:noProof/>
        </w:rPr>
        <w:t>sze</w:t>
      </w:r>
      <w:r w:rsidR="00AD62E2" w:rsidRPr="002F16A1">
        <w:rPr>
          <w:noProof/>
        </w:rPr>
        <w:t>roki zakres produktów,</w:t>
      </w:r>
      <w:r w:rsidR="0028384B" w:rsidRPr="002F16A1">
        <w:rPr>
          <w:noProof/>
        </w:rPr>
        <w:t xml:space="preserve"> z</w:t>
      </w:r>
      <w:r w:rsidR="0028384B">
        <w:rPr>
          <w:noProof/>
        </w:rPr>
        <w:t> </w:t>
      </w:r>
      <w:r w:rsidR="0028384B" w:rsidRPr="002F16A1">
        <w:rPr>
          <w:noProof/>
        </w:rPr>
        <w:t>któ</w:t>
      </w:r>
      <w:r w:rsidR="00AD62E2" w:rsidRPr="002F16A1">
        <w:rPr>
          <w:noProof/>
        </w:rPr>
        <w:t>rych najistotniejsze</w:t>
      </w:r>
      <w:r w:rsidR="0028384B" w:rsidRPr="002F16A1">
        <w:rPr>
          <w:noProof/>
        </w:rPr>
        <w:t xml:space="preserve"> i</w:t>
      </w:r>
      <w:r w:rsidR="0028384B">
        <w:rPr>
          <w:noProof/>
        </w:rPr>
        <w:t> </w:t>
      </w:r>
      <w:r w:rsidR="0028384B" w:rsidRPr="002F16A1">
        <w:rPr>
          <w:noProof/>
        </w:rPr>
        <w:t>naj</w:t>
      </w:r>
      <w:r w:rsidR="00AD62E2" w:rsidRPr="002F16A1">
        <w:rPr>
          <w:noProof/>
        </w:rPr>
        <w:t>szybciej rozwijające się zastosowania to turbiny wiatrowe</w:t>
      </w:r>
      <w:r w:rsidR="0028384B" w:rsidRPr="002F16A1">
        <w:rPr>
          <w:noProof/>
        </w:rPr>
        <w:t xml:space="preserve"> i</w:t>
      </w:r>
      <w:r w:rsidR="0028384B">
        <w:rPr>
          <w:noProof/>
        </w:rPr>
        <w:t> </w:t>
      </w:r>
      <w:r w:rsidR="0028384B" w:rsidRPr="002F16A1">
        <w:rPr>
          <w:noProof/>
        </w:rPr>
        <w:t>poj</w:t>
      </w:r>
      <w:r w:rsidR="00AD62E2" w:rsidRPr="002F16A1">
        <w:rPr>
          <w:noProof/>
        </w:rPr>
        <w:t>azdy elektryczne, występują jednak również</w:t>
      </w:r>
      <w:r w:rsidR="0028384B" w:rsidRPr="002F16A1">
        <w:rPr>
          <w:noProof/>
        </w:rPr>
        <w:t xml:space="preserve"> w</w:t>
      </w:r>
      <w:r w:rsidR="0028384B">
        <w:rPr>
          <w:noProof/>
        </w:rPr>
        <w:t> </w:t>
      </w:r>
      <w:r w:rsidR="0028384B" w:rsidRPr="002F16A1">
        <w:rPr>
          <w:noProof/>
        </w:rPr>
        <w:t>inn</w:t>
      </w:r>
      <w:r w:rsidR="00AD62E2" w:rsidRPr="002F16A1">
        <w:rPr>
          <w:noProof/>
        </w:rPr>
        <w:t>ych produktach, takich jak urządzenia do obrazowania metodą rezonansu magnetycznego, roboty przemysłowe, lekkie środki transportu, agregaty chłodnicze, pompy ciepła, silniki elektryczne, elektryczne pompy przemysłowe, pralki automatyczne, suszarki bębnowe, kuchenki mikrofalowe, odkurzacze</w:t>
      </w:r>
      <w:r w:rsidR="0028384B" w:rsidRPr="002F16A1">
        <w:rPr>
          <w:noProof/>
        </w:rPr>
        <w:t xml:space="preserve"> i</w:t>
      </w:r>
      <w:r w:rsidR="0028384B">
        <w:rPr>
          <w:noProof/>
        </w:rPr>
        <w:t> </w:t>
      </w:r>
      <w:r w:rsidR="0028384B" w:rsidRPr="002F16A1">
        <w:rPr>
          <w:noProof/>
        </w:rPr>
        <w:t>zmy</w:t>
      </w:r>
      <w:r w:rsidR="00AD62E2" w:rsidRPr="002F16A1">
        <w:rPr>
          <w:noProof/>
        </w:rPr>
        <w:t>warki do naczyń, zawierających znaczne ilości warte odzyskania. Większość magnesów trwałych, szczególnie najbardziej wydajne ich rodzaje, zawiera surowce krytyczne, takie jak neodym, prazeodym, dysproz</w:t>
      </w:r>
      <w:r w:rsidR="0028384B" w:rsidRPr="002F16A1">
        <w:rPr>
          <w:noProof/>
        </w:rPr>
        <w:t xml:space="preserve"> i</w:t>
      </w:r>
      <w:r w:rsidR="0028384B">
        <w:rPr>
          <w:noProof/>
        </w:rPr>
        <w:t> </w:t>
      </w:r>
      <w:r w:rsidR="0028384B" w:rsidRPr="002F16A1">
        <w:rPr>
          <w:noProof/>
        </w:rPr>
        <w:t>ter</w:t>
      </w:r>
      <w:r w:rsidR="00AD62E2" w:rsidRPr="002F16A1">
        <w:rPr>
          <w:noProof/>
        </w:rPr>
        <w:t>b, bor, samar, nikiel lub kobalt. Ich recykling jest możliwy, jednak obecnie</w:t>
      </w:r>
      <w:r w:rsidR="0028384B" w:rsidRPr="002F16A1">
        <w:rPr>
          <w:noProof/>
        </w:rPr>
        <w:t xml:space="preserve"> w</w:t>
      </w:r>
      <w:r w:rsidR="0028384B">
        <w:rPr>
          <w:noProof/>
        </w:rPr>
        <w:t> </w:t>
      </w:r>
      <w:r w:rsidR="0028384B" w:rsidRPr="002F16A1">
        <w:rPr>
          <w:noProof/>
        </w:rPr>
        <w:t>Uni</w:t>
      </w:r>
      <w:r w:rsidR="00AD62E2" w:rsidRPr="002F16A1">
        <w:rPr>
          <w:noProof/>
        </w:rPr>
        <w:t>i wykonuje się go na małą skalę lub</w:t>
      </w:r>
      <w:r w:rsidR="0028384B" w:rsidRPr="002F16A1">
        <w:rPr>
          <w:noProof/>
        </w:rPr>
        <w:t xml:space="preserve"> w</w:t>
      </w:r>
      <w:r w:rsidR="0028384B">
        <w:rPr>
          <w:noProof/>
        </w:rPr>
        <w:t> </w:t>
      </w:r>
      <w:r w:rsidR="0028384B" w:rsidRPr="002F16A1">
        <w:rPr>
          <w:noProof/>
        </w:rPr>
        <w:t>kon</w:t>
      </w:r>
      <w:r w:rsidR="00AD62E2" w:rsidRPr="002F16A1">
        <w:rPr>
          <w:noProof/>
        </w:rPr>
        <w:t>tekście projektów badawczych. Magnesy trwałe powinny zatem stanowić priorytetowy produkt dla zwiększenia skali obiegu zamkniętego. </w:t>
      </w:r>
    </w:p>
    <w:p w:rsidR="00AD62E2" w:rsidRPr="002F16A1" w:rsidRDefault="00733965" w:rsidP="00733965">
      <w:pPr>
        <w:pStyle w:val="ManualConsidrant"/>
        <w:rPr>
          <w:noProof/>
        </w:rPr>
      </w:pPr>
      <w:r w:rsidRPr="00733965">
        <w:t>(48)</w:t>
      </w:r>
      <w:r w:rsidRPr="00733965">
        <w:tab/>
      </w:r>
      <w:r w:rsidR="00AD62E2" w:rsidRPr="002F16A1">
        <w:rPr>
          <w:noProof/>
        </w:rPr>
        <w:t>Warunkiem wstępnym skutecznego recyklingu magnesu jest udostępnienie podmiotom zajmującym się recyklingiem niezbędnych informacji dotyczących ilości, rodzaju</w:t>
      </w:r>
      <w:r w:rsidR="0028384B" w:rsidRPr="002F16A1">
        <w:rPr>
          <w:noProof/>
        </w:rPr>
        <w:t xml:space="preserve"> i</w:t>
      </w:r>
      <w:r w:rsidR="0028384B">
        <w:rPr>
          <w:noProof/>
        </w:rPr>
        <w:t> </w:t>
      </w:r>
      <w:r w:rsidR="0028384B" w:rsidRPr="002F16A1">
        <w:rPr>
          <w:noProof/>
        </w:rPr>
        <w:t>skł</w:t>
      </w:r>
      <w:r w:rsidR="00AD62E2" w:rsidRPr="002F16A1">
        <w:rPr>
          <w:noProof/>
        </w:rPr>
        <w:t>adu chemicznego magnesów</w:t>
      </w:r>
      <w:r w:rsidR="0028384B" w:rsidRPr="002F16A1">
        <w:rPr>
          <w:noProof/>
        </w:rPr>
        <w:t xml:space="preserve"> w</w:t>
      </w:r>
      <w:r w:rsidR="0028384B">
        <w:rPr>
          <w:noProof/>
        </w:rPr>
        <w:t> </w:t>
      </w:r>
      <w:r w:rsidR="0028384B" w:rsidRPr="002F16A1">
        <w:rPr>
          <w:noProof/>
        </w:rPr>
        <w:t>pro</w:t>
      </w:r>
      <w:r w:rsidR="00AD62E2" w:rsidRPr="002F16A1">
        <w:rPr>
          <w:noProof/>
        </w:rPr>
        <w:t>dukcie, ich rozmieszczenia oraz zastosowanych powłok, klejów</w:t>
      </w:r>
      <w:r w:rsidR="0028384B" w:rsidRPr="002F16A1">
        <w:rPr>
          <w:noProof/>
        </w:rPr>
        <w:t xml:space="preserve"> i</w:t>
      </w:r>
      <w:r w:rsidR="0028384B">
        <w:rPr>
          <w:noProof/>
        </w:rPr>
        <w:t> </w:t>
      </w:r>
      <w:r w:rsidR="0028384B" w:rsidRPr="002F16A1">
        <w:rPr>
          <w:noProof/>
        </w:rPr>
        <w:t>dod</w:t>
      </w:r>
      <w:r w:rsidR="00AD62E2" w:rsidRPr="002F16A1">
        <w:rPr>
          <w:noProof/>
        </w:rPr>
        <w:t>atków, jak również informacji</w:t>
      </w:r>
      <w:r w:rsidR="0028384B" w:rsidRPr="002F16A1">
        <w:rPr>
          <w:noProof/>
        </w:rPr>
        <w:t xml:space="preserve"> o</w:t>
      </w:r>
      <w:r w:rsidR="0028384B">
        <w:rPr>
          <w:noProof/>
        </w:rPr>
        <w:t> </w:t>
      </w:r>
      <w:r w:rsidR="0028384B" w:rsidRPr="002F16A1">
        <w:rPr>
          <w:noProof/>
        </w:rPr>
        <w:t>spo</w:t>
      </w:r>
      <w:r w:rsidR="00AD62E2" w:rsidRPr="002F16A1">
        <w:rPr>
          <w:noProof/>
        </w:rPr>
        <w:t>sobie usuwania magnesów trwałych</w:t>
      </w:r>
      <w:r w:rsidR="0028384B" w:rsidRPr="002F16A1">
        <w:rPr>
          <w:noProof/>
        </w:rPr>
        <w:t xml:space="preserve"> z</w:t>
      </w:r>
      <w:r w:rsidR="0028384B">
        <w:rPr>
          <w:noProof/>
        </w:rPr>
        <w:t> </w:t>
      </w:r>
      <w:r w:rsidR="0028384B" w:rsidRPr="002F16A1">
        <w:rPr>
          <w:noProof/>
        </w:rPr>
        <w:t>pro</w:t>
      </w:r>
      <w:r w:rsidR="00AD62E2" w:rsidRPr="002F16A1">
        <w:rPr>
          <w:noProof/>
        </w:rPr>
        <w:t>duktu. Ponadto, aby zapewnić uzasadnienie biznesowe dla recyklingu magnesów, magnesy trwałe wbudowane</w:t>
      </w:r>
      <w:r w:rsidR="0028384B" w:rsidRPr="002F16A1">
        <w:rPr>
          <w:noProof/>
        </w:rPr>
        <w:t xml:space="preserve"> w</w:t>
      </w:r>
      <w:r w:rsidR="0028384B">
        <w:rPr>
          <w:noProof/>
        </w:rPr>
        <w:t> </w:t>
      </w:r>
      <w:r w:rsidR="0028384B" w:rsidRPr="002F16A1">
        <w:rPr>
          <w:noProof/>
        </w:rPr>
        <w:t>pro</w:t>
      </w:r>
      <w:r w:rsidR="00AD62E2" w:rsidRPr="002F16A1">
        <w:rPr>
          <w:noProof/>
        </w:rPr>
        <w:t>dukty wprowadzane do obrotu</w:t>
      </w:r>
      <w:r w:rsidR="0028384B" w:rsidRPr="002F16A1">
        <w:rPr>
          <w:noProof/>
        </w:rPr>
        <w:t xml:space="preserve"> w</w:t>
      </w:r>
      <w:r w:rsidR="0028384B">
        <w:rPr>
          <w:noProof/>
        </w:rPr>
        <w:t> </w:t>
      </w:r>
      <w:r w:rsidR="0028384B" w:rsidRPr="002F16A1">
        <w:rPr>
          <w:noProof/>
        </w:rPr>
        <w:t>Uni</w:t>
      </w:r>
      <w:r w:rsidR="00AD62E2" w:rsidRPr="002F16A1">
        <w:rPr>
          <w:noProof/>
        </w:rPr>
        <w:t>i powinny</w:t>
      </w:r>
      <w:r w:rsidR="0028384B" w:rsidRPr="002F16A1">
        <w:rPr>
          <w:noProof/>
        </w:rPr>
        <w:t xml:space="preserve"> z</w:t>
      </w:r>
      <w:r w:rsidR="0028384B">
        <w:rPr>
          <w:noProof/>
        </w:rPr>
        <w:t> </w:t>
      </w:r>
      <w:r w:rsidR="0028384B" w:rsidRPr="002F16A1">
        <w:rPr>
          <w:noProof/>
        </w:rPr>
        <w:t>cza</w:t>
      </w:r>
      <w:r w:rsidR="00AD62E2" w:rsidRPr="002F16A1">
        <w:rPr>
          <w:noProof/>
        </w:rPr>
        <w:t>sem zawierać coraz większą ilość materiałów pochodzących</w:t>
      </w:r>
      <w:r w:rsidR="0028384B" w:rsidRPr="002F16A1">
        <w:rPr>
          <w:noProof/>
        </w:rPr>
        <w:t xml:space="preserve"> z</w:t>
      </w:r>
      <w:r w:rsidR="0028384B">
        <w:rPr>
          <w:noProof/>
        </w:rPr>
        <w:t> </w:t>
      </w:r>
      <w:r w:rsidR="0028384B" w:rsidRPr="002F16A1">
        <w:rPr>
          <w:noProof/>
        </w:rPr>
        <w:t>rec</w:t>
      </w:r>
      <w:r w:rsidR="00AD62E2" w:rsidRPr="002F16A1">
        <w:rPr>
          <w:noProof/>
        </w:rPr>
        <w:t>yklingu. Zapewniając na pierwszym etapie przejrzystość co do zawartości materiałów</w:t>
      </w:r>
      <w:r w:rsidR="0028384B" w:rsidRPr="002F16A1">
        <w:rPr>
          <w:noProof/>
        </w:rPr>
        <w:t xml:space="preserve"> z</w:t>
      </w:r>
      <w:r w:rsidR="0028384B">
        <w:rPr>
          <w:noProof/>
        </w:rPr>
        <w:t> </w:t>
      </w:r>
      <w:r w:rsidR="0028384B" w:rsidRPr="002F16A1">
        <w:rPr>
          <w:noProof/>
        </w:rPr>
        <w:t>rec</w:t>
      </w:r>
      <w:r w:rsidR="00AD62E2" w:rsidRPr="002F16A1">
        <w:rPr>
          <w:noProof/>
        </w:rPr>
        <w:t>yklingu, po dokonaniu specjalnej oceny odpowiedniego poziomu</w:t>
      </w:r>
      <w:r w:rsidR="0028384B" w:rsidRPr="002F16A1">
        <w:rPr>
          <w:noProof/>
        </w:rPr>
        <w:t xml:space="preserve"> i</w:t>
      </w:r>
      <w:r w:rsidR="0028384B">
        <w:rPr>
          <w:noProof/>
        </w:rPr>
        <w:t> </w:t>
      </w:r>
      <w:r w:rsidR="0028384B" w:rsidRPr="002F16A1">
        <w:rPr>
          <w:noProof/>
        </w:rPr>
        <w:t>pra</w:t>
      </w:r>
      <w:r w:rsidR="00AD62E2" w:rsidRPr="002F16A1">
        <w:rPr>
          <w:noProof/>
        </w:rPr>
        <w:t>wdopodobnego wpływu należy następnie ustalić minimalne progi zawartości materiałów</w:t>
      </w:r>
      <w:r w:rsidR="0028384B" w:rsidRPr="002F16A1">
        <w:rPr>
          <w:noProof/>
        </w:rPr>
        <w:t xml:space="preserve"> z</w:t>
      </w:r>
      <w:r w:rsidR="0028384B">
        <w:rPr>
          <w:noProof/>
        </w:rPr>
        <w:t> </w:t>
      </w:r>
      <w:r w:rsidR="0028384B" w:rsidRPr="002F16A1">
        <w:rPr>
          <w:noProof/>
        </w:rPr>
        <w:t>rec</w:t>
      </w:r>
      <w:r w:rsidR="00AD62E2" w:rsidRPr="002F16A1">
        <w:rPr>
          <w:noProof/>
        </w:rPr>
        <w:t xml:space="preserve">yklingu. </w:t>
      </w:r>
    </w:p>
    <w:p w:rsidR="00AD62E2" w:rsidRPr="002F16A1" w:rsidRDefault="00733965" w:rsidP="00733965">
      <w:pPr>
        <w:pStyle w:val="ManualConsidrant"/>
        <w:rPr>
          <w:noProof/>
        </w:rPr>
      </w:pPr>
      <w:r w:rsidRPr="00733965">
        <w:t>(49)</w:t>
      </w:r>
      <w:r w:rsidRPr="00733965">
        <w:tab/>
      </w:r>
      <w:r w:rsidR="00AD62E2" w:rsidRPr="002F16A1">
        <w:rPr>
          <w:noProof/>
        </w:rPr>
        <w:t>Surowce krytyczne sprzedawane na rynku unijnym są często certyfikowane pod kątem zrównoważonego charakteru ich produkcji</w:t>
      </w:r>
      <w:r w:rsidR="0028384B" w:rsidRPr="002F16A1">
        <w:rPr>
          <w:noProof/>
        </w:rPr>
        <w:t xml:space="preserve"> i</w:t>
      </w:r>
      <w:r w:rsidR="0028384B">
        <w:rPr>
          <w:noProof/>
        </w:rPr>
        <w:t> </w:t>
      </w:r>
      <w:r w:rsidR="0028384B" w:rsidRPr="002F16A1">
        <w:rPr>
          <w:noProof/>
        </w:rPr>
        <w:t>łań</w:t>
      </w:r>
      <w:r w:rsidR="00AD62E2" w:rsidRPr="002F16A1">
        <w:rPr>
          <w:noProof/>
        </w:rPr>
        <w:t>cucha dostaw. Certyfikację można uzyskać</w:t>
      </w:r>
      <w:r w:rsidR="0028384B" w:rsidRPr="002F16A1">
        <w:rPr>
          <w:noProof/>
        </w:rPr>
        <w:t xml:space="preserve"> w</w:t>
      </w:r>
      <w:r w:rsidR="0028384B">
        <w:rPr>
          <w:noProof/>
        </w:rPr>
        <w:t> </w:t>
      </w:r>
      <w:r w:rsidR="0028384B" w:rsidRPr="002F16A1">
        <w:rPr>
          <w:noProof/>
        </w:rPr>
        <w:t>ram</w:t>
      </w:r>
      <w:r w:rsidR="00AD62E2" w:rsidRPr="002F16A1">
        <w:rPr>
          <w:noProof/>
        </w:rPr>
        <w:t>ach szerokiego wyboru dostępnych publicznych</w:t>
      </w:r>
      <w:r w:rsidR="0028384B" w:rsidRPr="002F16A1">
        <w:rPr>
          <w:noProof/>
        </w:rPr>
        <w:t xml:space="preserve"> i</w:t>
      </w:r>
      <w:r w:rsidR="0028384B">
        <w:rPr>
          <w:noProof/>
        </w:rPr>
        <w:t> </w:t>
      </w:r>
      <w:r w:rsidR="0028384B" w:rsidRPr="002F16A1">
        <w:rPr>
          <w:noProof/>
        </w:rPr>
        <w:t>pry</w:t>
      </w:r>
      <w:r w:rsidR="00AD62E2" w:rsidRPr="002F16A1">
        <w:rPr>
          <w:noProof/>
        </w:rPr>
        <w:t>watnych systemów certyfikacji, które różnią się zakresem</w:t>
      </w:r>
      <w:r w:rsidR="0028384B" w:rsidRPr="002F16A1">
        <w:rPr>
          <w:noProof/>
        </w:rPr>
        <w:t xml:space="preserve"> i</w:t>
      </w:r>
      <w:r w:rsidR="0028384B">
        <w:rPr>
          <w:noProof/>
        </w:rPr>
        <w:t> </w:t>
      </w:r>
      <w:r w:rsidR="0028384B" w:rsidRPr="002F16A1">
        <w:rPr>
          <w:noProof/>
        </w:rPr>
        <w:t>sto</w:t>
      </w:r>
      <w:r w:rsidR="00AD62E2" w:rsidRPr="002F16A1">
        <w:rPr>
          <w:noProof/>
        </w:rPr>
        <w:t>pniem restrykcyjności, co może potencjalnie wywoływać dezorientację co do charakteru</w:t>
      </w:r>
      <w:r w:rsidR="0028384B" w:rsidRPr="002F16A1">
        <w:rPr>
          <w:noProof/>
        </w:rPr>
        <w:t xml:space="preserve"> i</w:t>
      </w:r>
      <w:r w:rsidR="0028384B">
        <w:rPr>
          <w:noProof/>
        </w:rPr>
        <w:t> </w:t>
      </w:r>
      <w:r w:rsidR="0028384B" w:rsidRPr="002F16A1">
        <w:rPr>
          <w:noProof/>
        </w:rPr>
        <w:t>pra</w:t>
      </w:r>
      <w:r w:rsidR="00AD62E2" w:rsidRPr="002F16A1">
        <w:rPr>
          <w:noProof/>
        </w:rPr>
        <w:t>wdziwości twierdzeń</w:t>
      </w:r>
      <w:r w:rsidR="0028384B" w:rsidRPr="002F16A1">
        <w:rPr>
          <w:noProof/>
        </w:rPr>
        <w:t xml:space="preserve"> o</w:t>
      </w:r>
      <w:r w:rsidR="0028384B">
        <w:rPr>
          <w:noProof/>
        </w:rPr>
        <w:t> </w:t>
      </w:r>
      <w:r w:rsidR="0028384B" w:rsidRPr="002F16A1">
        <w:rPr>
          <w:noProof/>
        </w:rPr>
        <w:t>wzg</w:t>
      </w:r>
      <w:r w:rsidR="00AD62E2" w:rsidRPr="002F16A1">
        <w:rPr>
          <w:noProof/>
        </w:rPr>
        <w:t>lędnie zrównoważonym charakterze surowców krytycznych wprowadzanych do obrotu</w:t>
      </w:r>
      <w:r w:rsidR="0028384B" w:rsidRPr="002F16A1">
        <w:rPr>
          <w:noProof/>
        </w:rPr>
        <w:t xml:space="preserve"> w</w:t>
      </w:r>
      <w:r w:rsidR="0028384B">
        <w:rPr>
          <w:noProof/>
        </w:rPr>
        <w:t> </w:t>
      </w:r>
      <w:r w:rsidR="0028384B" w:rsidRPr="002F16A1">
        <w:rPr>
          <w:noProof/>
        </w:rPr>
        <w:t>Uni</w:t>
      </w:r>
      <w:r w:rsidR="00AD62E2" w:rsidRPr="002F16A1">
        <w:rPr>
          <w:noProof/>
        </w:rPr>
        <w:t>i na podstawie takiej certyfikacji. Komisja powinna być uprawniona do przyjmowania aktów wykonawczych uznających systemy certyfikacji, które należy uznać za kompleksowe</w:t>
      </w:r>
      <w:r w:rsidR="0028384B" w:rsidRPr="002F16A1">
        <w:rPr>
          <w:noProof/>
        </w:rPr>
        <w:t xml:space="preserve"> i</w:t>
      </w:r>
      <w:r w:rsidR="0028384B">
        <w:rPr>
          <w:noProof/>
        </w:rPr>
        <w:t> </w:t>
      </w:r>
      <w:r w:rsidR="0028384B" w:rsidRPr="002F16A1">
        <w:rPr>
          <w:noProof/>
        </w:rPr>
        <w:t>wia</w:t>
      </w:r>
      <w:r w:rsidR="00AD62E2" w:rsidRPr="002F16A1">
        <w:rPr>
          <w:noProof/>
        </w:rPr>
        <w:t>rygodne, zapewniając</w:t>
      </w:r>
      <w:r w:rsidR="0028384B" w:rsidRPr="002F16A1">
        <w:rPr>
          <w:noProof/>
        </w:rPr>
        <w:t xml:space="preserve"> w</w:t>
      </w:r>
      <w:r w:rsidR="0028384B">
        <w:rPr>
          <w:noProof/>
        </w:rPr>
        <w:t> </w:t>
      </w:r>
      <w:r w:rsidR="0028384B" w:rsidRPr="002F16A1">
        <w:rPr>
          <w:noProof/>
        </w:rPr>
        <w:t>ten</w:t>
      </w:r>
      <w:r w:rsidR="00AD62E2" w:rsidRPr="002F16A1">
        <w:rPr>
          <w:noProof/>
        </w:rPr>
        <w:t xml:space="preserve"> sposób organom</w:t>
      </w:r>
      <w:r w:rsidR="0028384B" w:rsidRPr="002F16A1">
        <w:rPr>
          <w:noProof/>
        </w:rPr>
        <w:t xml:space="preserve"> i</w:t>
      </w:r>
      <w:r w:rsidR="0028384B">
        <w:rPr>
          <w:noProof/>
        </w:rPr>
        <w:t> </w:t>
      </w:r>
      <w:r w:rsidR="0028384B" w:rsidRPr="002F16A1">
        <w:rPr>
          <w:noProof/>
        </w:rPr>
        <w:t>ucz</w:t>
      </w:r>
      <w:r w:rsidR="00AD62E2" w:rsidRPr="002F16A1">
        <w:rPr>
          <w:noProof/>
        </w:rPr>
        <w:t>estnikom rynku wspólne podstawy do oceny zrównoważonego charakteru surowców krytycznych. Należy uznawać wyłącznie te systemy certyfikacji, które obejmują szeroki zakres aspektów zrównoważonego rozwoju,</w:t>
      </w:r>
      <w:r w:rsidR="0028384B" w:rsidRPr="002F16A1">
        <w:rPr>
          <w:noProof/>
        </w:rPr>
        <w:t xml:space="preserve"> w</w:t>
      </w:r>
      <w:r w:rsidR="0028384B">
        <w:rPr>
          <w:noProof/>
        </w:rPr>
        <w:t> </w:t>
      </w:r>
      <w:r w:rsidR="0028384B" w:rsidRPr="002F16A1">
        <w:rPr>
          <w:noProof/>
        </w:rPr>
        <w:t>tym</w:t>
      </w:r>
      <w:r w:rsidR="00AD62E2" w:rsidRPr="002F16A1">
        <w:rPr>
          <w:noProof/>
        </w:rPr>
        <w:t xml:space="preserve"> ochronę środowiska, prawa człowieka wraz</w:t>
      </w:r>
      <w:r w:rsidR="0028384B" w:rsidRPr="002F16A1">
        <w:rPr>
          <w:noProof/>
        </w:rPr>
        <w:t xml:space="preserve"> z</w:t>
      </w:r>
      <w:r w:rsidR="0028384B">
        <w:rPr>
          <w:noProof/>
        </w:rPr>
        <w:t> </w:t>
      </w:r>
      <w:r w:rsidR="0028384B" w:rsidRPr="002F16A1">
        <w:rPr>
          <w:noProof/>
        </w:rPr>
        <w:t>pra</w:t>
      </w:r>
      <w:r w:rsidR="00AD62E2" w:rsidRPr="002F16A1">
        <w:rPr>
          <w:noProof/>
        </w:rPr>
        <w:t>wami pracowniczymi, oraz przejrzystość biznesową,</w:t>
      </w:r>
      <w:r w:rsidR="0028384B" w:rsidRPr="002F16A1">
        <w:rPr>
          <w:noProof/>
        </w:rPr>
        <w:t xml:space="preserve"> a</w:t>
      </w:r>
      <w:r w:rsidR="0028384B">
        <w:rPr>
          <w:noProof/>
        </w:rPr>
        <w:t> </w:t>
      </w:r>
      <w:r w:rsidR="0028384B" w:rsidRPr="002F16A1">
        <w:rPr>
          <w:noProof/>
        </w:rPr>
        <w:t>tak</w:t>
      </w:r>
      <w:r w:rsidR="00AD62E2" w:rsidRPr="002F16A1">
        <w:rPr>
          <w:noProof/>
        </w:rPr>
        <w:t>że zawierają zasady dotyczące niezależnej weryfikacji dokonywanej przez osobę trzecią</w:t>
      </w:r>
      <w:r w:rsidR="0028384B" w:rsidRPr="002F16A1">
        <w:rPr>
          <w:noProof/>
        </w:rPr>
        <w:t xml:space="preserve"> i</w:t>
      </w:r>
      <w:r w:rsidR="0028384B">
        <w:rPr>
          <w:noProof/>
        </w:rPr>
        <w:t> </w:t>
      </w:r>
      <w:r w:rsidR="0028384B" w:rsidRPr="002F16A1">
        <w:rPr>
          <w:noProof/>
        </w:rPr>
        <w:t>mon</w:t>
      </w:r>
      <w:r w:rsidR="00AD62E2" w:rsidRPr="002F16A1">
        <w:rPr>
          <w:noProof/>
        </w:rPr>
        <w:t>itorowania pod względem zgodności</w:t>
      </w:r>
      <w:r w:rsidR="0028384B" w:rsidRPr="002F16A1">
        <w:rPr>
          <w:noProof/>
        </w:rPr>
        <w:t>. W</w:t>
      </w:r>
      <w:r w:rsidR="0028384B">
        <w:rPr>
          <w:noProof/>
        </w:rPr>
        <w:t> </w:t>
      </w:r>
      <w:r w:rsidR="0028384B" w:rsidRPr="002F16A1">
        <w:rPr>
          <w:noProof/>
        </w:rPr>
        <w:t>cel</w:t>
      </w:r>
      <w:r w:rsidR="00AD62E2" w:rsidRPr="002F16A1">
        <w:rPr>
          <w:noProof/>
        </w:rPr>
        <w:t>u zapewnienia wydajności procedur, promotorzy projektów ubiegający się</w:t>
      </w:r>
      <w:r w:rsidR="0028384B" w:rsidRPr="002F16A1">
        <w:rPr>
          <w:noProof/>
        </w:rPr>
        <w:t xml:space="preserve"> o</w:t>
      </w:r>
      <w:r w:rsidR="0028384B">
        <w:rPr>
          <w:noProof/>
        </w:rPr>
        <w:t> </w:t>
      </w:r>
      <w:r w:rsidR="0028384B" w:rsidRPr="002F16A1">
        <w:rPr>
          <w:noProof/>
        </w:rPr>
        <w:t>uzn</w:t>
      </w:r>
      <w:r w:rsidR="00AD62E2" w:rsidRPr="002F16A1">
        <w:rPr>
          <w:noProof/>
        </w:rPr>
        <w:t>anie ich projektów jako projekty strategiczne powinni mieć możliwość polegania na uczestnictwie</w:t>
      </w:r>
      <w:r w:rsidR="0028384B" w:rsidRPr="002F16A1">
        <w:rPr>
          <w:noProof/>
        </w:rPr>
        <w:t xml:space="preserve"> w</w:t>
      </w:r>
      <w:r w:rsidR="0028384B">
        <w:rPr>
          <w:noProof/>
        </w:rPr>
        <w:t> </w:t>
      </w:r>
      <w:r w:rsidR="0028384B" w:rsidRPr="002F16A1">
        <w:rPr>
          <w:noProof/>
        </w:rPr>
        <w:t>uzn</w:t>
      </w:r>
      <w:r w:rsidR="00AD62E2" w:rsidRPr="002F16A1">
        <w:rPr>
          <w:noProof/>
        </w:rPr>
        <w:t>anym systemie</w:t>
      </w:r>
      <w:r w:rsidR="0028384B" w:rsidRPr="002F16A1">
        <w:rPr>
          <w:noProof/>
        </w:rPr>
        <w:t xml:space="preserve"> w</w:t>
      </w:r>
      <w:r w:rsidR="0028384B">
        <w:rPr>
          <w:noProof/>
        </w:rPr>
        <w:t> </w:t>
      </w:r>
      <w:r w:rsidR="0028384B" w:rsidRPr="002F16A1">
        <w:rPr>
          <w:noProof/>
        </w:rPr>
        <w:t>cel</w:t>
      </w:r>
      <w:r w:rsidR="00AD62E2" w:rsidRPr="002F16A1">
        <w:rPr>
          <w:noProof/>
        </w:rPr>
        <w:t>u wykazania, że realizacja ich projektu przebiega</w:t>
      </w:r>
      <w:r w:rsidR="0028384B" w:rsidRPr="002F16A1">
        <w:rPr>
          <w:noProof/>
        </w:rPr>
        <w:t xml:space="preserve"> w</w:t>
      </w:r>
      <w:r w:rsidR="0028384B">
        <w:rPr>
          <w:noProof/>
        </w:rPr>
        <w:t> </w:t>
      </w:r>
      <w:r w:rsidR="0028384B" w:rsidRPr="002F16A1">
        <w:rPr>
          <w:noProof/>
        </w:rPr>
        <w:t>zró</w:t>
      </w:r>
      <w:r w:rsidR="00AD62E2" w:rsidRPr="002F16A1">
        <w:rPr>
          <w:noProof/>
        </w:rPr>
        <w:t>wnoważony sposób.</w:t>
      </w:r>
    </w:p>
    <w:p w:rsidR="00AD62E2" w:rsidRPr="002F16A1" w:rsidRDefault="00733965" w:rsidP="00733965">
      <w:pPr>
        <w:pStyle w:val="ManualConsidrant"/>
        <w:rPr>
          <w:noProof/>
        </w:rPr>
      </w:pPr>
      <w:r w:rsidRPr="00733965">
        <w:t>(50)</w:t>
      </w:r>
      <w:r w:rsidRPr="00733965">
        <w:tab/>
      </w:r>
      <w:r w:rsidR="00AD62E2" w:rsidRPr="002F16A1">
        <w:rPr>
          <w:noProof/>
        </w:rPr>
        <w:t>Produkcja surowców krytycznych na różnych etapach łańcucha wartości wywiera wpływ na środowisko,</w:t>
      </w:r>
      <w:r w:rsidR="0028384B" w:rsidRPr="002F16A1">
        <w:rPr>
          <w:noProof/>
        </w:rPr>
        <w:t xml:space="preserve"> w</w:t>
      </w:r>
      <w:r w:rsidR="0028384B">
        <w:rPr>
          <w:noProof/>
        </w:rPr>
        <w:t> </w:t>
      </w:r>
      <w:r w:rsidR="0028384B" w:rsidRPr="002F16A1">
        <w:rPr>
          <w:noProof/>
        </w:rPr>
        <w:t>tym</w:t>
      </w:r>
      <w:r w:rsidR="00AD62E2" w:rsidRPr="002F16A1">
        <w:rPr>
          <w:noProof/>
        </w:rPr>
        <w:t xml:space="preserve"> na klimat, wodę, faunę lub florę. Aby ograniczyć wyrządzane szkody</w:t>
      </w:r>
      <w:r w:rsidR="0028384B" w:rsidRPr="002F16A1">
        <w:rPr>
          <w:noProof/>
        </w:rPr>
        <w:t xml:space="preserve"> i</w:t>
      </w:r>
      <w:r w:rsidR="0028384B">
        <w:rPr>
          <w:noProof/>
        </w:rPr>
        <w:t> </w:t>
      </w:r>
      <w:r w:rsidR="0028384B" w:rsidRPr="002F16A1">
        <w:rPr>
          <w:noProof/>
        </w:rPr>
        <w:t>zac</w:t>
      </w:r>
      <w:r w:rsidR="00AD62E2" w:rsidRPr="002F16A1">
        <w:rPr>
          <w:noProof/>
        </w:rPr>
        <w:t>hęcać do produkcji bardziej zrównoważonych surowców krytycznych, Komisja powinna mieć uprawnienia do opracowania systemu obliczania śladu środowiskowego surowców krytycznych,</w:t>
      </w:r>
      <w:r w:rsidR="0028384B" w:rsidRPr="002F16A1">
        <w:rPr>
          <w:noProof/>
        </w:rPr>
        <w:t xml:space="preserve"> w</w:t>
      </w:r>
      <w:r w:rsidR="0028384B">
        <w:rPr>
          <w:noProof/>
        </w:rPr>
        <w:t> </w:t>
      </w:r>
      <w:r w:rsidR="0028384B" w:rsidRPr="002F16A1">
        <w:rPr>
          <w:noProof/>
        </w:rPr>
        <w:t>tym</w:t>
      </w:r>
      <w:r w:rsidR="00AD62E2" w:rsidRPr="002F16A1">
        <w:rPr>
          <w:noProof/>
        </w:rPr>
        <w:t xml:space="preserve"> procesu weryfikacji</w:t>
      </w:r>
      <w:r w:rsidR="0028384B" w:rsidRPr="002F16A1">
        <w:rPr>
          <w:noProof/>
        </w:rPr>
        <w:t xml:space="preserve"> w</w:t>
      </w:r>
      <w:r w:rsidR="0028384B">
        <w:rPr>
          <w:noProof/>
        </w:rPr>
        <w:t> </w:t>
      </w:r>
      <w:r w:rsidR="0028384B" w:rsidRPr="002F16A1">
        <w:rPr>
          <w:noProof/>
        </w:rPr>
        <w:t>cel</w:t>
      </w:r>
      <w:r w:rsidR="00AD62E2" w:rsidRPr="002F16A1">
        <w:rPr>
          <w:noProof/>
        </w:rPr>
        <w:t>u zapewnienia, aby</w:t>
      </w:r>
      <w:r w:rsidR="0028384B" w:rsidRPr="002F16A1">
        <w:rPr>
          <w:noProof/>
        </w:rPr>
        <w:t xml:space="preserve"> w</w:t>
      </w:r>
      <w:r w:rsidR="0028384B">
        <w:rPr>
          <w:noProof/>
        </w:rPr>
        <w:t> </w:t>
      </w:r>
      <w:r w:rsidR="0028384B" w:rsidRPr="002F16A1">
        <w:rPr>
          <w:noProof/>
        </w:rPr>
        <w:t>prz</w:t>
      </w:r>
      <w:r w:rsidR="00AD62E2" w:rsidRPr="002F16A1">
        <w:rPr>
          <w:noProof/>
        </w:rPr>
        <w:t>ypadku surowców krytycznych wprowadzanych do obrotu</w:t>
      </w:r>
      <w:r w:rsidR="0028384B" w:rsidRPr="002F16A1">
        <w:rPr>
          <w:noProof/>
        </w:rPr>
        <w:t xml:space="preserve"> w</w:t>
      </w:r>
      <w:r w:rsidR="0028384B">
        <w:rPr>
          <w:noProof/>
        </w:rPr>
        <w:t> </w:t>
      </w:r>
      <w:r w:rsidR="0028384B" w:rsidRPr="002F16A1">
        <w:rPr>
          <w:noProof/>
        </w:rPr>
        <w:t>Uni</w:t>
      </w:r>
      <w:r w:rsidR="00AD62E2" w:rsidRPr="002F16A1">
        <w:rPr>
          <w:noProof/>
        </w:rPr>
        <w:t>i informacje dotyczące takiego śladu były publicznie wyeksponowane. System ten powinien opierać się na uwzględnieniu wiarygodnych pod względem naukowym metod oceny</w:t>
      </w:r>
      <w:r w:rsidR="0028384B" w:rsidRPr="002F16A1">
        <w:rPr>
          <w:noProof/>
        </w:rPr>
        <w:t xml:space="preserve"> i</w:t>
      </w:r>
      <w:r w:rsidR="0028384B">
        <w:rPr>
          <w:noProof/>
        </w:rPr>
        <w:t> </w:t>
      </w:r>
      <w:r w:rsidR="0028384B" w:rsidRPr="002F16A1">
        <w:rPr>
          <w:noProof/>
        </w:rPr>
        <w:t>odp</w:t>
      </w:r>
      <w:r w:rsidR="00AD62E2" w:rsidRPr="002F16A1">
        <w:rPr>
          <w:noProof/>
        </w:rPr>
        <w:t>owiednich norm międzynarodowych</w:t>
      </w:r>
      <w:r w:rsidR="0028384B" w:rsidRPr="002F16A1">
        <w:rPr>
          <w:noProof/>
        </w:rPr>
        <w:t xml:space="preserve"> w</w:t>
      </w:r>
      <w:r w:rsidR="0028384B">
        <w:rPr>
          <w:noProof/>
        </w:rPr>
        <w:t> </w:t>
      </w:r>
      <w:r w:rsidR="0028384B" w:rsidRPr="002F16A1">
        <w:rPr>
          <w:noProof/>
        </w:rPr>
        <w:t>dzi</w:t>
      </w:r>
      <w:r w:rsidR="00AD62E2" w:rsidRPr="002F16A1">
        <w:rPr>
          <w:noProof/>
        </w:rPr>
        <w:t>edzinie oceny cyklu życia. Wymóg polegający na deklarowaniu śladu środowiskowego materiału powinien mieć zastosowanie wyłącznie</w:t>
      </w:r>
      <w:r w:rsidR="0028384B" w:rsidRPr="002F16A1">
        <w:rPr>
          <w:noProof/>
        </w:rPr>
        <w:t xml:space="preserve"> w</w:t>
      </w:r>
      <w:r w:rsidR="0028384B">
        <w:rPr>
          <w:noProof/>
        </w:rPr>
        <w:t> </w:t>
      </w:r>
      <w:r w:rsidR="0028384B" w:rsidRPr="002F16A1">
        <w:rPr>
          <w:noProof/>
        </w:rPr>
        <w:t>prz</w:t>
      </w:r>
      <w:r w:rsidR="00AD62E2" w:rsidRPr="002F16A1">
        <w:rPr>
          <w:noProof/>
        </w:rPr>
        <w:t>ypadku, gdy na podstawie specjalnej oceny stwierdzono, że przyczyniłby się do realizacji unijnych celów klimatycznych</w:t>
      </w:r>
      <w:r w:rsidR="0028384B" w:rsidRPr="002F16A1">
        <w:rPr>
          <w:noProof/>
        </w:rPr>
        <w:t xml:space="preserve"> i</w:t>
      </w:r>
      <w:r w:rsidR="0028384B">
        <w:rPr>
          <w:noProof/>
        </w:rPr>
        <w:t> </w:t>
      </w:r>
      <w:r w:rsidR="0028384B" w:rsidRPr="002F16A1">
        <w:rPr>
          <w:noProof/>
        </w:rPr>
        <w:t>śro</w:t>
      </w:r>
      <w:r w:rsidR="00AD62E2" w:rsidRPr="002F16A1">
        <w:rPr>
          <w:noProof/>
        </w:rPr>
        <w:t>dowiskowych poprzez ułatwienie zamawiania surowców krytycznych</w:t>
      </w:r>
      <w:r w:rsidR="0028384B" w:rsidRPr="002F16A1">
        <w:rPr>
          <w:noProof/>
        </w:rPr>
        <w:t xml:space="preserve"> o</w:t>
      </w:r>
      <w:r w:rsidR="0028384B">
        <w:rPr>
          <w:noProof/>
        </w:rPr>
        <w:t> </w:t>
      </w:r>
      <w:r w:rsidR="0028384B" w:rsidRPr="002F16A1">
        <w:rPr>
          <w:noProof/>
        </w:rPr>
        <w:t>niż</w:t>
      </w:r>
      <w:r w:rsidR="00AD62E2" w:rsidRPr="002F16A1">
        <w:rPr>
          <w:noProof/>
        </w:rPr>
        <w:t>szym śladzie środowiskowym</w:t>
      </w:r>
      <w:r w:rsidR="0028384B" w:rsidRPr="002F16A1">
        <w:rPr>
          <w:noProof/>
        </w:rPr>
        <w:t xml:space="preserve"> i</w:t>
      </w:r>
      <w:r w:rsidR="0028384B">
        <w:rPr>
          <w:noProof/>
        </w:rPr>
        <w:t> </w:t>
      </w:r>
      <w:r w:rsidR="0028384B" w:rsidRPr="002F16A1">
        <w:rPr>
          <w:noProof/>
        </w:rPr>
        <w:t>nie</w:t>
      </w:r>
      <w:r w:rsidR="00AD62E2" w:rsidRPr="002F16A1">
        <w:rPr>
          <w:noProof/>
        </w:rPr>
        <w:t xml:space="preserve"> wpłynąłby nieproporcjonalnie na przepływy handlowe. Po przyjęciu stosownych metod obliczania Komisja powinna opracować klasy efektywności surowców krytycznych, umożliwiając</w:t>
      </w:r>
      <w:r w:rsidR="0028384B" w:rsidRPr="002F16A1">
        <w:rPr>
          <w:noProof/>
        </w:rPr>
        <w:t xml:space="preserve"> w</w:t>
      </w:r>
      <w:r w:rsidR="0028384B">
        <w:rPr>
          <w:noProof/>
        </w:rPr>
        <w:t> </w:t>
      </w:r>
      <w:r w:rsidR="0028384B" w:rsidRPr="002F16A1">
        <w:rPr>
          <w:noProof/>
        </w:rPr>
        <w:t>ten</w:t>
      </w:r>
      <w:r w:rsidR="00AD62E2" w:rsidRPr="002F16A1">
        <w:rPr>
          <w:noProof/>
        </w:rPr>
        <w:t xml:space="preserve"> sposób potencjalnym nabywcom łatwe porównanie względnego śladu środowiskowego dostępnych materiałów</w:t>
      </w:r>
      <w:r w:rsidR="0028384B" w:rsidRPr="002F16A1">
        <w:rPr>
          <w:noProof/>
        </w:rPr>
        <w:t xml:space="preserve"> i</w:t>
      </w:r>
      <w:r w:rsidR="0028384B">
        <w:rPr>
          <w:noProof/>
        </w:rPr>
        <w:t> </w:t>
      </w:r>
      <w:r w:rsidR="0028384B" w:rsidRPr="002F16A1">
        <w:rPr>
          <w:noProof/>
        </w:rPr>
        <w:t>kie</w:t>
      </w:r>
      <w:r w:rsidR="00AD62E2" w:rsidRPr="002F16A1">
        <w:rPr>
          <w:noProof/>
        </w:rPr>
        <w:t>rując rynek</w:t>
      </w:r>
      <w:r w:rsidR="0028384B" w:rsidRPr="002F16A1">
        <w:rPr>
          <w:noProof/>
        </w:rPr>
        <w:t xml:space="preserve"> w</w:t>
      </w:r>
      <w:r w:rsidR="0028384B">
        <w:rPr>
          <w:noProof/>
        </w:rPr>
        <w:t> </w:t>
      </w:r>
      <w:r w:rsidR="0028384B" w:rsidRPr="002F16A1">
        <w:rPr>
          <w:noProof/>
        </w:rPr>
        <w:t>str</w:t>
      </w:r>
      <w:r w:rsidR="00AD62E2" w:rsidRPr="002F16A1">
        <w:rPr>
          <w:noProof/>
        </w:rPr>
        <w:t>onę bardziej zrównoważonych materiałów. Sprzedawcy surowców krytycznych powinni zapewnić, aby ich klienci mieli dostęp do deklaracji dotyczącej śladu środowiskowego. Przejrzystość względnego śladu surowców krytycznych wprowadzanych do obrotu</w:t>
      </w:r>
      <w:r w:rsidR="0028384B" w:rsidRPr="002F16A1">
        <w:rPr>
          <w:noProof/>
        </w:rPr>
        <w:t xml:space="preserve"> w</w:t>
      </w:r>
      <w:r w:rsidR="0028384B">
        <w:rPr>
          <w:noProof/>
        </w:rPr>
        <w:t> </w:t>
      </w:r>
      <w:r w:rsidR="0028384B" w:rsidRPr="002F16A1">
        <w:rPr>
          <w:noProof/>
        </w:rPr>
        <w:t>Uni</w:t>
      </w:r>
      <w:r w:rsidR="00AD62E2" w:rsidRPr="002F16A1">
        <w:rPr>
          <w:noProof/>
        </w:rPr>
        <w:t>i może również umożliwić realizację innych polityk na szczeblu unijnym</w:t>
      </w:r>
      <w:r w:rsidR="0028384B" w:rsidRPr="002F16A1">
        <w:rPr>
          <w:noProof/>
        </w:rPr>
        <w:t xml:space="preserve"> i</w:t>
      </w:r>
      <w:r w:rsidR="0028384B">
        <w:rPr>
          <w:noProof/>
        </w:rPr>
        <w:t> </w:t>
      </w:r>
      <w:r w:rsidR="0028384B" w:rsidRPr="002F16A1">
        <w:rPr>
          <w:noProof/>
        </w:rPr>
        <w:t>kra</w:t>
      </w:r>
      <w:r w:rsidR="00AD62E2" w:rsidRPr="002F16A1">
        <w:rPr>
          <w:noProof/>
        </w:rPr>
        <w:t>jowym, takich jak zachęty lub kryteria zielonych zamówień publicznych, wspierając produkcję surowców krytycznych</w:t>
      </w:r>
      <w:r w:rsidR="0028384B" w:rsidRPr="002F16A1">
        <w:rPr>
          <w:noProof/>
        </w:rPr>
        <w:t xml:space="preserve"> o</w:t>
      </w:r>
      <w:r w:rsidR="0028384B">
        <w:rPr>
          <w:noProof/>
        </w:rPr>
        <w:t> </w:t>
      </w:r>
      <w:r w:rsidR="0028384B" w:rsidRPr="002F16A1">
        <w:rPr>
          <w:noProof/>
        </w:rPr>
        <w:t>mni</w:t>
      </w:r>
      <w:r w:rsidR="00AD62E2" w:rsidRPr="002F16A1">
        <w:rPr>
          <w:noProof/>
        </w:rPr>
        <w:t>ejszym wpływie na środowisko.</w:t>
      </w:r>
    </w:p>
    <w:p w:rsidR="00AD62E2" w:rsidRPr="002F16A1" w:rsidRDefault="00733965" w:rsidP="00733965">
      <w:pPr>
        <w:pStyle w:val="ManualConsidrant"/>
        <w:rPr>
          <w:noProof/>
        </w:rPr>
      </w:pPr>
      <w:r w:rsidRPr="00733965">
        <w:t>(51)</w:t>
      </w:r>
      <w:r w:rsidRPr="00733965">
        <w:tab/>
      </w:r>
      <w:r w:rsidR="00AD62E2" w:rsidRPr="002F16A1">
        <w:rPr>
          <w:noProof/>
        </w:rPr>
        <w:t>Metody dotyczące śladu środowiskowego stanowią istotną podstawę dla opracowywania zasad obliczania. Opierają się one na naukowo uzasadnionych metodach oceny, które uwzględniają zmiany na poziomie międzynarodowym</w:t>
      </w:r>
      <w:r w:rsidR="0028384B" w:rsidRPr="002F16A1">
        <w:rPr>
          <w:noProof/>
        </w:rPr>
        <w:t xml:space="preserve"> i</w:t>
      </w:r>
      <w:r w:rsidR="0028384B">
        <w:rPr>
          <w:noProof/>
        </w:rPr>
        <w:t> </w:t>
      </w:r>
      <w:r w:rsidR="0028384B" w:rsidRPr="002F16A1">
        <w:rPr>
          <w:noProof/>
        </w:rPr>
        <w:t>obe</w:t>
      </w:r>
      <w:r w:rsidR="00AD62E2" w:rsidRPr="002F16A1">
        <w:rPr>
          <w:noProof/>
        </w:rPr>
        <w:t>jmują wpływ na środowisko,</w:t>
      </w:r>
      <w:r w:rsidR="0028384B" w:rsidRPr="002F16A1">
        <w:rPr>
          <w:noProof/>
        </w:rPr>
        <w:t xml:space="preserve"> w</w:t>
      </w:r>
      <w:r w:rsidR="0028384B">
        <w:rPr>
          <w:noProof/>
        </w:rPr>
        <w:t> </w:t>
      </w:r>
      <w:r w:rsidR="0028384B" w:rsidRPr="002F16A1">
        <w:rPr>
          <w:noProof/>
        </w:rPr>
        <w:t>tym</w:t>
      </w:r>
      <w:r w:rsidR="00AD62E2" w:rsidRPr="002F16A1">
        <w:rPr>
          <w:noProof/>
        </w:rPr>
        <w:t xml:space="preserve"> zmianę klimatu, oraz wpływy związane</w:t>
      </w:r>
      <w:r w:rsidR="0028384B" w:rsidRPr="002F16A1">
        <w:rPr>
          <w:noProof/>
        </w:rPr>
        <w:t xml:space="preserve"> z</w:t>
      </w:r>
      <w:r w:rsidR="0028384B">
        <w:rPr>
          <w:noProof/>
        </w:rPr>
        <w:t> </w:t>
      </w:r>
      <w:r w:rsidR="0028384B" w:rsidRPr="002F16A1">
        <w:rPr>
          <w:noProof/>
        </w:rPr>
        <w:t>wod</w:t>
      </w:r>
      <w:r w:rsidR="00AD62E2" w:rsidRPr="002F16A1">
        <w:rPr>
          <w:noProof/>
        </w:rPr>
        <w:t>ą, powietrzem, glebą, zasobami, użytkowaniem gruntów</w:t>
      </w:r>
      <w:r w:rsidR="0028384B" w:rsidRPr="002F16A1">
        <w:rPr>
          <w:noProof/>
        </w:rPr>
        <w:t xml:space="preserve"> i</w:t>
      </w:r>
      <w:r w:rsidR="0028384B">
        <w:rPr>
          <w:noProof/>
        </w:rPr>
        <w:t> </w:t>
      </w:r>
      <w:r w:rsidR="0028384B" w:rsidRPr="002F16A1">
        <w:rPr>
          <w:noProof/>
        </w:rPr>
        <w:t>tok</w:t>
      </w:r>
      <w:r w:rsidR="00AD62E2" w:rsidRPr="002F16A1">
        <w:rPr>
          <w:noProof/>
        </w:rPr>
        <w:t>sycznością.</w:t>
      </w:r>
    </w:p>
    <w:p w:rsidR="00AD62E2" w:rsidRPr="002F16A1" w:rsidRDefault="00733965" w:rsidP="00733965">
      <w:pPr>
        <w:pStyle w:val="ManualConsidrant"/>
        <w:rPr>
          <w:noProof/>
        </w:rPr>
      </w:pPr>
      <w:r w:rsidRPr="00733965">
        <w:t>(52)</w:t>
      </w:r>
      <w:r w:rsidRPr="00733965">
        <w:tab/>
      </w:r>
      <w:r w:rsidR="006E4CAA" w:rsidRPr="002F16A1">
        <w:rPr>
          <w:noProof/>
        </w:rPr>
        <w:t>Należy zapewnić, aby odpowiedzialni za to operatorzy dokonywali oceny zgodności swoich produktów lub materiałów</w:t>
      </w:r>
      <w:r w:rsidR="0028384B" w:rsidRPr="002F16A1">
        <w:rPr>
          <w:noProof/>
        </w:rPr>
        <w:t xml:space="preserve"> z</w:t>
      </w:r>
      <w:r w:rsidR="0028384B">
        <w:rPr>
          <w:noProof/>
        </w:rPr>
        <w:t> </w:t>
      </w:r>
      <w:r w:rsidR="0028384B" w:rsidRPr="002F16A1">
        <w:rPr>
          <w:noProof/>
        </w:rPr>
        <w:t>wym</w:t>
      </w:r>
      <w:r w:rsidR="006E4CAA" w:rsidRPr="002F16A1">
        <w:rPr>
          <w:noProof/>
        </w:rPr>
        <w:t>ogami służącymi usprawnieniu obiegu zamkniętego magnesów trwałych</w:t>
      </w:r>
      <w:r w:rsidR="0028384B" w:rsidRPr="002F16A1">
        <w:rPr>
          <w:noProof/>
        </w:rPr>
        <w:t xml:space="preserve"> i</w:t>
      </w:r>
      <w:r w:rsidR="0028384B">
        <w:rPr>
          <w:noProof/>
        </w:rPr>
        <w:t> </w:t>
      </w:r>
      <w:r w:rsidR="0028384B" w:rsidRPr="002F16A1">
        <w:rPr>
          <w:noProof/>
        </w:rPr>
        <w:t>oce</w:t>
      </w:r>
      <w:r w:rsidR="006E4CAA" w:rsidRPr="002F16A1">
        <w:rPr>
          <w:noProof/>
        </w:rPr>
        <w:t>ny zgodności</w:t>
      </w:r>
      <w:r w:rsidR="0028384B" w:rsidRPr="002F16A1">
        <w:rPr>
          <w:noProof/>
        </w:rPr>
        <w:t xml:space="preserve"> z</w:t>
      </w:r>
      <w:r w:rsidR="0028384B">
        <w:rPr>
          <w:noProof/>
        </w:rPr>
        <w:t> </w:t>
      </w:r>
      <w:r w:rsidR="0028384B" w:rsidRPr="002F16A1">
        <w:rPr>
          <w:noProof/>
        </w:rPr>
        <w:t>dek</w:t>
      </w:r>
      <w:r w:rsidR="006E4CAA" w:rsidRPr="002F16A1">
        <w:rPr>
          <w:noProof/>
        </w:rPr>
        <w:t>laracją dotyczącą śladu środowiskowego surowców krytycznych przed wprowadzeniem ich do obrotu, oraz tego, czy właściwe organy krajowe skutecznie egzekwują te wymogi. Przepisy dotyczące zgodności</w:t>
      </w:r>
      <w:r w:rsidR="0028384B" w:rsidRPr="002F16A1">
        <w:rPr>
          <w:noProof/>
        </w:rPr>
        <w:t xml:space="preserve"> i</w:t>
      </w:r>
      <w:r w:rsidR="0028384B">
        <w:rPr>
          <w:noProof/>
        </w:rPr>
        <w:t> </w:t>
      </w:r>
      <w:r w:rsidR="0028384B" w:rsidRPr="002F16A1">
        <w:rPr>
          <w:noProof/>
        </w:rPr>
        <w:t>nad</w:t>
      </w:r>
      <w:r w:rsidR="006E4CAA" w:rsidRPr="002F16A1">
        <w:rPr>
          <w:noProof/>
        </w:rPr>
        <w:t>zoru rynku ustanowione</w:t>
      </w:r>
      <w:r w:rsidR="0028384B" w:rsidRPr="002F16A1">
        <w:rPr>
          <w:noProof/>
        </w:rPr>
        <w:t xml:space="preserve"> w</w:t>
      </w:r>
      <w:r w:rsidR="0028384B">
        <w:rPr>
          <w:noProof/>
        </w:rPr>
        <w:t> </w:t>
      </w:r>
      <w:r w:rsidR="0028384B" w:rsidRPr="002F16A1">
        <w:rPr>
          <w:noProof/>
        </w:rPr>
        <w:t>roz</w:t>
      </w:r>
      <w:r w:rsidR="006E4CAA" w:rsidRPr="002F16A1">
        <w:rPr>
          <w:noProof/>
        </w:rPr>
        <w:t>porządzeniu 2019/1020</w:t>
      </w:r>
      <w:r w:rsidR="0028384B" w:rsidRPr="002F16A1">
        <w:rPr>
          <w:noProof/>
        </w:rPr>
        <w:t xml:space="preserve"> i</w:t>
      </w:r>
      <w:r w:rsidR="0028384B">
        <w:rPr>
          <w:noProof/>
        </w:rPr>
        <w:t> </w:t>
      </w:r>
      <w:r w:rsidR="0028384B" w:rsidRPr="002F16A1">
        <w:rPr>
          <w:noProof/>
        </w:rPr>
        <w:t>roz</w:t>
      </w:r>
      <w:r w:rsidR="006E4CAA" w:rsidRPr="002F16A1">
        <w:rPr>
          <w:noProof/>
        </w:rPr>
        <w:t>porządzeniu (UE) 2023/xxx [</w:t>
      </w:r>
      <w:r w:rsidR="006E4CAA" w:rsidRPr="002F16A1">
        <w:rPr>
          <w:i/>
          <w:noProof/>
        </w:rPr>
        <w:t>Urząd Publikacji: proszę wstawić odniesienie do rozporządzenia</w:t>
      </w:r>
      <w:r w:rsidR="0028384B" w:rsidRPr="002F16A1">
        <w:rPr>
          <w:i/>
          <w:noProof/>
        </w:rPr>
        <w:t xml:space="preserve"> w</w:t>
      </w:r>
      <w:r w:rsidR="0028384B">
        <w:rPr>
          <w:i/>
          <w:noProof/>
        </w:rPr>
        <w:t> </w:t>
      </w:r>
      <w:r w:rsidR="0028384B" w:rsidRPr="002F16A1">
        <w:rPr>
          <w:i/>
          <w:noProof/>
        </w:rPr>
        <w:t>spr</w:t>
      </w:r>
      <w:r w:rsidR="006E4CAA" w:rsidRPr="002F16A1">
        <w:rPr>
          <w:i/>
          <w:noProof/>
        </w:rPr>
        <w:t>awie ekoprojektu dla zrównoważonych produktów</w:t>
      </w:r>
      <w:r w:rsidR="006E4CAA" w:rsidRPr="002F16A1">
        <w:rPr>
          <w:noProof/>
        </w:rPr>
        <w:t>] są opracowane</w:t>
      </w:r>
      <w:r w:rsidR="0028384B" w:rsidRPr="002F16A1">
        <w:rPr>
          <w:noProof/>
        </w:rPr>
        <w:t xml:space="preserve"> w</w:t>
      </w:r>
      <w:r w:rsidR="0028384B">
        <w:rPr>
          <w:noProof/>
        </w:rPr>
        <w:t> </w:t>
      </w:r>
      <w:r w:rsidR="0028384B" w:rsidRPr="002F16A1">
        <w:rPr>
          <w:noProof/>
        </w:rPr>
        <w:t>tak</w:t>
      </w:r>
      <w:r w:rsidR="006E4CAA" w:rsidRPr="002F16A1">
        <w:rPr>
          <w:noProof/>
        </w:rPr>
        <w:t>i sposób, aby sprostać temu wyzwaniu,</w:t>
      </w:r>
      <w:r w:rsidR="0028384B" w:rsidRPr="002F16A1">
        <w:rPr>
          <w:noProof/>
        </w:rPr>
        <w:t xml:space="preserve"> i</w:t>
      </w:r>
      <w:r w:rsidR="0028384B">
        <w:rPr>
          <w:noProof/>
        </w:rPr>
        <w:t> </w:t>
      </w:r>
      <w:r w:rsidR="0028384B" w:rsidRPr="002F16A1">
        <w:rPr>
          <w:noProof/>
        </w:rPr>
        <w:t>pow</w:t>
      </w:r>
      <w:r w:rsidR="006E4CAA" w:rsidRPr="002F16A1">
        <w:rPr>
          <w:noProof/>
        </w:rPr>
        <w:t>inny mieć zatem również zastosowanie do tych wymogów</w:t>
      </w:r>
      <w:r w:rsidR="0028384B" w:rsidRPr="002F16A1">
        <w:rPr>
          <w:noProof/>
        </w:rPr>
        <w:t>. W</w:t>
      </w:r>
      <w:r w:rsidR="0028384B">
        <w:rPr>
          <w:noProof/>
        </w:rPr>
        <w:t> </w:t>
      </w:r>
      <w:r w:rsidR="0028384B" w:rsidRPr="002F16A1">
        <w:rPr>
          <w:noProof/>
        </w:rPr>
        <w:t>cel</w:t>
      </w:r>
      <w:r w:rsidR="006E4CAA" w:rsidRPr="002F16A1">
        <w:rPr>
          <w:noProof/>
        </w:rPr>
        <w:t>u dodatkowego zapewnienia optymalnego wykorzystania obowiązujących ram należy zapewnić, aby</w:t>
      </w:r>
      <w:r w:rsidR="0028384B" w:rsidRPr="002F16A1">
        <w:rPr>
          <w:noProof/>
        </w:rPr>
        <w:t xml:space="preserve"> w</w:t>
      </w:r>
      <w:r w:rsidR="0028384B">
        <w:rPr>
          <w:noProof/>
        </w:rPr>
        <w:t> </w:t>
      </w:r>
      <w:r w:rsidR="0028384B" w:rsidRPr="002F16A1">
        <w:rPr>
          <w:noProof/>
        </w:rPr>
        <w:t>prz</w:t>
      </w:r>
      <w:r w:rsidR="006E4CAA" w:rsidRPr="002F16A1">
        <w:rPr>
          <w:noProof/>
        </w:rPr>
        <w:t xml:space="preserve">ypadku produktów podlegających homologacji typu na podstawie rozporządzenia (UE) 2018/858 lub rozporządzenia (UE) </w:t>
      </w:r>
      <w:r w:rsidR="006E4CAA" w:rsidRPr="0028384B">
        <w:rPr>
          <w:noProof/>
        </w:rPr>
        <w:t>nr</w:t>
      </w:r>
      <w:r w:rsidR="0028384B" w:rsidRPr="0028384B">
        <w:rPr>
          <w:noProof/>
        </w:rPr>
        <w:t> </w:t>
      </w:r>
      <w:r w:rsidR="006E4CAA" w:rsidRPr="0028384B">
        <w:rPr>
          <w:noProof/>
        </w:rPr>
        <w:t>1</w:t>
      </w:r>
      <w:r w:rsidR="006E4CAA" w:rsidRPr="002F16A1">
        <w:rPr>
          <w:noProof/>
        </w:rPr>
        <w:t>68/2013 egzekwowanie zgodności odbywało się</w:t>
      </w:r>
      <w:r w:rsidR="0028384B" w:rsidRPr="002F16A1">
        <w:rPr>
          <w:noProof/>
        </w:rPr>
        <w:t xml:space="preserve"> w</w:t>
      </w:r>
      <w:r w:rsidR="0028384B">
        <w:rPr>
          <w:noProof/>
        </w:rPr>
        <w:t> </w:t>
      </w:r>
      <w:r w:rsidR="0028384B" w:rsidRPr="002F16A1">
        <w:rPr>
          <w:noProof/>
        </w:rPr>
        <w:t>ram</w:t>
      </w:r>
      <w:r w:rsidR="006E4CAA" w:rsidRPr="002F16A1">
        <w:rPr>
          <w:noProof/>
        </w:rPr>
        <w:t>ach obowiązującego systemu homologacji typu.</w:t>
      </w:r>
    </w:p>
    <w:p w:rsidR="001F536D" w:rsidRPr="002F16A1" w:rsidRDefault="00733965" w:rsidP="00733965">
      <w:pPr>
        <w:pStyle w:val="ManualConsidrant"/>
        <w:rPr>
          <w:noProof/>
          <w:sz w:val="22"/>
        </w:rPr>
      </w:pPr>
      <w:r w:rsidRPr="00733965">
        <w:t>(53)</w:t>
      </w:r>
      <w:r w:rsidRPr="00733965">
        <w:tab/>
      </w:r>
      <w:r w:rsidR="001F536D" w:rsidRPr="002F16A1">
        <w:rPr>
          <w:noProof/>
        </w:rPr>
        <w:t>Zgodnie</w:t>
      </w:r>
      <w:r w:rsidR="0028384B" w:rsidRPr="002F16A1">
        <w:rPr>
          <w:noProof/>
        </w:rPr>
        <w:t xml:space="preserve"> z</w:t>
      </w:r>
      <w:r w:rsidR="0028384B">
        <w:rPr>
          <w:noProof/>
        </w:rPr>
        <w:t> </w:t>
      </w:r>
      <w:r w:rsidR="0028384B" w:rsidRPr="0028384B">
        <w:rPr>
          <w:noProof/>
        </w:rPr>
        <w:t>art</w:t>
      </w:r>
      <w:r w:rsidR="001F536D" w:rsidRPr="0028384B">
        <w:rPr>
          <w:noProof/>
        </w:rPr>
        <w:t>.</w:t>
      </w:r>
      <w:r w:rsidR="0028384B" w:rsidRPr="0028384B">
        <w:rPr>
          <w:noProof/>
        </w:rPr>
        <w:t> </w:t>
      </w:r>
      <w:r w:rsidR="001F536D" w:rsidRPr="0028384B">
        <w:rPr>
          <w:noProof/>
        </w:rPr>
        <w:t>1</w:t>
      </w:r>
      <w:r w:rsidR="001F536D" w:rsidRPr="002F16A1">
        <w:rPr>
          <w:noProof/>
        </w:rPr>
        <w:t xml:space="preserve">0 </w:t>
      </w:r>
      <w:r w:rsidR="001F536D" w:rsidRPr="0028384B">
        <w:rPr>
          <w:noProof/>
        </w:rPr>
        <w:t>ust.</w:t>
      </w:r>
      <w:r w:rsidR="0028384B" w:rsidRPr="0028384B">
        <w:rPr>
          <w:noProof/>
        </w:rPr>
        <w:t> </w:t>
      </w:r>
      <w:r w:rsidR="001F536D" w:rsidRPr="0028384B">
        <w:rPr>
          <w:noProof/>
        </w:rPr>
        <w:t>1</w:t>
      </w:r>
      <w:r w:rsidR="001F536D" w:rsidRPr="002F16A1">
        <w:rPr>
          <w:noProof/>
        </w:rPr>
        <w:t xml:space="preserve"> rozporządzenia (UE) </w:t>
      </w:r>
      <w:r w:rsidR="001F536D" w:rsidRPr="0028384B">
        <w:rPr>
          <w:noProof/>
        </w:rPr>
        <w:t>nr</w:t>
      </w:r>
      <w:r w:rsidR="0028384B" w:rsidRPr="0028384B">
        <w:rPr>
          <w:noProof/>
        </w:rPr>
        <w:t> </w:t>
      </w:r>
      <w:r w:rsidR="001F536D" w:rsidRPr="0028384B">
        <w:rPr>
          <w:noProof/>
        </w:rPr>
        <w:t>1</w:t>
      </w:r>
      <w:r w:rsidR="001F536D" w:rsidRPr="002F16A1">
        <w:rPr>
          <w:noProof/>
        </w:rPr>
        <w:t>025/2012 Komisja powinna zwrócić się do co najmniej jednej europejskiej organizacji normalizacyjnej</w:t>
      </w:r>
      <w:r w:rsidR="0028384B" w:rsidRPr="002F16A1">
        <w:rPr>
          <w:noProof/>
        </w:rPr>
        <w:t xml:space="preserve"> z</w:t>
      </w:r>
      <w:r w:rsidR="0028384B">
        <w:rPr>
          <w:noProof/>
        </w:rPr>
        <w:t> </w:t>
      </w:r>
      <w:r w:rsidR="0028384B" w:rsidRPr="002F16A1">
        <w:rPr>
          <w:noProof/>
        </w:rPr>
        <w:t>wni</w:t>
      </w:r>
      <w:r w:rsidR="001F536D" w:rsidRPr="002F16A1">
        <w:rPr>
          <w:noProof/>
        </w:rPr>
        <w:t>oskiem</w:t>
      </w:r>
      <w:r w:rsidR="0028384B" w:rsidRPr="002F16A1">
        <w:rPr>
          <w:noProof/>
        </w:rPr>
        <w:t xml:space="preserve"> o</w:t>
      </w:r>
      <w:r w:rsidR="0028384B">
        <w:rPr>
          <w:noProof/>
        </w:rPr>
        <w:t> </w:t>
      </w:r>
      <w:r w:rsidR="0028384B" w:rsidRPr="002F16A1">
        <w:rPr>
          <w:noProof/>
        </w:rPr>
        <w:t>prz</w:t>
      </w:r>
      <w:r w:rsidR="001F536D" w:rsidRPr="002F16A1">
        <w:rPr>
          <w:noProof/>
        </w:rPr>
        <w:t xml:space="preserve">ygotowanie norm europejskich służących wspieraniu celów niniejszego rozporządzenia. </w:t>
      </w:r>
    </w:p>
    <w:p w:rsidR="00AD62E2" w:rsidRPr="002F16A1" w:rsidRDefault="00733965" w:rsidP="00733965">
      <w:pPr>
        <w:pStyle w:val="ManualConsidrant"/>
        <w:rPr>
          <w:noProof/>
        </w:rPr>
      </w:pPr>
      <w:r w:rsidRPr="00733965">
        <w:t>(54)</w:t>
      </w:r>
      <w:r w:rsidRPr="00733965">
        <w:tab/>
      </w:r>
      <w:r w:rsidR="00AD62E2" w:rsidRPr="002F16A1">
        <w:rPr>
          <w:noProof/>
        </w:rPr>
        <w:t>W celu wdrożenia planu działania</w:t>
      </w:r>
      <w:r w:rsidR="0028384B" w:rsidRPr="002F16A1">
        <w:rPr>
          <w:noProof/>
        </w:rPr>
        <w:t xml:space="preserve"> w</w:t>
      </w:r>
      <w:r w:rsidR="0028384B">
        <w:rPr>
          <w:noProof/>
        </w:rPr>
        <w:t> </w:t>
      </w:r>
      <w:r w:rsidR="0028384B" w:rsidRPr="002F16A1">
        <w:rPr>
          <w:noProof/>
        </w:rPr>
        <w:t>spr</w:t>
      </w:r>
      <w:r w:rsidR="00AD62E2" w:rsidRPr="002F16A1">
        <w:rPr>
          <w:noProof/>
        </w:rPr>
        <w:t>awie surowców krytycznych</w:t>
      </w:r>
      <w:r w:rsidR="0028384B" w:rsidRPr="002F16A1">
        <w:rPr>
          <w:noProof/>
        </w:rPr>
        <w:t xml:space="preserve"> z</w:t>
      </w:r>
      <w:r w:rsidR="0028384B">
        <w:rPr>
          <w:noProof/>
        </w:rPr>
        <w:t> </w:t>
      </w:r>
      <w:r w:rsidR="0028384B" w:rsidRPr="002F16A1">
        <w:rPr>
          <w:noProof/>
        </w:rPr>
        <w:t>2</w:t>
      </w:r>
      <w:r w:rsidR="00AD62E2" w:rsidRPr="002F16A1">
        <w:rPr>
          <w:noProof/>
        </w:rPr>
        <w:t>0</w:t>
      </w:r>
      <w:r w:rsidR="00AD62E2" w:rsidRPr="0028384B">
        <w:rPr>
          <w:noProof/>
        </w:rPr>
        <w:t>20</w:t>
      </w:r>
      <w:r w:rsidR="0028384B" w:rsidRPr="0028384B">
        <w:rPr>
          <w:noProof/>
        </w:rPr>
        <w:t> </w:t>
      </w:r>
      <w:r w:rsidR="00AD62E2" w:rsidRPr="0028384B">
        <w:rPr>
          <w:noProof/>
        </w:rPr>
        <w:t>r.</w:t>
      </w:r>
      <w:r w:rsidR="00AD62E2" w:rsidRPr="002F16A1">
        <w:rPr>
          <w:noProof/>
        </w:rPr>
        <w:t xml:space="preserve"> Unia zawarła partnerstwa strategiczne dotyczące surowców</w:t>
      </w:r>
      <w:r w:rsidR="0028384B" w:rsidRPr="002F16A1">
        <w:rPr>
          <w:noProof/>
        </w:rPr>
        <w:t xml:space="preserve"> z</w:t>
      </w:r>
      <w:r w:rsidR="0028384B">
        <w:rPr>
          <w:noProof/>
        </w:rPr>
        <w:t> </w:t>
      </w:r>
      <w:r w:rsidR="0028384B" w:rsidRPr="002F16A1">
        <w:rPr>
          <w:noProof/>
        </w:rPr>
        <w:t>pań</w:t>
      </w:r>
      <w:r w:rsidR="00AD62E2" w:rsidRPr="002F16A1">
        <w:rPr>
          <w:noProof/>
        </w:rPr>
        <w:t>stwami trzecimi. Należy kontynuować takie starania</w:t>
      </w:r>
      <w:r w:rsidR="0028384B" w:rsidRPr="002F16A1">
        <w:rPr>
          <w:noProof/>
        </w:rPr>
        <w:t xml:space="preserve"> w</w:t>
      </w:r>
      <w:r w:rsidR="0028384B">
        <w:rPr>
          <w:noProof/>
        </w:rPr>
        <w:t> </w:t>
      </w:r>
      <w:r w:rsidR="0028384B" w:rsidRPr="002F16A1">
        <w:rPr>
          <w:noProof/>
        </w:rPr>
        <w:t>cel</w:t>
      </w:r>
      <w:r w:rsidR="00AD62E2" w:rsidRPr="002F16A1">
        <w:rPr>
          <w:noProof/>
        </w:rPr>
        <w:t>u dywersyfikacji dostaw. Aby opracować</w:t>
      </w:r>
      <w:r w:rsidR="0028384B" w:rsidRPr="002F16A1">
        <w:rPr>
          <w:noProof/>
        </w:rPr>
        <w:t xml:space="preserve"> i</w:t>
      </w:r>
      <w:r w:rsidR="0028384B">
        <w:rPr>
          <w:noProof/>
        </w:rPr>
        <w:t> </w:t>
      </w:r>
      <w:r w:rsidR="0028384B" w:rsidRPr="002F16A1">
        <w:rPr>
          <w:noProof/>
        </w:rPr>
        <w:t>zap</w:t>
      </w:r>
      <w:r w:rsidR="00AD62E2" w:rsidRPr="002F16A1">
        <w:rPr>
          <w:noProof/>
        </w:rPr>
        <w:t>ewnić spójne ramy na potrzeby zawierania przyszłych partnerstw, państwa członkowskie</w:t>
      </w:r>
      <w:r w:rsidR="0028384B" w:rsidRPr="002F16A1">
        <w:rPr>
          <w:noProof/>
        </w:rPr>
        <w:t xml:space="preserve"> i</w:t>
      </w:r>
      <w:r w:rsidR="0028384B">
        <w:rPr>
          <w:noProof/>
        </w:rPr>
        <w:t> </w:t>
      </w:r>
      <w:r w:rsidR="0028384B" w:rsidRPr="002F16A1">
        <w:rPr>
          <w:noProof/>
        </w:rPr>
        <w:t>Kom</w:t>
      </w:r>
      <w:r w:rsidR="00AD62E2" w:rsidRPr="002F16A1">
        <w:rPr>
          <w:noProof/>
        </w:rPr>
        <w:t>isja powinny, jako część swojej interakcji</w:t>
      </w:r>
      <w:r w:rsidR="0028384B" w:rsidRPr="002F16A1">
        <w:rPr>
          <w:noProof/>
        </w:rPr>
        <w:t xml:space="preserve"> w</w:t>
      </w:r>
      <w:r w:rsidR="0028384B">
        <w:rPr>
          <w:noProof/>
        </w:rPr>
        <w:t> </w:t>
      </w:r>
      <w:r w:rsidR="0028384B" w:rsidRPr="002F16A1">
        <w:rPr>
          <w:noProof/>
        </w:rPr>
        <w:t>Rad</w:t>
      </w:r>
      <w:r w:rsidR="00AD62E2" w:rsidRPr="002F16A1">
        <w:rPr>
          <w:noProof/>
        </w:rPr>
        <w:t>zie ds. Surowców Krytycznych, omówić kwestię koordynacji</w:t>
      </w:r>
      <w:r w:rsidR="0028384B" w:rsidRPr="002F16A1">
        <w:rPr>
          <w:noProof/>
        </w:rPr>
        <w:t xml:space="preserve"> i</w:t>
      </w:r>
      <w:r w:rsidR="0028384B">
        <w:rPr>
          <w:noProof/>
        </w:rPr>
        <w:t> </w:t>
      </w:r>
      <w:r w:rsidR="0028384B" w:rsidRPr="002F16A1">
        <w:rPr>
          <w:noProof/>
        </w:rPr>
        <w:t>zap</w:t>
      </w:r>
      <w:r w:rsidR="00AD62E2" w:rsidRPr="002F16A1">
        <w:rPr>
          <w:noProof/>
        </w:rPr>
        <w:t>ewnić jej funkcjonowanie</w:t>
      </w:r>
      <w:r w:rsidR="0028384B" w:rsidRPr="002F16A1">
        <w:rPr>
          <w:noProof/>
        </w:rPr>
        <w:t xml:space="preserve"> w</w:t>
      </w:r>
      <w:r w:rsidR="0028384B">
        <w:rPr>
          <w:noProof/>
        </w:rPr>
        <w:t> </w:t>
      </w:r>
      <w:r w:rsidR="0028384B" w:rsidRPr="002F16A1">
        <w:rPr>
          <w:noProof/>
        </w:rPr>
        <w:t>kwe</w:t>
      </w:r>
      <w:r w:rsidR="00AD62E2" w:rsidRPr="002F16A1">
        <w:rPr>
          <w:noProof/>
        </w:rPr>
        <w:t>stii m.in. tego, czy istniejące partnerstwa osiągają zamierzone cele, określania priorytetowych państw trzecich na potrzeby nowych partnerstw, treści takich partnerstw oraz ich spójności</w:t>
      </w:r>
      <w:r w:rsidR="0028384B" w:rsidRPr="002F16A1">
        <w:rPr>
          <w:noProof/>
        </w:rPr>
        <w:t xml:space="preserve"> i</w:t>
      </w:r>
      <w:r w:rsidR="0028384B">
        <w:rPr>
          <w:noProof/>
        </w:rPr>
        <w:t> </w:t>
      </w:r>
      <w:r w:rsidR="0028384B" w:rsidRPr="002F16A1">
        <w:rPr>
          <w:noProof/>
        </w:rPr>
        <w:t>pot</w:t>
      </w:r>
      <w:r w:rsidR="00AD62E2" w:rsidRPr="002F16A1">
        <w:rPr>
          <w:noProof/>
        </w:rPr>
        <w:t>encjalnych synergii</w:t>
      </w:r>
      <w:r w:rsidR="0028384B" w:rsidRPr="002F16A1">
        <w:rPr>
          <w:noProof/>
        </w:rPr>
        <w:t xml:space="preserve"> w</w:t>
      </w:r>
      <w:r w:rsidR="0028384B">
        <w:rPr>
          <w:noProof/>
        </w:rPr>
        <w:t> </w:t>
      </w:r>
      <w:r w:rsidR="0028384B" w:rsidRPr="002F16A1">
        <w:rPr>
          <w:noProof/>
        </w:rPr>
        <w:t>kon</w:t>
      </w:r>
      <w:r w:rsidR="00AD62E2" w:rsidRPr="002F16A1">
        <w:rPr>
          <w:noProof/>
        </w:rPr>
        <w:t>tekście dwustronnej współpracy państw członkowskich</w:t>
      </w:r>
      <w:r w:rsidR="0028384B" w:rsidRPr="002F16A1">
        <w:rPr>
          <w:noProof/>
        </w:rPr>
        <w:t xml:space="preserve"> z</w:t>
      </w:r>
      <w:r w:rsidR="0028384B">
        <w:rPr>
          <w:noProof/>
        </w:rPr>
        <w:t> </w:t>
      </w:r>
      <w:r w:rsidR="0028384B" w:rsidRPr="002F16A1">
        <w:rPr>
          <w:noProof/>
        </w:rPr>
        <w:t>odp</w:t>
      </w:r>
      <w:r w:rsidR="00AD62E2" w:rsidRPr="002F16A1">
        <w:rPr>
          <w:noProof/>
        </w:rPr>
        <w:t>owiednimi państwami trzecimi. Unia powinna dążyć do zawierania obustronnie korzystnych partnerstw</w:t>
      </w:r>
      <w:r w:rsidR="0028384B" w:rsidRPr="002F16A1">
        <w:rPr>
          <w:noProof/>
        </w:rPr>
        <w:t xml:space="preserve"> z</w:t>
      </w:r>
      <w:r w:rsidR="0028384B">
        <w:rPr>
          <w:noProof/>
        </w:rPr>
        <w:t> </w:t>
      </w:r>
      <w:r w:rsidR="0028384B" w:rsidRPr="002F16A1">
        <w:rPr>
          <w:noProof/>
        </w:rPr>
        <w:t>gos</w:t>
      </w:r>
      <w:r w:rsidR="00AD62E2" w:rsidRPr="002F16A1">
        <w:rPr>
          <w:noProof/>
        </w:rPr>
        <w:t>podarkami rynków wschodzących</w:t>
      </w:r>
      <w:r w:rsidR="0028384B" w:rsidRPr="002F16A1">
        <w:rPr>
          <w:noProof/>
        </w:rPr>
        <w:t xml:space="preserve"> i</w:t>
      </w:r>
      <w:r w:rsidR="0028384B">
        <w:rPr>
          <w:noProof/>
        </w:rPr>
        <w:t> </w:t>
      </w:r>
      <w:r w:rsidR="0028384B" w:rsidRPr="002F16A1">
        <w:rPr>
          <w:noProof/>
        </w:rPr>
        <w:t>gos</w:t>
      </w:r>
      <w:r w:rsidR="00AD62E2" w:rsidRPr="002F16A1">
        <w:rPr>
          <w:noProof/>
        </w:rPr>
        <w:t>podarkami rozwijającymi się,</w:t>
      </w:r>
      <w:r w:rsidR="0028384B" w:rsidRPr="002F16A1">
        <w:rPr>
          <w:noProof/>
        </w:rPr>
        <w:t xml:space="preserve"> z</w:t>
      </w:r>
      <w:r w:rsidR="0028384B">
        <w:rPr>
          <w:noProof/>
        </w:rPr>
        <w:t> </w:t>
      </w:r>
      <w:r w:rsidR="0028384B" w:rsidRPr="002F16A1">
        <w:rPr>
          <w:noProof/>
        </w:rPr>
        <w:t>zac</w:t>
      </w:r>
      <w:r w:rsidR="00AD62E2" w:rsidRPr="002F16A1">
        <w:rPr>
          <w:noProof/>
        </w:rPr>
        <w:t>howaniem zgodności ze swoją strategią Global Gateway, które to partnerstwa przyczyniałyby się do dywersyfikacji jej łańcucha dostaw surowców, jak również zwiększałyby wartość dodaną produkcji</w:t>
      </w:r>
      <w:r w:rsidR="0028384B" w:rsidRPr="002F16A1">
        <w:rPr>
          <w:noProof/>
        </w:rPr>
        <w:t xml:space="preserve"> w</w:t>
      </w:r>
      <w:r w:rsidR="0028384B">
        <w:rPr>
          <w:noProof/>
        </w:rPr>
        <w:t> </w:t>
      </w:r>
      <w:r w:rsidR="0028384B" w:rsidRPr="002F16A1">
        <w:rPr>
          <w:noProof/>
        </w:rPr>
        <w:t>tyc</w:t>
      </w:r>
      <w:r w:rsidR="00AD62E2" w:rsidRPr="002F16A1">
        <w:rPr>
          <w:noProof/>
        </w:rPr>
        <w:t>h państwach.</w:t>
      </w:r>
    </w:p>
    <w:p w:rsidR="00AD62E2" w:rsidRPr="002F16A1" w:rsidRDefault="00733965" w:rsidP="00733965">
      <w:pPr>
        <w:pStyle w:val="ManualConsidrant"/>
        <w:rPr>
          <w:noProof/>
        </w:rPr>
      </w:pPr>
      <w:r w:rsidRPr="00733965">
        <w:t>(55)</w:t>
      </w:r>
      <w:r w:rsidRPr="00733965">
        <w:tab/>
      </w:r>
      <w:r w:rsidR="00AD62E2" w:rsidRPr="002F16A1">
        <w:rPr>
          <w:noProof/>
        </w:rPr>
        <w:t>Należy ustanowić Europejską Radę ds. Surowców Krytycznych, aby wspierała realizację zadań dotyczących opracowywania projektów strategicznych</w:t>
      </w:r>
      <w:r w:rsidR="0028384B" w:rsidRPr="002F16A1">
        <w:rPr>
          <w:noProof/>
        </w:rPr>
        <w:t xml:space="preserve"> i</w:t>
      </w:r>
      <w:r w:rsidR="0028384B">
        <w:rPr>
          <w:noProof/>
        </w:rPr>
        <w:t> </w:t>
      </w:r>
      <w:r w:rsidR="0028384B" w:rsidRPr="002F16A1">
        <w:rPr>
          <w:noProof/>
        </w:rPr>
        <w:t>ich</w:t>
      </w:r>
      <w:r w:rsidR="00AD62E2" w:rsidRPr="002F16A1">
        <w:rPr>
          <w:noProof/>
        </w:rPr>
        <w:t xml:space="preserve"> finansowania, programów poszukiwań, monitorowania zdolności lub zapasów strategicznych oraz aby odpowiednio doradzała Komisji</w:t>
      </w:r>
      <w:r w:rsidR="0028384B" w:rsidRPr="0028384B">
        <w:rPr>
          <w:noProof/>
        </w:rPr>
        <w:t>. W</w:t>
      </w:r>
      <w:r w:rsidR="0028384B">
        <w:rPr>
          <w:noProof/>
        </w:rPr>
        <w:t> </w:t>
      </w:r>
      <w:r w:rsidR="0028384B" w:rsidRPr="002F16A1">
        <w:rPr>
          <w:noProof/>
        </w:rPr>
        <w:t>skł</w:t>
      </w:r>
      <w:r w:rsidR="00AD62E2" w:rsidRPr="002F16A1">
        <w:rPr>
          <w:noProof/>
        </w:rPr>
        <w:t>ad tej Rady powinny wchodzić państwa członkowskie oraz Komisja, przy czym należy zapewnić możliwość uczestnictwa innych stron</w:t>
      </w:r>
      <w:r w:rsidR="0028384B" w:rsidRPr="002F16A1">
        <w:rPr>
          <w:noProof/>
        </w:rPr>
        <w:t xml:space="preserve"> w</w:t>
      </w:r>
      <w:r w:rsidR="0028384B">
        <w:rPr>
          <w:noProof/>
        </w:rPr>
        <w:t> </w:t>
      </w:r>
      <w:r w:rsidR="0028384B" w:rsidRPr="002F16A1">
        <w:rPr>
          <w:noProof/>
        </w:rPr>
        <w:t>cha</w:t>
      </w:r>
      <w:r w:rsidR="00AD62E2" w:rsidRPr="002F16A1">
        <w:rPr>
          <w:noProof/>
        </w:rPr>
        <w:t>rakterze obserwatorów. Aby rozwijać wiedzę fachową niezbędną do realizacji niektórych zadań, Rada ta powinna ustanowić stałe podgrupy ds. finansowania, poszukiwania, monitorowania</w:t>
      </w:r>
      <w:r w:rsidR="0028384B" w:rsidRPr="002F16A1">
        <w:rPr>
          <w:noProof/>
        </w:rPr>
        <w:t xml:space="preserve"> i</w:t>
      </w:r>
      <w:r w:rsidR="0028384B">
        <w:rPr>
          <w:noProof/>
        </w:rPr>
        <w:t> </w:t>
      </w:r>
      <w:r w:rsidR="0028384B" w:rsidRPr="002F16A1">
        <w:rPr>
          <w:noProof/>
        </w:rPr>
        <w:t>zap</w:t>
      </w:r>
      <w:r w:rsidR="00AD62E2" w:rsidRPr="002F16A1">
        <w:rPr>
          <w:noProof/>
        </w:rPr>
        <w:t>asów strategicznych, które to podgrupy powinny działać jako sieć, skupiając poszczególne odpowiednie organy krajowe,</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raz</w:t>
      </w:r>
      <w:r w:rsidR="00AD62E2" w:rsidRPr="002F16A1">
        <w:rPr>
          <w:noProof/>
        </w:rPr>
        <w:t>ie konieczności konsultować się</w:t>
      </w:r>
      <w:r w:rsidR="0028384B" w:rsidRPr="002F16A1">
        <w:rPr>
          <w:noProof/>
        </w:rPr>
        <w:t xml:space="preserve"> z</w:t>
      </w:r>
      <w:r w:rsidR="0028384B">
        <w:rPr>
          <w:noProof/>
        </w:rPr>
        <w:t> </w:t>
      </w:r>
      <w:r w:rsidR="0028384B" w:rsidRPr="002F16A1">
        <w:rPr>
          <w:noProof/>
        </w:rPr>
        <w:t>prz</w:t>
      </w:r>
      <w:r w:rsidR="00AD62E2" w:rsidRPr="002F16A1">
        <w:rPr>
          <w:noProof/>
        </w:rPr>
        <w:t>edstawicielami przemysłu, środowisk akademickich, społeczeństwa obywatelskiego oraz innymi stosownymi zainteresowanymi stronami. Porady</w:t>
      </w:r>
      <w:r w:rsidR="0028384B" w:rsidRPr="002F16A1">
        <w:rPr>
          <w:noProof/>
        </w:rPr>
        <w:t xml:space="preserve"> i</w:t>
      </w:r>
      <w:r w:rsidR="0028384B">
        <w:rPr>
          <w:noProof/>
        </w:rPr>
        <w:t> </w:t>
      </w:r>
      <w:r w:rsidR="0028384B" w:rsidRPr="002F16A1">
        <w:rPr>
          <w:noProof/>
        </w:rPr>
        <w:t>opi</w:t>
      </w:r>
      <w:r w:rsidR="00AD62E2" w:rsidRPr="002F16A1">
        <w:rPr>
          <w:noProof/>
        </w:rPr>
        <w:t>nie Europejskiej Rady ds. Surowców Krytycznych nie powinny być wiążące,</w:t>
      </w:r>
      <w:r w:rsidR="0028384B" w:rsidRPr="002F16A1">
        <w:rPr>
          <w:noProof/>
        </w:rPr>
        <w:t xml:space="preserve"> a</w:t>
      </w:r>
      <w:r w:rsidR="0028384B">
        <w:rPr>
          <w:noProof/>
        </w:rPr>
        <w:t> </w:t>
      </w:r>
      <w:r w:rsidR="0028384B" w:rsidRPr="002F16A1">
        <w:rPr>
          <w:noProof/>
        </w:rPr>
        <w:t>bra</w:t>
      </w:r>
      <w:r w:rsidR="00AD62E2" w:rsidRPr="002F16A1">
        <w:rPr>
          <w:noProof/>
        </w:rPr>
        <w:t>k takiej porady lub opinii nie powinien powstrzymywać Komisji przed wykonywaniem swoich zadań wynikających</w:t>
      </w:r>
      <w:r w:rsidR="0028384B" w:rsidRPr="002F16A1">
        <w:rPr>
          <w:noProof/>
        </w:rPr>
        <w:t xml:space="preserve"> z</w:t>
      </w:r>
      <w:r w:rsidR="0028384B">
        <w:rPr>
          <w:noProof/>
        </w:rPr>
        <w:t> </w:t>
      </w:r>
      <w:r w:rsidR="0028384B" w:rsidRPr="002F16A1">
        <w:rPr>
          <w:noProof/>
        </w:rPr>
        <w:t>nin</w:t>
      </w:r>
      <w:r w:rsidR="00AD62E2" w:rsidRPr="002F16A1">
        <w:rPr>
          <w:noProof/>
        </w:rPr>
        <w:t>iejszego rozporządzenia.</w:t>
      </w:r>
    </w:p>
    <w:p w:rsidR="00AD62E2" w:rsidRPr="002F16A1" w:rsidRDefault="00733965" w:rsidP="00733965">
      <w:pPr>
        <w:pStyle w:val="ManualConsidrant"/>
        <w:rPr>
          <w:noProof/>
        </w:rPr>
      </w:pPr>
      <w:r w:rsidRPr="00733965">
        <w:t>(56)</w:t>
      </w:r>
      <w:r w:rsidRPr="00733965">
        <w:tab/>
      </w:r>
      <w:r w:rsidR="00AD62E2" w:rsidRPr="002F16A1">
        <w:rPr>
          <w:noProof/>
        </w:rPr>
        <w:t>Brak postępów</w:t>
      </w:r>
      <w:r w:rsidR="0028384B" w:rsidRPr="002F16A1">
        <w:rPr>
          <w:noProof/>
        </w:rPr>
        <w:t xml:space="preserve"> w</w:t>
      </w:r>
      <w:r w:rsidR="0028384B">
        <w:rPr>
          <w:noProof/>
        </w:rPr>
        <w:t> </w:t>
      </w:r>
      <w:r w:rsidR="0028384B" w:rsidRPr="002F16A1">
        <w:rPr>
          <w:noProof/>
        </w:rPr>
        <w:t>rea</w:t>
      </w:r>
      <w:r w:rsidR="00AD62E2" w:rsidRPr="002F16A1">
        <w:rPr>
          <w:noProof/>
        </w:rPr>
        <w:t>lizacji celów,</w:t>
      </w:r>
      <w:r w:rsidR="0028384B" w:rsidRPr="002F16A1">
        <w:rPr>
          <w:noProof/>
        </w:rPr>
        <w:t xml:space="preserve"> w</w:t>
      </w:r>
      <w:r w:rsidR="0028384B">
        <w:rPr>
          <w:noProof/>
        </w:rPr>
        <w:t> </w:t>
      </w:r>
      <w:r w:rsidR="0028384B" w:rsidRPr="002F16A1">
        <w:rPr>
          <w:noProof/>
        </w:rPr>
        <w:t>tym w</w:t>
      </w:r>
      <w:r w:rsidR="0028384B">
        <w:rPr>
          <w:noProof/>
        </w:rPr>
        <w:t> </w:t>
      </w:r>
      <w:r w:rsidR="0028384B" w:rsidRPr="002F16A1">
        <w:rPr>
          <w:noProof/>
        </w:rPr>
        <w:t>zak</w:t>
      </w:r>
      <w:r w:rsidR="00AD62E2" w:rsidRPr="002F16A1">
        <w:rPr>
          <w:noProof/>
        </w:rPr>
        <w:t>resie wskaźników referencyjnych dotyczących wydajności</w:t>
      </w:r>
      <w:r w:rsidR="0028384B" w:rsidRPr="002F16A1">
        <w:rPr>
          <w:noProof/>
        </w:rPr>
        <w:t xml:space="preserve"> i</w:t>
      </w:r>
      <w:r w:rsidR="0028384B">
        <w:rPr>
          <w:noProof/>
        </w:rPr>
        <w:t> </w:t>
      </w:r>
      <w:r w:rsidR="0028384B" w:rsidRPr="002F16A1">
        <w:rPr>
          <w:noProof/>
        </w:rPr>
        <w:t>dyw</w:t>
      </w:r>
      <w:r w:rsidR="00AD62E2" w:rsidRPr="002F16A1">
        <w:rPr>
          <w:noProof/>
        </w:rPr>
        <w:t>ersyfikacji, może wskazywać, że należy przyjąć dodatkowe środki. Komisja powinna zatem monitorować postępy</w:t>
      </w:r>
      <w:r w:rsidR="0028384B" w:rsidRPr="002F16A1">
        <w:rPr>
          <w:noProof/>
        </w:rPr>
        <w:t xml:space="preserve"> w</w:t>
      </w:r>
      <w:r w:rsidR="0028384B">
        <w:rPr>
          <w:noProof/>
        </w:rPr>
        <w:t> </w:t>
      </w:r>
      <w:r w:rsidR="0028384B" w:rsidRPr="002F16A1">
        <w:rPr>
          <w:noProof/>
        </w:rPr>
        <w:t>rea</w:t>
      </w:r>
      <w:r w:rsidR="00AD62E2" w:rsidRPr="002F16A1">
        <w:rPr>
          <w:noProof/>
        </w:rPr>
        <w:t>lizacji przedmiotowych celów.</w:t>
      </w:r>
    </w:p>
    <w:p w:rsidR="00AD62E2" w:rsidRPr="002F16A1" w:rsidRDefault="00733965" w:rsidP="00733965">
      <w:pPr>
        <w:pStyle w:val="ManualConsidrant"/>
        <w:rPr>
          <w:noProof/>
        </w:rPr>
      </w:pPr>
      <w:r w:rsidRPr="00733965">
        <w:t>(57)</w:t>
      </w:r>
      <w:r w:rsidRPr="00733965">
        <w:tab/>
      </w:r>
      <w:r w:rsidR="00AD62E2" w:rsidRPr="002F16A1">
        <w:rPr>
          <w:noProof/>
        </w:rPr>
        <w:t>Aby obciążenia administracyjne nakładane na państwa członkowskie utrzymać na jak najniższym poziomie, należy usprawnić poszczególne obowiązki sprawozdawcze,</w:t>
      </w:r>
      <w:r w:rsidR="0028384B" w:rsidRPr="002F16A1">
        <w:rPr>
          <w:noProof/>
        </w:rPr>
        <w:t xml:space="preserve"> a</w:t>
      </w:r>
      <w:r w:rsidR="0028384B">
        <w:rPr>
          <w:noProof/>
        </w:rPr>
        <w:t> </w:t>
      </w:r>
      <w:r w:rsidR="0028384B" w:rsidRPr="002F16A1">
        <w:rPr>
          <w:noProof/>
        </w:rPr>
        <w:t>Kom</w:t>
      </w:r>
      <w:r w:rsidR="00AD62E2" w:rsidRPr="002F16A1">
        <w:rPr>
          <w:noProof/>
        </w:rPr>
        <w:t>isja powinna opracować wzór umożliwiający państwom członkowskim wypełnianie swoich obowiązków sprawozdawczych dotyczących projektów, poszukiwania, monitorowania lub zapasów strategicznych</w:t>
      </w:r>
      <w:r w:rsidR="0028384B" w:rsidRPr="002F16A1">
        <w:rPr>
          <w:noProof/>
        </w:rPr>
        <w:t xml:space="preserve"> w</w:t>
      </w:r>
      <w:r w:rsidR="0028384B">
        <w:rPr>
          <w:noProof/>
        </w:rPr>
        <w:t> </w:t>
      </w:r>
      <w:r w:rsidR="0028384B" w:rsidRPr="002F16A1">
        <w:rPr>
          <w:noProof/>
        </w:rPr>
        <w:t>ram</w:t>
      </w:r>
      <w:r w:rsidR="00AD62E2" w:rsidRPr="002F16A1">
        <w:rPr>
          <w:noProof/>
        </w:rPr>
        <w:t>ach publikowanego regularnie jednolitego dokumentu, który może być poufny lub zastrzeżony.</w:t>
      </w:r>
    </w:p>
    <w:p w:rsidR="00AD62E2" w:rsidRPr="002F16A1" w:rsidRDefault="00733965" w:rsidP="00733965">
      <w:pPr>
        <w:pStyle w:val="ManualConsidrant"/>
        <w:rPr>
          <w:noProof/>
        </w:rPr>
      </w:pPr>
      <w:r w:rsidRPr="00733965">
        <w:t>(58)</w:t>
      </w:r>
      <w:r w:rsidRPr="00733965">
        <w:tab/>
      </w:r>
      <w:r w:rsidR="00AD62E2" w:rsidRPr="002F16A1">
        <w:rPr>
          <w:noProof/>
        </w:rPr>
        <w:t>W celu zapewnienia opartej na zaufaniu</w:t>
      </w:r>
      <w:r w:rsidR="0028384B" w:rsidRPr="002F16A1">
        <w:rPr>
          <w:noProof/>
        </w:rPr>
        <w:t xml:space="preserve"> i</w:t>
      </w:r>
      <w:r w:rsidR="0028384B">
        <w:rPr>
          <w:noProof/>
        </w:rPr>
        <w:t> </w:t>
      </w:r>
      <w:r w:rsidR="0028384B" w:rsidRPr="002F16A1">
        <w:rPr>
          <w:noProof/>
        </w:rPr>
        <w:t>kon</w:t>
      </w:r>
      <w:r w:rsidR="00AD62E2" w:rsidRPr="002F16A1">
        <w:rPr>
          <w:noProof/>
        </w:rPr>
        <w:t>struktywnej współpracy właściwych organów na szczeblu unijnym</w:t>
      </w:r>
      <w:r w:rsidR="0028384B" w:rsidRPr="002F16A1">
        <w:rPr>
          <w:noProof/>
        </w:rPr>
        <w:t xml:space="preserve"> i</w:t>
      </w:r>
      <w:r w:rsidR="0028384B">
        <w:rPr>
          <w:noProof/>
        </w:rPr>
        <w:t> </w:t>
      </w:r>
      <w:r w:rsidR="0028384B" w:rsidRPr="002F16A1">
        <w:rPr>
          <w:noProof/>
        </w:rPr>
        <w:t>kra</w:t>
      </w:r>
      <w:r w:rsidR="00AD62E2" w:rsidRPr="002F16A1">
        <w:rPr>
          <w:noProof/>
        </w:rPr>
        <w:t>jowym wszystkie strony zaangażowane</w:t>
      </w:r>
      <w:r w:rsidR="0028384B" w:rsidRPr="002F16A1">
        <w:rPr>
          <w:noProof/>
        </w:rPr>
        <w:t xml:space="preserve"> w</w:t>
      </w:r>
      <w:r w:rsidR="0028384B">
        <w:rPr>
          <w:noProof/>
        </w:rPr>
        <w:t> </w:t>
      </w:r>
      <w:r w:rsidR="0028384B" w:rsidRPr="002F16A1">
        <w:rPr>
          <w:noProof/>
        </w:rPr>
        <w:t>sto</w:t>
      </w:r>
      <w:r w:rsidR="00AD62E2" w:rsidRPr="002F16A1">
        <w:rPr>
          <w:noProof/>
        </w:rPr>
        <w:t>sowanie niniejszego rozporządzenia powinny przestrzegać zasady poufności informacji</w:t>
      </w:r>
      <w:r w:rsidR="0028384B" w:rsidRPr="002F16A1">
        <w:rPr>
          <w:noProof/>
        </w:rPr>
        <w:t xml:space="preserve"> i</w:t>
      </w:r>
      <w:r w:rsidR="0028384B">
        <w:rPr>
          <w:noProof/>
        </w:rPr>
        <w:t> </w:t>
      </w:r>
      <w:r w:rsidR="0028384B" w:rsidRPr="002F16A1">
        <w:rPr>
          <w:noProof/>
        </w:rPr>
        <w:t>dan</w:t>
      </w:r>
      <w:r w:rsidR="00AD62E2" w:rsidRPr="002F16A1">
        <w:rPr>
          <w:noProof/>
        </w:rPr>
        <w:t>ych uzyskanych podczas wykonywania swoich zadań. Komisja oraz właściwe organy krajowe, ich urzędnicy, urzędnicy służby cywilnej</w:t>
      </w:r>
      <w:r w:rsidR="0028384B" w:rsidRPr="002F16A1">
        <w:rPr>
          <w:noProof/>
        </w:rPr>
        <w:t xml:space="preserve"> i</w:t>
      </w:r>
      <w:r w:rsidR="0028384B">
        <w:rPr>
          <w:noProof/>
        </w:rPr>
        <w:t> </w:t>
      </w:r>
      <w:r w:rsidR="0028384B" w:rsidRPr="002F16A1">
        <w:rPr>
          <w:noProof/>
        </w:rPr>
        <w:t>inn</w:t>
      </w:r>
      <w:r w:rsidR="00AD62E2" w:rsidRPr="002F16A1">
        <w:rPr>
          <w:noProof/>
        </w:rPr>
        <w:t>e osoby pracujące pod nadzorem tych organów,</w:t>
      </w:r>
      <w:r w:rsidR="0028384B" w:rsidRPr="002F16A1">
        <w:rPr>
          <w:noProof/>
        </w:rPr>
        <w:t xml:space="preserve"> a</w:t>
      </w:r>
      <w:r w:rsidR="0028384B">
        <w:rPr>
          <w:noProof/>
        </w:rPr>
        <w:t> </w:t>
      </w:r>
      <w:r w:rsidR="0028384B" w:rsidRPr="002F16A1">
        <w:rPr>
          <w:noProof/>
        </w:rPr>
        <w:t>tak</w:t>
      </w:r>
      <w:r w:rsidR="00AD62E2" w:rsidRPr="002F16A1">
        <w:rPr>
          <w:noProof/>
        </w:rPr>
        <w:t>że urzędnicy</w:t>
      </w:r>
      <w:r w:rsidR="0028384B" w:rsidRPr="002F16A1">
        <w:rPr>
          <w:noProof/>
        </w:rPr>
        <w:t xml:space="preserve"> i</w:t>
      </w:r>
      <w:r w:rsidR="0028384B">
        <w:rPr>
          <w:noProof/>
        </w:rPr>
        <w:t> </w:t>
      </w:r>
      <w:r w:rsidR="0028384B" w:rsidRPr="002F16A1">
        <w:rPr>
          <w:noProof/>
        </w:rPr>
        <w:t>urz</w:t>
      </w:r>
      <w:r w:rsidR="00AD62E2" w:rsidRPr="002F16A1">
        <w:rPr>
          <w:noProof/>
        </w:rPr>
        <w:t>ędnicy służby cywilnej innych organów państw członkowskich nie powinni ujawniać informacji zebranych lub wymienionych przez nich zgodnie</w:t>
      </w:r>
      <w:r w:rsidR="0028384B" w:rsidRPr="002F16A1">
        <w:rPr>
          <w:noProof/>
        </w:rPr>
        <w:t xml:space="preserve"> z</w:t>
      </w:r>
      <w:r w:rsidR="0028384B">
        <w:rPr>
          <w:noProof/>
        </w:rPr>
        <w:t> </w:t>
      </w:r>
      <w:r w:rsidR="0028384B" w:rsidRPr="002F16A1">
        <w:rPr>
          <w:noProof/>
        </w:rPr>
        <w:t>nin</w:t>
      </w:r>
      <w:r w:rsidR="00AD62E2" w:rsidRPr="002F16A1">
        <w:rPr>
          <w:noProof/>
        </w:rPr>
        <w:t>iejszym rozporządzeniem ani objętych obowiązkiem zachowania tajemnicy zawodowej. Powinno to mieć również zastosowanie do Europejskiej Rady ds. Surowców Krytycznych. Przetwarzanie</w:t>
      </w:r>
      <w:r w:rsidR="0028384B" w:rsidRPr="002F16A1">
        <w:rPr>
          <w:noProof/>
        </w:rPr>
        <w:t xml:space="preserve"> i</w:t>
      </w:r>
      <w:r w:rsidR="0028384B">
        <w:rPr>
          <w:noProof/>
        </w:rPr>
        <w:t> </w:t>
      </w:r>
      <w:r w:rsidR="0028384B" w:rsidRPr="002F16A1">
        <w:rPr>
          <w:noProof/>
        </w:rPr>
        <w:t>prz</w:t>
      </w:r>
      <w:r w:rsidR="00AD62E2" w:rsidRPr="002F16A1">
        <w:rPr>
          <w:noProof/>
        </w:rPr>
        <w:t>echowywanie danych powinno odbywać się</w:t>
      </w:r>
      <w:r w:rsidR="0028384B" w:rsidRPr="002F16A1">
        <w:rPr>
          <w:noProof/>
        </w:rPr>
        <w:t xml:space="preserve"> w</w:t>
      </w:r>
      <w:r w:rsidR="0028384B">
        <w:rPr>
          <w:noProof/>
        </w:rPr>
        <w:t> </w:t>
      </w:r>
      <w:r w:rsidR="0028384B" w:rsidRPr="002F16A1">
        <w:rPr>
          <w:noProof/>
        </w:rPr>
        <w:t>bez</w:t>
      </w:r>
      <w:r w:rsidR="00AD62E2" w:rsidRPr="002F16A1">
        <w:rPr>
          <w:noProof/>
        </w:rPr>
        <w:t>piecznym środowisku.</w:t>
      </w:r>
    </w:p>
    <w:p w:rsidR="00AD62E2" w:rsidRPr="002F16A1" w:rsidRDefault="00733965" w:rsidP="00733965">
      <w:pPr>
        <w:pStyle w:val="ManualConsidrant"/>
        <w:rPr>
          <w:noProof/>
        </w:rPr>
      </w:pPr>
      <w:r w:rsidRPr="00733965">
        <w:t>(59)</w:t>
      </w:r>
      <w:r w:rsidRPr="00733965">
        <w:tab/>
      </w:r>
      <w:r w:rsidR="00AD62E2" w:rsidRPr="002F16A1">
        <w:rPr>
          <w:noProof/>
        </w:rPr>
        <w:t>Podczas przyjmowania aktów delegowanych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2</w:t>
      </w:r>
      <w:r w:rsidR="00AD62E2" w:rsidRPr="002F16A1">
        <w:rPr>
          <w:noProof/>
        </w:rPr>
        <w:t>90 TFUE szczególnie ważne jest, aby</w:t>
      </w:r>
      <w:r w:rsidR="0028384B" w:rsidRPr="002F16A1">
        <w:rPr>
          <w:noProof/>
        </w:rPr>
        <w:t xml:space="preserve"> w</w:t>
      </w:r>
      <w:r w:rsidR="0028384B">
        <w:rPr>
          <w:noProof/>
        </w:rPr>
        <w:t> </w:t>
      </w:r>
      <w:r w:rsidR="0028384B" w:rsidRPr="002F16A1">
        <w:rPr>
          <w:noProof/>
        </w:rPr>
        <w:t>cza</w:t>
      </w:r>
      <w:r w:rsidR="00AD62E2" w:rsidRPr="002F16A1">
        <w:rPr>
          <w:noProof/>
        </w:rPr>
        <w:t>sie prac przygotowawczych Komisja prowadziła stosowne konsultacje,</w:t>
      </w:r>
      <w:r w:rsidR="0028384B" w:rsidRPr="002F16A1">
        <w:rPr>
          <w:noProof/>
        </w:rPr>
        <w:t xml:space="preserve"> w</w:t>
      </w:r>
      <w:r w:rsidR="0028384B">
        <w:rPr>
          <w:noProof/>
        </w:rPr>
        <w:t> </w:t>
      </w:r>
      <w:r w:rsidR="0028384B" w:rsidRPr="002F16A1">
        <w:rPr>
          <w:noProof/>
        </w:rPr>
        <w:t>tym</w:t>
      </w:r>
      <w:r w:rsidR="00AD62E2" w:rsidRPr="002F16A1">
        <w:rPr>
          <w:noProof/>
        </w:rPr>
        <w:t xml:space="preserve"> konsultacje na poziomie ekspertów, oraz by konsultacje te były prowadzone zgodnie</w:t>
      </w:r>
      <w:r w:rsidR="0028384B" w:rsidRPr="002F16A1">
        <w:rPr>
          <w:noProof/>
        </w:rPr>
        <w:t xml:space="preserve"> z</w:t>
      </w:r>
      <w:r w:rsidR="0028384B">
        <w:rPr>
          <w:noProof/>
        </w:rPr>
        <w:t> </w:t>
      </w:r>
      <w:r w:rsidR="0028384B" w:rsidRPr="002F16A1">
        <w:rPr>
          <w:noProof/>
        </w:rPr>
        <w:t>zas</w:t>
      </w:r>
      <w:r w:rsidR="00AD62E2" w:rsidRPr="002F16A1">
        <w:rPr>
          <w:noProof/>
        </w:rPr>
        <w:t>adami ustanowionymi</w:t>
      </w:r>
      <w:r w:rsidR="0028384B" w:rsidRPr="002F16A1">
        <w:rPr>
          <w:noProof/>
        </w:rPr>
        <w:t xml:space="preserve"> w</w:t>
      </w:r>
      <w:r w:rsidR="0028384B">
        <w:rPr>
          <w:noProof/>
        </w:rPr>
        <w:t> </w:t>
      </w:r>
      <w:r w:rsidR="0028384B" w:rsidRPr="002F16A1">
        <w:rPr>
          <w:noProof/>
        </w:rPr>
        <w:t>por</w:t>
      </w:r>
      <w:r w:rsidR="00AD62E2" w:rsidRPr="002F16A1">
        <w:rPr>
          <w:noProof/>
        </w:rPr>
        <w:t>ozumieniu międzyinstytucjonalnym</w:t>
      </w:r>
      <w:r w:rsidR="0028384B" w:rsidRPr="002F16A1">
        <w:rPr>
          <w:noProof/>
        </w:rPr>
        <w:t xml:space="preserve"> z</w:t>
      </w:r>
      <w:r w:rsidR="0028384B">
        <w:rPr>
          <w:noProof/>
        </w:rPr>
        <w:t> </w:t>
      </w:r>
      <w:r w:rsidR="0028384B" w:rsidRPr="002F16A1">
        <w:rPr>
          <w:noProof/>
        </w:rPr>
        <w:t>dni</w:t>
      </w:r>
      <w:r w:rsidR="00AD62E2" w:rsidRPr="002F16A1">
        <w:rPr>
          <w:noProof/>
        </w:rPr>
        <w:t>a 13 kwietnia 20</w:t>
      </w:r>
      <w:r w:rsidR="00AD62E2" w:rsidRPr="0028384B">
        <w:rPr>
          <w:noProof/>
        </w:rPr>
        <w:t>16</w:t>
      </w:r>
      <w:r w:rsidR="0028384B" w:rsidRPr="0028384B">
        <w:rPr>
          <w:noProof/>
        </w:rPr>
        <w:t> </w:t>
      </w:r>
      <w:r w:rsidR="00AD62E2" w:rsidRPr="0028384B">
        <w:rPr>
          <w:noProof/>
        </w:rPr>
        <w:t>r.</w:t>
      </w:r>
      <w:r w:rsidR="0028384B" w:rsidRPr="002F16A1">
        <w:rPr>
          <w:noProof/>
        </w:rPr>
        <w:t xml:space="preserve"> w</w:t>
      </w:r>
      <w:r w:rsidR="0028384B">
        <w:rPr>
          <w:noProof/>
        </w:rPr>
        <w:t> </w:t>
      </w:r>
      <w:r w:rsidR="0028384B" w:rsidRPr="002F16A1">
        <w:rPr>
          <w:noProof/>
        </w:rPr>
        <w:t>spr</w:t>
      </w:r>
      <w:r w:rsidR="00AD62E2" w:rsidRPr="002F16A1">
        <w:rPr>
          <w:noProof/>
        </w:rPr>
        <w:t>awie lepszego stanowienia prawa</w:t>
      </w:r>
      <w:r w:rsidR="00AD62E2" w:rsidRPr="002F16A1">
        <w:rPr>
          <w:rStyle w:val="FootnoteReference"/>
          <w:noProof/>
        </w:rPr>
        <w:footnoteReference w:id="48"/>
      </w:r>
      <w:r w:rsidR="0028384B" w:rsidRPr="002F16A1">
        <w:rPr>
          <w:noProof/>
        </w:rPr>
        <w:t>. W</w:t>
      </w:r>
      <w:r w:rsidR="0028384B">
        <w:rPr>
          <w:noProof/>
        </w:rPr>
        <w:t> </w:t>
      </w:r>
      <w:r w:rsidR="0028384B" w:rsidRPr="002F16A1">
        <w:rPr>
          <w:noProof/>
        </w:rPr>
        <w:t>szc</w:t>
      </w:r>
      <w:r w:rsidR="00AD62E2" w:rsidRPr="002F16A1">
        <w:rPr>
          <w:noProof/>
        </w:rPr>
        <w:t>zególności, aby zapewnić Parlamentowi Europejskiemu</w:t>
      </w:r>
      <w:r w:rsidR="0028384B" w:rsidRPr="002F16A1">
        <w:rPr>
          <w:noProof/>
        </w:rPr>
        <w:t xml:space="preserve"> i</w:t>
      </w:r>
      <w:r w:rsidR="0028384B">
        <w:rPr>
          <w:noProof/>
        </w:rPr>
        <w:t> </w:t>
      </w:r>
      <w:r w:rsidR="0028384B" w:rsidRPr="002F16A1">
        <w:rPr>
          <w:noProof/>
        </w:rPr>
        <w:t>Rad</w:t>
      </w:r>
      <w:r w:rsidR="00AD62E2" w:rsidRPr="002F16A1">
        <w:rPr>
          <w:noProof/>
        </w:rPr>
        <w:t>zie udział na równych zasadach</w:t>
      </w:r>
      <w:r w:rsidR="0028384B" w:rsidRPr="002F16A1">
        <w:rPr>
          <w:noProof/>
        </w:rPr>
        <w:t xml:space="preserve"> w</w:t>
      </w:r>
      <w:r w:rsidR="0028384B">
        <w:rPr>
          <w:noProof/>
        </w:rPr>
        <w:t> </w:t>
      </w:r>
      <w:r w:rsidR="0028384B" w:rsidRPr="002F16A1">
        <w:rPr>
          <w:noProof/>
        </w:rPr>
        <w:t>prz</w:t>
      </w:r>
      <w:r w:rsidR="00AD62E2" w:rsidRPr="002F16A1">
        <w:rPr>
          <w:noProof/>
        </w:rPr>
        <w:t>ygotowaniu aktów delegowanych, instytucje te otrzymują wszelkie dokumenty</w:t>
      </w:r>
      <w:r w:rsidR="0028384B" w:rsidRPr="002F16A1">
        <w:rPr>
          <w:noProof/>
        </w:rPr>
        <w:t xml:space="preserve"> w</w:t>
      </w:r>
      <w:r w:rsidR="0028384B">
        <w:rPr>
          <w:noProof/>
        </w:rPr>
        <w:t> </w:t>
      </w:r>
      <w:r w:rsidR="0028384B" w:rsidRPr="002F16A1">
        <w:rPr>
          <w:noProof/>
        </w:rPr>
        <w:t>tym</w:t>
      </w:r>
      <w:r w:rsidR="00AD62E2" w:rsidRPr="002F16A1">
        <w:rPr>
          <w:noProof/>
        </w:rPr>
        <w:t xml:space="preserve"> samym czasie co eksperci państw członkowskich,</w:t>
      </w:r>
      <w:r w:rsidR="0028384B" w:rsidRPr="002F16A1">
        <w:rPr>
          <w:noProof/>
        </w:rPr>
        <w:t xml:space="preserve"> a</w:t>
      </w:r>
      <w:r w:rsidR="0028384B">
        <w:rPr>
          <w:noProof/>
        </w:rPr>
        <w:t> </w:t>
      </w:r>
      <w:r w:rsidR="0028384B" w:rsidRPr="002F16A1">
        <w:rPr>
          <w:noProof/>
        </w:rPr>
        <w:t>eks</w:t>
      </w:r>
      <w:r w:rsidR="00AD62E2" w:rsidRPr="002F16A1">
        <w:rPr>
          <w:noProof/>
        </w:rPr>
        <w:t>perci tych instytucji mogą systematycznie brać udział</w:t>
      </w:r>
      <w:r w:rsidR="0028384B" w:rsidRPr="002F16A1">
        <w:rPr>
          <w:noProof/>
        </w:rPr>
        <w:t xml:space="preserve"> w</w:t>
      </w:r>
      <w:r w:rsidR="0028384B">
        <w:rPr>
          <w:noProof/>
        </w:rPr>
        <w:t> </w:t>
      </w:r>
      <w:r w:rsidR="0028384B" w:rsidRPr="002F16A1">
        <w:rPr>
          <w:noProof/>
        </w:rPr>
        <w:t>pos</w:t>
      </w:r>
      <w:r w:rsidR="00AD62E2" w:rsidRPr="002F16A1">
        <w:rPr>
          <w:noProof/>
        </w:rPr>
        <w:t>iedzeniach grup ekspertów Komisji zajmujących się przygotowaniem aktów delegowanych.</w:t>
      </w:r>
    </w:p>
    <w:p w:rsidR="00AD62E2" w:rsidRPr="002F16A1" w:rsidRDefault="00733965" w:rsidP="00733965">
      <w:pPr>
        <w:pStyle w:val="ManualConsidrant"/>
        <w:rPr>
          <w:noProof/>
        </w:rPr>
      </w:pPr>
      <w:r w:rsidRPr="00733965">
        <w:t>(60)</w:t>
      </w:r>
      <w:r w:rsidRPr="00733965">
        <w:tab/>
      </w:r>
      <w:r w:rsidR="00AD62E2" w:rsidRPr="002F16A1">
        <w:rPr>
          <w:noProof/>
        </w:rPr>
        <w:t>W celu zapewnienia jednolitych warunków wykonywania niniejszego rozporządzenia należy powierzyć Komisji uprawnienia wykonawcze</w:t>
      </w:r>
      <w:r w:rsidR="0028384B" w:rsidRPr="002F16A1">
        <w:rPr>
          <w:noProof/>
        </w:rPr>
        <w:t xml:space="preserve"> w</w:t>
      </w:r>
      <w:r w:rsidR="0028384B">
        <w:rPr>
          <w:noProof/>
        </w:rPr>
        <w:t> </w:t>
      </w:r>
      <w:r w:rsidR="0028384B" w:rsidRPr="002F16A1">
        <w:rPr>
          <w:noProof/>
        </w:rPr>
        <w:t>odn</w:t>
      </w:r>
      <w:r w:rsidR="00AD62E2" w:rsidRPr="002F16A1">
        <w:rPr>
          <w:noProof/>
        </w:rPr>
        <w:t>iesieniu do: a) określenia wzorów, które mają być stosowane na potrzeby składania wniosków</w:t>
      </w:r>
      <w:r w:rsidR="0028384B" w:rsidRPr="002F16A1">
        <w:rPr>
          <w:noProof/>
        </w:rPr>
        <w:t xml:space="preserve"> o</w:t>
      </w:r>
      <w:r w:rsidR="0028384B">
        <w:rPr>
          <w:noProof/>
        </w:rPr>
        <w:t> </w:t>
      </w:r>
      <w:r w:rsidR="0028384B" w:rsidRPr="002F16A1">
        <w:rPr>
          <w:noProof/>
        </w:rPr>
        <w:t>uzn</w:t>
      </w:r>
      <w:r w:rsidR="00AD62E2" w:rsidRPr="002F16A1">
        <w:rPr>
          <w:noProof/>
        </w:rPr>
        <w:t>anie projektów za projekty strategiczne, sprawozdań</w:t>
      </w:r>
      <w:r w:rsidR="0028384B" w:rsidRPr="002F16A1">
        <w:rPr>
          <w:noProof/>
        </w:rPr>
        <w:t xml:space="preserve"> z</w:t>
      </w:r>
      <w:r w:rsidR="0028384B">
        <w:rPr>
          <w:noProof/>
        </w:rPr>
        <w:t> </w:t>
      </w:r>
      <w:r w:rsidR="0028384B" w:rsidRPr="002F16A1">
        <w:rPr>
          <w:noProof/>
        </w:rPr>
        <w:t>pos</w:t>
      </w:r>
      <w:r w:rsidR="00AD62E2" w:rsidRPr="002F16A1">
        <w:rPr>
          <w:noProof/>
        </w:rPr>
        <w:t>tępów związanych</w:t>
      </w:r>
      <w:r w:rsidR="0028384B" w:rsidRPr="002F16A1">
        <w:rPr>
          <w:noProof/>
        </w:rPr>
        <w:t xml:space="preserve"> z</w:t>
      </w:r>
      <w:r w:rsidR="0028384B">
        <w:rPr>
          <w:noProof/>
        </w:rPr>
        <w:t> </w:t>
      </w:r>
      <w:r w:rsidR="0028384B" w:rsidRPr="002F16A1">
        <w:rPr>
          <w:noProof/>
        </w:rPr>
        <w:t>pro</w:t>
      </w:r>
      <w:r w:rsidR="00AD62E2" w:rsidRPr="002F16A1">
        <w:rPr>
          <w:noProof/>
        </w:rPr>
        <w:t>jektami strategicznymi, krajowych programów poszukiwań oraz sprawozdawczości państw członkowskich dotyczącej poszukiwań, monitorowania, zapasów strategicznych</w:t>
      </w:r>
      <w:r w:rsidR="0028384B" w:rsidRPr="002F16A1">
        <w:rPr>
          <w:noProof/>
        </w:rPr>
        <w:t xml:space="preserve"> i</w:t>
      </w:r>
      <w:r w:rsidR="0028384B">
        <w:rPr>
          <w:noProof/>
        </w:rPr>
        <w:t> </w:t>
      </w:r>
      <w:r w:rsidR="0028384B" w:rsidRPr="002F16A1">
        <w:rPr>
          <w:noProof/>
        </w:rPr>
        <w:t>obi</w:t>
      </w:r>
      <w:r w:rsidR="00AD62E2" w:rsidRPr="002F16A1">
        <w:rPr>
          <w:noProof/>
        </w:rPr>
        <w:t>egu zamkniętego; b) określenia, które produkty, komponenty</w:t>
      </w:r>
      <w:r w:rsidR="0028384B" w:rsidRPr="002F16A1">
        <w:rPr>
          <w:noProof/>
        </w:rPr>
        <w:t xml:space="preserve"> i</w:t>
      </w:r>
      <w:r w:rsidR="0028384B">
        <w:rPr>
          <w:noProof/>
        </w:rPr>
        <w:t> </w:t>
      </w:r>
      <w:r w:rsidR="0028384B" w:rsidRPr="002F16A1">
        <w:rPr>
          <w:noProof/>
        </w:rPr>
        <w:t>str</w:t>
      </w:r>
      <w:r w:rsidR="00AD62E2" w:rsidRPr="002F16A1">
        <w:rPr>
          <w:noProof/>
        </w:rPr>
        <w:t>umienie odpadów należy uznać za mające duży potencjał</w:t>
      </w:r>
      <w:r w:rsidR="0028384B" w:rsidRPr="002F16A1">
        <w:rPr>
          <w:noProof/>
        </w:rPr>
        <w:t xml:space="preserve"> w</w:t>
      </w:r>
      <w:r w:rsidR="0028384B">
        <w:rPr>
          <w:noProof/>
        </w:rPr>
        <w:t> </w:t>
      </w:r>
      <w:r w:rsidR="0028384B" w:rsidRPr="002F16A1">
        <w:rPr>
          <w:noProof/>
        </w:rPr>
        <w:t>zak</w:t>
      </w:r>
      <w:r w:rsidR="00AD62E2" w:rsidRPr="002F16A1">
        <w:rPr>
          <w:noProof/>
        </w:rPr>
        <w:t>resie odzysku surowców krytycznych; oraz c) ustalenia kryteriów</w:t>
      </w:r>
      <w:r w:rsidR="0028384B" w:rsidRPr="002F16A1">
        <w:rPr>
          <w:noProof/>
        </w:rPr>
        <w:t xml:space="preserve"> i</w:t>
      </w:r>
      <w:r w:rsidR="0028384B">
        <w:rPr>
          <w:noProof/>
        </w:rPr>
        <w:t> </w:t>
      </w:r>
      <w:r w:rsidR="0028384B" w:rsidRPr="002F16A1">
        <w:rPr>
          <w:noProof/>
        </w:rPr>
        <w:t>ich</w:t>
      </w:r>
      <w:r w:rsidR="00AD62E2" w:rsidRPr="002F16A1">
        <w:rPr>
          <w:noProof/>
        </w:rPr>
        <w:t xml:space="preserve"> zastosowania</w:t>
      </w:r>
      <w:r w:rsidR="0028384B" w:rsidRPr="002F16A1">
        <w:rPr>
          <w:noProof/>
        </w:rPr>
        <w:t xml:space="preserve"> w</w:t>
      </w:r>
      <w:r w:rsidR="0028384B">
        <w:rPr>
          <w:noProof/>
        </w:rPr>
        <w:t> </w:t>
      </w:r>
      <w:r w:rsidR="0028384B" w:rsidRPr="002F16A1">
        <w:rPr>
          <w:noProof/>
        </w:rPr>
        <w:t>odn</w:t>
      </w:r>
      <w:r w:rsidR="00AD62E2" w:rsidRPr="002F16A1">
        <w:rPr>
          <w:noProof/>
        </w:rPr>
        <w:t>iesieniu do uznawania systemów związanych ze zrównoważonym charakterem surowców krytycznych. Uprawnienia te powinny być wykonywane zgodnie</w:t>
      </w:r>
      <w:r w:rsidR="0028384B" w:rsidRPr="002F16A1">
        <w:rPr>
          <w:noProof/>
        </w:rPr>
        <w:t xml:space="preserve"> z</w:t>
      </w:r>
      <w:r w:rsidR="0028384B">
        <w:rPr>
          <w:noProof/>
        </w:rPr>
        <w:t> </w:t>
      </w:r>
      <w:r w:rsidR="0028384B" w:rsidRPr="002F16A1">
        <w:rPr>
          <w:noProof/>
        </w:rPr>
        <w:t>roz</w:t>
      </w:r>
      <w:r w:rsidR="00AD62E2" w:rsidRPr="002F16A1">
        <w:rPr>
          <w:noProof/>
        </w:rPr>
        <w:t>porządzeniem Parlamentu Europejskiego</w:t>
      </w:r>
      <w:r w:rsidR="0028384B" w:rsidRPr="002F16A1">
        <w:rPr>
          <w:noProof/>
        </w:rPr>
        <w:t xml:space="preserve"> i</w:t>
      </w:r>
      <w:r w:rsidR="0028384B">
        <w:rPr>
          <w:noProof/>
        </w:rPr>
        <w:t> </w:t>
      </w:r>
      <w:r w:rsidR="0028384B" w:rsidRPr="002F16A1">
        <w:rPr>
          <w:noProof/>
        </w:rPr>
        <w:t>Rad</w:t>
      </w:r>
      <w:r w:rsidR="00AD62E2" w:rsidRPr="002F16A1">
        <w:rPr>
          <w:noProof/>
        </w:rPr>
        <w:t xml:space="preserve">y (UE) </w:t>
      </w:r>
      <w:r w:rsidR="00AD62E2" w:rsidRPr="0028384B">
        <w:rPr>
          <w:noProof/>
        </w:rPr>
        <w:t>nr</w:t>
      </w:r>
      <w:r w:rsidR="0028384B" w:rsidRPr="0028384B">
        <w:rPr>
          <w:noProof/>
        </w:rPr>
        <w:t> </w:t>
      </w:r>
      <w:r w:rsidR="00AD62E2" w:rsidRPr="0028384B">
        <w:rPr>
          <w:noProof/>
        </w:rPr>
        <w:t>1</w:t>
      </w:r>
      <w:r w:rsidR="00AD62E2" w:rsidRPr="002F16A1">
        <w:rPr>
          <w:noProof/>
        </w:rPr>
        <w:t>82/2011</w:t>
      </w:r>
      <w:r w:rsidR="00AD62E2" w:rsidRPr="002F16A1">
        <w:rPr>
          <w:rStyle w:val="FootnoteReference"/>
          <w:noProof/>
        </w:rPr>
        <w:footnoteReference w:id="49"/>
      </w:r>
      <w:r w:rsidR="00AD62E2" w:rsidRPr="002F16A1">
        <w:rPr>
          <w:noProof/>
        </w:rPr>
        <w:t>.</w:t>
      </w:r>
    </w:p>
    <w:p w:rsidR="00AD62E2" w:rsidRPr="002F16A1" w:rsidRDefault="00733965" w:rsidP="00733965">
      <w:pPr>
        <w:pStyle w:val="ManualConsidrant"/>
        <w:rPr>
          <w:noProof/>
        </w:rPr>
      </w:pPr>
      <w:r w:rsidRPr="00733965">
        <w:t>(61)</w:t>
      </w:r>
      <w:r w:rsidRPr="00733965">
        <w:tab/>
      </w:r>
      <w:r w:rsidR="00AD62E2" w:rsidRPr="002F16A1">
        <w:rPr>
          <w:noProof/>
        </w:rPr>
        <w:t>W celu zapewnienia wypełniania zobowiązań nałożonych niniejszym rozporządzeniem,</w:t>
      </w:r>
      <w:r w:rsidR="0028384B" w:rsidRPr="002F16A1">
        <w:rPr>
          <w:noProof/>
        </w:rPr>
        <w:t xml:space="preserve"> w</w:t>
      </w:r>
      <w:r w:rsidR="0028384B">
        <w:rPr>
          <w:noProof/>
        </w:rPr>
        <w:t> </w:t>
      </w:r>
      <w:r w:rsidR="0028384B" w:rsidRPr="002F16A1">
        <w:rPr>
          <w:noProof/>
        </w:rPr>
        <w:t>szc</w:t>
      </w:r>
      <w:r w:rsidR="00AD62E2" w:rsidRPr="002F16A1">
        <w:rPr>
          <w:noProof/>
        </w:rPr>
        <w:t>zególności</w:t>
      </w:r>
      <w:r w:rsidR="0028384B" w:rsidRPr="002F16A1">
        <w:rPr>
          <w:noProof/>
        </w:rPr>
        <w:t xml:space="preserve"> w</w:t>
      </w:r>
      <w:r w:rsidR="0028384B">
        <w:rPr>
          <w:noProof/>
        </w:rPr>
        <w:t> </w:t>
      </w:r>
      <w:r w:rsidR="0028384B" w:rsidRPr="002F16A1">
        <w:rPr>
          <w:noProof/>
        </w:rPr>
        <w:t>odn</w:t>
      </w:r>
      <w:r w:rsidR="00AD62E2" w:rsidRPr="002F16A1">
        <w:rPr>
          <w:noProof/>
        </w:rPr>
        <w:t>iesieniu do zgodności</w:t>
      </w:r>
      <w:r w:rsidR="0028384B" w:rsidRPr="002F16A1">
        <w:rPr>
          <w:noProof/>
        </w:rPr>
        <w:t xml:space="preserve"> z</w:t>
      </w:r>
      <w:r w:rsidR="0028384B">
        <w:rPr>
          <w:noProof/>
        </w:rPr>
        <w:t> </w:t>
      </w:r>
      <w:r w:rsidR="0028384B" w:rsidRPr="002F16A1">
        <w:rPr>
          <w:noProof/>
        </w:rPr>
        <w:t>wym</w:t>
      </w:r>
      <w:r w:rsidR="00AD62E2" w:rsidRPr="002F16A1">
        <w:rPr>
          <w:noProof/>
        </w:rPr>
        <w:t>ogami dotyczącymi ekoprojektu, przedsiębiorstwa, które nie wypełniają swoich zobowiązań,</w:t>
      </w:r>
      <w:r w:rsidR="0028384B" w:rsidRPr="002F16A1">
        <w:rPr>
          <w:noProof/>
        </w:rPr>
        <w:t xml:space="preserve"> w</w:t>
      </w:r>
      <w:r w:rsidR="0028384B">
        <w:rPr>
          <w:noProof/>
        </w:rPr>
        <w:t> </w:t>
      </w:r>
      <w:r w:rsidR="0028384B" w:rsidRPr="002F16A1">
        <w:rPr>
          <w:noProof/>
        </w:rPr>
        <w:t>tym</w:t>
      </w:r>
      <w:r w:rsidR="00AD62E2" w:rsidRPr="002F16A1">
        <w:rPr>
          <w:noProof/>
        </w:rPr>
        <w:t xml:space="preserve"> dotyczących gotowości na wypadek zagrożeń, sprawozdawczości</w:t>
      </w:r>
      <w:r w:rsidR="0028384B" w:rsidRPr="002F16A1">
        <w:rPr>
          <w:noProof/>
        </w:rPr>
        <w:t xml:space="preserve"> w</w:t>
      </w:r>
      <w:r w:rsidR="0028384B">
        <w:rPr>
          <w:noProof/>
        </w:rPr>
        <w:t> </w:t>
      </w:r>
      <w:r w:rsidR="0028384B" w:rsidRPr="002F16A1">
        <w:rPr>
          <w:noProof/>
        </w:rPr>
        <w:t>spr</w:t>
      </w:r>
      <w:r w:rsidR="00AD62E2" w:rsidRPr="002F16A1">
        <w:rPr>
          <w:noProof/>
        </w:rPr>
        <w:t>awie projektu</w:t>
      </w:r>
      <w:r w:rsidR="0028384B" w:rsidRPr="002F16A1">
        <w:rPr>
          <w:noProof/>
        </w:rPr>
        <w:t xml:space="preserve"> i</w:t>
      </w:r>
      <w:r w:rsidR="0028384B">
        <w:rPr>
          <w:noProof/>
        </w:rPr>
        <w:t> </w:t>
      </w:r>
      <w:r w:rsidR="0028384B" w:rsidRPr="002F16A1">
        <w:rPr>
          <w:noProof/>
        </w:rPr>
        <w:t>inf</w:t>
      </w:r>
      <w:r w:rsidR="00AD62E2" w:rsidRPr="002F16A1">
        <w:rPr>
          <w:noProof/>
        </w:rPr>
        <w:t>ormacji na temat zdolności do recyklingu, powinny podlegać sankcjom. Konieczne jest zatem, aby państwa członkowskie ustanowiły</w:t>
      </w:r>
      <w:r w:rsidR="0028384B" w:rsidRPr="002F16A1">
        <w:rPr>
          <w:noProof/>
        </w:rPr>
        <w:t xml:space="preserve"> w</w:t>
      </w:r>
      <w:r w:rsidR="0028384B">
        <w:rPr>
          <w:noProof/>
        </w:rPr>
        <w:t> </w:t>
      </w:r>
      <w:r w:rsidR="0028384B" w:rsidRPr="002F16A1">
        <w:rPr>
          <w:noProof/>
        </w:rPr>
        <w:t>pra</w:t>
      </w:r>
      <w:r w:rsidR="00AD62E2" w:rsidRPr="002F16A1">
        <w:rPr>
          <w:noProof/>
        </w:rPr>
        <w:t>wie krajowym skuteczne, proporcjonalne</w:t>
      </w:r>
      <w:r w:rsidR="0028384B" w:rsidRPr="002F16A1">
        <w:rPr>
          <w:noProof/>
        </w:rPr>
        <w:t xml:space="preserve"> i</w:t>
      </w:r>
      <w:r w:rsidR="0028384B">
        <w:rPr>
          <w:noProof/>
        </w:rPr>
        <w:t> </w:t>
      </w:r>
      <w:r w:rsidR="0028384B" w:rsidRPr="002F16A1">
        <w:rPr>
          <w:noProof/>
        </w:rPr>
        <w:t>ods</w:t>
      </w:r>
      <w:r w:rsidR="00AD62E2" w:rsidRPr="002F16A1">
        <w:rPr>
          <w:noProof/>
        </w:rPr>
        <w:t>traszające sankcje</w:t>
      </w:r>
      <w:r w:rsidR="0028384B" w:rsidRPr="002F16A1">
        <w:rPr>
          <w:noProof/>
        </w:rPr>
        <w:t xml:space="preserve"> w</w:t>
      </w:r>
      <w:r w:rsidR="0028384B">
        <w:rPr>
          <w:noProof/>
        </w:rPr>
        <w:t> </w:t>
      </w:r>
      <w:r w:rsidR="0028384B" w:rsidRPr="002F16A1">
        <w:rPr>
          <w:noProof/>
        </w:rPr>
        <w:t>prz</w:t>
      </w:r>
      <w:r w:rsidR="00AD62E2" w:rsidRPr="002F16A1">
        <w:rPr>
          <w:noProof/>
        </w:rPr>
        <w:t>ypadku niespełnienia wymogów niniejszego rozporządzenia.</w:t>
      </w:r>
    </w:p>
    <w:p w:rsidR="00AD62E2" w:rsidRPr="002F16A1" w:rsidRDefault="00733965" w:rsidP="00733965">
      <w:pPr>
        <w:pStyle w:val="ManualConsidrant"/>
        <w:rPr>
          <w:noProof/>
        </w:rPr>
      </w:pPr>
      <w:r w:rsidRPr="00733965">
        <w:t>(62)</w:t>
      </w:r>
      <w:r w:rsidRPr="00733965">
        <w:tab/>
      </w:r>
      <w:r w:rsidR="00AD62E2" w:rsidRPr="002F16A1">
        <w:rPr>
          <w:noProof/>
        </w:rPr>
        <w:t>Komisja powinna przeprowadzić ocenę niniejszego rozporządzenia. Zgodnie</w:t>
      </w:r>
      <w:r w:rsidR="0028384B" w:rsidRPr="002F16A1">
        <w:rPr>
          <w:noProof/>
        </w:rPr>
        <w:t xml:space="preserve"> z</w:t>
      </w:r>
      <w:r w:rsidR="0028384B">
        <w:rPr>
          <w:noProof/>
        </w:rPr>
        <w:t> </w:t>
      </w:r>
      <w:r w:rsidR="0028384B" w:rsidRPr="0028384B">
        <w:rPr>
          <w:noProof/>
        </w:rPr>
        <w:t>pkt </w:t>
      </w:r>
      <w:r w:rsidR="00AD62E2" w:rsidRPr="0028384B">
        <w:rPr>
          <w:noProof/>
        </w:rPr>
        <w:t>2</w:t>
      </w:r>
      <w:r w:rsidR="00AD62E2" w:rsidRPr="002F16A1">
        <w:rPr>
          <w:noProof/>
        </w:rPr>
        <w:t>2 Porozumienia międzyinstytucjonalnego</w:t>
      </w:r>
      <w:r w:rsidR="0028384B" w:rsidRPr="002F16A1">
        <w:rPr>
          <w:noProof/>
        </w:rPr>
        <w:t xml:space="preserve"> w</w:t>
      </w:r>
      <w:r w:rsidR="0028384B">
        <w:rPr>
          <w:noProof/>
        </w:rPr>
        <w:t> </w:t>
      </w:r>
      <w:r w:rsidR="0028384B" w:rsidRPr="002F16A1">
        <w:rPr>
          <w:noProof/>
        </w:rPr>
        <w:t>spr</w:t>
      </w:r>
      <w:r w:rsidR="00AD62E2" w:rsidRPr="002F16A1">
        <w:rPr>
          <w:noProof/>
        </w:rPr>
        <w:t>awie lepszego stanowienia prawa ocena ta powinna opierać się na pięciu kryteriach: skuteczności, efektywności, odpowiedniości, spójności</w:t>
      </w:r>
      <w:r w:rsidR="0028384B" w:rsidRPr="002F16A1">
        <w:rPr>
          <w:noProof/>
        </w:rPr>
        <w:t xml:space="preserve"> i</w:t>
      </w:r>
      <w:r w:rsidR="0028384B">
        <w:rPr>
          <w:noProof/>
        </w:rPr>
        <w:t> </w:t>
      </w:r>
      <w:r w:rsidR="0028384B" w:rsidRPr="002F16A1">
        <w:rPr>
          <w:noProof/>
        </w:rPr>
        <w:t>uni</w:t>
      </w:r>
      <w:r w:rsidR="00AD62E2" w:rsidRPr="002F16A1">
        <w:rPr>
          <w:noProof/>
        </w:rPr>
        <w:t>jnej wartości dodanej oraz powinna służyć jako podstawa oceny skutków ewentualnych dalszych działań. Komisja powinna przedłożyć Parlamentowi Europejskiemu, Radzie</w:t>
      </w:r>
      <w:r w:rsidR="0028384B" w:rsidRPr="002F16A1">
        <w:rPr>
          <w:noProof/>
        </w:rPr>
        <w:t xml:space="preserve"> i</w:t>
      </w:r>
      <w:r w:rsidR="0028384B">
        <w:rPr>
          <w:noProof/>
        </w:rPr>
        <w:t> </w:t>
      </w:r>
      <w:r w:rsidR="0028384B" w:rsidRPr="002F16A1">
        <w:rPr>
          <w:noProof/>
        </w:rPr>
        <w:t>Eur</w:t>
      </w:r>
      <w:r w:rsidR="00AD62E2" w:rsidRPr="002F16A1">
        <w:rPr>
          <w:noProof/>
        </w:rPr>
        <w:t>opejskiemu Komitetowi Ekonomiczno-Społecznemu sprawozdanie</w:t>
      </w:r>
      <w:r w:rsidR="0028384B" w:rsidRPr="002F16A1">
        <w:rPr>
          <w:noProof/>
        </w:rPr>
        <w:t xml:space="preserve"> z</w:t>
      </w:r>
      <w:r w:rsidR="0028384B">
        <w:rPr>
          <w:noProof/>
        </w:rPr>
        <w:t> </w:t>
      </w:r>
      <w:r w:rsidR="0028384B" w:rsidRPr="002F16A1">
        <w:rPr>
          <w:noProof/>
        </w:rPr>
        <w:t>wyk</w:t>
      </w:r>
      <w:r w:rsidR="00AD62E2" w:rsidRPr="002F16A1">
        <w:rPr>
          <w:noProof/>
        </w:rPr>
        <w:t>onania niniejszego rozporządzenia</w:t>
      </w:r>
      <w:r w:rsidR="0028384B" w:rsidRPr="002F16A1">
        <w:rPr>
          <w:noProof/>
        </w:rPr>
        <w:t xml:space="preserve"> i</w:t>
      </w:r>
      <w:r w:rsidR="0028384B">
        <w:rPr>
          <w:noProof/>
        </w:rPr>
        <w:t> </w:t>
      </w:r>
      <w:r w:rsidR="0028384B" w:rsidRPr="002F16A1">
        <w:rPr>
          <w:noProof/>
        </w:rPr>
        <w:t>z</w:t>
      </w:r>
      <w:r w:rsidR="0028384B">
        <w:rPr>
          <w:noProof/>
        </w:rPr>
        <w:t> </w:t>
      </w:r>
      <w:r w:rsidR="0028384B" w:rsidRPr="002F16A1">
        <w:rPr>
          <w:noProof/>
        </w:rPr>
        <w:t>pos</w:t>
      </w:r>
      <w:r w:rsidR="00AD62E2" w:rsidRPr="002F16A1">
        <w:rPr>
          <w:noProof/>
        </w:rPr>
        <w:t>tępów na drodze do osiągnięcia jego celów,</w:t>
      </w:r>
      <w:r w:rsidR="0028384B" w:rsidRPr="002F16A1">
        <w:rPr>
          <w:noProof/>
        </w:rPr>
        <w:t xml:space="preserve"> w</w:t>
      </w:r>
      <w:r w:rsidR="0028384B">
        <w:rPr>
          <w:noProof/>
        </w:rPr>
        <w:t> </w:t>
      </w:r>
      <w:r w:rsidR="0028384B" w:rsidRPr="002F16A1">
        <w:rPr>
          <w:noProof/>
        </w:rPr>
        <w:t>tym w</w:t>
      </w:r>
      <w:r w:rsidR="0028384B">
        <w:rPr>
          <w:noProof/>
        </w:rPr>
        <w:t> </w:t>
      </w:r>
      <w:r w:rsidR="0028384B" w:rsidRPr="002F16A1">
        <w:rPr>
          <w:noProof/>
        </w:rPr>
        <w:t>zak</w:t>
      </w:r>
      <w:r w:rsidR="00AD62E2" w:rsidRPr="002F16A1">
        <w:rPr>
          <w:noProof/>
        </w:rPr>
        <w:t>resie wskaźników referencyjnych dotyczących zdolności</w:t>
      </w:r>
      <w:r w:rsidR="0028384B" w:rsidRPr="002F16A1">
        <w:rPr>
          <w:noProof/>
        </w:rPr>
        <w:t xml:space="preserve"> i</w:t>
      </w:r>
      <w:r w:rsidR="0028384B">
        <w:rPr>
          <w:noProof/>
        </w:rPr>
        <w:t> </w:t>
      </w:r>
      <w:r w:rsidR="0028384B" w:rsidRPr="002F16A1">
        <w:rPr>
          <w:noProof/>
        </w:rPr>
        <w:t>dyw</w:t>
      </w:r>
      <w:r w:rsidR="00AD62E2" w:rsidRPr="002F16A1">
        <w:rPr>
          <w:noProof/>
        </w:rPr>
        <w:t xml:space="preserve">ersyfikacji. Sprawozdanie to powinno również zawierać ocenę odpowiedniości ustanowienia maksymalnych wartości progowych związanych ze śladem środowiskowym opartą na wdrażaniu środków dotyczących przejrzystości śladu środowiskowego surowców krytycznych. </w:t>
      </w:r>
    </w:p>
    <w:p w:rsidR="00AD62E2" w:rsidRPr="002F16A1" w:rsidRDefault="00733965" w:rsidP="00733965">
      <w:pPr>
        <w:pStyle w:val="ManualConsidrant"/>
        <w:rPr>
          <w:noProof/>
        </w:rPr>
      </w:pPr>
      <w:r w:rsidRPr="00733965">
        <w:t>(63)</w:t>
      </w:r>
      <w:r w:rsidRPr="00733965">
        <w:tab/>
      </w:r>
      <w:r w:rsidR="00AD62E2" w:rsidRPr="002F16A1">
        <w:rPr>
          <w:noProof/>
        </w:rPr>
        <w:t>W stopniu,</w:t>
      </w:r>
      <w:r w:rsidR="0028384B" w:rsidRPr="002F16A1">
        <w:rPr>
          <w:noProof/>
        </w:rPr>
        <w:t xml:space="preserve"> w</w:t>
      </w:r>
      <w:r w:rsidR="0028384B">
        <w:rPr>
          <w:noProof/>
        </w:rPr>
        <w:t> </w:t>
      </w:r>
      <w:r w:rsidR="0028384B" w:rsidRPr="002F16A1">
        <w:rPr>
          <w:noProof/>
        </w:rPr>
        <w:t>jak</w:t>
      </w:r>
      <w:r w:rsidR="00AD62E2" w:rsidRPr="002F16A1">
        <w:rPr>
          <w:noProof/>
        </w:rPr>
        <w:t>im którykolwiek ze środków przewidzianych</w:t>
      </w:r>
      <w:r w:rsidR="0028384B" w:rsidRPr="002F16A1">
        <w:rPr>
          <w:noProof/>
        </w:rPr>
        <w:t xml:space="preserve"> w</w:t>
      </w:r>
      <w:r w:rsidR="0028384B">
        <w:rPr>
          <w:noProof/>
        </w:rPr>
        <w:t> </w:t>
      </w:r>
      <w:r w:rsidR="0028384B" w:rsidRPr="002F16A1">
        <w:rPr>
          <w:noProof/>
        </w:rPr>
        <w:t>nin</w:t>
      </w:r>
      <w:r w:rsidR="00AD62E2" w:rsidRPr="002F16A1">
        <w:rPr>
          <w:noProof/>
        </w:rPr>
        <w:t xml:space="preserve">iejszym rozporządzeniu stanowi pomoc państwa, przepisy dotyczące tych środków pozostają bez uszczerbku dla stosowania </w:t>
      </w:r>
      <w:r w:rsidR="00AD62E2" w:rsidRPr="0028384B">
        <w:rPr>
          <w:noProof/>
        </w:rPr>
        <w:t>art.</w:t>
      </w:r>
      <w:r w:rsidR="0028384B" w:rsidRPr="0028384B">
        <w:rPr>
          <w:noProof/>
        </w:rPr>
        <w:t> </w:t>
      </w:r>
      <w:r w:rsidR="00AD62E2" w:rsidRPr="0028384B">
        <w:rPr>
          <w:noProof/>
        </w:rPr>
        <w:t>1</w:t>
      </w:r>
      <w:r w:rsidR="00AD62E2" w:rsidRPr="002F16A1">
        <w:rPr>
          <w:noProof/>
        </w:rPr>
        <w:t>07</w:t>
      </w:r>
      <w:r w:rsidR="0028384B" w:rsidRPr="002F16A1">
        <w:rPr>
          <w:noProof/>
        </w:rPr>
        <w:t xml:space="preserve"> i</w:t>
      </w:r>
      <w:r w:rsidR="0028384B">
        <w:rPr>
          <w:noProof/>
        </w:rPr>
        <w:t> </w:t>
      </w:r>
      <w:r w:rsidR="0028384B" w:rsidRPr="002F16A1">
        <w:rPr>
          <w:noProof/>
        </w:rPr>
        <w:t>1</w:t>
      </w:r>
      <w:r w:rsidR="00AD62E2" w:rsidRPr="002F16A1">
        <w:rPr>
          <w:noProof/>
        </w:rPr>
        <w:t>08 Traktatu.</w:t>
      </w:r>
    </w:p>
    <w:p w:rsidR="00AD62E2" w:rsidRPr="002F16A1" w:rsidRDefault="00733965" w:rsidP="00733965">
      <w:pPr>
        <w:pStyle w:val="ManualConsidrant"/>
        <w:rPr>
          <w:noProof/>
        </w:rPr>
      </w:pPr>
      <w:r w:rsidRPr="00733965">
        <w:t>(64)</w:t>
      </w:r>
      <w:r w:rsidRPr="00733965">
        <w:tab/>
      </w:r>
      <w:r w:rsidR="00AD62E2" w:rsidRPr="002F16A1">
        <w:rPr>
          <w:noProof/>
        </w:rPr>
        <w:t>Ponieważ cele niniejszego rozporządzenia,</w:t>
      </w:r>
      <w:r w:rsidR="0028384B" w:rsidRPr="002F16A1">
        <w:rPr>
          <w:noProof/>
        </w:rPr>
        <w:t xml:space="preserve"> a</w:t>
      </w:r>
      <w:r w:rsidR="0028384B">
        <w:rPr>
          <w:noProof/>
        </w:rPr>
        <w:t> </w:t>
      </w:r>
      <w:r w:rsidR="0028384B" w:rsidRPr="002F16A1">
        <w:rPr>
          <w:noProof/>
        </w:rPr>
        <w:t>mia</w:t>
      </w:r>
      <w:r w:rsidR="00AD62E2" w:rsidRPr="002F16A1">
        <w:rPr>
          <w:noProof/>
        </w:rPr>
        <w:t>nowicie poprawa funkcjonowania rynku wewnętrznego poprzez ustanowienie ram zapewniających Unii dostęp do bezpiecznych</w:t>
      </w:r>
      <w:r w:rsidR="0028384B" w:rsidRPr="002F16A1">
        <w:rPr>
          <w:noProof/>
        </w:rPr>
        <w:t xml:space="preserve"> i</w:t>
      </w:r>
      <w:r w:rsidR="0028384B">
        <w:rPr>
          <w:noProof/>
        </w:rPr>
        <w:t> </w:t>
      </w:r>
      <w:r w:rsidR="0028384B" w:rsidRPr="002F16A1">
        <w:rPr>
          <w:noProof/>
        </w:rPr>
        <w:t>zró</w:t>
      </w:r>
      <w:r w:rsidR="00AD62E2" w:rsidRPr="002F16A1">
        <w:rPr>
          <w:noProof/>
        </w:rPr>
        <w:t>wnoważonych dostaw surowców krytycznych, nie mogą zostać osiągnięte</w:t>
      </w:r>
      <w:r w:rsidR="0028384B" w:rsidRPr="002F16A1">
        <w:rPr>
          <w:noProof/>
        </w:rPr>
        <w:t xml:space="preserve"> w</w:t>
      </w:r>
      <w:r w:rsidR="0028384B">
        <w:rPr>
          <w:noProof/>
        </w:rPr>
        <w:t> </w:t>
      </w:r>
      <w:r w:rsidR="0028384B" w:rsidRPr="002F16A1">
        <w:rPr>
          <w:noProof/>
        </w:rPr>
        <w:t>spo</w:t>
      </w:r>
      <w:r w:rsidR="00AD62E2" w:rsidRPr="002F16A1">
        <w:rPr>
          <w:noProof/>
        </w:rPr>
        <w:t>sób wystarczający przez państwa członkowskie, natomiast ze względu na ich skalę</w:t>
      </w:r>
      <w:r w:rsidR="0028384B" w:rsidRPr="002F16A1">
        <w:rPr>
          <w:noProof/>
        </w:rPr>
        <w:t xml:space="preserve"> i</w:t>
      </w:r>
      <w:r w:rsidR="0028384B">
        <w:rPr>
          <w:noProof/>
        </w:rPr>
        <w:t> </w:t>
      </w:r>
      <w:r w:rsidR="0028384B" w:rsidRPr="002F16A1">
        <w:rPr>
          <w:noProof/>
        </w:rPr>
        <w:t>sku</w:t>
      </w:r>
      <w:r w:rsidR="00AD62E2" w:rsidRPr="002F16A1">
        <w:rPr>
          <w:noProof/>
        </w:rPr>
        <w:t>tki możliwe jest ich osiągnięcie wyłącznie na poziomie Unii, może ona podjąć działania zgodnie</w:t>
      </w:r>
      <w:r w:rsidR="0028384B" w:rsidRPr="002F16A1">
        <w:rPr>
          <w:noProof/>
        </w:rPr>
        <w:t xml:space="preserve"> z</w:t>
      </w:r>
      <w:r w:rsidR="0028384B">
        <w:rPr>
          <w:noProof/>
        </w:rPr>
        <w:t> </w:t>
      </w:r>
      <w:r w:rsidR="0028384B" w:rsidRPr="002F16A1">
        <w:rPr>
          <w:noProof/>
        </w:rPr>
        <w:t>zas</w:t>
      </w:r>
      <w:r w:rsidR="00AD62E2" w:rsidRPr="002F16A1">
        <w:rPr>
          <w:noProof/>
        </w:rPr>
        <w:t>adą pomocniczości określoną</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5</w:t>
      </w:r>
      <w:r w:rsidR="00AD62E2" w:rsidRPr="002F16A1">
        <w:rPr>
          <w:noProof/>
        </w:rPr>
        <w:t xml:space="preserve"> Traktatu</w:t>
      </w:r>
      <w:r w:rsidR="0028384B" w:rsidRPr="002F16A1">
        <w:rPr>
          <w:noProof/>
        </w:rPr>
        <w:t xml:space="preserve"> o</w:t>
      </w:r>
      <w:r w:rsidR="0028384B">
        <w:rPr>
          <w:noProof/>
        </w:rPr>
        <w:t> </w:t>
      </w:r>
      <w:r w:rsidR="0028384B" w:rsidRPr="002F16A1">
        <w:rPr>
          <w:noProof/>
        </w:rPr>
        <w:t>Uni</w:t>
      </w:r>
      <w:r w:rsidR="00AD62E2" w:rsidRPr="002F16A1">
        <w:rPr>
          <w:noProof/>
        </w:rPr>
        <w:t>i Europejskiej (TUE). Zgodnie</w:t>
      </w:r>
      <w:r w:rsidR="0028384B" w:rsidRPr="002F16A1">
        <w:rPr>
          <w:noProof/>
        </w:rPr>
        <w:t xml:space="preserve"> z</w:t>
      </w:r>
      <w:r w:rsidR="0028384B">
        <w:rPr>
          <w:noProof/>
        </w:rPr>
        <w:t> </w:t>
      </w:r>
      <w:r w:rsidR="0028384B" w:rsidRPr="002F16A1">
        <w:rPr>
          <w:noProof/>
        </w:rPr>
        <w:t>zas</w:t>
      </w:r>
      <w:r w:rsidR="00AD62E2" w:rsidRPr="002F16A1">
        <w:rPr>
          <w:noProof/>
        </w:rPr>
        <w:t>adą proporcjonalności, określoną</w:t>
      </w:r>
      <w:r w:rsidR="0028384B" w:rsidRPr="002F16A1">
        <w:rPr>
          <w:noProof/>
        </w:rPr>
        <w:t xml:space="preserve"> w</w:t>
      </w:r>
      <w:r w:rsidR="0028384B">
        <w:rPr>
          <w:noProof/>
        </w:rPr>
        <w:t> </w:t>
      </w:r>
      <w:r w:rsidR="0028384B" w:rsidRPr="002F16A1">
        <w:rPr>
          <w:noProof/>
        </w:rPr>
        <w:t>tym</w:t>
      </w:r>
      <w:r w:rsidR="00AD62E2" w:rsidRPr="002F16A1">
        <w:rPr>
          <w:noProof/>
        </w:rPr>
        <w:t xml:space="preserve"> artykule niniejsze rozporządzenie nie wykracza poza to, co jest konieczne do osiągnięcia tego celu,</w:t>
      </w:r>
    </w:p>
    <w:p w:rsidR="00AD62E2" w:rsidRPr="002F16A1" w:rsidRDefault="00AD62E2" w:rsidP="00AD62E2">
      <w:pPr>
        <w:pStyle w:val="Formuledadoption"/>
        <w:rPr>
          <w:noProof/>
        </w:rPr>
      </w:pPr>
      <w:r w:rsidRPr="002F16A1">
        <w:rPr>
          <w:noProof/>
        </w:rPr>
        <w:t>PRZYJMUJĄ NINIEJSZE ROZPORZĄDZENIE:</w:t>
      </w:r>
    </w:p>
    <w:p w:rsidR="00AD62E2" w:rsidRPr="002F16A1" w:rsidRDefault="00AD62E2" w:rsidP="00AD62E2">
      <w:pPr>
        <w:pStyle w:val="Titrearticle"/>
        <w:rPr>
          <w:noProof/>
        </w:rPr>
      </w:pPr>
    </w:p>
    <w:p w:rsidR="00AD62E2" w:rsidRPr="002F16A1" w:rsidRDefault="00AD62E2" w:rsidP="00AD62E2">
      <w:pPr>
        <w:pStyle w:val="ChapterTitle"/>
        <w:rPr>
          <w:noProof/>
        </w:rPr>
      </w:pPr>
      <w:r w:rsidRPr="002F16A1">
        <w:rPr>
          <w:noProof/>
        </w:rPr>
        <w:t xml:space="preserve">Rozdział 1 </w:t>
      </w:r>
      <w:r w:rsidRPr="002F16A1">
        <w:rPr>
          <w:noProof/>
        </w:rPr>
        <w:br/>
        <w:t>Przepisy ogólne</w:t>
      </w:r>
    </w:p>
    <w:p w:rsidR="00AD62E2" w:rsidRPr="002F16A1" w:rsidRDefault="00AD62E2" w:rsidP="00AD62E2">
      <w:pPr>
        <w:pStyle w:val="Titrearticle"/>
        <w:rPr>
          <w:noProof/>
        </w:rPr>
      </w:pPr>
      <w:r w:rsidRPr="002F16A1">
        <w:rPr>
          <w:noProof/>
        </w:rPr>
        <w:t>Artykuł 1</w:t>
      </w:r>
    </w:p>
    <w:p w:rsidR="00AD62E2" w:rsidRPr="002F16A1" w:rsidRDefault="00AD62E2" w:rsidP="00AD62E2">
      <w:pPr>
        <w:pStyle w:val="NormalCentered"/>
        <w:rPr>
          <w:noProof/>
        </w:rPr>
      </w:pPr>
      <w:r w:rsidRPr="002F16A1">
        <w:rPr>
          <w:b/>
          <w:noProof/>
        </w:rPr>
        <w:t>Przedmiot</w:t>
      </w:r>
      <w:r w:rsidR="0028384B" w:rsidRPr="002F16A1">
        <w:rPr>
          <w:b/>
          <w:noProof/>
        </w:rPr>
        <w:t xml:space="preserve"> i</w:t>
      </w:r>
      <w:r w:rsidR="0028384B">
        <w:rPr>
          <w:b/>
          <w:noProof/>
        </w:rPr>
        <w:t> </w:t>
      </w:r>
      <w:r w:rsidR="0028384B" w:rsidRPr="002F16A1">
        <w:rPr>
          <w:b/>
          <w:noProof/>
        </w:rPr>
        <w:t>cel</w:t>
      </w:r>
      <w:r w:rsidRPr="002F16A1">
        <w:rPr>
          <w:b/>
          <w:noProof/>
        </w:rPr>
        <w:t>e</w:t>
      </w:r>
    </w:p>
    <w:p w:rsidR="00AD62E2" w:rsidRPr="002F16A1" w:rsidRDefault="00733965" w:rsidP="00733965">
      <w:pPr>
        <w:pStyle w:val="ManualNumPar1"/>
        <w:rPr>
          <w:noProof/>
        </w:rPr>
      </w:pPr>
      <w:r w:rsidRPr="00733965">
        <w:t>1.</w:t>
      </w:r>
      <w:r w:rsidRPr="00733965">
        <w:tab/>
      </w:r>
      <w:r w:rsidR="00AD62E2" w:rsidRPr="002F16A1">
        <w:rPr>
          <w:noProof/>
        </w:rPr>
        <w:t>Ogólnym celem niniejszego rozporządzenia jest poprawa funkcjonowania rynku wewnętrznego przez ustanowienie ram służących zapewnieniu dostępu Unii do bezpiecznych</w:t>
      </w:r>
      <w:r w:rsidR="0028384B" w:rsidRPr="002F16A1">
        <w:rPr>
          <w:noProof/>
        </w:rPr>
        <w:t xml:space="preserve"> i</w:t>
      </w:r>
      <w:r w:rsidR="0028384B">
        <w:rPr>
          <w:noProof/>
        </w:rPr>
        <w:t> </w:t>
      </w:r>
      <w:r w:rsidR="0028384B" w:rsidRPr="002F16A1">
        <w:rPr>
          <w:noProof/>
        </w:rPr>
        <w:t>zró</w:t>
      </w:r>
      <w:r w:rsidR="00AD62E2" w:rsidRPr="002F16A1">
        <w:rPr>
          <w:noProof/>
        </w:rPr>
        <w:t>wnoważonych dostaw surowców krytycznych. </w:t>
      </w:r>
    </w:p>
    <w:p w:rsidR="00AD62E2" w:rsidRPr="002F16A1" w:rsidRDefault="00733965" w:rsidP="00733965">
      <w:pPr>
        <w:pStyle w:val="ManualNumPar1"/>
        <w:rPr>
          <w:noProof/>
        </w:rPr>
      </w:pPr>
      <w:r w:rsidRPr="00733965">
        <w:t>2.</w:t>
      </w:r>
      <w:r w:rsidRPr="00733965">
        <w:tab/>
      </w:r>
      <w:r w:rsidR="00AD62E2" w:rsidRPr="002F16A1">
        <w:rPr>
          <w:noProof/>
        </w:rPr>
        <w:t>Aby osiągnąć cel ogólny,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niniejsze rozporządzenie ma na celu: </w:t>
      </w:r>
    </w:p>
    <w:p w:rsidR="00AD62E2" w:rsidRPr="002F16A1" w:rsidRDefault="0028384B" w:rsidP="0028384B">
      <w:pPr>
        <w:pStyle w:val="Point1"/>
        <w:rPr>
          <w:noProof/>
        </w:rPr>
      </w:pPr>
      <w:r>
        <w:rPr>
          <w:noProof/>
        </w:rPr>
        <w:t>a)</w:t>
      </w:r>
      <w:r>
        <w:rPr>
          <w:noProof/>
        </w:rPr>
        <w:tab/>
      </w:r>
      <w:r w:rsidR="00AD62E2" w:rsidRPr="002F16A1">
        <w:rPr>
          <w:noProof/>
        </w:rPr>
        <w:t>wzmocnienie poszczególnych etapów łańcucha wartości surowców strategicznych</w:t>
      </w:r>
      <w:r w:rsidRPr="002F16A1">
        <w:rPr>
          <w:noProof/>
        </w:rPr>
        <w:t xml:space="preserve"> w</w:t>
      </w:r>
      <w:r>
        <w:rPr>
          <w:noProof/>
        </w:rPr>
        <w:t> </w:t>
      </w:r>
      <w:r w:rsidRPr="002F16A1">
        <w:rPr>
          <w:noProof/>
        </w:rPr>
        <w:t>cel</w:t>
      </w:r>
      <w:r w:rsidR="00AD62E2" w:rsidRPr="002F16A1">
        <w:rPr>
          <w:noProof/>
        </w:rPr>
        <w:t xml:space="preserve">u zapewnienia, aby </w:t>
      </w:r>
      <w:r w:rsidR="00AD62E2" w:rsidRPr="0028384B">
        <w:rPr>
          <w:noProof/>
        </w:rPr>
        <w:t>do</w:t>
      </w:r>
      <w:r w:rsidRPr="0028384B">
        <w:rPr>
          <w:noProof/>
        </w:rPr>
        <w:t> </w:t>
      </w:r>
      <w:r w:rsidR="00AD62E2" w:rsidRPr="0028384B">
        <w:rPr>
          <w:noProof/>
        </w:rPr>
        <w:t>2</w:t>
      </w:r>
      <w:r w:rsidR="00AD62E2" w:rsidRPr="002F16A1">
        <w:rPr>
          <w:noProof/>
        </w:rPr>
        <w:t>0</w:t>
      </w:r>
      <w:r w:rsidR="00AD62E2" w:rsidRPr="0028384B">
        <w:rPr>
          <w:noProof/>
        </w:rPr>
        <w:t>30</w:t>
      </w:r>
      <w:r w:rsidRPr="0028384B">
        <w:rPr>
          <w:noProof/>
        </w:rPr>
        <w:t> </w:t>
      </w:r>
      <w:r w:rsidR="00AD62E2" w:rsidRPr="0028384B">
        <w:rPr>
          <w:noProof/>
        </w:rPr>
        <w:t>r.</w:t>
      </w:r>
      <w:r w:rsidR="00AD62E2" w:rsidRPr="002F16A1">
        <w:rPr>
          <w:noProof/>
        </w:rPr>
        <w:t xml:space="preserve"> znacznie wzrosły zdolności Unii</w:t>
      </w:r>
      <w:r w:rsidRPr="002F16A1">
        <w:rPr>
          <w:noProof/>
        </w:rPr>
        <w:t xml:space="preserve"> w</w:t>
      </w:r>
      <w:r>
        <w:rPr>
          <w:noProof/>
        </w:rPr>
        <w:t> </w:t>
      </w:r>
      <w:r w:rsidRPr="002F16A1">
        <w:rPr>
          <w:noProof/>
        </w:rPr>
        <w:t>zak</w:t>
      </w:r>
      <w:r w:rsidR="00AD62E2" w:rsidRPr="002F16A1">
        <w:rPr>
          <w:noProof/>
        </w:rPr>
        <w:t>resie każdego surowca strategicznego, tak aby ogólna zdolność Unii była zbliżona do następujących wskaźników referencyjnych lub je osiągnęła:</w:t>
      </w:r>
    </w:p>
    <w:p w:rsidR="00AD62E2" w:rsidRPr="002F16A1" w:rsidRDefault="00AD62E2" w:rsidP="00AD62E2">
      <w:pPr>
        <w:pStyle w:val="Point2"/>
        <w:rPr>
          <w:noProof/>
        </w:rPr>
      </w:pPr>
      <w:r w:rsidRPr="002F16A1">
        <w:rPr>
          <w:noProof/>
        </w:rPr>
        <w:t>(i)</w:t>
      </w:r>
      <w:r w:rsidRPr="002F16A1">
        <w:rPr>
          <w:noProof/>
        </w:rPr>
        <w:tab/>
        <w:t>zdolność wydobywcza Unii umożliwia wydobycie rud, minerałów lub koncentratów potrzebnych do produkcji co najmniej 1</w:t>
      </w:r>
      <w:r w:rsidRPr="0028384B">
        <w:rPr>
          <w:noProof/>
        </w:rPr>
        <w:t>0</w:t>
      </w:r>
      <w:r w:rsidR="0028384B" w:rsidRPr="0028384B">
        <w:rPr>
          <w:noProof/>
        </w:rPr>
        <w:t> </w:t>
      </w:r>
      <w:r w:rsidRPr="0028384B">
        <w:rPr>
          <w:noProof/>
        </w:rPr>
        <w:t>%</w:t>
      </w:r>
      <w:r w:rsidRPr="002F16A1">
        <w:rPr>
          <w:noProof/>
        </w:rPr>
        <w:t xml:space="preserve"> jej rocznego zużycia surowców strategicznych</w:t>
      </w:r>
      <w:r w:rsidR="0028384B" w:rsidRPr="002F16A1">
        <w:rPr>
          <w:noProof/>
        </w:rPr>
        <w:t xml:space="preserve"> w</w:t>
      </w:r>
      <w:r w:rsidR="0028384B">
        <w:rPr>
          <w:noProof/>
        </w:rPr>
        <w:t> </w:t>
      </w:r>
      <w:r w:rsidR="0028384B" w:rsidRPr="002F16A1">
        <w:rPr>
          <w:noProof/>
        </w:rPr>
        <w:t>sto</w:t>
      </w:r>
      <w:r w:rsidRPr="002F16A1">
        <w:rPr>
          <w:noProof/>
        </w:rPr>
        <w:t>pniu,</w:t>
      </w:r>
      <w:r w:rsidR="0028384B" w:rsidRPr="002F16A1">
        <w:rPr>
          <w:noProof/>
        </w:rPr>
        <w:t xml:space="preserve"> w</w:t>
      </w:r>
      <w:r w:rsidR="0028384B">
        <w:rPr>
          <w:noProof/>
        </w:rPr>
        <w:t> </w:t>
      </w:r>
      <w:r w:rsidR="0028384B" w:rsidRPr="002F16A1">
        <w:rPr>
          <w:noProof/>
        </w:rPr>
        <w:t>jak</w:t>
      </w:r>
      <w:r w:rsidRPr="002F16A1">
        <w:rPr>
          <w:noProof/>
        </w:rPr>
        <w:t>im umożliwiają to unijne zasoby;</w:t>
      </w:r>
    </w:p>
    <w:p w:rsidR="00AD62E2" w:rsidRPr="002F16A1" w:rsidRDefault="00AD62E2" w:rsidP="00AD62E2">
      <w:pPr>
        <w:pStyle w:val="Point2"/>
        <w:rPr>
          <w:noProof/>
        </w:rPr>
      </w:pPr>
      <w:r w:rsidRPr="002F16A1">
        <w:rPr>
          <w:noProof/>
        </w:rPr>
        <w:t>(ii)</w:t>
      </w:r>
      <w:r w:rsidRPr="002F16A1">
        <w:rPr>
          <w:noProof/>
        </w:rPr>
        <w:tab/>
        <w:t>zdolność przetwórcza Unii,</w:t>
      </w:r>
      <w:r w:rsidR="0028384B" w:rsidRPr="002F16A1">
        <w:rPr>
          <w:noProof/>
        </w:rPr>
        <w:t xml:space="preserve"> w</w:t>
      </w:r>
      <w:r w:rsidR="0028384B">
        <w:rPr>
          <w:noProof/>
        </w:rPr>
        <w:t> </w:t>
      </w:r>
      <w:r w:rsidR="0028384B" w:rsidRPr="002F16A1">
        <w:rPr>
          <w:noProof/>
        </w:rPr>
        <w:t>tym w</w:t>
      </w:r>
      <w:r w:rsidR="0028384B">
        <w:rPr>
          <w:noProof/>
        </w:rPr>
        <w:t> </w:t>
      </w:r>
      <w:r w:rsidR="0028384B" w:rsidRPr="002F16A1">
        <w:rPr>
          <w:noProof/>
        </w:rPr>
        <w:t>odn</w:t>
      </w:r>
      <w:r w:rsidRPr="002F16A1">
        <w:rPr>
          <w:noProof/>
        </w:rPr>
        <w:t>iesieniu do wszystkich pośrednich etapów przetwarzania, jest</w:t>
      </w:r>
      <w:r w:rsidR="0028384B" w:rsidRPr="002F16A1">
        <w:rPr>
          <w:noProof/>
        </w:rPr>
        <w:t xml:space="preserve"> w</w:t>
      </w:r>
      <w:r w:rsidR="0028384B">
        <w:rPr>
          <w:noProof/>
        </w:rPr>
        <w:t> </w:t>
      </w:r>
      <w:r w:rsidR="0028384B" w:rsidRPr="002F16A1">
        <w:rPr>
          <w:noProof/>
        </w:rPr>
        <w:t>sta</w:t>
      </w:r>
      <w:r w:rsidRPr="002F16A1">
        <w:rPr>
          <w:noProof/>
        </w:rPr>
        <w:t>nie pokryć co najmniej 4</w:t>
      </w:r>
      <w:r w:rsidRPr="0028384B">
        <w:rPr>
          <w:noProof/>
        </w:rPr>
        <w:t>0</w:t>
      </w:r>
      <w:r w:rsidR="0028384B" w:rsidRPr="0028384B">
        <w:rPr>
          <w:noProof/>
        </w:rPr>
        <w:t> </w:t>
      </w:r>
      <w:r w:rsidRPr="0028384B">
        <w:rPr>
          <w:noProof/>
        </w:rPr>
        <w:t>%</w:t>
      </w:r>
      <w:r w:rsidRPr="002F16A1">
        <w:rPr>
          <w:noProof/>
        </w:rPr>
        <w:t xml:space="preserve"> jej rocznego zużycia surowców strategicznych;</w:t>
      </w:r>
    </w:p>
    <w:p w:rsidR="00AD62E2" w:rsidRPr="002F16A1" w:rsidRDefault="00AD62E2" w:rsidP="00AD62E2">
      <w:pPr>
        <w:pStyle w:val="Point2"/>
        <w:rPr>
          <w:noProof/>
        </w:rPr>
      </w:pPr>
      <w:r w:rsidRPr="002F16A1">
        <w:rPr>
          <w:noProof/>
        </w:rPr>
        <w:t>(iii)</w:t>
      </w:r>
      <w:r w:rsidRPr="002F16A1">
        <w:rPr>
          <w:noProof/>
        </w:rPr>
        <w:tab/>
        <w:t>zdolność Unii</w:t>
      </w:r>
      <w:r w:rsidR="0028384B" w:rsidRPr="002F16A1">
        <w:rPr>
          <w:noProof/>
        </w:rPr>
        <w:t xml:space="preserve"> w</w:t>
      </w:r>
      <w:r w:rsidR="0028384B">
        <w:rPr>
          <w:noProof/>
        </w:rPr>
        <w:t> </w:t>
      </w:r>
      <w:r w:rsidR="0028384B" w:rsidRPr="002F16A1">
        <w:rPr>
          <w:noProof/>
        </w:rPr>
        <w:t>zak</w:t>
      </w:r>
      <w:r w:rsidRPr="002F16A1">
        <w:rPr>
          <w:noProof/>
        </w:rPr>
        <w:t>resie recyklingu,</w:t>
      </w:r>
      <w:r w:rsidR="0028384B" w:rsidRPr="002F16A1">
        <w:rPr>
          <w:noProof/>
        </w:rPr>
        <w:t xml:space="preserve"> w</w:t>
      </w:r>
      <w:r w:rsidR="0028384B">
        <w:rPr>
          <w:noProof/>
        </w:rPr>
        <w:t> </w:t>
      </w:r>
      <w:r w:rsidR="0028384B" w:rsidRPr="002F16A1">
        <w:rPr>
          <w:noProof/>
        </w:rPr>
        <w:t>tym w</w:t>
      </w:r>
      <w:r w:rsidR="0028384B">
        <w:rPr>
          <w:noProof/>
        </w:rPr>
        <w:t> </w:t>
      </w:r>
      <w:r w:rsidR="0028384B" w:rsidRPr="002F16A1">
        <w:rPr>
          <w:noProof/>
        </w:rPr>
        <w:t>odn</w:t>
      </w:r>
      <w:r w:rsidRPr="002F16A1">
        <w:rPr>
          <w:noProof/>
        </w:rPr>
        <w:t>iesieniu do wszystkich pośrednich etapów recyklingu, jest</w:t>
      </w:r>
      <w:r w:rsidR="0028384B" w:rsidRPr="002F16A1">
        <w:rPr>
          <w:noProof/>
        </w:rPr>
        <w:t xml:space="preserve"> w</w:t>
      </w:r>
      <w:r w:rsidR="0028384B">
        <w:rPr>
          <w:noProof/>
        </w:rPr>
        <w:t> </w:t>
      </w:r>
      <w:r w:rsidR="0028384B" w:rsidRPr="002F16A1">
        <w:rPr>
          <w:noProof/>
        </w:rPr>
        <w:t>sta</w:t>
      </w:r>
      <w:r w:rsidRPr="002F16A1">
        <w:rPr>
          <w:noProof/>
        </w:rPr>
        <w:t>nie pokryć co najmniej 1</w:t>
      </w:r>
      <w:r w:rsidRPr="0028384B">
        <w:rPr>
          <w:noProof/>
        </w:rPr>
        <w:t>5</w:t>
      </w:r>
      <w:r w:rsidR="0028384B" w:rsidRPr="0028384B">
        <w:rPr>
          <w:noProof/>
        </w:rPr>
        <w:t> </w:t>
      </w:r>
      <w:r w:rsidRPr="0028384B">
        <w:rPr>
          <w:noProof/>
        </w:rPr>
        <w:t>%</w:t>
      </w:r>
      <w:r w:rsidRPr="002F16A1">
        <w:rPr>
          <w:noProof/>
        </w:rPr>
        <w:t xml:space="preserve"> jej rocznego zużycia surowców strategicznych;</w:t>
      </w:r>
    </w:p>
    <w:p w:rsidR="00AD62E2" w:rsidRPr="002F16A1" w:rsidRDefault="0028384B" w:rsidP="0028384B">
      <w:pPr>
        <w:pStyle w:val="Point1"/>
        <w:rPr>
          <w:noProof/>
        </w:rPr>
      </w:pPr>
      <w:r>
        <w:rPr>
          <w:noProof/>
        </w:rPr>
        <w:t>b)</w:t>
      </w:r>
      <w:r>
        <w:rPr>
          <w:noProof/>
        </w:rPr>
        <w:tab/>
      </w:r>
      <w:r w:rsidR="00AD62E2" w:rsidRPr="002F16A1">
        <w:rPr>
          <w:noProof/>
        </w:rPr>
        <w:t xml:space="preserve">dywersyfikację przywozu surowców strategicznych do Unii mającą na celu zapewnienie, aby </w:t>
      </w:r>
      <w:r w:rsidR="00AD62E2" w:rsidRPr="0028384B">
        <w:rPr>
          <w:noProof/>
        </w:rPr>
        <w:t>do</w:t>
      </w:r>
      <w:r w:rsidRPr="0028384B">
        <w:rPr>
          <w:noProof/>
        </w:rPr>
        <w:t> </w:t>
      </w:r>
      <w:r w:rsidR="00AD62E2" w:rsidRPr="0028384B">
        <w:rPr>
          <w:noProof/>
        </w:rPr>
        <w:t>2</w:t>
      </w:r>
      <w:r w:rsidR="00AD62E2" w:rsidRPr="002F16A1">
        <w:rPr>
          <w:noProof/>
        </w:rPr>
        <w:t>0</w:t>
      </w:r>
      <w:r w:rsidR="00AD62E2" w:rsidRPr="0028384B">
        <w:rPr>
          <w:noProof/>
        </w:rPr>
        <w:t>30</w:t>
      </w:r>
      <w:r w:rsidRPr="0028384B">
        <w:rPr>
          <w:noProof/>
        </w:rPr>
        <w:t> </w:t>
      </w:r>
      <w:r w:rsidR="00AD62E2" w:rsidRPr="0028384B">
        <w:rPr>
          <w:noProof/>
        </w:rPr>
        <w:t>r.</w:t>
      </w:r>
      <w:r w:rsidR="00AD62E2" w:rsidRPr="002F16A1">
        <w:rPr>
          <w:noProof/>
        </w:rPr>
        <w:t xml:space="preserve"> jej roczne zużycie każdego surowca strategicznego na każdym stosownym etapie przetwarzania mogło opierać się na przywozie</w:t>
      </w:r>
      <w:r w:rsidRPr="002F16A1">
        <w:rPr>
          <w:noProof/>
        </w:rPr>
        <w:t xml:space="preserve"> z</w:t>
      </w:r>
      <w:r>
        <w:rPr>
          <w:noProof/>
        </w:rPr>
        <w:t> </w:t>
      </w:r>
      <w:r w:rsidRPr="002F16A1">
        <w:rPr>
          <w:noProof/>
        </w:rPr>
        <w:t>kil</w:t>
      </w:r>
      <w:r w:rsidR="00AD62E2" w:rsidRPr="002F16A1">
        <w:rPr>
          <w:noProof/>
        </w:rPr>
        <w:t>ku państw trzecich,</w:t>
      </w:r>
      <w:r w:rsidRPr="002F16A1">
        <w:rPr>
          <w:noProof/>
        </w:rPr>
        <w:t xml:space="preserve"> z</w:t>
      </w:r>
      <w:r>
        <w:rPr>
          <w:noProof/>
        </w:rPr>
        <w:t> </w:t>
      </w:r>
      <w:r w:rsidRPr="002F16A1">
        <w:rPr>
          <w:noProof/>
        </w:rPr>
        <w:t>któ</w:t>
      </w:r>
      <w:r w:rsidR="00AD62E2" w:rsidRPr="002F16A1">
        <w:rPr>
          <w:noProof/>
        </w:rPr>
        <w:t>rych żadne nie będzie zapewniało więcej niż 6</w:t>
      </w:r>
      <w:r w:rsidR="00AD62E2" w:rsidRPr="0028384B">
        <w:rPr>
          <w:noProof/>
        </w:rPr>
        <w:t>5</w:t>
      </w:r>
      <w:r w:rsidRPr="0028384B">
        <w:rPr>
          <w:noProof/>
        </w:rPr>
        <w:t> </w:t>
      </w:r>
      <w:r w:rsidR="00AD62E2" w:rsidRPr="0028384B">
        <w:rPr>
          <w:noProof/>
        </w:rPr>
        <w:t>%</w:t>
      </w:r>
      <w:r w:rsidR="00AD62E2" w:rsidRPr="002F16A1">
        <w:rPr>
          <w:noProof/>
        </w:rPr>
        <w:t xml:space="preserve"> rocznego unijnego zużycia; </w:t>
      </w:r>
    </w:p>
    <w:p w:rsidR="00AD62E2" w:rsidRPr="002F16A1" w:rsidRDefault="0028384B" w:rsidP="0028384B">
      <w:pPr>
        <w:pStyle w:val="Point1"/>
        <w:rPr>
          <w:noProof/>
        </w:rPr>
      </w:pPr>
      <w:r>
        <w:rPr>
          <w:noProof/>
        </w:rPr>
        <w:t>c)</w:t>
      </w:r>
      <w:r>
        <w:rPr>
          <w:noProof/>
        </w:rPr>
        <w:tab/>
      </w:r>
      <w:r w:rsidR="00AD62E2" w:rsidRPr="002F16A1">
        <w:rPr>
          <w:noProof/>
        </w:rPr>
        <w:t>poprawę zdolności Unii</w:t>
      </w:r>
      <w:r w:rsidRPr="002F16A1">
        <w:rPr>
          <w:noProof/>
        </w:rPr>
        <w:t xml:space="preserve"> w</w:t>
      </w:r>
      <w:r>
        <w:rPr>
          <w:noProof/>
        </w:rPr>
        <w:t> </w:t>
      </w:r>
      <w:r w:rsidRPr="002F16A1">
        <w:rPr>
          <w:noProof/>
        </w:rPr>
        <w:t>zak</w:t>
      </w:r>
      <w:r w:rsidR="00AD62E2" w:rsidRPr="002F16A1">
        <w:rPr>
          <w:noProof/>
        </w:rPr>
        <w:t>resie monitorowania</w:t>
      </w:r>
      <w:r w:rsidRPr="002F16A1">
        <w:rPr>
          <w:noProof/>
        </w:rPr>
        <w:t xml:space="preserve"> i</w:t>
      </w:r>
      <w:r>
        <w:rPr>
          <w:noProof/>
        </w:rPr>
        <w:t> </w:t>
      </w:r>
      <w:r w:rsidRPr="002F16A1">
        <w:rPr>
          <w:noProof/>
        </w:rPr>
        <w:t>ogr</w:t>
      </w:r>
      <w:r w:rsidR="00AD62E2" w:rsidRPr="002F16A1">
        <w:rPr>
          <w:noProof/>
        </w:rPr>
        <w:t>aniczania ryzyka związanego</w:t>
      </w:r>
      <w:r w:rsidRPr="002F16A1">
        <w:rPr>
          <w:noProof/>
        </w:rPr>
        <w:t xml:space="preserve"> z</w:t>
      </w:r>
      <w:r>
        <w:rPr>
          <w:noProof/>
        </w:rPr>
        <w:t> </w:t>
      </w:r>
      <w:r w:rsidRPr="002F16A1">
        <w:rPr>
          <w:noProof/>
        </w:rPr>
        <w:t>dos</w:t>
      </w:r>
      <w:r w:rsidR="00AD62E2" w:rsidRPr="002F16A1">
        <w:rPr>
          <w:noProof/>
        </w:rPr>
        <w:t>tawami surowców krytycznych;</w:t>
      </w:r>
    </w:p>
    <w:p w:rsidR="00AD62E2" w:rsidRPr="002F16A1" w:rsidRDefault="0028384B" w:rsidP="0028384B">
      <w:pPr>
        <w:pStyle w:val="Point1"/>
        <w:rPr>
          <w:noProof/>
        </w:rPr>
      </w:pPr>
      <w:r>
        <w:rPr>
          <w:noProof/>
        </w:rPr>
        <w:t>d)</w:t>
      </w:r>
      <w:r>
        <w:rPr>
          <w:noProof/>
        </w:rPr>
        <w:tab/>
      </w:r>
      <w:r w:rsidR="00AD62E2" w:rsidRPr="002F16A1">
        <w:rPr>
          <w:noProof/>
        </w:rPr>
        <w:t>zapewnienie swobodnego przepływu surowców krytycznych</w:t>
      </w:r>
      <w:r w:rsidRPr="002F16A1">
        <w:rPr>
          <w:noProof/>
        </w:rPr>
        <w:t xml:space="preserve"> i</w:t>
      </w:r>
      <w:r>
        <w:rPr>
          <w:noProof/>
        </w:rPr>
        <w:t> </w:t>
      </w:r>
      <w:r w:rsidRPr="002F16A1">
        <w:rPr>
          <w:noProof/>
        </w:rPr>
        <w:t>pro</w:t>
      </w:r>
      <w:r w:rsidR="00AD62E2" w:rsidRPr="002F16A1">
        <w:rPr>
          <w:noProof/>
        </w:rPr>
        <w:t>duktów zawierających surowce krytyczne wprowadzanych do obrotu</w:t>
      </w:r>
      <w:r w:rsidRPr="002F16A1">
        <w:rPr>
          <w:noProof/>
        </w:rPr>
        <w:t xml:space="preserve"> w</w:t>
      </w:r>
      <w:r>
        <w:rPr>
          <w:noProof/>
        </w:rPr>
        <w:t> </w:t>
      </w:r>
      <w:r w:rsidRPr="002F16A1">
        <w:rPr>
          <w:noProof/>
        </w:rPr>
        <w:t>Uni</w:t>
      </w:r>
      <w:r w:rsidR="00AD62E2" w:rsidRPr="002F16A1">
        <w:rPr>
          <w:noProof/>
        </w:rPr>
        <w:t>i przy jednoczesnym zapewnieniu wysokiego poziomu ochrony środowiska</w:t>
      </w:r>
      <w:r w:rsidRPr="002F16A1">
        <w:rPr>
          <w:noProof/>
        </w:rPr>
        <w:t xml:space="preserve"> w</w:t>
      </w:r>
      <w:r>
        <w:rPr>
          <w:noProof/>
        </w:rPr>
        <w:t> </w:t>
      </w:r>
      <w:r w:rsidRPr="002F16A1">
        <w:rPr>
          <w:noProof/>
        </w:rPr>
        <w:t>dro</w:t>
      </w:r>
      <w:r w:rsidR="00AD62E2" w:rsidRPr="002F16A1">
        <w:rPr>
          <w:noProof/>
        </w:rPr>
        <w:t>dze usprawnienia ich obiegu zamkniętego</w:t>
      </w:r>
      <w:r w:rsidRPr="002F16A1">
        <w:rPr>
          <w:noProof/>
        </w:rPr>
        <w:t xml:space="preserve"> i</w:t>
      </w:r>
      <w:r>
        <w:rPr>
          <w:noProof/>
        </w:rPr>
        <w:t> </w:t>
      </w:r>
      <w:r w:rsidRPr="002F16A1">
        <w:rPr>
          <w:noProof/>
        </w:rPr>
        <w:t>zwi</w:t>
      </w:r>
      <w:r w:rsidR="00AD62E2" w:rsidRPr="002F16A1">
        <w:rPr>
          <w:noProof/>
        </w:rPr>
        <w:t>ększenia ich zrównoważonego charakteru.</w:t>
      </w:r>
    </w:p>
    <w:p w:rsidR="00AD62E2" w:rsidRPr="002F16A1" w:rsidRDefault="00733965" w:rsidP="00733965">
      <w:pPr>
        <w:pStyle w:val="ManualNumPar1"/>
        <w:rPr>
          <w:noProof/>
        </w:rPr>
      </w:pPr>
      <w:r w:rsidRPr="00733965">
        <w:t>3.</w:t>
      </w:r>
      <w:r w:rsidRPr="00733965">
        <w:tab/>
      </w:r>
      <w:r w:rsidR="00AD62E2" w:rsidRPr="002F16A1">
        <w:rPr>
          <w:noProof/>
        </w:rPr>
        <w:t>Jeżeli na podstawie sprawozdania,</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4</w:t>
      </w:r>
      <w:r w:rsidR="00AD62E2" w:rsidRPr="002F16A1">
        <w:rPr>
          <w:noProof/>
        </w:rPr>
        <w:t>2, Komisja stwierdzi, że Unia może nie osiągnąć celów określonych</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2</w:t>
      </w:r>
      <w:r w:rsidR="00AD62E2" w:rsidRPr="002F16A1">
        <w:rPr>
          <w:noProof/>
        </w:rPr>
        <w:t>, dokonuje ona oceny wykonalności</w:t>
      </w:r>
      <w:r w:rsidR="0028384B" w:rsidRPr="002F16A1">
        <w:rPr>
          <w:noProof/>
        </w:rPr>
        <w:t xml:space="preserve"> i</w:t>
      </w:r>
      <w:r w:rsidR="0028384B">
        <w:rPr>
          <w:noProof/>
        </w:rPr>
        <w:t> </w:t>
      </w:r>
      <w:r w:rsidR="0028384B" w:rsidRPr="002F16A1">
        <w:rPr>
          <w:noProof/>
        </w:rPr>
        <w:t>pro</w:t>
      </w:r>
      <w:r w:rsidR="00AD62E2" w:rsidRPr="002F16A1">
        <w:rPr>
          <w:noProof/>
        </w:rPr>
        <w:t>porcjonalności zaproponowania środków lub wykonania swoich uprawnień na poziomie Unii</w:t>
      </w:r>
      <w:r w:rsidR="0028384B" w:rsidRPr="002F16A1">
        <w:rPr>
          <w:noProof/>
        </w:rPr>
        <w:t xml:space="preserve"> w</w:t>
      </w:r>
      <w:r w:rsidR="0028384B">
        <w:rPr>
          <w:noProof/>
        </w:rPr>
        <w:t> </w:t>
      </w:r>
      <w:r w:rsidR="0028384B" w:rsidRPr="002F16A1">
        <w:rPr>
          <w:noProof/>
        </w:rPr>
        <w:t>cel</w:t>
      </w:r>
      <w:r w:rsidR="00AD62E2" w:rsidRPr="002F16A1">
        <w:rPr>
          <w:noProof/>
        </w:rPr>
        <w:t>u zapewnienia osiągnięcia przedmiotowych celów. </w:t>
      </w:r>
    </w:p>
    <w:p w:rsidR="00AD62E2" w:rsidRPr="002F16A1" w:rsidRDefault="00733965" w:rsidP="00733965">
      <w:pPr>
        <w:pStyle w:val="ManualNumPar1"/>
        <w:rPr>
          <w:noProof/>
        </w:rPr>
      </w:pPr>
      <w:r w:rsidRPr="00733965">
        <w:t>4.</w:t>
      </w:r>
      <w:r w:rsidRPr="00733965">
        <w:tab/>
      </w:r>
      <w:r w:rsidR="00AD62E2" w:rsidRPr="002F16A1">
        <w:rPr>
          <w:noProof/>
        </w:rPr>
        <w:t>Komisja uwzględnia cele</w:t>
      </w:r>
      <w:r w:rsidR="0028384B" w:rsidRPr="002F16A1">
        <w:rPr>
          <w:noProof/>
        </w:rPr>
        <w:t xml:space="preserve"> i</w:t>
      </w:r>
      <w:r w:rsidR="0028384B">
        <w:rPr>
          <w:noProof/>
        </w:rPr>
        <w:t> </w:t>
      </w:r>
      <w:r w:rsidR="0028384B" w:rsidRPr="002F16A1">
        <w:rPr>
          <w:noProof/>
        </w:rPr>
        <w:t>wsk</w:t>
      </w:r>
      <w:r w:rsidR="00AD62E2" w:rsidRPr="002F16A1">
        <w:rPr>
          <w:noProof/>
        </w:rPr>
        <w:t>aźniki referencyjne określone</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2</w:t>
      </w:r>
      <w:r w:rsidR="00AD62E2" w:rsidRPr="002F16A1">
        <w:rPr>
          <w:noProof/>
        </w:rPr>
        <w:t xml:space="preserve"> </w:t>
      </w:r>
      <w:r w:rsidR="00AD62E2" w:rsidRPr="0028384B">
        <w:rPr>
          <w:noProof/>
        </w:rPr>
        <w:t>lit.</w:t>
      </w:r>
      <w:r w:rsidR="0028384B" w:rsidRPr="0028384B">
        <w:rPr>
          <w:noProof/>
        </w:rPr>
        <w:t> </w:t>
      </w:r>
      <w:r w:rsidR="00AD62E2" w:rsidRPr="0028384B">
        <w:rPr>
          <w:noProof/>
        </w:rPr>
        <w:t>a)</w:t>
      </w:r>
      <w:r w:rsidR="00AD62E2" w:rsidRPr="002F16A1">
        <w:rPr>
          <w:noProof/>
        </w:rPr>
        <w:t xml:space="preserve"> pkt (iii) jako powiązane priorytety Unii</w:t>
      </w:r>
      <w:r w:rsidR="0028384B" w:rsidRPr="002F16A1">
        <w:rPr>
          <w:noProof/>
        </w:rPr>
        <w:t xml:space="preserve"> w</w:t>
      </w:r>
      <w:r w:rsidR="0028384B">
        <w:rPr>
          <w:noProof/>
        </w:rPr>
        <w:t> </w:t>
      </w:r>
      <w:r w:rsidR="0028384B" w:rsidRPr="002F16A1">
        <w:rPr>
          <w:noProof/>
        </w:rPr>
        <w:t>roz</w:t>
      </w:r>
      <w:r w:rsidR="00AD62E2" w:rsidRPr="002F16A1">
        <w:rPr>
          <w:noProof/>
        </w:rPr>
        <w:t xml:space="preserve">umieniu </w:t>
      </w:r>
      <w:r w:rsidR="00AD62E2" w:rsidRPr="0028384B">
        <w:rPr>
          <w:noProof/>
        </w:rPr>
        <w:t>art.</w:t>
      </w:r>
      <w:r w:rsidR="0028384B" w:rsidRPr="0028384B">
        <w:rPr>
          <w:noProof/>
        </w:rPr>
        <w:t> </w:t>
      </w:r>
      <w:r w:rsidR="00AD62E2" w:rsidRPr="0028384B">
        <w:rPr>
          <w:noProof/>
        </w:rPr>
        <w:t>5</w:t>
      </w:r>
      <w:r w:rsidR="00AD62E2" w:rsidRPr="002F16A1">
        <w:rPr>
          <w:noProof/>
        </w:rPr>
        <w:t xml:space="preserve"> </w:t>
      </w:r>
      <w:r w:rsidR="00AD62E2" w:rsidRPr="0028384B">
        <w:rPr>
          <w:noProof/>
        </w:rPr>
        <w:t>ust.</w:t>
      </w:r>
      <w:r w:rsidR="0028384B" w:rsidRPr="0028384B">
        <w:rPr>
          <w:noProof/>
        </w:rPr>
        <w:t> </w:t>
      </w:r>
      <w:r w:rsidR="00AD62E2" w:rsidRPr="0028384B">
        <w:rPr>
          <w:noProof/>
        </w:rPr>
        <w:t>4</w:t>
      </w:r>
      <w:r w:rsidR="00AD62E2" w:rsidRPr="002F16A1">
        <w:rPr>
          <w:noProof/>
        </w:rPr>
        <w:t xml:space="preserve"> </w:t>
      </w:r>
      <w:r w:rsidR="00AD62E2" w:rsidRPr="0028384B">
        <w:rPr>
          <w:noProof/>
        </w:rPr>
        <w:t>lit.</w:t>
      </w:r>
      <w:r w:rsidR="0028384B" w:rsidRPr="0028384B">
        <w:rPr>
          <w:noProof/>
        </w:rPr>
        <w:t> </w:t>
      </w:r>
      <w:r w:rsidR="00AD62E2" w:rsidRPr="0028384B">
        <w:rPr>
          <w:noProof/>
        </w:rPr>
        <w:t>a)</w:t>
      </w:r>
      <w:r w:rsidR="00AD62E2" w:rsidRPr="002F16A1">
        <w:rPr>
          <w:noProof/>
        </w:rPr>
        <w:t xml:space="preserve"> pkt (i) rozporządzenia XX/XXXX [</w:t>
      </w:r>
      <w:r w:rsidR="00AD62E2" w:rsidRPr="002F16A1">
        <w:rPr>
          <w:i/>
          <w:iCs/>
          <w:noProof/>
        </w:rPr>
        <w:t>Urząd Publikacji: proszę wstawić</w:t>
      </w:r>
      <w:r w:rsidR="00AD62E2" w:rsidRPr="002F16A1">
        <w:rPr>
          <w:noProof/>
        </w:rPr>
        <w:t xml:space="preserve"> </w:t>
      </w:r>
      <w:r w:rsidR="00AD62E2" w:rsidRPr="002F16A1">
        <w:rPr>
          <w:i/>
          <w:iCs/>
          <w:noProof/>
        </w:rPr>
        <w:t>numer rozporządzenia</w:t>
      </w:r>
      <w:r w:rsidR="0028384B" w:rsidRPr="002F16A1">
        <w:rPr>
          <w:i/>
          <w:iCs/>
          <w:noProof/>
        </w:rPr>
        <w:t xml:space="preserve"> w</w:t>
      </w:r>
      <w:r w:rsidR="0028384B">
        <w:rPr>
          <w:i/>
          <w:iCs/>
          <w:noProof/>
        </w:rPr>
        <w:t> </w:t>
      </w:r>
      <w:r w:rsidR="0028384B" w:rsidRPr="002F16A1">
        <w:rPr>
          <w:i/>
          <w:iCs/>
          <w:noProof/>
        </w:rPr>
        <w:t>spr</w:t>
      </w:r>
      <w:r w:rsidR="00AD62E2" w:rsidRPr="002F16A1">
        <w:rPr>
          <w:i/>
          <w:iCs/>
          <w:noProof/>
        </w:rPr>
        <w:t>awie ekoprojektu dla zrównoważonych produktów</w:t>
      </w:r>
      <w:r w:rsidR="00AD62E2" w:rsidRPr="002F16A1">
        <w:rPr>
          <w:noProof/>
        </w:rPr>
        <w:t>] podczas opracowywania wymogów dotyczących ekoprojektu mających na celu poprawę następujących aspektów produktu: trwałości, możliwości ponownego użycia, możliwości naprawy, wykorzystania zasobów lub zasobooszczędności, możliwości regeneracji produktów</w:t>
      </w:r>
      <w:r w:rsidR="0028384B" w:rsidRPr="002F16A1">
        <w:rPr>
          <w:noProof/>
        </w:rPr>
        <w:t xml:space="preserve"> i</w:t>
      </w:r>
      <w:r w:rsidR="0028384B">
        <w:rPr>
          <w:noProof/>
        </w:rPr>
        <w:t> </w:t>
      </w:r>
      <w:r w:rsidR="0028384B" w:rsidRPr="002F16A1">
        <w:rPr>
          <w:noProof/>
        </w:rPr>
        <w:t>rec</w:t>
      </w:r>
      <w:r w:rsidR="00AD62E2" w:rsidRPr="002F16A1">
        <w:rPr>
          <w:noProof/>
        </w:rPr>
        <w:t>yklingu, zawartości materiałów</w:t>
      </w:r>
      <w:r w:rsidR="0028384B" w:rsidRPr="002F16A1">
        <w:rPr>
          <w:noProof/>
        </w:rPr>
        <w:t xml:space="preserve"> z</w:t>
      </w:r>
      <w:r w:rsidR="0028384B">
        <w:rPr>
          <w:noProof/>
        </w:rPr>
        <w:t> </w:t>
      </w:r>
      <w:r w:rsidR="0028384B" w:rsidRPr="002F16A1">
        <w:rPr>
          <w:noProof/>
        </w:rPr>
        <w:t>rec</w:t>
      </w:r>
      <w:r w:rsidR="00AD62E2" w:rsidRPr="002F16A1">
        <w:rPr>
          <w:noProof/>
        </w:rPr>
        <w:t>yklingu</w:t>
      </w:r>
      <w:r w:rsidR="0028384B" w:rsidRPr="002F16A1">
        <w:rPr>
          <w:noProof/>
        </w:rPr>
        <w:t xml:space="preserve"> i</w:t>
      </w:r>
      <w:r w:rsidR="0028384B">
        <w:rPr>
          <w:noProof/>
        </w:rPr>
        <w:t> </w:t>
      </w:r>
      <w:r w:rsidR="0028384B" w:rsidRPr="002F16A1">
        <w:rPr>
          <w:noProof/>
        </w:rPr>
        <w:t>moż</w:t>
      </w:r>
      <w:r w:rsidR="00AD62E2" w:rsidRPr="002F16A1">
        <w:rPr>
          <w:noProof/>
        </w:rPr>
        <w:t>liwości odzysku materiałów.</w:t>
      </w:r>
    </w:p>
    <w:p w:rsidR="00AD62E2" w:rsidRPr="002F16A1" w:rsidRDefault="00AD62E2" w:rsidP="00AD62E2">
      <w:pPr>
        <w:pStyle w:val="Titrearticle"/>
        <w:rPr>
          <w:noProof/>
        </w:rPr>
      </w:pPr>
      <w:r w:rsidRPr="002F16A1">
        <w:rPr>
          <w:noProof/>
        </w:rPr>
        <w:t>Artykuł 2</w:t>
      </w:r>
    </w:p>
    <w:p w:rsidR="00AD62E2" w:rsidRPr="002F16A1" w:rsidRDefault="00AD62E2" w:rsidP="00AD62E2">
      <w:pPr>
        <w:pStyle w:val="NormalCentered"/>
        <w:rPr>
          <w:noProof/>
        </w:rPr>
      </w:pPr>
      <w:r w:rsidRPr="002F16A1">
        <w:rPr>
          <w:b/>
          <w:noProof/>
        </w:rPr>
        <w:t>Definicje</w:t>
      </w:r>
    </w:p>
    <w:p w:rsidR="00AD62E2" w:rsidRPr="002F16A1" w:rsidRDefault="00AD62E2" w:rsidP="00AD62E2">
      <w:pPr>
        <w:rPr>
          <w:noProof/>
        </w:rPr>
      </w:pPr>
      <w:r w:rsidRPr="002F16A1">
        <w:rPr>
          <w:noProof/>
        </w:rPr>
        <w:t>Do celów niniejszego rozporządzenia stosuje się następujące definicje:</w:t>
      </w:r>
    </w:p>
    <w:p w:rsidR="00AD62E2" w:rsidRPr="002F16A1" w:rsidRDefault="0028384B" w:rsidP="0028384B">
      <w:pPr>
        <w:pStyle w:val="Point1"/>
        <w:rPr>
          <w:noProof/>
        </w:rPr>
      </w:pPr>
      <w:r>
        <w:rPr>
          <w:noProof/>
        </w:rPr>
        <w:t>1)</w:t>
      </w:r>
      <w:r>
        <w:rPr>
          <w:noProof/>
        </w:rPr>
        <w:tab/>
      </w:r>
      <w:r w:rsidR="00AD62E2" w:rsidRPr="002F16A1">
        <w:rPr>
          <w:noProof/>
        </w:rPr>
        <w:t>„surowiec” oznacza substancję</w:t>
      </w:r>
      <w:r w:rsidRPr="002F16A1">
        <w:rPr>
          <w:noProof/>
        </w:rPr>
        <w:t xml:space="preserve"> w</w:t>
      </w:r>
      <w:r>
        <w:rPr>
          <w:noProof/>
        </w:rPr>
        <w:t> </w:t>
      </w:r>
      <w:r w:rsidRPr="002F16A1">
        <w:rPr>
          <w:noProof/>
        </w:rPr>
        <w:t>sta</w:t>
      </w:r>
      <w:r w:rsidR="00AD62E2" w:rsidRPr="002F16A1">
        <w:rPr>
          <w:noProof/>
        </w:rPr>
        <w:t>nie przetworzonym lub nieprzetworzonym wykorzystywaną jako materiał wsadowy przy produkcji produktów pośrednich lub końcowych,</w:t>
      </w:r>
      <w:r w:rsidRPr="002F16A1">
        <w:rPr>
          <w:noProof/>
        </w:rPr>
        <w:t xml:space="preserve"> z</w:t>
      </w:r>
      <w:r>
        <w:rPr>
          <w:noProof/>
        </w:rPr>
        <w:t> </w:t>
      </w:r>
      <w:r w:rsidRPr="002F16A1">
        <w:rPr>
          <w:noProof/>
        </w:rPr>
        <w:t>wył</w:t>
      </w:r>
      <w:r w:rsidR="00AD62E2" w:rsidRPr="002F16A1">
        <w:rPr>
          <w:noProof/>
        </w:rPr>
        <w:t>ączeniem substancji wykorzystywanych głównie jako żywność, pasza lub paliwa do silników spalinowych;</w:t>
      </w:r>
    </w:p>
    <w:p w:rsidR="00AD62E2" w:rsidRPr="002F16A1" w:rsidRDefault="0028384B" w:rsidP="0028384B">
      <w:pPr>
        <w:pStyle w:val="Point1"/>
        <w:rPr>
          <w:noProof/>
        </w:rPr>
      </w:pPr>
      <w:r>
        <w:rPr>
          <w:noProof/>
        </w:rPr>
        <w:t>2)</w:t>
      </w:r>
      <w:r>
        <w:rPr>
          <w:noProof/>
        </w:rPr>
        <w:tab/>
      </w:r>
      <w:r w:rsidR="00AD62E2" w:rsidRPr="002F16A1">
        <w:rPr>
          <w:noProof/>
        </w:rPr>
        <w:t>„surowce krytyczne” oznaczają surowce zdefiniowane</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4</w:t>
      </w:r>
      <w:r w:rsidR="00AD62E2" w:rsidRPr="002F16A1">
        <w:rPr>
          <w:noProof/>
        </w:rPr>
        <w:t>;</w:t>
      </w:r>
    </w:p>
    <w:p w:rsidR="00AD62E2" w:rsidRPr="002F16A1" w:rsidRDefault="0028384B" w:rsidP="0028384B">
      <w:pPr>
        <w:pStyle w:val="Point1"/>
        <w:rPr>
          <w:noProof/>
        </w:rPr>
      </w:pPr>
      <w:r>
        <w:rPr>
          <w:noProof/>
        </w:rPr>
        <w:t>3)</w:t>
      </w:r>
      <w:r>
        <w:rPr>
          <w:noProof/>
        </w:rPr>
        <w:tab/>
      </w:r>
      <w:r w:rsidR="00AD62E2" w:rsidRPr="002F16A1">
        <w:rPr>
          <w:noProof/>
        </w:rPr>
        <w:t>„surowce strategiczne” oznaczają surowce zdefiniowane</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3</w:t>
      </w:r>
      <w:r w:rsidR="00AD62E2" w:rsidRPr="002F16A1">
        <w:rPr>
          <w:noProof/>
        </w:rPr>
        <w:t>; </w:t>
      </w:r>
    </w:p>
    <w:p w:rsidR="00AD62E2" w:rsidRPr="002F16A1" w:rsidRDefault="0028384B" w:rsidP="0028384B">
      <w:pPr>
        <w:pStyle w:val="Point1"/>
        <w:rPr>
          <w:noProof/>
        </w:rPr>
      </w:pPr>
      <w:r>
        <w:rPr>
          <w:noProof/>
        </w:rPr>
        <w:t>4)</w:t>
      </w:r>
      <w:r>
        <w:rPr>
          <w:noProof/>
        </w:rPr>
        <w:tab/>
      </w:r>
      <w:r w:rsidR="00AD62E2" w:rsidRPr="002F16A1">
        <w:rPr>
          <w:noProof/>
        </w:rPr>
        <w:t>„łańcuch wartości surowców” oznacza wszystkie działania</w:t>
      </w:r>
      <w:r w:rsidRPr="002F16A1">
        <w:rPr>
          <w:noProof/>
        </w:rPr>
        <w:t xml:space="preserve"> i</w:t>
      </w:r>
      <w:r>
        <w:rPr>
          <w:noProof/>
        </w:rPr>
        <w:t> </w:t>
      </w:r>
      <w:r w:rsidRPr="002F16A1">
        <w:rPr>
          <w:noProof/>
        </w:rPr>
        <w:t>pro</w:t>
      </w:r>
      <w:r w:rsidR="00AD62E2" w:rsidRPr="002F16A1">
        <w:rPr>
          <w:noProof/>
        </w:rPr>
        <w:t>cesy mające miejsce przy poszukiwaniu, wydobyciu, przetwarzaniu</w:t>
      </w:r>
      <w:r w:rsidRPr="002F16A1">
        <w:rPr>
          <w:noProof/>
        </w:rPr>
        <w:t xml:space="preserve"> i</w:t>
      </w:r>
      <w:r>
        <w:rPr>
          <w:noProof/>
        </w:rPr>
        <w:t> </w:t>
      </w:r>
      <w:r w:rsidRPr="002F16A1">
        <w:rPr>
          <w:noProof/>
        </w:rPr>
        <w:t>rec</w:t>
      </w:r>
      <w:r w:rsidR="00AD62E2" w:rsidRPr="002F16A1">
        <w:rPr>
          <w:noProof/>
        </w:rPr>
        <w:t>yklingu surowców;</w:t>
      </w:r>
    </w:p>
    <w:p w:rsidR="00AD62E2" w:rsidRPr="002F16A1" w:rsidRDefault="0028384B" w:rsidP="0028384B">
      <w:pPr>
        <w:pStyle w:val="Point1"/>
        <w:rPr>
          <w:noProof/>
        </w:rPr>
      </w:pPr>
      <w:r>
        <w:rPr>
          <w:noProof/>
        </w:rPr>
        <w:t>5)</w:t>
      </w:r>
      <w:r>
        <w:rPr>
          <w:noProof/>
        </w:rPr>
        <w:tab/>
      </w:r>
      <w:r w:rsidR="00AD62E2" w:rsidRPr="002F16A1">
        <w:rPr>
          <w:noProof/>
        </w:rPr>
        <w:t>„poszukiwanie” oznacza wszystkie działania mające na celu zidentyfikowanie</w:t>
      </w:r>
      <w:r w:rsidRPr="002F16A1">
        <w:rPr>
          <w:noProof/>
        </w:rPr>
        <w:t xml:space="preserve"> i</w:t>
      </w:r>
      <w:r>
        <w:rPr>
          <w:noProof/>
        </w:rPr>
        <w:t> </w:t>
      </w:r>
      <w:r w:rsidRPr="002F16A1">
        <w:rPr>
          <w:noProof/>
        </w:rPr>
        <w:t>ust</w:t>
      </w:r>
      <w:r w:rsidR="00AD62E2" w:rsidRPr="002F16A1">
        <w:rPr>
          <w:noProof/>
        </w:rPr>
        <w:t>alenie właściwości złóż mineralnych;</w:t>
      </w:r>
    </w:p>
    <w:p w:rsidR="00AD62E2" w:rsidRPr="002F16A1" w:rsidRDefault="0028384B" w:rsidP="0028384B">
      <w:pPr>
        <w:pStyle w:val="Point1"/>
        <w:rPr>
          <w:noProof/>
        </w:rPr>
      </w:pPr>
      <w:r>
        <w:rPr>
          <w:noProof/>
        </w:rPr>
        <w:t>6)</w:t>
      </w:r>
      <w:r>
        <w:rPr>
          <w:noProof/>
        </w:rPr>
        <w:tab/>
      </w:r>
      <w:r w:rsidR="00AD62E2" w:rsidRPr="002F16A1">
        <w:rPr>
          <w:noProof/>
        </w:rPr>
        <w:t>„wydobycie” oznacza pierwotne wydobycie rud, minerałów</w:t>
      </w:r>
      <w:r w:rsidRPr="002F16A1">
        <w:rPr>
          <w:noProof/>
        </w:rPr>
        <w:t xml:space="preserve"> i</w:t>
      </w:r>
      <w:r>
        <w:rPr>
          <w:noProof/>
        </w:rPr>
        <w:t> </w:t>
      </w:r>
      <w:r w:rsidRPr="002F16A1">
        <w:rPr>
          <w:noProof/>
        </w:rPr>
        <w:t>pro</w:t>
      </w:r>
      <w:r w:rsidR="00AD62E2" w:rsidRPr="002F16A1">
        <w:rPr>
          <w:noProof/>
        </w:rPr>
        <w:t>duktów roślinnych</w:t>
      </w:r>
      <w:r w:rsidRPr="002F16A1">
        <w:rPr>
          <w:noProof/>
        </w:rPr>
        <w:t xml:space="preserve"> z</w:t>
      </w:r>
      <w:r>
        <w:rPr>
          <w:noProof/>
        </w:rPr>
        <w:t> </w:t>
      </w:r>
      <w:r w:rsidRPr="002F16A1">
        <w:rPr>
          <w:noProof/>
        </w:rPr>
        <w:t>ich</w:t>
      </w:r>
      <w:r w:rsidR="00AD62E2" w:rsidRPr="002F16A1">
        <w:rPr>
          <w:noProof/>
        </w:rPr>
        <w:t xml:space="preserve"> oryginalnych źródeł,</w:t>
      </w:r>
      <w:r w:rsidRPr="002F16A1">
        <w:rPr>
          <w:noProof/>
        </w:rPr>
        <w:t xml:space="preserve"> w</w:t>
      </w:r>
      <w:r>
        <w:rPr>
          <w:noProof/>
        </w:rPr>
        <w:t> </w:t>
      </w:r>
      <w:r w:rsidRPr="002F16A1">
        <w:rPr>
          <w:noProof/>
        </w:rPr>
        <w:t>tym</w:t>
      </w:r>
      <w:r w:rsidR="00AD62E2" w:rsidRPr="002F16A1">
        <w:rPr>
          <w:noProof/>
        </w:rPr>
        <w:t xml:space="preserve"> ze złóż mineralnych znajdujących się pod ziemią, pod wodą,</w:t>
      </w:r>
      <w:r w:rsidRPr="002F16A1">
        <w:rPr>
          <w:noProof/>
        </w:rPr>
        <w:t xml:space="preserve"> z</w:t>
      </w:r>
      <w:r>
        <w:rPr>
          <w:noProof/>
        </w:rPr>
        <w:t> </w:t>
      </w:r>
      <w:r w:rsidRPr="002F16A1">
        <w:rPr>
          <w:noProof/>
        </w:rPr>
        <w:t>sol</w:t>
      </w:r>
      <w:r w:rsidR="00AD62E2" w:rsidRPr="002F16A1">
        <w:rPr>
          <w:noProof/>
        </w:rPr>
        <w:t>anki morskiej</w:t>
      </w:r>
      <w:r w:rsidRPr="002F16A1">
        <w:rPr>
          <w:noProof/>
        </w:rPr>
        <w:t xml:space="preserve"> i</w:t>
      </w:r>
      <w:r>
        <w:rPr>
          <w:noProof/>
        </w:rPr>
        <w:t> </w:t>
      </w:r>
      <w:r w:rsidRPr="002F16A1">
        <w:rPr>
          <w:noProof/>
        </w:rPr>
        <w:t>drz</w:t>
      </w:r>
      <w:r w:rsidR="00AD62E2" w:rsidRPr="002F16A1">
        <w:rPr>
          <w:noProof/>
        </w:rPr>
        <w:t>ew;</w:t>
      </w:r>
    </w:p>
    <w:p w:rsidR="00AD62E2" w:rsidRPr="002F16A1" w:rsidRDefault="0028384B" w:rsidP="0028384B">
      <w:pPr>
        <w:pStyle w:val="Point1"/>
        <w:rPr>
          <w:noProof/>
        </w:rPr>
      </w:pPr>
      <w:r>
        <w:rPr>
          <w:noProof/>
        </w:rPr>
        <w:t>7)</w:t>
      </w:r>
      <w:r>
        <w:rPr>
          <w:noProof/>
        </w:rPr>
        <w:tab/>
      </w:r>
      <w:r w:rsidR="00AD62E2" w:rsidRPr="002F16A1">
        <w:rPr>
          <w:noProof/>
        </w:rPr>
        <w:t>„zdolność wydobywcza Unii” oznacza łączną maksymalną roczną wielkość produkcji pochodzącej</w:t>
      </w:r>
      <w:r w:rsidRPr="002F16A1">
        <w:rPr>
          <w:noProof/>
        </w:rPr>
        <w:t xml:space="preserve"> z</w:t>
      </w:r>
      <w:r>
        <w:rPr>
          <w:noProof/>
        </w:rPr>
        <w:t> </w:t>
      </w:r>
      <w:r w:rsidRPr="002F16A1">
        <w:rPr>
          <w:noProof/>
        </w:rPr>
        <w:t>dzi</w:t>
      </w:r>
      <w:r w:rsidR="00AD62E2" w:rsidRPr="002F16A1">
        <w:rPr>
          <w:noProof/>
        </w:rPr>
        <w:t>ałalności wydobywczej dotyczącej rud, minerałów, produktów roślinnych</w:t>
      </w:r>
      <w:r w:rsidRPr="002F16A1">
        <w:rPr>
          <w:noProof/>
        </w:rPr>
        <w:t xml:space="preserve"> i</w:t>
      </w:r>
      <w:r>
        <w:rPr>
          <w:noProof/>
        </w:rPr>
        <w:t> </w:t>
      </w:r>
      <w:r w:rsidRPr="002F16A1">
        <w:rPr>
          <w:noProof/>
        </w:rPr>
        <w:t>kon</w:t>
      </w:r>
      <w:r w:rsidR="00AD62E2" w:rsidRPr="002F16A1">
        <w:rPr>
          <w:noProof/>
        </w:rPr>
        <w:t>centratów zawierających surowce strategiczne,</w:t>
      </w:r>
      <w:r w:rsidRPr="002F16A1">
        <w:rPr>
          <w:noProof/>
        </w:rPr>
        <w:t xml:space="preserve"> w</w:t>
      </w:r>
      <w:r>
        <w:rPr>
          <w:noProof/>
        </w:rPr>
        <w:t> </w:t>
      </w:r>
      <w:r w:rsidRPr="002F16A1">
        <w:rPr>
          <w:noProof/>
        </w:rPr>
        <w:t>tym</w:t>
      </w:r>
      <w:r w:rsidR="00AD62E2" w:rsidRPr="002F16A1">
        <w:rPr>
          <w:noProof/>
        </w:rPr>
        <w:t xml:space="preserve"> działalności przetwórczej zlokalizowanej zazwyczaj</w:t>
      </w:r>
      <w:r w:rsidRPr="002F16A1">
        <w:rPr>
          <w:noProof/>
        </w:rPr>
        <w:t xml:space="preserve"> w</w:t>
      </w:r>
      <w:r>
        <w:rPr>
          <w:noProof/>
        </w:rPr>
        <w:t> </w:t>
      </w:r>
      <w:r w:rsidRPr="002F16A1">
        <w:rPr>
          <w:noProof/>
        </w:rPr>
        <w:t>mie</w:t>
      </w:r>
      <w:r w:rsidR="00AD62E2" w:rsidRPr="002F16A1">
        <w:rPr>
          <w:noProof/>
        </w:rPr>
        <w:t>jscu wydobycia znajdującym się</w:t>
      </w:r>
      <w:r w:rsidRPr="002F16A1">
        <w:rPr>
          <w:noProof/>
        </w:rPr>
        <w:t xml:space="preserve"> w</w:t>
      </w:r>
      <w:r>
        <w:rPr>
          <w:noProof/>
        </w:rPr>
        <w:t> </w:t>
      </w:r>
      <w:r w:rsidRPr="002F16A1">
        <w:rPr>
          <w:noProof/>
        </w:rPr>
        <w:t>Uni</w:t>
      </w:r>
      <w:r w:rsidR="00AD62E2" w:rsidRPr="002F16A1">
        <w:rPr>
          <w:noProof/>
        </w:rPr>
        <w:t>i lub</w:t>
      </w:r>
      <w:r w:rsidRPr="002F16A1">
        <w:rPr>
          <w:noProof/>
        </w:rPr>
        <w:t xml:space="preserve"> w</w:t>
      </w:r>
      <w:r>
        <w:rPr>
          <w:noProof/>
        </w:rPr>
        <w:t> </w:t>
      </w:r>
      <w:r w:rsidRPr="002F16A1">
        <w:rPr>
          <w:noProof/>
        </w:rPr>
        <w:t>pob</w:t>
      </w:r>
      <w:r w:rsidR="00AD62E2" w:rsidRPr="002F16A1">
        <w:rPr>
          <w:noProof/>
        </w:rPr>
        <w:t>liżu takiego miejsca;</w:t>
      </w:r>
    </w:p>
    <w:p w:rsidR="00AD62E2" w:rsidRPr="002F16A1" w:rsidRDefault="0028384B" w:rsidP="0028384B">
      <w:pPr>
        <w:pStyle w:val="Point1"/>
        <w:rPr>
          <w:noProof/>
        </w:rPr>
      </w:pPr>
      <w:r>
        <w:rPr>
          <w:noProof/>
        </w:rPr>
        <w:t>8)</w:t>
      </w:r>
      <w:r>
        <w:rPr>
          <w:noProof/>
        </w:rPr>
        <w:tab/>
      </w:r>
      <w:r w:rsidR="00AD62E2" w:rsidRPr="002F16A1">
        <w:rPr>
          <w:noProof/>
        </w:rPr>
        <w:t>„zasoby” oznaczają wszystkie złoża mineralne, których wydobycie jest ekonomicznie opłacalne;</w:t>
      </w:r>
    </w:p>
    <w:p w:rsidR="00AD62E2" w:rsidRPr="002F16A1" w:rsidRDefault="0028384B" w:rsidP="0028384B">
      <w:pPr>
        <w:pStyle w:val="Point1"/>
        <w:rPr>
          <w:noProof/>
        </w:rPr>
      </w:pPr>
      <w:r>
        <w:rPr>
          <w:noProof/>
        </w:rPr>
        <w:t>9)</w:t>
      </w:r>
      <w:r>
        <w:rPr>
          <w:noProof/>
        </w:rPr>
        <w:tab/>
      </w:r>
      <w:r w:rsidR="00AD62E2" w:rsidRPr="002F16A1">
        <w:rPr>
          <w:noProof/>
        </w:rPr>
        <w:t>„przetwarzanie” oznacza wszystkie procesy fizyczne, chemiczne</w:t>
      </w:r>
      <w:r w:rsidRPr="002F16A1">
        <w:rPr>
          <w:noProof/>
        </w:rPr>
        <w:t xml:space="preserve"> i</w:t>
      </w:r>
      <w:r>
        <w:rPr>
          <w:noProof/>
        </w:rPr>
        <w:t> </w:t>
      </w:r>
      <w:r w:rsidRPr="002F16A1">
        <w:rPr>
          <w:noProof/>
        </w:rPr>
        <w:t>bio</w:t>
      </w:r>
      <w:r w:rsidR="00AD62E2" w:rsidRPr="002F16A1">
        <w:rPr>
          <w:noProof/>
        </w:rPr>
        <w:t>logiczne biorące udział</w:t>
      </w:r>
      <w:r w:rsidRPr="002F16A1">
        <w:rPr>
          <w:noProof/>
        </w:rPr>
        <w:t xml:space="preserve"> w</w:t>
      </w:r>
      <w:r>
        <w:rPr>
          <w:noProof/>
        </w:rPr>
        <w:t> </w:t>
      </w:r>
      <w:r w:rsidRPr="002F16A1">
        <w:rPr>
          <w:noProof/>
        </w:rPr>
        <w:t>prz</w:t>
      </w:r>
      <w:r w:rsidR="00AD62E2" w:rsidRPr="002F16A1">
        <w:rPr>
          <w:noProof/>
        </w:rPr>
        <w:t>ekształceniu surowca</w:t>
      </w:r>
      <w:r w:rsidRPr="002F16A1">
        <w:rPr>
          <w:noProof/>
        </w:rPr>
        <w:t xml:space="preserve"> z</w:t>
      </w:r>
      <w:r>
        <w:rPr>
          <w:noProof/>
        </w:rPr>
        <w:t> </w:t>
      </w:r>
      <w:r w:rsidRPr="002F16A1">
        <w:rPr>
          <w:noProof/>
        </w:rPr>
        <w:t>rud</w:t>
      </w:r>
      <w:r w:rsidR="00AD62E2" w:rsidRPr="002F16A1">
        <w:rPr>
          <w:noProof/>
        </w:rPr>
        <w:t>, minerałów, produktów roślinnych lub odpadów</w:t>
      </w:r>
      <w:r w:rsidRPr="002F16A1">
        <w:rPr>
          <w:noProof/>
        </w:rPr>
        <w:t xml:space="preserve"> w</w:t>
      </w:r>
      <w:r>
        <w:rPr>
          <w:noProof/>
        </w:rPr>
        <w:t> </w:t>
      </w:r>
      <w:r w:rsidRPr="002F16A1">
        <w:rPr>
          <w:noProof/>
        </w:rPr>
        <w:t>czy</w:t>
      </w:r>
      <w:r w:rsidR="00AD62E2" w:rsidRPr="002F16A1">
        <w:rPr>
          <w:noProof/>
        </w:rPr>
        <w:t>ste metale, stopy lub inne formy zdatne do wykorzystania</w:t>
      </w:r>
      <w:r w:rsidRPr="002F16A1">
        <w:rPr>
          <w:noProof/>
        </w:rPr>
        <w:t xml:space="preserve"> z</w:t>
      </w:r>
      <w:r>
        <w:rPr>
          <w:noProof/>
        </w:rPr>
        <w:t> </w:t>
      </w:r>
      <w:r w:rsidRPr="002F16A1">
        <w:rPr>
          <w:noProof/>
        </w:rPr>
        <w:t>eko</w:t>
      </w:r>
      <w:r w:rsidR="00AD62E2" w:rsidRPr="002F16A1">
        <w:rPr>
          <w:noProof/>
        </w:rPr>
        <w:t>nomicznego punktu widzenia;</w:t>
      </w:r>
    </w:p>
    <w:p w:rsidR="00AD62E2" w:rsidRPr="002F16A1" w:rsidRDefault="0028384B" w:rsidP="0028384B">
      <w:pPr>
        <w:pStyle w:val="Point1"/>
        <w:rPr>
          <w:noProof/>
        </w:rPr>
      </w:pPr>
      <w:r>
        <w:rPr>
          <w:noProof/>
        </w:rPr>
        <w:t>10)</w:t>
      </w:r>
      <w:r>
        <w:rPr>
          <w:noProof/>
        </w:rPr>
        <w:tab/>
      </w:r>
      <w:r w:rsidR="00AD62E2" w:rsidRPr="002F16A1">
        <w:rPr>
          <w:noProof/>
        </w:rPr>
        <w:t>„zdolność przetwórcza Unii” oznacza łączną maksymalną roczną wielkość produkcji pochodzącej</w:t>
      </w:r>
      <w:r w:rsidRPr="002F16A1">
        <w:rPr>
          <w:noProof/>
        </w:rPr>
        <w:t xml:space="preserve"> z</w:t>
      </w:r>
      <w:r>
        <w:rPr>
          <w:noProof/>
        </w:rPr>
        <w:t> </w:t>
      </w:r>
      <w:r w:rsidRPr="002F16A1">
        <w:rPr>
          <w:noProof/>
        </w:rPr>
        <w:t>dzi</w:t>
      </w:r>
      <w:r w:rsidR="00AD62E2" w:rsidRPr="002F16A1">
        <w:rPr>
          <w:noProof/>
        </w:rPr>
        <w:t>ałalności przetwórczej dotyczącej surowców strategicznych,</w:t>
      </w:r>
      <w:r w:rsidRPr="002F16A1">
        <w:rPr>
          <w:noProof/>
        </w:rPr>
        <w:t xml:space="preserve"> z</w:t>
      </w:r>
      <w:r>
        <w:rPr>
          <w:noProof/>
        </w:rPr>
        <w:t> </w:t>
      </w:r>
      <w:r w:rsidRPr="002F16A1">
        <w:rPr>
          <w:noProof/>
        </w:rPr>
        <w:t>wył</w:t>
      </w:r>
      <w:r w:rsidR="00AD62E2" w:rsidRPr="002F16A1">
        <w:rPr>
          <w:noProof/>
        </w:rPr>
        <w:t>ączeniem działalności zlokalizowanej zazwyczaj</w:t>
      </w:r>
      <w:r w:rsidRPr="002F16A1">
        <w:rPr>
          <w:noProof/>
        </w:rPr>
        <w:t xml:space="preserve"> w</w:t>
      </w:r>
      <w:r>
        <w:rPr>
          <w:noProof/>
        </w:rPr>
        <w:t> </w:t>
      </w:r>
      <w:r w:rsidRPr="002F16A1">
        <w:rPr>
          <w:noProof/>
        </w:rPr>
        <w:t>mie</w:t>
      </w:r>
      <w:r w:rsidR="00AD62E2" w:rsidRPr="002F16A1">
        <w:rPr>
          <w:noProof/>
        </w:rPr>
        <w:t>jscu wydobycia znajdującym się</w:t>
      </w:r>
      <w:r w:rsidRPr="002F16A1">
        <w:rPr>
          <w:noProof/>
        </w:rPr>
        <w:t xml:space="preserve"> w</w:t>
      </w:r>
      <w:r>
        <w:rPr>
          <w:noProof/>
        </w:rPr>
        <w:t> </w:t>
      </w:r>
      <w:r w:rsidRPr="002F16A1">
        <w:rPr>
          <w:noProof/>
        </w:rPr>
        <w:t>Uni</w:t>
      </w:r>
      <w:r w:rsidR="00AD62E2" w:rsidRPr="002F16A1">
        <w:rPr>
          <w:noProof/>
        </w:rPr>
        <w:t>i lub</w:t>
      </w:r>
      <w:r w:rsidRPr="002F16A1">
        <w:rPr>
          <w:noProof/>
        </w:rPr>
        <w:t xml:space="preserve"> w</w:t>
      </w:r>
      <w:r>
        <w:rPr>
          <w:noProof/>
        </w:rPr>
        <w:t> </w:t>
      </w:r>
      <w:r w:rsidRPr="002F16A1">
        <w:rPr>
          <w:noProof/>
        </w:rPr>
        <w:t>pob</w:t>
      </w:r>
      <w:r w:rsidR="00AD62E2" w:rsidRPr="002F16A1">
        <w:rPr>
          <w:noProof/>
        </w:rPr>
        <w:t>liżu takiego miejsca;</w:t>
      </w:r>
    </w:p>
    <w:p w:rsidR="00AD62E2" w:rsidRPr="002F16A1" w:rsidRDefault="0028384B" w:rsidP="0028384B">
      <w:pPr>
        <w:pStyle w:val="Point1"/>
        <w:rPr>
          <w:noProof/>
        </w:rPr>
      </w:pPr>
      <w:r>
        <w:rPr>
          <w:noProof/>
        </w:rPr>
        <w:t>11)</w:t>
      </w:r>
      <w:r>
        <w:rPr>
          <w:noProof/>
        </w:rPr>
        <w:tab/>
      </w:r>
      <w:r w:rsidR="00AD62E2" w:rsidRPr="002F16A1">
        <w:rPr>
          <w:noProof/>
        </w:rPr>
        <w:t>„recykling” oznacza dowolny proces odzysku,</w:t>
      </w:r>
      <w:r w:rsidRPr="002F16A1">
        <w:rPr>
          <w:noProof/>
        </w:rPr>
        <w:t xml:space="preserve"> w</w:t>
      </w:r>
      <w:r>
        <w:rPr>
          <w:noProof/>
        </w:rPr>
        <w:t> </w:t>
      </w:r>
      <w:r w:rsidRPr="002F16A1">
        <w:rPr>
          <w:noProof/>
        </w:rPr>
        <w:t>ram</w:t>
      </w:r>
      <w:r w:rsidR="00AD62E2" w:rsidRPr="002F16A1">
        <w:rPr>
          <w:noProof/>
        </w:rPr>
        <w:t>ach którego materiały odpadowe są ponownie przetwarzane</w:t>
      </w:r>
      <w:r w:rsidRPr="002F16A1">
        <w:rPr>
          <w:noProof/>
        </w:rPr>
        <w:t xml:space="preserve"> w</w:t>
      </w:r>
      <w:r>
        <w:rPr>
          <w:noProof/>
        </w:rPr>
        <w:t> </w:t>
      </w:r>
      <w:r w:rsidRPr="002F16A1">
        <w:rPr>
          <w:noProof/>
        </w:rPr>
        <w:t>pro</w:t>
      </w:r>
      <w:r w:rsidR="00AD62E2" w:rsidRPr="002F16A1">
        <w:rPr>
          <w:noProof/>
        </w:rPr>
        <w:t>dukty, materiały lub substancje wykorzystywane</w:t>
      </w:r>
      <w:r w:rsidRPr="002F16A1">
        <w:rPr>
          <w:noProof/>
        </w:rPr>
        <w:t xml:space="preserve"> w</w:t>
      </w:r>
      <w:r>
        <w:rPr>
          <w:noProof/>
        </w:rPr>
        <w:t> </w:t>
      </w:r>
      <w:r w:rsidRPr="002F16A1">
        <w:rPr>
          <w:noProof/>
        </w:rPr>
        <w:t>pie</w:t>
      </w:r>
      <w:r w:rsidR="00AD62E2" w:rsidRPr="002F16A1">
        <w:rPr>
          <w:noProof/>
        </w:rPr>
        <w:t>rwotnym celu lub innych celach;</w:t>
      </w:r>
    </w:p>
    <w:p w:rsidR="00AD62E2" w:rsidRPr="002F16A1" w:rsidRDefault="0028384B" w:rsidP="0028384B">
      <w:pPr>
        <w:pStyle w:val="Point1"/>
        <w:rPr>
          <w:noProof/>
        </w:rPr>
      </w:pPr>
      <w:r>
        <w:rPr>
          <w:noProof/>
        </w:rPr>
        <w:t>12)</w:t>
      </w:r>
      <w:r>
        <w:rPr>
          <w:noProof/>
        </w:rPr>
        <w:tab/>
      </w:r>
      <w:r w:rsidR="00AD62E2" w:rsidRPr="002F16A1">
        <w:rPr>
          <w:noProof/>
        </w:rPr>
        <w:t>„zdolność Unii</w:t>
      </w:r>
      <w:r w:rsidRPr="002F16A1">
        <w:rPr>
          <w:noProof/>
        </w:rPr>
        <w:t xml:space="preserve"> w</w:t>
      </w:r>
      <w:r>
        <w:rPr>
          <w:noProof/>
        </w:rPr>
        <w:t> </w:t>
      </w:r>
      <w:r w:rsidRPr="002F16A1">
        <w:rPr>
          <w:noProof/>
        </w:rPr>
        <w:t>zak</w:t>
      </w:r>
      <w:r w:rsidR="00AD62E2" w:rsidRPr="002F16A1">
        <w:rPr>
          <w:noProof/>
        </w:rPr>
        <w:t>resie recyklingu” oznacza łączną maksymalną roczną wielkość produkcji pochodzącej</w:t>
      </w:r>
      <w:r w:rsidRPr="002F16A1">
        <w:rPr>
          <w:noProof/>
        </w:rPr>
        <w:t xml:space="preserve"> z</w:t>
      </w:r>
      <w:r>
        <w:rPr>
          <w:noProof/>
        </w:rPr>
        <w:t> </w:t>
      </w:r>
      <w:r w:rsidRPr="002F16A1">
        <w:rPr>
          <w:noProof/>
        </w:rPr>
        <w:t>dzi</w:t>
      </w:r>
      <w:r w:rsidR="00AD62E2" w:rsidRPr="002F16A1">
        <w:rPr>
          <w:noProof/>
        </w:rPr>
        <w:t>ałalności</w:t>
      </w:r>
      <w:r w:rsidRPr="002F16A1">
        <w:rPr>
          <w:noProof/>
        </w:rPr>
        <w:t xml:space="preserve"> w</w:t>
      </w:r>
      <w:r>
        <w:rPr>
          <w:noProof/>
        </w:rPr>
        <w:t> </w:t>
      </w:r>
      <w:r w:rsidRPr="002F16A1">
        <w:rPr>
          <w:noProof/>
        </w:rPr>
        <w:t>zak</w:t>
      </w:r>
      <w:r w:rsidR="00AD62E2" w:rsidRPr="002F16A1">
        <w:rPr>
          <w:noProof/>
        </w:rPr>
        <w:t>resie recyklingu surowców strategicznych,</w:t>
      </w:r>
      <w:r w:rsidRPr="002F16A1">
        <w:rPr>
          <w:noProof/>
        </w:rPr>
        <w:t xml:space="preserve"> w</w:t>
      </w:r>
      <w:r>
        <w:rPr>
          <w:noProof/>
        </w:rPr>
        <w:t> </w:t>
      </w:r>
      <w:r w:rsidRPr="002F16A1">
        <w:rPr>
          <w:noProof/>
        </w:rPr>
        <w:t>tym</w:t>
      </w:r>
      <w:r w:rsidR="00AD62E2" w:rsidRPr="002F16A1">
        <w:rPr>
          <w:noProof/>
        </w:rPr>
        <w:t xml:space="preserve"> sortowania</w:t>
      </w:r>
      <w:r w:rsidRPr="002F16A1">
        <w:rPr>
          <w:noProof/>
        </w:rPr>
        <w:t xml:space="preserve"> i</w:t>
      </w:r>
      <w:r>
        <w:rPr>
          <w:noProof/>
        </w:rPr>
        <w:t> </w:t>
      </w:r>
      <w:r w:rsidRPr="002F16A1">
        <w:rPr>
          <w:noProof/>
        </w:rPr>
        <w:t>obr</w:t>
      </w:r>
      <w:r w:rsidR="00AD62E2" w:rsidRPr="002F16A1">
        <w:rPr>
          <w:noProof/>
        </w:rPr>
        <w:t>óbki wstępnej odpadów</w:t>
      </w:r>
      <w:r w:rsidRPr="002F16A1">
        <w:rPr>
          <w:noProof/>
        </w:rPr>
        <w:t xml:space="preserve"> i</w:t>
      </w:r>
      <w:r>
        <w:rPr>
          <w:noProof/>
        </w:rPr>
        <w:t> </w:t>
      </w:r>
      <w:r w:rsidRPr="002F16A1">
        <w:rPr>
          <w:noProof/>
        </w:rPr>
        <w:t>ich</w:t>
      </w:r>
      <w:r w:rsidR="00AD62E2" w:rsidRPr="002F16A1">
        <w:rPr>
          <w:noProof/>
        </w:rPr>
        <w:t xml:space="preserve"> przetwarzania</w:t>
      </w:r>
      <w:r w:rsidRPr="002F16A1">
        <w:rPr>
          <w:noProof/>
        </w:rPr>
        <w:t xml:space="preserve"> w</w:t>
      </w:r>
      <w:r>
        <w:rPr>
          <w:noProof/>
        </w:rPr>
        <w:t> </w:t>
      </w:r>
      <w:r w:rsidRPr="002F16A1">
        <w:rPr>
          <w:noProof/>
        </w:rPr>
        <w:t>sur</w:t>
      </w:r>
      <w:r w:rsidR="00AD62E2" w:rsidRPr="002F16A1">
        <w:rPr>
          <w:noProof/>
        </w:rPr>
        <w:t>owce wtórne, mającej miejsce</w:t>
      </w:r>
      <w:r w:rsidRPr="002F16A1">
        <w:rPr>
          <w:noProof/>
        </w:rPr>
        <w:t xml:space="preserve"> w</w:t>
      </w:r>
      <w:r>
        <w:rPr>
          <w:noProof/>
        </w:rPr>
        <w:t> </w:t>
      </w:r>
      <w:r w:rsidRPr="002F16A1">
        <w:rPr>
          <w:noProof/>
        </w:rPr>
        <w:t>Uni</w:t>
      </w:r>
      <w:r w:rsidR="00AD62E2" w:rsidRPr="002F16A1">
        <w:rPr>
          <w:noProof/>
        </w:rPr>
        <w:t>i;</w:t>
      </w:r>
    </w:p>
    <w:p w:rsidR="00AD62E2" w:rsidRPr="0028384B" w:rsidRDefault="0028384B" w:rsidP="0028384B">
      <w:pPr>
        <w:pStyle w:val="Point1"/>
        <w:rPr>
          <w:noProof/>
        </w:rPr>
      </w:pPr>
      <w:r>
        <w:rPr>
          <w:noProof/>
        </w:rPr>
        <w:t>13)</w:t>
      </w:r>
      <w:r>
        <w:rPr>
          <w:noProof/>
        </w:rPr>
        <w:tab/>
      </w:r>
      <w:r w:rsidR="00AD62E2" w:rsidRPr="002F16A1">
        <w:rPr>
          <w:noProof/>
        </w:rPr>
        <w:t>„roczne zużycie surowców strategicznych” oznacza łączną ilość surowców strategicznych zużywanych przez przedsiębiorstwa mające siedzibę</w:t>
      </w:r>
      <w:r w:rsidRPr="002F16A1">
        <w:rPr>
          <w:noProof/>
        </w:rPr>
        <w:t xml:space="preserve"> w</w:t>
      </w:r>
      <w:r>
        <w:rPr>
          <w:noProof/>
        </w:rPr>
        <w:t> </w:t>
      </w:r>
      <w:r w:rsidRPr="002F16A1">
        <w:rPr>
          <w:noProof/>
        </w:rPr>
        <w:t>Uni</w:t>
      </w:r>
      <w:r w:rsidR="00AD62E2" w:rsidRPr="002F16A1">
        <w:rPr>
          <w:noProof/>
        </w:rPr>
        <w:t>i</w:t>
      </w:r>
      <w:r w:rsidRPr="002F16A1">
        <w:rPr>
          <w:noProof/>
        </w:rPr>
        <w:t xml:space="preserve"> w</w:t>
      </w:r>
      <w:r>
        <w:rPr>
          <w:noProof/>
        </w:rPr>
        <w:t> </w:t>
      </w:r>
      <w:r w:rsidRPr="002F16A1">
        <w:rPr>
          <w:noProof/>
        </w:rPr>
        <w:t>for</w:t>
      </w:r>
      <w:r w:rsidR="00AD62E2" w:rsidRPr="002F16A1">
        <w:rPr>
          <w:noProof/>
        </w:rPr>
        <w:t>mie przetworzonej,</w:t>
      </w:r>
      <w:r w:rsidRPr="002F16A1">
        <w:rPr>
          <w:noProof/>
        </w:rPr>
        <w:t xml:space="preserve"> z</w:t>
      </w:r>
      <w:r>
        <w:rPr>
          <w:noProof/>
        </w:rPr>
        <w:t> </w:t>
      </w:r>
      <w:r w:rsidRPr="002F16A1">
        <w:rPr>
          <w:noProof/>
        </w:rPr>
        <w:t>wył</w:t>
      </w:r>
      <w:r w:rsidR="00AD62E2" w:rsidRPr="002F16A1">
        <w:rPr>
          <w:noProof/>
        </w:rPr>
        <w:t>ączeniem surowców strategicznych wbudowanych</w:t>
      </w:r>
      <w:r w:rsidRPr="002F16A1">
        <w:rPr>
          <w:noProof/>
        </w:rPr>
        <w:t xml:space="preserve"> w</w:t>
      </w:r>
      <w:r>
        <w:rPr>
          <w:noProof/>
        </w:rPr>
        <w:t> </w:t>
      </w:r>
      <w:r w:rsidRPr="002F16A1">
        <w:rPr>
          <w:noProof/>
        </w:rPr>
        <w:t>pro</w:t>
      </w:r>
      <w:r w:rsidR="00AD62E2" w:rsidRPr="002F16A1">
        <w:rPr>
          <w:noProof/>
        </w:rPr>
        <w:t xml:space="preserve">dukty pośrednie lub końcowe </w:t>
      </w:r>
      <w:r w:rsidR="00AD62E2" w:rsidRPr="002F16A1">
        <w:rPr>
          <w:rStyle w:val="ui-provider"/>
          <w:noProof/>
        </w:rPr>
        <w:t>wprowadzane do obrotu</w:t>
      </w:r>
      <w:r w:rsidRPr="002F16A1">
        <w:rPr>
          <w:rStyle w:val="ui-provider"/>
          <w:noProof/>
        </w:rPr>
        <w:t xml:space="preserve"> w</w:t>
      </w:r>
      <w:r>
        <w:rPr>
          <w:rStyle w:val="ui-provider"/>
          <w:noProof/>
        </w:rPr>
        <w:t> </w:t>
      </w:r>
      <w:r w:rsidRPr="002F16A1">
        <w:rPr>
          <w:rStyle w:val="ui-provider"/>
          <w:noProof/>
        </w:rPr>
        <w:t>Uni</w:t>
      </w:r>
      <w:r w:rsidR="00AD62E2" w:rsidRPr="002F16A1">
        <w:rPr>
          <w:rStyle w:val="ui-provider"/>
          <w:noProof/>
        </w:rPr>
        <w:t>i</w:t>
      </w:r>
      <w:r w:rsidR="00AD62E2" w:rsidRPr="0028384B">
        <w:rPr>
          <w:noProof/>
        </w:rPr>
        <w:t>;</w:t>
      </w:r>
      <w:r w:rsidRPr="0028384B">
        <w:rPr>
          <w:noProof/>
        </w:rPr>
        <w:t xml:space="preserve"> </w:t>
      </w:r>
    </w:p>
    <w:p w:rsidR="00AD62E2" w:rsidRPr="002F16A1" w:rsidRDefault="0028384B" w:rsidP="0028384B">
      <w:pPr>
        <w:pStyle w:val="Point1"/>
        <w:rPr>
          <w:noProof/>
        </w:rPr>
      </w:pPr>
      <w:r>
        <w:rPr>
          <w:noProof/>
        </w:rPr>
        <w:t>14)</w:t>
      </w:r>
      <w:r>
        <w:rPr>
          <w:noProof/>
        </w:rPr>
        <w:tab/>
      </w:r>
      <w:r w:rsidR="00AD62E2" w:rsidRPr="002F16A1">
        <w:rPr>
          <w:noProof/>
        </w:rPr>
        <w:t>„ryzyko związane</w:t>
      </w:r>
      <w:r w:rsidRPr="002F16A1">
        <w:rPr>
          <w:noProof/>
        </w:rPr>
        <w:t xml:space="preserve"> z</w:t>
      </w:r>
      <w:r>
        <w:rPr>
          <w:noProof/>
        </w:rPr>
        <w:t> </w:t>
      </w:r>
      <w:r w:rsidRPr="002F16A1">
        <w:rPr>
          <w:noProof/>
        </w:rPr>
        <w:t>dos</w:t>
      </w:r>
      <w:r w:rsidR="00AD62E2" w:rsidRPr="002F16A1">
        <w:rPr>
          <w:noProof/>
        </w:rPr>
        <w:t>tawami” oznacza ryzyko związane</w:t>
      </w:r>
      <w:r w:rsidRPr="002F16A1">
        <w:rPr>
          <w:noProof/>
        </w:rPr>
        <w:t xml:space="preserve"> z</w:t>
      </w:r>
      <w:r>
        <w:rPr>
          <w:noProof/>
        </w:rPr>
        <w:t> </w:t>
      </w:r>
      <w:r w:rsidRPr="002F16A1">
        <w:rPr>
          <w:noProof/>
        </w:rPr>
        <w:t>dos</w:t>
      </w:r>
      <w:r w:rsidR="00AD62E2" w:rsidRPr="002F16A1">
        <w:rPr>
          <w:noProof/>
        </w:rPr>
        <w:t>tawami obliczone zgodnie</w:t>
      </w:r>
      <w:r w:rsidRPr="002F16A1">
        <w:rPr>
          <w:noProof/>
        </w:rPr>
        <w:t xml:space="preserve"> z</w:t>
      </w:r>
      <w:r>
        <w:rPr>
          <w:noProof/>
        </w:rPr>
        <w:t> </w:t>
      </w:r>
      <w:r w:rsidRPr="002F16A1">
        <w:rPr>
          <w:noProof/>
        </w:rPr>
        <w:t>zał</w:t>
      </w:r>
      <w:r w:rsidR="00AD62E2" w:rsidRPr="002F16A1">
        <w:rPr>
          <w:noProof/>
        </w:rPr>
        <w:t>ącznikiem II; </w:t>
      </w:r>
    </w:p>
    <w:p w:rsidR="00AD62E2" w:rsidRPr="002F16A1" w:rsidRDefault="0028384B" w:rsidP="0028384B">
      <w:pPr>
        <w:pStyle w:val="Point1"/>
        <w:rPr>
          <w:noProof/>
        </w:rPr>
      </w:pPr>
      <w:r>
        <w:rPr>
          <w:noProof/>
        </w:rPr>
        <w:t>15)</w:t>
      </w:r>
      <w:r>
        <w:rPr>
          <w:noProof/>
        </w:rPr>
        <w:tab/>
      </w:r>
      <w:r w:rsidR="00AD62E2" w:rsidRPr="002F16A1">
        <w:rPr>
          <w:noProof/>
        </w:rPr>
        <w:t>„projekt dotyczący surowców” oznacza dowolny planowany obiekt lub dowolną planowaną znaczną rozbudowę lub zmianę przeznaczenia istniejącego obiektu,</w:t>
      </w:r>
      <w:r w:rsidRPr="002F16A1">
        <w:rPr>
          <w:noProof/>
        </w:rPr>
        <w:t xml:space="preserve"> w</w:t>
      </w:r>
      <w:r>
        <w:rPr>
          <w:noProof/>
        </w:rPr>
        <w:t> </w:t>
      </w:r>
      <w:r w:rsidRPr="002F16A1">
        <w:rPr>
          <w:noProof/>
        </w:rPr>
        <w:t>któ</w:t>
      </w:r>
      <w:r w:rsidR="00AD62E2" w:rsidRPr="002F16A1">
        <w:rPr>
          <w:noProof/>
        </w:rPr>
        <w:t>rym prowadzona jest działalność wydobywcza, przetwórcza lub</w:t>
      </w:r>
      <w:r w:rsidRPr="002F16A1">
        <w:rPr>
          <w:noProof/>
        </w:rPr>
        <w:t xml:space="preserve"> w</w:t>
      </w:r>
      <w:r>
        <w:rPr>
          <w:noProof/>
        </w:rPr>
        <w:t> </w:t>
      </w:r>
      <w:r w:rsidRPr="002F16A1">
        <w:rPr>
          <w:noProof/>
        </w:rPr>
        <w:t>zak</w:t>
      </w:r>
      <w:r w:rsidR="00AD62E2" w:rsidRPr="002F16A1">
        <w:rPr>
          <w:noProof/>
        </w:rPr>
        <w:t>resie recyklingu surowców;</w:t>
      </w:r>
    </w:p>
    <w:p w:rsidR="00AD62E2" w:rsidRPr="002F16A1" w:rsidRDefault="0028384B" w:rsidP="0028384B">
      <w:pPr>
        <w:pStyle w:val="Point1"/>
        <w:rPr>
          <w:noProof/>
        </w:rPr>
      </w:pPr>
      <w:r>
        <w:rPr>
          <w:noProof/>
        </w:rPr>
        <w:t>16)</w:t>
      </w:r>
      <w:r>
        <w:rPr>
          <w:noProof/>
        </w:rPr>
        <w:tab/>
      </w:r>
      <w:r w:rsidR="00AD62E2" w:rsidRPr="002F16A1">
        <w:rPr>
          <w:noProof/>
        </w:rPr>
        <w:t>„odbiorca” oznacza przedsiębiorstwo, które zawarło umowę odbioru</w:t>
      </w:r>
      <w:r w:rsidRPr="002F16A1">
        <w:rPr>
          <w:noProof/>
        </w:rPr>
        <w:t xml:space="preserve"> z</w:t>
      </w:r>
      <w:r>
        <w:rPr>
          <w:noProof/>
        </w:rPr>
        <w:t> </w:t>
      </w:r>
      <w:r w:rsidRPr="002F16A1">
        <w:rPr>
          <w:noProof/>
        </w:rPr>
        <w:t>pro</w:t>
      </w:r>
      <w:r w:rsidR="00AD62E2" w:rsidRPr="002F16A1">
        <w:rPr>
          <w:noProof/>
        </w:rPr>
        <w:t>motorem projektu;</w:t>
      </w:r>
    </w:p>
    <w:p w:rsidR="00AD62E2" w:rsidRPr="002F16A1" w:rsidRDefault="0028384B" w:rsidP="0028384B">
      <w:pPr>
        <w:pStyle w:val="Point1"/>
        <w:rPr>
          <w:noProof/>
        </w:rPr>
      </w:pPr>
      <w:r>
        <w:rPr>
          <w:noProof/>
        </w:rPr>
        <w:t>17)</w:t>
      </w:r>
      <w:r>
        <w:rPr>
          <w:noProof/>
        </w:rPr>
        <w:tab/>
      </w:r>
      <w:r w:rsidR="00AD62E2" w:rsidRPr="002F16A1">
        <w:rPr>
          <w:noProof/>
        </w:rPr>
        <w:t>„umowa odbioru” oznacza dowolną umowę między przedsiębiorstwem</w:t>
      </w:r>
      <w:r w:rsidRPr="002F16A1">
        <w:rPr>
          <w:noProof/>
        </w:rPr>
        <w:t xml:space="preserve"> a</w:t>
      </w:r>
      <w:r>
        <w:rPr>
          <w:noProof/>
        </w:rPr>
        <w:t> </w:t>
      </w:r>
      <w:r w:rsidRPr="002F16A1">
        <w:rPr>
          <w:noProof/>
        </w:rPr>
        <w:t>pro</w:t>
      </w:r>
      <w:r w:rsidR="00AD62E2" w:rsidRPr="002F16A1">
        <w:rPr>
          <w:noProof/>
        </w:rPr>
        <w:t>motorem projektu zawierającą zobowiązanie ze strony przedsiębiorstwa polegające na zamawianiu części surowców produkowanych</w:t>
      </w:r>
      <w:r w:rsidRPr="002F16A1">
        <w:rPr>
          <w:noProof/>
        </w:rPr>
        <w:t xml:space="preserve"> w</w:t>
      </w:r>
      <w:r>
        <w:rPr>
          <w:noProof/>
        </w:rPr>
        <w:t> </w:t>
      </w:r>
      <w:r w:rsidRPr="002F16A1">
        <w:rPr>
          <w:noProof/>
        </w:rPr>
        <w:t>ram</w:t>
      </w:r>
      <w:r w:rsidR="00AD62E2" w:rsidRPr="002F16A1">
        <w:rPr>
          <w:noProof/>
        </w:rPr>
        <w:t>ach konkretnego projektu dotyczącego surowców przez określony czas albo zobowiązanie ze strony promotora projektu polegające na zapewnieniu przedsiębiorstwu możliwości takiego zamawiania;</w:t>
      </w:r>
    </w:p>
    <w:p w:rsidR="00AD62E2" w:rsidRPr="002F16A1" w:rsidRDefault="0028384B" w:rsidP="0028384B">
      <w:pPr>
        <w:pStyle w:val="Point1"/>
        <w:rPr>
          <w:noProof/>
        </w:rPr>
      </w:pPr>
      <w:r>
        <w:rPr>
          <w:noProof/>
        </w:rPr>
        <w:t>18)</w:t>
      </w:r>
      <w:r>
        <w:rPr>
          <w:noProof/>
        </w:rPr>
        <w:tab/>
      </w:r>
      <w:r w:rsidR="00AD62E2" w:rsidRPr="002F16A1">
        <w:rPr>
          <w:noProof/>
        </w:rPr>
        <w:t>„promotor projektu” oznacza dowolne przedsiębiorstwo lub konsorcjum przedsiębiorstw opracowujące projekt dotyczący surowców;</w:t>
      </w:r>
    </w:p>
    <w:p w:rsidR="00AD62E2" w:rsidRPr="002F16A1" w:rsidRDefault="0028384B" w:rsidP="0028384B">
      <w:pPr>
        <w:pStyle w:val="Point1"/>
        <w:rPr>
          <w:noProof/>
        </w:rPr>
      </w:pPr>
      <w:r>
        <w:rPr>
          <w:noProof/>
        </w:rPr>
        <w:t>19)</w:t>
      </w:r>
      <w:r>
        <w:rPr>
          <w:noProof/>
        </w:rPr>
        <w:tab/>
      </w:r>
      <w:r w:rsidR="00AD62E2" w:rsidRPr="002F16A1">
        <w:rPr>
          <w:noProof/>
        </w:rPr>
        <w:t>„proces wydawania pozwoleń” oznacza proces obejmujący wszystkie odpowiednie pozwolenia administracyjne na planowanie, realizację</w:t>
      </w:r>
      <w:r w:rsidRPr="002F16A1">
        <w:rPr>
          <w:noProof/>
        </w:rPr>
        <w:t xml:space="preserve"> i</w:t>
      </w:r>
      <w:r>
        <w:rPr>
          <w:noProof/>
        </w:rPr>
        <w:t> </w:t>
      </w:r>
      <w:r w:rsidRPr="002F16A1">
        <w:rPr>
          <w:noProof/>
        </w:rPr>
        <w:t>eks</w:t>
      </w:r>
      <w:r w:rsidR="00AD62E2" w:rsidRPr="002F16A1">
        <w:rPr>
          <w:noProof/>
        </w:rPr>
        <w:t>ploatację projektów strategicznych,</w:t>
      </w:r>
      <w:r w:rsidRPr="002F16A1">
        <w:rPr>
          <w:noProof/>
        </w:rPr>
        <w:t xml:space="preserve"> o</w:t>
      </w:r>
      <w:r>
        <w:rPr>
          <w:noProof/>
        </w:rPr>
        <w:t> </w:t>
      </w:r>
      <w:r w:rsidRPr="002F16A1">
        <w:rPr>
          <w:noProof/>
        </w:rPr>
        <w:t>któ</w:t>
      </w:r>
      <w:r w:rsidR="00AD62E2" w:rsidRPr="002F16A1">
        <w:rPr>
          <w:noProof/>
        </w:rPr>
        <w:t>rych mowa</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5</w:t>
      </w:r>
      <w:r w:rsidR="00AD62E2" w:rsidRPr="002F16A1">
        <w:rPr>
          <w:noProof/>
        </w:rPr>
        <w:t>,</w:t>
      </w:r>
      <w:r w:rsidRPr="002F16A1">
        <w:rPr>
          <w:noProof/>
        </w:rPr>
        <w:t xml:space="preserve"> w</w:t>
      </w:r>
      <w:r>
        <w:rPr>
          <w:noProof/>
        </w:rPr>
        <w:t> </w:t>
      </w:r>
      <w:r w:rsidRPr="002F16A1">
        <w:rPr>
          <w:noProof/>
        </w:rPr>
        <w:t>tym</w:t>
      </w:r>
      <w:r w:rsidR="00AD62E2" w:rsidRPr="002F16A1">
        <w:rPr>
          <w:noProof/>
        </w:rPr>
        <w:t xml:space="preserve"> pozwolenia na budowę, pozwolenia</w:t>
      </w:r>
      <w:r w:rsidRPr="002F16A1">
        <w:rPr>
          <w:noProof/>
        </w:rPr>
        <w:t xml:space="preserve"> w</w:t>
      </w:r>
      <w:r>
        <w:rPr>
          <w:noProof/>
        </w:rPr>
        <w:t> </w:t>
      </w:r>
      <w:r w:rsidRPr="002F16A1">
        <w:rPr>
          <w:noProof/>
        </w:rPr>
        <w:t>zak</w:t>
      </w:r>
      <w:r w:rsidR="00AD62E2" w:rsidRPr="002F16A1">
        <w:rPr>
          <w:noProof/>
        </w:rPr>
        <w:t>resie chemikaliów</w:t>
      </w:r>
      <w:r w:rsidRPr="002F16A1">
        <w:rPr>
          <w:noProof/>
        </w:rPr>
        <w:t xml:space="preserve"> i</w:t>
      </w:r>
      <w:r>
        <w:rPr>
          <w:noProof/>
        </w:rPr>
        <w:t> </w:t>
      </w:r>
      <w:r w:rsidRPr="002F16A1">
        <w:rPr>
          <w:noProof/>
        </w:rPr>
        <w:t>poz</w:t>
      </w:r>
      <w:r w:rsidR="00AD62E2" w:rsidRPr="002F16A1">
        <w:rPr>
          <w:noProof/>
        </w:rPr>
        <w:t>wolenia na podłączenie do sieci oraz oceny wpływu na środowisko</w:t>
      </w:r>
      <w:r w:rsidRPr="002F16A1">
        <w:rPr>
          <w:noProof/>
        </w:rPr>
        <w:t xml:space="preserve"> i</w:t>
      </w:r>
      <w:r>
        <w:rPr>
          <w:noProof/>
        </w:rPr>
        <w:t> </w:t>
      </w:r>
      <w:r w:rsidRPr="002F16A1">
        <w:rPr>
          <w:noProof/>
        </w:rPr>
        <w:t>poz</w:t>
      </w:r>
      <w:r w:rsidR="00AD62E2" w:rsidRPr="002F16A1">
        <w:rPr>
          <w:noProof/>
        </w:rPr>
        <w:t>wolenia środowiskowe, jeżeli są wymagane,</w:t>
      </w:r>
      <w:r w:rsidRPr="002F16A1">
        <w:rPr>
          <w:noProof/>
        </w:rPr>
        <w:t xml:space="preserve"> a</w:t>
      </w:r>
      <w:r>
        <w:rPr>
          <w:noProof/>
        </w:rPr>
        <w:t> </w:t>
      </w:r>
      <w:r w:rsidRPr="002F16A1">
        <w:rPr>
          <w:noProof/>
        </w:rPr>
        <w:t>tak</w:t>
      </w:r>
      <w:r w:rsidR="00AD62E2" w:rsidRPr="002F16A1">
        <w:rPr>
          <w:noProof/>
        </w:rPr>
        <w:t>że obejmujący wszystkie wnioski</w:t>
      </w:r>
      <w:r w:rsidRPr="002F16A1">
        <w:rPr>
          <w:noProof/>
        </w:rPr>
        <w:t xml:space="preserve"> i</w:t>
      </w:r>
      <w:r>
        <w:rPr>
          <w:noProof/>
        </w:rPr>
        <w:t> </w:t>
      </w:r>
      <w:r w:rsidRPr="002F16A1">
        <w:rPr>
          <w:noProof/>
        </w:rPr>
        <w:t>pro</w:t>
      </w:r>
      <w:r w:rsidR="00AD62E2" w:rsidRPr="002F16A1">
        <w:rPr>
          <w:noProof/>
        </w:rPr>
        <w:t>cedury administracyjne od potwierdzenia ważności wniosku do powiadomienia</w:t>
      </w:r>
      <w:r w:rsidRPr="002F16A1">
        <w:rPr>
          <w:noProof/>
        </w:rPr>
        <w:t xml:space="preserve"> o</w:t>
      </w:r>
      <w:r>
        <w:rPr>
          <w:noProof/>
        </w:rPr>
        <w:t> </w:t>
      </w:r>
      <w:r w:rsidRPr="002F16A1">
        <w:rPr>
          <w:noProof/>
        </w:rPr>
        <w:t>kom</w:t>
      </w:r>
      <w:r w:rsidR="00AD62E2" w:rsidRPr="002F16A1">
        <w:rPr>
          <w:noProof/>
        </w:rPr>
        <w:t>pleksowej decyzji</w:t>
      </w:r>
      <w:r w:rsidRPr="002F16A1">
        <w:rPr>
          <w:noProof/>
        </w:rPr>
        <w:t xml:space="preserve"> w</w:t>
      </w:r>
      <w:r>
        <w:rPr>
          <w:noProof/>
        </w:rPr>
        <w:t> </w:t>
      </w:r>
      <w:r w:rsidRPr="002F16A1">
        <w:rPr>
          <w:noProof/>
        </w:rPr>
        <w:t>spr</w:t>
      </w:r>
      <w:r w:rsidR="00AD62E2" w:rsidRPr="002F16A1">
        <w:rPr>
          <w:noProof/>
        </w:rPr>
        <w:t>awie wyniku procedury przez odpowiedzialny właściwy organ krajowy,</w:t>
      </w:r>
      <w:r w:rsidRPr="002F16A1">
        <w:rPr>
          <w:noProof/>
        </w:rPr>
        <w:t xml:space="preserve"> o</w:t>
      </w:r>
      <w:r>
        <w:rPr>
          <w:noProof/>
        </w:rPr>
        <w:t> </w:t>
      </w:r>
      <w:r w:rsidRPr="002F16A1">
        <w:rPr>
          <w:noProof/>
        </w:rPr>
        <w:t>któ</w:t>
      </w:r>
      <w:r w:rsidR="00AD62E2" w:rsidRPr="002F16A1">
        <w:rPr>
          <w:noProof/>
        </w:rPr>
        <w:t>rym mowa</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8</w:t>
      </w:r>
      <w:r w:rsidR="00AD62E2" w:rsidRPr="002F16A1">
        <w:rPr>
          <w:noProof/>
        </w:rPr>
        <w:t xml:space="preserve"> </w:t>
      </w:r>
      <w:r w:rsidR="00AD62E2" w:rsidRPr="0028384B">
        <w:rPr>
          <w:noProof/>
        </w:rPr>
        <w:t>ust.</w:t>
      </w:r>
      <w:r w:rsidRPr="0028384B">
        <w:rPr>
          <w:noProof/>
        </w:rPr>
        <w:t> </w:t>
      </w:r>
      <w:r w:rsidR="00AD62E2" w:rsidRPr="0028384B">
        <w:rPr>
          <w:noProof/>
        </w:rPr>
        <w:t>1</w:t>
      </w:r>
      <w:r w:rsidR="00AD62E2" w:rsidRPr="002F16A1">
        <w:rPr>
          <w:noProof/>
        </w:rPr>
        <w:t>;</w:t>
      </w:r>
    </w:p>
    <w:p w:rsidR="00AD62E2" w:rsidRPr="002F16A1" w:rsidRDefault="0028384B" w:rsidP="0028384B">
      <w:pPr>
        <w:pStyle w:val="Point1"/>
        <w:rPr>
          <w:noProof/>
        </w:rPr>
      </w:pPr>
      <w:r>
        <w:rPr>
          <w:noProof/>
        </w:rPr>
        <w:t>20)</w:t>
      </w:r>
      <w:r>
        <w:rPr>
          <w:noProof/>
        </w:rPr>
        <w:tab/>
      </w:r>
      <w:r w:rsidR="00AD62E2" w:rsidRPr="002F16A1">
        <w:rPr>
          <w:noProof/>
        </w:rPr>
        <w:t xml:space="preserve"> „kompleksowa decyzja” oznacza decyzję lub zestaw decyzji podjętych przez organy państwa członkowskiego</w:t>
      </w:r>
      <w:r w:rsidRPr="002F16A1">
        <w:rPr>
          <w:noProof/>
        </w:rPr>
        <w:t xml:space="preserve"> z</w:t>
      </w:r>
      <w:r>
        <w:rPr>
          <w:noProof/>
        </w:rPr>
        <w:t> </w:t>
      </w:r>
      <w:r w:rsidRPr="002F16A1">
        <w:rPr>
          <w:noProof/>
        </w:rPr>
        <w:t>wył</w:t>
      </w:r>
      <w:r w:rsidR="00AD62E2" w:rsidRPr="002F16A1">
        <w:rPr>
          <w:noProof/>
        </w:rPr>
        <w:t>ączeniem sądów lub trybunałów, określającą lub określających, czy promotor projektu jest upoważniony do wdrażania projektu dotyczącego surowców, bez uszczerbku dla jakiejkolwiek decyzji podjętej</w:t>
      </w:r>
      <w:r w:rsidRPr="002F16A1">
        <w:rPr>
          <w:noProof/>
        </w:rPr>
        <w:t xml:space="preserve"> w</w:t>
      </w:r>
      <w:r>
        <w:rPr>
          <w:noProof/>
        </w:rPr>
        <w:t> </w:t>
      </w:r>
      <w:r w:rsidRPr="002F16A1">
        <w:rPr>
          <w:noProof/>
        </w:rPr>
        <w:t>kon</w:t>
      </w:r>
      <w:r w:rsidR="00AD62E2" w:rsidRPr="002F16A1">
        <w:rPr>
          <w:noProof/>
        </w:rPr>
        <w:t>tekście administracyjnej procedury odwoławczej;</w:t>
      </w:r>
    </w:p>
    <w:p w:rsidR="00AD62E2" w:rsidRPr="002F16A1" w:rsidRDefault="0028384B" w:rsidP="0028384B">
      <w:pPr>
        <w:pStyle w:val="Point1"/>
        <w:rPr>
          <w:noProof/>
        </w:rPr>
      </w:pPr>
      <w:r>
        <w:rPr>
          <w:noProof/>
        </w:rPr>
        <w:t>21)</w:t>
      </w:r>
      <w:r>
        <w:rPr>
          <w:noProof/>
        </w:rPr>
        <w:tab/>
      </w:r>
      <w:r w:rsidR="00AD62E2" w:rsidRPr="002F16A1">
        <w:rPr>
          <w:noProof/>
        </w:rPr>
        <w:t>„poszukiwania ogólne” oznaczają poszukiwania na poziomie krajowym lub regionalnym</w:t>
      </w:r>
      <w:r w:rsidRPr="002F16A1">
        <w:rPr>
          <w:noProof/>
        </w:rPr>
        <w:t xml:space="preserve"> z</w:t>
      </w:r>
      <w:r>
        <w:rPr>
          <w:noProof/>
        </w:rPr>
        <w:t> </w:t>
      </w:r>
      <w:r w:rsidRPr="002F16A1">
        <w:rPr>
          <w:noProof/>
        </w:rPr>
        <w:t>wył</w:t>
      </w:r>
      <w:r w:rsidR="00AD62E2" w:rsidRPr="002F16A1">
        <w:rPr>
          <w:noProof/>
        </w:rPr>
        <w:t>ączeniem poszukiwań ukierunkowanych; </w:t>
      </w:r>
    </w:p>
    <w:p w:rsidR="00AD62E2" w:rsidRPr="002F16A1" w:rsidRDefault="0028384B" w:rsidP="0028384B">
      <w:pPr>
        <w:pStyle w:val="Point1"/>
        <w:rPr>
          <w:noProof/>
        </w:rPr>
      </w:pPr>
      <w:r>
        <w:rPr>
          <w:noProof/>
        </w:rPr>
        <w:t>22)</w:t>
      </w:r>
      <w:r>
        <w:rPr>
          <w:noProof/>
        </w:rPr>
        <w:tab/>
      </w:r>
      <w:r w:rsidR="00AD62E2" w:rsidRPr="002F16A1">
        <w:rPr>
          <w:noProof/>
        </w:rPr>
        <w:t>„poszukiwania ukierunkowane” oznaczają szczegółowe badanie poszczególnych złóż mineralnych;</w:t>
      </w:r>
    </w:p>
    <w:p w:rsidR="00AD62E2" w:rsidRPr="002F16A1" w:rsidRDefault="0028384B" w:rsidP="0028384B">
      <w:pPr>
        <w:pStyle w:val="Point1"/>
        <w:rPr>
          <w:noProof/>
        </w:rPr>
      </w:pPr>
      <w:r>
        <w:rPr>
          <w:noProof/>
        </w:rPr>
        <w:t>23)</w:t>
      </w:r>
      <w:r>
        <w:rPr>
          <w:noProof/>
        </w:rPr>
        <w:tab/>
      </w:r>
      <w:r w:rsidR="00AD62E2" w:rsidRPr="002F16A1">
        <w:rPr>
          <w:noProof/>
        </w:rPr>
        <w:t>„głębokie złoża rud” oznaczają złoża mineralne znajdujące się głębiej</w:t>
      </w:r>
      <w:r w:rsidRPr="002F16A1">
        <w:rPr>
          <w:noProof/>
        </w:rPr>
        <w:t xml:space="preserve"> w</w:t>
      </w:r>
      <w:r>
        <w:rPr>
          <w:noProof/>
        </w:rPr>
        <w:t> </w:t>
      </w:r>
      <w:r w:rsidRPr="002F16A1">
        <w:rPr>
          <w:noProof/>
        </w:rPr>
        <w:t>sko</w:t>
      </w:r>
      <w:r w:rsidR="00AD62E2" w:rsidRPr="002F16A1">
        <w:rPr>
          <w:noProof/>
        </w:rPr>
        <w:t>rupie ziemskiej niż konwencjonalnie eksploatowane złoża rud;</w:t>
      </w:r>
    </w:p>
    <w:p w:rsidR="00AD62E2" w:rsidRPr="002F16A1" w:rsidRDefault="0028384B" w:rsidP="0028384B">
      <w:pPr>
        <w:pStyle w:val="Point1"/>
        <w:rPr>
          <w:noProof/>
        </w:rPr>
      </w:pPr>
      <w:r>
        <w:rPr>
          <w:noProof/>
        </w:rPr>
        <w:t>24)</w:t>
      </w:r>
      <w:r>
        <w:rPr>
          <w:noProof/>
        </w:rPr>
        <w:tab/>
      </w:r>
      <w:r w:rsidR="00AD62E2" w:rsidRPr="002F16A1">
        <w:rPr>
          <w:noProof/>
        </w:rPr>
        <w:t>„mapa predykcyjna” oznacza mapę wskazującą obszary, na których mogą występować złoża mineralne danego surowca;</w:t>
      </w:r>
    </w:p>
    <w:p w:rsidR="00AD62E2" w:rsidRPr="002F16A1" w:rsidRDefault="0028384B" w:rsidP="0028384B">
      <w:pPr>
        <w:pStyle w:val="Point1"/>
        <w:rPr>
          <w:noProof/>
        </w:rPr>
      </w:pPr>
      <w:r>
        <w:rPr>
          <w:noProof/>
        </w:rPr>
        <w:t>25)</w:t>
      </w:r>
      <w:r>
        <w:rPr>
          <w:noProof/>
        </w:rPr>
        <w:tab/>
      </w:r>
      <w:r w:rsidR="00AD62E2" w:rsidRPr="002F16A1">
        <w:rPr>
          <w:noProof/>
        </w:rPr>
        <w:t>„zakłócenie dostaw” oznacza nieprzewidywany znaczny spadek dostępności surowca lub znaczny wzrost ceny surowca;</w:t>
      </w:r>
    </w:p>
    <w:p w:rsidR="00AD62E2" w:rsidRPr="002F16A1" w:rsidRDefault="0028384B" w:rsidP="0028384B">
      <w:pPr>
        <w:pStyle w:val="Point1"/>
        <w:rPr>
          <w:noProof/>
        </w:rPr>
      </w:pPr>
      <w:r>
        <w:rPr>
          <w:noProof/>
        </w:rPr>
        <w:t>26)</w:t>
      </w:r>
      <w:r>
        <w:rPr>
          <w:noProof/>
        </w:rPr>
        <w:tab/>
      </w:r>
      <w:r w:rsidR="00AD62E2" w:rsidRPr="002F16A1">
        <w:rPr>
          <w:noProof/>
        </w:rPr>
        <w:t xml:space="preserve"> „łańcuch dostaw surowców” oznacza wszystkie działania</w:t>
      </w:r>
      <w:r w:rsidRPr="002F16A1">
        <w:rPr>
          <w:noProof/>
        </w:rPr>
        <w:t xml:space="preserve"> i</w:t>
      </w:r>
      <w:r>
        <w:rPr>
          <w:noProof/>
        </w:rPr>
        <w:t> </w:t>
      </w:r>
      <w:r w:rsidRPr="002F16A1">
        <w:rPr>
          <w:noProof/>
        </w:rPr>
        <w:t>pro</w:t>
      </w:r>
      <w:r w:rsidR="00AD62E2" w:rsidRPr="002F16A1">
        <w:rPr>
          <w:noProof/>
        </w:rPr>
        <w:t>cesy</w:t>
      </w:r>
      <w:r w:rsidRPr="002F16A1">
        <w:rPr>
          <w:noProof/>
        </w:rPr>
        <w:t xml:space="preserve"> w</w:t>
      </w:r>
      <w:r>
        <w:rPr>
          <w:noProof/>
        </w:rPr>
        <w:t> </w:t>
      </w:r>
      <w:r w:rsidRPr="002F16A1">
        <w:rPr>
          <w:noProof/>
        </w:rPr>
        <w:t>łań</w:t>
      </w:r>
      <w:r w:rsidR="00AD62E2" w:rsidRPr="002F16A1">
        <w:rPr>
          <w:noProof/>
        </w:rPr>
        <w:t>cuchu wartości surowców do momentu wykorzystania surowca jako materiału wsadowego przy produkcji produktów pośrednich lub końcowych;</w:t>
      </w:r>
    </w:p>
    <w:p w:rsidR="00AD62E2" w:rsidRPr="002F16A1" w:rsidRDefault="0028384B" w:rsidP="0028384B">
      <w:pPr>
        <w:pStyle w:val="Point1"/>
        <w:rPr>
          <w:noProof/>
        </w:rPr>
      </w:pPr>
      <w:r>
        <w:rPr>
          <w:noProof/>
        </w:rPr>
        <w:t>27)</w:t>
      </w:r>
      <w:r>
        <w:rPr>
          <w:noProof/>
        </w:rPr>
        <w:tab/>
      </w:r>
      <w:r w:rsidR="00AD62E2" w:rsidRPr="002F16A1">
        <w:rPr>
          <w:noProof/>
        </w:rPr>
        <w:t>„strategie łagodzące” oznaczają politykę opracowaną przez podmiot gospodarczy służącą ograniczeniu prawdopodobieństwa wystąpienia zakłócenia dostaw</w:t>
      </w:r>
      <w:r w:rsidRPr="002F16A1">
        <w:rPr>
          <w:noProof/>
        </w:rPr>
        <w:t xml:space="preserve"> w</w:t>
      </w:r>
      <w:r>
        <w:rPr>
          <w:noProof/>
        </w:rPr>
        <w:t> </w:t>
      </w:r>
      <w:r w:rsidRPr="002F16A1">
        <w:rPr>
          <w:noProof/>
        </w:rPr>
        <w:t>jeg</w:t>
      </w:r>
      <w:r w:rsidR="00AD62E2" w:rsidRPr="002F16A1">
        <w:rPr>
          <w:noProof/>
        </w:rPr>
        <w:t>o łańcuchu dostaw lub ograniczeniu szkód dla jego działalności gospodarczej spowodowanych przez takie zakłócenie;</w:t>
      </w:r>
    </w:p>
    <w:p w:rsidR="00AD62E2" w:rsidRPr="002F16A1" w:rsidRDefault="0028384B" w:rsidP="0028384B">
      <w:pPr>
        <w:pStyle w:val="Point1"/>
        <w:rPr>
          <w:noProof/>
        </w:rPr>
      </w:pPr>
      <w:r>
        <w:rPr>
          <w:noProof/>
        </w:rPr>
        <w:t>28)</w:t>
      </w:r>
      <w:r>
        <w:rPr>
          <w:noProof/>
        </w:rPr>
        <w:tab/>
      </w:r>
      <w:r w:rsidR="00AD62E2" w:rsidRPr="002F16A1">
        <w:rPr>
          <w:noProof/>
        </w:rPr>
        <w:t>„kluczowi operatorzy rynku” oznaczają producentów biorących udział</w:t>
      </w:r>
      <w:r w:rsidRPr="002F16A1">
        <w:rPr>
          <w:noProof/>
        </w:rPr>
        <w:t xml:space="preserve"> w</w:t>
      </w:r>
      <w:r>
        <w:rPr>
          <w:noProof/>
        </w:rPr>
        <w:t> </w:t>
      </w:r>
      <w:r w:rsidRPr="002F16A1">
        <w:rPr>
          <w:noProof/>
        </w:rPr>
        <w:t>wyd</w:t>
      </w:r>
      <w:r w:rsidR="00AD62E2" w:rsidRPr="002F16A1">
        <w:rPr>
          <w:noProof/>
        </w:rPr>
        <w:t>obyciu, przetwarzaniu lub recyklingu surowców krytycznych, handlowców</w:t>
      </w:r>
      <w:r w:rsidRPr="002F16A1">
        <w:rPr>
          <w:noProof/>
        </w:rPr>
        <w:t xml:space="preserve"> i</w:t>
      </w:r>
      <w:r>
        <w:rPr>
          <w:noProof/>
        </w:rPr>
        <w:t> </w:t>
      </w:r>
      <w:r w:rsidRPr="002F16A1">
        <w:rPr>
          <w:noProof/>
        </w:rPr>
        <w:t>dys</w:t>
      </w:r>
      <w:r w:rsidR="00AD62E2" w:rsidRPr="002F16A1">
        <w:rPr>
          <w:noProof/>
        </w:rPr>
        <w:t>trybutorów surowców krytycznych, oraz przedsiębiorstwa na kolejnych szczeblach wykorzystujące znaczne ilości surowców krytycznych;</w:t>
      </w:r>
    </w:p>
    <w:p w:rsidR="00AD62E2" w:rsidRPr="002F16A1" w:rsidRDefault="0028384B" w:rsidP="0028384B">
      <w:pPr>
        <w:pStyle w:val="Point1"/>
        <w:rPr>
          <w:noProof/>
        </w:rPr>
      </w:pPr>
      <w:r>
        <w:rPr>
          <w:noProof/>
        </w:rPr>
        <w:t>29)</w:t>
      </w:r>
      <w:r>
        <w:rPr>
          <w:noProof/>
        </w:rPr>
        <w:tab/>
      </w:r>
      <w:r w:rsidR="00AD62E2" w:rsidRPr="002F16A1">
        <w:rPr>
          <w:noProof/>
        </w:rPr>
        <w:t>„zapasy strategiczne” oznaczają pewną ilość danego surowca</w:t>
      </w:r>
      <w:r w:rsidRPr="002F16A1">
        <w:rPr>
          <w:noProof/>
        </w:rPr>
        <w:t xml:space="preserve"> w</w:t>
      </w:r>
      <w:r>
        <w:rPr>
          <w:noProof/>
        </w:rPr>
        <w:t> </w:t>
      </w:r>
      <w:r w:rsidRPr="002F16A1">
        <w:rPr>
          <w:noProof/>
        </w:rPr>
        <w:t>dow</w:t>
      </w:r>
      <w:r w:rsidR="00AD62E2" w:rsidRPr="002F16A1">
        <w:rPr>
          <w:noProof/>
        </w:rPr>
        <w:t>olnej formie, przechowywaną przez podmiot publiczny lub prywatny</w:t>
      </w:r>
      <w:r w:rsidRPr="002F16A1">
        <w:rPr>
          <w:noProof/>
        </w:rPr>
        <w:t xml:space="preserve"> w</w:t>
      </w:r>
      <w:r>
        <w:rPr>
          <w:noProof/>
        </w:rPr>
        <w:t> </w:t>
      </w:r>
      <w:r w:rsidRPr="002F16A1">
        <w:rPr>
          <w:noProof/>
        </w:rPr>
        <w:t>cel</w:t>
      </w:r>
      <w:r w:rsidR="00AD62E2" w:rsidRPr="002F16A1">
        <w:rPr>
          <w:noProof/>
        </w:rPr>
        <w:t>u uwolnienia</w:t>
      </w:r>
      <w:r w:rsidRPr="002F16A1">
        <w:rPr>
          <w:noProof/>
        </w:rPr>
        <w:t xml:space="preserve"> w</w:t>
      </w:r>
      <w:r>
        <w:rPr>
          <w:noProof/>
        </w:rPr>
        <w:t> </w:t>
      </w:r>
      <w:r w:rsidRPr="002F16A1">
        <w:rPr>
          <w:noProof/>
        </w:rPr>
        <w:t>prz</w:t>
      </w:r>
      <w:r w:rsidR="00AD62E2" w:rsidRPr="002F16A1">
        <w:rPr>
          <w:noProof/>
        </w:rPr>
        <w:t>ypadku zakłócenia dostaw;</w:t>
      </w:r>
    </w:p>
    <w:p w:rsidR="00AD62E2" w:rsidRPr="002F16A1" w:rsidRDefault="0028384B" w:rsidP="0028384B">
      <w:pPr>
        <w:pStyle w:val="Point1"/>
        <w:rPr>
          <w:noProof/>
        </w:rPr>
      </w:pPr>
      <w:r>
        <w:rPr>
          <w:noProof/>
        </w:rPr>
        <w:t>30)</w:t>
      </w:r>
      <w:r>
        <w:rPr>
          <w:noProof/>
        </w:rPr>
        <w:tab/>
      </w:r>
      <w:r w:rsidR="00AD62E2" w:rsidRPr="002F16A1">
        <w:rPr>
          <w:noProof/>
        </w:rPr>
        <w:t>„duże przedsiębiorstwo” oznacza dowolne przedsiębiorstwo, które</w:t>
      </w:r>
      <w:r w:rsidRPr="002F16A1">
        <w:rPr>
          <w:noProof/>
        </w:rPr>
        <w:t xml:space="preserve"> w</w:t>
      </w:r>
      <w:r>
        <w:rPr>
          <w:noProof/>
        </w:rPr>
        <w:t> </w:t>
      </w:r>
      <w:r w:rsidRPr="002F16A1">
        <w:rPr>
          <w:noProof/>
        </w:rPr>
        <w:t>ost</w:t>
      </w:r>
      <w:r w:rsidR="00AD62E2" w:rsidRPr="002F16A1">
        <w:rPr>
          <w:noProof/>
        </w:rPr>
        <w:t>atnim roku obrotowym, za który sporządzono roczne sprawozdanie finansowe, zatrudniało średnio ponad 500 pracowników,</w:t>
      </w:r>
      <w:r w:rsidRPr="002F16A1">
        <w:rPr>
          <w:noProof/>
        </w:rPr>
        <w:t xml:space="preserve"> a</w:t>
      </w:r>
      <w:r>
        <w:rPr>
          <w:noProof/>
        </w:rPr>
        <w:t> </w:t>
      </w:r>
      <w:r w:rsidRPr="002F16A1">
        <w:rPr>
          <w:noProof/>
        </w:rPr>
        <w:t>jeg</w:t>
      </w:r>
      <w:r w:rsidR="00AD62E2" w:rsidRPr="002F16A1">
        <w:rPr>
          <w:noProof/>
        </w:rPr>
        <w:t>o przychody netto ze sprzedaży</w:t>
      </w:r>
      <w:r w:rsidRPr="002F16A1">
        <w:rPr>
          <w:noProof/>
        </w:rPr>
        <w:t xml:space="preserve"> w</w:t>
      </w:r>
      <w:r>
        <w:rPr>
          <w:noProof/>
        </w:rPr>
        <w:t> </w:t>
      </w:r>
      <w:r w:rsidRPr="002F16A1">
        <w:rPr>
          <w:noProof/>
        </w:rPr>
        <w:t>ska</w:t>
      </w:r>
      <w:r w:rsidR="00AD62E2" w:rsidRPr="002F16A1">
        <w:rPr>
          <w:noProof/>
        </w:rPr>
        <w:t>li światowej przekraczały 150 mln EUR;</w:t>
      </w:r>
    </w:p>
    <w:p w:rsidR="00AD62E2" w:rsidRPr="002F16A1" w:rsidRDefault="0028384B" w:rsidP="0028384B">
      <w:pPr>
        <w:pStyle w:val="Point1"/>
        <w:rPr>
          <w:noProof/>
        </w:rPr>
      </w:pPr>
      <w:r>
        <w:rPr>
          <w:noProof/>
        </w:rPr>
        <w:t>31)</w:t>
      </w:r>
      <w:r>
        <w:rPr>
          <w:noProof/>
        </w:rPr>
        <w:tab/>
      </w:r>
      <w:r w:rsidR="00AD62E2" w:rsidRPr="002F16A1">
        <w:rPr>
          <w:noProof/>
        </w:rPr>
        <w:t>„technologie strategiczne” oznaczają technologie niezbędne do przeprowadzenia transformacji ekologicznej</w:t>
      </w:r>
      <w:r w:rsidRPr="002F16A1">
        <w:rPr>
          <w:noProof/>
        </w:rPr>
        <w:t xml:space="preserve"> i</w:t>
      </w:r>
      <w:r>
        <w:rPr>
          <w:noProof/>
        </w:rPr>
        <w:t> </w:t>
      </w:r>
      <w:r w:rsidRPr="002F16A1">
        <w:rPr>
          <w:noProof/>
        </w:rPr>
        <w:t>cyf</w:t>
      </w:r>
      <w:r w:rsidR="00AD62E2" w:rsidRPr="002F16A1">
        <w:rPr>
          <w:noProof/>
        </w:rPr>
        <w:t>rowej, jak również do zastosowań obronnych</w:t>
      </w:r>
      <w:r w:rsidRPr="002F16A1">
        <w:rPr>
          <w:noProof/>
        </w:rPr>
        <w:t xml:space="preserve"> i</w:t>
      </w:r>
      <w:r>
        <w:rPr>
          <w:noProof/>
        </w:rPr>
        <w:t> </w:t>
      </w:r>
      <w:r w:rsidRPr="002F16A1">
        <w:rPr>
          <w:noProof/>
        </w:rPr>
        <w:t>kos</w:t>
      </w:r>
      <w:r w:rsidR="00AD62E2" w:rsidRPr="002F16A1">
        <w:rPr>
          <w:noProof/>
        </w:rPr>
        <w:t>micznych;</w:t>
      </w:r>
    </w:p>
    <w:p w:rsidR="00AD62E2" w:rsidRPr="002F16A1" w:rsidRDefault="0028384B" w:rsidP="0028384B">
      <w:pPr>
        <w:pStyle w:val="Point1"/>
        <w:rPr>
          <w:noProof/>
        </w:rPr>
      </w:pPr>
      <w:r>
        <w:rPr>
          <w:noProof/>
        </w:rPr>
        <w:t>32)</w:t>
      </w:r>
      <w:r>
        <w:rPr>
          <w:noProof/>
        </w:rPr>
        <w:tab/>
      </w:r>
      <w:r w:rsidR="00AD62E2" w:rsidRPr="002F16A1">
        <w:rPr>
          <w:noProof/>
        </w:rPr>
        <w:t>„rada dyrektorów” oznacza organ administracyjny lub nadzorczy odpowiedzialny za nadzór nad kierownictwem wykonawczym przedsiębiorstwa lub, jeżeli taki organ nie istnieje, osobę lub osoby wykonujące równoważne funkcje;</w:t>
      </w:r>
    </w:p>
    <w:p w:rsidR="00AD62E2" w:rsidRPr="002F16A1" w:rsidRDefault="0028384B" w:rsidP="0028384B">
      <w:pPr>
        <w:pStyle w:val="Point1"/>
        <w:rPr>
          <w:noProof/>
        </w:rPr>
      </w:pPr>
      <w:r>
        <w:rPr>
          <w:noProof/>
        </w:rPr>
        <w:t>33)</w:t>
      </w:r>
      <w:r>
        <w:rPr>
          <w:noProof/>
        </w:rPr>
        <w:tab/>
      </w:r>
      <w:r w:rsidR="00AD62E2" w:rsidRPr="002F16A1">
        <w:rPr>
          <w:noProof/>
        </w:rPr>
        <w:t>„zbieranie” oznacza gromadzenie odpadów,</w:t>
      </w:r>
      <w:r w:rsidRPr="002F16A1">
        <w:rPr>
          <w:noProof/>
        </w:rPr>
        <w:t xml:space="preserve"> w</w:t>
      </w:r>
      <w:r>
        <w:rPr>
          <w:noProof/>
        </w:rPr>
        <w:t> </w:t>
      </w:r>
      <w:r w:rsidRPr="002F16A1">
        <w:rPr>
          <w:noProof/>
        </w:rPr>
        <w:t>tym</w:t>
      </w:r>
      <w:r w:rsidR="00AD62E2" w:rsidRPr="002F16A1">
        <w:rPr>
          <w:noProof/>
        </w:rPr>
        <w:t xml:space="preserve"> wstępne sortowanie</w:t>
      </w:r>
      <w:r w:rsidRPr="002F16A1">
        <w:rPr>
          <w:noProof/>
        </w:rPr>
        <w:t xml:space="preserve"> i</w:t>
      </w:r>
      <w:r>
        <w:rPr>
          <w:noProof/>
        </w:rPr>
        <w:t> </w:t>
      </w:r>
      <w:r w:rsidRPr="002F16A1">
        <w:rPr>
          <w:noProof/>
        </w:rPr>
        <w:t>wst</w:t>
      </w:r>
      <w:r w:rsidR="00AD62E2" w:rsidRPr="002F16A1">
        <w:rPr>
          <w:noProof/>
        </w:rPr>
        <w:t>ępne magazynowanie odpadów do celów ich transportu do zakładu przetwarzania odpadów;</w:t>
      </w:r>
    </w:p>
    <w:p w:rsidR="00AD62E2" w:rsidRPr="002F16A1" w:rsidRDefault="0028384B" w:rsidP="0028384B">
      <w:pPr>
        <w:pStyle w:val="Point1"/>
        <w:rPr>
          <w:noProof/>
        </w:rPr>
      </w:pPr>
      <w:r>
        <w:rPr>
          <w:noProof/>
        </w:rPr>
        <w:t>34)</w:t>
      </w:r>
      <w:r>
        <w:rPr>
          <w:noProof/>
        </w:rPr>
        <w:tab/>
      </w:r>
      <w:r w:rsidR="00AD62E2" w:rsidRPr="002F16A1">
        <w:rPr>
          <w:noProof/>
        </w:rPr>
        <w:t>„przetwarzanie odpadów” oznacza procesy odzysku lub unieszkodliwiania,</w:t>
      </w:r>
      <w:r w:rsidRPr="002F16A1">
        <w:rPr>
          <w:noProof/>
        </w:rPr>
        <w:t xml:space="preserve"> w</w:t>
      </w:r>
      <w:r>
        <w:rPr>
          <w:noProof/>
        </w:rPr>
        <w:t> </w:t>
      </w:r>
      <w:r w:rsidRPr="002F16A1">
        <w:rPr>
          <w:noProof/>
        </w:rPr>
        <w:t>tym</w:t>
      </w:r>
      <w:r w:rsidR="00AD62E2" w:rsidRPr="002F16A1">
        <w:rPr>
          <w:noProof/>
        </w:rPr>
        <w:t xml:space="preserve"> przygotowanie poprzedzające odzysk lub unieszkodliwianie;</w:t>
      </w:r>
    </w:p>
    <w:p w:rsidR="00AD62E2" w:rsidRPr="002F16A1" w:rsidRDefault="0028384B" w:rsidP="0028384B">
      <w:pPr>
        <w:pStyle w:val="Point1"/>
        <w:rPr>
          <w:noProof/>
        </w:rPr>
      </w:pPr>
      <w:r>
        <w:rPr>
          <w:noProof/>
        </w:rPr>
        <w:t>35)</w:t>
      </w:r>
      <w:r>
        <w:rPr>
          <w:noProof/>
        </w:rPr>
        <w:tab/>
      </w:r>
      <w:r w:rsidR="00AD62E2" w:rsidRPr="002F16A1">
        <w:rPr>
          <w:noProof/>
        </w:rPr>
        <w:t>„odzysk” oznacza jakikolwiek proces, którego głównym wynikiem są odpady służące użytecznemu zastosowaniu poprzez zastąpienie innych materiałów, które</w:t>
      </w:r>
      <w:r w:rsidRPr="002F16A1">
        <w:rPr>
          <w:noProof/>
        </w:rPr>
        <w:t xml:space="preserve"> w</w:t>
      </w:r>
      <w:r>
        <w:rPr>
          <w:noProof/>
        </w:rPr>
        <w:t> </w:t>
      </w:r>
      <w:r w:rsidRPr="002F16A1">
        <w:rPr>
          <w:noProof/>
        </w:rPr>
        <w:t>prz</w:t>
      </w:r>
      <w:r w:rsidR="00AD62E2" w:rsidRPr="002F16A1">
        <w:rPr>
          <w:noProof/>
        </w:rPr>
        <w:t>eciwnym wypadku zostałyby użyte do spełnienia danej funkcji, lub</w:t>
      </w:r>
      <w:r w:rsidRPr="002F16A1">
        <w:rPr>
          <w:noProof/>
        </w:rPr>
        <w:t xml:space="preserve"> w</w:t>
      </w:r>
      <w:r>
        <w:rPr>
          <w:noProof/>
        </w:rPr>
        <w:t> </w:t>
      </w:r>
      <w:r w:rsidRPr="002F16A1">
        <w:rPr>
          <w:noProof/>
        </w:rPr>
        <w:t>wyn</w:t>
      </w:r>
      <w:r w:rsidR="00AD62E2" w:rsidRPr="002F16A1">
        <w:rPr>
          <w:noProof/>
        </w:rPr>
        <w:t>iku którego odpady są przygotowywane do spełnienia takiej funkcji</w:t>
      </w:r>
      <w:r w:rsidRPr="002F16A1">
        <w:rPr>
          <w:noProof/>
        </w:rPr>
        <w:t xml:space="preserve"> w</w:t>
      </w:r>
      <w:r>
        <w:rPr>
          <w:noProof/>
        </w:rPr>
        <w:t> </w:t>
      </w:r>
      <w:r w:rsidRPr="002F16A1">
        <w:rPr>
          <w:noProof/>
        </w:rPr>
        <w:t>dan</w:t>
      </w:r>
      <w:r w:rsidR="00AD62E2" w:rsidRPr="002F16A1">
        <w:rPr>
          <w:noProof/>
        </w:rPr>
        <w:t>ym zakładzie lub</w:t>
      </w:r>
      <w:r w:rsidRPr="002F16A1">
        <w:rPr>
          <w:noProof/>
        </w:rPr>
        <w:t xml:space="preserve"> w</w:t>
      </w:r>
      <w:r>
        <w:rPr>
          <w:noProof/>
        </w:rPr>
        <w:t> </w:t>
      </w:r>
      <w:r w:rsidRPr="002F16A1">
        <w:rPr>
          <w:noProof/>
        </w:rPr>
        <w:t>sze</w:t>
      </w:r>
      <w:r w:rsidR="00AD62E2" w:rsidRPr="002F16A1">
        <w:rPr>
          <w:noProof/>
        </w:rPr>
        <w:t>rzej rozumianej gospodarce;</w:t>
      </w:r>
    </w:p>
    <w:p w:rsidR="00AD62E2" w:rsidRPr="002F16A1" w:rsidRDefault="0028384B" w:rsidP="0028384B">
      <w:pPr>
        <w:pStyle w:val="Point1"/>
        <w:rPr>
          <w:noProof/>
        </w:rPr>
      </w:pPr>
      <w:r>
        <w:rPr>
          <w:noProof/>
        </w:rPr>
        <w:t>36)</w:t>
      </w:r>
      <w:r>
        <w:rPr>
          <w:noProof/>
        </w:rPr>
        <w:tab/>
      </w:r>
      <w:r w:rsidR="00AD62E2" w:rsidRPr="002F16A1">
        <w:rPr>
          <w:noProof/>
        </w:rPr>
        <w:t>„odpady wydobywcze” oznaczają odpady wydobywcze</w:t>
      </w:r>
      <w:r w:rsidRPr="002F16A1">
        <w:rPr>
          <w:noProof/>
        </w:rPr>
        <w:t xml:space="preserve"> w</w:t>
      </w:r>
      <w:r>
        <w:rPr>
          <w:noProof/>
        </w:rPr>
        <w:t> </w:t>
      </w:r>
      <w:r w:rsidRPr="002F16A1">
        <w:rPr>
          <w:noProof/>
        </w:rPr>
        <w:t>roz</w:t>
      </w:r>
      <w:r w:rsidR="00AD62E2" w:rsidRPr="002F16A1">
        <w:rPr>
          <w:noProof/>
        </w:rPr>
        <w:t>umieniu dyrektywy 2006/21/WE;</w:t>
      </w:r>
    </w:p>
    <w:p w:rsidR="00AD62E2" w:rsidRPr="002F16A1" w:rsidRDefault="0028384B" w:rsidP="0028384B">
      <w:pPr>
        <w:pStyle w:val="Point1"/>
        <w:rPr>
          <w:noProof/>
        </w:rPr>
      </w:pPr>
      <w:r>
        <w:rPr>
          <w:noProof/>
        </w:rPr>
        <w:t>37)</w:t>
      </w:r>
      <w:r>
        <w:rPr>
          <w:noProof/>
        </w:rPr>
        <w:tab/>
      </w:r>
      <w:r w:rsidR="00AD62E2" w:rsidRPr="002F16A1">
        <w:rPr>
          <w:noProof/>
        </w:rPr>
        <w:t>„obiekt unieszkodliwiania odpadów wydobywczych” oznacza obiekt unieszkodliwiania odpadów</w:t>
      </w:r>
      <w:r w:rsidRPr="002F16A1">
        <w:rPr>
          <w:noProof/>
        </w:rPr>
        <w:t xml:space="preserve"> w</w:t>
      </w:r>
      <w:r>
        <w:rPr>
          <w:noProof/>
        </w:rPr>
        <w:t> </w:t>
      </w:r>
      <w:r w:rsidRPr="002F16A1">
        <w:rPr>
          <w:noProof/>
        </w:rPr>
        <w:t>roz</w:t>
      </w:r>
      <w:r w:rsidR="00AD62E2" w:rsidRPr="002F16A1">
        <w:rPr>
          <w:noProof/>
        </w:rPr>
        <w:t>umieniu dyrektywy 2006/21/WE;</w:t>
      </w:r>
    </w:p>
    <w:p w:rsidR="00AD62E2" w:rsidRPr="002F16A1" w:rsidRDefault="0028384B" w:rsidP="0028384B">
      <w:pPr>
        <w:pStyle w:val="Point1"/>
        <w:rPr>
          <w:noProof/>
        </w:rPr>
      </w:pPr>
      <w:r>
        <w:rPr>
          <w:noProof/>
        </w:rPr>
        <w:t>38)</w:t>
      </w:r>
      <w:r>
        <w:rPr>
          <w:noProof/>
        </w:rPr>
        <w:tab/>
      </w:r>
      <w:r w:rsidR="00AD62E2" w:rsidRPr="002F16A1">
        <w:rPr>
          <w:noProof/>
        </w:rPr>
        <w:t>„wstępna ocena ekonomiczna” oznacza ocenę koncepcyjną potencjalnej opłacalności ekonomicznej projektu dotyczącego surowców pod względem odzysku surowców krytycznych</w:t>
      </w:r>
      <w:r w:rsidRPr="002F16A1">
        <w:rPr>
          <w:noProof/>
        </w:rPr>
        <w:t xml:space="preserve"> z</w:t>
      </w:r>
      <w:r>
        <w:rPr>
          <w:noProof/>
        </w:rPr>
        <w:t> </w:t>
      </w:r>
      <w:r w:rsidRPr="002F16A1">
        <w:rPr>
          <w:noProof/>
        </w:rPr>
        <w:t>odp</w:t>
      </w:r>
      <w:r w:rsidR="00AD62E2" w:rsidRPr="002F16A1">
        <w:rPr>
          <w:noProof/>
        </w:rPr>
        <w:t>adów wydobywczych, przeprowadzaną na wczesnym etapie;</w:t>
      </w:r>
    </w:p>
    <w:p w:rsidR="00AD62E2" w:rsidRPr="002F16A1" w:rsidRDefault="0028384B" w:rsidP="0028384B">
      <w:pPr>
        <w:pStyle w:val="Point1"/>
        <w:rPr>
          <w:noProof/>
        </w:rPr>
      </w:pPr>
      <w:r>
        <w:rPr>
          <w:noProof/>
        </w:rPr>
        <w:t>39)</w:t>
      </w:r>
      <w:r>
        <w:rPr>
          <w:noProof/>
        </w:rPr>
        <w:tab/>
      </w:r>
      <w:r w:rsidR="00AD62E2" w:rsidRPr="002F16A1">
        <w:rPr>
          <w:noProof/>
        </w:rPr>
        <w:t>„urządzenie do obrazowania metodą rezonansu magnetycznego” oznacza nieinwazyjny wyrób medyczny wykorzystujący pole magnetyczne</w:t>
      </w:r>
      <w:r w:rsidRPr="002F16A1">
        <w:rPr>
          <w:noProof/>
        </w:rPr>
        <w:t xml:space="preserve"> w</w:t>
      </w:r>
      <w:r>
        <w:rPr>
          <w:noProof/>
        </w:rPr>
        <w:t> </w:t>
      </w:r>
      <w:r w:rsidRPr="002F16A1">
        <w:rPr>
          <w:noProof/>
        </w:rPr>
        <w:t>cel</w:t>
      </w:r>
      <w:r w:rsidR="00AD62E2" w:rsidRPr="002F16A1">
        <w:rPr>
          <w:noProof/>
        </w:rPr>
        <w:t>u uzyskiwania obrazów anatomicznych lub dowolne inne urządzenie wykorzystujące pole magnetyczne</w:t>
      </w:r>
      <w:r w:rsidRPr="002F16A1">
        <w:rPr>
          <w:noProof/>
        </w:rPr>
        <w:t xml:space="preserve"> w</w:t>
      </w:r>
      <w:r>
        <w:rPr>
          <w:noProof/>
        </w:rPr>
        <w:t> </w:t>
      </w:r>
      <w:r w:rsidRPr="002F16A1">
        <w:rPr>
          <w:noProof/>
        </w:rPr>
        <w:t>cel</w:t>
      </w:r>
      <w:r w:rsidR="00AD62E2" w:rsidRPr="002F16A1">
        <w:rPr>
          <w:noProof/>
        </w:rPr>
        <w:t>u uzyskiwania obrazów wnętrza obiektów;</w:t>
      </w:r>
    </w:p>
    <w:p w:rsidR="00AD62E2" w:rsidRPr="002F16A1" w:rsidRDefault="0028384B" w:rsidP="0028384B">
      <w:pPr>
        <w:pStyle w:val="Point1"/>
        <w:rPr>
          <w:noProof/>
        </w:rPr>
      </w:pPr>
      <w:r>
        <w:rPr>
          <w:noProof/>
        </w:rPr>
        <w:t>40)</w:t>
      </w:r>
      <w:r>
        <w:rPr>
          <w:noProof/>
        </w:rPr>
        <w:tab/>
      </w:r>
      <w:r w:rsidR="00AD62E2" w:rsidRPr="002F16A1">
        <w:rPr>
          <w:noProof/>
        </w:rPr>
        <w:t>„wiatrowa prądnica mocy” oznacza część turbiny wiatrowej znajdującej się na lądzie lub na morzu, która to część przekształca energię mechaniczną wirnika</w:t>
      </w:r>
      <w:r w:rsidRPr="002F16A1">
        <w:rPr>
          <w:noProof/>
        </w:rPr>
        <w:t xml:space="preserve"> w</w:t>
      </w:r>
      <w:r>
        <w:rPr>
          <w:noProof/>
        </w:rPr>
        <w:t> </w:t>
      </w:r>
      <w:r w:rsidRPr="002F16A1">
        <w:rPr>
          <w:noProof/>
        </w:rPr>
        <w:t>ene</w:t>
      </w:r>
      <w:r w:rsidR="00AD62E2" w:rsidRPr="002F16A1">
        <w:rPr>
          <w:noProof/>
        </w:rPr>
        <w:t>rgię elektryczną;</w:t>
      </w:r>
    </w:p>
    <w:p w:rsidR="00AD62E2" w:rsidRPr="002F16A1" w:rsidRDefault="0028384B" w:rsidP="0028384B">
      <w:pPr>
        <w:pStyle w:val="Point1"/>
        <w:rPr>
          <w:noProof/>
        </w:rPr>
      </w:pPr>
      <w:r>
        <w:rPr>
          <w:noProof/>
        </w:rPr>
        <w:t>41)</w:t>
      </w:r>
      <w:r>
        <w:rPr>
          <w:noProof/>
        </w:rPr>
        <w:tab/>
      </w:r>
      <w:r w:rsidR="00AD62E2" w:rsidRPr="002F16A1">
        <w:rPr>
          <w:noProof/>
        </w:rPr>
        <w:t>„robot przemysłowy” oznacza automatycznie sterowaną, programowalną, wielozadaniową maszynę manipulacyjną, programowalną w co najmniej trzech osiach, która może być stacjonarna albo mobilna, do zastosowań automatyki przemysłowej;</w:t>
      </w:r>
    </w:p>
    <w:p w:rsidR="00AD62E2" w:rsidRPr="002F16A1" w:rsidRDefault="0028384B" w:rsidP="0028384B">
      <w:pPr>
        <w:pStyle w:val="Point1"/>
        <w:rPr>
          <w:noProof/>
        </w:rPr>
      </w:pPr>
      <w:r>
        <w:rPr>
          <w:noProof/>
        </w:rPr>
        <w:t>42)</w:t>
      </w:r>
      <w:r>
        <w:rPr>
          <w:noProof/>
        </w:rPr>
        <w:tab/>
      </w:r>
      <w:r w:rsidR="00AD62E2" w:rsidRPr="002F16A1">
        <w:rPr>
          <w:noProof/>
        </w:rPr>
        <w:t xml:space="preserve"> „pojazd silnikowy” oznacza dowolny pojazd posiadający homologację typu, należący do kategorii M lub N</w:t>
      </w:r>
      <w:r w:rsidRPr="002F16A1">
        <w:rPr>
          <w:noProof/>
        </w:rPr>
        <w:t xml:space="preserve"> w</w:t>
      </w:r>
      <w:r>
        <w:rPr>
          <w:noProof/>
        </w:rPr>
        <w:t> </w:t>
      </w:r>
      <w:r w:rsidRPr="002F16A1">
        <w:rPr>
          <w:noProof/>
        </w:rPr>
        <w:t>roz</w:t>
      </w:r>
      <w:r w:rsidR="00AD62E2" w:rsidRPr="002F16A1">
        <w:rPr>
          <w:noProof/>
        </w:rPr>
        <w:t>umieniu rozporządzenia (UE) 2018/858;</w:t>
      </w:r>
    </w:p>
    <w:p w:rsidR="00AD62E2" w:rsidRPr="002F16A1" w:rsidRDefault="0028384B" w:rsidP="0028384B">
      <w:pPr>
        <w:pStyle w:val="Point1"/>
        <w:rPr>
          <w:noProof/>
        </w:rPr>
      </w:pPr>
      <w:r>
        <w:rPr>
          <w:noProof/>
        </w:rPr>
        <w:t>43)</w:t>
      </w:r>
      <w:r>
        <w:rPr>
          <w:noProof/>
        </w:rPr>
        <w:tab/>
      </w:r>
      <w:r w:rsidR="00AD62E2" w:rsidRPr="002F16A1">
        <w:rPr>
          <w:noProof/>
        </w:rPr>
        <w:t>„lekki środek transportu” oznacza dowolny pojazd kołowy, który może być napędzany samym silnikiem elektrycznym lub połączeniem silnika</w:t>
      </w:r>
      <w:r w:rsidRPr="002F16A1">
        <w:rPr>
          <w:noProof/>
        </w:rPr>
        <w:t xml:space="preserve"> i</w:t>
      </w:r>
      <w:r>
        <w:rPr>
          <w:noProof/>
        </w:rPr>
        <w:t> </w:t>
      </w:r>
      <w:r w:rsidRPr="002F16A1">
        <w:rPr>
          <w:noProof/>
        </w:rPr>
        <w:t>sił</w:t>
      </w:r>
      <w:r w:rsidR="00AD62E2" w:rsidRPr="002F16A1">
        <w:rPr>
          <w:noProof/>
        </w:rPr>
        <w:t>y ludzkich mięśni, obejmujący hulajnogi elektryczne, rowery elektryczne</w:t>
      </w:r>
      <w:r w:rsidRPr="002F16A1">
        <w:rPr>
          <w:noProof/>
        </w:rPr>
        <w:t xml:space="preserve"> i</w:t>
      </w:r>
      <w:r>
        <w:rPr>
          <w:noProof/>
        </w:rPr>
        <w:t> </w:t>
      </w:r>
      <w:r w:rsidRPr="002F16A1">
        <w:rPr>
          <w:noProof/>
        </w:rPr>
        <w:t>poj</w:t>
      </w:r>
      <w:r w:rsidR="00AD62E2" w:rsidRPr="002F16A1">
        <w:rPr>
          <w:noProof/>
        </w:rPr>
        <w:t>azdy posiadające homologację typu należące do kategorii L</w:t>
      </w:r>
      <w:r w:rsidRPr="002F16A1">
        <w:rPr>
          <w:noProof/>
        </w:rPr>
        <w:t xml:space="preserve"> w</w:t>
      </w:r>
      <w:r>
        <w:rPr>
          <w:noProof/>
        </w:rPr>
        <w:t> </w:t>
      </w:r>
      <w:r w:rsidRPr="002F16A1">
        <w:rPr>
          <w:noProof/>
        </w:rPr>
        <w:t>roz</w:t>
      </w:r>
      <w:r w:rsidR="00AD62E2" w:rsidRPr="002F16A1">
        <w:rPr>
          <w:noProof/>
        </w:rPr>
        <w:t xml:space="preserve">umieniu rozporządzenia (UE) </w:t>
      </w:r>
      <w:r w:rsidR="00AD62E2" w:rsidRPr="0028384B">
        <w:rPr>
          <w:noProof/>
        </w:rPr>
        <w:t>nr</w:t>
      </w:r>
      <w:r w:rsidRPr="0028384B">
        <w:rPr>
          <w:noProof/>
        </w:rPr>
        <w:t> </w:t>
      </w:r>
      <w:r w:rsidR="00AD62E2" w:rsidRPr="0028384B">
        <w:rPr>
          <w:noProof/>
        </w:rPr>
        <w:t>1</w:t>
      </w:r>
      <w:r w:rsidR="00AD62E2" w:rsidRPr="002F16A1">
        <w:rPr>
          <w:noProof/>
        </w:rPr>
        <w:t>68/2013;</w:t>
      </w:r>
    </w:p>
    <w:p w:rsidR="00AD62E2" w:rsidRPr="002F16A1" w:rsidRDefault="0028384B" w:rsidP="0028384B">
      <w:pPr>
        <w:pStyle w:val="Point1"/>
        <w:rPr>
          <w:noProof/>
        </w:rPr>
      </w:pPr>
      <w:r>
        <w:rPr>
          <w:noProof/>
        </w:rPr>
        <w:t>44)</w:t>
      </w:r>
      <w:r>
        <w:rPr>
          <w:noProof/>
        </w:rPr>
        <w:tab/>
      </w:r>
      <w:r w:rsidR="00AD62E2" w:rsidRPr="002F16A1">
        <w:rPr>
          <w:noProof/>
        </w:rPr>
        <w:t>„agregat chłodniczy” oznacza element systemu chłodzenia, który wytwarza różnicę temperatury umożliwiającą odprowadzenie ciepła</w:t>
      </w:r>
      <w:r w:rsidRPr="002F16A1">
        <w:rPr>
          <w:noProof/>
        </w:rPr>
        <w:t xml:space="preserve"> z</w:t>
      </w:r>
      <w:r>
        <w:rPr>
          <w:noProof/>
        </w:rPr>
        <w:t> </w:t>
      </w:r>
      <w:r w:rsidRPr="002F16A1">
        <w:rPr>
          <w:noProof/>
        </w:rPr>
        <w:t>chł</w:t>
      </w:r>
      <w:r w:rsidR="00AD62E2" w:rsidRPr="002F16A1">
        <w:rPr>
          <w:noProof/>
        </w:rPr>
        <w:t xml:space="preserve">odzonych pomieszczeń lub procesów, wykorzystując elektryczny parowy obieg sprężarkowy; </w:t>
      </w:r>
    </w:p>
    <w:p w:rsidR="00AD62E2" w:rsidRPr="002F16A1" w:rsidRDefault="0028384B" w:rsidP="0028384B">
      <w:pPr>
        <w:pStyle w:val="Point1"/>
        <w:rPr>
          <w:noProof/>
        </w:rPr>
      </w:pPr>
      <w:r>
        <w:rPr>
          <w:noProof/>
        </w:rPr>
        <w:t>45)</w:t>
      </w:r>
      <w:r>
        <w:rPr>
          <w:noProof/>
        </w:rPr>
        <w:tab/>
      </w:r>
      <w:r w:rsidR="00AD62E2" w:rsidRPr="002F16A1">
        <w:rPr>
          <w:noProof/>
        </w:rPr>
        <w:t xml:space="preserve">„pompa ciepła” oznacza element systemu ogrzewania, który wytwarza różnicę temperatury umożliwiającą dostarczenie ciepła do ogrzewanych pomieszczeń lub procesów, wykorzystując elektryczny parowy obieg sprężarkowy; </w:t>
      </w:r>
    </w:p>
    <w:p w:rsidR="00AD62E2" w:rsidRPr="002F16A1" w:rsidRDefault="0028384B" w:rsidP="0028384B">
      <w:pPr>
        <w:pStyle w:val="Point1"/>
        <w:rPr>
          <w:noProof/>
        </w:rPr>
      </w:pPr>
      <w:r>
        <w:rPr>
          <w:noProof/>
        </w:rPr>
        <w:t>46)</w:t>
      </w:r>
      <w:r>
        <w:rPr>
          <w:noProof/>
        </w:rPr>
        <w:tab/>
      </w:r>
      <w:r w:rsidR="00AD62E2" w:rsidRPr="002F16A1">
        <w:rPr>
          <w:noProof/>
        </w:rPr>
        <w:t>„silnik elektryczny” oznacza urządzenie przekształcające wejściową moc elektryczną na wyjściową moc mechaniczną,</w:t>
      </w:r>
      <w:r w:rsidRPr="002F16A1">
        <w:rPr>
          <w:noProof/>
        </w:rPr>
        <w:t xml:space="preserve"> o</w:t>
      </w:r>
      <w:r>
        <w:rPr>
          <w:noProof/>
        </w:rPr>
        <w:t> </w:t>
      </w:r>
      <w:r w:rsidRPr="002F16A1">
        <w:rPr>
          <w:noProof/>
        </w:rPr>
        <w:t>moc</w:t>
      </w:r>
      <w:r w:rsidR="00AD62E2" w:rsidRPr="002F16A1">
        <w:rPr>
          <w:noProof/>
        </w:rPr>
        <w:t>y znamionowej równej lub wyższej 0,12 kW;</w:t>
      </w:r>
    </w:p>
    <w:p w:rsidR="00AD62E2" w:rsidRPr="002F16A1" w:rsidRDefault="0028384B" w:rsidP="0028384B">
      <w:pPr>
        <w:pStyle w:val="Point1"/>
        <w:rPr>
          <w:noProof/>
        </w:rPr>
      </w:pPr>
      <w:r>
        <w:rPr>
          <w:noProof/>
        </w:rPr>
        <w:t>47)</w:t>
      </w:r>
      <w:r>
        <w:rPr>
          <w:noProof/>
        </w:rPr>
        <w:tab/>
      </w:r>
      <w:r w:rsidR="00AD62E2" w:rsidRPr="002F16A1">
        <w:rPr>
          <w:noProof/>
        </w:rPr>
        <w:t>„pralka automatyczna” oznacza pralkę, która samodzielnie przeprowadza cały cykl prania wsadu bez konieczności interwencji użytkownika</w:t>
      </w:r>
      <w:r w:rsidRPr="002F16A1">
        <w:rPr>
          <w:noProof/>
        </w:rPr>
        <w:t xml:space="preserve"> w</w:t>
      </w:r>
      <w:r>
        <w:rPr>
          <w:noProof/>
        </w:rPr>
        <w:t> </w:t>
      </w:r>
      <w:r w:rsidRPr="002F16A1">
        <w:rPr>
          <w:noProof/>
        </w:rPr>
        <w:t>jak</w:t>
      </w:r>
      <w:r w:rsidR="00AD62E2" w:rsidRPr="002F16A1">
        <w:rPr>
          <w:noProof/>
        </w:rPr>
        <w:t>imkolwiek momencie trwania programu;</w:t>
      </w:r>
    </w:p>
    <w:p w:rsidR="00AD62E2" w:rsidRPr="002F16A1" w:rsidRDefault="0028384B" w:rsidP="0028384B">
      <w:pPr>
        <w:pStyle w:val="Point1"/>
        <w:rPr>
          <w:noProof/>
        </w:rPr>
      </w:pPr>
      <w:r>
        <w:rPr>
          <w:noProof/>
        </w:rPr>
        <w:t>48)</w:t>
      </w:r>
      <w:r>
        <w:rPr>
          <w:noProof/>
        </w:rPr>
        <w:tab/>
      </w:r>
      <w:r w:rsidR="00AD62E2" w:rsidRPr="002F16A1">
        <w:rPr>
          <w:noProof/>
        </w:rPr>
        <w:t>„suszarka bębnowa” oznacza urządzenie,</w:t>
      </w:r>
      <w:r w:rsidRPr="002F16A1">
        <w:rPr>
          <w:noProof/>
        </w:rPr>
        <w:t xml:space="preserve"> w</w:t>
      </w:r>
      <w:r>
        <w:rPr>
          <w:noProof/>
        </w:rPr>
        <w:t> </w:t>
      </w:r>
      <w:r w:rsidRPr="002F16A1">
        <w:rPr>
          <w:noProof/>
        </w:rPr>
        <w:t>któ</w:t>
      </w:r>
      <w:r w:rsidR="00AD62E2" w:rsidRPr="002F16A1">
        <w:rPr>
          <w:noProof/>
        </w:rPr>
        <w:t>rym wyroby włókiennicze są suszone</w:t>
      </w:r>
      <w:r w:rsidRPr="002F16A1">
        <w:rPr>
          <w:noProof/>
        </w:rPr>
        <w:t xml:space="preserve"> w</w:t>
      </w:r>
      <w:r>
        <w:rPr>
          <w:noProof/>
        </w:rPr>
        <w:t> </w:t>
      </w:r>
      <w:r w:rsidRPr="002F16A1">
        <w:rPr>
          <w:noProof/>
        </w:rPr>
        <w:t>obr</w:t>
      </w:r>
      <w:r w:rsidR="00AD62E2" w:rsidRPr="002F16A1">
        <w:rPr>
          <w:noProof/>
        </w:rPr>
        <w:t>acającym się bębnie, przez który przepływa podgrzane powietrze;</w:t>
      </w:r>
    </w:p>
    <w:p w:rsidR="00AD62E2" w:rsidRPr="002F16A1" w:rsidRDefault="0028384B" w:rsidP="0028384B">
      <w:pPr>
        <w:pStyle w:val="Point1"/>
        <w:rPr>
          <w:noProof/>
        </w:rPr>
      </w:pPr>
      <w:r>
        <w:rPr>
          <w:noProof/>
        </w:rPr>
        <w:t>49)</w:t>
      </w:r>
      <w:r>
        <w:rPr>
          <w:noProof/>
        </w:rPr>
        <w:tab/>
      </w:r>
      <w:r w:rsidR="00AD62E2" w:rsidRPr="002F16A1">
        <w:rPr>
          <w:noProof/>
        </w:rPr>
        <w:t>„kuchenka mikrofalowa” oznacza dowolne urządzenie przeznaczone do podgrzewania żywności przy pomocy energii elektromagnetycznej;</w:t>
      </w:r>
    </w:p>
    <w:p w:rsidR="00AD62E2" w:rsidRPr="002F16A1" w:rsidRDefault="0028384B" w:rsidP="0028384B">
      <w:pPr>
        <w:pStyle w:val="Point1"/>
        <w:rPr>
          <w:noProof/>
        </w:rPr>
      </w:pPr>
      <w:r>
        <w:rPr>
          <w:noProof/>
        </w:rPr>
        <w:t>50)</w:t>
      </w:r>
      <w:r>
        <w:rPr>
          <w:noProof/>
        </w:rPr>
        <w:tab/>
      </w:r>
      <w:r w:rsidR="00AD62E2" w:rsidRPr="002F16A1">
        <w:rPr>
          <w:noProof/>
        </w:rPr>
        <w:t>„odkurzacz” oznacza urządzenie usuwające zanieczyszczenia</w:t>
      </w:r>
      <w:r w:rsidRPr="002F16A1">
        <w:rPr>
          <w:noProof/>
        </w:rPr>
        <w:t xml:space="preserve"> z</w:t>
      </w:r>
      <w:r>
        <w:rPr>
          <w:noProof/>
        </w:rPr>
        <w:t> </w:t>
      </w:r>
      <w:r w:rsidRPr="002F16A1">
        <w:rPr>
          <w:noProof/>
        </w:rPr>
        <w:t>ocz</w:t>
      </w:r>
      <w:r w:rsidR="00AD62E2" w:rsidRPr="002F16A1">
        <w:rPr>
          <w:noProof/>
        </w:rPr>
        <w:t>yszczanych powierzchni przy pomocy przepływu powietrza wytworzonego przez podciśnienie we wnętrzu urządzenia;</w:t>
      </w:r>
    </w:p>
    <w:p w:rsidR="00AD62E2" w:rsidRPr="002F16A1" w:rsidRDefault="0028384B" w:rsidP="0028384B">
      <w:pPr>
        <w:pStyle w:val="Point1"/>
        <w:rPr>
          <w:noProof/>
        </w:rPr>
      </w:pPr>
      <w:r>
        <w:rPr>
          <w:noProof/>
        </w:rPr>
        <w:t>51)</w:t>
      </w:r>
      <w:r>
        <w:rPr>
          <w:noProof/>
        </w:rPr>
        <w:tab/>
      </w:r>
      <w:r w:rsidR="00AD62E2" w:rsidRPr="002F16A1">
        <w:rPr>
          <w:noProof/>
        </w:rPr>
        <w:t>„zmywarka do naczyń” oznacza maszynę, która myje</w:t>
      </w:r>
      <w:r w:rsidRPr="002F16A1">
        <w:rPr>
          <w:noProof/>
        </w:rPr>
        <w:t xml:space="preserve"> i</w:t>
      </w:r>
      <w:r>
        <w:rPr>
          <w:noProof/>
        </w:rPr>
        <w:t> </w:t>
      </w:r>
      <w:r w:rsidRPr="002F16A1">
        <w:rPr>
          <w:noProof/>
        </w:rPr>
        <w:t>płu</w:t>
      </w:r>
      <w:r w:rsidR="00AD62E2" w:rsidRPr="002F16A1">
        <w:rPr>
          <w:noProof/>
        </w:rPr>
        <w:t>cze zastawy stołowe;</w:t>
      </w:r>
    </w:p>
    <w:p w:rsidR="00AD62E2" w:rsidRPr="002F16A1" w:rsidRDefault="0028384B" w:rsidP="0028384B">
      <w:pPr>
        <w:pStyle w:val="Point1"/>
        <w:rPr>
          <w:noProof/>
        </w:rPr>
      </w:pPr>
      <w:r>
        <w:rPr>
          <w:noProof/>
        </w:rPr>
        <w:t>52)</w:t>
      </w:r>
      <w:r>
        <w:rPr>
          <w:noProof/>
        </w:rPr>
        <w:tab/>
      </w:r>
      <w:r w:rsidR="00AD62E2" w:rsidRPr="002F16A1">
        <w:rPr>
          <w:noProof/>
        </w:rPr>
        <w:t>„magnes trwały” oznacza magnes, który zachowuje właściwości magnetyczne po usunięciu go</w:t>
      </w:r>
      <w:r w:rsidRPr="002F16A1">
        <w:rPr>
          <w:noProof/>
        </w:rPr>
        <w:t xml:space="preserve"> z</w:t>
      </w:r>
      <w:r>
        <w:rPr>
          <w:noProof/>
        </w:rPr>
        <w:t> </w:t>
      </w:r>
      <w:r w:rsidRPr="002F16A1">
        <w:rPr>
          <w:noProof/>
        </w:rPr>
        <w:t>zew</w:t>
      </w:r>
      <w:r w:rsidR="00AD62E2" w:rsidRPr="002F16A1">
        <w:rPr>
          <w:noProof/>
        </w:rPr>
        <w:t>nętrznego pola magnetycznego;</w:t>
      </w:r>
    </w:p>
    <w:p w:rsidR="00AD62E2" w:rsidRPr="002F16A1" w:rsidRDefault="0028384B" w:rsidP="0028384B">
      <w:pPr>
        <w:pStyle w:val="Point1"/>
        <w:rPr>
          <w:noProof/>
        </w:rPr>
      </w:pPr>
      <w:r>
        <w:rPr>
          <w:noProof/>
        </w:rPr>
        <w:t>53)</w:t>
      </w:r>
      <w:r>
        <w:rPr>
          <w:noProof/>
        </w:rPr>
        <w:tab/>
      </w:r>
      <w:r w:rsidR="00AD62E2" w:rsidRPr="002F16A1">
        <w:rPr>
          <w:noProof/>
        </w:rPr>
        <w:t>„nośnik danych” oznacza liniowy symbol kodu kreskowego, symbol dwuwymiarowy lub inny nośnik danych służący do automatycznej identyfikacji, który może być odczytywany przez urządzenie;</w:t>
      </w:r>
    </w:p>
    <w:p w:rsidR="00AD62E2" w:rsidRPr="002F16A1" w:rsidRDefault="0028384B" w:rsidP="0028384B">
      <w:pPr>
        <w:pStyle w:val="Point1"/>
        <w:rPr>
          <w:rFonts w:eastAsia="Times New Roman"/>
          <w:noProof/>
        </w:rPr>
      </w:pPr>
      <w:r>
        <w:rPr>
          <w:noProof/>
        </w:rPr>
        <w:t>54)</w:t>
      </w:r>
      <w:r>
        <w:rPr>
          <w:noProof/>
        </w:rPr>
        <w:tab/>
      </w:r>
      <w:r w:rsidR="00AD62E2" w:rsidRPr="002F16A1">
        <w:rPr>
          <w:noProof/>
        </w:rPr>
        <w:t>„unikatowy identyfikator produktu” oznacza niepowtarzalny ciąg znaków służący identyfikacji produktów;</w:t>
      </w:r>
    </w:p>
    <w:p w:rsidR="00AD62E2" w:rsidRPr="002F16A1" w:rsidRDefault="0028384B" w:rsidP="0028384B">
      <w:pPr>
        <w:pStyle w:val="Point1"/>
        <w:rPr>
          <w:noProof/>
        </w:rPr>
      </w:pPr>
      <w:r>
        <w:rPr>
          <w:noProof/>
        </w:rPr>
        <w:t>55)</w:t>
      </w:r>
      <w:r>
        <w:rPr>
          <w:noProof/>
        </w:rPr>
        <w:tab/>
      </w:r>
      <w:r w:rsidR="00AD62E2" w:rsidRPr="002F16A1">
        <w:rPr>
          <w:noProof/>
        </w:rPr>
        <w:t>„powłoka magnesu” oznacza warstwę materiału stosowaną zasadniczo do ochrony magnesów przed korozją;</w:t>
      </w:r>
    </w:p>
    <w:p w:rsidR="00AD62E2" w:rsidRPr="002F16A1" w:rsidRDefault="0028384B" w:rsidP="0028384B">
      <w:pPr>
        <w:pStyle w:val="Point1"/>
        <w:rPr>
          <w:noProof/>
        </w:rPr>
      </w:pPr>
      <w:r>
        <w:rPr>
          <w:noProof/>
        </w:rPr>
        <w:t>56)</w:t>
      </w:r>
      <w:r>
        <w:rPr>
          <w:noProof/>
        </w:rPr>
        <w:tab/>
      </w:r>
      <w:r w:rsidR="00AD62E2" w:rsidRPr="002F16A1">
        <w:rPr>
          <w:noProof/>
        </w:rPr>
        <w:t>„wymontowanie” oznacza obróbkę ręczną, mechaniczną, chemiczną, cieplną lub metalurgiczną skutkującą tym, że poddawane jej komponenty lub materiały da się zidentyfikować jako odrębny strumień wyjściowy lub część strumienia wyjściowego;</w:t>
      </w:r>
    </w:p>
    <w:p w:rsidR="00AD62E2" w:rsidRPr="002F16A1" w:rsidRDefault="0028384B" w:rsidP="0028384B">
      <w:pPr>
        <w:pStyle w:val="Point1"/>
        <w:rPr>
          <w:noProof/>
        </w:rPr>
      </w:pPr>
      <w:r>
        <w:rPr>
          <w:noProof/>
        </w:rPr>
        <w:t>57)</w:t>
      </w:r>
      <w:r>
        <w:rPr>
          <w:noProof/>
        </w:rPr>
        <w:tab/>
      </w:r>
      <w:r w:rsidR="00AD62E2" w:rsidRPr="002F16A1">
        <w:rPr>
          <w:noProof/>
        </w:rPr>
        <w:t>„podmiot zajmujący się recyklingiem” oznacza każdą osobę fizyczną lub prawną, która prowadzi recykling</w:t>
      </w:r>
      <w:r w:rsidRPr="002F16A1">
        <w:rPr>
          <w:noProof/>
        </w:rPr>
        <w:t xml:space="preserve"> w</w:t>
      </w:r>
      <w:r>
        <w:rPr>
          <w:noProof/>
        </w:rPr>
        <w:t> </w:t>
      </w:r>
      <w:r w:rsidRPr="002F16A1">
        <w:rPr>
          <w:noProof/>
        </w:rPr>
        <w:t>dop</w:t>
      </w:r>
      <w:r w:rsidR="00AD62E2" w:rsidRPr="002F16A1">
        <w:rPr>
          <w:noProof/>
        </w:rPr>
        <w:t>uszczonym do tego obiekcie;</w:t>
      </w:r>
    </w:p>
    <w:p w:rsidR="00AD62E2" w:rsidRPr="002F16A1" w:rsidRDefault="0028384B" w:rsidP="0028384B">
      <w:pPr>
        <w:pStyle w:val="Point1"/>
        <w:rPr>
          <w:noProof/>
        </w:rPr>
      </w:pPr>
      <w:r>
        <w:rPr>
          <w:noProof/>
        </w:rPr>
        <w:t>58)</w:t>
      </w:r>
      <w:r>
        <w:rPr>
          <w:noProof/>
        </w:rPr>
        <w:tab/>
      </w:r>
      <w:r w:rsidR="00AD62E2" w:rsidRPr="002F16A1">
        <w:rPr>
          <w:noProof/>
        </w:rPr>
        <w:t>„udostępnienie na rynku” oznacza każde dostarczenie produktu na rynek Unii</w:t>
      </w:r>
      <w:r w:rsidRPr="002F16A1">
        <w:rPr>
          <w:noProof/>
        </w:rPr>
        <w:t xml:space="preserve"> w</w:t>
      </w:r>
      <w:r>
        <w:rPr>
          <w:noProof/>
        </w:rPr>
        <w:t> </w:t>
      </w:r>
      <w:r w:rsidRPr="002F16A1">
        <w:rPr>
          <w:noProof/>
        </w:rPr>
        <w:t>cel</w:t>
      </w:r>
      <w:r w:rsidR="00AD62E2" w:rsidRPr="002F16A1">
        <w:rPr>
          <w:noProof/>
        </w:rPr>
        <w:t>u jego dystrybucji, konsumpcji lub używania</w:t>
      </w:r>
      <w:r w:rsidRPr="002F16A1">
        <w:rPr>
          <w:noProof/>
        </w:rPr>
        <w:t xml:space="preserve"> w</w:t>
      </w:r>
      <w:r>
        <w:rPr>
          <w:noProof/>
        </w:rPr>
        <w:t> </w:t>
      </w:r>
      <w:r w:rsidRPr="002F16A1">
        <w:rPr>
          <w:noProof/>
        </w:rPr>
        <w:t>ram</w:t>
      </w:r>
      <w:r w:rsidR="00AD62E2" w:rsidRPr="002F16A1">
        <w:rPr>
          <w:noProof/>
        </w:rPr>
        <w:t>ach działalności handlowej, odpłatnie lub nieodpłatnie;</w:t>
      </w:r>
    </w:p>
    <w:p w:rsidR="00AD62E2" w:rsidRPr="002F16A1" w:rsidRDefault="0028384B" w:rsidP="0028384B">
      <w:pPr>
        <w:pStyle w:val="Point1"/>
        <w:rPr>
          <w:noProof/>
        </w:rPr>
      </w:pPr>
      <w:r>
        <w:rPr>
          <w:noProof/>
        </w:rPr>
        <w:t>59)</w:t>
      </w:r>
      <w:r>
        <w:rPr>
          <w:noProof/>
        </w:rPr>
        <w:tab/>
      </w:r>
      <w:r w:rsidR="00AD62E2" w:rsidRPr="002F16A1">
        <w:rPr>
          <w:noProof/>
        </w:rPr>
        <w:t>„rodzaj surowca krytycznego” oznacza wprowadzony do obrotu surowiec krytyczny, który odróżnia się pod względem etapu przetwarzania, składu chemicznego, pochodzenia geograficznego lub zastosowanych metod produkcji;</w:t>
      </w:r>
    </w:p>
    <w:p w:rsidR="00AD62E2" w:rsidRPr="002F16A1" w:rsidRDefault="0028384B" w:rsidP="0028384B">
      <w:pPr>
        <w:pStyle w:val="Point1"/>
        <w:rPr>
          <w:noProof/>
        </w:rPr>
      </w:pPr>
      <w:r>
        <w:rPr>
          <w:noProof/>
        </w:rPr>
        <w:t>60)</w:t>
      </w:r>
      <w:r>
        <w:rPr>
          <w:noProof/>
        </w:rPr>
        <w:tab/>
      </w:r>
      <w:r w:rsidR="00AD62E2" w:rsidRPr="002F16A1">
        <w:rPr>
          <w:noProof/>
        </w:rPr>
        <w:t>„wprowadzenie do obrotu” oznacza udostępnienie produktu na rynku Unii po raz pierwszy;</w:t>
      </w:r>
    </w:p>
    <w:p w:rsidR="00AD62E2" w:rsidRPr="002F16A1" w:rsidRDefault="0028384B" w:rsidP="0028384B">
      <w:pPr>
        <w:pStyle w:val="Point1"/>
        <w:rPr>
          <w:noProof/>
        </w:rPr>
      </w:pPr>
      <w:r>
        <w:rPr>
          <w:noProof/>
        </w:rPr>
        <w:t>61)</w:t>
      </w:r>
      <w:r>
        <w:rPr>
          <w:noProof/>
        </w:rPr>
        <w:tab/>
      </w:r>
      <w:r w:rsidR="00AD62E2" w:rsidRPr="002F16A1">
        <w:rPr>
          <w:noProof/>
        </w:rPr>
        <w:t>„ocena zgodności” oznacza proces wykazujący, czy zostały spełnione wymagania określone</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2</w:t>
      </w:r>
      <w:r w:rsidR="00AD62E2" w:rsidRPr="002F16A1">
        <w:rPr>
          <w:noProof/>
        </w:rPr>
        <w:t xml:space="preserve">7, 28 </w:t>
      </w:r>
      <w:r w:rsidR="00AD62E2" w:rsidRPr="0028384B">
        <w:rPr>
          <w:noProof/>
        </w:rPr>
        <w:t>lub</w:t>
      </w:r>
      <w:r w:rsidRPr="0028384B">
        <w:rPr>
          <w:noProof/>
        </w:rPr>
        <w:t> </w:t>
      </w:r>
      <w:r w:rsidR="00AD62E2" w:rsidRPr="0028384B">
        <w:rPr>
          <w:noProof/>
        </w:rPr>
        <w:t>3</w:t>
      </w:r>
      <w:r w:rsidR="00AD62E2" w:rsidRPr="002F16A1">
        <w:rPr>
          <w:noProof/>
        </w:rPr>
        <w:t>4;</w:t>
      </w:r>
    </w:p>
    <w:p w:rsidR="00AD62E2" w:rsidRPr="002F16A1" w:rsidRDefault="0028384B" w:rsidP="0028384B">
      <w:pPr>
        <w:pStyle w:val="Point1"/>
        <w:rPr>
          <w:noProof/>
        </w:rPr>
      </w:pPr>
      <w:r>
        <w:rPr>
          <w:noProof/>
        </w:rPr>
        <w:t>62)</w:t>
      </w:r>
      <w:r>
        <w:rPr>
          <w:noProof/>
        </w:rPr>
        <w:tab/>
      </w:r>
      <w:r w:rsidR="00AD62E2" w:rsidRPr="002F16A1">
        <w:rPr>
          <w:noProof/>
        </w:rPr>
        <w:t>„partnerstwo strategiczne” oznacza zobowiązanie podjęte przez Unię</w:t>
      </w:r>
      <w:r w:rsidRPr="002F16A1">
        <w:rPr>
          <w:noProof/>
        </w:rPr>
        <w:t xml:space="preserve"> i</w:t>
      </w:r>
      <w:r>
        <w:rPr>
          <w:noProof/>
        </w:rPr>
        <w:t> </w:t>
      </w:r>
      <w:r w:rsidRPr="002F16A1">
        <w:rPr>
          <w:noProof/>
        </w:rPr>
        <w:t>pań</w:t>
      </w:r>
      <w:r w:rsidR="00AD62E2" w:rsidRPr="002F16A1">
        <w:rPr>
          <w:noProof/>
        </w:rPr>
        <w:t>stwo trzecie dotyczące zwiększenia współpracy związanej</w:t>
      </w:r>
      <w:r w:rsidRPr="002F16A1">
        <w:rPr>
          <w:noProof/>
        </w:rPr>
        <w:t xml:space="preserve"> z</w:t>
      </w:r>
      <w:r>
        <w:rPr>
          <w:noProof/>
        </w:rPr>
        <w:t> </w:t>
      </w:r>
      <w:r w:rsidRPr="002F16A1">
        <w:rPr>
          <w:noProof/>
        </w:rPr>
        <w:t>łań</w:t>
      </w:r>
      <w:r w:rsidR="00AD62E2" w:rsidRPr="002F16A1">
        <w:rPr>
          <w:noProof/>
        </w:rPr>
        <w:t>cuchem wartości surowców, ustanowione</w:t>
      </w:r>
      <w:r w:rsidRPr="002F16A1">
        <w:rPr>
          <w:noProof/>
        </w:rPr>
        <w:t xml:space="preserve"> w</w:t>
      </w:r>
      <w:r>
        <w:rPr>
          <w:noProof/>
        </w:rPr>
        <w:t> </w:t>
      </w:r>
      <w:r w:rsidRPr="002F16A1">
        <w:rPr>
          <w:noProof/>
        </w:rPr>
        <w:t>dro</w:t>
      </w:r>
      <w:r w:rsidR="00AD62E2" w:rsidRPr="002F16A1">
        <w:rPr>
          <w:noProof/>
        </w:rPr>
        <w:t>dze niewiążącego instrumentu określającego konkretne działania będące we wspólnym interesie stron.</w:t>
      </w:r>
    </w:p>
    <w:p w:rsidR="00AD62E2" w:rsidRPr="002F16A1" w:rsidRDefault="00AD62E2" w:rsidP="00AD62E2">
      <w:pPr>
        <w:pStyle w:val="ChapterTitle"/>
        <w:rPr>
          <w:noProof/>
        </w:rPr>
      </w:pPr>
      <w:r w:rsidRPr="002F16A1">
        <w:rPr>
          <w:noProof/>
        </w:rPr>
        <w:t xml:space="preserve">Rozdział 2 </w:t>
      </w:r>
      <w:r w:rsidRPr="002F16A1">
        <w:rPr>
          <w:noProof/>
        </w:rPr>
        <w:br/>
        <w:t>Surowce krytyczne</w:t>
      </w:r>
      <w:r w:rsidR="0028384B" w:rsidRPr="002F16A1">
        <w:rPr>
          <w:noProof/>
        </w:rPr>
        <w:t xml:space="preserve"> i</w:t>
      </w:r>
      <w:r w:rsidR="0028384B">
        <w:rPr>
          <w:noProof/>
        </w:rPr>
        <w:t> </w:t>
      </w:r>
      <w:r w:rsidR="0028384B" w:rsidRPr="002F16A1">
        <w:rPr>
          <w:noProof/>
        </w:rPr>
        <w:t>str</w:t>
      </w:r>
      <w:r w:rsidRPr="002F16A1">
        <w:rPr>
          <w:noProof/>
        </w:rPr>
        <w:t>ategiczne</w:t>
      </w:r>
    </w:p>
    <w:p w:rsidR="00AD62E2" w:rsidRPr="002F16A1" w:rsidRDefault="00AD62E2" w:rsidP="00AD62E2">
      <w:pPr>
        <w:pStyle w:val="Titrearticle"/>
        <w:rPr>
          <w:noProof/>
        </w:rPr>
      </w:pPr>
      <w:r w:rsidRPr="002F16A1">
        <w:rPr>
          <w:noProof/>
        </w:rPr>
        <w:t>Artykuł 3</w:t>
      </w:r>
    </w:p>
    <w:p w:rsidR="00AD62E2" w:rsidRPr="002F16A1" w:rsidRDefault="00AD62E2" w:rsidP="00AD62E2">
      <w:pPr>
        <w:pStyle w:val="NormalCentered"/>
        <w:rPr>
          <w:noProof/>
        </w:rPr>
      </w:pPr>
      <w:r w:rsidRPr="002F16A1">
        <w:rPr>
          <w:b/>
          <w:noProof/>
        </w:rPr>
        <w:t>Wykaz surowców strategicznych</w:t>
      </w:r>
    </w:p>
    <w:p w:rsidR="00AD62E2" w:rsidRPr="002F16A1" w:rsidRDefault="00733965" w:rsidP="00733965">
      <w:pPr>
        <w:pStyle w:val="ManualNumPar1"/>
        <w:rPr>
          <w:noProof/>
        </w:rPr>
      </w:pPr>
      <w:r w:rsidRPr="00733965">
        <w:t>1.</w:t>
      </w:r>
      <w:r w:rsidRPr="00733965">
        <w:tab/>
      </w:r>
      <w:r w:rsidR="00AD62E2" w:rsidRPr="002F16A1">
        <w:rPr>
          <w:noProof/>
        </w:rPr>
        <w:t>Surowce wymienione</w:t>
      </w:r>
      <w:r w:rsidR="0028384B" w:rsidRPr="002F16A1">
        <w:rPr>
          <w:noProof/>
        </w:rPr>
        <w:t xml:space="preserve"> w</w:t>
      </w:r>
      <w:r w:rsidR="0028384B">
        <w:rPr>
          <w:noProof/>
        </w:rPr>
        <w:t> </w:t>
      </w:r>
      <w:r w:rsidR="0028384B" w:rsidRPr="002F16A1">
        <w:rPr>
          <w:noProof/>
        </w:rPr>
        <w:t>wyk</w:t>
      </w:r>
      <w:r w:rsidR="00AD62E2" w:rsidRPr="002F16A1">
        <w:rPr>
          <w:noProof/>
        </w:rPr>
        <w:t>azie</w:t>
      </w:r>
      <w:r w:rsidR="0028384B" w:rsidRPr="002F16A1">
        <w:rPr>
          <w:noProof/>
        </w:rPr>
        <w:t xml:space="preserve"> w</w:t>
      </w:r>
      <w:r w:rsidR="0028384B">
        <w:rPr>
          <w:noProof/>
        </w:rPr>
        <w:t> </w:t>
      </w:r>
      <w:r w:rsidR="0028384B" w:rsidRPr="002F16A1">
        <w:rPr>
          <w:noProof/>
        </w:rPr>
        <w:t>zał</w:t>
      </w:r>
      <w:r w:rsidR="00AD62E2" w:rsidRPr="002F16A1">
        <w:rPr>
          <w:noProof/>
        </w:rPr>
        <w:t>ączniku I sekcja 1 uznaje się za surowce strategiczne.</w:t>
      </w:r>
    </w:p>
    <w:p w:rsidR="00AD62E2" w:rsidRPr="002F16A1" w:rsidRDefault="00733965" w:rsidP="00733965">
      <w:pPr>
        <w:pStyle w:val="ManualNumPar1"/>
        <w:rPr>
          <w:noProof/>
        </w:rPr>
      </w:pPr>
      <w:r w:rsidRPr="00733965">
        <w:t>2.</w:t>
      </w:r>
      <w:r w:rsidRPr="00733965">
        <w:tab/>
      </w:r>
      <w:r w:rsidR="00AD62E2" w:rsidRPr="002F16A1">
        <w:rPr>
          <w:noProof/>
        </w:rPr>
        <w:t>Komisja jest uprawniona do przyjęcia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6 aktów delegowanych służących zmianie załącznika I sekcja 1</w:t>
      </w:r>
      <w:r w:rsidR="0028384B" w:rsidRPr="002F16A1">
        <w:rPr>
          <w:noProof/>
        </w:rPr>
        <w:t xml:space="preserve"> w</w:t>
      </w:r>
      <w:r w:rsidR="0028384B">
        <w:rPr>
          <w:noProof/>
        </w:rPr>
        <w:t> </w:t>
      </w:r>
      <w:r w:rsidR="0028384B" w:rsidRPr="002F16A1">
        <w:rPr>
          <w:noProof/>
        </w:rPr>
        <w:t>cel</w:t>
      </w:r>
      <w:r w:rsidR="00AD62E2" w:rsidRPr="002F16A1">
        <w:rPr>
          <w:noProof/>
        </w:rPr>
        <w:t>u aktualizacji wykazu surowców strategicznych.</w:t>
      </w:r>
    </w:p>
    <w:p w:rsidR="00AD62E2" w:rsidRPr="002F16A1" w:rsidRDefault="00AD62E2" w:rsidP="00AD62E2">
      <w:pPr>
        <w:pStyle w:val="Text1"/>
        <w:rPr>
          <w:noProof/>
        </w:rPr>
      </w:pPr>
      <w:r w:rsidRPr="002F16A1">
        <w:rPr>
          <w:noProof/>
        </w:rPr>
        <w:t>Zaktualizowany wykaz surowców strategicznych zawiera te surowce spośród surowców podlegających ocenie, które uzyskały najwyższy wynik pod względem znaczenia strategicznego, przewidywanego wzrostu popytu</w:t>
      </w:r>
      <w:r w:rsidR="0028384B" w:rsidRPr="002F16A1">
        <w:rPr>
          <w:noProof/>
        </w:rPr>
        <w:t xml:space="preserve"> i</w:t>
      </w:r>
      <w:r w:rsidR="0028384B">
        <w:rPr>
          <w:noProof/>
        </w:rPr>
        <w:t> </w:t>
      </w:r>
      <w:r w:rsidR="0028384B" w:rsidRPr="002F16A1">
        <w:rPr>
          <w:noProof/>
        </w:rPr>
        <w:t>tru</w:t>
      </w:r>
      <w:r w:rsidRPr="002F16A1">
        <w:rPr>
          <w:noProof/>
        </w:rPr>
        <w:t>dności</w:t>
      </w:r>
      <w:r w:rsidR="0028384B" w:rsidRPr="002F16A1">
        <w:rPr>
          <w:noProof/>
        </w:rPr>
        <w:t xml:space="preserve"> w</w:t>
      </w:r>
      <w:r w:rsidR="0028384B">
        <w:rPr>
          <w:noProof/>
        </w:rPr>
        <w:t> </w:t>
      </w:r>
      <w:r w:rsidR="0028384B" w:rsidRPr="002F16A1">
        <w:rPr>
          <w:noProof/>
        </w:rPr>
        <w:t>zwi</w:t>
      </w:r>
      <w:r w:rsidRPr="002F16A1">
        <w:rPr>
          <w:noProof/>
        </w:rPr>
        <w:t>ększeniu produkcji. Znaczenie strategiczne, przewidywany popyt</w:t>
      </w:r>
      <w:r w:rsidR="0028384B" w:rsidRPr="002F16A1">
        <w:rPr>
          <w:noProof/>
        </w:rPr>
        <w:t xml:space="preserve"> i</w:t>
      </w:r>
      <w:r w:rsidR="0028384B">
        <w:rPr>
          <w:noProof/>
        </w:rPr>
        <w:t> </w:t>
      </w:r>
      <w:r w:rsidR="0028384B" w:rsidRPr="002F16A1">
        <w:rPr>
          <w:noProof/>
        </w:rPr>
        <w:t>tru</w:t>
      </w:r>
      <w:r w:rsidRPr="002F16A1">
        <w:rPr>
          <w:noProof/>
        </w:rPr>
        <w:t>dność</w:t>
      </w:r>
      <w:r w:rsidR="0028384B" w:rsidRPr="002F16A1">
        <w:rPr>
          <w:noProof/>
        </w:rPr>
        <w:t xml:space="preserve"> w</w:t>
      </w:r>
      <w:r w:rsidR="0028384B">
        <w:rPr>
          <w:noProof/>
        </w:rPr>
        <w:t> </w:t>
      </w:r>
      <w:r w:rsidR="0028384B" w:rsidRPr="002F16A1">
        <w:rPr>
          <w:noProof/>
        </w:rPr>
        <w:t>zwi</w:t>
      </w:r>
      <w:r w:rsidRPr="002F16A1">
        <w:rPr>
          <w:noProof/>
        </w:rPr>
        <w:t>ększeniu produkcji określa się zgodnie</w:t>
      </w:r>
      <w:r w:rsidR="0028384B" w:rsidRPr="002F16A1">
        <w:rPr>
          <w:noProof/>
        </w:rPr>
        <w:t xml:space="preserve"> z</w:t>
      </w:r>
      <w:r w:rsidR="0028384B">
        <w:rPr>
          <w:noProof/>
        </w:rPr>
        <w:t> </w:t>
      </w:r>
      <w:r w:rsidR="0028384B" w:rsidRPr="002F16A1">
        <w:rPr>
          <w:noProof/>
        </w:rPr>
        <w:t>zał</w:t>
      </w:r>
      <w:r w:rsidRPr="002F16A1">
        <w:rPr>
          <w:noProof/>
        </w:rPr>
        <w:t>ącznikiem I sekcja 2.</w:t>
      </w:r>
    </w:p>
    <w:p w:rsidR="00AD62E2" w:rsidRPr="002F16A1" w:rsidRDefault="00733965" w:rsidP="00733965">
      <w:pPr>
        <w:pStyle w:val="ManualNumPar1"/>
        <w:rPr>
          <w:noProof/>
        </w:rPr>
      </w:pPr>
      <w:r w:rsidRPr="00733965">
        <w:t>3.</w:t>
      </w:r>
      <w:r w:rsidRPr="00733965">
        <w:tab/>
      </w:r>
      <w:r w:rsidR="00AD62E2" w:rsidRPr="002F16A1">
        <w:rPr>
          <w:noProof/>
        </w:rPr>
        <w:t>Komisja dokonuje przeglądu i,</w:t>
      </w:r>
      <w:r w:rsidR="0028384B" w:rsidRPr="002F16A1">
        <w:rPr>
          <w:noProof/>
        </w:rPr>
        <w:t xml:space="preserve"> w</w:t>
      </w:r>
      <w:r w:rsidR="0028384B">
        <w:rPr>
          <w:noProof/>
        </w:rPr>
        <w:t> </w:t>
      </w:r>
      <w:r w:rsidR="0028384B" w:rsidRPr="002F16A1">
        <w:rPr>
          <w:noProof/>
        </w:rPr>
        <w:t>sto</w:t>
      </w:r>
      <w:r w:rsidR="00AD62E2" w:rsidRPr="002F16A1">
        <w:rPr>
          <w:noProof/>
        </w:rPr>
        <w:t>sownych przypadkach, aktualizacji wykazu surowców strategicznych do [</w:t>
      </w:r>
      <w:r w:rsidR="00AD62E2" w:rsidRPr="002F16A1">
        <w:rPr>
          <w:i/>
          <w:iCs/>
          <w:noProof/>
        </w:rPr>
        <w:t>Urząd Publikacji: proszę wstawić</w:t>
      </w:r>
      <w:r w:rsidR="00AD62E2" w:rsidRPr="002F16A1">
        <w:rPr>
          <w:noProof/>
        </w:rPr>
        <w:t xml:space="preserve"> </w:t>
      </w:r>
      <w:r w:rsidR="00AD62E2" w:rsidRPr="002F16A1">
        <w:rPr>
          <w:i/>
          <w:iCs/>
          <w:noProof/>
        </w:rPr>
        <w:t>datę: cztery lata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w:t>
      </w:r>
      <w:r w:rsidR="0028384B" w:rsidRPr="002F16A1">
        <w:rPr>
          <w:noProof/>
        </w:rPr>
        <w:t xml:space="preserve"> i</w:t>
      </w:r>
      <w:r w:rsidR="0028384B">
        <w:rPr>
          <w:noProof/>
        </w:rPr>
        <w:t> </w:t>
      </w:r>
      <w:r w:rsidR="0028384B" w:rsidRPr="002F16A1">
        <w:rPr>
          <w:noProof/>
        </w:rPr>
        <w:t>nas</w:t>
      </w:r>
      <w:r w:rsidR="00AD62E2" w:rsidRPr="002F16A1">
        <w:rPr>
          <w:noProof/>
        </w:rPr>
        <w:t>tępnie co cztery lata.</w:t>
      </w:r>
    </w:p>
    <w:p w:rsidR="00AD62E2" w:rsidRPr="002F16A1" w:rsidRDefault="00AD62E2" w:rsidP="00AD62E2">
      <w:pPr>
        <w:pStyle w:val="Titrearticle"/>
        <w:rPr>
          <w:noProof/>
        </w:rPr>
      </w:pPr>
      <w:r w:rsidRPr="002F16A1">
        <w:rPr>
          <w:noProof/>
        </w:rPr>
        <w:t>Artykuł 4</w:t>
      </w:r>
    </w:p>
    <w:p w:rsidR="00AD62E2" w:rsidRPr="002F16A1" w:rsidRDefault="00AD62E2" w:rsidP="00AD62E2">
      <w:pPr>
        <w:pStyle w:val="NormalCentered"/>
        <w:rPr>
          <w:noProof/>
        </w:rPr>
      </w:pPr>
      <w:r w:rsidRPr="002F16A1">
        <w:rPr>
          <w:b/>
          <w:noProof/>
        </w:rPr>
        <w:t>Wykaz surowców krytycznych</w:t>
      </w:r>
    </w:p>
    <w:p w:rsidR="00AD62E2" w:rsidRPr="002F16A1" w:rsidRDefault="00733965" w:rsidP="00733965">
      <w:pPr>
        <w:pStyle w:val="ManualNumPar1"/>
        <w:rPr>
          <w:noProof/>
        </w:rPr>
      </w:pPr>
      <w:r w:rsidRPr="00733965">
        <w:t>1.</w:t>
      </w:r>
      <w:r w:rsidRPr="00733965">
        <w:tab/>
      </w:r>
      <w:r w:rsidR="00AD62E2" w:rsidRPr="002F16A1">
        <w:rPr>
          <w:noProof/>
        </w:rPr>
        <w:t>Surowce wymienione</w:t>
      </w:r>
      <w:r w:rsidR="0028384B" w:rsidRPr="002F16A1">
        <w:rPr>
          <w:noProof/>
        </w:rPr>
        <w:t xml:space="preserve"> w</w:t>
      </w:r>
      <w:r w:rsidR="0028384B">
        <w:rPr>
          <w:noProof/>
        </w:rPr>
        <w:t> </w:t>
      </w:r>
      <w:r w:rsidR="0028384B" w:rsidRPr="002F16A1">
        <w:rPr>
          <w:noProof/>
        </w:rPr>
        <w:t>wyk</w:t>
      </w:r>
      <w:r w:rsidR="00AD62E2" w:rsidRPr="002F16A1">
        <w:rPr>
          <w:noProof/>
        </w:rPr>
        <w:t>azie</w:t>
      </w:r>
      <w:r w:rsidR="0028384B" w:rsidRPr="002F16A1">
        <w:rPr>
          <w:noProof/>
        </w:rPr>
        <w:t xml:space="preserve"> w</w:t>
      </w:r>
      <w:r w:rsidR="0028384B">
        <w:rPr>
          <w:noProof/>
        </w:rPr>
        <w:t> </w:t>
      </w:r>
      <w:r w:rsidR="0028384B" w:rsidRPr="002F16A1">
        <w:rPr>
          <w:noProof/>
        </w:rPr>
        <w:t>zał</w:t>
      </w:r>
      <w:r w:rsidR="00AD62E2" w:rsidRPr="002F16A1">
        <w:rPr>
          <w:noProof/>
        </w:rPr>
        <w:t>ączniku II sekcja 1 uznaje się za surowce krytyczne.</w:t>
      </w:r>
    </w:p>
    <w:p w:rsidR="00AD62E2" w:rsidRPr="002F16A1" w:rsidRDefault="00733965" w:rsidP="00733965">
      <w:pPr>
        <w:pStyle w:val="ManualNumPar1"/>
        <w:rPr>
          <w:noProof/>
        </w:rPr>
      </w:pPr>
      <w:r w:rsidRPr="00733965">
        <w:t>2.</w:t>
      </w:r>
      <w:r w:rsidRPr="00733965">
        <w:tab/>
      </w:r>
      <w:r w:rsidR="00AD62E2" w:rsidRPr="002F16A1">
        <w:rPr>
          <w:noProof/>
        </w:rPr>
        <w:t>Komisja jest uprawniona do przyjęcia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6 aktów delegowanych służących zmianie załącznika II sekcja 1</w:t>
      </w:r>
      <w:r w:rsidR="0028384B" w:rsidRPr="002F16A1">
        <w:rPr>
          <w:noProof/>
        </w:rPr>
        <w:t xml:space="preserve"> w</w:t>
      </w:r>
      <w:r w:rsidR="0028384B">
        <w:rPr>
          <w:noProof/>
        </w:rPr>
        <w:t> </w:t>
      </w:r>
      <w:r w:rsidR="0028384B" w:rsidRPr="002F16A1">
        <w:rPr>
          <w:noProof/>
        </w:rPr>
        <w:t>cel</w:t>
      </w:r>
      <w:r w:rsidR="00AD62E2" w:rsidRPr="002F16A1">
        <w:rPr>
          <w:noProof/>
        </w:rPr>
        <w:t>u aktualizacji wykazu surowców krytycznych.</w:t>
      </w:r>
    </w:p>
    <w:p w:rsidR="00AD62E2" w:rsidRPr="002F16A1" w:rsidRDefault="00AD62E2" w:rsidP="00AD62E2">
      <w:pPr>
        <w:pStyle w:val="Text1"/>
        <w:rPr>
          <w:noProof/>
        </w:rPr>
      </w:pPr>
      <w:r w:rsidRPr="002F16A1">
        <w:rPr>
          <w:noProof/>
        </w:rPr>
        <w:t>Zaktualizowany wykaz surowców krytycznych zawiera surowce strategiczne wymienione</w:t>
      </w:r>
      <w:r w:rsidR="0028384B" w:rsidRPr="002F16A1">
        <w:rPr>
          <w:noProof/>
        </w:rPr>
        <w:t xml:space="preserve"> w</w:t>
      </w:r>
      <w:r w:rsidR="0028384B">
        <w:rPr>
          <w:noProof/>
        </w:rPr>
        <w:t> </w:t>
      </w:r>
      <w:r w:rsidR="0028384B" w:rsidRPr="002F16A1">
        <w:rPr>
          <w:noProof/>
        </w:rPr>
        <w:t>wyk</w:t>
      </w:r>
      <w:r w:rsidRPr="002F16A1">
        <w:rPr>
          <w:noProof/>
        </w:rPr>
        <w:t>azie</w:t>
      </w:r>
      <w:r w:rsidR="0028384B" w:rsidRPr="002F16A1">
        <w:rPr>
          <w:noProof/>
        </w:rPr>
        <w:t xml:space="preserve"> w</w:t>
      </w:r>
      <w:r w:rsidR="0028384B">
        <w:rPr>
          <w:noProof/>
        </w:rPr>
        <w:t> </w:t>
      </w:r>
      <w:r w:rsidR="0028384B" w:rsidRPr="002F16A1">
        <w:rPr>
          <w:noProof/>
        </w:rPr>
        <w:t>zał</w:t>
      </w:r>
      <w:r w:rsidRPr="002F16A1">
        <w:rPr>
          <w:noProof/>
        </w:rPr>
        <w:t>ączniku I sekcja 1, jak również wszelkie inne surowce, które osiągają lub przekraczają progi dotyczące zarówno znaczenia gospodarczego, jak</w:t>
      </w:r>
      <w:r w:rsidR="0028384B" w:rsidRPr="002F16A1">
        <w:rPr>
          <w:noProof/>
        </w:rPr>
        <w:t xml:space="preserve"> i</w:t>
      </w:r>
      <w:r w:rsidR="0028384B">
        <w:rPr>
          <w:noProof/>
        </w:rPr>
        <w:t> </w:t>
      </w:r>
      <w:r w:rsidR="0028384B" w:rsidRPr="002F16A1">
        <w:rPr>
          <w:noProof/>
        </w:rPr>
        <w:t>ryz</w:t>
      </w:r>
      <w:r w:rsidRPr="002F16A1">
        <w:rPr>
          <w:noProof/>
        </w:rPr>
        <w:t>yka związanego</w:t>
      </w:r>
      <w:r w:rsidR="0028384B" w:rsidRPr="002F16A1">
        <w:rPr>
          <w:noProof/>
        </w:rPr>
        <w:t xml:space="preserve"> z</w:t>
      </w:r>
      <w:r w:rsidR="0028384B">
        <w:rPr>
          <w:noProof/>
        </w:rPr>
        <w:t> </w:t>
      </w:r>
      <w:r w:rsidR="0028384B" w:rsidRPr="002F16A1">
        <w:rPr>
          <w:noProof/>
        </w:rPr>
        <w:t>dos</w:t>
      </w:r>
      <w:r w:rsidRPr="002F16A1">
        <w:rPr>
          <w:noProof/>
        </w:rPr>
        <w:t>tawami,</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8384B">
        <w:rPr>
          <w:noProof/>
        </w:rPr>
        <w:t>ust</w:t>
      </w:r>
      <w:r w:rsidRPr="0028384B">
        <w:rPr>
          <w:noProof/>
        </w:rPr>
        <w:t>.</w:t>
      </w:r>
      <w:r w:rsidR="0028384B" w:rsidRPr="0028384B">
        <w:rPr>
          <w:noProof/>
        </w:rPr>
        <w:t> </w:t>
      </w:r>
      <w:r w:rsidRPr="0028384B">
        <w:rPr>
          <w:noProof/>
        </w:rPr>
        <w:t>3</w:t>
      </w:r>
      <w:r w:rsidRPr="002F16A1">
        <w:rPr>
          <w:noProof/>
        </w:rPr>
        <w:t>. Znaczenie gospodarcze</w:t>
      </w:r>
      <w:r w:rsidR="0028384B" w:rsidRPr="002F16A1">
        <w:rPr>
          <w:noProof/>
        </w:rPr>
        <w:t xml:space="preserve"> i</w:t>
      </w:r>
      <w:r w:rsidR="0028384B">
        <w:rPr>
          <w:noProof/>
        </w:rPr>
        <w:t> </w:t>
      </w:r>
      <w:r w:rsidR="0028384B" w:rsidRPr="002F16A1">
        <w:rPr>
          <w:noProof/>
        </w:rPr>
        <w:t>ryz</w:t>
      </w:r>
      <w:r w:rsidRPr="002F16A1">
        <w:rPr>
          <w:noProof/>
        </w:rPr>
        <w:t>yko związane</w:t>
      </w:r>
      <w:r w:rsidR="0028384B" w:rsidRPr="002F16A1">
        <w:rPr>
          <w:noProof/>
        </w:rPr>
        <w:t xml:space="preserve"> z</w:t>
      </w:r>
      <w:r w:rsidR="0028384B">
        <w:rPr>
          <w:noProof/>
        </w:rPr>
        <w:t> </w:t>
      </w:r>
      <w:r w:rsidR="0028384B" w:rsidRPr="002F16A1">
        <w:rPr>
          <w:noProof/>
        </w:rPr>
        <w:t>dos</w:t>
      </w:r>
      <w:r w:rsidRPr="002F16A1">
        <w:rPr>
          <w:noProof/>
        </w:rPr>
        <w:t>tawami oblicza się zgodnie</w:t>
      </w:r>
      <w:r w:rsidR="0028384B" w:rsidRPr="002F16A1">
        <w:rPr>
          <w:noProof/>
        </w:rPr>
        <w:t xml:space="preserve"> z</w:t>
      </w:r>
      <w:r w:rsidR="0028384B">
        <w:rPr>
          <w:noProof/>
        </w:rPr>
        <w:t> </w:t>
      </w:r>
      <w:r w:rsidR="0028384B" w:rsidRPr="002F16A1">
        <w:rPr>
          <w:noProof/>
        </w:rPr>
        <w:t>zał</w:t>
      </w:r>
      <w:r w:rsidRPr="002F16A1">
        <w:rPr>
          <w:noProof/>
        </w:rPr>
        <w:t>ącznikiem II sekcja 2. </w:t>
      </w:r>
    </w:p>
    <w:p w:rsidR="00AD62E2" w:rsidRPr="002F16A1" w:rsidRDefault="00733965" w:rsidP="00733965">
      <w:pPr>
        <w:pStyle w:val="ManualNumPar1"/>
        <w:rPr>
          <w:noProof/>
        </w:rPr>
      </w:pPr>
      <w:r w:rsidRPr="00733965">
        <w:t>3.</w:t>
      </w:r>
      <w:r w:rsidRPr="00733965">
        <w:tab/>
      </w:r>
      <w:r w:rsidR="00AD62E2" w:rsidRPr="002F16A1">
        <w:rPr>
          <w:noProof/>
        </w:rPr>
        <w:t>Progi wynoszą 1</w:t>
      </w:r>
      <w:r w:rsidR="0028384B" w:rsidRPr="002F16A1">
        <w:rPr>
          <w:noProof/>
        </w:rPr>
        <w:t xml:space="preserve"> w</w:t>
      </w:r>
      <w:r w:rsidR="0028384B">
        <w:rPr>
          <w:noProof/>
        </w:rPr>
        <w:t> </w:t>
      </w:r>
      <w:r w:rsidR="0028384B" w:rsidRPr="002F16A1">
        <w:rPr>
          <w:noProof/>
        </w:rPr>
        <w:t>prz</w:t>
      </w:r>
      <w:r w:rsidR="00AD62E2" w:rsidRPr="002F16A1">
        <w:rPr>
          <w:noProof/>
        </w:rPr>
        <w:t>ypadku ryzyka związanego</w:t>
      </w:r>
      <w:r w:rsidR="0028384B" w:rsidRPr="002F16A1">
        <w:rPr>
          <w:noProof/>
        </w:rPr>
        <w:t xml:space="preserve"> z</w:t>
      </w:r>
      <w:r w:rsidR="0028384B">
        <w:rPr>
          <w:noProof/>
        </w:rPr>
        <w:t> </w:t>
      </w:r>
      <w:r w:rsidR="0028384B" w:rsidRPr="002F16A1">
        <w:rPr>
          <w:noProof/>
        </w:rPr>
        <w:t>dos</w:t>
      </w:r>
      <w:r w:rsidR="00AD62E2" w:rsidRPr="002F16A1">
        <w:rPr>
          <w:noProof/>
        </w:rPr>
        <w:t>tawami</w:t>
      </w:r>
      <w:r w:rsidR="0028384B" w:rsidRPr="002F16A1">
        <w:rPr>
          <w:noProof/>
        </w:rPr>
        <w:t xml:space="preserve"> i</w:t>
      </w:r>
      <w:r w:rsidR="0028384B">
        <w:rPr>
          <w:noProof/>
        </w:rPr>
        <w:t> </w:t>
      </w:r>
      <w:r w:rsidR="0028384B" w:rsidRPr="002F16A1">
        <w:rPr>
          <w:noProof/>
        </w:rPr>
        <w:t>2</w:t>
      </w:r>
      <w:r w:rsidR="00AD62E2" w:rsidRPr="002F16A1">
        <w:rPr>
          <w:noProof/>
        </w:rPr>
        <w:t>,8</w:t>
      </w:r>
      <w:r w:rsidR="0028384B" w:rsidRPr="002F16A1">
        <w:rPr>
          <w:noProof/>
        </w:rPr>
        <w:t xml:space="preserve"> w</w:t>
      </w:r>
      <w:r w:rsidR="0028384B">
        <w:rPr>
          <w:noProof/>
        </w:rPr>
        <w:t> </w:t>
      </w:r>
      <w:r w:rsidR="0028384B" w:rsidRPr="002F16A1">
        <w:rPr>
          <w:noProof/>
        </w:rPr>
        <w:t>prz</w:t>
      </w:r>
      <w:r w:rsidR="00AD62E2" w:rsidRPr="002F16A1">
        <w:rPr>
          <w:noProof/>
        </w:rPr>
        <w:t>ypadku znaczenia gospodarczego.</w:t>
      </w:r>
    </w:p>
    <w:p w:rsidR="00AD62E2" w:rsidRPr="002F16A1" w:rsidRDefault="00733965" w:rsidP="00733965">
      <w:pPr>
        <w:pStyle w:val="ManualNumPar1"/>
        <w:rPr>
          <w:noProof/>
        </w:rPr>
      </w:pPr>
      <w:r w:rsidRPr="00733965">
        <w:t>4.</w:t>
      </w:r>
      <w:r w:rsidRPr="00733965">
        <w:tab/>
      </w:r>
      <w:r w:rsidR="00AD62E2" w:rsidRPr="002F16A1">
        <w:rPr>
          <w:noProof/>
        </w:rPr>
        <w:t>Komisja dokonuje przeglądu i,</w:t>
      </w:r>
      <w:r w:rsidR="0028384B" w:rsidRPr="002F16A1">
        <w:rPr>
          <w:noProof/>
        </w:rPr>
        <w:t xml:space="preserve"> w</w:t>
      </w:r>
      <w:r w:rsidR="0028384B">
        <w:rPr>
          <w:noProof/>
        </w:rPr>
        <w:t> </w:t>
      </w:r>
      <w:r w:rsidR="0028384B" w:rsidRPr="002F16A1">
        <w:rPr>
          <w:noProof/>
        </w:rPr>
        <w:t>sto</w:t>
      </w:r>
      <w:r w:rsidR="00AD62E2" w:rsidRPr="002F16A1">
        <w:rPr>
          <w:noProof/>
        </w:rPr>
        <w:t>sownych przypadkach, aktualizacji wykazu surowców krytycznych do [</w:t>
      </w:r>
      <w:r w:rsidR="00AD62E2" w:rsidRPr="002F16A1">
        <w:rPr>
          <w:i/>
          <w:iCs/>
          <w:noProof/>
        </w:rPr>
        <w:t>Urząd Publikacji: proszę wstawić</w:t>
      </w:r>
      <w:r w:rsidR="00AD62E2" w:rsidRPr="002F16A1">
        <w:rPr>
          <w:noProof/>
        </w:rPr>
        <w:t xml:space="preserve"> </w:t>
      </w:r>
      <w:r w:rsidR="00AD62E2" w:rsidRPr="002F16A1">
        <w:rPr>
          <w:i/>
          <w:iCs/>
          <w:noProof/>
        </w:rPr>
        <w:t>datę: cztery lata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w:t>
      </w:r>
      <w:r w:rsidR="0028384B" w:rsidRPr="002F16A1">
        <w:rPr>
          <w:noProof/>
        </w:rPr>
        <w:t xml:space="preserve"> i</w:t>
      </w:r>
      <w:r w:rsidR="0028384B">
        <w:rPr>
          <w:noProof/>
        </w:rPr>
        <w:t> </w:t>
      </w:r>
      <w:r w:rsidR="0028384B" w:rsidRPr="002F16A1">
        <w:rPr>
          <w:noProof/>
        </w:rPr>
        <w:t>nas</w:t>
      </w:r>
      <w:r w:rsidR="00AD62E2" w:rsidRPr="002F16A1">
        <w:rPr>
          <w:noProof/>
        </w:rPr>
        <w:t>tępnie co cztery lata.</w:t>
      </w:r>
    </w:p>
    <w:p w:rsidR="00AD62E2" w:rsidRPr="002F16A1" w:rsidRDefault="00AD62E2" w:rsidP="00AD62E2">
      <w:pPr>
        <w:pStyle w:val="ChapterTitle"/>
        <w:rPr>
          <w:noProof/>
        </w:rPr>
      </w:pPr>
      <w:r w:rsidRPr="002F16A1">
        <w:rPr>
          <w:noProof/>
        </w:rPr>
        <w:t xml:space="preserve">Rozdział 3 </w:t>
      </w:r>
      <w:r w:rsidRPr="002F16A1">
        <w:rPr>
          <w:noProof/>
        </w:rPr>
        <w:br/>
        <w:t>Wzmocnienie unijnego łańcucha wartości surowców</w:t>
      </w:r>
    </w:p>
    <w:p w:rsidR="00AD62E2" w:rsidRPr="002F16A1" w:rsidRDefault="00AD62E2" w:rsidP="00AD62E2">
      <w:pPr>
        <w:pStyle w:val="SectionTitle"/>
        <w:rPr>
          <w:noProof/>
        </w:rPr>
      </w:pPr>
      <w:bookmarkStart w:id="1" w:name="__akn_section_dCt9cD"/>
      <w:bookmarkEnd w:id="1"/>
      <w:r w:rsidRPr="002F16A1">
        <w:rPr>
          <w:noProof/>
        </w:rPr>
        <w:t xml:space="preserve">Sekcja 1 </w:t>
      </w:r>
      <w:r w:rsidRPr="002F16A1">
        <w:rPr>
          <w:noProof/>
        </w:rPr>
        <w:br/>
        <w:t>Projekty strategiczne</w:t>
      </w:r>
    </w:p>
    <w:p w:rsidR="00AD62E2" w:rsidRPr="002F16A1" w:rsidRDefault="00AD62E2" w:rsidP="00AD62E2">
      <w:pPr>
        <w:pStyle w:val="Titrearticle"/>
        <w:rPr>
          <w:noProof/>
        </w:rPr>
      </w:pPr>
      <w:bookmarkStart w:id="2" w:name="__akn_article_8TBek7"/>
      <w:bookmarkEnd w:id="2"/>
      <w:r w:rsidRPr="002F16A1">
        <w:rPr>
          <w:noProof/>
        </w:rPr>
        <w:t>Artykuł 5</w:t>
      </w:r>
    </w:p>
    <w:p w:rsidR="00AD62E2" w:rsidRPr="002F16A1" w:rsidRDefault="00AD62E2" w:rsidP="00AD62E2">
      <w:pPr>
        <w:pStyle w:val="NormalCentered"/>
        <w:rPr>
          <w:b/>
          <w:noProof/>
        </w:rPr>
      </w:pPr>
      <w:r w:rsidRPr="002F16A1">
        <w:rPr>
          <w:b/>
          <w:noProof/>
        </w:rPr>
        <w:t>Kryteria uznawania projektów za projekty strategiczne</w:t>
      </w:r>
    </w:p>
    <w:p w:rsidR="00AD62E2" w:rsidRPr="002F16A1" w:rsidRDefault="00733965" w:rsidP="00733965">
      <w:pPr>
        <w:pStyle w:val="ManualNumPar1"/>
        <w:rPr>
          <w:noProof/>
        </w:rPr>
      </w:pPr>
      <w:bookmarkStart w:id="3" w:name="_Hlk128854806"/>
      <w:r w:rsidRPr="00733965">
        <w:t>1.</w:t>
      </w:r>
      <w:r w:rsidRPr="00733965">
        <w:tab/>
      </w:r>
      <w:r w:rsidR="00AD62E2" w:rsidRPr="002F16A1">
        <w:rPr>
          <w:noProof/>
        </w:rPr>
        <w:t>W następstwie złożenia wniosku przez promotora projektu</w:t>
      </w:r>
      <w:r w:rsidR="0028384B" w:rsidRPr="002F16A1">
        <w:rPr>
          <w:noProof/>
        </w:rPr>
        <w:t xml:space="preserve"> i</w:t>
      </w:r>
      <w:r w:rsidR="0028384B">
        <w:rPr>
          <w:noProof/>
        </w:rPr>
        <w:t> </w:t>
      </w:r>
      <w:r w:rsidR="0028384B" w:rsidRPr="002F16A1">
        <w:rPr>
          <w:noProof/>
        </w:rPr>
        <w:t>zgo</w:t>
      </w:r>
      <w:r w:rsidR="00AD62E2" w:rsidRPr="002F16A1">
        <w:rPr>
          <w:noProof/>
        </w:rPr>
        <w:t>dnie</w:t>
      </w:r>
      <w:r w:rsidR="0028384B" w:rsidRPr="002F16A1">
        <w:rPr>
          <w:noProof/>
        </w:rPr>
        <w:t xml:space="preserve"> z</w:t>
      </w:r>
      <w:r w:rsidR="0028384B">
        <w:rPr>
          <w:noProof/>
        </w:rPr>
        <w:t> </w:t>
      </w:r>
      <w:r w:rsidR="0028384B" w:rsidRPr="002F16A1">
        <w:rPr>
          <w:noProof/>
        </w:rPr>
        <w:t>pro</w:t>
      </w:r>
      <w:r w:rsidR="00AD62E2" w:rsidRPr="002F16A1">
        <w:rPr>
          <w:noProof/>
        </w:rPr>
        <w:t>cedurą ustanowioną</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6</w:t>
      </w:r>
      <w:r w:rsidR="00AD62E2" w:rsidRPr="002F16A1">
        <w:rPr>
          <w:noProof/>
        </w:rPr>
        <w:t xml:space="preserve"> Komisja uznaje za projekty strategiczne projekty dotyczące surowców spełniające następujące kryteria:</w:t>
      </w:r>
      <w:bookmarkEnd w:id="3"/>
    </w:p>
    <w:p w:rsidR="00AD62E2" w:rsidRPr="002F16A1" w:rsidRDefault="0028384B" w:rsidP="0028384B">
      <w:pPr>
        <w:pStyle w:val="Point1"/>
        <w:rPr>
          <w:noProof/>
        </w:rPr>
      </w:pPr>
      <w:r>
        <w:rPr>
          <w:noProof/>
        </w:rPr>
        <w:t>a)</w:t>
      </w:r>
      <w:r>
        <w:rPr>
          <w:noProof/>
        </w:rPr>
        <w:tab/>
      </w:r>
      <w:r w:rsidR="00AD62E2" w:rsidRPr="002F16A1">
        <w:rPr>
          <w:noProof/>
        </w:rPr>
        <w:t>projekt</w:t>
      </w:r>
      <w:r w:rsidRPr="002F16A1">
        <w:rPr>
          <w:noProof/>
        </w:rPr>
        <w:t xml:space="preserve"> w</w:t>
      </w:r>
      <w:r>
        <w:rPr>
          <w:noProof/>
        </w:rPr>
        <w:t> </w:t>
      </w:r>
      <w:r w:rsidRPr="002F16A1">
        <w:rPr>
          <w:noProof/>
        </w:rPr>
        <w:t>zna</w:t>
      </w:r>
      <w:r w:rsidR="00AD62E2" w:rsidRPr="002F16A1">
        <w:rPr>
          <w:noProof/>
        </w:rPr>
        <w:t>czącym stopniu przyczynia się do bezpieczeństwa unijnych dostaw surowców strategicznych; </w:t>
      </w:r>
    </w:p>
    <w:p w:rsidR="00AD62E2" w:rsidRPr="002F16A1" w:rsidRDefault="0028384B" w:rsidP="0028384B">
      <w:pPr>
        <w:pStyle w:val="Point1"/>
        <w:rPr>
          <w:noProof/>
        </w:rPr>
      </w:pPr>
      <w:r>
        <w:rPr>
          <w:noProof/>
        </w:rPr>
        <w:t>b)</w:t>
      </w:r>
      <w:r>
        <w:rPr>
          <w:noProof/>
        </w:rPr>
        <w:tab/>
      </w:r>
      <w:r w:rsidR="00AD62E2" w:rsidRPr="002F16A1">
        <w:rPr>
          <w:noProof/>
        </w:rPr>
        <w:t>projekt jest lub stanie się technicznie wykonalny</w:t>
      </w:r>
      <w:r w:rsidRPr="002F16A1">
        <w:rPr>
          <w:noProof/>
        </w:rPr>
        <w:t xml:space="preserve"> w</w:t>
      </w:r>
      <w:r>
        <w:rPr>
          <w:noProof/>
        </w:rPr>
        <w:t> </w:t>
      </w:r>
      <w:r w:rsidRPr="002F16A1">
        <w:rPr>
          <w:noProof/>
        </w:rPr>
        <w:t>roz</w:t>
      </w:r>
      <w:r w:rsidR="00AD62E2" w:rsidRPr="002F16A1">
        <w:rPr>
          <w:noProof/>
        </w:rPr>
        <w:t>sądnych ramach czasowych</w:t>
      </w:r>
      <w:r w:rsidRPr="002F16A1">
        <w:rPr>
          <w:noProof/>
        </w:rPr>
        <w:t xml:space="preserve"> i</w:t>
      </w:r>
      <w:r>
        <w:rPr>
          <w:noProof/>
        </w:rPr>
        <w:t> </w:t>
      </w:r>
      <w:r w:rsidRPr="002F16A1">
        <w:rPr>
          <w:noProof/>
        </w:rPr>
        <w:t>moż</w:t>
      </w:r>
      <w:r w:rsidR="00AD62E2" w:rsidRPr="002F16A1">
        <w:rPr>
          <w:noProof/>
        </w:rPr>
        <w:t>na oszacować spodziewaną wielkość produkcji</w:t>
      </w:r>
      <w:r w:rsidRPr="002F16A1">
        <w:rPr>
          <w:noProof/>
        </w:rPr>
        <w:t xml:space="preserve"> w</w:t>
      </w:r>
      <w:r>
        <w:rPr>
          <w:noProof/>
        </w:rPr>
        <w:t> </w:t>
      </w:r>
      <w:r w:rsidRPr="002F16A1">
        <w:rPr>
          <w:noProof/>
        </w:rPr>
        <w:t>ram</w:t>
      </w:r>
      <w:r w:rsidR="00AD62E2" w:rsidRPr="002F16A1">
        <w:rPr>
          <w:noProof/>
        </w:rPr>
        <w:t>ach projektu</w:t>
      </w:r>
      <w:r w:rsidRPr="002F16A1">
        <w:rPr>
          <w:noProof/>
        </w:rPr>
        <w:t xml:space="preserve"> z</w:t>
      </w:r>
      <w:r>
        <w:rPr>
          <w:noProof/>
        </w:rPr>
        <w:t> </w:t>
      </w:r>
      <w:r w:rsidRPr="002F16A1">
        <w:rPr>
          <w:noProof/>
        </w:rPr>
        <w:t>wys</w:t>
      </w:r>
      <w:r w:rsidR="00AD62E2" w:rsidRPr="002F16A1">
        <w:rPr>
          <w:noProof/>
        </w:rPr>
        <w:t>tarczającym stopniem pewności;</w:t>
      </w:r>
    </w:p>
    <w:p w:rsidR="00AD62E2" w:rsidRPr="002F16A1" w:rsidRDefault="0028384B" w:rsidP="0028384B">
      <w:pPr>
        <w:pStyle w:val="Point1"/>
        <w:rPr>
          <w:noProof/>
        </w:rPr>
      </w:pPr>
      <w:r>
        <w:rPr>
          <w:noProof/>
        </w:rPr>
        <w:t>c)</w:t>
      </w:r>
      <w:r>
        <w:rPr>
          <w:noProof/>
        </w:rPr>
        <w:tab/>
      </w:r>
      <w:r w:rsidR="00AD62E2" w:rsidRPr="002F16A1">
        <w:rPr>
          <w:noProof/>
        </w:rPr>
        <w:t>realizacja projektu będzie przebiegać</w:t>
      </w:r>
      <w:r w:rsidRPr="002F16A1">
        <w:rPr>
          <w:noProof/>
        </w:rPr>
        <w:t xml:space="preserve"> w</w:t>
      </w:r>
      <w:r>
        <w:rPr>
          <w:noProof/>
        </w:rPr>
        <w:t> </w:t>
      </w:r>
      <w:r w:rsidRPr="002F16A1">
        <w:rPr>
          <w:noProof/>
        </w:rPr>
        <w:t>spo</w:t>
      </w:r>
      <w:r w:rsidR="00AD62E2" w:rsidRPr="002F16A1">
        <w:rPr>
          <w:noProof/>
        </w:rPr>
        <w:t>sób zrównoważony,</w:t>
      </w:r>
      <w:r w:rsidRPr="002F16A1">
        <w:rPr>
          <w:noProof/>
        </w:rPr>
        <w:t xml:space="preserve"> w</w:t>
      </w:r>
      <w:r>
        <w:rPr>
          <w:noProof/>
        </w:rPr>
        <w:t> </w:t>
      </w:r>
      <w:r w:rsidRPr="002F16A1">
        <w:rPr>
          <w:noProof/>
        </w:rPr>
        <w:t>szc</w:t>
      </w:r>
      <w:r w:rsidR="00AD62E2" w:rsidRPr="002F16A1">
        <w:rPr>
          <w:noProof/>
        </w:rPr>
        <w:t>zególności</w:t>
      </w:r>
      <w:r w:rsidRPr="002F16A1">
        <w:rPr>
          <w:noProof/>
        </w:rPr>
        <w:t xml:space="preserve"> w</w:t>
      </w:r>
      <w:r>
        <w:rPr>
          <w:noProof/>
        </w:rPr>
        <w:t> </w:t>
      </w:r>
      <w:r w:rsidRPr="002F16A1">
        <w:rPr>
          <w:noProof/>
        </w:rPr>
        <w:t>odn</w:t>
      </w:r>
      <w:r w:rsidR="00AD62E2" w:rsidRPr="002F16A1">
        <w:rPr>
          <w:noProof/>
        </w:rPr>
        <w:t>iesieniu do monitorowania</w:t>
      </w:r>
      <w:r w:rsidRPr="002F16A1">
        <w:rPr>
          <w:noProof/>
        </w:rPr>
        <w:t xml:space="preserve"> i</w:t>
      </w:r>
      <w:r>
        <w:rPr>
          <w:noProof/>
        </w:rPr>
        <w:t> </w:t>
      </w:r>
      <w:r w:rsidRPr="002F16A1">
        <w:rPr>
          <w:noProof/>
        </w:rPr>
        <w:t>min</w:t>
      </w:r>
      <w:r w:rsidR="00AD62E2" w:rsidRPr="002F16A1">
        <w:rPr>
          <w:noProof/>
        </w:rPr>
        <w:t>imalizowania wpływu na środowisko oraz zapobieganie mu, stosowania odpowiedzialnych społecznie praktyk,</w:t>
      </w:r>
      <w:r w:rsidRPr="002F16A1">
        <w:rPr>
          <w:noProof/>
        </w:rPr>
        <w:t xml:space="preserve"> w</w:t>
      </w:r>
      <w:r>
        <w:rPr>
          <w:noProof/>
        </w:rPr>
        <w:t> </w:t>
      </w:r>
      <w:r w:rsidRPr="002F16A1">
        <w:rPr>
          <w:noProof/>
        </w:rPr>
        <w:t>tym</w:t>
      </w:r>
      <w:r w:rsidR="00AD62E2" w:rsidRPr="002F16A1">
        <w:rPr>
          <w:noProof/>
        </w:rPr>
        <w:t xml:space="preserve"> poszanowania praw człowieka</w:t>
      </w:r>
      <w:r w:rsidRPr="002F16A1">
        <w:rPr>
          <w:noProof/>
        </w:rPr>
        <w:t xml:space="preserve"> i</w:t>
      </w:r>
      <w:r>
        <w:rPr>
          <w:noProof/>
        </w:rPr>
        <w:t> </w:t>
      </w:r>
      <w:r w:rsidRPr="002F16A1">
        <w:rPr>
          <w:noProof/>
        </w:rPr>
        <w:t>pra</w:t>
      </w:r>
      <w:r w:rsidR="00AD62E2" w:rsidRPr="002F16A1">
        <w:rPr>
          <w:noProof/>
        </w:rPr>
        <w:t>w pracowniczych, potencjału</w:t>
      </w:r>
      <w:r w:rsidRPr="002F16A1">
        <w:rPr>
          <w:noProof/>
        </w:rPr>
        <w:t xml:space="preserve"> w</w:t>
      </w:r>
      <w:r>
        <w:rPr>
          <w:noProof/>
        </w:rPr>
        <w:t> </w:t>
      </w:r>
      <w:r w:rsidRPr="002F16A1">
        <w:rPr>
          <w:noProof/>
        </w:rPr>
        <w:t>zak</w:t>
      </w:r>
      <w:r w:rsidR="00AD62E2" w:rsidRPr="002F16A1">
        <w:rPr>
          <w:noProof/>
        </w:rPr>
        <w:t>resie tworzenia wysokiej jakości miejsc pracy oraz znaczącego zaangażowania społeczności lokalnych</w:t>
      </w:r>
      <w:r w:rsidRPr="002F16A1">
        <w:rPr>
          <w:noProof/>
        </w:rPr>
        <w:t xml:space="preserve"> i</w:t>
      </w:r>
      <w:r>
        <w:rPr>
          <w:noProof/>
        </w:rPr>
        <w:t> </w:t>
      </w:r>
      <w:r w:rsidRPr="002F16A1">
        <w:rPr>
          <w:noProof/>
        </w:rPr>
        <w:t>ist</w:t>
      </w:r>
      <w:r w:rsidR="00AD62E2" w:rsidRPr="002F16A1">
        <w:rPr>
          <w:noProof/>
        </w:rPr>
        <w:t>otnych partnerów społecznych,</w:t>
      </w:r>
      <w:r w:rsidRPr="002F16A1">
        <w:rPr>
          <w:noProof/>
        </w:rPr>
        <w:t xml:space="preserve"> a</w:t>
      </w:r>
      <w:r>
        <w:rPr>
          <w:noProof/>
        </w:rPr>
        <w:t> </w:t>
      </w:r>
      <w:r w:rsidRPr="002F16A1">
        <w:rPr>
          <w:noProof/>
        </w:rPr>
        <w:t>tak</w:t>
      </w:r>
      <w:r w:rsidR="00AD62E2" w:rsidRPr="002F16A1">
        <w:rPr>
          <w:noProof/>
        </w:rPr>
        <w:t>że stosowania przejrzystych praktyk działalności gospodarczej obejmujących odpowiednie strategie zgodności służące przeciwdziałaniu negatywnym wpływom na prawidłowe funkcjonowanie administracji publicznej,</w:t>
      </w:r>
      <w:r w:rsidRPr="002F16A1">
        <w:rPr>
          <w:noProof/>
        </w:rPr>
        <w:t xml:space="preserve"> w</w:t>
      </w:r>
      <w:r>
        <w:rPr>
          <w:noProof/>
        </w:rPr>
        <w:t> </w:t>
      </w:r>
      <w:r w:rsidRPr="002F16A1">
        <w:rPr>
          <w:noProof/>
        </w:rPr>
        <w:t>tym</w:t>
      </w:r>
      <w:r w:rsidR="00AD62E2" w:rsidRPr="002F16A1">
        <w:rPr>
          <w:noProof/>
        </w:rPr>
        <w:t xml:space="preserve"> korupcji</w:t>
      </w:r>
      <w:r w:rsidRPr="002F16A1">
        <w:rPr>
          <w:noProof/>
        </w:rPr>
        <w:t xml:space="preserve"> i</w:t>
      </w:r>
      <w:r>
        <w:rPr>
          <w:noProof/>
        </w:rPr>
        <w:t> </w:t>
      </w:r>
      <w:r w:rsidRPr="002F16A1">
        <w:rPr>
          <w:noProof/>
        </w:rPr>
        <w:t>łap</w:t>
      </w:r>
      <w:r w:rsidR="00AD62E2" w:rsidRPr="002F16A1">
        <w:rPr>
          <w:noProof/>
        </w:rPr>
        <w:t>ownictwu,</w:t>
      </w:r>
      <w:r w:rsidRPr="002F16A1">
        <w:rPr>
          <w:noProof/>
        </w:rPr>
        <w:t xml:space="preserve"> i</w:t>
      </w:r>
      <w:r>
        <w:rPr>
          <w:noProof/>
        </w:rPr>
        <w:t> </w:t>
      </w:r>
      <w:r w:rsidRPr="002F16A1">
        <w:rPr>
          <w:noProof/>
        </w:rPr>
        <w:t>ogr</w:t>
      </w:r>
      <w:r w:rsidR="00AD62E2" w:rsidRPr="002F16A1">
        <w:rPr>
          <w:noProof/>
        </w:rPr>
        <w:t xml:space="preserve">aniczanie ryzyka ich wystąpienia; </w:t>
      </w:r>
    </w:p>
    <w:p w:rsidR="00AD62E2" w:rsidRPr="002F16A1" w:rsidRDefault="0028384B" w:rsidP="0028384B">
      <w:pPr>
        <w:pStyle w:val="Point1"/>
        <w:rPr>
          <w:noProof/>
        </w:rPr>
      </w:pPr>
      <w:r>
        <w:rPr>
          <w:noProof/>
        </w:rPr>
        <w:t>d)</w:t>
      </w:r>
      <w:r>
        <w:rPr>
          <w:noProof/>
        </w:rPr>
        <w:tab/>
      </w:r>
      <w:r w:rsidR="00AD62E2" w:rsidRPr="002F16A1">
        <w:rPr>
          <w:noProof/>
        </w:rPr>
        <w:t>w odniesieniu do projektów</w:t>
      </w:r>
      <w:r w:rsidRPr="002F16A1">
        <w:rPr>
          <w:noProof/>
        </w:rPr>
        <w:t xml:space="preserve"> w</w:t>
      </w:r>
      <w:r>
        <w:rPr>
          <w:noProof/>
        </w:rPr>
        <w:t> </w:t>
      </w:r>
      <w:r w:rsidRPr="002F16A1">
        <w:rPr>
          <w:noProof/>
        </w:rPr>
        <w:t>Uni</w:t>
      </w:r>
      <w:r w:rsidR="00AD62E2" w:rsidRPr="002F16A1">
        <w:rPr>
          <w:noProof/>
        </w:rPr>
        <w:t>i – ustanowienie, eksploatacja lub realizacja projektu przyniosłyby transgraniczne korzyści wykraczające poza dane państwo członkowskie,</w:t>
      </w:r>
      <w:r w:rsidRPr="002F16A1">
        <w:rPr>
          <w:noProof/>
        </w:rPr>
        <w:t xml:space="preserve"> w</w:t>
      </w:r>
      <w:r>
        <w:rPr>
          <w:noProof/>
        </w:rPr>
        <w:t> </w:t>
      </w:r>
      <w:r w:rsidRPr="002F16A1">
        <w:rPr>
          <w:noProof/>
        </w:rPr>
        <w:t>tym</w:t>
      </w:r>
      <w:r w:rsidR="00AD62E2" w:rsidRPr="002F16A1">
        <w:rPr>
          <w:noProof/>
        </w:rPr>
        <w:t xml:space="preserve"> dla sektorów niższego szczebla;</w:t>
      </w:r>
    </w:p>
    <w:p w:rsidR="00AD62E2" w:rsidRPr="002F16A1" w:rsidRDefault="0028384B" w:rsidP="0028384B">
      <w:pPr>
        <w:pStyle w:val="Point1"/>
        <w:rPr>
          <w:rFonts w:ascii="Segoe UI" w:eastAsia="Segoe UI" w:hAnsi="Segoe UI" w:cs="Segoe UI"/>
          <w:noProof/>
          <w:color w:val="000000" w:themeColor="text1"/>
          <w:sz w:val="20"/>
          <w:szCs w:val="20"/>
        </w:rPr>
      </w:pPr>
      <w:r>
        <w:rPr>
          <w:noProof/>
        </w:rPr>
        <w:t>e)</w:t>
      </w:r>
      <w:r>
        <w:rPr>
          <w:noProof/>
        </w:rPr>
        <w:tab/>
      </w:r>
      <w:r w:rsidR="00AD62E2" w:rsidRPr="002F16A1">
        <w:rPr>
          <w:noProof/>
        </w:rPr>
        <w:t>w odniesieniu do projektów realizowanych</w:t>
      </w:r>
      <w:r w:rsidRPr="002F16A1">
        <w:rPr>
          <w:noProof/>
        </w:rPr>
        <w:t xml:space="preserve"> w</w:t>
      </w:r>
      <w:r>
        <w:rPr>
          <w:noProof/>
        </w:rPr>
        <w:t> </w:t>
      </w:r>
      <w:r w:rsidRPr="002F16A1">
        <w:rPr>
          <w:noProof/>
        </w:rPr>
        <w:t>pań</w:t>
      </w:r>
      <w:r w:rsidR="00AD62E2" w:rsidRPr="002F16A1">
        <w:rPr>
          <w:noProof/>
        </w:rPr>
        <w:t>stwach trzecich będących rynkami wschodzącymi lub gospodarkami rozwijającymi się – projekty te przyniosłyby wzajemne korzyści Unii</w:t>
      </w:r>
      <w:r w:rsidRPr="002F16A1">
        <w:rPr>
          <w:noProof/>
        </w:rPr>
        <w:t xml:space="preserve"> i</w:t>
      </w:r>
      <w:r>
        <w:rPr>
          <w:noProof/>
        </w:rPr>
        <w:t> </w:t>
      </w:r>
      <w:r w:rsidRPr="002F16A1">
        <w:rPr>
          <w:noProof/>
        </w:rPr>
        <w:t>odn</w:t>
      </w:r>
      <w:r w:rsidR="00AD62E2" w:rsidRPr="002F16A1">
        <w:rPr>
          <w:noProof/>
        </w:rPr>
        <w:t>ośnemu państwu trzeciemu, generując wartość dodaną</w:t>
      </w:r>
      <w:r w:rsidRPr="002F16A1">
        <w:rPr>
          <w:noProof/>
        </w:rPr>
        <w:t xml:space="preserve"> w</w:t>
      </w:r>
      <w:r>
        <w:rPr>
          <w:noProof/>
        </w:rPr>
        <w:t> </w:t>
      </w:r>
      <w:r w:rsidRPr="002F16A1">
        <w:rPr>
          <w:noProof/>
        </w:rPr>
        <w:t>tym</w:t>
      </w:r>
      <w:r w:rsidR="00AD62E2" w:rsidRPr="002F16A1">
        <w:rPr>
          <w:noProof/>
        </w:rPr>
        <w:t xml:space="preserve"> państwie.</w:t>
      </w:r>
    </w:p>
    <w:p w:rsidR="00AD62E2" w:rsidRPr="002F16A1" w:rsidRDefault="00733965" w:rsidP="00733965">
      <w:pPr>
        <w:pStyle w:val="ManualNumPar1"/>
        <w:rPr>
          <w:noProof/>
        </w:rPr>
      </w:pPr>
      <w:r w:rsidRPr="00733965">
        <w:t>2.</w:t>
      </w:r>
      <w:r w:rsidRPr="00733965">
        <w:tab/>
      </w:r>
      <w:r w:rsidR="00AD62E2" w:rsidRPr="002F16A1">
        <w:rPr>
          <w:noProof/>
        </w:rPr>
        <w:t>Komisja ocenia spełnienie kryteriów uznania określonych</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xml:space="preserve"> zgodnie</w:t>
      </w:r>
      <w:r w:rsidR="0028384B" w:rsidRPr="002F16A1">
        <w:rPr>
          <w:noProof/>
        </w:rPr>
        <w:t xml:space="preserve"> z</w:t>
      </w:r>
      <w:r w:rsidR="0028384B">
        <w:rPr>
          <w:noProof/>
        </w:rPr>
        <w:t> </w:t>
      </w:r>
      <w:r w:rsidR="0028384B" w:rsidRPr="002F16A1">
        <w:rPr>
          <w:noProof/>
        </w:rPr>
        <w:t>ele</w:t>
      </w:r>
      <w:r w:rsidR="00AD62E2" w:rsidRPr="002F16A1">
        <w:rPr>
          <w:noProof/>
        </w:rPr>
        <w:t>mentami</w:t>
      </w:r>
      <w:r w:rsidR="0028384B" w:rsidRPr="002F16A1">
        <w:rPr>
          <w:noProof/>
        </w:rPr>
        <w:t xml:space="preserve"> i</w:t>
      </w:r>
      <w:r w:rsidR="0028384B">
        <w:rPr>
          <w:noProof/>
        </w:rPr>
        <w:t> </w:t>
      </w:r>
      <w:r w:rsidR="0028384B" w:rsidRPr="002F16A1">
        <w:rPr>
          <w:noProof/>
        </w:rPr>
        <w:t>dow</w:t>
      </w:r>
      <w:r w:rsidR="00AD62E2" w:rsidRPr="002F16A1">
        <w:rPr>
          <w:noProof/>
        </w:rPr>
        <w:t>odami określonymi</w:t>
      </w:r>
      <w:r w:rsidR="0028384B" w:rsidRPr="002F16A1">
        <w:rPr>
          <w:noProof/>
        </w:rPr>
        <w:t xml:space="preserve"> w</w:t>
      </w:r>
      <w:r w:rsidR="0028384B">
        <w:rPr>
          <w:noProof/>
        </w:rPr>
        <w:t> </w:t>
      </w:r>
      <w:r w:rsidR="0028384B" w:rsidRPr="002F16A1">
        <w:rPr>
          <w:noProof/>
        </w:rPr>
        <w:t>zał</w:t>
      </w:r>
      <w:r w:rsidR="00AD62E2" w:rsidRPr="002F16A1">
        <w:rPr>
          <w:noProof/>
        </w:rPr>
        <w:t>ączniku III.</w:t>
      </w:r>
    </w:p>
    <w:p w:rsidR="00AD62E2" w:rsidRPr="002F16A1" w:rsidRDefault="00AD62E2" w:rsidP="00AD62E2">
      <w:pPr>
        <w:pStyle w:val="Text1"/>
        <w:rPr>
          <w:noProof/>
        </w:rPr>
      </w:pPr>
      <w:r w:rsidRPr="002F16A1">
        <w:rPr>
          <w:noProof/>
        </w:rPr>
        <w:t>Komisja jest uprawniona do przyjęcia aktów delegowanych zgodnie</w:t>
      </w:r>
      <w:r w:rsidR="0028384B" w:rsidRPr="002F16A1">
        <w:rPr>
          <w:noProof/>
        </w:rPr>
        <w:t xml:space="preserve"> z</w:t>
      </w:r>
      <w:r w:rsidR="0028384B">
        <w:rPr>
          <w:noProof/>
        </w:rPr>
        <w:t> </w:t>
      </w:r>
      <w:r w:rsidR="0028384B" w:rsidRPr="0028384B">
        <w:rPr>
          <w:noProof/>
        </w:rPr>
        <w:t>art</w:t>
      </w:r>
      <w:r w:rsidRPr="0028384B">
        <w:rPr>
          <w:noProof/>
        </w:rPr>
        <w:t>.</w:t>
      </w:r>
      <w:r w:rsidR="0028384B" w:rsidRPr="0028384B">
        <w:rPr>
          <w:noProof/>
        </w:rPr>
        <w:t> </w:t>
      </w:r>
      <w:r w:rsidRPr="0028384B">
        <w:rPr>
          <w:noProof/>
        </w:rPr>
        <w:t>3</w:t>
      </w:r>
      <w:r w:rsidRPr="002F16A1">
        <w:rPr>
          <w:noProof/>
        </w:rPr>
        <w:t>6 służących zmianie załącznika III</w:t>
      </w:r>
      <w:r w:rsidR="0028384B" w:rsidRPr="002F16A1">
        <w:rPr>
          <w:noProof/>
        </w:rPr>
        <w:t xml:space="preserve"> w</w:t>
      </w:r>
      <w:r w:rsidR="0028384B">
        <w:rPr>
          <w:noProof/>
        </w:rPr>
        <w:t> </w:t>
      </w:r>
      <w:r w:rsidR="0028384B" w:rsidRPr="002F16A1">
        <w:rPr>
          <w:noProof/>
        </w:rPr>
        <w:t>cel</w:t>
      </w:r>
      <w:r w:rsidRPr="002F16A1">
        <w:rPr>
          <w:noProof/>
        </w:rPr>
        <w:t>u dostosowania elementów</w:t>
      </w:r>
      <w:r w:rsidR="0028384B" w:rsidRPr="002F16A1">
        <w:rPr>
          <w:noProof/>
        </w:rPr>
        <w:t xml:space="preserve"> i</w:t>
      </w:r>
      <w:r w:rsidR="0028384B">
        <w:rPr>
          <w:noProof/>
        </w:rPr>
        <w:t> </w:t>
      </w:r>
      <w:r w:rsidR="0028384B" w:rsidRPr="002F16A1">
        <w:rPr>
          <w:noProof/>
        </w:rPr>
        <w:t>dow</w:t>
      </w:r>
      <w:r w:rsidRPr="002F16A1">
        <w:rPr>
          <w:noProof/>
        </w:rPr>
        <w:t>odów, które należy uwzględnić przy ocenie spełnienia kryteriów określonych</w:t>
      </w:r>
      <w:r w:rsidR="0028384B" w:rsidRPr="002F16A1">
        <w:rPr>
          <w:noProof/>
        </w:rPr>
        <w:t xml:space="preserve"> w</w:t>
      </w:r>
      <w:r w:rsidR="0028384B">
        <w:rPr>
          <w:noProof/>
        </w:rPr>
        <w:t> </w:t>
      </w:r>
      <w:r w:rsidR="0028384B" w:rsidRPr="0028384B">
        <w:rPr>
          <w:noProof/>
        </w:rPr>
        <w:t>ust</w:t>
      </w:r>
      <w:r w:rsidRPr="0028384B">
        <w:rPr>
          <w:noProof/>
        </w:rPr>
        <w:t>.</w:t>
      </w:r>
      <w:r w:rsidR="0028384B" w:rsidRPr="0028384B">
        <w:rPr>
          <w:noProof/>
        </w:rPr>
        <w:t> </w:t>
      </w:r>
      <w:r w:rsidRPr="0028384B">
        <w:rPr>
          <w:noProof/>
        </w:rPr>
        <w:t>1</w:t>
      </w:r>
      <w:r w:rsidRPr="002F16A1">
        <w:rPr>
          <w:noProof/>
        </w:rPr>
        <w:t>, do postępu technicznego</w:t>
      </w:r>
      <w:r w:rsidR="0028384B" w:rsidRPr="002F16A1">
        <w:rPr>
          <w:noProof/>
        </w:rPr>
        <w:t xml:space="preserve"> i</w:t>
      </w:r>
      <w:r w:rsidR="0028384B">
        <w:rPr>
          <w:noProof/>
        </w:rPr>
        <w:t> </w:t>
      </w:r>
      <w:r w:rsidR="0028384B" w:rsidRPr="002F16A1">
        <w:rPr>
          <w:noProof/>
        </w:rPr>
        <w:t>nau</w:t>
      </w:r>
      <w:r w:rsidRPr="002F16A1">
        <w:rPr>
          <w:noProof/>
        </w:rPr>
        <w:t>kowego lub</w:t>
      </w:r>
      <w:r w:rsidR="0028384B" w:rsidRPr="002F16A1">
        <w:rPr>
          <w:noProof/>
        </w:rPr>
        <w:t xml:space="preserve"> w</w:t>
      </w:r>
      <w:r w:rsidR="0028384B">
        <w:rPr>
          <w:noProof/>
        </w:rPr>
        <w:t> </w:t>
      </w:r>
      <w:r w:rsidR="0028384B" w:rsidRPr="002F16A1">
        <w:rPr>
          <w:noProof/>
        </w:rPr>
        <w:t>cel</w:t>
      </w:r>
      <w:r w:rsidRPr="002F16A1">
        <w:rPr>
          <w:noProof/>
        </w:rPr>
        <w:t>u uwzględnienia zmian</w:t>
      </w:r>
      <w:r w:rsidR="0028384B" w:rsidRPr="002F16A1">
        <w:rPr>
          <w:noProof/>
        </w:rPr>
        <w:t xml:space="preserve"> w</w:t>
      </w:r>
      <w:r w:rsidR="0028384B">
        <w:rPr>
          <w:noProof/>
        </w:rPr>
        <w:t> </w:t>
      </w:r>
      <w:r w:rsidR="0028384B" w:rsidRPr="002F16A1">
        <w:rPr>
          <w:noProof/>
        </w:rPr>
        <w:t>prz</w:t>
      </w:r>
      <w:r w:rsidRPr="002F16A1">
        <w:rPr>
          <w:noProof/>
        </w:rPr>
        <w:t>episach Unii lub instrumentach międzynarodowych wymienionych</w:t>
      </w:r>
      <w:r w:rsidR="0028384B" w:rsidRPr="002F16A1">
        <w:rPr>
          <w:noProof/>
        </w:rPr>
        <w:t xml:space="preserve"> w</w:t>
      </w:r>
      <w:r w:rsidR="0028384B">
        <w:rPr>
          <w:noProof/>
        </w:rPr>
        <w:t> </w:t>
      </w:r>
      <w:r w:rsidR="0028384B" w:rsidRPr="002F16A1">
        <w:rPr>
          <w:noProof/>
        </w:rPr>
        <w:t>zał</w:t>
      </w:r>
      <w:r w:rsidRPr="002F16A1">
        <w:rPr>
          <w:noProof/>
        </w:rPr>
        <w:t xml:space="preserve">ączniku III </w:t>
      </w:r>
      <w:r w:rsidRPr="0028384B">
        <w:rPr>
          <w:noProof/>
        </w:rPr>
        <w:t>pkt</w:t>
      </w:r>
      <w:r w:rsidR="0028384B" w:rsidRPr="0028384B">
        <w:rPr>
          <w:noProof/>
        </w:rPr>
        <w:t> </w:t>
      </w:r>
      <w:r w:rsidRPr="0028384B">
        <w:rPr>
          <w:noProof/>
        </w:rPr>
        <w:t>4</w:t>
      </w:r>
      <w:r w:rsidRPr="002F16A1">
        <w:rPr>
          <w:noProof/>
        </w:rPr>
        <w:t xml:space="preserve"> lub przyjęcia dodatkowych przepisów Unii lub instrumentów międzynarodowych istotnych dla spełnienia kryterium,</w:t>
      </w:r>
      <w:r w:rsidR="0028384B" w:rsidRPr="002F16A1">
        <w:rPr>
          <w:noProof/>
        </w:rPr>
        <w:t xml:space="preserve"> o</w:t>
      </w:r>
      <w:r w:rsidR="0028384B">
        <w:rPr>
          <w:noProof/>
        </w:rPr>
        <w:t> </w:t>
      </w:r>
      <w:r w:rsidR="0028384B" w:rsidRPr="002F16A1">
        <w:rPr>
          <w:noProof/>
        </w:rPr>
        <w:t>któ</w:t>
      </w:r>
      <w:r w:rsidRPr="002F16A1">
        <w:rPr>
          <w:noProof/>
        </w:rPr>
        <w:t>rym mowa</w:t>
      </w:r>
      <w:r w:rsidR="0028384B" w:rsidRPr="002F16A1">
        <w:rPr>
          <w:noProof/>
        </w:rPr>
        <w:t xml:space="preserve"> w</w:t>
      </w:r>
      <w:r w:rsidR="0028384B">
        <w:rPr>
          <w:noProof/>
        </w:rPr>
        <w:t> </w:t>
      </w:r>
      <w:r w:rsidR="0028384B" w:rsidRPr="0028384B">
        <w:rPr>
          <w:noProof/>
        </w:rPr>
        <w:t>ust</w:t>
      </w:r>
      <w:r w:rsidRPr="0028384B">
        <w:rPr>
          <w:noProof/>
        </w:rPr>
        <w:t>.</w:t>
      </w:r>
      <w:r w:rsidR="0028384B" w:rsidRPr="0028384B">
        <w:rPr>
          <w:noProof/>
        </w:rPr>
        <w:t> </w:t>
      </w:r>
      <w:r w:rsidRPr="0028384B">
        <w:rPr>
          <w:noProof/>
        </w:rPr>
        <w:t>1</w:t>
      </w:r>
      <w:r w:rsidRPr="002F16A1">
        <w:rPr>
          <w:noProof/>
        </w:rPr>
        <w:t xml:space="preserve"> </w:t>
      </w:r>
      <w:r w:rsidRPr="0028384B">
        <w:rPr>
          <w:noProof/>
        </w:rPr>
        <w:t>lit.</w:t>
      </w:r>
      <w:r w:rsidR="0028384B" w:rsidRPr="0028384B">
        <w:rPr>
          <w:noProof/>
        </w:rPr>
        <w:t> </w:t>
      </w:r>
      <w:r w:rsidRPr="0028384B">
        <w:rPr>
          <w:noProof/>
        </w:rPr>
        <w:t>c)</w:t>
      </w:r>
      <w:r w:rsidRPr="002F16A1">
        <w:rPr>
          <w:noProof/>
        </w:rPr>
        <w:t>.</w:t>
      </w:r>
    </w:p>
    <w:p w:rsidR="00AD62E2" w:rsidRPr="0028384B" w:rsidRDefault="00733965" w:rsidP="00733965">
      <w:pPr>
        <w:pStyle w:val="ManualNumPar1"/>
        <w:rPr>
          <w:noProof/>
        </w:rPr>
      </w:pPr>
      <w:r w:rsidRPr="00733965">
        <w:t>3.</w:t>
      </w:r>
      <w:r w:rsidRPr="00733965">
        <w:tab/>
      </w:r>
      <w:r w:rsidR="00AD62E2" w:rsidRPr="002F16A1">
        <w:rPr>
          <w:noProof/>
        </w:rPr>
        <w:t>Uznanie projektu za projekt strategiczny nie wpływa na wymogi mające zastosowanie do odnośnego projektu lub promotora projektu na podstawie prawa międzynarodowego, unijnego lub krajowego</w:t>
      </w:r>
      <w:r w:rsidR="00AD62E2" w:rsidRPr="0028384B">
        <w:rPr>
          <w:noProof/>
        </w:rPr>
        <w:t>.</w:t>
      </w:r>
      <w:r w:rsidR="0028384B" w:rsidRPr="0028384B">
        <w:rPr>
          <w:noProof/>
        </w:rPr>
        <w:t xml:space="preserve"> </w:t>
      </w:r>
    </w:p>
    <w:p w:rsidR="00AD62E2" w:rsidRPr="002F16A1" w:rsidRDefault="00AD62E2" w:rsidP="00AD62E2">
      <w:pPr>
        <w:pStyle w:val="Titrearticle"/>
        <w:rPr>
          <w:noProof/>
        </w:rPr>
      </w:pPr>
      <w:r w:rsidRPr="002F16A1">
        <w:rPr>
          <w:noProof/>
        </w:rPr>
        <w:t>Artykuł 6</w:t>
      </w:r>
    </w:p>
    <w:p w:rsidR="00AD62E2" w:rsidRPr="002F16A1" w:rsidRDefault="00AD62E2" w:rsidP="00AD62E2">
      <w:pPr>
        <w:pStyle w:val="NormalCentered"/>
        <w:rPr>
          <w:noProof/>
        </w:rPr>
      </w:pPr>
      <w:r w:rsidRPr="002F16A1">
        <w:rPr>
          <w:b/>
          <w:noProof/>
        </w:rPr>
        <w:t>Wniosek</w:t>
      </w:r>
      <w:r w:rsidR="0028384B" w:rsidRPr="002F16A1">
        <w:rPr>
          <w:b/>
          <w:noProof/>
        </w:rPr>
        <w:t xml:space="preserve"> i</w:t>
      </w:r>
      <w:r w:rsidR="0028384B">
        <w:rPr>
          <w:b/>
          <w:noProof/>
        </w:rPr>
        <w:t> </w:t>
      </w:r>
      <w:r w:rsidR="0028384B" w:rsidRPr="002F16A1">
        <w:rPr>
          <w:b/>
          <w:noProof/>
        </w:rPr>
        <w:t>uzn</w:t>
      </w:r>
      <w:r w:rsidRPr="002F16A1">
        <w:rPr>
          <w:b/>
          <w:noProof/>
        </w:rPr>
        <w:t>anie</w:t>
      </w:r>
    </w:p>
    <w:p w:rsidR="00AD62E2" w:rsidRPr="0028384B" w:rsidRDefault="00733965" w:rsidP="00733965">
      <w:pPr>
        <w:pStyle w:val="ManualNumPar1"/>
        <w:rPr>
          <w:noProof/>
        </w:rPr>
      </w:pPr>
      <w:r w:rsidRPr="00733965">
        <w:t>1.</w:t>
      </w:r>
      <w:r w:rsidRPr="00733965">
        <w:tab/>
      </w:r>
      <w:r w:rsidR="00AD62E2" w:rsidRPr="002F16A1">
        <w:rPr>
          <w:noProof/>
        </w:rPr>
        <w:t>Wnioski</w:t>
      </w:r>
      <w:r w:rsidR="0028384B" w:rsidRPr="002F16A1">
        <w:rPr>
          <w:noProof/>
        </w:rPr>
        <w:t xml:space="preserve"> o</w:t>
      </w:r>
      <w:r w:rsidR="0028384B">
        <w:rPr>
          <w:noProof/>
        </w:rPr>
        <w:t> </w:t>
      </w:r>
      <w:r w:rsidR="0028384B" w:rsidRPr="002F16A1">
        <w:rPr>
          <w:noProof/>
        </w:rPr>
        <w:t>uzn</w:t>
      </w:r>
      <w:r w:rsidR="00AD62E2" w:rsidRPr="002F16A1">
        <w:rPr>
          <w:noProof/>
        </w:rPr>
        <w:t>anie projektu dotyczącego surowców za projekt strategiczny przedkłada Komisji promotor projektu. Wniosek taki musi zawierać</w:t>
      </w:r>
      <w:r w:rsidR="00AD62E2" w:rsidRPr="0028384B">
        <w:rPr>
          <w:noProof/>
        </w:rPr>
        <w:t>:</w:t>
      </w:r>
      <w:r w:rsidR="0028384B" w:rsidRPr="0028384B">
        <w:rPr>
          <w:noProof/>
        </w:rPr>
        <w:t xml:space="preserve"> </w:t>
      </w:r>
    </w:p>
    <w:p w:rsidR="00AD62E2" w:rsidRPr="002F16A1" w:rsidRDefault="0028384B" w:rsidP="0028384B">
      <w:pPr>
        <w:pStyle w:val="Point1"/>
        <w:rPr>
          <w:noProof/>
        </w:rPr>
      </w:pPr>
      <w:r>
        <w:rPr>
          <w:noProof/>
        </w:rPr>
        <w:t>a)</w:t>
      </w:r>
      <w:r>
        <w:rPr>
          <w:noProof/>
        </w:rPr>
        <w:tab/>
      </w:r>
      <w:r w:rsidR="00AD62E2" w:rsidRPr="002F16A1">
        <w:rPr>
          <w:noProof/>
        </w:rPr>
        <w:t>odpowiednie dowody dotyczące spełnienia kryteriów określonych</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5</w:t>
      </w:r>
      <w:r w:rsidR="00AD62E2" w:rsidRPr="002F16A1">
        <w:rPr>
          <w:noProof/>
        </w:rPr>
        <w:t xml:space="preserve"> </w:t>
      </w:r>
      <w:r w:rsidR="00AD62E2" w:rsidRPr="0028384B">
        <w:rPr>
          <w:noProof/>
        </w:rPr>
        <w:t>ust.</w:t>
      </w:r>
      <w:r w:rsidRPr="0028384B">
        <w:rPr>
          <w:noProof/>
        </w:rPr>
        <w:t> </w:t>
      </w:r>
      <w:r w:rsidR="00AD62E2" w:rsidRPr="0028384B">
        <w:rPr>
          <w:noProof/>
        </w:rPr>
        <w:t>1</w:t>
      </w:r>
      <w:r w:rsidR="00AD62E2" w:rsidRPr="002F16A1">
        <w:rPr>
          <w:noProof/>
        </w:rPr>
        <w:t>;</w:t>
      </w:r>
    </w:p>
    <w:p w:rsidR="00AD62E2" w:rsidRPr="002F16A1" w:rsidRDefault="0028384B" w:rsidP="0028384B">
      <w:pPr>
        <w:pStyle w:val="Point1"/>
        <w:rPr>
          <w:noProof/>
        </w:rPr>
      </w:pPr>
      <w:r>
        <w:rPr>
          <w:noProof/>
        </w:rPr>
        <w:t>b)</w:t>
      </w:r>
      <w:r>
        <w:rPr>
          <w:noProof/>
        </w:rPr>
        <w:tab/>
      </w:r>
      <w:r w:rsidR="00AD62E2" w:rsidRPr="002F16A1">
        <w:rPr>
          <w:noProof/>
        </w:rPr>
        <w:t>klasyfikację projektu zgodnie</w:t>
      </w:r>
      <w:r w:rsidRPr="002F16A1">
        <w:rPr>
          <w:noProof/>
        </w:rPr>
        <w:t xml:space="preserve"> z</w:t>
      </w:r>
      <w:r>
        <w:rPr>
          <w:noProof/>
        </w:rPr>
        <w:t> </w:t>
      </w:r>
      <w:r w:rsidRPr="002F16A1">
        <w:rPr>
          <w:noProof/>
        </w:rPr>
        <w:t>ram</w:t>
      </w:r>
      <w:r w:rsidR="00AD62E2" w:rsidRPr="002F16A1">
        <w:rPr>
          <w:noProof/>
        </w:rPr>
        <w:t>ową klasyfikacją zasobów ONZ wspartą odpowiednimi dowodami; </w:t>
      </w:r>
    </w:p>
    <w:p w:rsidR="00AD62E2" w:rsidRPr="002F16A1" w:rsidRDefault="0028384B" w:rsidP="0028384B">
      <w:pPr>
        <w:pStyle w:val="Point1"/>
        <w:rPr>
          <w:noProof/>
        </w:rPr>
      </w:pPr>
      <w:bookmarkStart w:id="4" w:name="__akn_article_Sgbpwo_P471Nu"/>
      <w:bookmarkEnd w:id="4"/>
      <w:r>
        <w:rPr>
          <w:noProof/>
        </w:rPr>
        <w:t>c)</w:t>
      </w:r>
      <w:r>
        <w:rPr>
          <w:noProof/>
        </w:rPr>
        <w:tab/>
      </w:r>
      <w:r w:rsidR="00AD62E2" w:rsidRPr="002F16A1">
        <w:rPr>
          <w:noProof/>
        </w:rPr>
        <w:t>harmonogram realizacji projektu,</w:t>
      </w:r>
      <w:r w:rsidRPr="002F16A1">
        <w:rPr>
          <w:noProof/>
        </w:rPr>
        <w:t xml:space="preserve"> w</w:t>
      </w:r>
      <w:r>
        <w:rPr>
          <w:noProof/>
        </w:rPr>
        <w:t> </w:t>
      </w:r>
      <w:r w:rsidRPr="002F16A1">
        <w:rPr>
          <w:noProof/>
        </w:rPr>
        <w:t>tym</w:t>
      </w:r>
      <w:r w:rsidR="00AD62E2" w:rsidRPr="002F16A1">
        <w:rPr>
          <w:noProof/>
        </w:rPr>
        <w:t xml:space="preserve"> przegląd pozwoleń wymaganych na potrzeby projektu</w:t>
      </w:r>
      <w:r w:rsidRPr="002F16A1">
        <w:rPr>
          <w:noProof/>
        </w:rPr>
        <w:t xml:space="preserve"> i</w:t>
      </w:r>
      <w:r>
        <w:rPr>
          <w:noProof/>
        </w:rPr>
        <w:t> </w:t>
      </w:r>
      <w:r w:rsidRPr="002F16A1">
        <w:rPr>
          <w:noProof/>
        </w:rPr>
        <w:t>sta</w:t>
      </w:r>
      <w:r w:rsidR="00AD62E2" w:rsidRPr="002F16A1">
        <w:rPr>
          <w:noProof/>
        </w:rPr>
        <w:t>tus odpowiedniego procesu wydawania pozwoleń;</w:t>
      </w:r>
    </w:p>
    <w:p w:rsidR="00AD62E2" w:rsidRPr="002F16A1" w:rsidRDefault="0028384B" w:rsidP="0028384B">
      <w:pPr>
        <w:pStyle w:val="Point1"/>
        <w:rPr>
          <w:noProof/>
        </w:rPr>
      </w:pPr>
      <w:r>
        <w:rPr>
          <w:noProof/>
        </w:rPr>
        <w:t>d)</w:t>
      </w:r>
      <w:r>
        <w:rPr>
          <w:noProof/>
        </w:rPr>
        <w:tab/>
      </w:r>
      <w:r w:rsidR="00AD62E2" w:rsidRPr="002F16A1">
        <w:rPr>
          <w:noProof/>
        </w:rPr>
        <w:t>plan obejmujący środki służące ułatwianiu uzyskania akceptacji społecznej,</w:t>
      </w:r>
      <w:r w:rsidRPr="002F16A1">
        <w:rPr>
          <w:noProof/>
        </w:rPr>
        <w:t xml:space="preserve"> w</w:t>
      </w:r>
      <w:r>
        <w:rPr>
          <w:noProof/>
        </w:rPr>
        <w:t> </w:t>
      </w:r>
      <w:r w:rsidRPr="002F16A1">
        <w:rPr>
          <w:noProof/>
        </w:rPr>
        <w:t>tym</w:t>
      </w:r>
      <w:r w:rsidR="00AD62E2" w:rsidRPr="002F16A1">
        <w:rPr>
          <w:noProof/>
        </w:rPr>
        <w:t>,</w:t>
      </w:r>
      <w:r w:rsidRPr="002F16A1">
        <w:rPr>
          <w:noProof/>
        </w:rPr>
        <w:t xml:space="preserve"> w</w:t>
      </w:r>
      <w:r>
        <w:rPr>
          <w:noProof/>
        </w:rPr>
        <w:t> </w:t>
      </w:r>
      <w:r w:rsidRPr="002F16A1">
        <w:rPr>
          <w:noProof/>
        </w:rPr>
        <w:t>sto</w:t>
      </w:r>
      <w:r w:rsidR="00AD62E2" w:rsidRPr="002F16A1">
        <w:rPr>
          <w:noProof/>
        </w:rPr>
        <w:t>sownych przypadkach, ustanowienie okresowych kanałów komunikacji ze społecznością lokalną</w:t>
      </w:r>
      <w:r w:rsidRPr="002F16A1">
        <w:rPr>
          <w:noProof/>
        </w:rPr>
        <w:t xml:space="preserve"> i</w:t>
      </w:r>
      <w:r>
        <w:rPr>
          <w:noProof/>
        </w:rPr>
        <w:t> </w:t>
      </w:r>
      <w:r w:rsidRPr="002F16A1">
        <w:rPr>
          <w:noProof/>
        </w:rPr>
        <w:t>lok</w:t>
      </w:r>
      <w:r w:rsidR="00AD62E2" w:rsidRPr="002F16A1">
        <w:rPr>
          <w:noProof/>
        </w:rPr>
        <w:t>alnymi organizacjami</w:t>
      </w:r>
      <w:r w:rsidRPr="002F16A1">
        <w:rPr>
          <w:noProof/>
        </w:rPr>
        <w:t xml:space="preserve"> z</w:t>
      </w:r>
      <w:r>
        <w:rPr>
          <w:noProof/>
        </w:rPr>
        <w:t> </w:t>
      </w:r>
      <w:r w:rsidRPr="002F16A1">
        <w:rPr>
          <w:noProof/>
        </w:rPr>
        <w:t>uwz</w:t>
      </w:r>
      <w:r w:rsidR="00AD62E2" w:rsidRPr="002F16A1">
        <w:rPr>
          <w:noProof/>
        </w:rPr>
        <w:t>ględnieniem partnerów społecznych, realizację kampanii zwiększających świadomość</w:t>
      </w:r>
      <w:r w:rsidRPr="002F16A1">
        <w:rPr>
          <w:noProof/>
        </w:rPr>
        <w:t xml:space="preserve"> i</w:t>
      </w:r>
      <w:r>
        <w:rPr>
          <w:noProof/>
        </w:rPr>
        <w:t> </w:t>
      </w:r>
      <w:r w:rsidRPr="002F16A1">
        <w:rPr>
          <w:noProof/>
        </w:rPr>
        <w:t>kam</w:t>
      </w:r>
      <w:r w:rsidR="00AD62E2" w:rsidRPr="002F16A1">
        <w:rPr>
          <w:noProof/>
        </w:rPr>
        <w:t>panii informacyjnych oraz ustanowienie mechanizmów łagodzących</w:t>
      </w:r>
      <w:r w:rsidRPr="002F16A1">
        <w:rPr>
          <w:noProof/>
        </w:rPr>
        <w:t xml:space="preserve"> i</w:t>
      </w:r>
      <w:r>
        <w:rPr>
          <w:noProof/>
        </w:rPr>
        <w:t> </w:t>
      </w:r>
      <w:r w:rsidRPr="002F16A1">
        <w:rPr>
          <w:noProof/>
        </w:rPr>
        <w:t>mec</w:t>
      </w:r>
      <w:r w:rsidR="00AD62E2" w:rsidRPr="002F16A1">
        <w:rPr>
          <w:noProof/>
        </w:rPr>
        <w:t>hanizmów rekompensat;</w:t>
      </w:r>
      <w:r w:rsidR="00AD62E2" w:rsidRPr="002F16A1">
        <w:rPr>
          <w:b/>
          <w:noProof/>
        </w:rPr>
        <w:t xml:space="preserve"> </w:t>
      </w:r>
    </w:p>
    <w:p w:rsidR="006E153D" w:rsidRPr="002F16A1" w:rsidRDefault="0028384B" w:rsidP="0028384B">
      <w:pPr>
        <w:pStyle w:val="Point1"/>
        <w:rPr>
          <w:noProof/>
        </w:rPr>
      </w:pPr>
      <w:bookmarkStart w:id="5" w:name="__akn_article_Sgbpwo_6oiKr9"/>
      <w:bookmarkEnd w:id="5"/>
      <w:r>
        <w:rPr>
          <w:noProof/>
        </w:rPr>
        <w:t>e)</w:t>
      </w:r>
      <w:r>
        <w:rPr>
          <w:noProof/>
        </w:rPr>
        <w:tab/>
      </w:r>
      <w:r w:rsidR="00656269" w:rsidRPr="002F16A1">
        <w:rPr>
          <w:noProof/>
        </w:rPr>
        <w:t>informacje na temat kontroli przedsiębiorstw zaangażowanych</w:t>
      </w:r>
      <w:r w:rsidRPr="002F16A1">
        <w:rPr>
          <w:noProof/>
        </w:rPr>
        <w:t xml:space="preserve"> w</w:t>
      </w:r>
      <w:r>
        <w:rPr>
          <w:noProof/>
        </w:rPr>
        <w:t> </w:t>
      </w:r>
      <w:r w:rsidRPr="002F16A1">
        <w:rPr>
          <w:noProof/>
        </w:rPr>
        <w:t>pro</w:t>
      </w:r>
      <w:r w:rsidR="00656269" w:rsidRPr="002F16A1">
        <w:rPr>
          <w:noProof/>
        </w:rPr>
        <w:t>jekt, zdefiniowanej zgodnie</w:t>
      </w:r>
      <w:r w:rsidRPr="002F16A1">
        <w:rPr>
          <w:noProof/>
        </w:rPr>
        <w:t xml:space="preserve"> z</w:t>
      </w:r>
      <w:r>
        <w:rPr>
          <w:noProof/>
        </w:rPr>
        <w:t> </w:t>
      </w:r>
      <w:r w:rsidRPr="0028384B">
        <w:rPr>
          <w:noProof/>
        </w:rPr>
        <w:t>art</w:t>
      </w:r>
      <w:r w:rsidR="00656269" w:rsidRPr="0028384B">
        <w:rPr>
          <w:noProof/>
        </w:rPr>
        <w:t>.</w:t>
      </w:r>
      <w:r w:rsidRPr="0028384B">
        <w:rPr>
          <w:noProof/>
        </w:rPr>
        <w:t> </w:t>
      </w:r>
      <w:r w:rsidR="00656269" w:rsidRPr="0028384B">
        <w:rPr>
          <w:noProof/>
        </w:rPr>
        <w:t>3</w:t>
      </w:r>
      <w:r w:rsidR="00656269" w:rsidRPr="002F16A1">
        <w:rPr>
          <w:noProof/>
        </w:rPr>
        <w:t xml:space="preserve"> </w:t>
      </w:r>
      <w:r w:rsidR="00656269" w:rsidRPr="0028384B">
        <w:rPr>
          <w:noProof/>
        </w:rPr>
        <w:t>ust.</w:t>
      </w:r>
      <w:r w:rsidRPr="0028384B">
        <w:rPr>
          <w:noProof/>
        </w:rPr>
        <w:t> </w:t>
      </w:r>
      <w:r w:rsidR="00656269" w:rsidRPr="0028384B">
        <w:rPr>
          <w:noProof/>
        </w:rPr>
        <w:t>2</w:t>
      </w:r>
      <w:r w:rsidRPr="002F16A1">
        <w:rPr>
          <w:noProof/>
        </w:rPr>
        <w:t xml:space="preserve"> i</w:t>
      </w:r>
      <w:r>
        <w:rPr>
          <w:noProof/>
        </w:rPr>
        <w:t> </w:t>
      </w:r>
      <w:r w:rsidRPr="002F16A1">
        <w:rPr>
          <w:noProof/>
        </w:rPr>
        <w:t>3</w:t>
      </w:r>
      <w:r w:rsidR="00656269" w:rsidRPr="002F16A1">
        <w:rPr>
          <w:noProof/>
        </w:rPr>
        <w:t xml:space="preserve"> rozporządzenia Rady (WE) </w:t>
      </w:r>
      <w:r w:rsidR="00656269" w:rsidRPr="0028384B">
        <w:rPr>
          <w:noProof/>
        </w:rPr>
        <w:t>nr</w:t>
      </w:r>
      <w:r w:rsidRPr="0028384B">
        <w:rPr>
          <w:noProof/>
        </w:rPr>
        <w:t> </w:t>
      </w:r>
      <w:r w:rsidR="00656269" w:rsidRPr="0028384B">
        <w:rPr>
          <w:noProof/>
        </w:rPr>
        <w:t>1</w:t>
      </w:r>
      <w:r w:rsidR="00656269" w:rsidRPr="002F16A1">
        <w:rPr>
          <w:noProof/>
        </w:rPr>
        <w:t>39/2004;</w:t>
      </w:r>
    </w:p>
    <w:p w:rsidR="00B57EC7" w:rsidRPr="002F16A1" w:rsidRDefault="0028384B" w:rsidP="0028384B">
      <w:pPr>
        <w:pStyle w:val="Point1"/>
        <w:rPr>
          <w:noProof/>
        </w:rPr>
      </w:pPr>
      <w:r>
        <w:rPr>
          <w:noProof/>
        </w:rPr>
        <w:t>f)</w:t>
      </w:r>
      <w:r>
        <w:rPr>
          <w:noProof/>
        </w:rPr>
        <w:tab/>
      </w:r>
      <w:r w:rsidR="00AD62E2" w:rsidRPr="002F16A1">
        <w:rPr>
          <w:noProof/>
        </w:rPr>
        <w:t>biznesplan zawierający ocenę rentowności projektu;</w:t>
      </w:r>
    </w:p>
    <w:p w:rsidR="00AD62E2" w:rsidRPr="002F16A1" w:rsidRDefault="0028384B" w:rsidP="0028384B">
      <w:pPr>
        <w:pStyle w:val="Point1"/>
        <w:rPr>
          <w:noProof/>
        </w:rPr>
      </w:pPr>
      <w:r>
        <w:rPr>
          <w:noProof/>
        </w:rPr>
        <w:t>g)</w:t>
      </w:r>
      <w:r>
        <w:rPr>
          <w:noProof/>
        </w:rPr>
        <w:tab/>
      </w:r>
      <w:r w:rsidR="00B57EC7" w:rsidRPr="002F16A1">
        <w:rPr>
          <w:noProof/>
        </w:rPr>
        <w:t>oszacowanie potencjału projektu</w:t>
      </w:r>
      <w:r w:rsidRPr="002F16A1">
        <w:rPr>
          <w:noProof/>
        </w:rPr>
        <w:t xml:space="preserve"> w</w:t>
      </w:r>
      <w:r>
        <w:rPr>
          <w:noProof/>
        </w:rPr>
        <w:t> </w:t>
      </w:r>
      <w:r w:rsidRPr="002F16A1">
        <w:rPr>
          <w:noProof/>
        </w:rPr>
        <w:t>zak</w:t>
      </w:r>
      <w:r w:rsidR="00B57EC7" w:rsidRPr="002F16A1">
        <w:rPr>
          <w:noProof/>
        </w:rPr>
        <w:t>resie tworzenia wysokiej jakości miejsc pracy</w:t>
      </w:r>
      <w:r w:rsidRPr="002F16A1">
        <w:rPr>
          <w:noProof/>
        </w:rPr>
        <w:t xml:space="preserve"> i</w:t>
      </w:r>
      <w:r>
        <w:rPr>
          <w:noProof/>
        </w:rPr>
        <w:t> </w:t>
      </w:r>
      <w:r w:rsidRPr="002F16A1">
        <w:rPr>
          <w:noProof/>
        </w:rPr>
        <w:t>pot</w:t>
      </w:r>
      <w:r w:rsidR="00B57EC7" w:rsidRPr="002F16A1">
        <w:rPr>
          <w:noProof/>
        </w:rPr>
        <w:t>rzeb związanych</w:t>
      </w:r>
      <w:r w:rsidRPr="002F16A1">
        <w:rPr>
          <w:noProof/>
        </w:rPr>
        <w:t xml:space="preserve"> z</w:t>
      </w:r>
      <w:r>
        <w:rPr>
          <w:noProof/>
        </w:rPr>
        <w:t> </w:t>
      </w:r>
      <w:r w:rsidRPr="002F16A1">
        <w:rPr>
          <w:noProof/>
        </w:rPr>
        <w:t>pro</w:t>
      </w:r>
      <w:r w:rsidR="00B57EC7" w:rsidRPr="002F16A1">
        <w:rPr>
          <w:noProof/>
        </w:rPr>
        <w:t>jektem pod względem wykwalifikowanej siły roboczej, jak również podnoszenia</w:t>
      </w:r>
      <w:r w:rsidRPr="002F16A1">
        <w:rPr>
          <w:noProof/>
        </w:rPr>
        <w:t xml:space="preserve"> i</w:t>
      </w:r>
      <w:r>
        <w:rPr>
          <w:noProof/>
        </w:rPr>
        <w:t> </w:t>
      </w:r>
      <w:r w:rsidRPr="002F16A1">
        <w:rPr>
          <w:noProof/>
        </w:rPr>
        <w:t>zmi</w:t>
      </w:r>
      <w:r w:rsidR="00B57EC7" w:rsidRPr="002F16A1">
        <w:rPr>
          <w:noProof/>
        </w:rPr>
        <w:t>any kwalifikacji.</w:t>
      </w:r>
    </w:p>
    <w:p w:rsidR="00AD62E2" w:rsidRPr="002F16A1" w:rsidRDefault="00733965" w:rsidP="00733965">
      <w:pPr>
        <w:pStyle w:val="ManualNumPar1"/>
        <w:rPr>
          <w:noProof/>
        </w:rPr>
      </w:pPr>
      <w:r w:rsidRPr="00733965">
        <w:t>2.</w:t>
      </w:r>
      <w:r w:rsidRPr="00733965">
        <w:tab/>
      </w:r>
      <w:r w:rsidR="00AD62E2" w:rsidRPr="002F16A1">
        <w:rPr>
          <w:noProof/>
        </w:rPr>
        <w:t>Komisja jest uprawniona do przyjęcia aktów wykonawczych ustanawiających wzór, który mają stosować promotorzy projektów na potrzeby składania wniosków,</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We wzorze tym można wskazać sposób wyrażenia informacji,</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Te akty wykonawcze przyjmuje się zgodnie</w:t>
      </w:r>
      <w:r w:rsidR="0028384B" w:rsidRPr="002F16A1">
        <w:rPr>
          <w:noProof/>
        </w:rPr>
        <w:t xml:space="preserve"> z</w:t>
      </w:r>
      <w:r w:rsidR="0028384B">
        <w:rPr>
          <w:noProof/>
        </w:rPr>
        <w:t> </w:t>
      </w:r>
      <w:r w:rsidR="0028384B" w:rsidRPr="002F16A1">
        <w:rPr>
          <w:noProof/>
        </w:rPr>
        <w:t>pro</w:t>
      </w:r>
      <w:r w:rsidR="00AD62E2" w:rsidRPr="002F16A1">
        <w:rPr>
          <w:noProof/>
        </w:rPr>
        <w:t>cedurą doradczą,</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7 </w:t>
      </w:r>
      <w:r w:rsidR="00AD62E2" w:rsidRPr="0028384B">
        <w:rPr>
          <w:noProof/>
        </w:rPr>
        <w:t>ust.</w:t>
      </w:r>
      <w:r w:rsidR="0028384B" w:rsidRPr="0028384B">
        <w:rPr>
          <w:noProof/>
        </w:rPr>
        <w:t> </w:t>
      </w:r>
      <w:r w:rsidR="00AD62E2" w:rsidRPr="0028384B">
        <w:rPr>
          <w:noProof/>
        </w:rPr>
        <w:t>2</w:t>
      </w:r>
      <w:r w:rsidR="00AD62E2" w:rsidRPr="002F16A1">
        <w:rPr>
          <w:noProof/>
        </w:rPr>
        <w:t xml:space="preserve">. </w:t>
      </w:r>
    </w:p>
    <w:p w:rsidR="00FB5681" w:rsidRPr="002F16A1" w:rsidRDefault="00733965" w:rsidP="00733965">
      <w:pPr>
        <w:pStyle w:val="ManualNumPar1"/>
        <w:rPr>
          <w:noProof/>
        </w:rPr>
      </w:pPr>
      <w:r w:rsidRPr="00733965">
        <w:t>3.</w:t>
      </w:r>
      <w:r w:rsidRPr="00733965">
        <w:tab/>
      </w:r>
      <w:r w:rsidR="00FB5681" w:rsidRPr="002F16A1">
        <w:rPr>
          <w:noProof/>
        </w:rPr>
        <w:t>Jeżeli Komisja stwierdzi, że przedstawione we wniosku informacje są niekompletne, daje wnioskodawcy możliwość przedłożenia dodatkowych informacji wymaganych do terminowego uzupełnienia wniosku.</w:t>
      </w:r>
    </w:p>
    <w:p w:rsidR="00AD62E2" w:rsidRPr="002F16A1" w:rsidRDefault="00FB5681" w:rsidP="008E5BB0">
      <w:pPr>
        <w:rPr>
          <w:noProof/>
        </w:rPr>
      </w:pPr>
      <w:r w:rsidRPr="002F16A1">
        <w:rPr>
          <w:noProof/>
        </w:rPr>
        <w:t xml:space="preserve"> </w:t>
      </w:r>
    </w:p>
    <w:p w:rsidR="00187F45" w:rsidRPr="002F16A1" w:rsidRDefault="00733965" w:rsidP="00733965">
      <w:pPr>
        <w:pStyle w:val="ManualNumPar1"/>
        <w:rPr>
          <w:noProof/>
        </w:rPr>
      </w:pPr>
      <w:r w:rsidRPr="00733965">
        <w:t>4.</w:t>
      </w:r>
      <w:r w:rsidRPr="00733965">
        <w:tab/>
      </w:r>
      <w:r w:rsidR="00CB28BB" w:rsidRPr="002F16A1">
        <w:rPr>
          <w:noProof/>
        </w:rPr>
        <w:t>Europejska Rada ds. Surowców Krytycznych,</w:t>
      </w:r>
      <w:r w:rsidR="0028384B" w:rsidRPr="002F16A1">
        <w:rPr>
          <w:noProof/>
        </w:rPr>
        <w:t xml:space="preserve"> o</w:t>
      </w:r>
      <w:r w:rsidR="0028384B">
        <w:rPr>
          <w:noProof/>
        </w:rPr>
        <w:t> </w:t>
      </w:r>
      <w:r w:rsidR="0028384B" w:rsidRPr="002F16A1">
        <w:rPr>
          <w:noProof/>
        </w:rPr>
        <w:t>któ</w:t>
      </w:r>
      <w:r w:rsidR="00CB28BB" w:rsidRPr="002F16A1">
        <w:rPr>
          <w:noProof/>
        </w:rPr>
        <w:t>rej mowa</w:t>
      </w:r>
      <w:r w:rsidR="0028384B" w:rsidRPr="002F16A1">
        <w:rPr>
          <w:noProof/>
        </w:rPr>
        <w:t xml:space="preserve"> w</w:t>
      </w:r>
      <w:r w:rsidR="0028384B">
        <w:rPr>
          <w:noProof/>
        </w:rPr>
        <w:t> </w:t>
      </w:r>
      <w:r w:rsidR="0028384B" w:rsidRPr="0028384B">
        <w:rPr>
          <w:noProof/>
        </w:rPr>
        <w:t>art</w:t>
      </w:r>
      <w:r w:rsidR="00CB28BB" w:rsidRPr="0028384B">
        <w:rPr>
          <w:noProof/>
        </w:rPr>
        <w:t>.</w:t>
      </w:r>
      <w:r w:rsidR="0028384B" w:rsidRPr="0028384B">
        <w:rPr>
          <w:noProof/>
        </w:rPr>
        <w:t> </w:t>
      </w:r>
      <w:r w:rsidR="00CB28BB" w:rsidRPr="0028384B">
        <w:rPr>
          <w:noProof/>
        </w:rPr>
        <w:t>3</w:t>
      </w:r>
      <w:r w:rsidR="00CB28BB" w:rsidRPr="002F16A1">
        <w:rPr>
          <w:noProof/>
        </w:rPr>
        <w:t>4 („Rada”),</w:t>
      </w:r>
      <w:r w:rsidR="0028384B" w:rsidRPr="002F16A1">
        <w:rPr>
          <w:noProof/>
        </w:rPr>
        <w:t xml:space="preserve"> w</w:t>
      </w:r>
      <w:r w:rsidR="0028384B">
        <w:rPr>
          <w:noProof/>
        </w:rPr>
        <w:t> </w:t>
      </w:r>
      <w:r w:rsidR="0028384B" w:rsidRPr="002F16A1">
        <w:rPr>
          <w:noProof/>
        </w:rPr>
        <w:t>dro</w:t>
      </w:r>
      <w:r w:rsidR="00CB28BB" w:rsidRPr="002F16A1">
        <w:rPr>
          <w:noProof/>
        </w:rPr>
        <w:t>dze sprawiedliwego</w:t>
      </w:r>
      <w:r w:rsidR="0028384B" w:rsidRPr="002F16A1">
        <w:rPr>
          <w:noProof/>
        </w:rPr>
        <w:t xml:space="preserve"> i</w:t>
      </w:r>
      <w:r w:rsidR="0028384B">
        <w:rPr>
          <w:noProof/>
        </w:rPr>
        <w:t> </w:t>
      </w:r>
      <w:r w:rsidR="0028384B" w:rsidRPr="002F16A1">
        <w:rPr>
          <w:noProof/>
        </w:rPr>
        <w:t>prz</w:t>
      </w:r>
      <w:r w:rsidR="00CB28BB" w:rsidRPr="002F16A1">
        <w:rPr>
          <w:noProof/>
        </w:rPr>
        <w:t>ejrzystego procesu, poddaje pod dyskusję</w:t>
      </w:r>
      <w:r w:rsidR="0028384B" w:rsidRPr="002F16A1">
        <w:rPr>
          <w:noProof/>
        </w:rPr>
        <w:t xml:space="preserve"> i</w:t>
      </w:r>
      <w:r w:rsidR="0028384B">
        <w:rPr>
          <w:noProof/>
        </w:rPr>
        <w:t> </w:t>
      </w:r>
      <w:r w:rsidR="0028384B" w:rsidRPr="002F16A1">
        <w:rPr>
          <w:noProof/>
        </w:rPr>
        <w:t>wyd</w:t>
      </w:r>
      <w:r w:rsidR="00CB28BB" w:rsidRPr="002F16A1">
        <w:rPr>
          <w:noProof/>
        </w:rPr>
        <w:t>aje opinię dotyczącą kompletności wniosku oraz spełniania przez wnioskowany projekt kryteriów określonych</w:t>
      </w:r>
      <w:r w:rsidR="0028384B" w:rsidRPr="002F16A1">
        <w:rPr>
          <w:noProof/>
        </w:rPr>
        <w:t xml:space="preserve"> w</w:t>
      </w:r>
      <w:r w:rsidR="0028384B">
        <w:rPr>
          <w:noProof/>
        </w:rPr>
        <w:t> </w:t>
      </w:r>
      <w:r w:rsidR="0028384B" w:rsidRPr="0028384B">
        <w:rPr>
          <w:noProof/>
        </w:rPr>
        <w:t>art</w:t>
      </w:r>
      <w:r w:rsidR="00CB28BB" w:rsidRPr="0028384B">
        <w:rPr>
          <w:noProof/>
        </w:rPr>
        <w:t>.</w:t>
      </w:r>
      <w:r w:rsidR="0028384B" w:rsidRPr="0028384B">
        <w:rPr>
          <w:noProof/>
        </w:rPr>
        <w:t> </w:t>
      </w:r>
      <w:r w:rsidR="00CB28BB" w:rsidRPr="0028384B">
        <w:rPr>
          <w:noProof/>
        </w:rPr>
        <w:t>5</w:t>
      </w:r>
      <w:r w:rsidR="00CB28BB" w:rsidRPr="002F16A1">
        <w:rPr>
          <w:noProof/>
        </w:rPr>
        <w:t xml:space="preserve"> </w:t>
      </w:r>
      <w:r w:rsidR="00CB28BB" w:rsidRPr="0028384B">
        <w:rPr>
          <w:noProof/>
        </w:rPr>
        <w:t>ust.</w:t>
      </w:r>
      <w:r w:rsidR="0028384B" w:rsidRPr="0028384B">
        <w:rPr>
          <w:noProof/>
        </w:rPr>
        <w:t> </w:t>
      </w:r>
      <w:r w:rsidR="00CB28BB" w:rsidRPr="0028384B">
        <w:rPr>
          <w:noProof/>
        </w:rPr>
        <w:t>1</w:t>
      </w:r>
      <w:r w:rsidR="00CB28BB" w:rsidRPr="002F16A1">
        <w:rPr>
          <w:noProof/>
        </w:rPr>
        <w:t xml:space="preserve">. </w:t>
      </w:r>
    </w:p>
    <w:p w:rsidR="0041721C" w:rsidRPr="002F16A1" w:rsidRDefault="00733965" w:rsidP="00733965">
      <w:pPr>
        <w:pStyle w:val="ManualNumPar1"/>
        <w:rPr>
          <w:noProof/>
        </w:rPr>
      </w:pPr>
      <w:r w:rsidRPr="00733965">
        <w:t>5.</w:t>
      </w:r>
      <w:r w:rsidRPr="00733965">
        <w:tab/>
      </w:r>
      <w:r w:rsidR="003F5176" w:rsidRPr="002F16A1">
        <w:rPr>
          <w:noProof/>
        </w:rPr>
        <w:t>Jeżeli państwo członkowskie, którego terytorium dotyczy wnioskowany projekt, sprzeciwia się przyznaniu temu projektowi statusu projektu strategicznego, przedstawia ono uzasadnione powody tego sprzeciwu podczas dyskusji,</w:t>
      </w:r>
      <w:r w:rsidR="0028384B" w:rsidRPr="002F16A1">
        <w:rPr>
          <w:noProof/>
        </w:rPr>
        <w:t xml:space="preserve"> o</w:t>
      </w:r>
      <w:r w:rsidR="0028384B">
        <w:rPr>
          <w:noProof/>
        </w:rPr>
        <w:t> </w:t>
      </w:r>
      <w:r w:rsidR="0028384B" w:rsidRPr="002F16A1">
        <w:rPr>
          <w:noProof/>
        </w:rPr>
        <w:t>któ</w:t>
      </w:r>
      <w:r w:rsidR="003F5176" w:rsidRPr="002F16A1">
        <w:rPr>
          <w:noProof/>
        </w:rPr>
        <w:t>rej mowa</w:t>
      </w:r>
      <w:r w:rsidR="0028384B" w:rsidRPr="002F16A1">
        <w:rPr>
          <w:noProof/>
        </w:rPr>
        <w:t xml:space="preserve"> w</w:t>
      </w:r>
      <w:r w:rsidR="0028384B">
        <w:rPr>
          <w:noProof/>
        </w:rPr>
        <w:t> </w:t>
      </w:r>
      <w:r w:rsidR="0028384B" w:rsidRPr="0028384B">
        <w:rPr>
          <w:noProof/>
        </w:rPr>
        <w:t>ust</w:t>
      </w:r>
      <w:r w:rsidR="003F5176" w:rsidRPr="0028384B">
        <w:rPr>
          <w:noProof/>
        </w:rPr>
        <w:t>.</w:t>
      </w:r>
      <w:r w:rsidR="0028384B" w:rsidRPr="0028384B">
        <w:rPr>
          <w:noProof/>
        </w:rPr>
        <w:t> </w:t>
      </w:r>
      <w:r w:rsidR="003F5176" w:rsidRPr="0028384B">
        <w:rPr>
          <w:noProof/>
        </w:rPr>
        <w:t>4</w:t>
      </w:r>
      <w:r w:rsidR="003F5176" w:rsidRPr="002F16A1">
        <w:rPr>
          <w:noProof/>
        </w:rPr>
        <w:t>. Rada omawia uzasadnione powody tego sprzeciwu przedstawione przez państwo członkowskie. Jeżeli po przeprowadzeniu dyskusji państwo członkowskie utrzymuje swój sprzeciw, projektu tego nie rozpatruje się</w:t>
      </w:r>
      <w:r w:rsidR="0028384B" w:rsidRPr="002F16A1">
        <w:rPr>
          <w:noProof/>
        </w:rPr>
        <w:t xml:space="preserve"> w</w:t>
      </w:r>
      <w:r w:rsidR="0028384B">
        <w:rPr>
          <w:noProof/>
        </w:rPr>
        <w:t> </w:t>
      </w:r>
      <w:r w:rsidR="0028384B" w:rsidRPr="002F16A1">
        <w:rPr>
          <w:noProof/>
        </w:rPr>
        <w:t>kon</w:t>
      </w:r>
      <w:r w:rsidR="003F5176" w:rsidRPr="002F16A1">
        <w:rPr>
          <w:noProof/>
        </w:rPr>
        <w:t xml:space="preserve">tekście przyznania mu statusu projektu strategicznego. </w:t>
      </w:r>
    </w:p>
    <w:p w:rsidR="003F5176" w:rsidRPr="002F16A1" w:rsidRDefault="0041721C" w:rsidP="0041721C">
      <w:pPr>
        <w:pStyle w:val="Text1"/>
        <w:rPr>
          <w:noProof/>
        </w:rPr>
      </w:pPr>
      <w:r w:rsidRPr="002F16A1">
        <w:rPr>
          <w:noProof/>
        </w:rPr>
        <w:t>W odniesieniu do projektów strategicznych realizowanych</w:t>
      </w:r>
      <w:r w:rsidR="0028384B" w:rsidRPr="002F16A1">
        <w:rPr>
          <w:noProof/>
        </w:rPr>
        <w:t xml:space="preserve"> w</w:t>
      </w:r>
      <w:r w:rsidR="0028384B">
        <w:rPr>
          <w:noProof/>
        </w:rPr>
        <w:t> </w:t>
      </w:r>
      <w:r w:rsidR="0028384B" w:rsidRPr="002F16A1">
        <w:rPr>
          <w:noProof/>
        </w:rPr>
        <w:t>pań</w:t>
      </w:r>
      <w:r w:rsidRPr="002F16A1">
        <w:rPr>
          <w:noProof/>
        </w:rPr>
        <w:t>stwach trzecich Komisja udostępnia otrzymany wniosek państwu trzeciemu, którego terytorium dotyczy wnioskowany projekt. Komisja nie zatwierdza wniosku przed otrzymaniem wyraźnej zgody odnośnego państwa trzeciego.</w:t>
      </w:r>
    </w:p>
    <w:p w:rsidR="00AD62E2" w:rsidRPr="002F16A1" w:rsidRDefault="00733965" w:rsidP="00733965">
      <w:pPr>
        <w:pStyle w:val="ManualNumPar1"/>
        <w:rPr>
          <w:noProof/>
        </w:rPr>
      </w:pPr>
      <w:r w:rsidRPr="00733965">
        <w:t>6.</w:t>
      </w:r>
      <w:r w:rsidRPr="00733965">
        <w:tab/>
      </w:r>
      <w:r w:rsidR="00AD62E2" w:rsidRPr="002F16A1">
        <w:rPr>
          <w:noProof/>
        </w:rPr>
        <w:t>Komisja, uwzględniając opinię Rady,</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4</w:t>
      </w:r>
      <w:r w:rsidR="00AD62E2" w:rsidRPr="002F16A1">
        <w:rPr>
          <w:noProof/>
        </w:rPr>
        <w:t>, przyjmuje decyzję dotyczącą uznania danego projektu za projekt strategiczny</w:t>
      </w:r>
      <w:r w:rsidR="0028384B" w:rsidRPr="002F16A1">
        <w:rPr>
          <w:noProof/>
        </w:rPr>
        <w:t xml:space="preserve"> w</w:t>
      </w:r>
      <w:r w:rsidR="0028384B">
        <w:rPr>
          <w:noProof/>
        </w:rPr>
        <w:t> </w:t>
      </w:r>
      <w:r w:rsidR="0028384B" w:rsidRPr="002F16A1">
        <w:rPr>
          <w:noProof/>
        </w:rPr>
        <w:t>ter</w:t>
      </w:r>
      <w:r w:rsidR="00AD62E2" w:rsidRPr="002F16A1">
        <w:rPr>
          <w:noProof/>
        </w:rPr>
        <w:t>minie 60 dni</w:t>
      </w:r>
      <w:r w:rsidR="0028384B" w:rsidRPr="002F16A1">
        <w:rPr>
          <w:noProof/>
        </w:rPr>
        <w:t xml:space="preserve"> i</w:t>
      </w:r>
      <w:r w:rsidR="0028384B">
        <w:rPr>
          <w:noProof/>
        </w:rPr>
        <w:t> </w:t>
      </w:r>
      <w:r w:rsidR="0028384B" w:rsidRPr="002F16A1">
        <w:rPr>
          <w:noProof/>
        </w:rPr>
        <w:t>pow</w:t>
      </w:r>
      <w:r w:rsidR="00AD62E2" w:rsidRPr="002F16A1">
        <w:rPr>
          <w:noProof/>
        </w:rPr>
        <w:t>iadamia</w:t>
      </w:r>
      <w:r w:rsidR="0028384B" w:rsidRPr="002F16A1">
        <w:rPr>
          <w:noProof/>
        </w:rPr>
        <w:t xml:space="preserve"> o</w:t>
      </w:r>
      <w:r w:rsidR="0028384B">
        <w:rPr>
          <w:noProof/>
        </w:rPr>
        <w:t> </w:t>
      </w:r>
      <w:r w:rsidR="0028384B" w:rsidRPr="002F16A1">
        <w:rPr>
          <w:noProof/>
        </w:rPr>
        <w:t>nie</w:t>
      </w:r>
      <w:r w:rsidR="00AD62E2" w:rsidRPr="002F16A1">
        <w:rPr>
          <w:noProof/>
        </w:rPr>
        <w:t>j wnioskodawcę.</w:t>
      </w:r>
    </w:p>
    <w:p w:rsidR="00AD62E2" w:rsidRPr="002F16A1" w:rsidRDefault="00593BD5" w:rsidP="00AD62E2">
      <w:pPr>
        <w:pStyle w:val="Text1"/>
        <w:rPr>
          <w:noProof/>
        </w:rPr>
      </w:pPr>
      <w:r w:rsidRPr="002F16A1">
        <w:rPr>
          <w:noProof/>
        </w:rPr>
        <w:t>Decyzja Komisji musi być uzasadniona,</w:t>
      </w:r>
      <w:r w:rsidR="0028384B" w:rsidRPr="002F16A1">
        <w:rPr>
          <w:noProof/>
        </w:rPr>
        <w:t xml:space="preserve"> w</w:t>
      </w:r>
      <w:r w:rsidR="0028384B">
        <w:rPr>
          <w:noProof/>
        </w:rPr>
        <w:t> </w:t>
      </w:r>
      <w:r w:rsidR="0028384B" w:rsidRPr="002F16A1">
        <w:rPr>
          <w:noProof/>
        </w:rPr>
        <w:t>tym</w:t>
      </w:r>
      <w:r w:rsidRPr="002F16A1">
        <w:rPr>
          <w:noProof/>
        </w:rPr>
        <w:t>,</w:t>
      </w:r>
      <w:r w:rsidR="0028384B" w:rsidRPr="002F16A1">
        <w:rPr>
          <w:noProof/>
        </w:rPr>
        <w:t xml:space="preserve"> w</w:t>
      </w:r>
      <w:r w:rsidR="0028384B">
        <w:rPr>
          <w:noProof/>
        </w:rPr>
        <w:t> </w:t>
      </w:r>
      <w:r w:rsidR="0028384B" w:rsidRPr="002F16A1">
        <w:rPr>
          <w:noProof/>
        </w:rPr>
        <w:t>sto</w:t>
      </w:r>
      <w:r w:rsidRPr="002F16A1">
        <w:rPr>
          <w:noProof/>
        </w:rPr>
        <w:t>sownych przypadkach, gdy różni się ona od opinii Rady. Komisja przekazuje swoje uzasadnienie Radzie oraz promotorowi projektu.</w:t>
      </w:r>
    </w:p>
    <w:p w:rsidR="00AD62E2" w:rsidRPr="002F16A1" w:rsidRDefault="00733965" w:rsidP="00733965">
      <w:pPr>
        <w:pStyle w:val="ManualNumPar1"/>
        <w:rPr>
          <w:noProof/>
        </w:rPr>
      </w:pPr>
      <w:r w:rsidRPr="00733965">
        <w:t>7.</w:t>
      </w:r>
      <w:r w:rsidRPr="00733965">
        <w:tab/>
      </w:r>
      <w:r w:rsidR="00AD62E2" w:rsidRPr="002F16A1">
        <w:rPr>
          <w:noProof/>
        </w:rPr>
        <w:t>Komisja może traktować priorytetowo rozpatrywanie wniosków dotyczących projektów realizowanych na określonych etapach łańcucha wartości</w:t>
      </w:r>
      <w:r w:rsidR="0028384B" w:rsidRPr="002F16A1">
        <w:rPr>
          <w:noProof/>
        </w:rPr>
        <w:t xml:space="preserve"> w</w:t>
      </w:r>
      <w:r w:rsidR="0028384B">
        <w:rPr>
          <w:noProof/>
        </w:rPr>
        <w:t> </w:t>
      </w:r>
      <w:r w:rsidR="0028384B" w:rsidRPr="002F16A1">
        <w:rPr>
          <w:noProof/>
        </w:rPr>
        <w:t>cel</w:t>
      </w:r>
      <w:r w:rsidR="00AD62E2" w:rsidRPr="002F16A1">
        <w:rPr>
          <w:noProof/>
        </w:rPr>
        <w:t>u:</w:t>
      </w:r>
    </w:p>
    <w:p w:rsidR="00AD62E2" w:rsidRPr="002F16A1" w:rsidRDefault="0028384B" w:rsidP="0028384B">
      <w:pPr>
        <w:pStyle w:val="Point1"/>
        <w:rPr>
          <w:noProof/>
        </w:rPr>
      </w:pPr>
      <w:r>
        <w:rPr>
          <w:noProof/>
        </w:rPr>
        <w:t>a)</w:t>
      </w:r>
      <w:r>
        <w:rPr>
          <w:noProof/>
        </w:rPr>
        <w:tab/>
      </w:r>
      <w:r w:rsidR="00AD62E2" w:rsidRPr="002F16A1">
        <w:rPr>
          <w:noProof/>
        </w:rPr>
        <w:t>zapewnienia zrównoważonej reprezentacji projektów strategicznych</w:t>
      </w:r>
      <w:r w:rsidRPr="002F16A1">
        <w:rPr>
          <w:noProof/>
        </w:rPr>
        <w:t xml:space="preserve"> w</w:t>
      </w:r>
      <w:r>
        <w:rPr>
          <w:noProof/>
        </w:rPr>
        <w:t> </w:t>
      </w:r>
      <w:r w:rsidRPr="002F16A1">
        <w:rPr>
          <w:noProof/>
        </w:rPr>
        <w:t>odn</w:t>
      </w:r>
      <w:r w:rsidR="00AD62E2" w:rsidRPr="002F16A1">
        <w:rPr>
          <w:noProof/>
        </w:rPr>
        <w:t>iesieniu do wszystkich surowców strategicznych</w:t>
      </w:r>
      <w:r w:rsidRPr="002F16A1">
        <w:rPr>
          <w:noProof/>
        </w:rPr>
        <w:t xml:space="preserve"> i</w:t>
      </w:r>
      <w:r>
        <w:rPr>
          <w:noProof/>
        </w:rPr>
        <w:t> </w:t>
      </w:r>
      <w:r w:rsidRPr="002F16A1">
        <w:rPr>
          <w:noProof/>
        </w:rPr>
        <w:t>wsz</w:t>
      </w:r>
      <w:r w:rsidR="00AD62E2" w:rsidRPr="002F16A1">
        <w:rPr>
          <w:noProof/>
        </w:rPr>
        <w:t>ystkich etapów łańcucha wartości;</w:t>
      </w:r>
    </w:p>
    <w:p w:rsidR="00AD62E2" w:rsidRPr="002F16A1" w:rsidRDefault="0028384B" w:rsidP="0028384B">
      <w:pPr>
        <w:pStyle w:val="Point1"/>
        <w:rPr>
          <w:noProof/>
        </w:rPr>
      </w:pPr>
      <w:r>
        <w:rPr>
          <w:noProof/>
        </w:rPr>
        <w:t>b)</w:t>
      </w:r>
      <w:r>
        <w:rPr>
          <w:noProof/>
        </w:rPr>
        <w:tab/>
      </w:r>
      <w:r w:rsidR="00AD62E2" w:rsidRPr="002F16A1">
        <w:rPr>
          <w:noProof/>
        </w:rPr>
        <w:t>zapewnienia postępów</w:t>
      </w:r>
      <w:r w:rsidRPr="002F16A1">
        <w:rPr>
          <w:noProof/>
        </w:rPr>
        <w:t xml:space="preserve"> w</w:t>
      </w:r>
      <w:r>
        <w:rPr>
          <w:noProof/>
        </w:rPr>
        <w:t> </w:t>
      </w:r>
      <w:r w:rsidRPr="002F16A1">
        <w:rPr>
          <w:noProof/>
        </w:rPr>
        <w:t>dąż</w:t>
      </w:r>
      <w:r w:rsidR="00AD62E2" w:rsidRPr="002F16A1">
        <w:rPr>
          <w:noProof/>
        </w:rPr>
        <w:t>eniu do osiągnięcia wszystkich wskaźników referencyjnych określonych</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1</w:t>
      </w:r>
      <w:r w:rsidR="00AD62E2" w:rsidRPr="002F16A1">
        <w:rPr>
          <w:noProof/>
        </w:rPr>
        <w:t xml:space="preserve"> </w:t>
      </w:r>
      <w:r w:rsidR="00AD62E2" w:rsidRPr="0028384B">
        <w:rPr>
          <w:noProof/>
        </w:rPr>
        <w:t>ust.</w:t>
      </w:r>
      <w:r w:rsidRPr="0028384B">
        <w:rPr>
          <w:noProof/>
        </w:rPr>
        <w:t> </w:t>
      </w:r>
      <w:r w:rsidR="00AD62E2" w:rsidRPr="0028384B">
        <w:rPr>
          <w:noProof/>
        </w:rPr>
        <w:t>2</w:t>
      </w:r>
      <w:r w:rsidR="00AD62E2" w:rsidRPr="002F16A1">
        <w:rPr>
          <w:noProof/>
        </w:rPr>
        <w:t xml:space="preserve"> </w:t>
      </w:r>
      <w:r w:rsidR="00AD62E2" w:rsidRPr="0028384B">
        <w:rPr>
          <w:noProof/>
        </w:rPr>
        <w:t>lit.</w:t>
      </w:r>
      <w:r w:rsidRPr="0028384B">
        <w:rPr>
          <w:noProof/>
        </w:rPr>
        <w:t> </w:t>
      </w:r>
      <w:r w:rsidR="00AD62E2" w:rsidRPr="0028384B">
        <w:rPr>
          <w:noProof/>
        </w:rPr>
        <w:t>a)</w:t>
      </w:r>
      <w:r w:rsidR="00AD62E2" w:rsidRPr="002F16A1">
        <w:rPr>
          <w:noProof/>
        </w:rPr>
        <w:t xml:space="preserve"> i b).</w:t>
      </w:r>
    </w:p>
    <w:p w:rsidR="00AD62E2" w:rsidRPr="002F16A1" w:rsidRDefault="00733965" w:rsidP="00733965">
      <w:pPr>
        <w:pStyle w:val="ManualNumPar1"/>
        <w:rPr>
          <w:noProof/>
        </w:rPr>
      </w:pPr>
      <w:r w:rsidRPr="00733965">
        <w:t>8.</w:t>
      </w:r>
      <w:r w:rsidRPr="00733965">
        <w:tab/>
      </w:r>
      <w:r w:rsidR="00AD62E2" w:rsidRPr="002F16A1">
        <w:rPr>
          <w:noProof/>
        </w:rPr>
        <w:t>W przypadku stwierdzenia przez Komisję, że projekt strategiczny nie spełnia już kryteriów określonych</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5</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 lub gdy uznanie go za projekt strategiczny odbyło się na podstawie wniosku zawierającego nieprawidłowe informacje, Komisja może, uwzględniając opinię Rady</w:t>
      </w:r>
      <w:r w:rsidR="0028384B" w:rsidRPr="002F16A1">
        <w:rPr>
          <w:noProof/>
        </w:rPr>
        <w:t xml:space="preserve"> i</w:t>
      </w:r>
      <w:r w:rsidR="0028384B">
        <w:rPr>
          <w:noProof/>
        </w:rPr>
        <w:t> </w:t>
      </w:r>
      <w:r w:rsidR="0028384B" w:rsidRPr="002F16A1">
        <w:rPr>
          <w:noProof/>
        </w:rPr>
        <w:t>odp</w:t>
      </w:r>
      <w:r w:rsidR="00AD62E2" w:rsidRPr="002F16A1">
        <w:rPr>
          <w:noProof/>
        </w:rPr>
        <w:t>owiedzialnego promotora projektu, uchylić decyzję przyznającą projektowi status projektu strategicznego.</w:t>
      </w:r>
    </w:p>
    <w:p w:rsidR="00AD62E2" w:rsidRPr="002F16A1" w:rsidRDefault="00733965" w:rsidP="00733965">
      <w:pPr>
        <w:pStyle w:val="ManualNumPar1"/>
        <w:rPr>
          <w:noProof/>
        </w:rPr>
      </w:pPr>
      <w:r w:rsidRPr="00733965">
        <w:t>9.</w:t>
      </w:r>
      <w:r w:rsidRPr="00733965">
        <w:tab/>
      </w:r>
      <w:r w:rsidR="00AD62E2" w:rsidRPr="002F16A1">
        <w:rPr>
          <w:noProof/>
        </w:rPr>
        <w:t>Projekty, których nie uznaje się już za projekty strategiczne, tracą wszystkie prawa związane</w:t>
      </w:r>
      <w:r w:rsidR="0028384B" w:rsidRPr="002F16A1">
        <w:rPr>
          <w:noProof/>
        </w:rPr>
        <w:t xml:space="preserve"> z</w:t>
      </w:r>
      <w:r w:rsidR="0028384B">
        <w:rPr>
          <w:noProof/>
        </w:rPr>
        <w:t> </w:t>
      </w:r>
      <w:r w:rsidR="0028384B" w:rsidRPr="002F16A1">
        <w:rPr>
          <w:noProof/>
        </w:rPr>
        <w:t>tym</w:t>
      </w:r>
      <w:r w:rsidR="00AD62E2" w:rsidRPr="002F16A1">
        <w:rPr>
          <w:noProof/>
        </w:rPr>
        <w:t xml:space="preserve"> statusem wynikające</w:t>
      </w:r>
      <w:r w:rsidR="0028384B" w:rsidRPr="002F16A1">
        <w:rPr>
          <w:noProof/>
        </w:rPr>
        <w:t xml:space="preserve"> z</w:t>
      </w:r>
      <w:r w:rsidR="0028384B">
        <w:rPr>
          <w:noProof/>
        </w:rPr>
        <w:t> </w:t>
      </w:r>
      <w:r w:rsidR="0028384B" w:rsidRPr="002F16A1">
        <w:rPr>
          <w:noProof/>
        </w:rPr>
        <w:t>nin</w:t>
      </w:r>
      <w:r w:rsidR="00AD62E2" w:rsidRPr="002F16A1">
        <w:rPr>
          <w:noProof/>
        </w:rPr>
        <w:t>iejszego rozporządzenia.</w:t>
      </w:r>
    </w:p>
    <w:p w:rsidR="00AD62E2" w:rsidRPr="002F16A1" w:rsidRDefault="00AD62E2" w:rsidP="00AD62E2">
      <w:pPr>
        <w:pStyle w:val="Titrearticle"/>
        <w:rPr>
          <w:noProof/>
        </w:rPr>
      </w:pPr>
      <w:r w:rsidRPr="002F16A1">
        <w:rPr>
          <w:noProof/>
        </w:rPr>
        <w:t>Artykuł 7</w:t>
      </w:r>
    </w:p>
    <w:p w:rsidR="00AD62E2" w:rsidRPr="002F16A1" w:rsidRDefault="00AD62E2" w:rsidP="00AD62E2">
      <w:pPr>
        <w:pStyle w:val="NormalCentered"/>
        <w:rPr>
          <w:noProof/>
        </w:rPr>
      </w:pPr>
      <w:r w:rsidRPr="002F16A1">
        <w:rPr>
          <w:b/>
          <w:noProof/>
        </w:rPr>
        <w:t>Realizacja projektów strategicznych</w:t>
      </w:r>
    </w:p>
    <w:p w:rsidR="00AD62E2" w:rsidRPr="002F16A1" w:rsidRDefault="00733965" w:rsidP="00733965">
      <w:pPr>
        <w:pStyle w:val="ManualNumPar1"/>
        <w:rPr>
          <w:noProof/>
        </w:rPr>
      </w:pPr>
      <w:r w:rsidRPr="00733965">
        <w:t>1.</w:t>
      </w:r>
      <w:r w:rsidRPr="00733965">
        <w:tab/>
      </w:r>
      <w:r w:rsidR="00AD62E2" w:rsidRPr="002F16A1">
        <w:rPr>
          <w:noProof/>
        </w:rPr>
        <w:t>Uznaje się, że projekty strategiczne przyczyniają się do bezpieczeństwa dostaw surowców strategicznych</w:t>
      </w:r>
      <w:r w:rsidR="0028384B" w:rsidRPr="002F16A1">
        <w:rPr>
          <w:noProof/>
        </w:rPr>
        <w:t xml:space="preserve"> w</w:t>
      </w:r>
      <w:r w:rsidR="0028384B">
        <w:rPr>
          <w:noProof/>
        </w:rPr>
        <w:t> </w:t>
      </w:r>
      <w:r w:rsidR="0028384B" w:rsidRPr="002F16A1">
        <w:rPr>
          <w:noProof/>
        </w:rPr>
        <w:t>Uni</w:t>
      </w:r>
      <w:r w:rsidR="00AD62E2" w:rsidRPr="002F16A1">
        <w:rPr>
          <w:noProof/>
        </w:rPr>
        <w:t>i. </w:t>
      </w:r>
    </w:p>
    <w:p w:rsidR="00AD62E2" w:rsidRPr="002F16A1" w:rsidRDefault="00733965" w:rsidP="00733965">
      <w:pPr>
        <w:pStyle w:val="ManualNumPar1"/>
        <w:rPr>
          <w:noProof/>
        </w:rPr>
      </w:pPr>
      <w:r w:rsidRPr="00733965">
        <w:t>2.</w:t>
      </w:r>
      <w:r w:rsidRPr="00733965">
        <w:tab/>
      </w:r>
      <w:r w:rsidR="00AD62E2" w:rsidRPr="002F16A1">
        <w:rPr>
          <w:noProof/>
        </w:rPr>
        <w:t>W odniesieniu do wpływu na środowisko uwzględnionego</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6</w:t>
      </w:r>
      <w:r w:rsidR="00AD62E2" w:rsidRPr="002F16A1">
        <w:rPr>
          <w:noProof/>
        </w:rPr>
        <w:t xml:space="preserve"> </w:t>
      </w:r>
      <w:r w:rsidR="00AD62E2" w:rsidRPr="0028384B">
        <w:rPr>
          <w:noProof/>
        </w:rPr>
        <w:t>ust.</w:t>
      </w:r>
      <w:r w:rsidR="0028384B" w:rsidRPr="0028384B">
        <w:rPr>
          <w:noProof/>
        </w:rPr>
        <w:t> </w:t>
      </w:r>
      <w:r w:rsidR="00AD62E2" w:rsidRPr="0028384B">
        <w:rPr>
          <w:noProof/>
        </w:rPr>
        <w:t>4</w:t>
      </w:r>
      <w:r w:rsidR="0028384B" w:rsidRPr="002F16A1">
        <w:rPr>
          <w:noProof/>
        </w:rPr>
        <w:t xml:space="preserve"> i</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1</w:t>
      </w:r>
      <w:r w:rsidR="00AD62E2" w:rsidRPr="002F16A1">
        <w:rPr>
          <w:noProof/>
        </w:rPr>
        <w:t xml:space="preserve">6 </w:t>
      </w:r>
      <w:r w:rsidR="00AD62E2" w:rsidRPr="0028384B">
        <w:rPr>
          <w:noProof/>
        </w:rPr>
        <w:t>ust.</w:t>
      </w:r>
      <w:r w:rsidR="0028384B" w:rsidRPr="0028384B">
        <w:rPr>
          <w:noProof/>
        </w:rPr>
        <w:t> </w:t>
      </w:r>
      <w:r w:rsidR="00AD62E2" w:rsidRPr="0028384B">
        <w:rPr>
          <w:noProof/>
        </w:rPr>
        <w:t>1</w:t>
      </w:r>
      <w:r w:rsidR="00AD62E2" w:rsidRPr="002F16A1">
        <w:rPr>
          <w:noProof/>
        </w:rPr>
        <w:t xml:space="preserve"> </w:t>
      </w:r>
      <w:r w:rsidR="00AD62E2" w:rsidRPr="0028384B">
        <w:rPr>
          <w:noProof/>
        </w:rPr>
        <w:t>lit.</w:t>
      </w:r>
      <w:r w:rsidR="0028384B" w:rsidRPr="0028384B">
        <w:rPr>
          <w:noProof/>
        </w:rPr>
        <w:t> </w:t>
      </w:r>
      <w:r w:rsidR="00AD62E2" w:rsidRPr="0028384B">
        <w:rPr>
          <w:noProof/>
        </w:rPr>
        <w:t>c)</w:t>
      </w:r>
      <w:r w:rsidR="00AD62E2" w:rsidRPr="002F16A1">
        <w:rPr>
          <w:noProof/>
        </w:rPr>
        <w:t xml:space="preserve"> dyrektywy 92/43/EWG, </w:t>
      </w:r>
      <w:r w:rsidR="00AD62E2" w:rsidRPr="0028384B">
        <w:rPr>
          <w:noProof/>
        </w:rPr>
        <w:t>art.</w:t>
      </w:r>
      <w:r w:rsidR="0028384B" w:rsidRPr="0028384B">
        <w:rPr>
          <w:noProof/>
        </w:rPr>
        <w:t> </w:t>
      </w:r>
      <w:r w:rsidR="00AD62E2" w:rsidRPr="0028384B">
        <w:rPr>
          <w:noProof/>
        </w:rPr>
        <w:t>4</w:t>
      </w:r>
      <w:r w:rsidR="00AD62E2" w:rsidRPr="002F16A1">
        <w:rPr>
          <w:noProof/>
        </w:rPr>
        <w:t xml:space="preserve"> </w:t>
      </w:r>
      <w:r w:rsidR="00AD62E2" w:rsidRPr="0028384B">
        <w:rPr>
          <w:noProof/>
        </w:rPr>
        <w:t>ust.</w:t>
      </w:r>
      <w:r w:rsidR="0028384B" w:rsidRPr="0028384B">
        <w:rPr>
          <w:noProof/>
        </w:rPr>
        <w:t> </w:t>
      </w:r>
      <w:r w:rsidR="00AD62E2" w:rsidRPr="0028384B">
        <w:rPr>
          <w:noProof/>
        </w:rPr>
        <w:t>7</w:t>
      </w:r>
      <w:r w:rsidR="00AD62E2" w:rsidRPr="002F16A1">
        <w:rPr>
          <w:noProof/>
        </w:rPr>
        <w:t xml:space="preserve"> dyrektywy 2000/60/WE</w:t>
      </w:r>
      <w:r w:rsidR="0028384B" w:rsidRPr="002F16A1">
        <w:rPr>
          <w:noProof/>
        </w:rPr>
        <w:t xml:space="preserve"> i</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9</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 xml:space="preserve"> </w:t>
      </w:r>
      <w:r w:rsidR="00AD62E2" w:rsidRPr="0028384B">
        <w:rPr>
          <w:noProof/>
        </w:rPr>
        <w:t>lit.</w:t>
      </w:r>
      <w:r w:rsidR="0028384B" w:rsidRPr="0028384B">
        <w:rPr>
          <w:noProof/>
        </w:rPr>
        <w:t> </w:t>
      </w:r>
      <w:r w:rsidR="00AD62E2" w:rsidRPr="0028384B">
        <w:rPr>
          <w:noProof/>
        </w:rPr>
        <w:t>a)</w:t>
      </w:r>
      <w:r w:rsidR="00AD62E2" w:rsidRPr="002F16A1">
        <w:rPr>
          <w:noProof/>
        </w:rPr>
        <w:t xml:space="preserve"> dyrektywy 2009/147/WE projekty strategiczne realizowane</w:t>
      </w:r>
      <w:r w:rsidR="0028384B" w:rsidRPr="002F16A1">
        <w:rPr>
          <w:noProof/>
        </w:rPr>
        <w:t xml:space="preserve"> w</w:t>
      </w:r>
      <w:r w:rsidR="0028384B">
        <w:rPr>
          <w:noProof/>
        </w:rPr>
        <w:t> </w:t>
      </w:r>
      <w:r w:rsidR="0028384B" w:rsidRPr="002F16A1">
        <w:rPr>
          <w:noProof/>
        </w:rPr>
        <w:t>Uni</w:t>
      </w:r>
      <w:r w:rsidR="00AD62E2" w:rsidRPr="002F16A1">
        <w:rPr>
          <w:noProof/>
        </w:rPr>
        <w:t>i uznaje się za będące</w:t>
      </w:r>
      <w:r w:rsidR="0028384B" w:rsidRPr="002F16A1">
        <w:rPr>
          <w:noProof/>
        </w:rPr>
        <w:t xml:space="preserve"> w</w:t>
      </w:r>
      <w:r w:rsidR="0028384B">
        <w:rPr>
          <w:noProof/>
        </w:rPr>
        <w:t> </w:t>
      </w:r>
      <w:r w:rsidR="0028384B" w:rsidRPr="002F16A1">
        <w:rPr>
          <w:noProof/>
        </w:rPr>
        <w:t>int</w:t>
      </w:r>
      <w:r w:rsidR="00AD62E2" w:rsidRPr="002F16A1">
        <w:rPr>
          <w:noProof/>
        </w:rPr>
        <w:t>eresie publicznym lub</w:t>
      </w:r>
      <w:r w:rsidR="0028384B" w:rsidRPr="002F16A1">
        <w:rPr>
          <w:noProof/>
        </w:rPr>
        <w:t xml:space="preserve"> w</w:t>
      </w:r>
      <w:r w:rsidR="0028384B">
        <w:rPr>
          <w:noProof/>
        </w:rPr>
        <w:t> </w:t>
      </w:r>
      <w:r w:rsidR="0028384B" w:rsidRPr="002F16A1">
        <w:rPr>
          <w:noProof/>
        </w:rPr>
        <w:t>int</w:t>
      </w:r>
      <w:r w:rsidR="00AD62E2" w:rsidRPr="002F16A1">
        <w:rPr>
          <w:noProof/>
        </w:rPr>
        <w:t>eresie zdrowia</w:t>
      </w:r>
      <w:r w:rsidR="0028384B" w:rsidRPr="002F16A1">
        <w:rPr>
          <w:noProof/>
        </w:rPr>
        <w:t xml:space="preserve"> i</w:t>
      </w:r>
      <w:r w:rsidR="0028384B">
        <w:rPr>
          <w:noProof/>
        </w:rPr>
        <w:t> </w:t>
      </w:r>
      <w:r w:rsidR="0028384B" w:rsidRPr="002F16A1">
        <w:rPr>
          <w:noProof/>
        </w:rPr>
        <w:t>bez</w:t>
      </w:r>
      <w:r w:rsidR="00AD62E2" w:rsidRPr="002F16A1">
        <w:rPr>
          <w:noProof/>
        </w:rPr>
        <w:t>pieczeństwa publicznego</w:t>
      </w:r>
      <w:r w:rsidR="0028384B" w:rsidRPr="002F16A1">
        <w:rPr>
          <w:noProof/>
        </w:rPr>
        <w:t xml:space="preserve"> i</w:t>
      </w:r>
      <w:r w:rsidR="0028384B">
        <w:rPr>
          <w:noProof/>
        </w:rPr>
        <w:t> </w:t>
      </w:r>
      <w:r w:rsidR="0028384B" w:rsidRPr="002F16A1">
        <w:rPr>
          <w:noProof/>
        </w:rPr>
        <w:t>moż</w:t>
      </w:r>
      <w:r w:rsidR="00AD62E2" w:rsidRPr="002F16A1">
        <w:rPr>
          <w:noProof/>
        </w:rPr>
        <w:t>na je uznać za projekty</w:t>
      </w:r>
      <w:r w:rsidR="0028384B" w:rsidRPr="002F16A1">
        <w:rPr>
          <w:noProof/>
        </w:rPr>
        <w:t xml:space="preserve"> o</w:t>
      </w:r>
      <w:r w:rsidR="0028384B">
        <w:rPr>
          <w:noProof/>
        </w:rPr>
        <w:t> </w:t>
      </w:r>
      <w:r w:rsidR="0028384B" w:rsidRPr="002F16A1">
        <w:rPr>
          <w:noProof/>
        </w:rPr>
        <w:t>nad</w:t>
      </w:r>
      <w:r w:rsidR="00AD62E2" w:rsidRPr="002F16A1">
        <w:rPr>
          <w:noProof/>
        </w:rPr>
        <w:t>rzędnym interesie publicznym, pod warunkiem spełnienia wszystkich warunków określonych</w:t>
      </w:r>
      <w:r w:rsidR="0028384B" w:rsidRPr="002F16A1">
        <w:rPr>
          <w:noProof/>
        </w:rPr>
        <w:t xml:space="preserve"> w</w:t>
      </w:r>
      <w:r w:rsidR="0028384B">
        <w:rPr>
          <w:noProof/>
        </w:rPr>
        <w:t> </w:t>
      </w:r>
      <w:r w:rsidR="0028384B" w:rsidRPr="002F16A1">
        <w:rPr>
          <w:noProof/>
        </w:rPr>
        <w:t>odn</w:t>
      </w:r>
      <w:r w:rsidR="00AD62E2" w:rsidRPr="002F16A1">
        <w:rPr>
          <w:noProof/>
        </w:rPr>
        <w:t>ośnych dyrektywach.</w:t>
      </w:r>
    </w:p>
    <w:p w:rsidR="00AD62E2" w:rsidRPr="002F16A1" w:rsidRDefault="00733965" w:rsidP="00733965">
      <w:pPr>
        <w:pStyle w:val="ManualNumPar1"/>
        <w:rPr>
          <w:noProof/>
        </w:rPr>
      </w:pPr>
      <w:r w:rsidRPr="00733965">
        <w:t>3.</w:t>
      </w:r>
      <w:r w:rsidRPr="00733965">
        <w:tab/>
      </w:r>
      <w:r w:rsidR="00AD62E2" w:rsidRPr="002F16A1">
        <w:rPr>
          <w:noProof/>
        </w:rPr>
        <w:t>Państwo członkowskie, którego terytorium dotyczy projekt strategiczny, wprowadza środki przyczyniające się do jego terminowej</w:t>
      </w:r>
      <w:r w:rsidR="0028384B" w:rsidRPr="002F16A1">
        <w:rPr>
          <w:noProof/>
        </w:rPr>
        <w:t xml:space="preserve"> i</w:t>
      </w:r>
      <w:r w:rsidR="0028384B">
        <w:rPr>
          <w:noProof/>
        </w:rPr>
        <w:t> </w:t>
      </w:r>
      <w:r w:rsidR="0028384B" w:rsidRPr="002F16A1">
        <w:rPr>
          <w:noProof/>
        </w:rPr>
        <w:t>sku</w:t>
      </w:r>
      <w:r w:rsidR="00AD62E2" w:rsidRPr="002F16A1">
        <w:rPr>
          <w:noProof/>
        </w:rPr>
        <w:t>tecznej realizacji.</w:t>
      </w:r>
    </w:p>
    <w:p w:rsidR="00AD62E2" w:rsidRPr="002F16A1" w:rsidRDefault="00733965" w:rsidP="00733965">
      <w:pPr>
        <w:pStyle w:val="ManualNumPar1"/>
        <w:rPr>
          <w:noProof/>
        </w:rPr>
      </w:pPr>
      <w:r w:rsidRPr="00733965">
        <w:t>4.</w:t>
      </w:r>
      <w:r w:rsidRPr="00733965">
        <w:tab/>
      </w:r>
      <w:r w:rsidR="00AD62E2" w:rsidRPr="002F16A1">
        <w:rPr>
          <w:noProof/>
        </w:rPr>
        <w:t>Rada dokonuje okresowego omówienia realizacji projektów strategicznych i,</w:t>
      </w:r>
      <w:r w:rsidR="0028384B" w:rsidRPr="002F16A1">
        <w:rPr>
          <w:noProof/>
        </w:rPr>
        <w:t xml:space="preserve"> w</w:t>
      </w:r>
      <w:r w:rsidR="0028384B">
        <w:rPr>
          <w:noProof/>
        </w:rPr>
        <w:t> </w:t>
      </w:r>
      <w:r w:rsidR="0028384B" w:rsidRPr="002F16A1">
        <w:rPr>
          <w:noProof/>
        </w:rPr>
        <w:t>sto</w:t>
      </w:r>
      <w:r w:rsidR="00AD62E2" w:rsidRPr="002F16A1">
        <w:rPr>
          <w:noProof/>
        </w:rPr>
        <w:t>sownych przypadkach, środków, które może wprowadzić promotor projektu lub państwo członkowskie, którego terytorium dotyczy projekt strategiczny, aby dodatkowo ułatwić ich realizację.</w:t>
      </w:r>
    </w:p>
    <w:p w:rsidR="00AD62E2" w:rsidRPr="002F16A1" w:rsidRDefault="00733965" w:rsidP="00733965">
      <w:pPr>
        <w:pStyle w:val="ManualNumPar1"/>
        <w:rPr>
          <w:noProof/>
        </w:rPr>
      </w:pPr>
      <w:r w:rsidRPr="00733965">
        <w:t>5.</w:t>
      </w:r>
      <w:r w:rsidRPr="00733965">
        <w:tab/>
      </w:r>
      <w:r w:rsidR="00AD62E2" w:rsidRPr="002F16A1">
        <w:rPr>
          <w:noProof/>
        </w:rPr>
        <w:t>Promotor projektu, co dwa lata od daty uznania projektu za projekt strategiczny, przedkłada Radzie sprawozdanie zawierające informacje na temat co najmniej:</w:t>
      </w:r>
    </w:p>
    <w:p w:rsidR="00AD62E2" w:rsidRPr="002F16A1" w:rsidRDefault="0028384B" w:rsidP="0028384B">
      <w:pPr>
        <w:pStyle w:val="Point1"/>
        <w:rPr>
          <w:noProof/>
        </w:rPr>
      </w:pPr>
      <w:r>
        <w:rPr>
          <w:noProof/>
        </w:rPr>
        <w:t>a)</w:t>
      </w:r>
      <w:r>
        <w:rPr>
          <w:noProof/>
        </w:rPr>
        <w:tab/>
      </w:r>
      <w:r w:rsidR="00AD62E2" w:rsidRPr="002F16A1">
        <w:rPr>
          <w:noProof/>
        </w:rPr>
        <w:t>postępów</w:t>
      </w:r>
      <w:r w:rsidRPr="002F16A1">
        <w:rPr>
          <w:noProof/>
        </w:rPr>
        <w:t xml:space="preserve"> w</w:t>
      </w:r>
      <w:r>
        <w:rPr>
          <w:noProof/>
        </w:rPr>
        <w:t> </w:t>
      </w:r>
      <w:r w:rsidRPr="002F16A1">
        <w:rPr>
          <w:noProof/>
        </w:rPr>
        <w:t>rea</w:t>
      </w:r>
      <w:r w:rsidR="00AD62E2" w:rsidRPr="002F16A1">
        <w:rPr>
          <w:noProof/>
        </w:rPr>
        <w:t>lizacji projektu, szczególnie</w:t>
      </w:r>
      <w:r w:rsidRPr="002F16A1">
        <w:rPr>
          <w:noProof/>
        </w:rPr>
        <w:t xml:space="preserve"> w</w:t>
      </w:r>
      <w:r>
        <w:rPr>
          <w:noProof/>
        </w:rPr>
        <w:t> </w:t>
      </w:r>
      <w:r w:rsidRPr="002F16A1">
        <w:rPr>
          <w:noProof/>
        </w:rPr>
        <w:t>odn</w:t>
      </w:r>
      <w:r w:rsidR="00AD62E2" w:rsidRPr="002F16A1">
        <w:rPr>
          <w:noProof/>
        </w:rPr>
        <w:t>iesieniu do procesu wydawania pozwoleń;</w:t>
      </w:r>
    </w:p>
    <w:p w:rsidR="00AD62E2" w:rsidRPr="002F16A1" w:rsidRDefault="0028384B" w:rsidP="0028384B">
      <w:pPr>
        <w:pStyle w:val="Point1"/>
        <w:rPr>
          <w:noProof/>
        </w:rPr>
      </w:pPr>
      <w:r>
        <w:rPr>
          <w:noProof/>
        </w:rPr>
        <w:t>b)</w:t>
      </w:r>
      <w:r>
        <w:rPr>
          <w:noProof/>
        </w:rPr>
        <w:tab/>
      </w:r>
      <w:r w:rsidR="00AD62E2" w:rsidRPr="002F16A1">
        <w:rPr>
          <w:noProof/>
        </w:rPr>
        <w:t>w stosownych przypadkach powodów opóźnień względem harmonogramu,</w:t>
      </w:r>
      <w:r w:rsidRPr="002F16A1">
        <w:rPr>
          <w:noProof/>
        </w:rPr>
        <w:t xml:space="preserve"> o</w:t>
      </w:r>
      <w:r>
        <w:rPr>
          <w:noProof/>
        </w:rPr>
        <w:t> </w:t>
      </w:r>
      <w:r w:rsidRPr="002F16A1">
        <w:rPr>
          <w:noProof/>
        </w:rPr>
        <w:t>któ</w:t>
      </w:r>
      <w:r w:rsidR="00AD62E2" w:rsidRPr="002F16A1">
        <w:rPr>
          <w:noProof/>
        </w:rPr>
        <w:t>rym mowa</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6</w:t>
      </w:r>
      <w:r w:rsidR="00AD62E2" w:rsidRPr="002F16A1">
        <w:rPr>
          <w:noProof/>
        </w:rPr>
        <w:t xml:space="preserve"> </w:t>
      </w:r>
      <w:r w:rsidR="00AD62E2" w:rsidRPr="0028384B">
        <w:rPr>
          <w:noProof/>
        </w:rPr>
        <w:t>ust.</w:t>
      </w:r>
      <w:r w:rsidRPr="0028384B">
        <w:rPr>
          <w:noProof/>
        </w:rPr>
        <w:t> </w:t>
      </w:r>
      <w:r w:rsidR="00AD62E2" w:rsidRPr="0028384B">
        <w:rPr>
          <w:noProof/>
        </w:rPr>
        <w:t>1</w:t>
      </w:r>
      <w:r w:rsidR="00AD62E2" w:rsidRPr="002F16A1">
        <w:rPr>
          <w:noProof/>
        </w:rPr>
        <w:t xml:space="preserve"> </w:t>
      </w:r>
      <w:r w:rsidR="00AD62E2" w:rsidRPr="0028384B">
        <w:rPr>
          <w:noProof/>
        </w:rPr>
        <w:t>lit.</w:t>
      </w:r>
      <w:r w:rsidRPr="0028384B">
        <w:rPr>
          <w:noProof/>
        </w:rPr>
        <w:t> </w:t>
      </w:r>
      <w:r w:rsidR="00AD62E2" w:rsidRPr="0028384B">
        <w:rPr>
          <w:noProof/>
        </w:rPr>
        <w:t>c)</w:t>
      </w:r>
      <w:r w:rsidR="00AD62E2" w:rsidRPr="002F16A1">
        <w:rPr>
          <w:noProof/>
        </w:rPr>
        <w:t>,</w:t>
      </w:r>
      <w:r w:rsidRPr="002F16A1">
        <w:rPr>
          <w:noProof/>
        </w:rPr>
        <w:t xml:space="preserve"> i</w:t>
      </w:r>
      <w:r>
        <w:rPr>
          <w:noProof/>
        </w:rPr>
        <w:t> </w:t>
      </w:r>
      <w:r w:rsidRPr="002F16A1">
        <w:rPr>
          <w:noProof/>
        </w:rPr>
        <w:t>pla</w:t>
      </w:r>
      <w:r w:rsidR="00AD62E2" w:rsidRPr="002F16A1">
        <w:rPr>
          <w:noProof/>
        </w:rPr>
        <w:t>nu zaradzenia tym opóźnieniom;</w:t>
      </w:r>
    </w:p>
    <w:p w:rsidR="00AD62E2" w:rsidRPr="002F16A1" w:rsidRDefault="0028384B" w:rsidP="0028384B">
      <w:pPr>
        <w:pStyle w:val="Point1"/>
        <w:rPr>
          <w:noProof/>
        </w:rPr>
      </w:pPr>
      <w:r>
        <w:rPr>
          <w:noProof/>
        </w:rPr>
        <w:t>c)</w:t>
      </w:r>
      <w:r>
        <w:rPr>
          <w:noProof/>
        </w:rPr>
        <w:tab/>
      </w:r>
      <w:r w:rsidR="00AD62E2" w:rsidRPr="002F16A1">
        <w:rPr>
          <w:noProof/>
        </w:rPr>
        <w:t>postępów</w:t>
      </w:r>
      <w:r w:rsidRPr="002F16A1">
        <w:rPr>
          <w:noProof/>
        </w:rPr>
        <w:t xml:space="preserve"> w</w:t>
      </w:r>
      <w:r>
        <w:rPr>
          <w:noProof/>
        </w:rPr>
        <w:t> </w:t>
      </w:r>
      <w:r w:rsidRPr="002F16A1">
        <w:rPr>
          <w:noProof/>
        </w:rPr>
        <w:t>fin</w:t>
      </w:r>
      <w:r w:rsidR="00AD62E2" w:rsidRPr="002F16A1">
        <w:rPr>
          <w:noProof/>
        </w:rPr>
        <w:t>ansowaniu projektu,</w:t>
      </w:r>
      <w:r w:rsidRPr="002F16A1">
        <w:rPr>
          <w:noProof/>
        </w:rPr>
        <w:t xml:space="preserve"> w</w:t>
      </w:r>
      <w:r>
        <w:rPr>
          <w:noProof/>
        </w:rPr>
        <w:t> </w:t>
      </w:r>
      <w:r w:rsidRPr="002F16A1">
        <w:rPr>
          <w:noProof/>
        </w:rPr>
        <w:t>tym</w:t>
      </w:r>
      <w:r w:rsidR="00AD62E2" w:rsidRPr="002F16A1">
        <w:rPr>
          <w:noProof/>
        </w:rPr>
        <w:t xml:space="preserve"> informacje na temat publicznego wsparcia finansowego.</w:t>
      </w:r>
    </w:p>
    <w:p w:rsidR="00AD62E2" w:rsidRPr="002F16A1" w:rsidRDefault="00733965" w:rsidP="00733965">
      <w:pPr>
        <w:pStyle w:val="ManualNumPar1"/>
        <w:rPr>
          <w:noProof/>
        </w:rPr>
      </w:pPr>
      <w:r w:rsidRPr="00733965">
        <w:t>6.</w:t>
      </w:r>
      <w:r w:rsidRPr="00733965">
        <w:tab/>
      </w:r>
      <w:r w:rsidR="00AD62E2" w:rsidRPr="002F16A1">
        <w:rPr>
          <w:noProof/>
        </w:rPr>
        <w:t>Rada może</w:t>
      </w:r>
      <w:r w:rsidR="0028384B" w:rsidRPr="002F16A1">
        <w:rPr>
          <w:noProof/>
        </w:rPr>
        <w:t xml:space="preserve"> w</w:t>
      </w:r>
      <w:r w:rsidR="0028384B">
        <w:rPr>
          <w:noProof/>
        </w:rPr>
        <w:t> </w:t>
      </w:r>
      <w:r w:rsidR="0028384B" w:rsidRPr="002F16A1">
        <w:rPr>
          <w:noProof/>
        </w:rPr>
        <w:t>dow</w:t>
      </w:r>
      <w:r w:rsidR="00AD62E2" w:rsidRPr="002F16A1">
        <w:rPr>
          <w:noProof/>
        </w:rPr>
        <w:t>olnym momencie zwrócić się do promotorów projektu</w:t>
      </w:r>
      <w:r w:rsidR="0028384B" w:rsidRPr="002F16A1">
        <w:rPr>
          <w:noProof/>
        </w:rPr>
        <w:t xml:space="preserve"> o</w:t>
      </w:r>
      <w:r w:rsidR="0028384B">
        <w:rPr>
          <w:noProof/>
        </w:rPr>
        <w:t> </w:t>
      </w:r>
      <w:r w:rsidR="0028384B" w:rsidRPr="002F16A1">
        <w:rPr>
          <w:noProof/>
        </w:rPr>
        <w:t>dos</w:t>
      </w:r>
      <w:r w:rsidR="00AD62E2" w:rsidRPr="002F16A1">
        <w:rPr>
          <w:noProof/>
        </w:rPr>
        <w:t>tarczenie dodatkowych informacji istotnych dla realizacji projektu strategicznego.</w:t>
      </w:r>
    </w:p>
    <w:p w:rsidR="00162BF5" w:rsidRPr="002F16A1" w:rsidRDefault="00733965" w:rsidP="00733965">
      <w:pPr>
        <w:pStyle w:val="ManualNumPar1"/>
        <w:rPr>
          <w:noProof/>
        </w:rPr>
      </w:pPr>
      <w:r w:rsidRPr="00733965">
        <w:t>7.</w:t>
      </w:r>
      <w:r w:rsidRPr="00733965">
        <w:tab/>
      </w:r>
      <w:r w:rsidR="006E153D" w:rsidRPr="002F16A1">
        <w:rPr>
          <w:noProof/>
        </w:rPr>
        <w:t>Promotor projektu powiadamia Komisję o:</w:t>
      </w:r>
    </w:p>
    <w:p w:rsidR="00162BF5" w:rsidRPr="002F16A1" w:rsidRDefault="0028384B" w:rsidP="0028384B">
      <w:pPr>
        <w:pStyle w:val="Point1"/>
        <w:rPr>
          <w:noProof/>
        </w:rPr>
      </w:pPr>
      <w:r>
        <w:rPr>
          <w:noProof/>
        </w:rPr>
        <w:t>a)</w:t>
      </w:r>
      <w:r>
        <w:rPr>
          <w:noProof/>
        </w:rPr>
        <w:tab/>
      </w:r>
      <w:r w:rsidR="00162BF5" w:rsidRPr="002F16A1">
        <w:rPr>
          <w:noProof/>
        </w:rPr>
        <w:t>zmianach</w:t>
      </w:r>
      <w:r w:rsidRPr="002F16A1">
        <w:rPr>
          <w:noProof/>
        </w:rPr>
        <w:t xml:space="preserve"> w</w:t>
      </w:r>
      <w:r>
        <w:rPr>
          <w:noProof/>
        </w:rPr>
        <w:t> </w:t>
      </w:r>
      <w:r w:rsidRPr="002F16A1">
        <w:rPr>
          <w:noProof/>
        </w:rPr>
        <w:t>pro</w:t>
      </w:r>
      <w:r w:rsidR="00162BF5" w:rsidRPr="002F16A1">
        <w:rPr>
          <w:noProof/>
        </w:rPr>
        <w:t>jekcie mających wpływ na spełnianie kryteriów określonych</w:t>
      </w:r>
      <w:r w:rsidRPr="002F16A1">
        <w:rPr>
          <w:noProof/>
        </w:rPr>
        <w:t xml:space="preserve"> w</w:t>
      </w:r>
      <w:r>
        <w:rPr>
          <w:noProof/>
        </w:rPr>
        <w:t> </w:t>
      </w:r>
      <w:r w:rsidRPr="0028384B">
        <w:rPr>
          <w:noProof/>
        </w:rPr>
        <w:t>art</w:t>
      </w:r>
      <w:r w:rsidR="00162BF5" w:rsidRPr="0028384B">
        <w:rPr>
          <w:noProof/>
        </w:rPr>
        <w:t>.</w:t>
      </w:r>
      <w:r w:rsidRPr="0028384B">
        <w:rPr>
          <w:noProof/>
        </w:rPr>
        <w:t> </w:t>
      </w:r>
      <w:r w:rsidR="00162BF5" w:rsidRPr="0028384B">
        <w:rPr>
          <w:noProof/>
        </w:rPr>
        <w:t>5</w:t>
      </w:r>
      <w:r w:rsidR="00162BF5" w:rsidRPr="002F16A1">
        <w:rPr>
          <w:noProof/>
        </w:rPr>
        <w:t xml:space="preserve"> </w:t>
      </w:r>
      <w:r w:rsidR="00162BF5" w:rsidRPr="0028384B">
        <w:rPr>
          <w:noProof/>
        </w:rPr>
        <w:t>ust.</w:t>
      </w:r>
      <w:r w:rsidRPr="0028384B">
        <w:rPr>
          <w:noProof/>
        </w:rPr>
        <w:t> </w:t>
      </w:r>
      <w:r w:rsidR="00162BF5" w:rsidRPr="0028384B">
        <w:rPr>
          <w:noProof/>
        </w:rPr>
        <w:t>1</w:t>
      </w:r>
      <w:r w:rsidR="00162BF5" w:rsidRPr="002F16A1">
        <w:rPr>
          <w:noProof/>
        </w:rPr>
        <w:t>;</w:t>
      </w:r>
    </w:p>
    <w:p w:rsidR="00162BF5" w:rsidRPr="002F16A1" w:rsidRDefault="0028384B" w:rsidP="0028384B">
      <w:pPr>
        <w:pStyle w:val="Point1"/>
        <w:rPr>
          <w:noProof/>
        </w:rPr>
      </w:pPr>
      <w:r>
        <w:rPr>
          <w:noProof/>
        </w:rPr>
        <w:t>b)</w:t>
      </w:r>
      <w:r>
        <w:rPr>
          <w:noProof/>
        </w:rPr>
        <w:tab/>
      </w:r>
      <w:r w:rsidR="00162BF5" w:rsidRPr="002F16A1">
        <w:rPr>
          <w:noProof/>
        </w:rPr>
        <w:t>trwałych zmianach</w:t>
      </w:r>
      <w:r w:rsidRPr="002F16A1">
        <w:rPr>
          <w:noProof/>
        </w:rPr>
        <w:t xml:space="preserve"> w</w:t>
      </w:r>
      <w:r>
        <w:rPr>
          <w:noProof/>
        </w:rPr>
        <w:t> </w:t>
      </w:r>
      <w:r w:rsidRPr="002F16A1">
        <w:rPr>
          <w:noProof/>
        </w:rPr>
        <w:t>zak</w:t>
      </w:r>
      <w:r w:rsidR="00162BF5" w:rsidRPr="002F16A1">
        <w:rPr>
          <w:noProof/>
        </w:rPr>
        <w:t>resie kontroli przedsiębiorstw zaangażowanych</w:t>
      </w:r>
      <w:r w:rsidRPr="002F16A1">
        <w:rPr>
          <w:noProof/>
        </w:rPr>
        <w:t xml:space="preserve"> w</w:t>
      </w:r>
      <w:r>
        <w:rPr>
          <w:noProof/>
        </w:rPr>
        <w:t> </w:t>
      </w:r>
      <w:r w:rsidRPr="002F16A1">
        <w:rPr>
          <w:noProof/>
        </w:rPr>
        <w:t>pro</w:t>
      </w:r>
      <w:r w:rsidR="00162BF5" w:rsidRPr="002F16A1">
        <w:rPr>
          <w:noProof/>
        </w:rPr>
        <w:t>jekt względem informacji,</w:t>
      </w:r>
      <w:r w:rsidRPr="002F16A1">
        <w:rPr>
          <w:noProof/>
        </w:rPr>
        <w:t xml:space="preserve"> o</w:t>
      </w:r>
      <w:r>
        <w:rPr>
          <w:noProof/>
        </w:rPr>
        <w:t> </w:t>
      </w:r>
      <w:r w:rsidRPr="002F16A1">
        <w:rPr>
          <w:noProof/>
        </w:rPr>
        <w:t>któ</w:t>
      </w:r>
      <w:r w:rsidR="00162BF5" w:rsidRPr="002F16A1">
        <w:rPr>
          <w:noProof/>
        </w:rPr>
        <w:t>rych mowa</w:t>
      </w:r>
      <w:r w:rsidRPr="002F16A1">
        <w:rPr>
          <w:noProof/>
        </w:rPr>
        <w:t xml:space="preserve"> w</w:t>
      </w:r>
      <w:r>
        <w:rPr>
          <w:noProof/>
        </w:rPr>
        <w:t> </w:t>
      </w:r>
      <w:r w:rsidRPr="0028384B">
        <w:rPr>
          <w:noProof/>
        </w:rPr>
        <w:t>art</w:t>
      </w:r>
      <w:r w:rsidR="00162BF5" w:rsidRPr="0028384B">
        <w:rPr>
          <w:noProof/>
        </w:rPr>
        <w:t>.</w:t>
      </w:r>
      <w:r w:rsidRPr="0028384B">
        <w:rPr>
          <w:noProof/>
        </w:rPr>
        <w:t> </w:t>
      </w:r>
      <w:r w:rsidR="00162BF5" w:rsidRPr="0028384B">
        <w:rPr>
          <w:noProof/>
        </w:rPr>
        <w:t>6</w:t>
      </w:r>
      <w:r w:rsidR="00162BF5" w:rsidRPr="002F16A1">
        <w:rPr>
          <w:noProof/>
        </w:rPr>
        <w:t xml:space="preserve"> </w:t>
      </w:r>
      <w:r w:rsidR="00162BF5" w:rsidRPr="0028384B">
        <w:rPr>
          <w:noProof/>
        </w:rPr>
        <w:t>ust.</w:t>
      </w:r>
      <w:r w:rsidRPr="0028384B">
        <w:rPr>
          <w:noProof/>
        </w:rPr>
        <w:t> </w:t>
      </w:r>
      <w:r w:rsidR="00162BF5" w:rsidRPr="0028384B">
        <w:rPr>
          <w:noProof/>
        </w:rPr>
        <w:t>1</w:t>
      </w:r>
      <w:r w:rsidR="00162BF5" w:rsidRPr="002F16A1">
        <w:rPr>
          <w:noProof/>
        </w:rPr>
        <w:t xml:space="preserve"> </w:t>
      </w:r>
      <w:r w:rsidR="00162BF5" w:rsidRPr="0028384B">
        <w:rPr>
          <w:noProof/>
        </w:rPr>
        <w:t>lit.</w:t>
      </w:r>
      <w:r w:rsidRPr="0028384B">
        <w:rPr>
          <w:noProof/>
        </w:rPr>
        <w:t> </w:t>
      </w:r>
      <w:r w:rsidR="00162BF5" w:rsidRPr="0028384B">
        <w:rPr>
          <w:noProof/>
        </w:rPr>
        <w:t>e)</w:t>
      </w:r>
      <w:r w:rsidR="00162BF5" w:rsidRPr="002F16A1">
        <w:rPr>
          <w:noProof/>
        </w:rPr>
        <w:t xml:space="preserve">. </w:t>
      </w:r>
    </w:p>
    <w:p w:rsidR="00AD62E2" w:rsidRPr="002F16A1" w:rsidRDefault="00733965" w:rsidP="00733965">
      <w:pPr>
        <w:pStyle w:val="ManualNumPar1"/>
        <w:rPr>
          <w:noProof/>
        </w:rPr>
      </w:pPr>
      <w:r w:rsidRPr="00733965">
        <w:t>8.</w:t>
      </w:r>
      <w:r w:rsidRPr="00733965">
        <w:tab/>
      </w:r>
      <w:r w:rsidR="00AD62E2" w:rsidRPr="002F16A1">
        <w:rPr>
          <w:noProof/>
        </w:rPr>
        <w:t>Komisja jest uprawniona do przyjęcia aktów wykonawczych ustanawiających wzór, który mają stosować promotorzy projektów na potrzeby składania sprawozdań,</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5</w:t>
      </w:r>
      <w:r w:rsidR="00AD62E2" w:rsidRPr="002F16A1">
        <w:rPr>
          <w:noProof/>
        </w:rPr>
        <w:t>. We wzorze tym można wskazać sposób wyrażenia informacji,</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5</w:t>
      </w:r>
      <w:r w:rsidR="00AD62E2" w:rsidRPr="002F16A1">
        <w:rPr>
          <w:noProof/>
        </w:rPr>
        <w:t>. Te akty wykonawcze przyjmuje się zgodnie</w:t>
      </w:r>
      <w:r w:rsidR="0028384B" w:rsidRPr="002F16A1">
        <w:rPr>
          <w:noProof/>
        </w:rPr>
        <w:t xml:space="preserve"> z</w:t>
      </w:r>
      <w:r w:rsidR="0028384B">
        <w:rPr>
          <w:noProof/>
        </w:rPr>
        <w:t> </w:t>
      </w:r>
      <w:r w:rsidR="0028384B" w:rsidRPr="002F16A1">
        <w:rPr>
          <w:noProof/>
        </w:rPr>
        <w:t>pro</w:t>
      </w:r>
      <w:r w:rsidR="00AD62E2" w:rsidRPr="002F16A1">
        <w:rPr>
          <w:noProof/>
        </w:rPr>
        <w:t>cedurą doradczą,</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7 </w:t>
      </w:r>
      <w:r w:rsidR="00AD62E2" w:rsidRPr="0028384B">
        <w:rPr>
          <w:noProof/>
        </w:rPr>
        <w:t>ust.</w:t>
      </w:r>
      <w:r w:rsidR="0028384B" w:rsidRPr="0028384B">
        <w:rPr>
          <w:noProof/>
        </w:rPr>
        <w:t> </w:t>
      </w:r>
      <w:r w:rsidR="00AD62E2" w:rsidRPr="0028384B">
        <w:rPr>
          <w:noProof/>
        </w:rPr>
        <w:t>2</w:t>
      </w:r>
      <w:r w:rsidR="00AD62E2" w:rsidRPr="002F16A1">
        <w:rPr>
          <w:noProof/>
        </w:rPr>
        <w:t>.</w:t>
      </w:r>
    </w:p>
    <w:p w:rsidR="00AD62E2" w:rsidRPr="002F16A1" w:rsidRDefault="00733965" w:rsidP="00733965">
      <w:pPr>
        <w:pStyle w:val="ManualNumPar1"/>
        <w:rPr>
          <w:noProof/>
        </w:rPr>
      </w:pPr>
      <w:r w:rsidRPr="00733965">
        <w:t>9.</w:t>
      </w:r>
      <w:r w:rsidRPr="00733965">
        <w:tab/>
      </w:r>
      <w:r w:rsidR="00AD62E2" w:rsidRPr="002F16A1">
        <w:rPr>
          <w:noProof/>
        </w:rPr>
        <w:t>Promotor projektu tworzy</w:t>
      </w:r>
      <w:r w:rsidR="0028384B" w:rsidRPr="002F16A1">
        <w:rPr>
          <w:noProof/>
        </w:rPr>
        <w:t xml:space="preserve"> i</w:t>
      </w:r>
      <w:r w:rsidR="0028384B">
        <w:rPr>
          <w:noProof/>
        </w:rPr>
        <w:t> </w:t>
      </w:r>
      <w:r w:rsidR="0028384B" w:rsidRPr="002F16A1">
        <w:rPr>
          <w:noProof/>
        </w:rPr>
        <w:t>reg</w:t>
      </w:r>
      <w:r w:rsidR="00AD62E2" w:rsidRPr="002F16A1">
        <w:rPr>
          <w:noProof/>
        </w:rPr>
        <w:t>ularnie aktualizuje specjalną stronę internetową projektu zawierającą istotne informacje na temat projektu strategicznego,</w:t>
      </w:r>
      <w:r w:rsidR="0028384B" w:rsidRPr="002F16A1">
        <w:rPr>
          <w:noProof/>
        </w:rPr>
        <w:t xml:space="preserve"> w</w:t>
      </w:r>
      <w:r w:rsidR="0028384B">
        <w:rPr>
          <w:noProof/>
        </w:rPr>
        <w:t> </w:t>
      </w:r>
      <w:r w:rsidR="0028384B" w:rsidRPr="002F16A1">
        <w:rPr>
          <w:noProof/>
        </w:rPr>
        <w:t>tym</w:t>
      </w:r>
      <w:r w:rsidR="00AD62E2" w:rsidRPr="002F16A1">
        <w:rPr>
          <w:noProof/>
        </w:rPr>
        <w:t xml:space="preserve"> informacje</w:t>
      </w:r>
      <w:r w:rsidR="0028384B" w:rsidRPr="002F16A1">
        <w:rPr>
          <w:noProof/>
        </w:rPr>
        <w:t xml:space="preserve"> o</w:t>
      </w:r>
      <w:r w:rsidR="0028384B">
        <w:rPr>
          <w:noProof/>
        </w:rPr>
        <w:t> </w:t>
      </w:r>
      <w:r w:rsidR="0028384B" w:rsidRPr="002F16A1">
        <w:rPr>
          <w:noProof/>
        </w:rPr>
        <w:t>sku</w:t>
      </w:r>
      <w:r w:rsidR="00AD62E2" w:rsidRPr="002F16A1">
        <w:rPr>
          <w:noProof/>
        </w:rPr>
        <w:t>tkach środowiskowych, społecznych</w:t>
      </w:r>
      <w:r w:rsidR="0028384B" w:rsidRPr="002F16A1">
        <w:rPr>
          <w:noProof/>
        </w:rPr>
        <w:t xml:space="preserve"> i</w:t>
      </w:r>
      <w:r w:rsidR="0028384B">
        <w:rPr>
          <w:noProof/>
        </w:rPr>
        <w:t> </w:t>
      </w:r>
      <w:r w:rsidR="0028384B" w:rsidRPr="002F16A1">
        <w:rPr>
          <w:noProof/>
        </w:rPr>
        <w:t>gos</w:t>
      </w:r>
      <w:r w:rsidR="00AD62E2" w:rsidRPr="002F16A1">
        <w:rPr>
          <w:noProof/>
        </w:rPr>
        <w:t>podarczych oraz korzyściach związanych</w:t>
      </w:r>
      <w:r w:rsidR="0028384B" w:rsidRPr="002F16A1">
        <w:rPr>
          <w:noProof/>
        </w:rPr>
        <w:t xml:space="preserve"> z</w:t>
      </w:r>
      <w:r w:rsidR="0028384B">
        <w:rPr>
          <w:noProof/>
        </w:rPr>
        <w:t> </w:t>
      </w:r>
      <w:r w:rsidR="0028384B" w:rsidRPr="002F16A1">
        <w:rPr>
          <w:noProof/>
        </w:rPr>
        <w:t>pro</w:t>
      </w:r>
      <w:r w:rsidR="00AD62E2" w:rsidRPr="002F16A1">
        <w:rPr>
          <w:noProof/>
        </w:rPr>
        <w:t>jektem strategicznym. Strona internetowa musi być dostępna dla ogółu społeczeństwa</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jęz</w:t>
      </w:r>
      <w:r w:rsidR="00AD62E2" w:rsidRPr="002F16A1">
        <w:rPr>
          <w:noProof/>
        </w:rPr>
        <w:t>yku lub językach, które są łatwo zrozumiałe dla lokalnej ludności.</w:t>
      </w:r>
    </w:p>
    <w:p w:rsidR="00AD62E2" w:rsidRPr="002F16A1" w:rsidRDefault="00AD62E2" w:rsidP="00AD62E2">
      <w:pPr>
        <w:pStyle w:val="Text1"/>
        <w:rPr>
          <w:noProof/>
        </w:rPr>
      </w:pPr>
    </w:p>
    <w:p w:rsidR="00AD62E2" w:rsidRPr="002F16A1" w:rsidRDefault="00AD62E2" w:rsidP="00AD62E2">
      <w:pPr>
        <w:pStyle w:val="SectionTitle"/>
        <w:rPr>
          <w:noProof/>
        </w:rPr>
      </w:pPr>
      <w:r w:rsidRPr="002F16A1">
        <w:rPr>
          <w:noProof/>
        </w:rPr>
        <w:t xml:space="preserve">Sekcja 2 </w:t>
      </w:r>
      <w:r w:rsidRPr="002F16A1">
        <w:rPr>
          <w:noProof/>
        </w:rPr>
        <w:br/>
        <w:t>Proces wydawania pozwoleń</w:t>
      </w:r>
    </w:p>
    <w:p w:rsidR="00AD62E2" w:rsidRPr="002F16A1" w:rsidRDefault="00AD62E2" w:rsidP="00AD62E2">
      <w:pPr>
        <w:pStyle w:val="Titrearticle"/>
        <w:rPr>
          <w:noProof/>
        </w:rPr>
      </w:pPr>
      <w:r w:rsidRPr="002F16A1">
        <w:rPr>
          <w:noProof/>
        </w:rPr>
        <w:t>Artykuł 8</w:t>
      </w:r>
    </w:p>
    <w:p w:rsidR="00AD62E2" w:rsidRPr="002F16A1" w:rsidRDefault="00AD62E2" w:rsidP="00AD62E2">
      <w:pPr>
        <w:pStyle w:val="NormalCentered"/>
        <w:rPr>
          <w:noProof/>
        </w:rPr>
      </w:pPr>
      <w:r w:rsidRPr="002F16A1">
        <w:rPr>
          <w:b/>
          <w:noProof/>
        </w:rPr>
        <w:t>Punkt kompleksowej obsługi</w:t>
      </w:r>
    </w:p>
    <w:p w:rsidR="00AD62E2" w:rsidRPr="002F16A1" w:rsidRDefault="00733965" w:rsidP="00733965">
      <w:pPr>
        <w:pStyle w:val="ManualNumPar1"/>
        <w:rPr>
          <w:noProof/>
        </w:rPr>
      </w:pPr>
      <w:r w:rsidRPr="00733965">
        <w:t>1.</w:t>
      </w:r>
      <w:r w:rsidRPr="00733965">
        <w:tab/>
      </w:r>
      <w:r w:rsidR="00AD62E2" w:rsidRPr="002F16A1">
        <w:rPr>
          <w:noProof/>
        </w:rPr>
        <w:t>Do dnia [</w:t>
      </w:r>
      <w:r w:rsidR="00AD62E2" w:rsidRPr="002F16A1">
        <w:rPr>
          <w:i/>
          <w:iCs/>
          <w:noProof/>
        </w:rPr>
        <w:t>Urząd Publikacji: proszę wstawić</w:t>
      </w:r>
      <w:r w:rsidR="00AD62E2" w:rsidRPr="002F16A1">
        <w:rPr>
          <w:noProof/>
        </w:rPr>
        <w:t xml:space="preserve"> </w:t>
      </w:r>
      <w:r w:rsidR="00AD62E2" w:rsidRPr="002F16A1">
        <w:rPr>
          <w:i/>
          <w:iCs/>
          <w:noProof/>
        </w:rPr>
        <w:t>datę: trzy miesiące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 państwa członkowskie wyznaczają jeden właściwy organ krajowy, który będzie odpowiadał za ułatwianie</w:t>
      </w:r>
      <w:r w:rsidR="0028384B" w:rsidRPr="002F16A1">
        <w:rPr>
          <w:noProof/>
        </w:rPr>
        <w:t xml:space="preserve"> i</w:t>
      </w:r>
      <w:r w:rsidR="0028384B">
        <w:rPr>
          <w:noProof/>
        </w:rPr>
        <w:t> </w:t>
      </w:r>
      <w:r w:rsidR="0028384B" w:rsidRPr="002F16A1">
        <w:rPr>
          <w:noProof/>
        </w:rPr>
        <w:t>koo</w:t>
      </w:r>
      <w:r w:rsidR="00AD62E2" w:rsidRPr="002F16A1">
        <w:rPr>
          <w:noProof/>
        </w:rPr>
        <w:t>rdynację procesu wydawania pozwoleń na realizację projektów dotyczących surowców krytycznych,</w:t>
      </w:r>
      <w:r w:rsidR="0028384B" w:rsidRPr="002F16A1">
        <w:rPr>
          <w:noProof/>
        </w:rPr>
        <w:t xml:space="preserve"> i</w:t>
      </w:r>
      <w:r w:rsidR="0028384B">
        <w:rPr>
          <w:noProof/>
        </w:rPr>
        <w:t> </w:t>
      </w:r>
      <w:r w:rsidR="0028384B" w:rsidRPr="002F16A1">
        <w:rPr>
          <w:noProof/>
        </w:rPr>
        <w:t>dos</w:t>
      </w:r>
      <w:r w:rsidR="00AD62E2" w:rsidRPr="002F16A1">
        <w:rPr>
          <w:noProof/>
        </w:rPr>
        <w:t>tarczają informacje na temat elementów,</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1</w:t>
      </w:r>
      <w:r w:rsidR="00AD62E2" w:rsidRPr="002F16A1">
        <w:rPr>
          <w:noProof/>
        </w:rPr>
        <w:t>7.</w:t>
      </w:r>
    </w:p>
    <w:p w:rsidR="00AD62E2" w:rsidRPr="002F16A1" w:rsidRDefault="00733965" w:rsidP="00733965">
      <w:pPr>
        <w:pStyle w:val="ManualNumPar1"/>
        <w:rPr>
          <w:noProof/>
        </w:rPr>
      </w:pPr>
      <w:r w:rsidRPr="00733965">
        <w:t>2.</w:t>
      </w:r>
      <w:r w:rsidRPr="00733965">
        <w:tab/>
      </w:r>
      <w:r w:rsidR="00AD62E2" w:rsidRPr="002F16A1">
        <w:rPr>
          <w:noProof/>
        </w:rPr>
        <w:t>Właściwy organ krajowy,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jest wyłącznym punktem kontaktowym dla promotorów projektu</w:t>
      </w:r>
      <w:r w:rsidR="0028384B" w:rsidRPr="002F16A1">
        <w:rPr>
          <w:noProof/>
        </w:rPr>
        <w:t xml:space="preserve"> w</w:t>
      </w:r>
      <w:r w:rsidR="0028384B">
        <w:rPr>
          <w:noProof/>
        </w:rPr>
        <w:t> </w:t>
      </w:r>
      <w:r w:rsidR="0028384B" w:rsidRPr="002F16A1">
        <w:rPr>
          <w:noProof/>
        </w:rPr>
        <w:t>pro</w:t>
      </w:r>
      <w:r w:rsidR="00AD62E2" w:rsidRPr="002F16A1">
        <w:rPr>
          <w:noProof/>
        </w:rPr>
        <w:t>cesie wydawania pozwoleń prowadzącym do wydania kompleksowej decyzji</w:t>
      </w:r>
      <w:r w:rsidR="0028384B" w:rsidRPr="002F16A1">
        <w:rPr>
          <w:noProof/>
        </w:rPr>
        <w:t xml:space="preserve"> w</w:t>
      </w:r>
      <w:r w:rsidR="0028384B">
        <w:rPr>
          <w:noProof/>
        </w:rPr>
        <w:t> </w:t>
      </w:r>
      <w:r w:rsidR="0028384B" w:rsidRPr="002F16A1">
        <w:rPr>
          <w:noProof/>
        </w:rPr>
        <w:t>spr</w:t>
      </w:r>
      <w:r w:rsidR="00AD62E2" w:rsidRPr="002F16A1">
        <w:rPr>
          <w:noProof/>
        </w:rPr>
        <w:t>awie danego projektu dotyczącego surowców krytycznych</w:t>
      </w:r>
      <w:r w:rsidR="0028384B" w:rsidRPr="002F16A1">
        <w:rPr>
          <w:noProof/>
        </w:rPr>
        <w:t xml:space="preserve"> i</w:t>
      </w:r>
      <w:r w:rsidR="0028384B">
        <w:rPr>
          <w:noProof/>
        </w:rPr>
        <w:t> </w:t>
      </w:r>
      <w:r w:rsidR="0028384B" w:rsidRPr="002F16A1">
        <w:rPr>
          <w:noProof/>
        </w:rPr>
        <w:t>koo</w:t>
      </w:r>
      <w:r w:rsidR="00AD62E2" w:rsidRPr="002F16A1">
        <w:rPr>
          <w:noProof/>
        </w:rPr>
        <w:t>rdynuje przedkładanie wszystkich stosownych dokumentów</w:t>
      </w:r>
      <w:r w:rsidR="0028384B" w:rsidRPr="002F16A1">
        <w:rPr>
          <w:noProof/>
        </w:rPr>
        <w:t xml:space="preserve"> i</w:t>
      </w:r>
      <w:r w:rsidR="0028384B">
        <w:rPr>
          <w:noProof/>
        </w:rPr>
        <w:t> </w:t>
      </w:r>
      <w:r w:rsidR="0028384B" w:rsidRPr="002F16A1">
        <w:rPr>
          <w:noProof/>
        </w:rPr>
        <w:t>inf</w:t>
      </w:r>
      <w:r w:rsidR="00AD62E2" w:rsidRPr="002F16A1">
        <w:rPr>
          <w:noProof/>
        </w:rPr>
        <w:t>ormacji.</w:t>
      </w:r>
    </w:p>
    <w:p w:rsidR="00AD62E2" w:rsidRPr="002F16A1" w:rsidRDefault="00733965" w:rsidP="00733965">
      <w:pPr>
        <w:pStyle w:val="ManualNumPar1"/>
        <w:rPr>
          <w:noProof/>
        </w:rPr>
      </w:pPr>
      <w:r w:rsidRPr="00733965">
        <w:t>3.</w:t>
      </w:r>
      <w:r w:rsidRPr="00733965">
        <w:tab/>
      </w:r>
      <w:r w:rsidR="00AD62E2" w:rsidRPr="002F16A1">
        <w:rPr>
          <w:noProof/>
        </w:rPr>
        <w:t>Obowiązki właściwego organu krajowego,</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lub związane</w:t>
      </w:r>
      <w:r w:rsidR="0028384B" w:rsidRPr="002F16A1">
        <w:rPr>
          <w:noProof/>
        </w:rPr>
        <w:t xml:space="preserve"> z</w:t>
      </w:r>
      <w:r w:rsidR="0028384B">
        <w:rPr>
          <w:noProof/>
        </w:rPr>
        <w:t> </w:t>
      </w:r>
      <w:r w:rsidR="0028384B" w:rsidRPr="002F16A1">
        <w:rPr>
          <w:noProof/>
        </w:rPr>
        <w:t>nim</w:t>
      </w:r>
      <w:r w:rsidR="00AD62E2" w:rsidRPr="002F16A1">
        <w:rPr>
          <w:noProof/>
        </w:rPr>
        <w:t>i zadania można delegować innemu organowi lub taki inny organ może je wykonywać</w:t>
      </w:r>
      <w:r w:rsidR="0028384B" w:rsidRPr="002F16A1">
        <w:rPr>
          <w:noProof/>
        </w:rPr>
        <w:t xml:space="preserve"> w</w:t>
      </w:r>
      <w:r w:rsidR="0028384B">
        <w:rPr>
          <w:noProof/>
        </w:rPr>
        <w:t> </w:t>
      </w:r>
      <w:r w:rsidR="0028384B" w:rsidRPr="002F16A1">
        <w:rPr>
          <w:noProof/>
        </w:rPr>
        <w:t>prz</w:t>
      </w:r>
      <w:r w:rsidR="00AD62E2" w:rsidRPr="002F16A1">
        <w:rPr>
          <w:noProof/>
        </w:rPr>
        <w:t>ypadku każdego projektu dotyczącego surowców krytycznych, pod warunkiem że:</w:t>
      </w:r>
    </w:p>
    <w:p w:rsidR="00AD62E2" w:rsidRPr="002F16A1" w:rsidRDefault="0028384B" w:rsidP="0028384B">
      <w:pPr>
        <w:pStyle w:val="Point1"/>
        <w:rPr>
          <w:noProof/>
        </w:rPr>
      </w:pPr>
      <w:r>
        <w:rPr>
          <w:noProof/>
        </w:rPr>
        <w:t>a)</w:t>
      </w:r>
      <w:r>
        <w:rPr>
          <w:noProof/>
        </w:rPr>
        <w:tab/>
      </w:r>
      <w:r w:rsidR="00AD62E2" w:rsidRPr="002F16A1">
        <w:rPr>
          <w:noProof/>
        </w:rPr>
        <w:t>właściwy organ krajowy,</w:t>
      </w:r>
      <w:r w:rsidRPr="002F16A1">
        <w:rPr>
          <w:noProof/>
        </w:rPr>
        <w:t xml:space="preserve"> o</w:t>
      </w:r>
      <w:r>
        <w:rPr>
          <w:noProof/>
        </w:rPr>
        <w:t> </w:t>
      </w:r>
      <w:r w:rsidRPr="002F16A1">
        <w:rPr>
          <w:noProof/>
        </w:rPr>
        <w:t>któ</w:t>
      </w:r>
      <w:r w:rsidR="00AD62E2" w:rsidRPr="002F16A1">
        <w:rPr>
          <w:noProof/>
        </w:rPr>
        <w:t>rym mowa</w:t>
      </w:r>
      <w:r w:rsidRPr="002F16A1">
        <w:rPr>
          <w:noProof/>
        </w:rPr>
        <w:t xml:space="preserve"> w</w:t>
      </w:r>
      <w:r>
        <w:rPr>
          <w:noProof/>
        </w:rPr>
        <w:t> </w:t>
      </w:r>
      <w:r w:rsidRPr="0028384B">
        <w:rPr>
          <w:noProof/>
        </w:rPr>
        <w:t>ust</w:t>
      </w:r>
      <w:r w:rsidR="00AD62E2" w:rsidRPr="0028384B">
        <w:rPr>
          <w:noProof/>
        </w:rPr>
        <w:t>.</w:t>
      </w:r>
      <w:r w:rsidRPr="0028384B">
        <w:rPr>
          <w:noProof/>
        </w:rPr>
        <w:t> </w:t>
      </w:r>
      <w:r w:rsidR="00AD62E2" w:rsidRPr="0028384B">
        <w:rPr>
          <w:noProof/>
        </w:rPr>
        <w:t>1</w:t>
      </w:r>
      <w:r w:rsidR="00AD62E2" w:rsidRPr="002F16A1">
        <w:rPr>
          <w:noProof/>
        </w:rPr>
        <w:t>, powiadomi promotora projektu</w:t>
      </w:r>
      <w:r w:rsidRPr="002F16A1">
        <w:rPr>
          <w:noProof/>
        </w:rPr>
        <w:t xml:space="preserve"> o</w:t>
      </w:r>
      <w:r>
        <w:rPr>
          <w:noProof/>
        </w:rPr>
        <w:t> </w:t>
      </w:r>
      <w:r w:rsidRPr="002F16A1">
        <w:rPr>
          <w:noProof/>
        </w:rPr>
        <w:t>tak</w:t>
      </w:r>
      <w:r w:rsidR="00AD62E2" w:rsidRPr="002F16A1">
        <w:rPr>
          <w:noProof/>
        </w:rPr>
        <w:t>im delegowaniu;</w:t>
      </w:r>
    </w:p>
    <w:p w:rsidR="00AD62E2" w:rsidRPr="002F16A1" w:rsidRDefault="0028384B" w:rsidP="0028384B">
      <w:pPr>
        <w:pStyle w:val="Point1"/>
        <w:rPr>
          <w:noProof/>
        </w:rPr>
      </w:pPr>
      <w:r>
        <w:rPr>
          <w:noProof/>
        </w:rPr>
        <w:t>b)</w:t>
      </w:r>
      <w:r>
        <w:rPr>
          <w:noProof/>
        </w:rPr>
        <w:tab/>
      </w:r>
      <w:r w:rsidR="00AD62E2" w:rsidRPr="002F16A1">
        <w:rPr>
          <w:noProof/>
        </w:rPr>
        <w:t>za każdy projekt dotyczący surowców krytycznych odpowiada jeden organ;</w:t>
      </w:r>
    </w:p>
    <w:p w:rsidR="00AD62E2" w:rsidRPr="002F16A1" w:rsidRDefault="0028384B" w:rsidP="0028384B">
      <w:pPr>
        <w:pStyle w:val="Point1"/>
        <w:rPr>
          <w:noProof/>
        </w:rPr>
      </w:pPr>
      <w:r>
        <w:rPr>
          <w:noProof/>
        </w:rPr>
        <w:t>c)</w:t>
      </w:r>
      <w:r>
        <w:rPr>
          <w:noProof/>
        </w:rPr>
        <w:tab/>
      </w:r>
      <w:r w:rsidR="00AD62E2" w:rsidRPr="002F16A1">
        <w:rPr>
          <w:noProof/>
        </w:rPr>
        <w:t>jeden organ koordynuje przedkładanie wszystkich stosownych dokumentów</w:t>
      </w:r>
      <w:r w:rsidRPr="002F16A1">
        <w:rPr>
          <w:noProof/>
        </w:rPr>
        <w:t xml:space="preserve"> i</w:t>
      </w:r>
      <w:r>
        <w:rPr>
          <w:noProof/>
        </w:rPr>
        <w:t> </w:t>
      </w:r>
      <w:r w:rsidRPr="002F16A1">
        <w:rPr>
          <w:noProof/>
        </w:rPr>
        <w:t>inf</w:t>
      </w:r>
      <w:r w:rsidR="00AD62E2" w:rsidRPr="002F16A1">
        <w:rPr>
          <w:noProof/>
        </w:rPr>
        <w:t>ormacji.</w:t>
      </w:r>
    </w:p>
    <w:p w:rsidR="00AD62E2" w:rsidRPr="002F16A1" w:rsidRDefault="00733965" w:rsidP="00733965">
      <w:pPr>
        <w:pStyle w:val="ManualNumPar1"/>
        <w:rPr>
          <w:noProof/>
        </w:rPr>
      </w:pPr>
      <w:r w:rsidRPr="00733965">
        <w:t>4.</w:t>
      </w:r>
      <w:r w:rsidRPr="00733965">
        <w:tab/>
      </w:r>
      <w:r w:rsidR="00AD62E2" w:rsidRPr="002F16A1">
        <w:rPr>
          <w:noProof/>
        </w:rPr>
        <w:t>Promotorzy projektów mogą przedkładać wszystkie dokumenty, które są istotne</w:t>
      </w:r>
      <w:r w:rsidR="0028384B" w:rsidRPr="002F16A1">
        <w:rPr>
          <w:noProof/>
        </w:rPr>
        <w:t xml:space="preserve"> w</w:t>
      </w:r>
      <w:r w:rsidR="0028384B">
        <w:rPr>
          <w:noProof/>
        </w:rPr>
        <w:t> </w:t>
      </w:r>
      <w:r w:rsidR="0028384B" w:rsidRPr="002F16A1">
        <w:rPr>
          <w:noProof/>
        </w:rPr>
        <w:t>pro</w:t>
      </w:r>
      <w:r w:rsidR="00AD62E2" w:rsidRPr="002F16A1">
        <w:rPr>
          <w:noProof/>
        </w:rPr>
        <w:t>cesie wydawania pozwoleń,</w:t>
      </w:r>
      <w:r w:rsidR="0028384B" w:rsidRPr="002F16A1">
        <w:rPr>
          <w:noProof/>
        </w:rPr>
        <w:t xml:space="preserve"> w</w:t>
      </w:r>
      <w:r w:rsidR="0028384B">
        <w:rPr>
          <w:noProof/>
        </w:rPr>
        <w:t> </w:t>
      </w:r>
      <w:r w:rsidR="0028384B" w:rsidRPr="002F16A1">
        <w:rPr>
          <w:noProof/>
        </w:rPr>
        <w:t>for</w:t>
      </w:r>
      <w:r w:rsidR="00AD62E2" w:rsidRPr="002F16A1">
        <w:rPr>
          <w:noProof/>
        </w:rPr>
        <w:t xml:space="preserve">mie elektronicznej. </w:t>
      </w:r>
    </w:p>
    <w:p w:rsidR="00AD62E2" w:rsidRPr="002F16A1" w:rsidRDefault="00733965" w:rsidP="00733965">
      <w:pPr>
        <w:pStyle w:val="ManualNumPar1"/>
        <w:rPr>
          <w:noProof/>
        </w:rPr>
      </w:pPr>
      <w:r w:rsidRPr="00733965">
        <w:t>5.</w:t>
      </w:r>
      <w:r w:rsidRPr="00733965">
        <w:tab/>
      </w:r>
      <w:r w:rsidR="00AD62E2" w:rsidRPr="002F16A1">
        <w:rPr>
          <w:noProof/>
        </w:rPr>
        <w:t>Właściwy organ krajowy,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uwzględnia wszelkie ważne badania przeprowadzone na potrzeby projektu dotyczącego surowców krytycznych</w:t>
      </w:r>
      <w:r w:rsidR="0028384B" w:rsidRPr="002F16A1">
        <w:rPr>
          <w:noProof/>
        </w:rPr>
        <w:t xml:space="preserve"> i</w:t>
      </w:r>
      <w:r w:rsidR="0028384B">
        <w:rPr>
          <w:noProof/>
        </w:rPr>
        <w:t> </w:t>
      </w:r>
      <w:r w:rsidR="0028384B" w:rsidRPr="002F16A1">
        <w:rPr>
          <w:noProof/>
        </w:rPr>
        <w:t>poz</w:t>
      </w:r>
      <w:r w:rsidR="00AD62E2" w:rsidRPr="002F16A1">
        <w:rPr>
          <w:noProof/>
        </w:rPr>
        <w:t>wolenia wydane na potrzeby tego projektu przed uruchomieniem względem niego procesu wydawania pozwoleń zgodnie</w:t>
      </w:r>
      <w:r w:rsidR="0028384B" w:rsidRPr="002F16A1">
        <w:rPr>
          <w:noProof/>
        </w:rPr>
        <w:t xml:space="preserve"> z</w:t>
      </w:r>
      <w:r w:rsidR="0028384B">
        <w:rPr>
          <w:noProof/>
        </w:rPr>
        <w:t> </w:t>
      </w:r>
      <w:r w:rsidR="0028384B" w:rsidRPr="002F16A1">
        <w:rPr>
          <w:noProof/>
        </w:rPr>
        <w:t>nin</w:t>
      </w:r>
      <w:r w:rsidR="00AD62E2" w:rsidRPr="002F16A1">
        <w:rPr>
          <w:noProof/>
        </w:rPr>
        <w:t>iejszym artykułem</w:t>
      </w:r>
      <w:r w:rsidR="0028384B" w:rsidRPr="002F16A1">
        <w:rPr>
          <w:noProof/>
        </w:rPr>
        <w:t xml:space="preserve"> i</w:t>
      </w:r>
      <w:r w:rsidR="0028384B">
        <w:rPr>
          <w:noProof/>
        </w:rPr>
        <w:t> </w:t>
      </w:r>
      <w:r w:rsidR="0028384B" w:rsidRPr="002F16A1">
        <w:rPr>
          <w:noProof/>
        </w:rPr>
        <w:t>nie</w:t>
      </w:r>
      <w:r w:rsidR="00AD62E2" w:rsidRPr="002F16A1">
        <w:rPr>
          <w:noProof/>
        </w:rPr>
        <w:t xml:space="preserve"> wymaga powielania badań</w:t>
      </w:r>
      <w:r w:rsidR="0028384B" w:rsidRPr="002F16A1">
        <w:rPr>
          <w:noProof/>
        </w:rPr>
        <w:t xml:space="preserve"> i</w:t>
      </w:r>
      <w:r w:rsidR="0028384B">
        <w:rPr>
          <w:noProof/>
        </w:rPr>
        <w:t> </w:t>
      </w:r>
      <w:r w:rsidR="0028384B" w:rsidRPr="002F16A1">
        <w:rPr>
          <w:noProof/>
        </w:rPr>
        <w:t>poz</w:t>
      </w:r>
      <w:r w:rsidR="00AD62E2" w:rsidRPr="002F16A1">
        <w:rPr>
          <w:noProof/>
        </w:rPr>
        <w:t>woleń,</w:t>
      </w:r>
      <w:r w:rsidR="0028384B" w:rsidRPr="002F16A1">
        <w:rPr>
          <w:noProof/>
        </w:rPr>
        <w:t xml:space="preserve"> o</w:t>
      </w:r>
      <w:r w:rsidR="0028384B">
        <w:rPr>
          <w:noProof/>
        </w:rPr>
        <w:t> </w:t>
      </w:r>
      <w:r w:rsidR="0028384B" w:rsidRPr="002F16A1">
        <w:rPr>
          <w:noProof/>
        </w:rPr>
        <w:t>ile</w:t>
      </w:r>
      <w:r w:rsidR="00AD62E2" w:rsidRPr="002F16A1">
        <w:rPr>
          <w:noProof/>
        </w:rPr>
        <w:t xml:space="preserve"> nie jest to wymagane</w:t>
      </w:r>
      <w:r w:rsidR="0028384B" w:rsidRPr="002F16A1">
        <w:rPr>
          <w:noProof/>
        </w:rPr>
        <w:t xml:space="preserve"> w</w:t>
      </w:r>
      <w:r w:rsidR="0028384B">
        <w:rPr>
          <w:noProof/>
        </w:rPr>
        <w:t> </w:t>
      </w:r>
      <w:r w:rsidR="0028384B" w:rsidRPr="002F16A1">
        <w:rPr>
          <w:noProof/>
        </w:rPr>
        <w:t>pra</w:t>
      </w:r>
      <w:r w:rsidR="00AD62E2" w:rsidRPr="002F16A1">
        <w:rPr>
          <w:noProof/>
        </w:rPr>
        <w:t>wie Unii.</w:t>
      </w:r>
    </w:p>
    <w:p w:rsidR="00AD62E2" w:rsidRPr="002F16A1" w:rsidRDefault="00733965" w:rsidP="00733965">
      <w:pPr>
        <w:pStyle w:val="ManualNumPar1"/>
        <w:rPr>
          <w:noProof/>
        </w:rPr>
      </w:pPr>
      <w:r w:rsidRPr="00733965">
        <w:t>6.</w:t>
      </w:r>
      <w:r w:rsidRPr="00733965">
        <w:tab/>
      </w:r>
      <w:r w:rsidR="00AD62E2" w:rsidRPr="002F16A1">
        <w:rPr>
          <w:noProof/>
        </w:rPr>
        <w:t>Właściwy organ krajowy,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zapewnia, aby wnioskodawcy mieli łatwy dostęp do informacji na temat procedury rozstrzygania sporów dotyczących procesu wydawania pozwoleń</w:t>
      </w:r>
      <w:r w:rsidR="0028384B" w:rsidRPr="002F16A1">
        <w:rPr>
          <w:noProof/>
        </w:rPr>
        <w:t xml:space="preserve"> i</w:t>
      </w:r>
      <w:r w:rsidR="0028384B">
        <w:rPr>
          <w:noProof/>
        </w:rPr>
        <w:t> </w:t>
      </w:r>
      <w:r w:rsidR="0028384B" w:rsidRPr="002F16A1">
        <w:rPr>
          <w:noProof/>
        </w:rPr>
        <w:t>sam</w:t>
      </w:r>
      <w:r w:rsidR="00AD62E2" w:rsidRPr="002F16A1">
        <w:rPr>
          <w:noProof/>
        </w:rPr>
        <w:t>ego wydawania pozwoleń na projekty dotyczące surowców krytycznych oraz do prostej procedury</w:t>
      </w:r>
      <w:r w:rsidR="0028384B" w:rsidRPr="002F16A1">
        <w:rPr>
          <w:noProof/>
        </w:rPr>
        <w:t xml:space="preserve"> w</w:t>
      </w:r>
      <w:r w:rsidR="0028384B">
        <w:rPr>
          <w:noProof/>
        </w:rPr>
        <w:t> </w:t>
      </w:r>
      <w:r w:rsidR="0028384B" w:rsidRPr="002F16A1">
        <w:rPr>
          <w:noProof/>
        </w:rPr>
        <w:t>tym</w:t>
      </w:r>
      <w:r w:rsidR="00AD62E2" w:rsidRPr="002F16A1">
        <w:rPr>
          <w:noProof/>
        </w:rPr>
        <w:t xml:space="preserve"> zakresie,</w:t>
      </w:r>
      <w:r w:rsidR="0028384B" w:rsidRPr="002F16A1">
        <w:rPr>
          <w:noProof/>
        </w:rPr>
        <w:t xml:space="preserve"> w</w:t>
      </w:r>
      <w:r w:rsidR="0028384B">
        <w:rPr>
          <w:noProof/>
        </w:rPr>
        <w:t> </w:t>
      </w:r>
      <w:r w:rsidR="0028384B" w:rsidRPr="002F16A1">
        <w:rPr>
          <w:noProof/>
        </w:rPr>
        <w:t>tym</w:t>
      </w:r>
      <w:r w:rsidR="00AD62E2" w:rsidRPr="002F16A1">
        <w:rPr>
          <w:noProof/>
        </w:rPr>
        <w:t>,</w:t>
      </w:r>
      <w:r w:rsidR="0028384B" w:rsidRPr="002F16A1">
        <w:rPr>
          <w:noProof/>
        </w:rPr>
        <w:t xml:space="preserve"> w</w:t>
      </w:r>
      <w:r w:rsidR="0028384B">
        <w:rPr>
          <w:noProof/>
        </w:rPr>
        <w:t> </w:t>
      </w:r>
      <w:r w:rsidR="0028384B" w:rsidRPr="002F16A1">
        <w:rPr>
          <w:noProof/>
        </w:rPr>
        <w:t>sto</w:t>
      </w:r>
      <w:r w:rsidR="00AD62E2" w:rsidRPr="002F16A1">
        <w:rPr>
          <w:noProof/>
        </w:rPr>
        <w:t>sownych przypadkach, alternatywnych mechanizmów rozstrzygania sporów.</w:t>
      </w:r>
    </w:p>
    <w:p w:rsidR="00AD62E2" w:rsidRPr="002F16A1" w:rsidRDefault="00733965" w:rsidP="00733965">
      <w:pPr>
        <w:pStyle w:val="ManualNumPar1"/>
        <w:rPr>
          <w:noProof/>
        </w:rPr>
      </w:pPr>
      <w:r w:rsidRPr="00733965">
        <w:t>7.</w:t>
      </w:r>
      <w:r w:rsidRPr="00733965">
        <w:tab/>
      </w:r>
      <w:r w:rsidR="00AD62E2" w:rsidRPr="002F16A1">
        <w:rPr>
          <w:noProof/>
        </w:rPr>
        <w:t>Państwa członkowskie zapewniają, aby właściwy organ krajowy,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dysponował wystarczającą liczbą wykwalifikowanych pracowników</w:t>
      </w:r>
      <w:r w:rsidR="0028384B" w:rsidRPr="002F16A1">
        <w:rPr>
          <w:noProof/>
        </w:rPr>
        <w:t xml:space="preserve"> i</w:t>
      </w:r>
      <w:r w:rsidR="0028384B">
        <w:rPr>
          <w:noProof/>
        </w:rPr>
        <w:t> </w:t>
      </w:r>
      <w:r w:rsidR="0028384B" w:rsidRPr="002F16A1">
        <w:rPr>
          <w:noProof/>
        </w:rPr>
        <w:t>wys</w:t>
      </w:r>
      <w:r w:rsidR="00AD62E2" w:rsidRPr="002F16A1">
        <w:rPr>
          <w:noProof/>
        </w:rPr>
        <w:t>tarczającymi zasobami finansowymi, technicznymi</w:t>
      </w:r>
      <w:r w:rsidR="0028384B" w:rsidRPr="002F16A1">
        <w:rPr>
          <w:noProof/>
        </w:rPr>
        <w:t xml:space="preserve"> i</w:t>
      </w:r>
      <w:r w:rsidR="0028384B">
        <w:rPr>
          <w:noProof/>
        </w:rPr>
        <w:t> </w:t>
      </w:r>
      <w:r w:rsidR="0028384B" w:rsidRPr="002F16A1">
        <w:rPr>
          <w:noProof/>
        </w:rPr>
        <w:t>tec</w:t>
      </w:r>
      <w:r w:rsidR="00AD62E2" w:rsidRPr="002F16A1">
        <w:rPr>
          <w:noProof/>
        </w:rPr>
        <w:t>hnologicznymi,</w:t>
      </w:r>
      <w:r w:rsidR="0028384B" w:rsidRPr="002F16A1">
        <w:rPr>
          <w:noProof/>
        </w:rPr>
        <w:t xml:space="preserve"> w</w:t>
      </w:r>
      <w:r w:rsidR="0028384B">
        <w:rPr>
          <w:noProof/>
        </w:rPr>
        <w:t> </w:t>
      </w:r>
      <w:r w:rsidR="0028384B" w:rsidRPr="002F16A1">
        <w:rPr>
          <w:noProof/>
        </w:rPr>
        <w:t>tym</w:t>
      </w:r>
      <w:r w:rsidR="00AD62E2" w:rsidRPr="002F16A1">
        <w:rPr>
          <w:noProof/>
        </w:rPr>
        <w:t xml:space="preserve"> na potrzeby podnoszenia</w:t>
      </w:r>
      <w:r w:rsidR="0028384B" w:rsidRPr="002F16A1">
        <w:rPr>
          <w:noProof/>
        </w:rPr>
        <w:t xml:space="preserve"> i</w:t>
      </w:r>
      <w:r w:rsidR="0028384B">
        <w:rPr>
          <w:noProof/>
        </w:rPr>
        <w:t> </w:t>
      </w:r>
      <w:r w:rsidR="0028384B" w:rsidRPr="002F16A1">
        <w:rPr>
          <w:noProof/>
        </w:rPr>
        <w:t>zmi</w:t>
      </w:r>
      <w:r w:rsidR="00AD62E2" w:rsidRPr="002F16A1">
        <w:rPr>
          <w:noProof/>
        </w:rPr>
        <w:t>any kwalifikacji, aby mógł skutecznie wykonywać zadania powierzone mu na podstawie niniejszego rozporządzenia.</w:t>
      </w:r>
    </w:p>
    <w:p w:rsidR="00AD62E2" w:rsidRPr="002F16A1" w:rsidRDefault="00733965" w:rsidP="00733965">
      <w:pPr>
        <w:pStyle w:val="ManualNumPar1"/>
        <w:rPr>
          <w:noProof/>
        </w:rPr>
      </w:pPr>
      <w:r w:rsidRPr="00733965">
        <w:t>8.</w:t>
      </w:r>
      <w:r w:rsidRPr="00733965">
        <w:tab/>
      </w:r>
      <w:r w:rsidR="00AD62E2" w:rsidRPr="002F16A1">
        <w:rPr>
          <w:noProof/>
        </w:rPr>
        <w:t>Rada:</w:t>
      </w:r>
    </w:p>
    <w:p w:rsidR="00AD62E2" w:rsidRPr="002F16A1" w:rsidRDefault="0028384B" w:rsidP="0028384B">
      <w:pPr>
        <w:pStyle w:val="Point1"/>
        <w:rPr>
          <w:noProof/>
        </w:rPr>
      </w:pPr>
      <w:r>
        <w:rPr>
          <w:noProof/>
        </w:rPr>
        <w:t>a)</w:t>
      </w:r>
      <w:r>
        <w:rPr>
          <w:noProof/>
        </w:rPr>
        <w:tab/>
      </w:r>
      <w:r w:rsidR="00AD62E2" w:rsidRPr="002F16A1">
        <w:rPr>
          <w:noProof/>
        </w:rPr>
        <w:t>dokonuje okresowego omówienia wdrażania przepisów niniejszej sekcji</w:t>
      </w:r>
      <w:r w:rsidRPr="002F16A1">
        <w:rPr>
          <w:noProof/>
        </w:rPr>
        <w:t xml:space="preserve"> i</w:t>
      </w:r>
      <w:r>
        <w:rPr>
          <w:noProof/>
        </w:rPr>
        <w:t> </w:t>
      </w:r>
      <w:r w:rsidRPr="002F16A1">
        <w:rPr>
          <w:noProof/>
        </w:rPr>
        <w:t>dzi</w:t>
      </w:r>
      <w:r w:rsidR="00AD62E2" w:rsidRPr="002F16A1">
        <w:rPr>
          <w:noProof/>
        </w:rPr>
        <w:t xml:space="preserve">eli się najlepszymi praktykami służącymi przyspieszeniu procesu wydawania pozwoleń na projekty dotyczące surowców krytycznych, jak również poprawie ich publicznej akceptacji; </w:t>
      </w:r>
    </w:p>
    <w:p w:rsidR="00AD62E2" w:rsidRPr="002F16A1" w:rsidRDefault="0028384B" w:rsidP="0028384B">
      <w:pPr>
        <w:pStyle w:val="Point1"/>
        <w:rPr>
          <w:noProof/>
        </w:rPr>
      </w:pPr>
      <w:r>
        <w:rPr>
          <w:noProof/>
        </w:rPr>
        <w:t>b)</w:t>
      </w:r>
      <w:r>
        <w:rPr>
          <w:noProof/>
        </w:rPr>
        <w:tab/>
      </w:r>
      <w:r w:rsidR="00AD62E2" w:rsidRPr="002F16A1">
        <w:rPr>
          <w:noProof/>
        </w:rPr>
        <w:t>w stosownych przypadkach proponuje Komisji wytyczne dotyczące wdrażania przepisów niniejszej sekcji do uwzględnienia przez właściwe organy krajowe,</w:t>
      </w:r>
      <w:r w:rsidRPr="002F16A1">
        <w:rPr>
          <w:noProof/>
        </w:rPr>
        <w:t xml:space="preserve"> o</w:t>
      </w:r>
      <w:r>
        <w:rPr>
          <w:noProof/>
        </w:rPr>
        <w:t> </w:t>
      </w:r>
      <w:r w:rsidRPr="002F16A1">
        <w:rPr>
          <w:noProof/>
        </w:rPr>
        <w:t>któ</w:t>
      </w:r>
      <w:r w:rsidR="00AD62E2" w:rsidRPr="002F16A1">
        <w:rPr>
          <w:noProof/>
        </w:rPr>
        <w:t>rych mowa</w:t>
      </w:r>
      <w:r w:rsidRPr="002F16A1">
        <w:rPr>
          <w:noProof/>
        </w:rPr>
        <w:t xml:space="preserve"> w</w:t>
      </w:r>
      <w:r>
        <w:rPr>
          <w:noProof/>
        </w:rPr>
        <w:t> </w:t>
      </w:r>
      <w:r w:rsidRPr="0028384B">
        <w:rPr>
          <w:noProof/>
        </w:rPr>
        <w:t>ust</w:t>
      </w:r>
      <w:r w:rsidR="00AD62E2" w:rsidRPr="0028384B">
        <w:rPr>
          <w:noProof/>
        </w:rPr>
        <w:t>.</w:t>
      </w:r>
      <w:r w:rsidRPr="0028384B">
        <w:rPr>
          <w:noProof/>
        </w:rPr>
        <w:t> </w:t>
      </w:r>
      <w:r w:rsidR="00AD62E2" w:rsidRPr="0028384B">
        <w:rPr>
          <w:noProof/>
        </w:rPr>
        <w:t>1</w:t>
      </w:r>
      <w:r w:rsidR="00AD62E2" w:rsidRPr="002F16A1">
        <w:rPr>
          <w:noProof/>
        </w:rPr>
        <w:t>.</w:t>
      </w:r>
    </w:p>
    <w:p w:rsidR="00AD62E2" w:rsidRPr="002F16A1" w:rsidRDefault="00AD62E2" w:rsidP="00AD62E2">
      <w:pPr>
        <w:pStyle w:val="Titrearticle"/>
        <w:rPr>
          <w:noProof/>
        </w:rPr>
      </w:pPr>
      <w:r w:rsidRPr="002F16A1">
        <w:rPr>
          <w:noProof/>
        </w:rPr>
        <w:t>Artykuł 9</w:t>
      </w:r>
    </w:p>
    <w:p w:rsidR="00AD62E2" w:rsidRPr="002F16A1" w:rsidRDefault="00AD62E2" w:rsidP="00AD62E2">
      <w:pPr>
        <w:pStyle w:val="NormalCentered"/>
        <w:rPr>
          <w:noProof/>
        </w:rPr>
      </w:pPr>
      <w:r w:rsidRPr="002F16A1">
        <w:rPr>
          <w:b/>
          <w:noProof/>
        </w:rPr>
        <w:t>Status priorytetowy projektów strategicznych</w:t>
      </w:r>
    </w:p>
    <w:p w:rsidR="00AD62E2" w:rsidRPr="002F16A1" w:rsidRDefault="00733965" w:rsidP="00733965">
      <w:pPr>
        <w:pStyle w:val="ManualNumPar1"/>
        <w:rPr>
          <w:noProof/>
        </w:rPr>
      </w:pPr>
      <w:r w:rsidRPr="00733965">
        <w:t>1.</w:t>
      </w:r>
      <w:r w:rsidRPr="00733965">
        <w:tab/>
      </w:r>
      <w:r w:rsidR="00AD62E2" w:rsidRPr="002F16A1">
        <w:rPr>
          <w:noProof/>
        </w:rPr>
        <w:t>W celu zapewnienia skutecznej administracyjnej realizacji procesów wydawania pozwoleń związanych</w:t>
      </w:r>
      <w:r w:rsidR="0028384B" w:rsidRPr="002F16A1">
        <w:rPr>
          <w:noProof/>
        </w:rPr>
        <w:t xml:space="preserve"> z</w:t>
      </w:r>
      <w:r w:rsidR="0028384B">
        <w:rPr>
          <w:noProof/>
        </w:rPr>
        <w:t> </w:t>
      </w:r>
      <w:r w:rsidR="0028384B" w:rsidRPr="002F16A1">
        <w:rPr>
          <w:noProof/>
        </w:rPr>
        <w:t>pro</w:t>
      </w:r>
      <w:r w:rsidR="00AD62E2" w:rsidRPr="002F16A1">
        <w:rPr>
          <w:noProof/>
        </w:rPr>
        <w:t>jektami strategicznymi realizowanymi</w:t>
      </w:r>
      <w:r w:rsidR="0028384B" w:rsidRPr="002F16A1">
        <w:rPr>
          <w:noProof/>
        </w:rPr>
        <w:t xml:space="preserve"> w</w:t>
      </w:r>
      <w:r w:rsidR="0028384B">
        <w:rPr>
          <w:noProof/>
        </w:rPr>
        <w:t> </w:t>
      </w:r>
      <w:r w:rsidR="0028384B" w:rsidRPr="002F16A1">
        <w:rPr>
          <w:noProof/>
        </w:rPr>
        <w:t>Uni</w:t>
      </w:r>
      <w:r w:rsidR="00AD62E2" w:rsidRPr="002F16A1">
        <w:rPr>
          <w:noProof/>
        </w:rPr>
        <w:t>i promotorzy projektów</w:t>
      </w:r>
      <w:r w:rsidR="0028384B" w:rsidRPr="002F16A1">
        <w:rPr>
          <w:noProof/>
        </w:rPr>
        <w:t xml:space="preserve"> i</w:t>
      </w:r>
      <w:r w:rsidR="0028384B">
        <w:rPr>
          <w:noProof/>
        </w:rPr>
        <w:t> </w:t>
      </w:r>
      <w:r w:rsidR="0028384B" w:rsidRPr="002F16A1">
        <w:rPr>
          <w:noProof/>
        </w:rPr>
        <w:t>wsz</w:t>
      </w:r>
      <w:r w:rsidR="00AD62E2" w:rsidRPr="002F16A1">
        <w:rPr>
          <w:noProof/>
        </w:rPr>
        <w:t>ystkie zainteresowane organy zapewniają jak najszybszą realizację tych procesów zgodnie</w:t>
      </w:r>
      <w:r w:rsidR="0028384B" w:rsidRPr="002F16A1">
        <w:rPr>
          <w:noProof/>
        </w:rPr>
        <w:t xml:space="preserve"> z</w:t>
      </w:r>
      <w:r w:rsidR="0028384B">
        <w:rPr>
          <w:noProof/>
        </w:rPr>
        <w:t> </w:t>
      </w:r>
      <w:r w:rsidR="0028384B" w:rsidRPr="002F16A1">
        <w:rPr>
          <w:noProof/>
        </w:rPr>
        <w:t>pra</w:t>
      </w:r>
      <w:r w:rsidR="00AD62E2" w:rsidRPr="002F16A1">
        <w:rPr>
          <w:noProof/>
        </w:rPr>
        <w:t>wem Unii</w:t>
      </w:r>
      <w:r w:rsidR="0028384B" w:rsidRPr="002F16A1">
        <w:rPr>
          <w:noProof/>
        </w:rPr>
        <w:t xml:space="preserve"> i</w:t>
      </w:r>
      <w:r w:rsidR="0028384B">
        <w:rPr>
          <w:noProof/>
        </w:rPr>
        <w:t> </w:t>
      </w:r>
      <w:r w:rsidR="0028384B" w:rsidRPr="002F16A1">
        <w:rPr>
          <w:noProof/>
        </w:rPr>
        <w:t>pra</w:t>
      </w:r>
      <w:r w:rsidR="00AD62E2" w:rsidRPr="002F16A1">
        <w:rPr>
          <w:noProof/>
        </w:rPr>
        <w:t>wem krajowym.</w:t>
      </w:r>
    </w:p>
    <w:p w:rsidR="00AD62E2" w:rsidRPr="002F16A1" w:rsidRDefault="00733965" w:rsidP="00733965">
      <w:pPr>
        <w:pStyle w:val="ManualNumPar1"/>
        <w:rPr>
          <w:noProof/>
        </w:rPr>
      </w:pPr>
      <w:r w:rsidRPr="00733965">
        <w:t>2.</w:t>
      </w:r>
      <w:r w:rsidRPr="00733965">
        <w:tab/>
      </w:r>
      <w:r w:rsidR="00AD62E2" w:rsidRPr="002F16A1">
        <w:rPr>
          <w:noProof/>
        </w:rPr>
        <w:t>Bez uszczerbku dla obowiązków przewidzianych</w:t>
      </w:r>
      <w:r w:rsidR="0028384B" w:rsidRPr="002F16A1">
        <w:rPr>
          <w:noProof/>
        </w:rPr>
        <w:t xml:space="preserve"> w</w:t>
      </w:r>
      <w:r w:rsidR="0028384B">
        <w:rPr>
          <w:noProof/>
        </w:rPr>
        <w:t> </w:t>
      </w:r>
      <w:r w:rsidR="0028384B" w:rsidRPr="002F16A1">
        <w:rPr>
          <w:noProof/>
        </w:rPr>
        <w:t>pra</w:t>
      </w:r>
      <w:r w:rsidR="00AD62E2" w:rsidRPr="002F16A1">
        <w:rPr>
          <w:noProof/>
        </w:rPr>
        <w:t>wie Unii projektom strategicznym realizowanym</w:t>
      </w:r>
      <w:r w:rsidR="0028384B" w:rsidRPr="002F16A1">
        <w:rPr>
          <w:noProof/>
        </w:rPr>
        <w:t xml:space="preserve"> w</w:t>
      </w:r>
      <w:r w:rsidR="0028384B">
        <w:rPr>
          <w:noProof/>
        </w:rPr>
        <w:t> </w:t>
      </w:r>
      <w:r w:rsidR="0028384B" w:rsidRPr="002F16A1">
        <w:rPr>
          <w:noProof/>
        </w:rPr>
        <w:t>Uni</w:t>
      </w:r>
      <w:r w:rsidR="00AD62E2" w:rsidRPr="002F16A1">
        <w:rPr>
          <w:noProof/>
        </w:rPr>
        <w:t>i przyznaje się status projektów</w:t>
      </w:r>
      <w:r w:rsidR="0028384B" w:rsidRPr="002F16A1">
        <w:rPr>
          <w:noProof/>
        </w:rPr>
        <w:t xml:space="preserve"> o</w:t>
      </w:r>
      <w:r w:rsidR="0028384B">
        <w:rPr>
          <w:noProof/>
        </w:rPr>
        <w:t> </w:t>
      </w:r>
      <w:r w:rsidR="0028384B" w:rsidRPr="002F16A1">
        <w:rPr>
          <w:noProof/>
        </w:rPr>
        <w:t>naj</w:t>
      </w:r>
      <w:r w:rsidR="00AD62E2" w:rsidRPr="002F16A1">
        <w:rPr>
          <w:noProof/>
        </w:rPr>
        <w:t>wyższym możliwym znaczeniu krajowym, jeżeli istnieje on</w:t>
      </w:r>
      <w:r w:rsidR="0028384B" w:rsidRPr="002F16A1">
        <w:rPr>
          <w:noProof/>
        </w:rPr>
        <w:t xml:space="preserve"> w</w:t>
      </w:r>
      <w:r w:rsidR="0028384B">
        <w:rPr>
          <w:noProof/>
        </w:rPr>
        <w:t> </w:t>
      </w:r>
      <w:r w:rsidR="0028384B" w:rsidRPr="002F16A1">
        <w:rPr>
          <w:noProof/>
        </w:rPr>
        <w:t>pra</w:t>
      </w:r>
      <w:r w:rsidR="00AD62E2" w:rsidRPr="002F16A1">
        <w:rPr>
          <w:noProof/>
        </w:rPr>
        <w:t>wie krajowym,</w:t>
      </w:r>
      <w:r w:rsidR="0028384B" w:rsidRPr="002F16A1">
        <w:rPr>
          <w:noProof/>
        </w:rPr>
        <w:t xml:space="preserve"> i</w:t>
      </w:r>
      <w:r w:rsidR="0028384B">
        <w:rPr>
          <w:noProof/>
        </w:rPr>
        <w:t> </w:t>
      </w:r>
      <w:r w:rsidR="0028384B" w:rsidRPr="002F16A1">
        <w:rPr>
          <w:noProof/>
        </w:rPr>
        <w:t>odp</w:t>
      </w:r>
      <w:r w:rsidR="00AD62E2" w:rsidRPr="002F16A1">
        <w:rPr>
          <w:noProof/>
        </w:rPr>
        <w:t>owiednio rozpatruje się je podczas procesu wydawania pozwoleń.</w:t>
      </w:r>
    </w:p>
    <w:p w:rsidR="00AD62E2" w:rsidRPr="002F16A1" w:rsidRDefault="00733965" w:rsidP="00733965">
      <w:pPr>
        <w:pStyle w:val="ManualNumPar1"/>
        <w:rPr>
          <w:noProof/>
        </w:rPr>
      </w:pPr>
      <w:r w:rsidRPr="00733965">
        <w:t>3.</w:t>
      </w:r>
      <w:r w:rsidRPr="00733965">
        <w:tab/>
      </w:r>
      <w:r w:rsidR="00AD62E2" w:rsidRPr="002F16A1">
        <w:rPr>
          <w:noProof/>
        </w:rPr>
        <w:t>Wszystkie procedury rozstrzygania sporów, postępowania sądowe, odwołania</w:t>
      </w:r>
      <w:r w:rsidR="0028384B" w:rsidRPr="002F16A1">
        <w:rPr>
          <w:noProof/>
        </w:rPr>
        <w:t xml:space="preserve"> i</w:t>
      </w:r>
      <w:r w:rsidR="0028384B">
        <w:rPr>
          <w:noProof/>
        </w:rPr>
        <w:t> </w:t>
      </w:r>
      <w:r w:rsidR="0028384B" w:rsidRPr="002F16A1">
        <w:rPr>
          <w:noProof/>
        </w:rPr>
        <w:t>śro</w:t>
      </w:r>
      <w:r w:rsidR="00AD62E2" w:rsidRPr="002F16A1">
        <w:rPr>
          <w:noProof/>
        </w:rPr>
        <w:t>dki zaskarżenia związane</w:t>
      </w:r>
      <w:r w:rsidR="0028384B" w:rsidRPr="002F16A1">
        <w:rPr>
          <w:noProof/>
        </w:rPr>
        <w:t xml:space="preserve"> z</w:t>
      </w:r>
      <w:r w:rsidR="0028384B">
        <w:rPr>
          <w:noProof/>
        </w:rPr>
        <w:t> </w:t>
      </w:r>
      <w:r w:rsidR="0028384B" w:rsidRPr="002F16A1">
        <w:rPr>
          <w:noProof/>
        </w:rPr>
        <w:t>pro</w:t>
      </w:r>
      <w:r w:rsidR="00AD62E2" w:rsidRPr="002F16A1">
        <w:rPr>
          <w:noProof/>
        </w:rPr>
        <w:t>cesem wydawania pozwoleń</w:t>
      </w:r>
      <w:r w:rsidR="0028384B" w:rsidRPr="002F16A1">
        <w:rPr>
          <w:noProof/>
        </w:rPr>
        <w:t xml:space="preserve"> i</w:t>
      </w:r>
      <w:r w:rsidR="0028384B">
        <w:rPr>
          <w:noProof/>
        </w:rPr>
        <w:t> </w:t>
      </w:r>
      <w:r w:rsidR="0028384B" w:rsidRPr="002F16A1">
        <w:rPr>
          <w:noProof/>
        </w:rPr>
        <w:t>z</w:t>
      </w:r>
      <w:r w:rsidR="0028384B">
        <w:rPr>
          <w:noProof/>
        </w:rPr>
        <w:t> </w:t>
      </w:r>
      <w:r w:rsidR="0028384B" w:rsidRPr="002F16A1">
        <w:rPr>
          <w:noProof/>
        </w:rPr>
        <w:t>wyd</w:t>
      </w:r>
      <w:r w:rsidR="00AD62E2" w:rsidRPr="002F16A1">
        <w:rPr>
          <w:noProof/>
        </w:rPr>
        <w:t>awaniem pozwoleń na realizowanie projektów strategicznych</w:t>
      </w:r>
      <w:r w:rsidR="0028384B" w:rsidRPr="002F16A1">
        <w:rPr>
          <w:noProof/>
        </w:rPr>
        <w:t xml:space="preserve"> w</w:t>
      </w:r>
      <w:r w:rsidR="0028384B">
        <w:rPr>
          <w:noProof/>
        </w:rPr>
        <w:t> </w:t>
      </w:r>
      <w:r w:rsidR="0028384B" w:rsidRPr="002F16A1">
        <w:rPr>
          <w:noProof/>
        </w:rPr>
        <w:t>Uni</w:t>
      </w:r>
      <w:r w:rsidR="00AD62E2" w:rsidRPr="002F16A1">
        <w:rPr>
          <w:noProof/>
        </w:rPr>
        <w:t>i odbywające się przed jakimikolwiek krajowymi sądami, trybunałami, panelami,</w:t>
      </w:r>
      <w:r w:rsidR="0028384B" w:rsidRPr="002F16A1">
        <w:rPr>
          <w:noProof/>
        </w:rPr>
        <w:t xml:space="preserve"> w</w:t>
      </w:r>
      <w:r w:rsidR="0028384B">
        <w:rPr>
          <w:noProof/>
        </w:rPr>
        <w:t> </w:t>
      </w:r>
      <w:r w:rsidR="0028384B" w:rsidRPr="002F16A1">
        <w:rPr>
          <w:noProof/>
        </w:rPr>
        <w:t>tym</w:t>
      </w:r>
      <w:r w:rsidR="00AD62E2" w:rsidRPr="002F16A1">
        <w:rPr>
          <w:noProof/>
        </w:rPr>
        <w:t xml:space="preserve"> mediację lub arbitraż, jeżeli procedury te funkcjonują</w:t>
      </w:r>
      <w:r w:rsidR="0028384B" w:rsidRPr="002F16A1">
        <w:rPr>
          <w:noProof/>
        </w:rPr>
        <w:t xml:space="preserve"> w</w:t>
      </w:r>
      <w:r w:rsidR="0028384B">
        <w:rPr>
          <w:noProof/>
        </w:rPr>
        <w:t> </w:t>
      </w:r>
      <w:r w:rsidR="0028384B" w:rsidRPr="002F16A1">
        <w:rPr>
          <w:noProof/>
        </w:rPr>
        <w:t>pra</w:t>
      </w:r>
      <w:r w:rsidR="00AD62E2" w:rsidRPr="002F16A1">
        <w:rPr>
          <w:noProof/>
        </w:rPr>
        <w:t>wie krajowym, traktuje się jako pilne,</w:t>
      </w:r>
      <w:r w:rsidR="0028384B" w:rsidRPr="002F16A1">
        <w:rPr>
          <w:noProof/>
        </w:rPr>
        <w:t xml:space="preserve"> o</w:t>
      </w:r>
      <w:r w:rsidR="0028384B">
        <w:rPr>
          <w:noProof/>
        </w:rPr>
        <w:t> </w:t>
      </w:r>
      <w:r w:rsidR="0028384B" w:rsidRPr="002F16A1">
        <w:rPr>
          <w:noProof/>
        </w:rPr>
        <w:t>ile w</w:t>
      </w:r>
      <w:r w:rsidR="0028384B">
        <w:rPr>
          <w:noProof/>
        </w:rPr>
        <w:t> </w:t>
      </w:r>
      <w:r w:rsidR="0028384B" w:rsidRPr="002F16A1">
        <w:rPr>
          <w:noProof/>
        </w:rPr>
        <w:t>pra</w:t>
      </w:r>
      <w:r w:rsidR="00AD62E2" w:rsidRPr="002F16A1">
        <w:rPr>
          <w:noProof/>
        </w:rPr>
        <w:t>wie krajowym przewidziano taki tryb pilny</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sto</w:t>
      </w:r>
      <w:r w:rsidR="00AD62E2" w:rsidRPr="002F16A1">
        <w:rPr>
          <w:noProof/>
        </w:rPr>
        <w:t>pniu,</w:t>
      </w:r>
      <w:r w:rsidR="0028384B" w:rsidRPr="002F16A1">
        <w:rPr>
          <w:noProof/>
        </w:rPr>
        <w:t xml:space="preserve"> w</w:t>
      </w:r>
      <w:r w:rsidR="0028384B">
        <w:rPr>
          <w:noProof/>
        </w:rPr>
        <w:t> </w:t>
      </w:r>
      <w:r w:rsidR="0028384B" w:rsidRPr="002F16A1">
        <w:rPr>
          <w:noProof/>
        </w:rPr>
        <w:t>jak</w:t>
      </w:r>
      <w:r w:rsidR="00AD62E2" w:rsidRPr="002F16A1">
        <w:rPr>
          <w:noProof/>
        </w:rPr>
        <w:t>im go przewidziano,</w:t>
      </w:r>
      <w:r w:rsidR="0028384B" w:rsidRPr="002F16A1">
        <w:rPr>
          <w:noProof/>
        </w:rPr>
        <w:t xml:space="preserve"> i</w:t>
      </w:r>
      <w:r w:rsidR="0028384B">
        <w:rPr>
          <w:noProof/>
        </w:rPr>
        <w:t> </w:t>
      </w:r>
      <w:r w:rsidR="0028384B" w:rsidRPr="002F16A1">
        <w:rPr>
          <w:noProof/>
        </w:rPr>
        <w:t>pod</w:t>
      </w:r>
      <w:r w:rsidR="00AD62E2" w:rsidRPr="002F16A1">
        <w:rPr>
          <w:noProof/>
        </w:rPr>
        <w:t xml:space="preserve"> warunkiem przestrzegania mającego zwykle zastosowanie prawa do obrony przysługującego osobom fizycznym lub społecznościom lokalnym</w:t>
      </w:r>
      <w:r w:rsidR="0028384B" w:rsidRPr="002F16A1">
        <w:rPr>
          <w:noProof/>
        </w:rPr>
        <w:t>. W</w:t>
      </w:r>
      <w:r w:rsidR="0028384B">
        <w:rPr>
          <w:noProof/>
        </w:rPr>
        <w:t> </w:t>
      </w:r>
      <w:r w:rsidR="0028384B" w:rsidRPr="002F16A1">
        <w:rPr>
          <w:noProof/>
        </w:rPr>
        <w:t>sto</w:t>
      </w:r>
      <w:r w:rsidR="00AD62E2" w:rsidRPr="002F16A1">
        <w:rPr>
          <w:noProof/>
        </w:rPr>
        <w:t>sownych przypadkach promotorzy projektów strategicznych uczestniczą</w:t>
      </w:r>
      <w:r w:rsidR="0028384B" w:rsidRPr="002F16A1">
        <w:rPr>
          <w:noProof/>
        </w:rPr>
        <w:t xml:space="preserve"> w</w:t>
      </w:r>
      <w:r w:rsidR="0028384B">
        <w:rPr>
          <w:noProof/>
        </w:rPr>
        <w:t> </w:t>
      </w:r>
      <w:r w:rsidR="0028384B" w:rsidRPr="002F16A1">
        <w:rPr>
          <w:noProof/>
        </w:rPr>
        <w:t>tak</w:t>
      </w:r>
      <w:r w:rsidR="00AD62E2" w:rsidRPr="002F16A1">
        <w:rPr>
          <w:noProof/>
        </w:rPr>
        <w:t>im trybie pilnym. </w:t>
      </w:r>
    </w:p>
    <w:p w:rsidR="00AD62E2" w:rsidRPr="002F16A1" w:rsidRDefault="00AD62E2" w:rsidP="00AD62E2">
      <w:pPr>
        <w:pStyle w:val="Titrearticle"/>
        <w:rPr>
          <w:noProof/>
        </w:rPr>
      </w:pPr>
      <w:r w:rsidRPr="002F16A1">
        <w:rPr>
          <w:noProof/>
        </w:rPr>
        <w:t>Artykuł 10</w:t>
      </w:r>
    </w:p>
    <w:p w:rsidR="00AD62E2" w:rsidRPr="002F16A1" w:rsidRDefault="00AD62E2" w:rsidP="00AD62E2">
      <w:pPr>
        <w:pStyle w:val="NormalCentered"/>
        <w:rPr>
          <w:noProof/>
        </w:rPr>
      </w:pPr>
      <w:r w:rsidRPr="002F16A1">
        <w:rPr>
          <w:b/>
          <w:noProof/>
        </w:rPr>
        <w:t>Czas trwania procesu wydawania pozwoleń</w:t>
      </w:r>
    </w:p>
    <w:p w:rsidR="00AD62E2" w:rsidRPr="002F16A1" w:rsidRDefault="00733965" w:rsidP="00733965">
      <w:pPr>
        <w:pStyle w:val="ManualNumPar1"/>
        <w:rPr>
          <w:noProof/>
        </w:rPr>
      </w:pPr>
      <w:r w:rsidRPr="00733965">
        <w:t>1.</w:t>
      </w:r>
      <w:r w:rsidRPr="00733965">
        <w:tab/>
      </w:r>
      <w:r w:rsidR="00AD62E2" w:rsidRPr="002F16A1">
        <w:rPr>
          <w:noProof/>
        </w:rPr>
        <w:t>W odniesieniu do projektów strategicznych realizowanych</w:t>
      </w:r>
      <w:r w:rsidR="0028384B" w:rsidRPr="002F16A1">
        <w:rPr>
          <w:noProof/>
        </w:rPr>
        <w:t xml:space="preserve"> w</w:t>
      </w:r>
      <w:r w:rsidR="0028384B">
        <w:rPr>
          <w:noProof/>
        </w:rPr>
        <w:t> </w:t>
      </w:r>
      <w:r w:rsidR="0028384B" w:rsidRPr="002F16A1">
        <w:rPr>
          <w:noProof/>
        </w:rPr>
        <w:t>Uni</w:t>
      </w:r>
      <w:r w:rsidR="00AD62E2" w:rsidRPr="002F16A1">
        <w:rPr>
          <w:noProof/>
        </w:rPr>
        <w:t>i proces wydawania pozwoleń nie może przekraczać:</w:t>
      </w:r>
    </w:p>
    <w:p w:rsidR="00AD62E2" w:rsidRPr="002F16A1" w:rsidRDefault="0028384B" w:rsidP="0028384B">
      <w:pPr>
        <w:pStyle w:val="Point1"/>
        <w:rPr>
          <w:noProof/>
        </w:rPr>
      </w:pPr>
      <w:r>
        <w:rPr>
          <w:noProof/>
        </w:rPr>
        <w:t>a)</w:t>
      </w:r>
      <w:r>
        <w:rPr>
          <w:noProof/>
        </w:rPr>
        <w:tab/>
      </w:r>
      <w:r w:rsidR="00AD62E2" w:rsidRPr="002F16A1">
        <w:rPr>
          <w:noProof/>
        </w:rPr>
        <w:t>24 miesięcy</w:t>
      </w:r>
      <w:r w:rsidRPr="002F16A1">
        <w:rPr>
          <w:noProof/>
        </w:rPr>
        <w:t xml:space="preserve"> w</w:t>
      </w:r>
      <w:r>
        <w:rPr>
          <w:noProof/>
        </w:rPr>
        <w:t> </w:t>
      </w:r>
      <w:r w:rsidRPr="002F16A1">
        <w:rPr>
          <w:noProof/>
        </w:rPr>
        <w:t>prz</w:t>
      </w:r>
      <w:r w:rsidR="00AD62E2" w:rsidRPr="002F16A1">
        <w:rPr>
          <w:noProof/>
        </w:rPr>
        <w:t>ypadku projektów strategicznych obejmujących wydobycie;</w:t>
      </w:r>
    </w:p>
    <w:p w:rsidR="00AD62E2" w:rsidRPr="002F16A1" w:rsidRDefault="0028384B" w:rsidP="0028384B">
      <w:pPr>
        <w:pStyle w:val="Point1"/>
        <w:rPr>
          <w:noProof/>
        </w:rPr>
      </w:pPr>
      <w:r>
        <w:rPr>
          <w:noProof/>
        </w:rPr>
        <w:t>b)</w:t>
      </w:r>
      <w:r>
        <w:rPr>
          <w:noProof/>
        </w:rPr>
        <w:tab/>
      </w:r>
      <w:r w:rsidR="00AD62E2" w:rsidRPr="002F16A1">
        <w:rPr>
          <w:noProof/>
        </w:rPr>
        <w:t>12 miesięcy</w:t>
      </w:r>
      <w:r w:rsidRPr="002F16A1">
        <w:rPr>
          <w:noProof/>
        </w:rPr>
        <w:t xml:space="preserve"> w</w:t>
      </w:r>
      <w:r>
        <w:rPr>
          <w:noProof/>
        </w:rPr>
        <w:t> </w:t>
      </w:r>
      <w:r w:rsidRPr="002F16A1">
        <w:rPr>
          <w:noProof/>
        </w:rPr>
        <w:t>prz</w:t>
      </w:r>
      <w:r w:rsidR="00AD62E2" w:rsidRPr="002F16A1">
        <w:rPr>
          <w:noProof/>
        </w:rPr>
        <w:t>ypadku projektów strategicznych obejmujących wyłącznie przetwarzanie lub recykling.</w:t>
      </w:r>
    </w:p>
    <w:p w:rsidR="00AD62E2" w:rsidRPr="002F16A1" w:rsidRDefault="00733965" w:rsidP="00733965">
      <w:pPr>
        <w:pStyle w:val="ManualNumPar1"/>
        <w:rPr>
          <w:noProof/>
        </w:rPr>
      </w:pPr>
      <w:r w:rsidRPr="00733965">
        <w:t>2.</w:t>
      </w:r>
      <w:r w:rsidRPr="00733965">
        <w:tab/>
      </w:r>
      <w:r w:rsidR="00AD62E2" w:rsidRPr="002F16A1">
        <w:rPr>
          <w:noProof/>
        </w:rPr>
        <w:t>W odniesieniu do projektów strategicznych realizowanych</w:t>
      </w:r>
      <w:r w:rsidR="0028384B" w:rsidRPr="002F16A1">
        <w:rPr>
          <w:noProof/>
        </w:rPr>
        <w:t xml:space="preserve"> w</w:t>
      </w:r>
      <w:r w:rsidR="0028384B">
        <w:rPr>
          <w:noProof/>
        </w:rPr>
        <w:t> </w:t>
      </w:r>
      <w:r w:rsidR="0028384B" w:rsidRPr="002F16A1">
        <w:rPr>
          <w:noProof/>
        </w:rPr>
        <w:t>Uni</w:t>
      </w:r>
      <w:r w:rsidR="00AD62E2" w:rsidRPr="002F16A1">
        <w:rPr>
          <w:noProof/>
        </w:rPr>
        <w:t>i,</w:t>
      </w:r>
      <w:r w:rsidR="0028384B" w:rsidRPr="002F16A1">
        <w:rPr>
          <w:noProof/>
        </w:rPr>
        <w:t xml:space="preserve"> w</w:t>
      </w:r>
      <w:r w:rsidR="0028384B">
        <w:rPr>
          <w:noProof/>
        </w:rPr>
        <w:t> </w:t>
      </w:r>
      <w:r w:rsidR="0028384B" w:rsidRPr="002F16A1">
        <w:rPr>
          <w:noProof/>
        </w:rPr>
        <w:t>prz</w:t>
      </w:r>
      <w:r w:rsidR="00AD62E2" w:rsidRPr="002F16A1">
        <w:rPr>
          <w:noProof/>
        </w:rPr>
        <w:t xml:space="preserve">ypadku których proces wydawania pozwoleń rozpoczęto przed uzyskaniem statusu projektu strategicznego, czas trwania pozostałych etapów tego procesu po uzyskaniu przez projekt statusu projektu strategicznego, na zasadzie odstępstwa od </w:t>
      </w:r>
      <w:r w:rsidR="00AD62E2" w:rsidRPr="0028384B">
        <w:rPr>
          <w:noProof/>
        </w:rPr>
        <w:t>ust.</w:t>
      </w:r>
      <w:r w:rsidR="0028384B" w:rsidRPr="0028384B">
        <w:rPr>
          <w:noProof/>
        </w:rPr>
        <w:t> </w:t>
      </w:r>
      <w:r w:rsidR="00AD62E2" w:rsidRPr="0028384B">
        <w:rPr>
          <w:noProof/>
        </w:rPr>
        <w:t>1</w:t>
      </w:r>
      <w:r w:rsidR="00AD62E2" w:rsidRPr="002F16A1">
        <w:rPr>
          <w:noProof/>
        </w:rPr>
        <w:t>, nie może przekraczać:</w:t>
      </w:r>
    </w:p>
    <w:p w:rsidR="00AD62E2" w:rsidRPr="002F16A1" w:rsidRDefault="0028384B" w:rsidP="0028384B">
      <w:pPr>
        <w:pStyle w:val="Point1"/>
        <w:rPr>
          <w:noProof/>
        </w:rPr>
      </w:pPr>
      <w:r>
        <w:rPr>
          <w:noProof/>
        </w:rPr>
        <w:t>a)</w:t>
      </w:r>
      <w:r>
        <w:rPr>
          <w:noProof/>
        </w:rPr>
        <w:tab/>
      </w:r>
      <w:r w:rsidR="00AD62E2" w:rsidRPr="002F16A1">
        <w:rPr>
          <w:noProof/>
        </w:rPr>
        <w:t>21 miesięcy</w:t>
      </w:r>
      <w:r w:rsidRPr="002F16A1">
        <w:rPr>
          <w:noProof/>
        </w:rPr>
        <w:t xml:space="preserve"> w</w:t>
      </w:r>
      <w:r>
        <w:rPr>
          <w:noProof/>
        </w:rPr>
        <w:t> </w:t>
      </w:r>
      <w:r w:rsidRPr="002F16A1">
        <w:rPr>
          <w:noProof/>
        </w:rPr>
        <w:t>prz</w:t>
      </w:r>
      <w:r w:rsidR="00AD62E2" w:rsidRPr="002F16A1">
        <w:rPr>
          <w:noProof/>
        </w:rPr>
        <w:t>ypadku projektów strategicznych obejmujących wydobycie; </w:t>
      </w:r>
    </w:p>
    <w:p w:rsidR="00AD62E2" w:rsidRPr="002F16A1" w:rsidRDefault="0028384B" w:rsidP="0028384B">
      <w:pPr>
        <w:pStyle w:val="Point1"/>
        <w:rPr>
          <w:noProof/>
        </w:rPr>
      </w:pPr>
      <w:r>
        <w:rPr>
          <w:noProof/>
        </w:rPr>
        <w:t>b)</w:t>
      </w:r>
      <w:r>
        <w:rPr>
          <w:noProof/>
        </w:rPr>
        <w:tab/>
      </w:r>
      <w:r w:rsidR="00AD62E2" w:rsidRPr="002F16A1">
        <w:rPr>
          <w:noProof/>
        </w:rPr>
        <w:t>9 miesięcy</w:t>
      </w:r>
      <w:r w:rsidRPr="002F16A1">
        <w:rPr>
          <w:noProof/>
        </w:rPr>
        <w:t xml:space="preserve"> w</w:t>
      </w:r>
      <w:r>
        <w:rPr>
          <w:noProof/>
        </w:rPr>
        <w:t> </w:t>
      </w:r>
      <w:r w:rsidRPr="002F16A1">
        <w:rPr>
          <w:noProof/>
        </w:rPr>
        <w:t>prz</w:t>
      </w:r>
      <w:r w:rsidR="00AD62E2" w:rsidRPr="002F16A1">
        <w:rPr>
          <w:noProof/>
        </w:rPr>
        <w:t>ypadku projektów strategicznych obejmujących wyłącznie przetwarzanie lub recykling.</w:t>
      </w:r>
    </w:p>
    <w:p w:rsidR="00AD62E2" w:rsidRPr="002F16A1" w:rsidRDefault="00733965" w:rsidP="00733965">
      <w:pPr>
        <w:pStyle w:val="ManualNumPar1"/>
        <w:rPr>
          <w:noProof/>
        </w:rPr>
      </w:pPr>
      <w:r w:rsidRPr="00733965">
        <w:t>3.</w:t>
      </w:r>
      <w:r w:rsidRPr="00733965">
        <w:tab/>
      </w:r>
      <w:r w:rsidR="00AD62E2" w:rsidRPr="002F16A1">
        <w:rPr>
          <w:noProof/>
        </w:rPr>
        <w:t>W wyjątkowych przypadkach, gdy wymaga tego charakter, złożoność, lokalizacja lub rozmiar wnioskowanego projektu, właściwy organ krajowy,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8</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 może wydłużyć terminy,</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xml:space="preserve"> </w:t>
      </w:r>
      <w:r w:rsidR="00AD62E2" w:rsidRPr="0028384B">
        <w:rPr>
          <w:noProof/>
        </w:rPr>
        <w:t>lit.</w:t>
      </w:r>
      <w:r w:rsidR="0028384B" w:rsidRPr="0028384B">
        <w:rPr>
          <w:noProof/>
        </w:rPr>
        <w:t> </w:t>
      </w:r>
      <w:r w:rsidR="00AD62E2" w:rsidRPr="0028384B">
        <w:rPr>
          <w:noProof/>
        </w:rPr>
        <w:t>a)</w:t>
      </w:r>
      <w:r w:rsidR="0028384B" w:rsidRPr="002F16A1">
        <w:rPr>
          <w:noProof/>
        </w:rPr>
        <w:t xml:space="preserve"> i</w:t>
      </w:r>
      <w:r w:rsidR="0028384B">
        <w:rPr>
          <w:noProof/>
        </w:rPr>
        <w:t> </w:t>
      </w:r>
      <w:r w:rsidR="0028384B" w:rsidRPr="002F16A1">
        <w:rPr>
          <w:noProof/>
        </w:rPr>
        <w:t>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2</w:t>
      </w:r>
      <w:r w:rsidR="00AD62E2" w:rsidRPr="002F16A1">
        <w:rPr>
          <w:noProof/>
        </w:rPr>
        <w:t xml:space="preserve"> </w:t>
      </w:r>
      <w:r w:rsidR="00AD62E2" w:rsidRPr="0028384B">
        <w:rPr>
          <w:noProof/>
        </w:rPr>
        <w:t>lit.</w:t>
      </w:r>
      <w:r w:rsidR="0028384B" w:rsidRPr="0028384B">
        <w:rPr>
          <w:noProof/>
        </w:rPr>
        <w:t> </w:t>
      </w:r>
      <w:r w:rsidR="00AD62E2" w:rsidRPr="0028384B">
        <w:rPr>
          <w:noProof/>
        </w:rPr>
        <w:t>a)</w:t>
      </w:r>
      <w:r w:rsidR="00AD62E2" w:rsidRPr="002F16A1">
        <w:rPr>
          <w:noProof/>
        </w:rPr>
        <w:t>,</w:t>
      </w:r>
      <w:r w:rsidR="0028384B" w:rsidRPr="002F16A1">
        <w:rPr>
          <w:noProof/>
        </w:rPr>
        <w:t xml:space="preserve"> o</w:t>
      </w:r>
      <w:r w:rsidR="0028384B">
        <w:rPr>
          <w:noProof/>
        </w:rPr>
        <w:t> </w:t>
      </w:r>
      <w:r w:rsidR="0028384B" w:rsidRPr="002F16A1">
        <w:rPr>
          <w:noProof/>
        </w:rPr>
        <w:t>mak</w:t>
      </w:r>
      <w:r w:rsidR="00AD62E2" w:rsidRPr="002F16A1">
        <w:rPr>
          <w:noProof/>
        </w:rPr>
        <w:t>symalnie trzy miesiące,</w:t>
      </w:r>
      <w:r w:rsidR="0028384B" w:rsidRPr="002F16A1">
        <w:rPr>
          <w:noProof/>
        </w:rPr>
        <w:t xml:space="preserve"> a</w:t>
      </w:r>
      <w:r w:rsidR="0028384B">
        <w:rPr>
          <w:noProof/>
        </w:rPr>
        <w:t> </w:t>
      </w:r>
      <w:r w:rsidR="0028384B" w:rsidRPr="002F16A1">
        <w:rPr>
          <w:noProof/>
        </w:rPr>
        <w:t>ter</w:t>
      </w:r>
      <w:r w:rsidR="00AD62E2" w:rsidRPr="002F16A1">
        <w:rPr>
          <w:noProof/>
        </w:rPr>
        <w:t>miny,</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xml:space="preserve"> </w:t>
      </w:r>
      <w:r w:rsidR="00AD62E2" w:rsidRPr="0028384B">
        <w:rPr>
          <w:noProof/>
        </w:rPr>
        <w:t>lit.</w:t>
      </w:r>
      <w:r w:rsidR="0028384B" w:rsidRPr="0028384B">
        <w:rPr>
          <w:noProof/>
        </w:rPr>
        <w:t> </w:t>
      </w:r>
      <w:r w:rsidR="00AD62E2" w:rsidRPr="0028384B">
        <w:rPr>
          <w:noProof/>
        </w:rPr>
        <w:t>b)</w:t>
      </w:r>
      <w:r w:rsidR="0028384B" w:rsidRPr="002F16A1">
        <w:rPr>
          <w:noProof/>
        </w:rPr>
        <w:t xml:space="preserve"> i</w:t>
      </w:r>
      <w:r w:rsidR="0028384B">
        <w:rPr>
          <w:noProof/>
        </w:rPr>
        <w:t> </w:t>
      </w:r>
      <w:r w:rsidR="0028384B" w:rsidRPr="002F16A1">
        <w:rPr>
          <w:noProof/>
        </w:rPr>
        <w:t>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2</w:t>
      </w:r>
      <w:r w:rsidR="00AD62E2" w:rsidRPr="002F16A1">
        <w:rPr>
          <w:noProof/>
        </w:rPr>
        <w:t xml:space="preserve"> </w:t>
      </w:r>
      <w:r w:rsidR="00AD62E2" w:rsidRPr="0028384B">
        <w:rPr>
          <w:noProof/>
        </w:rPr>
        <w:t>lit.</w:t>
      </w:r>
      <w:r w:rsidR="0028384B" w:rsidRPr="0028384B">
        <w:rPr>
          <w:noProof/>
        </w:rPr>
        <w:t> </w:t>
      </w:r>
      <w:r w:rsidR="00AD62E2" w:rsidRPr="0028384B">
        <w:rPr>
          <w:noProof/>
        </w:rPr>
        <w:t>b)</w:t>
      </w:r>
      <w:r w:rsidR="00AD62E2" w:rsidRPr="002F16A1">
        <w:rPr>
          <w:noProof/>
        </w:rPr>
        <w:t>,</w:t>
      </w:r>
      <w:r w:rsidR="0028384B" w:rsidRPr="002F16A1">
        <w:rPr>
          <w:noProof/>
        </w:rPr>
        <w:t xml:space="preserve"> o</w:t>
      </w:r>
      <w:r w:rsidR="0028384B">
        <w:rPr>
          <w:noProof/>
        </w:rPr>
        <w:t> </w:t>
      </w:r>
      <w:r w:rsidR="0028384B" w:rsidRPr="002F16A1">
        <w:rPr>
          <w:noProof/>
        </w:rPr>
        <w:t>mak</w:t>
      </w:r>
      <w:r w:rsidR="00AD62E2" w:rsidRPr="002F16A1">
        <w:rPr>
          <w:noProof/>
        </w:rPr>
        <w:t>symalnie jeden miesiąc przed upływem tych terminów i na zasadzie indywidualnej</w:t>
      </w:r>
      <w:r w:rsidR="0028384B" w:rsidRPr="002F16A1">
        <w:rPr>
          <w:noProof/>
        </w:rPr>
        <w:t>. W</w:t>
      </w:r>
      <w:r w:rsidR="0028384B">
        <w:rPr>
          <w:noProof/>
        </w:rPr>
        <w:t> </w:t>
      </w:r>
      <w:r w:rsidR="0028384B" w:rsidRPr="002F16A1">
        <w:rPr>
          <w:noProof/>
        </w:rPr>
        <w:t>tak</w:t>
      </w:r>
      <w:r w:rsidR="00AD62E2" w:rsidRPr="002F16A1">
        <w:rPr>
          <w:noProof/>
        </w:rPr>
        <w:t>im przypadku właściwy organ krajowy,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8</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 informuje promotora projektu</w:t>
      </w:r>
      <w:r w:rsidR="0028384B" w:rsidRPr="002F16A1">
        <w:rPr>
          <w:noProof/>
        </w:rPr>
        <w:t xml:space="preserve"> o</w:t>
      </w:r>
      <w:r w:rsidR="0028384B">
        <w:rPr>
          <w:noProof/>
        </w:rPr>
        <w:t> </w:t>
      </w:r>
      <w:r w:rsidR="0028384B" w:rsidRPr="002F16A1">
        <w:rPr>
          <w:noProof/>
        </w:rPr>
        <w:t>prz</w:t>
      </w:r>
      <w:r w:rsidR="00AD62E2" w:rsidRPr="002F16A1">
        <w:rPr>
          <w:noProof/>
        </w:rPr>
        <w:t>yczynach uzasadniających takie wydłużenie terminu</w:t>
      </w:r>
      <w:r w:rsidR="0028384B" w:rsidRPr="002F16A1">
        <w:rPr>
          <w:noProof/>
        </w:rPr>
        <w:t xml:space="preserve"> i</w:t>
      </w:r>
      <w:r w:rsidR="0028384B">
        <w:rPr>
          <w:noProof/>
        </w:rPr>
        <w:t> </w:t>
      </w:r>
      <w:r w:rsidR="0028384B" w:rsidRPr="002F16A1">
        <w:rPr>
          <w:noProof/>
        </w:rPr>
        <w:t>o</w:t>
      </w:r>
      <w:r w:rsidR="0028384B">
        <w:rPr>
          <w:noProof/>
        </w:rPr>
        <w:t> </w:t>
      </w:r>
      <w:r w:rsidR="0028384B" w:rsidRPr="002F16A1">
        <w:rPr>
          <w:noProof/>
        </w:rPr>
        <w:t>spo</w:t>
      </w:r>
      <w:r w:rsidR="00AD62E2" w:rsidRPr="002F16A1">
        <w:rPr>
          <w:noProof/>
        </w:rPr>
        <w:t>dziewanej dacie wydania na piśmie kompleksowej decyzji.</w:t>
      </w:r>
    </w:p>
    <w:p w:rsidR="00AD62E2" w:rsidRPr="0028384B" w:rsidRDefault="00733965" w:rsidP="00733965">
      <w:pPr>
        <w:pStyle w:val="ManualNumPar1"/>
        <w:rPr>
          <w:noProof/>
        </w:rPr>
      </w:pPr>
      <w:r w:rsidRPr="00733965">
        <w:t>4.</w:t>
      </w:r>
      <w:r w:rsidRPr="00733965">
        <w:tab/>
      </w:r>
      <w:r w:rsidR="00AD62E2" w:rsidRPr="002F16A1">
        <w:rPr>
          <w:noProof/>
        </w:rPr>
        <w:t>W odniesieniu do projektów strategicznych obejmujących wyłącznie przetwarzanie</w:t>
      </w:r>
      <w:r w:rsidR="0028384B" w:rsidRPr="002F16A1">
        <w:rPr>
          <w:noProof/>
        </w:rPr>
        <w:t xml:space="preserve"> i</w:t>
      </w:r>
      <w:r w:rsidR="0028384B">
        <w:rPr>
          <w:noProof/>
        </w:rPr>
        <w:t> </w:t>
      </w:r>
      <w:r w:rsidR="0028384B" w:rsidRPr="002F16A1">
        <w:rPr>
          <w:noProof/>
        </w:rPr>
        <w:t>rec</w:t>
      </w:r>
      <w:r w:rsidR="00AD62E2" w:rsidRPr="002F16A1">
        <w:rPr>
          <w:noProof/>
        </w:rPr>
        <w:t>ykling niewydanie kompleksowej decyzji przez właściwy organ krajowy,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8</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w:t>
      </w:r>
      <w:r w:rsidR="0028384B" w:rsidRPr="002F16A1">
        <w:rPr>
          <w:noProof/>
        </w:rPr>
        <w:t xml:space="preserve"> w</w:t>
      </w:r>
      <w:r w:rsidR="0028384B">
        <w:rPr>
          <w:noProof/>
        </w:rPr>
        <w:t> </w:t>
      </w:r>
      <w:r w:rsidR="0028384B" w:rsidRPr="002F16A1">
        <w:rPr>
          <w:noProof/>
        </w:rPr>
        <w:t>maj</w:t>
      </w:r>
      <w:r w:rsidR="00AD62E2" w:rsidRPr="002F16A1">
        <w:rPr>
          <w:noProof/>
        </w:rPr>
        <w:t>ących zastosowanie terminach,</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28384B" w:rsidRPr="002F16A1">
        <w:rPr>
          <w:noProof/>
        </w:rPr>
        <w:t xml:space="preserve"> i</w:t>
      </w:r>
      <w:r w:rsidR="0028384B">
        <w:rPr>
          <w:noProof/>
        </w:rPr>
        <w:t> </w:t>
      </w:r>
      <w:r w:rsidR="0028384B" w:rsidRPr="002F16A1">
        <w:rPr>
          <w:noProof/>
        </w:rPr>
        <w:t>2</w:t>
      </w:r>
      <w:r w:rsidR="00AD62E2" w:rsidRPr="002F16A1">
        <w:rPr>
          <w:noProof/>
        </w:rPr>
        <w:t>, skutkuje uznaniem stosownego wniosku</w:t>
      </w:r>
      <w:r w:rsidR="0028384B" w:rsidRPr="002F16A1">
        <w:rPr>
          <w:noProof/>
        </w:rPr>
        <w:t xml:space="preserve"> o</w:t>
      </w:r>
      <w:r w:rsidR="0028384B">
        <w:rPr>
          <w:noProof/>
        </w:rPr>
        <w:t> </w:t>
      </w:r>
      <w:r w:rsidR="0028384B" w:rsidRPr="002F16A1">
        <w:rPr>
          <w:noProof/>
        </w:rPr>
        <w:t>wyd</w:t>
      </w:r>
      <w:r w:rsidR="00AD62E2" w:rsidRPr="002F16A1">
        <w:rPr>
          <w:noProof/>
        </w:rPr>
        <w:t>anie pozwolenia za zatwierdzony, poza sytuacjami,</w:t>
      </w:r>
      <w:r w:rsidR="0028384B" w:rsidRPr="002F16A1">
        <w:rPr>
          <w:noProof/>
        </w:rPr>
        <w:t xml:space="preserve"> w</w:t>
      </w:r>
      <w:r w:rsidR="0028384B">
        <w:rPr>
          <w:noProof/>
        </w:rPr>
        <w:t> </w:t>
      </w:r>
      <w:r w:rsidR="0028384B" w:rsidRPr="002F16A1">
        <w:rPr>
          <w:noProof/>
        </w:rPr>
        <w:t>któ</w:t>
      </w:r>
      <w:r w:rsidR="00AD62E2" w:rsidRPr="002F16A1">
        <w:rPr>
          <w:noProof/>
        </w:rPr>
        <w:t>rych konkretny projekt wymaga przeprowadzenia oceny oddziaływania na środowisko zgodnie</w:t>
      </w:r>
      <w:r w:rsidR="0028384B" w:rsidRPr="002F16A1">
        <w:rPr>
          <w:noProof/>
        </w:rPr>
        <w:t xml:space="preserve"> z</w:t>
      </w:r>
      <w:r w:rsidR="0028384B">
        <w:rPr>
          <w:noProof/>
        </w:rPr>
        <w:t> </w:t>
      </w:r>
      <w:r w:rsidR="0028384B" w:rsidRPr="002F16A1">
        <w:rPr>
          <w:noProof/>
        </w:rPr>
        <w:t>dyr</w:t>
      </w:r>
      <w:r w:rsidR="00AD62E2" w:rsidRPr="002F16A1">
        <w:rPr>
          <w:noProof/>
        </w:rPr>
        <w:t xml:space="preserve">ektywą Rady 92/43/EWG lub dyrektywami 2000/60/WE, 2008/98/WE, 2009/147/WE, 2010/75/UE, 2011/92/UE </w:t>
      </w:r>
      <w:r w:rsidR="00AD62E2" w:rsidRPr="0028384B">
        <w:rPr>
          <w:noProof/>
        </w:rPr>
        <w:t>lub</w:t>
      </w:r>
      <w:r w:rsidR="0028384B" w:rsidRPr="0028384B">
        <w:rPr>
          <w:noProof/>
        </w:rPr>
        <w:t> </w:t>
      </w:r>
      <w:r w:rsidR="00AD62E2" w:rsidRPr="0028384B">
        <w:rPr>
          <w:noProof/>
        </w:rPr>
        <w:t>2</w:t>
      </w:r>
      <w:r w:rsidR="00AD62E2" w:rsidRPr="002F16A1">
        <w:rPr>
          <w:noProof/>
        </w:rPr>
        <w:t>012/18/UE lub ustalenia, czy konieczne jest przeprowadzenie takiej oceny oddziaływania na środowisko,</w:t>
      </w:r>
      <w:r w:rsidR="0028384B" w:rsidRPr="002F16A1">
        <w:rPr>
          <w:noProof/>
        </w:rPr>
        <w:t xml:space="preserve"> a</w:t>
      </w:r>
      <w:r w:rsidR="0028384B">
        <w:rPr>
          <w:noProof/>
        </w:rPr>
        <w:t> </w:t>
      </w:r>
      <w:r w:rsidR="0028384B" w:rsidRPr="002F16A1">
        <w:rPr>
          <w:noProof/>
        </w:rPr>
        <w:t>sto</w:t>
      </w:r>
      <w:r w:rsidR="00AD62E2" w:rsidRPr="002F16A1">
        <w:rPr>
          <w:noProof/>
        </w:rPr>
        <w:t>sowna ocena nie została jeszcze przeprowadzona</w:t>
      </w:r>
      <w:r w:rsidR="00AD62E2" w:rsidRPr="0028384B">
        <w:rPr>
          <w:noProof/>
        </w:rPr>
        <w:t>.</w:t>
      </w:r>
      <w:r w:rsidR="0028384B" w:rsidRPr="0028384B">
        <w:rPr>
          <w:noProof/>
        </w:rPr>
        <w:t xml:space="preserve"> </w:t>
      </w:r>
    </w:p>
    <w:p w:rsidR="00AD62E2" w:rsidRPr="002F16A1" w:rsidRDefault="00733965" w:rsidP="00733965">
      <w:pPr>
        <w:pStyle w:val="ManualNumPar1"/>
        <w:rPr>
          <w:noProof/>
        </w:rPr>
      </w:pPr>
      <w:r w:rsidRPr="00733965">
        <w:t>5.</w:t>
      </w:r>
      <w:r w:rsidRPr="00733965">
        <w:tab/>
      </w:r>
      <w:r w:rsidR="00AD62E2" w:rsidRPr="002F16A1">
        <w:rPr>
          <w:noProof/>
        </w:rPr>
        <w:t>Nie później niż jeden miesiąc po otrzymaniu wniosku</w:t>
      </w:r>
      <w:r w:rsidR="0028384B" w:rsidRPr="002F16A1">
        <w:rPr>
          <w:noProof/>
        </w:rPr>
        <w:t xml:space="preserve"> o</w:t>
      </w:r>
      <w:r w:rsidR="0028384B">
        <w:rPr>
          <w:noProof/>
        </w:rPr>
        <w:t> </w:t>
      </w:r>
      <w:r w:rsidR="0028384B" w:rsidRPr="002F16A1">
        <w:rPr>
          <w:noProof/>
        </w:rPr>
        <w:t>wyd</w:t>
      </w:r>
      <w:r w:rsidR="00AD62E2" w:rsidRPr="002F16A1">
        <w:rPr>
          <w:noProof/>
        </w:rPr>
        <w:t>anie pozwolenia związanego</w:t>
      </w:r>
      <w:r w:rsidR="0028384B" w:rsidRPr="002F16A1">
        <w:rPr>
          <w:noProof/>
        </w:rPr>
        <w:t xml:space="preserve"> z</w:t>
      </w:r>
      <w:r w:rsidR="0028384B">
        <w:rPr>
          <w:noProof/>
        </w:rPr>
        <w:t> </w:t>
      </w:r>
      <w:r w:rsidR="0028384B" w:rsidRPr="002F16A1">
        <w:rPr>
          <w:noProof/>
        </w:rPr>
        <w:t>pro</w:t>
      </w:r>
      <w:r w:rsidR="00AD62E2" w:rsidRPr="002F16A1">
        <w:rPr>
          <w:noProof/>
        </w:rPr>
        <w:t>jektem strategicznym właściwy organ krajowy,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8</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 zatwierdza wniosek lub, jeżeli promotor projektu nie przesłał wszystkich informacji wymaganych do rozpatrzenia wniosku, zwraca się do promotora projektu</w:t>
      </w:r>
      <w:r w:rsidR="0028384B" w:rsidRPr="002F16A1">
        <w:rPr>
          <w:noProof/>
        </w:rPr>
        <w:t xml:space="preserve"> o</w:t>
      </w:r>
      <w:r w:rsidR="0028384B">
        <w:rPr>
          <w:noProof/>
        </w:rPr>
        <w:t> </w:t>
      </w:r>
      <w:r w:rsidR="0028384B" w:rsidRPr="002F16A1">
        <w:rPr>
          <w:noProof/>
        </w:rPr>
        <w:t>prz</w:t>
      </w:r>
      <w:r w:rsidR="00AD62E2" w:rsidRPr="002F16A1">
        <w:rPr>
          <w:noProof/>
        </w:rPr>
        <w:t>edłożenie kompletnego wniosku</w:t>
      </w:r>
      <w:r w:rsidR="0028384B" w:rsidRPr="002F16A1">
        <w:rPr>
          <w:noProof/>
        </w:rPr>
        <w:t xml:space="preserve"> w</w:t>
      </w:r>
      <w:r w:rsidR="0028384B">
        <w:rPr>
          <w:noProof/>
        </w:rPr>
        <w:t> </w:t>
      </w:r>
      <w:r w:rsidR="0028384B" w:rsidRPr="002F16A1">
        <w:rPr>
          <w:noProof/>
        </w:rPr>
        <w:t>ter</w:t>
      </w:r>
      <w:r w:rsidR="00AD62E2" w:rsidRPr="002F16A1">
        <w:rPr>
          <w:noProof/>
        </w:rPr>
        <w:t>minie czternastu dni od tego żądania. </w:t>
      </w:r>
    </w:p>
    <w:p w:rsidR="00AD62E2" w:rsidRPr="002F16A1" w:rsidRDefault="00AD62E2" w:rsidP="00AD62E2">
      <w:pPr>
        <w:pStyle w:val="Text1"/>
        <w:rPr>
          <w:noProof/>
        </w:rPr>
      </w:pPr>
      <w:r w:rsidRPr="002F16A1">
        <w:rPr>
          <w:noProof/>
        </w:rPr>
        <w:t>Data uznania ważności wniosku przez właściwy organ krajowy,</w:t>
      </w:r>
      <w:r w:rsidR="0028384B" w:rsidRPr="002F16A1">
        <w:rPr>
          <w:noProof/>
        </w:rPr>
        <w:t xml:space="preserve"> o</w:t>
      </w:r>
      <w:r w:rsidR="0028384B">
        <w:rPr>
          <w:noProof/>
        </w:rPr>
        <w:t> </w:t>
      </w:r>
      <w:r w:rsidR="0028384B" w:rsidRPr="002F16A1">
        <w:rPr>
          <w:noProof/>
        </w:rPr>
        <w:t>któ</w:t>
      </w:r>
      <w:r w:rsidRPr="002F16A1">
        <w:rPr>
          <w:noProof/>
        </w:rPr>
        <w:t>rym mowa</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8</w:t>
      </w:r>
      <w:r w:rsidRPr="002F16A1">
        <w:rPr>
          <w:noProof/>
        </w:rPr>
        <w:t xml:space="preserve"> </w:t>
      </w:r>
      <w:r w:rsidRPr="0028384B">
        <w:rPr>
          <w:noProof/>
        </w:rPr>
        <w:t>ust.</w:t>
      </w:r>
      <w:r w:rsidR="0028384B" w:rsidRPr="0028384B">
        <w:rPr>
          <w:noProof/>
        </w:rPr>
        <w:t> </w:t>
      </w:r>
      <w:r w:rsidRPr="0028384B">
        <w:rPr>
          <w:noProof/>
        </w:rPr>
        <w:t>1</w:t>
      </w:r>
      <w:r w:rsidRPr="002F16A1">
        <w:rPr>
          <w:noProof/>
        </w:rPr>
        <w:t>, stanowi początek procesu wydawania pozwoleń.</w:t>
      </w:r>
    </w:p>
    <w:p w:rsidR="00AD62E2" w:rsidRPr="002F16A1" w:rsidRDefault="00733965" w:rsidP="00733965">
      <w:pPr>
        <w:pStyle w:val="ManualNumPar1"/>
        <w:rPr>
          <w:noProof/>
        </w:rPr>
      </w:pPr>
      <w:r w:rsidRPr="00733965">
        <w:t>6.</w:t>
      </w:r>
      <w:r w:rsidRPr="00733965">
        <w:tab/>
      </w:r>
      <w:r w:rsidR="00AD62E2" w:rsidRPr="002F16A1">
        <w:rPr>
          <w:noProof/>
        </w:rPr>
        <w:t>Nie później niż jeden miesiąc od daty uznania ważności wniosku</w:t>
      </w:r>
      <w:r w:rsidR="0028384B" w:rsidRPr="002F16A1">
        <w:rPr>
          <w:noProof/>
        </w:rPr>
        <w:t xml:space="preserve"> o</w:t>
      </w:r>
      <w:r w:rsidR="0028384B">
        <w:rPr>
          <w:noProof/>
        </w:rPr>
        <w:t> </w:t>
      </w:r>
      <w:r w:rsidR="0028384B" w:rsidRPr="002F16A1">
        <w:rPr>
          <w:noProof/>
        </w:rPr>
        <w:t>wyd</w:t>
      </w:r>
      <w:r w:rsidR="00AD62E2" w:rsidRPr="002F16A1">
        <w:rPr>
          <w:noProof/>
        </w:rPr>
        <w:t>anie pozwolenia właściwy organ krajowy,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8</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 sporządza</w:t>
      </w:r>
      <w:r w:rsidR="0028384B" w:rsidRPr="002F16A1">
        <w:rPr>
          <w:noProof/>
        </w:rPr>
        <w:t xml:space="preserve"> w</w:t>
      </w:r>
      <w:r w:rsidR="0028384B">
        <w:rPr>
          <w:noProof/>
        </w:rPr>
        <w:t> </w:t>
      </w:r>
      <w:r w:rsidR="0028384B" w:rsidRPr="002F16A1">
        <w:rPr>
          <w:noProof/>
        </w:rPr>
        <w:t>ści</w:t>
      </w:r>
      <w:r w:rsidR="00AD62E2" w:rsidRPr="002F16A1">
        <w:rPr>
          <w:noProof/>
        </w:rPr>
        <w:t>słej współpracy</w:t>
      </w:r>
      <w:r w:rsidR="0028384B" w:rsidRPr="002F16A1">
        <w:rPr>
          <w:noProof/>
        </w:rPr>
        <w:t xml:space="preserve"> z</w:t>
      </w:r>
      <w:r w:rsidR="0028384B">
        <w:rPr>
          <w:noProof/>
        </w:rPr>
        <w:t> </w:t>
      </w:r>
      <w:r w:rsidR="0028384B" w:rsidRPr="002F16A1">
        <w:rPr>
          <w:noProof/>
        </w:rPr>
        <w:t>pro</w:t>
      </w:r>
      <w:r w:rsidR="00AD62E2" w:rsidRPr="002F16A1">
        <w:rPr>
          <w:noProof/>
        </w:rPr>
        <w:t>motorem projektu</w:t>
      </w:r>
      <w:r w:rsidR="0028384B" w:rsidRPr="002F16A1">
        <w:rPr>
          <w:noProof/>
        </w:rPr>
        <w:t xml:space="preserve"> i</w:t>
      </w:r>
      <w:r w:rsidR="0028384B">
        <w:rPr>
          <w:noProof/>
        </w:rPr>
        <w:t> </w:t>
      </w:r>
      <w:r w:rsidR="0028384B" w:rsidRPr="002F16A1">
        <w:rPr>
          <w:noProof/>
        </w:rPr>
        <w:t>inn</w:t>
      </w:r>
      <w:r w:rsidR="00AD62E2" w:rsidRPr="002F16A1">
        <w:rPr>
          <w:noProof/>
        </w:rPr>
        <w:t>ymi organami, których dotyczy projekt, szczegółowy harmonogram procesu wydawania pozwoleń. Harmonogram zostaje opublikowany przez promotora projektu na stronie internetowej,</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7</w:t>
      </w:r>
      <w:r w:rsidR="00AD62E2" w:rsidRPr="002F16A1">
        <w:rPr>
          <w:noProof/>
        </w:rPr>
        <w:t xml:space="preserve"> </w:t>
      </w:r>
      <w:r w:rsidR="00AD62E2" w:rsidRPr="0028384B">
        <w:rPr>
          <w:noProof/>
        </w:rPr>
        <w:t>ust.</w:t>
      </w:r>
      <w:r w:rsidR="0028384B" w:rsidRPr="0028384B">
        <w:rPr>
          <w:noProof/>
        </w:rPr>
        <w:t> </w:t>
      </w:r>
      <w:r w:rsidR="00AD62E2" w:rsidRPr="0028384B">
        <w:rPr>
          <w:noProof/>
        </w:rPr>
        <w:t>7</w:t>
      </w:r>
      <w:r w:rsidR="00AD62E2" w:rsidRPr="002F16A1">
        <w:rPr>
          <w:noProof/>
        </w:rPr>
        <w:t>, albo przez właściwy organ krajowy,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8</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 na ogólnodostępnej stronie internetowej.</w:t>
      </w:r>
    </w:p>
    <w:p w:rsidR="00AD62E2" w:rsidRPr="002F16A1" w:rsidRDefault="00733965" w:rsidP="00733965">
      <w:pPr>
        <w:pStyle w:val="ManualNumPar1"/>
        <w:rPr>
          <w:noProof/>
        </w:rPr>
      </w:pPr>
      <w:r w:rsidRPr="00733965">
        <w:t>7.</w:t>
      </w:r>
      <w:r w:rsidRPr="00733965">
        <w:tab/>
      </w:r>
      <w:r w:rsidR="00AD62E2" w:rsidRPr="002F16A1">
        <w:rPr>
          <w:noProof/>
        </w:rPr>
        <w:t>Terminy określone</w:t>
      </w:r>
      <w:r w:rsidR="0028384B" w:rsidRPr="002F16A1">
        <w:rPr>
          <w:noProof/>
        </w:rPr>
        <w:t xml:space="preserve"> w</w:t>
      </w:r>
      <w:r w:rsidR="0028384B">
        <w:rPr>
          <w:noProof/>
        </w:rPr>
        <w:t> </w:t>
      </w:r>
      <w:r w:rsidR="0028384B" w:rsidRPr="002F16A1">
        <w:rPr>
          <w:noProof/>
        </w:rPr>
        <w:t>nin</w:t>
      </w:r>
      <w:r w:rsidR="00AD62E2" w:rsidRPr="002F16A1">
        <w:rPr>
          <w:noProof/>
        </w:rPr>
        <w:t>iejszym artykule pozostają bez uszczerbku dla obowiązków wynikających</w:t>
      </w:r>
      <w:r w:rsidR="0028384B" w:rsidRPr="002F16A1">
        <w:rPr>
          <w:noProof/>
        </w:rPr>
        <w:t xml:space="preserve"> z</w:t>
      </w:r>
      <w:r w:rsidR="0028384B">
        <w:rPr>
          <w:noProof/>
        </w:rPr>
        <w:t> </w:t>
      </w:r>
      <w:r w:rsidR="0028384B" w:rsidRPr="002F16A1">
        <w:rPr>
          <w:noProof/>
        </w:rPr>
        <w:t>pra</w:t>
      </w:r>
      <w:r w:rsidR="00AD62E2" w:rsidRPr="002F16A1">
        <w:rPr>
          <w:noProof/>
        </w:rPr>
        <w:t>wa Unii</w:t>
      </w:r>
      <w:r w:rsidR="0028384B" w:rsidRPr="002F16A1">
        <w:rPr>
          <w:noProof/>
        </w:rPr>
        <w:t xml:space="preserve"> i</w:t>
      </w:r>
      <w:r w:rsidR="0028384B">
        <w:rPr>
          <w:noProof/>
        </w:rPr>
        <w:t> </w:t>
      </w:r>
      <w:r w:rsidR="0028384B" w:rsidRPr="002F16A1">
        <w:rPr>
          <w:noProof/>
        </w:rPr>
        <w:t>pra</w:t>
      </w:r>
      <w:r w:rsidR="00AD62E2" w:rsidRPr="002F16A1">
        <w:rPr>
          <w:noProof/>
        </w:rPr>
        <w:t>wa międzynarodowego oraz dla administracyjnych procedur odwoławczych</w:t>
      </w:r>
      <w:r w:rsidR="0028384B" w:rsidRPr="002F16A1">
        <w:rPr>
          <w:noProof/>
        </w:rPr>
        <w:t xml:space="preserve"> i</w:t>
      </w:r>
      <w:r w:rsidR="0028384B">
        <w:rPr>
          <w:noProof/>
        </w:rPr>
        <w:t> </w:t>
      </w:r>
      <w:r w:rsidR="0028384B" w:rsidRPr="002F16A1">
        <w:rPr>
          <w:noProof/>
        </w:rPr>
        <w:t>śro</w:t>
      </w:r>
      <w:r w:rsidR="00AD62E2" w:rsidRPr="002F16A1">
        <w:rPr>
          <w:noProof/>
        </w:rPr>
        <w:t>dków zaskarżenia rozpatrywanych przed sądem lub trybunałem.</w:t>
      </w:r>
    </w:p>
    <w:p w:rsidR="00AD62E2" w:rsidRPr="002F16A1" w:rsidRDefault="00AD62E2" w:rsidP="00AD62E2">
      <w:pPr>
        <w:pStyle w:val="Text1"/>
        <w:rPr>
          <w:noProof/>
        </w:rPr>
      </w:pPr>
      <w:r w:rsidRPr="002F16A1">
        <w:rPr>
          <w:noProof/>
        </w:rPr>
        <w:t>Terminy określone</w:t>
      </w:r>
      <w:r w:rsidR="0028384B" w:rsidRPr="002F16A1">
        <w:rPr>
          <w:noProof/>
        </w:rPr>
        <w:t xml:space="preserve"> w</w:t>
      </w:r>
      <w:r w:rsidR="0028384B">
        <w:rPr>
          <w:noProof/>
        </w:rPr>
        <w:t> </w:t>
      </w:r>
      <w:r w:rsidR="0028384B" w:rsidRPr="002F16A1">
        <w:rPr>
          <w:noProof/>
        </w:rPr>
        <w:t>nin</w:t>
      </w:r>
      <w:r w:rsidRPr="002F16A1">
        <w:rPr>
          <w:noProof/>
        </w:rPr>
        <w:t>iejszym artykule</w:t>
      </w:r>
      <w:r w:rsidR="0028384B" w:rsidRPr="002F16A1">
        <w:rPr>
          <w:noProof/>
        </w:rPr>
        <w:t xml:space="preserve"> w</w:t>
      </w:r>
      <w:r w:rsidR="0028384B">
        <w:rPr>
          <w:noProof/>
        </w:rPr>
        <w:t> </w:t>
      </w:r>
      <w:r w:rsidR="0028384B" w:rsidRPr="002F16A1">
        <w:rPr>
          <w:noProof/>
        </w:rPr>
        <w:t>odn</w:t>
      </w:r>
      <w:r w:rsidRPr="002F16A1">
        <w:rPr>
          <w:noProof/>
        </w:rPr>
        <w:t>iesieniu do wszelkich procedur wydawania pozwoleń pozostają bez uszczerbku dla jakichkolwiek krótszych terminów określonych przez państwa członkowskie.</w:t>
      </w:r>
    </w:p>
    <w:p w:rsidR="00AD62E2" w:rsidRPr="002F16A1" w:rsidRDefault="00AD62E2" w:rsidP="00AD62E2">
      <w:pPr>
        <w:pStyle w:val="Titrearticle"/>
        <w:rPr>
          <w:noProof/>
        </w:rPr>
      </w:pPr>
      <w:r w:rsidRPr="002F16A1">
        <w:rPr>
          <w:noProof/>
        </w:rPr>
        <w:t>Artykuł 11</w:t>
      </w:r>
    </w:p>
    <w:p w:rsidR="00AD62E2" w:rsidRPr="002F16A1" w:rsidRDefault="00AD62E2" w:rsidP="00AD62E2">
      <w:pPr>
        <w:pStyle w:val="NormalCentered"/>
        <w:rPr>
          <w:noProof/>
        </w:rPr>
      </w:pPr>
      <w:r w:rsidRPr="002F16A1">
        <w:rPr>
          <w:b/>
          <w:noProof/>
        </w:rPr>
        <w:t>Oceny wpływu na środowisko</w:t>
      </w:r>
      <w:r w:rsidR="0028384B" w:rsidRPr="002F16A1">
        <w:rPr>
          <w:b/>
          <w:noProof/>
        </w:rPr>
        <w:t xml:space="preserve"> i</w:t>
      </w:r>
      <w:r w:rsidR="0028384B">
        <w:rPr>
          <w:b/>
          <w:noProof/>
        </w:rPr>
        <w:t> </w:t>
      </w:r>
      <w:r w:rsidR="0028384B" w:rsidRPr="002F16A1">
        <w:rPr>
          <w:b/>
          <w:noProof/>
        </w:rPr>
        <w:t>poz</w:t>
      </w:r>
      <w:r w:rsidRPr="002F16A1">
        <w:rPr>
          <w:b/>
          <w:noProof/>
        </w:rPr>
        <w:t>wolenia środowiskowe</w:t>
      </w:r>
    </w:p>
    <w:p w:rsidR="00AD62E2" w:rsidRPr="002F16A1" w:rsidRDefault="00733965" w:rsidP="00733965">
      <w:pPr>
        <w:pStyle w:val="ManualNumPar1"/>
        <w:rPr>
          <w:noProof/>
        </w:rPr>
      </w:pPr>
      <w:r w:rsidRPr="00733965">
        <w:t>1.</w:t>
      </w:r>
      <w:r w:rsidRPr="00733965">
        <w:tab/>
      </w:r>
      <w:r w:rsidR="00AD62E2" w:rsidRPr="002F16A1">
        <w:rPr>
          <w:noProof/>
        </w:rPr>
        <w:t>Jeżeli</w:t>
      </w:r>
      <w:r w:rsidR="0028384B" w:rsidRPr="002F16A1">
        <w:rPr>
          <w:noProof/>
        </w:rPr>
        <w:t xml:space="preserve"> w</w:t>
      </w:r>
      <w:r w:rsidR="0028384B">
        <w:rPr>
          <w:noProof/>
        </w:rPr>
        <w:t> </w:t>
      </w:r>
      <w:r w:rsidR="0028384B" w:rsidRPr="002F16A1">
        <w:rPr>
          <w:noProof/>
        </w:rPr>
        <w:t>prz</w:t>
      </w:r>
      <w:r w:rsidR="00AD62E2" w:rsidRPr="002F16A1">
        <w:rPr>
          <w:noProof/>
        </w:rPr>
        <w:t>ypadku projektu strategicznego konieczne jest przeprowadzenie oceny oddziaływania na środowisko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5</w:t>
      </w:r>
      <w:r w:rsidR="00AD62E2" w:rsidRPr="002F16A1">
        <w:rPr>
          <w:noProof/>
        </w:rPr>
        <w:t>–9 dyrektywy 2011/92/UE, odpowiedni promotor projektu zwraca się do właściwego organu krajowego,</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8</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w:t>
      </w:r>
      <w:r w:rsidR="0028384B" w:rsidRPr="002F16A1">
        <w:rPr>
          <w:noProof/>
        </w:rPr>
        <w:t xml:space="preserve"> o</w:t>
      </w:r>
      <w:r w:rsidR="0028384B">
        <w:rPr>
          <w:noProof/>
        </w:rPr>
        <w:t> </w:t>
      </w:r>
      <w:r w:rsidR="0028384B" w:rsidRPr="002F16A1">
        <w:rPr>
          <w:noProof/>
        </w:rPr>
        <w:t>opi</w:t>
      </w:r>
      <w:r w:rsidR="00AD62E2" w:rsidRPr="002F16A1">
        <w:rPr>
          <w:noProof/>
        </w:rPr>
        <w:t>nię dotyczącą zakresu</w:t>
      </w:r>
      <w:r w:rsidR="0028384B" w:rsidRPr="002F16A1">
        <w:rPr>
          <w:noProof/>
        </w:rPr>
        <w:t xml:space="preserve"> i</w:t>
      </w:r>
      <w:r w:rsidR="0028384B">
        <w:rPr>
          <w:noProof/>
        </w:rPr>
        <w:t> </w:t>
      </w:r>
      <w:r w:rsidR="0028384B" w:rsidRPr="002F16A1">
        <w:rPr>
          <w:noProof/>
        </w:rPr>
        <w:t>sto</w:t>
      </w:r>
      <w:r w:rsidR="00AD62E2" w:rsidRPr="002F16A1">
        <w:rPr>
          <w:noProof/>
        </w:rPr>
        <w:t>pnia szczegółowości informacji, jakie należy zawrzeć</w:t>
      </w:r>
      <w:r w:rsidR="0028384B" w:rsidRPr="002F16A1">
        <w:rPr>
          <w:noProof/>
        </w:rPr>
        <w:t xml:space="preserve"> w</w:t>
      </w:r>
      <w:r w:rsidR="0028384B">
        <w:rPr>
          <w:noProof/>
        </w:rPr>
        <w:t> </w:t>
      </w:r>
      <w:r w:rsidR="0028384B" w:rsidRPr="002F16A1">
        <w:rPr>
          <w:noProof/>
        </w:rPr>
        <w:t>rap</w:t>
      </w:r>
      <w:r w:rsidR="00AD62E2" w:rsidRPr="002F16A1">
        <w:rPr>
          <w:noProof/>
        </w:rPr>
        <w:t>orcie</w:t>
      </w:r>
      <w:r w:rsidR="0028384B" w:rsidRPr="002F16A1">
        <w:rPr>
          <w:noProof/>
        </w:rPr>
        <w:t xml:space="preserve"> z</w:t>
      </w:r>
      <w:r w:rsidR="0028384B">
        <w:rPr>
          <w:noProof/>
        </w:rPr>
        <w:t> </w:t>
      </w:r>
      <w:r w:rsidR="0028384B" w:rsidRPr="002F16A1">
        <w:rPr>
          <w:noProof/>
        </w:rPr>
        <w:t>odd</w:t>
      </w:r>
      <w:r w:rsidR="00AD62E2" w:rsidRPr="002F16A1">
        <w:rPr>
          <w:noProof/>
        </w:rPr>
        <w:t xml:space="preserve">ziaływania przedsięwzięcia na środowisko na podstawie </w:t>
      </w:r>
      <w:r w:rsidR="00AD62E2" w:rsidRPr="0028384B">
        <w:rPr>
          <w:noProof/>
        </w:rPr>
        <w:t>art.</w:t>
      </w:r>
      <w:r w:rsidR="0028384B" w:rsidRPr="0028384B">
        <w:rPr>
          <w:noProof/>
        </w:rPr>
        <w:t> </w:t>
      </w:r>
      <w:r w:rsidR="00AD62E2" w:rsidRPr="0028384B">
        <w:rPr>
          <w:noProof/>
        </w:rPr>
        <w:t>5</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 xml:space="preserve"> przedmiotowej dyrektywy.</w:t>
      </w:r>
    </w:p>
    <w:p w:rsidR="00AD62E2" w:rsidRPr="002F16A1" w:rsidRDefault="00AD62E2" w:rsidP="00AD62E2">
      <w:pPr>
        <w:pStyle w:val="Text1"/>
        <w:rPr>
          <w:noProof/>
        </w:rPr>
      </w:pPr>
      <w:r w:rsidRPr="002F16A1">
        <w:rPr>
          <w:noProof/>
        </w:rPr>
        <w:t>Właściwy organ krajowy,</w:t>
      </w:r>
      <w:r w:rsidR="0028384B" w:rsidRPr="002F16A1">
        <w:rPr>
          <w:noProof/>
        </w:rPr>
        <w:t xml:space="preserve"> o</w:t>
      </w:r>
      <w:r w:rsidR="0028384B">
        <w:rPr>
          <w:noProof/>
        </w:rPr>
        <w:t> </w:t>
      </w:r>
      <w:r w:rsidR="0028384B" w:rsidRPr="002F16A1">
        <w:rPr>
          <w:noProof/>
        </w:rPr>
        <w:t>któ</w:t>
      </w:r>
      <w:r w:rsidRPr="002F16A1">
        <w:rPr>
          <w:noProof/>
        </w:rPr>
        <w:t>rym mowa</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8</w:t>
      </w:r>
      <w:r w:rsidRPr="002F16A1">
        <w:rPr>
          <w:noProof/>
        </w:rPr>
        <w:t xml:space="preserve"> </w:t>
      </w:r>
      <w:r w:rsidRPr="0028384B">
        <w:rPr>
          <w:noProof/>
        </w:rPr>
        <w:t>ust.</w:t>
      </w:r>
      <w:r w:rsidR="0028384B" w:rsidRPr="0028384B">
        <w:rPr>
          <w:noProof/>
        </w:rPr>
        <w:t> </w:t>
      </w:r>
      <w:r w:rsidRPr="0028384B">
        <w:rPr>
          <w:noProof/>
        </w:rPr>
        <w:t>1</w:t>
      </w:r>
      <w:r w:rsidRPr="002F16A1">
        <w:rPr>
          <w:noProof/>
        </w:rPr>
        <w:t>, zapewnia, aby opinię,</w:t>
      </w:r>
      <w:r w:rsidR="0028384B" w:rsidRPr="002F16A1">
        <w:rPr>
          <w:noProof/>
        </w:rPr>
        <w:t xml:space="preserve"> o</w:t>
      </w:r>
      <w:r w:rsidR="0028384B">
        <w:rPr>
          <w:noProof/>
        </w:rPr>
        <w:t> </w:t>
      </w:r>
      <w:r w:rsidR="0028384B" w:rsidRPr="002F16A1">
        <w:rPr>
          <w:noProof/>
        </w:rPr>
        <w:t>któ</w:t>
      </w:r>
      <w:r w:rsidRPr="002F16A1">
        <w:rPr>
          <w:noProof/>
        </w:rPr>
        <w:t>rej mowa</w:t>
      </w:r>
      <w:r w:rsidR="0028384B" w:rsidRPr="002F16A1">
        <w:rPr>
          <w:noProof/>
        </w:rPr>
        <w:t xml:space="preserve"> w</w:t>
      </w:r>
      <w:r w:rsidR="0028384B">
        <w:rPr>
          <w:noProof/>
        </w:rPr>
        <w:t> </w:t>
      </w:r>
      <w:r w:rsidR="0028384B" w:rsidRPr="002F16A1">
        <w:rPr>
          <w:noProof/>
        </w:rPr>
        <w:t>aka</w:t>
      </w:r>
      <w:r w:rsidRPr="002F16A1">
        <w:rPr>
          <w:noProof/>
        </w:rPr>
        <w:t>picie pierwszym, wydano możliwie jak najszybciej</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ter</w:t>
      </w:r>
      <w:r w:rsidRPr="002F16A1">
        <w:rPr>
          <w:noProof/>
        </w:rPr>
        <w:t>minie nieprzekraczającym 30 dni od daty przedłożenia wniosku przez promotora projektu.</w:t>
      </w:r>
    </w:p>
    <w:p w:rsidR="00AD62E2" w:rsidRPr="002F16A1" w:rsidRDefault="00733965" w:rsidP="00733965">
      <w:pPr>
        <w:pStyle w:val="ManualNumPar1"/>
        <w:rPr>
          <w:noProof/>
        </w:rPr>
      </w:pPr>
      <w:r w:rsidRPr="00733965">
        <w:t>2.</w:t>
      </w:r>
      <w:r w:rsidRPr="00733965">
        <w:tab/>
      </w:r>
      <w:r w:rsidR="00AD62E2" w:rsidRPr="002F16A1">
        <w:rPr>
          <w:noProof/>
        </w:rPr>
        <w:t>W odniesieniu do projektów strategicznych,</w:t>
      </w:r>
      <w:r w:rsidR="0028384B" w:rsidRPr="002F16A1">
        <w:rPr>
          <w:noProof/>
        </w:rPr>
        <w:t xml:space="preserve"> w</w:t>
      </w:r>
      <w:r w:rsidR="0028384B">
        <w:rPr>
          <w:noProof/>
        </w:rPr>
        <w:t> </w:t>
      </w:r>
      <w:r w:rsidR="0028384B" w:rsidRPr="002F16A1">
        <w:rPr>
          <w:noProof/>
        </w:rPr>
        <w:t>prz</w:t>
      </w:r>
      <w:r w:rsidR="00AD62E2" w:rsidRPr="002F16A1">
        <w:rPr>
          <w:noProof/>
        </w:rPr>
        <w:t>ypadku których obowiązek przeprowadzenia oceny skutków dla środowiska wynika jednocześnie</w:t>
      </w:r>
      <w:r w:rsidR="0028384B" w:rsidRPr="002F16A1">
        <w:rPr>
          <w:noProof/>
        </w:rPr>
        <w:t xml:space="preserve"> z</w:t>
      </w:r>
      <w:r w:rsidR="0028384B">
        <w:rPr>
          <w:noProof/>
        </w:rPr>
        <w:t> </w:t>
      </w:r>
      <w:r w:rsidR="0028384B" w:rsidRPr="002F16A1">
        <w:rPr>
          <w:noProof/>
        </w:rPr>
        <w:t>dyr</w:t>
      </w:r>
      <w:r w:rsidR="00AD62E2" w:rsidRPr="002F16A1">
        <w:rPr>
          <w:noProof/>
        </w:rPr>
        <w:t>ektywy Rady 92/43/EWG, dyrektyw Parlamentu Europejskiego</w:t>
      </w:r>
      <w:r w:rsidR="0028384B" w:rsidRPr="002F16A1">
        <w:rPr>
          <w:noProof/>
        </w:rPr>
        <w:t xml:space="preserve"> i</w:t>
      </w:r>
      <w:r w:rsidR="0028384B">
        <w:rPr>
          <w:noProof/>
        </w:rPr>
        <w:t> </w:t>
      </w:r>
      <w:r w:rsidR="0028384B" w:rsidRPr="002F16A1">
        <w:rPr>
          <w:noProof/>
        </w:rPr>
        <w:t>Rad</w:t>
      </w:r>
      <w:r w:rsidR="00AD62E2" w:rsidRPr="002F16A1">
        <w:rPr>
          <w:noProof/>
        </w:rPr>
        <w:t xml:space="preserve">y 2000/60/WE, 2008/98/WE, 2009/147/WE, 2010/75/UE, 2011/92/UE </w:t>
      </w:r>
      <w:r w:rsidR="00AD62E2" w:rsidRPr="0028384B">
        <w:rPr>
          <w:noProof/>
        </w:rPr>
        <w:t>lub</w:t>
      </w:r>
      <w:r w:rsidR="0028384B" w:rsidRPr="0028384B">
        <w:rPr>
          <w:noProof/>
        </w:rPr>
        <w:t> </w:t>
      </w:r>
      <w:r w:rsidR="00AD62E2" w:rsidRPr="0028384B">
        <w:rPr>
          <w:noProof/>
        </w:rPr>
        <w:t>2</w:t>
      </w:r>
      <w:r w:rsidR="00AD62E2" w:rsidRPr="002F16A1">
        <w:rPr>
          <w:noProof/>
        </w:rPr>
        <w:t>012/18/UE, właściwy organ krajowy,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8</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 zapewnia zastosowanie skoordynowanej lub wspólnej procedury spełniającej wymogi przedmiotowych przepisów Unii.</w:t>
      </w:r>
    </w:p>
    <w:p w:rsidR="00AD62E2" w:rsidRPr="002F16A1" w:rsidRDefault="00AD62E2" w:rsidP="00AD62E2">
      <w:pPr>
        <w:pStyle w:val="Text1"/>
        <w:rPr>
          <w:noProof/>
        </w:rPr>
      </w:pPr>
      <w:r w:rsidRPr="002F16A1">
        <w:rPr>
          <w:noProof/>
        </w:rPr>
        <w:t>W ramach skoordynowanej procedury,</w:t>
      </w:r>
      <w:r w:rsidR="0028384B" w:rsidRPr="002F16A1">
        <w:rPr>
          <w:noProof/>
        </w:rPr>
        <w:t xml:space="preserve"> o</w:t>
      </w:r>
      <w:r w:rsidR="0028384B">
        <w:rPr>
          <w:noProof/>
        </w:rPr>
        <w:t> </w:t>
      </w:r>
      <w:r w:rsidR="0028384B" w:rsidRPr="002F16A1">
        <w:rPr>
          <w:noProof/>
        </w:rPr>
        <w:t>któ</w:t>
      </w:r>
      <w:r w:rsidRPr="002F16A1">
        <w:rPr>
          <w:noProof/>
        </w:rPr>
        <w:t>rej mowa</w:t>
      </w:r>
      <w:r w:rsidR="0028384B" w:rsidRPr="002F16A1">
        <w:rPr>
          <w:noProof/>
        </w:rPr>
        <w:t xml:space="preserve"> w</w:t>
      </w:r>
      <w:r w:rsidR="0028384B">
        <w:rPr>
          <w:noProof/>
        </w:rPr>
        <w:t> </w:t>
      </w:r>
      <w:r w:rsidR="0028384B" w:rsidRPr="002F16A1">
        <w:rPr>
          <w:noProof/>
        </w:rPr>
        <w:t>aka</w:t>
      </w:r>
      <w:r w:rsidRPr="002F16A1">
        <w:rPr>
          <w:noProof/>
        </w:rPr>
        <w:t>picie pierwszym, właściwy organ krajowy,</w:t>
      </w:r>
      <w:r w:rsidR="0028384B" w:rsidRPr="002F16A1">
        <w:rPr>
          <w:noProof/>
        </w:rPr>
        <w:t xml:space="preserve"> o</w:t>
      </w:r>
      <w:r w:rsidR="0028384B">
        <w:rPr>
          <w:noProof/>
        </w:rPr>
        <w:t> </w:t>
      </w:r>
      <w:r w:rsidR="0028384B" w:rsidRPr="002F16A1">
        <w:rPr>
          <w:noProof/>
        </w:rPr>
        <w:t>któ</w:t>
      </w:r>
      <w:r w:rsidRPr="002F16A1">
        <w:rPr>
          <w:noProof/>
        </w:rPr>
        <w:t>rym mowa</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8</w:t>
      </w:r>
      <w:r w:rsidRPr="002F16A1">
        <w:rPr>
          <w:noProof/>
        </w:rPr>
        <w:t xml:space="preserve"> </w:t>
      </w:r>
      <w:r w:rsidRPr="0028384B">
        <w:rPr>
          <w:noProof/>
        </w:rPr>
        <w:t>ust.</w:t>
      </w:r>
      <w:r w:rsidR="0028384B" w:rsidRPr="0028384B">
        <w:rPr>
          <w:noProof/>
        </w:rPr>
        <w:t> </w:t>
      </w:r>
      <w:r w:rsidRPr="0028384B">
        <w:rPr>
          <w:noProof/>
        </w:rPr>
        <w:t>1</w:t>
      </w:r>
      <w:r w:rsidRPr="002F16A1">
        <w:rPr>
          <w:noProof/>
        </w:rPr>
        <w:t>, koordynuje prowadzenie poszczególnych ocen wpływu na środowisko danego projektu, wymaganych przez odpowiednie przepisy Unii.</w:t>
      </w:r>
    </w:p>
    <w:p w:rsidR="00AD62E2" w:rsidRPr="002F16A1" w:rsidRDefault="00AD62E2" w:rsidP="00AD62E2">
      <w:pPr>
        <w:pStyle w:val="Text1"/>
        <w:rPr>
          <w:noProof/>
        </w:rPr>
      </w:pPr>
      <w:r w:rsidRPr="002F16A1">
        <w:rPr>
          <w:noProof/>
        </w:rPr>
        <w:t>W ramach wspólnej procedury,</w:t>
      </w:r>
      <w:r w:rsidR="0028384B" w:rsidRPr="002F16A1">
        <w:rPr>
          <w:noProof/>
        </w:rPr>
        <w:t xml:space="preserve"> o</w:t>
      </w:r>
      <w:r w:rsidR="0028384B">
        <w:rPr>
          <w:noProof/>
        </w:rPr>
        <w:t> </w:t>
      </w:r>
      <w:r w:rsidR="0028384B" w:rsidRPr="002F16A1">
        <w:rPr>
          <w:noProof/>
        </w:rPr>
        <w:t>któ</w:t>
      </w:r>
      <w:r w:rsidRPr="002F16A1">
        <w:rPr>
          <w:noProof/>
        </w:rPr>
        <w:t>rej mowa</w:t>
      </w:r>
      <w:r w:rsidR="0028384B" w:rsidRPr="002F16A1">
        <w:rPr>
          <w:noProof/>
        </w:rPr>
        <w:t xml:space="preserve"> w</w:t>
      </w:r>
      <w:r w:rsidR="0028384B">
        <w:rPr>
          <w:noProof/>
        </w:rPr>
        <w:t> </w:t>
      </w:r>
      <w:r w:rsidR="0028384B" w:rsidRPr="002F16A1">
        <w:rPr>
          <w:noProof/>
        </w:rPr>
        <w:t>aka</w:t>
      </w:r>
      <w:r w:rsidRPr="002F16A1">
        <w:rPr>
          <w:noProof/>
        </w:rPr>
        <w:t>picie pierwszym, właściwy organ krajowy,</w:t>
      </w:r>
      <w:r w:rsidR="0028384B" w:rsidRPr="002F16A1">
        <w:rPr>
          <w:noProof/>
        </w:rPr>
        <w:t xml:space="preserve"> o</w:t>
      </w:r>
      <w:r w:rsidR="0028384B">
        <w:rPr>
          <w:noProof/>
        </w:rPr>
        <w:t> </w:t>
      </w:r>
      <w:r w:rsidR="0028384B" w:rsidRPr="002F16A1">
        <w:rPr>
          <w:noProof/>
        </w:rPr>
        <w:t>któ</w:t>
      </w:r>
      <w:r w:rsidRPr="002F16A1">
        <w:rPr>
          <w:noProof/>
        </w:rPr>
        <w:t>rym mowa</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8</w:t>
      </w:r>
      <w:r w:rsidRPr="002F16A1">
        <w:rPr>
          <w:noProof/>
        </w:rPr>
        <w:t xml:space="preserve"> </w:t>
      </w:r>
      <w:r w:rsidRPr="0028384B">
        <w:rPr>
          <w:noProof/>
        </w:rPr>
        <w:t>ust.</w:t>
      </w:r>
      <w:r w:rsidR="0028384B" w:rsidRPr="0028384B">
        <w:rPr>
          <w:noProof/>
        </w:rPr>
        <w:t> </w:t>
      </w:r>
      <w:r w:rsidRPr="0028384B">
        <w:rPr>
          <w:noProof/>
        </w:rPr>
        <w:t>1</w:t>
      </w:r>
      <w:r w:rsidRPr="002F16A1">
        <w:rPr>
          <w:noProof/>
        </w:rPr>
        <w:t>, zapewnia przeprowadzenie jednej oceny wpływu na środowisko danego projektu, wymaganej przez odpowiednie przepisy Unii.</w:t>
      </w:r>
    </w:p>
    <w:p w:rsidR="00AD62E2" w:rsidRPr="002F16A1" w:rsidRDefault="00733965" w:rsidP="00733965">
      <w:pPr>
        <w:pStyle w:val="ManualNumPar1"/>
        <w:rPr>
          <w:noProof/>
        </w:rPr>
      </w:pPr>
      <w:r w:rsidRPr="00733965">
        <w:t>3.</w:t>
      </w:r>
      <w:r w:rsidRPr="00733965">
        <w:tab/>
      </w:r>
      <w:r w:rsidR="00AD62E2" w:rsidRPr="002F16A1">
        <w:rPr>
          <w:noProof/>
        </w:rPr>
        <w:t>Właściwy organ krajowy,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8</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 zapewnia, aby zainteresowane organy wydały uzasadnioną konkluzję,</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1</w:t>
      </w:r>
      <w:r w:rsidR="00AD62E2" w:rsidRPr="002F16A1">
        <w:rPr>
          <w:noProof/>
        </w:rPr>
        <w:t xml:space="preserve"> </w:t>
      </w:r>
      <w:r w:rsidR="00AD62E2" w:rsidRPr="0028384B">
        <w:rPr>
          <w:noProof/>
        </w:rPr>
        <w:t>ust.</w:t>
      </w:r>
      <w:r w:rsidR="0028384B" w:rsidRPr="0028384B">
        <w:rPr>
          <w:noProof/>
        </w:rPr>
        <w:t> </w:t>
      </w:r>
      <w:r w:rsidR="00AD62E2" w:rsidRPr="0028384B">
        <w:rPr>
          <w:noProof/>
        </w:rPr>
        <w:t>2</w:t>
      </w:r>
      <w:r w:rsidR="00AD62E2" w:rsidRPr="002F16A1">
        <w:rPr>
          <w:noProof/>
        </w:rPr>
        <w:t xml:space="preserve"> </w:t>
      </w:r>
      <w:r w:rsidR="00AD62E2" w:rsidRPr="0028384B">
        <w:rPr>
          <w:noProof/>
        </w:rPr>
        <w:t>lit.</w:t>
      </w:r>
      <w:r w:rsidR="0028384B" w:rsidRPr="0028384B">
        <w:rPr>
          <w:noProof/>
        </w:rPr>
        <w:t> </w:t>
      </w:r>
      <w:r w:rsidR="00AD62E2" w:rsidRPr="0028384B">
        <w:rPr>
          <w:noProof/>
        </w:rPr>
        <w:t>g)</w:t>
      </w:r>
      <w:r w:rsidR="00AD62E2" w:rsidRPr="002F16A1">
        <w:rPr>
          <w:noProof/>
        </w:rPr>
        <w:t xml:space="preserve"> pkt (iv) dyrektywy 2011/92/UE, dotyczącą oceny oddziaływania na środowisko projektu strategicznego</w:t>
      </w:r>
      <w:r w:rsidR="0028384B" w:rsidRPr="002F16A1">
        <w:rPr>
          <w:noProof/>
        </w:rPr>
        <w:t xml:space="preserve"> w</w:t>
      </w:r>
      <w:r w:rsidR="0028384B">
        <w:rPr>
          <w:noProof/>
        </w:rPr>
        <w:t> </w:t>
      </w:r>
      <w:r w:rsidR="0028384B" w:rsidRPr="002F16A1">
        <w:rPr>
          <w:noProof/>
        </w:rPr>
        <w:t>ter</w:t>
      </w:r>
      <w:r w:rsidR="00AD62E2" w:rsidRPr="002F16A1">
        <w:rPr>
          <w:noProof/>
        </w:rPr>
        <w:t>minie trzech miesięcy od otrzymania wszystkich niezbędnych informacji zebranych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5</w:t>
      </w:r>
      <w:r w:rsidR="00AD62E2" w:rsidRPr="002F16A1">
        <w:rPr>
          <w:noProof/>
        </w:rPr>
        <w:t>, 6</w:t>
      </w:r>
      <w:r w:rsidR="0028384B" w:rsidRPr="002F16A1">
        <w:rPr>
          <w:noProof/>
        </w:rPr>
        <w:t xml:space="preserve"> i</w:t>
      </w:r>
      <w:r w:rsidR="0028384B">
        <w:rPr>
          <w:noProof/>
        </w:rPr>
        <w:t> </w:t>
      </w:r>
      <w:r w:rsidR="0028384B" w:rsidRPr="002F16A1">
        <w:rPr>
          <w:noProof/>
        </w:rPr>
        <w:t>7</w:t>
      </w:r>
      <w:r w:rsidR="00AD62E2" w:rsidRPr="002F16A1">
        <w:rPr>
          <w:noProof/>
        </w:rPr>
        <w:t xml:space="preserve"> tej dyrektywy oraz od zakończenia konsultacji,</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6</w:t>
      </w:r>
      <w:r w:rsidR="0028384B" w:rsidRPr="002F16A1">
        <w:rPr>
          <w:noProof/>
        </w:rPr>
        <w:t xml:space="preserve"> i</w:t>
      </w:r>
      <w:r w:rsidR="0028384B">
        <w:rPr>
          <w:noProof/>
        </w:rPr>
        <w:t> </w:t>
      </w:r>
      <w:r w:rsidR="0028384B" w:rsidRPr="002F16A1">
        <w:rPr>
          <w:noProof/>
        </w:rPr>
        <w:t>7</w:t>
      </w:r>
      <w:r w:rsidR="00AD62E2" w:rsidRPr="002F16A1">
        <w:rPr>
          <w:noProof/>
        </w:rPr>
        <w:t xml:space="preserve"> tej dyrektywy.</w:t>
      </w:r>
    </w:p>
    <w:p w:rsidR="00AD62E2" w:rsidRPr="002F16A1" w:rsidRDefault="00733965" w:rsidP="00733965">
      <w:pPr>
        <w:pStyle w:val="ManualNumPar1"/>
        <w:rPr>
          <w:noProof/>
        </w:rPr>
      </w:pPr>
      <w:r w:rsidRPr="00733965">
        <w:t>4.</w:t>
      </w:r>
      <w:r w:rsidRPr="00733965">
        <w:tab/>
      </w:r>
      <w:r w:rsidR="00AD62E2" w:rsidRPr="002F16A1">
        <w:rPr>
          <w:noProof/>
        </w:rPr>
        <w:t>W przypadku projektów strategicznych termin konsultowania się ze społecznością zainteresowaną raportem</w:t>
      </w:r>
      <w:r w:rsidR="0028384B" w:rsidRPr="002F16A1">
        <w:rPr>
          <w:noProof/>
        </w:rPr>
        <w:t xml:space="preserve"> o</w:t>
      </w:r>
      <w:r w:rsidR="0028384B">
        <w:rPr>
          <w:noProof/>
        </w:rPr>
        <w:t> </w:t>
      </w:r>
      <w:r w:rsidR="0028384B" w:rsidRPr="002F16A1">
        <w:rPr>
          <w:noProof/>
        </w:rPr>
        <w:t>odd</w:t>
      </w:r>
      <w:r w:rsidR="00AD62E2" w:rsidRPr="002F16A1">
        <w:rPr>
          <w:noProof/>
        </w:rPr>
        <w:t>ziaływaniu przedsięwzięcia na środowisko,</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5</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 xml:space="preserve"> dyrektywy 2011/92/UE, nie jest dłuższy niż 90 dni.</w:t>
      </w:r>
    </w:p>
    <w:p w:rsidR="00AD62E2" w:rsidRPr="002F16A1" w:rsidRDefault="00733965" w:rsidP="00733965">
      <w:pPr>
        <w:pStyle w:val="ManualNumPar1"/>
        <w:rPr>
          <w:noProof/>
        </w:rPr>
      </w:pPr>
      <w:r w:rsidRPr="00733965">
        <w:t>5.</w:t>
      </w:r>
      <w:r w:rsidRPr="00733965">
        <w:tab/>
      </w:r>
      <w:r w:rsidR="00AD62E2" w:rsidRPr="002F16A1">
        <w:rPr>
          <w:noProof/>
        </w:rPr>
        <w:t>Ust. 1 niniejszego artykułu nie ma zastosowania do procesu wydawania pozwoleń dla projektów strategicznych, które rozpoczęły proces wydawania pozwoleń przed uzyskaniem statusu projektu strategicznego.</w:t>
      </w:r>
    </w:p>
    <w:p w:rsidR="00AD62E2" w:rsidRPr="002F16A1" w:rsidRDefault="00AD62E2" w:rsidP="00AD62E2">
      <w:pPr>
        <w:pStyle w:val="Text1"/>
        <w:rPr>
          <w:noProof/>
        </w:rPr>
      </w:pPr>
      <w:r w:rsidRPr="002F16A1">
        <w:rPr>
          <w:noProof/>
        </w:rPr>
        <w:t>Ust. 2–4 niniejszego artykułu mają zastosowanie do procesu wydawania pozwoleń dla projektów strategicznych, które rozpoczęły proces wydawania pozwoleń przed uzyskaniem statusu projektu strategicznego jedynie</w:t>
      </w:r>
      <w:r w:rsidR="0028384B" w:rsidRPr="002F16A1">
        <w:rPr>
          <w:noProof/>
        </w:rPr>
        <w:t xml:space="preserve"> w</w:t>
      </w:r>
      <w:r w:rsidR="0028384B">
        <w:rPr>
          <w:noProof/>
        </w:rPr>
        <w:t> </w:t>
      </w:r>
      <w:r w:rsidR="0028384B" w:rsidRPr="002F16A1">
        <w:rPr>
          <w:noProof/>
        </w:rPr>
        <w:t>zak</w:t>
      </w:r>
      <w:r w:rsidRPr="002F16A1">
        <w:rPr>
          <w:noProof/>
        </w:rPr>
        <w:t>resie,</w:t>
      </w:r>
      <w:r w:rsidR="0028384B" w:rsidRPr="002F16A1">
        <w:rPr>
          <w:noProof/>
        </w:rPr>
        <w:t xml:space="preserve"> w</w:t>
      </w:r>
      <w:r w:rsidR="0028384B">
        <w:rPr>
          <w:noProof/>
        </w:rPr>
        <w:t> </w:t>
      </w:r>
      <w:r w:rsidR="0028384B" w:rsidRPr="002F16A1">
        <w:rPr>
          <w:noProof/>
        </w:rPr>
        <w:t>jak</w:t>
      </w:r>
      <w:r w:rsidRPr="002F16A1">
        <w:rPr>
          <w:noProof/>
        </w:rPr>
        <w:t>im działania,</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F16A1">
        <w:rPr>
          <w:noProof/>
        </w:rPr>
        <w:t>tyc</w:t>
      </w:r>
      <w:r w:rsidRPr="002F16A1">
        <w:rPr>
          <w:noProof/>
        </w:rPr>
        <w:t>h ustępach, nie zostały jeszcze zakończone.</w:t>
      </w:r>
    </w:p>
    <w:p w:rsidR="00AD62E2" w:rsidRPr="002F16A1" w:rsidRDefault="00AD62E2" w:rsidP="00AD62E2">
      <w:pPr>
        <w:pStyle w:val="Titrearticle"/>
        <w:rPr>
          <w:noProof/>
        </w:rPr>
      </w:pPr>
      <w:r w:rsidRPr="002F16A1">
        <w:rPr>
          <w:noProof/>
        </w:rPr>
        <w:t>Artykuł 12</w:t>
      </w:r>
    </w:p>
    <w:p w:rsidR="00AD62E2" w:rsidRPr="002F16A1" w:rsidRDefault="00AD62E2" w:rsidP="00AD62E2">
      <w:pPr>
        <w:pStyle w:val="NormalCentered"/>
        <w:rPr>
          <w:noProof/>
        </w:rPr>
      </w:pPr>
      <w:r w:rsidRPr="002F16A1">
        <w:rPr>
          <w:b/>
          <w:noProof/>
        </w:rPr>
        <w:t>Planowanie</w:t>
      </w:r>
    </w:p>
    <w:p w:rsidR="00AD62E2" w:rsidRPr="0028384B" w:rsidRDefault="00733965" w:rsidP="00733965">
      <w:pPr>
        <w:pStyle w:val="ManualNumPar1"/>
        <w:rPr>
          <w:noProof/>
        </w:rPr>
      </w:pPr>
      <w:r w:rsidRPr="00733965">
        <w:t>1.</w:t>
      </w:r>
      <w:r w:rsidRPr="00733965">
        <w:tab/>
      </w:r>
      <w:r w:rsidR="00AD62E2" w:rsidRPr="002F16A1">
        <w:rPr>
          <w:noProof/>
        </w:rPr>
        <w:t>Państwa członkowskie zapewniają, aby organy krajowe, regionalne</w:t>
      </w:r>
      <w:r w:rsidR="0028384B" w:rsidRPr="002F16A1">
        <w:rPr>
          <w:noProof/>
        </w:rPr>
        <w:t xml:space="preserve"> i</w:t>
      </w:r>
      <w:r w:rsidR="0028384B">
        <w:rPr>
          <w:noProof/>
        </w:rPr>
        <w:t> </w:t>
      </w:r>
      <w:r w:rsidR="0028384B" w:rsidRPr="002F16A1">
        <w:rPr>
          <w:noProof/>
        </w:rPr>
        <w:t>lok</w:t>
      </w:r>
      <w:r w:rsidR="00AD62E2" w:rsidRPr="002F16A1">
        <w:rPr>
          <w:noProof/>
        </w:rPr>
        <w:t>alne, które są odpowiedzialne za przygotowanie planów,</w:t>
      </w:r>
      <w:r w:rsidR="0028384B" w:rsidRPr="002F16A1">
        <w:rPr>
          <w:noProof/>
        </w:rPr>
        <w:t xml:space="preserve"> w</w:t>
      </w:r>
      <w:r w:rsidR="0028384B">
        <w:rPr>
          <w:noProof/>
        </w:rPr>
        <w:t> </w:t>
      </w:r>
      <w:r w:rsidR="0028384B" w:rsidRPr="002F16A1">
        <w:rPr>
          <w:noProof/>
        </w:rPr>
        <w:t>tym</w:t>
      </w:r>
      <w:r w:rsidR="00AD62E2" w:rsidRPr="002F16A1">
        <w:rPr>
          <w:noProof/>
        </w:rPr>
        <w:t xml:space="preserve"> planów zagospodarowania przestrzennego</w:t>
      </w:r>
      <w:r w:rsidR="0028384B" w:rsidRPr="002F16A1">
        <w:rPr>
          <w:noProof/>
        </w:rPr>
        <w:t xml:space="preserve"> i</w:t>
      </w:r>
      <w:r w:rsidR="0028384B">
        <w:rPr>
          <w:noProof/>
        </w:rPr>
        <w:t> </w:t>
      </w:r>
      <w:r w:rsidR="0028384B" w:rsidRPr="002F16A1">
        <w:rPr>
          <w:noProof/>
        </w:rPr>
        <w:t>uży</w:t>
      </w:r>
      <w:r w:rsidR="00AD62E2" w:rsidRPr="002F16A1">
        <w:rPr>
          <w:noProof/>
        </w:rPr>
        <w:t>tkowania gruntów, włączały do tych planów,</w:t>
      </w:r>
      <w:r w:rsidR="0028384B" w:rsidRPr="002F16A1">
        <w:rPr>
          <w:noProof/>
        </w:rPr>
        <w:t xml:space="preserve"> w</w:t>
      </w:r>
      <w:r w:rsidR="0028384B">
        <w:rPr>
          <w:noProof/>
        </w:rPr>
        <w:t> </w:t>
      </w:r>
      <w:r w:rsidR="0028384B" w:rsidRPr="002F16A1">
        <w:rPr>
          <w:noProof/>
        </w:rPr>
        <w:t>sto</w:t>
      </w:r>
      <w:r w:rsidR="00AD62E2" w:rsidRPr="002F16A1">
        <w:rPr>
          <w:noProof/>
        </w:rPr>
        <w:t>sownych przypadkach, przepisy dotyczące rozwoju projektów dotyczących surowców krytycznych. Priorytetowo traktuje się grunty sztuczne</w:t>
      </w:r>
      <w:r w:rsidR="0028384B" w:rsidRPr="002F16A1">
        <w:rPr>
          <w:noProof/>
        </w:rPr>
        <w:t xml:space="preserve"> i</w:t>
      </w:r>
      <w:r w:rsidR="0028384B">
        <w:rPr>
          <w:noProof/>
        </w:rPr>
        <w:t> </w:t>
      </w:r>
      <w:r w:rsidR="0028384B" w:rsidRPr="002F16A1">
        <w:rPr>
          <w:noProof/>
        </w:rPr>
        <w:t>zab</w:t>
      </w:r>
      <w:r w:rsidR="00AD62E2" w:rsidRPr="002F16A1">
        <w:rPr>
          <w:noProof/>
        </w:rPr>
        <w:t>udowane, tereny przemysłowe, tereny zdegradowane oraz,</w:t>
      </w:r>
      <w:r w:rsidR="0028384B" w:rsidRPr="002F16A1">
        <w:rPr>
          <w:noProof/>
        </w:rPr>
        <w:t xml:space="preserve"> w</w:t>
      </w:r>
      <w:r w:rsidR="0028384B">
        <w:rPr>
          <w:noProof/>
        </w:rPr>
        <w:t> </w:t>
      </w:r>
      <w:r w:rsidR="0028384B" w:rsidRPr="002F16A1">
        <w:rPr>
          <w:noProof/>
        </w:rPr>
        <w:t>sto</w:t>
      </w:r>
      <w:r w:rsidR="00AD62E2" w:rsidRPr="002F16A1">
        <w:rPr>
          <w:noProof/>
        </w:rPr>
        <w:t>sownych przypadkach, tereny niezagospodarowane nienadające się do wykorzystania</w:t>
      </w:r>
      <w:r w:rsidR="0028384B" w:rsidRPr="002F16A1">
        <w:rPr>
          <w:noProof/>
        </w:rPr>
        <w:t xml:space="preserve"> w</w:t>
      </w:r>
      <w:r w:rsidR="0028384B">
        <w:rPr>
          <w:noProof/>
        </w:rPr>
        <w:t> </w:t>
      </w:r>
      <w:r w:rsidR="0028384B" w:rsidRPr="002F16A1">
        <w:rPr>
          <w:noProof/>
        </w:rPr>
        <w:t>rol</w:t>
      </w:r>
      <w:r w:rsidR="00AD62E2" w:rsidRPr="002F16A1">
        <w:rPr>
          <w:noProof/>
        </w:rPr>
        <w:t>nictwie</w:t>
      </w:r>
      <w:r w:rsidR="0028384B" w:rsidRPr="002F16A1">
        <w:rPr>
          <w:noProof/>
        </w:rPr>
        <w:t xml:space="preserve"> i</w:t>
      </w:r>
      <w:r w:rsidR="0028384B">
        <w:rPr>
          <w:noProof/>
        </w:rPr>
        <w:t> </w:t>
      </w:r>
      <w:r w:rsidR="0028384B" w:rsidRPr="002F16A1">
        <w:rPr>
          <w:noProof/>
        </w:rPr>
        <w:t>leś</w:t>
      </w:r>
      <w:r w:rsidR="00AD62E2" w:rsidRPr="002F16A1">
        <w:rPr>
          <w:noProof/>
        </w:rPr>
        <w:t>nictwie</w:t>
      </w:r>
      <w:r w:rsidR="00AD62E2" w:rsidRPr="0028384B">
        <w:rPr>
          <w:noProof/>
        </w:rPr>
        <w:t>.</w:t>
      </w:r>
      <w:r w:rsidR="0028384B" w:rsidRPr="0028384B">
        <w:rPr>
          <w:noProof/>
        </w:rPr>
        <w:t xml:space="preserve"> </w:t>
      </w:r>
    </w:p>
    <w:p w:rsidR="00AD62E2" w:rsidRPr="002F16A1" w:rsidRDefault="00733965" w:rsidP="00733965">
      <w:pPr>
        <w:pStyle w:val="ManualNumPar1"/>
        <w:rPr>
          <w:noProof/>
        </w:rPr>
      </w:pPr>
      <w:r w:rsidRPr="00733965">
        <w:t>2.</w:t>
      </w:r>
      <w:r w:rsidRPr="00733965">
        <w:tab/>
      </w:r>
      <w:r w:rsidR="00AD62E2" w:rsidRPr="002F16A1">
        <w:rPr>
          <w:noProof/>
        </w:rPr>
        <w:t>W przypadku gdy plany zawierające przepisy dotyczące rozwoju projektów dotyczących surowców krytycznych podlegają ocenie zgodnie</w:t>
      </w:r>
      <w:r w:rsidR="0028384B" w:rsidRPr="002F16A1">
        <w:rPr>
          <w:noProof/>
        </w:rPr>
        <w:t xml:space="preserve"> z</w:t>
      </w:r>
      <w:r w:rsidR="0028384B">
        <w:rPr>
          <w:noProof/>
        </w:rPr>
        <w:t> </w:t>
      </w:r>
      <w:r w:rsidR="0028384B" w:rsidRPr="002F16A1">
        <w:rPr>
          <w:noProof/>
        </w:rPr>
        <w:t>dyr</w:t>
      </w:r>
      <w:r w:rsidR="00AD62E2" w:rsidRPr="002F16A1">
        <w:rPr>
          <w:noProof/>
        </w:rPr>
        <w:t>ektywą 2001/42/WE</w:t>
      </w:r>
      <w:r w:rsidR="0028384B" w:rsidRPr="002F16A1">
        <w:rPr>
          <w:noProof/>
        </w:rPr>
        <w:t xml:space="preserve"> i</w:t>
      </w:r>
      <w:r w:rsidR="0028384B">
        <w:rPr>
          <w:noProof/>
        </w:rPr>
        <w:t> </w:t>
      </w:r>
      <w:r w:rsidR="0028384B" w:rsidRPr="002F16A1">
        <w:rPr>
          <w:noProof/>
        </w:rPr>
        <w:t>zgo</w:t>
      </w:r>
      <w:r w:rsidR="00AD62E2" w:rsidRPr="002F16A1">
        <w:rPr>
          <w:noProof/>
        </w:rPr>
        <w:t>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6</w:t>
      </w:r>
      <w:r w:rsidR="00AD62E2" w:rsidRPr="002F16A1">
        <w:rPr>
          <w:noProof/>
        </w:rPr>
        <w:t xml:space="preserve"> dyrektywy 92/43/EWG, oceny te są połączone</w:t>
      </w:r>
      <w:r w:rsidR="0028384B" w:rsidRPr="002F16A1">
        <w:rPr>
          <w:noProof/>
        </w:rPr>
        <w:t>. W</w:t>
      </w:r>
      <w:r w:rsidR="0028384B">
        <w:rPr>
          <w:noProof/>
        </w:rPr>
        <w:t> </w:t>
      </w:r>
      <w:r w:rsidR="0028384B" w:rsidRPr="002F16A1">
        <w:rPr>
          <w:noProof/>
        </w:rPr>
        <w:t>sto</w:t>
      </w:r>
      <w:r w:rsidR="00AD62E2" w:rsidRPr="002F16A1">
        <w:rPr>
          <w:noProof/>
        </w:rPr>
        <w:t>sownych przypadkach te połączone oceny dotyczą również wpływu na potencjalnie dotknięte jednolite części wód</w:t>
      </w:r>
      <w:r w:rsidR="0028384B" w:rsidRPr="002F16A1">
        <w:rPr>
          <w:noProof/>
        </w:rPr>
        <w:t xml:space="preserve"> i</w:t>
      </w:r>
      <w:r w:rsidR="0028384B">
        <w:rPr>
          <w:noProof/>
        </w:rPr>
        <w:t> </w:t>
      </w:r>
      <w:r w:rsidR="0028384B" w:rsidRPr="002F16A1">
        <w:rPr>
          <w:noProof/>
        </w:rPr>
        <w:t>słu</w:t>
      </w:r>
      <w:r w:rsidR="00AD62E2" w:rsidRPr="002F16A1">
        <w:rPr>
          <w:noProof/>
        </w:rPr>
        <w:t>żą sprawdzeniu, czy plan przyczyniłby się do pogorszenia stanu lub potencjału,</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4</w:t>
      </w:r>
      <w:r w:rsidR="00AD62E2" w:rsidRPr="002F16A1">
        <w:rPr>
          <w:noProof/>
        </w:rPr>
        <w:t xml:space="preserve"> dyrektywy 2000/60/WE, lub stanowiłby potencjalną przeszkodę</w:t>
      </w:r>
      <w:r w:rsidR="0028384B" w:rsidRPr="002F16A1">
        <w:rPr>
          <w:noProof/>
        </w:rPr>
        <w:t xml:space="preserve"> w</w:t>
      </w:r>
      <w:r w:rsidR="0028384B">
        <w:rPr>
          <w:noProof/>
        </w:rPr>
        <w:t> </w:t>
      </w:r>
      <w:r w:rsidR="0028384B" w:rsidRPr="002F16A1">
        <w:rPr>
          <w:noProof/>
        </w:rPr>
        <w:t>osi</w:t>
      </w:r>
      <w:r w:rsidR="00AD62E2" w:rsidRPr="002F16A1">
        <w:rPr>
          <w:noProof/>
        </w:rPr>
        <w:t>ągnięciu dobrego stanu lub potencjału jednolitej części wód</w:t>
      </w:r>
      <w:r w:rsidR="0028384B" w:rsidRPr="002F16A1">
        <w:rPr>
          <w:noProof/>
        </w:rPr>
        <w:t>. W</w:t>
      </w:r>
      <w:r w:rsidR="0028384B">
        <w:rPr>
          <w:noProof/>
        </w:rPr>
        <w:t> </w:t>
      </w:r>
      <w:r w:rsidR="0028384B" w:rsidRPr="002F16A1">
        <w:rPr>
          <w:noProof/>
        </w:rPr>
        <w:t>prz</w:t>
      </w:r>
      <w:r w:rsidR="00AD62E2" w:rsidRPr="002F16A1">
        <w:rPr>
          <w:noProof/>
        </w:rPr>
        <w:t>ypadku gdy odpowiednie państwa członkowskie są zobowiązane do dokonania oceny wpływu realizowanych już lub przyszłych działań na środowisko morskie,</w:t>
      </w:r>
      <w:r w:rsidR="0028384B" w:rsidRPr="002F16A1">
        <w:rPr>
          <w:noProof/>
        </w:rPr>
        <w:t xml:space="preserve"> w</w:t>
      </w:r>
      <w:r w:rsidR="0028384B">
        <w:rPr>
          <w:noProof/>
        </w:rPr>
        <w:t> </w:t>
      </w:r>
      <w:r w:rsidR="0028384B" w:rsidRPr="002F16A1">
        <w:rPr>
          <w:noProof/>
        </w:rPr>
        <w:t>tym</w:t>
      </w:r>
      <w:r w:rsidR="00AD62E2" w:rsidRPr="002F16A1">
        <w:rPr>
          <w:noProof/>
        </w:rPr>
        <w:t xml:space="preserve"> wzajemne oddziaływanie lądu</w:t>
      </w:r>
      <w:r w:rsidR="0028384B" w:rsidRPr="002F16A1">
        <w:rPr>
          <w:noProof/>
        </w:rPr>
        <w:t xml:space="preserve"> i</w:t>
      </w:r>
      <w:r w:rsidR="0028384B">
        <w:rPr>
          <w:noProof/>
        </w:rPr>
        <w:t> </w:t>
      </w:r>
      <w:r w:rsidR="0028384B" w:rsidRPr="002F16A1">
        <w:rPr>
          <w:noProof/>
        </w:rPr>
        <w:t>mor</w:t>
      </w:r>
      <w:r w:rsidR="00AD62E2" w:rsidRPr="002F16A1">
        <w:rPr>
          <w:noProof/>
        </w:rPr>
        <w:t>za,</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4</w:t>
      </w:r>
      <w:r w:rsidR="00AD62E2" w:rsidRPr="002F16A1">
        <w:rPr>
          <w:noProof/>
        </w:rPr>
        <w:t xml:space="preserve"> dyrektywy 2014/89/UE, wpływy te również obejmuje się połączoną oceną.   </w:t>
      </w:r>
    </w:p>
    <w:p w:rsidR="00AD62E2" w:rsidRPr="002F16A1" w:rsidRDefault="00AD62E2" w:rsidP="00AD62E2">
      <w:pPr>
        <w:pStyle w:val="Titrearticle"/>
        <w:rPr>
          <w:noProof/>
        </w:rPr>
      </w:pPr>
      <w:r w:rsidRPr="002F16A1">
        <w:rPr>
          <w:noProof/>
        </w:rPr>
        <w:t>Artykuł 13</w:t>
      </w:r>
    </w:p>
    <w:p w:rsidR="00AD62E2" w:rsidRPr="002F16A1" w:rsidRDefault="00AD62E2" w:rsidP="00AD62E2">
      <w:pPr>
        <w:pStyle w:val="NormalCentered"/>
        <w:rPr>
          <w:noProof/>
        </w:rPr>
      </w:pPr>
      <w:r w:rsidRPr="002F16A1">
        <w:rPr>
          <w:b/>
          <w:noProof/>
        </w:rPr>
        <w:t>Stosowanie konwencji EKG ONZ</w:t>
      </w:r>
    </w:p>
    <w:p w:rsidR="00AD62E2" w:rsidRPr="002F16A1" w:rsidRDefault="00733965" w:rsidP="00733965">
      <w:pPr>
        <w:pStyle w:val="ManualNumPar1"/>
        <w:rPr>
          <w:noProof/>
        </w:rPr>
      </w:pPr>
      <w:r w:rsidRPr="00733965">
        <w:t>1.</w:t>
      </w:r>
      <w:r w:rsidRPr="00733965">
        <w:tab/>
      </w:r>
      <w:r w:rsidR="00AD62E2" w:rsidRPr="002F16A1">
        <w:rPr>
          <w:noProof/>
        </w:rPr>
        <w:t>Przepisy określone</w:t>
      </w:r>
      <w:r w:rsidR="0028384B" w:rsidRPr="002F16A1">
        <w:rPr>
          <w:noProof/>
        </w:rPr>
        <w:t xml:space="preserve"> w</w:t>
      </w:r>
      <w:r w:rsidR="0028384B">
        <w:rPr>
          <w:noProof/>
        </w:rPr>
        <w:t> </w:t>
      </w:r>
      <w:r w:rsidR="0028384B" w:rsidRPr="002F16A1">
        <w:rPr>
          <w:noProof/>
        </w:rPr>
        <w:t>nin</w:t>
      </w:r>
      <w:r w:rsidR="00AD62E2" w:rsidRPr="002F16A1">
        <w:rPr>
          <w:noProof/>
        </w:rPr>
        <w:t>iejszym rozporządzeniu są bez uszczerbku dla zobowiązań wynikających</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6</w:t>
      </w:r>
      <w:r w:rsidR="0028384B" w:rsidRPr="002F16A1">
        <w:rPr>
          <w:noProof/>
        </w:rPr>
        <w:t xml:space="preserve"> i</w:t>
      </w:r>
      <w:r w:rsidR="0028384B">
        <w:rPr>
          <w:noProof/>
        </w:rPr>
        <w:t> </w:t>
      </w:r>
      <w:r w:rsidR="0028384B" w:rsidRPr="002F16A1">
        <w:rPr>
          <w:noProof/>
        </w:rPr>
        <w:t>7</w:t>
      </w:r>
      <w:r w:rsidR="00AD62E2" w:rsidRPr="002F16A1">
        <w:rPr>
          <w:noProof/>
        </w:rPr>
        <w:t xml:space="preserve"> Konwencji Europejskiej Komisji Gospodarczej Organizacji Narodów Zjednoczonych (EKG ONZ)</w:t>
      </w:r>
      <w:r w:rsidR="0028384B" w:rsidRPr="002F16A1">
        <w:rPr>
          <w:noProof/>
        </w:rPr>
        <w:t xml:space="preserve"> o</w:t>
      </w:r>
      <w:r w:rsidR="0028384B">
        <w:rPr>
          <w:noProof/>
        </w:rPr>
        <w:t> </w:t>
      </w:r>
      <w:r w:rsidR="0028384B" w:rsidRPr="002F16A1">
        <w:rPr>
          <w:noProof/>
        </w:rPr>
        <w:t>dos</w:t>
      </w:r>
      <w:r w:rsidR="00AD62E2" w:rsidRPr="002F16A1">
        <w:rPr>
          <w:noProof/>
        </w:rPr>
        <w:t>tępie do informacji, udziale społeczeństwa</w:t>
      </w:r>
      <w:r w:rsidR="0028384B" w:rsidRPr="002F16A1">
        <w:rPr>
          <w:noProof/>
        </w:rPr>
        <w:t xml:space="preserve"> w</w:t>
      </w:r>
      <w:r w:rsidR="0028384B">
        <w:rPr>
          <w:noProof/>
        </w:rPr>
        <w:t> </w:t>
      </w:r>
      <w:r w:rsidR="0028384B" w:rsidRPr="002F16A1">
        <w:rPr>
          <w:noProof/>
        </w:rPr>
        <w:t>pod</w:t>
      </w:r>
      <w:r w:rsidR="00AD62E2" w:rsidRPr="002F16A1">
        <w:rPr>
          <w:noProof/>
        </w:rPr>
        <w:t>ejmowaniu decyzji oraz dostępie do sprawiedliwości</w:t>
      </w:r>
      <w:r w:rsidR="0028384B" w:rsidRPr="002F16A1">
        <w:rPr>
          <w:noProof/>
        </w:rPr>
        <w:t xml:space="preserve"> w</w:t>
      </w:r>
      <w:r w:rsidR="0028384B">
        <w:rPr>
          <w:noProof/>
        </w:rPr>
        <w:t> </w:t>
      </w:r>
      <w:r w:rsidR="0028384B" w:rsidRPr="002F16A1">
        <w:rPr>
          <w:noProof/>
        </w:rPr>
        <w:t>spr</w:t>
      </w:r>
      <w:r w:rsidR="00AD62E2" w:rsidRPr="002F16A1">
        <w:rPr>
          <w:noProof/>
        </w:rPr>
        <w:t>awach dotyczących środowiska, podpisanej</w:t>
      </w:r>
      <w:r w:rsidR="0028384B" w:rsidRPr="002F16A1">
        <w:rPr>
          <w:noProof/>
        </w:rPr>
        <w:t xml:space="preserve"> w</w:t>
      </w:r>
      <w:r w:rsidR="0028384B">
        <w:rPr>
          <w:noProof/>
        </w:rPr>
        <w:t> </w:t>
      </w:r>
      <w:r w:rsidR="0028384B" w:rsidRPr="002F16A1">
        <w:rPr>
          <w:noProof/>
        </w:rPr>
        <w:t>Aar</w:t>
      </w:r>
      <w:r w:rsidR="00AD62E2" w:rsidRPr="002F16A1">
        <w:rPr>
          <w:noProof/>
        </w:rPr>
        <w:t>hus dnia 25 czerwca 19</w:t>
      </w:r>
      <w:r w:rsidR="00AD62E2" w:rsidRPr="0028384B">
        <w:rPr>
          <w:noProof/>
        </w:rPr>
        <w:t>98</w:t>
      </w:r>
      <w:r w:rsidR="0028384B" w:rsidRPr="0028384B">
        <w:rPr>
          <w:noProof/>
        </w:rPr>
        <w:t> </w:t>
      </w:r>
      <w:r w:rsidR="00AD62E2" w:rsidRPr="0028384B">
        <w:rPr>
          <w:noProof/>
        </w:rPr>
        <w:t>r.</w:t>
      </w:r>
      <w:r w:rsidR="00AD62E2" w:rsidRPr="002F16A1">
        <w:rPr>
          <w:noProof/>
        </w:rPr>
        <w:t>, oraz</w:t>
      </w:r>
      <w:r w:rsidR="0028384B" w:rsidRPr="002F16A1">
        <w:rPr>
          <w:noProof/>
        </w:rPr>
        <w:t xml:space="preserve"> z</w:t>
      </w:r>
      <w:r w:rsidR="0028384B">
        <w:rPr>
          <w:noProof/>
        </w:rPr>
        <w:t> </w:t>
      </w:r>
      <w:r w:rsidR="0028384B" w:rsidRPr="002F16A1">
        <w:rPr>
          <w:noProof/>
        </w:rPr>
        <w:t>Kon</w:t>
      </w:r>
      <w:r w:rsidR="00AD62E2" w:rsidRPr="002F16A1">
        <w:rPr>
          <w:noProof/>
        </w:rPr>
        <w:t>wencji EKG ONZ</w:t>
      </w:r>
      <w:r w:rsidR="0028384B" w:rsidRPr="002F16A1">
        <w:rPr>
          <w:noProof/>
        </w:rPr>
        <w:t xml:space="preserve"> o</w:t>
      </w:r>
      <w:r w:rsidR="0028384B">
        <w:rPr>
          <w:noProof/>
        </w:rPr>
        <w:t> </w:t>
      </w:r>
      <w:r w:rsidR="0028384B" w:rsidRPr="002F16A1">
        <w:rPr>
          <w:noProof/>
        </w:rPr>
        <w:t>oce</w:t>
      </w:r>
      <w:r w:rsidR="00AD62E2" w:rsidRPr="002F16A1">
        <w:rPr>
          <w:noProof/>
        </w:rPr>
        <w:t>nach oddziaływania na środowisko</w:t>
      </w:r>
      <w:r w:rsidR="0028384B" w:rsidRPr="002F16A1">
        <w:rPr>
          <w:noProof/>
        </w:rPr>
        <w:t xml:space="preserve"> w</w:t>
      </w:r>
      <w:r w:rsidR="0028384B">
        <w:rPr>
          <w:noProof/>
        </w:rPr>
        <w:t> </w:t>
      </w:r>
      <w:r w:rsidR="0028384B" w:rsidRPr="002F16A1">
        <w:rPr>
          <w:noProof/>
        </w:rPr>
        <w:t>kon</w:t>
      </w:r>
      <w:r w:rsidR="00AD62E2" w:rsidRPr="002F16A1">
        <w:rPr>
          <w:noProof/>
        </w:rPr>
        <w:t>tekście transgranicznym, podpisanej</w:t>
      </w:r>
      <w:r w:rsidR="0028384B" w:rsidRPr="002F16A1">
        <w:rPr>
          <w:noProof/>
        </w:rPr>
        <w:t xml:space="preserve"> w</w:t>
      </w:r>
      <w:r w:rsidR="0028384B">
        <w:rPr>
          <w:noProof/>
        </w:rPr>
        <w:t> </w:t>
      </w:r>
      <w:r w:rsidR="0028384B" w:rsidRPr="002F16A1">
        <w:rPr>
          <w:noProof/>
        </w:rPr>
        <w:t>Esp</w:t>
      </w:r>
      <w:r w:rsidR="00AD62E2" w:rsidRPr="002F16A1">
        <w:rPr>
          <w:noProof/>
        </w:rPr>
        <w:t>oo dnia 25 lutego 19</w:t>
      </w:r>
      <w:r w:rsidR="00AD62E2" w:rsidRPr="0028384B">
        <w:rPr>
          <w:noProof/>
        </w:rPr>
        <w:t>91</w:t>
      </w:r>
      <w:r w:rsidR="0028384B" w:rsidRPr="0028384B">
        <w:rPr>
          <w:noProof/>
        </w:rPr>
        <w:t> </w:t>
      </w:r>
      <w:r w:rsidR="00AD62E2" w:rsidRPr="0028384B">
        <w:rPr>
          <w:noProof/>
        </w:rPr>
        <w:t>r.</w:t>
      </w:r>
    </w:p>
    <w:p w:rsidR="00AD62E2" w:rsidRPr="002F16A1" w:rsidRDefault="00733965" w:rsidP="00733965">
      <w:pPr>
        <w:pStyle w:val="ManualNumPar1"/>
        <w:rPr>
          <w:noProof/>
        </w:rPr>
      </w:pPr>
      <w:r w:rsidRPr="00733965">
        <w:t>2.</w:t>
      </w:r>
      <w:r w:rsidRPr="00733965">
        <w:tab/>
      </w:r>
      <w:r w:rsidR="00AD62E2" w:rsidRPr="002F16A1">
        <w:rPr>
          <w:noProof/>
        </w:rPr>
        <w:t>Wszystkie decyzje przyjęte na mocy niniejszej sekcji są udostępniane publicznie.</w:t>
      </w:r>
    </w:p>
    <w:p w:rsidR="00AD62E2" w:rsidRPr="002F16A1" w:rsidRDefault="00AD62E2" w:rsidP="00AD62E2">
      <w:pPr>
        <w:pStyle w:val="SectionTitle"/>
        <w:rPr>
          <w:noProof/>
        </w:rPr>
      </w:pPr>
      <w:r w:rsidRPr="002F16A1">
        <w:rPr>
          <w:noProof/>
        </w:rPr>
        <w:t xml:space="preserve">Sekcja 3 </w:t>
      </w:r>
      <w:r w:rsidRPr="002F16A1">
        <w:rPr>
          <w:noProof/>
        </w:rPr>
        <w:br/>
        <w:t>Warunki podstawowe</w:t>
      </w:r>
    </w:p>
    <w:p w:rsidR="00AD62E2" w:rsidRPr="002F16A1" w:rsidRDefault="00AD62E2" w:rsidP="00AD62E2">
      <w:pPr>
        <w:pStyle w:val="Titrearticle"/>
        <w:rPr>
          <w:noProof/>
        </w:rPr>
      </w:pPr>
      <w:r w:rsidRPr="002F16A1">
        <w:rPr>
          <w:noProof/>
        </w:rPr>
        <w:t>Artykuł 14</w:t>
      </w:r>
    </w:p>
    <w:p w:rsidR="00AD62E2" w:rsidRPr="002F16A1" w:rsidRDefault="00AD62E2" w:rsidP="00AD62E2">
      <w:pPr>
        <w:pStyle w:val="NormalCentered"/>
        <w:rPr>
          <w:b/>
          <w:noProof/>
        </w:rPr>
      </w:pPr>
      <w:r w:rsidRPr="002F16A1">
        <w:rPr>
          <w:b/>
          <w:noProof/>
        </w:rPr>
        <w:t>Przyspieszona realizacja</w:t>
      </w:r>
    </w:p>
    <w:p w:rsidR="00AD62E2" w:rsidRPr="002F16A1" w:rsidRDefault="00733965" w:rsidP="00733965">
      <w:pPr>
        <w:pStyle w:val="ManualNumPar1"/>
        <w:rPr>
          <w:noProof/>
        </w:rPr>
      </w:pPr>
      <w:r w:rsidRPr="00733965">
        <w:t>1.</w:t>
      </w:r>
      <w:r w:rsidRPr="00733965">
        <w:tab/>
      </w:r>
      <w:r w:rsidR="00AD62E2" w:rsidRPr="002F16A1">
        <w:rPr>
          <w:noProof/>
        </w:rPr>
        <w:t>Komisja</w:t>
      </w:r>
      <w:r w:rsidR="0028384B" w:rsidRPr="002F16A1">
        <w:rPr>
          <w:noProof/>
        </w:rPr>
        <w:t xml:space="preserve"> i</w:t>
      </w:r>
      <w:r w:rsidR="0028384B">
        <w:rPr>
          <w:noProof/>
        </w:rPr>
        <w:t> </w:t>
      </w:r>
      <w:r w:rsidR="0028384B" w:rsidRPr="002F16A1">
        <w:rPr>
          <w:noProof/>
        </w:rPr>
        <w:t>pań</w:t>
      </w:r>
      <w:r w:rsidR="00AD62E2" w:rsidRPr="002F16A1">
        <w:rPr>
          <w:noProof/>
        </w:rPr>
        <w:t>stwa członkowskie podejmują działania mające na celu przyspieszenie</w:t>
      </w:r>
      <w:r w:rsidR="0028384B" w:rsidRPr="002F16A1">
        <w:rPr>
          <w:noProof/>
        </w:rPr>
        <w:t xml:space="preserve"> i</w:t>
      </w:r>
      <w:r w:rsidR="0028384B">
        <w:rPr>
          <w:noProof/>
        </w:rPr>
        <w:t> </w:t>
      </w:r>
      <w:r w:rsidR="0028384B" w:rsidRPr="002F16A1">
        <w:rPr>
          <w:noProof/>
        </w:rPr>
        <w:t>prz</w:t>
      </w:r>
      <w:r w:rsidR="00AD62E2" w:rsidRPr="002F16A1">
        <w:rPr>
          <w:noProof/>
        </w:rPr>
        <w:t>yciągnięcie prywatnych inwestycji</w:t>
      </w:r>
      <w:r w:rsidR="0028384B" w:rsidRPr="002F16A1">
        <w:rPr>
          <w:noProof/>
        </w:rPr>
        <w:t xml:space="preserve"> w</w:t>
      </w:r>
      <w:r w:rsidR="0028384B">
        <w:rPr>
          <w:noProof/>
        </w:rPr>
        <w:t> </w:t>
      </w:r>
      <w:r w:rsidR="0028384B" w:rsidRPr="002F16A1">
        <w:rPr>
          <w:noProof/>
        </w:rPr>
        <w:t>pro</w:t>
      </w:r>
      <w:r w:rsidR="00AD62E2" w:rsidRPr="002F16A1">
        <w:rPr>
          <w:noProof/>
        </w:rPr>
        <w:t xml:space="preserve">jekty strategiczne. Takie działania mogą, bez uszczerbku dla </w:t>
      </w:r>
      <w:r w:rsidR="00AD62E2" w:rsidRPr="0028384B">
        <w:rPr>
          <w:noProof/>
        </w:rPr>
        <w:t>art.</w:t>
      </w:r>
      <w:r w:rsidR="0028384B" w:rsidRPr="0028384B">
        <w:rPr>
          <w:noProof/>
        </w:rPr>
        <w:t> </w:t>
      </w:r>
      <w:r w:rsidR="00AD62E2" w:rsidRPr="0028384B">
        <w:rPr>
          <w:noProof/>
        </w:rPr>
        <w:t>1</w:t>
      </w:r>
      <w:r w:rsidR="00AD62E2" w:rsidRPr="002F16A1">
        <w:rPr>
          <w:noProof/>
        </w:rPr>
        <w:t>07</w:t>
      </w:r>
      <w:r w:rsidR="0028384B" w:rsidRPr="002F16A1">
        <w:rPr>
          <w:noProof/>
        </w:rPr>
        <w:t xml:space="preserve"> i</w:t>
      </w:r>
      <w:r w:rsidR="0028384B">
        <w:rPr>
          <w:noProof/>
        </w:rPr>
        <w:t> </w:t>
      </w:r>
      <w:r w:rsidR="0028384B" w:rsidRPr="002F16A1">
        <w:rPr>
          <w:noProof/>
        </w:rPr>
        <w:t>1</w:t>
      </w:r>
      <w:r w:rsidR="00AD62E2" w:rsidRPr="002F16A1">
        <w:rPr>
          <w:noProof/>
        </w:rPr>
        <w:t>08 TFUE, obejmować udzielanie</w:t>
      </w:r>
      <w:r w:rsidR="0028384B" w:rsidRPr="002F16A1">
        <w:rPr>
          <w:noProof/>
        </w:rPr>
        <w:t xml:space="preserve"> i</w:t>
      </w:r>
      <w:r w:rsidR="0028384B">
        <w:rPr>
          <w:noProof/>
        </w:rPr>
        <w:t> </w:t>
      </w:r>
      <w:r w:rsidR="0028384B" w:rsidRPr="002F16A1">
        <w:rPr>
          <w:noProof/>
        </w:rPr>
        <w:t>koo</w:t>
      </w:r>
      <w:r w:rsidR="00AD62E2" w:rsidRPr="002F16A1">
        <w:rPr>
          <w:noProof/>
        </w:rPr>
        <w:t>rdynowanie wsparcia dla projektów strategicznych borykających się</w:t>
      </w:r>
      <w:r w:rsidR="0028384B" w:rsidRPr="002F16A1">
        <w:rPr>
          <w:noProof/>
        </w:rPr>
        <w:t xml:space="preserve"> z</w:t>
      </w:r>
      <w:r w:rsidR="0028384B">
        <w:rPr>
          <w:noProof/>
        </w:rPr>
        <w:t> </w:t>
      </w:r>
      <w:r w:rsidR="0028384B" w:rsidRPr="002F16A1">
        <w:rPr>
          <w:noProof/>
        </w:rPr>
        <w:t>tru</w:t>
      </w:r>
      <w:r w:rsidR="00AD62E2" w:rsidRPr="002F16A1">
        <w:rPr>
          <w:noProof/>
        </w:rPr>
        <w:t>dnościami</w:t>
      </w:r>
      <w:r w:rsidR="0028384B" w:rsidRPr="002F16A1">
        <w:rPr>
          <w:noProof/>
        </w:rPr>
        <w:t xml:space="preserve"> w</w:t>
      </w:r>
      <w:r w:rsidR="0028384B">
        <w:rPr>
          <w:noProof/>
        </w:rPr>
        <w:t> </w:t>
      </w:r>
      <w:r w:rsidR="0028384B" w:rsidRPr="002F16A1">
        <w:rPr>
          <w:noProof/>
        </w:rPr>
        <w:t>dos</w:t>
      </w:r>
      <w:r w:rsidR="00AD62E2" w:rsidRPr="002F16A1">
        <w:rPr>
          <w:noProof/>
        </w:rPr>
        <w:t>tępie do finansowania.</w:t>
      </w:r>
    </w:p>
    <w:p w:rsidR="00AD62E2" w:rsidRPr="002F16A1" w:rsidRDefault="00733965" w:rsidP="00733965">
      <w:pPr>
        <w:pStyle w:val="ManualNumPar1"/>
        <w:rPr>
          <w:noProof/>
        </w:rPr>
      </w:pPr>
      <w:r w:rsidRPr="00733965">
        <w:t>2.</w:t>
      </w:r>
      <w:r w:rsidRPr="00733965">
        <w:tab/>
      </w:r>
      <w:r w:rsidR="00AD62E2" w:rsidRPr="002F16A1">
        <w:rPr>
          <w:noProof/>
        </w:rPr>
        <w:t>Aby ułatwić szybką</w:t>
      </w:r>
      <w:r w:rsidR="0028384B" w:rsidRPr="002F16A1">
        <w:rPr>
          <w:noProof/>
        </w:rPr>
        <w:t xml:space="preserve"> i</w:t>
      </w:r>
      <w:r w:rsidR="0028384B">
        <w:rPr>
          <w:noProof/>
        </w:rPr>
        <w:t> </w:t>
      </w:r>
      <w:r w:rsidR="0028384B" w:rsidRPr="002F16A1">
        <w:rPr>
          <w:noProof/>
        </w:rPr>
        <w:t>sku</w:t>
      </w:r>
      <w:r w:rsidR="00AD62E2" w:rsidRPr="002F16A1">
        <w:rPr>
          <w:noProof/>
        </w:rPr>
        <w:t>teczną realizację projektów strategicznych, państwa członkowskie mogą udzielić im wsparcia administracyjnego,</w:t>
      </w:r>
      <w:r w:rsidR="0028384B" w:rsidRPr="002F16A1">
        <w:rPr>
          <w:noProof/>
        </w:rPr>
        <w:t xml:space="preserve"> w</w:t>
      </w:r>
      <w:r w:rsidR="0028384B">
        <w:rPr>
          <w:noProof/>
        </w:rPr>
        <w:t> </w:t>
      </w:r>
      <w:r w:rsidR="0028384B" w:rsidRPr="002F16A1">
        <w:rPr>
          <w:noProof/>
        </w:rPr>
        <w:t>tym</w:t>
      </w:r>
      <w:r w:rsidR="00AD62E2" w:rsidRPr="002F16A1">
        <w:rPr>
          <w:noProof/>
        </w:rPr>
        <w:t xml:space="preserve"> zapewniając:</w:t>
      </w:r>
    </w:p>
    <w:p w:rsidR="00AD62E2" w:rsidRPr="002F16A1" w:rsidRDefault="0028384B" w:rsidP="0028384B">
      <w:pPr>
        <w:pStyle w:val="Point1"/>
        <w:rPr>
          <w:noProof/>
        </w:rPr>
      </w:pPr>
      <w:r>
        <w:rPr>
          <w:noProof/>
        </w:rPr>
        <w:t>a)</w:t>
      </w:r>
      <w:r>
        <w:rPr>
          <w:noProof/>
        </w:rPr>
        <w:tab/>
      </w:r>
      <w:r w:rsidR="00AD62E2" w:rsidRPr="002F16A1">
        <w:rPr>
          <w:noProof/>
        </w:rPr>
        <w:t>pomoc</w:t>
      </w:r>
      <w:r w:rsidRPr="002F16A1">
        <w:rPr>
          <w:noProof/>
        </w:rPr>
        <w:t xml:space="preserve"> w</w:t>
      </w:r>
      <w:r>
        <w:rPr>
          <w:noProof/>
        </w:rPr>
        <w:t> </w:t>
      </w:r>
      <w:r w:rsidRPr="002F16A1">
        <w:rPr>
          <w:noProof/>
        </w:rPr>
        <w:t>zag</w:t>
      </w:r>
      <w:r w:rsidR="00AD62E2" w:rsidRPr="002F16A1">
        <w:rPr>
          <w:noProof/>
        </w:rPr>
        <w:t>warantowaniu zgodności</w:t>
      </w:r>
      <w:r w:rsidRPr="002F16A1">
        <w:rPr>
          <w:noProof/>
        </w:rPr>
        <w:t xml:space="preserve"> z</w:t>
      </w:r>
      <w:r>
        <w:rPr>
          <w:noProof/>
        </w:rPr>
        <w:t> </w:t>
      </w:r>
      <w:r w:rsidRPr="002F16A1">
        <w:rPr>
          <w:noProof/>
        </w:rPr>
        <w:t>ist</w:t>
      </w:r>
      <w:r w:rsidR="00AD62E2" w:rsidRPr="002F16A1">
        <w:rPr>
          <w:noProof/>
        </w:rPr>
        <w:t>niejącymi obowiązkami administracyjnymi</w:t>
      </w:r>
      <w:r w:rsidRPr="002F16A1">
        <w:rPr>
          <w:noProof/>
        </w:rPr>
        <w:t xml:space="preserve"> i</w:t>
      </w:r>
      <w:r>
        <w:rPr>
          <w:noProof/>
        </w:rPr>
        <w:t> </w:t>
      </w:r>
      <w:r w:rsidRPr="002F16A1">
        <w:rPr>
          <w:noProof/>
        </w:rPr>
        <w:t>spr</w:t>
      </w:r>
      <w:r w:rsidR="00AD62E2" w:rsidRPr="002F16A1">
        <w:rPr>
          <w:noProof/>
        </w:rPr>
        <w:t>awozdawczymi;</w:t>
      </w:r>
    </w:p>
    <w:p w:rsidR="00AD62E2" w:rsidRPr="002F16A1" w:rsidRDefault="0028384B" w:rsidP="0028384B">
      <w:pPr>
        <w:pStyle w:val="Point1"/>
        <w:rPr>
          <w:noProof/>
        </w:rPr>
      </w:pPr>
      <w:r>
        <w:rPr>
          <w:noProof/>
        </w:rPr>
        <w:t>b)</w:t>
      </w:r>
      <w:r>
        <w:rPr>
          <w:noProof/>
        </w:rPr>
        <w:tab/>
      </w:r>
      <w:r w:rsidR="00AD62E2" w:rsidRPr="002F16A1">
        <w:rPr>
          <w:noProof/>
        </w:rPr>
        <w:t>pomoc promotorom projektów</w:t>
      </w:r>
      <w:r w:rsidRPr="002F16A1">
        <w:rPr>
          <w:noProof/>
        </w:rPr>
        <w:t xml:space="preserve"> w</w:t>
      </w:r>
      <w:r>
        <w:rPr>
          <w:noProof/>
        </w:rPr>
        <w:t> </w:t>
      </w:r>
      <w:r w:rsidRPr="002F16A1">
        <w:rPr>
          <w:noProof/>
        </w:rPr>
        <w:t>cel</w:t>
      </w:r>
      <w:r w:rsidR="00AD62E2" w:rsidRPr="002F16A1">
        <w:rPr>
          <w:noProof/>
        </w:rPr>
        <w:t>u dalszego zwiększenia akceptacji społecznej projektu.</w:t>
      </w:r>
    </w:p>
    <w:p w:rsidR="00AD62E2" w:rsidRPr="002F16A1" w:rsidRDefault="00AD62E2" w:rsidP="00AD62E2">
      <w:pPr>
        <w:pStyle w:val="Titrearticle"/>
        <w:rPr>
          <w:noProof/>
        </w:rPr>
      </w:pPr>
      <w:bookmarkStart w:id="6" w:name="__akn_article_A764Pj"/>
      <w:bookmarkEnd w:id="6"/>
      <w:r w:rsidRPr="002F16A1">
        <w:rPr>
          <w:noProof/>
        </w:rPr>
        <w:t>Artykuł 15</w:t>
      </w:r>
    </w:p>
    <w:p w:rsidR="00AD62E2" w:rsidRPr="002F16A1" w:rsidRDefault="00AD62E2" w:rsidP="00AD62E2">
      <w:pPr>
        <w:pStyle w:val="NormalCentered"/>
        <w:rPr>
          <w:noProof/>
        </w:rPr>
      </w:pPr>
      <w:r w:rsidRPr="002F16A1">
        <w:rPr>
          <w:b/>
          <w:noProof/>
        </w:rPr>
        <w:t>Koordynacja finansowania</w:t>
      </w:r>
    </w:p>
    <w:p w:rsidR="00AD62E2" w:rsidRPr="002F16A1" w:rsidRDefault="00733965" w:rsidP="00733965">
      <w:pPr>
        <w:pStyle w:val="ManualNumPar1"/>
        <w:rPr>
          <w:noProof/>
        </w:rPr>
      </w:pPr>
      <w:r w:rsidRPr="00733965">
        <w:t>1.</w:t>
      </w:r>
      <w:r w:rsidRPr="00733965">
        <w:tab/>
      </w:r>
      <w:r w:rsidR="00AD62E2" w:rsidRPr="002F16A1">
        <w:rPr>
          <w:noProof/>
        </w:rPr>
        <w:t>Stała podgrupa,</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5 </w:t>
      </w:r>
      <w:r w:rsidR="00AD62E2" w:rsidRPr="0028384B">
        <w:rPr>
          <w:noProof/>
        </w:rPr>
        <w:t>ust.</w:t>
      </w:r>
      <w:r w:rsidR="0028384B" w:rsidRPr="0028384B">
        <w:rPr>
          <w:noProof/>
        </w:rPr>
        <w:t> </w:t>
      </w:r>
      <w:r w:rsidR="00AD62E2" w:rsidRPr="0028384B">
        <w:rPr>
          <w:noProof/>
        </w:rPr>
        <w:t>6</w:t>
      </w:r>
      <w:r w:rsidR="00AD62E2" w:rsidRPr="002F16A1">
        <w:rPr>
          <w:noProof/>
        </w:rPr>
        <w:t xml:space="preserve"> </w:t>
      </w:r>
      <w:r w:rsidR="00AD62E2" w:rsidRPr="0028384B">
        <w:rPr>
          <w:noProof/>
        </w:rPr>
        <w:t>lit.</w:t>
      </w:r>
      <w:r w:rsidR="0028384B" w:rsidRPr="0028384B">
        <w:rPr>
          <w:noProof/>
        </w:rPr>
        <w:t> </w:t>
      </w:r>
      <w:r w:rsidR="00AD62E2" w:rsidRPr="0028384B">
        <w:rPr>
          <w:noProof/>
        </w:rPr>
        <w:t>a)</w:t>
      </w:r>
      <w:r w:rsidR="00AD62E2" w:rsidRPr="002F16A1">
        <w:rPr>
          <w:noProof/>
        </w:rPr>
        <w:t>, na wniosek promotora projektu strategicznego omawia</w:t>
      </w:r>
      <w:r w:rsidR="0028384B" w:rsidRPr="002F16A1">
        <w:rPr>
          <w:noProof/>
        </w:rPr>
        <w:t xml:space="preserve"> i</w:t>
      </w:r>
      <w:r w:rsidR="0028384B">
        <w:rPr>
          <w:noProof/>
        </w:rPr>
        <w:t> </w:t>
      </w:r>
      <w:r w:rsidR="0028384B" w:rsidRPr="002F16A1">
        <w:rPr>
          <w:noProof/>
        </w:rPr>
        <w:t>dor</w:t>
      </w:r>
      <w:r w:rsidR="00AD62E2" w:rsidRPr="002F16A1">
        <w:rPr>
          <w:noProof/>
        </w:rPr>
        <w:t>adza,</w:t>
      </w:r>
      <w:r w:rsidR="0028384B" w:rsidRPr="002F16A1">
        <w:rPr>
          <w:noProof/>
        </w:rPr>
        <w:t xml:space="preserve"> w</w:t>
      </w:r>
      <w:r w:rsidR="0028384B">
        <w:rPr>
          <w:noProof/>
        </w:rPr>
        <w:t> </w:t>
      </w:r>
      <w:r w:rsidR="0028384B" w:rsidRPr="002F16A1">
        <w:rPr>
          <w:noProof/>
        </w:rPr>
        <w:t>jak</w:t>
      </w:r>
      <w:r w:rsidR="00AD62E2" w:rsidRPr="002F16A1">
        <w:rPr>
          <w:noProof/>
        </w:rPr>
        <w:t>i sposób można zakończyć finansowanie jego projektu, biorąc pod uwagę już zapewnione finansowanie</w:t>
      </w:r>
      <w:r w:rsidR="0028384B" w:rsidRPr="002F16A1">
        <w:rPr>
          <w:noProof/>
        </w:rPr>
        <w:t xml:space="preserve"> i</w:t>
      </w:r>
      <w:r w:rsidR="0028384B">
        <w:rPr>
          <w:noProof/>
        </w:rPr>
        <w:t> </w:t>
      </w:r>
      <w:r w:rsidR="0028384B" w:rsidRPr="002F16A1">
        <w:rPr>
          <w:noProof/>
        </w:rPr>
        <w:t>uwz</w:t>
      </w:r>
      <w:r w:rsidR="00AD62E2" w:rsidRPr="002F16A1">
        <w:rPr>
          <w:noProof/>
        </w:rPr>
        <w:t>ględniając co najmniej następujące elementy:</w:t>
      </w:r>
    </w:p>
    <w:p w:rsidR="00AD62E2" w:rsidRPr="002F16A1" w:rsidRDefault="0028384B" w:rsidP="0028384B">
      <w:pPr>
        <w:pStyle w:val="Point1"/>
        <w:rPr>
          <w:noProof/>
        </w:rPr>
      </w:pPr>
      <w:r>
        <w:rPr>
          <w:noProof/>
        </w:rPr>
        <w:t>a)</w:t>
      </w:r>
      <w:r>
        <w:rPr>
          <w:noProof/>
        </w:rPr>
        <w:tab/>
      </w:r>
      <w:r w:rsidR="00AD62E2" w:rsidRPr="002F16A1">
        <w:rPr>
          <w:noProof/>
        </w:rPr>
        <w:t>dodatkowe prywatne źródła finansowania;</w:t>
      </w:r>
    </w:p>
    <w:p w:rsidR="00AD62E2" w:rsidRPr="002F16A1" w:rsidRDefault="0028384B" w:rsidP="0028384B">
      <w:pPr>
        <w:pStyle w:val="Point1"/>
        <w:rPr>
          <w:noProof/>
        </w:rPr>
      </w:pPr>
      <w:r>
        <w:rPr>
          <w:noProof/>
        </w:rPr>
        <w:t>b)</w:t>
      </w:r>
      <w:r>
        <w:rPr>
          <w:noProof/>
        </w:rPr>
        <w:tab/>
      </w:r>
      <w:r w:rsidR="00AD62E2" w:rsidRPr="002F16A1">
        <w:rPr>
          <w:noProof/>
        </w:rPr>
        <w:t>wsparcie za pomocą środków</w:t>
      </w:r>
      <w:r w:rsidRPr="002F16A1">
        <w:rPr>
          <w:noProof/>
        </w:rPr>
        <w:t xml:space="preserve"> z</w:t>
      </w:r>
      <w:r>
        <w:rPr>
          <w:noProof/>
        </w:rPr>
        <w:t> </w:t>
      </w:r>
      <w:r w:rsidRPr="002F16A1">
        <w:rPr>
          <w:noProof/>
        </w:rPr>
        <w:t>Gru</w:t>
      </w:r>
      <w:r w:rsidR="00AD62E2" w:rsidRPr="002F16A1">
        <w:rPr>
          <w:noProof/>
        </w:rPr>
        <w:t>py Europejskiego Banku Inwestycyjnego lub innych międzynarodowych instytucji finansowych,</w:t>
      </w:r>
      <w:r w:rsidRPr="002F16A1">
        <w:rPr>
          <w:noProof/>
        </w:rPr>
        <w:t xml:space="preserve"> w</w:t>
      </w:r>
      <w:r>
        <w:rPr>
          <w:noProof/>
        </w:rPr>
        <w:t> </w:t>
      </w:r>
      <w:r w:rsidRPr="002F16A1">
        <w:rPr>
          <w:noProof/>
        </w:rPr>
        <w:t>tym</w:t>
      </w:r>
      <w:r w:rsidR="00AD62E2" w:rsidRPr="002F16A1">
        <w:rPr>
          <w:noProof/>
        </w:rPr>
        <w:t xml:space="preserve"> Europejskiego Banku Odbudowy</w:t>
      </w:r>
      <w:r w:rsidRPr="002F16A1">
        <w:rPr>
          <w:noProof/>
        </w:rPr>
        <w:t xml:space="preserve"> i</w:t>
      </w:r>
      <w:r>
        <w:rPr>
          <w:noProof/>
        </w:rPr>
        <w:t> </w:t>
      </w:r>
      <w:r w:rsidRPr="002F16A1">
        <w:rPr>
          <w:noProof/>
        </w:rPr>
        <w:t>Roz</w:t>
      </w:r>
      <w:r w:rsidR="00AD62E2" w:rsidRPr="002F16A1">
        <w:rPr>
          <w:noProof/>
        </w:rPr>
        <w:t>woju;</w:t>
      </w:r>
    </w:p>
    <w:p w:rsidR="00AD62E2" w:rsidRPr="002F16A1" w:rsidRDefault="0028384B" w:rsidP="0028384B">
      <w:pPr>
        <w:pStyle w:val="Point1"/>
        <w:rPr>
          <w:noProof/>
        </w:rPr>
      </w:pPr>
      <w:r>
        <w:rPr>
          <w:noProof/>
        </w:rPr>
        <w:t>c)</w:t>
      </w:r>
      <w:r>
        <w:rPr>
          <w:noProof/>
        </w:rPr>
        <w:tab/>
      </w:r>
      <w:r w:rsidR="00AD62E2" w:rsidRPr="002F16A1">
        <w:rPr>
          <w:noProof/>
        </w:rPr>
        <w:t>istniejące instrumenty</w:t>
      </w:r>
      <w:r w:rsidRPr="002F16A1">
        <w:rPr>
          <w:noProof/>
        </w:rPr>
        <w:t xml:space="preserve"> i</w:t>
      </w:r>
      <w:r>
        <w:rPr>
          <w:noProof/>
        </w:rPr>
        <w:t> </w:t>
      </w:r>
      <w:r w:rsidRPr="002F16A1">
        <w:rPr>
          <w:noProof/>
        </w:rPr>
        <w:t>pro</w:t>
      </w:r>
      <w:r w:rsidR="00AD62E2" w:rsidRPr="002F16A1">
        <w:rPr>
          <w:noProof/>
        </w:rPr>
        <w:t>gramy państw członkowskich,</w:t>
      </w:r>
      <w:r w:rsidRPr="002F16A1">
        <w:rPr>
          <w:noProof/>
        </w:rPr>
        <w:t xml:space="preserve"> w</w:t>
      </w:r>
      <w:r>
        <w:rPr>
          <w:noProof/>
        </w:rPr>
        <w:t> </w:t>
      </w:r>
      <w:r w:rsidRPr="002F16A1">
        <w:rPr>
          <w:noProof/>
        </w:rPr>
        <w:t>tym</w:t>
      </w:r>
      <w:r w:rsidR="00AD62E2" w:rsidRPr="002F16A1">
        <w:rPr>
          <w:noProof/>
        </w:rPr>
        <w:t xml:space="preserve"> te, które stanowią wkład krajowych banków prorozwojowych oraz krajowych instytucji prorozwojowych;</w:t>
      </w:r>
    </w:p>
    <w:p w:rsidR="00AD62E2" w:rsidRPr="002F16A1" w:rsidRDefault="0028384B" w:rsidP="0028384B">
      <w:pPr>
        <w:pStyle w:val="Point1"/>
        <w:rPr>
          <w:noProof/>
        </w:rPr>
      </w:pPr>
      <w:r>
        <w:rPr>
          <w:noProof/>
        </w:rPr>
        <w:t>d)</w:t>
      </w:r>
      <w:r>
        <w:rPr>
          <w:noProof/>
        </w:rPr>
        <w:tab/>
      </w:r>
      <w:r w:rsidR="00AD62E2" w:rsidRPr="002F16A1">
        <w:rPr>
          <w:noProof/>
        </w:rPr>
        <w:t xml:space="preserve">stosowne programy finansowania unijnego. </w:t>
      </w:r>
    </w:p>
    <w:p w:rsidR="00AD62E2" w:rsidRPr="002F16A1" w:rsidRDefault="00AD62E2" w:rsidP="00AD62E2">
      <w:pPr>
        <w:rPr>
          <w:noProof/>
        </w:rPr>
      </w:pPr>
    </w:p>
    <w:p w:rsidR="00AD62E2" w:rsidRPr="002F16A1" w:rsidRDefault="00AD62E2" w:rsidP="00AD62E2">
      <w:pPr>
        <w:pStyle w:val="Titrearticle"/>
        <w:rPr>
          <w:noProof/>
        </w:rPr>
      </w:pPr>
      <w:r w:rsidRPr="002F16A1">
        <w:rPr>
          <w:noProof/>
        </w:rPr>
        <w:t>Artykuł 16</w:t>
      </w:r>
    </w:p>
    <w:p w:rsidR="00AD62E2" w:rsidRPr="002F16A1" w:rsidRDefault="00AD62E2" w:rsidP="00AD62E2">
      <w:pPr>
        <w:pStyle w:val="NormalCentered"/>
        <w:rPr>
          <w:noProof/>
        </w:rPr>
      </w:pPr>
      <w:r w:rsidRPr="002F16A1">
        <w:rPr>
          <w:b/>
          <w:noProof/>
        </w:rPr>
        <w:t>Pośredniczenie</w:t>
      </w:r>
      <w:r w:rsidR="0028384B" w:rsidRPr="002F16A1">
        <w:rPr>
          <w:b/>
          <w:noProof/>
        </w:rPr>
        <w:t xml:space="preserve"> w</w:t>
      </w:r>
      <w:r w:rsidR="0028384B">
        <w:rPr>
          <w:b/>
          <w:noProof/>
        </w:rPr>
        <w:t> </w:t>
      </w:r>
      <w:r w:rsidR="0028384B" w:rsidRPr="002F16A1">
        <w:rPr>
          <w:b/>
          <w:noProof/>
        </w:rPr>
        <w:t>zaw</w:t>
      </w:r>
      <w:r w:rsidRPr="002F16A1">
        <w:rPr>
          <w:b/>
          <w:noProof/>
        </w:rPr>
        <w:t>ieraniu umów odbioru</w:t>
      </w:r>
    </w:p>
    <w:p w:rsidR="00AD62E2" w:rsidRPr="002F16A1" w:rsidRDefault="00733965" w:rsidP="00733965">
      <w:pPr>
        <w:pStyle w:val="ManualNumPar1"/>
        <w:rPr>
          <w:noProof/>
        </w:rPr>
      </w:pPr>
      <w:r w:rsidRPr="00733965">
        <w:t>1.</w:t>
      </w:r>
      <w:r w:rsidRPr="00733965">
        <w:tab/>
      </w:r>
      <w:r w:rsidR="00AD62E2" w:rsidRPr="002F16A1">
        <w:rPr>
          <w:noProof/>
        </w:rPr>
        <w:t>Komisja tworzy system pośredniczący</w:t>
      </w:r>
      <w:r w:rsidR="0028384B" w:rsidRPr="002F16A1">
        <w:rPr>
          <w:noProof/>
        </w:rPr>
        <w:t xml:space="preserve"> w</w:t>
      </w:r>
      <w:r w:rsidR="0028384B">
        <w:rPr>
          <w:noProof/>
        </w:rPr>
        <w:t> </w:t>
      </w:r>
      <w:r w:rsidR="0028384B" w:rsidRPr="002F16A1">
        <w:rPr>
          <w:noProof/>
        </w:rPr>
        <w:t>zaw</w:t>
      </w:r>
      <w:r w:rsidR="00AD62E2" w:rsidRPr="002F16A1">
        <w:rPr>
          <w:noProof/>
        </w:rPr>
        <w:t>ieraniu umów odbioru związanych</w:t>
      </w:r>
      <w:r w:rsidR="0028384B" w:rsidRPr="002F16A1">
        <w:rPr>
          <w:noProof/>
        </w:rPr>
        <w:t xml:space="preserve"> z</w:t>
      </w:r>
      <w:r w:rsidR="0028384B">
        <w:rPr>
          <w:noProof/>
        </w:rPr>
        <w:t> </w:t>
      </w:r>
      <w:r w:rsidR="0028384B" w:rsidRPr="002F16A1">
        <w:rPr>
          <w:noProof/>
        </w:rPr>
        <w:t>pro</w:t>
      </w:r>
      <w:r w:rsidR="00AD62E2" w:rsidRPr="002F16A1">
        <w:rPr>
          <w:noProof/>
        </w:rPr>
        <w:t>jektami strategicznymi, zgodnie</w:t>
      </w:r>
      <w:r w:rsidR="0028384B" w:rsidRPr="002F16A1">
        <w:rPr>
          <w:noProof/>
        </w:rPr>
        <w:t xml:space="preserve"> z</w:t>
      </w:r>
      <w:r w:rsidR="0028384B">
        <w:rPr>
          <w:noProof/>
        </w:rPr>
        <w:t> </w:t>
      </w:r>
      <w:r w:rsidR="0028384B" w:rsidRPr="002F16A1">
        <w:rPr>
          <w:noProof/>
        </w:rPr>
        <w:t>reg</w:t>
      </w:r>
      <w:r w:rsidR="00AD62E2" w:rsidRPr="002F16A1">
        <w:rPr>
          <w:noProof/>
        </w:rPr>
        <w:t>ułami konkurencji.</w:t>
      </w:r>
    </w:p>
    <w:p w:rsidR="00AD62E2" w:rsidRPr="002F16A1" w:rsidRDefault="00733965" w:rsidP="00733965">
      <w:pPr>
        <w:pStyle w:val="ManualNumPar1"/>
        <w:rPr>
          <w:noProof/>
        </w:rPr>
      </w:pPr>
      <w:r w:rsidRPr="00733965">
        <w:t>2.</w:t>
      </w:r>
      <w:r w:rsidRPr="00733965">
        <w:tab/>
      </w:r>
      <w:r w:rsidR="00AD62E2" w:rsidRPr="002F16A1">
        <w:rPr>
          <w:noProof/>
        </w:rPr>
        <w:t>System,</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umożliwia potencjalnym odbiorcom składanie ofert ze wskazaniem:</w:t>
      </w:r>
    </w:p>
    <w:p w:rsidR="00AD62E2" w:rsidRPr="002F16A1" w:rsidRDefault="0028384B" w:rsidP="0028384B">
      <w:pPr>
        <w:pStyle w:val="Point1"/>
        <w:rPr>
          <w:noProof/>
        </w:rPr>
      </w:pPr>
      <w:r>
        <w:rPr>
          <w:noProof/>
        </w:rPr>
        <w:t>a)</w:t>
      </w:r>
      <w:r>
        <w:rPr>
          <w:noProof/>
        </w:rPr>
        <w:tab/>
      </w:r>
      <w:r w:rsidR="00AD62E2" w:rsidRPr="002F16A1">
        <w:rPr>
          <w:noProof/>
        </w:rPr>
        <w:t>ilości</w:t>
      </w:r>
      <w:r w:rsidRPr="002F16A1">
        <w:rPr>
          <w:noProof/>
        </w:rPr>
        <w:t xml:space="preserve"> i</w:t>
      </w:r>
      <w:r>
        <w:rPr>
          <w:noProof/>
        </w:rPr>
        <w:t> </w:t>
      </w:r>
      <w:r w:rsidRPr="002F16A1">
        <w:rPr>
          <w:noProof/>
        </w:rPr>
        <w:t>jak</w:t>
      </w:r>
      <w:r w:rsidR="00AD62E2" w:rsidRPr="002F16A1">
        <w:rPr>
          <w:noProof/>
        </w:rPr>
        <w:t>ości surowców strategicznych, które zamierzają zakupić;</w:t>
      </w:r>
    </w:p>
    <w:p w:rsidR="00AD62E2" w:rsidRPr="002F16A1" w:rsidRDefault="0028384B" w:rsidP="0028384B">
      <w:pPr>
        <w:pStyle w:val="Point1"/>
        <w:rPr>
          <w:noProof/>
        </w:rPr>
      </w:pPr>
      <w:r>
        <w:rPr>
          <w:noProof/>
        </w:rPr>
        <w:t>b)</w:t>
      </w:r>
      <w:r>
        <w:rPr>
          <w:noProof/>
        </w:rPr>
        <w:tab/>
      </w:r>
      <w:r w:rsidR="00AD62E2" w:rsidRPr="002F16A1">
        <w:rPr>
          <w:noProof/>
        </w:rPr>
        <w:t>zamierzonej ceny lub przedziału cenowego;</w:t>
      </w:r>
    </w:p>
    <w:p w:rsidR="00AD62E2" w:rsidRPr="002F16A1" w:rsidRDefault="0028384B" w:rsidP="0028384B">
      <w:pPr>
        <w:pStyle w:val="Point1"/>
        <w:rPr>
          <w:noProof/>
        </w:rPr>
      </w:pPr>
      <w:r>
        <w:rPr>
          <w:noProof/>
        </w:rPr>
        <w:t>c)</w:t>
      </w:r>
      <w:r>
        <w:rPr>
          <w:noProof/>
        </w:rPr>
        <w:tab/>
      </w:r>
      <w:r w:rsidR="00AD62E2" w:rsidRPr="002F16A1">
        <w:rPr>
          <w:noProof/>
        </w:rPr>
        <w:t>planowanego okresu obowiązywania umowy odbioru.</w:t>
      </w:r>
    </w:p>
    <w:p w:rsidR="00AD62E2" w:rsidRPr="002F16A1" w:rsidRDefault="00733965" w:rsidP="00733965">
      <w:pPr>
        <w:pStyle w:val="ManualNumPar1"/>
        <w:rPr>
          <w:noProof/>
        </w:rPr>
      </w:pPr>
      <w:r w:rsidRPr="00733965">
        <w:t>3.</w:t>
      </w:r>
      <w:r w:rsidRPr="00733965">
        <w:tab/>
      </w:r>
      <w:r w:rsidR="00AD62E2" w:rsidRPr="002F16A1">
        <w:rPr>
          <w:noProof/>
        </w:rPr>
        <w:t>System,</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umożliwia promotorom projektów strategicznych składanie ofert ze wskazaniem:</w:t>
      </w:r>
    </w:p>
    <w:p w:rsidR="00AD62E2" w:rsidRPr="002F16A1" w:rsidRDefault="0028384B" w:rsidP="0028384B">
      <w:pPr>
        <w:pStyle w:val="Point1"/>
        <w:rPr>
          <w:noProof/>
        </w:rPr>
      </w:pPr>
      <w:r>
        <w:rPr>
          <w:noProof/>
        </w:rPr>
        <w:t>a)</w:t>
      </w:r>
      <w:r>
        <w:rPr>
          <w:noProof/>
        </w:rPr>
        <w:tab/>
      </w:r>
      <w:r w:rsidR="00AD62E2" w:rsidRPr="002F16A1">
        <w:rPr>
          <w:noProof/>
        </w:rPr>
        <w:t>ilości</w:t>
      </w:r>
      <w:r w:rsidRPr="002F16A1">
        <w:rPr>
          <w:noProof/>
        </w:rPr>
        <w:t xml:space="preserve"> i</w:t>
      </w:r>
      <w:r>
        <w:rPr>
          <w:noProof/>
        </w:rPr>
        <w:t> </w:t>
      </w:r>
      <w:r w:rsidRPr="002F16A1">
        <w:rPr>
          <w:noProof/>
        </w:rPr>
        <w:t>jak</w:t>
      </w:r>
      <w:r w:rsidR="00AD62E2" w:rsidRPr="002F16A1">
        <w:rPr>
          <w:noProof/>
        </w:rPr>
        <w:t>ości surowców strategicznych,</w:t>
      </w:r>
      <w:r w:rsidRPr="002F16A1">
        <w:rPr>
          <w:noProof/>
        </w:rPr>
        <w:t xml:space="preserve"> w</w:t>
      </w:r>
      <w:r>
        <w:rPr>
          <w:noProof/>
        </w:rPr>
        <w:t> </w:t>
      </w:r>
      <w:r w:rsidRPr="002F16A1">
        <w:rPr>
          <w:noProof/>
        </w:rPr>
        <w:t>odn</w:t>
      </w:r>
      <w:r w:rsidR="00AD62E2" w:rsidRPr="002F16A1">
        <w:rPr>
          <w:noProof/>
        </w:rPr>
        <w:t>iesieniu do których starają się zawrzeć umowy odbioru;</w:t>
      </w:r>
    </w:p>
    <w:p w:rsidR="00AD62E2" w:rsidRPr="002F16A1" w:rsidRDefault="0028384B" w:rsidP="0028384B">
      <w:pPr>
        <w:pStyle w:val="Point1"/>
        <w:rPr>
          <w:noProof/>
        </w:rPr>
      </w:pPr>
      <w:r>
        <w:rPr>
          <w:noProof/>
        </w:rPr>
        <w:t>b)</w:t>
      </w:r>
      <w:r>
        <w:rPr>
          <w:noProof/>
        </w:rPr>
        <w:tab/>
      </w:r>
      <w:r w:rsidR="00AD62E2" w:rsidRPr="002F16A1">
        <w:rPr>
          <w:noProof/>
        </w:rPr>
        <w:t>zamierzonej ceny lub przedziału cenowego, według których są skłonni dokonać sprzedaży;</w:t>
      </w:r>
    </w:p>
    <w:p w:rsidR="00AD62E2" w:rsidRPr="002F16A1" w:rsidRDefault="0028384B" w:rsidP="0028384B">
      <w:pPr>
        <w:pStyle w:val="Point1"/>
        <w:rPr>
          <w:noProof/>
        </w:rPr>
      </w:pPr>
      <w:r>
        <w:rPr>
          <w:noProof/>
        </w:rPr>
        <w:t>c)</w:t>
      </w:r>
      <w:r>
        <w:rPr>
          <w:noProof/>
        </w:rPr>
        <w:tab/>
      </w:r>
      <w:r w:rsidR="00AD62E2" w:rsidRPr="002F16A1">
        <w:rPr>
          <w:noProof/>
        </w:rPr>
        <w:t>planowanego okresu obowiązywania umowy odbioru.</w:t>
      </w:r>
    </w:p>
    <w:p w:rsidR="00AD62E2" w:rsidRPr="002F16A1" w:rsidRDefault="00733965" w:rsidP="00733965">
      <w:pPr>
        <w:pStyle w:val="ManualNumPar1"/>
        <w:rPr>
          <w:noProof/>
        </w:rPr>
      </w:pPr>
      <w:r w:rsidRPr="00733965">
        <w:t>4.</w:t>
      </w:r>
      <w:r w:rsidRPr="00733965">
        <w:tab/>
      </w:r>
      <w:r w:rsidR="00AD62E2" w:rsidRPr="002F16A1">
        <w:rPr>
          <w:noProof/>
        </w:rPr>
        <w:t>Na podstawie ofert otrzymanych zgodnie</w:t>
      </w:r>
      <w:r w:rsidR="0028384B" w:rsidRPr="002F16A1">
        <w:rPr>
          <w:noProof/>
        </w:rPr>
        <w:t xml:space="preserve"> z</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2</w:t>
      </w:r>
      <w:r w:rsidR="0028384B" w:rsidRPr="002F16A1">
        <w:rPr>
          <w:noProof/>
        </w:rPr>
        <w:t xml:space="preserve"> i</w:t>
      </w:r>
      <w:r w:rsidR="0028384B">
        <w:rPr>
          <w:noProof/>
        </w:rPr>
        <w:t> </w:t>
      </w:r>
      <w:r w:rsidR="0028384B" w:rsidRPr="002F16A1">
        <w:rPr>
          <w:noProof/>
        </w:rPr>
        <w:t>3</w:t>
      </w:r>
      <w:r w:rsidR="00AD62E2" w:rsidRPr="002F16A1">
        <w:rPr>
          <w:noProof/>
        </w:rPr>
        <w:t xml:space="preserve"> Komisja kontaktuje promotorów projektów strategicznych</w:t>
      </w:r>
      <w:r w:rsidR="0028384B" w:rsidRPr="002F16A1">
        <w:rPr>
          <w:noProof/>
        </w:rPr>
        <w:t xml:space="preserve"> z</w:t>
      </w:r>
      <w:r w:rsidR="0028384B">
        <w:rPr>
          <w:noProof/>
        </w:rPr>
        <w:t> </w:t>
      </w:r>
      <w:r w:rsidR="0028384B" w:rsidRPr="002F16A1">
        <w:rPr>
          <w:noProof/>
        </w:rPr>
        <w:t>pot</w:t>
      </w:r>
      <w:r w:rsidR="00AD62E2" w:rsidRPr="002F16A1">
        <w:rPr>
          <w:noProof/>
        </w:rPr>
        <w:t>encjalnymi, odpowiednimi dla ich projektu odbiorcami. </w:t>
      </w:r>
    </w:p>
    <w:p w:rsidR="00AD62E2" w:rsidRPr="002F16A1" w:rsidRDefault="00AD62E2" w:rsidP="00AD62E2">
      <w:pPr>
        <w:pStyle w:val="Titrearticle"/>
        <w:rPr>
          <w:noProof/>
        </w:rPr>
      </w:pPr>
      <w:r w:rsidRPr="002F16A1">
        <w:rPr>
          <w:noProof/>
        </w:rPr>
        <w:t>Artykuł 17</w:t>
      </w:r>
    </w:p>
    <w:p w:rsidR="00AD62E2" w:rsidRPr="002F16A1" w:rsidRDefault="00AD62E2" w:rsidP="00AD62E2">
      <w:pPr>
        <w:pStyle w:val="NormalCentered"/>
        <w:rPr>
          <w:noProof/>
        </w:rPr>
      </w:pPr>
      <w:r w:rsidRPr="002F16A1">
        <w:rPr>
          <w:b/>
          <w:noProof/>
        </w:rPr>
        <w:t>Dostępność informacji administracyjnych</w:t>
      </w:r>
      <w:r w:rsidR="0028384B" w:rsidRPr="002F16A1">
        <w:rPr>
          <w:b/>
          <w:noProof/>
        </w:rPr>
        <w:t xml:space="preserve"> w</w:t>
      </w:r>
      <w:r w:rsidR="0028384B">
        <w:rPr>
          <w:b/>
          <w:noProof/>
        </w:rPr>
        <w:t> </w:t>
      </w:r>
      <w:r w:rsidR="0028384B" w:rsidRPr="002F16A1">
        <w:rPr>
          <w:b/>
          <w:noProof/>
        </w:rPr>
        <w:t>int</w:t>
      </w:r>
      <w:r w:rsidRPr="002F16A1">
        <w:rPr>
          <w:b/>
          <w:noProof/>
        </w:rPr>
        <w:t>ernecie</w:t>
      </w:r>
    </w:p>
    <w:p w:rsidR="00AD62E2" w:rsidRPr="002F16A1" w:rsidRDefault="00AD62E2" w:rsidP="00AD62E2">
      <w:pPr>
        <w:pStyle w:val="Text1"/>
        <w:rPr>
          <w:noProof/>
        </w:rPr>
      </w:pPr>
      <w:r w:rsidRPr="002F16A1">
        <w:rPr>
          <w:noProof/>
        </w:rPr>
        <w:t>Państwa członkowskie udostępniają</w:t>
      </w:r>
      <w:r w:rsidR="0028384B" w:rsidRPr="002F16A1">
        <w:rPr>
          <w:noProof/>
        </w:rPr>
        <w:t xml:space="preserve"> w</w:t>
      </w:r>
      <w:r w:rsidR="0028384B">
        <w:rPr>
          <w:noProof/>
        </w:rPr>
        <w:t> </w:t>
      </w:r>
      <w:r w:rsidR="0028384B" w:rsidRPr="002F16A1">
        <w:rPr>
          <w:noProof/>
        </w:rPr>
        <w:t>int</w:t>
      </w:r>
      <w:r w:rsidRPr="002F16A1">
        <w:rPr>
          <w:noProof/>
        </w:rPr>
        <w:t>ernecie,</w:t>
      </w:r>
      <w:r w:rsidR="0028384B" w:rsidRPr="002F16A1">
        <w:rPr>
          <w:noProof/>
        </w:rPr>
        <w:t xml:space="preserve"> w</w:t>
      </w:r>
      <w:r w:rsidR="0028384B">
        <w:rPr>
          <w:noProof/>
        </w:rPr>
        <w:t> </w:t>
      </w:r>
      <w:r w:rsidR="0028384B" w:rsidRPr="002F16A1">
        <w:rPr>
          <w:noProof/>
        </w:rPr>
        <w:t>sce</w:t>
      </w:r>
      <w:r w:rsidRPr="002F16A1">
        <w:rPr>
          <w:noProof/>
        </w:rPr>
        <w:t>ntralizowany</w:t>
      </w:r>
      <w:r w:rsidR="0028384B" w:rsidRPr="002F16A1">
        <w:rPr>
          <w:noProof/>
        </w:rPr>
        <w:t xml:space="preserve"> i</w:t>
      </w:r>
      <w:r w:rsidR="0028384B">
        <w:rPr>
          <w:noProof/>
        </w:rPr>
        <w:t> </w:t>
      </w:r>
      <w:r w:rsidR="0028384B" w:rsidRPr="002F16A1">
        <w:rPr>
          <w:noProof/>
        </w:rPr>
        <w:t>łat</w:t>
      </w:r>
      <w:r w:rsidRPr="002F16A1">
        <w:rPr>
          <w:noProof/>
        </w:rPr>
        <w:t>wo dostępny sposób, następujące informacje na temat poniższych procesów administracyjnych związanych</w:t>
      </w:r>
      <w:r w:rsidR="0028384B" w:rsidRPr="002F16A1">
        <w:rPr>
          <w:noProof/>
        </w:rPr>
        <w:t xml:space="preserve"> z</w:t>
      </w:r>
      <w:r w:rsidR="0028384B">
        <w:rPr>
          <w:noProof/>
        </w:rPr>
        <w:t> </w:t>
      </w:r>
      <w:r w:rsidR="0028384B" w:rsidRPr="002F16A1">
        <w:rPr>
          <w:noProof/>
        </w:rPr>
        <w:t>pro</w:t>
      </w:r>
      <w:r w:rsidRPr="002F16A1">
        <w:rPr>
          <w:noProof/>
        </w:rPr>
        <w:t>jektami dotyczącymi surowców krytycznych: </w:t>
      </w:r>
    </w:p>
    <w:p w:rsidR="00AD62E2" w:rsidRPr="002F16A1" w:rsidRDefault="0028384B" w:rsidP="0028384B">
      <w:pPr>
        <w:pStyle w:val="Point1"/>
        <w:rPr>
          <w:noProof/>
        </w:rPr>
      </w:pPr>
      <w:r>
        <w:rPr>
          <w:noProof/>
        </w:rPr>
        <w:t>a)</w:t>
      </w:r>
      <w:r>
        <w:rPr>
          <w:noProof/>
        </w:rPr>
        <w:tab/>
      </w:r>
      <w:r w:rsidR="00AD62E2" w:rsidRPr="002F16A1">
        <w:rPr>
          <w:noProof/>
        </w:rPr>
        <w:t>procesu wydawania pozwoleń;</w:t>
      </w:r>
    </w:p>
    <w:p w:rsidR="00AD62E2" w:rsidRPr="002F16A1" w:rsidRDefault="0028384B" w:rsidP="0028384B">
      <w:pPr>
        <w:pStyle w:val="Point1"/>
        <w:rPr>
          <w:noProof/>
        </w:rPr>
      </w:pPr>
      <w:r>
        <w:rPr>
          <w:noProof/>
        </w:rPr>
        <w:t>b)</w:t>
      </w:r>
      <w:r>
        <w:rPr>
          <w:noProof/>
        </w:rPr>
        <w:tab/>
      </w:r>
      <w:r w:rsidR="00AD62E2" w:rsidRPr="002F16A1">
        <w:rPr>
          <w:noProof/>
        </w:rPr>
        <w:t>usług finansowych</w:t>
      </w:r>
      <w:r w:rsidRPr="002F16A1">
        <w:rPr>
          <w:noProof/>
        </w:rPr>
        <w:t xml:space="preserve"> i</w:t>
      </w:r>
      <w:r>
        <w:rPr>
          <w:noProof/>
        </w:rPr>
        <w:t> </w:t>
      </w:r>
      <w:r w:rsidRPr="002F16A1">
        <w:rPr>
          <w:noProof/>
        </w:rPr>
        <w:t>inw</w:t>
      </w:r>
      <w:r w:rsidR="00AD62E2" w:rsidRPr="002F16A1">
        <w:rPr>
          <w:noProof/>
        </w:rPr>
        <w:t>estycyjnych; </w:t>
      </w:r>
    </w:p>
    <w:p w:rsidR="00AD62E2" w:rsidRPr="002F16A1" w:rsidRDefault="0028384B" w:rsidP="0028384B">
      <w:pPr>
        <w:pStyle w:val="Point1"/>
        <w:rPr>
          <w:noProof/>
        </w:rPr>
      </w:pPr>
      <w:r>
        <w:rPr>
          <w:noProof/>
        </w:rPr>
        <w:t>c)</w:t>
      </w:r>
      <w:r>
        <w:rPr>
          <w:noProof/>
        </w:rPr>
        <w:tab/>
      </w:r>
      <w:r w:rsidR="00AD62E2" w:rsidRPr="002F16A1">
        <w:rPr>
          <w:noProof/>
        </w:rPr>
        <w:t>możliwości finansowania na szczeblu Unii lub państwa członkowskiego;</w:t>
      </w:r>
    </w:p>
    <w:p w:rsidR="00AD62E2" w:rsidRPr="0028384B" w:rsidRDefault="0028384B" w:rsidP="0028384B">
      <w:pPr>
        <w:pStyle w:val="Point1"/>
        <w:rPr>
          <w:noProof/>
        </w:rPr>
      </w:pPr>
      <w:r>
        <w:rPr>
          <w:noProof/>
        </w:rPr>
        <w:t>d)</w:t>
      </w:r>
      <w:r>
        <w:rPr>
          <w:noProof/>
        </w:rPr>
        <w:tab/>
      </w:r>
      <w:r w:rsidR="00AD62E2" w:rsidRPr="002F16A1">
        <w:rPr>
          <w:noProof/>
        </w:rPr>
        <w:t>usług wspomagających prowadzenie działalności gospodarczej,</w:t>
      </w:r>
      <w:r w:rsidRPr="002F16A1">
        <w:rPr>
          <w:noProof/>
        </w:rPr>
        <w:t xml:space="preserve"> w</w:t>
      </w:r>
      <w:r>
        <w:rPr>
          <w:noProof/>
        </w:rPr>
        <w:t> </w:t>
      </w:r>
      <w:r w:rsidRPr="002F16A1">
        <w:rPr>
          <w:noProof/>
        </w:rPr>
        <w:t>tym</w:t>
      </w:r>
      <w:r w:rsidR="00AD62E2" w:rsidRPr="002F16A1">
        <w:rPr>
          <w:noProof/>
        </w:rPr>
        <w:t xml:space="preserve"> m.in. deklaracji podatkowej dotyczącej podatku od osób prawnych, lokalnego prawo podatkowego lub prawa pracy</w:t>
      </w:r>
      <w:r w:rsidR="00AD62E2" w:rsidRPr="0028384B">
        <w:rPr>
          <w:noProof/>
        </w:rPr>
        <w:t>.</w:t>
      </w:r>
      <w:r w:rsidRPr="0028384B">
        <w:rPr>
          <w:noProof/>
        </w:rPr>
        <w:t xml:space="preserve"> </w:t>
      </w:r>
    </w:p>
    <w:p w:rsidR="00AD62E2" w:rsidRPr="002F16A1" w:rsidRDefault="00AD62E2" w:rsidP="00AD62E2">
      <w:pPr>
        <w:pStyle w:val="Text1"/>
        <w:rPr>
          <w:noProof/>
        </w:rPr>
      </w:pPr>
    </w:p>
    <w:p w:rsidR="00AD62E2" w:rsidRPr="002F16A1" w:rsidRDefault="00AD62E2" w:rsidP="00AD62E2">
      <w:pPr>
        <w:pStyle w:val="SectionTitle"/>
        <w:rPr>
          <w:noProof/>
        </w:rPr>
      </w:pPr>
      <w:r w:rsidRPr="002F16A1">
        <w:rPr>
          <w:noProof/>
        </w:rPr>
        <w:t xml:space="preserve">Sekcja 4 </w:t>
      </w:r>
      <w:r w:rsidRPr="002F16A1">
        <w:rPr>
          <w:noProof/>
        </w:rPr>
        <w:br/>
        <w:t>Poszukiwania</w:t>
      </w:r>
    </w:p>
    <w:p w:rsidR="00AD62E2" w:rsidRPr="002F16A1" w:rsidRDefault="00AD62E2" w:rsidP="00AD62E2">
      <w:pPr>
        <w:pStyle w:val="Titrearticle"/>
        <w:rPr>
          <w:noProof/>
        </w:rPr>
      </w:pPr>
      <w:bookmarkStart w:id="7" w:name="__akn_article_8qazLd"/>
      <w:bookmarkEnd w:id="7"/>
      <w:r w:rsidRPr="002F16A1">
        <w:rPr>
          <w:noProof/>
        </w:rPr>
        <w:t>Artykuł 18</w:t>
      </w:r>
    </w:p>
    <w:p w:rsidR="00AD62E2" w:rsidRPr="002F16A1" w:rsidRDefault="00AD62E2" w:rsidP="00AD62E2">
      <w:pPr>
        <w:pStyle w:val="NormalCentered"/>
        <w:rPr>
          <w:noProof/>
        </w:rPr>
      </w:pPr>
      <w:r w:rsidRPr="002F16A1">
        <w:rPr>
          <w:b/>
          <w:noProof/>
        </w:rPr>
        <w:t>Krajowe programy poszukiwań</w:t>
      </w:r>
    </w:p>
    <w:p w:rsidR="00AD62E2" w:rsidRPr="002F16A1" w:rsidRDefault="00733965" w:rsidP="00733965">
      <w:pPr>
        <w:pStyle w:val="ManualNumPar1"/>
        <w:rPr>
          <w:noProof/>
        </w:rPr>
      </w:pPr>
      <w:r w:rsidRPr="00733965">
        <w:t>1.</w:t>
      </w:r>
      <w:r w:rsidRPr="00733965">
        <w:tab/>
      </w:r>
      <w:r w:rsidR="00AD62E2" w:rsidRPr="002F16A1">
        <w:rPr>
          <w:noProof/>
        </w:rPr>
        <w:t>Każde państwo członkowskie opracowuje krajowy program poszukiwań ogólnych ukierunkowanych na surowce krytyczne. Każde państwo członkowskie opracowuje pierwszy taki program do dnia [</w:t>
      </w:r>
      <w:r w:rsidR="00AD62E2" w:rsidRPr="002F16A1">
        <w:rPr>
          <w:i/>
          <w:iCs/>
          <w:noProof/>
        </w:rPr>
        <w:t>Urząd Publikacji: proszę wstawić</w:t>
      </w:r>
      <w:r w:rsidR="00AD62E2" w:rsidRPr="002F16A1">
        <w:rPr>
          <w:noProof/>
        </w:rPr>
        <w:t xml:space="preserve"> </w:t>
      </w:r>
      <w:r w:rsidR="00AD62E2" w:rsidRPr="002F16A1">
        <w:rPr>
          <w:i/>
          <w:iCs/>
          <w:noProof/>
        </w:rPr>
        <w:t>datę: rok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 Programy krajowe są poddawane przeglądowi,</w:t>
      </w:r>
      <w:r w:rsidR="0028384B" w:rsidRPr="002F16A1">
        <w:rPr>
          <w:noProof/>
        </w:rPr>
        <w:t xml:space="preserve"> a</w:t>
      </w:r>
      <w:r w:rsidR="0028384B">
        <w:rPr>
          <w:noProof/>
        </w:rPr>
        <w:t> </w:t>
      </w:r>
      <w:r w:rsidR="0028384B" w:rsidRPr="002F16A1">
        <w:rPr>
          <w:noProof/>
        </w:rPr>
        <w:t>w</w:t>
      </w:r>
      <w:r w:rsidR="0028384B">
        <w:rPr>
          <w:noProof/>
        </w:rPr>
        <w:t> </w:t>
      </w:r>
      <w:r w:rsidR="0028384B" w:rsidRPr="002F16A1">
        <w:rPr>
          <w:noProof/>
        </w:rPr>
        <w:t>raz</w:t>
      </w:r>
      <w:r w:rsidR="00AD62E2" w:rsidRPr="002F16A1">
        <w:rPr>
          <w:noProof/>
        </w:rPr>
        <w:t xml:space="preserve">ie potrzeby aktualizowane, co najmniej </w:t>
      </w:r>
      <w:r w:rsidR="00AD62E2" w:rsidRPr="0028384B">
        <w:rPr>
          <w:noProof/>
        </w:rPr>
        <w:t>co</w:t>
      </w:r>
      <w:r w:rsidR="0028384B" w:rsidRPr="0028384B">
        <w:rPr>
          <w:noProof/>
        </w:rPr>
        <w:t> </w:t>
      </w:r>
      <w:r w:rsidR="00AD62E2" w:rsidRPr="0028384B">
        <w:rPr>
          <w:noProof/>
        </w:rPr>
        <w:t>5</w:t>
      </w:r>
      <w:r w:rsidR="00AD62E2" w:rsidRPr="002F16A1">
        <w:rPr>
          <w:noProof/>
        </w:rPr>
        <w:t xml:space="preserve"> lat.</w:t>
      </w:r>
    </w:p>
    <w:p w:rsidR="00AD62E2" w:rsidRPr="002F16A1" w:rsidRDefault="00733965" w:rsidP="00733965">
      <w:pPr>
        <w:pStyle w:val="ManualNumPar1"/>
        <w:rPr>
          <w:noProof/>
        </w:rPr>
      </w:pPr>
      <w:r w:rsidRPr="00733965">
        <w:t>2.</w:t>
      </w:r>
      <w:r w:rsidRPr="00733965">
        <w:tab/>
      </w:r>
      <w:r w:rsidR="00AD62E2" w:rsidRPr="002F16A1">
        <w:rPr>
          <w:noProof/>
        </w:rPr>
        <w:t>Krajowe programy poszukiwań,</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obejmują środki służące zwiększeniu ilości dostępnych informacji na temat złóż surowców krytycznych</w:t>
      </w:r>
      <w:r w:rsidR="0028384B" w:rsidRPr="002F16A1">
        <w:rPr>
          <w:noProof/>
        </w:rPr>
        <w:t xml:space="preserve"> w</w:t>
      </w:r>
      <w:r w:rsidR="0028384B">
        <w:rPr>
          <w:noProof/>
        </w:rPr>
        <w:t> </w:t>
      </w:r>
      <w:r w:rsidR="0028384B" w:rsidRPr="002F16A1">
        <w:rPr>
          <w:noProof/>
        </w:rPr>
        <w:t>Uni</w:t>
      </w:r>
      <w:r w:rsidR="00AD62E2" w:rsidRPr="002F16A1">
        <w:rPr>
          <w:noProof/>
        </w:rPr>
        <w:t>i,</w:t>
      </w:r>
      <w:r w:rsidR="0028384B" w:rsidRPr="002F16A1">
        <w:rPr>
          <w:noProof/>
        </w:rPr>
        <w:t xml:space="preserve"> w</w:t>
      </w:r>
      <w:r w:rsidR="0028384B">
        <w:rPr>
          <w:noProof/>
        </w:rPr>
        <w:t> </w:t>
      </w:r>
      <w:r w:rsidR="0028384B" w:rsidRPr="002F16A1">
        <w:rPr>
          <w:noProof/>
        </w:rPr>
        <w:t>tym</w:t>
      </w:r>
      <w:r w:rsidR="00AD62E2" w:rsidRPr="002F16A1">
        <w:rPr>
          <w:noProof/>
        </w:rPr>
        <w:t xml:space="preserve"> głębokich złóż rud. Środki te obejmują,</w:t>
      </w:r>
      <w:r w:rsidR="0028384B" w:rsidRPr="002F16A1">
        <w:rPr>
          <w:noProof/>
        </w:rPr>
        <w:t xml:space="preserve"> w</w:t>
      </w:r>
      <w:r w:rsidR="0028384B">
        <w:rPr>
          <w:noProof/>
        </w:rPr>
        <w:t> </w:t>
      </w:r>
      <w:r w:rsidR="0028384B" w:rsidRPr="002F16A1">
        <w:rPr>
          <w:noProof/>
        </w:rPr>
        <w:t>sto</w:t>
      </w:r>
      <w:r w:rsidR="00AD62E2" w:rsidRPr="002F16A1">
        <w:rPr>
          <w:noProof/>
        </w:rPr>
        <w:t>sownych przypadkach, następujące działania:</w:t>
      </w:r>
    </w:p>
    <w:p w:rsidR="00AD62E2" w:rsidRPr="002F16A1" w:rsidRDefault="0028384B" w:rsidP="0028384B">
      <w:pPr>
        <w:pStyle w:val="Point1"/>
        <w:rPr>
          <w:noProof/>
        </w:rPr>
      </w:pPr>
      <w:r>
        <w:rPr>
          <w:noProof/>
        </w:rPr>
        <w:t>a)</w:t>
      </w:r>
      <w:r>
        <w:rPr>
          <w:noProof/>
        </w:rPr>
        <w:tab/>
      </w:r>
      <w:r w:rsidR="00AD62E2" w:rsidRPr="002F16A1">
        <w:rPr>
          <w:noProof/>
        </w:rPr>
        <w:t>mapowanie surowców mineralnych</w:t>
      </w:r>
      <w:r w:rsidRPr="002F16A1">
        <w:rPr>
          <w:noProof/>
        </w:rPr>
        <w:t xml:space="preserve"> w</w:t>
      </w:r>
      <w:r>
        <w:rPr>
          <w:noProof/>
        </w:rPr>
        <w:t> </w:t>
      </w:r>
      <w:r w:rsidRPr="002F16A1">
        <w:rPr>
          <w:noProof/>
        </w:rPr>
        <w:t>odp</w:t>
      </w:r>
      <w:r w:rsidR="00AD62E2" w:rsidRPr="002F16A1">
        <w:rPr>
          <w:noProof/>
        </w:rPr>
        <w:t>owiedniej skali;</w:t>
      </w:r>
    </w:p>
    <w:p w:rsidR="00AD62E2" w:rsidRPr="002F16A1" w:rsidRDefault="0028384B" w:rsidP="0028384B">
      <w:pPr>
        <w:pStyle w:val="Point1"/>
        <w:rPr>
          <w:noProof/>
        </w:rPr>
      </w:pPr>
      <w:r>
        <w:rPr>
          <w:noProof/>
        </w:rPr>
        <w:t>b)</w:t>
      </w:r>
      <w:r>
        <w:rPr>
          <w:noProof/>
        </w:rPr>
        <w:tab/>
      </w:r>
      <w:r w:rsidR="00AD62E2" w:rsidRPr="002F16A1">
        <w:rPr>
          <w:noProof/>
        </w:rPr>
        <w:t>kampanie geochemiczne, mające na celu m.in. ustalenie składu chemicznego gleb, osadów</w:t>
      </w:r>
      <w:r w:rsidRPr="002F16A1">
        <w:rPr>
          <w:noProof/>
        </w:rPr>
        <w:t xml:space="preserve"> i</w:t>
      </w:r>
      <w:r>
        <w:rPr>
          <w:noProof/>
        </w:rPr>
        <w:t> </w:t>
      </w:r>
      <w:r w:rsidRPr="002F16A1">
        <w:rPr>
          <w:noProof/>
        </w:rPr>
        <w:t>ska</w:t>
      </w:r>
      <w:r w:rsidR="00AD62E2" w:rsidRPr="002F16A1">
        <w:rPr>
          <w:noProof/>
        </w:rPr>
        <w:t>ł;</w:t>
      </w:r>
    </w:p>
    <w:p w:rsidR="00AD62E2" w:rsidRPr="002F16A1" w:rsidRDefault="0028384B" w:rsidP="0028384B">
      <w:pPr>
        <w:pStyle w:val="Point1"/>
        <w:rPr>
          <w:noProof/>
        </w:rPr>
      </w:pPr>
      <w:r>
        <w:rPr>
          <w:noProof/>
        </w:rPr>
        <w:t>c)</w:t>
      </w:r>
      <w:r>
        <w:rPr>
          <w:noProof/>
        </w:rPr>
        <w:tab/>
      </w:r>
      <w:r w:rsidR="00AD62E2" w:rsidRPr="002F16A1">
        <w:rPr>
          <w:noProof/>
        </w:rPr>
        <w:t>badania</w:t>
      </w:r>
      <w:r w:rsidRPr="002F16A1">
        <w:rPr>
          <w:noProof/>
        </w:rPr>
        <w:t xml:space="preserve"> z</w:t>
      </w:r>
      <w:r>
        <w:rPr>
          <w:noProof/>
        </w:rPr>
        <w:t> </w:t>
      </w:r>
      <w:r w:rsidRPr="002F16A1">
        <w:rPr>
          <w:noProof/>
        </w:rPr>
        <w:t>zak</w:t>
      </w:r>
      <w:r w:rsidR="00AD62E2" w:rsidRPr="002F16A1">
        <w:rPr>
          <w:noProof/>
        </w:rPr>
        <w:t>resu nauk</w:t>
      </w:r>
      <w:r w:rsidRPr="002F16A1">
        <w:rPr>
          <w:noProof/>
        </w:rPr>
        <w:t xml:space="preserve"> o</w:t>
      </w:r>
      <w:r>
        <w:rPr>
          <w:noProof/>
        </w:rPr>
        <w:t> </w:t>
      </w:r>
      <w:r w:rsidRPr="002F16A1">
        <w:rPr>
          <w:noProof/>
        </w:rPr>
        <w:t>zie</w:t>
      </w:r>
      <w:r w:rsidR="00AD62E2" w:rsidRPr="002F16A1">
        <w:rPr>
          <w:noProof/>
        </w:rPr>
        <w:t>mi, takie jak badania geofizyczne;</w:t>
      </w:r>
    </w:p>
    <w:p w:rsidR="00AD62E2" w:rsidRPr="002F16A1" w:rsidRDefault="0028384B" w:rsidP="0028384B">
      <w:pPr>
        <w:pStyle w:val="Point1"/>
        <w:rPr>
          <w:noProof/>
        </w:rPr>
      </w:pPr>
      <w:r>
        <w:rPr>
          <w:noProof/>
        </w:rPr>
        <w:t>d)</w:t>
      </w:r>
      <w:r>
        <w:rPr>
          <w:noProof/>
        </w:rPr>
        <w:tab/>
      </w:r>
      <w:r w:rsidR="00AD62E2" w:rsidRPr="002F16A1">
        <w:rPr>
          <w:noProof/>
        </w:rPr>
        <w:t>przetwarzanie danych zgromadzonych</w:t>
      </w:r>
      <w:r w:rsidRPr="002F16A1">
        <w:rPr>
          <w:noProof/>
        </w:rPr>
        <w:t xml:space="preserve"> w</w:t>
      </w:r>
      <w:r>
        <w:rPr>
          <w:noProof/>
        </w:rPr>
        <w:t> </w:t>
      </w:r>
      <w:r w:rsidRPr="002F16A1">
        <w:rPr>
          <w:noProof/>
        </w:rPr>
        <w:t>ram</w:t>
      </w:r>
      <w:r w:rsidR="00AD62E2" w:rsidRPr="002F16A1">
        <w:rPr>
          <w:noProof/>
        </w:rPr>
        <w:t>ach poszukiwań ogólnych,</w:t>
      </w:r>
      <w:r w:rsidRPr="002F16A1">
        <w:rPr>
          <w:noProof/>
        </w:rPr>
        <w:t xml:space="preserve"> w</w:t>
      </w:r>
      <w:r>
        <w:rPr>
          <w:noProof/>
        </w:rPr>
        <w:t> </w:t>
      </w:r>
      <w:r w:rsidRPr="002F16A1">
        <w:rPr>
          <w:noProof/>
        </w:rPr>
        <w:t>tym</w:t>
      </w:r>
      <w:r w:rsidR="00AD62E2" w:rsidRPr="002F16A1">
        <w:rPr>
          <w:noProof/>
        </w:rPr>
        <w:t xml:space="preserve"> przez opracowywanie map predykcyjnych;</w:t>
      </w:r>
    </w:p>
    <w:p w:rsidR="00AD62E2" w:rsidRPr="002F16A1" w:rsidRDefault="0028384B" w:rsidP="0028384B">
      <w:pPr>
        <w:pStyle w:val="Point1"/>
        <w:rPr>
          <w:noProof/>
        </w:rPr>
      </w:pPr>
      <w:r>
        <w:rPr>
          <w:noProof/>
        </w:rPr>
        <w:t>e)</w:t>
      </w:r>
      <w:r>
        <w:rPr>
          <w:noProof/>
        </w:rPr>
        <w:tab/>
      </w:r>
      <w:r w:rsidR="00AD62E2" w:rsidRPr="002F16A1">
        <w:rPr>
          <w:noProof/>
        </w:rPr>
        <w:t>ponowne rozpatrzenie istniejących danych</w:t>
      </w:r>
      <w:r w:rsidRPr="002F16A1">
        <w:rPr>
          <w:noProof/>
        </w:rPr>
        <w:t xml:space="preserve"> z</w:t>
      </w:r>
      <w:r>
        <w:rPr>
          <w:noProof/>
        </w:rPr>
        <w:t> </w:t>
      </w:r>
      <w:r w:rsidRPr="002F16A1">
        <w:rPr>
          <w:noProof/>
        </w:rPr>
        <w:t>bad</w:t>
      </w:r>
      <w:r w:rsidR="00AD62E2" w:rsidRPr="002F16A1">
        <w:rPr>
          <w:noProof/>
        </w:rPr>
        <w:t>ań</w:t>
      </w:r>
      <w:r w:rsidRPr="002F16A1">
        <w:rPr>
          <w:noProof/>
        </w:rPr>
        <w:t xml:space="preserve"> z</w:t>
      </w:r>
      <w:r>
        <w:rPr>
          <w:noProof/>
        </w:rPr>
        <w:t> </w:t>
      </w:r>
      <w:r w:rsidRPr="002F16A1">
        <w:rPr>
          <w:noProof/>
        </w:rPr>
        <w:t>zak</w:t>
      </w:r>
      <w:r w:rsidR="00AD62E2" w:rsidRPr="002F16A1">
        <w:rPr>
          <w:noProof/>
        </w:rPr>
        <w:t>resu nauk</w:t>
      </w:r>
      <w:r w:rsidRPr="002F16A1">
        <w:rPr>
          <w:noProof/>
        </w:rPr>
        <w:t xml:space="preserve"> o</w:t>
      </w:r>
      <w:r>
        <w:rPr>
          <w:noProof/>
        </w:rPr>
        <w:t> </w:t>
      </w:r>
      <w:r w:rsidRPr="002F16A1">
        <w:rPr>
          <w:noProof/>
        </w:rPr>
        <w:t>zie</w:t>
      </w:r>
      <w:r w:rsidR="00AD62E2" w:rsidRPr="002F16A1">
        <w:rPr>
          <w:noProof/>
        </w:rPr>
        <w:t>mi</w:t>
      </w:r>
      <w:r w:rsidRPr="002F16A1">
        <w:rPr>
          <w:noProof/>
        </w:rPr>
        <w:t xml:space="preserve"> w</w:t>
      </w:r>
      <w:r>
        <w:rPr>
          <w:noProof/>
        </w:rPr>
        <w:t> </w:t>
      </w:r>
      <w:r w:rsidRPr="002F16A1">
        <w:rPr>
          <w:noProof/>
        </w:rPr>
        <w:t>cel</w:t>
      </w:r>
      <w:r w:rsidR="00AD62E2" w:rsidRPr="002F16A1">
        <w:rPr>
          <w:noProof/>
        </w:rPr>
        <w:t>u sprawdzenia obecności niezidentyfikowanych wystąpień złóż minerałów zawierających surowce krytyczne.</w:t>
      </w:r>
    </w:p>
    <w:p w:rsidR="00AD62E2" w:rsidRPr="002F16A1" w:rsidRDefault="00733965" w:rsidP="00733965">
      <w:pPr>
        <w:pStyle w:val="ManualNumPar1"/>
        <w:rPr>
          <w:noProof/>
        </w:rPr>
      </w:pPr>
      <w:r w:rsidRPr="00733965">
        <w:t>3.</w:t>
      </w:r>
      <w:r w:rsidRPr="00733965">
        <w:tab/>
      </w:r>
      <w:r w:rsidR="00AD62E2" w:rsidRPr="002F16A1">
        <w:rPr>
          <w:noProof/>
        </w:rPr>
        <w:t>Państwa członkowskie przekazują Komisji swoje programy krajowe,</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w:t>
      </w:r>
    </w:p>
    <w:p w:rsidR="00AD62E2" w:rsidRPr="002F16A1" w:rsidRDefault="00733965" w:rsidP="00733965">
      <w:pPr>
        <w:pStyle w:val="ManualNumPar1"/>
        <w:rPr>
          <w:noProof/>
        </w:rPr>
      </w:pPr>
      <w:r w:rsidRPr="00733965">
        <w:t>4.</w:t>
      </w:r>
      <w:r w:rsidRPr="00733965">
        <w:tab/>
      </w:r>
      <w:r w:rsidR="00AD62E2" w:rsidRPr="002F16A1">
        <w:rPr>
          <w:noProof/>
        </w:rPr>
        <w:t>W ramach sprawozdania,</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4</w:t>
      </w:r>
      <w:r w:rsidR="00AD62E2" w:rsidRPr="002F16A1">
        <w:rPr>
          <w:noProof/>
        </w:rPr>
        <w:t>3, państwa członkowskie przedstawiają informacje na temat postępów we wdrażaniu środków zawartych</w:t>
      </w:r>
      <w:r w:rsidR="0028384B" w:rsidRPr="002F16A1">
        <w:rPr>
          <w:noProof/>
        </w:rPr>
        <w:t xml:space="preserve"> w</w:t>
      </w:r>
      <w:r w:rsidR="0028384B">
        <w:rPr>
          <w:noProof/>
        </w:rPr>
        <w:t> </w:t>
      </w:r>
      <w:r w:rsidR="0028384B" w:rsidRPr="002F16A1">
        <w:rPr>
          <w:noProof/>
        </w:rPr>
        <w:t>ich</w:t>
      </w:r>
      <w:r w:rsidR="00AD62E2" w:rsidRPr="002F16A1">
        <w:rPr>
          <w:noProof/>
        </w:rPr>
        <w:t xml:space="preserve"> programach krajowych.</w:t>
      </w:r>
    </w:p>
    <w:p w:rsidR="00AD62E2" w:rsidRPr="002F16A1" w:rsidRDefault="00733965" w:rsidP="00733965">
      <w:pPr>
        <w:pStyle w:val="ManualNumPar1"/>
        <w:rPr>
          <w:noProof/>
        </w:rPr>
      </w:pPr>
      <w:r w:rsidRPr="00733965">
        <w:t>5.</w:t>
      </w:r>
      <w:r w:rsidRPr="00733965">
        <w:tab/>
      </w:r>
      <w:r w:rsidR="00AD62E2" w:rsidRPr="002F16A1">
        <w:rPr>
          <w:noProof/>
        </w:rPr>
        <w:t>Na ogólnodostępnej stronie internetowej państwa członkowskie udostępniają publicznie informacje na temat występujących na ich terytorium złóż minerałów zawierających surowce krytyczne, gromadzone za pomocą środków określonych</w:t>
      </w:r>
      <w:r w:rsidR="0028384B" w:rsidRPr="002F16A1">
        <w:rPr>
          <w:noProof/>
        </w:rPr>
        <w:t xml:space="preserve"> w</w:t>
      </w:r>
      <w:r w:rsidR="0028384B">
        <w:rPr>
          <w:noProof/>
        </w:rPr>
        <w:t> </w:t>
      </w:r>
      <w:r w:rsidR="0028384B" w:rsidRPr="002F16A1">
        <w:rPr>
          <w:noProof/>
        </w:rPr>
        <w:t>pro</w:t>
      </w:r>
      <w:r w:rsidR="00AD62E2" w:rsidRPr="002F16A1">
        <w:rPr>
          <w:noProof/>
        </w:rPr>
        <w:t>gramach krajowych,</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.Informacje te,</w:t>
      </w:r>
      <w:r w:rsidR="0028384B" w:rsidRPr="002F16A1">
        <w:rPr>
          <w:noProof/>
        </w:rPr>
        <w:t xml:space="preserve"> w</w:t>
      </w:r>
      <w:r w:rsidR="0028384B">
        <w:rPr>
          <w:noProof/>
        </w:rPr>
        <w:t> </w:t>
      </w:r>
      <w:r w:rsidR="0028384B" w:rsidRPr="002F16A1">
        <w:rPr>
          <w:noProof/>
        </w:rPr>
        <w:t>sto</w:t>
      </w:r>
      <w:r w:rsidR="00AD62E2" w:rsidRPr="002F16A1">
        <w:rPr>
          <w:noProof/>
        </w:rPr>
        <w:t>sownych przypadkach, obejmują klasyfikację zidentyfikowanych wystąpień przy użyciu ramowej klasyfikacji zasobów ONZ.</w:t>
      </w:r>
    </w:p>
    <w:p w:rsidR="00AD62E2" w:rsidRPr="002F16A1" w:rsidRDefault="00AD62E2" w:rsidP="00AD62E2">
      <w:pPr>
        <w:pStyle w:val="Text1"/>
        <w:rPr>
          <w:noProof/>
        </w:rPr>
      </w:pPr>
      <w:r w:rsidRPr="002F16A1">
        <w:rPr>
          <w:noProof/>
        </w:rPr>
        <w:t>Komisja jest uprawniona do przyjęcia aktów wykonawczych ustanawiających wzór udostępniania informacji,</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F16A1">
        <w:rPr>
          <w:noProof/>
        </w:rPr>
        <w:t>aka</w:t>
      </w:r>
      <w:r w:rsidRPr="002F16A1">
        <w:rPr>
          <w:noProof/>
        </w:rPr>
        <w:t>picie pierwszym. Wzór ten może wskazywać sposób wyrażania informacji,</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F16A1">
        <w:rPr>
          <w:noProof/>
        </w:rPr>
        <w:t>aka</w:t>
      </w:r>
      <w:r w:rsidRPr="002F16A1">
        <w:rPr>
          <w:noProof/>
        </w:rPr>
        <w:t>picie pierwszym. Te akty wykonawcze przyjmuje się zgodnie</w:t>
      </w:r>
      <w:r w:rsidR="0028384B" w:rsidRPr="002F16A1">
        <w:rPr>
          <w:noProof/>
        </w:rPr>
        <w:t xml:space="preserve"> z</w:t>
      </w:r>
      <w:r w:rsidR="0028384B">
        <w:rPr>
          <w:noProof/>
        </w:rPr>
        <w:t> </w:t>
      </w:r>
      <w:r w:rsidR="0028384B" w:rsidRPr="002F16A1">
        <w:rPr>
          <w:noProof/>
        </w:rPr>
        <w:t>pro</w:t>
      </w:r>
      <w:r w:rsidRPr="002F16A1">
        <w:rPr>
          <w:noProof/>
        </w:rPr>
        <w:t>cedurą doradczą,</w:t>
      </w:r>
      <w:r w:rsidR="0028384B" w:rsidRPr="002F16A1">
        <w:rPr>
          <w:noProof/>
        </w:rPr>
        <w:t xml:space="preserve"> o</w:t>
      </w:r>
      <w:r w:rsidR="0028384B">
        <w:rPr>
          <w:noProof/>
        </w:rPr>
        <w:t> </w:t>
      </w:r>
      <w:r w:rsidR="0028384B" w:rsidRPr="002F16A1">
        <w:rPr>
          <w:noProof/>
        </w:rPr>
        <w:t>któ</w:t>
      </w:r>
      <w:r w:rsidRPr="002F16A1">
        <w:rPr>
          <w:noProof/>
        </w:rPr>
        <w:t>rej mowa</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3</w:t>
      </w:r>
      <w:r w:rsidRPr="002F16A1">
        <w:rPr>
          <w:noProof/>
        </w:rPr>
        <w:t xml:space="preserve">7 </w:t>
      </w:r>
      <w:r w:rsidRPr="0028384B">
        <w:rPr>
          <w:noProof/>
        </w:rPr>
        <w:t>ust.</w:t>
      </w:r>
      <w:r w:rsidR="0028384B" w:rsidRPr="0028384B">
        <w:rPr>
          <w:noProof/>
        </w:rPr>
        <w:t> </w:t>
      </w:r>
      <w:r w:rsidRPr="0028384B">
        <w:rPr>
          <w:noProof/>
        </w:rPr>
        <w:t>2</w:t>
      </w:r>
      <w:r w:rsidRPr="002F16A1">
        <w:rPr>
          <w:noProof/>
        </w:rPr>
        <w:t>.</w:t>
      </w:r>
    </w:p>
    <w:p w:rsidR="00AD62E2" w:rsidRPr="002F16A1" w:rsidRDefault="00733965" w:rsidP="00733965">
      <w:pPr>
        <w:pStyle w:val="ManualNumPar1"/>
        <w:rPr>
          <w:noProof/>
        </w:rPr>
      </w:pPr>
      <w:r w:rsidRPr="00733965">
        <w:t>6.</w:t>
      </w:r>
      <w:r w:rsidRPr="00733965">
        <w:tab/>
      </w:r>
      <w:r w:rsidR="00AD62E2" w:rsidRPr="002F16A1">
        <w:rPr>
          <w:noProof/>
        </w:rPr>
        <w:t>Uwzględniając istniejącą współpracę</w:t>
      </w:r>
      <w:r w:rsidR="0028384B" w:rsidRPr="002F16A1">
        <w:rPr>
          <w:noProof/>
        </w:rPr>
        <w:t xml:space="preserve"> w</w:t>
      </w:r>
      <w:r w:rsidR="0028384B">
        <w:rPr>
          <w:noProof/>
        </w:rPr>
        <w:t> </w:t>
      </w:r>
      <w:r w:rsidR="0028384B" w:rsidRPr="002F16A1">
        <w:rPr>
          <w:noProof/>
        </w:rPr>
        <w:t>zak</w:t>
      </w:r>
      <w:r w:rsidR="00AD62E2" w:rsidRPr="002F16A1">
        <w:rPr>
          <w:noProof/>
        </w:rPr>
        <w:t>resie poszukiwań ogólnych, stała podgrupa,</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5 </w:t>
      </w:r>
      <w:r w:rsidR="00AD62E2" w:rsidRPr="0028384B">
        <w:rPr>
          <w:noProof/>
        </w:rPr>
        <w:t>ust.</w:t>
      </w:r>
      <w:r w:rsidR="0028384B" w:rsidRPr="0028384B">
        <w:rPr>
          <w:noProof/>
        </w:rPr>
        <w:t> </w:t>
      </w:r>
      <w:r w:rsidR="00AD62E2" w:rsidRPr="0028384B">
        <w:rPr>
          <w:noProof/>
        </w:rPr>
        <w:t>6</w:t>
      </w:r>
      <w:r w:rsidR="00AD62E2" w:rsidRPr="002F16A1">
        <w:rPr>
          <w:noProof/>
        </w:rPr>
        <w:t xml:space="preserve"> </w:t>
      </w:r>
      <w:r w:rsidR="00AD62E2" w:rsidRPr="0028384B">
        <w:rPr>
          <w:noProof/>
        </w:rPr>
        <w:t>lit.</w:t>
      </w:r>
      <w:r w:rsidR="0028384B" w:rsidRPr="0028384B">
        <w:rPr>
          <w:noProof/>
        </w:rPr>
        <w:t> </w:t>
      </w:r>
      <w:r w:rsidR="00AD62E2" w:rsidRPr="0028384B">
        <w:rPr>
          <w:noProof/>
        </w:rPr>
        <w:t>b)</w:t>
      </w:r>
      <w:r w:rsidR="00AD62E2" w:rsidRPr="002F16A1">
        <w:rPr>
          <w:noProof/>
        </w:rPr>
        <w:t>, omawia programy krajowe,</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oraz ich realizację,</w:t>
      </w:r>
      <w:r w:rsidR="0028384B" w:rsidRPr="002F16A1">
        <w:rPr>
          <w:noProof/>
        </w:rPr>
        <w:t xml:space="preserve"> w</w:t>
      </w:r>
      <w:r w:rsidR="0028384B">
        <w:rPr>
          <w:noProof/>
        </w:rPr>
        <w:t> </w:t>
      </w:r>
      <w:r w:rsidR="0028384B" w:rsidRPr="002F16A1">
        <w:rPr>
          <w:noProof/>
        </w:rPr>
        <w:t>tym</w:t>
      </w:r>
      <w:r w:rsidR="00AD62E2" w:rsidRPr="002F16A1">
        <w:rPr>
          <w:noProof/>
        </w:rPr>
        <w:t xml:space="preserve"> co najmniej:</w:t>
      </w:r>
    </w:p>
    <w:p w:rsidR="00AD62E2" w:rsidRPr="002F16A1" w:rsidRDefault="0028384B" w:rsidP="0028384B">
      <w:pPr>
        <w:pStyle w:val="Point1"/>
        <w:rPr>
          <w:noProof/>
        </w:rPr>
      </w:pPr>
      <w:r>
        <w:rPr>
          <w:noProof/>
        </w:rPr>
        <w:t>a)</w:t>
      </w:r>
      <w:r>
        <w:rPr>
          <w:noProof/>
        </w:rPr>
        <w:tab/>
      </w:r>
      <w:r w:rsidR="00AD62E2" w:rsidRPr="002F16A1">
        <w:rPr>
          <w:noProof/>
        </w:rPr>
        <w:t>potencjał współpracy,</w:t>
      </w:r>
      <w:r w:rsidRPr="002F16A1">
        <w:rPr>
          <w:noProof/>
        </w:rPr>
        <w:t xml:space="preserve"> w</w:t>
      </w:r>
      <w:r>
        <w:rPr>
          <w:noProof/>
        </w:rPr>
        <w:t> </w:t>
      </w:r>
      <w:r w:rsidRPr="002F16A1">
        <w:rPr>
          <w:noProof/>
        </w:rPr>
        <w:t>tym w</w:t>
      </w:r>
      <w:r>
        <w:rPr>
          <w:noProof/>
        </w:rPr>
        <w:t> </w:t>
      </w:r>
      <w:r w:rsidRPr="002F16A1">
        <w:rPr>
          <w:noProof/>
        </w:rPr>
        <w:t>zak</w:t>
      </w:r>
      <w:r w:rsidR="00AD62E2" w:rsidRPr="002F16A1">
        <w:rPr>
          <w:noProof/>
        </w:rPr>
        <w:t>resie transgranicznych poszukiwań złóż surowców mineralnych</w:t>
      </w:r>
      <w:r w:rsidRPr="002F16A1">
        <w:rPr>
          <w:noProof/>
        </w:rPr>
        <w:t xml:space="preserve"> i</w:t>
      </w:r>
      <w:r>
        <w:rPr>
          <w:noProof/>
        </w:rPr>
        <w:t> </w:t>
      </w:r>
      <w:r w:rsidRPr="002F16A1">
        <w:rPr>
          <w:noProof/>
        </w:rPr>
        <w:t>wsp</w:t>
      </w:r>
      <w:r w:rsidR="00AD62E2" w:rsidRPr="002F16A1">
        <w:rPr>
          <w:noProof/>
        </w:rPr>
        <w:t>ólnych formacji geologicznych;</w:t>
      </w:r>
    </w:p>
    <w:p w:rsidR="00AD62E2" w:rsidRPr="002F16A1" w:rsidRDefault="0028384B" w:rsidP="0028384B">
      <w:pPr>
        <w:pStyle w:val="Point1"/>
        <w:rPr>
          <w:noProof/>
        </w:rPr>
      </w:pPr>
      <w:r>
        <w:rPr>
          <w:noProof/>
        </w:rPr>
        <w:t>b)</w:t>
      </w:r>
      <w:r>
        <w:rPr>
          <w:noProof/>
        </w:rPr>
        <w:tab/>
      </w:r>
      <w:r w:rsidR="00AD62E2" w:rsidRPr="002F16A1">
        <w:rPr>
          <w:noProof/>
        </w:rPr>
        <w:t>najlepsze praktyki związane ze środkami wymienionymi</w:t>
      </w:r>
      <w:r w:rsidRPr="002F16A1">
        <w:rPr>
          <w:noProof/>
        </w:rPr>
        <w:t xml:space="preserve"> w</w:t>
      </w:r>
      <w:r>
        <w:rPr>
          <w:noProof/>
        </w:rPr>
        <w:t> </w:t>
      </w:r>
      <w:r w:rsidRPr="0028384B">
        <w:rPr>
          <w:noProof/>
        </w:rPr>
        <w:t>ust</w:t>
      </w:r>
      <w:r w:rsidR="00AD62E2" w:rsidRPr="0028384B">
        <w:rPr>
          <w:noProof/>
        </w:rPr>
        <w:t>.</w:t>
      </w:r>
      <w:r w:rsidRPr="0028384B">
        <w:rPr>
          <w:noProof/>
        </w:rPr>
        <w:t> </w:t>
      </w:r>
      <w:r w:rsidR="00AD62E2" w:rsidRPr="0028384B">
        <w:rPr>
          <w:noProof/>
        </w:rPr>
        <w:t>2</w:t>
      </w:r>
      <w:r w:rsidR="00AD62E2" w:rsidRPr="002F16A1">
        <w:rPr>
          <w:noProof/>
        </w:rPr>
        <w:t>;</w:t>
      </w:r>
    </w:p>
    <w:p w:rsidR="00AD62E2" w:rsidRPr="002F16A1" w:rsidRDefault="0028384B" w:rsidP="0028384B">
      <w:pPr>
        <w:pStyle w:val="Point1"/>
        <w:rPr>
          <w:noProof/>
        </w:rPr>
      </w:pPr>
      <w:r>
        <w:rPr>
          <w:noProof/>
        </w:rPr>
        <w:t>c)</w:t>
      </w:r>
      <w:r>
        <w:rPr>
          <w:noProof/>
        </w:rPr>
        <w:tab/>
      </w:r>
      <w:r w:rsidR="00AD62E2" w:rsidRPr="002F16A1">
        <w:rPr>
          <w:noProof/>
        </w:rPr>
        <w:t>możliwość stworzenia zintegrowanej bazy danych na potrzeby przechowywania wyników programów krajowych,</w:t>
      </w:r>
      <w:r w:rsidRPr="002F16A1">
        <w:rPr>
          <w:noProof/>
        </w:rPr>
        <w:t xml:space="preserve"> o</w:t>
      </w:r>
      <w:r>
        <w:rPr>
          <w:noProof/>
        </w:rPr>
        <w:t> </w:t>
      </w:r>
      <w:r w:rsidRPr="002F16A1">
        <w:rPr>
          <w:noProof/>
        </w:rPr>
        <w:t>któ</w:t>
      </w:r>
      <w:r w:rsidR="00AD62E2" w:rsidRPr="002F16A1">
        <w:rPr>
          <w:noProof/>
        </w:rPr>
        <w:t>rych mowa</w:t>
      </w:r>
      <w:r w:rsidRPr="002F16A1">
        <w:rPr>
          <w:noProof/>
        </w:rPr>
        <w:t xml:space="preserve"> w</w:t>
      </w:r>
      <w:r>
        <w:rPr>
          <w:noProof/>
        </w:rPr>
        <w:t> </w:t>
      </w:r>
      <w:r w:rsidRPr="0028384B">
        <w:rPr>
          <w:noProof/>
        </w:rPr>
        <w:t>ust</w:t>
      </w:r>
      <w:r w:rsidR="00AD62E2" w:rsidRPr="0028384B">
        <w:rPr>
          <w:noProof/>
        </w:rPr>
        <w:t>.</w:t>
      </w:r>
      <w:r w:rsidRPr="0028384B">
        <w:rPr>
          <w:noProof/>
        </w:rPr>
        <w:t> </w:t>
      </w:r>
      <w:r w:rsidR="00AD62E2" w:rsidRPr="0028384B">
        <w:rPr>
          <w:noProof/>
        </w:rPr>
        <w:t>1</w:t>
      </w:r>
      <w:r w:rsidR="00AD62E2" w:rsidRPr="002F16A1">
        <w:rPr>
          <w:noProof/>
        </w:rPr>
        <w:t>.</w:t>
      </w:r>
    </w:p>
    <w:p w:rsidR="00AD62E2" w:rsidRPr="002F16A1" w:rsidRDefault="00AD62E2" w:rsidP="00AD62E2">
      <w:pPr>
        <w:pStyle w:val="ChapterTitle"/>
        <w:rPr>
          <w:noProof/>
        </w:rPr>
      </w:pPr>
      <w:bookmarkStart w:id="8" w:name="__akn_chapter_mRfZM2"/>
      <w:bookmarkEnd w:id="8"/>
      <w:r w:rsidRPr="002F16A1">
        <w:rPr>
          <w:noProof/>
        </w:rPr>
        <w:t xml:space="preserve">Rozdział 4 </w:t>
      </w:r>
      <w:r w:rsidRPr="002F16A1">
        <w:rPr>
          <w:noProof/>
        </w:rPr>
        <w:br/>
        <w:t>Monitorowanie</w:t>
      </w:r>
      <w:r w:rsidR="0028384B" w:rsidRPr="002F16A1">
        <w:rPr>
          <w:noProof/>
        </w:rPr>
        <w:t xml:space="preserve"> i</w:t>
      </w:r>
      <w:r w:rsidR="0028384B">
        <w:rPr>
          <w:noProof/>
        </w:rPr>
        <w:t> </w:t>
      </w:r>
      <w:r w:rsidR="0028384B" w:rsidRPr="002F16A1">
        <w:rPr>
          <w:noProof/>
        </w:rPr>
        <w:t>ogr</w:t>
      </w:r>
      <w:r w:rsidRPr="002F16A1">
        <w:rPr>
          <w:noProof/>
        </w:rPr>
        <w:t>aniczanie ryzyka</w:t>
      </w:r>
    </w:p>
    <w:p w:rsidR="00AD62E2" w:rsidRPr="002F16A1" w:rsidRDefault="00AD62E2" w:rsidP="00AD62E2">
      <w:pPr>
        <w:pStyle w:val="Titrearticle"/>
        <w:rPr>
          <w:noProof/>
        </w:rPr>
      </w:pPr>
      <w:bookmarkStart w:id="9" w:name="__akn_article_cZo4e0"/>
      <w:bookmarkEnd w:id="9"/>
      <w:r w:rsidRPr="002F16A1">
        <w:rPr>
          <w:noProof/>
        </w:rPr>
        <w:t>Artykuł 19</w:t>
      </w:r>
    </w:p>
    <w:p w:rsidR="00AD62E2" w:rsidRPr="002F16A1" w:rsidRDefault="00AD62E2" w:rsidP="00AD62E2">
      <w:pPr>
        <w:pStyle w:val="NormalCentered"/>
        <w:rPr>
          <w:noProof/>
        </w:rPr>
      </w:pPr>
      <w:r w:rsidRPr="002F16A1">
        <w:rPr>
          <w:b/>
          <w:noProof/>
        </w:rPr>
        <w:t>Monitorowanie</w:t>
      </w:r>
      <w:r w:rsidR="0028384B" w:rsidRPr="002F16A1">
        <w:rPr>
          <w:b/>
          <w:noProof/>
        </w:rPr>
        <w:t xml:space="preserve"> i</w:t>
      </w:r>
      <w:r w:rsidR="0028384B">
        <w:rPr>
          <w:b/>
          <w:noProof/>
        </w:rPr>
        <w:t> </w:t>
      </w:r>
      <w:r w:rsidR="0028384B" w:rsidRPr="002F16A1">
        <w:rPr>
          <w:b/>
          <w:noProof/>
        </w:rPr>
        <w:t>tes</w:t>
      </w:r>
      <w:r w:rsidRPr="002F16A1">
        <w:rPr>
          <w:b/>
          <w:noProof/>
        </w:rPr>
        <w:t>t warunków skrajnych</w:t>
      </w:r>
    </w:p>
    <w:p w:rsidR="00AD62E2" w:rsidRPr="002F16A1" w:rsidRDefault="00733965" w:rsidP="00733965">
      <w:pPr>
        <w:pStyle w:val="ManualNumPar1"/>
        <w:rPr>
          <w:noProof/>
        </w:rPr>
      </w:pPr>
      <w:r w:rsidRPr="00733965">
        <w:t>1.</w:t>
      </w:r>
      <w:r w:rsidRPr="00733965">
        <w:tab/>
      </w:r>
      <w:r w:rsidR="00AD62E2" w:rsidRPr="002F16A1">
        <w:rPr>
          <w:noProof/>
        </w:rPr>
        <w:t>Komisja monitoruje ryzyko związane</w:t>
      </w:r>
      <w:r w:rsidR="0028384B" w:rsidRPr="002F16A1">
        <w:rPr>
          <w:noProof/>
        </w:rPr>
        <w:t xml:space="preserve"> z</w:t>
      </w:r>
      <w:r w:rsidR="0028384B">
        <w:rPr>
          <w:noProof/>
        </w:rPr>
        <w:t> </w:t>
      </w:r>
      <w:r w:rsidR="0028384B" w:rsidRPr="002F16A1">
        <w:rPr>
          <w:noProof/>
        </w:rPr>
        <w:t>dos</w:t>
      </w:r>
      <w:r w:rsidR="00AD62E2" w:rsidRPr="002F16A1">
        <w:rPr>
          <w:noProof/>
        </w:rPr>
        <w:t>tawami surowców krytycznych. Monitorowanie to obejmuje co najmniej zmiany następujących parametrów:</w:t>
      </w:r>
    </w:p>
    <w:p w:rsidR="00AD62E2" w:rsidRPr="002F16A1" w:rsidRDefault="0028384B" w:rsidP="0028384B">
      <w:pPr>
        <w:pStyle w:val="Point1"/>
        <w:rPr>
          <w:noProof/>
        </w:rPr>
      </w:pPr>
      <w:r>
        <w:rPr>
          <w:noProof/>
        </w:rPr>
        <w:t>a)</w:t>
      </w:r>
      <w:r>
        <w:rPr>
          <w:noProof/>
        </w:rPr>
        <w:tab/>
      </w:r>
      <w:r w:rsidR="00AD62E2" w:rsidRPr="002F16A1">
        <w:rPr>
          <w:noProof/>
        </w:rPr>
        <w:t>przepływy handlowe;</w:t>
      </w:r>
    </w:p>
    <w:p w:rsidR="00AD62E2" w:rsidRPr="002F16A1" w:rsidRDefault="0028384B" w:rsidP="0028384B">
      <w:pPr>
        <w:pStyle w:val="Point1"/>
        <w:rPr>
          <w:noProof/>
        </w:rPr>
      </w:pPr>
      <w:r>
        <w:rPr>
          <w:noProof/>
        </w:rPr>
        <w:t>b)</w:t>
      </w:r>
      <w:r>
        <w:rPr>
          <w:noProof/>
        </w:rPr>
        <w:tab/>
      </w:r>
      <w:r w:rsidR="00AD62E2" w:rsidRPr="002F16A1">
        <w:rPr>
          <w:noProof/>
        </w:rPr>
        <w:t>popyt</w:t>
      </w:r>
      <w:r w:rsidRPr="002F16A1">
        <w:rPr>
          <w:noProof/>
        </w:rPr>
        <w:t xml:space="preserve"> i</w:t>
      </w:r>
      <w:r>
        <w:rPr>
          <w:noProof/>
        </w:rPr>
        <w:t> </w:t>
      </w:r>
      <w:r w:rsidRPr="002F16A1">
        <w:rPr>
          <w:noProof/>
        </w:rPr>
        <w:t>pod</w:t>
      </w:r>
      <w:r w:rsidR="00AD62E2" w:rsidRPr="002F16A1">
        <w:rPr>
          <w:noProof/>
        </w:rPr>
        <w:t>aż;</w:t>
      </w:r>
    </w:p>
    <w:p w:rsidR="00AD62E2" w:rsidRPr="002F16A1" w:rsidRDefault="0028384B" w:rsidP="0028384B">
      <w:pPr>
        <w:pStyle w:val="Point1"/>
        <w:rPr>
          <w:noProof/>
        </w:rPr>
      </w:pPr>
      <w:r>
        <w:rPr>
          <w:noProof/>
        </w:rPr>
        <w:t>c)</w:t>
      </w:r>
      <w:r>
        <w:rPr>
          <w:noProof/>
        </w:rPr>
        <w:tab/>
      </w:r>
      <w:r w:rsidR="00AD62E2" w:rsidRPr="002F16A1">
        <w:rPr>
          <w:noProof/>
        </w:rPr>
        <w:t>koncentracja podaży;</w:t>
      </w:r>
    </w:p>
    <w:p w:rsidR="00AD62E2" w:rsidRPr="002F16A1" w:rsidRDefault="0028384B" w:rsidP="0028384B">
      <w:pPr>
        <w:pStyle w:val="Point1"/>
        <w:rPr>
          <w:noProof/>
        </w:rPr>
      </w:pPr>
      <w:bookmarkStart w:id="10" w:name="__akn_article_cZo4e0_NF59rc"/>
      <w:bookmarkEnd w:id="10"/>
      <w:r>
        <w:rPr>
          <w:noProof/>
        </w:rPr>
        <w:t>d)</w:t>
      </w:r>
      <w:r>
        <w:rPr>
          <w:noProof/>
        </w:rPr>
        <w:tab/>
      </w:r>
      <w:r w:rsidR="00AD62E2" w:rsidRPr="002F16A1">
        <w:rPr>
          <w:noProof/>
        </w:rPr>
        <w:t>produkcja unijna</w:t>
      </w:r>
      <w:r w:rsidRPr="002F16A1">
        <w:rPr>
          <w:noProof/>
        </w:rPr>
        <w:t xml:space="preserve"> i</w:t>
      </w:r>
      <w:r>
        <w:rPr>
          <w:noProof/>
        </w:rPr>
        <w:t> </w:t>
      </w:r>
      <w:r w:rsidRPr="002F16A1">
        <w:rPr>
          <w:noProof/>
        </w:rPr>
        <w:t>glo</w:t>
      </w:r>
      <w:r w:rsidR="00AD62E2" w:rsidRPr="002F16A1">
        <w:rPr>
          <w:noProof/>
        </w:rPr>
        <w:t>balna oraz zdolności produkcyjne na różnych etapach łańcucha wartości.</w:t>
      </w:r>
    </w:p>
    <w:p w:rsidR="00AD62E2" w:rsidRPr="002F16A1" w:rsidRDefault="00733965" w:rsidP="00733965">
      <w:pPr>
        <w:pStyle w:val="ManualNumPar1"/>
        <w:rPr>
          <w:noProof/>
        </w:rPr>
      </w:pPr>
      <w:r w:rsidRPr="00733965">
        <w:t>2.</w:t>
      </w:r>
      <w:r w:rsidRPr="00733965">
        <w:tab/>
      </w:r>
      <w:r w:rsidR="00AD62E2" w:rsidRPr="002F16A1">
        <w:rPr>
          <w:noProof/>
        </w:rPr>
        <w:t>Organy krajowe uczestniczące</w:t>
      </w:r>
      <w:r w:rsidR="0028384B" w:rsidRPr="002F16A1">
        <w:rPr>
          <w:noProof/>
        </w:rPr>
        <w:t xml:space="preserve"> w</w:t>
      </w:r>
      <w:r w:rsidR="0028384B">
        <w:rPr>
          <w:noProof/>
        </w:rPr>
        <w:t> </w:t>
      </w:r>
      <w:r w:rsidR="0028384B" w:rsidRPr="002F16A1">
        <w:rPr>
          <w:noProof/>
        </w:rPr>
        <w:t>sta</w:t>
      </w:r>
      <w:r w:rsidR="00AD62E2" w:rsidRPr="002F16A1">
        <w:rPr>
          <w:noProof/>
        </w:rPr>
        <w:t>łej podgrupie,</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5 </w:t>
      </w:r>
      <w:r w:rsidR="00AD62E2" w:rsidRPr="0028384B">
        <w:rPr>
          <w:noProof/>
        </w:rPr>
        <w:t>ust.</w:t>
      </w:r>
      <w:r w:rsidR="0028384B" w:rsidRPr="0028384B">
        <w:rPr>
          <w:noProof/>
        </w:rPr>
        <w:t> </w:t>
      </w:r>
      <w:r w:rsidR="00AD62E2" w:rsidRPr="0028384B">
        <w:rPr>
          <w:noProof/>
        </w:rPr>
        <w:t>6</w:t>
      </w:r>
      <w:r w:rsidR="00AD62E2" w:rsidRPr="002F16A1">
        <w:rPr>
          <w:noProof/>
        </w:rPr>
        <w:t xml:space="preserve"> </w:t>
      </w:r>
      <w:r w:rsidR="00AD62E2" w:rsidRPr="0028384B">
        <w:rPr>
          <w:noProof/>
        </w:rPr>
        <w:t>lit.</w:t>
      </w:r>
      <w:r w:rsidR="0028384B" w:rsidRPr="0028384B">
        <w:rPr>
          <w:noProof/>
        </w:rPr>
        <w:t> </w:t>
      </w:r>
      <w:r w:rsidR="00AD62E2" w:rsidRPr="0028384B">
        <w:rPr>
          <w:noProof/>
        </w:rPr>
        <w:t>c)</w:t>
      </w:r>
      <w:r w:rsidR="00AD62E2" w:rsidRPr="002F16A1">
        <w:rPr>
          <w:noProof/>
        </w:rPr>
        <w:t>, wspierają Komisję</w:t>
      </w:r>
      <w:r w:rsidR="0028384B" w:rsidRPr="002F16A1">
        <w:rPr>
          <w:noProof/>
        </w:rPr>
        <w:t xml:space="preserve"> w</w:t>
      </w:r>
      <w:r w:rsidR="0028384B">
        <w:rPr>
          <w:noProof/>
        </w:rPr>
        <w:t> </w:t>
      </w:r>
      <w:r w:rsidR="0028384B" w:rsidRPr="002F16A1">
        <w:rPr>
          <w:noProof/>
        </w:rPr>
        <w:t>mon</w:t>
      </w:r>
      <w:r w:rsidR="00AD62E2" w:rsidRPr="002F16A1">
        <w:rPr>
          <w:noProof/>
        </w:rPr>
        <w:t>itorowaniu,</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za pomocą:</w:t>
      </w:r>
    </w:p>
    <w:p w:rsidR="00AD62E2" w:rsidRPr="002F16A1" w:rsidRDefault="0028384B" w:rsidP="0028384B">
      <w:pPr>
        <w:pStyle w:val="Point1"/>
        <w:rPr>
          <w:noProof/>
        </w:rPr>
      </w:pPr>
      <w:r>
        <w:rPr>
          <w:noProof/>
        </w:rPr>
        <w:t>a)</w:t>
      </w:r>
      <w:r>
        <w:rPr>
          <w:noProof/>
        </w:rPr>
        <w:tab/>
      </w:r>
      <w:r w:rsidR="00AD62E2" w:rsidRPr="002F16A1">
        <w:rPr>
          <w:noProof/>
        </w:rPr>
        <w:t>dzielenia się wszelkimi dostępnymi im informacjami na temat zmian parametrów wymienionych</w:t>
      </w:r>
      <w:r w:rsidRPr="002F16A1">
        <w:rPr>
          <w:noProof/>
        </w:rPr>
        <w:t xml:space="preserve"> w</w:t>
      </w:r>
      <w:r>
        <w:rPr>
          <w:noProof/>
        </w:rPr>
        <w:t> </w:t>
      </w:r>
      <w:r w:rsidRPr="0028384B">
        <w:rPr>
          <w:noProof/>
        </w:rPr>
        <w:t>ust</w:t>
      </w:r>
      <w:r w:rsidR="00AD62E2" w:rsidRPr="0028384B">
        <w:rPr>
          <w:noProof/>
        </w:rPr>
        <w:t>.</w:t>
      </w:r>
      <w:r w:rsidRPr="0028384B">
        <w:rPr>
          <w:noProof/>
        </w:rPr>
        <w:t> </w:t>
      </w:r>
      <w:r w:rsidR="00AD62E2" w:rsidRPr="0028384B">
        <w:rPr>
          <w:noProof/>
        </w:rPr>
        <w:t>1</w:t>
      </w:r>
      <w:r w:rsidR="00AD62E2" w:rsidRPr="002F16A1">
        <w:rPr>
          <w:noProof/>
        </w:rPr>
        <w:t>,</w:t>
      </w:r>
      <w:r w:rsidRPr="002F16A1">
        <w:rPr>
          <w:noProof/>
        </w:rPr>
        <w:t xml:space="preserve"> w</w:t>
      </w:r>
      <w:r>
        <w:rPr>
          <w:noProof/>
        </w:rPr>
        <w:t> </w:t>
      </w:r>
      <w:r w:rsidRPr="002F16A1">
        <w:rPr>
          <w:noProof/>
        </w:rPr>
        <w:t>tym</w:t>
      </w:r>
      <w:r w:rsidR="00AD62E2" w:rsidRPr="002F16A1">
        <w:rPr>
          <w:noProof/>
        </w:rPr>
        <w:t xml:space="preserve"> informacjami,</w:t>
      </w:r>
      <w:r w:rsidRPr="002F16A1">
        <w:rPr>
          <w:noProof/>
        </w:rPr>
        <w:t xml:space="preserve"> o</w:t>
      </w:r>
      <w:r>
        <w:rPr>
          <w:noProof/>
        </w:rPr>
        <w:t> </w:t>
      </w:r>
      <w:r w:rsidRPr="002F16A1">
        <w:rPr>
          <w:noProof/>
        </w:rPr>
        <w:t>któ</w:t>
      </w:r>
      <w:r w:rsidR="00AD62E2" w:rsidRPr="002F16A1">
        <w:rPr>
          <w:noProof/>
        </w:rPr>
        <w:t>rych mowa</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2</w:t>
      </w:r>
      <w:r w:rsidR="00AD62E2" w:rsidRPr="002F16A1">
        <w:rPr>
          <w:noProof/>
        </w:rPr>
        <w:t>0; </w:t>
      </w:r>
    </w:p>
    <w:p w:rsidR="00AD62E2" w:rsidRPr="002F16A1" w:rsidRDefault="0028384B" w:rsidP="0028384B">
      <w:pPr>
        <w:pStyle w:val="Point1"/>
        <w:rPr>
          <w:noProof/>
        </w:rPr>
      </w:pPr>
      <w:r>
        <w:rPr>
          <w:noProof/>
        </w:rPr>
        <w:t>b)</w:t>
      </w:r>
      <w:r>
        <w:rPr>
          <w:noProof/>
        </w:rPr>
        <w:tab/>
      </w:r>
      <w:r w:rsidR="00AD62E2" w:rsidRPr="002F16A1">
        <w:rPr>
          <w:noProof/>
        </w:rPr>
        <w:t>gromadzenia (w koordynacji</w:t>
      </w:r>
      <w:r w:rsidRPr="002F16A1">
        <w:rPr>
          <w:noProof/>
        </w:rPr>
        <w:t xml:space="preserve"> z</w:t>
      </w:r>
      <w:r>
        <w:rPr>
          <w:noProof/>
        </w:rPr>
        <w:t> </w:t>
      </w:r>
      <w:r w:rsidRPr="002F16A1">
        <w:rPr>
          <w:noProof/>
        </w:rPr>
        <w:t>Kom</w:t>
      </w:r>
      <w:r w:rsidR="00AD62E2" w:rsidRPr="002F16A1">
        <w:rPr>
          <w:noProof/>
        </w:rPr>
        <w:t>isją</w:t>
      </w:r>
      <w:r w:rsidRPr="002F16A1">
        <w:rPr>
          <w:noProof/>
        </w:rPr>
        <w:t xml:space="preserve"> i</w:t>
      </w:r>
      <w:r>
        <w:rPr>
          <w:noProof/>
        </w:rPr>
        <w:t> </w:t>
      </w:r>
      <w:r w:rsidRPr="002F16A1">
        <w:rPr>
          <w:noProof/>
        </w:rPr>
        <w:t>poz</w:t>
      </w:r>
      <w:r w:rsidR="00AD62E2" w:rsidRPr="002F16A1">
        <w:rPr>
          <w:noProof/>
        </w:rPr>
        <w:t>ostałymi organami uczestniczącymi) informacji na temat zmian parametrów wymienionych</w:t>
      </w:r>
      <w:r w:rsidRPr="002F16A1">
        <w:rPr>
          <w:noProof/>
        </w:rPr>
        <w:t xml:space="preserve"> w</w:t>
      </w:r>
      <w:r>
        <w:rPr>
          <w:noProof/>
        </w:rPr>
        <w:t> </w:t>
      </w:r>
      <w:r w:rsidRPr="0028384B">
        <w:rPr>
          <w:noProof/>
        </w:rPr>
        <w:t>ust</w:t>
      </w:r>
      <w:r w:rsidR="00AD62E2" w:rsidRPr="0028384B">
        <w:rPr>
          <w:noProof/>
        </w:rPr>
        <w:t>.</w:t>
      </w:r>
      <w:r w:rsidRPr="0028384B">
        <w:rPr>
          <w:noProof/>
        </w:rPr>
        <w:t> </w:t>
      </w:r>
      <w:r w:rsidR="00AD62E2" w:rsidRPr="0028384B">
        <w:rPr>
          <w:noProof/>
        </w:rPr>
        <w:t>1</w:t>
      </w:r>
      <w:r w:rsidR="00AD62E2" w:rsidRPr="002F16A1">
        <w:rPr>
          <w:noProof/>
        </w:rPr>
        <w:t>,</w:t>
      </w:r>
      <w:r w:rsidRPr="002F16A1">
        <w:rPr>
          <w:noProof/>
        </w:rPr>
        <w:t xml:space="preserve"> w</w:t>
      </w:r>
      <w:r>
        <w:rPr>
          <w:noProof/>
        </w:rPr>
        <w:t> </w:t>
      </w:r>
      <w:r w:rsidRPr="002F16A1">
        <w:rPr>
          <w:noProof/>
        </w:rPr>
        <w:t>tym</w:t>
      </w:r>
      <w:r w:rsidR="00AD62E2" w:rsidRPr="002F16A1">
        <w:rPr>
          <w:noProof/>
        </w:rPr>
        <w:t xml:space="preserve"> informacji,</w:t>
      </w:r>
      <w:r w:rsidRPr="002F16A1">
        <w:rPr>
          <w:noProof/>
        </w:rPr>
        <w:t xml:space="preserve"> o</w:t>
      </w:r>
      <w:r>
        <w:rPr>
          <w:noProof/>
        </w:rPr>
        <w:t> </w:t>
      </w:r>
      <w:r w:rsidRPr="002F16A1">
        <w:rPr>
          <w:noProof/>
        </w:rPr>
        <w:t>któ</w:t>
      </w:r>
      <w:r w:rsidR="00AD62E2" w:rsidRPr="002F16A1">
        <w:rPr>
          <w:noProof/>
        </w:rPr>
        <w:t>rych mowa</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2</w:t>
      </w:r>
      <w:r w:rsidR="00AD62E2" w:rsidRPr="002F16A1">
        <w:rPr>
          <w:noProof/>
        </w:rPr>
        <w:t>0; </w:t>
      </w:r>
    </w:p>
    <w:p w:rsidR="00AD62E2" w:rsidRPr="002F16A1" w:rsidRDefault="0028384B" w:rsidP="0028384B">
      <w:pPr>
        <w:pStyle w:val="Point1"/>
        <w:rPr>
          <w:noProof/>
        </w:rPr>
      </w:pPr>
      <w:r>
        <w:rPr>
          <w:noProof/>
        </w:rPr>
        <w:t>c)</w:t>
      </w:r>
      <w:r>
        <w:rPr>
          <w:noProof/>
        </w:rPr>
        <w:tab/>
      </w:r>
      <w:r w:rsidR="00AD62E2" w:rsidRPr="002F16A1">
        <w:rPr>
          <w:noProof/>
        </w:rPr>
        <w:t>przeprowadzania analizy ryzyka związanego</w:t>
      </w:r>
      <w:r w:rsidRPr="002F16A1">
        <w:rPr>
          <w:noProof/>
        </w:rPr>
        <w:t xml:space="preserve"> z</w:t>
      </w:r>
      <w:r>
        <w:rPr>
          <w:noProof/>
        </w:rPr>
        <w:t> </w:t>
      </w:r>
      <w:r w:rsidRPr="002F16A1">
        <w:rPr>
          <w:noProof/>
        </w:rPr>
        <w:t>dos</w:t>
      </w:r>
      <w:r w:rsidR="00AD62E2" w:rsidRPr="002F16A1">
        <w:rPr>
          <w:noProof/>
        </w:rPr>
        <w:t>tawami surowców krytycznych</w:t>
      </w:r>
      <w:r w:rsidRPr="002F16A1">
        <w:rPr>
          <w:noProof/>
        </w:rPr>
        <w:t xml:space="preserve"> w</w:t>
      </w:r>
      <w:r>
        <w:rPr>
          <w:noProof/>
        </w:rPr>
        <w:t> </w:t>
      </w:r>
      <w:r w:rsidRPr="002F16A1">
        <w:rPr>
          <w:noProof/>
        </w:rPr>
        <w:t>świ</w:t>
      </w:r>
      <w:r w:rsidR="00AD62E2" w:rsidRPr="002F16A1">
        <w:rPr>
          <w:noProof/>
        </w:rPr>
        <w:t>etle zmian parametrów wymienionych</w:t>
      </w:r>
      <w:r w:rsidRPr="002F16A1">
        <w:rPr>
          <w:noProof/>
        </w:rPr>
        <w:t xml:space="preserve"> w</w:t>
      </w:r>
      <w:r>
        <w:rPr>
          <w:noProof/>
        </w:rPr>
        <w:t> </w:t>
      </w:r>
      <w:r w:rsidRPr="0028384B">
        <w:rPr>
          <w:noProof/>
        </w:rPr>
        <w:t>ust</w:t>
      </w:r>
      <w:r w:rsidR="00AD62E2" w:rsidRPr="0028384B">
        <w:rPr>
          <w:noProof/>
        </w:rPr>
        <w:t>.</w:t>
      </w:r>
      <w:r w:rsidRPr="0028384B">
        <w:rPr>
          <w:noProof/>
        </w:rPr>
        <w:t> </w:t>
      </w:r>
      <w:r w:rsidR="00AD62E2" w:rsidRPr="0028384B">
        <w:rPr>
          <w:noProof/>
        </w:rPr>
        <w:t>1</w:t>
      </w:r>
      <w:r w:rsidR="00AD62E2" w:rsidRPr="002F16A1">
        <w:rPr>
          <w:noProof/>
        </w:rPr>
        <w:t>.</w:t>
      </w:r>
    </w:p>
    <w:p w:rsidR="00AD62E2" w:rsidRPr="002F16A1" w:rsidRDefault="00733965" w:rsidP="00733965">
      <w:pPr>
        <w:pStyle w:val="ManualNumPar1"/>
        <w:rPr>
          <w:noProof/>
        </w:rPr>
      </w:pPr>
      <w:r w:rsidRPr="00733965">
        <w:t>3.</w:t>
      </w:r>
      <w:r w:rsidRPr="00733965">
        <w:tab/>
      </w:r>
      <w:r w:rsidR="00AD62E2" w:rsidRPr="002F16A1">
        <w:rPr>
          <w:noProof/>
        </w:rPr>
        <w:t>Komisja, we współpracy</w:t>
      </w:r>
      <w:r w:rsidR="0028384B" w:rsidRPr="002F16A1">
        <w:rPr>
          <w:noProof/>
        </w:rPr>
        <w:t xml:space="preserve"> z</w:t>
      </w:r>
      <w:r w:rsidR="0028384B">
        <w:rPr>
          <w:noProof/>
        </w:rPr>
        <w:t> </w:t>
      </w:r>
      <w:r w:rsidR="0028384B" w:rsidRPr="002F16A1">
        <w:rPr>
          <w:noProof/>
        </w:rPr>
        <w:t>org</w:t>
      </w:r>
      <w:r w:rsidR="00AD62E2" w:rsidRPr="002F16A1">
        <w:rPr>
          <w:noProof/>
        </w:rPr>
        <w:t>anami krajowymi uczestniczącymi</w:t>
      </w:r>
      <w:r w:rsidR="0028384B" w:rsidRPr="002F16A1">
        <w:rPr>
          <w:noProof/>
        </w:rPr>
        <w:t xml:space="preserve"> w</w:t>
      </w:r>
      <w:r w:rsidR="0028384B">
        <w:rPr>
          <w:noProof/>
        </w:rPr>
        <w:t> </w:t>
      </w:r>
      <w:r w:rsidR="0028384B" w:rsidRPr="002F16A1">
        <w:rPr>
          <w:noProof/>
        </w:rPr>
        <w:t>sta</w:t>
      </w:r>
      <w:r w:rsidR="00AD62E2" w:rsidRPr="002F16A1">
        <w:rPr>
          <w:noProof/>
        </w:rPr>
        <w:t>łej podgrupie,</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5 </w:t>
      </w:r>
      <w:r w:rsidR="00AD62E2" w:rsidRPr="0028384B">
        <w:rPr>
          <w:noProof/>
        </w:rPr>
        <w:t>ust.</w:t>
      </w:r>
      <w:r w:rsidR="0028384B" w:rsidRPr="0028384B">
        <w:rPr>
          <w:noProof/>
        </w:rPr>
        <w:t> </w:t>
      </w:r>
      <w:r w:rsidR="00AD62E2" w:rsidRPr="0028384B">
        <w:rPr>
          <w:noProof/>
        </w:rPr>
        <w:t>6</w:t>
      </w:r>
      <w:r w:rsidR="00AD62E2" w:rsidRPr="002F16A1">
        <w:rPr>
          <w:noProof/>
        </w:rPr>
        <w:t xml:space="preserve"> </w:t>
      </w:r>
      <w:r w:rsidR="00AD62E2" w:rsidRPr="0028384B">
        <w:rPr>
          <w:noProof/>
        </w:rPr>
        <w:t>lit.</w:t>
      </w:r>
      <w:r w:rsidR="0028384B" w:rsidRPr="0028384B">
        <w:rPr>
          <w:noProof/>
        </w:rPr>
        <w:t> </w:t>
      </w:r>
      <w:r w:rsidR="00AD62E2" w:rsidRPr="0028384B">
        <w:rPr>
          <w:noProof/>
        </w:rPr>
        <w:t>c)</w:t>
      </w:r>
      <w:r w:rsidR="00AD62E2" w:rsidRPr="002F16A1">
        <w:rPr>
          <w:noProof/>
        </w:rPr>
        <w:t>, zapewnia przeprowadzanie testu warunków skrajnych dla każdego łańcucha dostaw surowców strategicznych co najmniej raz na trzy lata</w:t>
      </w:r>
      <w:r w:rsidR="0028384B" w:rsidRPr="002F16A1">
        <w:rPr>
          <w:noProof/>
        </w:rPr>
        <w:t>. W</w:t>
      </w:r>
      <w:r w:rsidR="0028384B">
        <w:rPr>
          <w:noProof/>
        </w:rPr>
        <w:t> </w:t>
      </w:r>
      <w:r w:rsidR="0028384B" w:rsidRPr="002F16A1">
        <w:rPr>
          <w:noProof/>
        </w:rPr>
        <w:t>tym</w:t>
      </w:r>
      <w:r w:rsidR="00AD62E2" w:rsidRPr="002F16A1">
        <w:rPr>
          <w:noProof/>
        </w:rPr>
        <w:t xml:space="preserve"> celu stała podgrupa,</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5 </w:t>
      </w:r>
      <w:r w:rsidR="00AD62E2" w:rsidRPr="0028384B">
        <w:rPr>
          <w:noProof/>
        </w:rPr>
        <w:t>ust.</w:t>
      </w:r>
      <w:r w:rsidR="0028384B" w:rsidRPr="0028384B">
        <w:rPr>
          <w:noProof/>
        </w:rPr>
        <w:t> </w:t>
      </w:r>
      <w:r w:rsidR="00AD62E2" w:rsidRPr="0028384B">
        <w:rPr>
          <w:noProof/>
        </w:rPr>
        <w:t>6</w:t>
      </w:r>
      <w:r w:rsidR="00AD62E2" w:rsidRPr="002F16A1">
        <w:rPr>
          <w:noProof/>
        </w:rPr>
        <w:t xml:space="preserve"> </w:t>
      </w:r>
      <w:r w:rsidR="00AD62E2" w:rsidRPr="0028384B">
        <w:rPr>
          <w:noProof/>
        </w:rPr>
        <w:t>lit.</w:t>
      </w:r>
      <w:r w:rsidR="0028384B" w:rsidRPr="0028384B">
        <w:rPr>
          <w:noProof/>
        </w:rPr>
        <w:t> </w:t>
      </w:r>
      <w:r w:rsidR="00AD62E2" w:rsidRPr="0028384B">
        <w:rPr>
          <w:noProof/>
        </w:rPr>
        <w:t>c)</w:t>
      </w:r>
      <w:r w:rsidR="00AD62E2" w:rsidRPr="002F16A1">
        <w:rPr>
          <w:noProof/>
        </w:rPr>
        <w:t>, koordynuje</w:t>
      </w:r>
      <w:r w:rsidR="0028384B" w:rsidRPr="002F16A1">
        <w:rPr>
          <w:noProof/>
        </w:rPr>
        <w:t xml:space="preserve"> i</w:t>
      </w:r>
      <w:r w:rsidR="0028384B">
        <w:rPr>
          <w:noProof/>
        </w:rPr>
        <w:t> </w:t>
      </w:r>
      <w:r w:rsidR="0028384B" w:rsidRPr="002F16A1">
        <w:rPr>
          <w:noProof/>
        </w:rPr>
        <w:t>roz</w:t>
      </w:r>
      <w:r w:rsidR="00AD62E2" w:rsidRPr="002F16A1">
        <w:rPr>
          <w:noProof/>
        </w:rPr>
        <w:t xml:space="preserve">dziela przeprowadzanie testów warunków skrajnych dla poszczególnych surowców strategicznych przez różne organy uczestniczące. </w:t>
      </w:r>
    </w:p>
    <w:p w:rsidR="00AD62E2" w:rsidRPr="002F16A1" w:rsidRDefault="00AD62E2" w:rsidP="00AD62E2">
      <w:pPr>
        <w:pStyle w:val="Text1"/>
        <w:rPr>
          <w:noProof/>
        </w:rPr>
      </w:pPr>
      <w:r w:rsidRPr="002F16A1">
        <w:rPr>
          <w:noProof/>
        </w:rPr>
        <w:t>Testy warunków skrajnych,</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F16A1">
        <w:rPr>
          <w:noProof/>
        </w:rPr>
        <w:t>aka</w:t>
      </w:r>
      <w:r w:rsidRPr="002F16A1">
        <w:rPr>
          <w:noProof/>
        </w:rPr>
        <w:t>picie pierwszym, obejmują ocenę podatności unijnego łańcucha dostaw odpowiedniego surowca strategicznego na zakłócenia dostaw przez oszacowanie wpływu różnych scenariuszy, które mogą spowodować takie zakłócenia, oraz ich potencjalnych skutków,</w:t>
      </w:r>
      <w:r w:rsidR="0028384B" w:rsidRPr="002F16A1">
        <w:rPr>
          <w:noProof/>
        </w:rPr>
        <w:t xml:space="preserve"> z</w:t>
      </w:r>
      <w:r w:rsidR="0028384B">
        <w:rPr>
          <w:noProof/>
        </w:rPr>
        <w:t> </w:t>
      </w:r>
      <w:r w:rsidR="0028384B" w:rsidRPr="002F16A1">
        <w:rPr>
          <w:noProof/>
        </w:rPr>
        <w:t>uwz</w:t>
      </w:r>
      <w:r w:rsidRPr="002F16A1">
        <w:rPr>
          <w:noProof/>
        </w:rPr>
        <w:t>ględnieniem co najmniej następujących elementów:</w:t>
      </w:r>
    </w:p>
    <w:p w:rsidR="00AD62E2" w:rsidRPr="002F16A1" w:rsidRDefault="0028384B" w:rsidP="0028384B">
      <w:pPr>
        <w:pStyle w:val="Point1"/>
        <w:rPr>
          <w:noProof/>
        </w:rPr>
      </w:pPr>
      <w:r>
        <w:rPr>
          <w:noProof/>
        </w:rPr>
        <w:t>a)</w:t>
      </w:r>
      <w:r>
        <w:rPr>
          <w:noProof/>
        </w:rPr>
        <w:tab/>
      </w:r>
      <w:r w:rsidR="00AD62E2" w:rsidRPr="002F16A1">
        <w:rPr>
          <w:noProof/>
        </w:rPr>
        <w:t>obszaru, gdzie dany surowiec jest wydobywany, przetwarzany lub poddawany recyklingowi;</w:t>
      </w:r>
    </w:p>
    <w:p w:rsidR="00AD62E2" w:rsidRPr="002F16A1" w:rsidRDefault="0028384B" w:rsidP="0028384B">
      <w:pPr>
        <w:pStyle w:val="Point1"/>
        <w:rPr>
          <w:noProof/>
        </w:rPr>
      </w:pPr>
      <w:r>
        <w:rPr>
          <w:noProof/>
        </w:rPr>
        <w:t>b)</w:t>
      </w:r>
      <w:r>
        <w:rPr>
          <w:noProof/>
        </w:rPr>
        <w:tab/>
      </w:r>
      <w:r w:rsidR="00AD62E2" w:rsidRPr="002F16A1">
        <w:rPr>
          <w:noProof/>
        </w:rPr>
        <w:t>zdolności podmiotów gospodarczych</w:t>
      </w:r>
      <w:r w:rsidRPr="002F16A1">
        <w:rPr>
          <w:noProof/>
        </w:rPr>
        <w:t xml:space="preserve"> w</w:t>
      </w:r>
      <w:r>
        <w:rPr>
          <w:noProof/>
        </w:rPr>
        <w:t> </w:t>
      </w:r>
      <w:r w:rsidRPr="002F16A1">
        <w:rPr>
          <w:noProof/>
        </w:rPr>
        <w:t>ram</w:t>
      </w:r>
      <w:r w:rsidR="00AD62E2" w:rsidRPr="002F16A1">
        <w:rPr>
          <w:noProof/>
        </w:rPr>
        <w:t>ach łańcucha wartości, jak również struktury rynku;</w:t>
      </w:r>
    </w:p>
    <w:p w:rsidR="00AD62E2" w:rsidRPr="002F16A1" w:rsidRDefault="0028384B" w:rsidP="0028384B">
      <w:pPr>
        <w:pStyle w:val="Point1"/>
        <w:rPr>
          <w:noProof/>
        </w:rPr>
      </w:pPr>
      <w:r>
        <w:rPr>
          <w:noProof/>
        </w:rPr>
        <w:t>c)</w:t>
      </w:r>
      <w:r>
        <w:rPr>
          <w:noProof/>
        </w:rPr>
        <w:tab/>
      </w:r>
      <w:r w:rsidR="00AD62E2" w:rsidRPr="002F16A1">
        <w:rPr>
          <w:noProof/>
        </w:rPr>
        <w:t>czynników, które mogą wpłynąć na dostawy,</w:t>
      </w:r>
      <w:r w:rsidRPr="002F16A1">
        <w:rPr>
          <w:noProof/>
        </w:rPr>
        <w:t xml:space="preserve"> w</w:t>
      </w:r>
      <w:r>
        <w:rPr>
          <w:noProof/>
        </w:rPr>
        <w:t> </w:t>
      </w:r>
      <w:r w:rsidRPr="002F16A1">
        <w:rPr>
          <w:noProof/>
        </w:rPr>
        <w:t>tym</w:t>
      </w:r>
      <w:r w:rsidR="00AD62E2" w:rsidRPr="002F16A1">
        <w:rPr>
          <w:noProof/>
        </w:rPr>
        <w:t xml:space="preserve"> m.in. sytuacji geopolitycznej, logistyki, dostaw energii, siły roboczej lub klęsk żywiołowych;</w:t>
      </w:r>
    </w:p>
    <w:p w:rsidR="00AD62E2" w:rsidRPr="002F16A1" w:rsidRDefault="0028384B" w:rsidP="0028384B">
      <w:pPr>
        <w:pStyle w:val="Point1"/>
        <w:rPr>
          <w:noProof/>
        </w:rPr>
      </w:pPr>
      <w:r>
        <w:rPr>
          <w:noProof/>
        </w:rPr>
        <w:t>d)</w:t>
      </w:r>
      <w:r>
        <w:rPr>
          <w:noProof/>
        </w:rPr>
        <w:tab/>
      </w:r>
      <w:r w:rsidR="00AD62E2" w:rsidRPr="002F16A1">
        <w:rPr>
          <w:noProof/>
        </w:rPr>
        <w:t>dostępności alternatywnych źródeł dostaw</w:t>
      </w:r>
      <w:r w:rsidRPr="002F16A1">
        <w:rPr>
          <w:noProof/>
        </w:rPr>
        <w:t xml:space="preserve"> i</w:t>
      </w:r>
      <w:r>
        <w:rPr>
          <w:noProof/>
        </w:rPr>
        <w:t> </w:t>
      </w:r>
      <w:r w:rsidRPr="002F16A1">
        <w:rPr>
          <w:noProof/>
        </w:rPr>
        <w:t>mat</w:t>
      </w:r>
      <w:r w:rsidR="00AD62E2" w:rsidRPr="002F16A1">
        <w:rPr>
          <w:noProof/>
        </w:rPr>
        <w:t>eriałów zastępczych;</w:t>
      </w:r>
    </w:p>
    <w:p w:rsidR="00AD62E2" w:rsidRPr="002F16A1" w:rsidRDefault="0028384B" w:rsidP="0028384B">
      <w:pPr>
        <w:pStyle w:val="Point1"/>
        <w:rPr>
          <w:noProof/>
        </w:rPr>
      </w:pPr>
      <w:r>
        <w:rPr>
          <w:noProof/>
        </w:rPr>
        <w:t>e)</w:t>
      </w:r>
      <w:r>
        <w:rPr>
          <w:noProof/>
        </w:rPr>
        <w:tab/>
      </w:r>
      <w:r w:rsidR="00AD62E2" w:rsidRPr="002F16A1">
        <w:rPr>
          <w:noProof/>
        </w:rPr>
        <w:t>podmiotów wykorzystujących przedmiotowe surowce</w:t>
      </w:r>
      <w:r w:rsidRPr="002F16A1">
        <w:rPr>
          <w:noProof/>
        </w:rPr>
        <w:t xml:space="preserve"> w</w:t>
      </w:r>
      <w:r>
        <w:rPr>
          <w:noProof/>
        </w:rPr>
        <w:t> </w:t>
      </w:r>
      <w:r w:rsidRPr="002F16A1">
        <w:rPr>
          <w:noProof/>
        </w:rPr>
        <w:t>cał</w:t>
      </w:r>
      <w:r w:rsidR="00AD62E2" w:rsidRPr="002F16A1">
        <w:rPr>
          <w:noProof/>
        </w:rPr>
        <w:t>ym łańcuchu wartości</w:t>
      </w:r>
      <w:r w:rsidRPr="002F16A1">
        <w:rPr>
          <w:noProof/>
        </w:rPr>
        <w:t xml:space="preserve"> i</w:t>
      </w:r>
      <w:r>
        <w:rPr>
          <w:noProof/>
        </w:rPr>
        <w:t> </w:t>
      </w:r>
      <w:r w:rsidRPr="002F16A1">
        <w:rPr>
          <w:noProof/>
        </w:rPr>
        <w:t>ich</w:t>
      </w:r>
      <w:r w:rsidR="00AD62E2" w:rsidRPr="002F16A1">
        <w:rPr>
          <w:noProof/>
        </w:rPr>
        <w:t xml:space="preserve"> udziału</w:t>
      </w:r>
      <w:r w:rsidRPr="002F16A1">
        <w:rPr>
          <w:noProof/>
        </w:rPr>
        <w:t xml:space="preserve"> w</w:t>
      </w:r>
      <w:r>
        <w:rPr>
          <w:noProof/>
        </w:rPr>
        <w:t> </w:t>
      </w:r>
      <w:r w:rsidRPr="002F16A1">
        <w:rPr>
          <w:noProof/>
        </w:rPr>
        <w:t>pop</w:t>
      </w:r>
      <w:r w:rsidR="00AD62E2" w:rsidRPr="002F16A1">
        <w:rPr>
          <w:noProof/>
        </w:rPr>
        <w:t>ycie, ze szczególnym uwzględnieniem produkcji technologii istotnych dla transformacji ekologicznej</w:t>
      </w:r>
      <w:r w:rsidRPr="002F16A1">
        <w:rPr>
          <w:noProof/>
        </w:rPr>
        <w:t xml:space="preserve"> i</w:t>
      </w:r>
      <w:r>
        <w:rPr>
          <w:noProof/>
        </w:rPr>
        <w:t> </w:t>
      </w:r>
      <w:r w:rsidRPr="002F16A1">
        <w:rPr>
          <w:noProof/>
        </w:rPr>
        <w:t>cyf</w:t>
      </w:r>
      <w:r w:rsidR="00AD62E2" w:rsidRPr="002F16A1">
        <w:rPr>
          <w:noProof/>
        </w:rPr>
        <w:t>rowej,</w:t>
      </w:r>
      <w:r w:rsidRPr="002F16A1">
        <w:rPr>
          <w:noProof/>
        </w:rPr>
        <w:t xml:space="preserve"> a</w:t>
      </w:r>
      <w:r>
        <w:rPr>
          <w:noProof/>
        </w:rPr>
        <w:t> </w:t>
      </w:r>
      <w:r w:rsidRPr="002F16A1">
        <w:rPr>
          <w:noProof/>
        </w:rPr>
        <w:t>tak</w:t>
      </w:r>
      <w:r w:rsidR="00AD62E2" w:rsidRPr="002F16A1">
        <w:rPr>
          <w:noProof/>
        </w:rPr>
        <w:t>że zastosowań obronnych</w:t>
      </w:r>
      <w:r w:rsidRPr="002F16A1">
        <w:rPr>
          <w:noProof/>
        </w:rPr>
        <w:t xml:space="preserve"> i</w:t>
      </w:r>
      <w:r>
        <w:rPr>
          <w:noProof/>
        </w:rPr>
        <w:t> </w:t>
      </w:r>
      <w:r w:rsidRPr="002F16A1">
        <w:rPr>
          <w:noProof/>
        </w:rPr>
        <w:t>kos</w:t>
      </w:r>
      <w:r w:rsidR="00AD62E2" w:rsidRPr="002F16A1">
        <w:rPr>
          <w:noProof/>
        </w:rPr>
        <w:t>micznych.</w:t>
      </w:r>
    </w:p>
    <w:p w:rsidR="00AD62E2" w:rsidRPr="002F16A1" w:rsidRDefault="00733965" w:rsidP="00733965">
      <w:pPr>
        <w:pStyle w:val="ManualNumPar1"/>
        <w:rPr>
          <w:noProof/>
        </w:rPr>
      </w:pPr>
      <w:r w:rsidRPr="00733965">
        <w:t>4.</w:t>
      </w:r>
      <w:r w:rsidRPr="00733965">
        <w:tab/>
      </w:r>
      <w:r w:rsidR="00AD62E2" w:rsidRPr="002F16A1">
        <w:rPr>
          <w:noProof/>
        </w:rPr>
        <w:t>Na ogólnodostępnej stronie internetowej Komisja udostępnia publicznie</w:t>
      </w:r>
      <w:r w:rsidR="0028384B" w:rsidRPr="002F16A1">
        <w:rPr>
          <w:noProof/>
        </w:rPr>
        <w:t xml:space="preserve"> i</w:t>
      </w:r>
      <w:r w:rsidR="0028384B">
        <w:rPr>
          <w:noProof/>
        </w:rPr>
        <w:t> </w:t>
      </w:r>
      <w:r w:rsidR="0028384B" w:rsidRPr="002F16A1">
        <w:rPr>
          <w:noProof/>
        </w:rPr>
        <w:t>reg</w:t>
      </w:r>
      <w:r w:rsidR="00AD62E2" w:rsidRPr="002F16A1">
        <w:rPr>
          <w:noProof/>
        </w:rPr>
        <w:t>ularnie aktualizuje tablicę monitorowania, zawierającą:</w:t>
      </w:r>
    </w:p>
    <w:p w:rsidR="00AD62E2" w:rsidRPr="002F16A1" w:rsidRDefault="0028384B" w:rsidP="0028384B">
      <w:pPr>
        <w:pStyle w:val="Point1"/>
        <w:rPr>
          <w:noProof/>
        </w:rPr>
      </w:pPr>
      <w:r>
        <w:rPr>
          <w:noProof/>
        </w:rPr>
        <w:t>a)</w:t>
      </w:r>
      <w:r>
        <w:rPr>
          <w:noProof/>
        </w:rPr>
        <w:tab/>
      </w:r>
      <w:r w:rsidR="00AD62E2" w:rsidRPr="002F16A1">
        <w:rPr>
          <w:noProof/>
        </w:rPr>
        <w:t>dostępne informacje na temat zmian parametrów,</w:t>
      </w:r>
      <w:r w:rsidRPr="002F16A1">
        <w:rPr>
          <w:noProof/>
        </w:rPr>
        <w:t xml:space="preserve"> o</w:t>
      </w:r>
      <w:r>
        <w:rPr>
          <w:noProof/>
        </w:rPr>
        <w:t> </w:t>
      </w:r>
      <w:r w:rsidRPr="002F16A1">
        <w:rPr>
          <w:noProof/>
        </w:rPr>
        <w:t>któ</w:t>
      </w:r>
      <w:r w:rsidR="00AD62E2" w:rsidRPr="002F16A1">
        <w:rPr>
          <w:noProof/>
        </w:rPr>
        <w:t>rych mowa</w:t>
      </w:r>
      <w:r w:rsidRPr="002F16A1">
        <w:rPr>
          <w:noProof/>
        </w:rPr>
        <w:t xml:space="preserve"> w</w:t>
      </w:r>
      <w:r>
        <w:rPr>
          <w:noProof/>
        </w:rPr>
        <w:t> </w:t>
      </w:r>
      <w:r w:rsidRPr="0028384B">
        <w:rPr>
          <w:noProof/>
        </w:rPr>
        <w:t>ust</w:t>
      </w:r>
      <w:r w:rsidR="00AD62E2" w:rsidRPr="0028384B">
        <w:rPr>
          <w:noProof/>
        </w:rPr>
        <w:t>.</w:t>
      </w:r>
      <w:r w:rsidRPr="0028384B">
        <w:rPr>
          <w:noProof/>
        </w:rPr>
        <w:t> </w:t>
      </w:r>
      <w:r w:rsidR="00AD62E2" w:rsidRPr="0028384B">
        <w:rPr>
          <w:noProof/>
        </w:rPr>
        <w:t>1</w:t>
      </w:r>
      <w:r w:rsidR="00AD62E2" w:rsidRPr="002F16A1">
        <w:rPr>
          <w:noProof/>
        </w:rPr>
        <w:t>;</w:t>
      </w:r>
    </w:p>
    <w:p w:rsidR="00AD62E2" w:rsidRPr="002F16A1" w:rsidRDefault="0028384B" w:rsidP="0028384B">
      <w:pPr>
        <w:pStyle w:val="Point1"/>
        <w:rPr>
          <w:noProof/>
        </w:rPr>
      </w:pPr>
      <w:r>
        <w:rPr>
          <w:noProof/>
        </w:rPr>
        <w:t>b)</w:t>
      </w:r>
      <w:r>
        <w:rPr>
          <w:noProof/>
        </w:rPr>
        <w:tab/>
      </w:r>
      <w:r w:rsidR="00AD62E2" w:rsidRPr="002F16A1">
        <w:rPr>
          <w:noProof/>
        </w:rPr>
        <w:t>obliczenia dotyczące ryzyka związanego</w:t>
      </w:r>
      <w:r w:rsidRPr="002F16A1">
        <w:rPr>
          <w:noProof/>
        </w:rPr>
        <w:t xml:space="preserve"> z</w:t>
      </w:r>
      <w:r>
        <w:rPr>
          <w:noProof/>
        </w:rPr>
        <w:t> </w:t>
      </w:r>
      <w:r w:rsidRPr="002F16A1">
        <w:rPr>
          <w:noProof/>
        </w:rPr>
        <w:t>dos</w:t>
      </w:r>
      <w:r w:rsidR="00AD62E2" w:rsidRPr="002F16A1">
        <w:rPr>
          <w:noProof/>
        </w:rPr>
        <w:t>tawami surowców krytycznych</w:t>
      </w:r>
      <w:r w:rsidRPr="002F16A1">
        <w:rPr>
          <w:noProof/>
        </w:rPr>
        <w:t xml:space="preserve"> w</w:t>
      </w:r>
      <w:r>
        <w:rPr>
          <w:noProof/>
        </w:rPr>
        <w:t> </w:t>
      </w:r>
      <w:r w:rsidRPr="002F16A1">
        <w:rPr>
          <w:noProof/>
        </w:rPr>
        <w:t>świ</w:t>
      </w:r>
      <w:r w:rsidR="00AD62E2" w:rsidRPr="002F16A1">
        <w:rPr>
          <w:noProof/>
        </w:rPr>
        <w:t>etle informacji,</w:t>
      </w:r>
      <w:r w:rsidRPr="002F16A1">
        <w:rPr>
          <w:noProof/>
        </w:rPr>
        <w:t xml:space="preserve"> o</w:t>
      </w:r>
      <w:r>
        <w:rPr>
          <w:noProof/>
        </w:rPr>
        <w:t> </w:t>
      </w:r>
      <w:r w:rsidRPr="002F16A1">
        <w:rPr>
          <w:noProof/>
        </w:rPr>
        <w:t>któ</w:t>
      </w:r>
      <w:r w:rsidR="00AD62E2" w:rsidRPr="002F16A1">
        <w:rPr>
          <w:noProof/>
        </w:rPr>
        <w:t>rych mowa</w:t>
      </w:r>
      <w:r w:rsidRPr="002F16A1">
        <w:rPr>
          <w:noProof/>
        </w:rPr>
        <w:t xml:space="preserve"> w</w:t>
      </w:r>
      <w:r>
        <w:rPr>
          <w:noProof/>
        </w:rPr>
        <w:t> </w:t>
      </w:r>
      <w:r w:rsidRPr="0028384B">
        <w:rPr>
          <w:noProof/>
        </w:rPr>
        <w:t>lit</w:t>
      </w:r>
      <w:r w:rsidR="00AD62E2" w:rsidRPr="0028384B">
        <w:rPr>
          <w:noProof/>
        </w:rPr>
        <w:t>.</w:t>
      </w:r>
      <w:r w:rsidRPr="0028384B">
        <w:rPr>
          <w:noProof/>
        </w:rPr>
        <w:t> </w:t>
      </w:r>
      <w:r w:rsidR="00AD62E2" w:rsidRPr="0028384B">
        <w:rPr>
          <w:noProof/>
        </w:rPr>
        <w:t>a)</w:t>
      </w:r>
      <w:r w:rsidR="00AD62E2" w:rsidRPr="002F16A1">
        <w:rPr>
          <w:noProof/>
        </w:rPr>
        <w:t>;</w:t>
      </w:r>
    </w:p>
    <w:p w:rsidR="00AD62E2" w:rsidRPr="002F16A1" w:rsidRDefault="0028384B" w:rsidP="0028384B">
      <w:pPr>
        <w:pStyle w:val="Point1"/>
        <w:rPr>
          <w:noProof/>
        </w:rPr>
      </w:pPr>
      <w:r>
        <w:rPr>
          <w:noProof/>
        </w:rPr>
        <w:t>c)</w:t>
      </w:r>
      <w:r>
        <w:rPr>
          <w:noProof/>
        </w:rPr>
        <w:tab/>
      </w:r>
      <w:r w:rsidR="00AD62E2" w:rsidRPr="002F16A1">
        <w:rPr>
          <w:noProof/>
        </w:rPr>
        <w:t>wyniki testów warunków skrajnych,</w:t>
      </w:r>
      <w:r w:rsidRPr="002F16A1">
        <w:rPr>
          <w:noProof/>
        </w:rPr>
        <w:t xml:space="preserve"> o</w:t>
      </w:r>
      <w:r>
        <w:rPr>
          <w:noProof/>
        </w:rPr>
        <w:t> </w:t>
      </w:r>
      <w:r w:rsidRPr="002F16A1">
        <w:rPr>
          <w:noProof/>
        </w:rPr>
        <w:t>któ</w:t>
      </w:r>
      <w:r w:rsidR="00AD62E2" w:rsidRPr="002F16A1">
        <w:rPr>
          <w:noProof/>
        </w:rPr>
        <w:t>rych mowa</w:t>
      </w:r>
      <w:r w:rsidRPr="002F16A1">
        <w:rPr>
          <w:noProof/>
        </w:rPr>
        <w:t xml:space="preserve"> w</w:t>
      </w:r>
      <w:r>
        <w:rPr>
          <w:noProof/>
        </w:rPr>
        <w:t> </w:t>
      </w:r>
      <w:r w:rsidRPr="0028384B">
        <w:rPr>
          <w:noProof/>
        </w:rPr>
        <w:t>ust</w:t>
      </w:r>
      <w:r w:rsidR="00AD62E2" w:rsidRPr="0028384B">
        <w:rPr>
          <w:noProof/>
        </w:rPr>
        <w:t>.</w:t>
      </w:r>
      <w:r w:rsidRPr="0028384B">
        <w:rPr>
          <w:noProof/>
        </w:rPr>
        <w:t> </w:t>
      </w:r>
      <w:r w:rsidR="00AD62E2" w:rsidRPr="0028384B">
        <w:rPr>
          <w:noProof/>
        </w:rPr>
        <w:t>3</w:t>
      </w:r>
      <w:r w:rsidR="00AD62E2" w:rsidRPr="002F16A1">
        <w:rPr>
          <w:noProof/>
        </w:rPr>
        <w:t>;</w:t>
      </w:r>
    </w:p>
    <w:p w:rsidR="00AD62E2" w:rsidRPr="002F16A1" w:rsidRDefault="0028384B" w:rsidP="0028384B">
      <w:pPr>
        <w:pStyle w:val="Point1"/>
        <w:rPr>
          <w:noProof/>
        </w:rPr>
      </w:pPr>
      <w:r>
        <w:rPr>
          <w:noProof/>
        </w:rPr>
        <w:t>d)</w:t>
      </w:r>
      <w:r>
        <w:rPr>
          <w:noProof/>
        </w:rPr>
        <w:tab/>
      </w:r>
      <w:r w:rsidR="00AD62E2" w:rsidRPr="002F16A1">
        <w:rPr>
          <w:noProof/>
        </w:rPr>
        <w:t>w stosownych przypadkach sugestie dotyczące odpowiednich strategii łagodzących</w:t>
      </w:r>
      <w:r w:rsidRPr="002F16A1">
        <w:rPr>
          <w:noProof/>
        </w:rPr>
        <w:t xml:space="preserve"> w</w:t>
      </w:r>
      <w:r>
        <w:rPr>
          <w:noProof/>
        </w:rPr>
        <w:t> </w:t>
      </w:r>
      <w:r w:rsidRPr="002F16A1">
        <w:rPr>
          <w:noProof/>
        </w:rPr>
        <w:t>cel</w:t>
      </w:r>
      <w:r w:rsidR="00AD62E2" w:rsidRPr="002F16A1">
        <w:rPr>
          <w:noProof/>
        </w:rPr>
        <w:t>u zmniejszenia ryzyka związanego</w:t>
      </w:r>
      <w:r w:rsidRPr="002F16A1">
        <w:rPr>
          <w:noProof/>
        </w:rPr>
        <w:t xml:space="preserve"> z</w:t>
      </w:r>
      <w:r>
        <w:rPr>
          <w:noProof/>
        </w:rPr>
        <w:t> </w:t>
      </w:r>
      <w:r w:rsidRPr="002F16A1">
        <w:rPr>
          <w:noProof/>
        </w:rPr>
        <w:t>dos</w:t>
      </w:r>
      <w:r w:rsidR="00AD62E2" w:rsidRPr="002F16A1">
        <w:rPr>
          <w:noProof/>
        </w:rPr>
        <w:t>tawami.</w:t>
      </w:r>
    </w:p>
    <w:p w:rsidR="00AD62E2" w:rsidRPr="002F16A1" w:rsidRDefault="00733965" w:rsidP="00733965">
      <w:pPr>
        <w:pStyle w:val="ManualNumPar1"/>
        <w:rPr>
          <w:noProof/>
        </w:rPr>
      </w:pPr>
      <w:r w:rsidRPr="00733965">
        <w:t>5.</w:t>
      </w:r>
      <w:r w:rsidRPr="00733965">
        <w:tab/>
      </w:r>
      <w:r w:rsidR="00AD62E2" w:rsidRPr="002F16A1">
        <w:rPr>
          <w:noProof/>
        </w:rPr>
        <w:t>Jeżeli na podstawie informacji zebranych zgodnie</w:t>
      </w:r>
      <w:r w:rsidR="0028384B" w:rsidRPr="002F16A1">
        <w:rPr>
          <w:noProof/>
        </w:rPr>
        <w:t xml:space="preserve"> z</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2</w:t>
      </w:r>
      <w:r w:rsidR="0028384B" w:rsidRPr="002F16A1">
        <w:rPr>
          <w:noProof/>
        </w:rPr>
        <w:t xml:space="preserve"> i</w:t>
      </w:r>
      <w:r w:rsidR="0028384B">
        <w:rPr>
          <w:noProof/>
        </w:rPr>
        <w:t> </w:t>
      </w:r>
      <w:r w:rsidR="0028384B" w:rsidRPr="002F16A1">
        <w:rPr>
          <w:noProof/>
        </w:rPr>
        <w:t>3</w:t>
      </w:r>
      <w:r w:rsidR="00AD62E2" w:rsidRPr="002F16A1">
        <w:rPr>
          <w:noProof/>
        </w:rPr>
        <w:t xml:space="preserve"> Komisja uzna, że istnieją wyraźne przesłanki wskazujące na możliwość wystąpienia zakłócenia dostaw, Komisja informuje państwa członkowskie, Radę</w:t>
      </w:r>
      <w:r w:rsidR="0028384B" w:rsidRPr="002F16A1">
        <w:rPr>
          <w:noProof/>
        </w:rPr>
        <w:t xml:space="preserve"> i</w:t>
      </w:r>
      <w:r w:rsidR="0028384B">
        <w:rPr>
          <w:noProof/>
        </w:rPr>
        <w:t> </w:t>
      </w:r>
      <w:r w:rsidR="0028384B" w:rsidRPr="002F16A1">
        <w:rPr>
          <w:noProof/>
        </w:rPr>
        <w:t>org</w:t>
      </w:r>
      <w:r w:rsidR="00AD62E2" w:rsidRPr="002F16A1">
        <w:rPr>
          <w:noProof/>
        </w:rPr>
        <w:t>any zarządzające Unii</w:t>
      </w:r>
      <w:r w:rsidR="0028384B" w:rsidRPr="002F16A1">
        <w:rPr>
          <w:noProof/>
        </w:rPr>
        <w:t xml:space="preserve"> o</w:t>
      </w:r>
      <w:r w:rsidR="0028384B">
        <w:rPr>
          <w:noProof/>
        </w:rPr>
        <w:t> </w:t>
      </w:r>
      <w:r w:rsidR="0028384B" w:rsidRPr="002F16A1">
        <w:rPr>
          <w:noProof/>
        </w:rPr>
        <w:t>mec</w:t>
      </w:r>
      <w:r w:rsidR="00AD62E2" w:rsidRPr="002F16A1">
        <w:rPr>
          <w:noProof/>
        </w:rPr>
        <w:t>hanizmach czujności kryzysowej lub zarządzania kryzysowego, których zakres obejmuje przedmiotowe surowce krytyczne lub strategiczne. </w:t>
      </w:r>
    </w:p>
    <w:p w:rsidR="00AD62E2" w:rsidRPr="002F16A1" w:rsidRDefault="00AD62E2" w:rsidP="00AD62E2">
      <w:pPr>
        <w:pStyle w:val="Titrearticle"/>
        <w:rPr>
          <w:noProof/>
        </w:rPr>
      </w:pPr>
      <w:bookmarkStart w:id="11" w:name="__akn_article_ZaEqUs"/>
      <w:bookmarkEnd w:id="11"/>
      <w:r w:rsidRPr="002F16A1">
        <w:rPr>
          <w:noProof/>
        </w:rPr>
        <w:t>Artykuł 20</w:t>
      </w:r>
    </w:p>
    <w:p w:rsidR="00AD62E2" w:rsidRPr="002F16A1" w:rsidRDefault="00AD62E2" w:rsidP="00AD62E2">
      <w:pPr>
        <w:pStyle w:val="NormalCentered"/>
        <w:rPr>
          <w:noProof/>
        </w:rPr>
      </w:pPr>
      <w:r w:rsidRPr="002F16A1">
        <w:rPr>
          <w:b/>
          <w:noProof/>
        </w:rPr>
        <w:t>Obowiązki</w:t>
      </w:r>
      <w:r w:rsidR="0028384B" w:rsidRPr="002F16A1">
        <w:rPr>
          <w:b/>
          <w:noProof/>
        </w:rPr>
        <w:t xml:space="preserve"> w</w:t>
      </w:r>
      <w:r w:rsidR="0028384B">
        <w:rPr>
          <w:b/>
          <w:noProof/>
        </w:rPr>
        <w:t> </w:t>
      </w:r>
      <w:r w:rsidR="0028384B" w:rsidRPr="002F16A1">
        <w:rPr>
          <w:b/>
          <w:noProof/>
        </w:rPr>
        <w:t>zak</w:t>
      </w:r>
      <w:r w:rsidRPr="002F16A1">
        <w:rPr>
          <w:b/>
          <w:noProof/>
        </w:rPr>
        <w:t>resie monitorowania</w:t>
      </w:r>
    </w:p>
    <w:p w:rsidR="00AD62E2" w:rsidRPr="002F16A1" w:rsidRDefault="00733965" w:rsidP="00733965">
      <w:pPr>
        <w:pStyle w:val="ManualNumPar1"/>
        <w:rPr>
          <w:noProof/>
        </w:rPr>
      </w:pPr>
      <w:r w:rsidRPr="00733965">
        <w:t>1.</w:t>
      </w:r>
      <w:r w:rsidRPr="00733965">
        <w:tab/>
      </w:r>
      <w:r w:rsidR="00AD62E2" w:rsidRPr="002F16A1">
        <w:rPr>
          <w:noProof/>
        </w:rPr>
        <w:t>W ramach sprawozdania,</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4</w:t>
      </w:r>
      <w:r w:rsidR="00AD62E2" w:rsidRPr="002F16A1">
        <w:rPr>
          <w:noProof/>
        </w:rPr>
        <w:t>3, państwa członkowskie przekazują Komisji informacje na temat wszelkich nowych lub istniejących na ich terytorium projektów dotyczących surowców, które są istotne</w:t>
      </w:r>
      <w:r w:rsidR="0028384B" w:rsidRPr="002F16A1">
        <w:rPr>
          <w:noProof/>
        </w:rPr>
        <w:t xml:space="preserve"> z</w:t>
      </w:r>
      <w:r w:rsidR="0028384B">
        <w:rPr>
          <w:noProof/>
        </w:rPr>
        <w:t> </w:t>
      </w:r>
      <w:r w:rsidR="0028384B" w:rsidRPr="002F16A1">
        <w:rPr>
          <w:noProof/>
        </w:rPr>
        <w:t>pun</w:t>
      </w:r>
      <w:r w:rsidR="00AD62E2" w:rsidRPr="002F16A1">
        <w:rPr>
          <w:noProof/>
        </w:rPr>
        <w:t xml:space="preserve">ktu widzenia </w:t>
      </w:r>
      <w:r w:rsidR="00AD62E2" w:rsidRPr="0028384B">
        <w:rPr>
          <w:noProof/>
        </w:rPr>
        <w:t>art.</w:t>
      </w:r>
      <w:r w:rsidR="0028384B" w:rsidRPr="0028384B">
        <w:rPr>
          <w:noProof/>
        </w:rPr>
        <w:t> </w:t>
      </w:r>
      <w:r w:rsidR="00AD62E2" w:rsidRPr="0028384B">
        <w:rPr>
          <w:noProof/>
        </w:rPr>
        <w:t>1</w:t>
      </w:r>
      <w:r w:rsidR="00AD62E2" w:rsidRPr="002F16A1">
        <w:rPr>
          <w:noProof/>
        </w:rPr>
        <w:t xml:space="preserve">9 </w:t>
      </w:r>
      <w:r w:rsidR="00AD62E2" w:rsidRPr="0028384B">
        <w:rPr>
          <w:noProof/>
        </w:rPr>
        <w:t>ust.</w:t>
      </w:r>
      <w:r w:rsidR="0028384B" w:rsidRPr="0028384B">
        <w:rPr>
          <w:noProof/>
        </w:rPr>
        <w:t> </w:t>
      </w:r>
      <w:r w:rsidR="00AD62E2" w:rsidRPr="0028384B">
        <w:rPr>
          <w:noProof/>
        </w:rPr>
        <w:t>1</w:t>
      </w:r>
      <w:r w:rsidR="00AD62E2" w:rsidRPr="002F16A1">
        <w:rPr>
          <w:noProof/>
        </w:rPr>
        <w:t xml:space="preserve"> </w:t>
      </w:r>
      <w:r w:rsidR="00AD62E2" w:rsidRPr="0028384B">
        <w:rPr>
          <w:noProof/>
        </w:rPr>
        <w:t>lit.</w:t>
      </w:r>
      <w:r w:rsidR="0028384B" w:rsidRPr="0028384B">
        <w:rPr>
          <w:noProof/>
        </w:rPr>
        <w:t> </w:t>
      </w:r>
      <w:r w:rsidR="00AD62E2" w:rsidRPr="0028384B">
        <w:rPr>
          <w:noProof/>
        </w:rPr>
        <w:t>d)</w:t>
      </w:r>
      <w:r w:rsidR="00AD62E2" w:rsidRPr="002F16A1">
        <w:rPr>
          <w:noProof/>
        </w:rPr>
        <w:t>,</w:t>
      </w:r>
      <w:r w:rsidR="0028384B" w:rsidRPr="002F16A1">
        <w:rPr>
          <w:noProof/>
        </w:rPr>
        <w:t xml:space="preserve"> z</w:t>
      </w:r>
      <w:r w:rsidR="0028384B">
        <w:rPr>
          <w:noProof/>
        </w:rPr>
        <w:t> </w:t>
      </w:r>
      <w:r w:rsidR="0028384B" w:rsidRPr="002F16A1">
        <w:rPr>
          <w:noProof/>
        </w:rPr>
        <w:t>uwz</w:t>
      </w:r>
      <w:r w:rsidR="00AD62E2" w:rsidRPr="002F16A1">
        <w:rPr>
          <w:noProof/>
        </w:rPr>
        <w:t>ględnieniem klasyfikacji nowych projektów zgodnie</w:t>
      </w:r>
      <w:r w:rsidR="0028384B" w:rsidRPr="002F16A1">
        <w:rPr>
          <w:noProof/>
        </w:rPr>
        <w:t xml:space="preserve"> z</w:t>
      </w:r>
      <w:r w:rsidR="0028384B">
        <w:rPr>
          <w:noProof/>
        </w:rPr>
        <w:t> </w:t>
      </w:r>
      <w:r w:rsidR="0028384B" w:rsidRPr="002F16A1">
        <w:rPr>
          <w:noProof/>
        </w:rPr>
        <w:t>ram</w:t>
      </w:r>
      <w:r w:rsidR="00AD62E2" w:rsidRPr="002F16A1">
        <w:rPr>
          <w:noProof/>
        </w:rPr>
        <w:t>ową klasyfikacją zasobów ONZ.</w:t>
      </w:r>
    </w:p>
    <w:p w:rsidR="00AD62E2" w:rsidRPr="002F16A1" w:rsidRDefault="00733965" w:rsidP="00733965">
      <w:pPr>
        <w:pStyle w:val="ManualNumPar1"/>
        <w:rPr>
          <w:noProof/>
        </w:rPr>
      </w:pPr>
      <w:r w:rsidRPr="00733965">
        <w:t>2.</w:t>
      </w:r>
      <w:r w:rsidRPr="00733965">
        <w:tab/>
      </w:r>
      <w:r w:rsidR="00AD62E2" w:rsidRPr="002F16A1">
        <w:rPr>
          <w:noProof/>
        </w:rPr>
        <w:t>Państwa członkowskie określają kluczowych operatorów rynku</w:t>
      </w:r>
      <w:r w:rsidR="0028384B" w:rsidRPr="002F16A1">
        <w:rPr>
          <w:noProof/>
        </w:rPr>
        <w:t xml:space="preserve"> w</w:t>
      </w:r>
      <w:r w:rsidR="0028384B">
        <w:rPr>
          <w:noProof/>
        </w:rPr>
        <w:t> </w:t>
      </w:r>
      <w:r w:rsidR="0028384B" w:rsidRPr="002F16A1">
        <w:rPr>
          <w:noProof/>
        </w:rPr>
        <w:t>łań</w:t>
      </w:r>
      <w:r w:rsidR="00AD62E2" w:rsidRPr="002F16A1">
        <w:rPr>
          <w:noProof/>
        </w:rPr>
        <w:t>cuchu wartości surowców krytycznych, którzy mają siedziby na terytorium danych państw oraz:</w:t>
      </w:r>
    </w:p>
    <w:p w:rsidR="00AD62E2" w:rsidRPr="002F16A1" w:rsidRDefault="0028384B" w:rsidP="0028384B">
      <w:pPr>
        <w:pStyle w:val="Point1"/>
        <w:rPr>
          <w:noProof/>
        </w:rPr>
      </w:pPr>
      <w:r>
        <w:rPr>
          <w:noProof/>
        </w:rPr>
        <w:t>a)</w:t>
      </w:r>
      <w:r>
        <w:rPr>
          <w:noProof/>
        </w:rPr>
        <w:tab/>
      </w:r>
      <w:r w:rsidR="00AD62E2" w:rsidRPr="002F16A1">
        <w:rPr>
          <w:noProof/>
        </w:rPr>
        <w:t>monitorują ich działalność za pomocą regularnych</w:t>
      </w:r>
      <w:r w:rsidRPr="002F16A1">
        <w:rPr>
          <w:noProof/>
        </w:rPr>
        <w:t xml:space="preserve"> i</w:t>
      </w:r>
      <w:r>
        <w:rPr>
          <w:noProof/>
        </w:rPr>
        <w:t> </w:t>
      </w:r>
      <w:r w:rsidRPr="002F16A1">
        <w:rPr>
          <w:noProof/>
        </w:rPr>
        <w:t>pro</w:t>
      </w:r>
      <w:r w:rsidR="00AD62E2" w:rsidRPr="002F16A1">
        <w:rPr>
          <w:noProof/>
        </w:rPr>
        <w:t>porcjonalnych badań, przeprowadzanych</w:t>
      </w:r>
      <w:r w:rsidRPr="002F16A1">
        <w:rPr>
          <w:noProof/>
        </w:rPr>
        <w:t xml:space="preserve"> w</w:t>
      </w:r>
      <w:r>
        <w:rPr>
          <w:noProof/>
        </w:rPr>
        <w:t> </w:t>
      </w:r>
      <w:r w:rsidRPr="002F16A1">
        <w:rPr>
          <w:noProof/>
        </w:rPr>
        <w:t>cel</w:t>
      </w:r>
      <w:r w:rsidR="00AD62E2" w:rsidRPr="002F16A1">
        <w:rPr>
          <w:noProof/>
        </w:rPr>
        <w:t>u zebrania informacji wymaganych do zadań związanych</w:t>
      </w:r>
      <w:r w:rsidRPr="002F16A1">
        <w:rPr>
          <w:noProof/>
        </w:rPr>
        <w:t xml:space="preserve"> z</w:t>
      </w:r>
      <w:r>
        <w:rPr>
          <w:noProof/>
        </w:rPr>
        <w:t> </w:t>
      </w:r>
      <w:r w:rsidRPr="002F16A1">
        <w:rPr>
          <w:noProof/>
        </w:rPr>
        <w:t>mon</w:t>
      </w:r>
      <w:r w:rsidR="00AD62E2" w:rsidRPr="002F16A1">
        <w:rPr>
          <w:noProof/>
        </w:rPr>
        <w:t>itorowaniem,</w:t>
      </w:r>
      <w:r w:rsidRPr="002F16A1">
        <w:rPr>
          <w:noProof/>
        </w:rPr>
        <w:t xml:space="preserve"> o</w:t>
      </w:r>
      <w:r>
        <w:rPr>
          <w:noProof/>
        </w:rPr>
        <w:t> </w:t>
      </w:r>
      <w:r w:rsidRPr="002F16A1">
        <w:rPr>
          <w:noProof/>
        </w:rPr>
        <w:t>któ</w:t>
      </w:r>
      <w:r w:rsidR="00AD62E2" w:rsidRPr="002F16A1">
        <w:rPr>
          <w:noProof/>
        </w:rPr>
        <w:t>rych mowa</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1</w:t>
      </w:r>
      <w:r w:rsidR="00AD62E2" w:rsidRPr="002F16A1">
        <w:rPr>
          <w:noProof/>
        </w:rPr>
        <w:t>9;</w:t>
      </w:r>
    </w:p>
    <w:p w:rsidR="00AD62E2" w:rsidRPr="002F16A1" w:rsidRDefault="0028384B" w:rsidP="0028384B">
      <w:pPr>
        <w:pStyle w:val="Point1"/>
        <w:rPr>
          <w:noProof/>
        </w:rPr>
      </w:pPr>
      <w:r>
        <w:rPr>
          <w:noProof/>
        </w:rPr>
        <w:t>b)</w:t>
      </w:r>
      <w:r>
        <w:rPr>
          <w:noProof/>
        </w:rPr>
        <w:tab/>
      </w:r>
      <w:r w:rsidR="00AD62E2" w:rsidRPr="002F16A1">
        <w:rPr>
          <w:noProof/>
        </w:rPr>
        <w:t>w ramach sprawozdania,</w:t>
      </w:r>
      <w:r w:rsidRPr="002F16A1">
        <w:rPr>
          <w:noProof/>
        </w:rPr>
        <w:t xml:space="preserve"> o</w:t>
      </w:r>
      <w:r>
        <w:rPr>
          <w:noProof/>
        </w:rPr>
        <w:t> </w:t>
      </w:r>
      <w:r w:rsidRPr="002F16A1">
        <w:rPr>
          <w:noProof/>
        </w:rPr>
        <w:t>któ</w:t>
      </w:r>
      <w:r w:rsidR="00AD62E2" w:rsidRPr="002F16A1">
        <w:rPr>
          <w:noProof/>
        </w:rPr>
        <w:t>rym mowa</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4</w:t>
      </w:r>
      <w:r w:rsidR="00AD62E2" w:rsidRPr="002F16A1">
        <w:rPr>
          <w:noProof/>
        </w:rPr>
        <w:t>3, przedstawiają informacje na temat wyników tych badań;</w:t>
      </w:r>
    </w:p>
    <w:p w:rsidR="00AD62E2" w:rsidRPr="002F16A1" w:rsidRDefault="0028384B" w:rsidP="0028384B">
      <w:pPr>
        <w:pStyle w:val="Point1"/>
        <w:rPr>
          <w:noProof/>
        </w:rPr>
      </w:pPr>
      <w:r>
        <w:rPr>
          <w:noProof/>
        </w:rPr>
        <w:t>c)</w:t>
      </w:r>
      <w:r>
        <w:rPr>
          <w:noProof/>
        </w:rPr>
        <w:tab/>
      </w:r>
      <w:r w:rsidR="00AD62E2" w:rsidRPr="002F16A1">
        <w:rPr>
          <w:noProof/>
        </w:rPr>
        <w:t>bezzwłocznie powiadamiają Komisję</w:t>
      </w:r>
      <w:r w:rsidRPr="002F16A1">
        <w:rPr>
          <w:noProof/>
        </w:rPr>
        <w:t xml:space="preserve"> o</w:t>
      </w:r>
      <w:r>
        <w:rPr>
          <w:noProof/>
        </w:rPr>
        <w:t> </w:t>
      </w:r>
      <w:r w:rsidRPr="002F16A1">
        <w:rPr>
          <w:noProof/>
        </w:rPr>
        <w:t>pow</w:t>
      </w:r>
      <w:r w:rsidR="00AD62E2" w:rsidRPr="002F16A1">
        <w:rPr>
          <w:noProof/>
        </w:rPr>
        <w:t>ażnych wydarzeniach, które mogą utrudnić regularne prowadzenie działalności przez kluczowych operatorów rynku.</w:t>
      </w:r>
    </w:p>
    <w:p w:rsidR="00AD62E2" w:rsidRPr="002F16A1" w:rsidRDefault="00733965" w:rsidP="00733965">
      <w:pPr>
        <w:pStyle w:val="ManualNumPar1"/>
        <w:rPr>
          <w:noProof/>
        </w:rPr>
      </w:pPr>
      <w:r w:rsidRPr="00733965">
        <w:t>3.</w:t>
      </w:r>
      <w:r w:rsidRPr="00733965">
        <w:tab/>
      </w:r>
      <w:r w:rsidR="00AD62E2" w:rsidRPr="002F16A1">
        <w:rPr>
          <w:noProof/>
        </w:rPr>
        <w:t>Państwa członkowskie przekazują dane zgromadzone zgodnie</w:t>
      </w:r>
      <w:r w:rsidR="0028384B" w:rsidRPr="002F16A1">
        <w:rPr>
          <w:noProof/>
        </w:rPr>
        <w:t xml:space="preserve"> z</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2</w:t>
      </w:r>
      <w:r w:rsidR="00AD62E2" w:rsidRPr="002F16A1">
        <w:rPr>
          <w:noProof/>
        </w:rPr>
        <w:t xml:space="preserve"> </w:t>
      </w:r>
      <w:r w:rsidR="00AD62E2" w:rsidRPr="0028384B">
        <w:rPr>
          <w:noProof/>
        </w:rPr>
        <w:t>lit.</w:t>
      </w:r>
      <w:r w:rsidR="0028384B" w:rsidRPr="0028384B">
        <w:rPr>
          <w:noProof/>
        </w:rPr>
        <w:t> </w:t>
      </w:r>
      <w:r w:rsidR="00AD62E2" w:rsidRPr="0028384B">
        <w:rPr>
          <w:noProof/>
        </w:rPr>
        <w:t>a)</w:t>
      </w:r>
      <w:r w:rsidR="00AD62E2" w:rsidRPr="002F16A1">
        <w:rPr>
          <w:noProof/>
        </w:rPr>
        <w:t xml:space="preserve"> i b) niniejszego artykułu krajowym organom statystycznym</w:t>
      </w:r>
      <w:r w:rsidR="0028384B" w:rsidRPr="002F16A1">
        <w:rPr>
          <w:noProof/>
        </w:rPr>
        <w:t xml:space="preserve"> i</w:t>
      </w:r>
      <w:r w:rsidR="0028384B">
        <w:rPr>
          <w:noProof/>
        </w:rPr>
        <w:t> </w:t>
      </w:r>
      <w:r w:rsidR="0028384B" w:rsidRPr="002F16A1">
        <w:rPr>
          <w:noProof/>
        </w:rPr>
        <w:t>Eur</w:t>
      </w:r>
      <w:r w:rsidR="00AD62E2" w:rsidRPr="002F16A1">
        <w:rPr>
          <w:noProof/>
        </w:rPr>
        <w:t>ostatowi do celów zestawiania danych statystycznych zgodnie</w:t>
      </w:r>
      <w:r w:rsidR="0028384B" w:rsidRPr="002F16A1">
        <w:rPr>
          <w:noProof/>
        </w:rPr>
        <w:t xml:space="preserve"> z</w:t>
      </w:r>
      <w:r w:rsidR="0028384B">
        <w:rPr>
          <w:noProof/>
        </w:rPr>
        <w:t> </w:t>
      </w:r>
      <w:r w:rsidR="0028384B" w:rsidRPr="002F16A1">
        <w:rPr>
          <w:noProof/>
        </w:rPr>
        <w:t>roz</w:t>
      </w:r>
      <w:r w:rsidR="00AD62E2" w:rsidRPr="002F16A1">
        <w:rPr>
          <w:noProof/>
        </w:rPr>
        <w:t>porządzeniem Parlamentu Europejskiego</w:t>
      </w:r>
      <w:r w:rsidR="0028384B" w:rsidRPr="002F16A1">
        <w:rPr>
          <w:noProof/>
        </w:rPr>
        <w:t xml:space="preserve"> i</w:t>
      </w:r>
      <w:r w:rsidR="0028384B">
        <w:rPr>
          <w:noProof/>
        </w:rPr>
        <w:t> </w:t>
      </w:r>
      <w:r w:rsidR="0028384B" w:rsidRPr="002F16A1">
        <w:rPr>
          <w:noProof/>
        </w:rPr>
        <w:t>Rad</w:t>
      </w:r>
      <w:r w:rsidR="00AD62E2" w:rsidRPr="002F16A1">
        <w:rPr>
          <w:noProof/>
        </w:rPr>
        <w:t xml:space="preserve">y (WE) </w:t>
      </w:r>
      <w:r w:rsidR="00AD62E2" w:rsidRPr="0028384B">
        <w:rPr>
          <w:noProof/>
        </w:rPr>
        <w:t>nr</w:t>
      </w:r>
      <w:r w:rsidR="0028384B" w:rsidRPr="0028384B">
        <w:rPr>
          <w:noProof/>
        </w:rPr>
        <w:t> </w:t>
      </w:r>
      <w:r w:rsidR="00AD62E2" w:rsidRPr="0028384B">
        <w:rPr>
          <w:noProof/>
        </w:rPr>
        <w:t>2</w:t>
      </w:r>
      <w:r w:rsidR="00AD62E2" w:rsidRPr="002F16A1">
        <w:rPr>
          <w:noProof/>
        </w:rPr>
        <w:t>23/2009. Państwa członkowskie wyznaczają krajowy organ odpowiedzialny za przekazywanie danych do krajowych organów statystycznych oraz Eurostatu.</w:t>
      </w:r>
    </w:p>
    <w:p w:rsidR="00AD62E2" w:rsidRPr="002F16A1" w:rsidRDefault="00AD62E2" w:rsidP="00AD62E2">
      <w:pPr>
        <w:pStyle w:val="Titrearticle"/>
        <w:rPr>
          <w:noProof/>
        </w:rPr>
      </w:pPr>
      <w:r w:rsidRPr="002F16A1">
        <w:rPr>
          <w:noProof/>
        </w:rPr>
        <w:t xml:space="preserve"> </w:t>
      </w:r>
      <w:r w:rsidRPr="002F16A1">
        <w:rPr>
          <w:noProof/>
        </w:rPr>
        <w:br/>
        <w:t>Artykuł 21</w:t>
      </w:r>
    </w:p>
    <w:p w:rsidR="00AD62E2" w:rsidRPr="002F16A1" w:rsidRDefault="00AD62E2" w:rsidP="00AD62E2">
      <w:pPr>
        <w:pStyle w:val="NormalCentered"/>
        <w:rPr>
          <w:noProof/>
        </w:rPr>
      </w:pPr>
      <w:r w:rsidRPr="002F16A1">
        <w:rPr>
          <w:b/>
          <w:noProof/>
        </w:rPr>
        <w:t>Sprawozdawczość dotycząca zapasów strategicznych</w:t>
      </w:r>
    </w:p>
    <w:p w:rsidR="00AD62E2" w:rsidRPr="002F16A1" w:rsidRDefault="00733965" w:rsidP="00733965">
      <w:pPr>
        <w:pStyle w:val="ManualNumPar1"/>
        <w:rPr>
          <w:noProof/>
        </w:rPr>
      </w:pPr>
      <w:bookmarkStart w:id="12" w:name="__akn_article_Lhh6T2_rw5oHp"/>
      <w:bookmarkEnd w:id="12"/>
      <w:r w:rsidRPr="00733965">
        <w:t>1.</w:t>
      </w:r>
      <w:r w:rsidRPr="00733965">
        <w:tab/>
      </w:r>
      <w:r w:rsidR="00AD62E2" w:rsidRPr="002F16A1">
        <w:rPr>
          <w:noProof/>
        </w:rPr>
        <w:t>W ramach sprawozdania,</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4</w:t>
      </w:r>
      <w:r w:rsidR="00AD62E2" w:rsidRPr="002F16A1">
        <w:rPr>
          <w:noProof/>
        </w:rPr>
        <w:t>3, państwa członkowskie przekazują Komisji informacje na temat stanu swoich zapasów strategicznych surowców strategicznych. </w:t>
      </w:r>
    </w:p>
    <w:p w:rsidR="00AD62E2" w:rsidRPr="002F16A1" w:rsidRDefault="00733965" w:rsidP="00733965">
      <w:pPr>
        <w:pStyle w:val="ManualNumPar1"/>
        <w:rPr>
          <w:noProof/>
        </w:rPr>
      </w:pPr>
      <w:r w:rsidRPr="00733965">
        <w:t>2.</w:t>
      </w:r>
      <w:r w:rsidRPr="00733965">
        <w:tab/>
      </w:r>
      <w:r w:rsidR="00AD62E2" w:rsidRPr="002F16A1">
        <w:rPr>
          <w:noProof/>
        </w:rPr>
        <w:t>Informacje,</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obejmują zapasy znajdujące się</w:t>
      </w:r>
      <w:r w:rsidR="0028384B" w:rsidRPr="002F16A1">
        <w:rPr>
          <w:noProof/>
        </w:rPr>
        <w:t xml:space="preserve"> w</w:t>
      </w:r>
      <w:r w:rsidR="0028384B">
        <w:rPr>
          <w:noProof/>
        </w:rPr>
        <w:t> </w:t>
      </w:r>
      <w:r w:rsidR="0028384B" w:rsidRPr="002F16A1">
        <w:rPr>
          <w:noProof/>
        </w:rPr>
        <w:t>pos</w:t>
      </w:r>
      <w:r w:rsidR="00AD62E2" w:rsidRPr="002F16A1">
        <w:rPr>
          <w:noProof/>
        </w:rPr>
        <w:t>iadaniu wszystkich organów publicznych, przedsiębiorstw państwowych lub podmiotów gospodarczych, którym państwo członkowskie powierzyło gromadzenie zapasów strategicznych</w:t>
      </w:r>
      <w:r w:rsidR="0028384B" w:rsidRPr="002F16A1">
        <w:rPr>
          <w:noProof/>
        </w:rPr>
        <w:t xml:space="preserve"> w</w:t>
      </w:r>
      <w:r w:rsidR="0028384B">
        <w:rPr>
          <w:noProof/>
        </w:rPr>
        <w:t> </w:t>
      </w:r>
      <w:r w:rsidR="0028384B" w:rsidRPr="002F16A1">
        <w:rPr>
          <w:noProof/>
        </w:rPr>
        <w:t>swo</w:t>
      </w:r>
      <w:r w:rsidR="00AD62E2" w:rsidRPr="002F16A1">
        <w:rPr>
          <w:noProof/>
        </w:rPr>
        <w:t>im imieniu,</w:t>
      </w:r>
      <w:r w:rsidR="0028384B" w:rsidRPr="002F16A1">
        <w:rPr>
          <w:noProof/>
        </w:rPr>
        <w:t xml:space="preserve"> i</w:t>
      </w:r>
      <w:r w:rsidR="0028384B">
        <w:rPr>
          <w:noProof/>
        </w:rPr>
        <w:t> </w:t>
      </w:r>
      <w:r w:rsidR="0028384B" w:rsidRPr="002F16A1">
        <w:rPr>
          <w:noProof/>
        </w:rPr>
        <w:t>zaw</w:t>
      </w:r>
      <w:r w:rsidR="00AD62E2" w:rsidRPr="002F16A1">
        <w:rPr>
          <w:noProof/>
        </w:rPr>
        <w:t>ierają co najmniej opis:</w:t>
      </w:r>
    </w:p>
    <w:p w:rsidR="00AD62E2" w:rsidRPr="002F16A1" w:rsidRDefault="0028384B" w:rsidP="0028384B">
      <w:pPr>
        <w:pStyle w:val="Point1"/>
        <w:rPr>
          <w:noProof/>
        </w:rPr>
      </w:pPr>
      <w:r>
        <w:rPr>
          <w:noProof/>
        </w:rPr>
        <w:t>a)</w:t>
      </w:r>
      <w:r>
        <w:rPr>
          <w:noProof/>
        </w:rPr>
        <w:tab/>
      </w:r>
      <w:r w:rsidR="00AD62E2" w:rsidRPr="002F16A1">
        <w:rPr>
          <w:noProof/>
        </w:rPr>
        <w:t>poziomu zapasów dostępnych dla każdego surowca strategicznego, mierzony zarówno</w:t>
      </w:r>
      <w:r w:rsidRPr="002F16A1">
        <w:rPr>
          <w:noProof/>
        </w:rPr>
        <w:t xml:space="preserve"> w</w:t>
      </w:r>
      <w:r>
        <w:rPr>
          <w:noProof/>
        </w:rPr>
        <w:t> </w:t>
      </w:r>
      <w:r w:rsidRPr="002F16A1">
        <w:rPr>
          <w:noProof/>
        </w:rPr>
        <w:t>ton</w:t>
      </w:r>
      <w:r w:rsidR="00AD62E2" w:rsidRPr="002F16A1">
        <w:rPr>
          <w:noProof/>
        </w:rPr>
        <w:t>ach, jak</w:t>
      </w:r>
      <w:r w:rsidRPr="002F16A1">
        <w:rPr>
          <w:noProof/>
        </w:rPr>
        <w:t xml:space="preserve"> i</w:t>
      </w:r>
      <w:r>
        <w:rPr>
          <w:noProof/>
        </w:rPr>
        <w:t> </w:t>
      </w:r>
      <w:r w:rsidRPr="002F16A1">
        <w:rPr>
          <w:noProof/>
        </w:rPr>
        <w:t>jak</w:t>
      </w:r>
      <w:r w:rsidR="00AD62E2" w:rsidRPr="002F16A1">
        <w:rPr>
          <w:noProof/>
        </w:rPr>
        <w:t>o odsetek rocznego krajowego zużycia przedmiotowych materiałów,</w:t>
      </w:r>
      <w:r w:rsidRPr="002F16A1">
        <w:rPr>
          <w:noProof/>
        </w:rPr>
        <w:t xml:space="preserve"> a</w:t>
      </w:r>
      <w:r>
        <w:rPr>
          <w:noProof/>
        </w:rPr>
        <w:t> </w:t>
      </w:r>
      <w:r w:rsidRPr="002F16A1">
        <w:rPr>
          <w:noProof/>
        </w:rPr>
        <w:t>tak</w:t>
      </w:r>
      <w:r w:rsidR="00AD62E2" w:rsidRPr="002F16A1">
        <w:rPr>
          <w:noProof/>
        </w:rPr>
        <w:t>że formy chemicznej</w:t>
      </w:r>
      <w:r w:rsidRPr="002F16A1">
        <w:rPr>
          <w:noProof/>
        </w:rPr>
        <w:t xml:space="preserve"> i</w:t>
      </w:r>
      <w:r>
        <w:rPr>
          <w:noProof/>
        </w:rPr>
        <w:t> </w:t>
      </w:r>
      <w:r w:rsidRPr="002F16A1">
        <w:rPr>
          <w:noProof/>
        </w:rPr>
        <w:t>czy</w:t>
      </w:r>
      <w:r w:rsidR="00AD62E2" w:rsidRPr="002F16A1">
        <w:rPr>
          <w:noProof/>
        </w:rPr>
        <w:t>stości składowanych materiałów;</w:t>
      </w:r>
    </w:p>
    <w:p w:rsidR="00AD62E2" w:rsidRPr="002F16A1" w:rsidRDefault="0028384B" w:rsidP="0028384B">
      <w:pPr>
        <w:pStyle w:val="Point1"/>
        <w:rPr>
          <w:noProof/>
        </w:rPr>
      </w:pPr>
      <w:r>
        <w:rPr>
          <w:noProof/>
        </w:rPr>
        <w:t>b)</w:t>
      </w:r>
      <w:r>
        <w:rPr>
          <w:noProof/>
        </w:rPr>
        <w:tab/>
      </w:r>
      <w:r w:rsidR="00AD62E2" w:rsidRPr="002F16A1">
        <w:rPr>
          <w:noProof/>
        </w:rPr>
        <w:t>zmiany poziomu zapasów dostępnych dla każdego surowca strategicznego</w:t>
      </w:r>
      <w:r w:rsidRPr="002F16A1">
        <w:rPr>
          <w:noProof/>
        </w:rPr>
        <w:t xml:space="preserve"> w</w:t>
      </w:r>
      <w:r>
        <w:rPr>
          <w:noProof/>
        </w:rPr>
        <w:t> </w:t>
      </w:r>
      <w:r w:rsidRPr="002F16A1">
        <w:rPr>
          <w:noProof/>
        </w:rPr>
        <w:t>cią</w:t>
      </w:r>
      <w:r w:rsidR="00AD62E2" w:rsidRPr="002F16A1">
        <w:rPr>
          <w:noProof/>
        </w:rPr>
        <w:t>gu poprzednich 5 lat;</w:t>
      </w:r>
    </w:p>
    <w:p w:rsidR="00AD62E2" w:rsidRPr="002F16A1" w:rsidRDefault="0028384B" w:rsidP="0028384B">
      <w:pPr>
        <w:pStyle w:val="Point1"/>
        <w:rPr>
          <w:noProof/>
        </w:rPr>
      </w:pPr>
      <w:r>
        <w:rPr>
          <w:noProof/>
        </w:rPr>
        <w:t>c)</w:t>
      </w:r>
      <w:r>
        <w:rPr>
          <w:noProof/>
        </w:rPr>
        <w:tab/>
      </w:r>
      <w:r w:rsidR="00AD62E2" w:rsidRPr="002F16A1">
        <w:rPr>
          <w:noProof/>
        </w:rPr>
        <w:t>wszelkich zasad lub procedur mających zastosowanie do uwalniania, przydziału</w:t>
      </w:r>
      <w:r w:rsidRPr="002F16A1">
        <w:rPr>
          <w:noProof/>
        </w:rPr>
        <w:t xml:space="preserve"> i</w:t>
      </w:r>
      <w:r>
        <w:rPr>
          <w:noProof/>
        </w:rPr>
        <w:t> </w:t>
      </w:r>
      <w:r w:rsidRPr="002F16A1">
        <w:rPr>
          <w:noProof/>
        </w:rPr>
        <w:t>dys</w:t>
      </w:r>
      <w:r w:rsidR="00AD62E2" w:rsidRPr="002F16A1">
        <w:rPr>
          <w:noProof/>
        </w:rPr>
        <w:t>trybucji zapasów strategicznych.</w:t>
      </w:r>
    </w:p>
    <w:p w:rsidR="00AD62E2" w:rsidRPr="002F16A1" w:rsidRDefault="00733965" w:rsidP="00733965">
      <w:pPr>
        <w:pStyle w:val="ManualNumPar1"/>
        <w:rPr>
          <w:noProof/>
        </w:rPr>
      </w:pPr>
      <w:r w:rsidRPr="00733965">
        <w:t>3.</w:t>
      </w:r>
      <w:r w:rsidRPr="00733965">
        <w:tab/>
      </w:r>
      <w:r w:rsidR="00AD62E2" w:rsidRPr="002F16A1">
        <w:rPr>
          <w:noProof/>
        </w:rPr>
        <w:t>Sprawozdanie może zawierać również informacje</w:t>
      </w:r>
      <w:r w:rsidR="0028384B" w:rsidRPr="002F16A1">
        <w:rPr>
          <w:noProof/>
        </w:rPr>
        <w:t xml:space="preserve"> o</w:t>
      </w:r>
      <w:r w:rsidR="0028384B">
        <w:rPr>
          <w:noProof/>
        </w:rPr>
        <w:t> </w:t>
      </w:r>
      <w:r w:rsidR="0028384B" w:rsidRPr="002F16A1">
        <w:rPr>
          <w:noProof/>
        </w:rPr>
        <w:t>zap</w:t>
      </w:r>
      <w:r w:rsidR="00AD62E2" w:rsidRPr="002F16A1">
        <w:rPr>
          <w:noProof/>
        </w:rPr>
        <w:t>asach strategicznych surowców krytycznych</w:t>
      </w:r>
      <w:r w:rsidR="0028384B" w:rsidRPr="002F16A1">
        <w:rPr>
          <w:noProof/>
        </w:rPr>
        <w:t xml:space="preserve"> i</w:t>
      </w:r>
      <w:r w:rsidR="0028384B">
        <w:rPr>
          <w:noProof/>
        </w:rPr>
        <w:t> </w:t>
      </w:r>
      <w:r w:rsidR="0028384B" w:rsidRPr="002F16A1">
        <w:rPr>
          <w:noProof/>
        </w:rPr>
        <w:t>inn</w:t>
      </w:r>
      <w:r w:rsidR="00AD62E2" w:rsidRPr="002F16A1">
        <w:rPr>
          <w:noProof/>
        </w:rPr>
        <w:t>ych.</w:t>
      </w:r>
    </w:p>
    <w:p w:rsidR="00AD62E2" w:rsidRPr="002F16A1" w:rsidRDefault="00AD62E2" w:rsidP="00AD62E2">
      <w:pPr>
        <w:pStyle w:val="Titrearticle"/>
        <w:rPr>
          <w:noProof/>
        </w:rPr>
      </w:pPr>
      <w:bookmarkStart w:id="13" w:name="__akn_article_AD61Ww"/>
      <w:bookmarkEnd w:id="13"/>
      <w:r w:rsidRPr="002F16A1">
        <w:rPr>
          <w:noProof/>
        </w:rPr>
        <w:t>Artykuł 22</w:t>
      </w:r>
    </w:p>
    <w:p w:rsidR="00AD62E2" w:rsidRPr="002F16A1" w:rsidRDefault="00AD62E2" w:rsidP="00AD62E2">
      <w:pPr>
        <w:pStyle w:val="NormalCentered"/>
        <w:rPr>
          <w:noProof/>
        </w:rPr>
      </w:pPr>
      <w:r w:rsidRPr="002F16A1">
        <w:rPr>
          <w:b/>
          <w:noProof/>
        </w:rPr>
        <w:t>Koordynacja zapasów strategicznych</w:t>
      </w:r>
    </w:p>
    <w:p w:rsidR="00AD62E2" w:rsidRPr="002F16A1" w:rsidRDefault="00733965" w:rsidP="00733965">
      <w:pPr>
        <w:pStyle w:val="ManualNumPar1"/>
        <w:rPr>
          <w:noProof/>
        </w:rPr>
      </w:pPr>
      <w:r w:rsidRPr="00733965">
        <w:t>1.</w:t>
      </w:r>
      <w:r w:rsidRPr="00733965">
        <w:tab/>
      </w:r>
      <w:r w:rsidR="00AD62E2" w:rsidRPr="002F16A1">
        <w:rPr>
          <w:noProof/>
        </w:rPr>
        <w:t>Do dnia [</w:t>
      </w:r>
      <w:r w:rsidR="00AD62E2" w:rsidRPr="002F16A1">
        <w:rPr>
          <w:i/>
          <w:iCs/>
          <w:noProof/>
        </w:rPr>
        <w:t>Urząd Publikacji: proszę wstawić</w:t>
      </w:r>
      <w:r w:rsidR="00AD62E2" w:rsidRPr="002F16A1">
        <w:rPr>
          <w:noProof/>
        </w:rPr>
        <w:t xml:space="preserve"> </w:t>
      </w:r>
      <w:r w:rsidR="00AD62E2" w:rsidRPr="002F16A1">
        <w:rPr>
          <w:i/>
          <w:iCs/>
          <w:noProof/>
        </w:rPr>
        <w:t>datę: dwa lata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w:t>
      </w:r>
      <w:r w:rsidR="0028384B" w:rsidRPr="002F16A1">
        <w:rPr>
          <w:noProof/>
        </w:rPr>
        <w:t xml:space="preserve"> a</w:t>
      </w:r>
      <w:r w:rsidR="0028384B">
        <w:rPr>
          <w:noProof/>
        </w:rPr>
        <w:t> </w:t>
      </w:r>
      <w:r w:rsidR="0028384B" w:rsidRPr="002F16A1">
        <w:rPr>
          <w:noProof/>
        </w:rPr>
        <w:t>nas</w:t>
      </w:r>
      <w:r w:rsidR="00AD62E2" w:rsidRPr="002F16A1">
        <w:rPr>
          <w:noProof/>
        </w:rPr>
        <w:t>tępnie co dwa lata Komisja,</w:t>
      </w:r>
      <w:r w:rsidR="0028384B" w:rsidRPr="002F16A1">
        <w:rPr>
          <w:noProof/>
        </w:rPr>
        <w:t xml:space="preserve"> w</w:t>
      </w:r>
      <w:r w:rsidR="0028384B">
        <w:rPr>
          <w:noProof/>
        </w:rPr>
        <w:t> </w:t>
      </w:r>
      <w:r w:rsidR="0028384B" w:rsidRPr="002F16A1">
        <w:rPr>
          <w:noProof/>
        </w:rPr>
        <w:t>opa</w:t>
      </w:r>
      <w:r w:rsidR="00AD62E2" w:rsidRPr="002F16A1">
        <w:rPr>
          <w:noProof/>
        </w:rPr>
        <w:t>rciu</w:t>
      </w:r>
      <w:r w:rsidR="0028384B" w:rsidRPr="002F16A1">
        <w:rPr>
          <w:noProof/>
        </w:rPr>
        <w:t xml:space="preserve"> o</w:t>
      </w:r>
      <w:r w:rsidR="0028384B">
        <w:rPr>
          <w:noProof/>
        </w:rPr>
        <w:t> </w:t>
      </w:r>
      <w:r w:rsidR="0028384B" w:rsidRPr="002F16A1">
        <w:rPr>
          <w:noProof/>
        </w:rPr>
        <w:t>inf</w:t>
      </w:r>
      <w:r w:rsidR="00AD62E2" w:rsidRPr="002F16A1">
        <w:rPr>
          <w:noProof/>
        </w:rPr>
        <w:t xml:space="preserve">ormacje otrzymane na podstawie </w:t>
      </w:r>
      <w:r w:rsidR="00AD62E2" w:rsidRPr="0028384B">
        <w:rPr>
          <w:noProof/>
        </w:rPr>
        <w:t>art.</w:t>
      </w:r>
      <w:r w:rsidR="0028384B" w:rsidRPr="0028384B">
        <w:rPr>
          <w:noProof/>
        </w:rPr>
        <w:t> </w:t>
      </w:r>
      <w:r w:rsidR="00AD62E2" w:rsidRPr="0028384B">
        <w:rPr>
          <w:noProof/>
        </w:rPr>
        <w:t>2</w:t>
      </w:r>
      <w:r w:rsidR="00AD62E2" w:rsidRPr="002F16A1">
        <w:rPr>
          <w:noProof/>
        </w:rPr>
        <w:t xml:space="preserve">1 </w:t>
      </w:r>
      <w:r w:rsidR="00AD62E2" w:rsidRPr="0028384B">
        <w:rPr>
          <w:noProof/>
        </w:rPr>
        <w:t>ust.</w:t>
      </w:r>
      <w:r w:rsidR="0028384B" w:rsidRPr="0028384B">
        <w:rPr>
          <w:noProof/>
        </w:rPr>
        <w:t> </w:t>
      </w:r>
      <w:r w:rsidR="00AD62E2" w:rsidRPr="0028384B">
        <w:rPr>
          <w:noProof/>
        </w:rPr>
        <w:t>1</w:t>
      </w:r>
      <w:r w:rsidR="00AD62E2" w:rsidRPr="002F16A1">
        <w:rPr>
          <w:noProof/>
        </w:rPr>
        <w:t>, dzieli się</w:t>
      </w:r>
      <w:r w:rsidR="0028384B" w:rsidRPr="002F16A1">
        <w:rPr>
          <w:noProof/>
        </w:rPr>
        <w:t xml:space="preserve"> z</w:t>
      </w:r>
      <w:r w:rsidR="0028384B">
        <w:rPr>
          <w:noProof/>
        </w:rPr>
        <w:t> </w:t>
      </w:r>
      <w:r w:rsidR="0028384B" w:rsidRPr="002F16A1">
        <w:rPr>
          <w:noProof/>
        </w:rPr>
        <w:t>Rad</w:t>
      </w:r>
      <w:r w:rsidR="00AD62E2" w:rsidRPr="002F16A1">
        <w:rPr>
          <w:noProof/>
        </w:rPr>
        <w:t>ą:</w:t>
      </w:r>
    </w:p>
    <w:p w:rsidR="00AD62E2" w:rsidRPr="002F16A1" w:rsidRDefault="0028384B" w:rsidP="0028384B">
      <w:pPr>
        <w:pStyle w:val="Point1"/>
        <w:rPr>
          <w:noProof/>
        </w:rPr>
      </w:pPr>
      <w:bookmarkStart w:id="14" w:name="__akn_article_AD61Ww_TJICWo"/>
      <w:bookmarkEnd w:id="14"/>
      <w:r>
        <w:rPr>
          <w:noProof/>
        </w:rPr>
        <w:t>a)</w:t>
      </w:r>
      <w:r>
        <w:rPr>
          <w:noProof/>
        </w:rPr>
        <w:tab/>
      </w:r>
      <w:r w:rsidR="00AD62E2" w:rsidRPr="002F16A1">
        <w:rPr>
          <w:noProof/>
        </w:rPr>
        <w:t>projektem wskaźnika referencyjnego służącego do określania bezpiecznego poziomu zapasów unijnych dla każdego surowca strategicznego, określonego zgodnie</w:t>
      </w:r>
      <w:r w:rsidRPr="002F16A1">
        <w:rPr>
          <w:noProof/>
        </w:rPr>
        <w:t xml:space="preserve"> z</w:t>
      </w:r>
      <w:r>
        <w:rPr>
          <w:noProof/>
        </w:rPr>
        <w:t> </w:t>
      </w:r>
      <w:r w:rsidRPr="0028384B">
        <w:rPr>
          <w:noProof/>
        </w:rPr>
        <w:t>ust</w:t>
      </w:r>
      <w:r w:rsidR="00AD62E2" w:rsidRPr="0028384B">
        <w:rPr>
          <w:noProof/>
        </w:rPr>
        <w:t>.</w:t>
      </w:r>
      <w:r w:rsidRPr="0028384B">
        <w:rPr>
          <w:noProof/>
        </w:rPr>
        <w:t> </w:t>
      </w:r>
      <w:r w:rsidR="00AD62E2" w:rsidRPr="0028384B">
        <w:rPr>
          <w:noProof/>
        </w:rPr>
        <w:t>2</w:t>
      </w:r>
      <w:r w:rsidR="00AD62E2" w:rsidRPr="002F16A1">
        <w:rPr>
          <w:noProof/>
        </w:rPr>
        <w:t>;</w:t>
      </w:r>
    </w:p>
    <w:p w:rsidR="00AD62E2" w:rsidRPr="002F16A1" w:rsidRDefault="0028384B" w:rsidP="0028384B">
      <w:pPr>
        <w:pStyle w:val="Point1"/>
        <w:rPr>
          <w:noProof/>
        </w:rPr>
      </w:pPr>
      <w:r>
        <w:rPr>
          <w:noProof/>
        </w:rPr>
        <w:t>b)</w:t>
      </w:r>
      <w:r>
        <w:rPr>
          <w:noProof/>
        </w:rPr>
        <w:tab/>
      </w:r>
      <w:r w:rsidR="00AD62E2" w:rsidRPr="002F16A1">
        <w:rPr>
          <w:noProof/>
        </w:rPr>
        <w:t>porównaniem ogólnego poziomu zapasów unijnych dla każdego surowca strategicznego</w:t>
      </w:r>
      <w:r w:rsidRPr="002F16A1">
        <w:rPr>
          <w:noProof/>
        </w:rPr>
        <w:t xml:space="preserve"> i</w:t>
      </w:r>
      <w:r>
        <w:rPr>
          <w:noProof/>
        </w:rPr>
        <w:t> </w:t>
      </w:r>
      <w:r w:rsidRPr="002F16A1">
        <w:rPr>
          <w:noProof/>
        </w:rPr>
        <w:t>pro</w:t>
      </w:r>
      <w:r w:rsidR="00AD62E2" w:rsidRPr="002F16A1">
        <w:rPr>
          <w:noProof/>
        </w:rPr>
        <w:t>jektu wskaźnika referencyjnego,</w:t>
      </w:r>
      <w:r w:rsidRPr="002F16A1">
        <w:rPr>
          <w:noProof/>
        </w:rPr>
        <w:t xml:space="preserve"> o</w:t>
      </w:r>
      <w:r>
        <w:rPr>
          <w:noProof/>
        </w:rPr>
        <w:t> </w:t>
      </w:r>
      <w:r w:rsidRPr="002F16A1">
        <w:rPr>
          <w:noProof/>
        </w:rPr>
        <w:t>któ</w:t>
      </w:r>
      <w:r w:rsidR="00AD62E2" w:rsidRPr="002F16A1">
        <w:rPr>
          <w:noProof/>
        </w:rPr>
        <w:t>rym mowa</w:t>
      </w:r>
      <w:r w:rsidRPr="002F16A1">
        <w:rPr>
          <w:noProof/>
        </w:rPr>
        <w:t xml:space="preserve"> w</w:t>
      </w:r>
      <w:r>
        <w:rPr>
          <w:noProof/>
        </w:rPr>
        <w:t> </w:t>
      </w:r>
      <w:r w:rsidRPr="0028384B">
        <w:rPr>
          <w:noProof/>
        </w:rPr>
        <w:t>lit</w:t>
      </w:r>
      <w:r w:rsidR="00AD62E2" w:rsidRPr="0028384B">
        <w:rPr>
          <w:noProof/>
        </w:rPr>
        <w:t>.</w:t>
      </w:r>
      <w:r w:rsidRPr="0028384B">
        <w:rPr>
          <w:noProof/>
        </w:rPr>
        <w:t> </w:t>
      </w:r>
      <w:r w:rsidR="00AD62E2" w:rsidRPr="0028384B">
        <w:rPr>
          <w:noProof/>
        </w:rPr>
        <w:t>a)</w:t>
      </w:r>
      <w:r w:rsidR="00AD62E2" w:rsidRPr="002F16A1">
        <w:rPr>
          <w:noProof/>
        </w:rPr>
        <w:t>;</w:t>
      </w:r>
    </w:p>
    <w:p w:rsidR="00AD62E2" w:rsidRPr="002F16A1" w:rsidRDefault="0028384B" w:rsidP="0028384B">
      <w:pPr>
        <w:pStyle w:val="Point1"/>
        <w:rPr>
          <w:noProof/>
        </w:rPr>
      </w:pPr>
      <w:r>
        <w:rPr>
          <w:noProof/>
        </w:rPr>
        <w:t>c)</w:t>
      </w:r>
      <w:r>
        <w:rPr>
          <w:noProof/>
        </w:rPr>
        <w:tab/>
      </w:r>
      <w:r w:rsidR="00AD62E2" w:rsidRPr="002F16A1">
        <w:rPr>
          <w:noProof/>
        </w:rPr>
        <w:t>informacjami dotyczącymi potencjalnej transgranicznej dostępności zapasów strategicznych</w:t>
      </w:r>
      <w:r w:rsidRPr="002F16A1">
        <w:rPr>
          <w:noProof/>
        </w:rPr>
        <w:t xml:space="preserve"> w</w:t>
      </w:r>
      <w:r>
        <w:rPr>
          <w:noProof/>
        </w:rPr>
        <w:t> </w:t>
      </w:r>
      <w:r w:rsidRPr="002F16A1">
        <w:rPr>
          <w:noProof/>
        </w:rPr>
        <w:t>świ</w:t>
      </w:r>
      <w:r w:rsidR="00AD62E2" w:rsidRPr="002F16A1">
        <w:rPr>
          <w:noProof/>
        </w:rPr>
        <w:t>etle zasad lub procedur ich uwalniania, przydziału</w:t>
      </w:r>
      <w:r w:rsidRPr="002F16A1">
        <w:rPr>
          <w:noProof/>
        </w:rPr>
        <w:t xml:space="preserve"> i</w:t>
      </w:r>
      <w:r>
        <w:rPr>
          <w:noProof/>
        </w:rPr>
        <w:t> </w:t>
      </w:r>
      <w:r w:rsidRPr="002F16A1">
        <w:rPr>
          <w:noProof/>
        </w:rPr>
        <w:t>dys</w:t>
      </w:r>
      <w:r w:rsidR="00AD62E2" w:rsidRPr="002F16A1">
        <w:rPr>
          <w:noProof/>
        </w:rPr>
        <w:t>trybucji.</w:t>
      </w:r>
    </w:p>
    <w:p w:rsidR="00AD62E2" w:rsidRPr="002F16A1" w:rsidRDefault="00733965" w:rsidP="00733965">
      <w:pPr>
        <w:pStyle w:val="ManualNumPar1"/>
        <w:rPr>
          <w:noProof/>
        </w:rPr>
      </w:pPr>
      <w:bookmarkStart w:id="15" w:name="__akn_article_AD61Ww_BVulnX"/>
      <w:bookmarkEnd w:id="15"/>
      <w:r w:rsidRPr="00733965">
        <w:t>2.</w:t>
      </w:r>
      <w:r w:rsidRPr="00733965">
        <w:tab/>
      </w:r>
      <w:r w:rsidR="00AD62E2" w:rsidRPr="002F16A1">
        <w:rPr>
          <w:noProof/>
        </w:rPr>
        <w:t>Komisja, uwzględniając opinie Rady, przyjmuje wskaźnik referencyjny służący do określania bezpiecznego poziomu unijnych zapasów surowców strategicznych, który:</w:t>
      </w:r>
    </w:p>
    <w:p w:rsidR="00AD62E2" w:rsidRPr="002F16A1" w:rsidRDefault="0028384B" w:rsidP="0028384B">
      <w:pPr>
        <w:pStyle w:val="Point1"/>
        <w:rPr>
          <w:noProof/>
        </w:rPr>
      </w:pPr>
      <w:r>
        <w:rPr>
          <w:noProof/>
        </w:rPr>
        <w:t>a)</w:t>
      </w:r>
      <w:r>
        <w:rPr>
          <w:noProof/>
        </w:rPr>
        <w:tab/>
      </w:r>
      <w:r w:rsidR="00AD62E2" w:rsidRPr="002F16A1">
        <w:rPr>
          <w:noProof/>
        </w:rPr>
        <w:t>wyrażany jest jako ilość potrzebna do pokrycia liczby dni średniego dziennego przywozu netto</w:t>
      </w:r>
      <w:r w:rsidRPr="002F16A1">
        <w:rPr>
          <w:noProof/>
        </w:rPr>
        <w:t xml:space="preserve"> w</w:t>
      </w:r>
      <w:r>
        <w:rPr>
          <w:noProof/>
        </w:rPr>
        <w:t> </w:t>
      </w:r>
      <w:r w:rsidRPr="002F16A1">
        <w:rPr>
          <w:noProof/>
        </w:rPr>
        <w:t>prz</w:t>
      </w:r>
      <w:r w:rsidR="00AD62E2" w:rsidRPr="002F16A1">
        <w:rPr>
          <w:noProof/>
        </w:rPr>
        <w:t>ypadku wystąpienia zakłócenia dostaw, obliczona na podstawie wielkości przywozu</w:t>
      </w:r>
      <w:r w:rsidRPr="002F16A1">
        <w:rPr>
          <w:noProof/>
        </w:rPr>
        <w:t xml:space="preserve"> w</w:t>
      </w:r>
      <w:r>
        <w:rPr>
          <w:noProof/>
        </w:rPr>
        <w:t> </w:t>
      </w:r>
      <w:r w:rsidRPr="002F16A1">
        <w:rPr>
          <w:noProof/>
        </w:rPr>
        <w:t>pop</w:t>
      </w:r>
      <w:r w:rsidR="00AD62E2" w:rsidRPr="002F16A1">
        <w:rPr>
          <w:noProof/>
        </w:rPr>
        <w:t>rzednim roku kalendarzowym;</w:t>
      </w:r>
    </w:p>
    <w:p w:rsidR="00AD62E2" w:rsidRPr="002F16A1" w:rsidRDefault="0028384B" w:rsidP="0028384B">
      <w:pPr>
        <w:pStyle w:val="Point1"/>
        <w:rPr>
          <w:noProof/>
        </w:rPr>
      </w:pPr>
      <w:r>
        <w:rPr>
          <w:noProof/>
        </w:rPr>
        <w:t>b)</w:t>
      </w:r>
      <w:r>
        <w:rPr>
          <w:noProof/>
        </w:rPr>
        <w:tab/>
      </w:r>
      <w:r w:rsidR="00AD62E2" w:rsidRPr="002F16A1">
        <w:rPr>
          <w:noProof/>
        </w:rPr>
        <w:t>uwzględnia zapasy utrzymywane przez podmioty prywatne</w:t>
      </w:r>
      <w:r w:rsidRPr="002F16A1">
        <w:rPr>
          <w:noProof/>
        </w:rPr>
        <w:t xml:space="preserve"> w</w:t>
      </w:r>
      <w:r>
        <w:rPr>
          <w:noProof/>
        </w:rPr>
        <w:t> </w:t>
      </w:r>
      <w:r w:rsidRPr="002F16A1">
        <w:rPr>
          <w:noProof/>
        </w:rPr>
        <w:t>zak</w:t>
      </w:r>
      <w:r w:rsidR="00AD62E2" w:rsidRPr="002F16A1">
        <w:rPr>
          <w:noProof/>
        </w:rPr>
        <w:t>resie,</w:t>
      </w:r>
      <w:r w:rsidRPr="002F16A1">
        <w:rPr>
          <w:noProof/>
        </w:rPr>
        <w:t xml:space="preserve"> w</w:t>
      </w:r>
      <w:r>
        <w:rPr>
          <w:noProof/>
        </w:rPr>
        <w:t> </w:t>
      </w:r>
      <w:r w:rsidRPr="002F16A1">
        <w:rPr>
          <w:noProof/>
        </w:rPr>
        <w:t>jak</w:t>
      </w:r>
      <w:r w:rsidR="00AD62E2" w:rsidRPr="002F16A1">
        <w:rPr>
          <w:noProof/>
        </w:rPr>
        <w:t>im dostępne są informacje na temat tych zapasów;</w:t>
      </w:r>
    </w:p>
    <w:p w:rsidR="00AD62E2" w:rsidRPr="002F16A1" w:rsidRDefault="0028384B" w:rsidP="0028384B">
      <w:pPr>
        <w:pStyle w:val="Point1"/>
        <w:rPr>
          <w:noProof/>
        </w:rPr>
      </w:pPr>
      <w:r>
        <w:rPr>
          <w:noProof/>
        </w:rPr>
        <w:t>c)</w:t>
      </w:r>
      <w:r>
        <w:rPr>
          <w:noProof/>
        </w:rPr>
        <w:tab/>
      </w:r>
      <w:r w:rsidR="00AD62E2" w:rsidRPr="002F16A1">
        <w:rPr>
          <w:noProof/>
        </w:rPr>
        <w:t>jest proporcjonalny do ryzyka związanego</w:t>
      </w:r>
      <w:r w:rsidRPr="002F16A1">
        <w:rPr>
          <w:noProof/>
        </w:rPr>
        <w:t xml:space="preserve"> z</w:t>
      </w:r>
      <w:r>
        <w:rPr>
          <w:noProof/>
        </w:rPr>
        <w:t> </w:t>
      </w:r>
      <w:r w:rsidRPr="002F16A1">
        <w:rPr>
          <w:noProof/>
        </w:rPr>
        <w:t>dos</w:t>
      </w:r>
      <w:r w:rsidR="00AD62E2" w:rsidRPr="002F16A1">
        <w:rPr>
          <w:noProof/>
        </w:rPr>
        <w:t>tawami</w:t>
      </w:r>
      <w:r w:rsidRPr="002F16A1">
        <w:rPr>
          <w:noProof/>
        </w:rPr>
        <w:t xml:space="preserve"> i</w:t>
      </w:r>
      <w:r>
        <w:rPr>
          <w:noProof/>
        </w:rPr>
        <w:t> </w:t>
      </w:r>
      <w:r w:rsidRPr="002F16A1">
        <w:rPr>
          <w:noProof/>
        </w:rPr>
        <w:t>zna</w:t>
      </w:r>
      <w:r w:rsidR="00AD62E2" w:rsidRPr="002F16A1">
        <w:rPr>
          <w:noProof/>
        </w:rPr>
        <w:t>czenia gospodarczego związanego</w:t>
      </w:r>
      <w:r w:rsidRPr="002F16A1">
        <w:rPr>
          <w:noProof/>
        </w:rPr>
        <w:t xml:space="preserve"> z</w:t>
      </w:r>
      <w:r>
        <w:rPr>
          <w:noProof/>
        </w:rPr>
        <w:t> </w:t>
      </w:r>
      <w:r w:rsidRPr="002F16A1">
        <w:rPr>
          <w:noProof/>
        </w:rPr>
        <w:t>dan</w:t>
      </w:r>
      <w:r w:rsidR="00AD62E2" w:rsidRPr="002F16A1">
        <w:rPr>
          <w:noProof/>
        </w:rPr>
        <w:t>ym surowcem strategicznym.</w:t>
      </w:r>
    </w:p>
    <w:p w:rsidR="00AD62E2" w:rsidRPr="002F16A1" w:rsidRDefault="00733965" w:rsidP="00733965">
      <w:pPr>
        <w:pStyle w:val="ManualNumPar1"/>
        <w:rPr>
          <w:noProof/>
        </w:rPr>
      </w:pPr>
      <w:r w:rsidRPr="00733965">
        <w:t>3.</w:t>
      </w:r>
      <w:r w:rsidRPr="00733965">
        <w:tab/>
      </w:r>
      <w:r w:rsidR="00AD62E2" w:rsidRPr="002F16A1">
        <w:rPr>
          <w:noProof/>
        </w:rPr>
        <w:t>Komisja, biorąc pod uwagę opinie Rady, może wydawać skierowane do państw członkowskich opinie dotyczące: </w:t>
      </w:r>
    </w:p>
    <w:p w:rsidR="00AD62E2" w:rsidRPr="002F16A1" w:rsidRDefault="0028384B" w:rsidP="0028384B">
      <w:pPr>
        <w:pStyle w:val="Point1"/>
        <w:rPr>
          <w:noProof/>
        </w:rPr>
      </w:pPr>
      <w:r>
        <w:rPr>
          <w:noProof/>
        </w:rPr>
        <w:t>a)</w:t>
      </w:r>
      <w:r>
        <w:rPr>
          <w:noProof/>
        </w:rPr>
        <w:tab/>
      </w:r>
      <w:r w:rsidR="00AD62E2" w:rsidRPr="002F16A1">
        <w:rPr>
          <w:noProof/>
        </w:rPr>
        <w:t>zwiększenia poziomu zapasów strategicznych, biorąc pod uwagę porównanie,</w:t>
      </w:r>
      <w:r w:rsidRPr="002F16A1">
        <w:rPr>
          <w:noProof/>
        </w:rPr>
        <w:t xml:space="preserve"> o</w:t>
      </w:r>
      <w:r>
        <w:rPr>
          <w:noProof/>
        </w:rPr>
        <w:t> </w:t>
      </w:r>
      <w:r w:rsidRPr="002F16A1">
        <w:rPr>
          <w:noProof/>
        </w:rPr>
        <w:t>któ</w:t>
      </w:r>
      <w:r w:rsidR="00AD62E2" w:rsidRPr="002F16A1">
        <w:rPr>
          <w:noProof/>
        </w:rPr>
        <w:t>rym mowa</w:t>
      </w:r>
      <w:r w:rsidRPr="002F16A1">
        <w:rPr>
          <w:noProof/>
        </w:rPr>
        <w:t xml:space="preserve"> w</w:t>
      </w:r>
      <w:r>
        <w:rPr>
          <w:noProof/>
        </w:rPr>
        <w:t> </w:t>
      </w:r>
      <w:r w:rsidRPr="0028384B">
        <w:rPr>
          <w:noProof/>
        </w:rPr>
        <w:t>ust</w:t>
      </w:r>
      <w:r w:rsidR="00AD62E2" w:rsidRPr="0028384B">
        <w:rPr>
          <w:noProof/>
        </w:rPr>
        <w:t>.</w:t>
      </w:r>
      <w:r w:rsidRPr="0028384B">
        <w:rPr>
          <w:noProof/>
        </w:rPr>
        <w:t> </w:t>
      </w:r>
      <w:r w:rsidR="00AD62E2" w:rsidRPr="0028384B">
        <w:rPr>
          <w:noProof/>
        </w:rPr>
        <w:t>1</w:t>
      </w:r>
      <w:r w:rsidR="00AD62E2" w:rsidRPr="002F16A1">
        <w:rPr>
          <w:noProof/>
        </w:rPr>
        <w:t xml:space="preserve"> </w:t>
      </w:r>
      <w:r w:rsidR="00AD62E2" w:rsidRPr="0028384B">
        <w:rPr>
          <w:noProof/>
        </w:rPr>
        <w:t>lit.</w:t>
      </w:r>
      <w:r w:rsidRPr="0028384B">
        <w:rPr>
          <w:noProof/>
        </w:rPr>
        <w:t> </w:t>
      </w:r>
      <w:r w:rsidR="00AD62E2" w:rsidRPr="0028384B">
        <w:rPr>
          <w:noProof/>
        </w:rPr>
        <w:t>b)</w:t>
      </w:r>
      <w:r w:rsidR="00AD62E2" w:rsidRPr="002F16A1">
        <w:rPr>
          <w:noProof/>
        </w:rPr>
        <w:t>, względny rozkład istniejących zapasów wśród państw członkowskich oraz zużycie surowców strategicznych przez podmioty gospodarcze na terytorium poszczególnych państw członkowskich;</w:t>
      </w:r>
    </w:p>
    <w:p w:rsidR="00AD62E2" w:rsidRPr="002F16A1" w:rsidRDefault="0028384B" w:rsidP="0028384B">
      <w:pPr>
        <w:pStyle w:val="Point1"/>
        <w:rPr>
          <w:noProof/>
        </w:rPr>
      </w:pPr>
      <w:r>
        <w:rPr>
          <w:noProof/>
        </w:rPr>
        <w:t>b)</w:t>
      </w:r>
      <w:r>
        <w:rPr>
          <w:noProof/>
        </w:rPr>
        <w:tab/>
      </w:r>
      <w:r w:rsidR="00AD62E2" w:rsidRPr="002F16A1">
        <w:rPr>
          <w:noProof/>
        </w:rPr>
        <w:t>zmiany lub koordynacji zasad lub procedur uwalniania, przydziału</w:t>
      </w:r>
      <w:r w:rsidRPr="002F16A1">
        <w:rPr>
          <w:noProof/>
        </w:rPr>
        <w:t xml:space="preserve"> i</w:t>
      </w:r>
      <w:r>
        <w:rPr>
          <w:noProof/>
        </w:rPr>
        <w:t> </w:t>
      </w:r>
      <w:r w:rsidRPr="002F16A1">
        <w:rPr>
          <w:noProof/>
        </w:rPr>
        <w:t>dys</w:t>
      </w:r>
      <w:r w:rsidR="00AD62E2" w:rsidRPr="002F16A1">
        <w:rPr>
          <w:noProof/>
        </w:rPr>
        <w:t>trybucji zapasów strategicznych</w:t>
      </w:r>
      <w:r w:rsidRPr="002F16A1">
        <w:rPr>
          <w:noProof/>
        </w:rPr>
        <w:t xml:space="preserve"> w</w:t>
      </w:r>
      <w:r>
        <w:rPr>
          <w:noProof/>
        </w:rPr>
        <w:t> </w:t>
      </w:r>
      <w:r w:rsidRPr="002F16A1">
        <w:rPr>
          <w:noProof/>
        </w:rPr>
        <w:t>cel</w:t>
      </w:r>
      <w:r w:rsidR="00AD62E2" w:rsidRPr="002F16A1">
        <w:rPr>
          <w:noProof/>
        </w:rPr>
        <w:t>u poprawy potencjalnej dostępności transgranicznej,</w:t>
      </w:r>
      <w:r w:rsidRPr="002F16A1">
        <w:rPr>
          <w:noProof/>
        </w:rPr>
        <w:t xml:space="preserve"> w</w:t>
      </w:r>
      <w:r>
        <w:rPr>
          <w:noProof/>
        </w:rPr>
        <w:t> </w:t>
      </w:r>
      <w:r w:rsidRPr="002F16A1">
        <w:rPr>
          <w:noProof/>
        </w:rPr>
        <w:t>szc</w:t>
      </w:r>
      <w:r w:rsidR="00AD62E2" w:rsidRPr="002F16A1">
        <w:rPr>
          <w:noProof/>
        </w:rPr>
        <w:t>zególności</w:t>
      </w:r>
      <w:r w:rsidRPr="002F16A1">
        <w:rPr>
          <w:noProof/>
        </w:rPr>
        <w:t xml:space="preserve"> w</w:t>
      </w:r>
      <w:r>
        <w:rPr>
          <w:noProof/>
        </w:rPr>
        <w:t> </w:t>
      </w:r>
      <w:r w:rsidRPr="002F16A1">
        <w:rPr>
          <w:noProof/>
        </w:rPr>
        <w:t>sto</w:t>
      </w:r>
      <w:r w:rsidR="00AD62E2" w:rsidRPr="002F16A1">
        <w:rPr>
          <w:noProof/>
        </w:rPr>
        <w:t>sownych przypadkach dotyczących produkcji technologii strategicznych.</w:t>
      </w:r>
    </w:p>
    <w:p w:rsidR="00AD62E2" w:rsidRPr="002F16A1" w:rsidRDefault="00733965" w:rsidP="00733965">
      <w:pPr>
        <w:pStyle w:val="ManualNumPar1"/>
        <w:rPr>
          <w:noProof/>
        </w:rPr>
      </w:pPr>
      <w:r w:rsidRPr="00733965">
        <w:t>4.</w:t>
      </w:r>
      <w:r w:rsidRPr="00733965">
        <w:tab/>
      </w:r>
      <w:r w:rsidR="00AD62E2" w:rsidRPr="002F16A1">
        <w:rPr>
          <w:noProof/>
        </w:rPr>
        <w:t>Przygotowując opinie,</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3</w:t>
      </w:r>
      <w:r w:rsidR="00AD62E2" w:rsidRPr="002F16A1">
        <w:rPr>
          <w:noProof/>
        </w:rPr>
        <w:t>, Rada zwraca szczególną uwagę na konieczność utrzymania zachęt dla podmiotów prywatnych (opierających swoją działalność na materiałach wsadowych</w:t>
      </w:r>
      <w:r w:rsidR="0028384B" w:rsidRPr="002F16A1">
        <w:rPr>
          <w:noProof/>
        </w:rPr>
        <w:t xml:space="preserve"> w</w:t>
      </w:r>
      <w:r w:rsidR="0028384B">
        <w:rPr>
          <w:noProof/>
        </w:rPr>
        <w:t> </w:t>
      </w:r>
      <w:r w:rsidR="0028384B" w:rsidRPr="002F16A1">
        <w:rPr>
          <w:noProof/>
        </w:rPr>
        <w:t>pos</w:t>
      </w:r>
      <w:r w:rsidR="00AD62E2" w:rsidRPr="002F16A1">
        <w:rPr>
          <w:noProof/>
        </w:rPr>
        <w:t>taci surowców strategicznych) do tworzenia własnych zapasów lub podejmowania innych środków</w:t>
      </w:r>
      <w:r w:rsidR="0028384B" w:rsidRPr="002F16A1">
        <w:rPr>
          <w:noProof/>
        </w:rPr>
        <w:t xml:space="preserve"> w</w:t>
      </w:r>
      <w:r w:rsidR="0028384B">
        <w:rPr>
          <w:noProof/>
        </w:rPr>
        <w:t> </w:t>
      </w:r>
      <w:r w:rsidR="0028384B" w:rsidRPr="002F16A1">
        <w:rPr>
          <w:noProof/>
        </w:rPr>
        <w:t>cel</w:t>
      </w:r>
      <w:r w:rsidR="00AD62E2" w:rsidRPr="002F16A1">
        <w:rPr>
          <w:noProof/>
        </w:rPr>
        <w:t>u zarządzania ryzykiem związanym</w:t>
      </w:r>
      <w:r w:rsidR="0028384B" w:rsidRPr="002F16A1">
        <w:rPr>
          <w:noProof/>
        </w:rPr>
        <w:t xml:space="preserve"> z</w:t>
      </w:r>
      <w:r w:rsidR="0028384B">
        <w:rPr>
          <w:noProof/>
        </w:rPr>
        <w:t> </w:t>
      </w:r>
      <w:r w:rsidR="0028384B" w:rsidRPr="002F16A1">
        <w:rPr>
          <w:noProof/>
        </w:rPr>
        <w:t>dos</w:t>
      </w:r>
      <w:r w:rsidR="00AD62E2" w:rsidRPr="002F16A1">
        <w:rPr>
          <w:noProof/>
        </w:rPr>
        <w:t>tawami.</w:t>
      </w:r>
    </w:p>
    <w:p w:rsidR="00AD62E2" w:rsidRPr="002F16A1" w:rsidRDefault="00733965" w:rsidP="00733965">
      <w:pPr>
        <w:pStyle w:val="ManualNumPar1"/>
        <w:rPr>
          <w:noProof/>
        </w:rPr>
      </w:pPr>
      <w:r w:rsidRPr="00733965">
        <w:t>5.</w:t>
      </w:r>
      <w:r w:rsidRPr="00733965">
        <w:tab/>
      </w:r>
      <w:r w:rsidR="00AD62E2" w:rsidRPr="002F16A1">
        <w:rPr>
          <w:noProof/>
        </w:rPr>
        <w:t>W ramach sprawozdania,</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4</w:t>
      </w:r>
      <w:r w:rsidR="00AD62E2" w:rsidRPr="002F16A1">
        <w:rPr>
          <w:noProof/>
        </w:rPr>
        <w:t>3, państwa członkowskie przedstawiają informacje na temat tego, czy</w:t>
      </w:r>
      <w:r w:rsidR="0028384B" w:rsidRPr="002F16A1">
        <w:rPr>
          <w:noProof/>
        </w:rPr>
        <w:t xml:space="preserve"> i</w:t>
      </w:r>
      <w:r w:rsidR="0028384B">
        <w:rPr>
          <w:noProof/>
        </w:rPr>
        <w:t> </w:t>
      </w:r>
      <w:r w:rsidR="0028384B" w:rsidRPr="002F16A1">
        <w:rPr>
          <w:noProof/>
        </w:rPr>
        <w:t>jak</w:t>
      </w:r>
      <w:r w:rsidR="00AD62E2" w:rsidRPr="002F16A1">
        <w:rPr>
          <w:noProof/>
        </w:rPr>
        <w:t xml:space="preserve"> zastosowały lub zamierzają zastosować się do opinii,</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3</w:t>
      </w:r>
      <w:r w:rsidR="00AD62E2" w:rsidRPr="002F16A1">
        <w:rPr>
          <w:noProof/>
        </w:rPr>
        <w:t>.</w:t>
      </w:r>
    </w:p>
    <w:p w:rsidR="00AD62E2" w:rsidRPr="002F16A1" w:rsidRDefault="00733965" w:rsidP="00733965">
      <w:pPr>
        <w:pStyle w:val="ManualNumPar1"/>
        <w:rPr>
          <w:noProof/>
        </w:rPr>
      </w:pPr>
      <w:r w:rsidRPr="00733965">
        <w:t>6.</w:t>
      </w:r>
      <w:r w:rsidRPr="00733965">
        <w:tab/>
      </w:r>
      <w:r w:rsidR="00AD62E2" w:rsidRPr="002F16A1">
        <w:rPr>
          <w:noProof/>
        </w:rPr>
        <w:t>Przed udziałem co najmniej dwóch państw członkowskich</w:t>
      </w:r>
      <w:r w:rsidR="0028384B" w:rsidRPr="002F16A1">
        <w:rPr>
          <w:noProof/>
        </w:rPr>
        <w:t xml:space="preserve"> w</w:t>
      </w:r>
      <w:r w:rsidR="0028384B">
        <w:rPr>
          <w:noProof/>
        </w:rPr>
        <w:t> </w:t>
      </w:r>
      <w:r w:rsidR="0028384B" w:rsidRPr="002F16A1">
        <w:rPr>
          <w:noProof/>
        </w:rPr>
        <w:t>mię</w:t>
      </w:r>
      <w:r w:rsidR="00AD62E2" w:rsidRPr="002F16A1">
        <w:rPr>
          <w:noProof/>
        </w:rPr>
        <w:t>dzynarodowych lub wielostronnych forach dotyczących zapasów strategicznych surowców strategicznych, Komisja zapewnia uprzednią koordynację</w:t>
      </w:r>
      <w:r w:rsidR="0028384B" w:rsidRPr="002F16A1">
        <w:rPr>
          <w:noProof/>
        </w:rPr>
        <w:t xml:space="preserve"> w</w:t>
      </w:r>
      <w:r w:rsidR="0028384B">
        <w:rPr>
          <w:noProof/>
        </w:rPr>
        <w:t> </w:t>
      </w:r>
      <w:r w:rsidR="0028384B" w:rsidRPr="002F16A1">
        <w:rPr>
          <w:noProof/>
        </w:rPr>
        <w:t>dro</w:t>
      </w:r>
      <w:r w:rsidR="00AD62E2" w:rsidRPr="002F16A1">
        <w:rPr>
          <w:noProof/>
        </w:rPr>
        <w:t>dze rozmów między zainteresowanymi państwami członkowskimi</w:t>
      </w:r>
      <w:r w:rsidR="0028384B" w:rsidRPr="002F16A1">
        <w:rPr>
          <w:noProof/>
        </w:rPr>
        <w:t xml:space="preserve"> a</w:t>
      </w:r>
      <w:r w:rsidR="0028384B">
        <w:rPr>
          <w:noProof/>
        </w:rPr>
        <w:t> </w:t>
      </w:r>
      <w:r w:rsidR="0028384B" w:rsidRPr="002F16A1">
        <w:rPr>
          <w:noProof/>
        </w:rPr>
        <w:t>Kom</w:t>
      </w:r>
      <w:r w:rsidR="00AD62E2" w:rsidRPr="002F16A1">
        <w:rPr>
          <w:noProof/>
        </w:rPr>
        <w:t>isją albo specjalnego posiedzenia Rady.</w:t>
      </w:r>
    </w:p>
    <w:p w:rsidR="00AD62E2" w:rsidRPr="002F16A1" w:rsidRDefault="00733965" w:rsidP="00733965">
      <w:pPr>
        <w:pStyle w:val="ManualNumPar1"/>
        <w:rPr>
          <w:noProof/>
        </w:rPr>
      </w:pPr>
      <w:r w:rsidRPr="00733965">
        <w:t>7.</w:t>
      </w:r>
      <w:r w:rsidRPr="00733965">
        <w:tab/>
      </w:r>
      <w:r w:rsidR="00AD62E2" w:rsidRPr="002F16A1">
        <w:rPr>
          <w:noProof/>
        </w:rPr>
        <w:t>Komisja przekazuje zgromadzone dane dotyczące dostępnych zapasów unijnych organom zarządzającym Unii odpowiedzialnym za mechanizmy czujności kryzysowej lub zarządzania kryzysowego obejmujące przedmiotowe surowce strategiczne.</w:t>
      </w:r>
      <w:r w:rsidR="00AD62E2" w:rsidRPr="002F16A1">
        <w:rPr>
          <w:b/>
          <w:noProof/>
        </w:rPr>
        <w:t xml:space="preserve"> </w:t>
      </w:r>
    </w:p>
    <w:p w:rsidR="00AD62E2" w:rsidRPr="002F16A1" w:rsidRDefault="00AD62E2" w:rsidP="00AD62E2">
      <w:pPr>
        <w:pStyle w:val="Titrearticle"/>
        <w:rPr>
          <w:noProof/>
        </w:rPr>
      </w:pPr>
      <w:r w:rsidRPr="002F16A1">
        <w:rPr>
          <w:noProof/>
        </w:rPr>
        <w:t>Artykuł 23</w:t>
      </w:r>
    </w:p>
    <w:p w:rsidR="00AD62E2" w:rsidRPr="002F16A1" w:rsidRDefault="00AD62E2" w:rsidP="00AD62E2">
      <w:pPr>
        <w:pStyle w:val="NormalCentered"/>
        <w:rPr>
          <w:noProof/>
        </w:rPr>
      </w:pPr>
      <w:r w:rsidRPr="002F16A1">
        <w:rPr>
          <w:b/>
          <w:noProof/>
        </w:rPr>
        <w:t>Gotowość przedsiębiorstwa na wypadek zagrożeń </w:t>
      </w:r>
    </w:p>
    <w:p w:rsidR="00AD62E2" w:rsidRPr="0028384B" w:rsidRDefault="00733965" w:rsidP="00733965">
      <w:pPr>
        <w:pStyle w:val="ManualNumPar1"/>
        <w:rPr>
          <w:noProof/>
        </w:rPr>
      </w:pPr>
      <w:r w:rsidRPr="00733965">
        <w:t>1.</w:t>
      </w:r>
      <w:r w:rsidRPr="00733965">
        <w:tab/>
      </w:r>
      <w:r w:rsidR="00AD62E2" w:rsidRPr="002F16A1">
        <w:rPr>
          <w:noProof/>
        </w:rPr>
        <w:t>Państwa członkowskie identyfikują duże przedsiębiorstwa, które na ich terytorium wytwarzają technologie strategiczne przy użyciu surowców strategicznych</w:t>
      </w:r>
      <w:r w:rsidR="00AD62E2" w:rsidRPr="0028384B">
        <w:rPr>
          <w:noProof/>
        </w:rPr>
        <w:t>.</w:t>
      </w:r>
      <w:r w:rsidR="0028384B" w:rsidRPr="0028384B">
        <w:rPr>
          <w:noProof/>
        </w:rPr>
        <w:t xml:space="preserve"> </w:t>
      </w:r>
    </w:p>
    <w:p w:rsidR="00AD62E2" w:rsidRPr="002F16A1" w:rsidRDefault="00AD62E2" w:rsidP="00AD62E2">
      <w:pPr>
        <w:pStyle w:val="Text1"/>
        <w:rPr>
          <w:noProof/>
        </w:rPr>
      </w:pPr>
      <w:r w:rsidRPr="002F16A1">
        <w:rPr>
          <w:noProof/>
        </w:rPr>
        <w:t>Technologie strategiczne,</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F16A1">
        <w:rPr>
          <w:noProof/>
        </w:rPr>
        <w:t>aka</w:t>
      </w:r>
      <w:r w:rsidRPr="002F16A1">
        <w:rPr>
          <w:noProof/>
        </w:rPr>
        <w:t>picie pierwszym, obejmują m.in. baterie przeznaczone do magazynowania energii</w:t>
      </w:r>
      <w:r w:rsidR="0028384B" w:rsidRPr="002F16A1">
        <w:rPr>
          <w:noProof/>
        </w:rPr>
        <w:t xml:space="preserve"> i</w:t>
      </w:r>
      <w:r w:rsidR="0028384B">
        <w:rPr>
          <w:noProof/>
        </w:rPr>
        <w:t> </w:t>
      </w:r>
      <w:r w:rsidR="0028384B" w:rsidRPr="002F16A1">
        <w:rPr>
          <w:noProof/>
        </w:rPr>
        <w:t>ele</w:t>
      </w:r>
      <w:r w:rsidRPr="002F16A1">
        <w:rPr>
          <w:noProof/>
        </w:rPr>
        <w:t>ktromobilności, urządzenia związane</w:t>
      </w:r>
      <w:r w:rsidR="0028384B" w:rsidRPr="002F16A1">
        <w:rPr>
          <w:noProof/>
        </w:rPr>
        <w:t xml:space="preserve"> z</w:t>
      </w:r>
      <w:r w:rsidR="0028384B">
        <w:rPr>
          <w:noProof/>
        </w:rPr>
        <w:t> </w:t>
      </w:r>
      <w:r w:rsidR="0028384B" w:rsidRPr="002F16A1">
        <w:rPr>
          <w:noProof/>
        </w:rPr>
        <w:t>pro</w:t>
      </w:r>
      <w:r w:rsidRPr="002F16A1">
        <w:rPr>
          <w:noProof/>
        </w:rPr>
        <w:t>dukcją</w:t>
      </w:r>
      <w:r w:rsidR="0028384B" w:rsidRPr="002F16A1">
        <w:rPr>
          <w:noProof/>
        </w:rPr>
        <w:t xml:space="preserve"> i</w:t>
      </w:r>
      <w:r w:rsidR="0028384B">
        <w:rPr>
          <w:noProof/>
        </w:rPr>
        <w:t> </w:t>
      </w:r>
      <w:r w:rsidR="0028384B" w:rsidRPr="002F16A1">
        <w:rPr>
          <w:noProof/>
        </w:rPr>
        <w:t>wyk</w:t>
      </w:r>
      <w:r w:rsidRPr="002F16A1">
        <w:rPr>
          <w:noProof/>
        </w:rPr>
        <w:t>orzystaniem wodoru, urządzenia związane</w:t>
      </w:r>
      <w:r w:rsidR="0028384B" w:rsidRPr="002F16A1">
        <w:rPr>
          <w:noProof/>
        </w:rPr>
        <w:t xml:space="preserve"> z</w:t>
      </w:r>
      <w:r w:rsidR="0028384B">
        <w:rPr>
          <w:noProof/>
        </w:rPr>
        <w:t> </w:t>
      </w:r>
      <w:r w:rsidR="0028384B" w:rsidRPr="002F16A1">
        <w:rPr>
          <w:noProof/>
        </w:rPr>
        <w:t>pro</w:t>
      </w:r>
      <w:r w:rsidRPr="002F16A1">
        <w:rPr>
          <w:noProof/>
        </w:rPr>
        <w:t>dukcją energii odnawialnej, silniki trakcyjne, pompy ciepła, transmisję</w:t>
      </w:r>
      <w:r w:rsidR="0028384B" w:rsidRPr="002F16A1">
        <w:rPr>
          <w:noProof/>
        </w:rPr>
        <w:t xml:space="preserve"> i</w:t>
      </w:r>
      <w:r w:rsidR="0028384B">
        <w:rPr>
          <w:noProof/>
        </w:rPr>
        <w:t> </w:t>
      </w:r>
      <w:r w:rsidR="0028384B" w:rsidRPr="002F16A1">
        <w:rPr>
          <w:noProof/>
        </w:rPr>
        <w:t>prz</w:t>
      </w:r>
      <w:r w:rsidRPr="002F16A1">
        <w:rPr>
          <w:noProof/>
        </w:rPr>
        <w:t>echowywanie danych, przenośne urządzenia elektroniczne, urządzenia związane</w:t>
      </w:r>
      <w:r w:rsidR="0028384B" w:rsidRPr="002F16A1">
        <w:rPr>
          <w:noProof/>
        </w:rPr>
        <w:t xml:space="preserve"> z</w:t>
      </w:r>
      <w:r w:rsidR="0028384B">
        <w:rPr>
          <w:noProof/>
        </w:rPr>
        <w:t> </w:t>
      </w:r>
      <w:r w:rsidR="0028384B" w:rsidRPr="002F16A1">
        <w:rPr>
          <w:noProof/>
        </w:rPr>
        <w:t>obr</w:t>
      </w:r>
      <w:r w:rsidRPr="002F16A1">
        <w:rPr>
          <w:noProof/>
        </w:rPr>
        <w:t>óbką przyrostową, robotykę, bezzałogowe statki powietrzne, wyrzutnie rakietowe, satelity</w:t>
      </w:r>
      <w:r w:rsidR="0028384B" w:rsidRPr="002F16A1">
        <w:rPr>
          <w:noProof/>
        </w:rPr>
        <w:t xml:space="preserve"> i</w:t>
      </w:r>
      <w:r w:rsidR="0028384B">
        <w:rPr>
          <w:noProof/>
        </w:rPr>
        <w:t> </w:t>
      </w:r>
      <w:r w:rsidR="0028384B" w:rsidRPr="002F16A1">
        <w:rPr>
          <w:noProof/>
        </w:rPr>
        <w:t>zaa</w:t>
      </w:r>
      <w:r w:rsidRPr="002F16A1">
        <w:rPr>
          <w:noProof/>
        </w:rPr>
        <w:t>wansowane układy scalone.</w:t>
      </w:r>
    </w:p>
    <w:p w:rsidR="00AD62E2" w:rsidRPr="002F16A1" w:rsidRDefault="00733965" w:rsidP="00733965">
      <w:pPr>
        <w:pStyle w:val="ManualNumPar1"/>
        <w:rPr>
          <w:noProof/>
        </w:rPr>
      </w:pPr>
      <w:r w:rsidRPr="00733965">
        <w:t>2.</w:t>
      </w:r>
      <w:r w:rsidRPr="00733965">
        <w:tab/>
      </w:r>
      <w:r w:rsidR="00AD62E2" w:rsidRPr="002F16A1">
        <w:rPr>
          <w:noProof/>
        </w:rPr>
        <w:t>Duże przedsiębiorstwa wskazane przez państwa członkowskie zgodnie</w:t>
      </w:r>
      <w:r w:rsidR="0028384B" w:rsidRPr="002F16A1">
        <w:rPr>
          <w:noProof/>
        </w:rPr>
        <w:t xml:space="preserve"> z</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xml:space="preserve"> przeprowadzają co dwa lata audyt swojego łańcucha dostaw, obejmujący:</w:t>
      </w:r>
    </w:p>
    <w:p w:rsidR="00AD62E2" w:rsidRPr="002F16A1" w:rsidRDefault="0028384B" w:rsidP="0028384B">
      <w:pPr>
        <w:pStyle w:val="Point1"/>
        <w:rPr>
          <w:noProof/>
        </w:rPr>
      </w:pPr>
      <w:r>
        <w:rPr>
          <w:noProof/>
        </w:rPr>
        <w:t>a)</w:t>
      </w:r>
      <w:r>
        <w:rPr>
          <w:noProof/>
        </w:rPr>
        <w:tab/>
      </w:r>
      <w:r w:rsidR="00AD62E2" w:rsidRPr="002F16A1">
        <w:rPr>
          <w:noProof/>
        </w:rPr>
        <w:t>mapowanie miejsc wydobycia, przetwarzania lub recyklingu surowców strategicznych,</w:t>
      </w:r>
      <w:r w:rsidRPr="002F16A1">
        <w:rPr>
          <w:noProof/>
        </w:rPr>
        <w:t xml:space="preserve"> z</w:t>
      </w:r>
      <w:r>
        <w:rPr>
          <w:noProof/>
        </w:rPr>
        <w:t> </w:t>
      </w:r>
      <w:r w:rsidRPr="002F16A1">
        <w:rPr>
          <w:noProof/>
        </w:rPr>
        <w:t>któ</w:t>
      </w:r>
      <w:r w:rsidR="00AD62E2" w:rsidRPr="002F16A1">
        <w:rPr>
          <w:noProof/>
        </w:rPr>
        <w:t xml:space="preserve">rych korzystają te przedsiębiorstwa; </w:t>
      </w:r>
    </w:p>
    <w:p w:rsidR="00AD62E2" w:rsidRPr="002F16A1" w:rsidRDefault="0028384B" w:rsidP="0028384B">
      <w:pPr>
        <w:pStyle w:val="Point1"/>
        <w:rPr>
          <w:noProof/>
        </w:rPr>
      </w:pPr>
      <w:r>
        <w:rPr>
          <w:noProof/>
        </w:rPr>
        <w:t>b)</w:t>
      </w:r>
      <w:r>
        <w:rPr>
          <w:noProof/>
        </w:rPr>
        <w:tab/>
      </w:r>
      <w:r w:rsidR="00AD62E2" w:rsidRPr="002F16A1">
        <w:rPr>
          <w:noProof/>
        </w:rPr>
        <w:t>test warunków skrajnych ich łańcucha dostaw surowców strategicznych, polegający na ocenie jego podatności na zakłócenia dostaw przez oszacowanie wpływu różnych scenariuszy, które mogą spowodować takie zakłócenia, oraz ich potencjalnych skutków,</w:t>
      </w:r>
      <w:r w:rsidRPr="002F16A1">
        <w:rPr>
          <w:noProof/>
        </w:rPr>
        <w:t xml:space="preserve"> z</w:t>
      </w:r>
      <w:r>
        <w:rPr>
          <w:noProof/>
        </w:rPr>
        <w:t> </w:t>
      </w:r>
      <w:r w:rsidRPr="002F16A1">
        <w:rPr>
          <w:noProof/>
        </w:rPr>
        <w:t>uwz</w:t>
      </w:r>
      <w:r w:rsidR="00AD62E2" w:rsidRPr="002F16A1">
        <w:rPr>
          <w:noProof/>
        </w:rPr>
        <w:t>ględnieniem co najmniej elementów wymienionych</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1</w:t>
      </w:r>
      <w:r w:rsidR="00AD62E2" w:rsidRPr="002F16A1">
        <w:rPr>
          <w:noProof/>
        </w:rPr>
        <w:t xml:space="preserve">9 </w:t>
      </w:r>
      <w:r w:rsidR="00AD62E2" w:rsidRPr="0028384B">
        <w:rPr>
          <w:noProof/>
        </w:rPr>
        <w:t>ust.</w:t>
      </w:r>
      <w:r w:rsidRPr="0028384B">
        <w:rPr>
          <w:noProof/>
        </w:rPr>
        <w:t> </w:t>
      </w:r>
      <w:r w:rsidR="00AD62E2" w:rsidRPr="0028384B">
        <w:rPr>
          <w:noProof/>
        </w:rPr>
        <w:t>3</w:t>
      </w:r>
      <w:r w:rsidR="00AD62E2" w:rsidRPr="002F16A1">
        <w:rPr>
          <w:noProof/>
        </w:rPr>
        <w:t>.</w:t>
      </w:r>
    </w:p>
    <w:p w:rsidR="00AD62E2" w:rsidRPr="002F16A1" w:rsidRDefault="00733965" w:rsidP="00733965">
      <w:pPr>
        <w:pStyle w:val="ManualNumPar1"/>
        <w:rPr>
          <w:noProof/>
        </w:rPr>
      </w:pPr>
      <w:r w:rsidRPr="00733965">
        <w:t>3.</w:t>
      </w:r>
      <w:r w:rsidRPr="00733965">
        <w:tab/>
      </w:r>
      <w:r w:rsidR="00AD62E2" w:rsidRPr="002F16A1">
        <w:rPr>
          <w:noProof/>
        </w:rPr>
        <w:t>Przedsiębiorstwa,</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przedstawiają swojej radzie dyrektorów sprawozdanie zawierające wyniki audytu,</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2</w:t>
      </w:r>
      <w:r w:rsidR="00AD62E2" w:rsidRPr="002F16A1">
        <w:rPr>
          <w:noProof/>
        </w:rPr>
        <w:t>.</w:t>
      </w:r>
    </w:p>
    <w:p w:rsidR="00AD62E2" w:rsidRPr="002F16A1" w:rsidRDefault="00AD62E2" w:rsidP="00AD62E2">
      <w:pPr>
        <w:pStyle w:val="Titrearticle"/>
        <w:rPr>
          <w:noProof/>
        </w:rPr>
      </w:pPr>
      <w:r w:rsidRPr="002F16A1">
        <w:rPr>
          <w:noProof/>
        </w:rPr>
        <w:t>Artykuł 24</w:t>
      </w:r>
    </w:p>
    <w:p w:rsidR="00AD62E2" w:rsidRPr="002F16A1" w:rsidRDefault="00AD62E2" w:rsidP="00AD62E2">
      <w:pPr>
        <w:pStyle w:val="NormalCentered"/>
        <w:rPr>
          <w:b/>
          <w:noProof/>
        </w:rPr>
      </w:pPr>
      <w:r w:rsidRPr="002F16A1">
        <w:rPr>
          <w:b/>
          <w:noProof/>
        </w:rPr>
        <w:t>Wspólne zakupy</w:t>
      </w:r>
    </w:p>
    <w:p w:rsidR="00AD62E2" w:rsidRPr="002F16A1" w:rsidRDefault="00733965" w:rsidP="00733965">
      <w:pPr>
        <w:pStyle w:val="ManualNumPar1"/>
        <w:rPr>
          <w:noProof/>
        </w:rPr>
      </w:pPr>
      <w:r w:rsidRPr="00733965">
        <w:t>1.</w:t>
      </w:r>
      <w:r w:rsidRPr="00733965">
        <w:tab/>
      </w:r>
      <w:r w:rsidR="00AD62E2" w:rsidRPr="002F16A1">
        <w:rPr>
          <w:noProof/>
        </w:rPr>
        <w:t>Komisja tworzy</w:t>
      </w:r>
      <w:r w:rsidR="0028384B" w:rsidRPr="002F16A1">
        <w:rPr>
          <w:noProof/>
        </w:rPr>
        <w:t xml:space="preserve"> i</w:t>
      </w:r>
      <w:r w:rsidR="0028384B">
        <w:rPr>
          <w:noProof/>
        </w:rPr>
        <w:t> </w:t>
      </w:r>
      <w:r w:rsidR="0028384B" w:rsidRPr="002F16A1">
        <w:rPr>
          <w:noProof/>
        </w:rPr>
        <w:t>obs</w:t>
      </w:r>
      <w:r w:rsidR="00AD62E2" w:rsidRPr="002F16A1">
        <w:rPr>
          <w:noProof/>
        </w:rPr>
        <w:t>ługuje system agregowania popytu zainteresowanych przedsiębiorstw, które zużywają surowce strategiczne</w:t>
      </w:r>
      <w:r w:rsidR="0028384B" w:rsidRPr="002F16A1">
        <w:rPr>
          <w:noProof/>
        </w:rPr>
        <w:t xml:space="preserve"> i</w:t>
      </w:r>
      <w:r w:rsidR="0028384B">
        <w:rPr>
          <w:noProof/>
        </w:rPr>
        <w:t> </w:t>
      </w:r>
      <w:r w:rsidR="0028384B" w:rsidRPr="002F16A1">
        <w:rPr>
          <w:noProof/>
        </w:rPr>
        <w:t>maj</w:t>
      </w:r>
      <w:r w:rsidR="00AD62E2" w:rsidRPr="002F16A1">
        <w:rPr>
          <w:noProof/>
        </w:rPr>
        <w:t>ą siedzibę</w:t>
      </w:r>
      <w:r w:rsidR="0028384B" w:rsidRPr="002F16A1">
        <w:rPr>
          <w:noProof/>
        </w:rPr>
        <w:t xml:space="preserve"> w</w:t>
      </w:r>
      <w:r w:rsidR="0028384B">
        <w:rPr>
          <w:noProof/>
        </w:rPr>
        <w:t> </w:t>
      </w:r>
      <w:r w:rsidR="0028384B" w:rsidRPr="002F16A1">
        <w:rPr>
          <w:noProof/>
        </w:rPr>
        <w:t>Uni</w:t>
      </w:r>
      <w:r w:rsidR="00AD62E2" w:rsidRPr="002F16A1">
        <w:rPr>
          <w:noProof/>
        </w:rPr>
        <w:t>i, oraz organów państw członkowskich odpowiedzialnych za zapasy strategiczne,</w:t>
      </w:r>
      <w:r w:rsidR="0028384B" w:rsidRPr="002F16A1">
        <w:rPr>
          <w:noProof/>
        </w:rPr>
        <w:t xml:space="preserve"> a</w:t>
      </w:r>
      <w:r w:rsidR="0028384B">
        <w:rPr>
          <w:noProof/>
        </w:rPr>
        <w:t> </w:t>
      </w:r>
      <w:r w:rsidR="0028384B" w:rsidRPr="002F16A1">
        <w:rPr>
          <w:noProof/>
        </w:rPr>
        <w:t>tak</w:t>
      </w:r>
      <w:r w:rsidR="00AD62E2" w:rsidRPr="002F16A1">
        <w:rPr>
          <w:noProof/>
        </w:rPr>
        <w:t>że poszukuje ofert od dostawców</w:t>
      </w:r>
      <w:r w:rsidR="0028384B" w:rsidRPr="002F16A1">
        <w:rPr>
          <w:noProof/>
        </w:rPr>
        <w:t xml:space="preserve"> w</w:t>
      </w:r>
      <w:r w:rsidR="0028384B">
        <w:rPr>
          <w:noProof/>
        </w:rPr>
        <w:t> </w:t>
      </w:r>
      <w:r w:rsidR="0028384B" w:rsidRPr="002F16A1">
        <w:rPr>
          <w:noProof/>
        </w:rPr>
        <w:t>cel</w:t>
      </w:r>
      <w:r w:rsidR="00AD62E2" w:rsidRPr="002F16A1">
        <w:rPr>
          <w:noProof/>
        </w:rPr>
        <w:t>u zaspokojenia tego zagregowanego popytu. Obejmuje to zarówno nieprzetworzone, jak</w:t>
      </w:r>
      <w:r w:rsidR="0028384B" w:rsidRPr="002F16A1">
        <w:rPr>
          <w:noProof/>
        </w:rPr>
        <w:t xml:space="preserve"> i</w:t>
      </w:r>
      <w:r w:rsidR="0028384B">
        <w:rPr>
          <w:noProof/>
        </w:rPr>
        <w:t> </w:t>
      </w:r>
      <w:r w:rsidR="0028384B" w:rsidRPr="002F16A1">
        <w:rPr>
          <w:noProof/>
        </w:rPr>
        <w:t>prz</w:t>
      </w:r>
      <w:r w:rsidR="00AD62E2" w:rsidRPr="002F16A1">
        <w:rPr>
          <w:noProof/>
        </w:rPr>
        <w:t>etworzone surowce strategiczne.</w:t>
      </w:r>
    </w:p>
    <w:p w:rsidR="00AD62E2" w:rsidRPr="002F16A1" w:rsidRDefault="00733965" w:rsidP="00733965">
      <w:pPr>
        <w:pStyle w:val="ManualNumPar1"/>
        <w:rPr>
          <w:noProof/>
        </w:rPr>
      </w:pPr>
      <w:r w:rsidRPr="00733965">
        <w:t>2.</w:t>
      </w:r>
      <w:r w:rsidRPr="00733965">
        <w:tab/>
      </w:r>
      <w:r w:rsidR="00AD62E2" w:rsidRPr="002F16A1">
        <w:rPr>
          <w:noProof/>
        </w:rPr>
        <w:t>Tworząc</w:t>
      </w:r>
      <w:r w:rsidR="0028384B" w:rsidRPr="002F16A1">
        <w:rPr>
          <w:noProof/>
        </w:rPr>
        <w:t xml:space="preserve"> i</w:t>
      </w:r>
      <w:r w:rsidR="0028384B">
        <w:rPr>
          <w:noProof/>
        </w:rPr>
        <w:t> </w:t>
      </w:r>
      <w:r w:rsidR="0028384B" w:rsidRPr="002F16A1">
        <w:rPr>
          <w:noProof/>
        </w:rPr>
        <w:t>obs</w:t>
      </w:r>
      <w:r w:rsidR="00AD62E2" w:rsidRPr="002F16A1">
        <w:rPr>
          <w:noProof/>
        </w:rPr>
        <w:t>ługując system,</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Komisja:</w:t>
      </w:r>
    </w:p>
    <w:p w:rsidR="00AD62E2" w:rsidRPr="002F16A1" w:rsidRDefault="0028384B" w:rsidP="0028384B">
      <w:pPr>
        <w:pStyle w:val="Point1"/>
        <w:rPr>
          <w:noProof/>
        </w:rPr>
      </w:pPr>
      <w:r>
        <w:rPr>
          <w:noProof/>
        </w:rPr>
        <w:t>a)</w:t>
      </w:r>
      <w:r>
        <w:rPr>
          <w:noProof/>
        </w:rPr>
        <w:tab/>
      </w:r>
      <w:r w:rsidR="00AD62E2" w:rsidRPr="002F16A1">
        <w:rPr>
          <w:noProof/>
        </w:rPr>
        <w:t>wybiera, dla których surowców strategicznych (i na którym etapie ich przetwarzania) można zastosować ten system, uwzględniając względne ryzyko związane</w:t>
      </w:r>
      <w:r w:rsidRPr="002F16A1">
        <w:rPr>
          <w:noProof/>
        </w:rPr>
        <w:t xml:space="preserve"> z</w:t>
      </w:r>
      <w:r>
        <w:rPr>
          <w:noProof/>
        </w:rPr>
        <w:t> </w:t>
      </w:r>
      <w:r w:rsidRPr="002F16A1">
        <w:rPr>
          <w:noProof/>
        </w:rPr>
        <w:t>dos</w:t>
      </w:r>
      <w:r w:rsidR="00AD62E2" w:rsidRPr="002F16A1">
        <w:rPr>
          <w:noProof/>
        </w:rPr>
        <w:t>tawami różnych surowców strategicznych oraz potrzebę gromadzenia zapasów strategicznych związanych</w:t>
      </w:r>
      <w:r w:rsidRPr="002F16A1">
        <w:rPr>
          <w:noProof/>
        </w:rPr>
        <w:t xml:space="preserve"> z</w:t>
      </w:r>
      <w:r>
        <w:rPr>
          <w:noProof/>
        </w:rPr>
        <w:t> </w:t>
      </w:r>
      <w:r w:rsidRPr="002F16A1">
        <w:rPr>
          <w:noProof/>
        </w:rPr>
        <w:t>tym</w:t>
      </w:r>
      <w:r w:rsidR="00AD62E2" w:rsidRPr="002F16A1">
        <w:rPr>
          <w:noProof/>
        </w:rPr>
        <w:t>i surowcami na podstawie informacji zebranych zgodnie</w:t>
      </w:r>
      <w:r w:rsidRPr="002F16A1">
        <w:rPr>
          <w:noProof/>
        </w:rPr>
        <w:t xml:space="preserve"> z</w:t>
      </w:r>
      <w:r>
        <w:rPr>
          <w:noProof/>
        </w:rPr>
        <w:t> </w:t>
      </w:r>
      <w:r w:rsidRPr="0028384B">
        <w:rPr>
          <w:noProof/>
        </w:rPr>
        <w:t>art</w:t>
      </w:r>
      <w:r w:rsidR="00AD62E2" w:rsidRPr="0028384B">
        <w:rPr>
          <w:noProof/>
        </w:rPr>
        <w:t>.</w:t>
      </w:r>
      <w:r w:rsidRPr="0028384B">
        <w:rPr>
          <w:noProof/>
        </w:rPr>
        <w:t> </w:t>
      </w:r>
      <w:r w:rsidR="00AD62E2" w:rsidRPr="0028384B">
        <w:rPr>
          <w:noProof/>
        </w:rPr>
        <w:t>2</w:t>
      </w:r>
      <w:r w:rsidR="00AD62E2" w:rsidRPr="002F16A1">
        <w:rPr>
          <w:noProof/>
        </w:rPr>
        <w:t>1</w:t>
      </w:r>
      <w:r w:rsidRPr="002F16A1">
        <w:rPr>
          <w:noProof/>
        </w:rPr>
        <w:t xml:space="preserve"> i</w:t>
      </w:r>
      <w:r>
        <w:rPr>
          <w:noProof/>
        </w:rPr>
        <w:t> </w:t>
      </w:r>
      <w:r w:rsidRPr="002F16A1">
        <w:rPr>
          <w:noProof/>
        </w:rPr>
        <w:t>2</w:t>
      </w:r>
      <w:r w:rsidR="00AD62E2" w:rsidRPr="002F16A1">
        <w:rPr>
          <w:noProof/>
        </w:rPr>
        <w:t>2;</w:t>
      </w:r>
    </w:p>
    <w:p w:rsidR="00AD62E2" w:rsidRPr="002F16A1" w:rsidRDefault="0028384B" w:rsidP="0028384B">
      <w:pPr>
        <w:pStyle w:val="Point1"/>
        <w:rPr>
          <w:noProof/>
        </w:rPr>
      </w:pPr>
      <w:r>
        <w:rPr>
          <w:noProof/>
        </w:rPr>
        <w:t>b)</w:t>
      </w:r>
      <w:r>
        <w:rPr>
          <w:noProof/>
        </w:rPr>
        <w:tab/>
      </w:r>
      <w:r w:rsidR="00AD62E2" w:rsidRPr="002F16A1">
        <w:rPr>
          <w:noProof/>
        </w:rPr>
        <w:t>ustala minimalne ilości materiału wymaganego do uczestnictwa</w:t>
      </w:r>
      <w:r w:rsidRPr="002F16A1">
        <w:rPr>
          <w:noProof/>
        </w:rPr>
        <w:t xml:space="preserve"> w</w:t>
      </w:r>
      <w:r>
        <w:rPr>
          <w:noProof/>
        </w:rPr>
        <w:t> </w:t>
      </w:r>
      <w:r w:rsidRPr="002F16A1">
        <w:rPr>
          <w:noProof/>
        </w:rPr>
        <w:t>sys</w:t>
      </w:r>
      <w:r w:rsidR="00AD62E2" w:rsidRPr="002F16A1">
        <w:rPr>
          <w:noProof/>
        </w:rPr>
        <w:t xml:space="preserve">temie, uwzględniając przewidywaną liczbę zainteresowanych uczestników oraz konieczność zapewnienia możliwej do opanowania ilości uczestników. </w:t>
      </w:r>
    </w:p>
    <w:p w:rsidR="00AD62E2" w:rsidRPr="002F16A1" w:rsidRDefault="00733965" w:rsidP="00733965">
      <w:pPr>
        <w:pStyle w:val="ManualNumPar1"/>
        <w:rPr>
          <w:noProof/>
        </w:rPr>
      </w:pPr>
      <w:r w:rsidRPr="00733965">
        <w:t>3.</w:t>
      </w:r>
      <w:r w:rsidRPr="00733965">
        <w:tab/>
      </w:r>
      <w:r w:rsidR="00AD62E2" w:rsidRPr="002F16A1">
        <w:rPr>
          <w:noProof/>
        </w:rPr>
        <w:t>Uczestnictwo</w:t>
      </w:r>
      <w:r w:rsidR="0028384B" w:rsidRPr="002F16A1">
        <w:rPr>
          <w:noProof/>
        </w:rPr>
        <w:t xml:space="preserve"> w</w:t>
      </w:r>
      <w:r w:rsidR="0028384B">
        <w:rPr>
          <w:noProof/>
        </w:rPr>
        <w:t> </w:t>
      </w:r>
      <w:r w:rsidR="0028384B" w:rsidRPr="002F16A1">
        <w:rPr>
          <w:noProof/>
        </w:rPr>
        <w:t>sys</w:t>
      </w:r>
      <w:r w:rsidR="00AD62E2" w:rsidRPr="002F16A1">
        <w:rPr>
          <w:noProof/>
        </w:rPr>
        <w:t>temie,</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jest otwarte</w:t>
      </w:r>
      <w:r w:rsidR="0028384B" w:rsidRPr="002F16A1">
        <w:rPr>
          <w:noProof/>
        </w:rPr>
        <w:t xml:space="preserve"> i</w:t>
      </w:r>
      <w:r w:rsidR="0028384B">
        <w:rPr>
          <w:noProof/>
        </w:rPr>
        <w:t> </w:t>
      </w:r>
      <w:r w:rsidR="0028384B" w:rsidRPr="002F16A1">
        <w:rPr>
          <w:noProof/>
        </w:rPr>
        <w:t>prz</w:t>
      </w:r>
      <w:r w:rsidR="00AD62E2" w:rsidRPr="002F16A1">
        <w:rPr>
          <w:noProof/>
        </w:rPr>
        <w:t>ejrzyste dla wszystkich zainteresowanych przedsiębiorstw mających siedzibę</w:t>
      </w:r>
      <w:r w:rsidR="0028384B" w:rsidRPr="002F16A1">
        <w:rPr>
          <w:noProof/>
        </w:rPr>
        <w:t xml:space="preserve"> w</w:t>
      </w:r>
      <w:r w:rsidR="0028384B">
        <w:rPr>
          <w:noProof/>
        </w:rPr>
        <w:t> </w:t>
      </w:r>
      <w:r w:rsidR="0028384B" w:rsidRPr="002F16A1">
        <w:rPr>
          <w:noProof/>
        </w:rPr>
        <w:t>Uni</w:t>
      </w:r>
      <w:r w:rsidR="00AD62E2" w:rsidRPr="002F16A1">
        <w:rPr>
          <w:noProof/>
        </w:rPr>
        <w:t>i oraz dla organów państw członkowskich. Udział państw członkowskich lub jakichkolwiek podmiotów krajowych podlegających dyrektywom</w:t>
      </w:r>
      <w:r w:rsidR="0028384B" w:rsidRPr="002F16A1">
        <w:rPr>
          <w:noProof/>
        </w:rPr>
        <w:t xml:space="preserve"> w</w:t>
      </w:r>
      <w:r w:rsidR="0028384B">
        <w:rPr>
          <w:noProof/>
        </w:rPr>
        <w:t> </w:t>
      </w:r>
      <w:r w:rsidR="0028384B" w:rsidRPr="002F16A1">
        <w:rPr>
          <w:noProof/>
        </w:rPr>
        <w:t>spr</w:t>
      </w:r>
      <w:r w:rsidR="00AD62E2" w:rsidRPr="002F16A1">
        <w:rPr>
          <w:noProof/>
        </w:rPr>
        <w:t xml:space="preserve">awie zamówień 2014/24/UE </w:t>
      </w:r>
      <w:r w:rsidR="00AD62E2" w:rsidRPr="0028384B">
        <w:rPr>
          <w:noProof/>
        </w:rPr>
        <w:t>lub</w:t>
      </w:r>
      <w:r w:rsidR="0028384B" w:rsidRPr="0028384B">
        <w:rPr>
          <w:noProof/>
        </w:rPr>
        <w:t> </w:t>
      </w:r>
      <w:r w:rsidR="00AD62E2" w:rsidRPr="0028384B">
        <w:rPr>
          <w:noProof/>
        </w:rPr>
        <w:t>2</w:t>
      </w:r>
      <w:r w:rsidR="00AD62E2" w:rsidRPr="002F16A1">
        <w:rPr>
          <w:noProof/>
        </w:rPr>
        <w:t>014/25/UE jest możliwy wyłącznie</w:t>
      </w:r>
      <w:r w:rsidR="0028384B" w:rsidRPr="002F16A1">
        <w:rPr>
          <w:noProof/>
        </w:rPr>
        <w:t xml:space="preserve"> w</w:t>
      </w:r>
      <w:r w:rsidR="0028384B">
        <w:rPr>
          <w:noProof/>
        </w:rPr>
        <w:t> </w:t>
      </w:r>
      <w:r w:rsidR="0028384B" w:rsidRPr="002F16A1">
        <w:rPr>
          <w:noProof/>
        </w:rPr>
        <w:t>prz</w:t>
      </w:r>
      <w:r w:rsidR="00AD62E2" w:rsidRPr="002F16A1">
        <w:rPr>
          <w:noProof/>
        </w:rPr>
        <w:t>ypadkach, gdy jest zgodny</w:t>
      </w:r>
      <w:r w:rsidR="0028384B" w:rsidRPr="002F16A1">
        <w:rPr>
          <w:noProof/>
        </w:rPr>
        <w:t xml:space="preserve"> z</w:t>
      </w:r>
      <w:r w:rsidR="0028384B">
        <w:rPr>
          <w:noProof/>
        </w:rPr>
        <w:t> </w:t>
      </w:r>
      <w:r w:rsidR="0028384B" w:rsidRPr="002F16A1">
        <w:rPr>
          <w:noProof/>
        </w:rPr>
        <w:t>tym</w:t>
      </w:r>
      <w:r w:rsidR="00AD62E2" w:rsidRPr="002F16A1">
        <w:rPr>
          <w:noProof/>
        </w:rPr>
        <w:t>i dyrektywami.</w:t>
      </w:r>
    </w:p>
    <w:p w:rsidR="001C2A07" w:rsidRPr="002F16A1" w:rsidRDefault="00733965" w:rsidP="00733965">
      <w:pPr>
        <w:pStyle w:val="ManualNumPar1"/>
        <w:rPr>
          <w:noProof/>
        </w:rPr>
      </w:pPr>
      <w:r w:rsidRPr="00733965">
        <w:t>4.</w:t>
      </w:r>
      <w:r w:rsidRPr="00733965">
        <w:tab/>
      </w:r>
      <w:r w:rsidR="00AD62E2" w:rsidRPr="002F16A1">
        <w:rPr>
          <w:noProof/>
        </w:rPr>
        <w:t>Przedsiębiorstwa unijne</w:t>
      </w:r>
      <w:r w:rsidR="0028384B" w:rsidRPr="002F16A1">
        <w:rPr>
          <w:noProof/>
        </w:rPr>
        <w:t xml:space="preserve"> i</w:t>
      </w:r>
      <w:r w:rsidR="0028384B">
        <w:rPr>
          <w:noProof/>
        </w:rPr>
        <w:t> </w:t>
      </w:r>
      <w:r w:rsidR="0028384B" w:rsidRPr="002F16A1">
        <w:rPr>
          <w:noProof/>
        </w:rPr>
        <w:t>org</w:t>
      </w:r>
      <w:r w:rsidR="00AD62E2" w:rsidRPr="002F16A1">
        <w:rPr>
          <w:noProof/>
        </w:rPr>
        <w:t>any państwa członkowskiego uczestniczące</w:t>
      </w:r>
      <w:r w:rsidR="0028384B" w:rsidRPr="002F16A1">
        <w:rPr>
          <w:noProof/>
        </w:rPr>
        <w:t xml:space="preserve"> w</w:t>
      </w:r>
      <w:r w:rsidR="0028384B">
        <w:rPr>
          <w:noProof/>
        </w:rPr>
        <w:t> </w:t>
      </w:r>
      <w:r w:rsidR="0028384B" w:rsidRPr="002F16A1">
        <w:rPr>
          <w:noProof/>
        </w:rPr>
        <w:t>sys</w:t>
      </w:r>
      <w:r w:rsidR="00AD62E2" w:rsidRPr="002F16A1">
        <w:rPr>
          <w:noProof/>
        </w:rPr>
        <w:t>temie,</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mogą wspólnie</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prz</w:t>
      </w:r>
      <w:r w:rsidR="00AD62E2" w:rsidRPr="002F16A1">
        <w:rPr>
          <w:noProof/>
        </w:rPr>
        <w:t>ejrzysty sposób negocjować zakup,</w:t>
      </w:r>
      <w:r w:rsidR="0028384B" w:rsidRPr="002F16A1">
        <w:rPr>
          <w:noProof/>
        </w:rPr>
        <w:t xml:space="preserve"> w</w:t>
      </w:r>
      <w:r w:rsidR="0028384B">
        <w:rPr>
          <w:noProof/>
        </w:rPr>
        <w:t> </w:t>
      </w:r>
      <w:r w:rsidR="0028384B" w:rsidRPr="002F16A1">
        <w:rPr>
          <w:noProof/>
        </w:rPr>
        <w:t>tym</w:t>
      </w:r>
      <w:r w:rsidR="00AD62E2" w:rsidRPr="002F16A1">
        <w:rPr>
          <w:noProof/>
        </w:rPr>
        <w:t xml:space="preserve"> ceny lub inne warunki umowy zakupu, lub korzystać ze wspólnych zakupów</w:t>
      </w:r>
      <w:r w:rsidR="0028384B" w:rsidRPr="002F16A1">
        <w:rPr>
          <w:noProof/>
        </w:rPr>
        <w:t xml:space="preserve"> w</w:t>
      </w:r>
      <w:r w:rsidR="0028384B">
        <w:rPr>
          <w:noProof/>
        </w:rPr>
        <w:t> </w:t>
      </w:r>
      <w:r w:rsidR="0028384B" w:rsidRPr="002F16A1">
        <w:rPr>
          <w:noProof/>
        </w:rPr>
        <w:t>cel</w:t>
      </w:r>
      <w:r w:rsidR="00AD62E2" w:rsidRPr="002F16A1">
        <w:rPr>
          <w:noProof/>
        </w:rPr>
        <w:t>u uzyskania lepszych warunków od swoich dostawców lub zapobiegnięcia niedoborom. Uczestniczące przedsiębiorstwa unijne</w:t>
      </w:r>
      <w:r w:rsidR="0028384B" w:rsidRPr="002F16A1">
        <w:rPr>
          <w:noProof/>
        </w:rPr>
        <w:t xml:space="preserve"> i</w:t>
      </w:r>
      <w:r w:rsidR="0028384B">
        <w:rPr>
          <w:noProof/>
        </w:rPr>
        <w:t> </w:t>
      </w:r>
      <w:r w:rsidR="0028384B" w:rsidRPr="002F16A1">
        <w:rPr>
          <w:noProof/>
        </w:rPr>
        <w:t>org</w:t>
      </w:r>
      <w:r w:rsidR="00AD62E2" w:rsidRPr="002F16A1">
        <w:rPr>
          <w:noProof/>
        </w:rPr>
        <w:t>any państwa członkowskiego przestrzegają prawa Unii,</w:t>
      </w:r>
      <w:r w:rsidR="0028384B" w:rsidRPr="002F16A1">
        <w:rPr>
          <w:noProof/>
        </w:rPr>
        <w:t xml:space="preserve"> w</w:t>
      </w:r>
      <w:r w:rsidR="0028384B">
        <w:rPr>
          <w:noProof/>
        </w:rPr>
        <w:t> </w:t>
      </w:r>
      <w:r w:rsidR="0028384B" w:rsidRPr="002F16A1">
        <w:rPr>
          <w:noProof/>
        </w:rPr>
        <w:t>tym</w:t>
      </w:r>
      <w:r w:rsidR="00AD62E2" w:rsidRPr="002F16A1">
        <w:rPr>
          <w:noProof/>
        </w:rPr>
        <w:t xml:space="preserve"> unijnego prawa konkurencji.</w:t>
      </w:r>
    </w:p>
    <w:p w:rsidR="001C2A07" w:rsidRPr="002F16A1" w:rsidRDefault="00733965" w:rsidP="00733965">
      <w:pPr>
        <w:pStyle w:val="ManualNumPar1"/>
        <w:rPr>
          <w:noProof/>
        </w:rPr>
      </w:pPr>
      <w:r w:rsidRPr="00733965">
        <w:t>5.</w:t>
      </w:r>
      <w:r w:rsidRPr="00733965">
        <w:tab/>
      </w:r>
      <w:r w:rsidR="001C2A07" w:rsidRPr="002F16A1">
        <w:rPr>
          <w:noProof/>
        </w:rPr>
        <w:t>Podmioty wyklucza się</w:t>
      </w:r>
      <w:r w:rsidR="0028384B" w:rsidRPr="002F16A1">
        <w:rPr>
          <w:noProof/>
        </w:rPr>
        <w:t xml:space="preserve"> z</w:t>
      </w:r>
      <w:r w:rsidR="0028384B">
        <w:rPr>
          <w:noProof/>
        </w:rPr>
        <w:t> </w:t>
      </w:r>
      <w:r w:rsidR="0028384B" w:rsidRPr="002F16A1">
        <w:rPr>
          <w:noProof/>
        </w:rPr>
        <w:t>ucz</w:t>
      </w:r>
      <w:r w:rsidR="001C2A07" w:rsidRPr="002F16A1">
        <w:rPr>
          <w:noProof/>
        </w:rPr>
        <w:t>estniczenia</w:t>
      </w:r>
      <w:r w:rsidR="0028384B" w:rsidRPr="002F16A1">
        <w:rPr>
          <w:noProof/>
        </w:rPr>
        <w:t xml:space="preserve"> w</w:t>
      </w:r>
      <w:r w:rsidR="0028384B">
        <w:rPr>
          <w:noProof/>
        </w:rPr>
        <w:t> </w:t>
      </w:r>
      <w:r w:rsidR="0028384B" w:rsidRPr="002F16A1">
        <w:rPr>
          <w:noProof/>
        </w:rPr>
        <w:t>cha</w:t>
      </w:r>
      <w:r w:rsidR="001C2A07" w:rsidRPr="002F16A1">
        <w:rPr>
          <w:noProof/>
        </w:rPr>
        <w:t>rakterze dostawcy lub dostawcy usług,</w:t>
      </w:r>
      <w:r w:rsidR="0028384B" w:rsidRPr="002F16A1">
        <w:rPr>
          <w:noProof/>
        </w:rPr>
        <w:t xml:space="preserve"> a</w:t>
      </w:r>
      <w:r w:rsidR="0028384B">
        <w:rPr>
          <w:noProof/>
        </w:rPr>
        <w:t> </w:t>
      </w:r>
      <w:r w:rsidR="0028384B" w:rsidRPr="002F16A1">
        <w:rPr>
          <w:noProof/>
        </w:rPr>
        <w:t>tak</w:t>
      </w:r>
      <w:r w:rsidR="001C2A07" w:rsidRPr="002F16A1">
        <w:rPr>
          <w:noProof/>
        </w:rPr>
        <w:t>że</w:t>
      </w:r>
      <w:r w:rsidR="0028384B" w:rsidRPr="002F16A1">
        <w:rPr>
          <w:noProof/>
        </w:rPr>
        <w:t xml:space="preserve"> z</w:t>
      </w:r>
      <w:r w:rsidR="0028384B">
        <w:rPr>
          <w:noProof/>
        </w:rPr>
        <w:t> </w:t>
      </w:r>
      <w:r w:rsidR="0028384B" w:rsidRPr="002F16A1">
        <w:rPr>
          <w:noProof/>
        </w:rPr>
        <w:t>ucz</w:t>
      </w:r>
      <w:r w:rsidR="001C2A07" w:rsidRPr="002F16A1">
        <w:rPr>
          <w:noProof/>
        </w:rPr>
        <w:t>estnictwa</w:t>
      </w:r>
      <w:r w:rsidR="0028384B" w:rsidRPr="002F16A1">
        <w:rPr>
          <w:noProof/>
        </w:rPr>
        <w:t xml:space="preserve"> w</w:t>
      </w:r>
      <w:r w:rsidR="0028384B">
        <w:rPr>
          <w:noProof/>
        </w:rPr>
        <w:t> </w:t>
      </w:r>
      <w:r w:rsidR="0028384B" w:rsidRPr="002F16A1">
        <w:rPr>
          <w:noProof/>
        </w:rPr>
        <w:t>agr</w:t>
      </w:r>
      <w:r w:rsidR="001C2A07" w:rsidRPr="002F16A1">
        <w:rPr>
          <w:noProof/>
        </w:rPr>
        <w:t>egacji popytu i we wspólnych zakupach, jeżeli są one:</w:t>
      </w:r>
    </w:p>
    <w:p w:rsidR="001C2A07" w:rsidRPr="002F16A1" w:rsidRDefault="0028384B" w:rsidP="0028384B">
      <w:pPr>
        <w:pStyle w:val="Point1"/>
        <w:rPr>
          <w:noProof/>
        </w:rPr>
      </w:pPr>
      <w:r>
        <w:rPr>
          <w:noProof/>
        </w:rPr>
        <w:t>a)</w:t>
      </w:r>
      <w:r>
        <w:rPr>
          <w:noProof/>
        </w:rPr>
        <w:tab/>
      </w:r>
      <w:r w:rsidR="001C2A07" w:rsidRPr="002F16A1">
        <w:rPr>
          <w:noProof/>
        </w:rPr>
        <w:t xml:space="preserve">objęte unijnymi środkami ograniczającymi przyjętymi na podstawie </w:t>
      </w:r>
      <w:r w:rsidR="001C2A07" w:rsidRPr="0028384B">
        <w:rPr>
          <w:noProof/>
        </w:rPr>
        <w:t>art.</w:t>
      </w:r>
      <w:r w:rsidRPr="0028384B">
        <w:rPr>
          <w:noProof/>
        </w:rPr>
        <w:t> </w:t>
      </w:r>
      <w:r w:rsidR="001C2A07" w:rsidRPr="0028384B">
        <w:rPr>
          <w:noProof/>
        </w:rPr>
        <w:t>2</w:t>
      </w:r>
      <w:r w:rsidR="001C2A07" w:rsidRPr="002F16A1">
        <w:rPr>
          <w:noProof/>
        </w:rPr>
        <w:t>15 TFUE;</w:t>
      </w:r>
    </w:p>
    <w:p w:rsidR="001C2A07" w:rsidRPr="002F16A1" w:rsidRDefault="0028384B" w:rsidP="0028384B">
      <w:pPr>
        <w:pStyle w:val="Point1"/>
        <w:rPr>
          <w:noProof/>
        </w:rPr>
      </w:pPr>
      <w:r>
        <w:rPr>
          <w:noProof/>
        </w:rPr>
        <w:t>b)</w:t>
      </w:r>
      <w:r>
        <w:rPr>
          <w:noProof/>
        </w:rPr>
        <w:tab/>
      </w:r>
      <w:r w:rsidR="001C2A07" w:rsidRPr="002F16A1">
        <w:rPr>
          <w:noProof/>
        </w:rPr>
        <w:t>bezpośrednio lub pośrednio własnością osób fizycznych lub prawnych, podmiotów lub organów objętych takimi unijnymi środkami ograniczającymi, są bezpośrednio lub pośrednio kontrolowane przez te osoby, podmioty lub organy lub działają</w:t>
      </w:r>
      <w:r w:rsidRPr="002F16A1">
        <w:rPr>
          <w:noProof/>
        </w:rPr>
        <w:t xml:space="preserve"> w</w:t>
      </w:r>
      <w:r>
        <w:rPr>
          <w:noProof/>
        </w:rPr>
        <w:t> </w:t>
      </w:r>
      <w:r w:rsidRPr="002F16A1">
        <w:rPr>
          <w:noProof/>
        </w:rPr>
        <w:t>ich</w:t>
      </w:r>
      <w:r w:rsidR="001C2A07" w:rsidRPr="002F16A1">
        <w:rPr>
          <w:noProof/>
        </w:rPr>
        <w:t xml:space="preserve"> imieniu lub pod ich kierownictwem.</w:t>
      </w:r>
    </w:p>
    <w:p w:rsidR="001C2A07" w:rsidRPr="002F16A1" w:rsidRDefault="00733965" w:rsidP="00733965">
      <w:pPr>
        <w:pStyle w:val="ManualNumPar1"/>
        <w:rPr>
          <w:noProof/>
        </w:rPr>
      </w:pPr>
      <w:r w:rsidRPr="00733965">
        <w:t>6.</w:t>
      </w:r>
      <w:r w:rsidRPr="00733965">
        <w:tab/>
      </w:r>
      <w:r w:rsidR="001C2A07" w:rsidRPr="002F16A1">
        <w:rPr>
          <w:noProof/>
        </w:rPr>
        <w:t>Na zasadzie odstępstwa od art. 176 rozporządzenia (UE, Euratom) 2018/1046 Komisja może zlecić świadczenie niezbędnych usług</w:t>
      </w:r>
      <w:r w:rsidR="0028384B" w:rsidRPr="002F16A1">
        <w:rPr>
          <w:noProof/>
        </w:rPr>
        <w:t xml:space="preserve"> w</w:t>
      </w:r>
      <w:r w:rsidR="0028384B">
        <w:rPr>
          <w:noProof/>
        </w:rPr>
        <w:t> </w:t>
      </w:r>
      <w:r w:rsidR="0028384B" w:rsidRPr="002F16A1">
        <w:rPr>
          <w:noProof/>
        </w:rPr>
        <w:t>dro</w:t>
      </w:r>
      <w:r w:rsidR="001C2A07" w:rsidRPr="002F16A1">
        <w:rPr>
          <w:noProof/>
        </w:rPr>
        <w:t>dze postępowania</w:t>
      </w:r>
      <w:r w:rsidR="0028384B" w:rsidRPr="002F16A1">
        <w:rPr>
          <w:noProof/>
        </w:rPr>
        <w:t xml:space="preserve"> o</w:t>
      </w:r>
      <w:r w:rsidR="0028384B">
        <w:rPr>
          <w:noProof/>
        </w:rPr>
        <w:t> </w:t>
      </w:r>
      <w:r w:rsidR="0028384B" w:rsidRPr="002F16A1">
        <w:rPr>
          <w:noProof/>
        </w:rPr>
        <w:t>udz</w:t>
      </w:r>
      <w:r w:rsidR="001C2A07" w:rsidRPr="002F16A1">
        <w:rPr>
          <w:noProof/>
        </w:rPr>
        <w:t>ielenie zamówienia na mocy rozporządzenia (UE, Euratom) 2018/1046 podmiotowi</w:t>
      </w:r>
      <w:r w:rsidR="0028384B" w:rsidRPr="002F16A1">
        <w:rPr>
          <w:noProof/>
        </w:rPr>
        <w:t xml:space="preserve"> z</w:t>
      </w:r>
      <w:r w:rsidR="0028384B">
        <w:rPr>
          <w:noProof/>
        </w:rPr>
        <w:t> </w:t>
      </w:r>
      <w:r w:rsidR="0028384B" w:rsidRPr="002F16A1">
        <w:rPr>
          <w:noProof/>
        </w:rPr>
        <w:t>sie</w:t>
      </w:r>
      <w:r w:rsidR="001C2A07" w:rsidRPr="002F16A1">
        <w:rPr>
          <w:noProof/>
        </w:rPr>
        <w:t>dzibą</w:t>
      </w:r>
      <w:r w:rsidR="0028384B" w:rsidRPr="002F16A1">
        <w:rPr>
          <w:noProof/>
        </w:rPr>
        <w:t xml:space="preserve"> w</w:t>
      </w:r>
      <w:r w:rsidR="0028384B">
        <w:rPr>
          <w:noProof/>
        </w:rPr>
        <w:t> </w:t>
      </w:r>
      <w:r w:rsidR="0028384B" w:rsidRPr="002F16A1">
        <w:rPr>
          <w:noProof/>
        </w:rPr>
        <w:t>Uni</w:t>
      </w:r>
      <w:r w:rsidR="001C2A07" w:rsidRPr="002F16A1">
        <w:rPr>
          <w:noProof/>
        </w:rPr>
        <w:t>i, który działa jako dostawca usług</w:t>
      </w:r>
      <w:r w:rsidR="0028384B" w:rsidRPr="002F16A1">
        <w:rPr>
          <w:noProof/>
        </w:rPr>
        <w:t xml:space="preserve"> w</w:t>
      </w:r>
      <w:r w:rsidR="0028384B">
        <w:rPr>
          <w:noProof/>
        </w:rPr>
        <w:t> </w:t>
      </w:r>
      <w:r w:rsidR="0028384B" w:rsidRPr="002F16A1">
        <w:rPr>
          <w:noProof/>
        </w:rPr>
        <w:t>cel</w:t>
      </w:r>
      <w:r w:rsidR="001C2A07" w:rsidRPr="002F16A1">
        <w:rPr>
          <w:noProof/>
        </w:rPr>
        <w:t>u utworzenia</w:t>
      </w:r>
      <w:r w:rsidR="0028384B" w:rsidRPr="002F16A1">
        <w:rPr>
          <w:noProof/>
        </w:rPr>
        <w:t xml:space="preserve"> i</w:t>
      </w:r>
      <w:r w:rsidR="0028384B">
        <w:rPr>
          <w:noProof/>
        </w:rPr>
        <w:t> </w:t>
      </w:r>
      <w:r w:rsidR="0028384B" w:rsidRPr="002F16A1">
        <w:rPr>
          <w:noProof/>
        </w:rPr>
        <w:t>obs</w:t>
      </w:r>
      <w:r w:rsidR="001C2A07" w:rsidRPr="002F16A1">
        <w:rPr>
          <w:noProof/>
        </w:rPr>
        <w:t xml:space="preserve">ługi systemu na mocy </w:t>
      </w:r>
      <w:r w:rsidR="001C2A07" w:rsidRPr="0028384B">
        <w:rPr>
          <w:noProof/>
        </w:rPr>
        <w:t>ust.</w:t>
      </w:r>
      <w:r w:rsidR="0028384B" w:rsidRPr="0028384B">
        <w:rPr>
          <w:noProof/>
        </w:rPr>
        <w:t> </w:t>
      </w:r>
      <w:r w:rsidR="001C2A07" w:rsidRPr="0028384B">
        <w:rPr>
          <w:noProof/>
        </w:rPr>
        <w:t>1</w:t>
      </w:r>
      <w:r w:rsidR="001C2A07" w:rsidRPr="002F16A1">
        <w:rPr>
          <w:noProof/>
        </w:rPr>
        <w:t>. Wybrany dostawca usług nie może mieć żadnego konfliktu interesów.</w:t>
      </w:r>
    </w:p>
    <w:p w:rsidR="001C2A07" w:rsidRPr="002F16A1" w:rsidRDefault="00733965" w:rsidP="00733965">
      <w:pPr>
        <w:pStyle w:val="ManualNumPar1"/>
        <w:rPr>
          <w:noProof/>
        </w:rPr>
      </w:pPr>
      <w:r w:rsidRPr="00733965">
        <w:t>7.</w:t>
      </w:r>
      <w:r w:rsidRPr="00733965">
        <w:tab/>
      </w:r>
      <w:r w:rsidR="00E3377B" w:rsidRPr="002F16A1">
        <w:rPr>
          <w:noProof/>
        </w:rPr>
        <w:t>Komisja określa</w:t>
      </w:r>
      <w:r w:rsidR="0028384B" w:rsidRPr="002F16A1">
        <w:rPr>
          <w:noProof/>
        </w:rPr>
        <w:t xml:space="preserve"> w</w:t>
      </w:r>
      <w:r w:rsidR="0028384B">
        <w:rPr>
          <w:noProof/>
        </w:rPr>
        <w:t> </w:t>
      </w:r>
      <w:r w:rsidR="0028384B" w:rsidRPr="002F16A1">
        <w:rPr>
          <w:noProof/>
        </w:rPr>
        <w:t>umo</w:t>
      </w:r>
      <w:r w:rsidR="00E3377B" w:rsidRPr="002F16A1">
        <w:rPr>
          <w:noProof/>
        </w:rPr>
        <w:t>wie</w:t>
      </w:r>
      <w:r w:rsidR="0028384B" w:rsidRPr="002F16A1">
        <w:rPr>
          <w:noProof/>
        </w:rPr>
        <w:t xml:space="preserve"> o</w:t>
      </w:r>
      <w:r w:rsidR="0028384B">
        <w:rPr>
          <w:noProof/>
        </w:rPr>
        <w:t> </w:t>
      </w:r>
      <w:r w:rsidR="0028384B" w:rsidRPr="002F16A1">
        <w:rPr>
          <w:noProof/>
        </w:rPr>
        <w:t>świ</w:t>
      </w:r>
      <w:r w:rsidR="00E3377B" w:rsidRPr="002F16A1">
        <w:rPr>
          <w:noProof/>
        </w:rPr>
        <w:t>adczenie usług zadania, które ma wypełnić dostawca usług,</w:t>
      </w:r>
      <w:r w:rsidR="0028384B" w:rsidRPr="002F16A1">
        <w:rPr>
          <w:noProof/>
        </w:rPr>
        <w:t xml:space="preserve"> w</w:t>
      </w:r>
      <w:r w:rsidR="0028384B">
        <w:rPr>
          <w:noProof/>
        </w:rPr>
        <w:t> </w:t>
      </w:r>
      <w:r w:rsidR="0028384B" w:rsidRPr="002F16A1">
        <w:rPr>
          <w:noProof/>
        </w:rPr>
        <w:t>tym</w:t>
      </w:r>
      <w:r w:rsidR="00E3377B" w:rsidRPr="002F16A1">
        <w:rPr>
          <w:noProof/>
        </w:rPr>
        <w:t xml:space="preserve"> przydział popytu, przydział praw dostępu do dostaw, rejestrację</w:t>
      </w:r>
      <w:r w:rsidR="0028384B" w:rsidRPr="002F16A1">
        <w:rPr>
          <w:noProof/>
        </w:rPr>
        <w:t xml:space="preserve"> i</w:t>
      </w:r>
      <w:r w:rsidR="0028384B">
        <w:rPr>
          <w:noProof/>
        </w:rPr>
        <w:t> </w:t>
      </w:r>
      <w:r w:rsidR="0028384B" w:rsidRPr="002F16A1">
        <w:rPr>
          <w:noProof/>
        </w:rPr>
        <w:t>wer</w:t>
      </w:r>
      <w:r w:rsidR="00E3377B" w:rsidRPr="002F16A1">
        <w:rPr>
          <w:noProof/>
        </w:rPr>
        <w:t>yfikację wszystkich uczestników, publikację</w:t>
      </w:r>
      <w:r w:rsidR="0028384B" w:rsidRPr="002F16A1">
        <w:rPr>
          <w:noProof/>
        </w:rPr>
        <w:t xml:space="preserve"> i</w:t>
      </w:r>
      <w:r w:rsidR="0028384B">
        <w:rPr>
          <w:noProof/>
        </w:rPr>
        <w:t> </w:t>
      </w:r>
      <w:r w:rsidR="0028384B" w:rsidRPr="002F16A1">
        <w:rPr>
          <w:noProof/>
        </w:rPr>
        <w:t>spr</w:t>
      </w:r>
      <w:r w:rsidR="00E3377B" w:rsidRPr="002F16A1">
        <w:rPr>
          <w:noProof/>
        </w:rPr>
        <w:t>awozdawczość</w:t>
      </w:r>
      <w:r w:rsidR="0028384B" w:rsidRPr="002F16A1">
        <w:rPr>
          <w:noProof/>
        </w:rPr>
        <w:t xml:space="preserve"> z</w:t>
      </w:r>
      <w:r w:rsidR="0028384B">
        <w:rPr>
          <w:noProof/>
        </w:rPr>
        <w:t> </w:t>
      </w:r>
      <w:r w:rsidR="0028384B" w:rsidRPr="002F16A1">
        <w:rPr>
          <w:noProof/>
        </w:rPr>
        <w:t>dzi</w:t>
      </w:r>
      <w:r w:rsidR="00E3377B" w:rsidRPr="002F16A1">
        <w:rPr>
          <w:noProof/>
        </w:rPr>
        <w:t>ałalności oraz wszelkie inne zadania niezbędne do utworzenia</w:t>
      </w:r>
      <w:r w:rsidR="0028384B" w:rsidRPr="002F16A1">
        <w:rPr>
          <w:noProof/>
        </w:rPr>
        <w:t xml:space="preserve"> i</w:t>
      </w:r>
      <w:r w:rsidR="0028384B">
        <w:rPr>
          <w:noProof/>
        </w:rPr>
        <w:t> </w:t>
      </w:r>
      <w:r w:rsidR="0028384B" w:rsidRPr="002F16A1">
        <w:rPr>
          <w:noProof/>
        </w:rPr>
        <w:t>obs</w:t>
      </w:r>
      <w:r w:rsidR="00E3377B" w:rsidRPr="002F16A1">
        <w:rPr>
          <w:noProof/>
        </w:rPr>
        <w:t>ługi systemu. Umowa</w:t>
      </w:r>
      <w:r w:rsidR="0028384B" w:rsidRPr="002F16A1">
        <w:rPr>
          <w:noProof/>
        </w:rPr>
        <w:t xml:space="preserve"> o</w:t>
      </w:r>
      <w:r w:rsidR="0028384B">
        <w:rPr>
          <w:noProof/>
        </w:rPr>
        <w:t> </w:t>
      </w:r>
      <w:r w:rsidR="0028384B" w:rsidRPr="002F16A1">
        <w:rPr>
          <w:noProof/>
        </w:rPr>
        <w:t>świ</w:t>
      </w:r>
      <w:r w:rsidR="00E3377B" w:rsidRPr="002F16A1">
        <w:rPr>
          <w:noProof/>
        </w:rPr>
        <w:t>adczenie usług dotyczy również praktycznych aspektów działania dostawcy usług, obejmujących używanie narzędzia informatycznego, środki bezpieczeństwa, walutę lub waluty, system płatności</w:t>
      </w:r>
      <w:r w:rsidR="0028384B" w:rsidRPr="002F16A1">
        <w:rPr>
          <w:noProof/>
        </w:rPr>
        <w:t xml:space="preserve"> i</w:t>
      </w:r>
      <w:r w:rsidR="0028384B">
        <w:rPr>
          <w:noProof/>
        </w:rPr>
        <w:t> </w:t>
      </w:r>
      <w:r w:rsidR="0028384B" w:rsidRPr="002F16A1">
        <w:rPr>
          <w:noProof/>
        </w:rPr>
        <w:t>zob</w:t>
      </w:r>
      <w:r w:rsidR="00E3377B" w:rsidRPr="002F16A1">
        <w:rPr>
          <w:noProof/>
        </w:rPr>
        <w:t>owiązania.</w:t>
      </w:r>
    </w:p>
    <w:p w:rsidR="001C2A07" w:rsidRPr="002F16A1" w:rsidRDefault="00733965" w:rsidP="00733965">
      <w:pPr>
        <w:pStyle w:val="ManualNumPar1"/>
        <w:rPr>
          <w:noProof/>
        </w:rPr>
      </w:pPr>
      <w:r w:rsidRPr="00733965">
        <w:t>8.</w:t>
      </w:r>
      <w:r w:rsidRPr="00733965">
        <w:tab/>
      </w:r>
      <w:r w:rsidR="00E3377B" w:rsidRPr="002F16A1">
        <w:rPr>
          <w:noProof/>
        </w:rPr>
        <w:t>W umowie</w:t>
      </w:r>
      <w:r w:rsidR="0028384B" w:rsidRPr="002F16A1">
        <w:rPr>
          <w:noProof/>
        </w:rPr>
        <w:t xml:space="preserve"> o</w:t>
      </w:r>
      <w:r w:rsidR="0028384B">
        <w:rPr>
          <w:noProof/>
        </w:rPr>
        <w:t> </w:t>
      </w:r>
      <w:r w:rsidR="0028384B" w:rsidRPr="002F16A1">
        <w:rPr>
          <w:noProof/>
        </w:rPr>
        <w:t>świ</w:t>
      </w:r>
      <w:r w:rsidR="00E3377B" w:rsidRPr="002F16A1">
        <w:rPr>
          <w:noProof/>
        </w:rPr>
        <w:t>adczenie usług zawartej</w:t>
      </w:r>
      <w:r w:rsidR="0028384B" w:rsidRPr="002F16A1">
        <w:rPr>
          <w:noProof/>
        </w:rPr>
        <w:t xml:space="preserve"> z</w:t>
      </w:r>
      <w:r w:rsidR="0028384B">
        <w:rPr>
          <w:noProof/>
        </w:rPr>
        <w:t> </w:t>
      </w:r>
      <w:r w:rsidR="0028384B" w:rsidRPr="002F16A1">
        <w:rPr>
          <w:noProof/>
        </w:rPr>
        <w:t>dos</w:t>
      </w:r>
      <w:r w:rsidR="00E3377B" w:rsidRPr="002F16A1">
        <w:rPr>
          <w:noProof/>
        </w:rPr>
        <w:t>tawcą usług zastrzega się dla Komisji prawo do monitorowania</w:t>
      </w:r>
      <w:r w:rsidR="0028384B" w:rsidRPr="002F16A1">
        <w:rPr>
          <w:noProof/>
        </w:rPr>
        <w:t xml:space="preserve"> i</w:t>
      </w:r>
      <w:r w:rsidR="0028384B">
        <w:rPr>
          <w:noProof/>
        </w:rPr>
        <w:t> </w:t>
      </w:r>
      <w:r w:rsidR="0028384B" w:rsidRPr="002F16A1">
        <w:rPr>
          <w:noProof/>
        </w:rPr>
        <w:t>kon</w:t>
      </w:r>
      <w:r w:rsidR="00E3377B" w:rsidRPr="002F16A1">
        <w:rPr>
          <w:noProof/>
        </w:rPr>
        <w:t>troli dostawcy usług</w:t>
      </w:r>
      <w:r w:rsidR="0028384B" w:rsidRPr="002F16A1">
        <w:rPr>
          <w:noProof/>
        </w:rPr>
        <w:t>. W</w:t>
      </w:r>
      <w:r w:rsidR="0028384B">
        <w:rPr>
          <w:noProof/>
        </w:rPr>
        <w:t> </w:t>
      </w:r>
      <w:r w:rsidR="0028384B" w:rsidRPr="002F16A1">
        <w:rPr>
          <w:noProof/>
        </w:rPr>
        <w:t>tym</w:t>
      </w:r>
      <w:r w:rsidR="00E3377B" w:rsidRPr="002F16A1">
        <w:rPr>
          <w:noProof/>
        </w:rPr>
        <w:t xml:space="preserve"> celu Komisji przysługuje pełny dostęp do informacji będących</w:t>
      </w:r>
      <w:r w:rsidR="0028384B" w:rsidRPr="002F16A1">
        <w:rPr>
          <w:noProof/>
        </w:rPr>
        <w:t xml:space="preserve"> w</w:t>
      </w:r>
      <w:r w:rsidR="0028384B">
        <w:rPr>
          <w:noProof/>
        </w:rPr>
        <w:t> </w:t>
      </w:r>
      <w:r w:rsidR="0028384B" w:rsidRPr="002F16A1">
        <w:rPr>
          <w:noProof/>
        </w:rPr>
        <w:t>pos</w:t>
      </w:r>
      <w:r w:rsidR="00E3377B" w:rsidRPr="002F16A1">
        <w:rPr>
          <w:noProof/>
        </w:rPr>
        <w:t>iadaniu dostawcy usług</w:t>
      </w:r>
      <w:r w:rsidR="0028384B" w:rsidRPr="002F16A1">
        <w:rPr>
          <w:noProof/>
        </w:rPr>
        <w:t xml:space="preserve"> w</w:t>
      </w:r>
      <w:r w:rsidR="0028384B">
        <w:rPr>
          <w:noProof/>
        </w:rPr>
        <w:t> </w:t>
      </w:r>
      <w:r w:rsidR="0028384B" w:rsidRPr="002F16A1">
        <w:rPr>
          <w:noProof/>
        </w:rPr>
        <w:t>zwi</w:t>
      </w:r>
      <w:r w:rsidR="00E3377B" w:rsidRPr="002F16A1">
        <w:rPr>
          <w:noProof/>
        </w:rPr>
        <w:t>ązku</w:t>
      </w:r>
      <w:r w:rsidR="0028384B" w:rsidRPr="002F16A1">
        <w:rPr>
          <w:noProof/>
        </w:rPr>
        <w:t xml:space="preserve"> z</w:t>
      </w:r>
      <w:r w:rsidR="0028384B">
        <w:rPr>
          <w:noProof/>
        </w:rPr>
        <w:t> </w:t>
      </w:r>
      <w:r w:rsidR="0028384B" w:rsidRPr="002F16A1">
        <w:rPr>
          <w:noProof/>
        </w:rPr>
        <w:t>umo</w:t>
      </w:r>
      <w:r w:rsidR="00E3377B" w:rsidRPr="002F16A1">
        <w:rPr>
          <w:noProof/>
        </w:rPr>
        <w:t>wą.</w:t>
      </w:r>
      <w:r w:rsidR="00E3377B" w:rsidRPr="002F16A1">
        <w:rPr>
          <w:noProof/>
          <w:shd w:val="clear" w:color="auto" w:fill="FFFFFF"/>
        </w:rPr>
        <w:t xml:space="preserve"> Wszystkie serwery</w:t>
      </w:r>
      <w:r w:rsidR="0028384B" w:rsidRPr="002F16A1">
        <w:rPr>
          <w:noProof/>
          <w:shd w:val="clear" w:color="auto" w:fill="FFFFFF"/>
        </w:rPr>
        <w:t xml:space="preserve"> i</w:t>
      </w:r>
      <w:r w:rsidR="0028384B">
        <w:rPr>
          <w:noProof/>
          <w:shd w:val="clear" w:color="auto" w:fill="FFFFFF"/>
        </w:rPr>
        <w:t> </w:t>
      </w:r>
      <w:r w:rsidR="0028384B" w:rsidRPr="002F16A1">
        <w:rPr>
          <w:noProof/>
          <w:shd w:val="clear" w:color="auto" w:fill="FFFFFF"/>
        </w:rPr>
        <w:t>inf</w:t>
      </w:r>
      <w:r w:rsidR="00E3377B" w:rsidRPr="002F16A1">
        <w:rPr>
          <w:noProof/>
          <w:shd w:val="clear" w:color="auto" w:fill="FFFFFF"/>
        </w:rPr>
        <w:t>ormacje muszą być fizycznie zlokalizowane</w:t>
      </w:r>
      <w:r w:rsidR="0028384B" w:rsidRPr="002F16A1">
        <w:rPr>
          <w:noProof/>
          <w:shd w:val="clear" w:color="auto" w:fill="FFFFFF"/>
        </w:rPr>
        <w:t xml:space="preserve"> i</w:t>
      </w:r>
      <w:r w:rsidR="0028384B">
        <w:rPr>
          <w:noProof/>
          <w:shd w:val="clear" w:color="auto" w:fill="FFFFFF"/>
        </w:rPr>
        <w:t> </w:t>
      </w:r>
      <w:r w:rsidR="0028384B" w:rsidRPr="002F16A1">
        <w:rPr>
          <w:noProof/>
          <w:shd w:val="clear" w:color="auto" w:fill="FFFFFF"/>
        </w:rPr>
        <w:t>prz</w:t>
      </w:r>
      <w:r w:rsidR="00E3377B" w:rsidRPr="002F16A1">
        <w:rPr>
          <w:noProof/>
          <w:shd w:val="clear" w:color="auto" w:fill="FFFFFF"/>
        </w:rPr>
        <w:t>echowywane na terytorium Unii.</w:t>
      </w:r>
    </w:p>
    <w:p w:rsidR="00E3377B" w:rsidRPr="002F16A1" w:rsidRDefault="00733965" w:rsidP="00733965">
      <w:pPr>
        <w:pStyle w:val="ManualNumPar1"/>
        <w:rPr>
          <w:rFonts w:eastAsia="Times New Roman"/>
          <w:noProof/>
          <w:szCs w:val="24"/>
        </w:rPr>
      </w:pPr>
      <w:r w:rsidRPr="00733965">
        <w:t>9.</w:t>
      </w:r>
      <w:r w:rsidRPr="00733965">
        <w:tab/>
      </w:r>
      <w:r w:rsidR="00E3377B" w:rsidRPr="002F16A1">
        <w:rPr>
          <w:noProof/>
        </w:rPr>
        <w:t>Umowa</w:t>
      </w:r>
      <w:r w:rsidR="0028384B" w:rsidRPr="002F16A1">
        <w:rPr>
          <w:noProof/>
        </w:rPr>
        <w:t xml:space="preserve"> o</w:t>
      </w:r>
      <w:r w:rsidR="0028384B">
        <w:rPr>
          <w:noProof/>
        </w:rPr>
        <w:t> </w:t>
      </w:r>
      <w:r w:rsidR="0028384B" w:rsidRPr="002F16A1">
        <w:rPr>
          <w:noProof/>
        </w:rPr>
        <w:t>świ</w:t>
      </w:r>
      <w:r w:rsidR="00E3377B" w:rsidRPr="002F16A1">
        <w:rPr>
          <w:noProof/>
        </w:rPr>
        <w:t>adczenie usług zawarta</w:t>
      </w:r>
      <w:r w:rsidR="0028384B" w:rsidRPr="002F16A1">
        <w:rPr>
          <w:noProof/>
        </w:rPr>
        <w:t xml:space="preserve"> z</w:t>
      </w:r>
      <w:r w:rsidR="0028384B">
        <w:rPr>
          <w:noProof/>
        </w:rPr>
        <w:t> </w:t>
      </w:r>
      <w:r w:rsidR="0028384B" w:rsidRPr="002F16A1">
        <w:rPr>
          <w:noProof/>
        </w:rPr>
        <w:t>wyb</w:t>
      </w:r>
      <w:r w:rsidR="00E3377B" w:rsidRPr="002F16A1">
        <w:rPr>
          <w:noProof/>
        </w:rPr>
        <w:t>ranym dostawcą usług określa własność informacji uzyskanych przez dostawcę usług</w:t>
      </w:r>
      <w:r w:rsidR="0028384B" w:rsidRPr="002F16A1">
        <w:rPr>
          <w:noProof/>
        </w:rPr>
        <w:t xml:space="preserve"> i</w:t>
      </w:r>
      <w:r w:rsidR="0028384B">
        <w:rPr>
          <w:noProof/>
        </w:rPr>
        <w:t> </w:t>
      </w:r>
      <w:r w:rsidR="0028384B" w:rsidRPr="002F16A1">
        <w:rPr>
          <w:noProof/>
        </w:rPr>
        <w:t>prz</w:t>
      </w:r>
      <w:r w:rsidR="00E3377B" w:rsidRPr="002F16A1">
        <w:rPr>
          <w:noProof/>
        </w:rPr>
        <w:t>ewiduje możliwość przekazania tych informacji Komisji</w:t>
      </w:r>
      <w:r w:rsidR="0028384B" w:rsidRPr="002F16A1">
        <w:rPr>
          <w:noProof/>
        </w:rPr>
        <w:t xml:space="preserve"> w</w:t>
      </w:r>
      <w:r w:rsidR="0028384B">
        <w:rPr>
          <w:noProof/>
        </w:rPr>
        <w:t> </w:t>
      </w:r>
      <w:r w:rsidR="0028384B" w:rsidRPr="002F16A1">
        <w:rPr>
          <w:noProof/>
        </w:rPr>
        <w:t>mom</w:t>
      </w:r>
      <w:r w:rsidR="00E3377B" w:rsidRPr="002F16A1">
        <w:rPr>
          <w:noProof/>
        </w:rPr>
        <w:t>encie rozwiązania lub wygaśnięcia umowy</w:t>
      </w:r>
      <w:r w:rsidR="0028384B" w:rsidRPr="002F16A1">
        <w:rPr>
          <w:noProof/>
        </w:rPr>
        <w:t xml:space="preserve"> o</w:t>
      </w:r>
      <w:r w:rsidR="0028384B">
        <w:rPr>
          <w:noProof/>
        </w:rPr>
        <w:t> </w:t>
      </w:r>
      <w:r w:rsidR="0028384B" w:rsidRPr="002F16A1">
        <w:rPr>
          <w:noProof/>
        </w:rPr>
        <w:t>świ</w:t>
      </w:r>
      <w:r w:rsidR="00E3377B" w:rsidRPr="002F16A1">
        <w:rPr>
          <w:noProof/>
        </w:rPr>
        <w:t>adczenie usług.</w:t>
      </w:r>
    </w:p>
    <w:p w:rsidR="001C2A07" w:rsidRPr="002F16A1" w:rsidRDefault="001C2A07" w:rsidP="001C2A07">
      <w:pPr>
        <w:pStyle w:val="Text1"/>
        <w:rPr>
          <w:noProof/>
          <w:lang w:eastAsia="en-IE"/>
        </w:rPr>
      </w:pPr>
    </w:p>
    <w:p w:rsidR="00AD62E2" w:rsidRPr="002F16A1" w:rsidRDefault="00AD62E2" w:rsidP="00AD62E2">
      <w:pPr>
        <w:pStyle w:val="ChapterTitle"/>
        <w:rPr>
          <w:noProof/>
        </w:rPr>
      </w:pPr>
      <w:r w:rsidRPr="002F16A1">
        <w:rPr>
          <w:noProof/>
        </w:rPr>
        <w:t xml:space="preserve">Rozdział 5 </w:t>
      </w:r>
      <w:r w:rsidRPr="002F16A1">
        <w:rPr>
          <w:noProof/>
        </w:rPr>
        <w:br/>
        <w:t>Zrównoważoność</w:t>
      </w:r>
    </w:p>
    <w:p w:rsidR="00AD62E2" w:rsidRPr="002F16A1" w:rsidRDefault="00AD62E2" w:rsidP="00AD62E2">
      <w:pPr>
        <w:pStyle w:val="SectionTitle"/>
        <w:rPr>
          <w:noProof/>
        </w:rPr>
      </w:pPr>
      <w:r w:rsidRPr="002F16A1">
        <w:rPr>
          <w:noProof/>
        </w:rPr>
        <w:t xml:space="preserve">Sekcja 1 </w:t>
      </w:r>
      <w:r w:rsidRPr="002F16A1">
        <w:rPr>
          <w:noProof/>
        </w:rPr>
        <w:br/>
        <w:t>Obieg zamknięty</w:t>
      </w:r>
    </w:p>
    <w:p w:rsidR="00AD62E2" w:rsidRPr="002F16A1" w:rsidRDefault="00AD62E2" w:rsidP="00AD62E2">
      <w:pPr>
        <w:pStyle w:val="Titrearticle"/>
        <w:rPr>
          <w:noProof/>
        </w:rPr>
      </w:pPr>
      <w:r w:rsidRPr="002F16A1">
        <w:rPr>
          <w:noProof/>
        </w:rPr>
        <w:t>Artykuł 25</w:t>
      </w:r>
    </w:p>
    <w:p w:rsidR="00AD62E2" w:rsidRPr="002F16A1" w:rsidRDefault="00AD62E2" w:rsidP="00AD62E2">
      <w:pPr>
        <w:pStyle w:val="NormalCentered"/>
        <w:rPr>
          <w:noProof/>
        </w:rPr>
      </w:pPr>
      <w:r w:rsidRPr="002F16A1">
        <w:rPr>
          <w:b/>
          <w:noProof/>
        </w:rPr>
        <w:t>Krajowe środki dotyczące obiegu zamkniętego</w:t>
      </w:r>
    </w:p>
    <w:p w:rsidR="00AD62E2" w:rsidRPr="002F16A1" w:rsidRDefault="00733965" w:rsidP="00733965">
      <w:pPr>
        <w:pStyle w:val="ManualNumPar1"/>
        <w:rPr>
          <w:noProof/>
        </w:rPr>
      </w:pPr>
      <w:r w:rsidRPr="00733965">
        <w:t>1.</w:t>
      </w:r>
      <w:r w:rsidRPr="00733965">
        <w:tab/>
      </w:r>
      <w:r w:rsidR="00AD62E2" w:rsidRPr="002F16A1">
        <w:rPr>
          <w:noProof/>
        </w:rPr>
        <w:t>Każde państwo członkowskie do dnia [</w:t>
      </w:r>
      <w:r w:rsidR="00AD62E2" w:rsidRPr="002F16A1">
        <w:rPr>
          <w:i/>
          <w:iCs/>
          <w:noProof/>
        </w:rPr>
        <w:t>Urząd Publikacji: proszę wstawić</w:t>
      </w:r>
      <w:r w:rsidR="00AD62E2" w:rsidRPr="002F16A1">
        <w:rPr>
          <w:noProof/>
        </w:rPr>
        <w:t xml:space="preserve"> </w:t>
      </w:r>
      <w:r w:rsidR="00AD62E2" w:rsidRPr="002F16A1">
        <w:rPr>
          <w:i/>
          <w:iCs/>
          <w:noProof/>
        </w:rPr>
        <w:t>datę: trzy lata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 przyjmuje</w:t>
      </w:r>
      <w:r w:rsidR="0028384B" w:rsidRPr="002F16A1">
        <w:rPr>
          <w:noProof/>
        </w:rPr>
        <w:t xml:space="preserve"> i</w:t>
      </w:r>
      <w:r w:rsidR="0028384B">
        <w:rPr>
          <w:noProof/>
        </w:rPr>
        <w:t> </w:t>
      </w:r>
      <w:r w:rsidR="0028384B" w:rsidRPr="002F16A1">
        <w:rPr>
          <w:noProof/>
        </w:rPr>
        <w:t>wdr</w:t>
      </w:r>
      <w:r w:rsidR="00AD62E2" w:rsidRPr="002F16A1">
        <w:rPr>
          <w:noProof/>
        </w:rPr>
        <w:t>aża krajowe programy zawierające środki mające na celu:</w:t>
      </w:r>
    </w:p>
    <w:p w:rsidR="00AD62E2" w:rsidRPr="002F16A1" w:rsidRDefault="0028384B" w:rsidP="0028384B">
      <w:pPr>
        <w:pStyle w:val="Point1"/>
        <w:rPr>
          <w:noProof/>
        </w:rPr>
      </w:pPr>
      <w:r>
        <w:rPr>
          <w:noProof/>
        </w:rPr>
        <w:t>a)</w:t>
      </w:r>
      <w:r>
        <w:rPr>
          <w:noProof/>
        </w:rPr>
        <w:tab/>
      </w:r>
      <w:r w:rsidR="00AD62E2" w:rsidRPr="002F16A1">
        <w:rPr>
          <w:noProof/>
        </w:rPr>
        <w:t>zwiększenie skali zbierania odpadów</w:t>
      </w:r>
      <w:r w:rsidRPr="002F16A1">
        <w:rPr>
          <w:noProof/>
        </w:rPr>
        <w:t xml:space="preserve"> o</w:t>
      </w:r>
      <w:r>
        <w:rPr>
          <w:noProof/>
        </w:rPr>
        <w:t> </w:t>
      </w:r>
      <w:r w:rsidRPr="002F16A1">
        <w:rPr>
          <w:noProof/>
        </w:rPr>
        <w:t>wys</w:t>
      </w:r>
      <w:r w:rsidR="00AD62E2" w:rsidRPr="002F16A1">
        <w:rPr>
          <w:noProof/>
        </w:rPr>
        <w:t>okim potencjale odzysku surowców krytycznych</w:t>
      </w:r>
      <w:r w:rsidRPr="002F16A1">
        <w:rPr>
          <w:noProof/>
        </w:rPr>
        <w:t xml:space="preserve"> i</w:t>
      </w:r>
      <w:r>
        <w:rPr>
          <w:noProof/>
        </w:rPr>
        <w:t> </w:t>
      </w:r>
      <w:r w:rsidRPr="002F16A1">
        <w:rPr>
          <w:noProof/>
        </w:rPr>
        <w:t>zap</w:t>
      </w:r>
      <w:r w:rsidR="00AD62E2" w:rsidRPr="002F16A1">
        <w:rPr>
          <w:noProof/>
        </w:rPr>
        <w:t>ewnienie wprowadzenia tych odpadów do odpowiedniego systemu recyklingu</w:t>
      </w:r>
      <w:r w:rsidRPr="002F16A1">
        <w:rPr>
          <w:noProof/>
        </w:rPr>
        <w:t xml:space="preserve"> w</w:t>
      </w:r>
      <w:r>
        <w:rPr>
          <w:noProof/>
        </w:rPr>
        <w:t> </w:t>
      </w:r>
      <w:r w:rsidRPr="002F16A1">
        <w:rPr>
          <w:noProof/>
        </w:rPr>
        <w:t>cel</w:t>
      </w:r>
      <w:r w:rsidR="00AD62E2" w:rsidRPr="002F16A1">
        <w:rPr>
          <w:noProof/>
        </w:rPr>
        <w:t>u maksymalizacji dostępności</w:t>
      </w:r>
      <w:r w:rsidRPr="002F16A1">
        <w:rPr>
          <w:noProof/>
        </w:rPr>
        <w:t xml:space="preserve"> i</w:t>
      </w:r>
      <w:r>
        <w:rPr>
          <w:noProof/>
        </w:rPr>
        <w:t> </w:t>
      </w:r>
      <w:r w:rsidRPr="002F16A1">
        <w:rPr>
          <w:noProof/>
        </w:rPr>
        <w:t>jak</w:t>
      </w:r>
      <w:r w:rsidR="00AD62E2" w:rsidRPr="002F16A1">
        <w:rPr>
          <w:noProof/>
        </w:rPr>
        <w:t>ości materiału nadającego się do recyklingu</w:t>
      </w:r>
      <w:r w:rsidRPr="002F16A1">
        <w:rPr>
          <w:noProof/>
        </w:rPr>
        <w:t xml:space="preserve"> w</w:t>
      </w:r>
      <w:r>
        <w:rPr>
          <w:noProof/>
        </w:rPr>
        <w:t> </w:t>
      </w:r>
      <w:r w:rsidRPr="002F16A1">
        <w:rPr>
          <w:noProof/>
        </w:rPr>
        <w:t>zak</w:t>
      </w:r>
      <w:r w:rsidR="00AD62E2" w:rsidRPr="002F16A1">
        <w:rPr>
          <w:noProof/>
        </w:rPr>
        <w:t>ładach recyklingu surowców krytycznych;</w:t>
      </w:r>
    </w:p>
    <w:p w:rsidR="00AD62E2" w:rsidRPr="002F16A1" w:rsidRDefault="0028384B" w:rsidP="0028384B">
      <w:pPr>
        <w:pStyle w:val="Point1"/>
        <w:rPr>
          <w:noProof/>
        </w:rPr>
      </w:pPr>
      <w:r>
        <w:rPr>
          <w:noProof/>
        </w:rPr>
        <w:t>b)</w:t>
      </w:r>
      <w:r>
        <w:rPr>
          <w:noProof/>
        </w:rPr>
        <w:tab/>
      </w:r>
      <w:r w:rsidR="00AD62E2" w:rsidRPr="002F16A1">
        <w:rPr>
          <w:noProof/>
        </w:rPr>
        <w:t>zwiększenie częstotliwości ponownego używania produktów</w:t>
      </w:r>
      <w:r w:rsidRPr="002F16A1">
        <w:rPr>
          <w:noProof/>
        </w:rPr>
        <w:t xml:space="preserve"> i</w:t>
      </w:r>
      <w:r>
        <w:rPr>
          <w:noProof/>
        </w:rPr>
        <w:t> </w:t>
      </w:r>
      <w:r w:rsidRPr="002F16A1">
        <w:rPr>
          <w:noProof/>
        </w:rPr>
        <w:t>kom</w:t>
      </w:r>
      <w:r w:rsidR="00AD62E2" w:rsidRPr="002F16A1">
        <w:rPr>
          <w:noProof/>
        </w:rPr>
        <w:t>ponentów</w:t>
      </w:r>
      <w:r w:rsidRPr="002F16A1">
        <w:rPr>
          <w:noProof/>
        </w:rPr>
        <w:t xml:space="preserve"> o</w:t>
      </w:r>
      <w:r>
        <w:rPr>
          <w:noProof/>
        </w:rPr>
        <w:t> </w:t>
      </w:r>
      <w:r w:rsidRPr="002F16A1">
        <w:rPr>
          <w:noProof/>
        </w:rPr>
        <w:t>wys</w:t>
      </w:r>
      <w:r w:rsidR="00AD62E2" w:rsidRPr="002F16A1">
        <w:rPr>
          <w:noProof/>
        </w:rPr>
        <w:t>okim potencjale odzysku surowców krytycznych;</w:t>
      </w:r>
    </w:p>
    <w:p w:rsidR="00AD62E2" w:rsidRPr="002F16A1" w:rsidRDefault="0028384B" w:rsidP="0028384B">
      <w:pPr>
        <w:pStyle w:val="Point1"/>
        <w:rPr>
          <w:noProof/>
        </w:rPr>
      </w:pPr>
      <w:r>
        <w:rPr>
          <w:noProof/>
        </w:rPr>
        <w:t>c)</w:t>
      </w:r>
      <w:r>
        <w:rPr>
          <w:noProof/>
        </w:rPr>
        <w:tab/>
      </w:r>
      <w:r w:rsidR="00AD62E2" w:rsidRPr="002F16A1">
        <w:rPr>
          <w:noProof/>
        </w:rPr>
        <w:t>zwiększenie wykorzystania wtórnych surowców krytycznych</w:t>
      </w:r>
      <w:r w:rsidRPr="002F16A1">
        <w:rPr>
          <w:noProof/>
        </w:rPr>
        <w:t xml:space="preserve"> w</w:t>
      </w:r>
      <w:r>
        <w:rPr>
          <w:noProof/>
        </w:rPr>
        <w:t> </w:t>
      </w:r>
      <w:r w:rsidRPr="002F16A1">
        <w:rPr>
          <w:noProof/>
        </w:rPr>
        <w:t>pro</w:t>
      </w:r>
      <w:r w:rsidR="00AD62E2" w:rsidRPr="002F16A1">
        <w:rPr>
          <w:noProof/>
        </w:rPr>
        <w:t>dukcji,</w:t>
      </w:r>
      <w:r w:rsidRPr="002F16A1">
        <w:rPr>
          <w:noProof/>
        </w:rPr>
        <w:t xml:space="preserve"> w</w:t>
      </w:r>
      <w:r>
        <w:rPr>
          <w:noProof/>
        </w:rPr>
        <w:t> </w:t>
      </w:r>
      <w:r w:rsidRPr="002F16A1">
        <w:rPr>
          <w:noProof/>
        </w:rPr>
        <w:t>tym</w:t>
      </w:r>
      <w:r w:rsidR="00AD62E2" w:rsidRPr="002F16A1">
        <w:rPr>
          <w:noProof/>
        </w:rPr>
        <w:t>,</w:t>
      </w:r>
      <w:r w:rsidRPr="002F16A1">
        <w:rPr>
          <w:noProof/>
        </w:rPr>
        <w:t xml:space="preserve"> w</w:t>
      </w:r>
      <w:r>
        <w:rPr>
          <w:noProof/>
        </w:rPr>
        <w:t> </w:t>
      </w:r>
      <w:r w:rsidRPr="002F16A1">
        <w:rPr>
          <w:noProof/>
        </w:rPr>
        <w:t>sto</w:t>
      </w:r>
      <w:r w:rsidR="00AD62E2" w:rsidRPr="002F16A1">
        <w:rPr>
          <w:noProof/>
        </w:rPr>
        <w:t>sownych przypadkach, za pomocą uwzględnienia zawartości materiałów</w:t>
      </w:r>
      <w:r w:rsidRPr="002F16A1">
        <w:rPr>
          <w:noProof/>
        </w:rPr>
        <w:t xml:space="preserve"> z</w:t>
      </w:r>
      <w:r>
        <w:rPr>
          <w:noProof/>
        </w:rPr>
        <w:t> </w:t>
      </w:r>
      <w:r w:rsidRPr="002F16A1">
        <w:rPr>
          <w:noProof/>
        </w:rPr>
        <w:t>rec</w:t>
      </w:r>
      <w:r w:rsidR="00AD62E2" w:rsidRPr="002F16A1">
        <w:rPr>
          <w:noProof/>
        </w:rPr>
        <w:t>yklingu</w:t>
      </w:r>
      <w:r w:rsidRPr="002F16A1">
        <w:rPr>
          <w:noProof/>
        </w:rPr>
        <w:t xml:space="preserve"> w</w:t>
      </w:r>
      <w:r>
        <w:rPr>
          <w:noProof/>
        </w:rPr>
        <w:t> </w:t>
      </w:r>
      <w:r w:rsidRPr="002F16A1">
        <w:rPr>
          <w:noProof/>
        </w:rPr>
        <w:t>kry</w:t>
      </w:r>
      <w:r w:rsidR="00AD62E2" w:rsidRPr="002F16A1">
        <w:rPr>
          <w:noProof/>
        </w:rPr>
        <w:t>teriach udzielania zamówień publicznych;</w:t>
      </w:r>
    </w:p>
    <w:p w:rsidR="00AD62E2" w:rsidRPr="002F16A1" w:rsidRDefault="0028384B" w:rsidP="0028384B">
      <w:pPr>
        <w:pStyle w:val="Point1"/>
        <w:rPr>
          <w:noProof/>
        </w:rPr>
      </w:pPr>
      <w:r>
        <w:rPr>
          <w:noProof/>
        </w:rPr>
        <w:t>d)</w:t>
      </w:r>
      <w:r>
        <w:rPr>
          <w:noProof/>
        </w:rPr>
        <w:tab/>
      </w:r>
      <w:r w:rsidR="00AD62E2" w:rsidRPr="002F16A1">
        <w:rPr>
          <w:noProof/>
        </w:rPr>
        <w:t>zwiększenie dojrzałości technologicznej technologii recyklingu surowców krytycznych oraz promowanie efektywności materiałowej</w:t>
      </w:r>
      <w:r w:rsidRPr="002F16A1">
        <w:rPr>
          <w:noProof/>
        </w:rPr>
        <w:t xml:space="preserve"> i</w:t>
      </w:r>
      <w:r>
        <w:rPr>
          <w:noProof/>
        </w:rPr>
        <w:t> </w:t>
      </w:r>
      <w:r w:rsidRPr="002F16A1">
        <w:rPr>
          <w:noProof/>
        </w:rPr>
        <w:t>zas</w:t>
      </w:r>
      <w:r w:rsidR="00AD62E2" w:rsidRPr="002F16A1">
        <w:rPr>
          <w:noProof/>
        </w:rPr>
        <w:t>tępowania surowców krytycznych</w:t>
      </w:r>
      <w:r w:rsidRPr="002F16A1">
        <w:rPr>
          <w:noProof/>
        </w:rPr>
        <w:t xml:space="preserve"> w</w:t>
      </w:r>
      <w:r>
        <w:rPr>
          <w:noProof/>
        </w:rPr>
        <w:t> </w:t>
      </w:r>
      <w:r w:rsidRPr="002F16A1">
        <w:rPr>
          <w:noProof/>
        </w:rPr>
        <w:t>ich</w:t>
      </w:r>
      <w:r w:rsidR="00AD62E2" w:rsidRPr="002F16A1">
        <w:rPr>
          <w:noProof/>
        </w:rPr>
        <w:t xml:space="preserve"> zastosowaniach, przynajmniej za pomocą uwzględnienia działań wspierających</w:t>
      </w:r>
      <w:r w:rsidRPr="002F16A1">
        <w:rPr>
          <w:noProof/>
        </w:rPr>
        <w:t xml:space="preserve"> w</w:t>
      </w:r>
      <w:r>
        <w:rPr>
          <w:noProof/>
        </w:rPr>
        <w:t> </w:t>
      </w:r>
      <w:r w:rsidRPr="002F16A1">
        <w:rPr>
          <w:noProof/>
        </w:rPr>
        <w:t>tym</w:t>
      </w:r>
      <w:r w:rsidR="00AD62E2" w:rsidRPr="002F16A1">
        <w:rPr>
          <w:noProof/>
        </w:rPr>
        <w:t xml:space="preserve"> zakresie</w:t>
      </w:r>
      <w:r w:rsidRPr="002F16A1">
        <w:rPr>
          <w:noProof/>
        </w:rPr>
        <w:t xml:space="preserve"> w</w:t>
      </w:r>
      <w:r>
        <w:rPr>
          <w:noProof/>
        </w:rPr>
        <w:t> </w:t>
      </w:r>
      <w:r w:rsidRPr="002F16A1">
        <w:rPr>
          <w:noProof/>
        </w:rPr>
        <w:t>kra</w:t>
      </w:r>
      <w:r w:rsidR="00AD62E2" w:rsidRPr="002F16A1">
        <w:rPr>
          <w:noProof/>
        </w:rPr>
        <w:t>jowych programach badań</w:t>
      </w:r>
      <w:r w:rsidRPr="002F16A1">
        <w:rPr>
          <w:noProof/>
        </w:rPr>
        <w:t xml:space="preserve"> i</w:t>
      </w:r>
      <w:r>
        <w:rPr>
          <w:noProof/>
        </w:rPr>
        <w:t> </w:t>
      </w:r>
      <w:r w:rsidRPr="002F16A1">
        <w:rPr>
          <w:noProof/>
        </w:rPr>
        <w:t>inn</w:t>
      </w:r>
      <w:r w:rsidR="00AD62E2" w:rsidRPr="002F16A1">
        <w:rPr>
          <w:noProof/>
        </w:rPr>
        <w:t>owacji;</w:t>
      </w:r>
    </w:p>
    <w:p w:rsidR="000D1851" w:rsidRPr="002F16A1" w:rsidRDefault="0028384B" w:rsidP="0028384B">
      <w:pPr>
        <w:pStyle w:val="Point1"/>
        <w:rPr>
          <w:noProof/>
        </w:rPr>
      </w:pPr>
      <w:r>
        <w:rPr>
          <w:noProof/>
        </w:rPr>
        <w:t>e)</w:t>
      </w:r>
      <w:r>
        <w:rPr>
          <w:noProof/>
        </w:rPr>
        <w:tab/>
      </w:r>
      <w:r w:rsidR="000D1851" w:rsidRPr="002F16A1">
        <w:rPr>
          <w:noProof/>
        </w:rPr>
        <w:t>zapewnienie, że ich siła robocza dysponuje umiejętnościami potrzebnymi do wspierania obiegu zamkniętego łańcucha wartości surowców krytycznych.</w:t>
      </w:r>
    </w:p>
    <w:p w:rsidR="00AD62E2" w:rsidRPr="002F16A1" w:rsidRDefault="00733965" w:rsidP="00733965">
      <w:pPr>
        <w:pStyle w:val="ManualNumPar1"/>
        <w:rPr>
          <w:noProof/>
        </w:rPr>
      </w:pPr>
      <w:r w:rsidRPr="00733965">
        <w:t>2.</w:t>
      </w:r>
      <w:r w:rsidRPr="00733965">
        <w:tab/>
      </w:r>
      <w:r w:rsidR="00AD62E2" w:rsidRPr="002F16A1">
        <w:rPr>
          <w:noProof/>
        </w:rPr>
        <w:t>Programy,</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obejmują</w:t>
      </w:r>
      <w:r w:rsidR="0028384B" w:rsidRPr="002F16A1">
        <w:rPr>
          <w:noProof/>
        </w:rPr>
        <w:t xml:space="preserve"> w</w:t>
      </w:r>
      <w:r w:rsidR="0028384B">
        <w:rPr>
          <w:noProof/>
        </w:rPr>
        <w:t> </w:t>
      </w:r>
      <w:r w:rsidR="0028384B" w:rsidRPr="002F16A1">
        <w:rPr>
          <w:noProof/>
        </w:rPr>
        <w:t>szc</w:t>
      </w:r>
      <w:r w:rsidR="00AD62E2" w:rsidRPr="002F16A1">
        <w:rPr>
          <w:noProof/>
        </w:rPr>
        <w:t>zególności produkty</w:t>
      </w:r>
      <w:r w:rsidR="0028384B" w:rsidRPr="002F16A1">
        <w:rPr>
          <w:noProof/>
        </w:rPr>
        <w:t xml:space="preserve"> i</w:t>
      </w:r>
      <w:r w:rsidR="0028384B">
        <w:rPr>
          <w:noProof/>
        </w:rPr>
        <w:t> </w:t>
      </w:r>
      <w:r w:rsidR="0028384B" w:rsidRPr="002F16A1">
        <w:rPr>
          <w:noProof/>
        </w:rPr>
        <w:t>odp</w:t>
      </w:r>
      <w:r w:rsidR="00AD62E2" w:rsidRPr="002F16A1">
        <w:rPr>
          <w:noProof/>
        </w:rPr>
        <w:t>ady, które nie podlegają żadnym szczególnym wymogom dotyczącym zbierania, przetwarzania, recyklingu lub ponownego użycia na mocy przepisów Unii</w:t>
      </w:r>
      <w:r w:rsidR="0028384B" w:rsidRPr="002F16A1">
        <w:rPr>
          <w:noProof/>
        </w:rPr>
        <w:t>. W</w:t>
      </w:r>
      <w:r w:rsidR="0028384B">
        <w:rPr>
          <w:noProof/>
        </w:rPr>
        <w:t> </w:t>
      </w:r>
      <w:r w:rsidR="0028384B" w:rsidRPr="002F16A1">
        <w:rPr>
          <w:noProof/>
        </w:rPr>
        <w:t>prz</w:t>
      </w:r>
      <w:r w:rsidR="00AD62E2" w:rsidRPr="002F16A1">
        <w:rPr>
          <w:noProof/>
        </w:rPr>
        <w:t>ypadku innych produktów</w:t>
      </w:r>
      <w:r w:rsidR="0028384B" w:rsidRPr="002F16A1">
        <w:rPr>
          <w:noProof/>
        </w:rPr>
        <w:t xml:space="preserve"> i</w:t>
      </w:r>
      <w:r w:rsidR="0028384B">
        <w:rPr>
          <w:noProof/>
        </w:rPr>
        <w:t> </w:t>
      </w:r>
      <w:r w:rsidR="0028384B" w:rsidRPr="002F16A1">
        <w:rPr>
          <w:noProof/>
        </w:rPr>
        <w:t>odp</w:t>
      </w:r>
      <w:r w:rsidR="00AD62E2" w:rsidRPr="002F16A1">
        <w:rPr>
          <w:noProof/>
        </w:rPr>
        <w:t>adów środki wdraża się zgodnie</w:t>
      </w:r>
      <w:r w:rsidR="0028384B" w:rsidRPr="002F16A1">
        <w:rPr>
          <w:noProof/>
        </w:rPr>
        <w:t xml:space="preserve"> z</w:t>
      </w:r>
      <w:r w:rsidR="0028384B">
        <w:rPr>
          <w:noProof/>
        </w:rPr>
        <w:t> </w:t>
      </w:r>
      <w:r w:rsidR="0028384B" w:rsidRPr="002F16A1">
        <w:rPr>
          <w:noProof/>
        </w:rPr>
        <w:t>obo</w:t>
      </w:r>
      <w:r w:rsidR="00AD62E2" w:rsidRPr="002F16A1">
        <w:rPr>
          <w:noProof/>
        </w:rPr>
        <w:t>wiązującymi przepisami Unii.</w:t>
      </w:r>
    </w:p>
    <w:p w:rsidR="00AD62E2" w:rsidRPr="002F16A1" w:rsidRDefault="00AD62E2" w:rsidP="00AD62E2">
      <w:pPr>
        <w:pStyle w:val="Text1"/>
        <w:rPr>
          <w:noProof/>
        </w:rPr>
      </w:pPr>
      <w:r w:rsidRPr="002F16A1">
        <w:rPr>
          <w:noProof/>
        </w:rPr>
        <w:t xml:space="preserve">W odniesieniu do </w:t>
      </w:r>
      <w:r w:rsidRPr="0028384B">
        <w:rPr>
          <w:noProof/>
        </w:rPr>
        <w:t>ust.</w:t>
      </w:r>
      <w:r w:rsidR="0028384B" w:rsidRPr="0028384B">
        <w:rPr>
          <w:noProof/>
        </w:rPr>
        <w:t> </w:t>
      </w:r>
      <w:r w:rsidRPr="0028384B">
        <w:rPr>
          <w:noProof/>
        </w:rPr>
        <w:t>1</w:t>
      </w:r>
      <w:r w:rsidRPr="002F16A1">
        <w:rPr>
          <w:noProof/>
        </w:rPr>
        <w:t xml:space="preserve"> </w:t>
      </w:r>
      <w:r w:rsidRPr="0028384B">
        <w:rPr>
          <w:noProof/>
        </w:rPr>
        <w:t>lit.</w:t>
      </w:r>
      <w:r w:rsidR="0028384B" w:rsidRPr="0028384B">
        <w:rPr>
          <w:noProof/>
        </w:rPr>
        <w:t> </w:t>
      </w:r>
      <w:r w:rsidRPr="0028384B">
        <w:rPr>
          <w:noProof/>
        </w:rPr>
        <w:t>a)</w:t>
      </w:r>
      <w:r w:rsidRPr="002F16A1">
        <w:rPr>
          <w:noProof/>
        </w:rPr>
        <w:t xml:space="preserve"> i b) programy,</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F16A1">
        <w:rPr>
          <w:noProof/>
        </w:rPr>
        <w:t>tym</w:t>
      </w:r>
      <w:r w:rsidRPr="002F16A1">
        <w:rPr>
          <w:noProof/>
        </w:rPr>
        <w:t xml:space="preserve"> ustępie, mogą obejmować, bez uszczerbku dla </w:t>
      </w:r>
      <w:r w:rsidRPr="0028384B">
        <w:rPr>
          <w:noProof/>
        </w:rPr>
        <w:t>art.</w:t>
      </w:r>
      <w:r w:rsidR="0028384B" w:rsidRPr="0028384B">
        <w:rPr>
          <w:noProof/>
        </w:rPr>
        <w:t> </w:t>
      </w:r>
      <w:r w:rsidRPr="0028384B">
        <w:rPr>
          <w:noProof/>
        </w:rPr>
        <w:t>1</w:t>
      </w:r>
      <w:r w:rsidRPr="002F16A1">
        <w:rPr>
          <w:noProof/>
        </w:rPr>
        <w:t>07</w:t>
      </w:r>
      <w:r w:rsidR="0028384B" w:rsidRPr="002F16A1">
        <w:rPr>
          <w:noProof/>
        </w:rPr>
        <w:t xml:space="preserve"> i</w:t>
      </w:r>
      <w:r w:rsidR="0028384B">
        <w:rPr>
          <w:noProof/>
        </w:rPr>
        <w:t> </w:t>
      </w:r>
      <w:r w:rsidR="0028384B" w:rsidRPr="002F16A1">
        <w:rPr>
          <w:noProof/>
        </w:rPr>
        <w:t>1</w:t>
      </w:r>
      <w:r w:rsidRPr="002F16A1">
        <w:rPr>
          <w:noProof/>
        </w:rPr>
        <w:t>08 TFUE, wprowadzenie zachęt finansowych, takich jak zniżki, korzyści pieniężne lub systemy zwrotu kaucji,</w:t>
      </w:r>
      <w:r w:rsidR="0028384B" w:rsidRPr="002F16A1">
        <w:rPr>
          <w:noProof/>
        </w:rPr>
        <w:t xml:space="preserve"> w</w:t>
      </w:r>
      <w:r w:rsidR="0028384B">
        <w:rPr>
          <w:noProof/>
        </w:rPr>
        <w:t> </w:t>
      </w:r>
      <w:r w:rsidR="0028384B" w:rsidRPr="002F16A1">
        <w:rPr>
          <w:noProof/>
        </w:rPr>
        <w:t>cel</w:t>
      </w:r>
      <w:r w:rsidRPr="002F16A1">
        <w:rPr>
          <w:noProof/>
        </w:rPr>
        <w:t>u zachęcenia do ponownego użycia produktów</w:t>
      </w:r>
      <w:r w:rsidR="0028384B" w:rsidRPr="002F16A1">
        <w:rPr>
          <w:noProof/>
        </w:rPr>
        <w:t xml:space="preserve"> o</w:t>
      </w:r>
      <w:r w:rsidR="0028384B">
        <w:rPr>
          <w:noProof/>
        </w:rPr>
        <w:t> </w:t>
      </w:r>
      <w:r w:rsidR="0028384B" w:rsidRPr="002F16A1">
        <w:rPr>
          <w:noProof/>
        </w:rPr>
        <w:t>wys</w:t>
      </w:r>
      <w:r w:rsidRPr="002F16A1">
        <w:rPr>
          <w:noProof/>
        </w:rPr>
        <w:t>okim potencjale odzysku surowców krytycznych oraz do zbierania odpadów pochodzących</w:t>
      </w:r>
      <w:r w:rsidR="0028384B" w:rsidRPr="002F16A1">
        <w:rPr>
          <w:noProof/>
        </w:rPr>
        <w:t xml:space="preserve"> z</w:t>
      </w:r>
      <w:r w:rsidR="0028384B">
        <w:rPr>
          <w:noProof/>
        </w:rPr>
        <w:t> </w:t>
      </w:r>
      <w:r w:rsidR="0028384B" w:rsidRPr="002F16A1">
        <w:rPr>
          <w:noProof/>
        </w:rPr>
        <w:t>tak</w:t>
      </w:r>
      <w:r w:rsidRPr="002F16A1">
        <w:rPr>
          <w:noProof/>
        </w:rPr>
        <w:t>ich produktów.</w:t>
      </w:r>
    </w:p>
    <w:p w:rsidR="00AD62E2" w:rsidRPr="002F16A1" w:rsidRDefault="00733965" w:rsidP="00733965">
      <w:pPr>
        <w:pStyle w:val="ManualNumPar1"/>
        <w:rPr>
          <w:noProof/>
        </w:rPr>
      </w:pPr>
      <w:r w:rsidRPr="00733965">
        <w:t>3.</w:t>
      </w:r>
      <w:r w:rsidRPr="00733965">
        <w:tab/>
      </w:r>
      <w:r w:rsidR="00AD62E2" w:rsidRPr="002F16A1">
        <w:rPr>
          <w:noProof/>
        </w:rPr>
        <w:t>Każde państwo członkowskie do dnia [</w:t>
      </w:r>
      <w:r w:rsidR="00AD62E2" w:rsidRPr="002F16A1">
        <w:rPr>
          <w:i/>
          <w:iCs/>
          <w:noProof/>
        </w:rPr>
        <w:t>Urząd Publikacji: proszę wstawić</w:t>
      </w:r>
      <w:r w:rsidR="00AD62E2" w:rsidRPr="002F16A1">
        <w:rPr>
          <w:noProof/>
        </w:rPr>
        <w:t xml:space="preserve"> </w:t>
      </w:r>
      <w:r w:rsidR="00AD62E2" w:rsidRPr="002F16A1">
        <w:rPr>
          <w:i/>
          <w:iCs/>
          <w:noProof/>
        </w:rPr>
        <w:t>datę: 4 lata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 przyjmuje</w:t>
      </w:r>
      <w:r w:rsidR="0028384B" w:rsidRPr="002F16A1">
        <w:rPr>
          <w:noProof/>
        </w:rPr>
        <w:t xml:space="preserve"> i</w:t>
      </w:r>
      <w:r w:rsidR="0028384B">
        <w:rPr>
          <w:noProof/>
        </w:rPr>
        <w:t> </w:t>
      </w:r>
      <w:r w:rsidR="0028384B" w:rsidRPr="002F16A1">
        <w:rPr>
          <w:noProof/>
        </w:rPr>
        <w:t>wdr</w:t>
      </w:r>
      <w:r w:rsidR="00AD62E2" w:rsidRPr="002F16A1">
        <w:rPr>
          <w:noProof/>
        </w:rPr>
        <w:t>aża środki mające na celu wspieranie odzysku surowców krytycznych</w:t>
      </w:r>
      <w:r w:rsidR="0028384B" w:rsidRPr="002F16A1">
        <w:rPr>
          <w:noProof/>
        </w:rPr>
        <w:t xml:space="preserve"> z</w:t>
      </w:r>
      <w:r w:rsidR="0028384B">
        <w:rPr>
          <w:noProof/>
        </w:rPr>
        <w:t> </w:t>
      </w:r>
      <w:r w:rsidR="0028384B" w:rsidRPr="002F16A1">
        <w:rPr>
          <w:noProof/>
        </w:rPr>
        <w:t>odp</w:t>
      </w:r>
      <w:r w:rsidR="00AD62E2" w:rsidRPr="002F16A1">
        <w:rPr>
          <w:noProof/>
        </w:rPr>
        <w:t>adów wydobywczych,</w:t>
      </w:r>
      <w:r w:rsidR="0028384B" w:rsidRPr="002F16A1">
        <w:rPr>
          <w:noProof/>
        </w:rPr>
        <w:t xml:space="preserve"> w</w:t>
      </w:r>
      <w:r w:rsidR="0028384B">
        <w:rPr>
          <w:noProof/>
        </w:rPr>
        <w:t> </w:t>
      </w:r>
      <w:r w:rsidR="0028384B" w:rsidRPr="002F16A1">
        <w:rPr>
          <w:noProof/>
        </w:rPr>
        <w:t>szc</w:t>
      </w:r>
      <w:r w:rsidR="00AD62E2" w:rsidRPr="002F16A1">
        <w:rPr>
          <w:noProof/>
        </w:rPr>
        <w:t>zególności</w:t>
      </w:r>
      <w:r w:rsidR="0028384B" w:rsidRPr="002F16A1">
        <w:rPr>
          <w:noProof/>
        </w:rPr>
        <w:t xml:space="preserve"> z</w:t>
      </w:r>
      <w:r w:rsidR="0028384B">
        <w:rPr>
          <w:noProof/>
        </w:rPr>
        <w:t> </w:t>
      </w:r>
      <w:r w:rsidR="0028384B" w:rsidRPr="002F16A1">
        <w:rPr>
          <w:noProof/>
        </w:rPr>
        <w:t>zam</w:t>
      </w:r>
      <w:r w:rsidR="00AD62E2" w:rsidRPr="002F16A1">
        <w:rPr>
          <w:noProof/>
        </w:rPr>
        <w:t>kniętych obiektów unieszkodliwiania odpadów wydobywczych, wskazanych</w:t>
      </w:r>
      <w:r w:rsidR="0028384B" w:rsidRPr="002F16A1">
        <w:rPr>
          <w:noProof/>
        </w:rPr>
        <w:t xml:space="preserve"> w</w:t>
      </w:r>
      <w:r w:rsidR="0028384B">
        <w:rPr>
          <w:noProof/>
        </w:rPr>
        <w:t> </w:t>
      </w:r>
      <w:r w:rsidR="0028384B" w:rsidRPr="002F16A1">
        <w:rPr>
          <w:noProof/>
        </w:rPr>
        <w:t>baz</w:t>
      </w:r>
      <w:r w:rsidR="00AD62E2" w:rsidRPr="002F16A1">
        <w:rPr>
          <w:noProof/>
        </w:rPr>
        <w:t>ie danych utworzonej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2</w:t>
      </w:r>
      <w:r w:rsidR="00AD62E2" w:rsidRPr="002F16A1">
        <w:rPr>
          <w:noProof/>
        </w:rPr>
        <w:t>6 jako zawierające surowce krytyczne, które</w:t>
      </w:r>
      <w:r w:rsidR="0028384B" w:rsidRPr="002F16A1">
        <w:rPr>
          <w:noProof/>
        </w:rPr>
        <w:t xml:space="preserve"> z</w:t>
      </w:r>
      <w:r w:rsidR="0028384B">
        <w:rPr>
          <w:noProof/>
        </w:rPr>
        <w:t> </w:t>
      </w:r>
      <w:r w:rsidR="0028384B" w:rsidRPr="002F16A1">
        <w:rPr>
          <w:noProof/>
        </w:rPr>
        <w:t>eko</w:t>
      </w:r>
      <w:r w:rsidR="00AD62E2" w:rsidRPr="002F16A1">
        <w:rPr>
          <w:noProof/>
        </w:rPr>
        <w:t>nomicznego punktu widzenia są potencjalnie odzyskiwalne. </w:t>
      </w:r>
    </w:p>
    <w:p w:rsidR="00AD62E2" w:rsidRPr="002F16A1" w:rsidRDefault="00733965" w:rsidP="00733965">
      <w:pPr>
        <w:pStyle w:val="ManualNumPar1"/>
        <w:rPr>
          <w:noProof/>
        </w:rPr>
      </w:pPr>
      <w:r w:rsidRPr="00733965">
        <w:t>4.</w:t>
      </w:r>
      <w:r w:rsidRPr="00733965">
        <w:tab/>
      </w:r>
      <w:r w:rsidR="00AD62E2" w:rsidRPr="002F16A1">
        <w:rPr>
          <w:noProof/>
        </w:rPr>
        <w:t>Krajowe środki,</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28384B" w:rsidRPr="002F16A1">
        <w:rPr>
          <w:noProof/>
        </w:rPr>
        <w:t xml:space="preserve"> i</w:t>
      </w:r>
      <w:r w:rsidR="0028384B">
        <w:rPr>
          <w:noProof/>
        </w:rPr>
        <w:t> </w:t>
      </w:r>
      <w:r w:rsidR="0028384B" w:rsidRPr="002F16A1">
        <w:rPr>
          <w:noProof/>
        </w:rPr>
        <w:t>2</w:t>
      </w:r>
      <w:r w:rsidR="00AD62E2" w:rsidRPr="002F16A1">
        <w:rPr>
          <w:noProof/>
        </w:rPr>
        <w:t>, są opracowywane</w:t>
      </w:r>
      <w:r w:rsidR="0028384B" w:rsidRPr="002F16A1">
        <w:rPr>
          <w:noProof/>
        </w:rPr>
        <w:t xml:space="preserve"> w</w:t>
      </w:r>
      <w:r w:rsidR="0028384B">
        <w:rPr>
          <w:noProof/>
        </w:rPr>
        <w:t> </w:t>
      </w:r>
      <w:r w:rsidR="0028384B" w:rsidRPr="002F16A1">
        <w:rPr>
          <w:noProof/>
        </w:rPr>
        <w:t>tak</w:t>
      </w:r>
      <w:r w:rsidR="00AD62E2" w:rsidRPr="002F16A1">
        <w:rPr>
          <w:noProof/>
        </w:rPr>
        <w:t>i sposób, aby uniknąć barier</w:t>
      </w:r>
      <w:r w:rsidR="0028384B" w:rsidRPr="002F16A1">
        <w:rPr>
          <w:noProof/>
        </w:rPr>
        <w:t xml:space="preserve"> w</w:t>
      </w:r>
      <w:r w:rsidR="0028384B">
        <w:rPr>
          <w:noProof/>
        </w:rPr>
        <w:t> </w:t>
      </w:r>
      <w:r w:rsidR="0028384B" w:rsidRPr="002F16A1">
        <w:rPr>
          <w:noProof/>
        </w:rPr>
        <w:t>han</w:t>
      </w:r>
      <w:r w:rsidR="00AD62E2" w:rsidRPr="002F16A1">
        <w:rPr>
          <w:noProof/>
        </w:rPr>
        <w:t>dlu</w:t>
      </w:r>
      <w:r w:rsidR="0028384B" w:rsidRPr="002F16A1">
        <w:rPr>
          <w:noProof/>
        </w:rPr>
        <w:t xml:space="preserve"> i</w:t>
      </w:r>
      <w:r w:rsidR="0028384B">
        <w:rPr>
          <w:noProof/>
        </w:rPr>
        <w:t> </w:t>
      </w:r>
      <w:r w:rsidR="0028384B" w:rsidRPr="002F16A1">
        <w:rPr>
          <w:noProof/>
        </w:rPr>
        <w:t>zak</w:t>
      </w:r>
      <w:r w:rsidR="00AD62E2" w:rsidRPr="002F16A1">
        <w:rPr>
          <w:noProof/>
        </w:rPr>
        <w:t>łóceń konkurencji zgodnie z TFUE.</w:t>
      </w:r>
    </w:p>
    <w:p w:rsidR="00AD62E2" w:rsidRPr="002F16A1" w:rsidRDefault="00733965" w:rsidP="00733965">
      <w:pPr>
        <w:pStyle w:val="ManualNumPar1"/>
        <w:rPr>
          <w:noProof/>
        </w:rPr>
      </w:pPr>
      <w:r w:rsidRPr="00733965">
        <w:t>5.</w:t>
      </w:r>
      <w:r w:rsidRPr="00733965">
        <w:tab/>
      </w:r>
      <w:r w:rsidR="00AD62E2" w:rsidRPr="002F16A1">
        <w:rPr>
          <w:noProof/>
        </w:rPr>
        <w:t>Zgłaszając Komisji dane dotyczące ilości zużytego sprzętu elektrycznego</w:t>
      </w:r>
      <w:r w:rsidR="0028384B" w:rsidRPr="002F16A1">
        <w:rPr>
          <w:noProof/>
        </w:rPr>
        <w:t xml:space="preserve"> i</w:t>
      </w:r>
      <w:r w:rsidR="0028384B">
        <w:rPr>
          <w:noProof/>
        </w:rPr>
        <w:t> </w:t>
      </w:r>
      <w:r w:rsidR="0028384B" w:rsidRPr="002F16A1">
        <w:rPr>
          <w:noProof/>
        </w:rPr>
        <w:t>ele</w:t>
      </w:r>
      <w:r w:rsidR="00AD62E2" w:rsidRPr="002F16A1">
        <w:rPr>
          <w:noProof/>
        </w:rPr>
        <w:t>ktronicznego poddanego recyklingowi,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1</w:t>
      </w:r>
      <w:r w:rsidR="00AD62E2" w:rsidRPr="002F16A1">
        <w:rPr>
          <w:noProof/>
        </w:rPr>
        <w:t xml:space="preserve">6 </w:t>
      </w:r>
      <w:r w:rsidR="00AD62E2" w:rsidRPr="0028384B">
        <w:rPr>
          <w:noProof/>
        </w:rPr>
        <w:t>ust.</w:t>
      </w:r>
      <w:r w:rsidR="0028384B" w:rsidRPr="0028384B">
        <w:rPr>
          <w:noProof/>
        </w:rPr>
        <w:t> </w:t>
      </w:r>
      <w:r w:rsidR="00AD62E2" w:rsidRPr="0028384B">
        <w:rPr>
          <w:noProof/>
        </w:rPr>
        <w:t>6</w:t>
      </w:r>
      <w:r w:rsidR="00AD62E2" w:rsidRPr="002F16A1">
        <w:rPr>
          <w:noProof/>
        </w:rPr>
        <w:t xml:space="preserve"> dyrektywy 2012/19/UE</w:t>
      </w:r>
      <w:r w:rsidR="0028384B" w:rsidRPr="002F16A1">
        <w:rPr>
          <w:noProof/>
        </w:rPr>
        <w:t xml:space="preserve"> w</w:t>
      </w:r>
      <w:r w:rsidR="0028384B">
        <w:rPr>
          <w:noProof/>
        </w:rPr>
        <w:t> </w:t>
      </w:r>
      <w:r w:rsidR="0028384B" w:rsidRPr="002F16A1">
        <w:rPr>
          <w:noProof/>
        </w:rPr>
        <w:t>spr</w:t>
      </w:r>
      <w:r w:rsidR="00AD62E2" w:rsidRPr="002F16A1">
        <w:rPr>
          <w:noProof/>
        </w:rPr>
        <w:t>awie zużytego sprzętu elektrycznego</w:t>
      </w:r>
      <w:r w:rsidR="0028384B" w:rsidRPr="002F16A1">
        <w:rPr>
          <w:noProof/>
        </w:rPr>
        <w:t xml:space="preserve"> i</w:t>
      </w:r>
      <w:r w:rsidR="0028384B">
        <w:rPr>
          <w:noProof/>
        </w:rPr>
        <w:t> </w:t>
      </w:r>
      <w:r w:rsidR="0028384B" w:rsidRPr="002F16A1">
        <w:rPr>
          <w:noProof/>
        </w:rPr>
        <w:t>ele</w:t>
      </w:r>
      <w:r w:rsidR="00AD62E2" w:rsidRPr="002F16A1">
        <w:rPr>
          <w:noProof/>
        </w:rPr>
        <w:t>ktronicznego, państwa członkowskie oddzielnie określają</w:t>
      </w:r>
      <w:r w:rsidR="0028384B" w:rsidRPr="002F16A1">
        <w:rPr>
          <w:noProof/>
        </w:rPr>
        <w:t xml:space="preserve"> i</w:t>
      </w:r>
      <w:r w:rsidR="0028384B">
        <w:rPr>
          <w:noProof/>
        </w:rPr>
        <w:t> </w:t>
      </w:r>
      <w:r w:rsidR="0028384B" w:rsidRPr="002F16A1">
        <w:rPr>
          <w:noProof/>
        </w:rPr>
        <w:t>zgł</w:t>
      </w:r>
      <w:r w:rsidR="00AD62E2" w:rsidRPr="002F16A1">
        <w:rPr>
          <w:noProof/>
        </w:rPr>
        <w:t>aszają ilości komponentów zawierających odpowiednie ilości surowców krytycznych usuniętych</w:t>
      </w:r>
      <w:r w:rsidR="0028384B" w:rsidRPr="002F16A1">
        <w:rPr>
          <w:noProof/>
        </w:rPr>
        <w:t xml:space="preserve"> z</w:t>
      </w:r>
      <w:r w:rsidR="0028384B">
        <w:rPr>
          <w:noProof/>
        </w:rPr>
        <w:t> </w:t>
      </w:r>
      <w:r w:rsidR="0028384B" w:rsidRPr="002F16A1">
        <w:rPr>
          <w:noProof/>
        </w:rPr>
        <w:t>tak</w:t>
      </w:r>
      <w:r w:rsidR="00AD62E2" w:rsidRPr="002F16A1">
        <w:rPr>
          <w:noProof/>
        </w:rPr>
        <w:t>iego zużytego sprzętu oraz ilości surowców krytycznych odzyskanych ze zużytego sprzętu elektrycznego</w:t>
      </w:r>
      <w:r w:rsidR="0028384B" w:rsidRPr="002F16A1">
        <w:rPr>
          <w:noProof/>
        </w:rPr>
        <w:t xml:space="preserve"> i</w:t>
      </w:r>
      <w:r w:rsidR="0028384B">
        <w:rPr>
          <w:noProof/>
        </w:rPr>
        <w:t> </w:t>
      </w:r>
      <w:r w:rsidR="0028384B" w:rsidRPr="002F16A1">
        <w:rPr>
          <w:noProof/>
        </w:rPr>
        <w:t>ele</w:t>
      </w:r>
      <w:r w:rsidR="00AD62E2" w:rsidRPr="002F16A1">
        <w:rPr>
          <w:noProof/>
        </w:rPr>
        <w:t>ktronicznego. Komisja przyjmuje akty wykonawcze określające format</w:t>
      </w:r>
      <w:r w:rsidR="0028384B" w:rsidRPr="002F16A1">
        <w:rPr>
          <w:noProof/>
        </w:rPr>
        <w:t xml:space="preserve"> i</w:t>
      </w:r>
      <w:r w:rsidR="0028384B">
        <w:rPr>
          <w:noProof/>
        </w:rPr>
        <w:t> </w:t>
      </w:r>
      <w:r w:rsidR="0028384B" w:rsidRPr="002F16A1">
        <w:rPr>
          <w:noProof/>
        </w:rPr>
        <w:t>szc</w:t>
      </w:r>
      <w:r w:rsidR="00AD62E2" w:rsidRPr="002F16A1">
        <w:rPr>
          <w:noProof/>
        </w:rPr>
        <w:t>zegóły takich sprawozdań. Te akty wykonawcze przyjmuje się zgodnie</w:t>
      </w:r>
      <w:r w:rsidR="0028384B" w:rsidRPr="002F16A1">
        <w:rPr>
          <w:noProof/>
        </w:rPr>
        <w:t xml:space="preserve"> z</w:t>
      </w:r>
      <w:r w:rsidR="0028384B">
        <w:rPr>
          <w:noProof/>
        </w:rPr>
        <w:t> </w:t>
      </w:r>
      <w:r w:rsidR="0028384B" w:rsidRPr="002F16A1">
        <w:rPr>
          <w:noProof/>
        </w:rPr>
        <w:t>pro</w:t>
      </w:r>
      <w:r w:rsidR="00AD62E2" w:rsidRPr="002F16A1">
        <w:rPr>
          <w:noProof/>
        </w:rPr>
        <w:t>cedurą sprawdzającą,</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7 </w:t>
      </w:r>
      <w:r w:rsidR="00AD62E2" w:rsidRPr="0028384B">
        <w:rPr>
          <w:noProof/>
        </w:rPr>
        <w:t>ust.</w:t>
      </w:r>
      <w:r w:rsidR="0028384B" w:rsidRPr="0028384B">
        <w:rPr>
          <w:noProof/>
        </w:rPr>
        <w:t> </w:t>
      </w:r>
      <w:r w:rsidR="00AD62E2" w:rsidRPr="0028384B">
        <w:rPr>
          <w:noProof/>
        </w:rPr>
        <w:t>3</w:t>
      </w:r>
      <w:r w:rsidR="00AD62E2" w:rsidRPr="002F16A1">
        <w:rPr>
          <w:noProof/>
        </w:rPr>
        <w:t>.Pierwszy okres sprawozdawczy obejmuje pierwszy pełny rok kalendarzowy po przyjęciu tych aktów wykonawczych.</w:t>
      </w:r>
    </w:p>
    <w:p w:rsidR="00AD62E2" w:rsidRPr="002F16A1" w:rsidRDefault="00733965" w:rsidP="00733965">
      <w:pPr>
        <w:pStyle w:val="ManualNumPar1"/>
        <w:rPr>
          <w:noProof/>
        </w:rPr>
      </w:pPr>
      <w:r w:rsidRPr="00733965">
        <w:t>6.</w:t>
      </w:r>
      <w:r w:rsidRPr="00733965">
        <w:tab/>
      </w:r>
      <w:r w:rsidR="00AD62E2" w:rsidRPr="002F16A1">
        <w:rPr>
          <w:noProof/>
        </w:rPr>
        <w:t>W ramach sprawozdania,</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4</w:t>
      </w:r>
      <w:r w:rsidR="00AD62E2" w:rsidRPr="002F16A1">
        <w:rPr>
          <w:noProof/>
        </w:rPr>
        <w:t>3, państwa członkowskie przedstawiają informacje na temat przyjęcia krajowych programów,</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xml:space="preserve">, oraz na temat postępów we wdrażaniu środków zastosowanych na mocy </w:t>
      </w:r>
      <w:r w:rsidR="00AD62E2" w:rsidRPr="0028384B">
        <w:rPr>
          <w:noProof/>
        </w:rPr>
        <w:t>ust.</w:t>
      </w:r>
      <w:r w:rsidR="0028384B" w:rsidRPr="0028384B">
        <w:rPr>
          <w:noProof/>
        </w:rPr>
        <w:t> </w:t>
      </w:r>
      <w:r w:rsidR="00AD62E2" w:rsidRPr="0028384B">
        <w:rPr>
          <w:noProof/>
        </w:rPr>
        <w:t>1</w:t>
      </w:r>
      <w:r w:rsidR="0028384B" w:rsidRPr="002F16A1">
        <w:rPr>
          <w:noProof/>
        </w:rPr>
        <w:t xml:space="preserve"> i</w:t>
      </w:r>
      <w:r w:rsidR="0028384B">
        <w:rPr>
          <w:noProof/>
        </w:rPr>
        <w:t> </w:t>
      </w:r>
      <w:r w:rsidR="0028384B" w:rsidRPr="002F16A1">
        <w:rPr>
          <w:noProof/>
        </w:rPr>
        <w:t>2</w:t>
      </w:r>
      <w:r w:rsidR="00AD62E2" w:rsidRPr="002F16A1">
        <w:rPr>
          <w:noProof/>
        </w:rPr>
        <w:t>.</w:t>
      </w:r>
    </w:p>
    <w:p w:rsidR="00AD62E2" w:rsidRPr="002F16A1" w:rsidRDefault="00733965" w:rsidP="00733965">
      <w:pPr>
        <w:pStyle w:val="ManualNumPar1"/>
        <w:rPr>
          <w:noProof/>
        </w:rPr>
      </w:pPr>
      <w:r w:rsidRPr="00733965">
        <w:t>7.</w:t>
      </w:r>
      <w:r w:rsidRPr="00733965">
        <w:tab/>
      </w:r>
      <w:r w:rsidR="00AD62E2" w:rsidRPr="002F16A1">
        <w:rPr>
          <w:noProof/>
        </w:rPr>
        <w:t>Komisja przyjmuje akty wykonawcze określające wykaz produktów, komponentów</w:t>
      </w:r>
      <w:r w:rsidR="0028384B" w:rsidRPr="002F16A1">
        <w:rPr>
          <w:noProof/>
        </w:rPr>
        <w:t xml:space="preserve"> i</w:t>
      </w:r>
      <w:r w:rsidR="0028384B">
        <w:rPr>
          <w:noProof/>
        </w:rPr>
        <w:t> </w:t>
      </w:r>
      <w:r w:rsidR="0028384B" w:rsidRPr="002F16A1">
        <w:rPr>
          <w:noProof/>
        </w:rPr>
        <w:t>str</w:t>
      </w:r>
      <w:r w:rsidR="00AD62E2" w:rsidRPr="002F16A1">
        <w:rPr>
          <w:noProof/>
        </w:rPr>
        <w:t>umieni odpadów, które uznaje się co najmniej za mające wysoki potencjał odzysku surowców krytycznych</w:t>
      </w:r>
      <w:r w:rsidR="0028384B" w:rsidRPr="002F16A1">
        <w:rPr>
          <w:noProof/>
        </w:rPr>
        <w:t xml:space="preserve"> w</w:t>
      </w:r>
      <w:r w:rsidR="0028384B">
        <w:rPr>
          <w:noProof/>
        </w:rPr>
        <w:t> </w:t>
      </w:r>
      <w:r w:rsidR="0028384B" w:rsidRPr="002F16A1">
        <w:rPr>
          <w:noProof/>
        </w:rPr>
        <w:t>roz</w:t>
      </w:r>
      <w:r w:rsidR="00AD62E2" w:rsidRPr="002F16A1">
        <w:rPr>
          <w:noProof/>
        </w:rPr>
        <w:t xml:space="preserve">umieniu </w:t>
      </w:r>
      <w:r w:rsidR="00AD62E2" w:rsidRPr="0028384B">
        <w:rPr>
          <w:noProof/>
        </w:rPr>
        <w:t>ust.</w:t>
      </w:r>
      <w:r w:rsidR="0028384B" w:rsidRPr="0028384B">
        <w:rPr>
          <w:noProof/>
        </w:rPr>
        <w:t> </w:t>
      </w:r>
      <w:r w:rsidR="00AD62E2" w:rsidRPr="0028384B">
        <w:rPr>
          <w:noProof/>
        </w:rPr>
        <w:t>1</w:t>
      </w:r>
      <w:r w:rsidR="00AD62E2" w:rsidRPr="002F16A1">
        <w:rPr>
          <w:noProof/>
        </w:rPr>
        <w:t xml:space="preserve"> </w:t>
      </w:r>
      <w:r w:rsidR="00AD62E2" w:rsidRPr="0028384B">
        <w:rPr>
          <w:noProof/>
        </w:rPr>
        <w:t>lit.</w:t>
      </w:r>
      <w:r w:rsidR="0028384B" w:rsidRPr="0028384B">
        <w:rPr>
          <w:noProof/>
        </w:rPr>
        <w:t> </w:t>
      </w:r>
      <w:r w:rsidR="00AD62E2" w:rsidRPr="0028384B">
        <w:rPr>
          <w:noProof/>
        </w:rPr>
        <w:t>a)</w:t>
      </w:r>
      <w:r w:rsidR="00AD62E2" w:rsidRPr="002F16A1">
        <w:rPr>
          <w:noProof/>
        </w:rPr>
        <w:t xml:space="preserve"> i b). </w:t>
      </w:r>
    </w:p>
    <w:p w:rsidR="00AD62E2" w:rsidRPr="002F16A1" w:rsidRDefault="00AD62E2" w:rsidP="00AD62E2">
      <w:pPr>
        <w:pStyle w:val="Text1"/>
        <w:rPr>
          <w:noProof/>
        </w:rPr>
      </w:pPr>
      <w:r w:rsidRPr="002F16A1">
        <w:rPr>
          <w:noProof/>
        </w:rPr>
        <w:t>Sporządzając taki wykaz, Komisja uwzględnia:</w:t>
      </w:r>
    </w:p>
    <w:p w:rsidR="00AD62E2" w:rsidRPr="002F16A1" w:rsidRDefault="0028384B" w:rsidP="0028384B">
      <w:pPr>
        <w:pStyle w:val="Point1"/>
        <w:rPr>
          <w:noProof/>
        </w:rPr>
      </w:pPr>
      <w:r>
        <w:rPr>
          <w:noProof/>
        </w:rPr>
        <w:t>a)</w:t>
      </w:r>
      <w:r>
        <w:rPr>
          <w:noProof/>
        </w:rPr>
        <w:tab/>
      </w:r>
      <w:r w:rsidR="00AD62E2" w:rsidRPr="002F16A1">
        <w:rPr>
          <w:noProof/>
        </w:rPr>
        <w:t>całkowitą ilość surowców krytycznych odzyskiwalnych</w:t>
      </w:r>
      <w:r w:rsidRPr="002F16A1">
        <w:rPr>
          <w:noProof/>
        </w:rPr>
        <w:t xml:space="preserve"> z</w:t>
      </w:r>
      <w:r>
        <w:rPr>
          <w:noProof/>
        </w:rPr>
        <w:t> </w:t>
      </w:r>
      <w:r w:rsidRPr="002F16A1">
        <w:rPr>
          <w:noProof/>
        </w:rPr>
        <w:t>tyc</w:t>
      </w:r>
      <w:r w:rsidR="00AD62E2" w:rsidRPr="002F16A1">
        <w:rPr>
          <w:noProof/>
        </w:rPr>
        <w:t>h produktów, komponentów</w:t>
      </w:r>
      <w:r w:rsidRPr="002F16A1">
        <w:rPr>
          <w:noProof/>
        </w:rPr>
        <w:t xml:space="preserve"> i</w:t>
      </w:r>
      <w:r>
        <w:rPr>
          <w:noProof/>
        </w:rPr>
        <w:t> </w:t>
      </w:r>
      <w:r w:rsidRPr="002F16A1">
        <w:rPr>
          <w:noProof/>
        </w:rPr>
        <w:t>str</w:t>
      </w:r>
      <w:r w:rsidR="00AD62E2" w:rsidRPr="002F16A1">
        <w:rPr>
          <w:noProof/>
        </w:rPr>
        <w:t>umieni odpadów:</w:t>
      </w:r>
    </w:p>
    <w:p w:rsidR="00AD62E2" w:rsidRPr="002F16A1" w:rsidRDefault="0028384B" w:rsidP="0028384B">
      <w:pPr>
        <w:pStyle w:val="Point1"/>
        <w:rPr>
          <w:noProof/>
        </w:rPr>
      </w:pPr>
      <w:r>
        <w:rPr>
          <w:noProof/>
        </w:rPr>
        <w:t>b)</w:t>
      </w:r>
      <w:r>
        <w:rPr>
          <w:noProof/>
        </w:rPr>
        <w:tab/>
      </w:r>
      <w:r w:rsidR="00AD62E2" w:rsidRPr="002F16A1">
        <w:rPr>
          <w:noProof/>
        </w:rPr>
        <w:t>zakres,</w:t>
      </w:r>
      <w:r w:rsidRPr="002F16A1">
        <w:rPr>
          <w:noProof/>
        </w:rPr>
        <w:t xml:space="preserve"> w</w:t>
      </w:r>
      <w:r>
        <w:rPr>
          <w:noProof/>
        </w:rPr>
        <w:t> </w:t>
      </w:r>
      <w:r w:rsidRPr="002F16A1">
        <w:rPr>
          <w:noProof/>
        </w:rPr>
        <w:t>jak</w:t>
      </w:r>
      <w:r w:rsidR="00AD62E2" w:rsidRPr="002F16A1">
        <w:rPr>
          <w:noProof/>
        </w:rPr>
        <w:t>im te produkty, komponenty</w:t>
      </w:r>
      <w:r w:rsidRPr="002F16A1">
        <w:rPr>
          <w:noProof/>
        </w:rPr>
        <w:t xml:space="preserve"> i</w:t>
      </w:r>
      <w:r>
        <w:rPr>
          <w:noProof/>
        </w:rPr>
        <w:t> </w:t>
      </w:r>
      <w:r w:rsidRPr="002F16A1">
        <w:rPr>
          <w:noProof/>
        </w:rPr>
        <w:t>str</w:t>
      </w:r>
      <w:r w:rsidR="00AD62E2" w:rsidRPr="002F16A1">
        <w:rPr>
          <w:noProof/>
        </w:rPr>
        <w:t>umienie odpadów są objęte przepisami Unii;</w:t>
      </w:r>
    </w:p>
    <w:p w:rsidR="00AD62E2" w:rsidRPr="002F16A1" w:rsidRDefault="0028384B" w:rsidP="0028384B">
      <w:pPr>
        <w:pStyle w:val="Point1"/>
        <w:rPr>
          <w:noProof/>
        </w:rPr>
      </w:pPr>
      <w:r>
        <w:rPr>
          <w:noProof/>
        </w:rPr>
        <w:t>c)</w:t>
      </w:r>
      <w:r>
        <w:rPr>
          <w:noProof/>
        </w:rPr>
        <w:tab/>
      </w:r>
      <w:r w:rsidR="00AD62E2" w:rsidRPr="002F16A1">
        <w:rPr>
          <w:noProof/>
        </w:rPr>
        <w:t>luki regulacyjne;</w:t>
      </w:r>
    </w:p>
    <w:p w:rsidR="00AD62E2" w:rsidRPr="002F16A1" w:rsidRDefault="0028384B" w:rsidP="0028384B">
      <w:pPr>
        <w:pStyle w:val="Point1"/>
        <w:rPr>
          <w:noProof/>
        </w:rPr>
      </w:pPr>
      <w:r>
        <w:rPr>
          <w:noProof/>
        </w:rPr>
        <w:t>d)</w:t>
      </w:r>
      <w:r>
        <w:rPr>
          <w:noProof/>
        </w:rPr>
        <w:tab/>
      </w:r>
      <w:r w:rsidR="00AD62E2" w:rsidRPr="002F16A1">
        <w:rPr>
          <w:noProof/>
        </w:rPr>
        <w:t>szczególne wyzwania dotyczące zbierania tych produktów, komponentów</w:t>
      </w:r>
      <w:r w:rsidRPr="002F16A1">
        <w:rPr>
          <w:noProof/>
        </w:rPr>
        <w:t xml:space="preserve"> i</w:t>
      </w:r>
      <w:r>
        <w:rPr>
          <w:noProof/>
        </w:rPr>
        <w:t> </w:t>
      </w:r>
      <w:r w:rsidRPr="002F16A1">
        <w:rPr>
          <w:noProof/>
        </w:rPr>
        <w:t>str</w:t>
      </w:r>
      <w:r w:rsidR="00AD62E2" w:rsidRPr="002F16A1">
        <w:rPr>
          <w:noProof/>
        </w:rPr>
        <w:t>umieni odpadów,</w:t>
      </w:r>
      <w:r w:rsidRPr="002F16A1">
        <w:rPr>
          <w:noProof/>
        </w:rPr>
        <w:t xml:space="preserve"> a</w:t>
      </w:r>
      <w:r>
        <w:rPr>
          <w:noProof/>
        </w:rPr>
        <w:t> </w:t>
      </w:r>
      <w:r w:rsidRPr="002F16A1">
        <w:rPr>
          <w:noProof/>
        </w:rPr>
        <w:t>tak</w:t>
      </w:r>
      <w:r w:rsidR="00AD62E2" w:rsidRPr="002F16A1">
        <w:rPr>
          <w:noProof/>
        </w:rPr>
        <w:t>że przetwarzania odpadów;</w:t>
      </w:r>
    </w:p>
    <w:p w:rsidR="00AD62E2" w:rsidRPr="002F16A1" w:rsidRDefault="0028384B" w:rsidP="0028384B">
      <w:pPr>
        <w:pStyle w:val="Point1"/>
        <w:rPr>
          <w:noProof/>
        </w:rPr>
      </w:pPr>
      <w:r>
        <w:rPr>
          <w:noProof/>
        </w:rPr>
        <w:t>e)</w:t>
      </w:r>
      <w:r>
        <w:rPr>
          <w:noProof/>
        </w:rPr>
        <w:tab/>
      </w:r>
      <w:r w:rsidR="00AD62E2" w:rsidRPr="002F16A1">
        <w:rPr>
          <w:noProof/>
        </w:rPr>
        <w:t>istniejące systemy zbierania</w:t>
      </w:r>
      <w:r w:rsidRPr="002F16A1">
        <w:rPr>
          <w:noProof/>
        </w:rPr>
        <w:t xml:space="preserve"> i</w:t>
      </w:r>
      <w:r>
        <w:rPr>
          <w:noProof/>
        </w:rPr>
        <w:t> </w:t>
      </w:r>
      <w:r w:rsidRPr="002F16A1">
        <w:rPr>
          <w:noProof/>
        </w:rPr>
        <w:t>prz</w:t>
      </w:r>
      <w:r w:rsidR="00AD62E2" w:rsidRPr="002F16A1">
        <w:rPr>
          <w:noProof/>
        </w:rPr>
        <w:t>etwarzania odpadów mające zastosowanie do tych produktów, komponentów</w:t>
      </w:r>
      <w:r w:rsidRPr="002F16A1">
        <w:rPr>
          <w:noProof/>
        </w:rPr>
        <w:t xml:space="preserve"> i</w:t>
      </w:r>
      <w:r>
        <w:rPr>
          <w:noProof/>
        </w:rPr>
        <w:t> </w:t>
      </w:r>
      <w:r w:rsidRPr="002F16A1">
        <w:rPr>
          <w:noProof/>
        </w:rPr>
        <w:t>str</w:t>
      </w:r>
      <w:r w:rsidR="00AD62E2" w:rsidRPr="002F16A1">
        <w:rPr>
          <w:noProof/>
        </w:rPr>
        <w:t>umieni odpadów.</w:t>
      </w:r>
    </w:p>
    <w:p w:rsidR="00AD62E2" w:rsidRPr="002F16A1" w:rsidRDefault="00AD62E2" w:rsidP="00AD62E2">
      <w:pPr>
        <w:pStyle w:val="Text1"/>
        <w:rPr>
          <w:noProof/>
        </w:rPr>
      </w:pPr>
      <w:r w:rsidRPr="002F16A1">
        <w:rPr>
          <w:noProof/>
        </w:rPr>
        <w:t>Akty wykonawcze,</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F16A1">
        <w:rPr>
          <w:noProof/>
        </w:rPr>
        <w:t>aka</w:t>
      </w:r>
      <w:r w:rsidRPr="002F16A1">
        <w:rPr>
          <w:noProof/>
        </w:rPr>
        <w:t>picie pierwszym, przyjmuje się zgodnie</w:t>
      </w:r>
      <w:r w:rsidR="0028384B" w:rsidRPr="002F16A1">
        <w:rPr>
          <w:noProof/>
        </w:rPr>
        <w:t xml:space="preserve"> z</w:t>
      </w:r>
      <w:r w:rsidR="0028384B">
        <w:rPr>
          <w:noProof/>
        </w:rPr>
        <w:t> </w:t>
      </w:r>
      <w:r w:rsidR="0028384B" w:rsidRPr="002F16A1">
        <w:rPr>
          <w:noProof/>
        </w:rPr>
        <w:t>pro</w:t>
      </w:r>
      <w:r w:rsidRPr="002F16A1">
        <w:rPr>
          <w:noProof/>
        </w:rPr>
        <w:t>cedurą sprawdzającą,</w:t>
      </w:r>
      <w:r w:rsidR="0028384B" w:rsidRPr="002F16A1">
        <w:rPr>
          <w:noProof/>
        </w:rPr>
        <w:t xml:space="preserve"> o</w:t>
      </w:r>
      <w:r w:rsidR="0028384B">
        <w:rPr>
          <w:noProof/>
        </w:rPr>
        <w:t> </w:t>
      </w:r>
      <w:r w:rsidR="0028384B" w:rsidRPr="002F16A1">
        <w:rPr>
          <w:noProof/>
        </w:rPr>
        <w:t>któ</w:t>
      </w:r>
      <w:r w:rsidRPr="002F16A1">
        <w:rPr>
          <w:noProof/>
        </w:rPr>
        <w:t>rej mowa</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3</w:t>
      </w:r>
      <w:r w:rsidRPr="002F16A1">
        <w:rPr>
          <w:noProof/>
        </w:rPr>
        <w:t xml:space="preserve">7 </w:t>
      </w:r>
      <w:r w:rsidRPr="0028384B">
        <w:rPr>
          <w:noProof/>
        </w:rPr>
        <w:t>ust.</w:t>
      </w:r>
      <w:r w:rsidR="0028384B" w:rsidRPr="0028384B">
        <w:rPr>
          <w:noProof/>
        </w:rPr>
        <w:t> </w:t>
      </w:r>
      <w:r w:rsidRPr="0028384B">
        <w:rPr>
          <w:noProof/>
        </w:rPr>
        <w:t>3</w:t>
      </w:r>
      <w:r w:rsidRPr="002F16A1">
        <w:rPr>
          <w:noProof/>
        </w:rPr>
        <w:t>.</w:t>
      </w:r>
      <w:bookmarkStart w:id="16" w:name="__akn_article_muuBXh"/>
      <w:bookmarkEnd w:id="16"/>
    </w:p>
    <w:p w:rsidR="00AD62E2" w:rsidRPr="002F16A1" w:rsidRDefault="00AD62E2" w:rsidP="00AD62E2">
      <w:pPr>
        <w:pStyle w:val="Titrearticle"/>
        <w:rPr>
          <w:noProof/>
        </w:rPr>
      </w:pPr>
      <w:r w:rsidRPr="002F16A1">
        <w:rPr>
          <w:noProof/>
        </w:rPr>
        <w:t>Artykuł 26</w:t>
      </w:r>
    </w:p>
    <w:p w:rsidR="00AD62E2" w:rsidRPr="002F16A1" w:rsidRDefault="00AD62E2" w:rsidP="00AD62E2">
      <w:pPr>
        <w:pStyle w:val="NormalCentered"/>
        <w:rPr>
          <w:noProof/>
        </w:rPr>
      </w:pPr>
      <w:r w:rsidRPr="002F16A1">
        <w:rPr>
          <w:b/>
          <w:noProof/>
        </w:rPr>
        <w:t>Odzysk środków surowców krytycznych</w:t>
      </w:r>
      <w:r w:rsidR="0028384B" w:rsidRPr="002F16A1">
        <w:rPr>
          <w:b/>
          <w:noProof/>
        </w:rPr>
        <w:t xml:space="preserve"> z</w:t>
      </w:r>
      <w:r w:rsidR="0028384B">
        <w:rPr>
          <w:b/>
          <w:noProof/>
        </w:rPr>
        <w:t> </w:t>
      </w:r>
      <w:r w:rsidR="0028384B" w:rsidRPr="002F16A1">
        <w:rPr>
          <w:b/>
          <w:noProof/>
        </w:rPr>
        <w:t>odp</w:t>
      </w:r>
      <w:r w:rsidRPr="002F16A1">
        <w:rPr>
          <w:b/>
          <w:noProof/>
        </w:rPr>
        <w:t>adów wydobywczych</w:t>
      </w:r>
    </w:p>
    <w:p w:rsidR="00AD62E2" w:rsidRPr="002F16A1" w:rsidRDefault="00733965" w:rsidP="00733965">
      <w:pPr>
        <w:pStyle w:val="ManualNumPar1"/>
        <w:rPr>
          <w:noProof/>
        </w:rPr>
      </w:pPr>
      <w:r w:rsidRPr="00733965">
        <w:t>1.</w:t>
      </w:r>
      <w:r w:rsidRPr="00733965">
        <w:tab/>
      </w:r>
      <w:r w:rsidR="00AD62E2" w:rsidRPr="002F16A1">
        <w:rPr>
          <w:noProof/>
        </w:rPr>
        <w:t>Podmioty zobowiązane do przedłożenia planów gospodarowania odpadami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5</w:t>
      </w:r>
      <w:r w:rsidR="00AD62E2" w:rsidRPr="002F16A1">
        <w:rPr>
          <w:noProof/>
        </w:rPr>
        <w:t xml:space="preserve"> dyrektywy 2006/21/WE dostarczają właściwemu organowi określonemu</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 dyrektywy 2006/21/WE badanie na temat wstępnej oceny ekonomicznej dotyczące potencjalnego odzysku surowców krytycznych z:</w:t>
      </w:r>
    </w:p>
    <w:p w:rsidR="00AD62E2" w:rsidRPr="002F16A1" w:rsidRDefault="0028384B" w:rsidP="0028384B">
      <w:pPr>
        <w:pStyle w:val="Point1"/>
        <w:rPr>
          <w:noProof/>
        </w:rPr>
      </w:pPr>
      <w:r>
        <w:rPr>
          <w:noProof/>
        </w:rPr>
        <w:t>a)</w:t>
      </w:r>
      <w:r>
        <w:rPr>
          <w:noProof/>
        </w:rPr>
        <w:tab/>
      </w:r>
      <w:r w:rsidR="00AD62E2" w:rsidRPr="002F16A1">
        <w:rPr>
          <w:noProof/>
        </w:rPr>
        <w:t>odpadów wydobywczych składowanych</w:t>
      </w:r>
      <w:r w:rsidRPr="002F16A1">
        <w:rPr>
          <w:noProof/>
        </w:rPr>
        <w:t xml:space="preserve"> w</w:t>
      </w:r>
      <w:r>
        <w:rPr>
          <w:noProof/>
        </w:rPr>
        <w:t> </w:t>
      </w:r>
      <w:r w:rsidRPr="002F16A1">
        <w:rPr>
          <w:noProof/>
        </w:rPr>
        <w:t>obi</w:t>
      </w:r>
      <w:r w:rsidR="00AD62E2" w:rsidRPr="002F16A1">
        <w:rPr>
          <w:noProof/>
        </w:rPr>
        <w:t>ekcie; oraz</w:t>
      </w:r>
    </w:p>
    <w:p w:rsidR="00AD62E2" w:rsidRPr="002F16A1" w:rsidRDefault="0028384B" w:rsidP="0028384B">
      <w:pPr>
        <w:pStyle w:val="Point1"/>
        <w:rPr>
          <w:noProof/>
        </w:rPr>
      </w:pPr>
      <w:r>
        <w:rPr>
          <w:noProof/>
        </w:rPr>
        <w:t>b)</w:t>
      </w:r>
      <w:r>
        <w:rPr>
          <w:noProof/>
        </w:rPr>
        <w:tab/>
      </w:r>
      <w:r w:rsidR="00AD62E2" w:rsidRPr="002F16A1">
        <w:rPr>
          <w:noProof/>
        </w:rPr>
        <w:t>wytwarzanych odpadów wydobywczych lub, jeżeli zostanie to uznane za efektywniejsze,</w:t>
      </w:r>
      <w:r w:rsidRPr="002F16A1">
        <w:rPr>
          <w:noProof/>
        </w:rPr>
        <w:t xml:space="preserve"> z</w:t>
      </w:r>
      <w:r>
        <w:rPr>
          <w:noProof/>
        </w:rPr>
        <w:t> </w:t>
      </w:r>
      <w:r w:rsidRPr="002F16A1">
        <w:rPr>
          <w:noProof/>
        </w:rPr>
        <w:t>wyd</w:t>
      </w:r>
      <w:r w:rsidR="00AD62E2" w:rsidRPr="002F16A1">
        <w:rPr>
          <w:noProof/>
        </w:rPr>
        <w:t>obytej objętości zanim stanie się ona odpadem.</w:t>
      </w:r>
    </w:p>
    <w:p w:rsidR="00AD62E2" w:rsidRPr="002F16A1" w:rsidRDefault="00733965" w:rsidP="00733965">
      <w:pPr>
        <w:pStyle w:val="ManualNumPar1"/>
        <w:rPr>
          <w:noProof/>
        </w:rPr>
      </w:pPr>
      <w:r w:rsidRPr="00733965">
        <w:t>2.</w:t>
      </w:r>
      <w:r w:rsidRPr="00733965">
        <w:tab/>
      </w:r>
      <w:r w:rsidR="00AD62E2" w:rsidRPr="002F16A1">
        <w:rPr>
          <w:noProof/>
        </w:rPr>
        <w:t>Badanie,</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obejmuje co najmniej oszacowanie ilości</w:t>
      </w:r>
      <w:r w:rsidR="0028384B" w:rsidRPr="002F16A1">
        <w:rPr>
          <w:noProof/>
        </w:rPr>
        <w:t xml:space="preserve"> i</w:t>
      </w:r>
      <w:r w:rsidR="0028384B">
        <w:rPr>
          <w:noProof/>
        </w:rPr>
        <w:t> </w:t>
      </w:r>
      <w:r w:rsidR="0028384B" w:rsidRPr="002F16A1">
        <w:rPr>
          <w:noProof/>
        </w:rPr>
        <w:t>kon</w:t>
      </w:r>
      <w:r w:rsidR="00AD62E2" w:rsidRPr="002F16A1">
        <w:rPr>
          <w:noProof/>
        </w:rPr>
        <w:t>centracji występowania surowców krytycznych zawartych</w:t>
      </w:r>
      <w:r w:rsidR="0028384B" w:rsidRPr="002F16A1">
        <w:rPr>
          <w:noProof/>
        </w:rPr>
        <w:t xml:space="preserve"> w</w:t>
      </w:r>
      <w:r w:rsidR="0028384B">
        <w:rPr>
          <w:noProof/>
        </w:rPr>
        <w:t> </w:t>
      </w:r>
      <w:r w:rsidR="0028384B" w:rsidRPr="002F16A1">
        <w:rPr>
          <w:noProof/>
        </w:rPr>
        <w:t>odp</w:t>
      </w:r>
      <w:r w:rsidR="00AD62E2" w:rsidRPr="002F16A1">
        <w:rPr>
          <w:noProof/>
        </w:rPr>
        <w:t>adach wydobywczych</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wyd</w:t>
      </w:r>
      <w:r w:rsidR="00AD62E2" w:rsidRPr="002F16A1">
        <w:rPr>
          <w:noProof/>
        </w:rPr>
        <w:t>obytej objętości oraz ocenę technicznej</w:t>
      </w:r>
      <w:r w:rsidR="0028384B" w:rsidRPr="002F16A1">
        <w:rPr>
          <w:noProof/>
        </w:rPr>
        <w:t xml:space="preserve"> i</w:t>
      </w:r>
      <w:r w:rsidR="0028384B">
        <w:rPr>
          <w:noProof/>
        </w:rPr>
        <w:t> </w:t>
      </w:r>
      <w:r w:rsidR="0028384B" w:rsidRPr="002F16A1">
        <w:rPr>
          <w:noProof/>
        </w:rPr>
        <w:t>eko</w:t>
      </w:r>
      <w:r w:rsidR="00AD62E2" w:rsidRPr="002F16A1">
        <w:rPr>
          <w:noProof/>
        </w:rPr>
        <w:t>nomicznej możliwości ich odzyskania. </w:t>
      </w:r>
    </w:p>
    <w:p w:rsidR="00AD62E2" w:rsidRPr="002F16A1" w:rsidRDefault="00733965" w:rsidP="00733965">
      <w:pPr>
        <w:pStyle w:val="ManualNumPar1"/>
        <w:rPr>
          <w:noProof/>
        </w:rPr>
      </w:pPr>
      <w:r w:rsidRPr="00733965">
        <w:t>3.</w:t>
      </w:r>
      <w:r w:rsidRPr="00733965">
        <w:tab/>
      </w:r>
      <w:r w:rsidR="00AD62E2" w:rsidRPr="002F16A1">
        <w:rPr>
          <w:noProof/>
        </w:rPr>
        <w:t>Operatorzy istniejących obiektów unieszkodliwiania odpadów wydobywczych przedkładają badanie,</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właściwemu organowi określonemu</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 dyrektywy 2006/21/WE do dnia [</w:t>
      </w:r>
      <w:r w:rsidR="00AD62E2" w:rsidRPr="002F16A1">
        <w:rPr>
          <w:i/>
          <w:iCs/>
          <w:noProof/>
        </w:rPr>
        <w:t>Urząd Publikacji: proszę wstawić</w:t>
      </w:r>
      <w:r w:rsidR="00AD62E2" w:rsidRPr="002F16A1">
        <w:rPr>
          <w:noProof/>
        </w:rPr>
        <w:t xml:space="preserve"> </w:t>
      </w:r>
      <w:r w:rsidR="00AD62E2" w:rsidRPr="002F16A1">
        <w:rPr>
          <w:i/>
          <w:iCs/>
          <w:noProof/>
        </w:rPr>
        <w:t>datę: trzy lata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 Operatorzy nowych obiektów unieszkodliwiania odpadów wydobywczych przedkładają to badanie właściwemu organowi przy składaniu planów gospodarowania odpadami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5</w:t>
      </w:r>
      <w:r w:rsidR="00AD62E2" w:rsidRPr="002F16A1">
        <w:rPr>
          <w:noProof/>
        </w:rPr>
        <w:t xml:space="preserve"> dyrektywy 2006/21/WE.</w:t>
      </w:r>
    </w:p>
    <w:p w:rsidR="00AD62E2" w:rsidRPr="002F16A1" w:rsidRDefault="00733965" w:rsidP="00733965">
      <w:pPr>
        <w:pStyle w:val="ManualNumPar1"/>
        <w:rPr>
          <w:noProof/>
        </w:rPr>
      </w:pPr>
      <w:r w:rsidRPr="00733965">
        <w:t>4.</w:t>
      </w:r>
      <w:r w:rsidRPr="00733965">
        <w:tab/>
      </w:r>
      <w:r w:rsidR="00AD62E2" w:rsidRPr="002F16A1">
        <w:rPr>
          <w:noProof/>
        </w:rPr>
        <w:t>Państwa członkowskie tworzą bazę danych na temat wszystkich zamkniętych obiektów unieszkodliwiania odpadów wydobywczych (w tym tych opuszczonych) zlokalizowanych na ich terytorium. Ta baza danych zawiera informacje o:</w:t>
      </w:r>
    </w:p>
    <w:p w:rsidR="00AD62E2" w:rsidRPr="002F16A1" w:rsidRDefault="0028384B" w:rsidP="0028384B">
      <w:pPr>
        <w:pStyle w:val="Point1"/>
        <w:rPr>
          <w:noProof/>
        </w:rPr>
      </w:pPr>
      <w:r>
        <w:rPr>
          <w:noProof/>
        </w:rPr>
        <w:t>a)</w:t>
      </w:r>
      <w:r>
        <w:rPr>
          <w:noProof/>
        </w:rPr>
        <w:tab/>
      </w:r>
      <w:r w:rsidR="00AD62E2" w:rsidRPr="002F16A1">
        <w:rPr>
          <w:noProof/>
        </w:rPr>
        <w:t>lokalizacji, rozległości obszarowej</w:t>
      </w:r>
      <w:r w:rsidRPr="002F16A1">
        <w:rPr>
          <w:noProof/>
        </w:rPr>
        <w:t xml:space="preserve"> i</w:t>
      </w:r>
      <w:r>
        <w:rPr>
          <w:noProof/>
        </w:rPr>
        <w:t> </w:t>
      </w:r>
      <w:r w:rsidRPr="002F16A1">
        <w:rPr>
          <w:noProof/>
        </w:rPr>
        <w:t>ilo</w:t>
      </w:r>
      <w:r w:rsidR="00AD62E2" w:rsidRPr="002F16A1">
        <w:rPr>
          <w:noProof/>
        </w:rPr>
        <w:t>ści odpadów</w:t>
      </w:r>
      <w:r w:rsidRPr="002F16A1">
        <w:rPr>
          <w:noProof/>
        </w:rPr>
        <w:t xml:space="preserve"> w</w:t>
      </w:r>
      <w:r>
        <w:rPr>
          <w:noProof/>
        </w:rPr>
        <w:t> </w:t>
      </w:r>
      <w:r w:rsidRPr="002F16A1">
        <w:rPr>
          <w:noProof/>
        </w:rPr>
        <w:t>obi</w:t>
      </w:r>
      <w:r w:rsidR="00AD62E2" w:rsidRPr="002F16A1">
        <w:rPr>
          <w:noProof/>
        </w:rPr>
        <w:t>ekcie unieszkodliwiania odpadów wydobywczych;</w:t>
      </w:r>
    </w:p>
    <w:p w:rsidR="00AD62E2" w:rsidRPr="002F16A1" w:rsidRDefault="0028384B" w:rsidP="0028384B">
      <w:pPr>
        <w:pStyle w:val="Point1"/>
        <w:rPr>
          <w:noProof/>
        </w:rPr>
      </w:pPr>
      <w:r>
        <w:rPr>
          <w:noProof/>
        </w:rPr>
        <w:t>b)</w:t>
      </w:r>
      <w:r>
        <w:rPr>
          <w:noProof/>
        </w:rPr>
        <w:tab/>
      </w:r>
      <w:r w:rsidR="00AD62E2" w:rsidRPr="002F16A1">
        <w:rPr>
          <w:noProof/>
        </w:rPr>
        <w:t>operatorze lub byłym operatorze obiektu unieszkodliwiania odpadów wydobywczych oraz,</w:t>
      </w:r>
      <w:r w:rsidRPr="002F16A1">
        <w:rPr>
          <w:noProof/>
        </w:rPr>
        <w:t xml:space="preserve"> w</w:t>
      </w:r>
      <w:r>
        <w:rPr>
          <w:noProof/>
        </w:rPr>
        <w:t> </w:t>
      </w:r>
      <w:r w:rsidRPr="002F16A1">
        <w:rPr>
          <w:noProof/>
        </w:rPr>
        <w:t>sto</w:t>
      </w:r>
      <w:r w:rsidR="00AD62E2" w:rsidRPr="002F16A1">
        <w:rPr>
          <w:noProof/>
        </w:rPr>
        <w:t>sownych przypadkach, ich następcy prawnym;</w:t>
      </w:r>
    </w:p>
    <w:p w:rsidR="00AD62E2" w:rsidRPr="002F16A1" w:rsidRDefault="0028384B" w:rsidP="0028384B">
      <w:pPr>
        <w:pStyle w:val="Point1"/>
        <w:rPr>
          <w:noProof/>
        </w:rPr>
      </w:pPr>
      <w:r>
        <w:rPr>
          <w:noProof/>
        </w:rPr>
        <w:t>c)</w:t>
      </w:r>
      <w:r>
        <w:rPr>
          <w:noProof/>
        </w:rPr>
        <w:tab/>
      </w:r>
      <w:r w:rsidR="00AD62E2" w:rsidRPr="002F16A1">
        <w:rPr>
          <w:noProof/>
        </w:rPr>
        <w:t>przybliżonej ilości</w:t>
      </w:r>
      <w:r w:rsidRPr="002F16A1">
        <w:rPr>
          <w:noProof/>
        </w:rPr>
        <w:t xml:space="preserve"> i</w:t>
      </w:r>
      <w:r>
        <w:rPr>
          <w:noProof/>
        </w:rPr>
        <w:t> </w:t>
      </w:r>
      <w:r w:rsidRPr="002F16A1">
        <w:rPr>
          <w:noProof/>
        </w:rPr>
        <w:t>kon</w:t>
      </w:r>
      <w:r w:rsidR="00AD62E2" w:rsidRPr="002F16A1">
        <w:rPr>
          <w:noProof/>
        </w:rPr>
        <w:t>centracji wszystkich surowców zawartych</w:t>
      </w:r>
      <w:r w:rsidRPr="002F16A1">
        <w:rPr>
          <w:noProof/>
        </w:rPr>
        <w:t xml:space="preserve"> w</w:t>
      </w:r>
      <w:r>
        <w:rPr>
          <w:noProof/>
        </w:rPr>
        <w:t> </w:t>
      </w:r>
      <w:r w:rsidRPr="002F16A1">
        <w:rPr>
          <w:noProof/>
        </w:rPr>
        <w:t>odp</w:t>
      </w:r>
      <w:r w:rsidR="00AD62E2" w:rsidRPr="002F16A1">
        <w:rPr>
          <w:noProof/>
        </w:rPr>
        <w:t>adach wydobywczych oraz,</w:t>
      </w:r>
      <w:r w:rsidRPr="002F16A1">
        <w:rPr>
          <w:noProof/>
        </w:rPr>
        <w:t xml:space="preserve"> w</w:t>
      </w:r>
      <w:r>
        <w:rPr>
          <w:noProof/>
        </w:rPr>
        <w:t> </w:t>
      </w:r>
      <w:r w:rsidRPr="002F16A1">
        <w:rPr>
          <w:noProof/>
        </w:rPr>
        <w:t>odp</w:t>
      </w:r>
      <w:r w:rsidR="00AD62E2" w:rsidRPr="002F16A1">
        <w:rPr>
          <w:noProof/>
        </w:rPr>
        <w:t>owiednich przypadkach,</w:t>
      </w:r>
      <w:r w:rsidRPr="002F16A1">
        <w:rPr>
          <w:noProof/>
        </w:rPr>
        <w:t xml:space="preserve"> w</w:t>
      </w:r>
      <w:r>
        <w:rPr>
          <w:noProof/>
        </w:rPr>
        <w:t> </w:t>
      </w:r>
      <w:r w:rsidRPr="002F16A1">
        <w:rPr>
          <w:noProof/>
        </w:rPr>
        <w:t>pie</w:t>
      </w:r>
      <w:r w:rsidR="00AD62E2" w:rsidRPr="002F16A1">
        <w:rPr>
          <w:noProof/>
        </w:rPr>
        <w:t>rwotnym złożu surowców mineralnych, zgodnie</w:t>
      </w:r>
      <w:r w:rsidRPr="002F16A1">
        <w:rPr>
          <w:noProof/>
        </w:rPr>
        <w:t xml:space="preserve"> z</w:t>
      </w:r>
      <w:r>
        <w:rPr>
          <w:noProof/>
        </w:rPr>
        <w:t> </w:t>
      </w:r>
      <w:r w:rsidRPr="0028384B">
        <w:rPr>
          <w:noProof/>
        </w:rPr>
        <w:t>ust</w:t>
      </w:r>
      <w:r w:rsidR="00AD62E2" w:rsidRPr="0028384B">
        <w:rPr>
          <w:noProof/>
        </w:rPr>
        <w:t>.</w:t>
      </w:r>
      <w:r w:rsidRPr="0028384B">
        <w:rPr>
          <w:noProof/>
        </w:rPr>
        <w:t> </w:t>
      </w:r>
      <w:r w:rsidR="00AD62E2" w:rsidRPr="0028384B">
        <w:rPr>
          <w:noProof/>
        </w:rPr>
        <w:t>6</w:t>
      </w:r>
      <w:r w:rsidR="00AD62E2" w:rsidRPr="002F16A1">
        <w:rPr>
          <w:noProof/>
        </w:rPr>
        <w:t xml:space="preserve"> niniejszego artykułu; oraz</w:t>
      </w:r>
    </w:p>
    <w:p w:rsidR="00AD62E2" w:rsidRPr="002F16A1" w:rsidRDefault="0028384B" w:rsidP="0028384B">
      <w:pPr>
        <w:pStyle w:val="Point1"/>
        <w:rPr>
          <w:noProof/>
        </w:rPr>
      </w:pPr>
      <w:r>
        <w:rPr>
          <w:noProof/>
        </w:rPr>
        <w:t>d)</w:t>
      </w:r>
      <w:r>
        <w:rPr>
          <w:noProof/>
        </w:rPr>
        <w:tab/>
      </w:r>
      <w:r w:rsidR="00AD62E2" w:rsidRPr="002F16A1">
        <w:rPr>
          <w:noProof/>
        </w:rPr>
        <w:t>wszelkie dodatkowe informacje uznane przez państwo członkowskie za istotne dla umożliwienia odzysku surowców krytycznych</w:t>
      </w:r>
      <w:r w:rsidRPr="002F16A1">
        <w:rPr>
          <w:noProof/>
        </w:rPr>
        <w:t xml:space="preserve"> z</w:t>
      </w:r>
      <w:r>
        <w:rPr>
          <w:noProof/>
        </w:rPr>
        <w:t> </w:t>
      </w:r>
      <w:r w:rsidRPr="002F16A1">
        <w:rPr>
          <w:noProof/>
        </w:rPr>
        <w:t>obi</w:t>
      </w:r>
      <w:r w:rsidR="00AD62E2" w:rsidRPr="002F16A1">
        <w:rPr>
          <w:noProof/>
        </w:rPr>
        <w:t>ektu unieszkodliwiania odpadów wydobywczych.</w:t>
      </w:r>
    </w:p>
    <w:p w:rsidR="00AD62E2" w:rsidRPr="002F16A1" w:rsidRDefault="00733965" w:rsidP="00733965">
      <w:pPr>
        <w:pStyle w:val="ManualNumPar1"/>
        <w:rPr>
          <w:noProof/>
        </w:rPr>
      </w:pPr>
      <w:r w:rsidRPr="00733965">
        <w:t>5.</w:t>
      </w:r>
      <w:r w:rsidRPr="00733965">
        <w:tab/>
      </w:r>
      <w:r w:rsidR="00AD62E2" w:rsidRPr="002F16A1">
        <w:rPr>
          <w:noProof/>
        </w:rPr>
        <w:t>Baza danych,</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4</w:t>
      </w:r>
      <w:r w:rsidR="00AD62E2" w:rsidRPr="002F16A1">
        <w:rPr>
          <w:noProof/>
        </w:rPr>
        <w:t>, zostanie uruchomiona do dnia [</w:t>
      </w:r>
      <w:r w:rsidR="00AD62E2" w:rsidRPr="002F16A1">
        <w:rPr>
          <w:i/>
          <w:iCs/>
          <w:noProof/>
        </w:rPr>
        <w:t>Urząd Publikacji: proszę wstawić</w:t>
      </w:r>
      <w:r w:rsidR="00AD62E2" w:rsidRPr="002F16A1">
        <w:rPr>
          <w:noProof/>
        </w:rPr>
        <w:t xml:space="preserve"> </w:t>
      </w:r>
      <w:r w:rsidR="00AD62E2" w:rsidRPr="002F16A1">
        <w:rPr>
          <w:i/>
          <w:iCs/>
          <w:noProof/>
        </w:rPr>
        <w:t>datę: rok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w:t>
      </w:r>
      <w:r w:rsidR="0028384B" w:rsidRPr="002F16A1">
        <w:rPr>
          <w:noProof/>
        </w:rPr>
        <w:t xml:space="preserve"> a</w:t>
      </w:r>
      <w:r w:rsidR="0028384B">
        <w:rPr>
          <w:noProof/>
        </w:rPr>
        <w:t> </w:t>
      </w:r>
      <w:r w:rsidR="0028384B" w:rsidRPr="002F16A1">
        <w:rPr>
          <w:noProof/>
        </w:rPr>
        <w:t>wsz</w:t>
      </w:r>
      <w:r w:rsidR="00AD62E2" w:rsidRPr="002F16A1">
        <w:rPr>
          <w:noProof/>
        </w:rPr>
        <w:t>ystkie informacje zostaną</w:t>
      </w:r>
      <w:r w:rsidR="0028384B" w:rsidRPr="002F16A1">
        <w:rPr>
          <w:noProof/>
        </w:rPr>
        <w:t xml:space="preserve"> w</w:t>
      </w:r>
      <w:r w:rsidR="0028384B">
        <w:rPr>
          <w:noProof/>
        </w:rPr>
        <w:t> </w:t>
      </w:r>
      <w:r w:rsidR="0028384B" w:rsidRPr="002F16A1">
        <w:rPr>
          <w:noProof/>
        </w:rPr>
        <w:t>nie</w:t>
      </w:r>
      <w:r w:rsidR="00AD62E2" w:rsidRPr="002F16A1">
        <w:rPr>
          <w:noProof/>
        </w:rPr>
        <w:t>j umieszczone do dnia [</w:t>
      </w:r>
      <w:r w:rsidR="00AD62E2" w:rsidRPr="002F16A1">
        <w:rPr>
          <w:i/>
          <w:iCs/>
          <w:noProof/>
        </w:rPr>
        <w:t>Urząd Publikacji: proszę wstawić</w:t>
      </w:r>
      <w:r w:rsidR="00AD62E2" w:rsidRPr="002F16A1">
        <w:rPr>
          <w:noProof/>
        </w:rPr>
        <w:t xml:space="preserve"> </w:t>
      </w:r>
      <w:r w:rsidR="00AD62E2" w:rsidRPr="002F16A1">
        <w:rPr>
          <w:i/>
          <w:iCs/>
          <w:noProof/>
        </w:rPr>
        <w:t>datę: trzy lata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 Baza ta jest udostępniana</w:t>
      </w:r>
      <w:r w:rsidR="0028384B" w:rsidRPr="002F16A1">
        <w:rPr>
          <w:noProof/>
        </w:rPr>
        <w:t xml:space="preserve"> w</w:t>
      </w:r>
      <w:r w:rsidR="0028384B">
        <w:rPr>
          <w:noProof/>
        </w:rPr>
        <w:t> </w:t>
      </w:r>
      <w:r w:rsidR="0028384B" w:rsidRPr="002F16A1">
        <w:rPr>
          <w:noProof/>
        </w:rPr>
        <w:t>pub</w:t>
      </w:r>
      <w:r w:rsidR="00AD62E2" w:rsidRPr="002F16A1">
        <w:rPr>
          <w:noProof/>
        </w:rPr>
        <w:t>licznie dostępnej postaci cyfrowej</w:t>
      </w:r>
      <w:r w:rsidR="0028384B" w:rsidRPr="002F16A1">
        <w:rPr>
          <w:noProof/>
        </w:rPr>
        <w:t xml:space="preserve"> i</w:t>
      </w:r>
      <w:r w:rsidR="0028384B">
        <w:rPr>
          <w:noProof/>
        </w:rPr>
        <w:t> </w:t>
      </w:r>
      <w:r w:rsidR="0028384B" w:rsidRPr="002F16A1">
        <w:rPr>
          <w:noProof/>
        </w:rPr>
        <w:t>akt</w:t>
      </w:r>
      <w:r w:rsidR="00AD62E2" w:rsidRPr="002F16A1">
        <w:rPr>
          <w:noProof/>
        </w:rPr>
        <w:t>ualizowana co najmniej co dwa lata</w:t>
      </w:r>
      <w:r w:rsidR="0028384B" w:rsidRPr="002F16A1">
        <w:rPr>
          <w:noProof/>
        </w:rPr>
        <w:t xml:space="preserve"> w</w:t>
      </w:r>
      <w:r w:rsidR="0028384B">
        <w:rPr>
          <w:noProof/>
        </w:rPr>
        <w:t> </w:t>
      </w:r>
      <w:r w:rsidR="0028384B" w:rsidRPr="002F16A1">
        <w:rPr>
          <w:noProof/>
        </w:rPr>
        <w:t>cel</w:t>
      </w:r>
      <w:r w:rsidR="00AD62E2" w:rsidRPr="002F16A1">
        <w:rPr>
          <w:noProof/>
        </w:rPr>
        <w:t>u uwzględnienia dodatkowych dostępnych informacji oraz nowo zamkniętych lub nowo zidentyfikowanych obiektów.</w:t>
      </w:r>
    </w:p>
    <w:p w:rsidR="00AD62E2" w:rsidRPr="002F16A1" w:rsidRDefault="00733965" w:rsidP="00733965">
      <w:pPr>
        <w:pStyle w:val="ManualNumPar1"/>
        <w:rPr>
          <w:noProof/>
        </w:rPr>
      </w:pPr>
      <w:r w:rsidRPr="00733965">
        <w:t>6.</w:t>
      </w:r>
      <w:r w:rsidRPr="00733965">
        <w:tab/>
      </w:r>
      <w:r w:rsidR="00AD62E2" w:rsidRPr="002F16A1">
        <w:rPr>
          <w:noProof/>
        </w:rPr>
        <w:t>W celu dostarczenia informacji,</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4</w:t>
      </w:r>
      <w:r w:rsidR="00AD62E2" w:rsidRPr="002F16A1">
        <w:rPr>
          <w:noProof/>
        </w:rPr>
        <w:t xml:space="preserve"> </w:t>
      </w:r>
      <w:r w:rsidR="00AD62E2" w:rsidRPr="0028384B">
        <w:rPr>
          <w:noProof/>
        </w:rPr>
        <w:t>lit.</w:t>
      </w:r>
      <w:r w:rsidR="0028384B" w:rsidRPr="0028384B">
        <w:rPr>
          <w:noProof/>
        </w:rPr>
        <w:t> </w:t>
      </w:r>
      <w:r w:rsidR="00AD62E2" w:rsidRPr="0028384B">
        <w:rPr>
          <w:noProof/>
        </w:rPr>
        <w:t>c)</w:t>
      </w:r>
      <w:r w:rsidR="00AD62E2" w:rsidRPr="002F16A1">
        <w:rPr>
          <w:noProof/>
        </w:rPr>
        <w:t>, państwa członkowskie podejmują co najmniej następujące działania:</w:t>
      </w:r>
    </w:p>
    <w:p w:rsidR="00AD62E2" w:rsidRPr="002F16A1" w:rsidRDefault="0028384B" w:rsidP="0028384B">
      <w:pPr>
        <w:pStyle w:val="Point1"/>
        <w:rPr>
          <w:noProof/>
        </w:rPr>
      </w:pPr>
      <w:r>
        <w:rPr>
          <w:noProof/>
        </w:rPr>
        <w:t>a)</w:t>
      </w:r>
      <w:r>
        <w:rPr>
          <w:noProof/>
        </w:rPr>
        <w:tab/>
      </w:r>
      <w:r w:rsidR="00AD62E2" w:rsidRPr="002F16A1">
        <w:rPr>
          <w:noProof/>
        </w:rPr>
        <w:t>w przypadku wszystkich zamkniętych obiektów unieszkodliwiania odpadów wydobywczych państwa członkowskie dokonują kompleksowego przeglądu dostępnej dokumentacji dotyczącej wydawania pozwoleń do dnia [</w:t>
      </w:r>
      <w:r w:rsidR="00AD62E2" w:rsidRPr="002F16A1">
        <w:rPr>
          <w:i/>
          <w:iCs/>
          <w:noProof/>
        </w:rPr>
        <w:t>Urząd Publikacji: proszę wstawić</w:t>
      </w:r>
      <w:r w:rsidR="00AD62E2" w:rsidRPr="002F16A1">
        <w:rPr>
          <w:noProof/>
        </w:rPr>
        <w:t xml:space="preserve"> </w:t>
      </w:r>
      <w:r w:rsidR="00AD62E2" w:rsidRPr="002F16A1">
        <w:rPr>
          <w:i/>
          <w:iCs/>
          <w:noProof/>
        </w:rPr>
        <w:t>datę: rok od daty wejścia</w:t>
      </w:r>
      <w:r w:rsidRPr="002F16A1">
        <w:rPr>
          <w:i/>
          <w:iCs/>
          <w:noProof/>
        </w:rPr>
        <w:t xml:space="preserve"> w</w:t>
      </w:r>
      <w:r>
        <w:rPr>
          <w:i/>
          <w:iCs/>
          <w:noProof/>
        </w:rPr>
        <w:t> </w:t>
      </w:r>
      <w:r w:rsidRPr="002F16A1">
        <w:rPr>
          <w:i/>
          <w:iCs/>
          <w:noProof/>
        </w:rPr>
        <w:t>życ</w:t>
      </w:r>
      <w:r w:rsidR="00AD62E2" w:rsidRPr="002F16A1">
        <w:rPr>
          <w:i/>
          <w:iCs/>
          <w:noProof/>
        </w:rPr>
        <w:t>ie niniejszego rozporządzenia</w:t>
      </w:r>
      <w:r w:rsidR="00AD62E2" w:rsidRPr="002F16A1">
        <w:rPr>
          <w:noProof/>
        </w:rPr>
        <w:t>];</w:t>
      </w:r>
    </w:p>
    <w:p w:rsidR="00AD62E2" w:rsidRPr="002F16A1" w:rsidRDefault="0028384B" w:rsidP="0028384B">
      <w:pPr>
        <w:pStyle w:val="Point1"/>
        <w:rPr>
          <w:noProof/>
        </w:rPr>
      </w:pPr>
      <w:r>
        <w:rPr>
          <w:noProof/>
        </w:rPr>
        <w:t>b)</w:t>
      </w:r>
      <w:r>
        <w:rPr>
          <w:noProof/>
        </w:rPr>
        <w:tab/>
      </w:r>
      <w:r w:rsidR="00AD62E2" w:rsidRPr="002F16A1">
        <w:rPr>
          <w:noProof/>
        </w:rPr>
        <w:t>w przypadku tych obiektów unieszkodliwiania odpadów wydobywczych, gdzie dostępne informacje nie wykluczają</w:t>
      </w:r>
      <w:r w:rsidRPr="002F16A1">
        <w:rPr>
          <w:noProof/>
        </w:rPr>
        <w:t xml:space="preserve"> </w:t>
      </w:r>
      <w:r w:rsidRPr="002F16A1">
        <w:rPr>
          <w:i/>
          <w:iCs/>
          <w:noProof/>
        </w:rPr>
        <w:t>a</w:t>
      </w:r>
      <w:r>
        <w:rPr>
          <w:noProof/>
        </w:rPr>
        <w:t> </w:t>
      </w:r>
      <w:r w:rsidRPr="002F16A1">
        <w:rPr>
          <w:i/>
          <w:iCs/>
          <w:noProof/>
        </w:rPr>
        <w:t>pri</w:t>
      </w:r>
      <w:r w:rsidR="00AD62E2" w:rsidRPr="002F16A1">
        <w:rPr>
          <w:i/>
          <w:iCs/>
          <w:noProof/>
        </w:rPr>
        <w:t>ori</w:t>
      </w:r>
      <w:r w:rsidR="00AD62E2" w:rsidRPr="002F16A1">
        <w:rPr>
          <w:noProof/>
        </w:rPr>
        <w:t xml:space="preserve"> obecności ilości surowców krytycznych, które</w:t>
      </w:r>
      <w:r w:rsidRPr="002F16A1">
        <w:rPr>
          <w:noProof/>
        </w:rPr>
        <w:t xml:space="preserve"> z</w:t>
      </w:r>
      <w:r>
        <w:rPr>
          <w:noProof/>
        </w:rPr>
        <w:t> </w:t>
      </w:r>
      <w:r w:rsidRPr="002F16A1">
        <w:rPr>
          <w:noProof/>
        </w:rPr>
        <w:t>eko</w:t>
      </w:r>
      <w:r w:rsidR="00AD62E2" w:rsidRPr="002F16A1">
        <w:rPr>
          <w:noProof/>
        </w:rPr>
        <w:t>nomicznego punktu widzenia są potencjalnie odzyskiwalne, państwa członkowskie przeprowadzają dodatkowo, do dnia [</w:t>
      </w:r>
      <w:r w:rsidR="00AD62E2" w:rsidRPr="002F16A1">
        <w:rPr>
          <w:i/>
          <w:iCs/>
          <w:noProof/>
        </w:rPr>
        <w:t>Urząd Publikacji: proszę wstawić</w:t>
      </w:r>
      <w:r w:rsidR="00AD62E2" w:rsidRPr="002F16A1">
        <w:rPr>
          <w:noProof/>
        </w:rPr>
        <w:t xml:space="preserve"> </w:t>
      </w:r>
      <w:r w:rsidR="00AD62E2" w:rsidRPr="002F16A1">
        <w:rPr>
          <w:i/>
          <w:iCs/>
          <w:noProof/>
        </w:rPr>
        <w:t>datę: dwa lata od daty wejścia</w:t>
      </w:r>
      <w:r w:rsidRPr="002F16A1">
        <w:rPr>
          <w:i/>
          <w:iCs/>
          <w:noProof/>
        </w:rPr>
        <w:t xml:space="preserve"> w</w:t>
      </w:r>
      <w:r>
        <w:rPr>
          <w:i/>
          <w:iCs/>
          <w:noProof/>
        </w:rPr>
        <w:t> </w:t>
      </w:r>
      <w:r w:rsidRPr="002F16A1">
        <w:rPr>
          <w:i/>
          <w:iCs/>
          <w:noProof/>
        </w:rPr>
        <w:t>życ</w:t>
      </w:r>
      <w:r w:rsidR="00AD62E2" w:rsidRPr="002F16A1">
        <w:rPr>
          <w:i/>
          <w:iCs/>
          <w:noProof/>
        </w:rPr>
        <w:t>ie niniejszego rozporządzenia</w:t>
      </w:r>
      <w:r w:rsidR="00AD62E2" w:rsidRPr="002F16A1">
        <w:rPr>
          <w:noProof/>
        </w:rPr>
        <w:t>] reprezentatywne pobieranie próbek geochemicznych;</w:t>
      </w:r>
    </w:p>
    <w:p w:rsidR="00AD62E2" w:rsidRPr="002F16A1" w:rsidRDefault="0028384B" w:rsidP="0028384B">
      <w:pPr>
        <w:pStyle w:val="Point1"/>
        <w:rPr>
          <w:noProof/>
        </w:rPr>
      </w:pPr>
      <w:r>
        <w:rPr>
          <w:noProof/>
        </w:rPr>
        <w:t>c)</w:t>
      </w:r>
      <w:r>
        <w:rPr>
          <w:noProof/>
        </w:rPr>
        <w:tab/>
      </w:r>
      <w:r w:rsidR="00AD62E2" w:rsidRPr="002F16A1">
        <w:rPr>
          <w:noProof/>
        </w:rPr>
        <w:t>w przypadku tych obiektów unieszkodliwiania odpadów wydobywczych, gdzie działania opisane</w:t>
      </w:r>
      <w:r w:rsidRPr="002F16A1">
        <w:rPr>
          <w:noProof/>
        </w:rPr>
        <w:t xml:space="preserve"> w</w:t>
      </w:r>
      <w:r>
        <w:rPr>
          <w:noProof/>
        </w:rPr>
        <w:t> </w:t>
      </w:r>
      <w:r w:rsidRPr="0028384B">
        <w:rPr>
          <w:noProof/>
        </w:rPr>
        <w:t>lit</w:t>
      </w:r>
      <w:r w:rsidR="00AD62E2" w:rsidRPr="0028384B">
        <w:rPr>
          <w:noProof/>
        </w:rPr>
        <w:t>.</w:t>
      </w:r>
      <w:r w:rsidRPr="0028384B">
        <w:rPr>
          <w:noProof/>
        </w:rPr>
        <w:t> </w:t>
      </w:r>
      <w:r w:rsidR="00AD62E2" w:rsidRPr="0028384B">
        <w:rPr>
          <w:noProof/>
        </w:rPr>
        <w:t>a)</w:t>
      </w:r>
      <w:r w:rsidR="00AD62E2" w:rsidRPr="002F16A1">
        <w:rPr>
          <w:noProof/>
        </w:rPr>
        <w:t xml:space="preserve"> i b) niniejszego ustępu wykazały obecność ilości surowców krytycznych, które</w:t>
      </w:r>
      <w:r w:rsidRPr="002F16A1">
        <w:rPr>
          <w:noProof/>
        </w:rPr>
        <w:t xml:space="preserve"> z</w:t>
      </w:r>
      <w:r>
        <w:rPr>
          <w:noProof/>
        </w:rPr>
        <w:t> </w:t>
      </w:r>
      <w:r w:rsidRPr="002F16A1">
        <w:rPr>
          <w:noProof/>
        </w:rPr>
        <w:t>eko</w:t>
      </w:r>
      <w:r w:rsidR="00AD62E2" w:rsidRPr="002F16A1">
        <w:rPr>
          <w:noProof/>
        </w:rPr>
        <w:t>nomicznego punktu widzenia są potencjalnie odzyskiwalne, państwa członkowskie przeprowadzają dodatkowo, do dnia [</w:t>
      </w:r>
      <w:r w:rsidR="00AD62E2" w:rsidRPr="002F16A1">
        <w:rPr>
          <w:i/>
          <w:iCs/>
          <w:noProof/>
        </w:rPr>
        <w:t>Urząd Publikacji: proszę wstawić</w:t>
      </w:r>
      <w:r w:rsidR="00AD62E2" w:rsidRPr="002F16A1">
        <w:rPr>
          <w:noProof/>
        </w:rPr>
        <w:t xml:space="preserve"> </w:t>
      </w:r>
      <w:r w:rsidR="00AD62E2" w:rsidRPr="002F16A1">
        <w:rPr>
          <w:i/>
          <w:iCs/>
          <w:noProof/>
        </w:rPr>
        <w:t>datę: 3 lata od daty wejścia</w:t>
      </w:r>
      <w:r w:rsidRPr="002F16A1">
        <w:rPr>
          <w:i/>
          <w:iCs/>
          <w:noProof/>
        </w:rPr>
        <w:t xml:space="preserve"> w</w:t>
      </w:r>
      <w:r>
        <w:rPr>
          <w:i/>
          <w:iCs/>
          <w:noProof/>
        </w:rPr>
        <w:t> </w:t>
      </w:r>
      <w:r w:rsidRPr="002F16A1">
        <w:rPr>
          <w:i/>
          <w:iCs/>
          <w:noProof/>
        </w:rPr>
        <w:t>życ</w:t>
      </w:r>
      <w:r w:rsidR="00AD62E2" w:rsidRPr="002F16A1">
        <w:rPr>
          <w:i/>
          <w:iCs/>
          <w:noProof/>
        </w:rPr>
        <w:t>ie niniejszego rozporządzenia</w:t>
      </w:r>
      <w:r w:rsidR="00AD62E2" w:rsidRPr="002F16A1">
        <w:rPr>
          <w:noProof/>
        </w:rPr>
        <w:t>], dokładniejszą analizę obejmującą pozyskiwanie za pomocą wiercenia rdzeniowego lub techniki równoważne, jeżeli jest to uzasadnione</w:t>
      </w:r>
      <w:r w:rsidRPr="002F16A1">
        <w:rPr>
          <w:noProof/>
        </w:rPr>
        <w:t xml:space="preserve"> z</w:t>
      </w:r>
      <w:r>
        <w:rPr>
          <w:noProof/>
        </w:rPr>
        <w:t> </w:t>
      </w:r>
      <w:r w:rsidRPr="002F16A1">
        <w:rPr>
          <w:noProof/>
        </w:rPr>
        <w:t>pun</w:t>
      </w:r>
      <w:r w:rsidR="00AD62E2" w:rsidRPr="002F16A1">
        <w:rPr>
          <w:noProof/>
        </w:rPr>
        <w:t>ktu widzenia ochrony środowiska zgodnie</w:t>
      </w:r>
      <w:r w:rsidRPr="002F16A1">
        <w:rPr>
          <w:noProof/>
        </w:rPr>
        <w:t xml:space="preserve"> z</w:t>
      </w:r>
      <w:r>
        <w:rPr>
          <w:noProof/>
        </w:rPr>
        <w:t> </w:t>
      </w:r>
      <w:r w:rsidRPr="002F16A1">
        <w:rPr>
          <w:noProof/>
        </w:rPr>
        <w:t>maj</w:t>
      </w:r>
      <w:r w:rsidR="00AD62E2" w:rsidRPr="002F16A1">
        <w:rPr>
          <w:noProof/>
        </w:rPr>
        <w:t>ącymi zastosowanie wymogami środowiskowymi na szczeblu Unii oraz,</w:t>
      </w:r>
      <w:r w:rsidRPr="002F16A1">
        <w:rPr>
          <w:noProof/>
        </w:rPr>
        <w:t xml:space="preserve"> w</w:t>
      </w:r>
      <w:r>
        <w:rPr>
          <w:noProof/>
        </w:rPr>
        <w:t> </w:t>
      </w:r>
      <w:r w:rsidRPr="002F16A1">
        <w:rPr>
          <w:noProof/>
        </w:rPr>
        <w:t>sto</w:t>
      </w:r>
      <w:r w:rsidR="00AD62E2" w:rsidRPr="002F16A1">
        <w:rPr>
          <w:noProof/>
        </w:rPr>
        <w:t>sownych przypadkach,</w:t>
      </w:r>
      <w:r w:rsidRPr="002F16A1">
        <w:rPr>
          <w:noProof/>
        </w:rPr>
        <w:t xml:space="preserve"> z</w:t>
      </w:r>
      <w:r>
        <w:rPr>
          <w:noProof/>
        </w:rPr>
        <w:t> </w:t>
      </w:r>
      <w:r w:rsidRPr="002F16A1">
        <w:rPr>
          <w:noProof/>
        </w:rPr>
        <w:t>wym</w:t>
      </w:r>
      <w:r w:rsidR="00AD62E2" w:rsidRPr="002F16A1">
        <w:rPr>
          <w:noProof/>
        </w:rPr>
        <w:t>ogami dyrektywy 2006/21/WE.</w:t>
      </w:r>
    </w:p>
    <w:p w:rsidR="00AD62E2" w:rsidRPr="002F16A1" w:rsidRDefault="00733965" w:rsidP="00733965">
      <w:pPr>
        <w:pStyle w:val="ManualNumPar1"/>
        <w:rPr>
          <w:noProof/>
        </w:rPr>
      </w:pPr>
      <w:r w:rsidRPr="00733965">
        <w:t>7.</w:t>
      </w:r>
      <w:r w:rsidRPr="00733965">
        <w:tab/>
      </w:r>
      <w:r w:rsidR="00AD62E2" w:rsidRPr="002F16A1">
        <w:rPr>
          <w:noProof/>
        </w:rPr>
        <w:t>Działania opisane</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6</w:t>
      </w:r>
      <w:r w:rsidR="00AD62E2" w:rsidRPr="002F16A1">
        <w:rPr>
          <w:noProof/>
        </w:rPr>
        <w:t xml:space="preserve"> wykonuje się</w:t>
      </w:r>
      <w:r w:rsidR="0028384B" w:rsidRPr="002F16A1">
        <w:rPr>
          <w:noProof/>
        </w:rPr>
        <w:t xml:space="preserve"> w</w:t>
      </w:r>
      <w:r w:rsidR="0028384B">
        <w:rPr>
          <w:noProof/>
        </w:rPr>
        <w:t> </w:t>
      </w:r>
      <w:r w:rsidR="0028384B" w:rsidRPr="002F16A1">
        <w:rPr>
          <w:noProof/>
        </w:rPr>
        <w:t>gra</w:t>
      </w:r>
      <w:r w:rsidR="00AD62E2" w:rsidRPr="002F16A1">
        <w:rPr>
          <w:noProof/>
        </w:rPr>
        <w:t>nicach krajowych systemów prawnych dotyczących praw własności, własności gruntów, zasobów surowców mineralnych</w:t>
      </w:r>
      <w:r w:rsidR="0028384B" w:rsidRPr="002F16A1">
        <w:rPr>
          <w:noProof/>
        </w:rPr>
        <w:t xml:space="preserve"> i</w:t>
      </w:r>
      <w:r w:rsidR="0028384B">
        <w:rPr>
          <w:noProof/>
        </w:rPr>
        <w:t> </w:t>
      </w:r>
      <w:r w:rsidR="0028384B" w:rsidRPr="002F16A1">
        <w:rPr>
          <w:noProof/>
        </w:rPr>
        <w:t>odp</w:t>
      </w:r>
      <w:r w:rsidR="00AD62E2" w:rsidRPr="002F16A1">
        <w:rPr>
          <w:noProof/>
        </w:rPr>
        <w:t>adów oraz wszelkich innych odpowiednich przepisów</w:t>
      </w:r>
      <w:r w:rsidR="0028384B" w:rsidRPr="002F16A1">
        <w:rPr>
          <w:noProof/>
        </w:rPr>
        <w:t>. W</w:t>
      </w:r>
      <w:r w:rsidR="0028384B">
        <w:rPr>
          <w:noProof/>
        </w:rPr>
        <w:t> </w:t>
      </w:r>
      <w:r w:rsidR="0028384B" w:rsidRPr="002F16A1">
        <w:rPr>
          <w:noProof/>
        </w:rPr>
        <w:t>prz</w:t>
      </w:r>
      <w:r w:rsidR="00AD62E2" w:rsidRPr="002F16A1">
        <w:rPr>
          <w:noProof/>
        </w:rPr>
        <w:t>ypadku gdy takie czynniki hamują rzeczone działania, organy państwa członkowskiego starają się nawiązać współpracę</w:t>
      </w:r>
      <w:r w:rsidR="0028384B" w:rsidRPr="002F16A1">
        <w:rPr>
          <w:noProof/>
        </w:rPr>
        <w:t xml:space="preserve"> z</w:t>
      </w:r>
      <w:r w:rsidR="0028384B">
        <w:rPr>
          <w:noProof/>
        </w:rPr>
        <w:t> </w:t>
      </w:r>
      <w:r w:rsidR="0028384B" w:rsidRPr="002F16A1">
        <w:rPr>
          <w:noProof/>
        </w:rPr>
        <w:t>ope</w:t>
      </w:r>
      <w:r w:rsidR="00AD62E2" w:rsidRPr="002F16A1">
        <w:rPr>
          <w:noProof/>
        </w:rPr>
        <w:t>ratorem lub właścicielem obiektu unieszkodliwiania odpadów wydobywczych. Wyniki działań opisanych</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6</w:t>
      </w:r>
      <w:r w:rsidR="00AD62E2" w:rsidRPr="002F16A1">
        <w:rPr>
          <w:noProof/>
        </w:rPr>
        <w:t xml:space="preserve"> są udostępniane jako część bazy danych</w:t>
      </w:r>
      <w:r w:rsidR="0028384B" w:rsidRPr="002F16A1">
        <w:rPr>
          <w:noProof/>
        </w:rPr>
        <w:t>. W</w:t>
      </w:r>
      <w:r w:rsidR="0028384B">
        <w:rPr>
          <w:noProof/>
        </w:rPr>
        <w:t> </w:t>
      </w:r>
      <w:r w:rsidR="0028384B" w:rsidRPr="002F16A1">
        <w:rPr>
          <w:noProof/>
        </w:rPr>
        <w:t>mia</w:t>
      </w:r>
      <w:r w:rsidR="00AD62E2" w:rsidRPr="002F16A1">
        <w:rPr>
          <w:noProof/>
        </w:rPr>
        <w:t>rę możliwości państwa członkowskie włączają do bazy danych klasyfikację zamkniętych obiektów unieszkodliwiania odpadów wydobywczych zgodnie</w:t>
      </w:r>
      <w:r w:rsidR="0028384B" w:rsidRPr="002F16A1">
        <w:rPr>
          <w:noProof/>
        </w:rPr>
        <w:t xml:space="preserve"> z</w:t>
      </w:r>
      <w:r w:rsidR="0028384B">
        <w:rPr>
          <w:noProof/>
        </w:rPr>
        <w:t> </w:t>
      </w:r>
      <w:r w:rsidR="0028384B" w:rsidRPr="002F16A1">
        <w:rPr>
          <w:noProof/>
        </w:rPr>
        <w:t>ram</w:t>
      </w:r>
      <w:r w:rsidR="00AD62E2" w:rsidRPr="002F16A1">
        <w:rPr>
          <w:noProof/>
        </w:rPr>
        <w:t>ową klasyfikacją zasobów ONZ.</w:t>
      </w:r>
    </w:p>
    <w:p w:rsidR="00AD62E2" w:rsidRPr="002F16A1" w:rsidRDefault="00AD62E2" w:rsidP="00AD62E2">
      <w:pPr>
        <w:pStyle w:val="Titrearticle"/>
        <w:rPr>
          <w:noProof/>
        </w:rPr>
      </w:pPr>
      <w:r w:rsidRPr="002F16A1">
        <w:rPr>
          <w:noProof/>
        </w:rPr>
        <w:t>Artykuł 27</w:t>
      </w:r>
    </w:p>
    <w:p w:rsidR="00AD62E2" w:rsidRPr="002F16A1" w:rsidRDefault="00AD62E2" w:rsidP="00AD62E2">
      <w:pPr>
        <w:pStyle w:val="NormalCentered"/>
        <w:rPr>
          <w:noProof/>
        </w:rPr>
      </w:pPr>
      <w:r w:rsidRPr="002F16A1">
        <w:rPr>
          <w:b/>
          <w:noProof/>
        </w:rPr>
        <w:t>Możliwość recyklingu magnesów trwałych</w:t>
      </w:r>
    </w:p>
    <w:p w:rsidR="00AD62E2" w:rsidRPr="002F16A1" w:rsidRDefault="00733965" w:rsidP="00733965">
      <w:pPr>
        <w:pStyle w:val="ManualNumPar1"/>
        <w:rPr>
          <w:rStyle w:val="ui-provider"/>
          <w:noProof/>
        </w:rPr>
      </w:pPr>
      <w:bookmarkStart w:id="17" w:name="__akn_article_VAyugM_VIOLN6"/>
      <w:bookmarkEnd w:id="17"/>
      <w:r w:rsidRPr="00733965">
        <w:rPr>
          <w:rStyle w:val="ui-provider"/>
        </w:rPr>
        <w:t>1.</w:t>
      </w:r>
      <w:r w:rsidRPr="00733965">
        <w:rPr>
          <w:rStyle w:val="ui-provider"/>
        </w:rPr>
        <w:tab/>
      </w:r>
      <w:r w:rsidR="00AD62E2" w:rsidRPr="002F16A1">
        <w:rPr>
          <w:noProof/>
        </w:rPr>
        <w:t>Od dnia [</w:t>
      </w:r>
      <w:r w:rsidR="00AD62E2" w:rsidRPr="002F16A1">
        <w:rPr>
          <w:i/>
          <w:iCs/>
          <w:noProof/>
        </w:rPr>
        <w:t>Urząd Publikacji: proszę wstawić</w:t>
      </w:r>
      <w:r w:rsidR="00AD62E2" w:rsidRPr="002F16A1">
        <w:rPr>
          <w:noProof/>
        </w:rPr>
        <w:t xml:space="preserve"> </w:t>
      </w:r>
      <w:r w:rsidR="00AD62E2" w:rsidRPr="002F16A1">
        <w:rPr>
          <w:i/>
          <w:iCs/>
          <w:noProof/>
        </w:rPr>
        <w:t>datę: 3 lata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 każda osoba fizyczna lub prawna, która wprowadza do obrotu urządzenia do obrazowania metodą rezonansu magnetycznego, wiatrowe prądnice mocy, roboty przemysłowe, pojazdy silnikowe, lekkie środki transportu, agregaty chłodnicze, pompy ciepła, silniki elektryczne,</w:t>
      </w:r>
      <w:r w:rsidR="0028384B" w:rsidRPr="002F16A1">
        <w:rPr>
          <w:noProof/>
        </w:rPr>
        <w:t xml:space="preserve"> w</w:t>
      </w:r>
      <w:r w:rsidR="0028384B">
        <w:rPr>
          <w:noProof/>
        </w:rPr>
        <w:t> </w:t>
      </w:r>
      <w:r w:rsidR="0028384B" w:rsidRPr="002F16A1">
        <w:rPr>
          <w:noProof/>
        </w:rPr>
        <w:t>tym</w:t>
      </w:r>
      <w:r w:rsidR="00AD62E2" w:rsidRPr="002F16A1">
        <w:rPr>
          <w:noProof/>
        </w:rPr>
        <w:t xml:space="preserve"> również zintegrowane</w:t>
      </w:r>
      <w:r w:rsidR="0028384B" w:rsidRPr="002F16A1">
        <w:rPr>
          <w:noProof/>
        </w:rPr>
        <w:t xml:space="preserve"> z</w:t>
      </w:r>
      <w:r w:rsidR="0028384B">
        <w:rPr>
          <w:noProof/>
        </w:rPr>
        <w:t> </w:t>
      </w:r>
      <w:r w:rsidR="0028384B" w:rsidRPr="002F16A1">
        <w:rPr>
          <w:noProof/>
        </w:rPr>
        <w:t>inn</w:t>
      </w:r>
      <w:r w:rsidR="00AD62E2" w:rsidRPr="002F16A1">
        <w:rPr>
          <w:noProof/>
        </w:rPr>
        <w:t xml:space="preserve">ymi produktami, pralki automatyczne, suszarki bębnowe, kuchenki mikrofalowe, odkurzacze lub zmywarki do naczyń, zapewnia, aby </w:t>
      </w:r>
      <w:r w:rsidR="00AD62E2" w:rsidRPr="002F16A1">
        <w:rPr>
          <w:rStyle w:val="ui-provider"/>
          <w:noProof/>
        </w:rPr>
        <w:t>produkty te opatrzono widoczną, wyraźnie czytelną</w:t>
      </w:r>
      <w:r w:rsidR="0028384B" w:rsidRPr="002F16A1">
        <w:rPr>
          <w:rStyle w:val="ui-provider"/>
          <w:noProof/>
        </w:rPr>
        <w:t xml:space="preserve"> i</w:t>
      </w:r>
      <w:r w:rsidR="0028384B">
        <w:rPr>
          <w:rStyle w:val="ui-provider"/>
          <w:noProof/>
        </w:rPr>
        <w:t> </w:t>
      </w:r>
      <w:r w:rsidR="0028384B" w:rsidRPr="002F16A1">
        <w:rPr>
          <w:rStyle w:val="ui-provider"/>
          <w:noProof/>
        </w:rPr>
        <w:t>nie</w:t>
      </w:r>
      <w:r w:rsidR="00AD62E2" w:rsidRPr="002F16A1">
        <w:rPr>
          <w:rStyle w:val="ui-provider"/>
          <w:noProof/>
        </w:rPr>
        <w:t>usuwalną etykietą, na której wskazano:</w:t>
      </w:r>
    </w:p>
    <w:p w:rsidR="00AD62E2" w:rsidRPr="002F16A1" w:rsidRDefault="0028384B" w:rsidP="0028384B">
      <w:pPr>
        <w:pStyle w:val="Point1"/>
        <w:rPr>
          <w:rStyle w:val="ui-provider"/>
          <w:noProof/>
        </w:rPr>
      </w:pPr>
      <w:r>
        <w:rPr>
          <w:rStyle w:val="ui-provider"/>
          <w:noProof/>
        </w:rPr>
        <w:t>a)</w:t>
      </w:r>
      <w:r>
        <w:rPr>
          <w:rStyle w:val="ui-provider"/>
          <w:noProof/>
        </w:rPr>
        <w:tab/>
      </w:r>
      <w:r w:rsidR="00AD62E2" w:rsidRPr="002F16A1">
        <w:rPr>
          <w:rStyle w:val="ui-provider"/>
          <w:noProof/>
        </w:rPr>
        <w:t>czy produkty te zawierają co najmniej jeden magnes trwały;</w:t>
      </w:r>
    </w:p>
    <w:p w:rsidR="00AD62E2" w:rsidRPr="002F16A1" w:rsidRDefault="0028384B" w:rsidP="0028384B">
      <w:pPr>
        <w:pStyle w:val="Point1"/>
        <w:rPr>
          <w:rStyle w:val="ui-provider"/>
          <w:noProof/>
        </w:rPr>
      </w:pPr>
      <w:r>
        <w:rPr>
          <w:rStyle w:val="ui-provider"/>
          <w:noProof/>
        </w:rPr>
        <w:t>b)</w:t>
      </w:r>
      <w:r>
        <w:rPr>
          <w:rStyle w:val="ui-provider"/>
          <w:noProof/>
        </w:rPr>
        <w:tab/>
      </w:r>
      <w:r w:rsidR="00AD62E2" w:rsidRPr="002F16A1">
        <w:rPr>
          <w:rStyle w:val="ui-provider"/>
          <w:noProof/>
        </w:rPr>
        <w:t>jeżeli produkt zawiera co najmniej jeden magnes trwały, czy magnesy te należą do któregokolwiek</w:t>
      </w:r>
      <w:r w:rsidRPr="002F16A1">
        <w:rPr>
          <w:rStyle w:val="ui-provider"/>
          <w:noProof/>
        </w:rPr>
        <w:t xml:space="preserve"> z</w:t>
      </w:r>
      <w:r>
        <w:rPr>
          <w:rStyle w:val="ui-provider"/>
          <w:noProof/>
        </w:rPr>
        <w:t> </w:t>
      </w:r>
      <w:r w:rsidRPr="002F16A1">
        <w:rPr>
          <w:rStyle w:val="ui-provider"/>
          <w:noProof/>
        </w:rPr>
        <w:t>nas</w:t>
      </w:r>
      <w:r w:rsidR="00AD62E2" w:rsidRPr="002F16A1">
        <w:rPr>
          <w:rStyle w:val="ui-provider"/>
          <w:noProof/>
        </w:rPr>
        <w:t xml:space="preserve">tępujących rodzajów: </w:t>
      </w:r>
    </w:p>
    <w:p w:rsidR="00AD62E2" w:rsidRPr="002F16A1" w:rsidRDefault="00AD62E2" w:rsidP="00AD62E2">
      <w:pPr>
        <w:pStyle w:val="Point2"/>
        <w:rPr>
          <w:noProof/>
        </w:rPr>
      </w:pPr>
      <w:r w:rsidRPr="002F16A1">
        <w:rPr>
          <w:noProof/>
        </w:rPr>
        <w:t>(i) neodym-żelazo-bor;</w:t>
      </w:r>
    </w:p>
    <w:p w:rsidR="00AD62E2" w:rsidRPr="002F16A1" w:rsidRDefault="00AD62E2" w:rsidP="00AD62E2">
      <w:pPr>
        <w:pStyle w:val="Point2"/>
        <w:rPr>
          <w:noProof/>
        </w:rPr>
      </w:pPr>
      <w:r w:rsidRPr="002F16A1">
        <w:rPr>
          <w:noProof/>
        </w:rPr>
        <w:t>(ii) samar-kobalt;</w:t>
      </w:r>
    </w:p>
    <w:p w:rsidR="00AD62E2" w:rsidRPr="002F16A1" w:rsidRDefault="00AD62E2" w:rsidP="00AD62E2">
      <w:pPr>
        <w:pStyle w:val="Point2"/>
        <w:rPr>
          <w:noProof/>
        </w:rPr>
      </w:pPr>
      <w:r w:rsidRPr="002F16A1">
        <w:rPr>
          <w:noProof/>
        </w:rPr>
        <w:t xml:space="preserve">(iii) aluminium-nikiel-kobalt; </w:t>
      </w:r>
    </w:p>
    <w:p w:rsidR="00AD62E2" w:rsidRPr="002F16A1" w:rsidRDefault="00AD62E2" w:rsidP="00AD62E2">
      <w:pPr>
        <w:pStyle w:val="Point2"/>
        <w:rPr>
          <w:noProof/>
        </w:rPr>
      </w:pPr>
      <w:r w:rsidRPr="002F16A1">
        <w:rPr>
          <w:noProof/>
        </w:rPr>
        <w:t>(iv) ferryt</w:t>
      </w:r>
      <w:r w:rsidRPr="002F16A1">
        <w:rPr>
          <w:noProof/>
          <w:color w:val="2B579A"/>
          <w:shd w:val="clear" w:color="auto" w:fill="E6E6E6"/>
        </w:rPr>
        <w:t>.</w:t>
      </w:r>
    </w:p>
    <w:p w:rsidR="00AD62E2" w:rsidRPr="002F16A1" w:rsidRDefault="00733965" w:rsidP="00733965">
      <w:pPr>
        <w:pStyle w:val="ManualNumPar1"/>
        <w:rPr>
          <w:noProof/>
        </w:rPr>
      </w:pPr>
      <w:r w:rsidRPr="00733965">
        <w:t>2.</w:t>
      </w:r>
      <w:r w:rsidRPr="00733965">
        <w:tab/>
      </w:r>
      <w:r w:rsidR="00AD62E2" w:rsidRPr="002F16A1">
        <w:rPr>
          <w:noProof/>
        </w:rPr>
        <w:t>Komisja przyjmuje akt wykonawczy ustanawiający wzór etykiety,</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Ten akt wykonawczy przyjmuje się zgodnie</w:t>
      </w:r>
      <w:r w:rsidR="0028384B" w:rsidRPr="002F16A1">
        <w:rPr>
          <w:noProof/>
        </w:rPr>
        <w:t xml:space="preserve"> z</w:t>
      </w:r>
      <w:r w:rsidR="0028384B">
        <w:rPr>
          <w:noProof/>
        </w:rPr>
        <w:t> </w:t>
      </w:r>
      <w:r w:rsidR="0028384B" w:rsidRPr="002F16A1">
        <w:rPr>
          <w:noProof/>
        </w:rPr>
        <w:t>pro</w:t>
      </w:r>
      <w:r w:rsidR="00AD62E2" w:rsidRPr="002F16A1">
        <w:rPr>
          <w:noProof/>
        </w:rPr>
        <w:t>cedurą sprawdzającą,</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7 </w:t>
      </w:r>
      <w:r w:rsidR="00AD62E2" w:rsidRPr="0028384B">
        <w:rPr>
          <w:noProof/>
        </w:rPr>
        <w:t>ust.</w:t>
      </w:r>
      <w:r w:rsidR="0028384B" w:rsidRPr="0028384B">
        <w:rPr>
          <w:noProof/>
        </w:rPr>
        <w:t> </w:t>
      </w:r>
      <w:r w:rsidR="00AD62E2" w:rsidRPr="0028384B">
        <w:rPr>
          <w:noProof/>
        </w:rPr>
        <w:t>3</w:t>
      </w:r>
      <w:r w:rsidR="00AD62E2" w:rsidRPr="002F16A1">
        <w:rPr>
          <w:noProof/>
        </w:rPr>
        <w:t>.</w:t>
      </w:r>
    </w:p>
    <w:p w:rsidR="00AD62E2" w:rsidRPr="002F16A1" w:rsidRDefault="00733965" w:rsidP="00733965">
      <w:pPr>
        <w:pStyle w:val="ManualNumPar1"/>
        <w:rPr>
          <w:noProof/>
        </w:rPr>
      </w:pPr>
      <w:r w:rsidRPr="00733965">
        <w:t>3.</w:t>
      </w:r>
      <w:r w:rsidRPr="00733965">
        <w:tab/>
      </w:r>
      <w:r w:rsidR="00AD62E2" w:rsidRPr="002F16A1">
        <w:rPr>
          <w:noProof/>
        </w:rPr>
        <w:t>Od dnia [</w:t>
      </w:r>
      <w:r w:rsidR="00AD62E2" w:rsidRPr="002F16A1">
        <w:rPr>
          <w:i/>
          <w:iCs/>
          <w:noProof/>
        </w:rPr>
        <w:t>Urząd Publikacji: proszę wstawić</w:t>
      </w:r>
      <w:r w:rsidR="00AD62E2" w:rsidRPr="002F16A1">
        <w:rPr>
          <w:noProof/>
        </w:rPr>
        <w:t xml:space="preserve"> </w:t>
      </w:r>
      <w:r w:rsidR="00AD62E2" w:rsidRPr="002F16A1">
        <w:rPr>
          <w:i/>
          <w:iCs/>
          <w:noProof/>
        </w:rPr>
        <w:t>datę: 3 lata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 każda osoba fizyczna lub prawna wprowadzająca do obrotu produkty,</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xml:space="preserve">, zawierające </w:t>
      </w:r>
      <w:r w:rsidR="00AD62E2" w:rsidRPr="002F16A1">
        <w:rPr>
          <w:rStyle w:val="ui-provider"/>
          <w:noProof/>
        </w:rPr>
        <w:t xml:space="preserve">co najmniej jeden magnes trwały </w:t>
      </w:r>
      <w:r w:rsidR="00AD62E2" w:rsidRPr="002F16A1">
        <w:rPr>
          <w:noProof/>
        </w:rPr>
        <w:t>należący do rodzajów,</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xml:space="preserve"> </w:t>
      </w:r>
      <w:r w:rsidR="00AD62E2" w:rsidRPr="0028384B">
        <w:rPr>
          <w:noProof/>
        </w:rPr>
        <w:t>lit.</w:t>
      </w:r>
      <w:r w:rsidR="0028384B" w:rsidRPr="0028384B">
        <w:rPr>
          <w:noProof/>
        </w:rPr>
        <w:t> </w:t>
      </w:r>
      <w:r w:rsidR="00AD62E2" w:rsidRPr="0028384B">
        <w:rPr>
          <w:noProof/>
        </w:rPr>
        <w:t>b)</w:t>
      </w:r>
      <w:r w:rsidR="00AD62E2" w:rsidRPr="002F16A1">
        <w:rPr>
          <w:noProof/>
        </w:rPr>
        <w:t xml:space="preserve"> pkt (i)–(iii), zapewnia, aby </w:t>
      </w:r>
      <w:r w:rsidR="00AD62E2" w:rsidRPr="002F16A1">
        <w:rPr>
          <w:rStyle w:val="ui-provider"/>
          <w:noProof/>
        </w:rPr>
        <w:t>na lub</w:t>
      </w:r>
      <w:r w:rsidR="0028384B" w:rsidRPr="002F16A1">
        <w:rPr>
          <w:rStyle w:val="ui-provider"/>
          <w:noProof/>
        </w:rPr>
        <w:t xml:space="preserve"> w</w:t>
      </w:r>
      <w:r w:rsidR="0028384B">
        <w:rPr>
          <w:rStyle w:val="ui-provider"/>
          <w:noProof/>
        </w:rPr>
        <w:t> </w:t>
      </w:r>
      <w:r w:rsidR="0028384B" w:rsidRPr="002F16A1">
        <w:rPr>
          <w:rStyle w:val="ui-provider"/>
          <w:noProof/>
        </w:rPr>
        <w:t>pro</w:t>
      </w:r>
      <w:r w:rsidR="00AD62E2" w:rsidRPr="002F16A1">
        <w:rPr>
          <w:rStyle w:val="ui-provider"/>
          <w:noProof/>
        </w:rPr>
        <w:t>dukcie znajdował się nośnik danych</w:t>
      </w:r>
      <w:r w:rsidR="00AD62E2" w:rsidRPr="002F16A1">
        <w:rPr>
          <w:noProof/>
        </w:rPr>
        <w:t>.</w:t>
      </w:r>
    </w:p>
    <w:p w:rsidR="00AD62E2" w:rsidRPr="002F16A1" w:rsidRDefault="00733965" w:rsidP="00733965">
      <w:pPr>
        <w:pStyle w:val="ManualNumPar1"/>
        <w:rPr>
          <w:noProof/>
        </w:rPr>
      </w:pPr>
      <w:r w:rsidRPr="00733965">
        <w:t>4.</w:t>
      </w:r>
      <w:r w:rsidRPr="00733965">
        <w:tab/>
      </w:r>
      <w:r w:rsidR="00AD62E2" w:rsidRPr="002F16A1">
        <w:rPr>
          <w:noProof/>
        </w:rPr>
        <w:t>Nośnik danych,</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3</w:t>
      </w:r>
      <w:r w:rsidR="00AD62E2" w:rsidRPr="002F16A1">
        <w:rPr>
          <w:noProof/>
        </w:rPr>
        <w:t>, jest powiązany</w:t>
      </w:r>
      <w:r w:rsidR="0028384B" w:rsidRPr="002F16A1">
        <w:rPr>
          <w:noProof/>
        </w:rPr>
        <w:t xml:space="preserve"> z</w:t>
      </w:r>
      <w:r w:rsidR="0028384B">
        <w:rPr>
          <w:noProof/>
        </w:rPr>
        <w:t> </w:t>
      </w:r>
      <w:r w:rsidR="0028384B" w:rsidRPr="002F16A1">
        <w:rPr>
          <w:noProof/>
        </w:rPr>
        <w:t>uni</w:t>
      </w:r>
      <w:r w:rsidR="00AD62E2" w:rsidRPr="002F16A1">
        <w:rPr>
          <w:noProof/>
        </w:rPr>
        <w:t>katowym identyfikatorem produktu, który zapewnia dostęp do:</w:t>
      </w:r>
    </w:p>
    <w:p w:rsidR="00AD62E2" w:rsidRPr="002F16A1" w:rsidRDefault="0028384B" w:rsidP="0028384B">
      <w:pPr>
        <w:pStyle w:val="Point1"/>
        <w:rPr>
          <w:noProof/>
        </w:rPr>
      </w:pPr>
      <w:r>
        <w:rPr>
          <w:noProof/>
        </w:rPr>
        <w:t>a)</w:t>
      </w:r>
      <w:r>
        <w:rPr>
          <w:noProof/>
        </w:rPr>
        <w:tab/>
      </w:r>
      <w:r w:rsidR="00AD62E2" w:rsidRPr="002F16A1">
        <w:rPr>
          <w:noProof/>
        </w:rPr>
        <w:t>nazwy, zarejestrowanej nazwy handlowej lub zarejestrowanego znaku towarowego</w:t>
      </w:r>
      <w:r w:rsidRPr="002F16A1">
        <w:rPr>
          <w:noProof/>
        </w:rPr>
        <w:t xml:space="preserve"> i</w:t>
      </w:r>
      <w:r>
        <w:rPr>
          <w:noProof/>
        </w:rPr>
        <w:t> </w:t>
      </w:r>
      <w:r w:rsidRPr="002F16A1">
        <w:rPr>
          <w:noProof/>
        </w:rPr>
        <w:t>adr</w:t>
      </w:r>
      <w:r w:rsidR="00AD62E2" w:rsidRPr="002F16A1">
        <w:rPr>
          <w:noProof/>
        </w:rPr>
        <w:t>esu pocztowego odpowiedzialnej osoby fizycznej lub prawnej oraz, jeśli są dostępne, elektronicznych środków komunikacji, za pomocą których można się</w:t>
      </w:r>
      <w:r w:rsidRPr="002F16A1">
        <w:rPr>
          <w:noProof/>
        </w:rPr>
        <w:t xml:space="preserve"> z</w:t>
      </w:r>
      <w:r>
        <w:rPr>
          <w:noProof/>
        </w:rPr>
        <w:t> </w:t>
      </w:r>
      <w:r w:rsidRPr="002F16A1">
        <w:rPr>
          <w:noProof/>
        </w:rPr>
        <w:t>nią</w:t>
      </w:r>
      <w:r w:rsidR="00AD62E2" w:rsidRPr="002F16A1">
        <w:rPr>
          <w:noProof/>
        </w:rPr>
        <w:t xml:space="preserve"> skontaktować;</w:t>
      </w:r>
    </w:p>
    <w:p w:rsidR="00AD62E2" w:rsidRPr="002F16A1" w:rsidRDefault="0028384B" w:rsidP="0028384B">
      <w:pPr>
        <w:pStyle w:val="Point1"/>
        <w:rPr>
          <w:noProof/>
        </w:rPr>
      </w:pPr>
      <w:r>
        <w:rPr>
          <w:noProof/>
        </w:rPr>
        <w:t>b)</w:t>
      </w:r>
      <w:r>
        <w:rPr>
          <w:noProof/>
        </w:rPr>
        <w:tab/>
      </w:r>
      <w:r w:rsidR="00AD62E2" w:rsidRPr="002F16A1">
        <w:rPr>
          <w:noProof/>
        </w:rPr>
        <w:t>informacji</w:t>
      </w:r>
      <w:r w:rsidRPr="002F16A1">
        <w:rPr>
          <w:noProof/>
        </w:rPr>
        <w:t xml:space="preserve"> o</w:t>
      </w:r>
      <w:r>
        <w:rPr>
          <w:noProof/>
        </w:rPr>
        <w:t> </w:t>
      </w:r>
      <w:r w:rsidRPr="002F16A1">
        <w:rPr>
          <w:noProof/>
        </w:rPr>
        <w:t>wad</w:t>
      </w:r>
      <w:r w:rsidR="00AD62E2" w:rsidRPr="002F16A1">
        <w:rPr>
          <w:noProof/>
        </w:rPr>
        <w:t>ze, rozmieszczeniu</w:t>
      </w:r>
      <w:r w:rsidRPr="002F16A1">
        <w:rPr>
          <w:noProof/>
        </w:rPr>
        <w:t xml:space="preserve"> i</w:t>
      </w:r>
      <w:r>
        <w:rPr>
          <w:noProof/>
        </w:rPr>
        <w:t> </w:t>
      </w:r>
      <w:r w:rsidRPr="002F16A1">
        <w:rPr>
          <w:noProof/>
        </w:rPr>
        <w:t>skł</w:t>
      </w:r>
      <w:r w:rsidR="00AD62E2" w:rsidRPr="002F16A1">
        <w:rPr>
          <w:noProof/>
        </w:rPr>
        <w:t>adzie chemicznym wszystkich poszczególnych magnesów trwałych wchodzących</w:t>
      </w:r>
      <w:r w:rsidRPr="002F16A1">
        <w:rPr>
          <w:noProof/>
        </w:rPr>
        <w:t xml:space="preserve"> w</w:t>
      </w:r>
      <w:r>
        <w:rPr>
          <w:noProof/>
        </w:rPr>
        <w:t> </w:t>
      </w:r>
      <w:r w:rsidRPr="002F16A1">
        <w:rPr>
          <w:noProof/>
        </w:rPr>
        <w:t>skł</w:t>
      </w:r>
      <w:r w:rsidR="00AD62E2" w:rsidRPr="002F16A1">
        <w:rPr>
          <w:noProof/>
        </w:rPr>
        <w:t>ad produktu oraz</w:t>
      </w:r>
      <w:r w:rsidRPr="002F16A1">
        <w:rPr>
          <w:noProof/>
        </w:rPr>
        <w:t xml:space="preserve"> o</w:t>
      </w:r>
      <w:r>
        <w:rPr>
          <w:noProof/>
        </w:rPr>
        <w:t> </w:t>
      </w:r>
      <w:r w:rsidRPr="002F16A1">
        <w:rPr>
          <w:noProof/>
        </w:rPr>
        <w:t>obe</w:t>
      </w:r>
      <w:r w:rsidR="00AD62E2" w:rsidRPr="002F16A1">
        <w:rPr>
          <w:noProof/>
        </w:rPr>
        <w:t>cności</w:t>
      </w:r>
      <w:r w:rsidRPr="002F16A1">
        <w:rPr>
          <w:noProof/>
        </w:rPr>
        <w:t xml:space="preserve"> i</w:t>
      </w:r>
      <w:r>
        <w:rPr>
          <w:noProof/>
        </w:rPr>
        <w:t> </w:t>
      </w:r>
      <w:r w:rsidRPr="002F16A1">
        <w:rPr>
          <w:noProof/>
        </w:rPr>
        <w:t>rod</w:t>
      </w:r>
      <w:r w:rsidR="00AD62E2" w:rsidRPr="002F16A1">
        <w:rPr>
          <w:noProof/>
        </w:rPr>
        <w:t>zaju powłok magnesów, klejów</w:t>
      </w:r>
      <w:r w:rsidRPr="002F16A1">
        <w:rPr>
          <w:noProof/>
        </w:rPr>
        <w:t xml:space="preserve"> i</w:t>
      </w:r>
      <w:r>
        <w:rPr>
          <w:noProof/>
        </w:rPr>
        <w:t> </w:t>
      </w:r>
      <w:r w:rsidRPr="002F16A1">
        <w:rPr>
          <w:noProof/>
        </w:rPr>
        <w:t>wsz</w:t>
      </w:r>
      <w:r w:rsidR="00AD62E2" w:rsidRPr="002F16A1">
        <w:rPr>
          <w:noProof/>
        </w:rPr>
        <w:t>elkich wykorzystanych dodatków;</w:t>
      </w:r>
    </w:p>
    <w:p w:rsidR="00AD62E2" w:rsidRPr="002F16A1" w:rsidRDefault="0028384B" w:rsidP="0028384B">
      <w:pPr>
        <w:pStyle w:val="Point1"/>
        <w:rPr>
          <w:noProof/>
        </w:rPr>
      </w:pPr>
      <w:r>
        <w:rPr>
          <w:noProof/>
        </w:rPr>
        <w:t>c)</w:t>
      </w:r>
      <w:r>
        <w:rPr>
          <w:noProof/>
        </w:rPr>
        <w:tab/>
      </w:r>
      <w:r w:rsidR="00AD62E2" w:rsidRPr="002F16A1">
        <w:rPr>
          <w:noProof/>
        </w:rPr>
        <w:t>informacji umożliwiających dostęp do wszystkich magnesów trwałych wbudowanych</w:t>
      </w:r>
      <w:r w:rsidRPr="002F16A1">
        <w:rPr>
          <w:noProof/>
        </w:rPr>
        <w:t xml:space="preserve"> w</w:t>
      </w:r>
      <w:r>
        <w:rPr>
          <w:noProof/>
        </w:rPr>
        <w:t> </w:t>
      </w:r>
      <w:r w:rsidRPr="002F16A1">
        <w:rPr>
          <w:noProof/>
        </w:rPr>
        <w:t>pro</w:t>
      </w:r>
      <w:r w:rsidR="00AD62E2" w:rsidRPr="002F16A1">
        <w:rPr>
          <w:noProof/>
        </w:rPr>
        <w:t>dukt</w:t>
      </w:r>
      <w:r w:rsidRPr="002F16A1">
        <w:rPr>
          <w:noProof/>
        </w:rPr>
        <w:t xml:space="preserve"> i</w:t>
      </w:r>
      <w:r>
        <w:rPr>
          <w:noProof/>
        </w:rPr>
        <w:t> </w:t>
      </w:r>
      <w:r w:rsidRPr="002F16A1">
        <w:rPr>
          <w:noProof/>
        </w:rPr>
        <w:t>ich</w:t>
      </w:r>
      <w:r w:rsidR="00AD62E2" w:rsidRPr="002F16A1">
        <w:rPr>
          <w:noProof/>
        </w:rPr>
        <w:t xml:space="preserve"> wymontowanie, obejmujących co najmniej sekwencję wszystkich etapów wymontowywania, narzędzia lub technologie wymagane do uzyskania dostępu do magnesu trwałego</w:t>
      </w:r>
      <w:r w:rsidRPr="002F16A1">
        <w:rPr>
          <w:noProof/>
        </w:rPr>
        <w:t xml:space="preserve"> i</w:t>
      </w:r>
      <w:r>
        <w:rPr>
          <w:noProof/>
        </w:rPr>
        <w:t> </w:t>
      </w:r>
      <w:r w:rsidRPr="002F16A1">
        <w:rPr>
          <w:noProof/>
        </w:rPr>
        <w:t>jeg</w:t>
      </w:r>
      <w:r w:rsidR="00AD62E2" w:rsidRPr="002F16A1">
        <w:rPr>
          <w:noProof/>
        </w:rPr>
        <w:t xml:space="preserve">o wymontowania, bez uszczerbku dla </w:t>
      </w:r>
      <w:r w:rsidR="00AD62E2" w:rsidRPr="0028384B">
        <w:rPr>
          <w:noProof/>
        </w:rPr>
        <w:t>art.</w:t>
      </w:r>
      <w:r w:rsidRPr="0028384B">
        <w:rPr>
          <w:noProof/>
        </w:rPr>
        <w:t> </w:t>
      </w:r>
      <w:r w:rsidR="00AD62E2" w:rsidRPr="0028384B">
        <w:rPr>
          <w:noProof/>
        </w:rPr>
        <w:t>1</w:t>
      </w:r>
      <w:r w:rsidR="00AD62E2" w:rsidRPr="002F16A1">
        <w:rPr>
          <w:noProof/>
        </w:rPr>
        <w:t xml:space="preserve">5 </w:t>
      </w:r>
      <w:r w:rsidR="00AD62E2" w:rsidRPr="0028384B">
        <w:rPr>
          <w:noProof/>
        </w:rPr>
        <w:t>ust.</w:t>
      </w:r>
      <w:r w:rsidRPr="0028384B">
        <w:rPr>
          <w:noProof/>
        </w:rPr>
        <w:t> </w:t>
      </w:r>
      <w:r w:rsidR="00AD62E2" w:rsidRPr="0028384B">
        <w:rPr>
          <w:noProof/>
        </w:rPr>
        <w:t>1</w:t>
      </w:r>
      <w:r w:rsidR="00AD62E2" w:rsidRPr="002F16A1">
        <w:rPr>
          <w:noProof/>
        </w:rPr>
        <w:t xml:space="preserve"> dyrektywy 2012/19/UE.</w:t>
      </w:r>
    </w:p>
    <w:p w:rsidR="00AD62E2" w:rsidRPr="002F16A1" w:rsidRDefault="00733965" w:rsidP="00733965">
      <w:pPr>
        <w:pStyle w:val="ManualNumPar1"/>
        <w:rPr>
          <w:noProof/>
        </w:rPr>
      </w:pPr>
      <w:r w:rsidRPr="00733965">
        <w:t>5.</w:t>
      </w:r>
      <w:r w:rsidRPr="00733965">
        <w:tab/>
      </w:r>
      <w:r w:rsidR="00AD62E2" w:rsidRPr="002F16A1">
        <w:rPr>
          <w:noProof/>
        </w:rPr>
        <w:t>W przypadku produktów,</w:t>
      </w:r>
      <w:r w:rsidR="0028384B" w:rsidRPr="002F16A1">
        <w:rPr>
          <w:noProof/>
        </w:rPr>
        <w:t xml:space="preserve"> w</w:t>
      </w:r>
      <w:r w:rsidR="0028384B">
        <w:rPr>
          <w:noProof/>
        </w:rPr>
        <w:t> </w:t>
      </w:r>
      <w:r w:rsidR="0028384B" w:rsidRPr="002F16A1">
        <w:rPr>
          <w:noProof/>
        </w:rPr>
        <w:t>któ</w:t>
      </w:r>
      <w:r w:rsidR="00AD62E2" w:rsidRPr="002F16A1">
        <w:rPr>
          <w:noProof/>
        </w:rPr>
        <w:t>rych wbudowane magnesy trwałe znajdują się wyłącznie</w:t>
      </w:r>
      <w:r w:rsidR="0028384B" w:rsidRPr="002F16A1">
        <w:rPr>
          <w:noProof/>
        </w:rPr>
        <w:t xml:space="preserve"> w</w:t>
      </w:r>
      <w:r w:rsidR="0028384B">
        <w:rPr>
          <w:noProof/>
        </w:rPr>
        <w:t> </w:t>
      </w:r>
      <w:r w:rsidR="0028384B" w:rsidRPr="002F16A1">
        <w:rPr>
          <w:noProof/>
        </w:rPr>
        <w:t>jed</w:t>
      </w:r>
      <w:r w:rsidR="00AD62E2" w:rsidRPr="002F16A1">
        <w:rPr>
          <w:noProof/>
        </w:rPr>
        <w:t>nym lub kilku silnikach elektrycznych wbudowanych</w:t>
      </w:r>
      <w:r w:rsidR="0028384B" w:rsidRPr="002F16A1">
        <w:rPr>
          <w:noProof/>
        </w:rPr>
        <w:t xml:space="preserve"> w</w:t>
      </w:r>
      <w:r w:rsidR="0028384B">
        <w:rPr>
          <w:noProof/>
        </w:rPr>
        <w:t> </w:t>
      </w:r>
      <w:r w:rsidR="0028384B" w:rsidRPr="002F16A1">
        <w:rPr>
          <w:noProof/>
        </w:rPr>
        <w:t>pro</w:t>
      </w:r>
      <w:r w:rsidR="00AD62E2" w:rsidRPr="002F16A1">
        <w:rPr>
          <w:noProof/>
        </w:rPr>
        <w:t>dukt, informacje,</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4</w:t>
      </w:r>
      <w:r w:rsidR="00AD62E2" w:rsidRPr="002F16A1">
        <w:rPr>
          <w:noProof/>
        </w:rPr>
        <w:t xml:space="preserve"> </w:t>
      </w:r>
      <w:r w:rsidR="00AD62E2" w:rsidRPr="0028384B">
        <w:rPr>
          <w:noProof/>
        </w:rPr>
        <w:t>lit.</w:t>
      </w:r>
      <w:r w:rsidR="0028384B" w:rsidRPr="0028384B">
        <w:rPr>
          <w:noProof/>
        </w:rPr>
        <w:t> </w:t>
      </w:r>
      <w:r w:rsidR="00AD62E2" w:rsidRPr="0028384B">
        <w:rPr>
          <w:noProof/>
        </w:rPr>
        <w:t>b)</w:t>
      </w:r>
      <w:r w:rsidR="00AD62E2" w:rsidRPr="002F16A1">
        <w:rPr>
          <w:noProof/>
        </w:rPr>
        <w:t>, można zastąpić informacjami</w:t>
      </w:r>
      <w:r w:rsidR="0028384B" w:rsidRPr="002F16A1">
        <w:rPr>
          <w:noProof/>
        </w:rPr>
        <w:t xml:space="preserve"> o</w:t>
      </w:r>
      <w:r w:rsidR="0028384B">
        <w:rPr>
          <w:noProof/>
        </w:rPr>
        <w:t> </w:t>
      </w:r>
      <w:r w:rsidR="0028384B" w:rsidRPr="002F16A1">
        <w:rPr>
          <w:noProof/>
        </w:rPr>
        <w:t>lok</w:t>
      </w:r>
      <w:r w:rsidR="00AD62E2" w:rsidRPr="002F16A1">
        <w:rPr>
          <w:noProof/>
        </w:rPr>
        <w:t>alizacji tych silników elektrycznych,</w:t>
      </w:r>
      <w:r w:rsidR="0028384B" w:rsidRPr="002F16A1">
        <w:rPr>
          <w:noProof/>
        </w:rPr>
        <w:t xml:space="preserve"> a</w:t>
      </w:r>
      <w:r w:rsidR="0028384B">
        <w:rPr>
          <w:noProof/>
        </w:rPr>
        <w:t> </w:t>
      </w:r>
      <w:r w:rsidR="0028384B" w:rsidRPr="002F16A1">
        <w:rPr>
          <w:noProof/>
        </w:rPr>
        <w:t>inf</w:t>
      </w:r>
      <w:r w:rsidR="00AD62E2" w:rsidRPr="002F16A1">
        <w:rPr>
          <w:noProof/>
        </w:rPr>
        <w:t>ormacje,</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4</w:t>
      </w:r>
      <w:r w:rsidR="00AD62E2" w:rsidRPr="002F16A1">
        <w:rPr>
          <w:noProof/>
        </w:rPr>
        <w:t xml:space="preserve"> </w:t>
      </w:r>
      <w:r w:rsidR="00AD62E2" w:rsidRPr="0028384B">
        <w:rPr>
          <w:noProof/>
        </w:rPr>
        <w:t>lit.</w:t>
      </w:r>
      <w:r w:rsidR="0028384B" w:rsidRPr="0028384B">
        <w:rPr>
          <w:noProof/>
        </w:rPr>
        <w:t> </w:t>
      </w:r>
      <w:r w:rsidR="00AD62E2" w:rsidRPr="0028384B">
        <w:rPr>
          <w:noProof/>
        </w:rPr>
        <w:t>c)</w:t>
      </w:r>
      <w:r w:rsidR="00AD62E2" w:rsidRPr="002F16A1">
        <w:rPr>
          <w:noProof/>
        </w:rPr>
        <w:t>, można zastąpić informacjami</w:t>
      </w:r>
      <w:r w:rsidR="0028384B" w:rsidRPr="002F16A1">
        <w:rPr>
          <w:noProof/>
        </w:rPr>
        <w:t xml:space="preserve"> o</w:t>
      </w:r>
      <w:r w:rsidR="0028384B">
        <w:rPr>
          <w:noProof/>
        </w:rPr>
        <w:t> </w:t>
      </w:r>
      <w:r w:rsidR="0028384B" w:rsidRPr="002F16A1">
        <w:rPr>
          <w:noProof/>
        </w:rPr>
        <w:t>dos</w:t>
      </w:r>
      <w:r w:rsidR="00AD62E2" w:rsidRPr="002F16A1">
        <w:rPr>
          <w:noProof/>
        </w:rPr>
        <w:t>tępie do silników elektrycznych</w:t>
      </w:r>
      <w:r w:rsidR="0028384B" w:rsidRPr="002F16A1">
        <w:rPr>
          <w:noProof/>
        </w:rPr>
        <w:t xml:space="preserve"> i</w:t>
      </w:r>
      <w:r w:rsidR="0028384B">
        <w:rPr>
          <w:noProof/>
        </w:rPr>
        <w:t> </w:t>
      </w:r>
      <w:r w:rsidR="0028384B" w:rsidRPr="002F16A1">
        <w:rPr>
          <w:noProof/>
        </w:rPr>
        <w:t>o</w:t>
      </w:r>
      <w:r w:rsidR="0028384B">
        <w:rPr>
          <w:noProof/>
        </w:rPr>
        <w:t> </w:t>
      </w:r>
      <w:r w:rsidR="0028384B" w:rsidRPr="002F16A1">
        <w:rPr>
          <w:noProof/>
        </w:rPr>
        <w:t>ich</w:t>
      </w:r>
      <w:r w:rsidR="00AD62E2" w:rsidRPr="002F16A1">
        <w:rPr>
          <w:noProof/>
        </w:rPr>
        <w:t xml:space="preserve"> wymontowaniu, obejmującymi co najmniej kolejność wszystkich etapów wymontowywania, narzędzia lub technologie wymagane do uzyskania dostępu do silników elektrycznych</w:t>
      </w:r>
      <w:r w:rsidR="0028384B" w:rsidRPr="002F16A1">
        <w:rPr>
          <w:noProof/>
        </w:rPr>
        <w:t xml:space="preserve"> i</w:t>
      </w:r>
      <w:r w:rsidR="0028384B">
        <w:rPr>
          <w:noProof/>
        </w:rPr>
        <w:t> </w:t>
      </w:r>
      <w:r w:rsidR="0028384B" w:rsidRPr="002F16A1">
        <w:rPr>
          <w:noProof/>
        </w:rPr>
        <w:t>ich</w:t>
      </w:r>
      <w:r w:rsidR="00AD62E2" w:rsidRPr="002F16A1">
        <w:rPr>
          <w:noProof/>
        </w:rPr>
        <w:t xml:space="preserve"> wymontowania. </w:t>
      </w:r>
    </w:p>
    <w:p w:rsidR="00AD62E2" w:rsidRPr="002F16A1" w:rsidRDefault="00733965" w:rsidP="00733965">
      <w:pPr>
        <w:pStyle w:val="ManualNumPar1"/>
        <w:rPr>
          <w:noProof/>
        </w:rPr>
      </w:pPr>
      <w:r w:rsidRPr="00733965">
        <w:t>6.</w:t>
      </w:r>
      <w:r w:rsidRPr="00733965">
        <w:tab/>
      </w:r>
      <w:r w:rsidR="00AD62E2" w:rsidRPr="002F16A1">
        <w:rPr>
          <w:noProof/>
        </w:rPr>
        <w:t>W przypadku produktów,</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3</w:t>
      </w:r>
      <w:r w:rsidR="00AD62E2" w:rsidRPr="002F16A1">
        <w:rPr>
          <w:noProof/>
        </w:rPr>
        <w:t>, dla których paszport produktu określony</w:t>
      </w:r>
      <w:r w:rsidR="0028384B" w:rsidRPr="002F16A1">
        <w:rPr>
          <w:noProof/>
        </w:rPr>
        <w:t xml:space="preserve"> w</w:t>
      </w:r>
      <w:r w:rsidR="0028384B">
        <w:rPr>
          <w:noProof/>
        </w:rPr>
        <w:t> </w:t>
      </w:r>
      <w:r w:rsidR="0028384B" w:rsidRPr="002F16A1">
        <w:rPr>
          <w:noProof/>
        </w:rPr>
        <w:t>roz</w:t>
      </w:r>
      <w:r w:rsidR="00AD62E2" w:rsidRPr="002F16A1">
        <w:rPr>
          <w:noProof/>
        </w:rPr>
        <w:t>porządzeniu XX/XXXX [rozporządzenie</w:t>
      </w:r>
      <w:r w:rsidR="0028384B" w:rsidRPr="002F16A1">
        <w:rPr>
          <w:noProof/>
        </w:rPr>
        <w:t xml:space="preserve"> w</w:t>
      </w:r>
      <w:r w:rsidR="0028384B">
        <w:rPr>
          <w:noProof/>
        </w:rPr>
        <w:t> </w:t>
      </w:r>
      <w:r w:rsidR="0028384B" w:rsidRPr="002F16A1">
        <w:rPr>
          <w:noProof/>
        </w:rPr>
        <w:t>spr</w:t>
      </w:r>
      <w:r w:rsidR="00AD62E2" w:rsidRPr="002F16A1">
        <w:rPr>
          <w:noProof/>
        </w:rPr>
        <w:t>awie ekoprojektu dla zrównoważonych produktów] jest wymagany zgodnie</w:t>
      </w:r>
      <w:r w:rsidR="0028384B" w:rsidRPr="002F16A1">
        <w:rPr>
          <w:noProof/>
        </w:rPr>
        <w:t xml:space="preserve"> z</w:t>
      </w:r>
      <w:r w:rsidR="0028384B">
        <w:rPr>
          <w:noProof/>
        </w:rPr>
        <w:t> </w:t>
      </w:r>
      <w:r w:rsidR="0028384B" w:rsidRPr="002F16A1">
        <w:rPr>
          <w:noProof/>
        </w:rPr>
        <w:t>inn</w:t>
      </w:r>
      <w:r w:rsidR="00AD62E2" w:rsidRPr="002F16A1">
        <w:rPr>
          <w:noProof/>
        </w:rPr>
        <w:t>ym aktem ustawodawczym Unii, informacje,</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4</w:t>
      </w:r>
      <w:r w:rsidR="00AD62E2" w:rsidRPr="002F16A1">
        <w:rPr>
          <w:noProof/>
        </w:rPr>
        <w:t>, zawiera się</w:t>
      </w:r>
      <w:r w:rsidR="0028384B" w:rsidRPr="002F16A1">
        <w:rPr>
          <w:noProof/>
        </w:rPr>
        <w:t xml:space="preserve"> w</w:t>
      </w:r>
      <w:r w:rsidR="0028384B">
        <w:rPr>
          <w:noProof/>
        </w:rPr>
        <w:t> </w:t>
      </w:r>
      <w:r w:rsidR="0028384B" w:rsidRPr="002F16A1">
        <w:rPr>
          <w:noProof/>
        </w:rPr>
        <w:t>pas</w:t>
      </w:r>
      <w:r w:rsidR="00AD62E2" w:rsidRPr="002F16A1">
        <w:rPr>
          <w:noProof/>
        </w:rPr>
        <w:t>zporcie produktu.</w:t>
      </w:r>
    </w:p>
    <w:p w:rsidR="00AD62E2" w:rsidRPr="002F16A1" w:rsidRDefault="00733965" w:rsidP="00733965">
      <w:pPr>
        <w:pStyle w:val="ManualNumPar1"/>
        <w:rPr>
          <w:rStyle w:val="CommentReference"/>
          <w:noProof/>
        </w:rPr>
      </w:pPr>
      <w:r w:rsidRPr="00733965">
        <w:rPr>
          <w:rStyle w:val="CommentReference"/>
        </w:rPr>
        <w:t>7.</w:t>
      </w:r>
      <w:r w:rsidRPr="00733965">
        <w:rPr>
          <w:rStyle w:val="CommentReference"/>
        </w:rPr>
        <w:tab/>
      </w:r>
      <w:r w:rsidR="00AD62E2" w:rsidRPr="002F16A1">
        <w:rPr>
          <w:noProof/>
        </w:rPr>
        <w:t>Informacje,</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3</w:t>
      </w:r>
      <w:r w:rsidR="00AD62E2" w:rsidRPr="002F16A1">
        <w:rPr>
          <w:noProof/>
        </w:rPr>
        <w:t>, muszą być kompletne, aktualne</w:t>
      </w:r>
      <w:r w:rsidR="0028384B" w:rsidRPr="002F16A1">
        <w:rPr>
          <w:noProof/>
        </w:rPr>
        <w:t xml:space="preserve"> i</w:t>
      </w:r>
      <w:r w:rsidR="0028384B">
        <w:rPr>
          <w:noProof/>
        </w:rPr>
        <w:t> </w:t>
      </w:r>
      <w:r w:rsidR="0028384B" w:rsidRPr="002F16A1">
        <w:rPr>
          <w:noProof/>
        </w:rPr>
        <w:t>dok</w:t>
      </w:r>
      <w:r w:rsidR="00AD62E2" w:rsidRPr="002F16A1">
        <w:rPr>
          <w:noProof/>
        </w:rPr>
        <w:t>ładne oraz pozostawać dostępne przez okres co najmniej równy typowemu cyklowi życia produktu zwiększonemu</w:t>
      </w:r>
      <w:r w:rsidR="0028384B" w:rsidRPr="002F16A1">
        <w:rPr>
          <w:noProof/>
        </w:rPr>
        <w:t xml:space="preserve"> o</w:t>
      </w:r>
      <w:r w:rsidR="0028384B">
        <w:rPr>
          <w:noProof/>
        </w:rPr>
        <w:t> </w:t>
      </w:r>
      <w:r w:rsidR="0028384B" w:rsidRPr="002F16A1">
        <w:rPr>
          <w:noProof/>
        </w:rPr>
        <w:t>dzi</w:t>
      </w:r>
      <w:r w:rsidR="00AD62E2" w:rsidRPr="002F16A1">
        <w:rPr>
          <w:noProof/>
        </w:rPr>
        <w:t>esięć lat,</w:t>
      </w:r>
      <w:r w:rsidR="0028384B" w:rsidRPr="002F16A1">
        <w:rPr>
          <w:noProof/>
        </w:rPr>
        <w:t xml:space="preserve"> w</w:t>
      </w:r>
      <w:r w:rsidR="0028384B">
        <w:rPr>
          <w:noProof/>
        </w:rPr>
        <w:t> </w:t>
      </w:r>
      <w:r w:rsidR="0028384B" w:rsidRPr="002F16A1">
        <w:rPr>
          <w:noProof/>
        </w:rPr>
        <w:t>tym</w:t>
      </w:r>
      <w:r w:rsidR="00AD62E2" w:rsidRPr="002F16A1">
        <w:rPr>
          <w:noProof/>
        </w:rPr>
        <w:t xml:space="preserve"> również</w:t>
      </w:r>
      <w:r w:rsidR="0028384B" w:rsidRPr="002F16A1">
        <w:rPr>
          <w:noProof/>
        </w:rPr>
        <w:t xml:space="preserve"> w</w:t>
      </w:r>
      <w:r w:rsidR="0028384B">
        <w:rPr>
          <w:noProof/>
        </w:rPr>
        <w:t> </w:t>
      </w:r>
      <w:r w:rsidR="0028384B" w:rsidRPr="002F16A1">
        <w:rPr>
          <w:noProof/>
        </w:rPr>
        <w:t>prz</w:t>
      </w:r>
      <w:r w:rsidR="00AD62E2" w:rsidRPr="002F16A1">
        <w:rPr>
          <w:noProof/>
        </w:rPr>
        <w:t>ypadku niewypłacalności, likwidacji lub zaprzestania działalności</w:t>
      </w:r>
      <w:r w:rsidR="0028384B" w:rsidRPr="002F16A1">
        <w:rPr>
          <w:noProof/>
        </w:rPr>
        <w:t xml:space="preserve"> w</w:t>
      </w:r>
      <w:r w:rsidR="0028384B">
        <w:rPr>
          <w:noProof/>
        </w:rPr>
        <w:t> </w:t>
      </w:r>
      <w:r w:rsidR="0028384B" w:rsidRPr="002F16A1">
        <w:rPr>
          <w:noProof/>
        </w:rPr>
        <w:t>Uni</w:t>
      </w:r>
      <w:r w:rsidR="00AD62E2" w:rsidRPr="002F16A1">
        <w:rPr>
          <w:noProof/>
        </w:rPr>
        <w:t>i przez odpowiedzialną osobę fizyczną lub prawną.</w:t>
      </w:r>
    </w:p>
    <w:p w:rsidR="00AD62E2" w:rsidRPr="002F16A1" w:rsidRDefault="00AD62E2" w:rsidP="00AD62E2">
      <w:pPr>
        <w:pStyle w:val="Text1"/>
        <w:rPr>
          <w:noProof/>
        </w:rPr>
      </w:pPr>
      <w:r w:rsidRPr="002F16A1">
        <w:rPr>
          <w:noProof/>
        </w:rPr>
        <w:t>Informacje,</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8384B">
        <w:rPr>
          <w:noProof/>
        </w:rPr>
        <w:t>ust</w:t>
      </w:r>
      <w:r w:rsidRPr="0028384B">
        <w:rPr>
          <w:noProof/>
        </w:rPr>
        <w:t>.</w:t>
      </w:r>
      <w:r w:rsidR="0028384B" w:rsidRPr="0028384B">
        <w:rPr>
          <w:noProof/>
        </w:rPr>
        <w:t> </w:t>
      </w:r>
      <w:r w:rsidRPr="0028384B">
        <w:rPr>
          <w:noProof/>
        </w:rPr>
        <w:t>4</w:t>
      </w:r>
      <w:r w:rsidRPr="002F16A1">
        <w:rPr>
          <w:noProof/>
        </w:rPr>
        <w:t>, odnoszą się do modelu produktu lub,</w:t>
      </w:r>
      <w:r w:rsidR="0028384B" w:rsidRPr="002F16A1">
        <w:rPr>
          <w:noProof/>
        </w:rPr>
        <w:t xml:space="preserve"> w</w:t>
      </w:r>
      <w:r w:rsidR="0028384B">
        <w:rPr>
          <w:noProof/>
        </w:rPr>
        <w:t> </w:t>
      </w:r>
      <w:r w:rsidR="0028384B" w:rsidRPr="002F16A1">
        <w:rPr>
          <w:noProof/>
        </w:rPr>
        <w:t>prz</w:t>
      </w:r>
      <w:r w:rsidRPr="002F16A1">
        <w:rPr>
          <w:noProof/>
        </w:rPr>
        <w:t>ypadku gdy informacje różnią się między egzemplarzami tego samego modelu, do konkretnej partii lub konkretnego egzemplarza. Informacje,</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8384B">
        <w:rPr>
          <w:noProof/>
        </w:rPr>
        <w:t>ust</w:t>
      </w:r>
      <w:r w:rsidRPr="0028384B">
        <w:rPr>
          <w:noProof/>
        </w:rPr>
        <w:t>.</w:t>
      </w:r>
      <w:r w:rsidR="0028384B" w:rsidRPr="0028384B">
        <w:rPr>
          <w:noProof/>
        </w:rPr>
        <w:t> </w:t>
      </w:r>
      <w:r w:rsidRPr="0028384B">
        <w:rPr>
          <w:noProof/>
        </w:rPr>
        <w:t>4</w:t>
      </w:r>
      <w:r w:rsidRPr="002F16A1">
        <w:rPr>
          <w:noProof/>
        </w:rPr>
        <w:t>, są dostępne dla podmiotów zajmujących się recyklingiem, organów nadzoru rynku</w:t>
      </w:r>
      <w:r w:rsidR="0028384B" w:rsidRPr="002F16A1">
        <w:rPr>
          <w:noProof/>
        </w:rPr>
        <w:t xml:space="preserve"> i</w:t>
      </w:r>
      <w:r w:rsidR="0028384B">
        <w:rPr>
          <w:noProof/>
        </w:rPr>
        <w:t> </w:t>
      </w:r>
      <w:r w:rsidR="0028384B" w:rsidRPr="002F16A1">
        <w:rPr>
          <w:noProof/>
        </w:rPr>
        <w:t>org</w:t>
      </w:r>
      <w:r w:rsidRPr="002F16A1">
        <w:rPr>
          <w:noProof/>
        </w:rPr>
        <w:t xml:space="preserve">anów celnych. </w:t>
      </w:r>
    </w:p>
    <w:p w:rsidR="00AD62E2" w:rsidRPr="002F16A1" w:rsidRDefault="00733965" w:rsidP="00733965">
      <w:pPr>
        <w:pStyle w:val="ManualNumPar1"/>
        <w:rPr>
          <w:noProof/>
        </w:rPr>
      </w:pPr>
      <w:r w:rsidRPr="00733965">
        <w:t>8.</w:t>
      </w:r>
      <w:r w:rsidRPr="00733965">
        <w:tab/>
      </w:r>
      <w:r w:rsidR="00AD62E2" w:rsidRPr="002F16A1">
        <w:rPr>
          <w:noProof/>
        </w:rPr>
        <w:t xml:space="preserve">Zastosowanie ma </w:t>
      </w:r>
      <w:r w:rsidR="00AD62E2" w:rsidRPr="0028384B">
        <w:rPr>
          <w:noProof/>
        </w:rPr>
        <w:t>art.</w:t>
      </w:r>
      <w:r w:rsidR="0028384B" w:rsidRPr="0028384B">
        <w:rPr>
          <w:noProof/>
        </w:rPr>
        <w:t> </w:t>
      </w:r>
      <w:r w:rsidR="00AD62E2" w:rsidRPr="0028384B">
        <w:rPr>
          <w:noProof/>
        </w:rPr>
        <w:t>9</w:t>
      </w:r>
      <w:r w:rsidR="00AD62E2" w:rsidRPr="002F16A1">
        <w:rPr>
          <w:noProof/>
        </w:rPr>
        <w:t xml:space="preserve"> </w:t>
      </w:r>
      <w:r w:rsidR="00AD62E2" w:rsidRPr="0028384B">
        <w:rPr>
          <w:noProof/>
        </w:rPr>
        <w:t>ust.</w:t>
      </w:r>
      <w:r w:rsidR="0028384B" w:rsidRPr="0028384B">
        <w:rPr>
          <w:noProof/>
        </w:rPr>
        <w:t> </w:t>
      </w:r>
      <w:r w:rsidR="00AD62E2" w:rsidRPr="0028384B">
        <w:rPr>
          <w:noProof/>
        </w:rPr>
        <w:t>1</w:t>
      </w:r>
      <w:r w:rsidR="00AD62E2" w:rsidRPr="002F16A1">
        <w:rPr>
          <w:noProof/>
        </w:rPr>
        <w:t xml:space="preserve">, </w:t>
      </w:r>
      <w:r w:rsidR="00AD62E2" w:rsidRPr="0028384B">
        <w:rPr>
          <w:noProof/>
        </w:rPr>
        <w:t>lit.</w:t>
      </w:r>
      <w:r w:rsidR="0028384B" w:rsidRPr="0028384B">
        <w:rPr>
          <w:noProof/>
        </w:rPr>
        <w:t> </w:t>
      </w:r>
      <w:r w:rsidR="00AD62E2" w:rsidRPr="0028384B">
        <w:rPr>
          <w:noProof/>
        </w:rPr>
        <w:t>c)</w:t>
      </w:r>
      <w:r w:rsidR="00AD62E2" w:rsidRPr="002F16A1">
        <w:rPr>
          <w:noProof/>
        </w:rPr>
        <w:t xml:space="preserve"> i d) oraz </w:t>
      </w:r>
      <w:r w:rsidR="00AD62E2" w:rsidRPr="0028384B">
        <w:rPr>
          <w:noProof/>
        </w:rPr>
        <w:t>art.</w:t>
      </w:r>
      <w:r w:rsidR="0028384B" w:rsidRPr="0028384B">
        <w:rPr>
          <w:noProof/>
        </w:rPr>
        <w:t> </w:t>
      </w:r>
      <w:r w:rsidR="00AD62E2" w:rsidRPr="0028384B">
        <w:rPr>
          <w:noProof/>
        </w:rPr>
        <w:t>1</w:t>
      </w:r>
      <w:r w:rsidR="00AD62E2" w:rsidRPr="002F16A1">
        <w:rPr>
          <w:noProof/>
        </w:rPr>
        <w:t>0</w:t>
      </w:r>
      <w:r w:rsidR="0028384B" w:rsidRPr="002F16A1">
        <w:rPr>
          <w:noProof/>
        </w:rPr>
        <w:t xml:space="preserve"> i</w:t>
      </w:r>
      <w:r w:rsidR="0028384B">
        <w:rPr>
          <w:noProof/>
        </w:rPr>
        <w:t> </w:t>
      </w:r>
      <w:r w:rsidR="0028384B" w:rsidRPr="002F16A1">
        <w:rPr>
          <w:noProof/>
        </w:rPr>
        <w:t>1</w:t>
      </w:r>
      <w:r w:rsidR="00AD62E2" w:rsidRPr="002F16A1">
        <w:rPr>
          <w:noProof/>
        </w:rPr>
        <w:t>3 rozporządzenia (UE) .../... [</w:t>
      </w:r>
      <w:r w:rsidR="00AD62E2" w:rsidRPr="002F16A1">
        <w:rPr>
          <w:i/>
          <w:iCs/>
          <w:noProof/>
        </w:rPr>
        <w:t>Urząd Publikacji:</w:t>
      </w:r>
      <w:r w:rsidR="00AD62E2" w:rsidRPr="002F16A1">
        <w:rPr>
          <w:noProof/>
        </w:rPr>
        <w:t xml:space="preserve"> </w:t>
      </w:r>
      <w:r w:rsidR="00AD62E2" w:rsidRPr="002F16A1">
        <w:rPr>
          <w:i/>
          <w:iCs/>
          <w:noProof/>
        </w:rPr>
        <w:t>proszę wstawić odniesienie do rozporządzenia</w:t>
      </w:r>
      <w:r w:rsidR="0028384B" w:rsidRPr="002F16A1">
        <w:rPr>
          <w:i/>
          <w:noProof/>
        </w:rPr>
        <w:t xml:space="preserve"> w</w:t>
      </w:r>
      <w:r w:rsidR="0028384B">
        <w:rPr>
          <w:i/>
          <w:noProof/>
        </w:rPr>
        <w:t> </w:t>
      </w:r>
      <w:r w:rsidR="0028384B" w:rsidRPr="002F16A1">
        <w:rPr>
          <w:i/>
          <w:noProof/>
        </w:rPr>
        <w:t>spr</w:t>
      </w:r>
      <w:r w:rsidR="00AD62E2" w:rsidRPr="002F16A1">
        <w:rPr>
          <w:i/>
          <w:noProof/>
        </w:rPr>
        <w:t>awie ekoprojektu dla zrównoważonych produktów</w:t>
      </w:r>
      <w:r w:rsidR="00AD62E2" w:rsidRPr="002F16A1">
        <w:rPr>
          <w:noProof/>
        </w:rPr>
        <w:t>], jak również odpowiednie definicje zawarte</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2</w:t>
      </w:r>
      <w:r w:rsidR="00AD62E2" w:rsidRPr="002F16A1">
        <w:rPr>
          <w:noProof/>
        </w:rPr>
        <w:t xml:space="preserve"> tego rozporządzenia. </w:t>
      </w:r>
    </w:p>
    <w:p w:rsidR="00AD62E2" w:rsidRPr="002F16A1" w:rsidRDefault="00AD62E2" w:rsidP="00AD62E2">
      <w:pPr>
        <w:pStyle w:val="Text1"/>
        <w:rPr>
          <w:i/>
          <w:noProof/>
        </w:rPr>
      </w:pPr>
      <w:r w:rsidRPr="002F16A1">
        <w:rPr>
          <w:noProof/>
        </w:rPr>
        <w:t>Przed wprowadzeniem do obrotu produktu,</w:t>
      </w:r>
      <w:r w:rsidR="0028384B" w:rsidRPr="002F16A1">
        <w:rPr>
          <w:noProof/>
        </w:rPr>
        <w:t xml:space="preserve"> o</w:t>
      </w:r>
      <w:r w:rsidR="0028384B">
        <w:rPr>
          <w:noProof/>
        </w:rPr>
        <w:t> </w:t>
      </w:r>
      <w:r w:rsidR="0028384B" w:rsidRPr="002F16A1">
        <w:rPr>
          <w:noProof/>
        </w:rPr>
        <w:t>któ</w:t>
      </w:r>
      <w:r w:rsidRPr="002F16A1">
        <w:rPr>
          <w:noProof/>
        </w:rPr>
        <w:t>rym mowa</w:t>
      </w:r>
      <w:r w:rsidR="0028384B" w:rsidRPr="002F16A1">
        <w:rPr>
          <w:noProof/>
        </w:rPr>
        <w:t xml:space="preserve"> w</w:t>
      </w:r>
      <w:r w:rsidR="0028384B">
        <w:rPr>
          <w:noProof/>
        </w:rPr>
        <w:t> </w:t>
      </w:r>
      <w:r w:rsidR="0028384B" w:rsidRPr="0028384B">
        <w:rPr>
          <w:noProof/>
        </w:rPr>
        <w:t>ust</w:t>
      </w:r>
      <w:r w:rsidRPr="0028384B">
        <w:rPr>
          <w:noProof/>
        </w:rPr>
        <w:t>.</w:t>
      </w:r>
      <w:r w:rsidR="0028384B" w:rsidRPr="0028384B">
        <w:rPr>
          <w:noProof/>
        </w:rPr>
        <w:t> </w:t>
      </w:r>
      <w:r w:rsidRPr="0028384B">
        <w:rPr>
          <w:noProof/>
        </w:rPr>
        <w:t>3</w:t>
      </w:r>
      <w:r w:rsidRPr="002F16A1">
        <w:rPr>
          <w:noProof/>
        </w:rPr>
        <w:t>, osoby fizyczne lub prawne zapewniają, aby unikatowy identyfikator produktu,</w:t>
      </w:r>
      <w:r w:rsidR="0028384B" w:rsidRPr="002F16A1">
        <w:rPr>
          <w:noProof/>
        </w:rPr>
        <w:t xml:space="preserve"> o</w:t>
      </w:r>
      <w:r w:rsidR="0028384B">
        <w:rPr>
          <w:noProof/>
        </w:rPr>
        <w:t> </w:t>
      </w:r>
      <w:r w:rsidR="0028384B" w:rsidRPr="002F16A1">
        <w:rPr>
          <w:noProof/>
        </w:rPr>
        <w:t>któ</w:t>
      </w:r>
      <w:r w:rsidRPr="002F16A1">
        <w:rPr>
          <w:noProof/>
        </w:rPr>
        <w:t>rym mowa</w:t>
      </w:r>
      <w:r w:rsidR="0028384B" w:rsidRPr="002F16A1">
        <w:rPr>
          <w:noProof/>
        </w:rPr>
        <w:t xml:space="preserve"> w</w:t>
      </w:r>
      <w:r w:rsidR="0028384B">
        <w:rPr>
          <w:noProof/>
        </w:rPr>
        <w:t> </w:t>
      </w:r>
      <w:r w:rsidR="0028384B" w:rsidRPr="0028384B">
        <w:rPr>
          <w:noProof/>
        </w:rPr>
        <w:t>ust</w:t>
      </w:r>
      <w:r w:rsidRPr="0028384B">
        <w:rPr>
          <w:noProof/>
        </w:rPr>
        <w:t>.</w:t>
      </w:r>
      <w:r w:rsidR="0028384B" w:rsidRPr="0028384B">
        <w:rPr>
          <w:noProof/>
        </w:rPr>
        <w:t> </w:t>
      </w:r>
      <w:r w:rsidRPr="0028384B">
        <w:rPr>
          <w:noProof/>
        </w:rPr>
        <w:t>4</w:t>
      </w:r>
      <w:r w:rsidRPr="002F16A1">
        <w:rPr>
          <w:noProof/>
        </w:rPr>
        <w:t>, został przesłany do rejestru,</w:t>
      </w:r>
      <w:r w:rsidR="0028384B" w:rsidRPr="002F16A1">
        <w:rPr>
          <w:noProof/>
        </w:rPr>
        <w:t xml:space="preserve"> o</w:t>
      </w:r>
      <w:r w:rsidR="0028384B">
        <w:rPr>
          <w:noProof/>
        </w:rPr>
        <w:t> </w:t>
      </w:r>
      <w:r w:rsidR="0028384B" w:rsidRPr="002F16A1">
        <w:rPr>
          <w:noProof/>
        </w:rPr>
        <w:t>któ</w:t>
      </w:r>
      <w:r w:rsidRPr="002F16A1">
        <w:rPr>
          <w:noProof/>
        </w:rPr>
        <w:t>rym mowa w [</w:t>
      </w:r>
      <w:r w:rsidRPr="0028384B">
        <w:rPr>
          <w:noProof/>
        </w:rPr>
        <w:t>art.</w:t>
      </w:r>
      <w:r w:rsidR="0028384B" w:rsidRPr="0028384B">
        <w:rPr>
          <w:noProof/>
        </w:rPr>
        <w:t> </w:t>
      </w:r>
      <w:r w:rsidRPr="0028384B">
        <w:rPr>
          <w:noProof/>
        </w:rPr>
        <w:t>1</w:t>
      </w:r>
      <w:r w:rsidRPr="002F16A1">
        <w:rPr>
          <w:noProof/>
        </w:rPr>
        <w:t xml:space="preserve">2 </w:t>
      </w:r>
      <w:r w:rsidRPr="0028384B">
        <w:rPr>
          <w:noProof/>
        </w:rPr>
        <w:t>ust.</w:t>
      </w:r>
      <w:r w:rsidR="0028384B" w:rsidRPr="0028384B">
        <w:rPr>
          <w:noProof/>
        </w:rPr>
        <w:t> </w:t>
      </w:r>
      <w:r w:rsidRPr="0028384B">
        <w:rPr>
          <w:noProof/>
        </w:rPr>
        <w:t>1</w:t>
      </w:r>
      <w:r w:rsidRPr="002F16A1">
        <w:rPr>
          <w:noProof/>
        </w:rPr>
        <w:t>] rozporządzenia (UE) .../... [w sprawie ekoprojektu dla zrównoważonych produktów].</w:t>
      </w:r>
    </w:p>
    <w:p w:rsidR="00AD62E2" w:rsidRPr="002F16A1" w:rsidRDefault="00AD62E2" w:rsidP="00AD62E2">
      <w:pPr>
        <w:pStyle w:val="Text1"/>
        <w:rPr>
          <w:noProof/>
        </w:rPr>
      </w:pPr>
      <w:r w:rsidRPr="002F16A1">
        <w:rPr>
          <w:noProof/>
        </w:rPr>
        <w:t>Do celów akapitu pierwszego</w:t>
      </w:r>
      <w:r w:rsidR="0028384B" w:rsidRPr="002F16A1">
        <w:rPr>
          <w:noProof/>
        </w:rPr>
        <w:t xml:space="preserve"> i</w:t>
      </w:r>
      <w:r w:rsidR="0028384B">
        <w:rPr>
          <w:noProof/>
        </w:rPr>
        <w:t> </w:t>
      </w:r>
      <w:r w:rsidR="0028384B" w:rsidRPr="002F16A1">
        <w:rPr>
          <w:noProof/>
        </w:rPr>
        <w:t>dru</w:t>
      </w:r>
      <w:r w:rsidRPr="002F16A1">
        <w:rPr>
          <w:noProof/>
        </w:rPr>
        <w:t>giego, odniesienia do „odpowiedniego aktu delegowanego przyjętego zgodnie</w:t>
      </w:r>
      <w:r w:rsidR="0028384B" w:rsidRPr="002F16A1">
        <w:rPr>
          <w:noProof/>
        </w:rPr>
        <w:t xml:space="preserve"> z</w:t>
      </w:r>
      <w:r w:rsidR="0028384B">
        <w:rPr>
          <w:noProof/>
        </w:rPr>
        <w:t> </w:t>
      </w:r>
      <w:r w:rsidR="0028384B" w:rsidRPr="0028384B">
        <w:rPr>
          <w:noProof/>
        </w:rPr>
        <w:t>art</w:t>
      </w:r>
      <w:r w:rsidRPr="0028384B">
        <w:rPr>
          <w:noProof/>
        </w:rPr>
        <w:t>.</w:t>
      </w:r>
      <w:r w:rsidR="0028384B" w:rsidRPr="0028384B">
        <w:rPr>
          <w:noProof/>
        </w:rPr>
        <w:t> </w:t>
      </w:r>
      <w:r w:rsidRPr="0028384B">
        <w:rPr>
          <w:noProof/>
        </w:rPr>
        <w:t>4</w:t>
      </w:r>
      <w:r w:rsidRPr="002F16A1">
        <w:rPr>
          <w:noProof/>
        </w:rPr>
        <w:t>”</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1</w:t>
      </w:r>
      <w:r w:rsidRPr="002F16A1">
        <w:rPr>
          <w:noProof/>
        </w:rPr>
        <w:t xml:space="preserve">0 </w:t>
      </w:r>
      <w:r w:rsidRPr="0028384B">
        <w:rPr>
          <w:noProof/>
        </w:rPr>
        <w:t>lit.</w:t>
      </w:r>
      <w:r w:rsidR="0028384B" w:rsidRPr="0028384B">
        <w:rPr>
          <w:noProof/>
        </w:rPr>
        <w:t> </w:t>
      </w:r>
      <w:r w:rsidRPr="0028384B">
        <w:rPr>
          <w:noProof/>
        </w:rPr>
        <w:t>b)</w:t>
      </w:r>
      <w:r w:rsidRPr="002F16A1">
        <w:rPr>
          <w:noProof/>
        </w:rPr>
        <w:t xml:space="preserve"> i do „aktów delegowanych przyjętych na zgodnie</w:t>
      </w:r>
      <w:r w:rsidR="0028384B" w:rsidRPr="002F16A1">
        <w:rPr>
          <w:noProof/>
        </w:rPr>
        <w:t xml:space="preserve"> z</w:t>
      </w:r>
      <w:r w:rsidR="0028384B">
        <w:rPr>
          <w:noProof/>
        </w:rPr>
        <w:t> </w:t>
      </w:r>
      <w:r w:rsidR="0028384B" w:rsidRPr="0028384B">
        <w:rPr>
          <w:noProof/>
        </w:rPr>
        <w:t>art</w:t>
      </w:r>
      <w:r w:rsidRPr="0028384B">
        <w:rPr>
          <w:noProof/>
        </w:rPr>
        <w:t>.</w:t>
      </w:r>
      <w:r w:rsidR="0028384B" w:rsidRPr="0028384B">
        <w:rPr>
          <w:noProof/>
        </w:rPr>
        <w:t> </w:t>
      </w:r>
      <w:r w:rsidRPr="0028384B">
        <w:rPr>
          <w:noProof/>
        </w:rPr>
        <w:t>4</w:t>
      </w:r>
      <w:r w:rsidRPr="002F16A1">
        <w:rPr>
          <w:noProof/>
        </w:rPr>
        <w:t>”</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1</w:t>
      </w:r>
      <w:r w:rsidRPr="002F16A1">
        <w:rPr>
          <w:noProof/>
        </w:rPr>
        <w:t xml:space="preserve">0 lit. f oraz </w:t>
      </w:r>
      <w:r w:rsidRPr="0028384B">
        <w:rPr>
          <w:noProof/>
        </w:rPr>
        <w:t>art.</w:t>
      </w:r>
      <w:r w:rsidR="0028384B" w:rsidRPr="0028384B">
        <w:rPr>
          <w:noProof/>
        </w:rPr>
        <w:t> </w:t>
      </w:r>
      <w:r w:rsidRPr="0028384B">
        <w:rPr>
          <w:noProof/>
        </w:rPr>
        <w:t>1</w:t>
      </w:r>
      <w:r w:rsidRPr="002F16A1">
        <w:rPr>
          <w:noProof/>
        </w:rPr>
        <w:t xml:space="preserve">3 </w:t>
      </w:r>
      <w:r w:rsidRPr="0028384B">
        <w:rPr>
          <w:noProof/>
        </w:rPr>
        <w:t>ust.</w:t>
      </w:r>
      <w:r w:rsidR="0028384B" w:rsidRPr="0028384B">
        <w:rPr>
          <w:noProof/>
        </w:rPr>
        <w:t> </w:t>
      </w:r>
      <w:r w:rsidRPr="0028384B">
        <w:rPr>
          <w:noProof/>
        </w:rPr>
        <w:t>2</w:t>
      </w:r>
      <w:r w:rsidRPr="002F16A1">
        <w:rPr>
          <w:noProof/>
        </w:rPr>
        <w:t xml:space="preserve"> rozporządzenia (UE) 2023/xxx [</w:t>
      </w:r>
      <w:r w:rsidRPr="002F16A1">
        <w:rPr>
          <w:i/>
          <w:iCs/>
          <w:noProof/>
        </w:rPr>
        <w:t>Urząd Publikacji:</w:t>
      </w:r>
      <w:r w:rsidRPr="002F16A1">
        <w:rPr>
          <w:noProof/>
        </w:rPr>
        <w:t xml:space="preserve"> </w:t>
      </w:r>
      <w:r w:rsidRPr="002F16A1">
        <w:rPr>
          <w:i/>
          <w:iCs/>
          <w:noProof/>
        </w:rPr>
        <w:t>proszę wstawić odniesienie do rozporządzenia</w:t>
      </w:r>
      <w:r w:rsidR="0028384B" w:rsidRPr="002F16A1">
        <w:rPr>
          <w:i/>
          <w:iCs/>
          <w:noProof/>
        </w:rPr>
        <w:t xml:space="preserve"> w</w:t>
      </w:r>
      <w:r w:rsidR="0028384B">
        <w:rPr>
          <w:i/>
          <w:iCs/>
          <w:noProof/>
        </w:rPr>
        <w:t> </w:t>
      </w:r>
      <w:r w:rsidR="0028384B" w:rsidRPr="002F16A1">
        <w:rPr>
          <w:i/>
          <w:iCs/>
          <w:noProof/>
        </w:rPr>
        <w:t>spr</w:t>
      </w:r>
      <w:r w:rsidRPr="002F16A1">
        <w:rPr>
          <w:i/>
          <w:iCs/>
          <w:noProof/>
        </w:rPr>
        <w:t>awie ekoprojektu dla zrównoważonych produktów</w:t>
      </w:r>
      <w:r w:rsidRPr="002F16A1">
        <w:rPr>
          <w:noProof/>
        </w:rPr>
        <w:t>] odczytuje się jako odniesienia do niniejszego rozporządzenia.</w:t>
      </w:r>
    </w:p>
    <w:p w:rsidR="00AD62E2" w:rsidRPr="002F16A1" w:rsidRDefault="00733965" w:rsidP="00733965">
      <w:pPr>
        <w:pStyle w:val="ManualNumPar1"/>
        <w:rPr>
          <w:noProof/>
        </w:rPr>
      </w:pPr>
      <w:r w:rsidRPr="00733965">
        <w:t>9.</w:t>
      </w:r>
      <w:r w:rsidRPr="00733965">
        <w:tab/>
      </w:r>
      <w:r w:rsidR="00AD62E2" w:rsidRPr="002F16A1">
        <w:rPr>
          <w:noProof/>
        </w:rPr>
        <w:t>W przypadku gdy wymogi informacyjne dotyczące recyklingu magnesów trwałych ustanowiono</w:t>
      </w:r>
      <w:r w:rsidR="0028384B" w:rsidRPr="002F16A1">
        <w:rPr>
          <w:noProof/>
        </w:rPr>
        <w:t xml:space="preserve"> w</w:t>
      </w:r>
      <w:r w:rsidR="0028384B">
        <w:rPr>
          <w:noProof/>
        </w:rPr>
        <w:t> </w:t>
      </w:r>
      <w:r w:rsidR="0028384B" w:rsidRPr="002F16A1">
        <w:rPr>
          <w:noProof/>
        </w:rPr>
        <w:t>akt</w:t>
      </w:r>
      <w:r w:rsidR="00AD62E2" w:rsidRPr="002F16A1">
        <w:rPr>
          <w:noProof/>
        </w:rPr>
        <w:t>ach delegowanych przyjętych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4</w:t>
      </w:r>
      <w:r w:rsidR="00AD62E2" w:rsidRPr="002F16A1">
        <w:rPr>
          <w:noProof/>
        </w:rPr>
        <w:t xml:space="preserve"> rozporządzenia XX/XXXX [</w:t>
      </w:r>
      <w:r w:rsidR="00AD62E2" w:rsidRPr="002F16A1">
        <w:rPr>
          <w:i/>
          <w:iCs/>
          <w:noProof/>
        </w:rPr>
        <w:t>Urząd Publikacji: proszę wstawić:</w:t>
      </w:r>
      <w:r w:rsidR="00AD62E2" w:rsidRPr="002F16A1">
        <w:rPr>
          <w:noProof/>
        </w:rPr>
        <w:t xml:space="preserve"> </w:t>
      </w:r>
      <w:r w:rsidR="00AD62E2" w:rsidRPr="002F16A1">
        <w:rPr>
          <w:i/>
          <w:iCs/>
          <w:noProof/>
        </w:rPr>
        <w:t>rozporządzenie</w:t>
      </w:r>
      <w:r w:rsidR="0028384B" w:rsidRPr="002F16A1">
        <w:rPr>
          <w:i/>
          <w:iCs/>
          <w:noProof/>
        </w:rPr>
        <w:t xml:space="preserve"> w</w:t>
      </w:r>
      <w:r w:rsidR="0028384B">
        <w:rPr>
          <w:i/>
          <w:iCs/>
          <w:noProof/>
        </w:rPr>
        <w:t> </w:t>
      </w:r>
      <w:r w:rsidR="0028384B" w:rsidRPr="002F16A1">
        <w:rPr>
          <w:i/>
          <w:iCs/>
          <w:noProof/>
        </w:rPr>
        <w:t>spr</w:t>
      </w:r>
      <w:r w:rsidR="00AD62E2" w:rsidRPr="002F16A1">
        <w:rPr>
          <w:i/>
          <w:iCs/>
          <w:noProof/>
        </w:rPr>
        <w:t>awie ekoprojektu dla zrównoważonych produktów</w:t>
      </w:r>
      <w:r w:rsidR="00AD62E2" w:rsidRPr="002F16A1">
        <w:rPr>
          <w:noProof/>
        </w:rPr>
        <w:t>] lub</w:t>
      </w:r>
      <w:r w:rsidR="0028384B" w:rsidRPr="002F16A1">
        <w:rPr>
          <w:noProof/>
        </w:rPr>
        <w:t xml:space="preserve"> w</w:t>
      </w:r>
      <w:r w:rsidR="0028384B">
        <w:rPr>
          <w:noProof/>
        </w:rPr>
        <w:t> </w:t>
      </w:r>
      <w:r w:rsidR="0028384B" w:rsidRPr="002F16A1">
        <w:rPr>
          <w:noProof/>
        </w:rPr>
        <w:t>inn</w:t>
      </w:r>
      <w:r w:rsidR="00AD62E2" w:rsidRPr="002F16A1">
        <w:rPr>
          <w:noProof/>
        </w:rPr>
        <w:t>ym unijnym prawodawstwie harmonizacyjnym dotyczącym któregokolwiek</w:t>
      </w:r>
      <w:r w:rsidR="0028384B" w:rsidRPr="002F16A1">
        <w:rPr>
          <w:noProof/>
        </w:rPr>
        <w:t xml:space="preserve"> z</w:t>
      </w:r>
      <w:r w:rsidR="0028384B">
        <w:rPr>
          <w:noProof/>
        </w:rPr>
        <w:t> </w:t>
      </w:r>
      <w:r w:rsidR="0028384B" w:rsidRPr="002F16A1">
        <w:rPr>
          <w:noProof/>
        </w:rPr>
        <w:t>pro</w:t>
      </w:r>
      <w:r w:rsidR="00AD62E2" w:rsidRPr="002F16A1">
        <w:rPr>
          <w:noProof/>
        </w:rPr>
        <w:t>duktów wymienionych</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wymogi te stosuje się</w:t>
      </w:r>
      <w:r w:rsidR="0028384B" w:rsidRPr="002F16A1">
        <w:rPr>
          <w:noProof/>
        </w:rPr>
        <w:t xml:space="preserve"> w</w:t>
      </w:r>
      <w:r w:rsidR="0028384B">
        <w:rPr>
          <w:noProof/>
        </w:rPr>
        <w:t> </w:t>
      </w:r>
      <w:r w:rsidR="0028384B" w:rsidRPr="002F16A1">
        <w:rPr>
          <w:noProof/>
        </w:rPr>
        <w:t>mie</w:t>
      </w:r>
      <w:r w:rsidR="00AD62E2" w:rsidRPr="002F16A1">
        <w:rPr>
          <w:noProof/>
        </w:rPr>
        <w:t>jsce przepisów niniejszego artykułu.</w:t>
      </w:r>
    </w:p>
    <w:p w:rsidR="00AD62E2" w:rsidRPr="002F16A1" w:rsidRDefault="00733965" w:rsidP="00733965">
      <w:pPr>
        <w:pStyle w:val="ManualNumPar1"/>
        <w:rPr>
          <w:noProof/>
        </w:rPr>
      </w:pPr>
      <w:r w:rsidRPr="00733965">
        <w:t>10.</w:t>
      </w:r>
      <w:r w:rsidRPr="00733965">
        <w:tab/>
      </w:r>
      <w:r w:rsidR="00AD62E2" w:rsidRPr="002F16A1">
        <w:rPr>
          <w:noProof/>
        </w:rPr>
        <w:t>Produkty przeznaczone głównie do zastosowań obronnych lub kosmicznych wyłącza się</w:t>
      </w:r>
      <w:r w:rsidR="0028384B" w:rsidRPr="002F16A1">
        <w:rPr>
          <w:noProof/>
        </w:rPr>
        <w:t xml:space="preserve"> z</w:t>
      </w:r>
      <w:r w:rsidR="0028384B">
        <w:rPr>
          <w:noProof/>
        </w:rPr>
        <w:t> </w:t>
      </w:r>
      <w:r w:rsidR="0028384B" w:rsidRPr="002F16A1">
        <w:rPr>
          <w:noProof/>
        </w:rPr>
        <w:t>wym</w:t>
      </w:r>
      <w:r w:rsidR="00AD62E2" w:rsidRPr="002F16A1">
        <w:rPr>
          <w:noProof/>
        </w:rPr>
        <w:t xml:space="preserve">ogów niniejszego artykułu. </w:t>
      </w:r>
    </w:p>
    <w:p w:rsidR="00AD62E2" w:rsidRPr="002F16A1" w:rsidRDefault="00733965" w:rsidP="00733965">
      <w:pPr>
        <w:pStyle w:val="ManualNumPar1"/>
        <w:rPr>
          <w:noProof/>
        </w:rPr>
      </w:pPr>
      <w:r w:rsidRPr="00733965">
        <w:t>11.</w:t>
      </w:r>
      <w:r w:rsidRPr="00733965">
        <w:tab/>
      </w:r>
      <w:r w:rsidR="00AD62E2" w:rsidRPr="002F16A1">
        <w:rPr>
          <w:noProof/>
        </w:rPr>
        <w:t>W przypadku urządzeń do obrazowania metodą rezonansu magnetycznego, pojazdów silnikowych</w:t>
      </w:r>
      <w:r w:rsidR="0028384B" w:rsidRPr="002F16A1">
        <w:rPr>
          <w:noProof/>
        </w:rPr>
        <w:t xml:space="preserve"> i</w:t>
      </w:r>
      <w:r w:rsidR="0028384B">
        <w:rPr>
          <w:noProof/>
        </w:rPr>
        <w:t> </w:t>
      </w:r>
      <w:r w:rsidR="0028384B" w:rsidRPr="002F16A1">
        <w:rPr>
          <w:noProof/>
        </w:rPr>
        <w:t>lek</w:t>
      </w:r>
      <w:r w:rsidR="00AD62E2" w:rsidRPr="002F16A1">
        <w:rPr>
          <w:noProof/>
        </w:rPr>
        <w:t>kich środków transportu, które posiadają homologację typu pojazdu kategorii L, wymogi niniejszego artykułu stosuje się od dnia [</w:t>
      </w:r>
      <w:r w:rsidR="00AD62E2" w:rsidRPr="002F16A1">
        <w:rPr>
          <w:i/>
          <w:iCs/>
          <w:noProof/>
        </w:rPr>
        <w:t>Urząd Publikacji: proszę wstawić</w:t>
      </w:r>
      <w:r w:rsidR="00AD62E2" w:rsidRPr="002F16A1">
        <w:rPr>
          <w:noProof/>
        </w:rPr>
        <w:t xml:space="preserve"> </w:t>
      </w:r>
      <w:r w:rsidR="00AD62E2" w:rsidRPr="002F16A1">
        <w:rPr>
          <w:i/>
          <w:iCs/>
          <w:noProof/>
        </w:rPr>
        <w:t>datę: pięć lat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w:t>
      </w:r>
    </w:p>
    <w:p w:rsidR="00AD62E2" w:rsidRPr="002F16A1" w:rsidRDefault="00733965" w:rsidP="00733965">
      <w:pPr>
        <w:pStyle w:val="ManualNumPar1"/>
        <w:rPr>
          <w:noProof/>
        </w:rPr>
      </w:pPr>
      <w:r w:rsidRPr="00733965">
        <w:t>12.</w:t>
      </w:r>
      <w:r w:rsidRPr="00733965">
        <w:tab/>
      </w:r>
      <w:r w:rsidR="00AD62E2" w:rsidRPr="002F16A1">
        <w:rPr>
          <w:noProof/>
        </w:rPr>
        <w:t>Komisja jest uprawniona do przyjmowania,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6, aktów delegowanych</w:t>
      </w:r>
      <w:r w:rsidR="0028384B" w:rsidRPr="002F16A1">
        <w:rPr>
          <w:noProof/>
        </w:rPr>
        <w:t xml:space="preserve"> w</w:t>
      </w:r>
      <w:r w:rsidR="0028384B">
        <w:rPr>
          <w:noProof/>
        </w:rPr>
        <w:t> </w:t>
      </w:r>
      <w:r w:rsidR="0028384B" w:rsidRPr="002F16A1">
        <w:rPr>
          <w:noProof/>
        </w:rPr>
        <w:t>cel</w:t>
      </w:r>
      <w:r w:rsidR="00AD62E2" w:rsidRPr="002F16A1">
        <w:rPr>
          <w:noProof/>
        </w:rPr>
        <w:t>u zmiany załącznika VI, aby zapewnić lub zaktualizować wykaz kodów Nomenklatury scalonej</w:t>
      </w:r>
      <w:r w:rsidR="00AD62E2" w:rsidRPr="002F16A1">
        <w:rPr>
          <w:rStyle w:val="FootnoteReference"/>
          <w:noProof/>
        </w:rPr>
        <w:footnoteReference w:id="50"/>
      </w:r>
      <w:r w:rsidR="0028384B" w:rsidRPr="002F16A1">
        <w:rPr>
          <w:noProof/>
        </w:rPr>
        <w:t xml:space="preserve"> i</w:t>
      </w:r>
      <w:r w:rsidR="0028384B">
        <w:rPr>
          <w:noProof/>
        </w:rPr>
        <w:t> </w:t>
      </w:r>
      <w:r w:rsidR="0028384B" w:rsidRPr="002F16A1">
        <w:rPr>
          <w:noProof/>
        </w:rPr>
        <w:t>opi</w:t>
      </w:r>
      <w:r w:rsidR="00AD62E2" w:rsidRPr="002F16A1">
        <w:rPr>
          <w:noProof/>
        </w:rPr>
        <w:t>sów produktów odpowiadających produktom,</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w:t>
      </w:r>
      <w:r w:rsidR="0028384B" w:rsidRPr="002F16A1">
        <w:rPr>
          <w:noProof/>
        </w:rPr>
        <w:t xml:space="preserve"> w</w:t>
      </w:r>
      <w:r w:rsidR="0028384B">
        <w:rPr>
          <w:noProof/>
        </w:rPr>
        <w:t> </w:t>
      </w:r>
      <w:r w:rsidR="0028384B" w:rsidRPr="002F16A1">
        <w:rPr>
          <w:noProof/>
        </w:rPr>
        <w:t>cel</w:t>
      </w:r>
      <w:r w:rsidR="00AD62E2" w:rsidRPr="002F16A1">
        <w:rPr>
          <w:noProof/>
        </w:rPr>
        <w:t>u ułatwienia pracy organów celnych</w:t>
      </w:r>
      <w:r w:rsidR="0028384B" w:rsidRPr="002F16A1">
        <w:rPr>
          <w:noProof/>
        </w:rPr>
        <w:t xml:space="preserve"> w</w:t>
      </w:r>
      <w:r w:rsidR="0028384B">
        <w:rPr>
          <w:noProof/>
        </w:rPr>
        <w:t> </w:t>
      </w:r>
      <w:r w:rsidR="0028384B" w:rsidRPr="002F16A1">
        <w:rPr>
          <w:noProof/>
        </w:rPr>
        <w:t>odn</w:t>
      </w:r>
      <w:r w:rsidR="00AD62E2" w:rsidRPr="002F16A1">
        <w:rPr>
          <w:noProof/>
        </w:rPr>
        <w:t>iesieniu do tych produktów</w:t>
      </w:r>
      <w:r w:rsidR="0028384B" w:rsidRPr="002F16A1">
        <w:rPr>
          <w:noProof/>
        </w:rPr>
        <w:t xml:space="preserve"> i</w:t>
      </w:r>
      <w:r w:rsidR="0028384B">
        <w:rPr>
          <w:noProof/>
        </w:rPr>
        <w:t> </w:t>
      </w:r>
      <w:r w:rsidR="0028384B" w:rsidRPr="002F16A1">
        <w:rPr>
          <w:noProof/>
        </w:rPr>
        <w:t>wym</w:t>
      </w:r>
      <w:r w:rsidR="00AD62E2" w:rsidRPr="002F16A1">
        <w:rPr>
          <w:noProof/>
        </w:rPr>
        <w:t>ogów określonych</w:t>
      </w:r>
      <w:r w:rsidR="0028384B" w:rsidRPr="002F16A1">
        <w:rPr>
          <w:noProof/>
        </w:rPr>
        <w:t xml:space="preserve"> w</w:t>
      </w:r>
      <w:r w:rsidR="0028384B">
        <w:rPr>
          <w:noProof/>
        </w:rPr>
        <w:t> </w:t>
      </w:r>
      <w:r w:rsidR="0028384B" w:rsidRPr="002F16A1">
        <w:rPr>
          <w:noProof/>
        </w:rPr>
        <w:t>nin</w:t>
      </w:r>
      <w:r w:rsidR="00AD62E2" w:rsidRPr="002F16A1">
        <w:rPr>
          <w:noProof/>
        </w:rPr>
        <w:t>iejszym artykule</w:t>
      </w:r>
      <w:r w:rsidR="0028384B" w:rsidRPr="002F16A1">
        <w:rPr>
          <w:noProof/>
        </w:rPr>
        <w:t xml:space="preserve"> i</w:t>
      </w:r>
      <w:r w:rsidR="0028384B">
        <w:rPr>
          <w:noProof/>
        </w:rPr>
        <w:t> </w:t>
      </w:r>
      <w:r w:rsidR="0028384B" w:rsidRPr="002F16A1">
        <w:rPr>
          <w:noProof/>
        </w:rPr>
        <w:t>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2</w:t>
      </w:r>
      <w:r w:rsidR="00AD62E2" w:rsidRPr="002F16A1">
        <w:rPr>
          <w:noProof/>
        </w:rPr>
        <w:t xml:space="preserve">8. </w:t>
      </w:r>
    </w:p>
    <w:p w:rsidR="00AD62E2" w:rsidRPr="002F16A1" w:rsidRDefault="00AD62E2" w:rsidP="00AD62E2">
      <w:pPr>
        <w:pStyle w:val="Titrearticle"/>
        <w:rPr>
          <w:noProof/>
        </w:rPr>
      </w:pPr>
      <w:bookmarkStart w:id="18" w:name="__akn_article_KpUcvm_aF5Xrv"/>
      <w:bookmarkEnd w:id="18"/>
      <w:r w:rsidRPr="002F16A1">
        <w:rPr>
          <w:noProof/>
        </w:rPr>
        <w:t>Artykuł 28</w:t>
      </w:r>
    </w:p>
    <w:p w:rsidR="00AD62E2" w:rsidRPr="002F16A1" w:rsidRDefault="00AD62E2" w:rsidP="00AD62E2">
      <w:pPr>
        <w:pStyle w:val="NormalCentered"/>
        <w:rPr>
          <w:noProof/>
        </w:rPr>
      </w:pPr>
      <w:r w:rsidRPr="002F16A1">
        <w:rPr>
          <w:b/>
          <w:noProof/>
        </w:rPr>
        <w:t>Zawartość materiałów</w:t>
      </w:r>
      <w:r w:rsidR="0028384B" w:rsidRPr="002F16A1">
        <w:rPr>
          <w:b/>
          <w:noProof/>
        </w:rPr>
        <w:t xml:space="preserve"> z</w:t>
      </w:r>
      <w:r w:rsidR="0028384B">
        <w:rPr>
          <w:b/>
          <w:noProof/>
        </w:rPr>
        <w:t> </w:t>
      </w:r>
      <w:r w:rsidR="0028384B" w:rsidRPr="002F16A1">
        <w:rPr>
          <w:b/>
          <w:noProof/>
        </w:rPr>
        <w:t>rec</w:t>
      </w:r>
      <w:r w:rsidRPr="002F16A1">
        <w:rPr>
          <w:b/>
          <w:noProof/>
        </w:rPr>
        <w:t>yklingu</w:t>
      </w:r>
      <w:r w:rsidR="0028384B" w:rsidRPr="002F16A1">
        <w:rPr>
          <w:b/>
          <w:noProof/>
        </w:rPr>
        <w:t xml:space="preserve"> w</w:t>
      </w:r>
      <w:r w:rsidR="0028384B">
        <w:rPr>
          <w:b/>
          <w:noProof/>
        </w:rPr>
        <w:t> </w:t>
      </w:r>
      <w:r w:rsidR="0028384B" w:rsidRPr="002F16A1">
        <w:rPr>
          <w:b/>
          <w:noProof/>
        </w:rPr>
        <w:t>mag</w:t>
      </w:r>
      <w:r w:rsidRPr="002F16A1">
        <w:rPr>
          <w:b/>
          <w:noProof/>
        </w:rPr>
        <w:t>nesach trwałych</w:t>
      </w:r>
    </w:p>
    <w:p w:rsidR="00AD62E2" w:rsidRPr="002F16A1" w:rsidRDefault="00733965" w:rsidP="00733965">
      <w:pPr>
        <w:pStyle w:val="ManualNumPar1"/>
        <w:rPr>
          <w:noProof/>
        </w:rPr>
      </w:pPr>
      <w:r w:rsidRPr="00733965">
        <w:t>1.</w:t>
      </w:r>
      <w:r w:rsidRPr="00733965">
        <w:tab/>
      </w:r>
      <w:r w:rsidR="00AD62E2" w:rsidRPr="002F16A1">
        <w:rPr>
          <w:noProof/>
        </w:rPr>
        <w:t>Od dnia [</w:t>
      </w:r>
      <w:r w:rsidR="00AD62E2" w:rsidRPr="002F16A1">
        <w:rPr>
          <w:i/>
          <w:iCs/>
          <w:noProof/>
        </w:rPr>
        <w:t>Urząd Publikacji: proszę wstawić</w:t>
      </w:r>
      <w:r w:rsidR="00AD62E2" w:rsidRPr="002F16A1">
        <w:rPr>
          <w:noProof/>
        </w:rPr>
        <w:t xml:space="preserve"> </w:t>
      </w:r>
      <w:r w:rsidR="00AD62E2" w:rsidRPr="002F16A1">
        <w:rPr>
          <w:i/>
          <w:iCs/>
          <w:noProof/>
        </w:rPr>
        <w:t>datę: 3 lata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 albo 2 lata od daty wejścia</w:t>
      </w:r>
      <w:r w:rsidR="0028384B" w:rsidRPr="002F16A1">
        <w:rPr>
          <w:noProof/>
        </w:rPr>
        <w:t xml:space="preserve"> w</w:t>
      </w:r>
      <w:r w:rsidR="0028384B">
        <w:rPr>
          <w:noProof/>
        </w:rPr>
        <w:t> </w:t>
      </w:r>
      <w:r w:rsidR="0028384B" w:rsidRPr="002F16A1">
        <w:rPr>
          <w:noProof/>
        </w:rPr>
        <w:t>życ</w:t>
      </w:r>
      <w:r w:rsidR="00AD62E2" w:rsidRPr="002F16A1">
        <w:rPr>
          <w:noProof/>
        </w:rPr>
        <w:t>ie aktu delegowanego,</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2</w:t>
      </w:r>
      <w:r w:rsidR="00AD62E2" w:rsidRPr="002F16A1">
        <w:rPr>
          <w:noProof/>
        </w:rPr>
        <w:t>,</w:t>
      </w:r>
      <w:r w:rsidR="0028384B" w:rsidRPr="002F16A1">
        <w:rPr>
          <w:noProof/>
        </w:rPr>
        <w:t xml:space="preserve"> w</w:t>
      </w:r>
      <w:r w:rsidR="0028384B">
        <w:rPr>
          <w:noProof/>
        </w:rPr>
        <w:t> </w:t>
      </w:r>
      <w:r w:rsidR="0028384B" w:rsidRPr="002F16A1">
        <w:rPr>
          <w:noProof/>
        </w:rPr>
        <w:t>zal</w:t>
      </w:r>
      <w:r w:rsidR="00AD62E2" w:rsidRPr="002F16A1">
        <w:rPr>
          <w:noProof/>
        </w:rPr>
        <w:t>eżności od tego, która</w:t>
      </w:r>
      <w:r w:rsidR="0028384B" w:rsidRPr="002F16A1">
        <w:rPr>
          <w:noProof/>
        </w:rPr>
        <w:t xml:space="preserve"> z</w:t>
      </w:r>
      <w:r w:rsidR="0028384B">
        <w:rPr>
          <w:noProof/>
        </w:rPr>
        <w:t> </w:t>
      </w:r>
      <w:r w:rsidR="0028384B" w:rsidRPr="002F16A1">
        <w:rPr>
          <w:noProof/>
        </w:rPr>
        <w:t>tyc</w:t>
      </w:r>
      <w:r w:rsidR="00AD62E2" w:rsidRPr="002F16A1">
        <w:rPr>
          <w:noProof/>
        </w:rPr>
        <w:t>h dat jest późniejsza, każda osoba fizyczna lub prawna wprowadzająca do obrotu produkty,</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2</w:t>
      </w:r>
      <w:r w:rsidR="00AD62E2" w:rsidRPr="002F16A1">
        <w:rPr>
          <w:noProof/>
        </w:rPr>
        <w:t xml:space="preserve">7 </w:t>
      </w:r>
      <w:r w:rsidR="00AD62E2" w:rsidRPr="0028384B">
        <w:rPr>
          <w:noProof/>
        </w:rPr>
        <w:t>ust.</w:t>
      </w:r>
      <w:r w:rsidR="0028384B" w:rsidRPr="0028384B">
        <w:rPr>
          <w:noProof/>
        </w:rPr>
        <w:t> </w:t>
      </w:r>
      <w:r w:rsidR="00AD62E2" w:rsidRPr="0028384B">
        <w:rPr>
          <w:noProof/>
        </w:rPr>
        <w:t>1</w:t>
      </w:r>
      <w:r w:rsidR="00AD62E2" w:rsidRPr="002F16A1">
        <w:rPr>
          <w:noProof/>
        </w:rPr>
        <w:t>, zawierające co najmniej jeden magnes trwały,</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2</w:t>
      </w:r>
      <w:r w:rsidR="00AD62E2" w:rsidRPr="002F16A1">
        <w:rPr>
          <w:noProof/>
        </w:rPr>
        <w:t xml:space="preserve">7 </w:t>
      </w:r>
      <w:r w:rsidR="00AD62E2" w:rsidRPr="0028384B">
        <w:rPr>
          <w:noProof/>
        </w:rPr>
        <w:t>ust.</w:t>
      </w:r>
      <w:r w:rsidR="0028384B" w:rsidRPr="0028384B">
        <w:rPr>
          <w:noProof/>
        </w:rPr>
        <w:t> </w:t>
      </w:r>
      <w:r w:rsidR="00AD62E2" w:rsidRPr="0028384B">
        <w:rPr>
          <w:noProof/>
        </w:rPr>
        <w:t>1</w:t>
      </w:r>
      <w:r w:rsidR="00AD62E2" w:rsidRPr="002F16A1">
        <w:rPr>
          <w:noProof/>
        </w:rPr>
        <w:t xml:space="preserve"> </w:t>
      </w:r>
      <w:r w:rsidR="00AD62E2" w:rsidRPr="0028384B">
        <w:rPr>
          <w:noProof/>
        </w:rPr>
        <w:t>lit.</w:t>
      </w:r>
      <w:r w:rsidR="0028384B" w:rsidRPr="0028384B">
        <w:rPr>
          <w:noProof/>
        </w:rPr>
        <w:t> </w:t>
      </w:r>
      <w:r w:rsidR="00AD62E2" w:rsidRPr="0028384B">
        <w:rPr>
          <w:noProof/>
        </w:rPr>
        <w:t>b)</w:t>
      </w:r>
      <w:r w:rsidR="00AD62E2" w:rsidRPr="002F16A1">
        <w:rPr>
          <w:noProof/>
        </w:rPr>
        <w:t xml:space="preserve"> pkt (i)–(iii),</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któ</w:t>
      </w:r>
      <w:r w:rsidR="00AD62E2" w:rsidRPr="002F16A1">
        <w:rPr>
          <w:noProof/>
        </w:rPr>
        <w:t>rych łączna masa wszystkich takich magnesów trwałych przekracza 0,2 kg, udostępnia publicznie na ogólnodostępnej stronie internetowej informację</w:t>
      </w:r>
      <w:r w:rsidR="0028384B" w:rsidRPr="002F16A1">
        <w:rPr>
          <w:noProof/>
        </w:rPr>
        <w:t xml:space="preserve"> o</w:t>
      </w:r>
      <w:r w:rsidR="0028384B">
        <w:rPr>
          <w:noProof/>
        </w:rPr>
        <w:t> </w:t>
      </w:r>
      <w:r w:rsidR="0028384B" w:rsidRPr="002F16A1">
        <w:rPr>
          <w:noProof/>
        </w:rPr>
        <w:t>zaw</w:t>
      </w:r>
      <w:r w:rsidR="00AD62E2" w:rsidRPr="002F16A1">
        <w:rPr>
          <w:noProof/>
        </w:rPr>
        <w:t>artości neodymu, dysprozu, prazeodymu, terbu, boru, samaru, niklu</w:t>
      </w:r>
      <w:r w:rsidR="0028384B" w:rsidRPr="002F16A1">
        <w:rPr>
          <w:noProof/>
        </w:rPr>
        <w:t xml:space="preserve"> i</w:t>
      </w:r>
      <w:r w:rsidR="0028384B">
        <w:rPr>
          <w:noProof/>
        </w:rPr>
        <w:t> </w:t>
      </w:r>
      <w:r w:rsidR="0028384B" w:rsidRPr="002F16A1">
        <w:rPr>
          <w:noProof/>
        </w:rPr>
        <w:t>kob</w:t>
      </w:r>
      <w:r w:rsidR="00AD62E2" w:rsidRPr="002F16A1">
        <w:rPr>
          <w:noProof/>
        </w:rPr>
        <w:t>altu odzyskanych</w:t>
      </w:r>
      <w:r w:rsidR="0028384B" w:rsidRPr="002F16A1">
        <w:rPr>
          <w:noProof/>
        </w:rPr>
        <w:t xml:space="preserve"> z</w:t>
      </w:r>
      <w:r w:rsidR="0028384B">
        <w:rPr>
          <w:noProof/>
        </w:rPr>
        <w:t> </w:t>
      </w:r>
      <w:r w:rsidR="0028384B" w:rsidRPr="002F16A1">
        <w:rPr>
          <w:noProof/>
        </w:rPr>
        <w:t>odp</w:t>
      </w:r>
      <w:r w:rsidR="00AD62E2" w:rsidRPr="002F16A1">
        <w:rPr>
          <w:noProof/>
        </w:rPr>
        <w:t>adów pokonsumenckich, obecnych</w:t>
      </w:r>
      <w:r w:rsidR="0028384B" w:rsidRPr="002F16A1">
        <w:rPr>
          <w:noProof/>
        </w:rPr>
        <w:t xml:space="preserve"> w</w:t>
      </w:r>
      <w:r w:rsidR="0028384B">
        <w:rPr>
          <w:noProof/>
        </w:rPr>
        <w:t> </w:t>
      </w:r>
      <w:r w:rsidR="0028384B" w:rsidRPr="002F16A1">
        <w:rPr>
          <w:noProof/>
        </w:rPr>
        <w:t>mag</w:t>
      </w:r>
      <w:r w:rsidR="00AD62E2" w:rsidRPr="002F16A1">
        <w:rPr>
          <w:noProof/>
        </w:rPr>
        <w:t>nesach trwałych wbudowanych</w:t>
      </w:r>
      <w:r w:rsidR="0028384B" w:rsidRPr="002F16A1">
        <w:rPr>
          <w:noProof/>
        </w:rPr>
        <w:t xml:space="preserve"> w</w:t>
      </w:r>
      <w:r w:rsidR="0028384B">
        <w:rPr>
          <w:noProof/>
        </w:rPr>
        <w:t> </w:t>
      </w:r>
      <w:r w:rsidR="0028384B" w:rsidRPr="002F16A1">
        <w:rPr>
          <w:noProof/>
        </w:rPr>
        <w:t>pro</w:t>
      </w:r>
      <w:r w:rsidR="00AD62E2" w:rsidRPr="002F16A1">
        <w:rPr>
          <w:noProof/>
        </w:rPr>
        <w:t>dukt.</w:t>
      </w:r>
    </w:p>
    <w:p w:rsidR="00AD62E2" w:rsidRPr="002F16A1" w:rsidRDefault="00733965" w:rsidP="00733965">
      <w:pPr>
        <w:pStyle w:val="ManualNumPar1"/>
        <w:rPr>
          <w:noProof/>
        </w:rPr>
      </w:pPr>
      <w:r w:rsidRPr="00733965">
        <w:t>2.</w:t>
      </w:r>
      <w:r w:rsidRPr="00733965">
        <w:tab/>
      </w:r>
      <w:r w:rsidR="00AD62E2" w:rsidRPr="002F16A1">
        <w:rPr>
          <w:noProof/>
        </w:rPr>
        <w:t>Do dnia [</w:t>
      </w:r>
      <w:r w:rsidR="00AD62E2" w:rsidRPr="002F16A1">
        <w:rPr>
          <w:i/>
          <w:iCs/>
          <w:noProof/>
        </w:rPr>
        <w:t>Urząd Publikacji: proszę wstawić</w:t>
      </w:r>
      <w:r w:rsidR="00AD62E2" w:rsidRPr="002F16A1">
        <w:rPr>
          <w:noProof/>
        </w:rPr>
        <w:t xml:space="preserve"> </w:t>
      </w:r>
      <w:r w:rsidR="00AD62E2" w:rsidRPr="002F16A1">
        <w:rPr>
          <w:i/>
          <w:iCs/>
          <w:noProof/>
        </w:rPr>
        <w:t>datę: dwa lata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 Komisja przyjmuje,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6, akt delegowany</w:t>
      </w:r>
      <w:r w:rsidR="0028384B" w:rsidRPr="002F16A1">
        <w:rPr>
          <w:noProof/>
        </w:rPr>
        <w:t xml:space="preserve"> w</w:t>
      </w:r>
      <w:r w:rsidR="0028384B">
        <w:rPr>
          <w:noProof/>
        </w:rPr>
        <w:t> </w:t>
      </w:r>
      <w:r w:rsidR="0028384B" w:rsidRPr="002F16A1">
        <w:rPr>
          <w:noProof/>
        </w:rPr>
        <w:t>cel</w:t>
      </w:r>
      <w:r w:rsidR="00AD62E2" w:rsidRPr="002F16A1">
        <w:rPr>
          <w:noProof/>
        </w:rPr>
        <w:t>u uzupełnienia niniejszego rozporządzenia</w:t>
      </w:r>
      <w:r w:rsidR="0028384B" w:rsidRPr="002F16A1">
        <w:rPr>
          <w:noProof/>
        </w:rPr>
        <w:t xml:space="preserve"> w</w:t>
      </w:r>
      <w:r w:rsidR="0028384B">
        <w:rPr>
          <w:noProof/>
        </w:rPr>
        <w:t> </w:t>
      </w:r>
      <w:r w:rsidR="0028384B" w:rsidRPr="002F16A1">
        <w:rPr>
          <w:noProof/>
        </w:rPr>
        <w:t>dro</w:t>
      </w:r>
      <w:r w:rsidR="00AD62E2" w:rsidRPr="002F16A1">
        <w:rPr>
          <w:noProof/>
        </w:rPr>
        <w:t>dze ustanowienia zasad obliczania</w:t>
      </w:r>
      <w:r w:rsidR="0028384B" w:rsidRPr="002F16A1">
        <w:rPr>
          <w:noProof/>
        </w:rPr>
        <w:t xml:space="preserve"> i</w:t>
      </w:r>
      <w:r w:rsidR="0028384B">
        <w:rPr>
          <w:noProof/>
        </w:rPr>
        <w:t> </w:t>
      </w:r>
      <w:r w:rsidR="0028384B" w:rsidRPr="002F16A1">
        <w:rPr>
          <w:noProof/>
        </w:rPr>
        <w:t>wer</w:t>
      </w:r>
      <w:r w:rsidR="00AD62E2" w:rsidRPr="002F16A1">
        <w:rPr>
          <w:noProof/>
        </w:rPr>
        <w:t>yfikacji udziału neodymu, dysprozu, prazeodymu, terbu, boru, samaru, niklu</w:t>
      </w:r>
      <w:r w:rsidR="0028384B" w:rsidRPr="002F16A1">
        <w:rPr>
          <w:noProof/>
        </w:rPr>
        <w:t xml:space="preserve"> i</w:t>
      </w:r>
      <w:r w:rsidR="0028384B">
        <w:rPr>
          <w:noProof/>
        </w:rPr>
        <w:t> </w:t>
      </w:r>
      <w:r w:rsidR="0028384B" w:rsidRPr="002F16A1">
        <w:rPr>
          <w:noProof/>
        </w:rPr>
        <w:t>kob</w:t>
      </w:r>
      <w:r w:rsidR="00AD62E2" w:rsidRPr="002F16A1">
        <w:rPr>
          <w:noProof/>
        </w:rPr>
        <w:t>altu odzyskanych</w:t>
      </w:r>
      <w:r w:rsidR="0028384B" w:rsidRPr="002F16A1">
        <w:rPr>
          <w:noProof/>
        </w:rPr>
        <w:t xml:space="preserve"> z</w:t>
      </w:r>
      <w:r w:rsidR="0028384B">
        <w:rPr>
          <w:noProof/>
        </w:rPr>
        <w:t> </w:t>
      </w:r>
      <w:r w:rsidR="0028384B" w:rsidRPr="002F16A1">
        <w:rPr>
          <w:noProof/>
        </w:rPr>
        <w:t>odp</w:t>
      </w:r>
      <w:r w:rsidR="00AD62E2" w:rsidRPr="002F16A1">
        <w:rPr>
          <w:noProof/>
        </w:rPr>
        <w:t>adów produkcyjnych lub odpadów pokonsumenckich, obecnych</w:t>
      </w:r>
      <w:r w:rsidR="0028384B" w:rsidRPr="002F16A1">
        <w:rPr>
          <w:noProof/>
        </w:rPr>
        <w:t xml:space="preserve"> w</w:t>
      </w:r>
      <w:r w:rsidR="0028384B">
        <w:rPr>
          <w:noProof/>
        </w:rPr>
        <w:t> </w:t>
      </w:r>
      <w:r w:rsidR="0028384B" w:rsidRPr="002F16A1">
        <w:rPr>
          <w:noProof/>
        </w:rPr>
        <w:t>mag</w:t>
      </w:r>
      <w:r w:rsidR="00AD62E2" w:rsidRPr="002F16A1">
        <w:rPr>
          <w:noProof/>
        </w:rPr>
        <w:t>nesach trwałych wbudowanych</w:t>
      </w:r>
      <w:r w:rsidR="0028384B" w:rsidRPr="002F16A1">
        <w:rPr>
          <w:noProof/>
        </w:rPr>
        <w:t xml:space="preserve"> w</w:t>
      </w:r>
      <w:r w:rsidR="0028384B">
        <w:rPr>
          <w:noProof/>
        </w:rPr>
        <w:t> </w:t>
      </w:r>
      <w:r w:rsidR="0028384B" w:rsidRPr="002F16A1">
        <w:rPr>
          <w:noProof/>
        </w:rPr>
        <w:t>pro</w:t>
      </w:r>
      <w:r w:rsidR="00AD62E2" w:rsidRPr="002F16A1">
        <w:rPr>
          <w:noProof/>
        </w:rPr>
        <w:t>dukty,</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xml:space="preserve">. </w:t>
      </w:r>
    </w:p>
    <w:p w:rsidR="00AD62E2" w:rsidRPr="002F16A1" w:rsidRDefault="00AD62E2" w:rsidP="00AD62E2">
      <w:pPr>
        <w:pStyle w:val="Text1"/>
        <w:rPr>
          <w:noProof/>
        </w:rPr>
      </w:pPr>
      <w:r w:rsidRPr="002F16A1">
        <w:rPr>
          <w:noProof/>
        </w:rPr>
        <w:t>Zasady obliczania</w:t>
      </w:r>
      <w:r w:rsidR="0028384B" w:rsidRPr="002F16A1">
        <w:rPr>
          <w:noProof/>
        </w:rPr>
        <w:t xml:space="preserve"> i</w:t>
      </w:r>
      <w:r w:rsidR="0028384B">
        <w:rPr>
          <w:noProof/>
        </w:rPr>
        <w:t> </w:t>
      </w:r>
      <w:r w:rsidR="0028384B" w:rsidRPr="002F16A1">
        <w:rPr>
          <w:noProof/>
        </w:rPr>
        <w:t>wer</w:t>
      </w:r>
      <w:r w:rsidRPr="002F16A1">
        <w:rPr>
          <w:noProof/>
        </w:rPr>
        <w:t>yfikacji określają odpowiednią procedurę oceny zgodności spośród modułów określonych</w:t>
      </w:r>
      <w:r w:rsidR="0028384B" w:rsidRPr="002F16A1">
        <w:rPr>
          <w:noProof/>
        </w:rPr>
        <w:t xml:space="preserve"> w</w:t>
      </w:r>
      <w:r w:rsidR="0028384B">
        <w:rPr>
          <w:noProof/>
        </w:rPr>
        <w:t> </w:t>
      </w:r>
      <w:r w:rsidR="0028384B" w:rsidRPr="002F16A1">
        <w:rPr>
          <w:noProof/>
        </w:rPr>
        <w:t>zał</w:t>
      </w:r>
      <w:r w:rsidRPr="002F16A1">
        <w:rPr>
          <w:noProof/>
        </w:rPr>
        <w:t xml:space="preserve">ączniku II do decyzji </w:t>
      </w:r>
      <w:r w:rsidRPr="0028384B">
        <w:rPr>
          <w:noProof/>
        </w:rPr>
        <w:t>nr</w:t>
      </w:r>
      <w:r w:rsidR="0028384B" w:rsidRPr="0028384B">
        <w:rPr>
          <w:noProof/>
        </w:rPr>
        <w:t> </w:t>
      </w:r>
      <w:r w:rsidRPr="0028384B">
        <w:rPr>
          <w:noProof/>
        </w:rPr>
        <w:t>7</w:t>
      </w:r>
      <w:r w:rsidRPr="002F16A1">
        <w:rPr>
          <w:noProof/>
        </w:rPr>
        <w:t>68/2008/WE,</w:t>
      </w:r>
      <w:r w:rsidR="0028384B" w:rsidRPr="002F16A1">
        <w:rPr>
          <w:noProof/>
        </w:rPr>
        <w:t xml:space="preserve"> z</w:t>
      </w:r>
      <w:r w:rsidR="0028384B">
        <w:rPr>
          <w:noProof/>
        </w:rPr>
        <w:t> </w:t>
      </w:r>
      <w:r w:rsidR="0028384B" w:rsidRPr="002F16A1">
        <w:rPr>
          <w:noProof/>
        </w:rPr>
        <w:t>uwz</w:t>
      </w:r>
      <w:r w:rsidRPr="002F16A1">
        <w:rPr>
          <w:noProof/>
        </w:rPr>
        <w:t>ględnieniem dostosowań niezbędnych ze względu na dane produkty. Określając stosowaną procedurę oceny zgodności, Komisja bierze pod uwagę następujące kryteria:</w:t>
      </w:r>
    </w:p>
    <w:p w:rsidR="00AD62E2" w:rsidRPr="002F16A1" w:rsidRDefault="0028384B" w:rsidP="0028384B">
      <w:pPr>
        <w:pStyle w:val="Point1"/>
        <w:rPr>
          <w:noProof/>
        </w:rPr>
      </w:pPr>
      <w:r>
        <w:rPr>
          <w:noProof/>
        </w:rPr>
        <w:t>a)</w:t>
      </w:r>
      <w:r>
        <w:rPr>
          <w:noProof/>
        </w:rPr>
        <w:tab/>
      </w:r>
      <w:r w:rsidR="00AD62E2" w:rsidRPr="002F16A1">
        <w:rPr>
          <w:noProof/>
        </w:rPr>
        <w:t>stosowność danego modułu do rodzaju produktu oraz jego proporcjonalność do realizowanego interesu publicznego;</w:t>
      </w:r>
    </w:p>
    <w:p w:rsidR="00AD62E2" w:rsidRPr="002F16A1" w:rsidRDefault="0028384B" w:rsidP="0028384B">
      <w:pPr>
        <w:pStyle w:val="Point1"/>
        <w:rPr>
          <w:noProof/>
        </w:rPr>
      </w:pPr>
      <w:r>
        <w:rPr>
          <w:noProof/>
        </w:rPr>
        <w:t>b)</w:t>
      </w:r>
      <w:r>
        <w:rPr>
          <w:noProof/>
        </w:rPr>
        <w:tab/>
      </w:r>
      <w:r w:rsidR="00AD62E2" w:rsidRPr="002F16A1">
        <w:rPr>
          <w:noProof/>
        </w:rPr>
        <w:t>dostępność kompetentnych</w:t>
      </w:r>
      <w:r w:rsidRPr="002F16A1">
        <w:rPr>
          <w:noProof/>
        </w:rPr>
        <w:t xml:space="preserve"> i</w:t>
      </w:r>
      <w:r>
        <w:rPr>
          <w:noProof/>
        </w:rPr>
        <w:t> </w:t>
      </w:r>
      <w:r w:rsidRPr="002F16A1">
        <w:rPr>
          <w:noProof/>
        </w:rPr>
        <w:t>nie</w:t>
      </w:r>
      <w:r w:rsidR="00AD62E2" w:rsidRPr="002F16A1">
        <w:rPr>
          <w:noProof/>
        </w:rPr>
        <w:t>zależnych stron trzecich mogących wykonywać potencjalne zadania związane</w:t>
      </w:r>
      <w:r w:rsidRPr="002F16A1">
        <w:rPr>
          <w:noProof/>
        </w:rPr>
        <w:t xml:space="preserve"> z</w:t>
      </w:r>
      <w:r>
        <w:rPr>
          <w:noProof/>
        </w:rPr>
        <w:t> </w:t>
      </w:r>
      <w:r w:rsidRPr="002F16A1">
        <w:rPr>
          <w:noProof/>
        </w:rPr>
        <w:t>oce</w:t>
      </w:r>
      <w:r w:rsidR="00AD62E2" w:rsidRPr="002F16A1">
        <w:rPr>
          <w:noProof/>
        </w:rPr>
        <w:t>ną zgodności dokonywaną przez stronę trzecią;</w:t>
      </w:r>
    </w:p>
    <w:p w:rsidR="00AD62E2" w:rsidRPr="002F16A1" w:rsidRDefault="0028384B" w:rsidP="0028384B">
      <w:pPr>
        <w:pStyle w:val="Point1"/>
        <w:rPr>
          <w:noProof/>
        </w:rPr>
      </w:pPr>
      <w:r>
        <w:rPr>
          <w:noProof/>
        </w:rPr>
        <w:t>c)</w:t>
      </w:r>
      <w:r>
        <w:rPr>
          <w:noProof/>
        </w:rPr>
        <w:tab/>
      </w:r>
      <w:r w:rsidR="00AD62E2" w:rsidRPr="002F16A1">
        <w:rPr>
          <w:noProof/>
        </w:rPr>
        <w:t>w sytuacjach,</w:t>
      </w:r>
      <w:r w:rsidRPr="002F16A1">
        <w:rPr>
          <w:noProof/>
        </w:rPr>
        <w:t xml:space="preserve"> w</w:t>
      </w:r>
      <w:r>
        <w:rPr>
          <w:noProof/>
        </w:rPr>
        <w:t> </w:t>
      </w:r>
      <w:r w:rsidRPr="002F16A1">
        <w:rPr>
          <w:noProof/>
        </w:rPr>
        <w:t>któ</w:t>
      </w:r>
      <w:r w:rsidR="00AD62E2" w:rsidRPr="002F16A1">
        <w:rPr>
          <w:noProof/>
        </w:rPr>
        <w:t>rych obowiązkowy jest udział osoby trzeciej – potrzebę zapewnienia producentowi możliwości wyboru między modułami zapewnienia jakości</w:t>
      </w:r>
      <w:r w:rsidRPr="002F16A1">
        <w:rPr>
          <w:noProof/>
        </w:rPr>
        <w:t xml:space="preserve"> i</w:t>
      </w:r>
      <w:r>
        <w:rPr>
          <w:noProof/>
        </w:rPr>
        <w:t> </w:t>
      </w:r>
      <w:r w:rsidRPr="002F16A1">
        <w:rPr>
          <w:noProof/>
        </w:rPr>
        <w:t>mod</w:t>
      </w:r>
      <w:r w:rsidR="00AD62E2" w:rsidRPr="002F16A1">
        <w:rPr>
          <w:noProof/>
        </w:rPr>
        <w:t>ułami certyfikacji produktu określonymi</w:t>
      </w:r>
      <w:r w:rsidRPr="002F16A1">
        <w:rPr>
          <w:noProof/>
        </w:rPr>
        <w:t xml:space="preserve"> w</w:t>
      </w:r>
      <w:r>
        <w:rPr>
          <w:noProof/>
        </w:rPr>
        <w:t> </w:t>
      </w:r>
      <w:r w:rsidRPr="002F16A1">
        <w:rPr>
          <w:noProof/>
        </w:rPr>
        <w:t>zał</w:t>
      </w:r>
      <w:r w:rsidR="00AD62E2" w:rsidRPr="002F16A1">
        <w:rPr>
          <w:noProof/>
        </w:rPr>
        <w:t xml:space="preserve">ączniku II do decyzji </w:t>
      </w:r>
      <w:r w:rsidR="00AD62E2" w:rsidRPr="0028384B">
        <w:rPr>
          <w:noProof/>
        </w:rPr>
        <w:t>nr</w:t>
      </w:r>
      <w:r w:rsidRPr="0028384B">
        <w:rPr>
          <w:noProof/>
        </w:rPr>
        <w:t> </w:t>
      </w:r>
      <w:r w:rsidR="00AD62E2" w:rsidRPr="0028384B">
        <w:rPr>
          <w:noProof/>
        </w:rPr>
        <w:t>7</w:t>
      </w:r>
      <w:r w:rsidR="00AD62E2" w:rsidRPr="002F16A1">
        <w:rPr>
          <w:noProof/>
        </w:rPr>
        <w:t>68/2008/WE.</w:t>
      </w:r>
    </w:p>
    <w:p w:rsidR="00AD62E2" w:rsidRPr="002F16A1" w:rsidRDefault="00733965" w:rsidP="00733965">
      <w:pPr>
        <w:pStyle w:val="ManualNumPar1"/>
        <w:rPr>
          <w:noProof/>
        </w:rPr>
      </w:pPr>
      <w:r w:rsidRPr="00733965">
        <w:t>3.</w:t>
      </w:r>
      <w:r w:rsidRPr="00733965">
        <w:tab/>
      </w:r>
      <w:r w:rsidR="00AD62E2" w:rsidRPr="002F16A1">
        <w:rPr>
          <w:noProof/>
        </w:rPr>
        <w:t>Po dniu 31 grudnia 20</w:t>
      </w:r>
      <w:r w:rsidR="00AD62E2" w:rsidRPr="0028384B">
        <w:rPr>
          <w:noProof/>
        </w:rPr>
        <w:t>30</w:t>
      </w:r>
      <w:r w:rsidR="0028384B" w:rsidRPr="0028384B">
        <w:rPr>
          <w:noProof/>
        </w:rPr>
        <w:t> </w:t>
      </w:r>
      <w:r w:rsidR="00AD62E2" w:rsidRPr="0028384B">
        <w:rPr>
          <w:noProof/>
        </w:rPr>
        <w:t>r.</w:t>
      </w:r>
      <w:r w:rsidR="00AD62E2" w:rsidRPr="002F16A1">
        <w:rPr>
          <w:noProof/>
        </w:rPr>
        <w:t xml:space="preserve"> Komisja może przyjąć akty delegowane uzupełniające niniejsze rozporządzenie</w:t>
      </w:r>
      <w:r w:rsidR="0028384B" w:rsidRPr="002F16A1">
        <w:rPr>
          <w:noProof/>
        </w:rPr>
        <w:t xml:space="preserve"> w</w:t>
      </w:r>
      <w:r w:rsidR="0028384B">
        <w:rPr>
          <w:noProof/>
        </w:rPr>
        <w:t> </w:t>
      </w:r>
      <w:r w:rsidR="0028384B" w:rsidRPr="002F16A1">
        <w:rPr>
          <w:noProof/>
        </w:rPr>
        <w:t>dro</w:t>
      </w:r>
      <w:r w:rsidR="00AD62E2" w:rsidRPr="002F16A1">
        <w:rPr>
          <w:noProof/>
        </w:rPr>
        <w:t>dze ustanowienia minimalnych udziałów neodymu, dysprozu, prazeodymu, terbu, boru, samaru, niklu</w:t>
      </w:r>
      <w:r w:rsidR="0028384B" w:rsidRPr="002F16A1">
        <w:rPr>
          <w:noProof/>
        </w:rPr>
        <w:t xml:space="preserve"> i</w:t>
      </w:r>
      <w:r w:rsidR="0028384B">
        <w:rPr>
          <w:noProof/>
        </w:rPr>
        <w:t> </w:t>
      </w:r>
      <w:r w:rsidR="0028384B" w:rsidRPr="002F16A1">
        <w:rPr>
          <w:noProof/>
        </w:rPr>
        <w:t>kob</w:t>
      </w:r>
      <w:r w:rsidR="00AD62E2" w:rsidRPr="002F16A1">
        <w:rPr>
          <w:noProof/>
        </w:rPr>
        <w:t>altu odzyskanych</w:t>
      </w:r>
      <w:r w:rsidR="0028384B" w:rsidRPr="002F16A1">
        <w:rPr>
          <w:noProof/>
        </w:rPr>
        <w:t xml:space="preserve"> z</w:t>
      </w:r>
      <w:r w:rsidR="0028384B">
        <w:rPr>
          <w:noProof/>
        </w:rPr>
        <w:t> </w:t>
      </w:r>
      <w:r w:rsidR="0028384B" w:rsidRPr="002F16A1">
        <w:rPr>
          <w:noProof/>
        </w:rPr>
        <w:t>odp</w:t>
      </w:r>
      <w:r w:rsidR="00AD62E2" w:rsidRPr="002F16A1">
        <w:rPr>
          <w:noProof/>
        </w:rPr>
        <w:t>adów pokonsumenckich, które muszą być obecne</w:t>
      </w:r>
      <w:r w:rsidR="0028384B" w:rsidRPr="002F16A1">
        <w:rPr>
          <w:noProof/>
        </w:rPr>
        <w:t xml:space="preserve"> w</w:t>
      </w:r>
      <w:r w:rsidR="0028384B">
        <w:rPr>
          <w:noProof/>
        </w:rPr>
        <w:t> </w:t>
      </w:r>
      <w:r w:rsidR="0028384B" w:rsidRPr="002F16A1">
        <w:rPr>
          <w:noProof/>
        </w:rPr>
        <w:t>mag</w:t>
      </w:r>
      <w:r w:rsidR="00AD62E2" w:rsidRPr="002F16A1">
        <w:rPr>
          <w:noProof/>
        </w:rPr>
        <w:t>nesie trwałym wbudowanym</w:t>
      </w:r>
      <w:r w:rsidR="0028384B" w:rsidRPr="002F16A1">
        <w:rPr>
          <w:noProof/>
        </w:rPr>
        <w:t xml:space="preserve"> w</w:t>
      </w:r>
      <w:r w:rsidR="0028384B">
        <w:rPr>
          <w:noProof/>
        </w:rPr>
        <w:t> </w:t>
      </w:r>
      <w:r w:rsidR="0028384B" w:rsidRPr="002F16A1">
        <w:rPr>
          <w:noProof/>
        </w:rPr>
        <w:t>pro</w:t>
      </w:r>
      <w:r w:rsidR="00AD62E2" w:rsidRPr="002F16A1">
        <w:rPr>
          <w:noProof/>
        </w:rPr>
        <w:t>dukty,</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xml:space="preserve">. </w:t>
      </w:r>
    </w:p>
    <w:p w:rsidR="00AD62E2" w:rsidRPr="002F16A1" w:rsidRDefault="00AD62E2" w:rsidP="00AD62E2">
      <w:pPr>
        <w:pStyle w:val="Text1"/>
        <w:rPr>
          <w:noProof/>
        </w:rPr>
      </w:pPr>
      <w:r w:rsidRPr="002F16A1">
        <w:rPr>
          <w:noProof/>
        </w:rPr>
        <w:t>Akty delegowane,</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F16A1">
        <w:rPr>
          <w:noProof/>
        </w:rPr>
        <w:t>aka</w:t>
      </w:r>
      <w:r w:rsidRPr="002F16A1">
        <w:rPr>
          <w:noProof/>
        </w:rPr>
        <w:t>picie pierwszym, przewidują okresy przejściowe dostosowane do trudności związanych</w:t>
      </w:r>
      <w:r w:rsidR="0028384B" w:rsidRPr="002F16A1">
        <w:rPr>
          <w:noProof/>
        </w:rPr>
        <w:t xml:space="preserve"> z</w:t>
      </w:r>
      <w:r w:rsidR="0028384B">
        <w:rPr>
          <w:noProof/>
        </w:rPr>
        <w:t> </w:t>
      </w:r>
      <w:r w:rsidR="0028384B" w:rsidRPr="002F16A1">
        <w:rPr>
          <w:noProof/>
        </w:rPr>
        <w:t>prz</w:t>
      </w:r>
      <w:r w:rsidRPr="002F16A1">
        <w:rPr>
          <w:noProof/>
        </w:rPr>
        <w:t>yjęciem produktów objętych środkiem</w:t>
      </w:r>
      <w:r w:rsidR="0028384B" w:rsidRPr="002F16A1">
        <w:rPr>
          <w:noProof/>
        </w:rPr>
        <w:t xml:space="preserve"> w</w:t>
      </w:r>
      <w:r w:rsidR="0028384B">
        <w:rPr>
          <w:noProof/>
        </w:rPr>
        <w:t> </w:t>
      </w:r>
      <w:r w:rsidR="0028384B" w:rsidRPr="002F16A1">
        <w:rPr>
          <w:noProof/>
        </w:rPr>
        <w:t>cel</w:t>
      </w:r>
      <w:r w:rsidRPr="002F16A1">
        <w:rPr>
          <w:noProof/>
        </w:rPr>
        <w:t>u zapewnienia zgodności.</w:t>
      </w:r>
    </w:p>
    <w:p w:rsidR="00AD62E2" w:rsidRPr="002F16A1" w:rsidRDefault="00AD62E2" w:rsidP="00AD62E2">
      <w:pPr>
        <w:pStyle w:val="Text1"/>
        <w:rPr>
          <w:noProof/>
        </w:rPr>
      </w:pPr>
      <w:r w:rsidRPr="002F16A1">
        <w:rPr>
          <w:noProof/>
        </w:rPr>
        <w:t>Minimalne udziały,</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F16A1">
        <w:rPr>
          <w:noProof/>
        </w:rPr>
        <w:t>aka</w:t>
      </w:r>
      <w:r w:rsidRPr="002F16A1">
        <w:rPr>
          <w:noProof/>
        </w:rPr>
        <w:t>picie pierwszym, opierają się na uprzedniej ocenie wpływu,</w:t>
      </w:r>
      <w:r w:rsidR="0028384B" w:rsidRPr="002F16A1">
        <w:rPr>
          <w:noProof/>
        </w:rPr>
        <w:t xml:space="preserve"> z</w:t>
      </w:r>
      <w:r w:rsidR="0028384B">
        <w:rPr>
          <w:noProof/>
        </w:rPr>
        <w:t> </w:t>
      </w:r>
      <w:r w:rsidR="0028384B" w:rsidRPr="002F16A1">
        <w:rPr>
          <w:noProof/>
        </w:rPr>
        <w:t>uwz</w:t>
      </w:r>
      <w:r w:rsidRPr="002F16A1">
        <w:rPr>
          <w:noProof/>
        </w:rPr>
        <w:t>ględnieniem:</w:t>
      </w:r>
    </w:p>
    <w:p w:rsidR="00AD62E2" w:rsidRPr="002F16A1" w:rsidRDefault="0028384B" w:rsidP="0028384B">
      <w:pPr>
        <w:pStyle w:val="Point1"/>
        <w:rPr>
          <w:noProof/>
        </w:rPr>
      </w:pPr>
      <w:r>
        <w:rPr>
          <w:noProof/>
        </w:rPr>
        <w:t>a)</w:t>
      </w:r>
      <w:r>
        <w:rPr>
          <w:noProof/>
        </w:rPr>
        <w:tab/>
      </w:r>
      <w:r w:rsidR="00AD62E2" w:rsidRPr="002F16A1">
        <w:rPr>
          <w:noProof/>
        </w:rPr>
        <w:t>istniejącej</w:t>
      </w:r>
      <w:r w:rsidRPr="002F16A1">
        <w:rPr>
          <w:noProof/>
        </w:rPr>
        <w:t xml:space="preserve"> i</w:t>
      </w:r>
      <w:r>
        <w:rPr>
          <w:noProof/>
        </w:rPr>
        <w:t> </w:t>
      </w:r>
      <w:r w:rsidRPr="002F16A1">
        <w:rPr>
          <w:noProof/>
        </w:rPr>
        <w:t>prz</w:t>
      </w:r>
      <w:r w:rsidR="00AD62E2" w:rsidRPr="002F16A1">
        <w:rPr>
          <w:noProof/>
        </w:rPr>
        <w:t>ewidywanej dostępności neodymu, dysprozu, prazeodymu, terbu, boru, samaru, niklu</w:t>
      </w:r>
      <w:r w:rsidRPr="002F16A1">
        <w:rPr>
          <w:noProof/>
        </w:rPr>
        <w:t xml:space="preserve"> i</w:t>
      </w:r>
      <w:r>
        <w:rPr>
          <w:noProof/>
        </w:rPr>
        <w:t> </w:t>
      </w:r>
      <w:r w:rsidRPr="002F16A1">
        <w:rPr>
          <w:noProof/>
        </w:rPr>
        <w:t>kob</w:t>
      </w:r>
      <w:r w:rsidR="00AD62E2" w:rsidRPr="002F16A1">
        <w:rPr>
          <w:noProof/>
        </w:rPr>
        <w:t>altu odzyskanych</w:t>
      </w:r>
      <w:r w:rsidRPr="002F16A1">
        <w:rPr>
          <w:noProof/>
        </w:rPr>
        <w:t xml:space="preserve"> z</w:t>
      </w:r>
      <w:r>
        <w:rPr>
          <w:noProof/>
        </w:rPr>
        <w:t> </w:t>
      </w:r>
      <w:r w:rsidRPr="002F16A1">
        <w:rPr>
          <w:noProof/>
        </w:rPr>
        <w:t>odp</w:t>
      </w:r>
      <w:r w:rsidR="00AD62E2" w:rsidRPr="002F16A1">
        <w:rPr>
          <w:noProof/>
        </w:rPr>
        <w:t>adów pokonsumenckich;</w:t>
      </w:r>
    </w:p>
    <w:p w:rsidR="00AD62E2" w:rsidRPr="002F16A1" w:rsidRDefault="0028384B" w:rsidP="0028384B">
      <w:pPr>
        <w:pStyle w:val="Point1"/>
        <w:rPr>
          <w:noProof/>
        </w:rPr>
      </w:pPr>
      <w:r>
        <w:rPr>
          <w:noProof/>
        </w:rPr>
        <w:t>b)</w:t>
      </w:r>
      <w:r>
        <w:rPr>
          <w:noProof/>
        </w:rPr>
        <w:tab/>
      </w:r>
      <w:r w:rsidR="00AD62E2" w:rsidRPr="002F16A1">
        <w:rPr>
          <w:noProof/>
        </w:rPr>
        <w:t>informacji zebranych zgodnie</w:t>
      </w:r>
      <w:r w:rsidRPr="002F16A1">
        <w:rPr>
          <w:noProof/>
        </w:rPr>
        <w:t xml:space="preserve"> z</w:t>
      </w:r>
      <w:r>
        <w:rPr>
          <w:noProof/>
        </w:rPr>
        <w:t> </w:t>
      </w:r>
      <w:r w:rsidRPr="0028384B">
        <w:rPr>
          <w:noProof/>
        </w:rPr>
        <w:t>ust</w:t>
      </w:r>
      <w:r w:rsidR="00AD62E2" w:rsidRPr="0028384B">
        <w:rPr>
          <w:noProof/>
        </w:rPr>
        <w:t>.</w:t>
      </w:r>
      <w:r w:rsidRPr="0028384B">
        <w:rPr>
          <w:noProof/>
        </w:rPr>
        <w:t> </w:t>
      </w:r>
      <w:r w:rsidR="00AD62E2" w:rsidRPr="0028384B">
        <w:rPr>
          <w:noProof/>
        </w:rPr>
        <w:t>1</w:t>
      </w:r>
      <w:r w:rsidR="00AD62E2" w:rsidRPr="002F16A1">
        <w:rPr>
          <w:noProof/>
        </w:rPr>
        <w:t xml:space="preserve"> oraz względnego rozkładu udziału zawartości materiałów</w:t>
      </w:r>
      <w:r w:rsidRPr="002F16A1">
        <w:rPr>
          <w:noProof/>
        </w:rPr>
        <w:t xml:space="preserve"> z</w:t>
      </w:r>
      <w:r>
        <w:rPr>
          <w:noProof/>
        </w:rPr>
        <w:t> </w:t>
      </w:r>
      <w:r w:rsidRPr="002F16A1">
        <w:rPr>
          <w:noProof/>
        </w:rPr>
        <w:t>rec</w:t>
      </w:r>
      <w:r w:rsidR="00AD62E2" w:rsidRPr="002F16A1">
        <w:rPr>
          <w:noProof/>
        </w:rPr>
        <w:t>yklingu</w:t>
      </w:r>
      <w:r w:rsidRPr="002F16A1">
        <w:rPr>
          <w:noProof/>
        </w:rPr>
        <w:t xml:space="preserve"> w</w:t>
      </w:r>
      <w:r>
        <w:rPr>
          <w:noProof/>
        </w:rPr>
        <w:t> </w:t>
      </w:r>
      <w:r w:rsidRPr="002F16A1">
        <w:rPr>
          <w:noProof/>
        </w:rPr>
        <w:t>mag</w:t>
      </w:r>
      <w:r w:rsidR="00AD62E2" w:rsidRPr="002F16A1">
        <w:rPr>
          <w:noProof/>
        </w:rPr>
        <w:t>nesach trwałych wbudowanych we wprowadzone do obrotu produkty,</w:t>
      </w:r>
      <w:r w:rsidRPr="002F16A1">
        <w:rPr>
          <w:noProof/>
        </w:rPr>
        <w:t xml:space="preserve"> o</w:t>
      </w:r>
      <w:r>
        <w:rPr>
          <w:noProof/>
        </w:rPr>
        <w:t> </w:t>
      </w:r>
      <w:r w:rsidRPr="002F16A1">
        <w:rPr>
          <w:noProof/>
        </w:rPr>
        <w:t>któ</w:t>
      </w:r>
      <w:r w:rsidR="00AD62E2" w:rsidRPr="002F16A1">
        <w:rPr>
          <w:noProof/>
        </w:rPr>
        <w:t>rych mowa</w:t>
      </w:r>
      <w:r w:rsidRPr="002F16A1">
        <w:rPr>
          <w:noProof/>
        </w:rPr>
        <w:t xml:space="preserve"> w</w:t>
      </w:r>
      <w:r>
        <w:rPr>
          <w:noProof/>
        </w:rPr>
        <w:t> </w:t>
      </w:r>
      <w:r w:rsidRPr="0028384B">
        <w:rPr>
          <w:noProof/>
        </w:rPr>
        <w:t>ust</w:t>
      </w:r>
      <w:r w:rsidR="00AD62E2" w:rsidRPr="0028384B">
        <w:rPr>
          <w:noProof/>
        </w:rPr>
        <w:t>.</w:t>
      </w:r>
      <w:r w:rsidRPr="0028384B">
        <w:rPr>
          <w:noProof/>
        </w:rPr>
        <w:t> </w:t>
      </w:r>
      <w:r w:rsidR="00AD62E2" w:rsidRPr="0028384B">
        <w:rPr>
          <w:noProof/>
        </w:rPr>
        <w:t>1</w:t>
      </w:r>
      <w:r w:rsidR="00AD62E2" w:rsidRPr="002F16A1">
        <w:rPr>
          <w:noProof/>
        </w:rPr>
        <w:t>;</w:t>
      </w:r>
    </w:p>
    <w:p w:rsidR="00AD62E2" w:rsidRPr="002F16A1" w:rsidRDefault="0028384B" w:rsidP="0028384B">
      <w:pPr>
        <w:pStyle w:val="Point1"/>
        <w:rPr>
          <w:noProof/>
        </w:rPr>
      </w:pPr>
      <w:r>
        <w:rPr>
          <w:noProof/>
        </w:rPr>
        <w:t>c)</w:t>
      </w:r>
      <w:r>
        <w:rPr>
          <w:noProof/>
        </w:rPr>
        <w:tab/>
      </w:r>
      <w:r w:rsidR="00AD62E2" w:rsidRPr="002F16A1">
        <w:rPr>
          <w:noProof/>
        </w:rPr>
        <w:t>postępu technicznego</w:t>
      </w:r>
      <w:r w:rsidRPr="002F16A1">
        <w:rPr>
          <w:noProof/>
        </w:rPr>
        <w:t xml:space="preserve"> i</w:t>
      </w:r>
      <w:r>
        <w:rPr>
          <w:noProof/>
        </w:rPr>
        <w:t> </w:t>
      </w:r>
      <w:r w:rsidRPr="002F16A1">
        <w:rPr>
          <w:noProof/>
        </w:rPr>
        <w:t>nau</w:t>
      </w:r>
      <w:r w:rsidR="00AD62E2" w:rsidRPr="002F16A1">
        <w:rPr>
          <w:noProof/>
        </w:rPr>
        <w:t>kowego,</w:t>
      </w:r>
      <w:r w:rsidRPr="002F16A1">
        <w:rPr>
          <w:noProof/>
        </w:rPr>
        <w:t xml:space="preserve"> w</w:t>
      </w:r>
      <w:r>
        <w:rPr>
          <w:noProof/>
        </w:rPr>
        <w:t> </w:t>
      </w:r>
      <w:r w:rsidRPr="002F16A1">
        <w:rPr>
          <w:noProof/>
        </w:rPr>
        <w:t>tym</w:t>
      </w:r>
      <w:r w:rsidR="00AD62E2" w:rsidRPr="002F16A1">
        <w:rPr>
          <w:noProof/>
        </w:rPr>
        <w:t xml:space="preserve"> znacznych zmian</w:t>
      </w:r>
      <w:r w:rsidRPr="002F16A1">
        <w:rPr>
          <w:noProof/>
        </w:rPr>
        <w:t xml:space="preserve"> w</w:t>
      </w:r>
      <w:r>
        <w:rPr>
          <w:noProof/>
        </w:rPr>
        <w:t> </w:t>
      </w:r>
      <w:r w:rsidRPr="002F16A1">
        <w:rPr>
          <w:noProof/>
        </w:rPr>
        <w:t>tec</w:t>
      </w:r>
      <w:r w:rsidR="00AD62E2" w:rsidRPr="002F16A1">
        <w:rPr>
          <w:noProof/>
        </w:rPr>
        <w:t>hnologiach magnesów trwałych wpływających na rodzaj odzyskiwanych materiałów;</w:t>
      </w:r>
    </w:p>
    <w:p w:rsidR="00AD62E2" w:rsidRPr="002F16A1" w:rsidRDefault="0028384B" w:rsidP="0028384B">
      <w:pPr>
        <w:pStyle w:val="Point1"/>
        <w:rPr>
          <w:noProof/>
        </w:rPr>
      </w:pPr>
      <w:r>
        <w:rPr>
          <w:noProof/>
        </w:rPr>
        <w:t>d)</w:t>
      </w:r>
      <w:r>
        <w:rPr>
          <w:noProof/>
        </w:rPr>
        <w:tab/>
      </w:r>
      <w:r w:rsidR="00AD62E2" w:rsidRPr="002F16A1">
        <w:rPr>
          <w:noProof/>
        </w:rPr>
        <w:t>skutecznego</w:t>
      </w:r>
      <w:r w:rsidRPr="002F16A1">
        <w:rPr>
          <w:noProof/>
        </w:rPr>
        <w:t xml:space="preserve"> i</w:t>
      </w:r>
      <w:r>
        <w:rPr>
          <w:noProof/>
        </w:rPr>
        <w:t> </w:t>
      </w:r>
      <w:r w:rsidRPr="002F16A1">
        <w:rPr>
          <w:noProof/>
        </w:rPr>
        <w:t>pot</w:t>
      </w:r>
      <w:r w:rsidR="00AD62E2" w:rsidRPr="002F16A1">
        <w:rPr>
          <w:noProof/>
        </w:rPr>
        <w:t>encjalnego wkładu minimalnego udziału</w:t>
      </w:r>
      <w:r w:rsidRPr="002F16A1">
        <w:rPr>
          <w:noProof/>
        </w:rPr>
        <w:t xml:space="preserve"> w</w:t>
      </w:r>
      <w:r>
        <w:rPr>
          <w:noProof/>
        </w:rPr>
        <w:t> </w:t>
      </w:r>
      <w:r w:rsidRPr="002F16A1">
        <w:rPr>
          <w:noProof/>
        </w:rPr>
        <w:t>rea</w:t>
      </w:r>
      <w:r w:rsidR="00AD62E2" w:rsidRPr="002F16A1">
        <w:rPr>
          <w:noProof/>
        </w:rPr>
        <w:t>lizację unijnych celów klimatycznych</w:t>
      </w:r>
      <w:r w:rsidRPr="002F16A1">
        <w:rPr>
          <w:noProof/>
        </w:rPr>
        <w:t xml:space="preserve"> i</w:t>
      </w:r>
      <w:r>
        <w:rPr>
          <w:noProof/>
        </w:rPr>
        <w:t> </w:t>
      </w:r>
      <w:r w:rsidRPr="002F16A1">
        <w:rPr>
          <w:noProof/>
        </w:rPr>
        <w:t>śro</w:t>
      </w:r>
      <w:r w:rsidR="00AD62E2" w:rsidRPr="002F16A1">
        <w:rPr>
          <w:noProof/>
        </w:rPr>
        <w:t>dowiskowych;</w:t>
      </w:r>
    </w:p>
    <w:p w:rsidR="00AD62E2" w:rsidRPr="002F16A1" w:rsidRDefault="0028384B" w:rsidP="0028384B">
      <w:pPr>
        <w:pStyle w:val="Point1"/>
        <w:rPr>
          <w:noProof/>
        </w:rPr>
      </w:pPr>
      <w:r>
        <w:rPr>
          <w:noProof/>
        </w:rPr>
        <w:t>e)</w:t>
      </w:r>
      <w:r>
        <w:rPr>
          <w:noProof/>
        </w:rPr>
        <w:tab/>
      </w:r>
      <w:r w:rsidR="00AD62E2" w:rsidRPr="002F16A1">
        <w:rPr>
          <w:noProof/>
        </w:rPr>
        <w:t>możliwego wpływu na funkcjonowanie produktów zawierających magnesy trwałe;</w:t>
      </w:r>
    </w:p>
    <w:p w:rsidR="00AD62E2" w:rsidRPr="002F16A1" w:rsidRDefault="0028384B" w:rsidP="0028384B">
      <w:pPr>
        <w:pStyle w:val="Point1"/>
        <w:rPr>
          <w:noProof/>
        </w:rPr>
      </w:pPr>
      <w:r>
        <w:rPr>
          <w:noProof/>
        </w:rPr>
        <w:t>f)</w:t>
      </w:r>
      <w:r>
        <w:rPr>
          <w:noProof/>
        </w:rPr>
        <w:tab/>
      </w:r>
      <w:r w:rsidR="00AD62E2" w:rsidRPr="002F16A1">
        <w:rPr>
          <w:noProof/>
        </w:rPr>
        <w:t>konieczności zapobieżenia nieproporcjonalnie negatywnemu wpływowi na przystępność cenową magnesów trwałych</w:t>
      </w:r>
      <w:r w:rsidRPr="002F16A1">
        <w:rPr>
          <w:noProof/>
        </w:rPr>
        <w:t xml:space="preserve"> i</w:t>
      </w:r>
      <w:r>
        <w:rPr>
          <w:noProof/>
        </w:rPr>
        <w:t> </w:t>
      </w:r>
      <w:r w:rsidRPr="002F16A1">
        <w:rPr>
          <w:noProof/>
        </w:rPr>
        <w:t>pro</w:t>
      </w:r>
      <w:r w:rsidR="00AD62E2" w:rsidRPr="002F16A1">
        <w:rPr>
          <w:noProof/>
        </w:rPr>
        <w:t>duktów zawierających magnesy trwałe.</w:t>
      </w:r>
    </w:p>
    <w:p w:rsidR="00AD62E2" w:rsidRPr="002F16A1" w:rsidRDefault="00733965" w:rsidP="00733965">
      <w:pPr>
        <w:pStyle w:val="ManualNumPar1"/>
        <w:rPr>
          <w:noProof/>
        </w:rPr>
      </w:pPr>
      <w:r w:rsidRPr="00733965">
        <w:t>4.</w:t>
      </w:r>
      <w:r w:rsidRPr="00733965">
        <w:tab/>
      </w:r>
      <w:r w:rsidR="00AD62E2" w:rsidRPr="002F16A1">
        <w:rPr>
          <w:noProof/>
        </w:rPr>
        <w:t>W przypadku gdy wymogi dotyczące zawartości materiałów</w:t>
      </w:r>
      <w:r w:rsidR="0028384B" w:rsidRPr="002F16A1">
        <w:rPr>
          <w:noProof/>
        </w:rPr>
        <w:t xml:space="preserve"> z</w:t>
      </w:r>
      <w:r w:rsidR="0028384B">
        <w:rPr>
          <w:noProof/>
        </w:rPr>
        <w:t> </w:t>
      </w:r>
      <w:r w:rsidR="0028384B" w:rsidRPr="002F16A1">
        <w:rPr>
          <w:noProof/>
        </w:rPr>
        <w:t>rec</w:t>
      </w:r>
      <w:r w:rsidR="00AD62E2" w:rsidRPr="002F16A1">
        <w:rPr>
          <w:noProof/>
        </w:rPr>
        <w:t>yklingu</w:t>
      </w:r>
      <w:r w:rsidR="0028384B" w:rsidRPr="002F16A1">
        <w:rPr>
          <w:noProof/>
        </w:rPr>
        <w:t xml:space="preserve"> w</w:t>
      </w:r>
      <w:r w:rsidR="0028384B">
        <w:rPr>
          <w:noProof/>
        </w:rPr>
        <w:t> </w:t>
      </w:r>
      <w:r w:rsidR="0028384B" w:rsidRPr="002F16A1">
        <w:rPr>
          <w:noProof/>
        </w:rPr>
        <w:t>mag</w:t>
      </w:r>
      <w:r w:rsidR="00AD62E2" w:rsidRPr="002F16A1">
        <w:rPr>
          <w:noProof/>
        </w:rPr>
        <w:t>nesach trwałych ustanowiono</w:t>
      </w:r>
      <w:r w:rsidR="0028384B" w:rsidRPr="002F16A1">
        <w:rPr>
          <w:noProof/>
        </w:rPr>
        <w:t xml:space="preserve"> w</w:t>
      </w:r>
      <w:r w:rsidR="0028384B">
        <w:rPr>
          <w:noProof/>
        </w:rPr>
        <w:t> </w:t>
      </w:r>
      <w:r w:rsidR="0028384B" w:rsidRPr="002F16A1">
        <w:rPr>
          <w:noProof/>
        </w:rPr>
        <w:t>akt</w:t>
      </w:r>
      <w:r w:rsidR="00AD62E2" w:rsidRPr="002F16A1">
        <w:rPr>
          <w:noProof/>
        </w:rPr>
        <w:t>ach delegowanych przyjętych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4</w:t>
      </w:r>
      <w:r w:rsidR="00AD62E2" w:rsidRPr="002F16A1">
        <w:rPr>
          <w:noProof/>
        </w:rPr>
        <w:t xml:space="preserve"> rozporządzenia XX/XXXX [</w:t>
      </w:r>
      <w:r w:rsidR="00AD62E2" w:rsidRPr="002F16A1">
        <w:rPr>
          <w:i/>
          <w:iCs/>
          <w:noProof/>
        </w:rPr>
        <w:t>Urząd Publikacji: proszę wstawić odniesienie do</w:t>
      </w:r>
      <w:r w:rsidR="00AD62E2" w:rsidRPr="002F16A1">
        <w:rPr>
          <w:noProof/>
        </w:rPr>
        <w:t xml:space="preserve"> </w:t>
      </w:r>
      <w:r w:rsidR="00AD62E2" w:rsidRPr="002F16A1">
        <w:rPr>
          <w:i/>
          <w:iCs/>
          <w:noProof/>
        </w:rPr>
        <w:t>rozporządzenia</w:t>
      </w:r>
      <w:r w:rsidR="0028384B" w:rsidRPr="002F16A1">
        <w:rPr>
          <w:i/>
          <w:iCs/>
          <w:noProof/>
        </w:rPr>
        <w:t xml:space="preserve"> w</w:t>
      </w:r>
      <w:r w:rsidR="0028384B">
        <w:rPr>
          <w:i/>
          <w:iCs/>
          <w:noProof/>
        </w:rPr>
        <w:t> </w:t>
      </w:r>
      <w:r w:rsidR="0028384B" w:rsidRPr="002F16A1">
        <w:rPr>
          <w:i/>
          <w:iCs/>
          <w:noProof/>
        </w:rPr>
        <w:t>spr</w:t>
      </w:r>
      <w:r w:rsidR="00AD62E2" w:rsidRPr="002F16A1">
        <w:rPr>
          <w:i/>
          <w:iCs/>
          <w:noProof/>
        </w:rPr>
        <w:t>awie ekoprojektu dla zrównoważonych produktów</w:t>
      </w:r>
      <w:r w:rsidR="00AD62E2" w:rsidRPr="002F16A1">
        <w:rPr>
          <w:noProof/>
        </w:rPr>
        <w:t>] lub</w:t>
      </w:r>
      <w:r w:rsidR="0028384B" w:rsidRPr="002F16A1">
        <w:rPr>
          <w:noProof/>
        </w:rPr>
        <w:t xml:space="preserve"> w</w:t>
      </w:r>
      <w:r w:rsidR="0028384B">
        <w:rPr>
          <w:noProof/>
        </w:rPr>
        <w:t> </w:t>
      </w:r>
      <w:r w:rsidR="0028384B" w:rsidRPr="002F16A1">
        <w:rPr>
          <w:noProof/>
        </w:rPr>
        <w:t>inn</w:t>
      </w:r>
      <w:r w:rsidR="00AD62E2" w:rsidRPr="002F16A1">
        <w:rPr>
          <w:noProof/>
        </w:rPr>
        <w:t>ym unijnym prawodawstwie harmonizacyjnym dotyczącym któregokolwiek</w:t>
      </w:r>
      <w:r w:rsidR="0028384B" w:rsidRPr="002F16A1">
        <w:rPr>
          <w:noProof/>
        </w:rPr>
        <w:t xml:space="preserve"> z</w:t>
      </w:r>
      <w:r w:rsidR="0028384B">
        <w:rPr>
          <w:noProof/>
        </w:rPr>
        <w:t> </w:t>
      </w:r>
      <w:r w:rsidR="0028384B" w:rsidRPr="002F16A1">
        <w:rPr>
          <w:noProof/>
        </w:rPr>
        <w:t>pro</w:t>
      </w:r>
      <w:r w:rsidR="00AD62E2" w:rsidRPr="002F16A1">
        <w:rPr>
          <w:noProof/>
        </w:rPr>
        <w:t>duktów wymienionych</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wymogi te stosuje się</w:t>
      </w:r>
      <w:r w:rsidR="0028384B" w:rsidRPr="002F16A1">
        <w:rPr>
          <w:noProof/>
        </w:rPr>
        <w:t xml:space="preserve"> w</w:t>
      </w:r>
      <w:r w:rsidR="0028384B">
        <w:rPr>
          <w:noProof/>
        </w:rPr>
        <w:t> </w:t>
      </w:r>
      <w:r w:rsidR="0028384B" w:rsidRPr="002F16A1">
        <w:rPr>
          <w:noProof/>
        </w:rPr>
        <w:t>mie</w:t>
      </w:r>
      <w:r w:rsidR="00AD62E2" w:rsidRPr="002F16A1">
        <w:rPr>
          <w:noProof/>
        </w:rPr>
        <w:t>jsce przepisów niniejszego artykułu.</w:t>
      </w:r>
    </w:p>
    <w:p w:rsidR="00AD62E2" w:rsidRPr="002F16A1" w:rsidRDefault="00733965" w:rsidP="00733965">
      <w:pPr>
        <w:pStyle w:val="ManualNumPar1"/>
        <w:rPr>
          <w:noProof/>
        </w:rPr>
      </w:pPr>
      <w:r w:rsidRPr="00733965">
        <w:t>5.</w:t>
      </w:r>
      <w:r w:rsidRPr="00733965">
        <w:tab/>
      </w:r>
      <w:r w:rsidR="00AD62E2" w:rsidRPr="002F16A1">
        <w:rPr>
          <w:noProof/>
        </w:rPr>
        <w:t>Od daty rozpoczęcia stosowania wymogu określonego</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oferując na sprzedaż produkty,</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w:t>
      </w:r>
      <w:r w:rsidR="0028384B" w:rsidRPr="002F16A1">
        <w:rPr>
          <w:noProof/>
        </w:rPr>
        <w:t xml:space="preserve"> w</w:t>
      </w:r>
      <w:r w:rsidR="0028384B">
        <w:rPr>
          <w:noProof/>
        </w:rPr>
        <w:t> </w:t>
      </w:r>
      <w:r w:rsidR="0028384B" w:rsidRPr="002F16A1">
        <w:rPr>
          <w:noProof/>
        </w:rPr>
        <w:t>tym w</w:t>
      </w:r>
      <w:r w:rsidR="0028384B">
        <w:rPr>
          <w:noProof/>
        </w:rPr>
        <w:t> </w:t>
      </w:r>
      <w:r w:rsidR="0028384B" w:rsidRPr="002F16A1">
        <w:rPr>
          <w:noProof/>
        </w:rPr>
        <w:t>prz</w:t>
      </w:r>
      <w:r w:rsidR="00AD62E2" w:rsidRPr="002F16A1">
        <w:rPr>
          <w:noProof/>
        </w:rPr>
        <w:t>ypadku sprzedaży na odległość, lub prezentując je</w:t>
      </w:r>
      <w:r w:rsidR="0028384B" w:rsidRPr="002F16A1">
        <w:rPr>
          <w:noProof/>
        </w:rPr>
        <w:t xml:space="preserve"> w</w:t>
      </w:r>
      <w:r w:rsidR="0028384B">
        <w:rPr>
          <w:noProof/>
        </w:rPr>
        <w:t> </w:t>
      </w:r>
      <w:r w:rsidR="0028384B" w:rsidRPr="002F16A1">
        <w:rPr>
          <w:noProof/>
        </w:rPr>
        <w:t>ram</w:t>
      </w:r>
      <w:r w:rsidR="00AD62E2" w:rsidRPr="002F16A1">
        <w:rPr>
          <w:noProof/>
        </w:rPr>
        <w:t>ach działalności handlowej, osoby fizyczne</w:t>
      </w:r>
      <w:r w:rsidR="0028384B" w:rsidRPr="002F16A1">
        <w:rPr>
          <w:noProof/>
        </w:rPr>
        <w:t xml:space="preserve"> i</w:t>
      </w:r>
      <w:r w:rsidR="0028384B">
        <w:rPr>
          <w:noProof/>
        </w:rPr>
        <w:t> </w:t>
      </w:r>
      <w:r w:rsidR="0028384B" w:rsidRPr="002F16A1">
        <w:rPr>
          <w:noProof/>
        </w:rPr>
        <w:t>pra</w:t>
      </w:r>
      <w:r w:rsidR="00AD62E2" w:rsidRPr="002F16A1">
        <w:rPr>
          <w:noProof/>
        </w:rPr>
        <w:t>wne wprowadzające do obrotu produkty,</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zapewniają, aby ich klienci mieli dostęp do informacji,</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przed związaniem się umową sprzedaży.</w:t>
      </w:r>
    </w:p>
    <w:p w:rsidR="00AD62E2" w:rsidRPr="002F16A1" w:rsidRDefault="00AD62E2" w:rsidP="00AD62E2">
      <w:pPr>
        <w:pStyle w:val="Text1"/>
        <w:rPr>
          <w:noProof/>
        </w:rPr>
      </w:pPr>
      <w:r w:rsidRPr="002F16A1">
        <w:rPr>
          <w:noProof/>
        </w:rPr>
        <w:t>Osoby fizyczne</w:t>
      </w:r>
      <w:r w:rsidR="0028384B" w:rsidRPr="002F16A1">
        <w:rPr>
          <w:noProof/>
        </w:rPr>
        <w:t xml:space="preserve"> i</w:t>
      </w:r>
      <w:r w:rsidR="0028384B">
        <w:rPr>
          <w:noProof/>
        </w:rPr>
        <w:t> </w:t>
      </w:r>
      <w:r w:rsidR="0028384B" w:rsidRPr="002F16A1">
        <w:rPr>
          <w:noProof/>
        </w:rPr>
        <w:t>pra</w:t>
      </w:r>
      <w:r w:rsidRPr="002F16A1">
        <w:rPr>
          <w:noProof/>
        </w:rPr>
        <w:t>wne wprowadzające do obrotu produkty,</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8384B">
        <w:rPr>
          <w:noProof/>
        </w:rPr>
        <w:t>ust</w:t>
      </w:r>
      <w:r w:rsidRPr="0028384B">
        <w:rPr>
          <w:noProof/>
        </w:rPr>
        <w:t>.</w:t>
      </w:r>
      <w:r w:rsidR="0028384B" w:rsidRPr="0028384B">
        <w:rPr>
          <w:noProof/>
        </w:rPr>
        <w:t> </w:t>
      </w:r>
      <w:r w:rsidRPr="0028384B">
        <w:rPr>
          <w:noProof/>
        </w:rPr>
        <w:t>1</w:t>
      </w:r>
      <w:r w:rsidRPr="002F16A1">
        <w:rPr>
          <w:noProof/>
        </w:rPr>
        <w:t>, nie mogą dostarczać ani eksponować etykiet, oznaczeń, symboli lub napisów, które mogłyby wprowadzać</w:t>
      </w:r>
      <w:r w:rsidR="0028384B" w:rsidRPr="002F16A1">
        <w:rPr>
          <w:noProof/>
        </w:rPr>
        <w:t xml:space="preserve"> w</w:t>
      </w:r>
      <w:r w:rsidR="0028384B">
        <w:rPr>
          <w:noProof/>
        </w:rPr>
        <w:t> </w:t>
      </w:r>
      <w:r w:rsidR="0028384B" w:rsidRPr="002F16A1">
        <w:rPr>
          <w:noProof/>
        </w:rPr>
        <w:t>błą</w:t>
      </w:r>
      <w:r w:rsidRPr="002F16A1">
        <w:rPr>
          <w:noProof/>
        </w:rPr>
        <w:t>d lub dezorientować klientów odnośnie do informacji,</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8384B">
        <w:rPr>
          <w:noProof/>
        </w:rPr>
        <w:t>ust</w:t>
      </w:r>
      <w:r w:rsidRPr="0028384B">
        <w:rPr>
          <w:noProof/>
        </w:rPr>
        <w:t>.</w:t>
      </w:r>
      <w:r w:rsidR="0028384B" w:rsidRPr="0028384B">
        <w:rPr>
          <w:noProof/>
        </w:rPr>
        <w:t> </w:t>
      </w:r>
      <w:r w:rsidRPr="0028384B">
        <w:rPr>
          <w:noProof/>
        </w:rPr>
        <w:t>1</w:t>
      </w:r>
      <w:r w:rsidRPr="002F16A1">
        <w:rPr>
          <w:noProof/>
        </w:rPr>
        <w:t>.Produkty przeznaczone głównie do zastosowań obronnych lub kosmicznych wyłącza się</w:t>
      </w:r>
      <w:r w:rsidR="0028384B" w:rsidRPr="002F16A1">
        <w:rPr>
          <w:noProof/>
        </w:rPr>
        <w:t xml:space="preserve"> z</w:t>
      </w:r>
      <w:r w:rsidR="0028384B">
        <w:rPr>
          <w:noProof/>
        </w:rPr>
        <w:t> </w:t>
      </w:r>
      <w:r w:rsidR="0028384B" w:rsidRPr="002F16A1">
        <w:rPr>
          <w:noProof/>
        </w:rPr>
        <w:t>wym</w:t>
      </w:r>
      <w:r w:rsidRPr="002F16A1">
        <w:rPr>
          <w:noProof/>
        </w:rPr>
        <w:t xml:space="preserve">ogów niniejszego artykułu.    </w:t>
      </w:r>
    </w:p>
    <w:p w:rsidR="00AD62E2" w:rsidRPr="002F16A1" w:rsidRDefault="00733965" w:rsidP="00733965">
      <w:pPr>
        <w:pStyle w:val="ManualNumPar1"/>
        <w:rPr>
          <w:noProof/>
        </w:rPr>
      </w:pPr>
      <w:r w:rsidRPr="00733965">
        <w:t>6.</w:t>
      </w:r>
      <w:r w:rsidRPr="00733965">
        <w:tab/>
      </w:r>
      <w:r w:rsidR="00AD62E2" w:rsidRPr="002F16A1">
        <w:rPr>
          <w:noProof/>
        </w:rPr>
        <w:t>W przypadku urządzeń do obrazowania metodą rezonansu magnetycznego, pojazdów silnikowych</w:t>
      </w:r>
      <w:r w:rsidR="0028384B" w:rsidRPr="002F16A1">
        <w:rPr>
          <w:noProof/>
        </w:rPr>
        <w:t xml:space="preserve"> i</w:t>
      </w:r>
      <w:r w:rsidR="0028384B">
        <w:rPr>
          <w:noProof/>
        </w:rPr>
        <w:t> </w:t>
      </w:r>
      <w:r w:rsidR="0028384B" w:rsidRPr="002F16A1">
        <w:rPr>
          <w:noProof/>
        </w:rPr>
        <w:t>lek</w:t>
      </w:r>
      <w:r w:rsidR="00AD62E2" w:rsidRPr="002F16A1">
        <w:rPr>
          <w:noProof/>
        </w:rPr>
        <w:t>kich środków transportu, które posiadają homologację typu pojazdu kategorii L, wymogi określone</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28384B" w:rsidRPr="002F16A1">
        <w:rPr>
          <w:noProof/>
        </w:rPr>
        <w:t xml:space="preserve"> i</w:t>
      </w:r>
      <w:r w:rsidR="0028384B">
        <w:rPr>
          <w:noProof/>
        </w:rPr>
        <w:t> </w:t>
      </w:r>
      <w:r w:rsidR="0028384B" w:rsidRPr="002F16A1">
        <w:rPr>
          <w:noProof/>
        </w:rPr>
        <w:t>6</w:t>
      </w:r>
      <w:r w:rsidR="00AD62E2" w:rsidRPr="002F16A1">
        <w:rPr>
          <w:noProof/>
        </w:rPr>
        <w:t xml:space="preserve"> stosuje się od dnia,</w:t>
      </w:r>
      <w:r w:rsidR="0028384B" w:rsidRPr="002F16A1">
        <w:rPr>
          <w:noProof/>
        </w:rPr>
        <w:t xml:space="preserve"> w</w:t>
      </w:r>
      <w:r w:rsidR="0028384B">
        <w:rPr>
          <w:noProof/>
        </w:rPr>
        <w:t> </w:t>
      </w:r>
      <w:r w:rsidR="0028384B" w:rsidRPr="002F16A1">
        <w:rPr>
          <w:noProof/>
        </w:rPr>
        <w:t>któ</w:t>
      </w:r>
      <w:r w:rsidR="00AD62E2" w:rsidRPr="002F16A1">
        <w:rPr>
          <w:noProof/>
        </w:rPr>
        <w:t>rym upływa 5 lat od dnia wejścia</w:t>
      </w:r>
      <w:r w:rsidR="0028384B" w:rsidRPr="002F16A1">
        <w:rPr>
          <w:noProof/>
        </w:rPr>
        <w:t xml:space="preserve"> w</w:t>
      </w:r>
      <w:r w:rsidR="0028384B">
        <w:rPr>
          <w:noProof/>
        </w:rPr>
        <w:t> </w:t>
      </w:r>
      <w:r w:rsidR="0028384B" w:rsidRPr="002F16A1">
        <w:rPr>
          <w:noProof/>
        </w:rPr>
        <w:t>życ</w:t>
      </w:r>
      <w:r w:rsidR="00AD62E2" w:rsidRPr="002F16A1">
        <w:rPr>
          <w:noProof/>
        </w:rPr>
        <w:t>ie aktu delegowanego,</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2</w:t>
      </w:r>
      <w:r w:rsidR="00AD62E2" w:rsidRPr="002F16A1">
        <w:rPr>
          <w:noProof/>
        </w:rPr>
        <w:t>.</w:t>
      </w:r>
    </w:p>
    <w:p w:rsidR="00AD62E2" w:rsidRPr="002F16A1" w:rsidRDefault="00AD62E2" w:rsidP="00AD62E2">
      <w:pPr>
        <w:pStyle w:val="SectionTitle"/>
        <w:rPr>
          <w:noProof/>
        </w:rPr>
      </w:pPr>
      <w:r w:rsidRPr="002F16A1">
        <w:rPr>
          <w:noProof/>
        </w:rPr>
        <w:t xml:space="preserve">Sekcja 2 </w:t>
      </w:r>
      <w:r w:rsidRPr="002F16A1">
        <w:rPr>
          <w:noProof/>
        </w:rPr>
        <w:br/>
        <w:t>Certyfikacja</w:t>
      </w:r>
      <w:r w:rsidR="0028384B" w:rsidRPr="002F16A1">
        <w:rPr>
          <w:noProof/>
        </w:rPr>
        <w:t xml:space="preserve"> i</w:t>
      </w:r>
      <w:r w:rsidR="0028384B">
        <w:rPr>
          <w:noProof/>
        </w:rPr>
        <w:t> </w:t>
      </w:r>
      <w:r w:rsidR="0028384B" w:rsidRPr="002F16A1">
        <w:rPr>
          <w:noProof/>
        </w:rPr>
        <w:t>śla</w:t>
      </w:r>
      <w:r w:rsidRPr="002F16A1">
        <w:rPr>
          <w:noProof/>
        </w:rPr>
        <w:t>d środowiskowy</w:t>
      </w:r>
    </w:p>
    <w:p w:rsidR="00AD62E2" w:rsidRPr="002F16A1" w:rsidRDefault="00AD62E2" w:rsidP="00AD62E2">
      <w:pPr>
        <w:pStyle w:val="Titrearticle"/>
        <w:rPr>
          <w:noProof/>
        </w:rPr>
      </w:pPr>
      <w:r w:rsidRPr="002F16A1">
        <w:rPr>
          <w:noProof/>
        </w:rPr>
        <w:t>Artykuł 29</w:t>
      </w:r>
    </w:p>
    <w:p w:rsidR="00AD62E2" w:rsidRPr="002F16A1" w:rsidRDefault="00AD62E2" w:rsidP="00AD62E2">
      <w:pPr>
        <w:pStyle w:val="NormalCentered"/>
        <w:rPr>
          <w:noProof/>
        </w:rPr>
      </w:pPr>
      <w:r w:rsidRPr="002F16A1">
        <w:rPr>
          <w:b/>
          <w:noProof/>
        </w:rPr>
        <w:t>Uznane systemy</w:t>
      </w:r>
    </w:p>
    <w:p w:rsidR="00AD62E2" w:rsidRPr="002F16A1" w:rsidRDefault="00733965" w:rsidP="00733965">
      <w:pPr>
        <w:pStyle w:val="ManualNumPar1"/>
        <w:rPr>
          <w:noProof/>
        </w:rPr>
      </w:pPr>
      <w:r w:rsidRPr="00733965">
        <w:t>1.</w:t>
      </w:r>
      <w:r w:rsidRPr="00733965">
        <w:tab/>
      </w:r>
      <w:r w:rsidR="00AD62E2" w:rsidRPr="002F16A1">
        <w:rPr>
          <w:noProof/>
        </w:rPr>
        <w:t>Rządy lub organizacje, które opracowały</w:t>
      </w:r>
      <w:r w:rsidR="0028384B" w:rsidRPr="002F16A1">
        <w:rPr>
          <w:noProof/>
        </w:rPr>
        <w:t xml:space="preserve"> i</w:t>
      </w:r>
      <w:r w:rsidR="0028384B">
        <w:rPr>
          <w:noProof/>
        </w:rPr>
        <w:t> </w:t>
      </w:r>
      <w:r w:rsidR="0028384B" w:rsidRPr="002F16A1">
        <w:rPr>
          <w:noProof/>
        </w:rPr>
        <w:t>nad</w:t>
      </w:r>
      <w:r w:rsidR="00AD62E2" w:rsidRPr="002F16A1">
        <w:rPr>
          <w:noProof/>
        </w:rPr>
        <w:t>zorują systemy certyfikacji związane ze zrównoważonym charakterem surowców krytycznych („właściciele systemów”), mogą wnioskować</w:t>
      </w:r>
      <w:r w:rsidR="0028384B" w:rsidRPr="002F16A1">
        <w:rPr>
          <w:noProof/>
        </w:rPr>
        <w:t xml:space="preserve"> o</w:t>
      </w:r>
      <w:r w:rsidR="0028384B">
        <w:rPr>
          <w:noProof/>
        </w:rPr>
        <w:t> </w:t>
      </w:r>
      <w:r w:rsidR="0028384B" w:rsidRPr="002F16A1">
        <w:rPr>
          <w:noProof/>
        </w:rPr>
        <w:t>uzn</w:t>
      </w:r>
      <w:r w:rsidR="00AD62E2" w:rsidRPr="002F16A1">
        <w:rPr>
          <w:noProof/>
        </w:rPr>
        <w:t>anie swoich systemów przez Komisję.</w:t>
      </w:r>
    </w:p>
    <w:p w:rsidR="00AD62E2" w:rsidRPr="002F16A1" w:rsidRDefault="00AD62E2" w:rsidP="00AD62E2">
      <w:pPr>
        <w:pStyle w:val="Text1"/>
        <w:rPr>
          <w:noProof/>
        </w:rPr>
      </w:pPr>
      <w:r w:rsidRPr="002F16A1">
        <w:rPr>
          <w:noProof/>
        </w:rPr>
        <w:t>Wnioski,</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F16A1">
        <w:rPr>
          <w:noProof/>
        </w:rPr>
        <w:t>aka</w:t>
      </w:r>
      <w:r w:rsidRPr="002F16A1">
        <w:rPr>
          <w:noProof/>
        </w:rPr>
        <w:t>picie pierwszym, muszą zawierać wszystkie znaczące dowody odnoszące się do spełniania kryteriów określonych</w:t>
      </w:r>
      <w:r w:rsidR="0028384B" w:rsidRPr="002F16A1">
        <w:rPr>
          <w:noProof/>
        </w:rPr>
        <w:t xml:space="preserve"> w</w:t>
      </w:r>
      <w:r w:rsidR="0028384B">
        <w:rPr>
          <w:noProof/>
        </w:rPr>
        <w:t> </w:t>
      </w:r>
      <w:r w:rsidR="0028384B" w:rsidRPr="002F16A1">
        <w:rPr>
          <w:noProof/>
        </w:rPr>
        <w:t>zał</w:t>
      </w:r>
      <w:r w:rsidRPr="002F16A1">
        <w:rPr>
          <w:noProof/>
        </w:rPr>
        <w:t>ączniku IV. Komisja jest uprawniona do przyjmowania aktów wykonawczych</w:t>
      </w:r>
      <w:r w:rsidR="0028384B" w:rsidRPr="002F16A1">
        <w:rPr>
          <w:noProof/>
        </w:rPr>
        <w:t xml:space="preserve"> w</w:t>
      </w:r>
      <w:r w:rsidR="0028384B">
        <w:rPr>
          <w:noProof/>
        </w:rPr>
        <w:t> </w:t>
      </w:r>
      <w:r w:rsidR="0028384B" w:rsidRPr="002F16A1">
        <w:rPr>
          <w:noProof/>
        </w:rPr>
        <w:t>cel</w:t>
      </w:r>
      <w:r w:rsidRPr="002F16A1">
        <w:rPr>
          <w:noProof/>
        </w:rPr>
        <w:t>u określenia informacji, jakie wnioski powinny co najmniej zawierać. Te akty wykonawcze przyjmuje się zgodnie</w:t>
      </w:r>
      <w:r w:rsidR="0028384B" w:rsidRPr="002F16A1">
        <w:rPr>
          <w:noProof/>
        </w:rPr>
        <w:t xml:space="preserve"> z</w:t>
      </w:r>
      <w:r w:rsidR="0028384B">
        <w:rPr>
          <w:noProof/>
        </w:rPr>
        <w:t> </w:t>
      </w:r>
      <w:r w:rsidR="0028384B" w:rsidRPr="002F16A1">
        <w:rPr>
          <w:noProof/>
        </w:rPr>
        <w:t>pro</w:t>
      </w:r>
      <w:r w:rsidRPr="002F16A1">
        <w:rPr>
          <w:noProof/>
        </w:rPr>
        <w:t>cedurą sprawdzającą,</w:t>
      </w:r>
      <w:r w:rsidR="0028384B" w:rsidRPr="002F16A1">
        <w:rPr>
          <w:noProof/>
        </w:rPr>
        <w:t xml:space="preserve"> o</w:t>
      </w:r>
      <w:r w:rsidR="0028384B">
        <w:rPr>
          <w:noProof/>
        </w:rPr>
        <w:t> </w:t>
      </w:r>
      <w:r w:rsidR="0028384B" w:rsidRPr="002F16A1">
        <w:rPr>
          <w:noProof/>
        </w:rPr>
        <w:t>któ</w:t>
      </w:r>
      <w:r w:rsidRPr="002F16A1">
        <w:rPr>
          <w:noProof/>
        </w:rPr>
        <w:t>rej mowa</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3</w:t>
      </w:r>
      <w:r w:rsidRPr="002F16A1">
        <w:rPr>
          <w:noProof/>
        </w:rPr>
        <w:t xml:space="preserve">7 </w:t>
      </w:r>
      <w:r w:rsidRPr="0028384B">
        <w:rPr>
          <w:noProof/>
        </w:rPr>
        <w:t>ust.</w:t>
      </w:r>
      <w:r w:rsidR="0028384B" w:rsidRPr="0028384B">
        <w:rPr>
          <w:noProof/>
        </w:rPr>
        <w:t> </w:t>
      </w:r>
      <w:r w:rsidRPr="0028384B">
        <w:rPr>
          <w:noProof/>
        </w:rPr>
        <w:t>3</w:t>
      </w:r>
      <w:r w:rsidRPr="002F16A1">
        <w:rPr>
          <w:noProof/>
        </w:rPr>
        <w:t>.</w:t>
      </w:r>
    </w:p>
    <w:p w:rsidR="00AD62E2" w:rsidRPr="002F16A1" w:rsidRDefault="00733965" w:rsidP="00733965">
      <w:pPr>
        <w:pStyle w:val="ManualNumPar1"/>
        <w:rPr>
          <w:noProof/>
        </w:rPr>
      </w:pPr>
      <w:r w:rsidRPr="00733965">
        <w:t>2.</w:t>
      </w:r>
      <w:r w:rsidRPr="00733965">
        <w:tab/>
      </w:r>
      <w:r w:rsidR="00AD62E2" w:rsidRPr="002F16A1">
        <w:rPr>
          <w:noProof/>
        </w:rPr>
        <w:t>Jeżeli na podstawie dowodów przekazanych zgodnie</w:t>
      </w:r>
      <w:r w:rsidR="0028384B" w:rsidRPr="002F16A1">
        <w:rPr>
          <w:noProof/>
        </w:rPr>
        <w:t xml:space="preserve"> z</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xml:space="preserve"> Komisja stwierdzi, że system certyfikacji spełnia kryteria określone</w:t>
      </w:r>
      <w:r w:rsidR="0028384B" w:rsidRPr="002F16A1">
        <w:rPr>
          <w:noProof/>
        </w:rPr>
        <w:t xml:space="preserve"> w</w:t>
      </w:r>
      <w:r w:rsidR="0028384B">
        <w:rPr>
          <w:noProof/>
        </w:rPr>
        <w:t> </w:t>
      </w:r>
      <w:r w:rsidR="0028384B" w:rsidRPr="002F16A1">
        <w:rPr>
          <w:noProof/>
        </w:rPr>
        <w:t>zał</w:t>
      </w:r>
      <w:r w:rsidR="00AD62E2" w:rsidRPr="002F16A1">
        <w:rPr>
          <w:noProof/>
        </w:rPr>
        <w:t>ączniku IV, przyjmuje akt wykonawczy</w:t>
      </w:r>
      <w:r w:rsidR="0028384B" w:rsidRPr="002F16A1">
        <w:rPr>
          <w:noProof/>
        </w:rPr>
        <w:t xml:space="preserve"> w</w:t>
      </w:r>
      <w:r w:rsidR="0028384B">
        <w:rPr>
          <w:noProof/>
        </w:rPr>
        <w:t> </w:t>
      </w:r>
      <w:r w:rsidR="0028384B" w:rsidRPr="002F16A1">
        <w:rPr>
          <w:noProof/>
        </w:rPr>
        <w:t>spr</w:t>
      </w:r>
      <w:r w:rsidR="00AD62E2" w:rsidRPr="002F16A1">
        <w:rPr>
          <w:noProof/>
        </w:rPr>
        <w:t>awie uznania danego systemu. Te akty wykonawcze przyjmuje się zgodnie</w:t>
      </w:r>
      <w:r w:rsidR="0028384B" w:rsidRPr="002F16A1">
        <w:rPr>
          <w:noProof/>
        </w:rPr>
        <w:t xml:space="preserve"> z</w:t>
      </w:r>
      <w:r w:rsidR="0028384B">
        <w:rPr>
          <w:noProof/>
        </w:rPr>
        <w:t> </w:t>
      </w:r>
      <w:r w:rsidR="0028384B" w:rsidRPr="002F16A1">
        <w:rPr>
          <w:noProof/>
        </w:rPr>
        <w:t>pro</w:t>
      </w:r>
      <w:r w:rsidR="00AD62E2" w:rsidRPr="002F16A1">
        <w:rPr>
          <w:noProof/>
        </w:rPr>
        <w:t>cedurą sprawdzającą,</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7 </w:t>
      </w:r>
      <w:r w:rsidR="00AD62E2" w:rsidRPr="0028384B">
        <w:rPr>
          <w:noProof/>
        </w:rPr>
        <w:t>ust.</w:t>
      </w:r>
      <w:r w:rsidR="0028384B" w:rsidRPr="0028384B">
        <w:rPr>
          <w:noProof/>
        </w:rPr>
        <w:t> </w:t>
      </w:r>
      <w:r w:rsidR="00AD62E2" w:rsidRPr="0028384B">
        <w:rPr>
          <w:noProof/>
        </w:rPr>
        <w:t>3</w:t>
      </w:r>
      <w:r w:rsidR="00AD62E2" w:rsidRPr="002F16A1">
        <w:rPr>
          <w:noProof/>
        </w:rPr>
        <w:t>.</w:t>
      </w:r>
    </w:p>
    <w:p w:rsidR="00AD62E2" w:rsidRPr="002F16A1" w:rsidRDefault="00733965" w:rsidP="00733965">
      <w:pPr>
        <w:pStyle w:val="ManualNumPar1"/>
        <w:rPr>
          <w:noProof/>
        </w:rPr>
      </w:pPr>
      <w:r w:rsidRPr="00733965">
        <w:t>3.</w:t>
      </w:r>
      <w:r w:rsidRPr="00733965">
        <w:tab/>
      </w:r>
      <w:r w:rsidR="00AD62E2" w:rsidRPr="002F16A1">
        <w:rPr>
          <w:noProof/>
        </w:rPr>
        <w:t>Komisja sprawdza okresowo, czy uznane systemy nadal spełniają kryteria określone</w:t>
      </w:r>
      <w:r w:rsidR="0028384B" w:rsidRPr="002F16A1">
        <w:rPr>
          <w:noProof/>
        </w:rPr>
        <w:t xml:space="preserve"> w</w:t>
      </w:r>
      <w:r w:rsidR="0028384B">
        <w:rPr>
          <w:noProof/>
        </w:rPr>
        <w:t> </w:t>
      </w:r>
      <w:r w:rsidR="0028384B" w:rsidRPr="002F16A1">
        <w:rPr>
          <w:noProof/>
        </w:rPr>
        <w:t>zał</w:t>
      </w:r>
      <w:r w:rsidR="00AD62E2" w:rsidRPr="002F16A1">
        <w:rPr>
          <w:noProof/>
        </w:rPr>
        <w:t>ączniku IV.</w:t>
      </w:r>
    </w:p>
    <w:p w:rsidR="00AD62E2" w:rsidRPr="002F16A1" w:rsidRDefault="00733965" w:rsidP="00733965">
      <w:pPr>
        <w:pStyle w:val="ManualNumPar1"/>
        <w:rPr>
          <w:noProof/>
        </w:rPr>
      </w:pPr>
      <w:r w:rsidRPr="00733965">
        <w:t>4.</w:t>
      </w:r>
      <w:r w:rsidRPr="00733965">
        <w:tab/>
      </w:r>
      <w:r w:rsidR="00AD62E2" w:rsidRPr="002F16A1">
        <w:rPr>
          <w:noProof/>
        </w:rPr>
        <w:t>Właściciele uznanych systemów bezzwłocznie informują Komisję</w:t>
      </w:r>
      <w:r w:rsidR="0028384B" w:rsidRPr="002F16A1">
        <w:rPr>
          <w:noProof/>
        </w:rPr>
        <w:t xml:space="preserve"> o</w:t>
      </w:r>
      <w:r w:rsidR="0028384B">
        <w:rPr>
          <w:noProof/>
        </w:rPr>
        <w:t> </w:t>
      </w:r>
      <w:r w:rsidR="0028384B" w:rsidRPr="002F16A1">
        <w:rPr>
          <w:noProof/>
        </w:rPr>
        <w:t>wsz</w:t>
      </w:r>
      <w:r w:rsidR="00AD62E2" w:rsidRPr="002F16A1">
        <w:rPr>
          <w:noProof/>
        </w:rPr>
        <w:t>elkich zmianach lub aktualizacjach uznanych systemów. Komisja ocenia, czy takie zmiany lub aktualizacje wpływają na podstawę uznania</w:t>
      </w:r>
      <w:r w:rsidR="0028384B" w:rsidRPr="002F16A1">
        <w:rPr>
          <w:noProof/>
        </w:rPr>
        <w:t xml:space="preserve"> i</w:t>
      </w:r>
      <w:r w:rsidR="0028384B">
        <w:rPr>
          <w:noProof/>
        </w:rPr>
        <w:t> </w:t>
      </w:r>
      <w:r w:rsidR="0028384B" w:rsidRPr="002F16A1">
        <w:rPr>
          <w:noProof/>
        </w:rPr>
        <w:t>pod</w:t>
      </w:r>
      <w:r w:rsidR="00AD62E2" w:rsidRPr="002F16A1">
        <w:rPr>
          <w:noProof/>
        </w:rPr>
        <w:t>ejmuje odpowiednie działania.</w:t>
      </w:r>
    </w:p>
    <w:p w:rsidR="00AD62E2" w:rsidRPr="002F16A1" w:rsidRDefault="00733965" w:rsidP="00733965">
      <w:pPr>
        <w:pStyle w:val="ManualNumPar1"/>
        <w:rPr>
          <w:noProof/>
        </w:rPr>
      </w:pPr>
      <w:r w:rsidRPr="00733965">
        <w:t>5.</w:t>
      </w:r>
      <w:r w:rsidRPr="00733965">
        <w:tab/>
      </w:r>
      <w:r w:rsidR="00AD62E2" w:rsidRPr="002F16A1">
        <w:rPr>
          <w:noProof/>
        </w:rPr>
        <w:t>Jeżeli istnieją dowody na powtarzające się lub poważne przypadki niespełniania przez podmioty gospodarcze wdrażające uznany system wymogów</w:t>
      </w:r>
      <w:r w:rsidR="0028384B" w:rsidRPr="002F16A1">
        <w:rPr>
          <w:noProof/>
        </w:rPr>
        <w:t xml:space="preserve"> w</w:t>
      </w:r>
      <w:r w:rsidR="0028384B">
        <w:rPr>
          <w:noProof/>
        </w:rPr>
        <w:t> </w:t>
      </w:r>
      <w:r w:rsidR="0028384B" w:rsidRPr="002F16A1">
        <w:rPr>
          <w:noProof/>
        </w:rPr>
        <w:t>zak</w:t>
      </w:r>
      <w:r w:rsidR="00AD62E2" w:rsidRPr="002F16A1">
        <w:rPr>
          <w:noProof/>
        </w:rPr>
        <w:t>resie tego systemu, Komisja bada, po zasięgnięciu opinii właściciela uznanego systemu, czy przypadki te wskazują na niedoskonałości</w:t>
      </w:r>
      <w:r w:rsidR="0028384B" w:rsidRPr="002F16A1">
        <w:rPr>
          <w:noProof/>
        </w:rPr>
        <w:t xml:space="preserve"> w</w:t>
      </w:r>
      <w:r w:rsidR="0028384B">
        <w:rPr>
          <w:noProof/>
        </w:rPr>
        <w:t> </w:t>
      </w:r>
      <w:r w:rsidR="0028384B" w:rsidRPr="002F16A1">
        <w:rPr>
          <w:noProof/>
        </w:rPr>
        <w:t>sys</w:t>
      </w:r>
      <w:r w:rsidR="00AD62E2" w:rsidRPr="002F16A1">
        <w:rPr>
          <w:noProof/>
        </w:rPr>
        <w:t>temie wpływające na podstawę uznania</w:t>
      </w:r>
      <w:r w:rsidR="0028384B" w:rsidRPr="002F16A1">
        <w:rPr>
          <w:noProof/>
        </w:rPr>
        <w:t xml:space="preserve"> i</w:t>
      </w:r>
      <w:r w:rsidR="0028384B">
        <w:rPr>
          <w:noProof/>
        </w:rPr>
        <w:t> </w:t>
      </w:r>
      <w:r w:rsidR="0028384B" w:rsidRPr="002F16A1">
        <w:rPr>
          <w:noProof/>
        </w:rPr>
        <w:t>pod</w:t>
      </w:r>
      <w:r w:rsidR="00AD62E2" w:rsidRPr="002F16A1">
        <w:rPr>
          <w:noProof/>
        </w:rPr>
        <w:t>ejmuje odpowiednie działania.</w:t>
      </w:r>
    </w:p>
    <w:p w:rsidR="00AD62E2" w:rsidRPr="002F16A1" w:rsidRDefault="00733965" w:rsidP="00733965">
      <w:pPr>
        <w:pStyle w:val="ManualNumPar1"/>
        <w:rPr>
          <w:noProof/>
        </w:rPr>
      </w:pPr>
      <w:r w:rsidRPr="00733965">
        <w:t>6.</w:t>
      </w:r>
      <w:r w:rsidRPr="00733965">
        <w:tab/>
      </w:r>
      <w:r w:rsidR="00AD62E2" w:rsidRPr="002F16A1">
        <w:rPr>
          <w:noProof/>
        </w:rPr>
        <w:t>Jeżeli Komisja stwierdzi niedoskonałości</w:t>
      </w:r>
      <w:r w:rsidR="0028384B" w:rsidRPr="002F16A1">
        <w:rPr>
          <w:noProof/>
        </w:rPr>
        <w:t xml:space="preserve"> w</w:t>
      </w:r>
      <w:r w:rsidR="0028384B">
        <w:rPr>
          <w:noProof/>
        </w:rPr>
        <w:t> </w:t>
      </w:r>
      <w:r w:rsidR="0028384B" w:rsidRPr="002F16A1">
        <w:rPr>
          <w:noProof/>
        </w:rPr>
        <w:t>uzn</w:t>
      </w:r>
      <w:r w:rsidR="00AD62E2" w:rsidRPr="002F16A1">
        <w:rPr>
          <w:noProof/>
        </w:rPr>
        <w:t>anym systemie wpływające na podstawę uznania, może wyznaczyć właścicielowi systemu odpowiedni termin na podjęcie działań naprawczych.</w:t>
      </w:r>
    </w:p>
    <w:p w:rsidR="00AD62E2" w:rsidRPr="002F16A1" w:rsidRDefault="00733965" w:rsidP="00733965">
      <w:pPr>
        <w:pStyle w:val="ManualNumPar1"/>
        <w:rPr>
          <w:noProof/>
        </w:rPr>
      </w:pPr>
      <w:r w:rsidRPr="00733965">
        <w:t>7.</w:t>
      </w:r>
      <w:r w:rsidRPr="00733965">
        <w:tab/>
      </w:r>
      <w:r w:rsidR="00AD62E2" w:rsidRPr="002F16A1">
        <w:rPr>
          <w:noProof/>
        </w:rPr>
        <w:t>Jeżeli właściciel systemu nie podejmie niezbędnych działań naprawczych lub odmówi ich podjęcia,</w:t>
      </w:r>
      <w:r w:rsidR="0028384B" w:rsidRPr="002F16A1">
        <w:rPr>
          <w:noProof/>
        </w:rPr>
        <w:t xml:space="preserve"> a</w:t>
      </w:r>
      <w:r w:rsidR="0028384B">
        <w:rPr>
          <w:noProof/>
        </w:rPr>
        <w:t> </w:t>
      </w:r>
      <w:r w:rsidR="0028384B" w:rsidRPr="002F16A1">
        <w:rPr>
          <w:noProof/>
        </w:rPr>
        <w:t>Kom</w:t>
      </w:r>
      <w:r w:rsidR="00AD62E2" w:rsidRPr="002F16A1">
        <w:rPr>
          <w:noProof/>
        </w:rPr>
        <w:t>isja ustaliła, że niedoskonałości,</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6</w:t>
      </w:r>
      <w:r w:rsidR="00AD62E2" w:rsidRPr="002F16A1">
        <w:rPr>
          <w:noProof/>
        </w:rPr>
        <w:t>, oznaczają, że system nie spełnia już wymogów określonych</w:t>
      </w:r>
      <w:r w:rsidR="0028384B" w:rsidRPr="002F16A1">
        <w:rPr>
          <w:noProof/>
        </w:rPr>
        <w:t xml:space="preserve"> w</w:t>
      </w:r>
      <w:r w:rsidR="0028384B">
        <w:rPr>
          <w:noProof/>
        </w:rPr>
        <w:t> </w:t>
      </w:r>
      <w:r w:rsidR="0028384B" w:rsidRPr="002F16A1">
        <w:rPr>
          <w:noProof/>
        </w:rPr>
        <w:t>zał</w:t>
      </w:r>
      <w:r w:rsidR="00AD62E2" w:rsidRPr="002F16A1">
        <w:rPr>
          <w:noProof/>
        </w:rPr>
        <w:t>ączniku IV, Komisja przyjmuje akt wykonawczy wycofujący uznanie systemu. Te akty wykonawcze przyjmuje się zgodnie</w:t>
      </w:r>
      <w:r w:rsidR="0028384B" w:rsidRPr="002F16A1">
        <w:rPr>
          <w:noProof/>
        </w:rPr>
        <w:t xml:space="preserve"> z</w:t>
      </w:r>
      <w:r w:rsidR="0028384B">
        <w:rPr>
          <w:noProof/>
        </w:rPr>
        <w:t> </w:t>
      </w:r>
      <w:r w:rsidR="0028384B" w:rsidRPr="002F16A1">
        <w:rPr>
          <w:noProof/>
        </w:rPr>
        <w:t>pro</w:t>
      </w:r>
      <w:r w:rsidR="00AD62E2" w:rsidRPr="002F16A1">
        <w:rPr>
          <w:noProof/>
        </w:rPr>
        <w:t>cedurą sprawdzającą,</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7 </w:t>
      </w:r>
      <w:r w:rsidR="00AD62E2" w:rsidRPr="0028384B">
        <w:rPr>
          <w:noProof/>
        </w:rPr>
        <w:t>ust.</w:t>
      </w:r>
      <w:r w:rsidR="0028384B" w:rsidRPr="0028384B">
        <w:rPr>
          <w:noProof/>
        </w:rPr>
        <w:t> </w:t>
      </w:r>
      <w:r w:rsidR="00AD62E2" w:rsidRPr="0028384B">
        <w:rPr>
          <w:noProof/>
        </w:rPr>
        <w:t>3</w:t>
      </w:r>
      <w:r w:rsidR="00AD62E2" w:rsidRPr="002F16A1">
        <w:rPr>
          <w:noProof/>
        </w:rPr>
        <w:t>.</w:t>
      </w:r>
    </w:p>
    <w:p w:rsidR="00AD62E2" w:rsidRPr="002F16A1" w:rsidRDefault="00733965" w:rsidP="00733965">
      <w:pPr>
        <w:pStyle w:val="ManualNumPar1"/>
        <w:rPr>
          <w:noProof/>
        </w:rPr>
      </w:pPr>
      <w:r w:rsidRPr="00733965">
        <w:t>8.</w:t>
      </w:r>
      <w:r w:rsidRPr="00733965">
        <w:tab/>
      </w:r>
      <w:r w:rsidR="00AD62E2" w:rsidRPr="002F16A1">
        <w:rPr>
          <w:noProof/>
        </w:rPr>
        <w:t>Komisja tworzy i na bieżąco aktualizuje rejestr uznanych systemów. Rejestr ten jest udostępniany publicznie na ogólnodostępnej stronie internetowej.</w:t>
      </w:r>
    </w:p>
    <w:p w:rsidR="00AD62E2" w:rsidRPr="002F16A1" w:rsidRDefault="00AD62E2" w:rsidP="00AD62E2">
      <w:pPr>
        <w:pStyle w:val="Titrearticle"/>
        <w:rPr>
          <w:noProof/>
        </w:rPr>
      </w:pPr>
      <w:r w:rsidRPr="002F16A1">
        <w:rPr>
          <w:noProof/>
        </w:rPr>
        <w:t>Artykuł 30</w:t>
      </w:r>
    </w:p>
    <w:p w:rsidR="00AD62E2" w:rsidRPr="002F16A1" w:rsidRDefault="00AD62E2" w:rsidP="00AD62E2">
      <w:pPr>
        <w:pStyle w:val="NormalCentered"/>
        <w:rPr>
          <w:noProof/>
        </w:rPr>
      </w:pPr>
      <w:r w:rsidRPr="002F16A1">
        <w:rPr>
          <w:b/>
          <w:noProof/>
        </w:rPr>
        <w:t>Deklaracja dotycząca śladu środowiskowego</w:t>
      </w:r>
    </w:p>
    <w:p w:rsidR="00AD62E2" w:rsidRPr="002F16A1" w:rsidRDefault="00733965" w:rsidP="00733965">
      <w:pPr>
        <w:pStyle w:val="ManualNumPar1"/>
        <w:rPr>
          <w:noProof/>
        </w:rPr>
      </w:pPr>
      <w:r w:rsidRPr="00733965">
        <w:t>1.</w:t>
      </w:r>
      <w:r w:rsidRPr="00733965">
        <w:tab/>
      </w:r>
      <w:r w:rsidR="00AD62E2" w:rsidRPr="002F16A1">
        <w:rPr>
          <w:noProof/>
        </w:rPr>
        <w:t>Komisja jest uprawniona do przyjmowania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6 aktów delegowanych uzupełniających niniejsze rozporządzenie</w:t>
      </w:r>
      <w:r w:rsidR="0028384B" w:rsidRPr="002F16A1">
        <w:rPr>
          <w:noProof/>
        </w:rPr>
        <w:t xml:space="preserve"> w</w:t>
      </w:r>
      <w:r w:rsidR="0028384B">
        <w:rPr>
          <w:noProof/>
        </w:rPr>
        <w:t> </w:t>
      </w:r>
      <w:r w:rsidR="0028384B" w:rsidRPr="002F16A1">
        <w:rPr>
          <w:noProof/>
        </w:rPr>
        <w:t>odn</w:t>
      </w:r>
      <w:r w:rsidR="00AD62E2" w:rsidRPr="002F16A1">
        <w:rPr>
          <w:noProof/>
        </w:rPr>
        <w:t>iesieniu do zasad obliczania</w:t>
      </w:r>
      <w:r w:rsidR="0028384B" w:rsidRPr="002F16A1">
        <w:rPr>
          <w:noProof/>
        </w:rPr>
        <w:t xml:space="preserve"> i</w:t>
      </w:r>
      <w:r w:rsidR="0028384B">
        <w:rPr>
          <w:noProof/>
        </w:rPr>
        <w:t> </w:t>
      </w:r>
      <w:r w:rsidR="0028384B" w:rsidRPr="002F16A1">
        <w:rPr>
          <w:noProof/>
        </w:rPr>
        <w:t>wer</w:t>
      </w:r>
      <w:r w:rsidR="00AD62E2" w:rsidRPr="002F16A1">
        <w:rPr>
          <w:noProof/>
        </w:rPr>
        <w:t>yfikacji śladu środowiskowego różnych surowców krytycznych zgodnie</w:t>
      </w:r>
      <w:r w:rsidR="0028384B" w:rsidRPr="002F16A1">
        <w:rPr>
          <w:noProof/>
        </w:rPr>
        <w:t xml:space="preserve"> z</w:t>
      </w:r>
      <w:r w:rsidR="0028384B">
        <w:rPr>
          <w:noProof/>
        </w:rPr>
        <w:t> </w:t>
      </w:r>
      <w:r w:rsidR="0028384B" w:rsidRPr="002F16A1">
        <w:rPr>
          <w:noProof/>
        </w:rPr>
        <w:t>zał</w:t>
      </w:r>
      <w:r w:rsidR="00AD62E2" w:rsidRPr="002F16A1">
        <w:rPr>
          <w:noProof/>
        </w:rPr>
        <w:t>ącznikiem V oraz</w:t>
      </w:r>
      <w:r w:rsidR="0028384B" w:rsidRPr="002F16A1">
        <w:rPr>
          <w:noProof/>
        </w:rPr>
        <w:t xml:space="preserve"> z</w:t>
      </w:r>
      <w:r w:rsidR="0028384B">
        <w:rPr>
          <w:noProof/>
        </w:rPr>
        <w:t> </w:t>
      </w:r>
      <w:r w:rsidR="0028384B" w:rsidRPr="002F16A1">
        <w:rPr>
          <w:noProof/>
        </w:rPr>
        <w:t>uwz</w:t>
      </w:r>
      <w:r w:rsidR="00AD62E2" w:rsidRPr="002F16A1">
        <w:rPr>
          <w:noProof/>
        </w:rPr>
        <w:t>ględnieniem wiarygodnych pod względem naukowym metod oceny</w:t>
      </w:r>
      <w:r w:rsidR="0028384B" w:rsidRPr="002F16A1">
        <w:rPr>
          <w:noProof/>
        </w:rPr>
        <w:t xml:space="preserve"> i</w:t>
      </w:r>
      <w:r w:rsidR="0028384B">
        <w:rPr>
          <w:noProof/>
        </w:rPr>
        <w:t> </w:t>
      </w:r>
      <w:r w:rsidR="0028384B" w:rsidRPr="002F16A1">
        <w:rPr>
          <w:noProof/>
        </w:rPr>
        <w:t>odp</w:t>
      </w:r>
      <w:r w:rsidR="00AD62E2" w:rsidRPr="002F16A1">
        <w:rPr>
          <w:noProof/>
        </w:rPr>
        <w:t>owiednich norm międzynarodowych. Zasady obliczania</w:t>
      </w:r>
      <w:r w:rsidR="0028384B" w:rsidRPr="002F16A1">
        <w:rPr>
          <w:noProof/>
        </w:rPr>
        <w:t xml:space="preserve"> i</w:t>
      </w:r>
      <w:r w:rsidR="0028384B">
        <w:rPr>
          <w:noProof/>
        </w:rPr>
        <w:t> </w:t>
      </w:r>
      <w:r w:rsidR="0028384B" w:rsidRPr="002F16A1">
        <w:rPr>
          <w:noProof/>
        </w:rPr>
        <w:t>wer</w:t>
      </w:r>
      <w:r w:rsidR="00AD62E2" w:rsidRPr="002F16A1">
        <w:rPr>
          <w:noProof/>
        </w:rPr>
        <w:t>yfikacji określają, która</w:t>
      </w:r>
      <w:r w:rsidR="0028384B" w:rsidRPr="002F16A1">
        <w:rPr>
          <w:noProof/>
        </w:rPr>
        <w:t xml:space="preserve"> z</w:t>
      </w:r>
      <w:r w:rsidR="0028384B">
        <w:rPr>
          <w:noProof/>
        </w:rPr>
        <w:t> </w:t>
      </w:r>
      <w:r w:rsidR="0028384B" w:rsidRPr="002F16A1">
        <w:rPr>
          <w:noProof/>
        </w:rPr>
        <w:t>kat</w:t>
      </w:r>
      <w:r w:rsidR="00AD62E2" w:rsidRPr="002F16A1">
        <w:rPr>
          <w:noProof/>
        </w:rPr>
        <w:t>egorii wpływu jest najistotniejsza. Deklaracja dotycząca śladu środowiskowego ogranicza się do tej kategorii wpływu. </w:t>
      </w:r>
    </w:p>
    <w:p w:rsidR="00683F68" w:rsidRPr="002F16A1" w:rsidRDefault="00733965" w:rsidP="00733965">
      <w:pPr>
        <w:pStyle w:val="ManualNumPar1"/>
        <w:rPr>
          <w:noProof/>
        </w:rPr>
      </w:pPr>
      <w:r w:rsidRPr="00733965">
        <w:t>2.</w:t>
      </w:r>
      <w:r w:rsidRPr="00733965">
        <w:tab/>
      </w:r>
      <w:r w:rsidR="00AD62E2" w:rsidRPr="002F16A1">
        <w:rPr>
          <w:noProof/>
        </w:rPr>
        <w:t>Komisja może przyjmować zasady obliczania</w:t>
      </w:r>
      <w:r w:rsidR="0028384B" w:rsidRPr="002F16A1">
        <w:rPr>
          <w:noProof/>
        </w:rPr>
        <w:t xml:space="preserve"> i</w:t>
      </w:r>
      <w:r w:rsidR="0028384B">
        <w:rPr>
          <w:noProof/>
        </w:rPr>
        <w:t> </w:t>
      </w:r>
      <w:r w:rsidR="0028384B" w:rsidRPr="002F16A1">
        <w:rPr>
          <w:noProof/>
        </w:rPr>
        <w:t>wer</w:t>
      </w:r>
      <w:r w:rsidR="00AD62E2" w:rsidRPr="002F16A1">
        <w:rPr>
          <w:noProof/>
        </w:rPr>
        <w:t>yfikacji</w:t>
      </w:r>
      <w:r w:rsidR="0028384B" w:rsidRPr="002F16A1">
        <w:rPr>
          <w:noProof/>
        </w:rPr>
        <w:t xml:space="preserve"> w</w:t>
      </w:r>
      <w:r w:rsidR="0028384B">
        <w:rPr>
          <w:noProof/>
        </w:rPr>
        <w:t> </w:t>
      </w:r>
      <w:r w:rsidR="0028384B" w:rsidRPr="002F16A1">
        <w:rPr>
          <w:noProof/>
        </w:rPr>
        <w:t>odn</w:t>
      </w:r>
      <w:r w:rsidR="00AD62E2" w:rsidRPr="002F16A1">
        <w:rPr>
          <w:noProof/>
        </w:rPr>
        <w:t>iesieniu do konkretnego surowca krytycznego, jeżeli po uwzględnieniu poszczególnych odpowiednich kategorii wpływu na środowisko stwierdziła, że dany surowiec krytyczny charakteryzuje się znaczącym śladem środowiskowym,</w:t>
      </w:r>
      <w:r w:rsidR="0028384B" w:rsidRPr="002F16A1">
        <w:rPr>
          <w:noProof/>
        </w:rPr>
        <w:t xml:space="preserve"> w</w:t>
      </w:r>
      <w:r w:rsidR="0028384B">
        <w:rPr>
          <w:noProof/>
        </w:rPr>
        <w:t> </w:t>
      </w:r>
      <w:r w:rsidR="0028384B" w:rsidRPr="002F16A1">
        <w:rPr>
          <w:noProof/>
        </w:rPr>
        <w:t>zwi</w:t>
      </w:r>
      <w:r w:rsidR="00AD62E2" w:rsidRPr="002F16A1">
        <w:rPr>
          <w:noProof/>
        </w:rPr>
        <w:t>ązku</w:t>
      </w:r>
      <w:r w:rsidR="0028384B" w:rsidRPr="002F16A1">
        <w:rPr>
          <w:noProof/>
        </w:rPr>
        <w:t xml:space="preserve"> z</w:t>
      </w:r>
      <w:r w:rsidR="0028384B">
        <w:rPr>
          <w:noProof/>
        </w:rPr>
        <w:t> </w:t>
      </w:r>
      <w:r w:rsidR="0028384B" w:rsidRPr="002F16A1">
        <w:rPr>
          <w:noProof/>
        </w:rPr>
        <w:t>czy</w:t>
      </w:r>
      <w:r w:rsidR="00AD62E2" w:rsidRPr="002F16A1">
        <w:rPr>
          <w:noProof/>
        </w:rPr>
        <w:t>m obowiązek zadeklarowania śladu środowiskowego tego surowca</w:t>
      </w:r>
      <w:r w:rsidR="0028384B" w:rsidRPr="002F16A1">
        <w:rPr>
          <w:noProof/>
        </w:rPr>
        <w:t xml:space="preserve"> w</w:t>
      </w:r>
      <w:r w:rsidR="0028384B">
        <w:rPr>
          <w:noProof/>
        </w:rPr>
        <w:t> </w:t>
      </w:r>
      <w:r w:rsidR="0028384B" w:rsidRPr="002F16A1">
        <w:rPr>
          <w:noProof/>
        </w:rPr>
        <w:t>odn</w:t>
      </w:r>
      <w:r w:rsidR="00AD62E2" w:rsidRPr="002F16A1">
        <w:rPr>
          <w:noProof/>
        </w:rPr>
        <w:t>iesieniu do najistotniejszej kategorii wpływu podczas wprowadzania go do obrotu jest niezbędny</w:t>
      </w:r>
      <w:r w:rsidR="0028384B" w:rsidRPr="002F16A1">
        <w:rPr>
          <w:noProof/>
        </w:rPr>
        <w:t xml:space="preserve"> i</w:t>
      </w:r>
      <w:r w:rsidR="0028384B">
        <w:rPr>
          <w:noProof/>
        </w:rPr>
        <w:t> </w:t>
      </w:r>
      <w:r w:rsidR="0028384B" w:rsidRPr="002F16A1">
        <w:rPr>
          <w:noProof/>
        </w:rPr>
        <w:t>pro</w:t>
      </w:r>
      <w:r w:rsidR="00AD62E2" w:rsidRPr="002F16A1">
        <w:rPr>
          <w:noProof/>
        </w:rPr>
        <w:t>porcjonalny, jeżeli chodzi</w:t>
      </w:r>
      <w:r w:rsidR="0028384B" w:rsidRPr="002F16A1">
        <w:rPr>
          <w:noProof/>
        </w:rPr>
        <w:t xml:space="preserve"> o</w:t>
      </w:r>
      <w:r w:rsidR="0028384B">
        <w:rPr>
          <w:noProof/>
        </w:rPr>
        <w:t> </w:t>
      </w:r>
      <w:r w:rsidR="0028384B" w:rsidRPr="002F16A1">
        <w:rPr>
          <w:noProof/>
        </w:rPr>
        <w:t>wkł</w:t>
      </w:r>
      <w:r w:rsidR="00AD62E2" w:rsidRPr="002F16A1">
        <w:rPr>
          <w:noProof/>
        </w:rPr>
        <w:t>ad</w:t>
      </w:r>
      <w:r w:rsidR="0028384B" w:rsidRPr="002F16A1">
        <w:rPr>
          <w:noProof/>
        </w:rPr>
        <w:t xml:space="preserve"> w</w:t>
      </w:r>
      <w:r w:rsidR="0028384B">
        <w:rPr>
          <w:noProof/>
        </w:rPr>
        <w:t> </w:t>
      </w:r>
      <w:r w:rsidR="0028384B" w:rsidRPr="002F16A1">
        <w:rPr>
          <w:noProof/>
        </w:rPr>
        <w:t>osi</w:t>
      </w:r>
      <w:r w:rsidR="00AD62E2" w:rsidRPr="002F16A1">
        <w:rPr>
          <w:noProof/>
        </w:rPr>
        <w:t>ąganie celów klimatycznych</w:t>
      </w:r>
      <w:r w:rsidR="0028384B" w:rsidRPr="002F16A1">
        <w:rPr>
          <w:noProof/>
        </w:rPr>
        <w:t xml:space="preserve"> i</w:t>
      </w:r>
      <w:r w:rsidR="0028384B">
        <w:rPr>
          <w:noProof/>
        </w:rPr>
        <w:t> </w:t>
      </w:r>
      <w:r w:rsidR="0028384B" w:rsidRPr="002F16A1">
        <w:rPr>
          <w:noProof/>
        </w:rPr>
        <w:t>śro</w:t>
      </w:r>
      <w:r w:rsidR="00AD62E2" w:rsidRPr="002F16A1">
        <w:rPr>
          <w:noProof/>
        </w:rPr>
        <w:t>dowiskowych Unii</w:t>
      </w:r>
      <w:r w:rsidR="0028384B" w:rsidRPr="002F16A1">
        <w:rPr>
          <w:noProof/>
        </w:rPr>
        <w:t xml:space="preserve"> w</w:t>
      </w:r>
      <w:r w:rsidR="0028384B">
        <w:rPr>
          <w:noProof/>
        </w:rPr>
        <w:t> </w:t>
      </w:r>
      <w:r w:rsidR="0028384B" w:rsidRPr="002F16A1">
        <w:rPr>
          <w:noProof/>
        </w:rPr>
        <w:t>dro</w:t>
      </w:r>
      <w:r w:rsidR="00AD62E2" w:rsidRPr="002F16A1">
        <w:rPr>
          <w:noProof/>
        </w:rPr>
        <w:t>dze zapewniania możliwości dostarczania surowców krytycznych</w:t>
      </w:r>
      <w:r w:rsidR="0028384B" w:rsidRPr="002F16A1">
        <w:rPr>
          <w:noProof/>
        </w:rPr>
        <w:t xml:space="preserve"> o</w:t>
      </w:r>
      <w:r w:rsidR="0028384B">
        <w:rPr>
          <w:noProof/>
        </w:rPr>
        <w:t> </w:t>
      </w:r>
      <w:r w:rsidR="0028384B" w:rsidRPr="002F16A1">
        <w:rPr>
          <w:noProof/>
        </w:rPr>
        <w:t>mni</w:t>
      </w:r>
      <w:r w:rsidR="00AD62E2" w:rsidRPr="002F16A1">
        <w:rPr>
          <w:noProof/>
        </w:rPr>
        <w:t xml:space="preserve">ejszym śladzie środowiskowym. </w:t>
      </w:r>
    </w:p>
    <w:p w:rsidR="00683F68" w:rsidRPr="002F16A1" w:rsidRDefault="00733965" w:rsidP="00733965">
      <w:pPr>
        <w:pStyle w:val="ManualNumPar1"/>
        <w:rPr>
          <w:noProof/>
        </w:rPr>
      </w:pPr>
      <w:r w:rsidRPr="00733965">
        <w:t>3.</w:t>
      </w:r>
      <w:r w:rsidRPr="00733965">
        <w:tab/>
      </w:r>
      <w:r w:rsidR="00AD62E2" w:rsidRPr="002F16A1">
        <w:rPr>
          <w:noProof/>
        </w:rPr>
        <w:t>Ustalając, czy obowiązek przewidziany</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2</w:t>
      </w:r>
      <w:r w:rsidR="00AD62E2" w:rsidRPr="002F16A1">
        <w:rPr>
          <w:noProof/>
        </w:rPr>
        <w:t xml:space="preserve"> jest niezbędny, Komisja bierze pod uwagę:</w:t>
      </w:r>
    </w:p>
    <w:p w:rsidR="00683F68" w:rsidRPr="002F16A1" w:rsidRDefault="0028384B" w:rsidP="0028384B">
      <w:pPr>
        <w:pStyle w:val="Point1"/>
        <w:rPr>
          <w:noProof/>
        </w:rPr>
      </w:pPr>
      <w:r>
        <w:rPr>
          <w:noProof/>
        </w:rPr>
        <w:t>a)</w:t>
      </w:r>
      <w:r>
        <w:rPr>
          <w:noProof/>
        </w:rPr>
        <w:tab/>
      </w:r>
      <w:r w:rsidR="00683F68" w:rsidRPr="002F16A1">
        <w:rPr>
          <w:noProof/>
        </w:rPr>
        <w:t>czy</w:t>
      </w:r>
      <w:r w:rsidRPr="002F16A1">
        <w:rPr>
          <w:noProof/>
        </w:rPr>
        <w:t xml:space="preserve"> i</w:t>
      </w:r>
      <w:r>
        <w:rPr>
          <w:noProof/>
        </w:rPr>
        <w:t> </w:t>
      </w:r>
      <w:r w:rsidRPr="002F16A1">
        <w:rPr>
          <w:noProof/>
        </w:rPr>
        <w:t>w</w:t>
      </w:r>
      <w:r>
        <w:rPr>
          <w:noProof/>
        </w:rPr>
        <w:t> </w:t>
      </w:r>
      <w:r w:rsidRPr="002F16A1">
        <w:rPr>
          <w:noProof/>
        </w:rPr>
        <w:t>jak</w:t>
      </w:r>
      <w:r w:rsidR="00683F68" w:rsidRPr="002F16A1">
        <w:rPr>
          <w:noProof/>
        </w:rPr>
        <w:t>i sposób już osiąga się cele klimatyczne</w:t>
      </w:r>
      <w:r w:rsidRPr="002F16A1">
        <w:rPr>
          <w:noProof/>
        </w:rPr>
        <w:t xml:space="preserve"> i</w:t>
      </w:r>
      <w:r>
        <w:rPr>
          <w:noProof/>
        </w:rPr>
        <w:t> </w:t>
      </w:r>
      <w:r w:rsidRPr="002F16A1">
        <w:rPr>
          <w:noProof/>
        </w:rPr>
        <w:t>śro</w:t>
      </w:r>
      <w:r w:rsidR="00683F68" w:rsidRPr="002F16A1">
        <w:rPr>
          <w:noProof/>
        </w:rPr>
        <w:t>dowiskowe Unii</w:t>
      </w:r>
      <w:r w:rsidRPr="002F16A1">
        <w:rPr>
          <w:noProof/>
        </w:rPr>
        <w:t xml:space="preserve"> w</w:t>
      </w:r>
      <w:r>
        <w:rPr>
          <w:noProof/>
        </w:rPr>
        <w:t> </w:t>
      </w:r>
      <w:r w:rsidRPr="002F16A1">
        <w:rPr>
          <w:noProof/>
        </w:rPr>
        <w:t>dro</w:t>
      </w:r>
      <w:r w:rsidR="00683F68" w:rsidRPr="002F16A1">
        <w:rPr>
          <w:noProof/>
        </w:rPr>
        <w:t>dze innych przepisów Unii mających zastosowanie do danego surowca krytycznego;</w:t>
      </w:r>
    </w:p>
    <w:p w:rsidR="00683F68" w:rsidRPr="002F16A1" w:rsidRDefault="0028384B" w:rsidP="0028384B">
      <w:pPr>
        <w:pStyle w:val="Point1"/>
        <w:rPr>
          <w:noProof/>
        </w:rPr>
      </w:pPr>
      <w:r>
        <w:rPr>
          <w:noProof/>
        </w:rPr>
        <w:t>b)</w:t>
      </w:r>
      <w:r>
        <w:rPr>
          <w:noProof/>
        </w:rPr>
        <w:tab/>
      </w:r>
      <w:r w:rsidR="00AD62E2" w:rsidRPr="002F16A1">
        <w:rPr>
          <w:noProof/>
        </w:rPr>
        <w:t>istnienie</w:t>
      </w:r>
      <w:r w:rsidRPr="002F16A1">
        <w:rPr>
          <w:noProof/>
        </w:rPr>
        <w:t xml:space="preserve"> i</w:t>
      </w:r>
      <w:r>
        <w:rPr>
          <w:noProof/>
        </w:rPr>
        <w:t> </w:t>
      </w:r>
      <w:r w:rsidRPr="002F16A1">
        <w:rPr>
          <w:noProof/>
        </w:rPr>
        <w:t>wpr</w:t>
      </w:r>
      <w:r w:rsidR="00AD62E2" w:rsidRPr="002F16A1">
        <w:rPr>
          <w:noProof/>
        </w:rPr>
        <w:t>owadzanie odpowiednich norm</w:t>
      </w:r>
      <w:r w:rsidRPr="002F16A1">
        <w:rPr>
          <w:noProof/>
        </w:rPr>
        <w:t xml:space="preserve"> i</w:t>
      </w:r>
      <w:r>
        <w:rPr>
          <w:noProof/>
        </w:rPr>
        <w:t> </w:t>
      </w:r>
      <w:r w:rsidRPr="002F16A1">
        <w:rPr>
          <w:noProof/>
        </w:rPr>
        <w:t>wyt</w:t>
      </w:r>
      <w:r w:rsidR="00AD62E2" w:rsidRPr="002F16A1">
        <w:rPr>
          <w:noProof/>
        </w:rPr>
        <w:t>ycznych międzynarodowych lub perspektywy uzgodnienia takich norm na szczeblu międzynarodowym, jak również zrównoważone praktyki na rynku,</w:t>
      </w:r>
      <w:r w:rsidRPr="002F16A1">
        <w:rPr>
          <w:noProof/>
        </w:rPr>
        <w:t xml:space="preserve"> w</w:t>
      </w:r>
      <w:r>
        <w:rPr>
          <w:noProof/>
        </w:rPr>
        <w:t> </w:t>
      </w:r>
      <w:r w:rsidRPr="002F16A1">
        <w:rPr>
          <w:noProof/>
        </w:rPr>
        <w:t>tym</w:t>
      </w:r>
      <w:r w:rsidR="00AD62E2" w:rsidRPr="002F16A1">
        <w:rPr>
          <w:noProof/>
        </w:rPr>
        <w:t xml:space="preserve"> dobrowolne systemy uznane na podstawie </w:t>
      </w:r>
      <w:r w:rsidR="00AD62E2" w:rsidRPr="0028384B">
        <w:rPr>
          <w:noProof/>
        </w:rPr>
        <w:t>art.</w:t>
      </w:r>
      <w:r w:rsidRPr="0028384B">
        <w:rPr>
          <w:noProof/>
        </w:rPr>
        <w:t> </w:t>
      </w:r>
      <w:r w:rsidR="00AD62E2" w:rsidRPr="0028384B">
        <w:rPr>
          <w:noProof/>
        </w:rPr>
        <w:t>2</w:t>
      </w:r>
      <w:r w:rsidR="00AD62E2" w:rsidRPr="002F16A1">
        <w:rPr>
          <w:noProof/>
        </w:rPr>
        <w:t>9;</w:t>
      </w:r>
    </w:p>
    <w:p w:rsidR="00AD62E2" w:rsidRPr="002F16A1" w:rsidRDefault="0028384B" w:rsidP="0028384B">
      <w:pPr>
        <w:pStyle w:val="Point1"/>
        <w:rPr>
          <w:noProof/>
        </w:rPr>
      </w:pPr>
      <w:r>
        <w:rPr>
          <w:noProof/>
        </w:rPr>
        <w:t>c)</w:t>
      </w:r>
      <w:r>
        <w:rPr>
          <w:noProof/>
        </w:rPr>
        <w:tab/>
      </w:r>
      <w:r w:rsidR="00AD62E2" w:rsidRPr="002F16A1">
        <w:rPr>
          <w:noProof/>
        </w:rPr>
        <w:t>skuteczność partnerstw strategicznych, projektów strategicznych, umów handlowych oraz innych międzynarodowych instrumentów</w:t>
      </w:r>
      <w:r w:rsidRPr="002F16A1">
        <w:rPr>
          <w:noProof/>
        </w:rPr>
        <w:t xml:space="preserve"> i</w:t>
      </w:r>
      <w:r>
        <w:rPr>
          <w:noProof/>
        </w:rPr>
        <w:t> </w:t>
      </w:r>
      <w:r w:rsidRPr="002F16A1">
        <w:rPr>
          <w:noProof/>
        </w:rPr>
        <w:t>dzi</w:t>
      </w:r>
      <w:r w:rsidR="00AD62E2" w:rsidRPr="002F16A1">
        <w:rPr>
          <w:noProof/>
        </w:rPr>
        <w:t>ałań informacyjnych prowadzonych przez Unię</w:t>
      </w:r>
      <w:r w:rsidRPr="002F16A1">
        <w:rPr>
          <w:noProof/>
        </w:rPr>
        <w:t xml:space="preserve"> w</w:t>
      </w:r>
      <w:r>
        <w:rPr>
          <w:noProof/>
        </w:rPr>
        <w:t> </w:t>
      </w:r>
      <w:r w:rsidRPr="002F16A1">
        <w:rPr>
          <w:noProof/>
        </w:rPr>
        <w:t>ram</w:t>
      </w:r>
      <w:r w:rsidR="00AD62E2" w:rsidRPr="002F16A1">
        <w:rPr>
          <w:noProof/>
        </w:rPr>
        <w:t>ach osiągania jej celów klimatycznych</w:t>
      </w:r>
      <w:r w:rsidRPr="002F16A1">
        <w:rPr>
          <w:noProof/>
        </w:rPr>
        <w:t xml:space="preserve"> i</w:t>
      </w:r>
      <w:r>
        <w:rPr>
          <w:noProof/>
        </w:rPr>
        <w:t> </w:t>
      </w:r>
      <w:r w:rsidRPr="002F16A1">
        <w:rPr>
          <w:noProof/>
        </w:rPr>
        <w:t>śro</w:t>
      </w:r>
      <w:r w:rsidR="00AD62E2" w:rsidRPr="002F16A1">
        <w:rPr>
          <w:noProof/>
        </w:rPr>
        <w:t>dowiskowych.</w:t>
      </w:r>
    </w:p>
    <w:p w:rsidR="00683F68" w:rsidRPr="002F16A1" w:rsidRDefault="00733965" w:rsidP="00733965">
      <w:pPr>
        <w:pStyle w:val="ManualNumPar1"/>
        <w:rPr>
          <w:noProof/>
        </w:rPr>
      </w:pPr>
      <w:r w:rsidRPr="00733965">
        <w:t>4.</w:t>
      </w:r>
      <w:r w:rsidRPr="00733965">
        <w:tab/>
      </w:r>
      <w:r w:rsidR="00AD62E2" w:rsidRPr="002F16A1">
        <w:rPr>
          <w:noProof/>
        </w:rPr>
        <w:t>Komisja przeprowadza uprzednią ocenę wpływów</w:t>
      </w:r>
      <w:r w:rsidR="0028384B" w:rsidRPr="002F16A1">
        <w:rPr>
          <w:noProof/>
        </w:rPr>
        <w:t xml:space="preserve"> w</w:t>
      </w:r>
      <w:r w:rsidR="0028384B">
        <w:rPr>
          <w:noProof/>
        </w:rPr>
        <w:t> </w:t>
      </w:r>
      <w:r w:rsidR="0028384B" w:rsidRPr="002F16A1">
        <w:rPr>
          <w:noProof/>
        </w:rPr>
        <w:t>cel</w:t>
      </w:r>
      <w:r w:rsidR="00AD62E2" w:rsidRPr="002F16A1">
        <w:rPr>
          <w:noProof/>
        </w:rPr>
        <w:t xml:space="preserve">u zadecydowania, czy należy przyjąć akt delegowany na podstawie </w:t>
      </w:r>
      <w:r w:rsidR="00AD62E2" w:rsidRPr="0028384B">
        <w:rPr>
          <w:noProof/>
        </w:rPr>
        <w:t>ust.</w:t>
      </w:r>
      <w:r w:rsidR="0028384B" w:rsidRPr="0028384B">
        <w:rPr>
          <w:noProof/>
        </w:rPr>
        <w:t> </w:t>
      </w:r>
      <w:r w:rsidR="00AD62E2" w:rsidRPr="0028384B">
        <w:rPr>
          <w:noProof/>
        </w:rPr>
        <w:t>1</w:t>
      </w:r>
      <w:r w:rsidR="00AD62E2" w:rsidRPr="002F16A1">
        <w:rPr>
          <w:noProof/>
        </w:rPr>
        <w:t>. Ocena taka:</w:t>
      </w:r>
    </w:p>
    <w:p w:rsidR="00683F68" w:rsidRPr="002F16A1" w:rsidRDefault="0028384B" w:rsidP="0028384B">
      <w:pPr>
        <w:pStyle w:val="Point1"/>
        <w:rPr>
          <w:noProof/>
        </w:rPr>
      </w:pPr>
      <w:r>
        <w:rPr>
          <w:noProof/>
        </w:rPr>
        <w:t>a)</w:t>
      </w:r>
      <w:r>
        <w:rPr>
          <w:noProof/>
        </w:rPr>
        <w:tab/>
      </w:r>
      <w:r w:rsidR="00683F68" w:rsidRPr="002F16A1">
        <w:rPr>
          <w:noProof/>
        </w:rPr>
        <w:t>jest przeprowadzana między innymi na podstawie konsultacji:</w:t>
      </w:r>
    </w:p>
    <w:p w:rsidR="00683F68" w:rsidRPr="002F16A1" w:rsidRDefault="00885432" w:rsidP="0028384B">
      <w:pPr>
        <w:pStyle w:val="Point2"/>
        <w:rPr>
          <w:noProof/>
        </w:rPr>
      </w:pPr>
      <w:r>
        <w:rPr>
          <w:noProof/>
        </w:rPr>
        <w:t>(i</w:t>
      </w:r>
      <w:r w:rsidR="0028384B">
        <w:rPr>
          <w:noProof/>
        </w:rPr>
        <w:t>)</w:t>
      </w:r>
      <w:r w:rsidR="0028384B">
        <w:rPr>
          <w:noProof/>
        </w:rPr>
        <w:tab/>
      </w:r>
      <w:r w:rsidR="00683F68" w:rsidRPr="002F16A1">
        <w:rPr>
          <w:noProof/>
        </w:rPr>
        <w:t>ze wszystkimi zainteresowanymi stronami, takimi jak przedstawiciele przemysłu,</w:t>
      </w:r>
      <w:r w:rsidR="0028384B" w:rsidRPr="002F16A1">
        <w:rPr>
          <w:noProof/>
        </w:rPr>
        <w:t xml:space="preserve"> w</w:t>
      </w:r>
      <w:r w:rsidR="0028384B">
        <w:rPr>
          <w:noProof/>
        </w:rPr>
        <w:t> </w:t>
      </w:r>
      <w:r w:rsidR="0028384B" w:rsidRPr="002F16A1">
        <w:rPr>
          <w:noProof/>
        </w:rPr>
        <w:t>tym</w:t>
      </w:r>
      <w:r w:rsidR="00683F68" w:rsidRPr="002F16A1">
        <w:rPr>
          <w:noProof/>
        </w:rPr>
        <w:t xml:space="preserve"> przemysłu niższego szczebla, MŚP oraz,</w:t>
      </w:r>
      <w:r w:rsidR="0028384B" w:rsidRPr="002F16A1">
        <w:rPr>
          <w:noProof/>
        </w:rPr>
        <w:t xml:space="preserve"> w</w:t>
      </w:r>
      <w:r w:rsidR="0028384B">
        <w:rPr>
          <w:noProof/>
        </w:rPr>
        <w:t> </w:t>
      </w:r>
      <w:r w:rsidR="0028384B" w:rsidRPr="002F16A1">
        <w:rPr>
          <w:noProof/>
        </w:rPr>
        <w:t>sto</w:t>
      </w:r>
      <w:r w:rsidR="00683F68" w:rsidRPr="002F16A1">
        <w:rPr>
          <w:noProof/>
        </w:rPr>
        <w:t>sownych przypadkach, rzemiosła, partnerzy społeczni, handlowcy, sprzedawcy detaliczni, importerzy, organizacje ochrony środowiska</w:t>
      </w:r>
      <w:r w:rsidR="0028384B" w:rsidRPr="002F16A1">
        <w:rPr>
          <w:noProof/>
        </w:rPr>
        <w:t xml:space="preserve"> i</w:t>
      </w:r>
      <w:r w:rsidR="0028384B">
        <w:rPr>
          <w:noProof/>
        </w:rPr>
        <w:t> </w:t>
      </w:r>
      <w:r w:rsidR="0028384B" w:rsidRPr="002F16A1">
        <w:rPr>
          <w:noProof/>
        </w:rPr>
        <w:t>org</w:t>
      </w:r>
      <w:r w:rsidR="00683F68" w:rsidRPr="002F16A1">
        <w:rPr>
          <w:noProof/>
        </w:rPr>
        <w:t xml:space="preserve">anizacje konsumenckie; </w:t>
      </w:r>
    </w:p>
    <w:p w:rsidR="00683F68" w:rsidRPr="002F16A1" w:rsidRDefault="00885432" w:rsidP="0028384B">
      <w:pPr>
        <w:pStyle w:val="Point2"/>
        <w:rPr>
          <w:noProof/>
        </w:rPr>
      </w:pPr>
      <w:r>
        <w:rPr>
          <w:noProof/>
        </w:rPr>
        <w:t>(ii</w:t>
      </w:r>
      <w:r w:rsidR="0028384B">
        <w:rPr>
          <w:noProof/>
        </w:rPr>
        <w:t>)</w:t>
      </w:r>
      <w:r w:rsidR="0028384B">
        <w:rPr>
          <w:noProof/>
        </w:rPr>
        <w:tab/>
      </w:r>
      <w:r w:rsidR="00683F68" w:rsidRPr="002F16A1">
        <w:rPr>
          <w:noProof/>
        </w:rPr>
        <w:t>z państwami trzecimi,</w:t>
      </w:r>
      <w:r w:rsidR="0028384B" w:rsidRPr="002F16A1">
        <w:rPr>
          <w:noProof/>
        </w:rPr>
        <w:t xml:space="preserve"> w</w:t>
      </w:r>
      <w:r w:rsidR="0028384B">
        <w:rPr>
          <w:noProof/>
        </w:rPr>
        <w:t> </w:t>
      </w:r>
      <w:r w:rsidR="0028384B" w:rsidRPr="002F16A1">
        <w:rPr>
          <w:noProof/>
        </w:rPr>
        <w:t>prz</w:t>
      </w:r>
      <w:r w:rsidR="00683F68" w:rsidRPr="002F16A1">
        <w:rPr>
          <w:noProof/>
        </w:rPr>
        <w:t>ypadku których wspomniany obowiązek może znacząco wpłynąć na wymianę handlową</w:t>
      </w:r>
      <w:r w:rsidR="0028384B" w:rsidRPr="002F16A1">
        <w:rPr>
          <w:noProof/>
        </w:rPr>
        <w:t xml:space="preserve"> z</w:t>
      </w:r>
      <w:r w:rsidR="0028384B">
        <w:rPr>
          <w:noProof/>
        </w:rPr>
        <w:t> </w:t>
      </w:r>
      <w:r w:rsidR="0028384B" w:rsidRPr="002F16A1">
        <w:rPr>
          <w:noProof/>
        </w:rPr>
        <w:t>Uni</w:t>
      </w:r>
      <w:r w:rsidR="00683F68" w:rsidRPr="002F16A1">
        <w:rPr>
          <w:noProof/>
        </w:rPr>
        <w:t>ą;</w:t>
      </w:r>
    </w:p>
    <w:p w:rsidR="00683F68" w:rsidRPr="002F16A1" w:rsidRDefault="00885432" w:rsidP="0028384B">
      <w:pPr>
        <w:pStyle w:val="Point2"/>
        <w:rPr>
          <w:noProof/>
        </w:rPr>
      </w:pPr>
      <w:r>
        <w:rPr>
          <w:noProof/>
        </w:rPr>
        <w:t>(iii</w:t>
      </w:r>
      <w:r w:rsidR="0028384B">
        <w:rPr>
          <w:noProof/>
        </w:rPr>
        <w:t>)</w:t>
      </w:r>
      <w:r w:rsidR="0028384B">
        <w:rPr>
          <w:noProof/>
        </w:rPr>
        <w:tab/>
      </w:r>
      <w:r w:rsidR="00683F68" w:rsidRPr="002F16A1">
        <w:rPr>
          <w:noProof/>
        </w:rPr>
        <w:t>z Radą;</w:t>
      </w:r>
    </w:p>
    <w:p w:rsidR="00AD62E2" w:rsidRPr="002F16A1" w:rsidRDefault="0028384B" w:rsidP="0028384B">
      <w:pPr>
        <w:pStyle w:val="Point1"/>
        <w:rPr>
          <w:noProof/>
        </w:rPr>
      </w:pPr>
      <w:r>
        <w:rPr>
          <w:noProof/>
        </w:rPr>
        <w:t>b)</w:t>
      </w:r>
      <w:r>
        <w:rPr>
          <w:noProof/>
        </w:rPr>
        <w:tab/>
      </w:r>
      <w:r w:rsidR="00AD62E2" w:rsidRPr="002F16A1">
        <w:rPr>
          <w:noProof/>
        </w:rPr>
        <w:t>służy zapewnieniu, aby żadnego takiego środka nie przygotowywano, nie przyjmowano, ani nie stosowano</w:t>
      </w:r>
      <w:r w:rsidRPr="002F16A1">
        <w:rPr>
          <w:noProof/>
        </w:rPr>
        <w:t xml:space="preserve"> z</w:t>
      </w:r>
      <w:r>
        <w:rPr>
          <w:noProof/>
        </w:rPr>
        <w:t> </w:t>
      </w:r>
      <w:r w:rsidRPr="002F16A1">
        <w:rPr>
          <w:noProof/>
        </w:rPr>
        <w:t>zam</w:t>
      </w:r>
      <w:r w:rsidR="00AD62E2" w:rsidRPr="002F16A1">
        <w:rPr>
          <w:noProof/>
        </w:rPr>
        <w:t>iarem spowodowania zbędnych przeszkód</w:t>
      </w:r>
      <w:r w:rsidRPr="002F16A1">
        <w:rPr>
          <w:noProof/>
        </w:rPr>
        <w:t xml:space="preserve"> w</w:t>
      </w:r>
      <w:r>
        <w:rPr>
          <w:noProof/>
        </w:rPr>
        <w:t> </w:t>
      </w:r>
      <w:r w:rsidRPr="002F16A1">
        <w:rPr>
          <w:noProof/>
        </w:rPr>
        <w:t>han</w:t>
      </w:r>
      <w:r w:rsidR="00AD62E2" w:rsidRPr="002F16A1">
        <w:rPr>
          <w:noProof/>
        </w:rPr>
        <w:t>dlu międzynarodowym lub</w:t>
      </w:r>
      <w:r w:rsidRPr="002F16A1">
        <w:rPr>
          <w:noProof/>
        </w:rPr>
        <w:t xml:space="preserve"> z</w:t>
      </w:r>
      <w:r>
        <w:rPr>
          <w:noProof/>
        </w:rPr>
        <w:t> </w:t>
      </w:r>
      <w:r w:rsidRPr="002F16A1">
        <w:rPr>
          <w:noProof/>
        </w:rPr>
        <w:t>tak</w:t>
      </w:r>
      <w:r w:rsidR="00AD62E2" w:rsidRPr="002F16A1">
        <w:rPr>
          <w:noProof/>
        </w:rPr>
        <w:t>im skutkiem oraz aby środek taki nie ograniczał wymiany handlowej</w:t>
      </w:r>
      <w:r w:rsidRPr="002F16A1">
        <w:rPr>
          <w:noProof/>
        </w:rPr>
        <w:t xml:space="preserve"> w</w:t>
      </w:r>
      <w:r>
        <w:rPr>
          <w:noProof/>
        </w:rPr>
        <w:t> </w:t>
      </w:r>
      <w:r w:rsidRPr="002F16A1">
        <w:rPr>
          <w:noProof/>
        </w:rPr>
        <w:t>wię</w:t>
      </w:r>
      <w:r w:rsidR="00AD62E2" w:rsidRPr="002F16A1">
        <w:rPr>
          <w:noProof/>
        </w:rPr>
        <w:t>kszym stopniu, niż jest to konieczne do osiągania celów klimatycznych</w:t>
      </w:r>
      <w:r w:rsidRPr="002F16A1">
        <w:rPr>
          <w:noProof/>
        </w:rPr>
        <w:t xml:space="preserve"> i</w:t>
      </w:r>
      <w:r>
        <w:rPr>
          <w:noProof/>
        </w:rPr>
        <w:t> </w:t>
      </w:r>
      <w:r w:rsidRPr="002F16A1">
        <w:rPr>
          <w:noProof/>
        </w:rPr>
        <w:t>śro</w:t>
      </w:r>
      <w:r w:rsidR="00AD62E2" w:rsidRPr="002F16A1">
        <w:rPr>
          <w:noProof/>
        </w:rPr>
        <w:t>dowiskowych Unii, mając na uwadze możliwości dostawców</w:t>
      </w:r>
      <w:r w:rsidRPr="002F16A1">
        <w:rPr>
          <w:noProof/>
        </w:rPr>
        <w:t xml:space="preserve"> z</w:t>
      </w:r>
      <w:r>
        <w:rPr>
          <w:noProof/>
        </w:rPr>
        <w:t> </w:t>
      </w:r>
      <w:r w:rsidRPr="002F16A1">
        <w:rPr>
          <w:noProof/>
        </w:rPr>
        <w:t>pań</w:t>
      </w:r>
      <w:r w:rsidR="00AD62E2" w:rsidRPr="002F16A1">
        <w:rPr>
          <w:noProof/>
        </w:rPr>
        <w:t>stw trzecich</w:t>
      </w:r>
      <w:r w:rsidRPr="002F16A1">
        <w:rPr>
          <w:noProof/>
        </w:rPr>
        <w:t xml:space="preserve"> w</w:t>
      </w:r>
      <w:r>
        <w:rPr>
          <w:noProof/>
        </w:rPr>
        <w:t> </w:t>
      </w:r>
      <w:r w:rsidRPr="002F16A1">
        <w:rPr>
          <w:noProof/>
        </w:rPr>
        <w:t>zak</w:t>
      </w:r>
      <w:r w:rsidR="00AD62E2" w:rsidRPr="002F16A1">
        <w:rPr>
          <w:noProof/>
        </w:rPr>
        <w:t>resie zachowania zgodności</w:t>
      </w:r>
      <w:r w:rsidRPr="002F16A1">
        <w:rPr>
          <w:noProof/>
        </w:rPr>
        <w:t xml:space="preserve"> z</w:t>
      </w:r>
      <w:r>
        <w:rPr>
          <w:noProof/>
        </w:rPr>
        <w:t> </w:t>
      </w:r>
      <w:r w:rsidRPr="002F16A1">
        <w:rPr>
          <w:noProof/>
        </w:rPr>
        <w:t>tak</w:t>
      </w:r>
      <w:r w:rsidR="00AD62E2" w:rsidRPr="002F16A1">
        <w:rPr>
          <w:noProof/>
        </w:rPr>
        <w:t>ą deklaracją, tak aby nie zaistniał dysproporcjonalny wpływ na łączne przepływy handlowe</w:t>
      </w:r>
      <w:r w:rsidRPr="002F16A1">
        <w:rPr>
          <w:noProof/>
        </w:rPr>
        <w:t xml:space="preserve"> i</w:t>
      </w:r>
      <w:r>
        <w:rPr>
          <w:noProof/>
        </w:rPr>
        <w:t> </w:t>
      </w:r>
      <w:r w:rsidRPr="002F16A1">
        <w:rPr>
          <w:noProof/>
        </w:rPr>
        <w:t>kos</w:t>
      </w:r>
      <w:r w:rsidR="00AD62E2" w:rsidRPr="002F16A1">
        <w:rPr>
          <w:noProof/>
        </w:rPr>
        <w:t xml:space="preserve">zty surowców krytycznych; </w:t>
      </w:r>
    </w:p>
    <w:p w:rsidR="00F036C5" w:rsidRPr="002F16A1" w:rsidRDefault="0028384B" w:rsidP="0028384B">
      <w:pPr>
        <w:pStyle w:val="Point1"/>
        <w:rPr>
          <w:noProof/>
        </w:rPr>
      </w:pPr>
      <w:r>
        <w:rPr>
          <w:noProof/>
        </w:rPr>
        <w:t>c)</w:t>
      </w:r>
      <w:r>
        <w:rPr>
          <w:noProof/>
        </w:rPr>
        <w:tab/>
      </w:r>
      <w:r w:rsidR="00F036C5" w:rsidRPr="002F16A1">
        <w:rPr>
          <w:noProof/>
        </w:rPr>
        <w:t>umożliwia ustalanie, czy środki przyczyniłyby się do osiągania celów klimatycznych</w:t>
      </w:r>
      <w:r w:rsidRPr="002F16A1">
        <w:rPr>
          <w:noProof/>
        </w:rPr>
        <w:t xml:space="preserve"> i</w:t>
      </w:r>
      <w:r>
        <w:rPr>
          <w:noProof/>
        </w:rPr>
        <w:t> </w:t>
      </w:r>
      <w:r w:rsidRPr="002F16A1">
        <w:rPr>
          <w:noProof/>
        </w:rPr>
        <w:t>śro</w:t>
      </w:r>
      <w:r w:rsidR="00F036C5" w:rsidRPr="002F16A1">
        <w:rPr>
          <w:noProof/>
        </w:rPr>
        <w:t>dowiskowych Unii bez wywierania nieproporcjonalnego wpływu na możliwości przemysłu Unii</w:t>
      </w:r>
      <w:r w:rsidRPr="002F16A1">
        <w:rPr>
          <w:noProof/>
        </w:rPr>
        <w:t xml:space="preserve"> w</w:t>
      </w:r>
      <w:r>
        <w:rPr>
          <w:noProof/>
        </w:rPr>
        <w:t> </w:t>
      </w:r>
      <w:r w:rsidRPr="002F16A1">
        <w:rPr>
          <w:noProof/>
        </w:rPr>
        <w:t>zak</w:t>
      </w:r>
      <w:r w:rsidR="00F036C5" w:rsidRPr="002F16A1">
        <w:rPr>
          <w:noProof/>
        </w:rPr>
        <w:t>resie pozyskiwania określonych surowców krytycznych.</w:t>
      </w:r>
    </w:p>
    <w:p w:rsidR="00AD62E2" w:rsidRPr="002F16A1" w:rsidRDefault="00733965" w:rsidP="00733965">
      <w:pPr>
        <w:pStyle w:val="ManualNumPar1"/>
        <w:rPr>
          <w:noProof/>
        </w:rPr>
      </w:pPr>
      <w:r w:rsidRPr="00733965">
        <w:t>5.</w:t>
      </w:r>
      <w:r w:rsidRPr="00733965">
        <w:tab/>
      </w:r>
      <w:r w:rsidR="00AD62E2" w:rsidRPr="002F16A1">
        <w:rPr>
          <w:noProof/>
        </w:rPr>
        <w:t xml:space="preserve">Każda osoba fizyczna lub prawna wprowadzająca do obrotu surowce krytyczne, odnośnie do których Komisja przyjęła na podstawie </w:t>
      </w:r>
      <w:r w:rsidR="00AD62E2" w:rsidRPr="0028384B">
        <w:rPr>
          <w:noProof/>
        </w:rPr>
        <w:t>ust.</w:t>
      </w:r>
      <w:r w:rsidR="0028384B" w:rsidRPr="0028384B">
        <w:rPr>
          <w:noProof/>
        </w:rPr>
        <w:t> </w:t>
      </w:r>
      <w:r w:rsidR="00AD62E2" w:rsidRPr="0028384B">
        <w:rPr>
          <w:noProof/>
        </w:rPr>
        <w:t>1</w:t>
      </w:r>
      <w:r w:rsidR="00AD62E2" w:rsidRPr="002F16A1">
        <w:rPr>
          <w:noProof/>
        </w:rPr>
        <w:t xml:space="preserve"> zasady obliczania</w:t>
      </w:r>
      <w:r w:rsidR="0028384B" w:rsidRPr="002F16A1">
        <w:rPr>
          <w:noProof/>
        </w:rPr>
        <w:t xml:space="preserve"> i</w:t>
      </w:r>
      <w:r w:rsidR="0028384B">
        <w:rPr>
          <w:noProof/>
        </w:rPr>
        <w:t> </w:t>
      </w:r>
      <w:r w:rsidR="0028384B" w:rsidRPr="002F16A1">
        <w:rPr>
          <w:noProof/>
        </w:rPr>
        <w:t>wer</w:t>
      </w:r>
      <w:r w:rsidR="00AD62E2" w:rsidRPr="002F16A1">
        <w:rPr>
          <w:noProof/>
        </w:rPr>
        <w:t>yfikacji, publikuje deklarację dotyczącą śladu środowiskowego.</w:t>
      </w:r>
    </w:p>
    <w:p w:rsidR="00AD62E2" w:rsidRPr="002F16A1" w:rsidRDefault="00AD62E2" w:rsidP="00AD62E2">
      <w:pPr>
        <w:pStyle w:val="Text1"/>
        <w:rPr>
          <w:noProof/>
        </w:rPr>
      </w:pPr>
      <w:r w:rsidRPr="002F16A1">
        <w:rPr>
          <w:noProof/>
        </w:rPr>
        <w:t>Wymogi określone</w:t>
      </w:r>
      <w:r w:rsidR="0028384B" w:rsidRPr="002F16A1">
        <w:rPr>
          <w:noProof/>
        </w:rPr>
        <w:t xml:space="preserve"> w</w:t>
      </w:r>
      <w:r w:rsidR="0028384B">
        <w:rPr>
          <w:noProof/>
        </w:rPr>
        <w:t> </w:t>
      </w:r>
      <w:r w:rsidR="0028384B" w:rsidRPr="002F16A1">
        <w:rPr>
          <w:noProof/>
        </w:rPr>
        <w:t>aka</w:t>
      </w:r>
      <w:r w:rsidRPr="002F16A1">
        <w:rPr>
          <w:noProof/>
        </w:rPr>
        <w:t>picie pierwszym mają zastosowanie do wszystkich poszczególnych rodzajów surowców krytycznych wprowadzanych do obrotu</w:t>
      </w:r>
      <w:r w:rsidR="0028384B" w:rsidRPr="002F16A1">
        <w:rPr>
          <w:noProof/>
        </w:rPr>
        <w:t xml:space="preserve"> i</w:t>
      </w:r>
      <w:r w:rsidR="0028384B">
        <w:rPr>
          <w:noProof/>
        </w:rPr>
        <w:t> </w:t>
      </w:r>
      <w:r w:rsidR="0028384B" w:rsidRPr="002F16A1">
        <w:rPr>
          <w:noProof/>
        </w:rPr>
        <w:t>nie</w:t>
      </w:r>
      <w:r w:rsidRPr="002F16A1">
        <w:rPr>
          <w:noProof/>
        </w:rPr>
        <w:t xml:space="preserve"> mają zastosowania do surowców krytycznych zawartych</w:t>
      </w:r>
      <w:r w:rsidR="0028384B" w:rsidRPr="002F16A1">
        <w:rPr>
          <w:noProof/>
        </w:rPr>
        <w:t xml:space="preserve"> w</w:t>
      </w:r>
      <w:r w:rsidR="0028384B">
        <w:rPr>
          <w:noProof/>
        </w:rPr>
        <w:t> </w:t>
      </w:r>
      <w:r w:rsidR="0028384B" w:rsidRPr="002F16A1">
        <w:rPr>
          <w:noProof/>
        </w:rPr>
        <w:t>pro</w:t>
      </w:r>
      <w:r w:rsidRPr="002F16A1">
        <w:rPr>
          <w:noProof/>
        </w:rPr>
        <w:t>duktach pośrednich lub końcowych. </w:t>
      </w:r>
    </w:p>
    <w:p w:rsidR="00AD62E2" w:rsidRPr="002F16A1" w:rsidRDefault="00733965" w:rsidP="00733965">
      <w:pPr>
        <w:pStyle w:val="ManualNumPar1"/>
        <w:rPr>
          <w:noProof/>
        </w:rPr>
      </w:pPr>
      <w:r w:rsidRPr="00733965">
        <w:t>6.</w:t>
      </w:r>
      <w:r w:rsidRPr="00733965">
        <w:tab/>
      </w:r>
      <w:r w:rsidR="00AD62E2" w:rsidRPr="002F16A1">
        <w:rPr>
          <w:noProof/>
        </w:rPr>
        <w:t>Deklaracja dotycząca śladu środowiskowego,</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5</w:t>
      </w:r>
      <w:r w:rsidR="00AD62E2" w:rsidRPr="002F16A1">
        <w:rPr>
          <w:noProof/>
        </w:rPr>
        <w:t>, zawiera następujące informacje:</w:t>
      </w:r>
    </w:p>
    <w:p w:rsidR="00AD62E2" w:rsidRPr="002F16A1" w:rsidRDefault="0028384B" w:rsidP="0028384B">
      <w:pPr>
        <w:pStyle w:val="Point1"/>
        <w:rPr>
          <w:noProof/>
        </w:rPr>
      </w:pPr>
      <w:r>
        <w:rPr>
          <w:noProof/>
        </w:rPr>
        <w:t>a)</w:t>
      </w:r>
      <w:r>
        <w:rPr>
          <w:noProof/>
        </w:rPr>
        <w:tab/>
      </w:r>
      <w:r w:rsidR="00AD62E2" w:rsidRPr="002F16A1">
        <w:rPr>
          <w:noProof/>
        </w:rPr>
        <w:t>nazwę, zarejestrowaną nazwę handlową lub zarejestrowany znak towarowy</w:t>
      </w:r>
      <w:r w:rsidRPr="002F16A1">
        <w:rPr>
          <w:noProof/>
        </w:rPr>
        <w:t xml:space="preserve"> i</w:t>
      </w:r>
      <w:r>
        <w:rPr>
          <w:noProof/>
        </w:rPr>
        <w:t> </w:t>
      </w:r>
      <w:r w:rsidRPr="002F16A1">
        <w:rPr>
          <w:noProof/>
        </w:rPr>
        <w:t>adr</w:t>
      </w:r>
      <w:r w:rsidR="00AD62E2" w:rsidRPr="002F16A1">
        <w:rPr>
          <w:noProof/>
        </w:rPr>
        <w:t>es pocztowy odpowiedzialnej osoby fizycznej lub prawnej oraz, jeśli są dostępne, elektroniczne środki komunikacji, za pomocą których można się</w:t>
      </w:r>
      <w:r w:rsidRPr="002F16A1">
        <w:rPr>
          <w:noProof/>
        </w:rPr>
        <w:t xml:space="preserve"> z</w:t>
      </w:r>
      <w:r>
        <w:rPr>
          <w:noProof/>
        </w:rPr>
        <w:t> </w:t>
      </w:r>
      <w:r w:rsidRPr="002F16A1">
        <w:rPr>
          <w:noProof/>
        </w:rPr>
        <w:t>nią</w:t>
      </w:r>
      <w:r w:rsidR="00AD62E2" w:rsidRPr="002F16A1">
        <w:rPr>
          <w:noProof/>
        </w:rPr>
        <w:t xml:space="preserve"> skontaktować;</w:t>
      </w:r>
    </w:p>
    <w:p w:rsidR="00AD62E2" w:rsidRPr="002F16A1" w:rsidRDefault="0028384B" w:rsidP="0028384B">
      <w:pPr>
        <w:pStyle w:val="Point1"/>
        <w:rPr>
          <w:noProof/>
        </w:rPr>
      </w:pPr>
      <w:r>
        <w:rPr>
          <w:noProof/>
        </w:rPr>
        <w:t>b)</w:t>
      </w:r>
      <w:r>
        <w:rPr>
          <w:noProof/>
        </w:rPr>
        <w:tab/>
      </w:r>
      <w:r w:rsidR="00AD62E2" w:rsidRPr="002F16A1">
        <w:rPr>
          <w:noProof/>
        </w:rPr>
        <w:t>informacje na temat rodzaju surowca krytycznego, którego dotyczy deklaracja;</w:t>
      </w:r>
    </w:p>
    <w:p w:rsidR="00AD62E2" w:rsidRPr="002F16A1" w:rsidRDefault="0028384B" w:rsidP="0028384B">
      <w:pPr>
        <w:pStyle w:val="Point1"/>
        <w:rPr>
          <w:noProof/>
        </w:rPr>
      </w:pPr>
      <w:r>
        <w:rPr>
          <w:noProof/>
        </w:rPr>
        <w:t>c)</w:t>
      </w:r>
      <w:r>
        <w:rPr>
          <w:noProof/>
        </w:rPr>
        <w:tab/>
      </w:r>
      <w:r w:rsidR="00AD62E2" w:rsidRPr="002F16A1">
        <w:rPr>
          <w:noProof/>
        </w:rPr>
        <w:t>informacje na temat kraju</w:t>
      </w:r>
      <w:r w:rsidRPr="002F16A1">
        <w:rPr>
          <w:noProof/>
        </w:rPr>
        <w:t xml:space="preserve"> i</w:t>
      </w:r>
      <w:r>
        <w:rPr>
          <w:noProof/>
        </w:rPr>
        <w:t> </w:t>
      </w:r>
      <w:r w:rsidRPr="002F16A1">
        <w:rPr>
          <w:noProof/>
        </w:rPr>
        <w:t>reg</w:t>
      </w:r>
      <w:r w:rsidR="00AD62E2" w:rsidRPr="002F16A1">
        <w:rPr>
          <w:noProof/>
        </w:rPr>
        <w:t>ionu,</w:t>
      </w:r>
      <w:r w:rsidRPr="002F16A1">
        <w:rPr>
          <w:noProof/>
        </w:rPr>
        <w:t xml:space="preserve"> w</w:t>
      </w:r>
      <w:r>
        <w:rPr>
          <w:noProof/>
        </w:rPr>
        <w:t> </w:t>
      </w:r>
      <w:r w:rsidRPr="002F16A1">
        <w:rPr>
          <w:noProof/>
        </w:rPr>
        <w:t>któ</w:t>
      </w:r>
      <w:r w:rsidR="00AD62E2" w:rsidRPr="002F16A1">
        <w:rPr>
          <w:noProof/>
        </w:rPr>
        <w:t>rym surowiec krytyczny odpowiednio wydobyto, przetworzono, rafinowano</w:t>
      </w:r>
      <w:r w:rsidRPr="002F16A1">
        <w:rPr>
          <w:noProof/>
        </w:rPr>
        <w:t xml:space="preserve"> i</w:t>
      </w:r>
      <w:r>
        <w:rPr>
          <w:noProof/>
        </w:rPr>
        <w:t> </w:t>
      </w:r>
      <w:r w:rsidRPr="002F16A1">
        <w:rPr>
          <w:noProof/>
        </w:rPr>
        <w:t>pod</w:t>
      </w:r>
      <w:r w:rsidR="00AD62E2" w:rsidRPr="002F16A1">
        <w:rPr>
          <w:noProof/>
        </w:rPr>
        <w:t>dano recyklingowi;</w:t>
      </w:r>
    </w:p>
    <w:p w:rsidR="00AD62E2" w:rsidRPr="002F16A1" w:rsidRDefault="0028384B" w:rsidP="0028384B">
      <w:pPr>
        <w:pStyle w:val="Point1"/>
        <w:rPr>
          <w:noProof/>
        </w:rPr>
      </w:pPr>
      <w:r>
        <w:rPr>
          <w:noProof/>
        </w:rPr>
        <w:t>d)</w:t>
      </w:r>
      <w:r>
        <w:rPr>
          <w:noProof/>
        </w:rPr>
        <w:tab/>
      </w:r>
      <w:r w:rsidR="00AD62E2" w:rsidRPr="002F16A1">
        <w:rPr>
          <w:noProof/>
        </w:rPr>
        <w:t>informacje na temat śladu środowiskowego surowca krytycznego obliczonego zgodnie</w:t>
      </w:r>
      <w:r w:rsidRPr="002F16A1">
        <w:rPr>
          <w:noProof/>
        </w:rPr>
        <w:t xml:space="preserve"> z</w:t>
      </w:r>
      <w:r>
        <w:rPr>
          <w:noProof/>
        </w:rPr>
        <w:t> </w:t>
      </w:r>
      <w:r w:rsidRPr="002F16A1">
        <w:rPr>
          <w:noProof/>
        </w:rPr>
        <w:t>odp</w:t>
      </w:r>
      <w:r w:rsidR="00AD62E2" w:rsidRPr="002F16A1">
        <w:rPr>
          <w:noProof/>
        </w:rPr>
        <w:t>owiednimi zasadami obliczania</w:t>
      </w:r>
      <w:r w:rsidRPr="002F16A1">
        <w:rPr>
          <w:noProof/>
        </w:rPr>
        <w:t xml:space="preserve"> i</w:t>
      </w:r>
      <w:r>
        <w:rPr>
          <w:noProof/>
        </w:rPr>
        <w:t> </w:t>
      </w:r>
      <w:r w:rsidRPr="002F16A1">
        <w:rPr>
          <w:noProof/>
        </w:rPr>
        <w:t>wer</w:t>
      </w:r>
      <w:r w:rsidR="00AD62E2" w:rsidRPr="002F16A1">
        <w:rPr>
          <w:noProof/>
        </w:rPr>
        <w:t xml:space="preserve">yfikacji przyjętymi na podstawie </w:t>
      </w:r>
      <w:r w:rsidR="00AD62E2" w:rsidRPr="0028384B">
        <w:rPr>
          <w:noProof/>
        </w:rPr>
        <w:t>ust.</w:t>
      </w:r>
      <w:r w:rsidRPr="0028384B">
        <w:rPr>
          <w:noProof/>
        </w:rPr>
        <w:t> </w:t>
      </w:r>
      <w:r w:rsidR="00AD62E2" w:rsidRPr="0028384B">
        <w:rPr>
          <w:noProof/>
        </w:rPr>
        <w:t>1</w:t>
      </w:r>
      <w:r w:rsidR="00AD62E2" w:rsidRPr="002F16A1">
        <w:rPr>
          <w:noProof/>
        </w:rPr>
        <w:t>;</w:t>
      </w:r>
    </w:p>
    <w:p w:rsidR="00AD62E2" w:rsidRPr="002F16A1" w:rsidRDefault="0028384B" w:rsidP="0028384B">
      <w:pPr>
        <w:pStyle w:val="Point1"/>
        <w:rPr>
          <w:noProof/>
        </w:rPr>
      </w:pPr>
      <w:r>
        <w:rPr>
          <w:noProof/>
        </w:rPr>
        <w:t>e)</w:t>
      </w:r>
      <w:r>
        <w:rPr>
          <w:noProof/>
        </w:rPr>
        <w:tab/>
      </w:r>
      <w:r w:rsidR="00AD62E2" w:rsidRPr="002F16A1">
        <w:rPr>
          <w:noProof/>
        </w:rPr>
        <w:t xml:space="preserve">klasę efektywności pod względem śladu środowiskowego, której odpowiada surowiec krytyczny, określoną zgodnie ze stosownym aktem delegowanym przyjętym na podstawie </w:t>
      </w:r>
      <w:r w:rsidR="00AD62E2" w:rsidRPr="0028384B">
        <w:rPr>
          <w:noProof/>
        </w:rPr>
        <w:t>ust.</w:t>
      </w:r>
      <w:r w:rsidRPr="0028384B">
        <w:rPr>
          <w:noProof/>
        </w:rPr>
        <w:t> </w:t>
      </w:r>
      <w:r w:rsidR="00AD62E2" w:rsidRPr="0028384B">
        <w:rPr>
          <w:noProof/>
        </w:rPr>
        <w:t>7</w:t>
      </w:r>
      <w:r w:rsidR="00AD62E2" w:rsidRPr="002F16A1">
        <w:rPr>
          <w:noProof/>
        </w:rPr>
        <w:t>; </w:t>
      </w:r>
    </w:p>
    <w:p w:rsidR="00AD62E2" w:rsidRPr="002F16A1" w:rsidRDefault="0028384B" w:rsidP="0028384B">
      <w:pPr>
        <w:pStyle w:val="Point1"/>
        <w:rPr>
          <w:noProof/>
        </w:rPr>
      </w:pPr>
      <w:r>
        <w:rPr>
          <w:noProof/>
        </w:rPr>
        <w:t>f)</w:t>
      </w:r>
      <w:r>
        <w:rPr>
          <w:noProof/>
        </w:rPr>
        <w:tab/>
      </w:r>
      <w:r w:rsidR="00AD62E2" w:rsidRPr="002F16A1">
        <w:rPr>
          <w:noProof/>
        </w:rPr>
        <w:t>link internetowy zapewniający dostęp do publicznej wersji badania stanowiącego poparcie dla wyników deklaracji dotyczącej śladu środowiskowego.</w:t>
      </w:r>
    </w:p>
    <w:p w:rsidR="00AD62E2" w:rsidRPr="002F16A1" w:rsidRDefault="00733965" w:rsidP="00733965">
      <w:pPr>
        <w:pStyle w:val="ManualNumPar1"/>
        <w:rPr>
          <w:noProof/>
        </w:rPr>
      </w:pPr>
      <w:r w:rsidRPr="00733965">
        <w:t>7.</w:t>
      </w:r>
      <w:r w:rsidRPr="00733965">
        <w:tab/>
      </w:r>
      <w:r w:rsidR="00AD62E2" w:rsidRPr="002F16A1">
        <w:rPr>
          <w:noProof/>
        </w:rPr>
        <w:t>Komisja może przyjmować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6 akty delegowane uzupełniające niniejsze rozporządzenie</w:t>
      </w:r>
      <w:r w:rsidR="0028384B" w:rsidRPr="002F16A1">
        <w:rPr>
          <w:noProof/>
        </w:rPr>
        <w:t xml:space="preserve"> w</w:t>
      </w:r>
      <w:r w:rsidR="0028384B">
        <w:rPr>
          <w:noProof/>
        </w:rPr>
        <w:t> </w:t>
      </w:r>
      <w:r w:rsidR="0028384B" w:rsidRPr="002F16A1">
        <w:rPr>
          <w:noProof/>
        </w:rPr>
        <w:t>odn</w:t>
      </w:r>
      <w:r w:rsidR="00AD62E2" w:rsidRPr="002F16A1">
        <w:rPr>
          <w:noProof/>
        </w:rPr>
        <w:t>iesieniu do klas efektywności pod względem śladu środowiskowego dla surowców krytycznych,</w:t>
      </w:r>
      <w:r w:rsidR="0028384B" w:rsidRPr="002F16A1">
        <w:rPr>
          <w:noProof/>
        </w:rPr>
        <w:t xml:space="preserve"> w</w:t>
      </w:r>
      <w:r w:rsidR="0028384B">
        <w:rPr>
          <w:noProof/>
        </w:rPr>
        <w:t> </w:t>
      </w:r>
      <w:r w:rsidR="0028384B" w:rsidRPr="002F16A1">
        <w:rPr>
          <w:noProof/>
        </w:rPr>
        <w:t>prz</w:t>
      </w:r>
      <w:r w:rsidR="00AD62E2" w:rsidRPr="002F16A1">
        <w:rPr>
          <w:noProof/>
        </w:rPr>
        <w:t>ypadku których zasady obliczania</w:t>
      </w:r>
      <w:r w:rsidR="0028384B" w:rsidRPr="002F16A1">
        <w:rPr>
          <w:noProof/>
        </w:rPr>
        <w:t xml:space="preserve"> i</w:t>
      </w:r>
      <w:r w:rsidR="0028384B">
        <w:rPr>
          <w:noProof/>
        </w:rPr>
        <w:t> </w:t>
      </w:r>
      <w:r w:rsidR="0028384B" w:rsidRPr="002F16A1">
        <w:rPr>
          <w:noProof/>
        </w:rPr>
        <w:t>wer</w:t>
      </w:r>
      <w:r w:rsidR="00AD62E2" w:rsidRPr="002F16A1">
        <w:rPr>
          <w:noProof/>
        </w:rPr>
        <w:t xml:space="preserve">yfikacji przyjęto na podstawie </w:t>
      </w:r>
      <w:r w:rsidR="00AD62E2" w:rsidRPr="0028384B">
        <w:rPr>
          <w:noProof/>
        </w:rPr>
        <w:t>ust.</w:t>
      </w:r>
      <w:r w:rsidR="0028384B" w:rsidRPr="0028384B">
        <w:rPr>
          <w:noProof/>
        </w:rPr>
        <w:t> </w:t>
      </w:r>
      <w:r w:rsidR="00AD62E2" w:rsidRPr="0028384B">
        <w:rPr>
          <w:noProof/>
        </w:rPr>
        <w:t>1</w:t>
      </w:r>
      <w:r w:rsidR="00AD62E2" w:rsidRPr="002F16A1">
        <w:rPr>
          <w:noProof/>
        </w:rPr>
        <w:t xml:space="preserve"> zgodnie</w:t>
      </w:r>
      <w:r w:rsidR="0028384B" w:rsidRPr="002F16A1">
        <w:rPr>
          <w:noProof/>
        </w:rPr>
        <w:t xml:space="preserve"> z</w:t>
      </w:r>
      <w:r w:rsidR="0028384B">
        <w:rPr>
          <w:noProof/>
        </w:rPr>
        <w:t> </w:t>
      </w:r>
      <w:r w:rsidR="0028384B" w:rsidRPr="002F16A1">
        <w:rPr>
          <w:noProof/>
        </w:rPr>
        <w:t>zał</w:t>
      </w:r>
      <w:r w:rsidR="00AD62E2" w:rsidRPr="002F16A1">
        <w:rPr>
          <w:noProof/>
        </w:rPr>
        <w:t>ącznikiem V.</w:t>
      </w:r>
    </w:p>
    <w:p w:rsidR="00AD62E2" w:rsidRPr="002F16A1" w:rsidRDefault="00733965" w:rsidP="00733965">
      <w:pPr>
        <w:pStyle w:val="ManualNumPar1"/>
        <w:rPr>
          <w:noProof/>
        </w:rPr>
      </w:pPr>
      <w:r w:rsidRPr="00733965">
        <w:t>8.</w:t>
      </w:r>
      <w:r w:rsidRPr="00733965">
        <w:tab/>
      </w:r>
      <w:r w:rsidR="00AD62E2" w:rsidRPr="002F16A1">
        <w:rPr>
          <w:noProof/>
        </w:rPr>
        <w:t>Deklarację dotyczącą śladu środowiskowego należy udostępnić na ogólnodostępnej stronie internetowej.</w:t>
      </w:r>
    </w:p>
    <w:p w:rsidR="00AD62E2" w:rsidRPr="002F16A1" w:rsidRDefault="00AD62E2" w:rsidP="00AD62E2">
      <w:pPr>
        <w:pStyle w:val="Text1"/>
        <w:rPr>
          <w:noProof/>
        </w:rPr>
      </w:pPr>
      <w:r w:rsidRPr="002F16A1">
        <w:rPr>
          <w:noProof/>
        </w:rPr>
        <w:t>Komisja jest uprawniona do przyjęcia aktu wykonawczego ustanawiającego wzór deklaracji dotyczącej śladu środowiskowego,</w:t>
      </w:r>
      <w:r w:rsidR="0028384B" w:rsidRPr="002F16A1">
        <w:rPr>
          <w:noProof/>
        </w:rPr>
        <w:t xml:space="preserve"> o</w:t>
      </w:r>
      <w:r w:rsidR="0028384B">
        <w:rPr>
          <w:noProof/>
        </w:rPr>
        <w:t> </w:t>
      </w:r>
      <w:r w:rsidR="0028384B" w:rsidRPr="002F16A1">
        <w:rPr>
          <w:noProof/>
        </w:rPr>
        <w:t>któ</w:t>
      </w:r>
      <w:r w:rsidRPr="002F16A1">
        <w:rPr>
          <w:noProof/>
        </w:rPr>
        <w:t>rej mowa</w:t>
      </w:r>
      <w:r w:rsidR="0028384B" w:rsidRPr="002F16A1">
        <w:rPr>
          <w:noProof/>
        </w:rPr>
        <w:t xml:space="preserve"> w</w:t>
      </w:r>
      <w:r w:rsidR="0028384B">
        <w:rPr>
          <w:noProof/>
        </w:rPr>
        <w:t> </w:t>
      </w:r>
      <w:r w:rsidR="0028384B" w:rsidRPr="0028384B">
        <w:rPr>
          <w:noProof/>
        </w:rPr>
        <w:t>ust</w:t>
      </w:r>
      <w:r w:rsidRPr="0028384B">
        <w:rPr>
          <w:noProof/>
        </w:rPr>
        <w:t>.</w:t>
      </w:r>
      <w:r w:rsidR="0028384B" w:rsidRPr="0028384B">
        <w:rPr>
          <w:noProof/>
        </w:rPr>
        <w:t> </w:t>
      </w:r>
      <w:r w:rsidRPr="0028384B">
        <w:rPr>
          <w:noProof/>
        </w:rPr>
        <w:t>5</w:t>
      </w:r>
      <w:r w:rsidRPr="002F16A1">
        <w:rPr>
          <w:noProof/>
        </w:rPr>
        <w:t>. Ten akt wykonawczy przyjmuje się zgodnie</w:t>
      </w:r>
      <w:r w:rsidR="0028384B" w:rsidRPr="002F16A1">
        <w:rPr>
          <w:noProof/>
        </w:rPr>
        <w:t xml:space="preserve"> z</w:t>
      </w:r>
      <w:r w:rsidR="0028384B">
        <w:rPr>
          <w:noProof/>
        </w:rPr>
        <w:t> </w:t>
      </w:r>
      <w:r w:rsidR="0028384B" w:rsidRPr="002F16A1">
        <w:rPr>
          <w:noProof/>
        </w:rPr>
        <w:t>pro</w:t>
      </w:r>
      <w:r w:rsidRPr="002F16A1">
        <w:rPr>
          <w:noProof/>
        </w:rPr>
        <w:t>cedurą sprawdzającą,</w:t>
      </w:r>
      <w:r w:rsidR="0028384B" w:rsidRPr="002F16A1">
        <w:rPr>
          <w:noProof/>
        </w:rPr>
        <w:t xml:space="preserve"> o</w:t>
      </w:r>
      <w:r w:rsidR="0028384B">
        <w:rPr>
          <w:noProof/>
        </w:rPr>
        <w:t> </w:t>
      </w:r>
      <w:r w:rsidR="0028384B" w:rsidRPr="002F16A1">
        <w:rPr>
          <w:noProof/>
        </w:rPr>
        <w:t>któ</w:t>
      </w:r>
      <w:r w:rsidRPr="002F16A1">
        <w:rPr>
          <w:noProof/>
        </w:rPr>
        <w:t>rej mowa</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3</w:t>
      </w:r>
      <w:r w:rsidRPr="002F16A1">
        <w:rPr>
          <w:noProof/>
        </w:rPr>
        <w:t xml:space="preserve">7 </w:t>
      </w:r>
      <w:r w:rsidRPr="0028384B">
        <w:rPr>
          <w:noProof/>
        </w:rPr>
        <w:t>ust.</w:t>
      </w:r>
      <w:r w:rsidR="0028384B" w:rsidRPr="0028384B">
        <w:rPr>
          <w:noProof/>
        </w:rPr>
        <w:t> </w:t>
      </w:r>
      <w:r w:rsidRPr="0028384B">
        <w:rPr>
          <w:noProof/>
        </w:rPr>
        <w:t>3</w:t>
      </w:r>
      <w:r w:rsidRPr="002F16A1">
        <w:rPr>
          <w:noProof/>
        </w:rPr>
        <w:t>.</w:t>
      </w:r>
    </w:p>
    <w:p w:rsidR="00AD62E2" w:rsidRPr="002F16A1" w:rsidRDefault="00733965" w:rsidP="00733965">
      <w:pPr>
        <w:pStyle w:val="ManualNumPar1"/>
        <w:rPr>
          <w:noProof/>
        </w:rPr>
      </w:pPr>
      <w:r w:rsidRPr="00733965">
        <w:t>9.</w:t>
      </w:r>
      <w:r w:rsidRPr="00733965">
        <w:tab/>
      </w:r>
      <w:r w:rsidR="00AD62E2" w:rsidRPr="002F16A1">
        <w:rPr>
          <w:noProof/>
        </w:rPr>
        <w:t>W przypadku oferowania surowców krytycznych na sprzedaż,</w:t>
      </w:r>
      <w:r w:rsidR="0028384B" w:rsidRPr="002F16A1">
        <w:rPr>
          <w:noProof/>
        </w:rPr>
        <w:t xml:space="preserve"> w</w:t>
      </w:r>
      <w:r w:rsidR="0028384B">
        <w:rPr>
          <w:noProof/>
        </w:rPr>
        <w:t> </w:t>
      </w:r>
      <w:r w:rsidR="0028384B" w:rsidRPr="002F16A1">
        <w:rPr>
          <w:noProof/>
        </w:rPr>
        <w:t>tym w</w:t>
      </w:r>
      <w:r w:rsidR="0028384B">
        <w:rPr>
          <w:noProof/>
        </w:rPr>
        <w:t> </w:t>
      </w:r>
      <w:r w:rsidR="0028384B" w:rsidRPr="002F16A1">
        <w:rPr>
          <w:noProof/>
        </w:rPr>
        <w:t>prz</w:t>
      </w:r>
      <w:r w:rsidR="00AD62E2" w:rsidRPr="002F16A1">
        <w:rPr>
          <w:noProof/>
        </w:rPr>
        <w:t>ypadku sprzedaży na odległość, lub prezentowania ich</w:t>
      </w:r>
      <w:r w:rsidR="0028384B" w:rsidRPr="002F16A1">
        <w:rPr>
          <w:noProof/>
        </w:rPr>
        <w:t xml:space="preserve"> w</w:t>
      </w:r>
      <w:r w:rsidR="0028384B">
        <w:rPr>
          <w:noProof/>
        </w:rPr>
        <w:t> </w:t>
      </w:r>
      <w:r w:rsidR="0028384B" w:rsidRPr="002F16A1">
        <w:rPr>
          <w:noProof/>
        </w:rPr>
        <w:t>ram</w:t>
      </w:r>
      <w:r w:rsidR="00AD62E2" w:rsidRPr="002F16A1">
        <w:rPr>
          <w:noProof/>
        </w:rPr>
        <w:t>ach działalności handlowej osoby fizyczne</w:t>
      </w:r>
      <w:r w:rsidR="0028384B" w:rsidRPr="002F16A1">
        <w:rPr>
          <w:noProof/>
        </w:rPr>
        <w:t xml:space="preserve"> i</w:t>
      </w:r>
      <w:r w:rsidR="0028384B">
        <w:rPr>
          <w:noProof/>
        </w:rPr>
        <w:t> </w:t>
      </w:r>
      <w:r w:rsidR="0028384B" w:rsidRPr="002F16A1">
        <w:rPr>
          <w:noProof/>
        </w:rPr>
        <w:t>pra</w:t>
      </w:r>
      <w:r w:rsidR="00AD62E2" w:rsidRPr="002F16A1">
        <w:rPr>
          <w:noProof/>
        </w:rPr>
        <w:t>wne wprowadzające surowce krytyczne do obrotu zapewniają, aby ich klienci mieli dostęp do deklaracji dotyczącej śladu środowiskowego przed związaniem się umową sprzedaży.</w:t>
      </w:r>
    </w:p>
    <w:p w:rsidR="00AD62E2" w:rsidRPr="002F16A1" w:rsidRDefault="00AD62E2" w:rsidP="00AD62E2">
      <w:pPr>
        <w:pStyle w:val="Text1"/>
        <w:rPr>
          <w:noProof/>
        </w:rPr>
      </w:pPr>
      <w:r w:rsidRPr="002F16A1">
        <w:rPr>
          <w:noProof/>
        </w:rPr>
        <w:t>Osoby fizyczne</w:t>
      </w:r>
      <w:r w:rsidR="0028384B" w:rsidRPr="002F16A1">
        <w:rPr>
          <w:noProof/>
        </w:rPr>
        <w:t xml:space="preserve"> i</w:t>
      </w:r>
      <w:r w:rsidR="0028384B">
        <w:rPr>
          <w:noProof/>
        </w:rPr>
        <w:t> </w:t>
      </w:r>
      <w:r w:rsidR="0028384B" w:rsidRPr="002F16A1">
        <w:rPr>
          <w:noProof/>
        </w:rPr>
        <w:t>pra</w:t>
      </w:r>
      <w:r w:rsidRPr="002F16A1">
        <w:rPr>
          <w:noProof/>
        </w:rPr>
        <w:t>wne wprowadzające surowce krytyczne do obrotu nie mogą dostarczać ani eksponować etykiet, oznaczeń, symboli lub napisów, które mogłyby wprowadzać</w:t>
      </w:r>
      <w:r w:rsidR="0028384B" w:rsidRPr="002F16A1">
        <w:rPr>
          <w:noProof/>
        </w:rPr>
        <w:t xml:space="preserve"> w</w:t>
      </w:r>
      <w:r w:rsidR="0028384B">
        <w:rPr>
          <w:noProof/>
        </w:rPr>
        <w:t> </w:t>
      </w:r>
      <w:r w:rsidR="0028384B" w:rsidRPr="002F16A1">
        <w:rPr>
          <w:noProof/>
        </w:rPr>
        <w:t>błą</w:t>
      </w:r>
      <w:r w:rsidRPr="002F16A1">
        <w:rPr>
          <w:noProof/>
        </w:rPr>
        <w:t>d lub dezorientować konsumentów odnośnie do informacji zawartych</w:t>
      </w:r>
      <w:r w:rsidR="0028384B" w:rsidRPr="002F16A1">
        <w:rPr>
          <w:noProof/>
        </w:rPr>
        <w:t xml:space="preserve"> w</w:t>
      </w:r>
      <w:r w:rsidR="0028384B">
        <w:rPr>
          <w:noProof/>
        </w:rPr>
        <w:t> </w:t>
      </w:r>
      <w:r w:rsidR="0028384B" w:rsidRPr="002F16A1">
        <w:rPr>
          <w:noProof/>
        </w:rPr>
        <w:t>dek</w:t>
      </w:r>
      <w:r w:rsidRPr="002F16A1">
        <w:rPr>
          <w:noProof/>
        </w:rPr>
        <w:t>laracji dotyczącej śladu środowiskowego. </w:t>
      </w:r>
    </w:p>
    <w:p w:rsidR="00AD62E2" w:rsidRPr="002F16A1" w:rsidRDefault="00AD62E2" w:rsidP="00AD62E2">
      <w:pPr>
        <w:pStyle w:val="SectionTitle"/>
        <w:rPr>
          <w:noProof/>
        </w:rPr>
      </w:pPr>
      <w:r w:rsidRPr="002F16A1">
        <w:rPr>
          <w:noProof/>
        </w:rPr>
        <w:t xml:space="preserve">Sekcja 3 </w:t>
      </w:r>
      <w:r w:rsidRPr="002F16A1">
        <w:rPr>
          <w:noProof/>
        </w:rPr>
        <w:br/>
        <w:t>Swobodny przepływ, zgodność eksploatacyjna</w:t>
      </w:r>
      <w:r w:rsidR="0028384B" w:rsidRPr="002F16A1">
        <w:rPr>
          <w:noProof/>
        </w:rPr>
        <w:t xml:space="preserve"> i</w:t>
      </w:r>
      <w:r w:rsidR="0028384B">
        <w:rPr>
          <w:noProof/>
        </w:rPr>
        <w:t> </w:t>
      </w:r>
      <w:r w:rsidR="0028384B" w:rsidRPr="002F16A1">
        <w:rPr>
          <w:noProof/>
        </w:rPr>
        <w:t>nad</w:t>
      </w:r>
      <w:r w:rsidRPr="002F16A1">
        <w:rPr>
          <w:noProof/>
        </w:rPr>
        <w:t>zór rynku</w:t>
      </w:r>
    </w:p>
    <w:p w:rsidR="00AD62E2" w:rsidRPr="002F16A1" w:rsidRDefault="00AD62E2" w:rsidP="00AD62E2">
      <w:pPr>
        <w:pStyle w:val="Titrearticle"/>
        <w:rPr>
          <w:noProof/>
        </w:rPr>
      </w:pPr>
      <w:r w:rsidRPr="002F16A1">
        <w:rPr>
          <w:noProof/>
        </w:rPr>
        <w:t>Artykuł 31</w:t>
      </w:r>
    </w:p>
    <w:p w:rsidR="00AD62E2" w:rsidRPr="002F16A1" w:rsidRDefault="00AD62E2" w:rsidP="00AD62E2">
      <w:pPr>
        <w:pStyle w:val="NormalCentered"/>
        <w:rPr>
          <w:noProof/>
        </w:rPr>
      </w:pPr>
      <w:r w:rsidRPr="002F16A1">
        <w:rPr>
          <w:b/>
          <w:noProof/>
        </w:rPr>
        <w:t>Swobodny przepływ</w:t>
      </w:r>
    </w:p>
    <w:p w:rsidR="00AD62E2" w:rsidRPr="002F16A1" w:rsidRDefault="00733965" w:rsidP="00733965">
      <w:pPr>
        <w:pStyle w:val="ManualNumPar1"/>
        <w:rPr>
          <w:noProof/>
        </w:rPr>
      </w:pPr>
      <w:r w:rsidRPr="00733965">
        <w:t>1.</w:t>
      </w:r>
      <w:r w:rsidRPr="00733965">
        <w:tab/>
      </w:r>
      <w:r w:rsidR="00AD62E2" w:rsidRPr="002F16A1">
        <w:rPr>
          <w:noProof/>
        </w:rPr>
        <w:t>Państwa członkowskie nie zakazują, nie ograniczają, ani nie utrudniają – ze względów dotyczących informacji na temat recyklingu lub zawartości materiałów</w:t>
      </w:r>
      <w:r w:rsidR="0028384B" w:rsidRPr="002F16A1">
        <w:rPr>
          <w:noProof/>
        </w:rPr>
        <w:t xml:space="preserve"> z</w:t>
      </w:r>
      <w:r w:rsidR="0028384B">
        <w:rPr>
          <w:noProof/>
        </w:rPr>
        <w:t> </w:t>
      </w:r>
      <w:r w:rsidR="0028384B" w:rsidRPr="002F16A1">
        <w:rPr>
          <w:noProof/>
        </w:rPr>
        <w:t>rec</w:t>
      </w:r>
      <w:r w:rsidR="00AD62E2" w:rsidRPr="002F16A1">
        <w:rPr>
          <w:noProof/>
        </w:rPr>
        <w:t>yklingu</w:t>
      </w:r>
      <w:r w:rsidR="0028384B" w:rsidRPr="002F16A1">
        <w:rPr>
          <w:noProof/>
        </w:rPr>
        <w:t xml:space="preserve"> w</w:t>
      </w:r>
      <w:r w:rsidR="0028384B">
        <w:rPr>
          <w:noProof/>
        </w:rPr>
        <w:t> </w:t>
      </w:r>
      <w:r w:rsidR="0028384B" w:rsidRPr="002F16A1">
        <w:rPr>
          <w:noProof/>
        </w:rPr>
        <w:t>mag</w:t>
      </w:r>
      <w:r w:rsidR="00AD62E2" w:rsidRPr="002F16A1">
        <w:rPr>
          <w:noProof/>
        </w:rPr>
        <w:t>nesach trwałych lub informacji związanych ze śladem środowiskowym surowców krytycznych objętych niniejszym rozporządzeniem – udostępniania na rynku ani oddawania do użytku produktów zawierających magnesy trwałe lub surowców krytycznych zgodnych</w:t>
      </w:r>
      <w:r w:rsidR="0028384B" w:rsidRPr="002F16A1">
        <w:rPr>
          <w:noProof/>
        </w:rPr>
        <w:t xml:space="preserve"> z</w:t>
      </w:r>
      <w:r w:rsidR="0028384B">
        <w:rPr>
          <w:noProof/>
        </w:rPr>
        <w:t> </w:t>
      </w:r>
      <w:r w:rsidR="0028384B" w:rsidRPr="002F16A1">
        <w:rPr>
          <w:noProof/>
        </w:rPr>
        <w:t>nin</w:t>
      </w:r>
      <w:r w:rsidR="00AD62E2" w:rsidRPr="002F16A1">
        <w:rPr>
          <w:noProof/>
        </w:rPr>
        <w:t>iejszym rozporządzeniem.</w:t>
      </w:r>
    </w:p>
    <w:p w:rsidR="00AD62E2" w:rsidRPr="002F16A1" w:rsidRDefault="00733965" w:rsidP="00733965">
      <w:pPr>
        <w:pStyle w:val="ManualNumPar1"/>
        <w:rPr>
          <w:noProof/>
        </w:rPr>
      </w:pPr>
      <w:r w:rsidRPr="00733965">
        <w:t>2.</w:t>
      </w:r>
      <w:r w:rsidRPr="00733965">
        <w:tab/>
      </w:r>
      <w:r w:rsidR="00AD62E2" w:rsidRPr="002F16A1">
        <w:rPr>
          <w:noProof/>
        </w:rPr>
        <w:t>Podczas targów, wystaw, pokazów handlowych lub podobnych imprez państwa członkowskie nie uniemożliwiają pokazywania produktów zawierających magnesy trwałe ani surowców krytycznych niezgodnych</w:t>
      </w:r>
      <w:r w:rsidR="0028384B" w:rsidRPr="002F16A1">
        <w:rPr>
          <w:noProof/>
        </w:rPr>
        <w:t xml:space="preserve"> z</w:t>
      </w:r>
      <w:r w:rsidR="0028384B">
        <w:rPr>
          <w:noProof/>
        </w:rPr>
        <w:t> </w:t>
      </w:r>
      <w:r w:rsidR="0028384B" w:rsidRPr="002F16A1">
        <w:rPr>
          <w:noProof/>
        </w:rPr>
        <w:t>nin</w:t>
      </w:r>
      <w:r w:rsidR="00AD62E2" w:rsidRPr="002F16A1">
        <w:rPr>
          <w:noProof/>
        </w:rPr>
        <w:t>iejszym rozporządzeniem, pod warunkiem że widoczny znak wyraźnie wskazuje, że takie produkty lub surowce nie są zgodne</w:t>
      </w:r>
      <w:r w:rsidR="0028384B" w:rsidRPr="002F16A1">
        <w:rPr>
          <w:noProof/>
        </w:rPr>
        <w:t xml:space="preserve"> z</w:t>
      </w:r>
      <w:r w:rsidR="0028384B">
        <w:rPr>
          <w:noProof/>
        </w:rPr>
        <w:t> </w:t>
      </w:r>
      <w:r w:rsidR="0028384B" w:rsidRPr="002F16A1">
        <w:rPr>
          <w:noProof/>
        </w:rPr>
        <w:t>nin</w:t>
      </w:r>
      <w:r w:rsidR="00AD62E2" w:rsidRPr="002F16A1">
        <w:rPr>
          <w:noProof/>
        </w:rPr>
        <w:t>iejszym rozporządzeniem</w:t>
      </w:r>
      <w:r w:rsidR="0028384B" w:rsidRPr="002F16A1">
        <w:rPr>
          <w:noProof/>
        </w:rPr>
        <w:t xml:space="preserve"> i</w:t>
      </w:r>
      <w:r w:rsidR="0028384B">
        <w:rPr>
          <w:noProof/>
        </w:rPr>
        <w:t> </w:t>
      </w:r>
      <w:r w:rsidR="0028384B" w:rsidRPr="002F16A1">
        <w:rPr>
          <w:noProof/>
        </w:rPr>
        <w:t>nie</w:t>
      </w:r>
      <w:r w:rsidR="00AD62E2" w:rsidRPr="002F16A1">
        <w:rPr>
          <w:noProof/>
        </w:rPr>
        <w:t xml:space="preserve"> mogą zostać udostępnione na rynku, dopóki ich zgodność nie zostanie zapewniona.</w:t>
      </w:r>
    </w:p>
    <w:p w:rsidR="00AD62E2" w:rsidRPr="002F16A1" w:rsidRDefault="00AD62E2" w:rsidP="00AD62E2">
      <w:pPr>
        <w:pStyle w:val="Titrearticle"/>
        <w:rPr>
          <w:noProof/>
          <w:szCs w:val="24"/>
        </w:rPr>
      </w:pPr>
      <w:bookmarkStart w:id="19" w:name="_Hlk128655191"/>
      <w:r w:rsidRPr="002F16A1">
        <w:rPr>
          <w:noProof/>
        </w:rPr>
        <w:t>Artykuł 32</w:t>
      </w:r>
    </w:p>
    <w:p w:rsidR="00AD62E2" w:rsidRPr="002F16A1" w:rsidRDefault="00AD62E2" w:rsidP="00AD62E2">
      <w:pPr>
        <w:jc w:val="center"/>
        <w:rPr>
          <w:b/>
          <w:bCs/>
          <w:noProof/>
          <w:szCs w:val="24"/>
        </w:rPr>
      </w:pPr>
      <w:r w:rsidRPr="002F16A1">
        <w:rPr>
          <w:b/>
          <w:noProof/>
        </w:rPr>
        <w:t>Zgodność eksploatacyjna</w:t>
      </w:r>
      <w:r w:rsidR="0028384B" w:rsidRPr="002F16A1">
        <w:rPr>
          <w:b/>
          <w:noProof/>
        </w:rPr>
        <w:t xml:space="preserve"> i</w:t>
      </w:r>
      <w:r w:rsidR="0028384B">
        <w:rPr>
          <w:b/>
          <w:noProof/>
        </w:rPr>
        <w:t> </w:t>
      </w:r>
      <w:r w:rsidR="0028384B" w:rsidRPr="002F16A1">
        <w:rPr>
          <w:b/>
          <w:noProof/>
        </w:rPr>
        <w:t>nad</w:t>
      </w:r>
      <w:r w:rsidRPr="002F16A1">
        <w:rPr>
          <w:b/>
          <w:noProof/>
        </w:rPr>
        <w:t>zór rynku</w:t>
      </w:r>
      <w:bookmarkEnd w:id="19"/>
    </w:p>
    <w:p w:rsidR="00AD62E2" w:rsidRPr="002F16A1" w:rsidRDefault="00733965" w:rsidP="00733965">
      <w:pPr>
        <w:pStyle w:val="ManualNumPar1"/>
        <w:rPr>
          <w:noProof/>
        </w:rPr>
      </w:pPr>
      <w:r w:rsidRPr="00733965">
        <w:t>1.</w:t>
      </w:r>
      <w:r w:rsidRPr="00733965">
        <w:tab/>
      </w:r>
      <w:r w:rsidR="00AD62E2" w:rsidRPr="002F16A1">
        <w:rPr>
          <w:noProof/>
        </w:rPr>
        <w:t xml:space="preserve">Przed wprowadzeniem produktu objętego </w:t>
      </w:r>
      <w:r w:rsidR="00AD62E2" w:rsidRPr="0028384B">
        <w:rPr>
          <w:noProof/>
        </w:rPr>
        <w:t>art.</w:t>
      </w:r>
      <w:r w:rsidR="0028384B" w:rsidRPr="0028384B">
        <w:rPr>
          <w:noProof/>
        </w:rPr>
        <w:t> </w:t>
      </w:r>
      <w:r w:rsidR="00AD62E2" w:rsidRPr="0028384B">
        <w:rPr>
          <w:noProof/>
        </w:rPr>
        <w:t>2</w:t>
      </w:r>
      <w:r w:rsidR="00AD62E2" w:rsidRPr="002F16A1">
        <w:rPr>
          <w:noProof/>
        </w:rPr>
        <w:t xml:space="preserve">7 </w:t>
      </w:r>
      <w:r w:rsidR="00AD62E2" w:rsidRPr="0028384B">
        <w:rPr>
          <w:noProof/>
        </w:rPr>
        <w:t>lub</w:t>
      </w:r>
      <w:r w:rsidR="0028384B" w:rsidRPr="0028384B">
        <w:rPr>
          <w:noProof/>
        </w:rPr>
        <w:t> </w:t>
      </w:r>
      <w:r w:rsidR="00AD62E2" w:rsidRPr="0028384B">
        <w:rPr>
          <w:noProof/>
        </w:rPr>
        <w:t>2</w:t>
      </w:r>
      <w:r w:rsidR="00AD62E2" w:rsidRPr="002F16A1">
        <w:rPr>
          <w:noProof/>
        </w:rPr>
        <w:t>8 do obrotu odpowiedzialne osoby fizyczne lub prawne zapewniają przeprowadzenie stosownej procedury oceny zgodności oraz sporządzenie wymaganej dokumentacji technicznej</w:t>
      </w:r>
      <w:r w:rsidR="0028384B" w:rsidRPr="002F16A1">
        <w:rPr>
          <w:noProof/>
        </w:rPr>
        <w:t>. W</w:t>
      </w:r>
      <w:r w:rsidR="0028384B">
        <w:rPr>
          <w:noProof/>
        </w:rPr>
        <w:t> </w:t>
      </w:r>
      <w:r w:rsidR="0028384B" w:rsidRPr="002F16A1">
        <w:rPr>
          <w:noProof/>
        </w:rPr>
        <w:t>prz</w:t>
      </w:r>
      <w:r w:rsidR="00AD62E2" w:rsidRPr="002F16A1">
        <w:rPr>
          <w:noProof/>
        </w:rPr>
        <w:t>ypadku wykazania</w:t>
      </w:r>
      <w:r w:rsidR="0028384B" w:rsidRPr="002F16A1">
        <w:rPr>
          <w:noProof/>
        </w:rPr>
        <w:t xml:space="preserve"> w</w:t>
      </w:r>
      <w:r w:rsidR="0028384B">
        <w:rPr>
          <w:noProof/>
        </w:rPr>
        <w:t> </w:t>
      </w:r>
      <w:r w:rsidR="0028384B" w:rsidRPr="002F16A1">
        <w:rPr>
          <w:noProof/>
        </w:rPr>
        <w:t>dro</w:t>
      </w:r>
      <w:r w:rsidR="00AD62E2" w:rsidRPr="002F16A1">
        <w:rPr>
          <w:noProof/>
        </w:rPr>
        <w:t>dze procedury oceny zgodności, że produkt spełnia odpowiednie wymogi, odpowiedzialne osoby fizyczne lub prawne zapewniają, aby sporządzono deklarację zgodności UE oraz załączono oznakowanie CE.</w:t>
      </w:r>
    </w:p>
    <w:p w:rsidR="00AD62E2" w:rsidRPr="002F16A1" w:rsidRDefault="00733965" w:rsidP="00733965">
      <w:pPr>
        <w:pStyle w:val="ManualNumPar1"/>
        <w:rPr>
          <w:noProof/>
        </w:rPr>
      </w:pPr>
      <w:r w:rsidRPr="00733965">
        <w:t>2.</w:t>
      </w:r>
      <w:r w:rsidRPr="00733965">
        <w:tab/>
      </w:r>
      <w:r w:rsidR="00AD62E2" w:rsidRPr="002F16A1">
        <w:rPr>
          <w:noProof/>
        </w:rPr>
        <w:t>Procedura oceny zgodności</w:t>
      </w:r>
      <w:r w:rsidR="0028384B" w:rsidRPr="002F16A1">
        <w:rPr>
          <w:noProof/>
        </w:rPr>
        <w:t xml:space="preserve"> w</w:t>
      </w:r>
      <w:r w:rsidR="0028384B">
        <w:rPr>
          <w:noProof/>
        </w:rPr>
        <w:t> </w:t>
      </w:r>
      <w:r w:rsidR="0028384B" w:rsidRPr="002F16A1">
        <w:rPr>
          <w:noProof/>
        </w:rPr>
        <w:t>odn</w:t>
      </w:r>
      <w:r w:rsidR="00AD62E2" w:rsidRPr="002F16A1">
        <w:rPr>
          <w:noProof/>
        </w:rPr>
        <w:t>iesieniu do produktów objętych wymogami określonymi</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2</w:t>
      </w:r>
      <w:r w:rsidR="00AD62E2" w:rsidRPr="002F16A1">
        <w:rPr>
          <w:noProof/>
        </w:rPr>
        <w:t>7 jest procedurą określoną</w:t>
      </w:r>
      <w:r w:rsidR="0028384B" w:rsidRPr="002F16A1">
        <w:rPr>
          <w:noProof/>
        </w:rPr>
        <w:t xml:space="preserve"> w</w:t>
      </w:r>
      <w:r w:rsidR="0028384B">
        <w:rPr>
          <w:noProof/>
        </w:rPr>
        <w:t> </w:t>
      </w:r>
      <w:r w:rsidR="0028384B" w:rsidRPr="002F16A1">
        <w:rPr>
          <w:noProof/>
        </w:rPr>
        <w:t>zał</w:t>
      </w:r>
      <w:r w:rsidR="00AD62E2" w:rsidRPr="002F16A1">
        <w:rPr>
          <w:noProof/>
        </w:rPr>
        <w:t>ączniku IV do rozporządzenia (UE) 2023/xxx [</w:t>
      </w:r>
      <w:r w:rsidR="00AD62E2" w:rsidRPr="002F16A1">
        <w:rPr>
          <w:i/>
          <w:iCs/>
          <w:noProof/>
        </w:rPr>
        <w:t>Urząd Publikacji:</w:t>
      </w:r>
      <w:r w:rsidR="00AD62E2" w:rsidRPr="002F16A1">
        <w:rPr>
          <w:noProof/>
        </w:rPr>
        <w:t xml:space="preserve"> </w:t>
      </w:r>
      <w:r w:rsidR="00AD62E2" w:rsidRPr="002F16A1">
        <w:rPr>
          <w:i/>
          <w:iCs/>
          <w:noProof/>
        </w:rPr>
        <w:t>proszę wstawić odniesienie do rozporządzenia</w:t>
      </w:r>
      <w:r w:rsidR="0028384B" w:rsidRPr="002F16A1">
        <w:rPr>
          <w:i/>
          <w:iCs/>
          <w:noProof/>
        </w:rPr>
        <w:t xml:space="preserve"> w</w:t>
      </w:r>
      <w:r w:rsidR="0028384B">
        <w:rPr>
          <w:i/>
          <w:iCs/>
          <w:noProof/>
        </w:rPr>
        <w:t> </w:t>
      </w:r>
      <w:r w:rsidR="0028384B" w:rsidRPr="002F16A1">
        <w:rPr>
          <w:i/>
          <w:iCs/>
          <w:noProof/>
        </w:rPr>
        <w:t>spr</w:t>
      </w:r>
      <w:r w:rsidR="00AD62E2" w:rsidRPr="002F16A1">
        <w:rPr>
          <w:i/>
          <w:iCs/>
          <w:noProof/>
        </w:rPr>
        <w:t>awie ekoprojektu dla zrównoważonych produktów</w:t>
      </w:r>
      <w:r w:rsidR="00AD62E2" w:rsidRPr="002F16A1">
        <w:rPr>
          <w:noProof/>
        </w:rPr>
        <w:t>], chyba że produkty te są również objęte wymogami określonymi</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2</w:t>
      </w:r>
      <w:r w:rsidR="00AD62E2" w:rsidRPr="002F16A1">
        <w:rPr>
          <w:noProof/>
        </w:rPr>
        <w:t>8,</w:t>
      </w:r>
      <w:r w:rsidR="0028384B" w:rsidRPr="002F16A1">
        <w:rPr>
          <w:noProof/>
        </w:rPr>
        <w:t xml:space="preserve"> w</w:t>
      </w:r>
      <w:r w:rsidR="0028384B">
        <w:rPr>
          <w:noProof/>
        </w:rPr>
        <w:t> </w:t>
      </w:r>
      <w:r w:rsidR="0028384B" w:rsidRPr="002F16A1">
        <w:rPr>
          <w:noProof/>
        </w:rPr>
        <w:t>któ</w:t>
      </w:r>
      <w:r w:rsidR="00AD62E2" w:rsidRPr="002F16A1">
        <w:rPr>
          <w:noProof/>
        </w:rPr>
        <w:t>rym to przypadku procedura oceny zgodności jest procedurą określoną</w:t>
      </w:r>
      <w:r w:rsidR="0028384B" w:rsidRPr="002F16A1">
        <w:rPr>
          <w:noProof/>
        </w:rPr>
        <w:t xml:space="preserve"> w</w:t>
      </w:r>
      <w:r w:rsidR="0028384B">
        <w:rPr>
          <w:noProof/>
        </w:rPr>
        <w:t> </w:t>
      </w:r>
      <w:r w:rsidR="0028384B" w:rsidRPr="002F16A1">
        <w:rPr>
          <w:noProof/>
        </w:rPr>
        <w:t>zas</w:t>
      </w:r>
      <w:r w:rsidR="00AD62E2" w:rsidRPr="002F16A1">
        <w:rPr>
          <w:noProof/>
        </w:rPr>
        <w:t>adach obliczania</w:t>
      </w:r>
      <w:r w:rsidR="0028384B" w:rsidRPr="002F16A1">
        <w:rPr>
          <w:noProof/>
        </w:rPr>
        <w:t xml:space="preserve"> i</w:t>
      </w:r>
      <w:r w:rsidR="0028384B">
        <w:rPr>
          <w:noProof/>
        </w:rPr>
        <w:t> </w:t>
      </w:r>
      <w:r w:rsidR="0028384B" w:rsidRPr="002F16A1">
        <w:rPr>
          <w:noProof/>
        </w:rPr>
        <w:t>wer</w:t>
      </w:r>
      <w:r w:rsidR="00AD62E2" w:rsidRPr="002F16A1">
        <w:rPr>
          <w:noProof/>
        </w:rPr>
        <w:t>yfikacji przyjętych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2</w:t>
      </w:r>
      <w:r w:rsidR="00AD62E2" w:rsidRPr="002F16A1">
        <w:rPr>
          <w:noProof/>
        </w:rPr>
        <w:t xml:space="preserve">8 </w:t>
      </w:r>
      <w:r w:rsidR="00AD62E2" w:rsidRPr="0028384B">
        <w:rPr>
          <w:noProof/>
        </w:rPr>
        <w:t>ust.</w:t>
      </w:r>
      <w:r w:rsidR="0028384B" w:rsidRPr="0028384B">
        <w:rPr>
          <w:noProof/>
        </w:rPr>
        <w:t> </w:t>
      </w:r>
      <w:r w:rsidR="00AD62E2" w:rsidRPr="0028384B">
        <w:rPr>
          <w:noProof/>
        </w:rPr>
        <w:t>2</w:t>
      </w:r>
      <w:r w:rsidR="00AD62E2" w:rsidRPr="002F16A1">
        <w:rPr>
          <w:noProof/>
        </w:rPr>
        <w:t xml:space="preserve">. </w:t>
      </w:r>
    </w:p>
    <w:p w:rsidR="00AD62E2" w:rsidRPr="002F16A1" w:rsidRDefault="00733965" w:rsidP="00733965">
      <w:pPr>
        <w:pStyle w:val="ManualNumPar1"/>
        <w:rPr>
          <w:noProof/>
        </w:rPr>
      </w:pPr>
      <w:r w:rsidRPr="00733965">
        <w:t>3.</w:t>
      </w:r>
      <w:r w:rsidRPr="00733965">
        <w:tab/>
      </w:r>
      <w:r w:rsidR="00492296" w:rsidRPr="002F16A1">
        <w:rPr>
          <w:noProof/>
        </w:rPr>
        <w:t xml:space="preserve">Rozdział IX oraz </w:t>
      </w:r>
      <w:r w:rsidR="00492296" w:rsidRPr="0028384B">
        <w:rPr>
          <w:noProof/>
        </w:rPr>
        <w:t>art.</w:t>
      </w:r>
      <w:r w:rsidR="0028384B" w:rsidRPr="0028384B">
        <w:rPr>
          <w:noProof/>
        </w:rPr>
        <w:t> </w:t>
      </w:r>
      <w:r w:rsidR="00492296" w:rsidRPr="0028384B">
        <w:rPr>
          <w:noProof/>
        </w:rPr>
        <w:t>3</w:t>
      </w:r>
      <w:r w:rsidR="00492296" w:rsidRPr="002F16A1">
        <w:rPr>
          <w:noProof/>
        </w:rPr>
        <w:t>7, 38</w:t>
      </w:r>
      <w:r w:rsidR="0028384B" w:rsidRPr="002F16A1">
        <w:rPr>
          <w:noProof/>
        </w:rPr>
        <w:t xml:space="preserve"> i</w:t>
      </w:r>
      <w:r w:rsidR="0028384B">
        <w:rPr>
          <w:noProof/>
        </w:rPr>
        <w:t> </w:t>
      </w:r>
      <w:r w:rsidR="0028384B" w:rsidRPr="002F16A1">
        <w:rPr>
          <w:noProof/>
        </w:rPr>
        <w:t>3</w:t>
      </w:r>
      <w:r w:rsidR="00492296" w:rsidRPr="002F16A1">
        <w:rPr>
          <w:noProof/>
        </w:rPr>
        <w:t>9 rozporządzenia (UE) 2023/xxx [</w:t>
      </w:r>
      <w:r w:rsidR="00492296" w:rsidRPr="002F16A1">
        <w:rPr>
          <w:i/>
          <w:iCs/>
          <w:noProof/>
        </w:rPr>
        <w:t>Urząd Publikacji:</w:t>
      </w:r>
      <w:r w:rsidR="00492296" w:rsidRPr="002F16A1">
        <w:rPr>
          <w:noProof/>
        </w:rPr>
        <w:t xml:space="preserve"> </w:t>
      </w:r>
      <w:r w:rsidR="00492296" w:rsidRPr="002F16A1">
        <w:rPr>
          <w:i/>
          <w:iCs/>
          <w:noProof/>
        </w:rPr>
        <w:t>proszę wstawić odniesienie do rozporządzenia</w:t>
      </w:r>
      <w:r w:rsidR="0028384B" w:rsidRPr="002F16A1">
        <w:rPr>
          <w:i/>
          <w:iCs/>
          <w:noProof/>
        </w:rPr>
        <w:t xml:space="preserve"> w</w:t>
      </w:r>
      <w:r w:rsidR="0028384B">
        <w:rPr>
          <w:i/>
          <w:iCs/>
          <w:noProof/>
        </w:rPr>
        <w:t> </w:t>
      </w:r>
      <w:r w:rsidR="0028384B" w:rsidRPr="002F16A1">
        <w:rPr>
          <w:i/>
          <w:iCs/>
          <w:noProof/>
        </w:rPr>
        <w:t>spr</w:t>
      </w:r>
      <w:r w:rsidR="00492296" w:rsidRPr="002F16A1">
        <w:rPr>
          <w:i/>
          <w:iCs/>
          <w:noProof/>
        </w:rPr>
        <w:t>awie ekoprojektu dla zrównoważonych produktów</w:t>
      </w:r>
      <w:r w:rsidR="00492296" w:rsidRPr="002F16A1">
        <w:rPr>
          <w:noProof/>
        </w:rPr>
        <w:t>], jak również odpowiednie definicje</w:t>
      </w:r>
      <w:r w:rsidR="0028384B" w:rsidRPr="002F16A1">
        <w:rPr>
          <w:noProof/>
        </w:rPr>
        <w:t xml:space="preserve"> w</w:t>
      </w:r>
      <w:r w:rsidR="0028384B">
        <w:rPr>
          <w:noProof/>
        </w:rPr>
        <w:t> </w:t>
      </w:r>
      <w:r w:rsidR="0028384B" w:rsidRPr="0028384B">
        <w:rPr>
          <w:noProof/>
        </w:rPr>
        <w:t>art</w:t>
      </w:r>
      <w:r w:rsidR="00492296" w:rsidRPr="0028384B">
        <w:rPr>
          <w:noProof/>
        </w:rPr>
        <w:t>.</w:t>
      </w:r>
      <w:r w:rsidR="0028384B" w:rsidRPr="0028384B">
        <w:rPr>
          <w:noProof/>
        </w:rPr>
        <w:t> </w:t>
      </w:r>
      <w:r w:rsidR="00492296" w:rsidRPr="0028384B">
        <w:rPr>
          <w:noProof/>
        </w:rPr>
        <w:t>2</w:t>
      </w:r>
      <w:r w:rsidR="00492296" w:rsidRPr="002F16A1">
        <w:rPr>
          <w:noProof/>
        </w:rPr>
        <w:t xml:space="preserve"> tego rozporządzenia, mają zastosowanie do odpowiednich wymogów obowiązujących</w:t>
      </w:r>
      <w:r w:rsidR="0028384B" w:rsidRPr="002F16A1">
        <w:rPr>
          <w:noProof/>
        </w:rPr>
        <w:t xml:space="preserve"> w</w:t>
      </w:r>
      <w:r w:rsidR="0028384B">
        <w:rPr>
          <w:noProof/>
        </w:rPr>
        <w:t> </w:t>
      </w:r>
      <w:r w:rsidR="0028384B" w:rsidRPr="002F16A1">
        <w:rPr>
          <w:noProof/>
        </w:rPr>
        <w:t>prz</w:t>
      </w:r>
      <w:r w:rsidR="00492296" w:rsidRPr="002F16A1">
        <w:rPr>
          <w:noProof/>
        </w:rPr>
        <w:t>ypadku produktów wprowadzanych do obrotu</w:t>
      </w:r>
      <w:r w:rsidR="0028384B" w:rsidRPr="002F16A1">
        <w:rPr>
          <w:noProof/>
        </w:rPr>
        <w:t xml:space="preserve"> w</w:t>
      </w:r>
      <w:r w:rsidR="0028384B">
        <w:rPr>
          <w:noProof/>
        </w:rPr>
        <w:t> </w:t>
      </w:r>
      <w:r w:rsidR="0028384B" w:rsidRPr="002F16A1">
        <w:rPr>
          <w:noProof/>
        </w:rPr>
        <w:t>Uni</w:t>
      </w:r>
      <w:r w:rsidR="00492296" w:rsidRPr="002F16A1">
        <w:rPr>
          <w:noProof/>
        </w:rPr>
        <w:t>i, które to wymogi określono</w:t>
      </w:r>
      <w:r w:rsidR="0028384B" w:rsidRPr="002F16A1">
        <w:rPr>
          <w:noProof/>
        </w:rPr>
        <w:t xml:space="preserve"> w</w:t>
      </w:r>
      <w:r w:rsidR="0028384B">
        <w:rPr>
          <w:noProof/>
        </w:rPr>
        <w:t> </w:t>
      </w:r>
      <w:r w:rsidR="0028384B" w:rsidRPr="0028384B">
        <w:rPr>
          <w:noProof/>
        </w:rPr>
        <w:t>art</w:t>
      </w:r>
      <w:r w:rsidR="00492296" w:rsidRPr="0028384B">
        <w:rPr>
          <w:noProof/>
        </w:rPr>
        <w:t>.</w:t>
      </w:r>
      <w:r w:rsidR="0028384B" w:rsidRPr="0028384B">
        <w:rPr>
          <w:noProof/>
        </w:rPr>
        <w:t> </w:t>
      </w:r>
      <w:r w:rsidR="00492296" w:rsidRPr="0028384B">
        <w:rPr>
          <w:noProof/>
        </w:rPr>
        <w:t>2</w:t>
      </w:r>
      <w:r w:rsidR="00492296" w:rsidRPr="002F16A1">
        <w:rPr>
          <w:noProof/>
        </w:rPr>
        <w:t>7</w:t>
      </w:r>
      <w:r w:rsidR="0028384B" w:rsidRPr="002F16A1">
        <w:rPr>
          <w:noProof/>
        </w:rPr>
        <w:t xml:space="preserve"> i</w:t>
      </w:r>
      <w:r w:rsidR="0028384B">
        <w:rPr>
          <w:noProof/>
        </w:rPr>
        <w:t> </w:t>
      </w:r>
      <w:r w:rsidR="0028384B" w:rsidRPr="002F16A1">
        <w:rPr>
          <w:noProof/>
        </w:rPr>
        <w:t>2</w:t>
      </w:r>
      <w:r w:rsidR="00492296" w:rsidRPr="002F16A1">
        <w:rPr>
          <w:noProof/>
        </w:rPr>
        <w:t>8.</w:t>
      </w:r>
    </w:p>
    <w:p w:rsidR="00AD62E2" w:rsidRPr="002F16A1" w:rsidRDefault="00733965" w:rsidP="00733965">
      <w:pPr>
        <w:pStyle w:val="ManualNumPar1"/>
        <w:rPr>
          <w:noProof/>
        </w:rPr>
      </w:pPr>
      <w:r w:rsidRPr="00733965">
        <w:t>4.</w:t>
      </w:r>
      <w:r w:rsidRPr="00733965">
        <w:tab/>
      </w:r>
      <w:r w:rsidR="00AD62E2" w:rsidRPr="002F16A1">
        <w:rPr>
          <w:noProof/>
        </w:rPr>
        <w:t>Jeżeli chodzi</w:t>
      </w:r>
      <w:r w:rsidR="0028384B" w:rsidRPr="002F16A1">
        <w:rPr>
          <w:noProof/>
        </w:rPr>
        <w:t xml:space="preserve"> o</w:t>
      </w:r>
      <w:r w:rsidR="0028384B">
        <w:rPr>
          <w:noProof/>
        </w:rPr>
        <w:t> </w:t>
      </w:r>
      <w:r w:rsidR="0028384B" w:rsidRPr="002F16A1">
        <w:rPr>
          <w:noProof/>
        </w:rPr>
        <w:t>nad</w:t>
      </w:r>
      <w:r w:rsidR="00AD62E2" w:rsidRPr="002F16A1">
        <w:rPr>
          <w:noProof/>
        </w:rPr>
        <w:t>zór rynku, zastosowanie mają następujące zasady:</w:t>
      </w:r>
    </w:p>
    <w:p w:rsidR="00492296" w:rsidRPr="002F16A1" w:rsidRDefault="0028384B" w:rsidP="0028384B">
      <w:pPr>
        <w:pStyle w:val="Point1"/>
        <w:rPr>
          <w:noProof/>
        </w:rPr>
      </w:pPr>
      <w:r>
        <w:rPr>
          <w:noProof/>
        </w:rPr>
        <w:t>a)</w:t>
      </w:r>
      <w:r>
        <w:rPr>
          <w:noProof/>
        </w:rPr>
        <w:tab/>
      </w:r>
      <w:r w:rsidR="00492296" w:rsidRPr="002F16A1">
        <w:rPr>
          <w:noProof/>
        </w:rPr>
        <w:t>rozdział XII rozporządzenia (UE) 2023/xxx [</w:t>
      </w:r>
      <w:r w:rsidR="00492296" w:rsidRPr="002F16A1">
        <w:rPr>
          <w:i/>
          <w:iCs/>
          <w:noProof/>
        </w:rPr>
        <w:t>Urząd Publikacji:</w:t>
      </w:r>
      <w:r w:rsidR="00492296" w:rsidRPr="002F16A1">
        <w:rPr>
          <w:noProof/>
        </w:rPr>
        <w:t xml:space="preserve"> </w:t>
      </w:r>
      <w:r w:rsidR="00492296" w:rsidRPr="002F16A1">
        <w:rPr>
          <w:i/>
          <w:iCs/>
          <w:noProof/>
        </w:rPr>
        <w:t>proszę wstawić odniesienie do rozporządzenia</w:t>
      </w:r>
      <w:r w:rsidRPr="002F16A1">
        <w:rPr>
          <w:i/>
          <w:iCs/>
          <w:noProof/>
        </w:rPr>
        <w:t xml:space="preserve"> w</w:t>
      </w:r>
      <w:r>
        <w:rPr>
          <w:i/>
          <w:iCs/>
          <w:noProof/>
        </w:rPr>
        <w:t> </w:t>
      </w:r>
      <w:r w:rsidRPr="002F16A1">
        <w:rPr>
          <w:i/>
          <w:iCs/>
          <w:noProof/>
        </w:rPr>
        <w:t>spr</w:t>
      </w:r>
      <w:r w:rsidR="00492296" w:rsidRPr="002F16A1">
        <w:rPr>
          <w:i/>
          <w:iCs/>
          <w:noProof/>
        </w:rPr>
        <w:t>awie ekoprojektu dla zrównoważonych produktów</w:t>
      </w:r>
      <w:r w:rsidR="00492296" w:rsidRPr="002F16A1">
        <w:rPr>
          <w:noProof/>
        </w:rPr>
        <w:t>], jak również odpowiednie definicje</w:t>
      </w:r>
      <w:r w:rsidRPr="002F16A1">
        <w:rPr>
          <w:noProof/>
        </w:rPr>
        <w:t xml:space="preserve"> w</w:t>
      </w:r>
      <w:r>
        <w:rPr>
          <w:noProof/>
        </w:rPr>
        <w:t> </w:t>
      </w:r>
      <w:r w:rsidRPr="0028384B">
        <w:rPr>
          <w:noProof/>
        </w:rPr>
        <w:t>art</w:t>
      </w:r>
      <w:r w:rsidR="00492296" w:rsidRPr="0028384B">
        <w:rPr>
          <w:noProof/>
        </w:rPr>
        <w:t>.</w:t>
      </w:r>
      <w:r w:rsidRPr="0028384B">
        <w:rPr>
          <w:noProof/>
        </w:rPr>
        <w:t> </w:t>
      </w:r>
      <w:r w:rsidR="00492296" w:rsidRPr="0028384B">
        <w:rPr>
          <w:noProof/>
        </w:rPr>
        <w:t>2</w:t>
      </w:r>
      <w:r w:rsidR="00492296" w:rsidRPr="002F16A1">
        <w:rPr>
          <w:noProof/>
        </w:rPr>
        <w:t xml:space="preserve"> tego rozporządzenia, mają zastosowanie do odpowiednich wymogów obowiązujących</w:t>
      </w:r>
      <w:r w:rsidRPr="002F16A1">
        <w:rPr>
          <w:noProof/>
        </w:rPr>
        <w:t xml:space="preserve"> w</w:t>
      </w:r>
      <w:r>
        <w:rPr>
          <w:noProof/>
        </w:rPr>
        <w:t> </w:t>
      </w:r>
      <w:r w:rsidRPr="002F16A1">
        <w:rPr>
          <w:noProof/>
        </w:rPr>
        <w:t>prz</w:t>
      </w:r>
      <w:r w:rsidR="00492296" w:rsidRPr="002F16A1">
        <w:rPr>
          <w:noProof/>
        </w:rPr>
        <w:t>ypadku produktów wprowadzanych do obrotu</w:t>
      </w:r>
      <w:r w:rsidRPr="002F16A1">
        <w:rPr>
          <w:noProof/>
        </w:rPr>
        <w:t xml:space="preserve"> w</w:t>
      </w:r>
      <w:r>
        <w:rPr>
          <w:noProof/>
        </w:rPr>
        <w:t> </w:t>
      </w:r>
      <w:r w:rsidRPr="002F16A1">
        <w:rPr>
          <w:noProof/>
        </w:rPr>
        <w:t>Uni</w:t>
      </w:r>
      <w:r w:rsidR="00492296" w:rsidRPr="002F16A1">
        <w:rPr>
          <w:noProof/>
        </w:rPr>
        <w:t>i, które to wymogi określono</w:t>
      </w:r>
      <w:r w:rsidRPr="002F16A1">
        <w:rPr>
          <w:noProof/>
        </w:rPr>
        <w:t xml:space="preserve"> w</w:t>
      </w:r>
      <w:r>
        <w:rPr>
          <w:noProof/>
        </w:rPr>
        <w:t> </w:t>
      </w:r>
      <w:r w:rsidRPr="0028384B">
        <w:rPr>
          <w:noProof/>
        </w:rPr>
        <w:t>art</w:t>
      </w:r>
      <w:r w:rsidR="00492296" w:rsidRPr="0028384B">
        <w:rPr>
          <w:noProof/>
        </w:rPr>
        <w:t>.</w:t>
      </w:r>
      <w:r w:rsidRPr="0028384B">
        <w:rPr>
          <w:noProof/>
        </w:rPr>
        <w:t> </w:t>
      </w:r>
      <w:r w:rsidR="00492296" w:rsidRPr="0028384B">
        <w:rPr>
          <w:noProof/>
        </w:rPr>
        <w:t>2</w:t>
      </w:r>
      <w:r w:rsidR="00492296" w:rsidRPr="002F16A1">
        <w:rPr>
          <w:noProof/>
        </w:rPr>
        <w:t xml:space="preserve">7, 28 </w:t>
      </w:r>
      <w:r w:rsidR="00492296" w:rsidRPr="0028384B">
        <w:rPr>
          <w:noProof/>
        </w:rPr>
        <w:t>lub</w:t>
      </w:r>
      <w:r w:rsidRPr="0028384B">
        <w:rPr>
          <w:noProof/>
        </w:rPr>
        <w:t> </w:t>
      </w:r>
      <w:r w:rsidR="00492296" w:rsidRPr="0028384B">
        <w:rPr>
          <w:noProof/>
        </w:rPr>
        <w:t>3</w:t>
      </w:r>
      <w:r w:rsidR="00492296" w:rsidRPr="002F16A1">
        <w:rPr>
          <w:noProof/>
        </w:rPr>
        <w:t xml:space="preserve">0; </w:t>
      </w:r>
    </w:p>
    <w:p w:rsidR="00AD62E2" w:rsidRPr="002F16A1" w:rsidRDefault="0028384B" w:rsidP="0028384B">
      <w:pPr>
        <w:pStyle w:val="Point1"/>
        <w:rPr>
          <w:noProof/>
        </w:rPr>
      </w:pPr>
      <w:r>
        <w:rPr>
          <w:noProof/>
        </w:rPr>
        <w:t>b)</w:t>
      </w:r>
      <w:r>
        <w:rPr>
          <w:noProof/>
        </w:rPr>
        <w:tab/>
      </w:r>
      <w:r w:rsidR="00AD62E2" w:rsidRPr="002F16A1">
        <w:rPr>
          <w:noProof/>
        </w:rPr>
        <w:t>państwa członkowskie, oprócz wymogów dotyczących ekoprojektu określonych na podstawie rozporządzenia (UE) 2023/xxx [</w:t>
      </w:r>
      <w:r w:rsidR="00AD62E2" w:rsidRPr="002F16A1">
        <w:rPr>
          <w:i/>
          <w:iCs/>
          <w:noProof/>
        </w:rPr>
        <w:t>Urząd Publikacji:</w:t>
      </w:r>
      <w:r w:rsidR="00AD62E2" w:rsidRPr="002F16A1">
        <w:rPr>
          <w:noProof/>
        </w:rPr>
        <w:t xml:space="preserve"> </w:t>
      </w:r>
      <w:r w:rsidR="00AD62E2" w:rsidRPr="002F16A1">
        <w:rPr>
          <w:i/>
          <w:iCs/>
          <w:noProof/>
        </w:rPr>
        <w:t>proszę wstawić odniesienie do rozporządzenia</w:t>
      </w:r>
      <w:r w:rsidRPr="002F16A1">
        <w:rPr>
          <w:i/>
          <w:iCs/>
          <w:noProof/>
        </w:rPr>
        <w:t xml:space="preserve"> w</w:t>
      </w:r>
      <w:r>
        <w:rPr>
          <w:i/>
          <w:iCs/>
          <w:noProof/>
        </w:rPr>
        <w:t> </w:t>
      </w:r>
      <w:r w:rsidRPr="002F16A1">
        <w:rPr>
          <w:i/>
          <w:iCs/>
          <w:noProof/>
        </w:rPr>
        <w:t>spr</w:t>
      </w:r>
      <w:r w:rsidR="00AD62E2" w:rsidRPr="002F16A1">
        <w:rPr>
          <w:i/>
          <w:iCs/>
          <w:noProof/>
        </w:rPr>
        <w:t>awie ekoprojektu dla zrównoważonych produktów</w:t>
      </w:r>
      <w:r w:rsidR="00AD62E2" w:rsidRPr="002F16A1">
        <w:rPr>
          <w:noProof/>
        </w:rPr>
        <w:t>], biorą pod uwagę wymogi określone</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2</w:t>
      </w:r>
      <w:r w:rsidR="00AD62E2" w:rsidRPr="002F16A1">
        <w:rPr>
          <w:noProof/>
        </w:rPr>
        <w:t>7, 28</w:t>
      </w:r>
      <w:r w:rsidRPr="002F16A1">
        <w:rPr>
          <w:noProof/>
        </w:rPr>
        <w:t xml:space="preserve"> i</w:t>
      </w:r>
      <w:r>
        <w:rPr>
          <w:noProof/>
        </w:rPr>
        <w:t> </w:t>
      </w:r>
      <w:r w:rsidRPr="002F16A1">
        <w:rPr>
          <w:noProof/>
        </w:rPr>
        <w:t>3</w:t>
      </w:r>
      <w:r w:rsidR="00AD62E2" w:rsidRPr="002F16A1">
        <w:rPr>
          <w:noProof/>
        </w:rPr>
        <w:t>0</w:t>
      </w:r>
      <w:r w:rsidRPr="002F16A1">
        <w:rPr>
          <w:noProof/>
        </w:rPr>
        <w:t xml:space="preserve"> w</w:t>
      </w:r>
      <w:r>
        <w:rPr>
          <w:noProof/>
        </w:rPr>
        <w:t> </w:t>
      </w:r>
      <w:r w:rsidRPr="002F16A1">
        <w:rPr>
          <w:noProof/>
        </w:rPr>
        <w:t>kon</w:t>
      </w:r>
      <w:r w:rsidR="00AD62E2" w:rsidRPr="002F16A1">
        <w:rPr>
          <w:noProof/>
        </w:rPr>
        <w:t>tekście planu działania,</w:t>
      </w:r>
      <w:r w:rsidRPr="002F16A1">
        <w:rPr>
          <w:noProof/>
        </w:rPr>
        <w:t xml:space="preserve"> o</w:t>
      </w:r>
      <w:r>
        <w:rPr>
          <w:noProof/>
        </w:rPr>
        <w:t> </w:t>
      </w:r>
      <w:r w:rsidRPr="002F16A1">
        <w:rPr>
          <w:noProof/>
        </w:rPr>
        <w:t>któ</w:t>
      </w:r>
      <w:r w:rsidR="00AD62E2" w:rsidRPr="002F16A1">
        <w:rPr>
          <w:noProof/>
        </w:rPr>
        <w:t>rym mowa</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5</w:t>
      </w:r>
      <w:r w:rsidR="00AD62E2" w:rsidRPr="002F16A1">
        <w:rPr>
          <w:noProof/>
        </w:rPr>
        <w:t xml:space="preserve">9 </w:t>
      </w:r>
      <w:r w:rsidR="00AD62E2" w:rsidRPr="0028384B">
        <w:rPr>
          <w:noProof/>
        </w:rPr>
        <w:t>ust.</w:t>
      </w:r>
      <w:r w:rsidRPr="0028384B">
        <w:rPr>
          <w:noProof/>
        </w:rPr>
        <w:t> </w:t>
      </w:r>
      <w:r w:rsidR="00AD62E2" w:rsidRPr="0028384B">
        <w:rPr>
          <w:noProof/>
        </w:rPr>
        <w:t>1</w:t>
      </w:r>
      <w:r w:rsidR="00AD62E2" w:rsidRPr="002F16A1">
        <w:rPr>
          <w:noProof/>
        </w:rPr>
        <w:t xml:space="preserve"> tego rozporządzenia;</w:t>
      </w:r>
    </w:p>
    <w:p w:rsidR="00AD62E2" w:rsidRPr="002F16A1" w:rsidRDefault="0028384B" w:rsidP="0028384B">
      <w:pPr>
        <w:pStyle w:val="Point1"/>
        <w:rPr>
          <w:noProof/>
        </w:rPr>
      </w:pPr>
      <w:r>
        <w:rPr>
          <w:noProof/>
        </w:rPr>
        <w:t>c)</w:t>
      </w:r>
      <w:r>
        <w:rPr>
          <w:noProof/>
        </w:rPr>
        <w:tab/>
      </w:r>
      <w:r w:rsidR="00AD62E2" w:rsidRPr="0028384B">
        <w:rPr>
          <w:noProof/>
        </w:rPr>
        <w:t>art.</w:t>
      </w:r>
      <w:r w:rsidRPr="0028384B">
        <w:rPr>
          <w:noProof/>
        </w:rPr>
        <w:t> </w:t>
      </w:r>
      <w:r w:rsidR="00AD62E2" w:rsidRPr="0028384B">
        <w:rPr>
          <w:noProof/>
        </w:rPr>
        <w:t>6</w:t>
      </w:r>
      <w:r w:rsidR="00AD62E2" w:rsidRPr="002F16A1">
        <w:rPr>
          <w:noProof/>
        </w:rPr>
        <w:t>0</w:t>
      </w:r>
      <w:r w:rsidRPr="002F16A1">
        <w:rPr>
          <w:noProof/>
        </w:rPr>
        <w:t xml:space="preserve"> i</w:t>
      </w:r>
      <w:r>
        <w:rPr>
          <w:noProof/>
        </w:rPr>
        <w:t> </w:t>
      </w:r>
      <w:r w:rsidRPr="0028384B">
        <w:rPr>
          <w:noProof/>
        </w:rPr>
        <w:t>art</w:t>
      </w:r>
      <w:r w:rsidR="00AD62E2" w:rsidRPr="0028384B">
        <w:rPr>
          <w:noProof/>
        </w:rPr>
        <w:t>.</w:t>
      </w:r>
      <w:r w:rsidRPr="0028384B">
        <w:rPr>
          <w:noProof/>
        </w:rPr>
        <w:t> </w:t>
      </w:r>
      <w:r w:rsidR="00AD62E2" w:rsidRPr="0028384B">
        <w:rPr>
          <w:noProof/>
        </w:rPr>
        <w:t>6</w:t>
      </w:r>
      <w:r w:rsidR="00AD62E2" w:rsidRPr="002F16A1">
        <w:rPr>
          <w:noProof/>
        </w:rPr>
        <w:t xml:space="preserve">1 </w:t>
      </w:r>
      <w:r w:rsidR="00AD62E2" w:rsidRPr="0028384B">
        <w:rPr>
          <w:noProof/>
        </w:rPr>
        <w:t>ust.</w:t>
      </w:r>
      <w:r w:rsidRPr="0028384B">
        <w:rPr>
          <w:noProof/>
        </w:rPr>
        <w:t> </w:t>
      </w:r>
      <w:r w:rsidR="00AD62E2" w:rsidRPr="0028384B">
        <w:rPr>
          <w:noProof/>
        </w:rPr>
        <w:t>1</w:t>
      </w:r>
      <w:r w:rsidR="00AD62E2" w:rsidRPr="002F16A1">
        <w:rPr>
          <w:noProof/>
        </w:rPr>
        <w:t xml:space="preserve"> rozporządzenia (UE) 2023/xxx [</w:t>
      </w:r>
      <w:r w:rsidR="00AD62E2" w:rsidRPr="002F16A1">
        <w:rPr>
          <w:i/>
          <w:iCs/>
          <w:noProof/>
        </w:rPr>
        <w:t>Urząd Publikacji:</w:t>
      </w:r>
      <w:r w:rsidR="00AD62E2" w:rsidRPr="002F16A1">
        <w:rPr>
          <w:noProof/>
        </w:rPr>
        <w:t xml:space="preserve"> </w:t>
      </w:r>
      <w:r w:rsidR="00AD62E2" w:rsidRPr="002F16A1">
        <w:rPr>
          <w:i/>
          <w:iCs/>
          <w:noProof/>
        </w:rPr>
        <w:t>proszę wstawić odniesienie do rozporządzenia</w:t>
      </w:r>
      <w:r w:rsidRPr="002F16A1">
        <w:rPr>
          <w:i/>
          <w:iCs/>
          <w:noProof/>
        </w:rPr>
        <w:t xml:space="preserve"> w</w:t>
      </w:r>
      <w:r>
        <w:rPr>
          <w:i/>
          <w:iCs/>
          <w:noProof/>
        </w:rPr>
        <w:t> </w:t>
      </w:r>
      <w:r w:rsidRPr="002F16A1">
        <w:rPr>
          <w:i/>
          <w:iCs/>
          <w:noProof/>
        </w:rPr>
        <w:t>spr</w:t>
      </w:r>
      <w:r w:rsidR="00AD62E2" w:rsidRPr="002F16A1">
        <w:rPr>
          <w:i/>
          <w:iCs/>
          <w:noProof/>
        </w:rPr>
        <w:t>awie ekoprojektu dla zrównoważonych produktów</w:t>
      </w:r>
      <w:r w:rsidR="00AD62E2" w:rsidRPr="002F16A1">
        <w:rPr>
          <w:noProof/>
        </w:rPr>
        <w:t>] również mają zastosowanie do wymogów określonych</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2</w:t>
      </w:r>
      <w:r w:rsidR="00AD62E2" w:rsidRPr="002F16A1">
        <w:rPr>
          <w:noProof/>
        </w:rPr>
        <w:t>7, 28</w:t>
      </w:r>
      <w:r w:rsidRPr="002F16A1">
        <w:rPr>
          <w:noProof/>
        </w:rPr>
        <w:t xml:space="preserve"> i</w:t>
      </w:r>
      <w:r>
        <w:rPr>
          <w:noProof/>
        </w:rPr>
        <w:t> </w:t>
      </w:r>
      <w:r w:rsidRPr="002F16A1">
        <w:rPr>
          <w:noProof/>
        </w:rPr>
        <w:t>3</w:t>
      </w:r>
      <w:r w:rsidR="00AD62E2" w:rsidRPr="002F16A1">
        <w:rPr>
          <w:noProof/>
        </w:rPr>
        <w:t>0;</w:t>
      </w:r>
    </w:p>
    <w:p w:rsidR="00AD62E2" w:rsidRPr="002F16A1" w:rsidRDefault="0028384B" w:rsidP="0028384B">
      <w:pPr>
        <w:pStyle w:val="Point1"/>
        <w:rPr>
          <w:noProof/>
        </w:rPr>
      </w:pPr>
      <w:r>
        <w:rPr>
          <w:noProof/>
        </w:rPr>
        <w:t>d)</w:t>
      </w:r>
      <w:r>
        <w:rPr>
          <w:noProof/>
        </w:rPr>
        <w:tab/>
      </w:r>
      <w:r w:rsidR="00AD62E2" w:rsidRPr="002F16A1">
        <w:rPr>
          <w:noProof/>
        </w:rPr>
        <w:t>Komisja, oprócz wymogów dotyczących ekoprojektu określonych na podstawie rozporządzenia (UE) 2023/xxx [</w:t>
      </w:r>
      <w:r w:rsidR="00AD62E2" w:rsidRPr="002F16A1">
        <w:rPr>
          <w:i/>
          <w:iCs/>
          <w:noProof/>
        </w:rPr>
        <w:t>Urząd Publikacji:</w:t>
      </w:r>
      <w:r w:rsidR="00AD62E2" w:rsidRPr="002F16A1">
        <w:rPr>
          <w:noProof/>
        </w:rPr>
        <w:t xml:space="preserve"> </w:t>
      </w:r>
      <w:r w:rsidR="00AD62E2" w:rsidRPr="002F16A1">
        <w:rPr>
          <w:i/>
          <w:iCs/>
          <w:noProof/>
        </w:rPr>
        <w:t>proszę wstawić odniesienie do rozporządzenia</w:t>
      </w:r>
      <w:r w:rsidRPr="002F16A1">
        <w:rPr>
          <w:i/>
          <w:iCs/>
          <w:noProof/>
        </w:rPr>
        <w:t xml:space="preserve"> w</w:t>
      </w:r>
      <w:r>
        <w:rPr>
          <w:i/>
          <w:iCs/>
          <w:noProof/>
        </w:rPr>
        <w:t> </w:t>
      </w:r>
      <w:r w:rsidRPr="002F16A1">
        <w:rPr>
          <w:i/>
          <w:iCs/>
          <w:noProof/>
        </w:rPr>
        <w:t>spr</w:t>
      </w:r>
      <w:r w:rsidR="00AD62E2" w:rsidRPr="002F16A1">
        <w:rPr>
          <w:i/>
          <w:iCs/>
          <w:noProof/>
        </w:rPr>
        <w:t>awie ekoprojektu dla zrównoważonych produktów</w:t>
      </w:r>
      <w:r w:rsidR="00AD62E2" w:rsidRPr="002F16A1">
        <w:rPr>
          <w:noProof/>
        </w:rPr>
        <w:t>]. zawiera</w:t>
      </w:r>
      <w:r w:rsidRPr="002F16A1">
        <w:rPr>
          <w:noProof/>
        </w:rPr>
        <w:t xml:space="preserve"> w</w:t>
      </w:r>
      <w:r>
        <w:rPr>
          <w:noProof/>
        </w:rPr>
        <w:t> </w:t>
      </w:r>
      <w:r w:rsidRPr="002F16A1">
        <w:rPr>
          <w:noProof/>
        </w:rPr>
        <w:t>spr</w:t>
      </w:r>
      <w:r w:rsidR="00AD62E2" w:rsidRPr="002F16A1">
        <w:rPr>
          <w:noProof/>
        </w:rPr>
        <w:t>awozdaniu,</w:t>
      </w:r>
      <w:r w:rsidRPr="002F16A1">
        <w:rPr>
          <w:noProof/>
        </w:rPr>
        <w:t xml:space="preserve"> o</w:t>
      </w:r>
      <w:r>
        <w:rPr>
          <w:noProof/>
        </w:rPr>
        <w:t> </w:t>
      </w:r>
      <w:r w:rsidRPr="002F16A1">
        <w:rPr>
          <w:noProof/>
        </w:rPr>
        <w:t>któ</w:t>
      </w:r>
      <w:r w:rsidR="00AD62E2" w:rsidRPr="002F16A1">
        <w:rPr>
          <w:noProof/>
        </w:rPr>
        <w:t>rym mowa</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6</w:t>
      </w:r>
      <w:r w:rsidR="00AD62E2" w:rsidRPr="002F16A1">
        <w:rPr>
          <w:noProof/>
        </w:rPr>
        <w:t xml:space="preserve">1 </w:t>
      </w:r>
      <w:r w:rsidR="00AD62E2" w:rsidRPr="0028384B">
        <w:rPr>
          <w:noProof/>
        </w:rPr>
        <w:t>ust.</w:t>
      </w:r>
      <w:r w:rsidRPr="0028384B">
        <w:rPr>
          <w:noProof/>
        </w:rPr>
        <w:t> </w:t>
      </w:r>
      <w:r w:rsidR="00AD62E2" w:rsidRPr="0028384B">
        <w:rPr>
          <w:noProof/>
        </w:rPr>
        <w:t>2</w:t>
      </w:r>
      <w:r w:rsidRPr="002F16A1">
        <w:rPr>
          <w:noProof/>
        </w:rPr>
        <w:t xml:space="preserve"> i</w:t>
      </w:r>
      <w:r>
        <w:rPr>
          <w:noProof/>
        </w:rPr>
        <w:t> </w:t>
      </w:r>
      <w:r w:rsidRPr="002F16A1">
        <w:rPr>
          <w:noProof/>
        </w:rPr>
        <w:t>3</w:t>
      </w:r>
      <w:r w:rsidR="00AD62E2" w:rsidRPr="002F16A1">
        <w:rPr>
          <w:noProof/>
        </w:rPr>
        <w:t xml:space="preserve"> tego rozporządzenia, informacje odnoszące się do wymogów określonych</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2</w:t>
      </w:r>
      <w:r w:rsidR="00AD62E2" w:rsidRPr="002F16A1">
        <w:rPr>
          <w:noProof/>
        </w:rPr>
        <w:t>7, 28</w:t>
      </w:r>
      <w:r w:rsidRPr="002F16A1">
        <w:rPr>
          <w:noProof/>
        </w:rPr>
        <w:t xml:space="preserve"> i</w:t>
      </w:r>
      <w:r>
        <w:rPr>
          <w:noProof/>
        </w:rPr>
        <w:t> </w:t>
      </w:r>
      <w:r w:rsidRPr="002F16A1">
        <w:rPr>
          <w:noProof/>
        </w:rPr>
        <w:t>3</w:t>
      </w:r>
      <w:r w:rsidR="00AD62E2" w:rsidRPr="002F16A1">
        <w:rPr>
          <w:noProof/>
        </w:rPr>
        <w:t>0;</w:t>
      </w:r>
    </w:p>
    <w:p w:rsidR="00AD62E2" w:rsidRPr="002F16A1" w:rsidRDefault="0028384B" w:rsidP="0028384B">
      <w:pPr>
        <w:pStyle w:val="Point1"/>
        <w:rPr>
          <w:noProof/>
        </w:rPr>
      </w:pPr>
      <w:r>
        <w:rPr>
          <w:noProof/>
        </w:rPr>
        <w:t>e)</w:t>
      </w:r>
      <w:r>
        <w:rPr>
          <w:noProof/>
        </w:rPr>
        <w:tab/>
      </w:r>
      <w:r w:rsidR="00AD62E2" w:rsidRPr="002F16A1">
        <w:rPr>
          <w:noProof/>
        </w:rPr>
        <w:t xml:space="preserve">stosując </w:t>
      </w:r>
      <w:r w:rsidR="00AD62E2" w:rsidRPr="0028384B">
        <w:rPr>
          <w:noProof/>
        </w:rPr>
        <w:t>art.</w:t>
      </w:r>
      <w:r w:rsidRPr="0028384B">
        <w:rPr>
          <w:noProof/>
        </w:rPr>
        <w:t> </w:t>
      </w:r>
      <w:r w:rsidR="00AD62E2" w:rsidRPr="0028384B">
        <w:rPr>
          <w:noProof/>
        </w:rPr>
        <w:t>6</w:t>
      </w:r>
      <w:r w:rsidR="00AD62E2" w:rsidRPr="002F16A1">
        <w:rPr>
          <w:noProof/>
        </w:rPr>
        <w:t>2 rozporządzenia (UE) 2023/xxx [</w:t>
      </w:r>
      <w:r w:rsidR="00AD62E2" w:rsidRPr="002F16A1">
        <w:rPr>
          <w:i/>
          <w:iCs/>
          <w:noProof/>
        </w:rPr>
        <w:t>Urząd Publikacji:</w:t>
      </w:r>
      <w:r w:rsidR="00AD62E2" w:rsidRPr="002F16A1">
        <w:rPr>
          <w:noProof/>
        </w:rPr>
        <w:t xml:space="preserve"> </w:t>
      </w:r>
      <w:r w:rsidR="00AD62E2" w:rsidRPr="002F16A1">
        <w:rPr>
          <w:i/>
          <w:iCs/>
          <w:noProof/>
        </w:rPr>
        <w:t>proszę wstawić odniesienie do rozporządzenia</w:t>
      </w:r>
      <w:r w:rsidRPr="002F16A1">
        <w:rPr>
          <w:i/>
          <w:iCs/>
          <w:noProof/>
        </w:rPr>
        <w:t xml:space="preserve"> w</w:t>
      </w:r>
      <w:r>
        <w:rPr>
          <w:i/>
          <w:iCs/>
          <w:noProof/>
        </w:rPr>
        <w:t> </w:t>
      </w:r>
      <w:r w:rsidRPr="002F16A1">
        <w:rPr>
          <w:i/>
          <w:iCs/>
          <w:noProof/>
        </w:rPr>
        <w:t>spr</w:t>
      </w:r>
      <w:r w:rsidR="00AD62E2" w:rsidRPr="002F16A1">
        <w:rPr>
          <w:i/>
          <w:iCs/>
          <w:noProof/>
        </w:rPr>
        <w:t>awie ekoprojektu dla zrównoważonych produktów</w:t>
      </w:r>
      <w:r w:rsidR="00AD62E2" w:rsidRPr="002F16A1">
        <w:rPr>
          <w:noProof/>
        </w:rPr>
        <w:t>], grupa współpracy administracyjnej („ADCO”),</w:t>
      </w:r>
      <w:r w:rsidRPr="002F16A1">
        <w:rPr>
          <w:noProof/>
        </w:rPr>
        <w:t xml:space="preserve"> o</w:t>
      </w:r>
      <w:r>
        <w:rPr>
          <w:noProof/>
        </w:rPr>
        <w:t> </w:t>
      </w:r>
      <w:r w:rsidRPr="002F16A1">
        <w:rPr>
          <w:noProof/>
        </w:rPr>
        <w:t>któ</w:t>
      </w:r>
      <w:r w:rsidR="00AD62E2" w:rsidRPr="002F16A1">
        <w:rPr>
          <w:noProof/>
        </w:rPr>
        <w:t>rej mowa</w:t>
      </w:r>
      <w:r w:rsidRPr="002F16A1">
        <w:rPr>
          <w:noProof/>
        </w:rPr>
        <w:t xml:space="preserve"> w</w:t>
      </w:r>
      <w:r>
        <w:rPr>
          <w:noProof/>
        </w:rPr>
        <w:t> </w:t>
      </w:r>
      <w:r w:rsidRPr="002F16A1">
        <w:rPr>
          <w:noProof/>
        </w:rPr>
        <w:t>tym</w:t>
      </w:r>
      <w:r w:rsidR="00AD62E2" w:rsidRPr="002F16A1">
        <w:rPr>
          <w:noProof/>
        </w:rPr>
        <w:t xml:space="preserve"> artykule, oraz Komisja uwzględniają również wymogi określone</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2</w:t>
      </w:r>
      <w:r w:rsidR="00AD62E2" w:rsidRPr="002F16A1">
        <w:rPr>
          <w:noProof/>
        </w:rPr>
        <w:t>7, 28</w:t>
      </w:r>
      <w:r w:rsidRPr="002F16A1">
        <w:rPr>
          <w:noProof/>
        </w:rPr>
        <w:t xml:space="preserve"> i</w:t>
      </w:r>
      <w:r>
        <w:rPr>
          <w:noProof/>
        </w:rPr>
        <w:t> </w:t>
      </w:r>
      <w:r w:rsidRPr="002F16A1">
        <w:rPr>
          <w:noProof/>
        </w:rPr>
        <w:t>3</w:t>
      </w:r>
      <w:r w:rsidR="00AD62E2" w:rsidRPr="002F16A1">
        <w:rPr>
          <w:noProof/>
        </w:rPr>
        <w:t>0.</w:t>
      </w:r>
    </w:p>
    <w:p w:rsidR="00492296" w:rsidRPr="002F16A1" w:rsidRDefault="00733965" w:rsidP="00733965">
      <w:pPr>
        <w:pStyle w:val="ManualNumPar1"/>
        <w:rPr>
          <w:noProof/>
        </w:rPr>
      </w:pPr>
      <w:r w:rsidRPr="00733965">
        <w:t>5.</w:t>
      </w:r>
      <w:r w:rsidRPr="00733965">
        <w:tab/>
      </w:r>
      <w:r w:rsidR="00492296" w:rsidRPr="002F16A1">
        <w:rPr>
          <w:noProof/>
        </w:rPr>
        <w:t xml:space="preserve">Do celów </w:t>
      </w:r>
      <w:r w:rsidR="00492296" w:rsidRPr="0028384B">
        <w:rPr>
          <w:noProof/>
        </w:rPr>
        <w:t>ust.</w:t>
      </w:r>
      <w:r w:rsidR="0028384B" w:rsidRPr="0028384B">
        <w:rPr>
          <w:noProof/>
        </w:rPr>
        <w:t> </w:t>
      </w:r>
      <w:r w:rsidR="00492296" w:rsidRPr="0028384B">
        <w:rPr>
          <w:noProof/>
        </w:rPr>
        <w:t>3</w:t>
      </w:r>
      <w:r w:rsidR="0028384B" w:rsidRPr="002F16A1">
        <w:rPr>
          <w:noProof/>
        </w:rPr>
        <w:t xml:space="preserve"> i</w:t>
      </w:r>
      <w:r w:rsidR="0028384B">
        <w:rPr>
          <w:noProof/>
        </w:rPr>
        <w:t> </w:t>
      </w:r>
      <w:r w:rsidR="0028384B" w:rsidRPr="002F16A1">
        <w:rPr>
          <w:noProof/>
        </w:rPr>
        <w:t>4</w:t>
      </w:r>
      <w:r w:rsidR="00492296" w:rsidRPr="002F16A1">
        <w:rPr>
          <w:noProof/>
        </w:rPr>
        <w:t xml:space="preserve"> odpowiednie części rozporządzenia (UE) 2023/xxx [Urząd Publikacji: proszę wstawić odniesienie do rozporządzenia</w:t>
      </w:r>
      <w:r w:rsidR="0028384B" w:rsidRPr="002F16A1">
        <w:rPr>
          <w:noProof/>
        </w:rPr>
        <w:t xml:space="preserve"> w</w:t>
      </w:r>
      <w:r w:rsidR="0028384B">
        <w:rPr>
          <w:noProof/>
        </w:rPr>
        <w:t> </w:t>
      </w:r>
      <w:r w:rsidR="0028384B" w:rsidRPr="002F16A1">
        <w:rPr>
          <w:noProof/>
        </w:rPr>
        <w:t>spr</w:t>
      </w:r>
      <w:r w:rsidR="00492296" w:rsidRPr="002F16A1">
        <w:rPr>
          <w:noProof/>
        </w:rPr>
        <w:t>awie ekoprojektu dla zrównoważonych produktów] stosuje się</w:t>
      </w:r>
      <w:r w:rsidR="0028384B" w:rsidRPr="002F16A1">
        <w:rPr>
          <w:noProof/>
        </w:rPr>
        <w:t xml:space="preserve"> w</w:t>
      </w:r>
      <w:r w:rsidR="0028384B">
        <w:rPr>
          <w:noProof/>
        </w:rPr>
        <w:t> </w:t>
      </w:r>
      <w:r w:rsidR="0028384B" w:rsidRPr="002F16A1">
        <w:rPr>
          <w:noProof/>
        </w:rPr>
        <w:t>nas</w:t>
      </w:r>
      <w:r w:rsidR="00492296" w:rsidRPr="002F16A1">
        <w:rPr>
          <w:noProof/>
        </w:rPr>
        <w:t>tępujący sposób:</w:t>
      </w:r>
    </w:p>
    <w:p w:rsidR="00492296" w:rsidRPr="002F16A1" w:rsidRDefault="0028384B" w:rsidP="0028384B">
      <w:pPr>
        <w:pStyle w:val="Point1"/>
        <w:rPr>
          <w:noProof/>
        </w:rPr>
      </w:pPr>
      <w:r>
        <w:rPr>
          <w:noProof/>
        </w:rPr>
        <w:t>a)</w:t>
      </w:r>
      <w:r>
        <w:rPr>
          <w:noProof/>
        </w:rPr>
        <w:tab/>
      </w:r>
      <w:r w:rsidR="00492296" w:rsidRPr="002F16A1">
        <w:rPr>
          <w:noProof/>
        </w:rPr>
        <w:t>odniesienia do „wymogów dotyczących ekoprojektu określonych</w:t>
      </w:r>
      <w:r w:rsidRPr="002F16A1">
        <w:rPr>
          <w:noProof/>
        </w:rPr>
        <w:t xml:space="preserve"> w</w:t>
      </w:r>
      <w:r>
        <w:rPr>
          <w:noProof/>
        </w:rPr>
        <w:t> </w:t>
      </w:r>
      <w:r w:rsidRPr="002F16A1">
        <w:rPr>
          <w:noProof/>
        </w:rPr>
        <w:t>odp</w:t>
      </w:r>
      <w:r w:rsidR="00492296" w:rsidRPr="002F16A1">
        <w:rPr>
          <w:noProof/>
        </w:rPr>
        <w:t>owiednich aktach delegowanych przyjętych zgodnie</w:t>
      </w:r>
      <w:r w:rsidRPr="002F16A1">
        <w:rPr>
          <w:noProof/>
        </w:rPr>
        <w:t xml:space="preserve"> z</w:t>
      </w:r>
      <w:r>
        <w:rPr>
          <w:noProof/>
        </w:rPr>
        <w:t> </w:t>
      </w:r>
      <w:r w:rsidRPr="0028384B">
        <w:rPr>
          <w:noProof/>
        </w:rPr>
        <w:t>art</w:t>
      </w:r>
      <w:r w:rsidR="00492296" w:rsidRPr="0028384B">
        <w:rPr>
          <w:noProof/>
        </w:rPr>
        <w:t>.</w:t>
      </w:r>
      <w:r w:rsidRPr="0028384B">
        <w:rPr>
          <w:noProof/>
        </w:rPr>
        <w:t> </w:t>
      </w:r>
      <w:r w:rsidR="00492296" w:rsidRPr="0028384B">
        <w:rPr>
          <w:noProof/>
        </w:rPr>
        <w:t>4</w:t>
      </w:r>
      <w:r w:rsidR="00492296" w:rsidRPr="002F16A1">
        <w:rPr>
          <w:noProof/>
        </w:rPr>
        <w:t>”</w:t>
      </w:r>
      <w:r w:rsidRPr="002F16A1">
        <w:rPr>
          <w:noProof/>
        </w:rPr>
        <w:t xml:space="preserve"> w</w:t>
      </w:r>
      <w:r>
        <w:rPr>
          <w:noProof/>
        </w:rPr>
        <w:t> </w:t>
      </w:r>
      <w:r w:rsidRPr="0028384B">
        <w:rPr>
          <w:noProof/>
        </w:rPr>
        <w:t>art</w:t>
      </w:r>
      <w:r w:rsidR="00492296" w:rsidRPr="0028384B">
        <w:rPr>
          <w:noProof/>
        </w:rPr>
        <w:t>.</w:t>
      </w:r>
      <w:r w:rsidRPr="0028384B">
        <w:rPr>
          <w:noProof/>
        </w:rPr>
        <w:t> </w:t>
      </w:r>
      <w:r w:rsidR="00492296" w:rsidRPr="0028384B">
        <w:rPr>
          <w:noProof/>
        </w:rPr>
        <w:t>3</w:t>
      </w:r>
      <w:r w:rsidR="00492296" w:rsidRPr="002F16A1">
        <w:rPr>
          <w:noProof/>
        </w:rPr>
        <w:t xml:space="preserve">7 </w:t>
      </w:r>
      <w:r w:rsidR="00492296" w:rsidRPr="0028384B">
        <w:rPr>
          <w:noProof/>
        </w:rPr>
        <w:t>ust.</w:t>
      </w:r>
      <w:r w:rsidRPr="0028384B">
        <w:rPr>
          <w:noProof/>
        </w:rPr>
        <w:t> </w:t>
      </w:r>
      <w:r w:rsidR="00492296" w:rsidRPr="0028384B">
        <w:rPr>
          <w:noProof/>
        </w:rPr>
        <w:t>1</w:t>
      </w:r>
      <w:r w:rsidR="00492296" w:rsidRPr="002F16A1">
        <w:rPr>
          <w:noProof/>
        </w:rPr>
        <w:t>, „wymogi określone</w:t>
      </w:r>
      <w:r w:rsidRPr="002F16A1">
        <w:rPr>
          <w:noProof/>
        </w:rPr>
        <w:t xml:space="preserve"> w</w:t>
      </w:r>
      <w:r>
        <w:rPr>
          <w:noProof/>
        </w:rPr>
        <w:t> </w:t>
      </w:r>
      <w:r w:rsidRPr="002F16A1">
        <w:rPr>
          <w:noProof/>
        </w:rPr>
        <w:t>odp</w:t>
      </w:r>
      <w:r w:rsidR="00492296" w:rsidRPr="002F16A1">
        <w:rPr>
          <w:noProof/>
        </w:rPr>
        <w:t>owiednich aktach delegowanych przyjętych zgodnie</w:t>
      </w:r>
      <w:r w:rsidRPr="002F16A1">
        <w:rPr>
          <w:noProof/>
        </w:rPr>
        <w:t xml:space="preserve"> z</w:t>
      </w:r>
      <w:r>
        <w:rPr>
          <w:noProof/>
        </w:rPr>
        <w:t> </w:t>
      </w:r>
      <w:r w:rsidRPr="0028384B">
        <w:rPr>
          <w:noProof/>
        </w:rPr>
        <w:t>art</w:t>
      </w:r>
      <w:r w:rsidR="00492296" w:rsidRPr="0028384B">
        <w:rPr>
          <w:noProof/>
        </w:rPr>
        <w:t>.</w:t>
      </w:r>
      <w:r w:rsidRPr="0028384B">
        <w:rPr>
          <w:noProof/>
        </w:rPr>
        <w:t> </w:t>
      </w:r>
      <w:r w:rsidR="00492296" w:rsidRPr="0028384B">
        <w:rPr>
          <w:noProof/>
        </w:rPr>
        <w:t>4</w:t>
      </w:r>
      <w:r w:rsidR="00492296" w:rsidRPr="002F16A1">
        <w:rPr>
          <w:noProof/>
        </w:rPr>
        <w:t>”</w:t>
      </w:r>
      <w:r w:rsidRPr="002F16A1">
        <w:rPr>
          <w:noProof/>
        </w:rPr>
        <w:t xml:space="preserve"> w</w:t>
      </w:r>
      <w:r>
        <w:rPr>
          <w:noProof/>
        </w:rPr>
        <w:t> </w:t>
      </w:r>
      <w:r w:rsidRPr="0028384B">
        <w:rPr>
          <w:noProof/>
        </w:rPr>
        <w:t>art</w:t>
      </w:r>
      <w:r w:rsidR="00492296" w:rsidRPr="0028384B">
        <w:rPr>
          <w:noProof/>
        </w:rPr>
        <w:t>.</w:t>
      </w:r>
      <w:r w:rsidRPr="0028384B">
        <w:rPr>
          <w:noProof/>
        </w:rPr>
        <w:t> </w:t>
      </w:r>
      <w:r w:rsidR="00492296" w:rsidRPr="0028384B">
        <w:rPr>
          <w:noProof/>
        </w:rPr>
        <w:t>6</w:t>
      </w:r>
      <w:r w:rsidR="00492296" w:rsidRPr="002F16A1">
        <w:rPr>
          <w:noProof/>
        </w:rPr>
        <w:t xml:space="preserve">3 </w:t>
      </w:r>
      <w:r w:rsidR="00492296" w:rsidRPr="0028384B">
        <w:rPr>
          <w:noProof/>
        </w:rPr>
        <w:t>ust.</w:t>
      </w:r>
      <w:r w:rsidRPr="0028384B">
        <w:rPr>
          <w:noProof/>
        </w:rPr>
        <w:t> </w:t>
      </w:r>
      <w:r w:rsidR="00492296" w:rsidRPr="0028384B">
        <w:rPr>
          <w:noProof/>
        </w:rPr>
        <w:t>1</w:t>
      </w:r>
      <w:r w:rsidR="00492296" w:rsidRPr="002F16A1">
        <w:rPr>
          <w:noProof/>
        </w:rPr>
        <w:t xml:space="preserve"> oraz „wymogi określone</w:t>
      </w:r>
      <w:r w:rsidRPr="002F16A1">
        <w:rPr>
          <w:noProof/>
        </w:rPr>
        <w:t xml:space="preserve"> w</w:t>
      </w:r>
      <w:r>
        <w:rPr>
          <w:noProof/>
        </w:rPr>
        <w:t> </w:t>
      </w:r>
      <w:r w:rsidRPr="002F16A1">
        <w:rPr>
          <w:noProof/>
        </w:rPr>
        <w:t>odp</w:t>
      </w:r>
      <w:r w:rsidR="00492296" w:rsidRPr="002F16A1">
        <w:rPr>
          <w:noProof/>
        </w:rPr>
        <w:t>owiednim akcie delegowanym przyjętym zgodnie</w:t>
      </w:r>
      <w:r w:rsidRPr="002F16A1">
        <w:rPr>
          <w:noProof/>
        </w:rPr>
        <w:t xml:space="preserve"> z</w:t>
      </w:r>
      <w:r>
        <w:rPr>
          <w:noProof/>
        </w:rPr>
        <w:t> </w:t>
      </w:r>
      <w:r w:rsidRPr="0028384B">
        <w:rPr>
          <w:noProof/>
        </w:rPr>
        <w:t>art</w:t>
      </w:r>
      <w:r w:rsidR="00492296" w:rsidRPr="0028384B">
        <w:rPr>
          <w:noProof/>
        </w:rPr>
        <w:t>.</w:t>
      </w:r>
      <w:r w:rsidRPr="0028384B">
        <w:rPr>
          <w:noProof/>
        </w:rPr>
        <w:t> </w:t>
      </w:r>
      <w:r w:rsidR="00492296" w:rsidRPr="0028384B">
        <w:rPr>
          <w:noProof/>
        </w:rPr>
        <w:t>4</w:t>
      </w:r>
      <w:r w:rsidR="00492296" w:rsidRPr="002F16A1">
        <w:rPr>
          <w:noProof/>
        </w:rPr>
        <w:t>”</w:t>
      </w:r>
      <w:r w:rsidRPr="002F16A1">
        <w:rPr>
          <w:noProof/>
        </w:rPr>
        <w:t xml:space="preserve"> w</w:t>
      </w:r>
      <w:r>
        <w:rPr>
          <w:noProof/>
        </w:rPr>
        <w:t> </w:t>
      </w:r>
      <w:r w:rsidRPr="0028384B">
        <w:rPr>
          <w:noProof/>
        </w:rPr>
        <w:t>art</w:t>
      </w:r>
      <w:r w:rsidR="00492296" w:rsidRPr="0028384B">
        <w:rPr>
          <w:noProof/>
        </w:rPr>
        <w:t>.</w:t>
      </w:r>
      <w:r w:rsidRPr="0028384B">
        <w:rPr>
          <w:noProof/>
        </w:rPr>
        <w:t> </w:t>
      </w:r>
      <w:r w:rsidR="00492296" w:rsidRPr="0028384B">
        <w:rPr>
          <w:noProof/>
        </w:rPr>
        <w:t>6</w:t>
      </w:r>
      <w:r w:rsidR="00492296" w:rsidRPr="002F16A1">
        <w:rPr>
          <w:noProof/>
        </w:rPr>
        <w:t xml:space="preserve">3 </w:t>
      </w:r>
      <w:r w:rsidR="00492296" w:rsidRPr="0028384B">
        <w:rPr>
          <w:noProof/>
        </w:rPr>
        <w:t>ust.</w:t>
      </w:r>
      <w:r w:rsidRPr="0028384B">
        <w:rPr>
          <w:noProof/>
        </w:rPr>
        <w:t> </w:t>
      </w:r>
      <w:r w:rsidR="00492296" w:rsidRPr="0028384B">
        <w:rPr>
          <w:noProof/>
        </w:rPr>
        <w:t>5</w:t>
      </w:r>
      <w:r w:rsidR="00492296" w:rsidRPr="002F16A1">
        <w:rPr>
          <w:noProof/>
        </w:rPr>
        <w:t xml:space="preserve"> rozporządzenia (UE) 2023/xxx [</w:t>
      </w:r>
      <w:r w:rsidR="00492296" w:rsidRPr="002F16A1">
        <w:rPr>
          <w:i/>
          <w:iCs/>
          <w:noProof/>
        </w:rPr>
        <w:t>Urząd Publikacji:</w:t>
      </w:r>
      <w:r w:rsidR="00492296" w:rsidRPr="002F16A1">
        <w:rPr>
          <w:noProof/>
        </w:rPr>
        <w:t xml:space="preserve"> </w:t>
      </w:r>
      <w:r w:rsidR="00492296" w:rsidRPr="002F16A1">
        <w:rPr>
          <w:i/>
          <w:iCs/>
          <w:noProof/>
        </w:rPr>
        <w:t>proszę wstawić odniesienie do rozporządzenia</w:t>
      </w:r>
      <w:r w:rsidRPr="002F16A1">
        <w:rPr>
          <w:i/>
          <w:iCs/>
          <w:noProof/>
        </w:rPr>
        <w:t xml:space="preserve"> w</w:t>
      </w:r>
      <w:r>
        <w:rPr>
          <w:i/>
          <w:iCs/>
          <w:noProof/>
        </w:rPr>
        <w:t> </w:t>
      </w:r>
      <w:r w:rsidRPr="002F16A1">
        <w:rPr>
          <w:i/>
          <w:iCs/>
          <w:noProof/>
        </w:rPr>
        <w:t>spr</w:t>
      </w:r>
      <w:r w:rsidR="00492296" w:rsidRPr="002F16A1">
        <w:rPr>
          <w:i/>
          <w:iCs/>
          <w:noProof/>
        </w:rPr>
        <w:t>awie ekoprojektu dla zrównoważonych produktów</w:t>
      </w:r>
      <w:r w:rsidR="00492296" w:rsidRPr="002F16A1">
        <w:rPr>
          <w:noProof/>
        </w:rPr>
        <w:t>] odczytuje się jako odniesienia do „wymogów określonych</w:t>
      </w:r>
      <w:r w:rsidRPr="002F16A1">
        <w:rPr>
          <w:noProof/>
        </w:rPr>
        <w:t xml:space="preserve"> w</w:t>
      </w:r>
      <w:r>
        <w:rPr>
          <w:noProof/>
        </w:rPr>
        <w:t> </w:t>
      </w:r>
      <w:r w:rsidRPr="0028384B">
        <w:rPr>
          <w:noProof/>
        </w:rPr>
        <w:t>art</w:t>
      </w:r>
      <w:r w:rsidR="00492296" w:rsidRPr="0028384B">
        <w:rPr>
          <w:noProof/>
        </w:rPr>
        <w:t>.</w:t>
      </w:r>
      <w:r w:rsidRPr="0028384B">
        <w:rPr>
          <w:noProof/>
        </w:rPr>
        <w:t> </w:t>
      </w:r>
      <w:r w:rsidR="00492296" w:rsidRPr="0028384B">
        <w:rPr>
          <w:noProof/>
        </w:rPr>
        <w:t>2</w:t>
      </w:r>
      <w:r w:rsidR="00492296" w:rsidRPr="002F16A1">
        <w:rPr>
          <w:noProof/>
        </w:rPr>
        <w:t>7</w:t>
      </w:r>
      <w:r w:rsidRPr="002F16A1">
        <w:rPr>
          <w:noProof/>
        </w:rPr>
        <w:t xml:space="preserve"> i</w:t>
      </w:r>
      <w:r>
        <w:rPr>
          <w:noProof/>
        </w:rPr>
        <w:t> </w:t>
      </w:r>
      <w:r w:rsidRPr="002F16A1">
        <w:rPr>
          <w:noProof/>
        </w:rPr>
        <w:t>2</w:t>
      </w:r>
      <w:r w:rsidR="00492296" w:rsidRPr="002F16A1">
        <w:rPr>
          <w:noProof/>
        </w:rPr>
        <w:t>8 niniejszego rozporządzenia”;</w:t>
      </w:r>
    </w:p>
    <w:p w:rsidR="00492296" w:rsidRPr="002F16A1" w:rsidRDefault="0028384B" w:rsidP="0028384B">
      <w:pPr>
        <w:pStyle w:val="Point1"/>
        <w:rPr>
          <w:noProof/>
        </w:rPr>
      </w:pPr>
      <w:r>
        <w:rPr>
          <w:noProof/>
        </w:rPr>
        <w:t>b)</w:t>
      </w:r>
      <w:r>
        <w:rPr>
          <w:noProof/>
        </w:rPr>
        <w:tab/>
      </w:r>
      <w:r w:rsidR="00492296" w:rsidRPr="002F16A1">
        <w:rPr>
          <w:noProof/>
        </w:rPr>
        <w:t>odniesienia do „produktu objętego aktem delegowanym przyjętym zgodnie</w:t>
      </w:r>
      <w:r w:rsidRPr="002F16A1">
        <w:rPr>
          <w:noProof/>
        </w:rPr>
        <w:t xml:space="preserve"> z</w:t>
      </w:r>
      <w:r>
        <w:rPr>
          <w:noProof/>
        </w:rPr>
        <w:t> </w:t>
      </w:r>
      <w:r w:rsidRPr="0028384B">
        <w:rPr>
          <w:noProof/>
        </w:rPr>
        <w:t>art</w:t>
      </w:r>
      <w:r w:rsidR="00492296" w:rsidRPr="0028384B">
        <w:rPr>
          <w:noProof/>
        </w:rPr>
        <w:t>.</w:t>
      </w:r>
      <w:r w:rsidRPr="0028384B">
        <w:rPr>
          <w:noProof/>
        </w:rPr>
        <w:t> </w:t>
      </w:r>
      <w:r w:rsidR="00492296" w:rsidRPr="0028384B">
        <w:rPr>
          <w:noProof/>
        </w:rPr>
        <w:t>4</w:t>
      </w:r>
      <w:r w:rsidR="00492296" w:rsidRPr="002F16A1">
        <w:rPr>
          <w:noProof/>
        </w:rPr>
        <w:t>”</w:t>
      </w:r>
      <w:r w:rsidRPr="002F16A1">
        <w:rPr>
          <w:noProof/>
        </w:rPr>
        <w:t xml:space="preserve"> w</w:t>
      </w:r>
      <w:r>
        <w:rPr>
          <w:noProof/>
        </w:rPr>
        <w:t> </w:t>
      </w:r>
      <w:r w:rsidRPr="0028384B">
        <w:rPr>
          <w:noProof/>
        </w:rPr>
        <w:t>art</w:t>
      </w:r>
      <w:r w:rsidR="00492296" w:rsidRPr="0028384B">
        <w:rPr>
          <w:noProof/>
        </w:rPr>
        <w:t>.</w:t>
      </w:r>
      <w:r w:rsidRPr="0028384B">
        <w:rPr>
          <w:noProof/>
        </w:rPr>
        <w:t> </w:t>
      </w:r>
      <w:r w:rsidR="00492296" w:rsidRPr="0028384B">
        <w:rPr>
          <w:noProof/>
        </w:rPr>
        <w:t>3</w:t>
      </w:r>
      <w:r w:rsidR="00492296" w:rsidRPr="002F16A1">
        <w:rPr>
          <w:noProof/>
        </w:rPr>
        <w:t xml:space="preserve">7 </w:t>
      </w:r>
      <w:r w:rsidR="00492296" w:rsidRPr="0028384B">
        <w:rPr>
          <w:noProof/>
        </w:rPr>
        <w:t>ust.</w:t>
      </w:r>
      <w:r w:rsidRPr="0028384B">
        <w:rPr>
          <w:noProof/>
        </w:rPr>
        <w:t> </w:t>
      </w:r>
      <w:r w:rsidR="00492296" w:rsidRPr="0028384B">
        <w:rPr>
          <w:noProof/>
        </w:rPr>
        <w:t>3</w:t>
      </w:r>
      <w:r w:rsidRPr="002F16A1">
        <w:rPr>
          <w:noProof/>
        </w:rPr>
        <w:t xml:space="preserve"> i</w:t>
      </w:r>
      <w:r>
        <w:rPr>
          <w:noProof/>
        </w:rPr>
        <w:t> </w:t>
      </w:r>
      <w:r w:rsidRPr="0028384B">
        <w:rPr>
          <w:noProof/>
        </w:rPr>
        <w:t>art</w:t>
      </w:r>
      <w:r w:rsidR="00492296" w:rsidRPr="0028384B">
        <w:rPr>
          <w:noProof/>
        </w:rPr>
        <w:t>.</w:t>
      </w:r>
      <w:r w:rsidRPr="0028384B">
        <w:rPr>
          <w:noProof/>
        </w:rPr>
        <w:t> </w:t>
      </w:r>
      <w:r w:rsidR="00492296" w:rsidRPr="0028384B">
        <w:rPr>
          <w:noProof/>
        </w:rPr>
        <w:t>6</w:t>
      </w:r>
      <w:r w:rsidR="00492296" w:rsidRPr="002F16A1">
        <w:rPr>
          <w:noProof/>
        </w:rPr>
        <w:t xml:space="preserve">3 </w:t>
      </w:r>
      <w:r w:rsidR="00492296" w:rsidRPr="0028384B">
        <w:rPr>
          <w:noProof/>
        </w:rPr>
        <w:t>ust.</w:t>
      </w:r>
      <w:r w:rsidRPr="0028384B">
        <w:rPr>
          <w:noProof/>
        </w:rPr>
        <w:t> </w:t>
      </w:r>
      <w:r w:rsidR="00492296" w:rsidRPr="0028384B">
        <w:rPr>
          <w:noProof/>
        </w:rPr>
        <w:t>1</w:t>
      </w:r>
      <w:r w:rsidR="00492296" w:rsidRPr="002F16A1">
        <w:rPr>
          <w:noProof/>
        </w:rPr>
        <w:t xml:space="preserve"> rozporządzenia (UE) 2023/xxx [</w:t>
      </w:r>
      <w:r w:rsidR="00492296" w:rsidRPr="002F16A1">
        <w:rPr>
          <w:i/>
          <w:iCs/>
          <w:noProof/>
        </w:rPr>
        <w:t>Urząd Publikacji:</w:t>
      </w:r>
      <w:r w:rsidR="00492296" w:rsidRPr="002F16A1">
        <w:rPr>
          <w:noProof/>
        </w:rPr>
        <w:t xml:space="preserve"> </w:t>
      </w:r>
      <w:r w:rsidR="00492296" w:rsidRPr="002F16A1">
        <w:rPr>
          <w:i/>
          <w:iCs/>
          <w:noProof/>
        </w:rPr>
        <w:t>proszę wstawić odniesienie do rozporządzenia</w:t>
      </w:r>
      <w:r w:rsidRPr="002F16A1">
        <w:rPr>
          <w:i/>
          <w:iCs/>
          <w:noProof/>
        </w:rPr>
        <w:t xml:space="preserve"> w</w:t>
      </w:r>
      <w:r>
        <w:rPr>
          <w:i/>
          <w:iCs/>
          <w:noProof/>
        </w:rPr>
        <w:t> </w:t>
      </w:r>
      <w:r w:rsidRPr="002F16A1">
        <w:rPr>
          <w:i/>
          <w:iCs/>
          <w:noProof/>
        </w:rPr>
        <w:t>spr</w:t>
      </w:r>
      <w:r w:rsidR="00492296" w:rsidRPr="002F16A1">
        <w:rPr>
          <w:i/>
          <w:iCs/>
          <w:noProof/>
        </w:rPr>
        <w:t>awie ekoprojektu dla zrównoważonych produktów</w:t>
      </w:r>
      <w:r w:rsidR="00492296" w:rsidRPr="002F16A1">
        <w:rPr>
          <w:noProof/>
        </w:rPr>
        <w:t>] odczytuje się jako odniesienie do „produktu lub surowców objętych wymogami określonymi</w:t>
      </w:r>
      <w:r w:rsidRPr="002F16A1">
        <w:rPr>
          <w:noProof/>
        </w:rPr>
        <w:t xml:space="preserve"> w</w:t>
      </w:r>
      <w:r>
        <w:rPr>
          <w:noProof/>
        </w:rPr>
        <w:t> </w:t>
      </w:r>
      <w:r w:rsidRPr="0028384B">
        <w:rPr>
          <w:noProof/>
        </w:rPr>
        <w:t>art</w:t>
      </w:r>
      <w:r w:rsidR="00492296" w:rsidRPr="0028384B">
        <w:rPr>
          <w:noProof/>
        </w:rPr>
        <w:t>.</w:t>
      </w:r>
      <w:r w:rsidRPr="0028384B">
        <w:rPr>
          <w:noProof/>
        </w:rPr>
        <w:t> </w:t>
      </w:r>
      <w:r w:rsidR="00492296" w:rsidRPr="0028384B">
        <w:rPr>
          <w:noProof/>
        </w:rPr>
        <w:t>2</w:t>
      </w:r>
      <w:r w:rsidR="00492296" w:rsidRPr="002F16A1">
        <w:rPr>
          <w:noProof/>
        </w:rPr>
        <w:t>7</w:t>
      </w:r>
      <w:r w:rsidRPr="002F16A1">
        <w:rPr>
          <w:noProof/>
        </w:rPr>
        <w:t xml:space="preserve"> i</w:t>
      </w:r>
      <w:r>
        <w:rPr>
          <w:noProof/>
        </w:rPr>
        <w:t> </w:t>
      </w:r>
      <w:r w:rsidRPr="002F16A1">
        <w:rPr>
          <w:noProof/>
        </w:rPr>
        <w:t>2</w:t>
      </w:r>
      <w:r w:rsidR="00492296" w:rsidRPr="002F16A1">
        <w:rPr>
          <w:noProof/>
        </w:rPr>
        <w:t>8 niniejszego rozporządzenia”;</w:t>
      </w:r>
    </w:p>
    <w:p w:rsidR="00492296" w:rsidRPr="002F16A1" w:rsidRDefault="0028384B" w:rsidP="0028384B">
      <w:pPr>
        <w:pStyle w:val="Point1"/>
        <w:rPr>
          <w:noProof/>
        </w:rPr>
      </w:pPr>
      <w:r>
        <w:rPr>
          <w:noProof/>
        </w:rPr>
        <w:t>c)</w:t>
      </w:r>
      <w:r>
        <w:rPr>
          <w:noProof/>
        </w:rPr>
        <w:tab/>
      </w:r>
      <w:r w:rsidR="00492296" w:rsidRPr="002F16A1">
        <w:rPr>
          <w:noProof/>
        </w:rPr>
        <w:t>odniesienia do „zadań związanych</w:t>
      </w:r>
      <w:r w:rsidRPr="002F16A1">
        <w:rPr>
          <w:noProof/>
        </w:rPr>
        <w:t xml:space="preserve"> z</w:t>
      </w:r>
      <w:r>
        <w:rPr>
          <w:noProof/>
        </w:rPr>
        <w:t> </w:t>
      </w:r>
      <w:r w:rsidRPr="002F16A1">
        <w:rPr>
          <w:noProof/>
        </w:rPr>
        <w:t>oce</w:t>
      </w:r>
      <w:r w:rsidR="00492296" w:rsidRPr="002F16A1">
        <w:rPr>
          <w:noProof/>
        </w:rPr>
        <w:t>ną zgodności określonych na podstawie aktów delegowanych przyjętych zgodnie</w:t>
      </w:r>
      <w:r w:rsidRPr="002F16A1">
        <w:rPr>
          <w:noProof/>
        </w:rPr>
        <w:t xml:space="preserve"> z</w:t>
      </w:r>
      <w:r>
        <w:rPr>
          <w:noProof/>
        </w:rPr>
        <w:t> </w:t>
      </w:r>
      <w:r w:rsidRPr="0028384B">
        <w:rPr>
          <w:noProof/>
        </w:rPr>
        <w:t>art</w:t>
      </w:r>
      <w:r w:rsidR="00492296" w:rsidRPr="0028384B">
        <w:rPr>
          <w:noProof/>
        </w:rPr>
        <w:t>.</w:t>
      </w:r>
      <w:r w:rsidRPr="0028384B">
        <w:rPr>
          <w:noProof/>
        </w:rPr>
        <w:t> </w:t>
      </w:r>
      <w:r w:rsidR="00492296" w:rsidRPr="0028384B">
        <w:rPr>
          <w:noProof/>
        </w:rPr>
        <w:t>4</w:t>
      </w:r>
      <w:r w:rsidR="00492296" w:rsidRPr="002F16A1">
        <w:rPr>
          <w:noProof/>
        </w:rPr>
        <w:t>”</w:t>
      </w:r>
      <w:r w:rsidRPr="002F16A1">
        <w:rPr>
          <w:noProof/>
        </w:rPr>
        <w:t xml:space="preserve"> w</w:t>
      </w:r>
      <w:r>
        <w:rPr>
          <w:noProof/>
        </w:rPr>
        <w:t> </w:t>
      </w:r>
      <w:r w:rsidRPr="0028384B">
        <w:rPr>
          <w:noProof/>
        </w:rPr>
        <w:t>art</w:t>
      </w:r>
      <w:r w:rsidR="00492296" w:rsidRPr="0028384B">
        <w:rPr>
          <w:noProof/>
        </w:rPr>
        <w:t>.</w:t>
      </w:r>
      <w:r w:rsidRPr="0028384B">
        <w:rPr>
          <w:noProof/>
        </w:rPr>
        <w:t> </w:t>
      </w:r>
      <w:r w:rsidR="00492296" w:rsidRPr="0028384B">
        <w:rPr>
          <w:noProof/>
        </w:rPr>
        <w:t>4</w:t>
      </w:r>
      <w:r w:rsidR="00492296" w:rsidRPr="002F16A1">
        <w:rPr>
          <w:noProof/>
        </w:rPr>
        <w:t>1 oraz „zadań związanych</w:t>
      </w:r>
      <w:r w:rsidRPr="002F16A1">
        <w:rPr>
          <w:noProof/>
        </w:rPr>
        <w:t xml:space="preserve"> z</w:t>
      </w:r>
      <w:r>
        <w:rPr>
          <w:noProof/>
        </w:rPr>
        <w:t> </w:t>
      </w:r>
      <w:r w:rsidRPr="002F16A1">
        <w:rPr>
          <w:noProof/>
        </w:rPr>
        <w:t>oce</w:t>
      </w:r>
      <w:r w:rsidR="00492296" w:rsidRPr="002F16A1">
        <w:rPr>
          <w:noProof/>
        </w:rPr>
        <w:t>ną zgodności na podstawie odpowiednich aktów delegowanych przyjętych zgodnie</w:t>
      </w:r>
      <w:r w:rsidRPr="002F16A1">
        <w:rPr>
          <w:noProof/>
        </w:rPr>
        <w:t xml:space="preserve"> z</w:t>
      </w:r>
      <w:r>
        <w:rPr>
          <w:noProof/>
        </w:rPr>
        <w:t> </w:t>
      </w:r>
      <w:r w:rsidRPr="0028384B">
        <w:rPr>
          <w:noProof/>
        </w:rPr>
        <w:t>art</w:t>
      </w:r>
      <w:r w:rsidR="00492296" w:rsidRPr="0028384B">
        <w:rPr>
          <w:noProof/>
        </w:rPr>
        <w:t>.</w:t>
      </w:r>
      <w:r w:rsidRPr="0028384B">
        <w:rPr>
          <w:noProof/>
        </w:rPr>
        <w:t> </w:t>
      </w:r>
      <w:r w:rsidR="00492296" w:rsidRPr="0028384B">
        <w:rPr>
          <w:noProof/>
        </w:rPr>
        <w:t>4</w:t>
      </w:r>
      <w:r w:rsidR="00492296" w:rsidRPr="002F16A1">
        <w:rPr>
          <w:noProof/>
        </w:rPr>
        <w:t>”</w:t>
      </w:r>
      <w:r w:rsidRPr="002F16A1">
        <w:rPr>
          <w:noProof/>
        </w:rPr>
        <w:t xml:space="preserve"> w</w:t>
      </w:r>
      <w:r>
        <w:rPr>
          <w:noProof/>
        </w:rPr>
        <w:t> </w:t>
      </w:r>
      <w:r w:rsidRPr="0028384B">
        <w:rPr>
          <w:noProof/>
        </w:rPr>
        <w:t>art</w:t>
      </w:r>
      <w:r w:rsidR="00492296" w:rsidRPr="0028384B">
        <w:rPr>
          <w:noProof/>
        </w:rPr>
        <w:t>.</w:t>
      </w:r>
      <w:r w:rsidRPr="0028384B">
        <w:rPr>
          <w:noProof/>
        </w:rPr>
        <w:t> </w:t>
      </w:r>
      <w:r w:rsidR="00492296" w:rsidRPr="0028384B">
        <w:rPr>
          <w:noProof/>
        </w:rPr>
        <w:t>4</w:t>
      </w:r>
      <w:r w:rsidR="00492296" w:rsidRPr="002F16A1">
        <w:rPr>
          <w:noProof/>
        </w:rPr>
        <w:t xml:space="preserve">5 </w:t>
      </w:r>
      <w:r w:rsidR="00492296" w:rsidRPr="0028384B">
        <w:rPr>
          <w:noProof/>
        </w:rPr>
        <w:t>ust.</w:t>
      </w:r>
      <w:r w:rsidRPr="0028384B">
        <w:rPr>
          <w:noProof/>
        </w:rPr>
        <w:t> </w:t>
      </w:r>
      <w:r w:rsidR="00492296" w:rsidRPr="0028384B">
        <w:rPr>
          <w:noProof/>
        </w:rPr>
        <w:t>1</w:t>
      </w:r>
      <w:r w:rsidR="00492296" w:rsidRPr="002F16A1">
        <w:rPr>
          <w:noProof/>
        </w:rPr>
        <w:t>0 rozporządzenia (UE) 2023/xxx [</w:t>
      </w:r>
      <w:r w:rsidR="00492296" w:rsidRPr="002F16A1">
        <w:rPr>
          <w:i/>
          <w:iCs/>
          <w:noProof/>
        </w:rPr>
        <w:t>Urząd Publikacji:</w:t>
      </w:r>
      <w:r w:rsidR="00492296" w:rsidRPr="002F16A1">
        <w:rPr>
          <w:noProof/>
        </w:rPr>
        <w:t xml:space="preserve"> </w:t>
      </w:r>
      <w:r w:rsidR="00492296" w:rsidRPr="002F16A1">
        <w:rPr>
          <w:i/>
          <w:iCs/>
          <w:noProof/>
        </w:rPr>
        <w:t>proszę wstawić odniesienie do rozporządzenia</w:t>
      </w:r>
      <w:r w:rsidRPr="002F16A1">
        <w:rPr>
          <w:i/>
          <w:iCs/>
          <w:noProof/>
        </w:rPr>
        <w:t xml:space="preserve"> w</w:t>
      </w:r>
      <w:r>
        <w:rPr>
          <w:i/>
          <w:iCs/>
          <w:noProof/>
        </w:rPr>
        <w:t> </w:t>
      </w:r>
      <w:r w:rsidRPr="002F16A1">
        <w:rPr>
          <w:i/>
          <w:iCs/>
          <w:noProof/>
        </w:rPr>
        <w:t>spr</w:t>
      </w:r>
      <w:r w:rsidR="00492296" w:rsidRPr="002F16A1">
        <w:rPr>
          <w:i/>
          <w:iCs/>
          <w:noProof/>
        </w:rPr>
        <w:t>awie ekoprojektu dla zrównoważonych produktów</w:t>
      </w:r>
      <w:r w:rsidR="00492296" w:rsidRPr="002F16A1">
        <w:rPr>
          <w:noProof/>
        </w:rPr>
        <w:t>] odczytuje się jako odniesienie do „zadań związanych</w:t>
      </w:r>
      <w:r w:rsidRPr="002F16A1">
        <w:rPr>
          <w:noProof/>
        </w:rPr>
        <w:t xml:space="preserve"> z</w:t>
      </w:r>
      <w:r>
        <w:rPr>
          <w:noProof/>
        </w:rPr>
        <w:t> </w:t>
      </w:r>
      <w:r w:rsidRPr="002F16A1">
        <w:rPr>
          <w:noProof/>
        </w:rPr>
        <w:t>oce</w:t>
      </w:r>
      <w:r w:rsidR="00492296" w:rsidRPr="002F16A1">
        <w:rPr>
          <w:noProof/>
        </w:rPr>
        <w:t>ną zgodności określonych na podstawie zasad obliczania</w:t>
      </w:r>
      <w:r w:rsidRPr="002F16A1">
        <w:rPr>
          <w:noProof/>
        </w:rPr>
        <w:t xml:space="preserve"> i</w:t>
      </w:r>
      <w:r>
        <w:rPr>
          <w:noProof/>
        </w:rPr>
        <w:t> </w:t>
      </w:r>
      <w:r w:rsidRPr="002F16A1">
        <w:rPr>
          <w:noProof/>
        </w:rPr>
        <w:t>wer</w:t>
      </w:r>
      <w:r w:rsidR="00492296" w:rsidRPr="002F16A1">
        <w:rPr>
          <w:noProof/>
        </w:rPr>
        <w:t>yfikacji przyjętych zgodnie</w:t>
      </w:r>
      <w:r w:rsidRPr="002F16A1">
        <w:rPr>
          <w:noProof/>
        </w:rPr>
        <w:t xml:space="preserve"> z</w:t>
      </w:r>
      <w:r>
        <w:rPr>
          <w:noProof/>
        </w:rPr>
        <w:t> </w:t>
      </w:r>
      <w:r w:rsidRPr="0028384B">
        <w:rPr>
          <w:noProof/>
        </w:rPr>
        <w:t>art</w:t>
      </w:r>
      <w:r w:rsidR="00492296" w:rsidRPr="0028384B">
        <w:rPr>
          <w:noProof/>
        </w:rPr>
        <w:t>.</w:t>
      </w:r>
      <w:r w:rsidRPr="0028384B">
        <w:rPr>
          <w:noProof/>
        </w:rPr>
        <w:t> </w:t>
      </w:r>
      <w:r w:rsidR="00492296" w:rsidRPr="0028384B">
        <w:rPr>
          <w:noProof/>
        </w:rPr>
        <w:t>2</w:t>
      </w:r>
      <w:r w:rsidR="00492296" w:rsidRPr="002F16A1">
        <w:rPr>
          <w:noProof/>
        </w:rPr>
        <w:t xml:space="preserve">8 </w:t>
      </w:r>
      <w:r w:rsidR="00492296" w:rsidRPr="0028384B">
        <w:rPr>
          <w:noProof/>
        </w:rPr>
        <w:t>ust.</w:t>
      </w:r>
      <w:r w:rsidRPr="0028384B">
        <w:rPr>
          <w:noProof/>
        </w:rPr>
        <w:t> </w:t>
      </w:r>
      <w:r w:rsidR="00492296" w:rsidRPr="0028384B">
        <w:rPr>
          <w:noProof/>
        </w:rPr>
        <w:t>2</w:t>
      </w:r>
      <w:r w:rsidR="00492296" w:rsidRPr="002F16A1">
        <w:rPr>
          <w:noProof/>
        </w:rPr>
        <w:t xml:space="preserve"> niniejszego rozporządzenia”;</w:t>
      </w:r>
    </w:p>
    <w:p w:rsidR="00492296" w:rsidRPr="002F16A1" w:rsidRDefault="0028384B" w:rsidP="0028384B">
      <w:pPr>
        <w:pStyle w:val="Point1"/>
        <w:rPr>
          <w:noProof/>
        </w:rPr>
      </w:pPr>
      <w:r>
        <w:rPr>
          <w:noProof/>
        </w:rPr>
        <w:t>d)</w:t>
      </w:r>
      <w:r>
        <w:rPr>
          <w:noProof/>
        </w:rPr>
        <w:tab/>
      </w:r>
      <w:r w:rsidR="00492296" w:rsidRPr="002F16A1">
        <w:rPr>
          <w:noProof/>
        </w:rPr>
        <w:t>odniesienia do „procedur oceny zgodności określonych na podstawie aktów delegowanych przyjętych zgodnie</w:t>
      </w:r>
      <w:r w:rsidRPr="002F16A1">
        <w:rPr>
          <w:noProof/>
        </w:rPr>
        <w:t xml:space="preserve"> z</w:t>
      </w:r>
      <w:r>
        <w:rPr>
          <w:noProof/>
        </w:rPr>
        <w:t> </w:t>
      </w:r>
      <w:r w:rsidRPr="0028384B">
        <w:rPr>
          <w:noProof/>
        </w:rPr>
        <w:t>art</w:t>
      </w:r>
      <w:r w:rsidR="00492296" w:rsidRPr="0028384B">
        <w:rPr>
          <w:noProof/>
        </w:rPr>
        <w:t>.</w:t>
      </w:r>
      <w:r w:rsidRPr="0028384B">
        <w:rPr>
          <w:noProof/>
        </w:rPr>
        <w:t> </w:t>
      </w:r>
      <w:r w:rsidR="00492296" w:rsidRPr="0028384B">
        <w:rPr>
          <w:noProof/>
        </w:rPr>
        <w:t>4</w:t>
      </w:r>
      <w:r w:rsidR="00492296" w:rsidRPr="002F16A1">
        <w:rPr>
          <w:noProof/>
        </w:rPr>
        <w:t>”</w:t>
      </w:r>
      <w:r w:rsidRPr="002F16A1">
        <w:rPr>
          <w:noProof/>
        </w:rPr>
        <w:t xml:space="preserve"> w</w:t>
      </w:r>
      <w:r>
        <w:rPr>
          <w:noProof/>
        </w:rPr>
        <w:t> </w:t>
      </w:r>
      <w:r w:rsidRPr="0028384B">
        <w:rPr>
          <w:noProof/>
        </w:rPr>
        <w:t>art</w:t>
      </w:r>
      <w:r w:rsidR="00492296" w:rsidRPr="0028384B">
        <w:rPr>
          <w:noProof/>
        </w:rPr>
        <w:t>.</w:t>
      </w:r>
      <w:r w:rsidRPr="0028384B">
        <w:rPr>
          <w:noProof/>
        </w:rPr>
        <w:t> </w:t>
      </w:r>
      <w:r w:rsidR="00492296" w:rsidRPr="0028384B">
        <w:rPr>
          <w:noProof/>
        </w:rPr>
        <w:t>5</w:t>
      </w:r>
      <w:r w:rsidR="00492296" w:rsidRPr="002F16A1">
        <w:rPr>
          <w:noProof/>
        </w:rPr>
        <w:t xml:space="preserve">3 </w:t>
      </w:r>
      <w:r w:rsidR="00492296" w:rsidRPr="0028384B">
        <w:rPr>
          <w:noProof/>
        </w:rPr>
        <w:t>ust.</w:t>
      </w:r>
      <w:r w:rsidRPr="0028384B">
        <w:rPr>
          <w:noProof/>
        </w:rPr>
        <w:t> </w:t>
      </w:r>
      <w:r w:rsidR="00492296" w:rsidRPr="0028384B">
        <w:rPr>
          <w:noProof/>
        </w:rPr>
        <w:t>1</w:t>
      </w:r>
      <w:r w:rsidR="00492296" w:rsidRPr="002F16A1">
        <w:rPr>
          <w:noProof/>
        </w:rPr>
        <w:t xml:space="preserve"> rozporządzenia (UE) 2023/xxx [</w:t>
      </w:r>
      <w:r w:rsidR="00492296" w:rsidRPr="002F16A1">
        <w:rPr>
          <w:i/>
          <w:iCs/>
          <w:noProof/>
        </w:rPr>
        <w:t>Urząd Publikacji:</w:t>
      </w:r>
      <w:r w:rsidR="00492296" w:rsidRPr="002F16A1">
        <w:rPr>
          <w:noProof/>
        </w:rPr>
        <w:t xml:space="preserve"> </w:t>
      </w:r>
      <w:r w:rsidR="00492296" w:rsidRPr="002F16A1">
        <w:rPr>
          <w:i/>
          <w:iCs/>
          <w:noProof/>
        </w:rPr>
        <w:t>proszę wstawić odniesienie do rozporządzenia</w:t>
      </w:r>
      <w:r w:rsidRPr="002F16A1">
        <w:rPr>
          <w:i/>
          <w:iCs/>
          <w:noProof/>
        </w:rPr>
        <w:t xml:space="preserve"> w</w:t>
      </w:r>
      <w:r>
        <w:rPr>
          <w:i/>
          <w:iCs/>
          <w:noProof/>
        </w:rPr>
        <w:t> </w:t>
      </w:r>
      <w:r w:rsidRPr="002F16A1">
        <w:rPr>
          <w:i/>
          <w:iCs/>
          <w:noProof/>
        </w:rPr>
        <w:t>spr</w:t>
      </w:r>
      <w:r w:rsidR="00492296" w:rsidRPr="002F16A1">
        <w:rPr>
          <w:i/>
          <w:iCs/>
          <w:noProof/>
        </w:rPr>
        <w:t>awie ekoprojektu dla zrównoważonych produktów</w:t>
      </w:r>
      <w:r w:rsidR="00492296" w:rsidRPr="002F16A1">
        <w:rPr>
          <w:noProof/>
        </w:rPr>
        <w:t>] odczytuje się jako odniesienie do „procedur oceny zgodności określonych na podstawie zasad obliczania</w:t>
      </w:r>
      <w:r w:rsidRPr="002F16A1">
        <w:rPr>
          <w:noProof/>
        </w:rPr>
        <w:t xml:space="preserve"> i</w:t>
      </w:r>
      <w:r>
        <w:rPr>
          <w:noProof/>
        </w:rPr>
        <w:t> </w:t>
      </w:r>
      <w:r w:rsidRPr="002F16A1">
        <w:rPr>
          <w:noProof/>
        </w:rPr>
        <w:t>wer</w:t>
      </w:r>
      <w:r w:rsidR="00492296" w:rsidRPr="002F16A1">
        <w:rPr>
          <w:noProof/>
        </w:rPr>
        <w:t>yfikacji przyjętych zgodnie</w:t>
      </w:r>
      <w:r w:rsidRPr="002F16A1">
        <w:rPr>
          <w:noProof/>
        </w:rPr>
        <w:t xml:space="preserve"> z</w:t>
      </w:r>
      <w:r>
        <w:rPr>
          <w:noProof/>
        </w:rPr>
        <w:t> </w:t>
      </w:r>
      <w:r w:rsidRPr="0028384B">
        <w:rPr>
          <w:noProof/>
        </w:rPr>
        <w:t>art</w:t>
      </w:r>
      <w:r w:rsidR="00492296" w:rsidRPr="0028384B">
        <w:rPr>
          <w:noProof/>
        </w:rPr>
        <w:t>.</w:t>
      </w:r>
      <w:r w:rsidRPr="0028384B">
        <w:rPr>
          <w:noProof/>
        </w:rPr>
        <w:t> </w:t>
      </w:r>
      <w:r w:rsidR="00492296" w:rsidRPr="0028384B">
        <w:rPr>
          <w:noProof/>
        </w:rPr>
        <w:t>2</w:t>
      </w:r>
      <w:r w:rsidR="00492296" w:rsidRPr="002F16A1">
        <w:rPr>
          <w:noProof/>
        </w:rPr>
        <w:t xml:space="preserve">8 </w:t>
      </w:r>
      <w:r w:rsidR="00492296" w:rsidRPr="0028384B">
        <w:rPr>
          <w:noProof/>
        </w:rPr>
        <w:t>ust.</w:t>
      </w:r>
      <w:r w:rsidRPr="0028384B">
        <w:rPr>
          <w:noProof/>
        </w:rPr>
        <w:t> </w:t>
      </w:r>
      <w:r w:rsidR="00492296" w:rsidRPr="0028384B">
        <w:rPr>
          <w:noProof/>
        </w:rPr>
        <w:t>2</w:t>
      </w:r>
      <w:r w:rsidR="00492296" w:rsidRPr="002F16A1">
        <w:rPr>
          <w:noProof/>
        </w:rPr>
        <w:t xml:space="preserve"> niniejszego rozporządzenia”.</w:t>
      </w:r>
    </w:p>
    <w:p w:rsidR="00AD62E2" w:rsidRPr="002F16A1" w:rsidRDefault="00733965" w:rsidP="00733965">
      <w:pPr>
        <w:pStyle w:val="ManualNumPar1"/>
        <w:rPr>
          <w:noProof/>
        </w:rPr>
      </w:pPr>
      <w:r w:rsidRPr="00733965">
        <w:t>6.</w:t>
      </w:r>
      <w:r w:rsidRPr="00733965">
        <w:tab/>
      </w:r>
      <w:r w:rsidR="00CD615D" w:rsidRPr="002F16A1">
        <w:rPr>
          <w:noProof/>
        </w:rPr>
        <w:t>Niniejszy artykuł nie ma zastosowania do produktów objętych homologacją typu na podstawie rozporządzenia (UE) 2018/858</w:t>
      </w:r>
      <w:r w:rsidR="0028384B" w:rsidRPr="002F16A1">
        <w:rPr>
          <w:noProof/>
        </w:rPr>
        <w:t xml:space="preserve"> i</w:t>
      </w:r>
      <w:r w:rsidR="0028384B">
        <w:rPr>
          <w:noProof/>
        </w:rPr>
        <w:t> </w:t>
      </w:r>
      <w:r w:rsidR="0028384B" w:rsidRPr="002F16A1">
        <w:rPr>
          <w:noProof/>
        </w:rPr>
        <w:t>roz</w:t>
      </w:r>
      <w:r w:rsidR="00CD615D" w:rsidRPr="002F16A1">
        <w:rPr>
          <w:noProof/>
        </w:rPr>
        <w:t xml:space="preserve">porządzenia (UE) </w:t>
      </w:r>
      <w:r w:rsidR="00CD615D" w:rsidRPr="0028384B">
        <w:rPr>
          <w:noProof/>
        </w:rPr>
        <w:t>nr</w:t>
      </w:r>
      <w:r w:rsidR="0028384B" w:rsidRPr="0028384B">
        <w:rPr>
          <w:noProof/>
        </w:rPr>
        <w:t> </w:t>
      </w:r>
      <w:r w:rsidR="00CD615D" w:rsidRPr="0028384B">
        <w:rPr>
          <w:noProof/>
        </w:rPr>
        <w:t>1</w:t>
      </w:r>
      <w:r w:rsidR="00CD615D" w:rsidRPr="002F16A1">
        <w:rPr>
          <w:noProof/>
        </w:rPr>
        <w:t>68/2013.</w:t>
      </w:r>
    </w:p>
    <w:p w:rsidR="00AD62E2" w:rsidRPr="002F16A1" w:rsidRDefault="00AD62E2" w:rsidP="00AD62E2">
      <w:pPr>
        <w:pStyle w:val="Text1"/>
        <w:rPr>
          <w:noProof/>
        </w:rPr>
      </w:pPr>
    </w:p>
    <w:p w:rsidR="00AD62E2" w:rsidRPr="002F16A1" w:rsidRDefault="00AD62E2" w:rsidP="00AD62E2">
      <w:pPr>
        <w:pStyle w:val="ChapterTitle"/>
        <w:rPr>
          <w:noProof/>
        </w:rPr>
      </w:pPr>
      <w:r w:rsidRPr="002F16A1">
        <w:rPr>
          <w:noProof/>
        </w:rPr>
        <w:t xml:space="preserve">Rozdział 6 </w:t>
      </w:r>
      <w:r w:rsidRPr="002F16A1">
        <w:rPr>
          <w:noProof/>
        </w:rPr>
        <w:br/>
        <w:t>Partnerstwa strategiczne</w:t>
      </w:r>
    </w:p>
    <w:p w:rsidR="00AD62E2" w:rsidRPr="002F16A1" w:rsidRDefault="00AD62E2" w:rsidP="00AD62E2">
      <w:pPr>
        <w:pStyle w:val="Titrearticle"/>
        <w:rPr>
          <w:noProof/>
        </w:rPr>
      </w:pPr>
      <w:r w:rsidRPr="002F16A1">
        <w:rPr>
          <w:noProof/>
        </w:rPr>
        <w:t>Artykuł 33</w:t>
      </w:r>
    </w:p>
    <w:p w:rsidR="00AD62E2" w:rsidRPr="002F16A1" w:rsidRDefault="00AD62E2" w:rsidP="00AD62E2">
      <w:pPr>
        <w:pStyle w:val="NormalCentered"/>
        <w:rPr>
          <w:noProof/>
        </w:rPr>
      </w:pPr>
      <w:r w:rsidRPr="002F16A1">
        <w:rPr>
          <w:b/>
          <w:noProof/>
        </w:rPr>
        <w:t>Partnerstwa strategiczne</w:t>
      </w:r>
    </w:p>
    <w:p w:rsidR="00AD62E2" w:rsidRPr="002F16A1" w:rsidRDefault="00733965" w:rsidP="00733965">
      <w:pPr>
        <w:pStyle w:val="ManualNumPar1"/>
        <w:rPr>
          <w:noProof/>
        </w:rPr>
      </w:pPr>
      <w:r w:rsidRPr="00733965">
        <w:t>1.</w:t>
      </w:r>
      <w:r w:rsidRPr="00733965">
        <w:tab/>
      </w:r>
      <w:r w:rsidR="00AD62E2" w:rsidRPr="002F16A1">
        <w:rPr>
          <w:noProof/>
        </w:rPr>
        <w:t>Rada okresowo omawia:</w:t>
      </w:r>
    </w:p>
    <w:p w:rsidR="00AD62E2" w:rsidRPr="002F16A1" w:rsidRDefault="0028384B" w:rsidP="0028384B">
      <w:pPr>
        <w:pStyle w:val="Point1"/>
        <w:rPr>
          <w:noProof/>
        </w:rPr>
      </w:pPr>
      <w:r>
        <w:rPr>
          <w:noProof/>
        </w:rPr>
        <w:t>a)</w:t>
      </w:r>
      <w:r>
        <w:rPr>
          <w:noProof/>
        </w:rPr>
        <w:tab/>
      </w:r>
      <w:r w:rsidR="00AD62E2" w:rsidRPr="002F16A1">
        <w:rPr>
          <w:noProof/>
        </w:rPr>
        <w:t>zakres,</w:t>
      </w:r>
      <w:r w:rsidRPr="002F16A1">
        <w:rPr>
          <w:noProof/>
        </w:rPr>
        <w:t xml:space="preserve"> w</w:t>
      </w:r>
      <w:r>
        <w:rPr>
          <w:noProof/>
        </w:rPr>
        <w:t> </w:t>
      </w:r>
      <w:r w:rsidRPr="002F16A1">
        <w:rPr>
          <w:noProof/>
        </w:rPr>
        <w:t>jak</w:t>
      </w:r>
      <w:r w:rsidR="00AD62E2" w:rsidRPr="002F16A1">
        <w:rPr>
          <w:noProof/>
        </w:rPr>
        <w:t>im partnerstwa strategiczne zawarte przez Unię przyczyniają się do:</w:t>
      </w:r>
    </w:p>
    <w:p w:rsidR="00AD62E2" w:rsidRPr="002F16A1" w:rsidRDefault="00AD62E2" w:rsidP="00AD62E2">
      <w:pPr>
        <w:pStyle w:val="Point2"/>
        <w:rPr>
          <w:noProof/>
        </w:rPr>
      </w:pPr>
      <w:r w:rsidRPr="002F16A1">
        <w:rPr>
          <w:noProof/>
        </w:rPr>
        <w:t>(i)</w:t>
      </w:r>
      <w:r w:rsidRPr="002F16A1">
        <w:rPr>
          <w:noProof/>
        </w:rPr>
        <w:tab/>
        <w:t>poprawy bezpieczeństwa dostaw</w:t>
      </w:r>
      <w:r w:rsidR="0028384B" w:rsidRPr="002F16A1">
        <w:rPr>
          <w:noProof/>
        </w:rPr>
        <w:t xml:space="preserve"> w</w:t>
      </w:r>
      <w:r w:rsidR="0028384B">
        <w:rPr>
          <w:noProof/>
        </w:rPr>
        <w:t> </w:t>
      </w:r>
      <w:r w:rsidR="0028384B" w:rsidRPr="002F16A1">
        <w:rPr>
          <w:noProof/>
        </w:rPr>
        <w:t>Uni</w:t>
      </w:r>
      <w:r w:rsidRPr="002F16A1">
        <w:rPr>
          <w:noProof/>
        </w:rPr>
        <w:t>i;</w:t>
      </w:r>
    </w:p>
    <w:p w:rsidR="00AD62E2" w:rsidRPr="002F16A1" w:rsidRDefault="00AD62E2" w:rsidP="00AD62E2">
      <w:pPr>
        <w:pStyle w:val="Point2"/>
        <w:rPr>
          <w:noProof/>
        </w:rPr>
      </w:pPr>
      <w:r w:rsidRPr="002F16A1">
        <w:rPr>
          <w:noProof/>
        </w:rPr>
        <w:t>(ii)</w:t>
      </w:r>
      <w:r w:rsidRPr="002F16A1">
        <w:rPr>
          <w:noProof/>
        </w:rPr>
        <w:tab/>
        <w:t>osiągnięcia wskaźnika referencyjnego określonego</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1</w:t>
      </w:r>
      <w:r w:rsidRPr="002F16A1">
        <w:rPr>
          <w:noProof/>
        </w:rPr>
        <w:t xml:space="preserve"> </w:t>
      </w:r>
      <w:r w:rsidRPr="0028384B">
        <w:rPr>
          <w:noProof/>
        </w:rPr>
        <w:t>ust.</w:t>
      </w:r>
      <w:r w:rsidR="0028384B" w:rsidRPr="0028384B">
        <w:rPr>
          <w:noProof/>
        </w:rPr>
        <w:t> </w:t>
      </w:r>
      <w:r w:rsidRPr="0028384B">
        <w:rPr>
          <w:noProof/>
        </w:rPr>
        <w:t>2</w:t>
      </w:r>
      <w:r w:rsidRPr="002F16A1">
        <w:rPr>
          <w:noProof/>
        </w:rPr>
        <w:t xml:space="preserve"> </w:t>
      </w:r>
      <w:r w:rsidRPr="0028384B">
        <w:rPr>
          <w:noProof/>
        </w:rPr>
        <w:t>lit.</w:t>
      </w:r>
      <w:r w:rsidR="0028384B" w:rsidRPr="0028384B">
        <w:rPr>
          <w:noProof/>
        </w:rPr>
        <w:t> </w:t>
      </w:r>
      <w:r w:rsidRPr="0028384B">
        <w:rPr>
          <w:noProof/>
        </w:rPr>
        <w:t>b)</w:t>
      </w:r>
      <w:r w:rsidRPr="002F16A1">
        <w:rPr>
          <w:noProof/>
        </w:rPr>
        <w:t>;</w:t>
      </w:r>
    </w:p>
    <w:p w:rsidR="00AD62E2" w:rsidRPr="002F16A1" w:rsidRDefault="00AD62E2" w:rsidP="00AD62E2">
      <w:pPr>
        <w:pStyle w:val="Point2"/>
        <w:rPr>
          <w:noProof/>
        </w:rPr>
      </w:pPr>
      <w:r w:rsidRPr="002F16A1">
        <w:rPr>
          <w:noProof/>
        </w:rPr>
        <w:t>(iii)</w:t>
      </w:r>
      <w:r w:rsidRPr="002F16A1">
        <w:rPr>
          <w:noProof/>
        </w:rPr>
        <w:tab/>
        <w:t>poprawy współpracy między Unią</w:t>
      </w:r>
      <w:r w:rsidR="0028384B" w:rsidRPr="002F16A1">
        <w:rPr>
          <w:noProof/>
        </w:rPr>
        <w:t xml:space="preserve"> a</w:t>
      </w:r>
      <w:r w:rsidR="0028384B">
        <w:rPr>
          <w:noProof/>
        </w:rPr>
        <w:t> </w:t>
      </w:r>
      <w:r w:rsidR="0028384B" w:rsidRPr="002F16A1">
        <w:rPr>
          <w:noProof/>
        </w:rPr>
        <w:t>kra</w:t>
      </w:r>
      <w:r w:rsidRPr="002F16A1">
        <w:rPr>
          <w:noProof/>
        </w:rPr>
        <w:t>jami partnerskimi</w:t>
      </w:r>
      <w:r w:rsidR="0028384B" w:rsidRPr="002F16A1">
        <w:rPr>
          <w:noProof/>
        </w:rPr>
        <w:t xml:space="preserve"> w</w:t>
      </w:r>
      <w:r w:rsidR="0028384B">
        <w:rPr>
          <w:noProof/>
        </w:rPr>
        <w:t> </w:t>
      </w:r>
      <w:r w:rsidR="0028384B" w:rsidRPr="002F16A1">
        <w:rPr>
          <w:noProof/>
        </w:rPr>
        <w:t>zak</w:t>
      </w:r>
      <w:r w:rsidRPr="002F16A1">
        <w:rPr>
          <w:noProof/>
        </w:rPr>
        <w:t>resie łańcucha wartości surowców krytycznych;</w:t>
      </w:r>
    </w:p>
    <w:p w:rsidR="00AD62E2" w:rsidRPr="002F16A1" w:rsidRDefault="0028384B" w:rsidP="0028384B">
      <w:pPr>
        <w:pStyle w:val="Point1"/>
        <w:rPr>
          <w:noProof/>
        </w:rPr>
      </w:pPr>
      <w:r>
        <w:rPr>
          <w:noProof/>
        </w:rPr>
        <w:t>b)</w:t>
      </w:r>
      <w:r>
        <w:rPr>
          <w:noProof/>
        </w:rPr>
        <w:tab/>
      </w:r>
      <w:r w:rsidR="00AD62E2" w:rsidRPr="002F16A1">
        <w:rPr>
          <w:noProof/>
        </w:rPr>
        <w:t>spójność</w:t>
      </w:r>
      <w:r w:rsidRPr="002F16A1">
        <w:rPr>
          <w:noProof/>
        </w:rPr>
        <w:t xml:space="preserve"> i</w:t>
      </w:r>
      <w:r>
        <w:rPr>
          <w:noProof/>
        </w:rPr>
        <w:t> </w:t>
      </w:r>
      <w:r w:rsidRPr="002F16A1">
        <w:rPr>
          <w:noProof/>
        </w:rPr>
        <w:t>ewe</w:t>
      </w:r>
      <w:r w:rsidR="00AD62E2" w:rsidRPr="002F16A1">
        <w:rPr>
          <w:noProof/>
        </w:rPr>
        <w:t>ntualną synergię między dwustronną współpracą państw członkowskich</w:t>
      </w:r>
      <w:r w:rsidRPr="002F16A1">
        <w:rPr>
          <w:noProof/>
        </w:rPr>
        <w:t xml:space="preserve"> z</w:t>
      </w:r>
      <w:r>
        <w:rPr>
          <w:noProof/>
        </w:rPr>
        <w:t> </w:t>
      </w:r>
      <w:r w:rsidRPr="002F16A1">
        <w:rPr>
          <w:noProof/>
        </w:rPr>
        <w:t>odp</w:t>
      </w:r>
      <w:r w:rsidR="00AD62E2" w:rsidRPr="002F16A1">
        <w:rPr>
          <w:noProof/>
        </w:rPr>
        <w:t>owiednimi państwami trzecimi</w:t>
      </w:r>
      <w:r w:rsidRPr="002F16A1">
        <w:rPr>
          <w:noProof/>
        </w:rPr>
        <w:t xml:space="preserve"> a</w:t>
      </w:r>
      <w:r>
        <w:rPr>
          <w:noProof/>
        </w:rPr>
        <w:t> </w:t>
      </w:r>
      <w:r w:rsidRPr="002F16A1">
        <w:rPr>
          <w:noProof/>
        </w:rPr>
        <w:t>dzi</w:t>
      </w:r>
      <w:r w:rsidR="00AD62E2" w:rsidRPr="002F16A1">
        <w:rPr>
          <w:noProof/>
        </w:rPr>
        <w:t>ałaniami prowadzonymi przez Unię</w:t>
      </w:r>
      <w:r w:rsidRPr="002F16A1">
        <w:rPr>
          <w:noProof/>
        </w:rPr>
        <w:t xml:space="preserve"> w</w:t>
      </w:r>
      <w:r>
        <w:rPr>
          <w:noProof/>
        </w:rPr>
        <w:t> </w:t>
      </w:r>
      <w:r w:rsidRPr="002F16A1">
        <w:rPr>
          <w:noProof/>
        </w:rPr>
        <w:t>kon</w:t>
      </w:r>
      <w:r w:rsidR="00AD62E2" w:rsidRPr="002F16A1">
        <w:rPr>
          <w:noProof/>
        </w:rPr>
        <w:t>tekście partnerstw strategicznych;</w:t>
      </w:r>
    </w:p>
    <w:p w:rsidR="00AD62E2" w:rsidRPr="002F16A1" w:rsidRDefault="0028384B" w:rsidP="0028384B">
      <w:pPr>
        <w:pStyle w:val="Point1"/>
        <w:rPr>
          <w:noProof/>
        </w:rPr>
      </w:pPr>
      <w:r>
        <w:rPr>
          <w:noProof/>
        </w:rPr>
        <w:t>c)</w:t>
      </w:r>
      <w:r>
        <w:rPr>
          <w:noProof/>
        </w:rPr>
        <w:tab/>
      </w:r>
      <w:r w:rsidR="00AD62E2" w:rsidRPr="002F16A1">
        <w:rPr>
          <w:noProof/>
        </w:rPr>
        <w:t>kwestię tego, które państwa trzecie powinny być traktowane priorytetowo odnośnie do zawierania partnerstw strategicznych, biorąc pod uwagę następujące kryteria:</w:t>
      </w:r>
    </w:p>
    <w:p w:rsidR="00AD62E2" w:rsidRPr="002F16A1" w:rsidRDefault="00AD62E2" w:rsidP="00AD62E2">
      <w:pPr>
        <w:pStyle w:val="Point2"/>
        <w:rPr>
          <w:noProof/>
        </w:rPr>
      </w:pPr>
      <w:r w:rsidRPr="002F16A1">
        <w:rPr>
          <w:noProof/>
        </w:rPr>
        <w:t>(i)</w:t>
      </w:r>
      <w:r w:rsidRPr="002F16A1">
        <w:rPr>
          <w:noProof/>
        </w:rPr>
        <w:tab/>
        <w:t>ewentualny wkład</w:t>
      </w:r>
      <w:r w:rsidR="0028384B" w:rsidRPr="002F16A1">
        <w:rPr>
          <w:noProof/>
        </w:rPr>
        <w:t xml:space="preserve"> w</w:t>
      </w:r>
      <w:r w:rsidR="0028384B">
        <w:rPr>
          <w:noProof/>
        </w:rPr>
        <w:t> </w:t>
      </w:r>
      <w:r w:rsidR="0028384B" w:rsidRPr="002F16A1">
        <w:rPr>
          <w:noProof/>
        </w:rPr>
        <w:t>bez</w:t>
      </w:r>
      <w:r w:rsidRPr="002F16A1">
        <w:rPr>
          <w:noProof/>
        </w:rPr>
        <w:t>pieczeństwo dostaw,</w:t>
      </w:r>
      <w:r w:rsidR="0028384B" w:rsidRPr="002F16A1">
        <w:rPr>
          <w:noProof/>
        </w:rPr>
        <w:t xml:space="preserve"> z</w:t>
      </w:r>
      <w:r w:rsidR="0028384B">
        <w:rPr>
          <w:noProof/>
        </w:rPr>
        <w:t> </w:t>
      </w:r>
      <w:r w:rsidR="0028384B" w:rsidRPr="002F16A1">
        <w:rPr>
          <w:noProof/>
        </w:rPr>
        <w:t>uwz</w:t>
      </w:r>
      <w:r w:rsidRPr="002F16A1">
        <w:rPr>
          <w:noProof/>
        </w:rPr>
        <w:t>ględnieniem potencjalnych możliwości państwa trzeciego odnośnie do surowców krytycznych</w:t>
      </w:r>
      <w:r w:rsidR="0028384B" w:rsidRPr="002F16A1">
        <w:rPr>
          <w:noProof/>
        </w:rPr>
        <w:t xml:space="preserve"> w</w:t>
      </w:r>
      <w:r w:rsidR="0028384B">
        <w:rPr>
          <w:noProof/>
        </w:rPr>
        <w:t> </w:t>
      </w:r>
      <w:r w:rsidR="0028384B" w:rsidRPr="002F16A1">
        <w:rPr>
          <w:noProof/>
        </w:rPr>
        <w:t>zak</w:t>
      </w:r>
      <w:r w:rsidRPr="002F16A1">
        <w:rPr>
          <w:noProof/>
        </w:rPr>
        <w:t>resie zasobów, wydobywania, przetwarzania</w:t>
      </w:r>
      <w:r w:rsidR="0028384B" w:rsidRPr="002F16A1">
        <w:rPr>
          <w:noProof/>
        </w:rPr>
        <w:t xml:space="preserve"> i</w:t>
      </w:r>
      <w:r w:rsidR="0028384B">
        <w:rPr>
          <w:noProof/>
        </w:rPr>
        <w:t> </w:t>
      </w:r>
      <w:r w:rsidR="0028384B" w:rsidRPr="002F16A1">
        <w:rPr>
          <w:noProof/>
        </w:rPr>
        <w:t>pod</w:t>
      </w:r>
      <w:r w:rsidRPr="002F16A1">
        <w:rPr>
          <w:noProof/>
        </w:rPr>
        <w:t>dawania recyklingowi;</w:t>
      </w:r>
    </w:p>
    <w:p w:rsidR="00AD62E2" w:rsidRPr="002F16A1" w:rsidRDefault="00AD62E2" w:rsidP="00AD62E2">
      <w:pPr>
        <w:pStyle w:val="Point2"/>
        <w:rPr>
          <w:noProof/>
        </w:rPr>
      </w:pPr>
      <w:r w:rsidRPr="002F16A1">
        <w:rPr>
          <w:noProof/>
        </w:rPr>
        <w:t>(ii)</w:t>
      </w:r>
      <w:r w:rsidRPr="002F16A1">
        <w:rPr>
          <w:noProof/>
        </w:rPr>
        <w:tab/>
        <w:t>to, czy ramy regulacyjne państwa trzeciego zapewniają monitorowanie</w:t>
      </w:r>
      <w:r w:rsidR="0028384B" w:rsidRPr="002F16A1">
        <w:rPr>
          <w:noProof/>
        </w:rPr>
        <w:t xml:space="preserve"> i</w:t>
      </w:r>
      <w:r w:rsidR="0028384B">
        <w:rPr>
          <w:noProof/>
        </w:rPr>
        <w:t> </w:t>
      </w:r>
      <w:r w:rsidR="0028384B" w:rsidRPr="002F16A1">
        <w:rPr>
          <w:noProof/>
        </w:rPr>
        <w:t>min</w:t>
      </w:r>
      <w:r w:rsidRPr="002F16A1">
        <w:rPr>
          <w:noProof/>
        </w:rPr>
        <w:t>imalizowanie wpływu na środowisko oraz zapobieganie mu, stosowanie odpowiedzialnych społecznie praktyk,</w:t>
      </w:r>
      <w:r w:rsidR="0028384B" w:rsidRPr="002F16A1">
        <w:rPr>
          <w:noProof/>
        </w:rPr>
        <w:t xml:space="preserve"> w</w:t>
      </w:r>
      <w:r w:rsidR="0028384B">
        <w:rPr>
          <w:noProof/>
        </w:rPr>
        <w:t> </w:t>
      </w:r>
      <w:r w:rsidR="0028384B" w:rsidRPr="002F16A1">
        <w:rPr>
          <w:noProof/>
        </w:rPr>
        <w:t>tym</w:t>
      </w:r>
      <w:r w:rsidRPr="002F16A1">
        <w:rPr>
          <w:noProof/>
        </w:rPr>
        <w:t xml:space="preserve"> poszanowania praw człowieka</w:t>
      </w:r>
      <w:r w:rsidR="0028384B" w:rsidRPr="002F16A1">
        <w:rPr>
          <w:noProof/>
        </w:rPr>
        <w:t xml:space="preserve"> i</w:t>
      </w:r>
      <w:r w:rsidR="0028384B">
        <w:rPr>
          <w:noProof/>
        </w:rPr>
        <w:t> </w:t>
      </w:r>
      <w:r w:rsidR="0028384B" w:rsidRPr="002F16A1">
        <w:rPr>
          <w:noProof/>
        </w:rPr>
        <w:t>pra</w:t>
      </w:r>
      <w:r w:rsidRPr="002F16A1">
        <w:rPr>
          <w:noProof/>
        </w:rPr>
        <w:t>w pracowniczych oraz znaczącego zaangażowania społeczności lokalnych, stosowanie przejrzystych praktyk działalności gospodarczej oraz przeciwdziałanie negatywnym wpływom na prawidłowe funkcjonowanie administracji publicznej</w:t>
      </w:r>
      <w:r w:rsidR="0028384B" w:rsidRPr="002F16A1">
        <w:rPr>
          <w:noProof/>
        </w:rPr>
        <w:t xml:space="preserve"> i</w:t>
      </w:r>
      <w:r w:rsidR="0028384B">
        <w:rPr>
          <w:noProof/>
        </w:rPr>
        <w:t> </w:t>
      </w:r>
      <w:r w:rsidR="0028384B" w:rsidRPr="002F16A1">
        <w:rPr>
          <w:noProof/>
        </w:rPr>
        <w:t>pań</w:t>
      </w:r>
      <w:r w:rsidRPr="002F16A1">
        <w:rPr>
          <w:noProof/>
        </w:rPr>
        <w:t>stwa prawa;</w:t>
      </w:r>
    </w:p>
    <w:p w:rsidR="00AD62E2" w:rsidRPr="002F16A1" w:rsidRDefault="00AD62E2" w:rsidP="00AD62E2">
      <w:pPr>
        <w:pStyle w:val="Point2"/>
        <w:rPr>
          <w:noProof/>
        </w:rPr>
      </w:pPr>
      <w:r w:rsidRPr="002F16A1">
        <w:rPr>
          <w:noProof/>
        </w:rPr>
        <w:t>(iii)</w:t>
      </w:r>
      <w:r w:rsidRPr="002F16A1">
        <w:rPr>
          <w:noProof/>
        </w:rPr>
        <w:tab/>
        <w:t>to, czy między państwem trzecim</w:t>
      </w:r>
      <w:r w:rsidR="0028384B" w:rsidRPr="002F16A1">
        <w:rPr>
          <w:noProof/>
        </w:rPr>
        <w:t xml:space="preserve"> a</w:t>
      </w:r>
      <w:r w:rsidR="0028384B">
        <w:rPr>
          <w:noProof/>
        </w:rPr>
        <w:t> </w:t>
      </w:r>
      <w:r w:rsidR="0028384B" w:rsidRPr="002F16A1">
        <w:rPr>
          <w:noProof/>
        </w:rPr>
        <w:t>Uni</w:t>
      </w:r>
      <w:r w:rsidRPr="002F16A1">
        <w:rPr>
          <w:noProof/>
        </w:rPr>
        <w:t>ą istnieją umowy</w:t>
      </w:r>
      <w:r w:rsidR="0028384B" w:rsidRPr="002F16A1">
        <w:rPr>
          <w:noProof/>
        </w:rPr>
        <w:t xml:space="preserve"> o</w:t>
      </w:r>
      <w:r w:rsidR="0028384B">
        <w:rPr>
          <w:noProof/>
        </w:rPr>
        <w:t> </w:t>
      </w:r>
      <w:r w:rsidR="0028384B" w:rsidRPr="002F16A1">
        <w:rPr>
          <w:noProof/>
        </w:rPr>
        <w:t>wsp</w:t>
      </w:r>
      <w:r w:rsidRPr="002F16A1">
        <w:rPr>
          <w:noProof/>
        </w:rPr>
        <w:t>ółpracy oraz,</w:t>
      </w:r>
      <w:r w:rsidR="0028384B" w:rsidRPr="002F16A1">
        <w:rPr>
          <w:noProof/>
        </w:rPr>
        <w:t xml:space="preserve"> w</w:t>
      </w:r>
      <w:r w:rsidR="0028384B">
        <w:rPr>
          <w:noProof/>
        </w:rPr>
        <w:t> </w:t>
      </w:r>
      <w:r w:rsidR="0028384B" w:rsidRPr="002F16A1">
        <w:rPr>
          <w:noProof/>
        </w:rPr>
        <w:t>odn</w:t>
      </w:r>
      <w:r w:rsidRPr="002F16A1">
        <w:rPr>
          <w:noProof/>
        </w:rPr>
        <w:t>iesieniu do rynków wschodzących</w:t>
      </w:r>
      <w:r w:rsidR="0028384B" w:rsidRPr="002F16A1">
        <w:rPr>
          <w:noProof/>
        </w:rPr>
        <w:t xml:space="preserve"> i</w:t>
      </w:r>
      <w:r w:rsidR="0028384B">
        <w:rPr>
          <w:noProof/>
        </w:rPr>
        <w:t> </w:t>
      </w:r>
      <w:r w:rsidR="0028384B" w:rsidRPr="002F16A1">
        <w:rPr>
          <w:noProof/>
        </w:rPr>
        <w:t>gos</w:t>
      </w:r>
      <w:r w:rsidRPr="002F16A1">
        <w:rPr>
          <w:noProof/>
        </w:rPr>
        <w:t>podarek rozwijających się, potencjał opracowywania projektów inwestycyjnych</w:t>
      </w:r>
      <w:r w:rsidR="0028384B" w:rsidRPr="002F16A1">
        <w:rPr>
          <w:noProof/>
        </w:rPr>
        <w:t xml:space="preserve"> w</w:t>
      </w:r>
      <w:r w:rsidR="0028384B">
        <w:rPr>
          <w:noProof/>
        </w:rPr>
        <w:t> </w:t>
      </w:r>
      <w:r w:rsidR="0028384B" w:rsidRPr="002F16A1">
        <w:rPr>
          <w:noProof/>
        </w:rPr>
        <w:t>ram</w:t>
      </w:r>
      <w:r w:rsidRPr="002F16A1">
        <w:rPr>
          <w:noProof/>
        </w:rPr>
        <w:t xml:space="preserve">ach Global Gateway; </w:t>
      </w:r>
    </w:p>
    <w:p w:rsidR="00AD62E2" w:rsidRPr="002F16A1" w:rsidRDefault="00AD62E2" w:rsidP="00AD62E2">
      <w:pPr>
        <w:pStyle w:val="Point2"/>
        <w:rPr>
          <w:rFonts w:eastAsia="Times New Roman"/>
          <w:noProof/>
        </w:rPr>
      </w:pPr>
      <w:r w:rsidRPr="002F16A1">
        <w:rPr>
          <w:noProof/>
        </w:rPr>
        <w:t>(iv)</w:t>
      </w:r>
      <w:r w:rsidRPr="002F16A1">
        <w:rPr>
          <w:noProof/>
        </w:rPr>
        <w:tab/>
        <w:t>w odniesieniu do rynków wschodzących</w:t>
      </w:r>
      <w:r w:rsidR="0028384B" w:rsidRPr="002F16A1">
        <w:rPr>
          <w:noProof/>
        </w:rPr>
        <w:t xml:space="preserve"> i</w:t>
      </w:r>
      <w:r w:rsidR="0028384B">
        <w:rPr>
          <w:noProof/>
        </w:rPr>
        <w:t> </w:t>
      </w:r>
      <w:r w:rsidR="0028384B" w:rsidRPr="002F16A1">
        <w:rPr>
          <w:noProof/>
        </w:rPr>
        <w:t>gos</w:t>
      </w:r>
      <w:r w:rsidRPr="002F16A1">
        <w:rPr>
          <w:noProof/>
        </w:rPr>
        <w:t>podarek rozwijających się – to, czy</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jak</w:t>
      </w:r>
      <w:r w:rsidRPr="002F16A1">
        <w:rPr>
          <w:noProof/>
        </w:rPr>
        <w:t>i sposób partnerstwo mogłoby przyczyniać się do zapewniania lokalnej wartości dodanej oraz byłoby wzajemnie korzystne dla kraju partnerskiego</w:t>
      </w:r>
      <w:r w:rsidR="0028384B" w:rsidRPr="002F16A1">
        <w:rPr>
          <w:noProof/>
        </w:rPr>
        <w:t xml:space="preserve"> i</w:t>
      </w:r>
      <w:r w:rsidR="0028384B">
        <w:rPr>
          <w:noProof/>
        </w:rPr>
        <w:t> </w:t>
      </w:r>
      <w:r w:rsidR="0028384B" w:rsidRPr="002F16A1">
        <w:rPr>
          <w:noProof/>
        </w:rPr>
        <w:t>Uni</w:t>
      </w:r>
      <w:r w:rsidRPr="002F16A1">
        <w:rPr>
          <w:noProof/>
        </w:rPr>
        <w:t>i.</w:t>
      </w:r>
    </w:p>
    <w:p w:rsidR="00AD62E2" w:rsidRPr="002F16A1" w:rsidRDefault="00733965" w:rsidP="00733965">
      <w:pPr>
        <w:pStyle w:val="ManualNumPar1"/>
        <w:rPr>
          <w:noProof/>
        </w:rPr>
      </w:pPr>
      <w:r w:rsidRPr="00733965">
        <w:t>2.</w:t>
      </w:r>
      <w:r w:rsidRPr="00733965">
        <w:tab/>
      </w:r>
      <w:r w:rsidR="00AD62E2" w:rsidRPr="002F16A1">
        <w:rPr>
          <w:noProof/>
        </w:rPr>
        <w:t>Rada zapewnia,</w:t>
      </w:r>
      <w:r w:rsidR="0028384B" w:rsidRPr="002F16A1">
        <w:rPr>
          <w:noProof/>
        </w:rPr>
        <w:t xml:space="preserve"> w</w:t>
      </w:r>
      <w:r w:rsidR="0028384B">
        <w:rPr>
          <w:noProof/>
        </w:rPr>
        <w:t> </w:t>
      </w:r>
      <w:r w:rsidR="0028384B" w:rsidRPr="002F16A1">
        <w:rPr>
          <w:noProof/>
        </w:rPr>
        <w:t>kon</w:t>
      </w:r>
      <w:r w:rsidR="00AD62E2" w:rsidRPr="002F16A1">
        <w:rPr>
          <w:noProof/>
        </w:rPr>
        <w:t xml:space="preserve">tekście </w:t>
      </w:r>
      <w:r w:rsidR="00AD62E2" w:rsidRPr="0028384B">
        <w:rPr>
          <w:noProof/>
        </w:rPr>
        <w:t>ust.</w:t>
      </w:r>
      <w:r w:rsidR="0028384B" w:rsidRPr="0028384B">
        <w:rPr>
          <w:noProof/>
        </w:rPr>
        <w:t> </w:t>
      </w:r>
      <w:r w:rsidR="00AD62E2" w:rsidRPr="0028384B">
        <w:rPr>
          <w:noProof/>
        </w:rPr>
        <w:t>1</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zak</w:t>
      </w:r>
      <w:r w:rsidR="00AD62E2" w:rsidRPr="002F16A1">
        <w:rPr>
          <w:noProof/>
        </w:rPr>
        <w:t>resie,</w:t>
      </w:r>
      <w:r w:rsidR="0028384B" w:rsidRPr="002F16A1">
        <w:rPr>
          <w:noProof/>
        </w:rPr>
        <w:t xml:space="preserve"> w</w:t>
      </w:r>
      <w:r w:rsidR="0028384B">
        <w:rPr>
          <w:noProof/>
        </w:rPr>
        <w:t> </w:t>
      </w:r>
      <w:r w:rsidR="0028384B" w:rsidRPr="002F16A1">
        <w:rPr>
          <w:noProof/>
        </w:rPr>
        <w:t>jak</w:t>
      </w:r>
      <w:r w:rsidR="00AD62E2" w:rsidRPr="002F16A1">
        <w:rPr>
          <w:noProof/>
        </w:rPr>
        <w:t>im dotyczy to rynków wschodzących</w:t>
      </w:r>
      <w:r w:rsidR="0028384B" w:rsidRPr="002F16A1">
        <w:rPr>
          <w:noProof/>
        </w:rPr>
        <w:t xml:space="preserve"> i</w:t>
      </w:r>
      <w:r w:rsidR="0028384B">
        <w:rPr>
          <w:noProof/>
        </w:rPr>
        <w:t> </w:t>
      </w:r>
      <w:r w:rsidR="0028384B" w:rsidRPr="002F16A1">
        <w:rPr>
          <w:noProof/>
        </w:rPr>
        <w:t>gos</w:t>
      </w:r>
      <w:r w:rsidR="00AD62E2" w:rsidRPr="002F16A1">
        <w:rPr>
          <w:noProof/>
        </w:rPr>
        <w:t>podarek rozwijających się, współpracę</w:t>
      </w:r>
      <w:r w:rsidR="0028384B" w:rsidRPr="002F16A1">
        <w:rPr>
          <w:noProof/>
        </w:rPr>
        <w:t xml:space="preserve"> z</w:t>
      </w:r>
      <w:r w:rsidR="0028384B">
        <w:rPr>
          <w:noProof/>
        </w:rPr>
        <w:t> </w:t>
      </w:r>
      <w:r w:rsidR="0028384B" w:rsidRPr="002F16A1">
        <w:rPr>
          <w:noProof/>
        </w:rPr>
        <w:t>inn</w:t>
      </w:r>
      <w:r w:rsidR="00AD62E2" w:rsidRPr="002F16A1">
        <w:rPr>
          <w:noProof/>
        </w:rPr>
        <w:t>ymi odpowiednimi forami koordynacyjnymi,</w:t>
      </w:r>
      <w:r w:rsidR="0028384B" w:rsidRPr="002F16A1">
        <w:rPr>
          <w:noProof/>
        </w:rPr>
        <w:t xml:space="preserve"> w</w:t>
      </w:r>
      <w:r w:rsidR="0028384B">
        <w:rPr>
          <w:noProof/>
        </w:rPr>
        <w:t> </w:t>
      </w:r>
      <w:r w:rsidR="0028384B" w:rsidRPr="002F16A1">
        <w:rPr>
          <w:noProof/>
        </w:rPr>
        <w:t>tym</w:t>
      </w:r>
      <w:r w:rsidR="00AD62E2" w:rsidRPr="002F16A1">
        <w:rPr>
          <w:noProof/>
        </w:rPr>
        <w:t xml:space="preserve"> ustanowionymi jako część strategii Global Gateway.</w:t>
      </w:r>
    </w:p>
    <w:p w:rsidR="00AD62E2" w:rsidRPr="002F16A1" w:rsidRDefault="00733965" w:rsidP="00733965">
      <w:pPr>
        <w:pStyle w:val="ManualNumPar1"/>
        <w:rPr>
          <w:noProof/>
        </w:rPr>
      </w:pPr>
      <w:r w:rsidRPr="00733965">
        <w:t>3.</w:t>
      </w:r>
      <w:r w:rsidRPr="00733965">
        <w:tab/>
      </w:r>
      <w:r w:rsidR="00AD62E2" w:rsidRPr="002F16A1">
        <w:rPr>
          <w:noProof/>
        </w:rPr>
        <w:t>Państwa członkowskie:</w:t>
      </w:r>
    </w:p>
    <w:p w:rsidR="00AD62E2" w:rsidRPr="002F16A1" w:rsidRDefault="00AD62E2" w:rsidP="00AD62E2">
      <w:pPr>
        <w:pStyle w:val="Point1"/>
        <w:rPr>
          <w:noProof/>
        </w:rPr>
      </w:pPr>
      <w:r w:rsidRPr="002F16A1">
        <w:rPr>
          <w:noProof/>
        </w:rPr>
        <w:t>a)</w:t>
      </w:r>
      <w:r w:rsidRPr="002F16A1">
        <w:rPr>
          <w:noProof/>
        </w:rPr>
        <w:tab/>
        <w:t>koordynują wraz</w:t>
      </w:r>
      <w:r w:rsidR="0028384B" w:rsidRPr="002F16A1">
        <w:rPr>
          <w:noProof/>
        </w:rPr>
        <w:t xml:space="preserve"> z</w:t>
      </w:r>
      <w:r w:rsidR="0028384B">
        <w:rPr>
          <w:noProof/>
        </w:rPr>
        <w:t> </w:t>
      </w:r>
      <w:r w:rsidR="0028384B" w:rsidRPr="002F16A1">
        <w:rPr>
          <w:noProof/>
        </w:rPr>
        <w:t>Kom</w:t>
      </w:r>
      <w:r w:rsidRPr="002F16A1">
        <w:rPr>
          <w:noProof/>
        </w:rPr>
        <w:t>isją działania mające na celu zapewnianie spójności między ich dwustronną współpracą</w:t>
      </w:r>
      <w:r w:rsidR="0028384B" w:rsidRPr="002F16A1">
        <w:rPr>
          <w:noProof/>
        </w:rPr>
        <w:t xml:space="preserve"> z</w:t>
      </w:r>
      <w:r w:rsidR="0028384B">
        <w:rPr>
          <w:noProof/>
        </w:rPr>
        <w:t> </w:t>
      </w:r>
      <w:r w:rsidR="0028384B" w:rsidRPr="002F16A1">
        <w:rPr>
          <w:noProof/>
        </w:rPr>
        <w:t>odp</w:t>
      </w:r>
      <w:r w:rsidRPr="002F16A1">
        <w:rPr>
          <w:noProof/>
        </w:rPr>
        <w:t>owiednimi państwami trzecimi</w:t>
      </w:r>
      <w:r w:rsidR="0028384B" w:rsidRPr="002F16A1">
        <w:rPr>
          <w:noProof/>
        </w:rPr>
        <w:t xml:space="preserve"> a</w:t>
      </w:r>
      <w:r w:rsidR="0028384B">
        <w:rPr>
          <w:noProof/>
        </w:rPr>
        <w:t> </w:t>
      </w:r>
      <w:r w:rsidR="0028384B" w:rsidRPr="002F16A1">
        <w:rPr>
          <w:noProof/>
        </w:rPr>
        <w:t>nie</w:t>
      </w:r>
      <w:r w:rsidRPr="002F16A1">
        <w:rPr>
          <w:noProof/>
        </w:rPr>
        <w:t>wiążącymi partnerstwami strategicznymi Unii</w:t>
      </w:r>
      <w:r w:rsidR="0028384B" w:rsidRPr="002F16A1">
        <w:rPr>
          <w:noProof/>
        </w:rPr>
        <w:t xml:space="preserve"> z</w:t>
      </w:r>
      <w:r w:rsidR="0028384B">
        <w:rPr>
          <w:noProof/>
        </w:rPr>
        <w:t> </w:t>
      </w:r>
      <w:r w:rsidR="0028384B" w:rsidRPr="002F16A1">
        <w:rPr>
          <w:noProof/>
        </w:rPr>
        <w:t>pań</w:t>
      </w:r>
      <w:r w:rsidRPr="002F16A1">
        <w:rPr>
          <w:noProof/>
        </w:rPr>
        <w:t>stwami trzecimi, których zakres obejmuje co najmniej łańcuch wartości surowców krytycznych;</w:t>
      </w:r>
    </w:p>
    <w:p w:rsidR="00AD62E2" w:rsidRPr="002F16A1" w:rsidRDefault="00AD62E2" w:rsidP="00AD62E2">
      <w:pPr>
        <w:pStyle w:val="Point1"/>
        <w:rPr>
          <w:noProof/>
        </w:rPr>
      </w:pPr>
      <w:r w:rsidRPr="002F16A1">
        <w:rPr>
          <w:noProof/>
        </w:rPr>
        <w:t>b)</w:t>
      </w:r>
      <w:r w:rsidRPr="002F16A1">
        <w:rPr>
          <w:noProof/>
        </w:rPr>
        <w:tab/>
        <w:t>wspierają Komisję we wdrażaniu środków na rzecz współpracy określonych</w:t>
      </w:r>
      <w:r w:rsidR="0028384B" w:rsidRPr="002F16A1">
        <w:rPr>
          <w:noProof/>
        </w:rPr>
        <w:t xml:space="preserve"> w</w:t>
      </w:r>
      <w:r w:rsidR="0028384B">
        <w:rPr>
          <w:noProof/>
        </w:rPr>
        <w:t> </w:t>
      </w:r>
      <w:r w:rsidR="0028384B" w:rsidRPr="002F16A1">
        <w:rPr>
          <w:noProof/>
        </w:rPr>
        <w:t>ram</w:t>
      </w:r>
      <w:r w:rsidRPr="002F16A1">
        <w:rPr>
          <w:noProof/>
        </w:rPr>
        <w:t>ach partnerstw strategicznych.</w:t>
      </w:r>
    </w:p>
    <w:p w:rsidR="00AD62E2" w:rsidRPr="002F16A1" w:rsidRDefault="00AD62E2" w:rsidP="00AD62E2">
      <w:pPr>
        <w:rPr>
          <w:noProof/>
        </w:rPr>
      </w:pPr>
    </w:p>
    <w:p w:rsidR="00AD62E2" w:rsidRPr="002F16A1" w:rsidRDefault="00AD62E2" w:rsidP="00AD62E2">
      <w:pPr>
        <w:pStyle w:val="ChapterTitle"/>
        <w:rPr>
          <w:noProof/>
        </w:rPr>
      </w:pPr>
      <w:r w:rsidRPr="002F16A1">
        <w:rPr>
          <w:noProof/>
        </w:rPr>
        <w:t xml:space="preserve">Rozdział 7 </w:t>
      </w:r>
      <w:r w:rsidRPr="002F16A1">
        <w:rPr>
          <w:noProof/>
        </w:rPr>
        <w:br/>
        <w:t>Zarządzanie</w:t>
      </w:r>
    </w:p>
    <w:p w:rsidR="00AD62E2" w:rsidRPr="002F16A1" w:rsidRDefault="00AD62E2" w:rsidP="00AD62E2">
      <w:pPr>
        <w:pStyle w:val="Titrearticle"/>
        <w:rPr>
          <w:noProof/>
        </w:rPr>
      </w:pPr>
      <w:r w:rsidRPr="002F16A1">
        <w:rPr>
          <w:noProof/>
        </w:rPr>
        <w:t>Artykuł 34</w:t>
      </w:r>
    </w:p>
    <w:p w:rsidR="00AD62E2" w:rsidRPr="002F16A1" w:rsidRDefault="00AD62E2" w:rsidP="00AD62E2">
      <w:pPr>
        <w:pStyle w:val="NormalCentered"/>
        <w:rPr>
          <w:noProof/>
        </w:rPr>
      </w:pPr>
      <w:r w:rsidRPr="002F16A1">
        <w:rPr>
          <w:b/>
          <w:noProof/>
        </w:rPr>
        <w:t>Europejska Rada ds. Surowców Krytycznych</w:t>
      </w:r>
    </w:p>
    <w:p w:rsidR="00AD62E2" w:rsidRPr="002F16A1" w:rsidRDefault="00733965" w:rsidP="00733965">
      <w:pPr>
        <w:pStyle w:val="ManualNumPar1"/>
        <w:rPr>
          <w:noProof/>
        </w:rPr>
      </w:pPr>
      <w:r w:rsidRPr="00733965">
        <w:t>1.</w:t>
      </w:r>
      <w:r w:rsidRPr="00733965">
        <w:tab/>
      </w:r>
      <w:r w:rsidR="00AD62E2" w:rsidRPr="002F16A1">
        <w:rPr>
          <w:noProof/>
        </w:rPr>
        <w:t>Ustanawia się Europejską Radę ds. Surowców Krytycznych.</w:t>
      </w:r>
    </w:p>
    <w:p w:rsidR="00AD62E2" w:rsidRPr="002F16A1" w:rsidRDefault="00733965" w:rsidP="00733965">
      <w:pPr>
        <w:pStyle w:val="ManualNumPar1"/>
        <w:rPr>
          <w:noProof/>
        </w:rPr>
      </w:pPr>
      <w:r w:rsidRPr="00733965">
        <w:t>2.</w:t>
      </w:r>
      <w:r w:rsidRPr="00733965">
        <w:tab/>
      </w:r>
      <w:r w:rsidR="00AD62E2" w:rsidRPr="002F16A1">
        <w:rPr>
          <w:noProof/>
        </w:rPr>
        <w:t>Rada wykonuje zadania określone</w:t>
      </w:r>
      <w:r w:rsidR="0028384B" w:rsidRPr="002F16A1">
        <w:rPr>
          <w:noProof/>
        </w:rPr>
        <w:t xml:space="preserve"> w</w:t>
      </w:r>
      <w:r w:rsidR="0028384B">
        <w:rPr>
          <w:noProof/>
        </w:rPr>
        <w:t> </w:t>
      </w:r>
      <w:r w:rsidR="0028384B" w:rsidRPr="002F16A1">
        <w:rPr>
          <w:noProof/>
        </w:rPr>
        <w:t>nin</w:t>
      </w:r>
      <w:r w:rsidR="00AD62E2" w:rsidRPr="002F16A1">
        <w:rPr>
          <w:noProof/>
        </w:rPr>
        <w:t>iejszym rozporządzeniu.</w:t>
      </w:r>
    </w:p>
    <w:p w:rsidR="00AD62E2" w:rsidRPr="002F16A1" w:rsidRDefault="00AD62E2" w:rsidP="00AD62E2">
      <w:pPr>
        <w:pStyle w:val="ManualNumPar1"/>
        <w:rPr>
          <w:noProof/>
        </w:rPr>
      </w:pPr>
    </w:p>
    <w:p w:rsidR="00AD62E2" w:rsidRPr="002F16A1" w:rsidRDefault="00AD62E2" w:rsidP="00AD62E2">
      <w:pPr>
        <w:pStyle w:val="Titrearticle"/>
        <w:rPr>
          <w:noProof/>
        </w:rPr>
      </w:pPr>
      <w:bookmarkStart w:id="20" w:name="__akn_article_1uAbXX"/>
      <w:bookmarkEnd w:id="20"/>
      <w:r w:rsidRPr="002F16A1">
        <w:rPr>
          <w:noProof/>
        </w:rPr>
        <w:t>Artykuł 35</w:t>
      </w:r>
    </w:p>
    <w:p w:rsidR="00AD62E2" w:rsidRPr="002F16A1" w:rsidRDefault="00AD62E2" w:rsidP="00AD62E2">
      <w:pPr>
        <w:pStyle w:val="NormalCentered"/>
        <w:rPr>
          <w:noProof/>
        </w:rPr>
      </w:pPr>
      <w:r w:rsidRPr="002F16A1">
        <w:rPr>
          <w:b/>
          <w:noProof/>
        </w:rPr>
        <w:t>Skład</w:t>
      </w:r>
      <w:r w:rsidR="0028384B" w:rsidRPr="002F16A1">
        <w:rPr>
          <w:b/>
          <w:noProof/>
        </w:rPr>
        <w:t xml:space="preserve"> i</w:t>
      </w:r>
      <w:r w:rsidR="0028384B">
        <w:rPr>
          <w:b/>
          <w:noProof/>
        </w:rPr>
        <w:t> </w:t>
      </w:r>
      <w:r w:rsidR="0028384B" w:rsidRPr="002F16A1">
        <w:rPr>
          <w:b/>
          <w:noProof/>
        </w:rPr>
        <w:t>fun</w:t>
      </w:r>
      <w:r w:rsidRPr="002F16A1">
        <w:rPr>
          <w:b/>
          <w:noProof/>
        </w:rPr>
        <w:t>kcjonowanie Europejskiej Rady ds. Surowców Krytycznych</w:t>
      </w:r>
    </w:p>
    <w:p w:rsidR="00AD62E2" w:rsidRPr="002F16A1" w:rsidRDefault="00733965" w:rsidP="00733965">
      <w:pPr>
        <w:pStyle w:val="ManualNumPar1"/>
        <w:rPr>
          <w:noProof/>
        </w:rPr>
      </w:pPr>
      <w:r w:rsidRPr="00733965">
        <w:t>1.</w:t>
      </w:r>
      <w:r w:rsidRPr="00733965">
        <w:tab/>
      </w:r>
      <w:r w:rsidR="00AD62E2" w:rsidRPr="002F16A1">
        <w:rPr>
          <w:noProof/>
        </w:rPr>
        <w:t>W skład Rady wchodzą państwa członkowskie oraz Komisja. Radzie przewodniczy Komisja.</w:t>
      </w:r>
    </w:p>
    <w:p w:rsidR="00AD62E2" w:rsidRPr="002F16A1" w:rsidRDefault="00733965" w:rsidP="00733965">
      <w:pPr>
        <w:pStyle w:val="ManualNumPar1"/>
        <w:rPr>
          <w:noProof/>
        </w:rPr>
      </w:pPr>
      <w:r w:rsidRPr="00733965">
        <w:t>2.</w:t>
      </w:r>
      <w:r w:rsidRPr="00733965">
        <w:tab/>
      </w:r>
      <w:r w:rsidR="00AD62E2" w:rsidRPr="002F16A1">
        <w:rPr>
          <w:noProof/>
        </w:rPr>
        <w:t>Każde państwo członkowskie wyznacza przedstawiciela wysokiego szczebla</w:t>
      </w:r>
      <w:r w:rsidR="0028384B" w:rsidRPr="002F16A1">
        <w:rPr>
          <w:noProof/>
        </w:rPr>
        <w:t xml:space="preserve"> w</w:t>
      </w:r>
      <w:r w:rsidR="0028384B">
        <w:rPr>
          <w:noProof/>
        </w:rPr>
        <w:t> </w:t>
      </w:r>
      <w:r w:rsidR="0028384B" w:rsidRPr="002F16A1">
        <w:rPr>
          <w:noProof/>
        </w:rPr>
        <w:t>Rad</w:t>
      </w:r>
      <w:r w:rsidR="00AD62E2" w:rsidRPr="002F16A1">
        <w:rPr>
          <w:noProof/>
        </w:rPr>
        <w:t>zie</w:t>
      </w:r>
      <w:r w:rsidR="0028384B" w:rsidRPr="002F16A1">
        <w:rPr>
          <w:noProof/>
        </w:rPr>
        <w:t>. W</w:t>
      </w:r>
      <w:r w:rsidR="0028384B">
        <w:rPr>
          <w:noProof/>
        </w:rPr>
        <w:t> </w:t>
      </w:r>
      <w:r w:rsidR="0028384B" w:rsidRPr="002F16A1">
        <w:rPr>
          <w:noProof/>
        </w:rPr>
        <w:t>raz</w:t>
      </w:r>
      <w:r w:rsidR="00AD62E2" w:rsidRPr="002F16A1">
        <w:rPr>
          <w:noProof/>
        </w:rPr>
        <w:t>ie potrzeby państwo członkowskie może</w:t>
      </w:r>
      <w:r w:rsidR="0028384B" w:rsidRPr="002F16A1">
        <w:rPr>
          <w:noProof/>
        </w:rPr>
        <w:t xml:space="preserve"> w</w:t>
      </w:r>
      <w:r w:rsidR="0028384B">
        <w:rPr>
          <w:noProof/>
        </w:rPr>
        <w:t> </w:t>
      </w:r>
      <w:r w:rsidR="0028384B" w:rsidRPr="002F16A1">
        <w:rPr>
          <w:noProof/>
        </w:rPr>
        <w:t>zwi</w:t>
      </w:r>
      <w:r w:rsidR="00AD62E2" w:rsidRPr="002F16A1">
        <w:rPr>
          <w:noProof/>
        </w:rPr>
        <w:t>ązku</w:t>
      </w:r>
      <w:r w:rsidR="0028384B" w:rsidRPr="002F16A1">
        <w:rPr>
          <w:noProof/>
        </w:rPr>
        <w:t xml:space="preserve"> z</w:t>
      </w:r>
      <w:r w:rsidR="0028384B">
        <w:rPr>
          <w:noProof/>
        </w:rPr>
        <w:t> </w:t>
      </w:r>
      <w:r w:rsidR="0028384B" w:rsidRPr="002F16A1">
        <w:rPr>
          <w:noProof/>
        </w:rPr>
        <w:t>fun</w:t>
      </w:r>
      <w:r w:rsidR="00AD62E2" w:rsidRPr="002F16A1">
        <w:rPr>
          <w:noProof/>
        </w:rPr>
        <w:t>kcją</w:t>
      </w:r>
      <w:r w:rsidR="0028384B" w:rsidRPr="002F16A1">
        <w:rPr>
          <w:noProof/>
        </w:rPr>
        <w:t xml:space="preserve"> i</w:t>
      </w:r>
      <w:r w:rsidR="0028384B">
        <w:rPr>
          <w:noProof/>
        </w:rPr>
        <w:t> </w:t>
      </w:r>
      <w:r w:rsidR="0028384B" w:rsidRPr="002F16A1">
        <w:rPr>
          <w:noProof/>
        </w:rPr>
        <w:t>wie</w:t>
      </w:r>
      <w:r w:rsidR="00AD62E2" w:rsidRPr="002F16A1">
        <w:rPr>
          <w:noProof/>
        </w:rPr>
        <w:t>dzą fachową wyznaczać innych przedstawicieli odnośnie do różnych zadań Rady. Każdy członek Rady ma zastępcę.</w:t>
      </w:r>
    </w:p>
    <w:p w:rsidR="00AD62E2" w:rsidRPr="002F16A1" w:rsidRDefault="00733965" w:rsidP="00733965">
      <w:pPr>
        <w:pStyle w:val="ManualNumPar1"/>
        <w:rPr>
          <w:noProof/>
        </w:rPr>
      </w:pPr>
      <w:r w:rsidRPr="00733965">
        <w:t>3.</w:t>
      </w:r>
      <w:r w:rsidRPr="00733965">
        <w:tab/>
      </w:r>
      <w:r w:rsidR="00AD62E2" w:rsidRPr="002F16A1">
        <w:rPr>
          <w:noProof/>
        </w:rPr>
        <w:t>Rada na wniosek Komisji przyjmuje swój regulamin wewnętrzny zwykłą większością głosów swoich członków.</w:t>
      </w:r>
    </w:p>
    <w:p w:rsidR="00AD62E2" w:rsidRPr="002F16A1" w:rsidRDefault="00733965" w:rsidP="00733965">
      <w:pPr>
        <w:pStyle w:val="ManualNumPar1"/>
        <w:rPr>
          <w:noProof/>
        </w:rPr>
      </w:pPr>
      <w:r w:rsidRPr="00733965">
        <w:t>4.</w:t>
      </w:r>
      <w:r w:rsidRPr="00733965">
        <w:tab/>
      </w:r>
      <w:r w:rsidR="00AD62E2" w:rsidRPr="002F16A1">
        <w:rPr>
          <w:noProof/>
        </w:rPr>
        <w:t>Rada zbiera się</w:t>
      </w:r>
      <w:r w:rsidR="0028384B" w:rsidRPr="002F16A1">
        <w:rPr>
          <w:noProof/>
        </w:rPr>
        <w:t xml:space="preserve"> w</w:t>
      </w:r>
      <w:r w:rsidR="0028384B">
        <w:rPr>
          <w:noProof/>
        </w:rPr>
        <w:t> </w:t>
      </w:r>
      <w:r w:rsidR="0028384B" w:rsidRPr="002F16A1">
        <w:rPr>
          <w:noProof/>
        </w:rPr>
        <w:t>reg</w:t>
      </w:r>
      <w:r w:rsidR="00AD62E2" w:rsidRPr="002F16A1">
        <w:rPr>
          <w:noProof/>
        </w:rPr>
        <w:t>ularnych odstępach czasu</w:t>
      </w:r>
      <w:r w:rsidR="0028384B" w:rsidRPr="002F16A1">
        <w:rPr>
          <w:noProof/>
        </w:rPr>
        <w:t xml:space="preserve"> w</w:t>
      </w:r>
      <w:r w:rsidR="0028384B">
        <w:rPr>
          <w:noProof/>
        </w:rPr>
        <w:t> </w:t>
      </w:r>
      <w:r w:rsidR="0028384B" w:rsidRPr="002F16A1">
        <w:rPr>
          <w:noProof/>
        </w:rPr>
        <w:t>cel</w:t>
      </w:r>
      <w:r w:rsidR="00AD62E2" w:rsidRPr="002F16A1">
        <w:rPr>
          <w:noProof/>
        </w:rPr>
        <w:t>u umożliwienia skutecznego wykonywania swoich zadań określonych</w:t>
      </w:r>
      <w:r w:rsidR="0028384B" w:rsidRPr="002F16A1">
        <w:rPr>
          <w:noProof/>
        </w:rPr>
        <w:t xml:space="preserve"> w</w:t>
      </w:r>
      <w:r w:rsidR="0028384B">
        <w:rPr>
          <w:noProof/>
        </w:rPr>
        <w:t> </w:t>
      </w:r>
      <w:r w:rsidR="0028384B" w:rsidRPr="002F16A1">
        <w:rPr>
          <w:noProof/>
        </w:rPr>
        <w:t>nin</w:t>
      </w:r>
      <w:r w:rsidR="00AD62E2" w:rsidRPr="002F16A1">
        <w:rPr>
          <w:noProof/>
        </w:rPr>
        <w:t>iejszym rozporządzeniu</w:t>
      </w:r>
      <w:r w:rsidR="0028384B" w:rsidRPr="002F16A1">
        <w:rPr>
          <w:noProof/>
        </w:rPr>
        <w:t>. W</w:t>
      </w:r>
      <w:r w:rsidR="0028384B">
        <w:rPr>
          <w:noProof/>
        </w:rPr>
        <w:t> </w:t>
      </w:r>
      <w:r w:rsidR="0028384B" w:rsidRPr="002F16A1">
        <w:rPr>
          <w:noProof/>
        </w:rPr>
        <w:t>raz</w:t>
      </w:r>
      <w:r w:rsidR="00AD62E2" w:rsidRPr="002F16A1">
        <w:rPr>
          <w:noProof/>
        </w:rPr>
        <w:t>ie potrzeby posiedzenia Rady odbywają się na uzasadniony wniosek Komisji.</w:t>
      </w:r>
    </w:p>
    <w:p w:rsidR="00AD62E2" w:rsidRPr="002F16A1" w:rsidRDefault="00AD62E2" w:rsidP="00AD62E2">
      <w:pPr>
        <w:pStyle w:val="Text1"/>
        <w:rPr>
          <w:noProof/>
        </w:rPr>
      </w:pPr>
      <w:r w:rsidRPr="002F16A1">
        <w:rPr>
          <w:noProof/>
        </w:rPr>
        <w:t>Rada spotyka się przynajmniej: </w:t>
      </w:r>
    </w:p>
    <w:p w:rsidR="00AD62E2" w:rsidRPr="002F16A1" w:rsidRDefault="0028384B" w:rsidP="0028384B">
      <w:pPr>
        <w:pStyle w:val="Point1"/>
        <w:rPr>
          <w:noProof/>
        </w:rPr>
      </w:pPr>
      <w:r>
        <w:rPr>
          <w:noProof/>
        </w:rPr>
        <w:t>a)</w:t>
      </w:r>
      <w:r>
        <w:rPr>
          <w:noProof/>
        </w:rPr>
        <w:tab/>
      </w:r>
      <w:r w:rsidR="00AD62E2" w:rsidRPr="002F16A1">
        <w:rPr>
          <w:noProof/>
        </w:rPr>
        <w:t>raz na trzy miesiące</w:t>
      </w:r>
      <w:r w:rsidRPr="002F16A1">
        <w:rPr>
          <w:noProof/>
        </w:rPr>
        <w:t xml:space="preserve"> w</w:t>
      </w:r>
      <w:r>
        <w:rPr>
          <w:noProof/>
        </w:rPr>
        <w:t> </w:t>
      </w:r>
      <w:r w:rsidRPr="002F16A1">
        <w:rPr>
          <w:noProof/>
        </w:rPr>
        <w:t>cel</w:t>
      </w:r>
      <w:r w:rsidR="00AD62E2" w:rsidRPr="002F16A1">
        <w:rPr>
          <w:noProof/>
        </w:rPr>
        <w:t>u dokonania oceny wniosków dotyczących projektów strategicznych zgodnie</w:t>
      </w:r>
      <w:r w:rsidRPr="002F16A1">
        <w:rPr>
          <w:noProof/>
        </w:rPr>
        <w:t xml:space="preserve"> z</w:t>
      </w:r>
      <w:r>
        <w:rPr>
          <w:noProof/>
        </w:rPr>
        <w:t> </w:t>
      </w:r>
      <w:r w:rsidRPr="002F16A1">
        <w:rPr>
          <w:noProof/>
        </w:rPr>
        <w:t>roz</w:t>
      </w:r>
      <w:r w:rsidR="00AD62E2" w:rsidRPr="002F16A1">
        <w:rPr>
          <w:noProof/>
        </w:rPr>
        <w:t>działem 3 sekcja 1;</w:t>
      </w:r>
    </w:p>
    <w:p w:rsidR="00AD62E2" w:rsidRPr="002F16A1" w:rsidRDefault="0028384B" w:rsidP="0028384B">
      <w:pPr>
        <w:pStyle w:val="Point1"/>
        <w:rPr>
          <w:noProof/>
        </w:rPr>
      </w:pPr>
      <w:r>
        <w:rPr>
          <w:noProof/>
        </w:rPr>
        <w:t>b)</w:t>
      </w:r>
      <w:r>
        <w:rPr>
          <w:noProof/>
        </w:rPr>
        <w:tab/>
      </w:r>
      <w:r w:rsidR="00AD62E2" w:rsidRPr="002F16A1">
        <w:rPr>
          <w:noProof/>
        </w:rPr>
        <w:t>raz na sześć miesięcy</w:t>
      </w:r>
      <w:r w:rsidRPr="002F16A1">
        <w:rPr>
          <w:noProof/>
        </w:rPr>
        <w:t xml:space="preserve"> w</w:t>
      </w:r>
      <w:r>
        <w:rPr>
          <w:noProof/>
        </w:rPr>
        <w:t> </w:t>
      </w:r>
      <w:r w:rsidRPr="002F16A1">
        <w:rPr>
          <w:noProof/>
        </w:rPr>
        <w:t>cel</w:t>
      </w:r>
      <w:r w:rsidR="00AD62E2" w:rsidRPr="002F16A1">
        <w:rPr>
          <w:noProof/>
        </w:rPr>
        <w:t>u rozwoju systemu monitorowania zgodnie</w:t>
      </w:r>
      <w:r w:rsidRPr="002F16A1">
        <w:rPr>
          <w:noProof/>
        </w:rPr>
        <w:t xml:space="preserve"> z</w:t>
      </w:r>
      <w:r>
        <w:rPr>
          <w:noProof/>
        </w:rPr>
        <w:t> </w:t>
      </w:r>
      <w:r w:rsidRPr="002F16A1">
        <w:rPr>
          <w:noProof/>
        </w:rPr>
        <w:t>roz</w:t>
      </w:r>
      <w:r w:rsidR="00AD62E2" w:rsidRPr="002F16A1">
        <w:rPr>
          <w:noProof/>
        </w:rPr>
        <w:t>działem 4;</w:t>
      </w:r>
    </w:p>
    <w:p w:rsidR="00AD62E2" w:rsidRPr="002F16A1" w:rsidRDefault="0028384B" w:rsidP="0028384B">
      <w:pPr>
        <w:pStyle w:val="Point1"/>
        <w:rPr>
          <w:noProof/>
        </w:rPr>
      </w:pPr>
      <w:r>
        <w:rPr>
          <w:noProof/>
        </w:rPr>
        <w:t>c)</w:t>
      </w:r>
      <w:r>
        <w:rPr>
          <w:noProof/>
        </w:rPr>
        <w:tab/>
      </w:r>
      <w:r w:rsidR="00AD62E2" w:rsidRPr="002F16A1">
        <w:rPr>
          <w:noProof/>
        </w:rPr>
        <w:t>raz do roku</w:t>
      </w:r>
      <w:r w:rsidRPr="002F16A1">
        <w:rPr>
          <w:noProof/>
        </w:rPr>
        <w:t xml:space="preserve"> w</w:t>
      </w:r>
      <w:r>
        <w:rPr>
          <w:noProof/>
        </w:rPr>
        <w:t> </w:t>
      </w:r>
      <w:r w:rsidRPr="002F16A1">
        <w:rPr>
          <w:noProof/>
        </w:rPr>
        <w:t>cel</w:t>
      </w:r>
      <w:r w:rsidR="00AD62E2" w:rsidRPr="002F16A1">
        <w:rPr>
          <w:noProof/>
        </w:rPr>
        <w:t>u przedyskutowania postępów</w:t>
      </w:r>
      <w:r w:rsidRPr="002F16A1">
        <w:rPr>
          <w:noProof/>
        </w:rPr>
        <w:t xml:space="preserve"> w</w:t>
      </w:r>
      <w:r>
        <w:rPr>
          <w:noProof/>
        </w:rPr>
        <w:t> </w:t>
      </w:r>
      <w:r w:rsidRPr="002F16A1">
        <w:rPr>
          <w:noProof/>
        </w:rPr>
        <w:t>wyk</w:t>
      </w:r>
      <w:r w:rsidR="00AD62E2" w:rsidRPr="002F16A1">
        <w:rPr>
          <w:noProof/>
        </w:rPr>
        <w:t>onywaniu obowiązków państw członkowskich związanych</w:t>
      </w:r>
      <w:r w:rsidRPr="002F16A1">
        <w:rPr>
          <w:noProof/>
        </w:rPr>
        <w:t xml:space="preserve"> z</w:t>
      </w:r>
      <w:r>
        <w:rPr>
          <w:noProof/>
        </w:rPr>
        <w:t> </w:t>
      </w:r>
      <w:r w:rsidRPr="002F16A1">
        <w:rPr>
          <w:noProof/>
        </w:rPr>
        <w:t>pos</w:t>
      </w:r>
      <w:r w:rsidR="00AD62E2" w:rsidRPr="002F16A1">
        <w:rPr>
          <w:noProof/>
        </w:rPr>
        <w:t>zukiwaniami,</w:t>
      </w:r>
      <w:r w:rsidRPr="002F16A1">
        <w:rPr>
          <w:noProof/>
        </w:rPr>
        <w:t xml:space="preserve"> o</w:t>
      </w:r>
      <w:r>
        <w:rPr>
          <w:noProof/>
        </w:rPr>
        <w:t> </w:t>
      </w:r>
      <w:r w:rsidRPr="002F16A1">
        <w:rPr>
          <w:noProof/>
        </w:rPr>
        <w:t>któ</w:t>
      </w:r>
      <w:r w:rsidR="00AD62E2" w:rsidRPr="002F16A1">
        <w:rPr>
          <w:noProof/>
        </w:rPr>
        <w:t>rych mowa</w:t>
      </w:r>
      <w:r w:rsidRPr="002F16A1">
        <w:rPr>
          <w:noProof/>
        </w:rPr>
        <w:t xml:space="preserve"> w</w:t>
      </w:r>
      <w:r>
        <w:rPr>
          <w:noProof/>
        </w:rPr>
        <w:t> </w:t>
      </w:r>
      <w:r w:rsidRPr="002F16A1">
        <w:rPr>
          <w:noProof/>
        </w:rPr>
        <w:t>roz</w:t>
      </w:r>
      <w:r w:rsidR="00AD62E2" w:rsidRPr="002F16A1">
        <w:rPr>
          <w:noProof/>
        </w:rPr>
        <w:t>dziale 3 sekcja 4,</w:t>
      </w:r>
      <w:r w:rsidRPr="002F16A1">
        <w:rPr>
          <w:noProof/>
        </w:rPr>
        <w:t xml:space="preserve"> w</w:t>
      </w:r>
      <w:r>
        <w:rPr>
          <w:noProof/>
        </w:rPr>
        <w:t> </w:t>
      </w:r>
      <w:r w:rsidRPr="002F16A1">
        <w:rPr>
          <w:noProof/>
        </w:rPr>
        <w:t>tym w</w:t>
      </w:r>
      <w:r>
        <w:rPr>
          <w:noProof/>
        </w:rPr>
        <w:t> </w:t>
      </w:r>
      <w:r w:rsidRPr="002F16A1">
        <w:rPr>
          <w:noProof/>
        </w:rPr>
        <w:t>świ</w:t>
      </w:r>
      <w:r w:rsidR="00AD62E2" w:rsidRPr="002F16A1">
        <w:rPr>
          <w:noProof/>
        </w:rPr>
        <w:t>etle aktualizacji wykazów surowców krytycznych lub strategicznych.</w:t>
      </w:r>
    </w:p>
    <w:p w:rsidR="00AD62E2" w:rsidRPr="002F16A1" w:rsidRDefault="00733965" w:rsidP="00733965">
      <w:pPr>
        <w:pStyle w:val="ManualNumPar1"/>
        <w:rPr>
          <w:noProof/>
        </w:rPr>
      </w:pPr>
      <w:r w:rsidRPr="00733965">
        <w:t>5.</w:t>
      </w:r>
      <w:r w:rsidRPr="00733965">
        <w:tab/>
      </w:r>
      <w:r w:rsidR="00AD62E2" w:rsidRPr="002F16A1">
        <w:rPr>
          <w:noProof/>
        </w:rPr>
        <w:t>Komisja wspomaga Radę za pośrednictwem sekretariatu wykonawczego zapewniającego wsparcie techniczne</w:t>
      </w:r>
      <w:r w:rsidR="0028384B" w:rsidRPr="002F16A1">
        <w:rPr>
          <w:noProof/>
        </w:rPr>
        <w:t xml:space="preserve"> i</w:t>
      </w:r>
      <w:r w:rsidR="0028384B">
        <w:rPr>
          <w:noProof/>
        </w:rPr>
        <w:t> </w:t>
      </w:r>
      <w:r w:rsidR="0028384B" w:rsidRPr="002F16A1">
        <w:rPr>
          <w:noProof/>
        </w:rPr>
        <w:t>log</w:t>
      </w:r>
      <w:r w:rsidR="00AD62E2" w:rsidRPr="002F16A1">
        <w:rPr>
          <w:noProof/>
        </w:rPr>
        <w:t>istyczne.</w:t>
      </w:r>
    </w:p>
    <w:p w:rsidR="00AD62E2" w:rsidRPr="002F16A1" w:rsidRDefault="00733965" w:rsidP="00733965">
      <w:pPr>
        <w:pStyle w:val="ManualNumPar1"/>
        <w:rPr>
          <w:noProof/>
        </w:rPr>
      </w:pPr>
      <w:r w:rsidRPr="00733965">
        <w:t>6.</w:t>
      </w:r>
      <w:r w:rsidRPr="00733965">
        <w:tab/>
      </w:r>
      <w:r w:rsidR="00AD62E2" w:rsidRPr="002F16A1">
        <w:rPr>
          <w:noProof/>
        </w:rPr>
        <w:t>Rada może utworzyć stałe lub tymczasowe podgrupy odpowiedzialne za konkretne sprawy</w:t>
      </w:r>
      <w:r w:rsidR="0028384B" w:rsidRPr="002F16A1">
        <w:rPr>
          <w:noProof/>
        </w:rPr>
        <w:t xml:space="preserve"> i</w:t>
      </w:r>
      <w:r w:rsidR="0028384B">
        <w:rPr>
          <w:noProof/>
        </w:rPr>
        <w:t> </w:t>
      </w:r>
      <w:r w:rsidR="0028384B" w:rsidRPr="002F16A1">
        <w:rPr>
          <w:noProof/>
        </w:rPr>
        <w:t>zad</w:t>
      </w:r>
      <w:r w:rsidR="00AD62E2" w:rsidRPr="002F16A1">
        <w:rPr>
          <w:noProof/>
        </w:rPr>
        <w:t>ania. </w:t>
      </w:r>
    </w:p>
    <w:p w:rsidR="00AD62E2" w:rsidRPr="002F16A1" w:rsidRDefault="00AD62E2" w:rsidP="00AD62E2">
      <w:pPr>
        <w:pStyle w:val="Text1"/>
        <w:rPr>
          <w:noProof/>
        </w:rPr>
      </w:pPr>
      <w:r w:rsidRPr="002F16A1">
        <w:rPr>
          <w:noProof/>
        </w:rPr>
        <w:t>Rada tworzy co najmniej następujące stałe podgrupy:</w:t>
      </w:r>
    </w:p>
    <w:p w:rsidR="00AD62E2" w:rsidRPr="002F16A1" w:rsidRDefault="0028384B" w:rsidP="0028384B">
      <w:pPr>
        <w:pStyle w:val="Point1"/>
        <w:rPr>
          <w:noProof/>
        </w:rPr>
      </w:pPr>
      <w:bookmarkStart w:id="21" w:name="__akn_article_1uAbXX_jgs2nQ"/>
      <w:bookmarkEnd w:id="21"/>
      <w:r>
        <w:rPr>
          <w:noProof/>
        </w:rPr>
        <w:t>a)</w:t>
      </w:r>
      <w:r>
        <w:rPr>
          <w:noProof/>
        </w:rPr>
        <w:tab/>
      </w:r>
      <w:r w:rsidR="00AD62E2" w:rsidRPr="002F16A1">
        <w:rPr>
          <w:noProof/>
        </w:rPr>
        <w:t>podgrupę ds. omawiania</w:t>
      </w:r>
      <w:r w:rsidRPr="002F16A1">
        <w:rPr>
          <w:noProof/>
        </w:rPr>
        <w:t xml:space="preserve"> i</w:t>
      </w:r>
      <w:r>
        <w:rPr>
          <w:noProof/>
        </w:rPr>
        <w:t> </w:t>
      </w:r>
      <w:r w:rsidRPr="002F16A1">
        <w:rPr>
          <w:noProof/>
        </w:rPr>
        <w:t>koo</w:t>
      </w:r>
      <w:r w:rsidR="00AD62E2" w:rsidRPr="002F16A1">
        <w:rPr>
          <w:noProof/>
        </w:rPr>
        <w:t>rdynacji finansowania projektów strategicznych zgodnie</w:t>
      </w:r>
      <w:r w:rsidRPr="002F16A1">
        <w:rPr>
          <w:noProof/>
        </w:rPr>
        <w:t xml:space="preserve"> z</w:t>
      </w:r>
      <w:r>
        <w:rPr>
          <w:noProof/>
        </w:rPr>
        <w:t> </w:t>
      </w:r>
      <w:r w:rsidRPr="0028384B">
        <w:rPr>
          <w:noProof/>
        </w:rPr>
        <w:t>art</w:t>
      </w:r>
      <w:r w:rsidR="00AD62E2" w:rsidRPr="0028384B">
        <w:rPr>
          <w:noProof/>
        </w:rPr>
        <w:t>.</w:t>
      </w:r>
      <w:r w:rsidRPr="0028384B">
        <w:rPr>
          <w:noProof/>
        </w:rPr>
        <w:t> </w:t>
      </w:r>
      <w:r w:rsidR="00AD62E2" w:rsidRPr="0028384B">
        <w:rPr>
          <w:noProof/>
        </w:rPr>
        <w:t>1</w:t>
      </w:r>
      <w:r w:rsidR="00AD62E2" w:rsidRPr="002F16A1">
        <w:rPr>
          <w:noProof/>
        </w:rPr>
        <w:t>5; przedstawiciele krajowych banków prorozwojowych</w:t>
      </w:r>
      <w:r w:rsidRPr="002F16A1">
        <w:rPr>
          <w:noProof/>
        </w:rPr>
        <w:t xml:space="preserve"> i</w:t>
      </w:r>
      <w:r>
        <w:rPr>
          <w:noProof/>
        </w:rPr>
        <w:t> </w:t>
      </w:r>
      <w:r w:rsidRPr="002F16A1">
        <w:rPr>
          <w:noProof/>
        </w:rPr>
        <w:t>kra</w:t>
      </w:r>
      <w:r w:rsidR="00AD62E2" w:rsidRPr="002F16A1">
        <w:rPr>
          <w:noProof/>
        </w:rPr>
        <w:t>jowych instytucji prorozwojowych, europejskich instytucji finansowania rozwoju, Grupy Europejskiego Banku Inwestycyjnego, innych międzynarodowych instytucji finansowych,</w:t>
      </w:r>
      <w:r w:rsidRPr="002F16A1">
        <w:rPr>
          <w:noProof/>
        </w:rPr>
        <w:t xml:space="preserve"> w</w:t>
      </w:r>
      <w:r>
        <w:rPr>
          <w:noProof/>
        </w:rPr>
        <w:t> </w:t>
      </w:r>
      <w:r w:rsidRPr="002F16A1">
        <w:rPr>
          <w:noProof/>
        </w:rPr>
        <w:t>tym</w:t>
      </w:r>
      <w:r w:rsidR="00AD62E2" w:rsidRPr="002F16A1">
        <w:rPr>
          <w:noProof/>
        </w:rPr>
        <w:t xml:space="preserve"> Europejskiego Banku Odbudowy</w:t>
      </w:r>
      <w:r w:rsidRPr="002F16A1">
        <w:rPr>
          <w:noProof/>
        </w:rPr>
        <w:t xml:space="preserve"> i</w:t>
      </w:r>
      <w:r>
        <w:rPr>
          <w:noProof/>
        </w:rPr>
        <w:t> </w:t>
      </w:r>
      <w:r w:rsidRPr="002F16A1">
        <w:rPr>
          <w:noProof/>
        </w:rPr>
        <w:t>Roz</w:t>
      </w:r>
      <w:r w:rsidR="00AD62E2" w:rsidRPr="002F16A1">
        <w:rPr>
          <w:noProof/>
        </w:rPr>
        <w:t>woju oraz,</w:t>
      </w:r>
      <w:r w:rsidRPr="002F16A1">
        <w:rPr>
          <w:noProof/>
        </w:rPr>
        <w:t xml:space="preserve"> w</w:t>
      </w:r>
      <w:r>
        <w:rPr>
          <w:noProof/>
        </w:rPr>
        <w:t> </w:t>
      </w:r>
      <w:r w:rsidRPr="002F16A1">
        <w:rPr>
          <w:noProof/>
        </w:rPr>
        <w:t>sto</w:t>
      </w:r>
      <w:r w:rsidR="00AD62E2" w:rsidRPr="002F16A1">
        <w:rPr>
          <w:noProof/>
        </w:rPr>
        <w:t>sownych przypadkach, prywatnych instytucji finansowych są zapraszani</w:t>
      </w:r>
      <w:r w:rsidRPr="002F16A1">
        <w:rPr>
          <w:noProof/>
        </w:rPr>
        <w:t xml:space="preserve"> w</w:t>
      </w:r>
      <w:r>
        <w:rPr>
          <w:noProof/>
        </w:rPr>
        <w:t> </w:t>
      </w:r>
      <w:r w:rsidRPr="002F16A1">
        <w:rPr>
          <w:noProof/>
        </w:rPr>
        <w:t>cha</w:t>
      </w:r>
      <w:r w:rsidR="00AD62E2" w:rsidRPr="002F16A1">
        <w:rPr>
          <w:noProof/>
        </w:rPr>
        <w:t>rakterze obserwatorów;</w:t>
      </w:r>
    </w:p>
    <w:p w:rsidR="00AD62E2" w:rsidRPr="002F16A1" w:rsidRDefault="0028384B" w:rsidP="0028384B">
      <w:pPr>
        <w:pStyle w:val="Point1"/>
        <w:rPr>
          <w:noProof/>
        </w:rPr>
      </w:pPr>
      <w:bookmarkStart w:id="22" w:name="__akn_article_1uAbXX_0RtFs7"/>
      <w:bookmarkEnd w:id="22"/>
      <w:r>
        <w:rPr>
          <w:noProof/>
        </w:rPr>
        <w:t>b)</w:t>
      </w:r>
      <w:r>
        <w:rPr>
          <w:noProof/>
        </w:rPr>
        <w:tab/>
      </w:r>
      <w:r w:rsidR="00AD62E2" w:rsidRPr="002F16A1">
        <w:rPr>
          <w:noProof/>
        </w:rPr>
        <w:t>podgrupę zrzeszającą krajowe instytuty lub służby geologiczne lub,</w:t>
      </w:r>
      <w:r w:rsidRPr="002F16A1">
        <w:rPr>
          <w:noProof/>
        </w:rPr>
        <w:t xml:space="preserve"> w</w:t>
      </w:r>
      <w:r>
        <w:rPr>
          <w:noProof/>
        </w:rPr>
        <w:t> </w:t>
      </w:r>
      <w:r w:rsidRPr="002F16A1">
        <w:rPr>
          <w:noProof/>
        </w:rPr>
        <w:t>prz</w:t>
      </w:r>
      <w:r w:rsidR="00AD62E2" w:rsidRPr="002F16A1">
        <w:rPr>
          <w:noProof/>
        </w:rPr>
        <w:t>ypadku braku takich instytutów lub służb, odpowiednie organy krajowe odpowiedzialne za poszukiwania ogólne</w:t>
      </w:r>
      <w:r w:rsidRPr="002F16A1">
        <w:rPr>
          <w:noProof/>
        </w:rPr>
        <w:t xml:space="preserve"> w</w:t>
      </w:r>
      <w:r>
        <w:rPr>
          <w:noProof/>
        </w:rPr>
        <w:t> </w:t>
      </w:r>
      <w:r w:rsidRPr="002F16A1">
        <w:rPr>
          <w:noProof/>
        </w:rPr>
        <w:t>cel</w:t>
      </w:r>
      <w:r w:rsidR="00AD62E2" w:rsidRPr="002F16A1">
        <w:rPr>
          <w:noProof/>
        </w:rPr>
        <w:t>u wspierania koordynacji krajowych programów poszukiwań,</w:t>
      </w:r>
      <w:r w:rsidRPr="002F16A1">
        <w:rPr>
          <w:noProof/>
        </w:rPr>
        <w:t xml:space="preserve"> o</w:t>
      </w:r>
      <w:r>
        <w:rPr>
          <w:noProof/>
        </w:rPr>
        <w:t> </w:t>
      </w:r>
      <w:r w:rsidRPr="002F16A1">
        <w:rPr>
          <w:noProof/>
        </w:rPr>
        <w:t>któ</w:t>
      </w:r>
      <w:r w:rsidR="00AD62E2" w:rsidRPr="002F16A1">
        <w:rPr>
          <w:noProof/>
        </w:rPr>
        <w:t>rych mowa</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1</w:t>
      </w:r>
      <w:r w:rsidR="00AD62E2" w:rsidRPr="002F16A1">
        <w:rPr>
          <w:noProof/>
        </w:rPr>
        <w:t>8;</w:t>
      </w:r>
    </w:p>
    <w:p w:rsidR="00AD62E2" w:rsidRPr="002F16A1" w:rsidRDefault="0028384B" w:rsidP="0028384B">
      <w:pPr>
        <w:pStyle w:val="Point1"/>
        <w:rPr>
          <w:noProof/>
        </w:rPr>
      </w:pPr>
      <w:bookmarkStart w:id="23" w:name="__akn_article_1uAbXX_Ag1pYE"/>
      <w:bookmarkEnd w:id="23"/>
      <w:r>
        <w:rPr>
          <w:noProof/>
        </w:rPr>
        <w:t>c)</w:t>
      </w:r>
      <w:r>
        <w:rPr>
          <w:noProof/>
        </w:rPr>
        <w:tab/>
      </w:r>
      <w:r w:rsidR="00AD62E2" w:rsidRPr="002F16A1">
        <w:rPr>
          <w:noProof/>
        </w:rPr>
        <w:t>podgrupę zrzeszającą krajowe agencje dostaw</w:t>
      </w:r>
      <w:r w:rsidRPr="002F16A1">
        <w:rPr>
          <w:noProof/>
        </w:rPr>
        <w:t xml:space="preserve"> i</w:t>
      </w:r>
      <w:r>
        <w:rPr>
          <w:noProof/>
        </w:rPr>
        <w:t> </w:t>
      </w:r>
      <w:r w:rsidRPr="002F16A1">
        <w:rPr>
          <w:noProof/>
        </w:rPr>
        <w:t>age</w:t>
      </w:r>
      <w:r w:rsidR="00AD62E2" w:rsidRPr="002F16A1">
        <w:rPr>
          <w:noProof/>
        </w:rPr>
        <w:t>ncje informacyjne zajmujące się surowcami krytycznymi lub,</w:t>
      </w:r>
      <w:r w:rsidRPr="002F16A1">
        <w:rPr>
          <w:noProof/>
        </w:rPr>
        <w:t xml:space="preserve"> w</w:t>
      </w:r>
      <w:r>
        <w:rPr>
          <w:noProof/>
        </w:rPr>
        <w:t> </w:t>
      </w:r>
      <w:r w:rsidRPr="002F16A1">
        <w:rPr>
          <w:noProof/>
        </w:rPr>
        <w:t>prz</w:t>
      </w:r>
      <w:r w:rsidR="00AD62E2" w:rsidRPr="002F16A1">
        <w:rPr>
          <w:noProof/>
        </w:rPr>
        <w:t>ypadku braku takich agencji, odpowiednie organy krajowe odpowiedzialne za tę kwestię</w:t>
      </w:r>
      <w:r w:rsidRPr="002F16A1">
        <w:rPr>
          <w:noProof/>
        </w:rPr>
        <w:t xml:space="preserve"> w</w:t>
      </w:r>
      <w:r>
        <w:rPr>
          <w:noProof/>
        </w:rPr>
        <w:t> </w:t>
      </w:r>
      <w:r w:rsidRPr="002F16A1">
        <w:rPr>
          <w:noProof/>
        </w:rPr>
        <w:t>cel</w:t>
      </w:r>
      <w:r w:rsidR="00AD62E2" w:rsidRPr="002F16A1">
        <w:rPr>
          <w:noProof/>
        </w:rPr>
        <w:t>u wspierania zadań związanych</w:t>
      </w:r>
      <w:r w:rsidRPr="002F16A1">
        <w:rPr>
          <w:noProof/>
        </w:rPr>
        <w:t xml:space="preserve"> z</w:t>
      </w:r>
      <w:r>
        <w:rPr>
          <w:noProof/>
        </w:rPr>
        <w:t> </w:t>
      </w:r>
      <w:r w:rsidRPr="002F16A1">
        <w:rPr>
          <w:noProof/>
        </w:rPr>
        <w:t>mon</w:t>
      </w:r>
      <w:r w:rsidR="00AD62E2" w:rsidRPr="002F16A1">
        <w:rPr>
          <w:noProof/>
        </w:rPr>
        <w:t>itorowaniem określonych</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1</w:t>
      </w:r>
      <w:r w:rsidR="00AD62E2" w:rsidRPr="002F16A1">
        <w:rPr>
          <w:noProof/>
        </w:rPr>
        <w:t>9;</w:t>
      </w:r>
    </w:p>
    <w:p w:rsidR="00AD62E2" w:rsidRPr="002F16A1" w:rsidRDefault="0028384B" w:rsidP="0028384B">
      <w:pPr>
        <w:pStyle w:val="Point1"/>
        <w:rPr>
          <w:noProof/>
        </w:rPr>
      </w:pPr>
      <w:r>
        <w:rPr>
          <w:noProof/>
        </w:rPr>
        <w:t>d)</w:t>
      </w:r>
      <w:r>
        <w:rPr>
          <w:noProof/>
        </w:rPr>
        <w:tab/>
      </w:r>
      <w:r w:rsidR="00AD62E2" w:rsidRPr="002F16A1">
        <w:rPr>
          <w:noProof/>
        </w:rPr>
        <w:t>podgrupę zrzeszającą krajowe agencje ds. sytuacji kryzysowych</w:t>
      </w:r>
      <w:r w:rsidRPr="002F16A1">
        <w:rPr>
          <w:noProof/>
        </w:rPr>
        <w:t xml:space="preserve"> i</w:t>
      </w:r>
      <w:r>
        <w:rPr>
          <w:noProof/>
        </w:rPr>
        <w:t> </w:t>
      </w:r>
      <w:r w:rsidRPr="002F16A1">
        <w:rPr>
          <w:noProof/>
        </w:rPr>
        <w:t>org</w:t>
      </w:r>
      <w:r w:rsidR="00AD62E2" w:rsidRPr="002F16A1">
        <w:rPr>
          <w:noProof/>
        </w:rPr>
        <w:t>any odpowiedzialne za zapasy strategiczne lub,</w:t>
      </w:r>
      <w:r w:rsidRPr="002F16A1">
        <w:rPr>
          <w:noProof/>
        </w:rPr>
        <w:t xml:space="preserve"> w</w:t>
      </w:r>
      <w:r>
        <w:rPr>
          <w:noProof/>
        </w:rPr>
        <w:t> </w:t>
      </w:r>
      <w:r w:rsidRPr="002F16A1">
        <w:rPr>
          <w:noProof/>
        </w:rPr>
        <w:t>prz</w:t>
      </w:r>
      <w:r w:rsidR="00AD62E2" w:rsidRPr="002F16A1">
        <w:rPr>
          <w:noProof/>
        </w:rPr>
        <w:t>ypadku braku takich służb</w:t>
      </w:r>
      <w:r w:rsidRPr="002F16A1">
        <w:rPr>
          <w:noProof/>
        </w:rPr>
        <w:t xml:space="preserve"> i</w:t>
      </w:r>
      <w:r>
        <w:rPr>
          <w:noProof/>
        </w:rPr>
        <w:t> </w:t>
      </w:r>
      <w:r w:rsidRPr="002F16A1">
        <w:rPr>
          <w:noProof/>
        </w:rPr>
        <w:t>org</w:t>
      </w:r>
      <w:r w:rsidR="00AD62E2" w:rsidRPr="002F16A1">
        <w:rPr>
          <w:noProof/>
        </w:rPr>
        <w:t>anów, odpowiednie organy krajowe odpowiedzialne za tę kwestię</w:t>
      </w:r>
      <w:r w:rsidRPr="002F16A1">
        <w:rPr>
          <w:noProof/>
        </w:rPr>
        <w:t xml:space="preserve"> w</w:t>
      </w:r>
      <w:r>
        <w:rPr>
          <w:noProof/>
        </w:rPr>
        <w:t> </w:t>
      </w:r>
      <w:r w:rsidRPr="002F16A1">
        <w:rPr>
          <w:noProof/>
        </w:rPr>
        <w:t>cel</w:t>
      </w:r>
      <w:r w:rsidR="00AD62E2" w:rsidRPr="002F16A1">
        <w:rPr>
          <w:noProof/>
        </w:rPr>
        <w:t>u wspierania koordynacji zapasów strategicznych,</w:t>
      </w:r>
      <w:r w:rsidRPr="002F16A1">
        <w:rPr>
          <w:noProof/>
        </w:rPr>
        <w:t xml:space="preserve"> o</w:t>
      </w:r>
      <w:r>
        <w:rPr>
          <w:noProof/>
        </w:rPr>
        <w:t> </w:t>
      </w:r>
      <w:r w:rsidRPr="002F16A1">
        <w:rPr>
          <w:noProof/>
        </w:rPr>
        <w:t>któ</w:t>
      </w:r>
      <w:r w:rsidR="00AD62E2" w:rsidRPr="002F16A1">
        <w:rPr>
          <w:noProof/>
        </w:rPr>
        <w:t>rej mowa</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2</w:t>
      </w:r>
      <w:r w:rsidR="00AD62E2" w:rsidRPr="002F16A1">
        <w:rPr>
          <w:noProof/>
        </w:rPr>
        <w:t>2.</w:t>
      </w:r>
    </w:p>
    <w:p w:rsidR="00AD62E2" w:rsidRPr="002F16A1" w:rsidRDefault="00733965" w:rsidP="00733965">
      <w:pPr>
        <w:pStyle w:val="ManualNumPar1"/>
        <w:rPr>
          <w:noProof/>
        </w:rPr>
      </w:pPr>
      <w:r w:rsidRPr="00733965">
        <w:t>7.</w:t>
      </w:r>
      <w:r w:rsidRPr="00733965">
        <w:tab/>
      </w:r>
      <w:r w:rsidR="00AD62E2" w:rsidRPr="002F16A1">
        <w:rPr>
          <w:noProof/>
        </w:rPr>
        <w:t>Rada zaprasza przedstawicieli Parlamentu Europejskiego do udziału jako obserwatorów</w:t>
      </w:r>
      <w:r w:rsidR="0028384B" w:rsidRPr="002F16A1">
        <w:rPr>
          <w:noProof/>
        </w:rPr>
        <w:t xml:space="preserve"> w</w:t>
      </w:r>
      <w:r w:rsidR="0028384B">
        <w:rPr>
          <w:noProof/>
        </w:rPr>
        <w:t> </w:t>
      </w:r>
      <w:r w:rsidR="0028384B" w:rsidRPr="002F16A1">
        <w:rPr>
          <w:noProof/>
        </w:rPr>
        <w:t>swo</w:t>
      </w:r>
      <w:r w:rsidR="00AD62E2" w:rsidRPr="002F16A1">
        <w:rPr>
          <w:noProof/>
        </w:rPr>
        <w:t>ich posiedzeniach,</w:t>
      </w:r>
      <w:r w:rsidR="0028384B" w:rsidRPr="002F16A1">
        <w:rPr>
          <w:noProof/>
        </w:rPr>
        <w:t xml:space="preserve"> w</w:t>
      </w:r>
      <w:r w:rsidR="0028384B">
        <w:rPr>
          <w:noProof/>
        </w:rPr>
        <w:t> </w:t>
      </w:r>
      <w:r w:rsidR="0028384B" w:rsidRPr="002F16A1">
        <w:rPr>
          <w:noProof/>
        </w:rPr>
        <w:t>tym w</w:t>
      </w:r>
      <w:r w:rsidR="0028384B">
        <w:rPr>
          <w:noProof/>
        </w:rPr>
        <w:t> </w:t>
      </w:r>
      <w:r w:rsidR="0028384B" w:rsidRPr="002F16A1">
        <w:rPr>
          <w:noProof/>
        </w:rPr>
        <w:t>pos</w:t>
      </w:r>
      <w:r w:rsidR="00AD62E2" w:rsidRPr="002F16A1">
        <w:rPr>
          <w:noProof/>
        </w:rPr>
        <w:t>iedzeniach stałych lub tymczasowych podgrup,</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6</w:t>
      </w:r>
      <w:r w:rsidR="00AD62E2" w:rsidRPr="002F16A1">
        <w:rPr>
          <w:noProof/>
        </w:rPr>
        <w:t>.</w:t>
      </w:r>
    </w:p>
    <w:p w:rsidR="00AD62E2" w:rsidRPr="002F16A1" w:rsidRDefault="00AD62E2" w:rsidP="00AD62E2">
      <w:pPr>
        <w:pStyle w:val="Text1"/>
        <w:rPr>
          <w:noProof/>
        </w:rPr>
      </w:pPr>
      <w:r w:rsidRPr="002F16A1">
        <w:rPr>
          <w:noProof/>
        </w:rPr>
        <w:t>W stosownych przypadkach Rada może zapraszać ekspertów, inne osoby trzecie lub przedstawicieli państw trzecich do udziału</w:t>
      </w:r>
      <w:r w:rsidR="0028384B" w:rsidRPr="002F16A1">
        <w:rPr>
          <w:noProof/>
        </w:rPr>
        <w:t xml:space="preserve"> w</w:t>
      </w:r>
      <w:r w:rsidR="0028384B">
        <w:rPr>
          <w:noProof/>
        </w:rPr>
        <w:t> </w:t>
      </w:r>
      <w:r w:rsidR="0028384B" w:rsidRPr="002F16A1">
        <w:rPr>
          <w:noProof/>
        </w:rPr>
        <w:t>pos</w:t>
      </w:r>
      <w:r w:rsidRPr="002F16A1">
        <w:rPr>
          <w:noProof/>
        </w:rPr>
        <w:t>iedzeniach stałych lub tymczasowych podgrup,</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8384B">
        <w:rPr>
          <w:noProof/>
        </w:rPr>
        <w:t>ust</w:t>
      </w:r>
      <w:r w:rsidRPr="0028384B">
        <w:rPr>
          <w:noProof/>
        </w:rPr>
        <w:t>.</w:t>
      </w:r>
      <w:r w:rsidR="0028384B" w:rsidRPr="0028384B">
        <w:rPr>
          <w:noProof/>
        </w:rPr>
        <w:t> </w:t>
      </w:r>
      <w:r w:rsidRPr="0028384B">
        <w:rPr>
          <w:noProof/>
        </w:rPr>
        <w:t>6</w:t>
      </w:r>
      <w:r w:rsidRPr="002F16A1">
        <w:rPr>
          <w:noProof/>
        </w:rPr>
        <w:t>, jako obserwatorów lub do przedstawiania pisemnych opinii.</w:t>
      </w:r>
    </w:p>
    <w:p w:rsidR="00AD62E2" w:rsidRPr="002F16A1" w:rsidRDefault="00AD62E2" w:rsidP="00AD62E2">
      <w:pPr>
        <w:pStyle w:val="Text1"/>
        <w:rPr>
          <w:noProof/>
        </w:rPr>
      </w:pPr>
      <w:r w:rsidRPr="002F16A1">
        <w:rPr>
          <w:noProof/>
        </w:rPr>
        <w:t>Wykonując swoje zadania, Rada zapewnia –</w:t>
      </w:r>
      <w:r w:rsidR="0028384B" w:rsidRPr="002F16A1">
        <w:rPr>
          <w:noProof/>
        </w:rPr>
        <w:t xml:space="preserve"> w</w:t>
      </w:r>
      <w:r w:rsidR="0028384B">
        <w:rPr>
          <w:noProof/>
        </w:rPr>
        <w:t> </w:t>
      </w:r>
      <w:r w:rsidR="0028384B" w:rsidRPr="002F16A1">
        <w:rPr>
          <w:noProof/>
        </w:rPr>
        <w:t>sto</w:t>
      </w:r>
      <w:r w:rsidRPr="002F16A1">
        <w:rPr>
          <w:noProof/>
        </w:rPr>
        <w:t>sownych przypadkach – koordynację, współpracę</w:t>
      </w:r>
      <w:r w:rsidR="0028384B" w:rsidRPr="002F16A1">
        <w:rPr>
          <w:noProof/>
        </w:rPr>
        <w:t xml:space="preserve"> i</w:t>
      </w:r>
      <w:r w:rsidR="0028384B">
        <w:rPr>
          <w:noProof/>
        </w:rPr>
        <w:t> </w:t>
      </w:r>
      <w:r w:rsidR="0028384B" w:rsidRPr="002F16A1">
        <w:rPr>
          <w:noProof/>
        </w:rPr>
        <w:t>wym</w:t>
      </w:r>
      <w:r w:rsidRPr="002F16A1">
        <w:rPr>
          <w:noProof/>
        </w:rPr>
        <w:t>ianę informacji</w:t>
      </w:r>
      <w:r w:rsidR="0028384B" w:rsidRPr="002F16A1">
        <w:rPr>
          <w:noProof/>
        </w:rPr>
        <w:t xml:space="preserve"> z</w:t>
      </w:r>
      <w:r w:rsidR="0028384B">
        <w:rPr>
          <w:noProof/>
        </w:rPr>
        <w:t> </w:t>
      </w:r>
      <w:r w:rsidR="0028384B" w:rsidRPr="002F16A1">
        <w:rPr>
          <w:noProof/>
        </w:rPr>
        <w:t>odp</w:t>
      </w:r>
      <w:r w:rsidRPr="002F16A1">
        <w:rPr>
          <w:noProof/>
        </w:rPr>
        <w:t>owiednimi strukturami reagowania kryzysowego</w:t>
      </w:r>
      <w:r w:rsidR="0028384B" w:rsidRPr="002F16A1">
        <w:rPr>
          <w:noProof/>
        </w:rPr>
        <w:t xml:space="preserve"> i</w:t>
      </w:r>
      <w:r w:rsidR="0028384B">
        <w:rPr>
          <w:noProof/>
        </w:rPr>
        <w:t> </w:t>
      </w:r>
      <w:r w:rsidR="0028384B" w:rsidRPr="002F16A1">
        <w:rPr>
          <w:noProof/>
        </w:rPr>
        <w:t>got</w:t>
      </w:r>
      <w:r w:rsidRPr="002F16A1">
        <w:rPr>
          <w:noProof/>
        </w:rPr>
        <w:t>owości na wypadek sytuacji kryzysowej ustanowionymi na mocy prawa Unii.</w:t>
      </w:r>
    </w:p>
    <w:p w:rsidR="00AD62E2" w:rsidRPr="002F16A1" w:rsidRDefault="00733965" w:rsidP="00733965">
      <w:pPr>
        <w:pStyle w:val="ManualNumPar1"/>
        <w:rPr>
          <w:noProof/>
        </w:rPr>
      </w:pPr>
      <w:r w:rsidRPr="00733965">
        <w:t>8.</w:t>
      </w:r>
      <w:r w:rsidRPr="00733965">
        <w:tab/>
      </w:r>
      <w:r w:rsidR="00AD62E2" w:rsidRPr="002F16A1">
        <w:rPr>
          <w:noProof/>
        </w:rPr>
        <w:t>Rada wprowadza niezbędne środki</w:t>
      </w:r>
      <w:r w:rsidR="0028384B" w:rsidRPr="002F16A1">
        <w:rPr>
          <w:noProof/>
        </w:rPr>
        <w:t xml:space="preserve"> w</w:t>
      </w:r>
      <w:r w:rsidR="0028384B">
        <w:rPr>
          <w:noProof/>
        </w:rPr>
        <w:t> </w:t>
      </w:r>
      <w:r w:rsidR="0028384B" w:rsidRPr="002F16A1">
        <w:rPr>
          <w:noProof/>
        </w:rPr>
        <w:t>cel</w:t>
      </w:r>
      <w:r w:rsidR="00AD62E2" w:rsidRPr="002F16A1">
        <w:rPr>
          <w:noProof/>
        </w:rPr>
        <w:t>u zapewnienia bezpiecznego postępowania</w:t>
      </w:r>
      <w:r w:rsidR="0028384B" w:rsidRPr="002F16A1">
        <w:rPr>
          <w:noProof/>
        </w:rPr>
        <w:t xml:space="preserve"> z</w:t>
      </w:r>
      <w:r w:rsidR="0028384B">
        <w:rPr>
          <w:noProof/>
        </w:rPr>
        <w:t> </w:t>
      </w:r>
      <w:r w:rsidR="0028384B" w:rsidRPr="002F16A1">
        <w:rPr>
          <w:noProof/>
        </w:rPr>
        <w:t>inf</w:t>
      </w:r>
      <w:r w:rsidR="00AD62E2" w:rsidRPr="002F16A1">
        <w:rPr>
          <w:noProof/>
        </w:rPr>
        <w:t>ormacjami poufnymi</w:t>
      </w:r>
      <w:r w:rsidR="0028384B" w:rsidRPr="002F16A1">
        <w:rPr>
          <w:noProof/>
        </w:rPr>
        <w:t xml:space="preserve"> i</w:t>
      </w:r>
      <w:r w:rsidR="0028384B">
        <w:rPr>
          <w:noProof/>
        </w:rPr>
        <w:t> </w:t>
      </w:r>
      <w:r w:rsidR="0028384B" w:rsidRPr="002F16A1">
        <w:rPr>
          <w:noProof/>
        </w:rPr>
        <w:t>szc</w:t>
      </w:r>
      <w:r w:rsidR="00AD62E2" w:rsidRPr="002F16A1">
        <w:rPr>
          <w:noProof/>
        </w:rPr>
        <w:t>zególnie chronionymi informacjami handlowymi oraz bezpiecznego przetwarzania takich informacji.</w:t>
      </w:r>
    </w:p>
    <w:p w:rsidR="00AD62E2" w:rsidRPr="002F16A1" w:rsidRDefault="00733965" w:rsidP="00733965">
      <w:pPr>
        <w:pStyle w:val="ManualNumPar1"/>
        <w:rPr>
          <w:noProof/>
        </w:rPr>
      </w:pPr>
      <w:r w:rsidRPr="00733965">
        <w:t>9.</w:t>
      </w:r>
      <w:r w:rsidRPr="00733965">
        <w:tab/>
      </w:r>
      <w:r w:rsidR="00AD62E2" w:rsidRPr="002F16A1">
        <w:rPr>
          <w:noProof/>
        </w:rPr>
        <w:t>Rada dokłada wszelkich starań, aby osiągnąć konsensus. </w:t>
      </w:r>
    </w:p>
    <w:p w:rsidR="00AD62E2" w:rsidRPr="002F16A1" w:rsidRDefault="00AD62E2" w:rsidP="00AD62E2">
      <w:pPr>
        <w:pStyle w:val="ChapterTitle"/>
        <w:rPr>
          <w:noProof/>
        </w:rPr>
      </w:pPr>
      <w:r w:rsidRPr="002F16A1">
        <w:rPr>
          <w:noProof/>
        </w:rPr>
        <w:t xml:space="preserve">Rozdział 8 </w:t>
      </w:r>
      <w:r w:rsidRPr="002F16A1">
        <w:rPr>
          <w:noProof/>
        </w:rPr>
        <w:br/>
        <w:t>Przekazane uprawnienia</w:t>
      </w:r>
      <w:r w:rsidR="0028384B" w:rsidRPr="002F16A1">
        <w:rPr>
          <w:noProof/>
        </w:rPr>
        <w:t xml:space="preserve"> i</w:t>
      </w:r>
      <w:r w:rsidR="0028384B">
        <w:rPr>
          <w:noProof/>
        </w:rPr>
        <w:t> </w:t>
      </w:r>
      <w:r w:rsidR="0028384B" w:rsidRPr="002F16A1">
        <w:rPr>
          <w:noProof/>
        </w:rPr>
        <w:t>pro</w:t>
      </w:r>
      <w:r w:rsidRPr="002F16A1">
        <w:rPr>
          <w:noProof/>
        </w:rPr>
        <w:t>cedura komitetowa</w:t>
      </w:r>
    </w:p>
    <w:p w:rsidR="00AD62E2" w:rsidRPr="002F16A1" w:rsidRDefault="00AD62E2" w:rsidP="00AD62E2">
      <w:pPr>
        <w:pStyle w:val="Titrearticle"/>
        <w:rPr>
          <w:noProof/>
        </w:rPr>
      </w:pPr>
      <w:bookmarkStart w:id="24" w:name="_imp_art_d536e1789_hiZtJ4"/>
      <w:bookmarkEnd w:id="24"/>
      <w:r w:rsidRPr="002F16A1">
        <w:rPr>
          <w:noProof/>
        </w:rPr>
        <w:t>Artykuł 36</w:t>
      </w:r>
    </w:p>
    <w:p w:rsidR="00AD62E2" w:rsidRPr="002F16A1" w:rsidRDefault="00AD62E2" w:rsidP="00AD62E2">
      <w:pPr>
        <w:pStyle w:val="NormalCentered"/>
        <w:rPr>
          <w:noProof/>
        </w:rPr>
      </w:pPr>
      <w:r w:rsidRPr="002F16A1">
        <w:rPr>
          <w:b/>
          <w:noProof/>
        </w:rPr>
        <w:t>Wykonywanie przekazanych uprawnień</w:t>
      </w:r>
    </w:p>
    <w:p w:rsidR="00AD62E2" w:rsidRPr="002F16A1" w:rsidRDefault="00733965" w:rsidP="00733965">
      <w:pPr>
        <w:pStyle w:val="ManualNumPar1"/>
        <w:rPr>
          <w:noProof/>
        </w:rPr>
      </w:pPr>
      <w:r w:rsidRPr="00733965">
        <w:t>1.</w:t>
      </w:r>
      <w:r w:rsidRPr="00733965">
        <w:tab/>
      </w:r>
      <w:r w:rsidR="00AD62E2" w:rsidRPr="002F16A1">
        <w:rPr>
          <w:noProof/>
        </w:rPr>
        <w:t>Powierzenie Komisji uprawnień do przyjmowania aktów delegowanych podlega warunkom określonym</w:t>
      </w:r>
      <w:r w:rsidR="0028384B" w:rsidRPr="002F16A1">
        <w:rPr>
          <w:noProof/>
        </w:rPr>
        <w:t xml:space="preserve"> w</w:t>
      </w:r>
      <w:r w:rsidR="0028384B">
        <w:rPr>
          <w:noProof/>
        </w:rPr>
        <w:t> </w:t>
      </w:r>
      <w:r w:rsidR="0028384B" w:rsidRPr="002F16A1">
        <w:rPr>
          <w:noProof/>
        </w:rPr>
        <w:t>nin</w:t>
      </w:r>
      <w:r w:rsidR="00AD62E2" w:rsidRPr="002F16A1">
        <w:rPr>
          <w:noProof/>
        </w:rPr>
        <w:t>iejszym artykule.</w:t>
      </w:r>
    </w:p>
    <w:p w:rsidR="00AD62E2" w:rsidRPr="002F16A1" w:rsidRDefault="00733965" w:rsidP="00733965">
      <w:pPr>
        <w:pStyle w:val="ManualNumPar1"/>
        <w:rPr>
          <w:noProof/>
        </w:rPr>
      </w:pPr>
      <w:r w:rsidRPr="00733965">
        <w:t>2.</w:t>
      </w:r>
      <w:r w:rsidRPr="00733965">
        <w:tab/>
      </w:r>
      <w:r w:rsidR="00AD62E2" w:rsidRPr="002F16A1">
        <w:rPr>
          <w:noProof/>
        </w:rPr>
        <w:t>Uprawnienia do przyjmowania aktów delegowanych,</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rStyle w:val="ui-provider"/>
          <w:noProof/>
        </w:rPr>
        <w:t>art</w:t>
      </w:r>
      <w:r w:rsidR="00AD62E2" w:rsidRPr="0028384B">
        <w:rPr>
          <w:rStyle w:val="ui-provider"/>
          <w:noProof/>
        </w:rPr>
        <w:t>.</w:t>
      </w:r>
      <w:r w:rsidR="0028384B" w:rsidRPr="0028384B">
        <w:rPr>
          <w:rStyle w:val="ui-provider"/>
          <w:noProof/>
        </w:rPr>
        <w:t> </w:t>
      </w:r>
      <w:r w:rsidR="00AD62E2" w:rsidRPr="0028384B">
        <w:rPr>
          <w:rStyle w:val="ui-provider"/>
          <w:noProof/>
        </w:rPr>
        <w:t>3</w:t>
      </w:r>
      <w:r w:rsidR="00AD62E2" w:rsidRPr="002F16A1">
        <w:rPr>
          <w:rStyle w:val="ui-provider"/>
          <w:noProof/>
        </w:rPr>
        <w:t xml:space="preserve"> </w:t>
      </w:r>
      <w:r w:rsidR="00AD62E2" w:rsidRPr="0028384B">
        <w:rPr>
          <w:rStyle w:val="ui-provider"/>
          <w:noProof/>
        </w:rPr>
        <w:t>ust.</w:t>
      </w:r>
      <w:r w:rsidR="0028384B" w:rsidRPr="0028384B">
        <w:rPr>
          <w:rStyle w:val="ui-provider"/>
          <w:noProof/>
        </w:rPr>
        <w:t> </w:t>
      </w:r>
      <w:r w:rsidR="00AD62E2" w:rsidRPr="0028384B">
        <w:rPr>
          <w:rStyle w:val="ui-provider"/>
          <w:noProof/>
        </w:rPr>
        <w:t>2</w:t>
      </w:r>
      <w:r w:rsidR="00AD62E2" w:rsidRPr="002F16A1">
        <w:rPr>
          <w:rStyle w:val="ui-provider"/>
          <w:noProof/>
        </w:rPr>
        <w:t xml:space="preserve">, </w:t>
      </w:r>
      <w:r w:rsidR="00AD62E2" w:rsidRPr="0028384B">
        <w:rPr>
          <w:rStyle w:val="ui-provider"/>
          <w:noProof/>
        </w:rPr>
        <w:t>art.</w:t>
      </w:r>
      <w:r w:rsidR="0028384B" w:rsidRPr="0028384B">
        <w:rPr>
          <w:rStyle w:val="ui-provider"/>
          <w:noProof/>
        </w:rPr>
        <w:t> </w:t>
      </w:r>
      <w:r w:rsidR="00AD62E2" w:rsidRPr="0028384B">
        <w:rPr>
          <w:rStyle w:val="ui-provider"/>
          <w:noProof/>
        </w:rPr>
        <w:t>4</w:t>
      </w:r>
      <w:r w:rsidR="00AD62E2" w:rsidRPr="002F16A1">
        <w:rPr>
          <w:rStyle w:val="ui-provider"/>
          <w:noProof/>
        </w:rPr>
        <w:t xml:space="preserve"> </w:t>
      </w:r>
      <w:r w:rsidR="00AD62E2" w:rsidRPr="0028384B">
        <w:rPr>
          <w:rStyle w:val="ui-provider"/>
          <w:noProof/>
        </w:rPr>
        <w:t>ust.</w:t>
      </w:r>
      <w:r w:rsidR="0028384B" w:rsidRPr="0028384B">
        <w:rPr>
          <w:rStyle w:val="ui-provider"/>
          <w:noProof/>
        </w:rPr>
        <w:t> </w:t>
      </w:r>
      <w:r w:rsidR="00AD62E2" w:rsidRPr="0028384B">
        <w:rPr>
          <w:rStyle w:val="ui-provider"/>
          <w:noProof/>
        </w:rPr>
        <w:t>2</w:t>
      </w:r>
      <w:r w:rsidR="00AD62E2" w:rsidRPr="002F16A1">
        <w:rPr>
          <w:rStyle w:val="ui-provider"/>
          <w:noProof/>
        </w:rPr>
        <w:t xml:space="preserve">, </w:t>
      </w:r>
      <w:r w:rsidR="00AD62E2" w:rsidRPr="0028384B">
        <w:rPr>
          <w:rStyle w:val="ui-provider"/>
          <w:noProof/>
        </w:rPr>
        <w:t>art.</w:t>
      </w:r>
      <w:r w:rsidR="0028384B" w:rsidRPr="0028384B">
        <w:rPr>
          <w:rStyle w:val="ui-provider"/>
          <w:noProof/>
        </w:rPr>
        <w:t> </w:t>
      </w:r>
      <w:r w:rsidR="00AD62E2" w:rsidRPr="0028384B">
        <w:rPr>
          <w:rStyle w:val="ui-provider"/>
          <w:noProof/>
        </w:rPr>
        <w:t>5</w:t>
      </w:r>
      <w:r w:rsidR="00AD62E2" w:rsidRPr="002F16A1">
        <w:rPr>
          <w:rStyle w:val="ui-provider"/>
          <w:noProof/>
        </w:rPr>
        <w:t xml:space="preserve"> </w:t>
      </w:r>
      <w:r w:rsidR="00AD62E2" w:rsidRPr="0028384B">
        <w:rPr>
          <w:rStyle w:val="ui-provider"/>
          <w:noProof/>
        </w:rPr>
        <w:t>ust.</w:t>
      </w:r>
      <w:r w:rsidR="0028384B" w:rsidRPr="0028384B">
        <w:rPr>
          <w:rStyle w:val="ui-provider"/>
          <w:noProof/>
        </w:rPr>
        <w:t> </w:t>
      </w:r>
      <w:r w:rsidR="00AD62E2" w:rsidRPr="0028384B">
        <w:rPr>
          <w:rStyle w:val="ui-provider"/>
          <w:noProof/>
        </w:rPr>
        <w:t>2</w:t>
      </w:r>
      <w:r w:rsidR="00AD62E2" w:rsidRPr="002F16A1">
        <w:rPr>
          <w:rStyle w:val="ui-provider"/>
          <w:noProof/>
        </w:rPr>
        <w:t xml:space="preserve">, </w:t>
      </w:r>
      <w:r w:rsidR="00AD62E2" w:rsidRPr="0028384B">
        <w:rPr>
          <w:rStyle w:val="ui-provider"/>
          <w:noProof/>
        </w:rPr>
        <w:t>art.</w:t>
      </w:r>
      <w:r w:rsidR="0028384B" w:rsidRPr="0028384B">
        <w:rPr>
          <w:rStyle w:val="ui-provider"/>
          <w:noProof/>
        </w:rPr>
        <w:t> </w:t>
      </w:r>
      <w:r w:rsidR="00AD62E2" w:rsidRPr="0028384B">
        <w:rPr>
          <w:rStyle w:val="ui-provider"/>
          <w:noProof/>
        </w:rPr>
        <w:t>2</w:t>
      </w:r>
      <w:r w:rsidR="00AD62E2" w:rsidRPr="002F16A1">
        <w:rPr>
          <w:rStyle w:val="ui-provider"/>
          <w:noProof/>
        </w:rPr>
        <w:t xml:space="preserve">7 </w:t>
      </w:r>
      <w:r w:rsidR="00AD62E2" w:rsidRPr="0028384B">
        <w:rPr>
          <w:rStyle w:val="ui-provider"/>
          <w:noProof/>
        </w:rPr>
        <w:t>ust.</w:t>
      </w:r>
      <w:r w:rsidR="0028384B" w:rsidRPr="0028384B">
        <w:rPr>
          <w:rStyle w:val="ui-provider"/>
          <w:noProof/>
        </w:rPr>
        <w:t> </w:t>
      </w:r>
      <w:r w:rsidR="00AD62E2" w:rsidRPr="0028384B">
        <w:rPr>
          <w:rStyle w:val="ui-provider"/>
          <w:noProof/>
        </w:rPr>
        <w:t>1</w:t>
      </w:r>
      <w:r w:rsidR="00AD62E2" w:rsidRPr="002F16A1">
        <w:rPr>
          <w:rStyle w:val="ui-provider"/>
          <w:noProof/>
        </w:rPr>
        <w:t xml:space="preserve">2, </w:t>
      </w:r>
      <w:r w:rsidR="00AD62E2" w:rsidRPr="0028384B">
        <w:rPr>
          <w:rStyle w:val="ui-provider"/>
          <w:noProof/>
        </w:rPr>
        <w:t>art.</w:t>
      </w:r>
      <w:r w:rsidR="0028384B" w:rsidRPr="0028384B">
        <w:rPr>
          <w:rStyle w:val="ui-provider"/>
          <w:noProof/>
        </w:rPr>
        <w:t> </w:t>
      </w:r>
      <w:r w:rsidR="00AD62E2" w:rsidRPr="0028384B">
        <w:rPr>
          <w:rStyle w:val="ui-provider"/>
          <w:noProof/>
        </w:rPr>
        <w:t>2</w:t>
      </w:r>
      <w:r w:rsidR="00AD62E2" w:rsidRPr="002F16A1">
        <w:rPr>
          <w:rStyle w:val="ui-provider"/>
          <w:noProof/>
        </w:rPr>
        <w:t xml:space="preserve">8 </w:t>
      </w:r>
      <w:r w:rsidR="00AD62E2" w:rsidRPr="0028384B">
        <w:rPr>
          <w:rStyle w:val="ui-provider"/>
          <w:noProof/>
        </w:rPr>
        <w:t>ust.</w:t>
      </w:r>
      <w:r w:rsidR="0028384B" w:rsidRPr="0028384B">
        <w:rPr>
          <w:rStyle w:val="ui-provider"/>
          <w:noProof/>
        </w:rPr>
        <w:t> </w:t>
      </w:r>
      <w:r w:rsidR="00AD62E2" w:rsidRPr="0028384B">
        <w:rPr>
          <w:rStyle w:val="ui-provider"/>
          <w:noProof/>
        </w:rPr>
        <w:t>2</w:t>
      </w:r>
      <w:r w:rsidR="00AD62E2" w:rsidRPr="002F16A1">
        <w:rPr>
          <w:rStyle w:val="ui-provider"/>
          <w:noProof/>
        </w:rPr>
        <w:t xml:space="preserve"> oraz </w:t>
      </w:r>
      <w:r w:rsidR="00AD62E2" w:rsidRPr="0028384B">
        <w:rPr>
          <w:rStyle w:val="ui-provider"/>
          <w:noProof/>
        </w:rPr>
        <w:t>art.</w:t>
      </w:r>
      <w:r w:rsidR="0028384B" w:rsidRPr="0028384B">
        <w:rPr>
          <w:rStyle w:val="ui-provider"/>
          <w:noProof/>
        </w:rPr>
        <w:t> </w:t>
      </w:r>
      <w:r w:rsidR="00AD62E2" w:rsidRPr="0028384B">
        <w:rPr>
          <w:rStyle w:val="ui-provider"/>
          <w:noProof/>
        </w:rPr>
        <w:t>3</w:t>
      </w:r>
      <w:r w:rsidR="00AD62E2" w:rsidRPr="002F16A1">
        <w:rPr>
          <w:rStyle w:val="ui-provider"/>
          <w:noProof/>
        </w:rPr>
        <w:t xml:space="preserve">0 </w:t>
      </w:r>
      <w:r w:rsidR="00AD62E2" w:rsidRPr="0028384B">
        <w:rPr>
          <w:rStyle w:val="ui-provider"/>
          <w:noProof/>
        </w:rPr>
        <w:t>ust.</w:t>
      </w:r>
      <w:r w:rsidR="0028384B" w:rsidRPr="0028384B">
        <w:rPr>
          <w:rStyle w:val="ui-provider"/>
          <w:noProof/>
        </w:rPr>
        <w:t> </w:t>
      </w:r>
      <w:r w:rsidR="00AD62E2" w:rsidRPr="0028384B">
        <w:rPr>
          <w:rStyle w:val="ui-provider"/>
          <w:noProof/>
        </w:rPr>
        <w:t>1</w:t>
      </w:r>
      <w:r w:rsidR="0028384B" w:rsidRPr="002F16A1">
        <w:rPr>
          <w:rStyle w:val="ui-provider"/>
          <w:noProof/>
        </w:rPr>
        <w:t xml:space="preserve"> i</w:t>
      </w:r>
      <w:r w:rsidR="0028384B">
        <w:rPr>
          <w:rStyle w:val="ui-provider"/>
          <w:noProof/>
        </w:rPr>
        <w:t> </w:t>
      </w:r>
      <w:r w:rsidR="0028384B" w:rsidRPr="002F16A1">
        <w:rPr>
          <w:rStyle w:val="ui-provider"/>
          <w:noProof/>
        </w:rPr>
        <w:t>5</w:t>
      </w:r>
      <w:r w:rsidR="00AD62E2" w:rsidRPr="002F16A1">
        <w:rPr>
          <w:noProof/>
        </w:rPr>
        <w:t>, powierza się Komisji na okres ośmiu lat od dnia [</w:t>
      </w:r>
      <w:r w:rsidR="00AD62E2" w:rsidRPr="002F16A1">
        <w:rPr>
          <w:i/>
          <w:iCs/>
          <w:noProof/>
        </w:rPr>
        <w:t>Urząd Publikacji: proszę wstawić</w:t>
      </w:r>
      <w:r w:rsidR="00AD62E2" w:rsidRPr="002F16A1">
        <w:rPr>
          <w:noProof/>
        </w:rPr>
        <w:t xml:space="preserve"> </w:t>
      </w:r>
      <w:r w:rsidR="00AD62E2" w:rsidRPr="002F16A1">
        <w:rPr>
          <w:i/>
          <w:iCs/>
          <w:noProof/>
        </w:rPr>
        <w:t>datę: miesiąc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 Komisja sporządza sprawozdanie dotyczące przekazania uprawnień nie później niż dziewięć miesięcy przed końcem tego sześcioletniego okresu. Przekazanie uprawnień zostaje automatycznie przedłużone na takie same okresy, chyba że Parlament Europejski lub Rada sprzeciwią się takiemu przedłużeniu nie później niż trzy miesiące przed końcem danego okresu.</w:t>
      </w:r>
    </w:p>
    <w:p w:rsidR="00AD62E2" w:rsidRPr="002F16A1" w:rsidRDefault="00733965" w:rsidP="00733965">
      <w:pPr>
        <w:pStyle w:val="ManualNumPar1"/>
        <w:rPr>
          <w:noProof/>
        </w:rPr>
      </w:pPr>
      <w:r w:rsidRPr="00733965">
        <w:t>3.</w:t>
      </w:r>
      <w:r w:rsidRPr="00733965">
        <w:tab/>
      </w:r>
      <w:r w:rsidR="00AD62E2" w:rsidRPr="002F16A1">
        <w:rPr>
          <w:noProof/>
        </w:rPr>
        <w:t>Przekazanie uprawnień,</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rStyle w:val="ui-provider"/>
          <w:noProof/>
        </w:rPr>
        <w:t>art</w:t>
      </w:r>
      <w:r w:rsidR="00AD62E2" w:rsidRPr="0028384B">
        <w:rPr>
          <w:rStyle w:val="ui-provider"/>
          <w:noProof/>
        </w:rPr>
        <w:t>.</w:t>
      </w:r>
      <w:r w:rsidR="0028384B" w:rsidRPr="0028384B">
        <w:rPr>
          <w:rStyle w:val="ui-provider"/>
          <w:noProof/>
        </w:rPr>
        <w:t> </w:t>
      </w:r>
      <w:r w:rsidR="00AD62E2" w:rsidRPr="0028384B">
        <w:rPr>
          <w:rStyle w:val="ui-provider"/>
          <w:noProof/>
        </w:rPr>
        <w:t>3</w:t>
      </w:r>
      <w:r w:rsidR="00AD62E2" w:rsidRPr="002F16A1">
        <w:rPr>
          <w:rStyle w:val="ui-provider"/>
          <w:noProof/>
        </w:rPr>
        <w:t xml:space="preserve"> </w:t>
      </w:r>
      <w:r w:rsidR="00AD62E2" w:rsidRPr="0028384B">
        <w:rPr>
          <w:rStyle w:val="ui-provider"/>
          <w:noProof/>
        </w:rPr>
        <w:t>ust.</w:t>
      </w:r>
      <w:r w:rsidR="0028384B" w:rsidRPr="0028384B">
        <w:rPr>
          <w:rStyle w:val="ui-provider"/>
          <w:noProof/>
        </w:rPr>
        <w:t> </w:t>
      </w:r>
      <w:r w:rsidR="00AD62E2" w:rsidRPr="0028384B">
        <w:rPr>
          <w:rStyle w:val="ui-provider"/>
          <w:noProof/>
        </w:rPr>
        <w:t>2</w:t>
      </w:r>
      <w:r w:rsidR="00AD62E2" w:rsidRPr="002F16A1">
        <w:rPr>
          <w:rStyle w:val="ui-provider"/>
          <w:noProof/>
        </w:rPr>
        <w:t xml:space="preserve">, </w:t>
      </w:r>
      <w:r w:rsidR="00AD62E2" w:rsidRPr="0028384B">
        <w:rPr>
          <w:rStyle w:val="ui-provider"/>
          <w:noProof/>
        </w:rPr>
        <w:t>art.</w:t>
      </w:r>
      <w:r w:rsidR="0028384B" w:rsidRPr="0028384B">
        <w:rPr>
          <w:rStyle w:val="ui-provider"/>
          <w:noProof/>
        </w:rPr>
        <w:t> </w:t>
      </w:r>
      <w:r w:rsidR="00AD62E2" w:rsidRPr="0028384B">
        <w:rPr>
          <w:rStyle w:val="ui-provider"/>
          <w:noProof/>
        </w:rPr>
        <w:t>4</w:t>
      </w:r>
      <w:r w:rsidR="00AD62E2" w:rsidRPr="002F16A1">
        <w:rPr>
          <w:rStyle w:val="ui-provider"/>
          <w:noProof/>
        </w:rPr>
        <w:t xml:space="preserve"> </w:t>
      </w:r>
      <w:r w:rsidR="00AD62E2" w:rsidRPr="0028384B">
        <w:rPr>
          <w:rStyle w:val="ui-provider"/>
          <w:noProof/>
        </w:rPr>
        <w:t>ust.</w:t>
      </w:r>
      <w:r w:rsidR="0028384B" w:rsidRPr="0028384B">
        <w:rPr>
          <w:rStyle w:val="ui-provider"/>
          <w:noProof/>
        </w:rPr>
        <w:t> </w:t>
      </w:r>
      <w:r w:rsidR="00AD62E2" w:rsidRPr="0028384B">
        <w:rPr>
          <w:rStyle w:val="ui-provider"/>
          <w:noProof/>
        </w:rPr>
        <w:t>2</w:t>
      </w:r>
      <w:r w:rsidR="00AD62E2" w:rsidRPr="002F16A1">
        <w:rPr>
          <w:rStyle w:val="ui-provider"/>
          <w:noProof/>
        </w:rPr>
        <w:t xml:space="preserve">, </w:t>
      </w:r>
      <w:r w:rsidR="00AD62E2" w:rsidRPr="0028384B">
        <w:rPr>
          <w:rStyle w:val="ui-provider"/>
          <w:noProof/>
        </w:rPr>
        <w:t>art.</w:t>
      </w:r>
      <w:r w:rsidR="0028384B" w:rsidRPr="0028384B">
        <w:rPr>
          <w:rStyle w:val="ui-provider"/>
          <w:noProof/>
        </w:rPr>
        <w:t> </w:t>
      </w:r>
      <w:r w:rsidR="00AD62E2" w:rsidRPr="0028384B">
        <w:rPr>
          <w:rStyle w:val="ui-provider"/>
          <w:noProof/>
        </w:rPr>
        <w:t>5</w:t>
      </w:r>
      <w:r w:rsidR="00AD62E2" w:rsidRPr="002F16A1">
        <w:rPr>
          <w:rStyle w:val="ui-provider"/>
          <w:noProof/>
        </w:rPr>
        <w:t xml:space="preserve"> </w:t>
      </w:r>
      <w:r w:rsidR="00AD62E2" w:rsidRPr="0028384B">
        <w:rPr>
          <w:rStyle w:val="ui-provider"/>
          <w:noProof/>
        </w:rPr>
        <w:t>ust.</w:t>
      </w:r>
      <w:r w:rsidR="0028384B" w:rsidRPr="0028384B">
        <w:rPr>
          <w:rStyle w:val="ui-provider"/>
          <w:noProof/>
        </w:rPr>
        <w:t> </w:t>
      </w:r>
      <w:r w:rsidR="00AD62E2" w:rsidRPr="0028384B">
        <w:rPr>
          <w:rStyle w:val="ui-provider"/>
          <w:noProof/>
        </w:rPr>
        <w:t>2</w:t>
      </w:r>
      <w:r w:rsidR="00AD62E2" w:rsidRPr="002F16A1">
        <w:rPr>
          <w:rStyle w:val="ui-provider"/>
          <w:noProof/>
        </w:rPr>
        <w:t xml:space="preserve">, </w:t>
      </w:r>
      <w:r w:rsidR="00AD62E2" w:rsidRPr="0028384B">
        <w:rPr>
          <w:rStyle w:val="ui-provider"/>
          <w:noProof/>
        </w:rPr>
        <w:t>art.</w:t>
      </w:r>
      <w:r w:rsidR="0028384B" w:rsidRPr="0028384B">
        <w:rPr>
          <w:rStyle w:val="ui-provider"/>
          <w:noProof/>
        </w:rPr>
        <w:t> </w:t>
      </w:r>
      <w:r w:rsidR="00AD62E2" w:rsidRPr="0028384B">
        <w:rPr>
          <w:rStyle w:val="ui-provider"/>
          <w:noProof/>
        </w:rPr>
        <w:t>2</w:t>
      </w:r>
      <w:r w:rsidR="00AD62E2" w:rsidRPr="002F16A1">
        <w:rPr>
          <w:rStyle w:val="ui-provider"/>
          <w:noProof/>
        </w:rPr>
        <w:t xml:space="preserve">7 </w:t>
      </w:r>
      <w:r w:rsidR="00AD62E2" w:rsidRPr="0028384B">
        <w:rPr>
          <w:rStyle w:val="ui-provider"/>
          <w:noProof/>
        </w:rPr>
        <w:t>ust.</w:t>
      </w:r>
      <w:r w:rsidR="0028384B" w:rsidRPr="0028384B">
        <w:rPr>
          <w:rStyle w:val="ui-provider"/>
          <w:noProof/>
        </w:rPr>
        <w:t> </w:t>
      </w:r>
      <w:r w:rsidR="00AD62E2" w:rsidRPr="0028384B">
        <w:rPr>
          <w:rStyle w:val="ui-provider"/>
          <w:noProof/>
        </w:rPr>
        <w:t>1</w:t>
      </w:r>
      <w:r w:rsidR="00AD62E2" w:rsidRPr="002F16A1">
        <w:rPr>
          <w:rStyle w:val="ui-provider"/>
          <w:noProof/>
        </w:rPr>
        <w:t xml:space="preserve">2, </w:t>
      </w:r>
      <w:r w:rsidR="00AD62E2" w:rsidRPr="0028384B">
        <w:rPr>
          <w:rStyle w:val="ui-provider"/>
          <w:noProof/>
        </w:rPr>
        <w:t>art.</w:t>
      </w:r>
      <w:r w:rsidR="0028384B" w:rsidRPr="0028384B">
        <w:rPr>
          <w:rStyle w:val="ui-provider"/>
          <w:noProof/>
        </w:rPr>
        <w:t> </w:t>
      </w:r>
      <w:r w:rsidR="00AD62E2" w:rsidRPr="0028384B">
        <w:rPr>
          <w:rStyle w:val="ui-provider"/>
          <w:noProof/>
        </w:rPr>
        <w:t>2</w:t>
      </w:r>
      <w:r w:rsidR="00AD62E2" w:rsidRPr="002F16A1">
        <w:rPr>
          <w:rStyle w:val="ui-provider"/>
          <w:noProof/>
        </w:rPr>
        <w:t xml:space="preserve">8 </w:t>
      </w:r>
      <w:r w:rsidR="00AD62E2" w:rsidRPr="0028384B">
        <w:rPr>
          <w:rStyle w:val="ui-provider"/>
          <w:noProof/>
        </w:rPr>
        <w:t>ust.</w:t>
      </w:r>
      <w:r w:rsidR="0028384B" w:rsidRPr="0028384B">
        <w:rPr>
          <w:rStyle w:val="ui-provider"/>
          <w:noProof/>
        </w:rPr>
        <w:t> </w:t>
      </w:r>
      <w:r w:rsidR="00AD62E2" w:rsidRPr="0028384B">
        <w:rPr>
          <w:rStyle w:val="ui-provider"/>
          <w:noProof/>
        </w:rPr>
        <w:t>2</w:t>
      </w:r>
      <w:r w:rsidR="00AD62E2" w:rsidRPr="002F16A1">
        <w:rPr>
          <w:rStyle w:val="ui-provider"/>
          <w:noProof/>
        </w:rPr>
        <w:t xml:space="preserve"> oraz </w:t>
      </w:r>
      <w:r w:rsidR="00AD62E2" w:rsidRPr="0028384B">
        <w:rPr>
          <w:rStyle w:val="ui-provider"/>
          <w:noProof/>
        </w:rPr>
        <w:t>art.</w:t>
      </w:r>
      <w:r w:rsidR="0028384B" w:rsidRPr="0028384B">
        <w:rPr>
          <w:rStyle w:val="ui-provider"/>
          <w:noProof/>
        </w:rPr>
        <w:t> </w:t>
      </w:r>
      <w:r w:rsidR="00AD62E2" w:rsidRPr="0028384B">
        <w:rPr>
          <w:rStyle w:val="ui-provider"/>
          <w:noProof/>
        </w:rPr>
        <w:t>3</w:t>
      </w:r>
      <w:r w:rsidR="00AD62E2" w:rsidRPr="002F16A1">
        <w:rPr>
          <w:rStyle w:val="ui-provider"/>
          <w:noProof/>
        </w:rPr>
        <w:t xml:space="preserve">0 </w:t>
      </w:r>
      <w:r w:rsidR="00AD62E2" w:rsidRPr="0028384B">
        <w:rPr>
          <w:rStyle w:val="ui-provider"/>
          <w:noProof/>
        </w:rPr>
        <w:t>ust.</w:t>
      </w:r>
      <w:r w:rsidR="0028384B" w:rsidRPr="0028384B">
        <w:rPr>
          <w:rStyle w:val="ui-provider"/>
          <w:noProof/>
        </w:rPr>
        <w:t> </w:t>
      </w:r>
      <w:r w:rsidR="00AD62E2" w:rsidRPr="0028384B">
        <w:rPr>
          <w:rStyle w:val="ui-provider"/>
          <w:noProof/>
        </w:rPr>
        <w:t>1</w:t>
      </w:r>
      <w:r w:rsidR="0028384B" w:rsidRPr="002F16A1">
        <w:rPr>
          <w:rStyle w:val="ui-provider"/>
          <w:noProof/>
        </w:rPr>
        <w:t xml:space="preserve"> i</w:t>
      </w:r>
      <w:r w:rsidR="0028384B">
        <w:rPr>
          <w:rStyle w:val="ui-provider"/>
          <w:noProof/>
        </w:rPr>
        <w:t> </w:t>
      </w:r>
      <w:r w:rsidR="0028384B" w:rsidRPr="002F16A1">
        <w:rPr>
          <w:rStyle w:val="ui-provider"/>
          <w:noProof/>
        </w:rPr>
        <w:t>5</w:t>
      </w:r>
      <w:r w:rsidR="00AD62E2" w:rsidRPr="002F16A1">
        <w:rPr>
          <w:noProof/>
        </w:rPr>
        <w:t>, może zostać</w:t>
      </w:r>
      <w:r w:rsidR="0028384B" w:rsidRPr="002F16A1">
        <w:rPr>
          <w:noProof/>
        </w:rPr>
        <w:t xml:space="preserve"> w</w:t>
      </w:r>
      <w:r w:rsidR="0028384B">
        <w:rPr>
          <w:noProof/>
        </w:rPr>
        <w:t> </w:t>
      </w:r>
      <w:r w:rsidR="0028384B" w:rsidRPr="002F16A1">
        <w:rPr>
          <w:noProof/>
        </w:rPr>
        <w:t>dow</w:t>
      </w:r>
      <w:r w:rsidR="00AD62E2" w:rsidRPr="002F16A1">
        <w:rPr>
          <w:noProof/>
        </w:rPr>
        <w:t>olnym momencie odwołane przez Parlament Europejski lub przez Radę. Decyzja</w:t>
      </w:r>
      <w:r w:rsidR="0028384B" w:rsidRPr="002F16A1">
        <w:rPr>
          <w:noProof/>
        </w:rPr>
        <w:t xml:space="preserve"> o</w:t>
      </w:r>
      <w:r w:rsidR="0028384B">
        <w:rPr>
          <w:noProof/>
        </w:rPr>
        <w:t> </w:t>
      </w:r>
      <w:r w:rsidR="0028384B" w:rsidRPr="002F16A1">
        <w:rPr>
          <w:noProof/>
        </w:rPr>
        <w:t>odw</w:t>
      </w:r>
      <w:r w:rsidR="00AD62E2" w:rsidRPr="002F16A1">
        <w:rPr>
          <w:noProof/>
        </w:rPr>
        <w:t>ołaniu kończy przekazanie określonych</w:t>
      </w:r>
      <w:r w:rsidR="0028384B" w:rsidRPr="002F16A1">
        <w:rPr>
          <w:noProof/>
        </w:rPr>
        <w:t xml:space="preserve"> w</w:t>
      </w:r>
      <w:r w:rsidR="0028384B">
        <w:rPr>
          <w:noProof/>
        </w:rPr>
        <w:t> </w:t>
      </w:r>
      <w:r w:rsidR="0028384B" w:rsidRPr="002F16A1">
        <w:rPr>
          <w:noProof/>
        </w:rPr>
        <w:t>nie</w:t>
      </w:r>
      <w:r w:rsidR="00AD62E2" w:rsidRPr="002F16A1">
        <w:rPr>
          <w:noProof/>
        </w:rPr>
        <w:t>j uprawnień. Decyzja</w:t>
      </w:r>
      <w:r w:rsidR="0028384B" w:rsidRPr="002F16A1">
        <w:rPr>
          <w:noProof/>
        </w:rPr>
        <w:t xml:space="preserve"> o</w:t>
      </w:r>
      <w:r w:rsidR="0028384B">
        <w:rPr>
          <w:noProof/>
        </w:rPr>
        <w:t> </w:t>
      </w:r>
      <w:r w:rsidR="0028384B" w:rsidRPr="002F16A1">
        <w:rPr>
          <w:noProof/>
        </w:rPr>
        <w:t>odw</w:t>
      </w:r>
      <w:r w:rsidR="00AD62E2" w:rsidRPr="002F16A1">
        <w:rPr>
          <w:noProof/>
        </w:rPr>
        <w:t>ołaniu staje się skuteczna od następnego dnia po jej opublikowaniu</w:t>
      </w:r>
      <w:r w:rsidR="0028384B" w:rsidRPr="002F16A1">
        <w:rPr>
          <w:noProof/>
        </w:rPr>
        <w:t xml:space="preserve"> w</w:t>
      </w:r>
      <w:r w:rsidR="0028384B">
        <w:rPr>
          <w:noProof/>
        </w:rPr>
        <w:t> </w:t>
      </w:r>
      <w:r w:rsidR="0028384B" w:rsidRPr="002F16A1">
        <w:rPr>
          <w:i/>
          <w:noProof/>
        </w:rPr>
        <w:t>Dzi</w:t>
      </w:r>
      <w:r w:rsidR="00AD62E2" w:rsidRPr="002F16A1">
        <w:rPr>
          <w:i/>
          <w:noProof/>
        </w:rPr>
        <w:t>enniku Urzędowym Unii Europejskiej</w:t>
      </w:r>
      <w:r w:rsidR="00AD62E2" w:rsidRPr="002F16A1">
        <w:rPr>
          <w:noProof/>
        </w:rPr>
        <w:t xml:space="preserve"> lub</w:t>
      </w:r>
      <w:r w:rsidR="0028384B" w:rsidRPr="002F16A1">
        <w:rPr>
          <w:noProof/>
        </w:rPr>
        <w:t xml:space="preserve"> w</w:t>
      </w:r>
      <w:r w:rsidR="0028384B">
        <w:rPr>
          <w:noProof/>
        </w:rPr>
        <w:t> </w:t>
      </w:r>
      <w:r w:rsidR="0028384B" w:rsidRPr="002F16A1">
        <w:rPr>
          <w:noProof/>
        </w:rPr>
        <w:t>okr</w:t>
      </w:r>
      <w:r w:rsidR="00AD62E2" w:rsidRPr="002F16A1">
        <w:rPr>
          <w:noProof/>
        </w:rPr>
        <w:t>eślonym</w:t>
      </w:r>
      <w:r w:rsidR="0028384B" w:rsidRPr="002F16A1">
        <w:rPr>
          <w:noProof/>
        </w:rPr>
        <w:t xml:space="preserve"> w</w:t>
      </w:r>
      <w:r w:rsidR="0028384B">
        <w:rPr>
          <w:noProof/>
        </w:rPr>
        <w:t> </w:t>
      </w:r>
      <w:r w:rsidR="0028384B" w:rsidRPr="002F16A1">
        <w:rPr>
          <w:noProof/>
        </w:rPr>
        <w:t>tej</w:t>
      </w:r>
      <w:r w:rsidR="00AD62E2" w:rsidRPr="002F16A1">
        <w:rPr>
          <w:noProof/>
        </w:rPr>
        <w:t xml:space="preserve"> decyzji późniejszym terminie. Nie wpływa ona na ważność jakichkolwiek już obowiązujących aktów delegowanych.</w:t>
      </w:r>
    </w:p>
    <w:p w:rsidR="00AD62E2" w:rsidRPr="002F16A1" w:rsidRDefault="00733965" w:rsidP="00733965">
      <w:pPr>
        <w:pStyle w:val="ManualNumPar1"/>
        <w:rPr>
          <w:noProof/>
        </w:rPr>
      </w:pPr>
      <w:r w:rsidRPr="00733965">
        <w:t>4.</w:t>
      </w:r>
      <w:r w:rsidRPr="00733965">
        <w:tab/>
      </w:r>
      <w:r w:rsidR="00AD62E2" w:rsidRPr="002F16A1">
        <w:rPr>
          <w:noProof/>
        </w:rPr>
        <w:t>Przed przyjęciem aktu delegowanego Komisja konsultuje się</w:t>
      </w:r>
      <w:r w:rsidR="0028384B" w:rsidRPr="002F16A1">
        <w:rPr>
          <w:noProof/>
        </w:rPr>
        <w:t xml:space="preserve"> z</w:t>
      </w:r>
      <w:r w:rsidR="0028384B">
        <w:rPr>
          <w:noProof/>
        </w:rPr>
        <w:t> </w:t>
      </w:r>
      <w:r w:rsidR="0028384B" w:rsidRPr="002F16A1">
        <w:rPr>
          <w:noProof/>
        </w:rPr>
        <w:t>eks</w:t>
      </w:r>
      <w:r w:rsidR="00AD62E2" w:rsidRPr="002F16A1">
        <w:rPr>
          <w:noProof/>
        </w:rPr>
        <w:t>pertami wyznaczonymi przez każde państwo członkowskie zgodnie</w:t>
      </w:r>
      <w:r w:rsidR="0028384B" w:rsidRPr="002F16A1">
        <w:rPr>
          <w:noProof/>
        </w:rPr>
        <w:t xml:space="preserve"> z</w:t>
      </w:r>
      <w:r w:rsidR="0028384B">
        <w:rPr>
          <w:noProof/>
        </w:rPr>
        <w:t> </w:t>
      </w:r>
      <w:r w:rsidR="0028384B" w:rsidRPr="002F16A1">
        <w:rPr>
          <w:noProof/>
        </w:rPr>
        <w:t>zas</w:t>
      </w:r>
      <w:r w:rsidR="00AD62E2" w:rsidRPr="002F16A1">
        <w:rPr>
          <w:noProof/>
        </w:rPr>
        <w:t>adami określonymi</w:t>
      </w:r>
      <w:r w:rsidR="0028384B" w:rsidRPr="002F16A1">
        <w:rPr>
          <w:noProof/>
        </w:rPr>
        <w:t xml:space="preserve"> w</w:t>
      </w:r>
      <w:r w:rsidR="0028384B">
        <w:rPr>
          <w:noProof/>
        </w:rPr>
        <w:t> </w:t>
      </w:r>
      <w:r w:rsidR="0028384B" w:rsidRPr="002F16A1">
        <w:rPr>
          <w:noProof/>
        </w:rPr>
        <w:t>Por</w:t>
      </w:r>
      <w:r w:rsidR="00AD62E2" w:rsidRPr="002F16A1">
        <w:rPr>
          <w:noProof/>
        </w:rPr>
        <w:t>ozumieniu międzyinstytucjonalnym</w:t>
      </w:r>
      <w:r w:rsidR="0028384B" w:rsidRPr="002F16A1">
        <w:rPr>
          <w:noProof/>
        </w:rPr>
        <w:t xml:space="preserve"> w</w:t>
      </w:r>
      <w:r w:rsidR="0028384B">
        <w:rPr>
          <w:noProof/>
        </w:rPr>
        <w:t> </w:t>
      </w:r>
      <w:r w:rsidR="0028384B" w:rsidRPr="002F16A1">
        <w:rPr>
          <w:noProof/>
        </w:rPr>
        <w:t>spr</w:t>
      </w:r>
      <w:r w:rsidR="00AD62E2" w:rsidRPr="002F16A1">
        <w:rPr>
          <w:noProof/>
        </w:rPr>
        <w:t>awie lepszego stanowienia prawa</w:t>
      </w:r>
      <w:r w:rsidR="0028384B" w:rsidRPr="002F16A1">
        <w:rPr>
          <w:noProof/>
        </w:rPr>
        <w:t xml:space="preserve"> z</w:t>
      </w:r>
      <w:r w:rsidR="0028384B">
        <w:rPr>
          <w:noProof/>
        </w:rPr>
        <w:t> </w:t>
      </w:r>
      <w:r w:rsidR="0028384B" w:rsidRPr="002F16A1">
        <w:rPr>
          <w:noProof/>
        </w:rPr>
        <w:t>dni</w:t>
      </w:r>
      <w:r w:rsidR="00AD62E2" w:rsidRPr="002F16A1">
        <w:rPr>
          <w:noProof/>
        </w:rPr>
        <w:t>a 13 kwietnia 20</w:t>
      </w:r>
      <w:r w:rsidR="00AD62E2" w:rsidRPr="0028384B">
        <w:rPr>
          <w:noProof/>
        </w:rPr>
        <w:t>16</w:t>
      </w:r>
      <w:r w:rsidR="0028384B" w:rsidRPr="0028384B">
        <w:rPr>
          <w:noProof/>
        </w:rPr>
        <w:t> </w:t>
      </w:r>
      <w:r w:rsidR="00AD62E2" w:rsidRPr="0028384B">
        <w:rPr>
          <w:noProof/>
        </w:rPr>
        <w:t>r.</w:t>
      </w:r>
      <w:r w:rsidR="00AD62E2" w:rsidRPr="002F16A1">
        <w:rPr>
          <w:noProof/>
        </w:rPr>
        <w:t xml:space="preserve"> Konsultacja</w:t>
      </w:r>
      <w:r w:rsidR="0028384B" w:rsidRPr="002F16A1">
        <w:rPr>
          <w:noProof/>
        </w:rPr>
        <w:t xml:space="preserve"> z</w:t>
      </w:r>
      <w:r w:rsidR="0028384B">
        <w:rPr>
          <w:noProof/>
        </w:rPr>
        <w:t> </w:t>
      </w:r>
      <w:r w:rsidR="0028384B" w:rsidRPr="002F16A1">
        <w:rPr>
          <w:noProof/>
        </w:rPr>
        <w:t>eks</w:t>
      </w:r>
      <w:r w:rsidR="00AD62E2" w:rsidRPr="002F16A1">
        <w:rPr>
          <w:noProof/>
        </w:rPr>
        <w:t>pertami</w:t>
      </w:r>
      <w:r w:rsidR="0028384B" w:rsidRPr="002F16A1">
        <w:rPr>
          <w:noProof/>
        </w:rPr>
        <w:t xml:space="preserve"> z</w:t>
      </w:r>
      <w:r w:rsidR="0028384B">
        <w:rPr>
          <w:noProof/>
        </w:rPr>
        <w:t> </w:t>
      </w:r>
      <w:r w:rsidR="0028384B" w:rsidRPr="002F16A1">
        <w:rPr>
          <w:noProof/>
        </w:rPr>
        <w:t>pań</w:t>
      </w:r>
      <w:r w:rsidR="00AD62E2" w:rsidRPr="002F16A1">
        <w:rPr>
          <w:noProof/>
        </w:rPr>
        <w:t xml:space="preserve">stw członkowskich następuje po konsultacji na podstawie </w:t>
      </w:r>
      <w:r w:rsidR="00AD62E2" w:rsidRPr="0028384B">
        <w:rPr>
          <w:noProof/>
        </w:rPr>
        <w:t>art.</w:t>
      </w:r>
      <w:r w:rsidR="0028384B" w:rsidRPr="0028384B">
        <w:rPr>
          <w:noProof/>
        </w:rPr>
        <w:t> </w:t>
      </w:r>
      <w:r w:rsidR="00AD62E2" w:rsidRPr="0028384B">
        <w:rPr>
          <w:noProof/>
        </w:rPr>
        <w:t>1</w:t>
      </w:r>
      <w:r w:rsidR="00AD62E2" w:rsidRPr="002F16A1">
        <w:rPr>
          <w:noProof/>
        </w:rPr>
        <w:t>4.</w:t>
      </w:r>
    </w:p>
    <w:p w:rsidR="00AD62E2" w:rsidRPr="002F16A1" w:rsidRDefault="00733965" w:rsidP="00733965">
      <w:pPr>
        <w:pStyle w:val="ManualNumPar1"/>
        <w:rPr>
          <w:noProof/>
        </w:rPr>
      </w:pPr>
      <w:r w:rsidRPr="00733965">
        <w:t>5.</w:t>
      </w:r>
      <w:r w:rsidRPr="00733965">
        <w:tab/>
      </w:r>
      <w:r w:rsidR="00AD62E2" w:rsidRPr="002F16A1">
        <w:rPr>
          <w:noProof/>
        </w:rPr>
        <w:t>Niezwłocznie po przyjęciu aktu delegowanego Komisja przekazuje go równocześnie Parlamentowi Europejskiemu</w:t>
      </w:r>
      <w:r w:rsidR="0028384B" w:rsidRPr="002F16A1">
        <w:rPr>
          <w:noProof/>
        </w:rPr>
        <w:t xml:space="preserve"> i</w:t>
      </w:r>
      <w:r w:rsidR="0028384B">
        <w:rPr>
          <w:noProof/>
        </w:rPr>
        <w:t> </w:t>
      </w:r>
      <w:r w:rsidR="0028384B" w:rsidRPr="002F16A1">
        <w:rPr>
          <w:noProof/>
        </w:rPr>
        <w:t>Rad</w:t>
      </w:r>
      <w:r w:rsidR="00AD62E2" w:rsidRPr="002F16A1">
        <w:rPr>
          <w:noProof/>
        </w:rPr>
        <w:t>zie.</w:t>
      </w:r>
    </w:p>
    <w:p w:rsidR="00AD62E2" w:rsidRPr="002F16A1" w:rsidRDefault="00733965" w:rsidP="00733965">
      <w:pPr>
        <w:pStyle w:val="ManualNumPar1"/>
        <w:rPr>
          <w:noProof/>
        </w:rPr>
      </w:pPr>
      <w:r w:rsidRPr="00733965">
        <w:t>6.</w:t>
      </w:r>
      <w:r w:rsidRPr="00733965">
        <w:tab/>
      </w:r>
      <w:r w:rsidR="00AD62E2" w:rsidRPr="002F16A1">
        <w:rPr>
          <w:noProof/>
        </w:rPr>
        <w:t xml:space="preserve">Akt delegowany przyjęty na podstawie </w:t>
      </w:r>
      <w:r w:rsidR="00AD62E2" w:rsidRPr="0028384B">
        <w:rPr>
          <w:rStyle w:val="ui-provider"/>
          <w:noProof/>
        </w:rPr>
        <w:t>art.</w:t>
      </w:r>
      <w:r w:rsidR="0028384B" w:rsidRPr="0028384B">
        <w:rPr>
          <w:rStyle w:val="ui-provider"/>
          <w:noProof/>
        </w:rPr>
        <w:t> </w:t>
      </w:r>
      <w:r w:rsidR="00AD62E2" w:rsidRPr="0028384B">
        <w:rPr>
          <w:rStyle w:val="ui-provider"/>
          <w:noProof/>
        </w:rPr>
        <w:t>3</w:t>
      </w:r>
      <w:r w:rsidR="00AD62E2" w:rsidRPr="002F16A1">
        <w:rPr>
          <w:rStyle w:val="ui-provider"/>
          <w:noProof/>
        </w:rPr>
        <w:t xml:space="preserve"> </w:t>
      </w:r>
      <w:r w:rsidR="00AD62E2" w:rsidRPr="0028384B">
        <w:rPr>
          <w:rStyle w:val="ui-provider"/>
          <w:noProof/>
        </w:rPr>
        <w:t>ust.</w:t>
      </w:r>
      <w:r w:rsidR="0028384B" w:rsidRPr="0028384B">
        <w:rPr>
          <w:rStyle w:val="ui-provider"/>
          <w:noProof/>
        </w:rPr>
        <w:t> </w:t>
      </w:r>
      <w:r w:rsidR="00AD62E2" w:rsidRPr="0028384B">
        <w:rPr>
          <w:rStyle w:val="ui-provider"/>
          <w:noProof/>
        </w:rPr>
        <w:t>2</w:t>
      </w:r>
      <w:r w:rsidR="00AD62E2" w:rsidRPr="002F16A1">
        <w:rPr>
          <w:rStyle w:val="ui-provider"/>
          <w:noProof/>
        </w:rPr>
        <w:t xml:space="preserve">, </w:t>
      </w:r>
      <w:r w:rsidR="00AD62E2" w:rsidRPr="0028384B">
        <w:rPr>
          <w:rStyle w:val="ui-provider"/>
          <w:noProof/>
        </w:rPr>
        <w:t>art.</w:t>
      </w:r>
      <w:r w:rsidR="0028384B" w:rsidRPr="0028384B">
        <w:rPr>
          <w:rStyle w:val="ui-provider"/>
          <w:noProof/>
        </w:rPr>
        <w:t> </w:t>
      </w:r>
      <w:r w:rsidR="00AD62E2" w:rsidRPr="0028384B">
        <w:rPr>
          <w:rStyle w:val="ui-provider"/>
          <w:noProof/>
        </w:rPr>
        <w:t>4</w:t>
      </w:r>
      <w:r w:rsidR="00AD62E2" w:rsidRPr="002F16A1">
        <w:rPr>
          <w:rStyle w:val="ui-provider"/>
          <w:noProof/>
        </w:rPr>
        <w:t xml:space="preserve"> </w:t>
      </w:r>
      <w:r w:rsidR="00AD62E2" w:rsidRPr="0028384B">
        <w:rPr>
          <w:rStyle w:val="ui-provider"/>
          <w:noProof/>
        </w:rPr>
        <w:t>ust.</w:t>
      </w:r>
      <w:r w:rsidR="0028384B" w:rsidRPr="0028384B">
        <w:rPr>
          <w:rStyle w:val="ui-provider"/>
          <w:noProof/>
        </w:rPr>
        <w:t> </w:t>
      </w:r>
      <w:r w:rsidR="00AD62E2" w:rsidRPr="0028384B">
        <w:rPr>
          <w:rStyle w:val="ui-provider"/>
          <w:noProof/>
        </w:rPr>
        <w:t>2</w:t>
      </w:r>
      <w:r w:rsidR="00AD62E2" w:rsidRPr="002F16A1">
        <w:rPr>
          <w:rStyle w:val="ui-provider"/>
          <w:noProof/>
        </w:rPr>
        <w:t xml:space="preserve">, </w:t>
      </w:r>
      <w:r w:rsidR="00AD62E2" w:rsidRPr="0028384B">
        <w:rPr>
          <w:rStyle w:val="ui-provider"/>
          <w:noProof/>
        </w:rPr>
        <w:t>art.</w:t>
      </w:r>
      <w:r w:rsidR="0028384B" w:rsidRPr="0028384B">
        <w:rPr>
          <w:rStyle w:val="ui-provider"/>
          <w:noProof/>
        </w:rPr>
        <w:t> </w:t>
      </w:r>
      <w:r w:rsidR="00AD62E2" w:rsidRPr="0028384B">
        <w:rPr>
          <w:rStyle w:val="ui-provider"/>
          <w:noProof/>
        </w:rPr>
        <w:t>5</w:t>
      </w:r>
      <w:r w:rsidR="00AD62E2" w:rsidRPr="002F16A1">
        <w:rPr>
          <w:rStyle w:val="ui-provider"/>
          <w:noProof/>
        </w:rPr>
        <w:t xml:space="preserve"> </w:t>
      </w:r>
      <w:r w:rsidR="00AD62E2" w:rsidRPr="0028384B">
        <w:rPr>
          <w:rStyle w:val="ui-provider"/>
          <w:noProof/>
        </w:rPr>
        <w:t>ust.</w:t>
      </w:r>
      <w:r w:rsidR="0028384B" w:rsidRPr="0028384B">
        <w:rPr>
          <w:rStyle w:val="ui-provider"/>
          <w:noProof/>
        </w:rPr>
        <w:t> </w:t>
      </w:r>
      <w:r w:rsidR="00AD62E2" w:rsidRPr="0028384B">
        <w:rPr>
          <w:rStyle w:val="ui-provider"/>
          <w:noProof/>
        </w:rPr>
        <w:t>2</w:t>
      </w:r>
      <w:r w:rsidR="00AD62E2" w:rsidRPr="002F16A1">
        <w:rPr>
          <w:rStyle w:val="ui-provider"/>
          <w:noProof/>
        </w:rPr>
        <w:t xml:space="preserve">, </w:t>
      </w:r>
      <w:r w:rsidR="00AD62E2" w:rsidRPr="0028384B">
        <w:rPr>
          <w:rStyle w:val="ui-provider"/>
          <w:noProof/>
        </w:rPr>
        <w:t>art.</w:t>
      </w:r>
      <w:r w:rsidR="0028384B" w:rsidRPr="0028384B">
        <w:rPr>
          <w:rStyle w:val="ui-provider"/>
          <w:noProof/>
        </w:rPr>
        <w:t> </w:t>
      </w:r>
      <w:r w:rsidR="00AD62E2" w:rsidRPr="0028384B">
        <w:rPr>
          <w:rStyle w:val="ui-provider"/>
          <w:noProof/>
        </w:rPr>
        <w:t>2</w:t>
      </w:r>
      <w:r w:rsidR="00AD62E2" w:rsidRPr="002F16A1">
        <w:rPr>
          <w:rStyle w:val="ui-provider"/>
          <w:noProof/>
        </w:rPr>
        <w:t xml:space="preserve">7 </w:t>
      </w:r>
      <w:r w:rsidR="00AD62E2" w:rsidRPr="0028384B">
        <w:rPr>
          <w:rStyle w:val="ui-provider"/>
          <w:noProof/>
        </w:rPr>
        <w:t>ust.</w:t>
      </w:r>
      <w:r w:rsidR="0028384B" w:rsidRPr="0028384B">
        <w:rPr>
          <w:rStyle w:val="ui-provider"/>
          <w:noProof/>
        </w:rPr>
        <w:t> </w:t>
      </w:r>
      <w:r w:rsidR="00AD62E2" w:rsidRPr="0028384B">
        <w:rPr>
          <w:rStyle w:val="ui-provider"/>
          <w:noProof/>
        </w:rPr>
        <w:t>1</w:t>
      </w:r>
      <w:r w:rsidR="00AD62E2" w:rsidRPr="002F16A1">
        <w:rPr>
          <w:rStyle w:val="ui-provider"/>
          <w:noProof/>
        </w:rPr>
        <w:t xml:space="preserve">2, </w:t>
      </w:r>
      <w:r w:rsidR="00AD62E2" w:rsidRPr="0028384B">
        <w:rPr>
          <w:rStyle w:val="ui-provider"/>
          <w:noProof/>
        </w:rPr>
        <w:t>art.</w:t>
      </w:r>
      <w:r w:rsidR="0028384B" w:rsidRPr="0028384B">
        <w:rPr>
          <w:rStyle w:val="ui-provider"/>
          <w:noProof/>
        </w:rPr>
        <w:t> </w:t>
      </w:r>
      <w:r w:rsidR="00AD62E2" w:rsidRPr="0028384B">
        <w:rPr>
          <w:rStyle w:val="ui-provider"/>
          <w:noProof/>
        </w:rPr>
        <w:t>2</w:t>
      </w:r>
      <w:r w:rsidR="00AD62E2" w:rsidRPr="002F16A1">
        <w:rPr>
          <w:rStyle w:val="ui-provider"/>
          <w:noProof/>
        </w:rPr>
        <w:t xml:space="preserve">8 </w:t>
      </w:r>
      <w:r w:rsidR="00AD62E2" w:rsidRPr="0028384B">
        <w:rPr>
          <w:rStyle w:val="ui-provider"/>
          <w:noProof/>
        </w:rPr>
        <w:t>ust.</w:t>
      </w:r>
      <w:r w:rsidR="0028384B" w:rsidRPr="0028384B">
        <w:rPr>
          <w:rStyle w:val="ui-provider"/>
          <w:noProof/>
        </w:rPr>
        <w:t> </w:t>
      </w:r>
      <w:r w:rsidR="00AD62E2" w:rsidRPr="0028384B">
        <w:rPr>
          <w:rStyle w:val="ui-provider"/>
          <w:noProof/>
        </w:rPr>
        <w:t>2</w:t>
      </w:r>
      <w:r w:rsidR="00AD62E2" w:rsidRPr="002F16A1">
        <w:rPr>
          <w:rStyle w:val="ui-provider"/>
          <w:noProof/>
        </w:rPr>
        <w:t xml:space="preserve"> oraz </w:t>
      </w:r>
      <w:r w:rsidR="00AD62E2" w:rsidRPr="0028384B">
        <w:rPr>
          <w:rStyle w:val="ui-provider"/>
          <w:noProof/>
        </w:rPr>
        <w:t>art.</w:t>
      </w:r>
      <w:r w:rsidR="0028384B" w:rsidRPr="0028384B">
        <w:rPr>
          <w:rStyle w:val="ui-provider"/>
          <w:noProof/>
        </w:rPr>
        <w:t> </w:t>
      </w:r>
      <w:r w:rsidR="00AD62E2" w:rsidRPr="0028384B">
        <w:rPr>
          <w:rStyle w:val="ui-provider"/>
          <w:noProof/>
        </w:rPr>
        <w:t>3</w:t>
      </w:r>
      <w:r w:rsidR="00AD62E2" w:rsidRPr="002F16A1">
        <w:rPr>
          <w:rStyle w:val="ui-provider"/>
          <w:noProof/>
        </w:rPr>
        <w:t xml:space="preserve">0 </w:t>
      </w:r>
      <w:r w:rsidR="00AD62E2" w:rsidRPr="0028384B">
        <w:rPr>
          <w:rStyle w:val="ui-provider"/>
          <w:noProof/>
        </w:rPr>
        <w:t>ust.</w:t>
      </w:r>
      <w:r w:rsidR="0028384B" w:rsidRPr="0028384B">
        <w:rPr>
          <w:rStyle w:val="ui-provider"/>
          <w:noProof/>
        </w:rPr>
        <w:t> </w:t>
      </w:r>
      <w:r w:rsidR="00AD62E2" w:rsidRPr="0028384B">
        <w:rPr>
          <w:rStyle w:val="ui-provider"/>
          <w:noProof/>
        </w:rPr>
        <w:t>1</w:t>
      </w:r>
      <w:r w:rsidR="0028384B" w:rsidRPr="002F16A1">
        <w:rPr>
          <w:rStyle w:val="ui-provider"/>
          <w:noProof/>
        </w:rPr>
        <w:t xml:space="preserve"> i</w:t>
      </w:r>
      <w:r w:rsidR="0028384B">
        <w:rPr>
          <w:rStyle w:val="ui-provider"/>
          <w:noProof/>
        </w:rPr>
        <w:t> </w:t>
      </w:r>
      <w:r w:rsidR="0028384B" w:rsidRPr="002F16A1">
        <w:rPr>
          <w:rStyle w:val="ui-provider"/>
          <w:noProof/>
        </w:rPr>
        <w:t>5</w:t>
      </w:r>
      <w:r w:rsidR="00AD62E2" w:rsidRPr="002F16A1">
        <w:rPr>
          <w:noProof/>
        </w:rPr>
        <w:t xml:space="preserve"> wchodzi</w:t>
      </w:r>
      <w:r w:rsidR="0028384B" w:rsidRPr="002F16A1">
        <w:rPr>
          <w:noProof/>
        </w:rPr>
        <w:t xml:space="preserve"> w</w:t>
      </w:r>
      <w:r w:rsidR="0028384B">
        <w:rPr>
          <w:noProof/>
        </w:rPr>
        <w:t> </w:t>
      </w:r>
      <w:r w:rsidR="0028384B" w:rsidRPr="002F16A1">
        <w:rPr>
          <w:noProof/>
        </w:rPr>
        <w:t>życ</w:t>
      </w:r>
      <w:r w:rsidR="00AD62E2" w:rsidRPr="002F16A1">
        <w:rPr>
          <w:noProof/>
        </w:rPr>
        <w:t>ie tylko wówczas, gdy ani Parlament Europejski, ani Rada nie wyrażą sprzeciwu</w:t>
      </w:r>
      <w:r w:rsidR="0028384B" w:rsidRPr="002F16A1">
        <w:rPr>
          <w:noProof/>
        </w:rPr>
        <w:t xml:space="preserve"> w</w:t>
      </w:r>
      <w:r w:rsidR="0028384B">
        <w:rPr>
          <w:noProof/>
        </w:rPr>
        <w:t> </w:t>
      </w:r>
      <w:r w:rsidR="0028384B" w:rsidRPr="002F16A1">
        <w:rPr>
          <w:noProof/>
        </w:rPr>
        <w:t>ter</w:t>
      </w:r>
      <w:r w:rsidR="00AD62E2" w:rsidRPr="002F16A1">
        <w:rPr>
          <w:noProof/>
        </w:rPr>
        <w:t>minie dwóch miesięcy od przekazania tego aktu Parlamentowi Europejskiemu</w:t>
      </w:r>
      <w:r w:rsidR="0028384B" w:rsidRPr="002F16A1">
        <w:rPr>
          <w:noProof/>
        </w:rPr>
        <w:t xml:space="preserve"> i</w:t>
      </w:r>
      <w:r w:rsidR="0028384B">
        <w:rPr>
          <w:noProof/>
        </w:rPr>
        <w:t> </w:t>
      </w:r>
      <w:r w:rsidR="0028384B" w:rsidRPr="002F16A1">
        <w:rPr>
          <w:noProof/>
        </w:rPr>
        <w:t>Rad</w:t>
      </w:r>
      <w:r w:rsidR="00AD62E2" w:rsidRPr="002F16A1">
        <w:rPr>
          <w:noProof/>
        </w:rPr>
        <w:t>zie, lub gdy, przed upływem tego terminu, zarówno Parlament Europejski, jak</w:t>
      </w:r>
      <w:r w:rsidR="0028384B" w:rsidRPr="002F16A1">
        <w:rPr>
          <w:noProof/>
        </w:rPr>
        <w:t xml:space="preserve"> i</w:t>
      </w:r>
      <w:r w:rsidR="0028384B">
        <w:rPr>
          <w:noProof/>
        </w:rPr>
        <w:t> </w:t>
      </w:r>
      <w:r w:rsidR="0028384B" w:rsidRPr="002F16A1">
        <w:rPr>
          <w:noProof/>
        </w:rPr>
        <w:t>Rad</w:t>
      </w:r>
      <w:r w:rsidR="00AD62E2" w:rsidRPr="002F16A1">
        <w:rPr>
          <w:noProof/>
        </w:rPr>
        <w:t>a poinformują Komisję, że nie wniosą sprzeciwu. Termin ten przedłuża się</w:t>
      </w:r>
      <w:r w:rsidR="0028384B" w:rsidRPr="002F16A1">
        <w:rPr>
          <w:noProof/>
        </w:rPr>
        <w:t xml:space="preserve"> o</w:t>
      </w:r>
      <w:r w:rsidR="0028384B">
        <w:rPr>
          <w:noProof/>
        </w:rPr>
        <w:t> </w:t>
      </w:r>
      <w:r w:rsidR="0028384B" w:rsidRPr="002F16A1">
        <w:rPr>
          <w:noProof/>
        </w:rPr>
        <w:t>dwa</w:t>
      </w:r>
      <w:r w:rsidR="00AD62E2" w:rsidRPr="002F16A1">
        <w:rPr>
          <w:noProof/>
        </w:rPr>
        <w:t xml:space="preserve"> miesiące</w:t>
      </w:r>
      <w:r w:rsidR="0028384B" w:rsidRPr="002F16A1">
        <w:rPr>
          <w:noProof/>
        </w:rPr>
        <w:t xml:space="preserve"> z</w:t>
      </w:r>
      <w:r w:rsidR="0028384B">
        <w:rPr>
          <w:noProof/>
        </w:rPr>
        <w:t> </w:t>
      </w:r>
      <w:r w:rsidR="0028384B" w:rsidRPr="002F16A1">
        <w:rPr>
          <w:noProof/>
        </w:rPr>
        <w:t>ini</w:t>
      </w:r>
      <w:r w:rsidR="00AD62E2" w:rsidRPr="002F16A1">
        <w:rPr>
          <w:noProof/>
        </w:rPr>
        <w:t>cjatywy Parlamentu Europejskiego lub Rady.</w:t>
      </w:r>
    </w:p>
    <w:p w:rsidR="00AD62E2" w:rsidRPr="002F16A1" w:rsidRDefault="00AD62E2" w:rsidP="00AD62E2">
      <w:pPr>
        <w:pStyle w:val="Titrearticle"/>
        <w:rPr>
          <w:noProof/>
        </w:rPr>
      </w:pPr>
      <w:bookmarkStart w:id="25" w:name="_imp_art_d537e2586_daXvQy"/>
      <w:bookmarkEnd w:id="25"/>
      <w:r w:rsidRPr="002F16A1">
        <w:rPr>
          <w:noProof/>
        </w:rPr>
        <w:t>Artykuł 37</w:t>
      </w:r>
    </w:p>
    <w:p w:rsidR="00AD62E2" w:rsidRPr="002F16A1" w:rsidRDefault="00AD62E2" w:rsidP="00AD62E2">
      <w:pPr>
        <w:pStyle w:val="NormalCentered"/>
        <w:rPr>
          <w:noProof/>
        </w:rPr>
      </w:pPr>
      <w:r w:rsidRPr="002F16A1">
        <w:rPr>
          <w:b/>
          <w:noProof/>
        </w:rPr>
        <w:t>Procedura komitetowa</w:t>
      </w:r>
    </w:p>
    <w:p w:rsidR="00AD62E2" w:rsidRPr="002F16A1" w:rsidRDefault="00733965" w:rsidP="00733965">
      <w:pPr>
        <w:pStyle w:val="ManualNumPar1"/>
        <w:rPr>
          <w:noProof/>
        </w:rPr>
      </w:pPr>
      <w:r w:rsidRPr="00733965">
        <w:t>1.</w:t>
      </w:r>
      <w:r w:rsidRPr="00733965">
        <w:tab/>
      </w:r>
      <w:r w:rsidR="00AD62E2" w:rsidRPr="002F16A1">
        <w:rPr>
          <w:noProof/>
        </w:rPr>
        <w:t>Komisję wspomaga komitet ds. wdrażania [</w:t>
      </w:r>
      <w:r w:rsidR="00AD62E2" w:rsidRPr="002F16A1">
        <w:rPr>
          <w:i/>
          <w:iCs/>
          <w:noProof/>
        </w:rPr>
        <w:t>Urząd Publikacji:</w:t>
      </w:r>
      <w:r w:rsidR="00AD62E2" w:rsidRPr="002F16A1">
        <w:rPr>
          <w:noProof/>
        </w:rPr>
        <w:t xml:space="preserve"> </w:t>
      </w:r>
      <w:r w:rsidR="00AD62E2" w:rsidRPr="002F16A1">
        <w:rPr>
          <w:i/>
          <w:iCs/>
          <w:noProof/>
        </w:rPr>
        <w:t>proszę wstawić odniesienie do niniejszego aktu</w:t>
      </w:r>
      <w:r w:rsidR="00AD62E2" w:rsidRPr="002F16A1">
        <w:rPr>
          <w:noProof/>
        </w:rPr>
        <w:t>]. Komitet ten jest komitetem</w:t>
      </w:r>
      <w:r w:rsidR="0028384B" w:rsidRPr="002F16A1">
        <w:rPr>
          <w:noProof/>
        </w:rPr>
        <w:t xml:space="preserve"> w</w:t>
      </w:r>
      <w:r w:rsidR="0028384B">
        <w:rPr>
          <w:noProof/>
        </w:rPr>
        <w:t> </w:t>
      </w:r>
      <w:r w:rsidR="0028384B" w:rsidRPr="002F16A1">
        <w:rPr>
          <w:noProof/>
        </w:rPr>
        <w:t>roz</w:t>
      </w:r>
      <w:r w:rsidR="00AD62E2" w:rsidRPr="002F16A1">
        <w:rPr>
          <w:noProof/>
        </w:rPr>
        <w:t xml:space="preserve">umieniu rozporządzenia (UE) </w:t>
      </w:r>
      <w:r w:rsidR="00AD62E2" w:rsidRPr="0028384B">
        <w:rPr>
          <w:noProof/>
        </w:rPr>
        <w:t>nr</w:t>
      </w:r>
      <w:r w:rsidR="0028384B" w:rsidRPr="0028384B">
        <w:rPr>
          <w:noProof/>
        </w:rPr>
        <w:t> </w:t>
      </w:r>
      <w:r w:rsidR="00AD62E2" w:rsidRPr="0028384B">
        <w:rPr>
          <w:noProof/>
        </w:rPr>
        <w:t>1</w:t>
      </w:r>
      <w:r w:rsidR="00AD62E2" w:rsidRPr="002F16A1">
        <w:rPr>
          <w:noProof/>
        </w:rPr>
        <w:t>82/2011.</w:t>
      </w:r>
    </w:p>
    <w:p w:rsidR="00AD62E2" w:rsidRPr="002F16A1" w:rsidRDefault="00733965" w:rsidP="00733965">
      <w:pPr>
        <w:pStyle w:val="ManualNumPar1"/>
        <w:rPr>
          <w:noProof/>
        </w:rPr>
      </w:pPr>
      <w:r w:rsidRPr="00733965">
        <w:t>2.</w:t>
      </w:r>
      <w:r w:rsidRPr="00733965">
        <w:tab/>
      </w:r>
      <w:r w:rsidR="00AD62E2" w:rsidRPr="002F16A1">
        <w:rPr>
          <w:noProof/>
        </w:rPr>
        <w:t xml:space="preserve">W przypadku odesłania do niniejszego ustępu stosuje się </w:t>
      </w:r>
      <w:r w:rsidR="00AD62E2" w:rsidRPr="0028384B">
        <w:rPr>
          <w:noProof/>
        </w:rPr>
        <w:t>art.</w:t>
      </w:r>
      <w:r w:rsidR="0028384B" w:rsidRPr="0028384B">
        <w:rPr>
          <w:noProof/>
        </w:rPr>
        <w:t> </w:t>
      </w:r>
      <w:r w:rsidR="00AD62E2" w:rsidRPr="0028384B">
        <w:rPr>
          <w:noProof/>
        </w:rPr>
        <w:t>4</w:t>
      </w:r>
      <w:r w:rsidR="00AD62E2" w:rsidRPr="002F16A1">
        <w:rPr>
          <w:noProof/>
        </w:rPr>
        <w:t xml:space="preserve"> rozporządzenia (UE) </w:t>
      </w:r>
      <w:r w:rsidR="00AD62E2" w:rsidRPr="0028384B">
        <w:rPr>
          <w:noProof/>
        </w:rPr>
        <w:t>nr</w:t>
      </w:r>
      <w:r w:rsidR="0028384B" w:rsidRPr="0028384B">
        <w:rPr>
          <w:noProof/>
        </w:rPr>
        <w:t> </w:t>
      </w:r>
      <w:r w:rsidR="00AD62E2" w:rsidRPr="0028384B">
        <w:rPr>
          <w:noProof/>
        </w:rPr>
        <w:t>1</w:t>
      </w:r>
      <w:r w:rsidR="00AD62E2" w:rsidRPr="002F16A1">
        <w:rPr>
          <w:noProof/>
        </w:rPr>
        <w:t>82/2011.</w:t>
      </w:r>
    </w:p>
    <w:p w:rsidR="00AD62E2" w:rsidRPr="002F16A1" w:rsidRDefault="00733965" w:rsidP="00733965">
      <w:pPr>
        <w:pStyle w:val="ManualNumPar1"/>
        <w:rPr>
          <w:noProof/>
        </w:rPr>
      </w:pPr>
      <w:bookmarkStart w:id="26" w:name="_imp_art_d537e2586_daXvQy_5rgtZ2"/>
      <w:bookmarkEnd w:id="26"/>
      <w:r w:rsidRPr="00733965">
        <w:t>3.</w:t>
      </w:r>
      <w:r w:rsidRPr="00733965">
        <w:tab/>
      </w:r>
      <w:r w:rsidR="00AD62E2" w:rsidRPr="002F16A1">
        <w:rPr>
          <w:noProof/>
        </w:rPr>
        <w:t xml:space="preserve">W przypadku odesłania do niniejszego ustępu stosuje się </w:t>
      </w:r>
      <w:r w:rsidR="00AD62E2" w:rsidRPr="0028384B">
        <w:rPr>
          <w:noProof/>
        </w:rPr>
        <w:t>art.</w:t>
      </w:r>
      <w:r w:rsidR="0028384B" w:rsidRPr="0028384B">
        <w:rPr>
          <w:noProof/>
        </w:rPr>
        <w:t> </w:t>
      </w:r>
      <w:r w:rsidR="00AD62E2" w:rsidRPr="0028384B">
        <w:rPr>
          <w:noProof/>
        </w:rPr>
        <w:t>5</w:t>
      </w:r>
      <w:r w:rsidR="00AD62E2" w:rsidRPr="002F16A1">
        <w:rPr>
          <w:noProof/>
        </w:rPr>
        <w:t xml:space="preserve"> rozporządzenia (UE) </w:t>
      </w:r>
      <w:r w:rsidR="00AD62E2" w:rsidRPr="0028384B">
        <w:rPr>
          <w:noProof/>
        </w:rPr>
        <w:t>nr</w:t>
      </w:r>
      <w:r w:rsidR="0028384B" w:rsidRPr="0028384B">
        <w:rPr>
          <w:noProof/>
        </w:rPr>
        <w:t> </w:t>
      </w:r>
      <w:r w:rsidR="00AD62E2" w:rsidRPr="0028384B">
        <w:rPr>
          <w:noProof/>
        </w:rPr>
        <w:t>1</w:t>
      </w:r>
      <w:r w:rsidR="00AD62E2" w:rsidRPr="002F16A1">
        <w:rPr>
          <w:noProof/>
        </w:rPr>
        <w:t>82/2011.</w:t>
      </w:r>
    </w:p>
    <w:p w:rsidR="00AD62E2" w:rsidRPr="002F16A1" w:rsidRDefault="00AD62E2" w:rsidP="00AD62E2">
      <w:pPr>
        <w:pStyle w:val="ManualNumPar1"/>
        <w:rPr>
          <w:noProof/>
        </w:rPr>
      </w:pPr>
    </w:p>
    <w:p w:rsidR="00AD62E2" w:rsidRPr="002F16A1" w:rsidRDefault="00AD62E2" w:rsidP="00AD62E2">
      <w:pPr>
        <w:pStyle w:val="ChapterTitle"/>
        <w:rPr>
          <w:noProof/>
        </w:rPr>
      </w:pPr>
      <w:r w:rsidRPr="002F16A1">
        <w:rPr>
          <w:noProof/>
        </w:rPr>
        <w:t xml:space="preserve">Rozdział 9 </w:t>
      </w:r>
      <w:r w:rsidRPr="002F16A1">
        <w:rPr>
          <w:noProof/>
        </w:rPr>
        <w:br/>
        <w:t>Zmiany</w:t>
      </w:r>
    </w:p>
    <w:p w:rsidR="00AD62E2" w:rsidRPr="002F16A1" w:rsidRDefault="00AD62E2" w:rsidP="00AD62E2">
      <w:pPr>
        <w:pStyle w:val="Titrearticle"/>
        <w:rPr>
          <w:noProof/>
        </w:rPr>
      </w:pPr>
      <w:r w:rsidRPr="002F16A1">
        <w:rPr>
          <w:noProof/>
        </w:rPr>
        <w:t>Artykuł 38</w:t>
      </w:r>
    </w:p>
    <w:p w:rsidR="00AD62E2" w:rsidRPr="002F16A1" w:rsidRDefault="00AD62E2" w:rsidP="00AD62E2">
      <w:pPr>
        <w:pStyle w:val="Titrearticle"/>
        <w:rPr>
          <w:b/>
          <w:noProof/>
        </w:rPr>
      </w:pPr>
      <w:r w:rsidRPr="002F16A1">
        <w:rPr>
          <w:b/>
          <w:i w:val="0"/>
          <w:noProof/>
        </w:rPr>
        <w:t>Zmiany</w:t>
      </w:r>
      <w:r w:rsidR="0028384B" w:rsidRPr="002F16A1">
        <w:rPr>
          <w:b/>
          <w:i w:val="0"/>
          <w:noProof/>
        </w:rPr>
        <w:t xml:space="preserve"> w</w:t>
      </w:r>
      <w:r w:rsidR="0028384B">
        <w:rPr>
          <w:b/>
          <w:i w:val="0"/>
          <w:noProof/>
        </w:rPr>
        <w:t> </w:t>
      </w:r>
      <w:r w:rsidR="0028384B" w:rsidRPr="002F16A1">
        <w:rPr>
          <w:b/>
          <w:i w:val="0"/>
          <w:noProof/>
        </w:rPr>
        <w:t>roz</w:t>
      </w:r>
      <w:r w:rsidRPr="002F16A1">
        <w:rPr>
          <w:b/>
          <w:i w:val="0"/>
          <w:noProof/>
        </w:rPr>
        <w:t>porządzeniu (UE) 2018/1724</w:t>
      </w:r>
    </w:p>
    <w:p w:rsidR="00AD62E2" w:rsidRPr="002F16A1" w:rsidRDefault="00AD62E2" w:rsidP="00AD62E2">
      <w:pPr>
        <w:rPr>
          <w:noProof/>
        </w:rPr>
      </w:pPr>
      <w:r w:rsidRPr="002F16A1">
        <w:rPr>
          <w:noProof/>
        </w:rPr>
        <w:t xml:space="preserve">W rozporządzeniu (UE) 2018/1724 wprowadza się następujące zmiany: </w:t>
      </w:r>
    </w:p>
    <w:p w:rsidR="00AD62E2" w:rsidRPr="002F16A1" w:rsidRDefault="0028384B" w:rsidP="0028384B">
      <w:pPr>
        <w:pStyle w:val="Point0"/>
        <w:rPr>
          <w:noProof/>
          <w:szCs w:val="24"/>
        </w:rPr>
      </w:pPr>
      <w:r>
        <w:rPr>
          <w:noProof/>
        </w:rPr>
        <w:t>1)</w:t>
      </w:r>
      <w:r>
        <w:rPr>
          <w:noProof/>
        </w:rPr>
        <w:tab/>
      </w:r>
      <w:r w:rsidR="00AD62E2" w:rsidRPr="002F16A1">
        <w:rPr>
          <w:noProof/>
        </w:rPr>
        <w:t>w załączniku I</w:t>
      </w:r>
      <w:r w:rsidRPr="002F16A1">
        <w:rPr>
          <w:noProof/>
        </w:rPr>
        <w:t xml:space="preserve"> w</w:t>
      </w:r>
      <w:r>
        <w:rPr>
          <w:noProof/>
        </w:rPr>
        <w:t> </w:t>
      </w:r>
      <w:r w:rsidRPr="002F16A1">
        <w:rPr>
          <w:noProof/>
        </w:rPr>
        <w:t>kol</w:t>
      </w:r>
      <w:r w:rsidR="00AD62E2" w:rsidRPr="002F16A1">
        <w:rPr>
          <w:noProof/>
        </w:rPr>
        <w:t>umnie pierwszej dodaje się nowy wiersz „S. Projekty dotyczące surowców krytycznych”;</w:t>
      </w:r>
    </w:p>
    <w:p w:rsidR="00AD62E2" w:rsidRPr="002F16A1" w:rsidRDefault="0028384B" w:rsidP="0028384B">
      <w:pPr>
        <w:pStyle w:val="Point0"/>
        <w:rPr>
          <w:noProof/>
        </w:rPr>
      </w:pPr>
      <w:r>
        <w:rPr>
          <w:noProof/>
        </w:rPr>
        <w:t>2)</w:t>
      </w:r>
      <w:r>
        <w:rPr>
          <w:noProof/>
        </w:rPr>
        <w:tab/>
      </w:r>
      <w:r w:rsidR="00AD62E2" w:rsidRPr="002F16A1">
        <w:rPr>
          <w:noProof/>
        </w:rPr>
        <w:t>w załączniku I</w:t>
      </w:r>
      <w:r w:rsidRPr="002F16A1">
        <w:rPr>
          <w:noProof/>
        </w:rPr>
        <w:t xml:space="preserve"> w</w:t>
      </w:r>
      <w:r>
        <w:rPr>
          <w:noProof/>
        </w:rPr>
        <w:t> </w:t>
      </w:r>
      <w:r w:rsidRPr="002F16A1">
        <w:rPr>
          <w:noProof/>
        </w:rPr>
        <w:t>kol</w:t>
      </w:r>
      <w:r w:rsidR="00AD62E2" w:rsidRPr="002F16A1">
        <w:rPr>
          <w:noProof/>
        </w:rPr>
        <w:t>umnie drugiej,</w:t>
      </w:r>
      <w:r w:rsidRPr="002F16A1">
        <w:rPr>
          <w:noProof/>
        </w:rPr>
        <w:t xml:space="preserve"> w</w:t>
      </w:r>
      <w:r>
        <w:rPr>
          <w:noProof/>
        </w:rPr>
        <w:t> </w:t>
      </w:r>
      <w:r w:rsidRPr="002F16A1">
        <w:rPr>
          <w:noProof/>
        </w:rPr>
        <w:t>wie</w:t>
      </w:r>
      <w:r w:rsidR="00AD62E2" w:rsidRPr="002F16A1">
        <w:rPr>
          <w:noProof/>
        </w:rPr>
        <w:t>rszu „S. Projekty dotyczące surowców krytycznych” dodaje się punkty</w:t>
      </w:r>
      <w:r w:rsidRPr="002F16A1">
        <w:rPr>
          <w:noProof/>
        </w:rPr>
        <w:t xml:space="preserve"> w</w:t>
      </w:r>
      <w:r>
        <w:rPr>
          <w:noProof/>
        </w:rPr>
        <w:t> </w:t>
      </w:r>
      <w:r w:rsidRPr="002F16A1">
        <w:rPr>
          <w:noProof/>
        </w:rPr>
        <w:t>brz</w:t>
      </w:r>
      <w:r w:rsidR="00AD62E2" w:rsidRPr="002F16A1">
        <w:rPr>
          <w:noProof/>
        </w:rPr>
        <w:t xml:space="preserve">mieniu: </w:t>
      </w:r>
    </w:p>
    <w:p w:rsidR="00AD62E2" w:rsidRPr="002F16A1" w:rsidRDefault="00AD62E2" w:rsidP="00AD62E2">
      <w:pPr>
        <w:pStyle w:val="Text1"/>
        <w:rPr>
          <w:noProof/>
        </w:rPr>
      </w:pPr>
      <w:r w:rsidRPr="002F16A1">
        <w:rPr>
          <w:noProof/>
        </w:rPr>
        <w:t>„1. informacje na temat procesu wydawania pozwoleń</w:t>
      </w:r>
    </w:p>
    <w:p w:rsidR="00AD62E2" w:rsidRPr="002F16A1" w:rsidRDefault="00AD62E2" w:rsidP="00AD62E2">
      <w:pPr>
        <w:pStyle w:val="Text1"/>
        <w:rPr>
          <w:noProof/>
        </w:rPr>
      </w:pPr>
      <w:r w:rsidRPr="002F16A1">
        <w:rPr>
          <w:noProof/>
        </w:rPr>
        <w:t>2. informacje na temat usług finansowych</w:t>
      </w:r>
      <w:r w:rsidR="0028384B" w:rsidRPr="002F16A1">
        <w:rPr>
          <w:noProof/>
        </w:rPr>
        <w:t xml:space="preserve"> i</w:t>
      </w:r>
      <w:r w:rsidR="0028384B">
        <w:rPr>
          <w:noProof/>
        </w:rPr>
        <w:t> </w:t>
      </w:r>
      <w:r w:rsidR="0028384B" w:rsidRPr="002F16A1">
        <w:rPr>
          <w:noProof/>
        </w:rPr>
        <w:t>inw</w:t>
      </w:r>
      <w:r w:rsidRPr="002F16A1">
        <w:rPr>
          <w:noProof/>
        </w:rPr>
        <w:t>estycyjnych</w:t>
      </w:r>
    </w:p>
    <w:p w:rsidR="00AD62E2" w:rsidRPr="002F16A1" w:rsidRDefault="00AD62E2" w:rsidP="00AD62E2">
      <w:pPr>
        <w:pStyle w:val="Text1"/>
        <w:rPr>
          <w:noProof/>
        </w:rPr>
      </w:pPr>
      <w:r w:rsidRPr="002F16A1">
        <w:rPr>
          <w:noProof/>
        </w:rPr>
        <w:t>3. informacje na temat możliwości finansowania na szczeblu Unii lub państwa członkowskiego</w:t>
      </w:r>
    </w:p>
    <w:p w:rsidR="00AD62E2" w:rsidRPr="002F16A1" w:rsidRDefault="00AD62E2" w:rsidP="00AD62E2">
      <w:pPr>
        <w:pStyle w:val="Text1"/>
        <w:rPr>
          <w:noProof/>
        </w:rPr>
      </w:pPr>
      <w:r w:rsidRPr="002F16A1">
        <w:rPr>
          <w:noProof/>
        </w:rPr>
        <w:t>4. informacje na temat usług wspomagających prowadzenie działalności gospodarczej,</w:t>
      </w:r>
      <w:r w:rsidR="0028384B" w:rsidRPr="002F16A1">
        <w:rPr>
          <w:noProof/>
        </w:rPr>
        <w:t xml:space="preserve"> w</w:t>
      </w:r>
      <w:r w:rsidR="0028384B">
        <w:rPr>
          <w:noProof/>
        </w:rPr>
        <w:t> </w:t>
      </w:r>
      <w:r w:rsidR="0028384B" w:rsidRPr="002F16A1">
        <w:rPr>
          <w:noProof/>
        </w:rPr>
        <w:t>tym</w:t>
      </w:r>
      <w:r w:rsidRPr="002F16A1">
        <w:rPr>
          <w:noProof/>
        </w:rPr>
        <w:t xml:space="preserve"> m.in. deklaracji podatkowej dotyczącej podatku dochodowego od osób prawnych, lokalnego prawa podatkowego lub prawa pracy”;</w:t>
      </w:r>
    </w:p>
    <w:p w:rsidR="00AD62E2" w:rsidRPr="002F16A1" w:rsidRDefault="0028384B" w:rsidP="0028384B">
      <w:pPr>
        <w:pStyle w:val="Point0"/>
        <w:rPr>
          <w:noProof/>
        </w:rPr>
      </w:pPr>
      <w:r>
        <w:rPr>
          <w:noProof/>
        </w:rPr>
        <w:t>3)</w:t>
      </w:r>
      <w:r>
        <w:rPr>
          <w:noProof/>
        </w:rPr>
        <w:tab/>
      </w:r>
      <w:r w:rsidR="00AD62E2" w:rsidRPr="002F16A1">
        <w:rPr>
          <w:noProof/>
        </w:rPr>
        <w:t>w załączniku II</w:t>
      </w:r>
      <w:r w:rsidRPr="002F16A1">
        <w:rPr>
          <w:noProof/>
        </w:rPr>
        <w:t xml:space="preserve"> w</w:t>
      </w:r>
      <w:r>
        <w:rPr>
          <w:noProof/>
        </w:rPr>
        <w:t> </w:t>
      </w:r>
      <w:r w:rsidRPr="002F16A1">
        <w:rPr>
          <w:noProof/>
        </w:rPr>
        <w:t>kol</w:t>
      </w:r>
      <w:r w:rsidR="00AD62E2" w:rsidRPr="002F16A1">
        <w:rPr>
          <w:noProof/>
        </w:rPr>
        <w:t>umnie pierwszej dodaje się nowy wiersz „Projekty dotyczące surowców krytycznych”;</w:t>
      </w:r>
    </w:p>
    <w:p w:rsidR="00AD62E2" w:rsidRPr="002F16A1" w:rsidRDefault="0028384B" w:rsidP="0028384B">
      <w:pPr>
        <w:pStyle w:val="Point0"/>
        <w:rPr>
          <w:noProof/>
        </w:rPr>
      </w:pPr>
      <w:r>
        <w:rPr>
          <w:noProof/>
        </w:rPr>
        <w:t>4)</w:t>
      </w:r>
      <w:r>
        <w:rPr>
          <w:noProof/>
        </w:rPr>
        <w:tab/>
      </w:r>
      <w:r w:rsidR="00AD62E2" w:rsidRPr="002F16A1">
        <w:rPr>
          <w:noProof/>
        </w:rPr>
        <w:t>w załączniku II</w:t>
      </w:r>
      <w:r w:rsidRPr="002F16A1">
        <w:rPr>
          <w:noProof/>
        </w:rPr>
        <w:t xml:space="preserve"> w</w:t>
      </w:r>
      <w:r>
        <w:rPr>
          <w:noProof/>
        </w:rPr>
        <w:t> </w:t>
      </w:r>
      <w:r w:rsidRPr="002F16A1">
        <w:rPr>
          <w:noProof/>
        </w:rPr>
        <w:t>kol</w:t>
      </w:r>
      <w:r w:rsidR="00AD62E2" w:rsidRPr="002F16A1">
        <w:rPr>
          <w:noProof/>
        </w:rPr>
        <w:t>umnie drugiej</w:t>
      </w:r>
      <w:r w:rsidRPr="002F16A1">
        <w:rPr>
          <w:noProof/>
        </w:rPr>
        <w:t xml:space="preserve"> w</w:t>
      </w:r>
      <w:r>
        <w:rPr>
          <w:noProof/>
        </w:rPr>
        <w:t> </w:t>
      </w:r>
      <w:r w:rsidRPr="002F16A1">
        <w:rPr>
          <w:noProof/>
        </w:rPr>
        <w:t>wie</w:t>
      </w:r>
      <w:r w:rsidR="00AD62E2" w:rsidRPr="002F16A1">
        <w:rPr>
          <w:noProof/>
        </w:rPr>
        <w:t>rszu „Projekty dotyczące surowców krytycznych” dodaje się punkt</w:t>
      </w:r>
      <w:r w:rsidRPr="002F16A1">
        <w:rPr>
          <w:noProof/>
        </w:rPr>
        <w:t xml:space="preserve"> w</w:t>
      </w:r>
      <w:r>
        <w:rPr>
          <w:noProof/>
        </w:rPr>
        <w:t> </w:t>
      </w:r>
      <w:r w:rsidRPr="002F16A1">
        <w:rPr>
          <w:noProof/>
        </w:rPr>
        <w:t>brz</w:t>
      </w:r>
      <w:r w:rsidR="00AD62E2" w:rsidRPr="002F16A1">
        <w:rPr>
          <w:noProof/>
        </w:rPr>
        <w:t xml:space="preserve">mieniu: </w:t>
      </w:r>
    </w:p>
    <w:p w:rsidR="00AD62E2" w:rsidRPr="002F16A1" w:rsidRDefault="00AD62E2" w:rsidP="00AD62E2">
      <w:pPr>
        <w:pStyle w:val="Text1"/>
        <w:rPr>
          <w:noProof/>
        </w:rPr>
      </w:pPr>
      <w:r w:rsidRPr="002F16A1">
        <w:rPr>
          <w:noProof/>
        </w:rPr>
        <w:t>„Procedura odnosząca się do wszystkich odpowiednich pozwoleń administracyjnych na planowanie, realizację</w:t>
      </w:r>
      <w:r w:rsidR="0028384B" w:rsidRPr="002F16A1">
        <w:rPr>
          <w:noProof/>
        </w:rPr>
        <w:t xml:space="preserve"> i</w:t>
      </w:r>
      <w:r w:rsidR="0028384B">
        <w:rPr>
          <w:noProof/>
        </w:rPr>
        <w:t> </w:t>
      </w:r>
      <w:r w:rsidR="0028384B" w:rsidRPr="002F16A1">
        <w:rPr>
          <w:noProof/>
        </w:rPr>
        <w:t>eks</w:t>
      </w:r>
      <w:r w:rsidRPr="002F16A1">
        <w:rPr>
          <w:noProof/>
        </w:rPr>
        <w:t>ploatację projektów dotyczących wytwarzania technologii neutralnych emisyjnie,</w:t>
      </w:r>
      <w:r w:rsidR="0028384B" w:rsidRPr="002F16A1">
        <w:rPr>
          <w:noProof/>
        </w:rPr>
        <w:t xml:space="preserve"> w</w:t>
      </w:r>
      <w:r w:rsidR="0028384B">
        <w:rPr>
          <w:noProof/>
        </w:rPr>
        <w:t> </w:t>
      </w:r>
      <w:r w:rsidR="0028384B" w:rsidRPr="002F16A1">
        <w:rPr>
          <w:noProof/>
        </w:rPr>
        <w:t>tym</w:t>
      </w:r>
      <w:r w:rsidRPr="002F16A1">
        <w:rPr>
          <w:noProof/>
        </w:rPr>
        <w:t xml:space="preserve"> pozwoleń na budowę,</w:t>
      </w:r>
      <w:r w:rsidR="0028384B" w:rsidRPr="002F16A1">
        <w:rPr>
          <w:noProof/>
        </w:rPr>
        <w:t xml:space="preserve"> w</w:t>
      </w:r>
      <w:r w:rsidR="0028384B">
        <w:rPr>
          <w:noProof/>
        </w:rPr>
        <w:t> </w:t>
      </w:r>
      <w:r w:rsidR="0028384B" w:rsidRPr="002F16A1">
        <w:rPr>
          <w:noProof/>
        </w:rPr>
        <w:t>zak</w:t>
      </w:r>
      <w:r w:rsidRPr="002F16A1">
        <w:rPr>
          <w:noProof/>
        </w:rPr>
        <w:t>resie chemikaliów i na podłączenie do sieci oraz ocen wpływu na środowisko</w:t>
      </w:r>
      <w:r w:rsidR="0028384B" w:rsidRPr="002F16A1">
        <w:rPr>
          <w:noProof/>
        </w:rPr>
        <w:t xml:space="preserve"> i</w:t>
      </w:r>
      <w:r w:rsidR="0028384B">
        <w:rPr>
          <w:noProof/>
        </w:rPr>
        <w:t> </w:t>
      </w:r>
      <w:r w:rsidR="0028384B" w:rsidRPr="002F16A1">
        <w:rPr>
          <w:noProof/>
        </w:rPr>
        <w:t>poz</w:t>
      </w:r>
      <w:r w:rsidRPr="002F16A1">
        <w:rPr>
          <w:noProof/>
        </w:rPr>
        <w:t>woleń środowiskowych, jeżeli są wymagane,</w:t>
      </w:r>
      <w:r w:rsidR="0028384B" w:rsidRPr="002F16A1">
        <w:rPr>
          <w:noProof/>
        </w:rPr>
        <w:t xml:space="preserve"> a</w:t>
      </w:r>
      <w:r w:rsidR="0028384B">
        <w:rPr>
          <w:noProof/>
        </w:rPr>
        <w:t> </w:t>
      </w:r>
      <w:r w:rsidR="0028384B" w:rsidRPr="002F16A1">
        <w:rPr>
          <w:noProof/>
        </w:rPr>
        <w:t>tak</w:t>
      </w:r>
      <w:r w:rsidRPr="002F16A1">
        <w:rPr>
          <w:noProof/>
        </w:rPr>
        <w:t>że obejmująca wszystkie wnioski</w:t>
      </w:r>
      <w:r w:rsidR="0028384B" w:rsidRPr="002F16A1">
        <w:rPr>
          <w:noProof/>
        </w:rPr>
        <w:t xml:space="preserve"> i</w:t>
      </w:r>
      <w:r w:rsidR="0028384B">
        <w:rPr>
          <w:noProof/>
        </w:rPr>
        <w:t> </w:t>
      </w:r>
      <w:r w:rsidR="0028384B" w:rsidRPr="002F16A1">
        <w:rPr>
          <w:noProof/>
        </w:rPr>
        <w:t>pro</w:t>
      </w:r>
      <w:r w:rsidRPr="002F16A1">
        <w:rPr>
          <w:noProof/>
        </w:rPr>
        <w:t xml:space="preserve">cedury administracyjne”; </w:t>
      </w:r>
    </w:p>
    <w:p w:rsidR="00AD62E2" w:rsidRPr="002F16A1" w:rsidRDefault="0028384B" w:rsidP="0028384B">
      <w:pPr>
        <w:pStyle w:val="Point0"/>
        <w:rPr>
          <w:noProof/>
        </w:rPr>
      </w:pPr>
      <w:r>
        <w:rPr>
          <w:noProof/>
        </w:rPr>
        <w:t>5)</w:t>
      </w:r>
      <w:r>
        <w:rPr>
          <w:noProof/>
        </w:rPr>
        <w:tab/>
      </w:r>
      <w:r w:rsidR="00AD62E2" w:rsidRPr="002F16A1">
        <w:rPr>
          <w:noProof/>
        </w:rPr>
        <w:t>w załączniku II</w:t>
      </w:r>
      <w:r w:rsidRPr="002F16A1">
        <w:rPr>
          <w:noProof/>
        </w:rPr>
        <w:t xml:space="preserve"> w</w:t>
      </w:r>
      <w:r>
        <w:rPr>
          <w:noProof/>
        </w:rPr>
        <w:t> </w:t>
      </w:r>
      <w:r w:rsidRPr="002F16A1">
        <w:rPr>
          <w:noProof/>
        </w:rPr>
        <w:t>kol</w:t>
      </w:r>
      <w:r w:rsidR="00AD62E2" w:rsidRPr="002F16A1">
        <w:rPr>
          <w:noProof/>
        </w:rPr>
        <w:t>umnie trzeciej</w:t>
      </w:r>
      <w:r w:rsidRPr="002F16A1">
        <w:rPr>
          <w:noProof/>
        </w:rPr>
        <w:t xml:space="preserve"> w</w:t>
      </w:r>
      <w:r>
        <w:rPr>
          <w:noProof/>
        </w:rPr>
        <w:t> </w:t>
      </w:r>
      <w:r w:rsidRPr="002F16A1">
        <w:rPr>
          <w:noProof/>
        </w:rPr>
        <w:t>wie</w:t>
      </w:r>
      <w:r w:rsidR="00AD62E2" w:rsidRPr="002F16A1">
        <w:rPr>
          <w:noProof/>
        </w:rPr>
        <w:t>rszu „Projekty dotyczące surowców krytycznych” dodaje się punkt</w:t>
      </w:r>
      <w:r w:rsidRPr="002F16A1">
        <w:rPr>
          <w:noProof/>
        </w:rPr>
        <w:t xml:space="preserve"> w</w:t>
      </w:r>
      <w:r>
        <w:rPr>
          <w:noProof/>
        </w:rPr>
        <w:t> </w:t>
      </w:r>
      <w:r w:rsidRPr="002F16A1">
        <w:rPr>
          <w:noProof/>
        </w:rPr>
        <w:t>brz</w:t>
      </w:r>
      <w:r w:rsidR="00AD62E2" w:rsidRPr="002F16A1">
        <w:rPr>
          <w:noProof/>
        </w:rPr>
        <w:t xml:space="preserve">mieniu: </w:t>
      </w:r>
    </w:p>
    <w:p w:rsidR="00AD62E2" w:rsidRPr="002F16A1" w:rsidRDefault="00AD62E2" w:rsidP="00AD62E2">
      <w:pPr>
        <w:pStyle w:val="Text1"/>
        <w:rPr>
          <w:noProof/>
        </w:rPr>
      </w:pPr>
      <w:r w:rsidRPr="002F16A1">
        <w:rPr>
          <w:noProof/>
        </w:rPr>
        <w:t>„Wszystkie rezultaty procedur, od potwierdzenia ważności wniosku do powiadomienia</w:t>
      </w:r>
      <w:r w:rsidR="0028384B" w:rsidRPr="002F16A1">
        <w:rPr>
          <w:noProof/>
        </w:rPr>
        <w:t xml:space="preserve"> o</w:t>
      </w:r>
      <w:r w:rsidR="0028384B">
        <w:rPr>
          <w:noProof/>
        </w:rPr>
        <w:t> </w:t>
      </w:r>
      <w:r w:rsidR="0028384B" w:rsidRPr="002F16A1">
        <w:rPr>
          <w:noProof/>
        </w:rPr>
        <w:t>kom</w:t>
      </w:r>
      <w:r w:rsidRPr="002F16A1">
        <w:rPr>
          <w:noProof/>
        </w:rPr>
        <w:t>pleksowej decyzji</w:t>
      </w:r>
      <w:r w:rsidR="0028384B" w:rsidRPr="002F16A1">
        <w:rPr>
          <w:noProof/>
        </w:rPr>
        <w:t xml:space="preserve"> w</w:t>
      </w:r>
      <w:r w:rsidR="0028384B">
        <w:rPr>
          <w:noProof/>
        </w:rPr>
        <w:t> </w:t>
      </w:r>
      <w:r w:rsidR="0028384B" w:rsidRPr="002F16A1">
        <w:rPr>
          <w:noProof/>
        </w:rPr>
        <w:t>spr</w:t>
      </w:r>
      <w:r w:rsidRPr="002F16A1">
        <w:rPr>
          <w:noProof/>
        </w:rPr>
        <w:t xml:space="preserve">awie wyniku procedury przez odpowiedzialny właściwy organ krajowy”; </w:t>
      </w:r>
    </w:p>
    <w:p w:rsidR="00AD62E2" w:rsidRPr="002F16A1" w:rsidRDefault="0028384B" w:rsidP="0028384B">
      <w:pPr>
        <w:pStyle w:val="Point0"/>
        <w:rPr>
          <w:noProof/>
        </w:rPr>
      </w:pPr>
      <w:r>
        <w:rPr>
          <w:noProof/>
        </w:rPr>
        <w:t>6)</w:t>
      </w:r>
      <w:r>
        <w:rPr>
          <w:noProof/>
        </w:rPr>
        <w:tab/>
      </w:r>
      <w:r w:rsidR="00AD62E2" w:rsidRPr="002F16A1">
        <w:rPr>
          <w:noProof/>
        </w:rPr>
        <w:t>w załączniku III dodaje się punkt</w:t>
      </w:r>
      <w:r w:rsidRPr="002F16A1">
        <w:rPr>
          <w:noProof/>
        </w:rPr>
        <w:t xml:space="preserve"> w</w:t>
      </w:r>
      <w:r>
        <w:rPr>
          <w:noProof/>
        </w:rPr>
        <w:t> </w:t>
      </w:r>
      <w:r w:rsidRPr="002F16A1">
        <w:rPr>
          <w:noProof/>
        </w:rPr>
        <w:t>brz</w:t>
      </w:r>
      <w:r w:rsidR="00AD62E2" w:rsidRPr="002F16A1">
        <w:rPr>
          <w:noProof/>
        </w:rPr>
        <w:t xml:space="preserve">mieniu: </w:t>
      </w:r>
    </w:p>
    <w:p w:rsidR="00AD62E2" w:rsidRPr="002F16A1" w:rsidRDefault="00AD62E2" w:rsidP="00AD62E2">
      <w:pPr>
        <w:rPr>
          <w:noProof/>
        </w:rPr>
      </w:pPr>
      <w:r w:rsidRPr="002F16A1">
        <w:rPr>
          <w:noProof/>
        </w:rPr>
        <w:t>„9) Właściwe organy krajowe,</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8</w:t>
      </w:r>
      <w:r w:rsidRPr="002F16A1">
        <w:rPr>
          <w:noProof/>
        </w:rPr>
        <w:t xml:space="preserve"> </w:t>
      </w:r>
      <w:r w:rsidRPr="0028384B">
        <w:rPr>
          <w:noProof/>
        </w:rPr>
        <w:t>ust.</w:t>
      </w:r>
      <w:r w:rsidR="0028384B" w:rsidRPr="0028384B">
        <w:rPr>
          <w:noProof/>
        </w:rPr>
        <w:t> </w:t>
      </w:r>
      <w:r w:rsidRPr="0028384B">
        <w:rPr>
          <w:noProof/>
        </w:rPr>
        <w:t>1</w:t>
      </w:r>
      <w:r w:rsidRPr="002F16A1">
        <w:rPr>
          <w:noProof/>
        </w:rPr>
        <w:t xml:space="preserve"> [</w:t>
      </w:r>
      <w:r w:rsidRPr="002F16A1">
        <w:rPr>
          <w:i/>
          <w:iCs/>
          <w:noProof/>
        </w:rPr>
        <w:t>Urząd Publikacji:</w:t>
      </w:r>
      <w:r w:rsidRPr="002F16A1">
        <w:rPr>
          <w:noProof/>
        </w:rPr>
        <w:t xml:space="preserve"> </w:t>
      </w:r>
      <w:r w:rsidRPr="002F16A1">
        <w:rPr>
          <w:i/>
          <w:iCs/>
          <w:noProof/>
        </w:rPr>
        <w:t>proszę wstawić odniesienie do niniejszego rozporządzenia</w:t>
      </w:r>
      <w:r w:rsidRPr="002F16A1">
        <w:rPr>
          <w:noProof/>
        </w:rPr>
        <w:t xml:space="preserve">]”. </w:t>
      </w:r>
    </w:p>
    <w:p w:rsidR="00AD62E2" w:rsidRPr="002F16A1" w:rsidRDefault="00AD62E2" w:rsidP="00AD62E2">
      <w:pPr>
        <w:pStyle w:val="Titrearticle"/>
        <w:rPr>
          <w:noProof/>
        </w:rPr>
      </w:pPr>
      <w:r w:rsidRPr="002F16A1">
        <w:rPr>
          <w:noProof/>
        </w:rPr>
        <w:t>Artykuł 39</w:t>
      </w:r>
    </w:p>
    <w:p w:rsidR="00AD62E2" w:rsidRPr="002F16A1" w:rsidRDefault="00AD62E2" w:rsidP="00AD62E2">
      <w:pPr>
        <w:pStyle w:val="NormalCentered"/>
        <w:rPr>
          <w:noProof/>
        </w:rPr>
      </w:pPr>
      <w:r w:rsidRPr="002F16A1">
        <w:rPr>
          <w:b/>
          <w:noProof/>
        </w:rPr>
        <w:t>Zmiany</w:t>
      </w:r>
      <w:r w:rsidR="0028384B" w:rsidRPr="002F16A1">
        <w:rPr>
          <w:b/>
          <w:noProof/>
        </w:rPr>
        <w:t xml:space="preserve"> w</w:t>
      </w:r>
      <w:r w:rsidR="0028384B">
        <w:rPr>
          <w:b/>
          <w:noProof/>
        </w:rPr>
        <w:t> </w:t>
      </w:r>
      <w:r w:rsidR="0028384B" w:rsidRPr="002F16A1">
        <w:rPr>
          <w:b/>
          <w:noProof/>
        </w:rPr>
        <w:t>roz</w:t>
      </w:r>
      <w:r w:rsidRPr="002F16A1">
        <w:rPr>
          <w:b/>
          <w:noProof/>
        </w:rPr>
        <w:t>porządzeniu (UE) 2019/1020</w:t>
      </w:r>
    </w:p>
    <w:p w:rsidR="00AD62E2" w:rsidRPr="002F16A1" w:rsidRDefault="00AD62E2" w:rsidP="00AD62E2">
      <w:pPr>
        <w:rPr>
          <w:noProof/>
        </w:rPr>
      </w:pPr>
      <w:r w:rsidRPr="002F16A1">
        <w:rPr>
          <w:noProof/>
        </w:rPr>
        <w:t xml:space="preserve">W rozporządzeniu (UE) 2019/1020 wprowadza się następujące zmiany: </w:t>
      </w:r>
    </w:p>
    <w:p w:rsidR="00AD62E2" w:rsidRPr="002F16A1" w:rsidRDefault="0028384B" w:rsidP="0028384B">
      <w:pPr>
        <w:pStyle w:val="Point0"/>
        <w:rPr>
          <w:noProof/>
        </w:rPr>
      </w:pPr>
      <w:r>
        <w:rPr>
          <w:noProof/>
        </w:rPr>
        <w:t>1)</w:t>
      </w:r>
      <w:r>
        <w:rPr>
          <w:noProof/>
        </w:rPr>
        <w:tab/>
      </w:r>
      <w:r w:rsidR="00AD62E2" w:rsidRPr="002F16A1">
        <w:rPr>
          <w:noProof/>
        </w:rPr>
        <w:t xml:space="preserve">w </w:t>
      </w:r>
      <w:r w:rsidR="00AD62E2" w:rsidRPr="0028384B">
        <w:rPr>
          <w:noProof/>
        </w:rPr>
        <w:t>art.</w:t>
      </w:r>
      <w:r w:rsidRPr="0028384B">
        <w:rPr>
          <w:noProof/>
        </w:rPr>
        <w:t> </w:t>
      </w:r>
      <w:r w:rsidR="00AD62E2" w:rsidRPr="0028384B">
        <w:rPr>
          <w:noProof/>
        </w:rPr>
        <w:t>4</w:t>
      </w:r>
      <w:r w:rsidR="00AD62E2" w:rsidRPr="002F16A1">
        <w:rPr>
          <w:noProof/>
        </w:rPr>
        <w:t xml:space="preserve"> </w:t>
      </w:r>
      <w:r w:rsidR="00AD62E2" w:rsidRPr="0028384B">
        <w:rPr>
          <w:noProof/>
        </w:rPr>
        <w:t>ust.</w:t>
      </w:r>
      <w:r w:rsidRPr="0028384B">
        <w:rPr>
          <w:noProof/>
        </w:rPr>
        <w:t> </w:t>
      </w:r>
      <w:r w:rsidR="00AD62E2" w:rsidRPr="0028384B">
        <w:rPr>
          <w:noProof/>
        </w:rPr>
        <w:t>5</w:t>
      </w:r>
      <w:r w:rsidR="00AD62E2" w:rsidRPr="002F16A1">
        <w:rPr>
          <w:noProof/>
        </w:rPr>
        <w:t xml:space="preserve"> tekst „(UE) 2016/425 (35) i (UE) 2016/426 (36)” otrzymuje brzmienie: „(UE) 2016/425 (*), (UE) 2016/426 (**) i [(UE) […] [rok przyjęcia niniejszego rozporządzenia]/…(***)]”;</w:t>
      </w:r>
    </w:p>
    <w:p w:rsidR="00AD62E2" w:rsidRPr="002F16A1" w:rsidRDefault="0028384B" w:rsidP="0028384B">
      <w:pPr>
        <w:pStyle w:val="Point0"/>
        <w:rPr>
          <w:noProof/>
        </w:rPr>
      </w:pPr>
      <w:r>
        <w:rPr>
          <w:noProof/>
        </w:rPr>
        <w:t>2)</w:t>
      </w:r>
      <w:r>
        <w:rPr>
          <w:noProof/>
        </w:rPr>
        <w:tab/>
      </w:r>
      <w:r w:rsidR="00AD62E2" w:rsidRPr="002F16A1">
        <w:rPr>
          <w:noProof/>
        </w:rPr>
        <w:t>w załączniku I dodaje się punkt</w:t>
      </w:r>
      <w:r w:rsidRPr="002F16A1">
        <w:rPr>
          <w:noProof/>
        </w:rPr>
        <w:t xml:space="preserve"> w</w:t>
      </w:r>
      <w:r>
        <w:rPr>
          <w:noProof/>
        </w:rPr>
        <w:t> </w:t>
      </w:r>
      <w:r w:rsidRPr="002F16A1">
        <w:rPr>
          <w:noProof/>
        </w:rPr>
        <w:t>brz</w:t>
      </w:r>
      <w:r w:rsidR="00AD62E2" w:rsidRPr="002F16A1">
        <w:rPr>
          <w:noProof/>
        </w:rPr>
        <w:t>mieniu: „X [</w:t>
      </w:r>
      <w:r w:rsidR="00AD62E2" w:rsidRPr="002F16A1">
        <w:rPr>
          <w:i/>
          <w:iCs/>
          <w:noProof/>
        </w:rPr>
        <w:t>Urząd Publikacji: proszę wstawić kolejny numer</w:t>
      </w:r>
      <w:r w:rsidR="00AD62E2" w:rsidRPr="002F16A1">
        <w:rPr>
          <w:noProof/>
        </w:rPr>
        <w:t>] Rozporządzenie (UE) …/… ustanawiające ramy na potrzeby zapewnienia bezpiecznych</w:t>
      </w:r>
      <w:r w:rsidRPr="002F16A1">
        <w:rPr>
          <w:noProof/>
        </w:rPr>
        <w:t xml:space="preserve"> i</w:t>
      </w:r>
      <w:r>
        <w:rPr>
          <w:noProof/>
        </w:rPr>
        <w:t> </w:t>
      </w:r>
      <w:r w:rsidRPr="002F16A1">
        <w:rPr>
          <w:noProof/>
        </w:rPr>
        <w:t>zró</w:t>
      </w:r>
      <w:r w:rsidR="00AD62E2" w:rsidRPr="002F16A1">
        <w:rPr>
          <w:noProof/>
        </w:rPr>
        <w:t>wnoważonych dostaw surowców krytycznych oraz zmieniające rozporządzenie (UE) 2019/1020 [</w:t>
      </w:r>
      <w:r w:rsidR="00AD62E2" w:rsidRPr="002F16A1">
        <w:rPr>
          <w:i/>
          <w:iCs/>
          <w:noProof/>
        </w:rPr>
        <w:t>Urząd Publikacji: proszę podać dane dotyczące publikacji niniejszego rozporządzenia</w:t>
      </w:r>
      <w:r w:rsidR="00AD62E2" w:rsidRPr="002F16A1">
        <w:rPr>
          <w:noProof/>
        </w:rPr>
        <w:t>]</w:t>
      </w:r>
      <w:r w:rsidRPr="002F16A1">
        <w:rPr>
          <w:noProof/>
        </w:rPr>
        <w:t xml:space="preserve"> w</w:t>
      </w:r>
      <w:r>
        <w:rPr>
          <w:noProof/>
        </w:rPr>
        <w:t> </w:t>
      </w:r>
      <w:r w:rsidRPr="002F16A1">
        <w:rPr>
          <w:noProof/>
        </w:rPr>
        <w:t>zak</w:t>
      </w:r>
      <w:r w:rsidR="00AD62E2" w:rsidRPr="002F16A1">
        <w:rPr>
          <w:noProof/>
        </w:rPr>
        <w:t>resie,</w:t>
      </w:r>
      <w:r w:rsidRPr="002F16A1">
        <w:rPr>
          <w:noProof/>
        </w:rPr>
        <w:t xml:space="preserve"> w</w:t>
      </w:r>
      <w:r>
        <w:rPr>
          <w:noProof/>
        </w:rPr>
        <w:t> </w:t>
      </w:r>
      <w:r w:rsidRPr="002F16A1">
        <w:rPr>
          <w:noProof/>
        </w:rPr>
        <w:t>jak</w:t>
      </w:r>
      <w:r w:rsidR="00AD62E2" w:rsidRPr="002F16A1">
        <w:rPr>
          <w:noProof/>
        </w:rPr>
        <w:t>im dotyczy ono wymogów określonych</w:t>
      </w:r>
      <w:r w:rsidRPr="002F16A1">
        <w:rPr>
          <w:noProof/>
        </w:rPr>
        <w:t xml:space="preserve"> w</w:t>
      </w:r>
      <w:r>
        <w:rPr>
          <w:noProof/>
        </w:rPr>
        <w:t> </w:t>
      </w:r>
      <w:r w:rsidRPr="0028384B">
        <w:rPr>
          <w:noProof/>
        </w:rPr>
        <w:t>art</w:t>
      </w:r>
      <w:r w:rsidR="00AD62E2" w:rsidRPr="0028384B">
        <w:rPr>
          <w:noProof/>
        </w:rPr>
        <w:t>.</w:t>
      </w:r>
      <w:r w:rsidRPr="0028384B">
        <w:rPr>
          <w:noProof/>
        </w:rPr>
        <w:t> </w:t>
      </w:r>
      <w:r w:rsidR="00AD62E2" w:rsidRPr="0028384B">
        <w:rPr>
          <w:noProof/>
        </w:rPr>
        <w:t>2</w:t>
      </w:r>
      <w:r w:rsidR="00AD62E2" w:rsidRPr="002F16A1">
        <w:rPr>
          <w:noProof/>
        </w:rPr>
        <w:t xml:space="preserve">7, 28 </w:t>
      </w:r>
      <w:r w:rsidR="00AD62E2" w:rsidRPr="0028384B">
        <w:rPr>
          <w:noProof/>
        </w:rPr>
        <w:t>lub</w:t>
      </w:r>
      <w:r w:rsidRPr="0028384B">
        <w:rPr>
          <w:noProof/>
        </w:rPr>
        <w:t> </w:t>
      </w:r>
      <w:r w:rsidR="00AD62E2" w:rsidRPr="0028384B">
        <w:rPr>
          <w:noProof/>
        </w:rPr>
        <w:t>3</w:t>
      </w:r>
      <w:r w:rsidR="00AD62E2" w:rsidRPr="002F16A1">
        <w:rPr>
          <w:noProof/>
        </w:rPr>
        <w:t>0 tego rozporządzenia.”.</w:t>
      </w:r>
    </w:p>
    <w:p w:rsidR="00AD62E2" w:rsidRPr="002F16A1" w:rsidRDefault="00AD62E2" w:rsidP="00AD62E2">
      <w:pPr>
        <w:pStyle w:val="Titrearticle"/>
        <w:rPr>
          <w:noProof/>
        </w:rPr>
      </w:pPr>
      <w:r w:rsidRPr="002F16A1">
        <w:rPr>
          <w:noProof/>
        </w:rPr>
        <w:t>Artykuł 40</w:t>
      </w:r>
    </w:p>
    <w:p w:rsidR="00AD62E2" w:rsidRPr="002F16A1" w:rsidRDefault="00AD62E2" w:rsidP="00AD62E2">
      <w:pPr>
        <w:pStyle w:val="NormalCentered"/>
        <w:rPr>
          <w:b/>
          <w:noProof/>
        </w:rPr>
      </w:pPr>
      <w:r w:rsidRPr="002F16A1">
        <w:rPr>
          <w:b/>
          <w:noProof/>
        </w:rPr>
        <w:t>Zmiana</w:t>
      </w:r>
      <w:r w:rsidR="0028384B" w:rsidRPr="002F16A1">
        <w:rPr>
          <w:b/>
          <w:noProof/>
        </w:rPr>
        <w:t xml:space="preserve"> w</w:t>
      </w:r>
      <w:r w:rsidR="0028384B">
        <w:rPr>
          <w:b/>
          <w:noProof/>
        </w:rPr>
        <w:t> </w:t>
      </w:r>
      <w:r w:rsidR="0028384B" w:rsidRPr="002F16A1">
        <w:rPr>
          <w:b/>
          <w:noProof/>
        </w:rPr>
        <w:t>roz</w:t>
      </w:r>
      <w:r w:rsidRPr="002F16A1">
        <w:rPr>
          <w:b/>
          <w:noProof/>
        </w:rPr>
        <w:t xml:space="preserve">porządzeniu (UE) 2018/858 </w:t>
      </w:r>
    </w:p>
    <w:p w:rsidR="00AD62E2" w:rsidRPr="002F16A1" w:rsidRDefault="00AD62E2" w:rsidP="00AD62E2">
      <w:pPr>
        <w:rPr>
          <w:noProof/>
        </w:rPr>
      </w:pPr>
      <w:r w:rsidRPr="002F16A1">
        <w:rPr>
          <w:noProof/>
        </w:rPr>
        <w:t>W załączniku II do rozporządzenia (UE) 2018/858 wprowadza się następującą zmianę:</w:t>
      </w:r>
    </w:p>
    <w:p w:rsidR="00AD62E2" w:rsidRPr="002F16A1" w:rsidRDefault="00AD62E2" w:rsidP="00AD62E2">
      <w:pPr>
        <w:rPr>
          <w:noProof/>
        </w:rPr>
      </w:pPr>
      <w:r w:rsidRPr="002F16A1">
        <w:rPr>
          <w:noProof/>
        </w:rPr>
        <w:t>w części I</w:t>
      </w:r>
      <w:r w:rsidR="0028384B" w:rsidRPr="002F16A1">
        <w:rPr>
          <w:noProof/>
        </w:rPr>
        <w:t xml:space="preserve"> w</w:t>
      </w:r>
      <w:r w:rsidR="0028384B">
        <w:rPr>
          <w:noProof/>
        </w:rPr>
        <w:t> </w:t>
      </w:r>
      <w:r w:rsidR="0028384B" w:rsidRPr="002F16A1">
        <w:rPr>
          <w:noProof/>
        </w:rPr>
        <w:t>tab</w:t>
      </w:r>
      <w:r w:rsidRPr="002F16A1">
        <w:rPr>
          <w:noProof/>
        </w:rPr>
        <w:t>eli dodaje się pozycję</w:t>
      </w:r>
      <w:r w:rsidR="0028384B" w:rsidRPr="002F16A1">
        <w:rPr>
          <w:noProof/>
        </w:rPr>
        <w:t xml:space="preserve"> w</w:t>
      </w:r>
      <w:r w:rsidR="0028384B">
        <w:rPr>
          <w:noProof/>
        </w:rPr>
        <w:t> </w:t>
      </w:r>
      <w:r w:rsidR="0028384B" w:rsidRPr="002F16A1">
        <w:rPr>
          <w:noProof/>
        </w:rPr>
        <w:t>brz</w:t>
      </w:r>
      <w:r w:rsidRPr="002F16A1">
        <w:rPr>
          <w:noProof/>
        </w:rPr>
        <w:t>mieniu:</w:t>
      </w:r>
    </w:p>
    <w:tbl>
      <w:tblPr>
        <w:tblW w:w="0" w:type="auto"/>
        <w:tblLayout w:type="fixed"/>
        <w:tblLook w:val="04A0" w:firstRow="1" w:lastRow="0" w:firstColumn="1" w:lastColumn="0" w:noHBand="0" w:noVBand="1"/>
      </w:tblPr>
      <w:tblGrid>
        <w:gridCol w:w="1607"/>
        <w:gridCol w:w="1260"/>
        <w:gridCol w:w="1971"/>
        <w:gridCol w:w="351"/>
        <w:gridCol w:w="352"/>
        <w:gridCol w:w="352"/>
        <w:gridCol w:w="352"/>
        <w:gridCol w:w="352"/>
        <w:gridCol w:w="352"/>
        <w:gridCol w:w="351"/>
        <w:gridCol w:w="352"/>
        <w:gridCol w:w="352"/>
        <w:gridCol w:w="352"/>
        <w:gridCol w:w="352"/>
        <w:gridCol w:w="352"/>
      </w:tblGrid>
      <w:tr w:rsidR="00AD62E2" w:rsidRPr="002F16A1" w:rsidTr="000154FC">
        <w:trPr>
          <w:trHeight w:val="300"/>
        </w:trPr>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rPr>
                <w:noProof/>
              </w:rPr>
            </w:pPr>
            <w:r w:rsidRPr="002F16A1">
              <w:rPr>
                <w:noProof/>
              </w:rPr>
              <w:t>„[</w:t>
            </w:r>
            <w:r w:rsidRPr="002F16A1">
              <w:rPr>
                <w:i/>
                <w:iCs/>
                <w:noProof/>
              </w:rPr>
              <w:t>Urząd Publikacji: proszę wstawić kolejny numer pod nagłówkiem G</w:t>
            </w:r>
            <w:r w:rsidRPr="002F16A1">
              <w:rPr>
                <w:noProof/>
              </w:rPr>
              <w: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rPr>
                <w:noProof/>
              </w:rPr>
            </w:pPr>
            <w:r w:rsidRPr="002F16A1">
              <w:rPr>
                <w:noProof/>
              </w:rPr>
              <w:t>Wymagania dotyczące obiegu zamkniętego magnesów trwałych</w:t>
            </w:r>
          </w:p>
        </w:tc>
        <w:tc>
          <w:tcPr>
            <w:tcW w:w="19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rPr>
                <w:noProof/>
              </w:rPr>
            </w:pPr>
            <w:r w:rsidRPr="002F16A1">
              <w:rPr>
                <w:noProof/>
              </w:rPr>
              <w:t>Rozporządzenie (UE) XX/XXXX [</w:t>
            </w:r>
            <w:r w:rsidRPr="002F16A1">
              <w:rPr>
                <w:i/>
                <w:iCs/>
                <w:noProof/>
              </w:rPr>
              <w:t>Urząd Publikacji: proszę podać</w:t>
            </w:r>
            <w:r w:rsidRPr="002F16A1">
              <w:rPr>
                <w:noProof/>
              </w:rPr>
              <w:t xml:space="preserve"> </w:t>
            </w:r>
            <w:r w:rsidRPr="002F16A1">
              <w:rPr>
                <w:i/>
                <w:iCs/>
                <w:noProof/>
              </w:rPr>
              <w:t>dane dotyczące publikacji niniejszego rozporządzenia w Dz.U.</w:t>
            </w:r>
            <w:r w:rsidRPr="002F16A1">
              <w:rPr>
                <w:noProof/>
              </w:rPr>
              <w:t>]</w:t>
            </w:r>
          </w:p>
        </w:tc>
        <w:tc>
          <w:tcPr>
            <w:tcW w:w="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p>
        </w:tc>
        <w:tc>
          <w:tcPr>
            <w:tcW w:w="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p>
        </w:tc>
        <w:tc>
          <w:tcPr>
            <w:tcW w:w="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p>
        </w:tc>
        <w:tc>
          <w:tcPr>
            <w:tcW w:w="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p>
        </w:tc>
        <w:tc>
          <w:tcPr>
            <w:tcW w:w="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r>
    </w:tbl>
    <w:p w:rsidR="00AD62E2" w:rsidRPr="002F16A1" w:rsidRDefault="00AD62E2" w:rsidP="00AD62E2">
      <w:pPr>
        <w:pStyle w:val="Titrearticle"/>
        <w:rPr>
          <w:noProof/>
        </w:rPr>
      </w:pPr>
      <w:r w:rsidRPr="002F16A1">
        <w:rPr>
          <w:noProof/>
        </w:rPr>
        <w:t>Artykuł 41</w:t>
      </w:r>
    </w:p>
    <w:p w:rsidR="00AD62E2" w:rsidRPr="002F16A1" w:rsidRDefault="00AD62E2" w:rsidP="00AD62E2">
      <w:pPr>
        <w:pStyle w:val="NormalCentered"/>
        <w:rPr>
          <w:b/>
          <w:noProof/>
        </w:rPr>
      </w:pPr>
      <w:r w:rsidRPr="002F16A1">
        <w:rPr>
          <w:b/>
          <w:noProof/>
        </w:rPr>
        <w:t>Zmiana</w:t>
      </w:r>
      <w:r w:rsidR="0028384B" w:rsidRPr="002F16A1">
        <w:rPr>
          <w:b/>
          <w:noProof/>
        </w:rPr>
        <w:t xml:space="preserve"> w</w:t>
      </w:r>
      <w:r w:rsidR="0028384B">
        <w:rPr>
          <w:b/>
          <w:noProof/>
        </w:rPr>
        <w:t> </w:t>
      </w:r>
      <w:r w:rsidR="0028384B" w:rsidRPr="002F16A1">
        <w:rPr>
          <w:b/>
          <w:noProof/>
        </w:rPr>
        <w:t>roz</w:t>
      </w:r>
      <w:r w:rsidRPr="002F16A1">
        <w:rPr>
          <w:b/>
          <w:noProof/>
        </w:rPr>
        <w:t xml:space="preserve">porządzeniu (UE) </w:t>
      </w:r>
      <w:r w:rsidRPr="0028384B">
        <w:rPr>
          <w:b/>
          <w:noProof/>
        </w:rPr>
        <w:t>nr</w:t>
      </w:r>
      <w:r w:rsidR="0028384B" w:rsidRPr="0028384B">
        <w:rPr>
          <w:b/>
          <w:noProof/>
        </w:rPr>
        <w:t> </w:t>
      </w:r>
      <w:r w:rsidRPr="0028384B">
        <w:rPr>
          <w:b/>
          <w:noProof/>
        </w:rPr>
        <w:t>1</w:t>
      </w:r>
      <w:r w:rsidRPr="002F16A1">
        <w:rPr>
          <w:b/>
          <w:noProof/>
        </w:rPr>
        <w:t>68/2013</w:t>
      </w:r>
    </w:p>
    <w:p w:rsidR="00AD62E2" w:rsidRPr="002F16A1" w:rsidRDefault="00AD62E2" w:rsidP="00AD62E2">
      <w:pPr>
        <w:rPr>
          <w:noProof/>
        </w:rPr>
      </w:pPr>
      <w:r w:rsidRPr="002F16A1">
        <w:rPr>
          <w:noProof/>
        </w:rPr>
        <w:t xml:space="preserve">W załączniku II do rozporządzenia (UE) </w:t>
      </w:r>
      <w:r w:rsidRPr="0028384B">
        <w:rPr>
          <w:noProof/>
        </w:rPr>
        <w:t>nr</w:t>
      </w:r>
      <w:r w:rsidR="0028384B" w:rsidRPr="0028384B">
        <w:rPr>
          <w:noProof/>
        </w:rPr>
        <w:t> </w:t>
      </w:r>
      <w:r w:rsidRPr="0028384B">
        <w:rPr>
          <w:noProof/>
        </w:rPr>
        <w:t>1</w:t>
      </w:r>
      <w:r w:rsidRPr="002F16A1">
        <w:rPr>
          <w:noProof/>
        </w:rPr>
        <w:t>68/2013 wprowadza się następującą zmianę:</w:t>
      </w:r>
    </w:p>
    <w:p w:rsidR="00AD62E2" w:rsidRPr="002F16A1" w:rsidRDefault="00AD62E2" w:rsidP="00AD62E2">
      <w:pPr>
        <w:rPr>
          <w:noProof/>
        </w:rPr>
      </w:pPr>
      <w:r w:rsidRPr="002F16A1">
        <w:rPr>
          <w:noProof/>
        </w:rPr>
        <w:t>w części I</w:t>
      </w:r>
      <w:r w:rsidR="0028384B" w:rsidRPr="002F16A1">
        <w:rPr>
          <w:noProof/>
        </w:rPr>
        <w:t xml:space="preserve"> w</w:t>
      </w:r>
      <w:r w:rsidR="0028384B">
        <w:rPr>
          <w:noProof/>
        </w:rPr>
        <w:t> </w:t>
      </w:r>
      <w:r w:rsidR="0028384B" w:rsidRPr="002F16A1">
        <w:rPr>
          <w:noProof/>
        </w:rPr>
        <w:t>tab</w:t>
      </w:r>
      <w:r w:rsidRPr="002F16A1">
        <w:rPr>
          <w:noProof/>
        </w:rPr>
        <w:t>eli dodaje się pozycję</w:t>
      </w:r>
      <w:r w:rsidR="0028384B" w:rsidRPr="002F16A1">
        <w:rPr>
          <w:noProof/>
        </w:rPr>
        <w:t xml:space="preserve"> w</w:t>
      </w:r>
      <w:r w:rsidR="0028384B">
        <w:rPr>
          <w:noProof/>
        </w:rPr>
        <w:t> </w:t>
      </w:r>
      <w:r w:rsidR="0028384B" w:rsidRPr="002F16A1">
        <w:rPr>
          <w:noProof/>
        </w:rPr>
        <w:t>brz</w:t>
      </w:r>
      <w:r w:rsidRPr="002F16A1">
        <w:rPr>
          <w:noProof/>
        </w:rPr>
        <w:t>mieniu:</w:t>
      </w:r>
    </w:p>
    <w:tbl>
      <w:tblPr>
        <w:tblW w:w="0" w:type="auto"/>
        <w:tblLayout w:type="fixed"/>
        <w:tblLook w:val="04A0" w:firstRow="1" w:lastRow="0" w:firstColumn="1" w:lastColumn="0" w:noHBand="0" w:noVBand="1"/>
      </w:tblPr>
      <w:tblGrid>
        <w:gridCol w:w="1526"/>
        <w:gridCol w:w="1276"/>
        <w:gridCol w:w="1545"/>
        <w:gridCol w:w="336"/>
        <w:gridCol w:w="336"/>
        <w:gridCol w:w="336"/>
        <w:gridCol w:w="336"/>
        <w:gridCol w:w="336"/>
        <w:gridCol w:w="336"/>
        <w:gridCol w:w="336"/>
        <w:gridCol w:w="336"/>
        <w:gridCol w:w="336"/>
        <w:gridCol w:w="336"/>
        <w:gridCol w:w="336"/>
        <w:gridCol w:w="336"/>
        <w:gridCol w:w="336"/>
        <w:gridCol w:w="337"/>
      </w:tblGrid>
      <w:tr w:rsidR="00AD62E2" w:rsidRPr="002F16A1" w:rsidTr="000154FC">
        <w:trPr>
          <w:trHeight w:val="28"/>
        </w:trPr>
        <w:tc>
          <w:tcPr>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rPr>
                <w:noProof/>
              </w:rPr>
            </w:pPr>
            <w:r w:rsidRPr="002F16A1">
              <w:rPr>
                <w:noProof/>
              </w:rPr>
              <w:t>„[</w:t>
            </w:r>
            <w:r w:rsidRPr="002F16A1">
              <w:rPr>
                <w:i/>
                <w:iCs/>
                <w:noProof/>
              </w:rPr>
              <w:t>Urząd Publikacji: proszę wstawić kolejny numer pod nagłówkiem C1</w:t>
            </w:r>
            <w:r w:rsidRPr="002F16A1">
              <w:rPr>
                <w:noProof/>
              </w:rPr>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rPr>
                <w:noProof/>
              </w:rPr>
            </w:pPr>
            <w:r w:rsidRPr="002F16A1">
              <w:rPr>
                <w:noProof/>
              </w:rPr>
              <w:t>Wymagania dotyczące obiegu zamkniętego magnesów trwałych</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rPr>
                <w:noProof/>
              </w:rPr>
            </w:pPr>
            <w:r w:rsidRPr="002F16A1">
              <w:rPr>
                <w:noProof/>
              </w:rPr>
              <w:t>Rozporządzenie (UE) XX/XXXX [</w:t>
            </w:r>
            <w:r w:rsidRPr="002F16A1">
              <w:rPr>
                <w:i/>
                <w:iCs/>
                <w:noProof/>
              </w:rPr>
              <w:t>Urząd Publikacji: proszę podać</w:t>
            </w:r>
            <w:r w:rsidRPr="002F16A1">
              <w:rPr>
                <w:noProof/>
              </w:rPr>
              <w:t xml:space="preserve"> </w:t>
            </w:r>
            <w:r w:rsidRPr="002F16A1">
              <w:rPr>
                <w:i/>
                <w:iCs/>
                <w:noProof/>
              </w:rPr>
              <w:t>dane dotyczące publikacji niniejszego rozporządzenia w Dz.U.</w:t>
            </w:r>
            <w:r w:rsidRPr="002F16A1">
              <w:rPr>
                <w:noProof/>
              </w:rPr>
              <w:t>]</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c>
          <w:tcPr>
            <w:tcW w:w="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62E2" w:rsidRPr="002F16A1" w:rsidRDefault="00AD62E2" w:rsidP="000154FC">
            <w:pPr>
              <w:jc w:val="center"/>
              <w:rPr>
                <w:noProof/>
              </w:rPr>
            </w:pPr>
            <w:r w:rsidRPr="002F16A1">
              <w:rPr>
                <w:noProof/>
              </w:rPr>
              <w:t>X”</w:t>
            </w:r>
          </w:p>
        </w:tc>
      </w:tr>
    </w:tbl>
    <w:p w:rsidR="00AD62E2" w:rsidRPr="002F16A1" w:rsidRDefault="00AD62E2" w:rsidP="00AD62E2">
      <w:pPr>
        <w:pStyle w:val="ChapterTitle"/>
        <w:rPr>
          <w:noProof/>
        </w:rPr>
      </w:pPr>
    </w:p>
    <w:p w:rsidR="00AD62E2" w:rsidRPr="002F16A1" w:rsidRDefault="00AD62E2" w:rsidP="00AD62E2">
      <w:pPr>
        <w:pStyle w:val="ChapterTitle"/>
        <w:rPr>
          <w:noProof/>
        </w:rPr>
      </w:pPr>
      <w:r w:rsidRPr="002F16A1">
        <w:rPr>
          <w:noProof/>
        </w:rPr>
        <w:t xml:space="preserve">Rozdział 10 </w:t>
      </w:r>
      <w:r w:rsidRPr="002F16A1">
        <w:rPr>
          <w:noProof/>
        </w:rPr>
        <w:br/>
        <w:t>Przepisy końcowe</w:t>
      </w:r>
    </w:p>
    <w:p w:rsidR="00AD62E2" w:rsidRPr="002F16A1" w:rsidRDefault="00AD62E2" w:rsidP="00AD62E2">
      <w:pPr>
        <w:pStyle w:val="Titrearticle"/>
        <w:rPr>
          <w:noProof/>
        </w:rPr>
      </w:pPr>
      <w:bookmarkStart w:id="27" w:name="__akn_article_8696CY"/>
      <w:bookmarkEnd w:id="27"/>
      <w:r w:rsidRPr="002F16A1">
        <w:rPr>
          <w:noProof/>
        </w:rPr>
        <w:t>Artykuł 42</w:t>
      </w:r>
    </w:p>
    <w:p w:rsidR="00AD62E2" w:rsidRPr="002F16A1" w:rsidRDefault="00AD62E2" w:rsidP="00AD62E2">
      <w:pPr>
        <w:pStyle w:val="NormalCentered"/>
        <w:rPr>
          <w:noProof/>
        </w:rPr>
      </w:pPr>
      <w:r w:rsidRPr="002F16A1">
        <w:rPr>
          <w:b/>
          <w:noProof/>
        </w:rPr>
        <w:t>Monitorowanie postępów</w:t>
      </w:r>
    </w:p>
    <w:p w:rsidR="00AD62E2" w:rsidRPr="002F16A1" w:rsidRDefault="00733965" w:rsidP="00733965">
      <w:pPr>
        <w:pStyle w:val="ManualNumPar1"/>
        <w:rPr>
          <w:noProof/>
        </w:rPr>
      </w:pPr>
      <w:r w:rsidRPr="00733965">
        <w:t>1.</w:t>
      </w:r>
      <w:r w:rsidRPr="00733965">
        <w:tab/>
      </w:r>
      <w:r w:rsidR="00AD62E2" w:rsidRPr="002F16A1">
        <w:rPr>
          <w:noProof/>
        </w:rPr>
        <w:t>Komisja, uwzględniając stanowisko Rady, monitoruje postępy</w:t>
      </w:r>
      <w:r w:rsidR="0028384B" w:rsidRPr="002F16A1">
        <w:rPr>
          <w:noProof/>
        </w:rPr>
        <w:t xml:space="preserve"> w</w:t>
      </w:r>
      <w:r w:rsidR="0028384B">
        <w:rPr>
          <w:noProof/>
        </w:rPr>
        <w:t> </w:t>
      </w:r>
      <w:r w:rsidR="0028384B" w:rsidRPr="002F16A1">
        <w:rPr>
          <w:noProof/>
        </w:rPr>
        <w:t>rea</w:t>
      </w:r>
      <w:r w:rsidR="00AD62E2" w:rsidRPr="002F16A1">
        <w:rPr>
          <w:noProof/>
        </w:rPr>
        <w:t>lizacji celów określonych</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1</w:t>
      </w:r>
      <w:r w:rsidR="00AD62E2" w:rsidRPr="002F16A1">
        <w:rPr>
          <w:noProof/>
        </w:rPr>
        <w:t xml:space="preserve"> </w:t>
      </w:r>
      <w:r w:rsidR="00AD62E2" w:rsidRPr="0028384B">
        <w:rPr>
          <w:noProof/>
        </w:rPr>
        <w:t>ust.</w:t>
      </w:r>
      <w:r w:rsidR="0028384B" w:rsidRPr="0028384B">
        <w:rPr>
          <w:noProof/>
        </w:rPr>
        <w:t> </w:t>
      </w:r>
      <w:r w:rsidR="00AD62E2" w:rsidRPr="0028384B">
        <w:rPr>
          <w:noProof/>
        </w:rPr>
        <w:t>2</w:t>
      </w:r>
      <w:r w:rsidR="0028384B" w:rsidRPr="002F16A1">
        <w:rPr>
          <w:noProof/>
        </w:rPr>
        <w:t xml:space="preserve"> i</w:t>
      </w:r>
      <w:r w:rsidR="0028384B">
        <w:rPr>
          <w:noProof/>
        </w:rPr>
        <w:t> </w:t>
      </w:r>
      <w:r w:rsidR="0028384B" w:rsidRPr="002F16A1">
        <w:rPr>
          <w:noProof/>
        </w:rPr>
        <w:t>pub</w:t>
      </w:r>
      <w:r w:rsidR="00AD62E2" w:rsidRPr="002F16A1">
        <w:rPr>
          <w:noProof/>
        </w:rPr>
        <w:t>likuje, przynajmniej raz na trzy lata, sprawozdanie zawierające informacje</w:t>
      </w:r>
      <w:r w:rsidR="0028384B" w:rsidRPr="002F16A1">
        <w:rPr>
          <w:noProof/>
        </w:rPr>
        <w:t xml:space="preserve"> o</w:t>
      </w:r>
      <w:r w:rsidR="0028384B">
        <w:rPr>
          <w:noProof/>
        </w:rPr>
        <w:t> </w:t>
      </w:r>
      <w:r w:rsidR="0028384B" w:rsidRPr="002F16A1">
        <w:rPr>
          <w:noProof/>
        </w:rPr>
        <w:t>pos</w:t>
      </w:r>
      <w:r w:rsidR="00AD62E2" w:rsidRPr="002F16A1">
        <w:rPr>
          <w:noProof/>
        </w:rPr>
        <w:t>tępach Unii</w:t>
      </w:r>
      <w:r w:rsidR="0028384B" w:rsidRPr="002F16A1">
        <w:rPr>
          <w:noProof/>
        </w:rPr>
        <w:t xml:space="preserve"> w</w:t>
      </w:r>
      <w:r w:rsidR="0028384B">
        <w:rPr>
          <w:noProof/>
        </w:rPr>
        <w:t> </w:t>
      </w:r>
      <w:r w:rsidR="0028384B" w:rsidRPr="002F16A1">
        <w:rPr>
          <w:noProof/>
        </w:rPr>
        <w:t>zak</w:t>
      </w:r>
      <w:r w:rsidR="00AD62E2" w:rsidRPr="002F16A1">
        <w:rPr>
          <w:noProof/>
        </w:rPr>
        <w:t>resie osiągania tych celów.</w:t>
      </w:r>
    </w:p>
    <w:p w:rsidR="00AD62E2" w:rsidRPr="002F16A1" w:rsidRDefault="00AD62E2" w:rsidP="00AD62E2">
      <w:pPr>
        <w:pStyle w:val="Text1"/>
        <w:rPr>
          <w:noProof/>
        </w:rPr>
      </w:pPr>
      <w:r w:rsidRPr="002F16A1">
        <w:rPr>
          <w:noProof/>
        </w:rPr>
        <w:t>Pierwsze sprawozdanie sporządza się do dnia [</w:t>
      </w:r>
      <w:r w:rsidRPr="002F16A1">
        <w:rPr>
          <w:i/>
          <w:iCs/>
          <w:noProof/>
        </w:rPr>
        <w:t>Urząd Publikacji: proszę wstawić</w:t>
      </w:r>
      <w:r w:rsidRPr="002F16A1">
        <w:rPr>
          <w:noProof/>
        </w:rPr>
        <w:t xml:space="preserve"> </w:t>
      </w:r>
      <w:r w:rsidRPr="002F16A1">
        <w:rPr>
          <w:i/>
          <w:iCs/>
          <w:noProof/>
        </w:rPr>
        <w:t>datę: cztery lata od daty wejścia</w:t>
      </w:r>
      <w:r w:rsidR="0028384B" w:rsidRPr="002F16A1">
        <w:rPr>
          <w:i/>
          <w:iCs/>
          <w:noProof/>
        </w:rPr>
        <w:t xml:space="preserve"> w</w:t>
      </w:r>
      <w:r w:rsidR="0028384B">
        <w:rPr>
          <w:i/>
          <w:iCs/>
          <w:noProof/>
        </w:rPr>
        <w:t> </w:t>
      </w:r>
      <w:r w:rsidR="0028384B" w:rsidRPr="002F16A1">
        <w:rPr>
          <w:i/>
          <w:iCs/>
          <w:noProof/>
        </w:rPr>
        <w:t>życ</w:t>
      </w:r>
      <w:r w:rsidRPr="002F16A1">
        <w:rPr>
          <w:i/>
          <w:iCs/>
          <w:noProof/>
        </w:rPr>
        <w:t>ie niniejszego rozporządzenia</w:t>
      </w:r>
      <w:r w:rsidRPr="002F16A1">
        <w:rPr>
          <w:noProof/>
        </w:rPr>
        <w:t>].</w:t>
      </w:r>
    </w:p>
    <w:p w:rsidR="00AD62E2" w:rsidRPr="002F16A1" w:rsidRDefault="00733965" w:rsidP="00733965">
      <w:pPr>
        <w:pStyle w:val="ManualNumPar1"/>
        <w:rPr>
          <w:noProof/>
        </w:rPr>
      </w:pPr>
      <w:r w:rsidRPr="00733965">
        <w:t>2.</w:t>
      </w:r>
      <w:r w:rsidRPr="00733965">
        <w:tab/>
      </w:r>
      <w:r w:rsidR="00AD62E2" w:rsidRPr="002F16A1">
        <w:rPr>
          <w:noProof/>
        </w:rPr>
        <w:t>Sprawozdanie,</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zawiera ilościowe informacje na temat stopnia postępów Unii</w:t>
      </w:r>
      <w:r w:rsidR="0028384B" w:rsidRPr="002F16A1">
        <w:rPr>
          <w:noProof/>
        </w:rPr>
        <w:t xml:space="preserve"> w</w:t>
      </w:r>
      <w:r w:rsidR="0028384B">
        <w:rPr>
          <w:noProof/>
        </w:rPr>
        <w:t> </w:t>
      </w:r>
      <w:r w:rsidR="0028384B" w:rsidRPr="002F16A1">
        <w:rPr>
          <w:noProof/>
        </w:rPr>
        <w:t>zak</w:t>
      </w:r>
      <w:r w:rsidR="00AD62E2" w:rsidRPr="002F16A1">
        <w:rPr>
          <w:noProof/>
        </w:rPr>
        <w:t>resie osiągania wskaźników referencyjnych określonych</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1</w:t>
      </w:r>
      <w:r w:rsidR="00AD62E2" w:rsidRPr="002F16A1">
        <w:rPr>
          <w:noProof/>
        </w:rPr>
        <w:t xml:space="preserve"> </w:t>
      </w:r>
      <w:r w:rsidR="00AD62E2" w:rsidRPr="0028384B">
        <w:rPr>
          <w:noProof/>
        </w:rPr>
        <w:t>ust.</w:t>
      </w:r>
      <w:r w:rsidR="0028384B" w:rsidRPr="0028384B">
        <w:rPr>
          <w:noProof/>
        </w:rPr>
        <w:t> </w:t>
      </w:r>
      <w:r w:rsidR="00AD62E2" w:rsidRPr="0028384B">
        <w:rPr>
          <w:noProof/>
        </w:rPr>
        <w:t>2</w:t>
      </w:r>
      <w:r w:rsidR="00AD62E2" w:rsidRPr="002F16A1">
        <w:rPr>
          <w:noProof/>
        </w:rPr>
        <w:t xml:space="preserve"> </w:t>
      </w:r>
      <w:r w:rsidR="00AD62E2" w:rsidRPr="0028384B">
        <w:rPr>
          <w:noProof/>
        </w:rPr>
        <w:t>lit.</w:t>
      </w:r>
      <w:r w:rsidR="0028384B" w:rsidRPr="0028384B">
        <w:rPr>
          <w:noProof/>
        </w:rPr>
        <w:t> </w:t>
      </w:r>
      <w:r w:rsidR="00AD62E2" w:rsidRPr="0028384B">
        <w:rPr>
          <w:noProof/>
        </w:rPr>
        <w:t>a)</w:t>
      </w:r>
      <w:r w:rsidR="00AD62E2" w:rsidRPr="002F16A1">
        <w:rPr>
          <w:noProof/>
        </w:rPr>
        <w:t xml:space="preserve"> i b).</w:t>
      </w:r>
    </w:p>
    <w:p w:rsidR="00AD62E2" w:rsidRPr="002F16A1" w:rsidRDefault="00AD62E2" w:rsidP="00AD62E2">
      <w:pPr>
        <w:pStyle w:val="Titrearticle"/>
        <w:rPr>
          <w:noProof/>
        </w:rPr>
      </w:pPr>
      <w:bookmarkStart w:id="28" w:name="__akn_article_nceFy0"/>
      <w:bookmarkEnd w:id="28"/>
      <w:r w:rsidRPr="002F16A1">
        <w:rPr>
          <w:noProof/>
        </w:rPr>
        <w:t>Artykuł 43</w:t>
      </w:r>
    </w:p>
    <w:p w:rsidR="00AD62E2" w:rsidRPr="002F16A1" w:rsidRDefault="00AD62E2" w:rsidP="00AD62E2">
      <w:pPr>
        <w:pStyle w:val="NormalCentered"/>
        <w:rPr>
          <w:noProof/>
        </w:rPr>
      </w:pPr>
      <w:r w:rsidRPr="002F16A1">
        <w:rPr>
          <w:b/>
          <w:noProof/>
        </w:rPr>
        <w:t>Sprawozdania państw członkowskich</w:t>
      </w:r>
    </w:p>
    <w:p w:rsidR="00AD62E2" w:rsidRPr="002F16A1" w:rsidRDefault="00733965" w:rsidP="00733965">
      <w:pPr>
        <w:pStyle w:val="ManualNumPar1"/>
        <w:rPr>
          <w:noProof/>
        </w:rPr>
      </w:pPr>
      <w:r w:rsidRPr="00733965">
        <w:t>1.</w:t>
      </w:r>
      <w:r w:rsidRPr="00733965">
        <w:tab/>
      </w:r>
      <w:r w:rsidR="00AD62E2" w:rsidRPr="002F16A1">
        <w:rPr>
          <w:noProof/>
        </w:rPr>
        <w:t>Państwa członkowskie co roku przesyłają Komisji sprawozdania zawierające informacje,</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rStyle w:val="ui-provider"/>
          <w:noProof/>
        </w:rPr>
        <w:t>art</w:t>
      </w:r>
      <w:r w:rsidR="00AD62E2" w:rsidRPr="0028384B">
        <w:rPr>
          <w:rStyle w:val="ui-provider"/>
          <w:noProof/>
        </w:rPr>
        <w:t>.</w:t>
      </w:r>
      <w:r w:rsidR="0028384B" w:rsidRPr="0028384B">
        <w:rPr>
          <w:rStyle w:val="ui-provider"/>
          <w:noProof/>
        </w:rPr>
        <w:t> </w:t>
      </w:r>
      <w:r w:rsidR="00AD62E2" w:rsidRPr="0028384B">
        <w:rPr>
          <w:rStyle w:val="ui-provider"/>
          <w:noProof/>
        </w:rPr>
        <w:t>1</w:t>
      </w:r>
      <w:r w:rsidR="00AD62E2" w:rsidRPr="002F16A1">
        <w:rPr>
          <w:rStyle w:val="ui-provider"/>
          <w:noProof/>
        </w:rPr>
        <w:t xml:space="preserve">8 </w:t>
      </w:r>
      <w:r w:rsidR="00AD62E2" w:rsidRPr="0028384B">
        <w:rPr>
          <w:rStyle w:val="ui-provider"/>
          <w:noProof/>
        </w:rPr>
        <w:t>ust.</w:t>
      </w:r>
      <w:r w:rsidR="0028384B" w:rsidRPr="0028384B">
        <w:rPr>
          <w:rStyle w:val="ui-provider"/>
          <w:noProof/>
        </w:rPr>
        <w:t> </w:t>
      </w:r>
      <w:r w:rsidR="00AD62E2" w:rsidRPr="0028384B">
        <w:rPr>
          <w:rStyle w:val="ui-provider"/>
          <w:noProof/>
        </w:rPr>
        <w:t>4</w:t>
      </w:r>
      <w:r w:rsidR="00AD62E2" w:rsidRPr="002F16A1">
        <w:rPr>
          <w:rStyle w:val="ui-provider"/>
          <w:noProof/>
        </w:rPr>
        <w:t xml:space="preserve">, </w:t>
      </w:r>
      <w:r w:rsidR="00AD62E2" w:rsidRPr="0028384B">
        <w:rPr>
          <w:rStyle w:val="ui-provider"/>
          <w:noProof/>
        </w:rPr>
        <w:t>art.</w:t>
      </w:r>
      <w:r w:rsidR="0028384B" w:rsidRPr="0028384B">
        <w:rPr>
          <w:rStyle w:val="ui-provider"/>
          <w:noProof/>
        </w:rPr>
        <w:t> </w:t>
      </w:r>
      <w:r w:rsidR="00AD62E2" w:rsidRPr="0028384B">
        <w:rPr>
          <w:rStyle w:val="ui-provider"/>
          <w:noProof/>
        </w:rPr>
        <w:t>2</w:t>
      </w:r>
      <w:r w:rsidR="00AD62E2" w:rsidRPr="002F16A1">
        <w:rPr>
          <w:rStyle w:val="ui-provider"/>
          <w:noProof/>
        </w:rPr>
        <w:t xml:space="preserve">0 </w:t>
      </w:r>
      <w:r w:rsidR="00AD62E2" w:rsidRPr="0028384B">
        <w:rPr>
          <w:rStyle w:val="ui-provider"/>
          <w:noProof/>
        </w:rPr>
        <w:t>ust.</w:t>
      </w:r>
      <w:r w:rsidR="0028384B" w:rsidRPr="0028384B">
        <w:rPr>
          <w:rStyle w:val="ui-provider"/>
          <w:noProof/>
        </w:rPr>
        <w:t> </w:t>
      </w:r>
      <w:r w:rsidR="00AD62E2" w:rsidRPr="0028384B">
        <w:rPr>
          <w:rStyle w:val="ui-provider"/>
          <w:noProof/>
        </w:rPr>
        <w:t>1</w:t>
      </w:r>
      <w:r w:rsidR="0028384B" w:rsidRPr="002F16A1">
        <w:rPr>
          <w:rStyle w:val="ui-provider"/>
          <w:noProof/>
        </w:rPr>
        <w:t xml:space="preserve"> i</w:t>
      </w:r>
      <w:r w:rsidR="0028384B">
        <w:rPr>
          <w:rStyle w:val="ui-provider"/>
          <w:noProof/>
        </w:rPr>
        <w:t> </w:t>
      </w:r>
      <w:r w:rsidR="0028384B" w:rsidRPr="002F16A1">
        <w:rPr>
          <w:rStyle w:val="ui-provider"/>
          <w:noProof/>
        </w:rPr>
        <w:t>2</w:t>
      </w:r>
      <w:r w:rsidR="00AD62E2" w:rsidRPr="002F16A1">
        <w:rPr>
          <w:rStyle w:val="ui-provider"/>
          <w:noProof/>
        </w:rPr>
        <w:t xml:space="preserve">, </w:t>
      </w:r>
      <w:r w:rsidR="00AD62E2" w:rsidRPr="0028384B">
        <w:rPr>
          <w:rStyle w:val="ui-provider"/>
          <w:noProof/>
        </w:rPr>
        <w:t>art.</w:t>
      </w:r>
      <w:r w:rsidR="0028384B" w:rsidRPr="0028384B">
        <w:rPr>
          <w:rStyle w:val="ui-provider"/>
          <w:noProof/>
        </w:rPr>
        <w:t> </w:t>
      </w:r>
      <w:r w:rsidR="00AD62E2" w:rsidRPr="0028384B">
        <w:rPr>
          <w:rStyle w:val="ui-provider"/>
          <w:noProof/>
        </w:rPr>
        <w:t>2</w:t>
      </w:r>
      <w:r w:rsidR="00AD62E2" w:rsidRPr="002F16A1">
        <w:rPr>
          <w:rStyle w:val="ui-provider"/>
          <w:noProof/>
        </w:rPr>
        <w:t xml:space="preserve">1 </w:t>
      </w:r>
      <w:r w:rsidR="00AD62E2" w:rsidRPr="0028384B">
        <w:rPr>
          <w:rStyle w:val="ui-provider"/>
          <w:noProof/>
        </w:rPr>
        <w:t>ust.</w:t>
      </w:r>
      <w:r w:rsidR="0028384B" w:rsidRPr="0028384B">
        <w:rPr>
          <w:rStyle w:val="ui-provider"/>
          <w:noProof/>
        </w:rPr>
        <w:t> </w:t>
      </w:r>
      <w:r w:rsidR="00AD62E2" w:rsidRPr="0028384B">
        <w:rPr>
          <w:rStyle w:val="ui-provider"/>
          <w:noProof/>
        </w:rPr>
        <w:t>1</w:t>
      </w:r>
      <w:r w:rsidR="00AD62E2" w:rsidRPr="002F16A1">
        <w:rPr>
          <w:rStyle w:val="ui-provider"/>
          <w:noProof/>
        </w:rPr>
        <w:t xml:space="preserve">, </w:t>
      </w:r>
      <w:r w:rsidR="00AD62E2" w:rsidRPr="0028384B">
        <w:rPr>
          <w:rStyle w:val="ui-provider"/>
          <w:noProof/>
        </w:rPr>
        <w:t>art.</w:t>
      </w:r>
      <w:r w:rsidR="0028384B" w:rsidRPr="0028384B">
        <w:rPr>
          <w:rStyle w:val="ui-provider"/>
          <w:noProof/>
        </w:rPr>
        <w:t> </w:t>
      </w:r>
      <w:r w:rsidR="00AD62E2" w:rsidRPr="0028384B">
        <w:rPr>
          <w:rStyle w:val="ui-provider"/>
          <w:noProof/>
        </w:rPr>
        <w:t>2</w:t>
      </w:r>
      <w:r w:rsidR="00AD62E2" w:rsidRPr="002F16A1">
        <w:rPr>
          <w:rStyle w:val="ui-provider"/>
          <w:noProof/>
        </w:rPr>
        <w:t xml:space="preserve">2 </w:t>
      </w:r>
      <w:r w:rsidR="00AD62E2" w:rsidRPr="0028384B">
        <w:rPr>
          <w:rStyle w:val="ui-provider"/>
          <w:noProof/>
        </w:rPr>
        <w:t>ust.</w:t>
      </w:r>
      <w:r w:rsidR="0028384B" w:rsidRPr="0028384B">
        <w:rPr>
          <w:rStyle w:val="ui-provider"/>
          <w:noProof/>
        </w:rPr>
        <w:t> </w:t>
      </w:r>
      <w:r w:rsidR="00AD62E2" w:rsidRPr="0028384B">
        <w:rPr>
          <w:rStyle w:val="ui-provider"/>
          <w:noProof/>
        </w:rPr>
        <w:t>5</w:t>
      </w:r>
      <w:r w:rsidR="0028384B" w:rsidRPr="002F16A1">
        <w:rPr>
          <w:rStyle w:val="ui-provider"/>
          <w:noProof/>
        </w:rPr>
        <w:t xml:space="preserve"> i</w:t>
      </w:r>
      <w:r w:rsidR="0028384B">
        <w:rPr>
          <w:rStyle w:val="ui-provider"/>
          <w:noProof/>
        </w:rPr>
        <w:t> </w:t>
      </w:r>
      <w:r w:rsidR="0028384B" w:rsidRPr="0028384B">
        <w:rPr>
          <w:rStyle w:val="ui-provider"/>
          <w:noProof/>
        </w:rPr>
        <w:t>art</w:t>
      </w:r>
      <w:r w:rsidR="00AD62E2" w:rsidRPr="0028384B">
        <w:rPr>
          <w:rStyle w:val="ui-provider"/>
          <w:noProof/>
        </w:rPr>
        <w:t>.</w:t>
      </w:r>
      <w:r w:rsidR="0028384B" w:rsidRPr="0028384B">
        <w:rPr>
          <w:rStyle w:val="ui-provider"/>
          <w:noProof/>
        </w:rPr>
        <w:t> </w:t>
      </w:r>
      <w:r w:rsidR="00AD62E2" w:rsidRPr="0028384B">
        <w:rPr>
          <w:rStyle w:val="ui-provider"/>
          <w:noProof/>
        </w:rPr>
        <w:t>2</w:t>
      </w:r>
      <w:r w:rsidR="00AD62E2" w:rsidRPr="002F16A1">
        <w:rPr>
          <w:rStyle w:val="ui-provider"/>
          <w:noProof/>
        </w:rPr>
        <w:t xml:space="preserve">5 </w:t>
      </w:r>
      <w:r w:rsidR="00AD62E2" w:rsidRPr="0028384B">
        <w:rPr>
          <w:rStyle w:val="ui-provider"/>
          <w:noProof/>
        </w:rPr>
        <w:t>ust.</w:t>
      </w:r>
      <w:r w:rsidR="0028384B" w:rsidRPr="0028384B">
        <w:rPr>
          <w:rStyle w:val="ui-provider"/>
          <w:noProof/>
        </w:rPr>
        <w:t> </w:t>
      </w:r>
      <w:r w:rsidR="00AD62E2" w:rsidRPr="0028384B">
        <w:rPr>
          <w:rStyle w:val="ui-provider"/>
          <w:noProof/>
        </w:rPr>
        <w:t>6</w:t>
      </w:r>
      <w:r w:rsidR="00AD62E2" w:rsidRPr="002F16A1">
        <w:rPr>
          <w:noProof/>
        </w:rPr>
        <w:t>. Pierwsze sprawozdanie należy przesłać do dnia [</w:t>
      </w:r>
      <w:r w:rsidR="00AD62E2" w:rsidRPr="002F16A1">
        <w:rPr>
          <w:i/>
          <w:iCs/>
          <w:noProof/>
        </w:rPr>
        <w:t>Urząd Publikacji: proszę wstawić</w:t>
      </w:r>
      <w:r w:rsidR="00AD62E2" w:rsidRPr="002F16A1">
        <w:rPr>
          <w:noProof/>
        </w:rPr>
        <w:t xml:space="preserve"> </w:t>
      </w:r>
      <w:r w:rsidR="00AD62E2" w:rsidRPr="002F16A1">
        <w:rPr>
          <w:i/>
          <w:iCs/>
          <w:noProof/>
        </w:rPr>
        <w:t>datę: rok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w:t>
      </w:r>
    </w:p>
    <w:p w:rsidR="00AD62E2" w:rsidRPr="002F16A1" w:rsidRDefault="00733965" w:rsidP="00733965">
      <w:pPr>
        <w:pStyle w:val="ManualNumPar1"/>
        <w:rPr>
          <w:noProof/>
        </w:rPr>
      </w:pPr>
      <w:r w:rsidRPr="00733965">
        <w:t>2.</w:t>
      </w:r>
      <w:r w:rsidRPr="00733965">
        <w:tab/>
      </w:r>
      <w:r w:rsidR="00AD62E2" w:rsidRPr="002F16A1">
        <w:rPr>
          <w:noProof/>
        </w:rPr>
        <w:t>Komisja jest uprawniona do przyjęcia aktów wykonawczych ustanawiających wzór sprawozdań,</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We wzorze tym można wskazać sposób wyrażenia informacji,</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Te akty wykonawcze przyjmuje się zgodnie</w:t>
      </w:r>
      <w:r w:rsidR="0028384B" w:rsidRPr="002F16A1">
        <w:rPr>
          <w:noProof/>
        </w:rPr>
        <w:t xml:space="preserve"> z</w:t>
      </w:r>
      <w:r w:rsidR="0028384B">
        <w:rPr>
          <w:noProof/>
        </w:rPr>
        <w:t> </w:t>
      </w:r>
      <w:r w:rsidR="0028384B" w:rsidRPr="002F16A1">
        <w:rPr>
          <w:noProof/>
        </w:rPr>
        <w:t>pro</w:t>
      </w:r>
      <w:r w:rsidR="00AD62E2" w:rsidRPr="002F16A1">
        <w:rPr>
          <w:noProof/>
        </w:rPr>
        <w:t>cedurą doradczą,</w:t>
      </w:r>
      <w:r w:rsidR="0028384B" w:rsidRPr="002F16A1">
        <w:rPr>
          <w:noProof/>
        </w:rPr>
        <w:t xml:space="preserve"> o</w:t>
      </w:r>
      <w:r w:rsidR="0028384B">
        <w:rPr>
          <w:noProof/>
        </w:rPr>
        <w:t> </w:t>
      </w:r>
      <w:r w:rsidR="0028384B" w:rsidRPr="002F16A1">
        <w:rPr>
          <w:noProof/>
        </w:rPr>
        <w:t>któ</w:t>
      </w:r>
      <w:r w:rsidR="00AD62E2" w:rsidRPr="002F16A1">
        <w:rPr>
          <w:noProof/>
        </w:rPr>
        <w:t>rej mowa</w:t>
      </w:r>
      <w:r w:rsidR="0028384B" w:rsidRPr="002F16A1">
        <w:rPr>
          <w:noProof/>
        </w:rPr>
        <w:t xml:space="preserve"> w</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3</w:t>
      </w:r>
      <w:r w:rsidR="00AD62E2" w:rsidRPr="002F16A1">
        <w:rPr>
          <w:noProof/>
        </w:rPr>
        <w:t xml:space="preserve">7 </w:t>
      </w:r>
      <w:r w:rsidR="00AD62E2" w:rsidRPr="0028384B">
        <w:rPr>
          <w:noProof/>
        </w:rPr>
        <w:t>ust.</w:t>
      </w:r>
      <w:r w:rsidR="0028384B" w:rsidRPr="0028384B">
        <w:rPr>
          <w:noProof/>
        </w:rPr>
        <w:t> </w:t>
      </w:r>
      <w:r w:rsidR="00AD62E2" w:rsidRPr="0028384B">
        <w:rPr>
          <w:noProof/>
        </w:rPr>
        <w:t>2</w:t>
      </w:r>
      <w:r w:rsidR="00AD62E2" w:rsidRPr="002F16A1">
        <w:rPr>
          <w:noProof/>
        </w:rPr>
        <w:t>.</w:t>
      </w:r>
    </w:p>
    <w:p w:rsidR="00AD62E2" w:rsidRPr="002F16A1" w:rsidRDefault="00733965" w:rsidP="00733965">
      <w:pPr>
        <w:pStyle w:val="ManualNumPar1"/>
        <w:rPr>
          <w:noProof/>
        </w:rPr>
      </w:pPr>
      <w:r w:rsidRPr="00733965">
        <w:t>3.</w:t>
      </w:r>
      <w:r w:rsidRPr="00733965">
        <w:tab/>
      </w:r>
      <w:r w:rsidR="00AD62E2" w:rsidRPr="002F16A1">
        <w:rPr>
          <w:noProof/>
        </w:rPr>
        <w:t>Informacje zawarte</w:t>
      </w:r>
      <w:r w:rsidR="0028384B" w:rsidRPr="002F16A1">
        <w:rPr>
          <w:noProof/>
        </w:rPr>
        <w:t xml:space="preserve"> w</w:t>
      </w:r>
      <w:r w:rsidR="0028384B">
        <w:rPr>
          <w:noProof/>
        </w:rPr>
        <w:t> </w:t>
      </w:r>
      <w:r w:rsidR="0028384B" w:rsidRPr="002F16A1">
        <w:rPr>
          <w:noProof/>
        </w:rPr>
        <w:t>spr</w:t>
      </w:r>
      <w:r w:rsidR="00AD62E2" w:rsidRPr="002F16A1">
        <w:rPr>
          <w:noProof/>
        </w:rPr>
        <w:t>awozdaniach,</w:t>
      </w:r>
      <w:r w:rsidR="0028384B" w:rsidRPr="002F16A1">
        <w:rPr>
          <w:noProof/>
        </w:rPr>
        <w:t xml:space="preserve"> o</w:t>
      </w:r>
      <w:r w:rsidR="0028384B">
        <w:rPr>
          <w:noProof/>
        </w:rPr>
        <w:t> </w:t>
      </w:r>
      <w:r w:rsidR="0028384B" w:rsidRPr="002F16A1">
        <w:rPr>
          <w:noProof/>
        </w:rPr>
        <w:t>któ</w:t>
      </w:r>
      <w:r w:rsidR="00AD62E2" w:rsidRPr="002F16A1">
        <w:rPr>
          <w:noProof/>
        </w:rPr>
        <w:t>rych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należy traktować zgodnie</w:t>
      </w:r>
      <w:r w:rsidR="0028384B" w:rsidRPr="002F16A1">
        <w:rPr>
          <w:noProof/>
        </w:rPr>
        <w:t xml:space="preserve"> z</w:t>
      </w:r>
      <w:r w:rsidR="0028384B">
        <w:rPr>
          <w:noProof/>
        </w:rPr>
        <w:t> </w:t>
      </w:r>
      <w:r w:rsidR="0028384B" w:rsidRPr="0028384B">
        <w:rPr>
          <w:noProof/>
        </w:rPr>
        <w:t>art</w:t>
      </w:r>
      <w:r w:rsidR="00AD62E2" w:rsidRPr="0028384B">
        <w:rPr>
          <w:noProof/>
        </w:rPr>
        <w:t>.</w:t>
      </w:r>
      <w:r w:rsidR="0028384B" w:rsidRPr="0028384B">
        <w:rPr>
          <w:noProof/>
        </w:rPr>
        <w:t> </w:t>
      </w:r>
      <w:r w:rsidR="00AD62E2" w:rsidRPr="0028384B">
        <w:rPr>
          <w:noProof/>
        </w:rPr>
        <w:t>4</w:t>
      </w:r>
      <w:r w:rsidR="00AD62E2" w:rsidRPr="002F16A1">
        <w:rPr>
          <w:noProof/>
        </w:rPr>
        <w:t>4.</w:t>
      </w:r>
    </w:p>
    <w:p w:rsidR="00AD62E2" w:rsidRPr="002F16A1" w:rsidRDefault="00AD62E2" w:rsidP="00AD62E2">
      <w:pPr>
        <w:pStyle w:val="Titrearticle"/>
        <w:rPr>
          <w:noProof/>
        </w:rPr>
      </w:pPr>
      <w:bookmarkStart w:id="29" w:name="__akn_article_YZniyk"/>
      <w:bookmarkEnd w:id="29"/>
      <w:r w:rsidRPr="002F16A1">
        <w:rPr>
          <w:noProof/>
        </w:rPr>
        <w:t>Artykuł 44</w:t>
      </w:r>
    </w:p>
    <w:p w:rsidR="00AD62E2" w:rsidRPr="002F16A1" w:rsidRDefault="00AD62E2" w:rsidP="00AD62E2">
      <w:pPr>
        <w:pStyle w:val="NormalCentered"/>
        <w:rPr>
          <w:noProof/>
        </w:rPr>
      </w:pPr>
      <w:r w:rsidRPr="002F16A1">
        <w:rPr>
          <w:b/>
          <w:noProof/>
        </w:rPr>
        <w:t>Przetwarzanie informacji poufnych</w:t>
      </w:r>
    </w:p>
    <w:p w:rsidR="00AD62E2" w:rsidRPr="002F16A1" w:rsidRDefault="00733965" w:rsidP="00733965">
      <w:pPr>
        <w:pStyle w:val="ManualNumPar1"/>
        <w:rPr>
          <w:noProof/>
        </w:rPr>
      </w:pPr>
      <w:r w:rsidRPr="00733965">
        <w:t>1.</w:t>
      </w:r>
      <w:r w:rsidRPr="00733965">
        <w:tab/>
      </w:r>
      <w:r w:rsidR="00AD62E2" w:rsidRPr="002F16A1">
        <w:rPr>
          <w:noProof/>
        </w:rPr>
        <w:t>Informacje uzyskane</w:t>
      </w:r>
      <w:r w:rsidR="0028384B" w:rsidRPr="002F16A1">
        <w:rPr>
          <w:noProof/>
        </w:rPr>
        <w:t xml:space="preserve"> w</w:t>
      </w:r>
      <w:r w:rsidR="0028384B">
        <w:rPr>
          <w:noProof/>
        </w:rPr>
        <w:t> </w:t>
      </w:r>
      <w:r w:rsidR="0028384B" w:rsidRPr="002F16A1">
        <w:rPr>
          <w:noProof/>
        </w:rPr>
        <w:t>tra</w:t>
      </w:r>
      <w:r w:rsidR="00AD62E2" w:rsidRPr="002F16A1">
        <w:rPr>
          <w:noProof/>
        </w:rPr>
        <w:t>kcie wdrażania niniejszego rozporządzenia są wykorzystywane wyłącznie na potrzeby niniejszego rozporządzenia i są chronione stosownymi przepisami unijnymi</w:t>
      </w:r>
      <w:r w:rsidR="0028384B" w:rsidRPr="002F16A1">
        <w:rPr>
          <w:noProof/>
        </w:rPr>
        <w:t xml:space="preserve"> i</w:t>
      </w:r>
      <w:r w:rsidR="0028384B">
        <w:rPr>
          <w:noProof/>
        </w:rPr>
        <w:t> </w:t>
      </w:r>
      <w:r w:rsidR="0028384B" w:rsidRPr="002F16A1">
        <w:rPr>
          <w:noProof/>
        </w:rPr>
        <w:t>kra</w:t>
      </w:r>
      <w:r w:rsidR="00AD62E2" w:rsidRPr="002F16A1">
        <w:rPr>
          <w:noProof/>
        </w:rPr>
        <w:t>jowymi.</w:t>
      </w:r>
    </w:p>
    <w:p w:rsidR="00AD62E2" w:rsidRPr="002F16A1" w:rsidRDefault="00733965" w:rsidP="00733965">
      <w:pPr>
        <w:pStyle w:val="ManualNumPar1"/>
        <w:rPr>
          <w:noProof/>
        </w:rPr>
      </w:pPr>
      <w:r w:rsidRPr="00733965">
        <w:t>2.</w:t>
      </w:r>
      <w:r w:rsidRPr="00733965">
        <w:tab/>
      </w:r>
      <w:r w:rsidR="00AD62E2" w:rsidRPr="002F16A1">
        <w:rPr>
          <w:noProof/>
        </w:rPr>
        <w:t>Państwa członkowskie</w:t>
      </w:r>
      <w:r w:rsidR="0028384B" w:rsidRPr="002F16A1">
        <w:rPr>
          <w:noProof/>
        </w:rPr>
        <w:t xml:space="preserve"> i</w:t>
      </w:r>
      <w:r w:rsidR="0028384B">
        <w:rPr>
          <w:noProof/>
        </w:rPr>
        <w:t> </w:t>
      </w:r>
      <w:r w:rsidR="0028384B" w:rsidRPr="002F16A1">
        <w:rPr>
          <w:noProof/>
        </w:rPr>
        <w:t>Kom</w:t>
      </w:r>
      <w:r w:rsidR="00AD62E2" w:rsidRPr="002F16A1">
        <w:rPr>
          <w:noProof/>
        </w:rPr>
        <w:t>isja zapewniają ochronę tajemnicy przedsiębiorstwa</w:t>
      </w:r>
      <w:r w:rsidR="0028384B" w:rsidRPr="002F16A1">
        <w:rPr>
          <w:noProof/>
        </w:rPr>
        <w:t xml:space="preserve"> i</w:t>
      </w:r>
      <w:r w:rsidR="0028384B">
        <w:rPr>
          <w:noProof/>
        </w:rPr>
        <w:t> </w:t>
      </w:r>
      <w:r w:rsidR="0028384B" w:rsidRPr="002F16A1">
        <w:rPr>
          <w:noProof/>
        </w:rPr>
        <w:t>taj</w:t>
      </w:r>
      <w:r w:rsidR="00AD62E2" w:rsidRPr="002F16A1">
        <w:rPr>
          <w:noProof/>
        </w:rPr>
        <w:t>emnicy handlowej oraz innych szczególne chronionych, poufnych</w:t>
      </w:r>
      <w:r w:rsidR="0028384B" w:rsidRPr="002F16A1">
        <w:rPr>
          <w:noProof/>
        </w:rPr>
        <w:t xml:space="preserve"> i</w:t>
      </w:r>
      <w:r w:rsidR="0028384B">
        <w:rPr>
          <w:noProof/>
        </w:rPr>
        <w:t> </w:t>
      </w:r>
      <w:r w:rsidR="0028384B" w:rsidRPr="002F16A1">
        <w:rPr>
          <w:noProof/>
        </w:rPr>
        <w:t>nie</w:t>
      </w:r>
      <w:r w:rsidR="00AD62E2" w:rsidRPr="002F16A1">
        <w:rPr>
          <w:noProof/>
        </w:rPr>
        <w:t>jawnych informacji otrzymanych</w:t>
      </w:r>
      <w:r w:rsidR="0028384B" w:rsidRPr="002F16A1">
        <w:rPr>
          <w:noProof/>
        </w:rPr>
        <w:t xml:space="preserve"> i</w:t>
      </w:r>
      <w:r w:rsidR="0028384B">
        <w:rPr>
          <w:noProof/>
        </w:rPr>
        <w:t> </w:t>
      </w:r>
      <w:r w:rsidR="0028384B" w:rsidRPr="002F16A1">
        <w:rPr>
          <w:noProof/>
        </w:rPr>
        <w:t>wyg</w:t>
      </w:r>
      <w:r w:rsidR="00AD62E2" w:rsidRPr="002F16A1">
        <w:rPr>
          <w:noProof/>
        </w:rPr>
        <w:t>enerowanych</w:t>
      </w:r>
      <w:r w:rsidR="0028384B" w:rsidRPr="002F16A1">
        <w:rPr>
          <w:noProof/>
        </w:rPr>
        <w:t xml:space="preserve"> w</w:t>
      </w:r>
      <w:r w:rsidR="0028384B">
        <w:rPr>
          <w:noProof/>
        </w:rPr>
        <w:t> </w:t>
      </w:r>
      <w:r w:rsidR="0028384B" w:rsidRPr="002F16A1">
        <w:rPr>
          <w:noProof/>
        </w:rPr>
        <w:t>wyn</w:t>
      </w:r>
      <w:r w:rsidR="00AD62E2" w:rsidRPr="002F16A1">
        <w:rPr>
          <w:noProof/>
        </w:rPr>
        <w:t>iku stosowania niniejszego rozporządzenia,</w:t>
      </w:r>
      <w:r w:rsidR="0028384B" w:rsidRPr="002F16A1">
        <w:rPr>
          <w:noProof/>
        </w:rPr>
        <w:t xml:space="preserve"> w</w:t>
      </w:r>
      <w:r w:rsidR="0028384B">
        <w:rPr>
          <w:noProof/>
        </w:rPr>
        <w:t> </w:t>
      </w:r>
      <w:r w:rsidR="0028384B" w:rsidRPr="002F16A1">
        <w:rPr>
          <w:noProof/>
        </w:rPr>
        <w:t>tym w</w:t>
      </w:r>
      <w:r w:rsidR="0028384B">
        <w:rPr>
          <w:noProof/>
        </w:rPr>
        <w:t> </w:t>
      </w:r>
      <w:r w:rsidR="0028384B" w:rsidRPr="002F16A1">
        <w:rPr>
          <w:noProof/>
        </w:rPr>
        <w:t>odn</w:t>
      </w:r>
      <w:r w:rsidR="00AD62E2" w:rsidRPr="002F16A1">
        <w:rPr>
          <w:noProof/>
        </w:rPr>
        <w:t>iesieniu do zaleceń</w:t>
      </w:r>
      <w:r w:rsidR="0028384B" w:rsidRPr="002F16A1">
        <w:rPr>
          <w:noProof/>
        </w:rPr>
        <w:t xml:space="preserve"> i</w:t>
      </w:r>
      <w:r w:rsidR="0028384B">
        <w:rPr>
          <w:noProof/>
        </w:rPr>
        <w:t> </w:t>
      </w:r>
      <w:r w:rsidR="0028384B" w:rsidRPr="002F16A1">
        <w:rPr>
          <w:noProof/>
        </w:rPr>
        <w:t>śro</w:t>
      </w:r>
      <w:r w:rsidR="00AD62E2" w:rsidRPr="002F16A1">
        <w:rPr>
          <w:noProof/>
        </w:rPr>
        <w:t>dków, które należy zastosować, zgodnie</w:t>
      </w:r>
      <w:r w:rsidR="0028384B" w:rsidRPr="002F16A1">
        <w:rPr>
          <w:noProof/>
        </w:rPr>
        <w:t xml:space="preserve"> z</w:t>
      </w:r>
      <w:r w:rsidR="0028384B">
        <w:rPr>
          <w:noProof/>
        </w:rPr>
        <w:t> </w:t>
      </w:r>
      <w:r w:rsidR="0028384B" w:rsidRPr="002F16A1">
        <w:rPr>
          <w:noProof/>
        </w:rPr>
        <w:t>pra</w:t>
      </w:r>
      <w:r w:rsidR="00AD62E2" w:rsidRPr="002F16A1">
        <w:rPr>
          <w:noProof/>
        </w:rPr>
        <w:t>wem Unii</w:t>
      </w:r>
      <w:r w:rsidR="0028384B" w:rsidRPr="002F16A1">
        <w:rPr>
          <w:noProof/>
        </w:rPr>
        <w:t xml:space="preserve"> i</w:t>
      </w:r>
      <w:r w:rsidR="0028384B">
        <w:rPr>
          <w:noProof/>
        </w:rPr>
        <w:t> </w:t>
      </w:r>
      <w:r w:rsidR="0028384B" w:rsidRPr="002F16A1">
        <w:rPr>
          <w:noProof/>
        </w:rPr>
        <w:t>odp</w:t>
      </w:r>
      <w:r w:rsidR="00AD62E2" w:rsidRPr="002F16A1">
        <w:rPr>
          <w:noProof/>
        </w:rPr>
        <w:t>owiednimi przepisami prawa krajowego.</w:t>
      </w:r>
    </w:p>
    <w:p w:rsidR="00AD62E2" w:rsidRPr="0028384B" w:rsidRDefault="00733965" w:rsidP="00733965">
      <w:pPr>
        <w:pStyle w:val="ManualNumPar1"/>
        <w:rPr>
          <w:noProof/>
        </w:rPr>
      </w:pPr>
      <w:r w:rsidRPr="00733965">
        <w:t>3.</w:t>
      </w:r>
      <w:r w:rsidRPr="00733965">
        <w:tab/>
      </w:r>
      <w:r w:rsidR="00AD62E2" w:rsidRPr="002F16A1">
        <w:rPr>
          <w:noProof/>
        </w:rPr>
        <w:t>Państwa członkowskie</w:t>
      </w:r>
      <w:r w:rsidR="0028384B" w:rsidRPr="002F16A1">
        <w:rPr>
          <w:noProof/>
        </w:rPr>
        <w:t xml:space="preserve"> i</w:t>
      </w:r>
      <w:r w:rsidR="0028384B">
        <w:rPr>
          <w:noProof/>
        </w:rPr>
        <w:t> </w:t>
      </w:r>
      <w:r w:rsidR="0028384B" w:rsidRPr="002F16A1">
        <w:rPr>
          <w:noProof/>
        </w:rPr>
        <w:t>Kom</w:t>
      </w:r>
      <w:r w:rsidR="00AD62E2" w:rsidRPr="002F16A1">
        <w:rPr>
          <w:noProof/>
        </w:rPr>
        <w:t>isja zapewniają, by klauzule tajności informacji niejawnych dostarczanych lub wymienianych na podstawie niniejszego rozporządzenia nie były obniżane ani znoszone bez uprzedniej pisemnej zgody wytwórcy</w:t>
      </w:r>
      <w:r w:rsidR="00AD62E2" w:rsidRPr="0028384B">
        <w:rPr>
          <w:noProof/>
        </w:rPr>
        <w:t>.</w:t>
      </w:r>
      <w:r w:rsidR="0028384B" w:rsidRPr="0028384B">
        <w:rPr>
          <w:noProof/>
        </w:rPr>
        <w:t xml:space="preserve"> </w:t>
      </w:r>
    </w:p>
    <w:p w:rsidR="00AD62E2" w:rsidRPr="002F16A1" w:rsidRDefault="00733965" w:rsidP="00733965">
      <w:pPr>
        <w:pStyle w:val="ManualNumPar1"/>
        <w:rPr>
          <w:noProof/>
        </w:rPr>
      </w:pPr>
      <w:r w:rsidRPr="00733965">
        <w:t>4.</w:t>
      </w:r>
      <w:r w:rsidRPr="00733965">
        <w:tab/>
      </w:r>
      <w:r w:rsidR="00AD62E2" w:rsidRPr="002F16A1">
        <w:rPr>
          <w:noProof/>
        </w:rPr>
        <w:t>Jeżeli państwo członkowskie stwierdzi, że prezentacja zagregowanych informacji</w:t>
      </w:r>
      <w:r w:rsidR="0028384B" w:rsidRPr="002F16A1">
        <w:rPr>
          <w:noProof/>
        </w:rPr>
        <w:t xml:space="preserve"> w</w:t>
      </w:r>
      <w:r w:rsidR="0028384B">
        <w:rPr>
          <w:noProof/>
        </w:rPr>
        <w:t> </w:t>
      </w:r>
      <w:r w:rsidR="0028384B" w:rsidRPr="002F16A1">
        <w:rPr>
          <w:noProof/>
        </w:rPr>
        <w:t>kon</w:t>
      </w:r>
      <w:r w:rsidR="00AD62E2" w:rsidRPr="002F16A1">
        <w:rPr>
          <w:noProof/>
        </w:rPr>
        <w:t xml:space="preserve">tekście </w:t>
      </w:r>
      <w:r w:rsidR="00AD62E2" w:rsidRPr="0028384B">
        <w:rPr>
          <w:noProof/>
        </w:rPr>
        <w:t>art.</w:t>
      </w:r>
      <w:r w:rsidR="0028384B" w:rsidRPr="0028384B">
        <w:rPr>
          <w:noProof/>
        </w:rPr>
        <w:t> </w:t>
      </w:r>
      <w:r w:rsidR="00AD62E2" w:rsidRPr="0028384B">
        <w:rPr>
          <w:noProof/>
        </w:rPr>
        <w:t>2</w:t>
      </w:r>
      <w:r w:rsidR="00AD62E2" w:rsidRPr="002F16A1">
        <w:rPr>
          <w:noProof/>
        </w:rPr>
        <w:t>1 może naruszać jego interesy</w:t>
      </w:r>
      <w:r w:rsidR="0028384B" w:rsidRPr="002F16A1">
        <w:rPr>
          <w:noProof/>
        </w:rPr>
        <w:t xml:space="preserve"> w</w:t>
      </w:r>
      <w:r w:rsidR="0028384B">
        <w:rPr>
          <w:noProof/>
        </w:rPr>
        <w:t> </w:t>
      </w:r>
      <w:r w:rsidR="0028384B" w:rsidRPr="002F16A1">
        <w:rPr>
          <w:noProof/>
        </w:rPr>
        <w:t>zak</w:t>
      </w:r>
      <w:r w:rsidR="00AD62E2" w:rsidRPr="002F16A1">
        <w:rPr>
          <w:noProof/>
        </w:rPr>
        <w:t>resie bezpieczeństwa narodowego, ma możliwość sprzeciwienia się prezentacji przez Komisję</w:t>
      </w:r>
      <w:r w:rsidR="0028384B" w:rsidRPr="002F16A1">
        <w:rPr>
          <w:noProof/>
        </w:rPr>
        <w:t xml:space="preserve"> w</w:t>
      </w:r>
      <w:r w:rsidR="0028384B">
        <w:rPr>
          <w:noProof/>
        </w:rPr>
        <w:t> </w:t>
      </w:r>
      <w:r w:rsidR="0028384B" w:rsidRPr="002F16A1">
        <w:rPr>
          <w:noProof/>
        </w:rPr>
        <w:t>dro</w:t>
      </w:r>
      <w:r w:rsidR="00AD62E2" w:rsidRPr="002F16A1">
        <w:rPr>
          <w:noProof/>
        </w:rPr>
        <w:t>dze uzasadnionego wniosku.</w:t>
      </w:r>
    </w:p>
    <w:p w:rsidR="00AD62E2" w:rsidRPr="002F16A1" w:rsidRDefault="00733965" w:rsidP="00733965">
      <w:pPr>
        <w:pStyle w:val="ManualNumPar1"/>
        <w:rPr>
          <w:noProof/>
        </w:rPr>
      </w:pPr>
      <w:r w:rsidRPr="00733965">
        <w:t>5.</w:t>
      </w:r>
      <w:r w:rsidRPr="00733965">
        <w:tab/>
      </w:r>
      <w:r w:rsidR="00AD62E2" w:rsidRPr="002F16A1">
        <w:rPr>
          <w:noProof/>
        </w:rPr>
        <w:t>Komisja</w:t>
      </w:r>
      <w:r w:rsidR="0028384B" w:rsidRPr="002F16A1">
        <w:rPr>
          <w:noProof/>
        </w:rPr>
        <w:t xml:space="preserve"> i</w:t>
      </w:r>
      <w:r w:rsidR="0028384B">
        <w:rPr>
          <w:noProof/>
        </w:rPr>
        <w:t> </w:t>
      </w:r>
      <w:r w:rsidR="0028384B" w:rsidRPr="002F16A1">
        <w:rPr>
          <w:noProof/>
        </w:rPr>
        <w:t>org</w:t>
      </w:r>
      <w:r w:rsidR="00AD62E2" w:rsidRPr="002F16A1">
        <w:rPr>
          <w:noProof/>
        </w:rPr>
        <w:t>any krajowe, ich urzędnicy, pracownicy oraz inne osoby wykonujące pracę pod nadzorem tych organów zapewniają poufność informacji uzyskanych</w:t>
      </w:r>
      <w:r w:rsidR="0028384B" w:rsidRPr="002F16A1">
        <w:rPr>
          <w:noProof/>
        </w:rPr>
        <w:t xml:space="preserve"> w</w:t>
      </w:r>
      <w:r w:rsidR="0028384B">
        <w:rPr>
          <w:noProof/>
        </w:rPr>
        <w:t> </w:t>
      </w:r>
      <w:r w:rsidR="0028384B" w:rsidRPr="002F16A1">
        <w:rPr>
          <w:noProof/>
        </w:rPr>
        <w:t>tra</w:t>
      </w:r>
      <w:r w:rsidR="00AD62E2" w:rsidRPr="002F16A1">
        <w:rPr>
          <w:noProof/>
        </w:rPr>
        <w:t>kcie wykonywania swoich zadań</w:t>
      </w:r>
      <w:r w:rsidR="0028384B" w:rsidRPr="002F16A1">
        <w:rPr>
          <w:noProof/>
        </w:rPr>
        <w:t xml:space="preserve"> i</w:t>
      </w:r>
      <w:r w:rsidR="0028384B">
        <w:rPr>
          <w:noProof/>
        </w:rPr>
        <w:t> </w:t>
      </w:r>
      <w:r w:rsidR="0028384B" w:rsidRPr="002F16A1">
        <w:rPr>
          <w:noProof/>
        </w:rPr>
        <w:t>prz</w:t>
      </w:r>
      <w:r w:rsidR="00AD62E2" w:rsidRPr="002F16A1">
        <w:rPr>
          <w:noProof/>
        </w:rPr>
        <w:t>eprowadzania swoich działań. Obowiązek ten obejmuje również wszystkich przedstawicieli państw członkowskich, obserwatorów, ekspertów oraz innych uczestników biorących udział</w:t>
      </w:r>
      <w:r w:rsidR="0028384B" w:rsidRPr="002F16A1">
        <w:rPr>
          <w:noProof/>
        </w:rPr>
        <w:t xml:space="preserve"> w</w:t>
      </w:r>
      <w:r w:rsidR="0028384B">
        <w:rPr>
          <w:noProof/>
        </w:rPr>
        <w:t> </w:t>
      </w:r>
      <w:r w:rsidR="0028384B" w:rsidRPr="002F16A1">
        <w:rPr>
          <w:noProof/>
        </w:rPr>
        <w:t>pos</w:t>
      </w:r>
      <w:r w:rsidR="00AD62E2" w:rsidRPr="002F16A1">
        <w:rPr>
          <w:noProof/>
        </w:rPr>
        <w:t xml:space="preserve">iedzeniach Rady na podstawie </w:t>
      </w:r>
      <w:r w:rsidR="00AD62E2" w:rsidRPr="0028384B">
        <w:rPr>
          <w:noProof/>
        </w:rPr>
        <w:t>art.</w:t>
      </w:r>
      <w:r w:rsidR="0028384B" w:rsidRPr="0028384B">
        <w:rPr>
          <w:noProof/>
        </w:rPr>
        <w:t> </w:t>
      </w:r>
      <w:r w:rsidR="00AD62E2" w:rsidRPr="0028384B">
        <w:rPr>
          <w:noProof/>
        </w:rPr>
        <w:t>3</w:t>
      </w:r>
      <w:r w:rsidR="00AD62E2" w:rsidRPr="002F16A1">
        <w:rPr>
          <w:noProof/>
        </w:rPr>
        <w:t>5.</w:t>
      </w:r>
    </w:p>
    <w:p w:rsidR="00AD62E2" w:rsidRPr="002F16A1" w:rsidRDefault="00AD62E2" w:rsidP="00AD62E2">
      <w:pPr>
        <w:pStyle w:val="Titrearticle"/>
        <w:rPr>
          <w:noProof/>
        </w:rPr>
      </w:pPr>
      <w:r w:rsidRPr="002F16A1">
        <w:rPr>
          <w:noProof/>
        </w:rPr>
        <w:t>Artykuł 45</w:t>
      </w:r>
    </w:p>
    <w:p w:rsidR="00AD62E2" w:rsidRPr="002F16A1" w:rsidRDefault="00AD62E2" w:rsidP="00AD62E2">
      <w:pPr>
        <w:pStyle w:val="NormalCentered"/>
        <w:rPr>
          <w:noProof/>
        </w:rPr>
      </w:pPr>
      <w:r w:rsidRPr="002F16A1">
        <w:rPr>
          <w:b/>
          <w:noProof/>
        </w:rPr>
        <w:t>Sankcje</w:t>
      </w:r>
    </w:p>
    <w:p w:rsidR="00AD62E2" w:rsidRPr="002F16A1" w:rsidRDefault="00AD62E2" w:rsidP="00AD62E2">
      <w:pPr>
        <w:rPr>
          <w:noProof/>
        </w:rPr>
      </w:pPr>
      <w:r w:rsidRPr="002F16A1">
        <w:rPr>
          <w:noProof/>
        </w:rPr>
        <w:t>W terminie 12 miesięcy od wejścia</w:t>
      </w:r>
      <w:r w:rsidR="0028384B" w:rsidRPr="002F16A1">
        <w:rPr>
          <w:noProof/>
        </w:rPr>
        <w:t xml:space="preserve"> w</w:t>
      </w:r>
      <w:r w:rsidR="0028384B">
        <w:rPr>
          <w:noProof/>
        </w:rPr>
        <w:t> </w:t>
      </w:r>
      <w:r w:rsidR="0028384B" w:rsidRPr="002F16A1">
        <w:rPr>
          <w:noProof/>
        </w:rPr>
        <w:t>życ</w:t>
      </w:r>
      <w:r w:rsidRPr="002F16A1">
        <w:rPr>
          <w:noProof/>
        </w:rPr>
        <w:t>ie rozporządzenia państwa członkowskie ustanawiają przepisy dotyczące sankcji za naruszenie niniejszego rozporządzenia oraz wprowadzają wszelkie środki niezbędne do zapewnienia ich wdrożenia. Sankcje te muszą być skuteczne, proporcjonalne</w:t>
      </w:r>
      <w:r w:rsidR="0028384B" w:rsidRPr="002F16A1">
        <w:rPr>
          <w:noProof/>
        </w:rPr>
        <w:t xml:space="preserve"> i</w:t>
      </w:r>
      <w:r w:rsidR="0028384B">
        <w:rPr>
          <w:noProof/>
        </w:rPr>
        <w:t> </w:t>
      </w:r>
      <w:r w:rsidR="0028384B" w:rsidRPr="002F16A1">
        <w:rPr>
          <w:noProof/>
        </w:rPr>
        <w:t>ods</w:t>
      </w:r>
      <w:r w:rsidRPr="002F16A1">
        <w:rPr>
          <w:noProof/>
        </w:rPr>
        <w:t>traszające. Państwa członkowskie powiadamiają niezwłocznie Komisję</w:t>
      </w:r>
      <w:r w:rsidR="0028384B" w:rsidRPr="002F16A1">
        <w:rPr>
          <w:noProof/>
        </w:rPr>
        <w:t xml:space="preserve"> o</w:t>
      </w:r>
      <w:r w:rsidR="0028384B">
        <w:rPr>
          <w:noProof/>
        </w:rPr>
        <w:t> </w:t>
      </w:r>
      <w:r w:rsidR="0028384B" w:rsidRPr="002F16A1">
        <w:rPr>
          <w:noProof/>
        </w:rPr>
        <w:t>tyc</w:t>
      </w:r>
      <w:r w:rsidRPr="002F16A1">
        <w:rPr>
          <w:noProof/>
        </w:rPr>
        <w:t>h przepisach</w:t>
      </w:r>
      <w:r w:rsidR="0028384B" w:rsidRPr="002F16A1">
        <w:rPr>
          <w:noProof/>
        </w:rPr>
        <w:t xml:space="preserve"> i</w:t>
      </w:r>
      <w:r w:rsidR="0028384B">
        <w:rPr>
          <w:noProof/>
        </w:rPr>
        <w:t> </w:t>
      </w:r>
      <w:r w:rsidR="0028384B" w:rsidRPr="002F16A1">
        <w:rPr>
          <w:noProof/>
        </w:rPr>
        <w:t>śro</w:t>
      </w:r>
      <w:r w:rsidRPr="002F16A1">
        <w:rPr>
          <w:noProof/>
        </w:rPr>
        <w:t>dkach,</w:t>
      </w:r>
      <w:r w:rsidR="0028384B" w:rsidRPr="002F16A1">
        <w:rPr>
          <w:noProof/>
        </w:rPr>
        <w:t xml:space="preserve"> a</w:t>
      </w:r>
      <w:r w:rsidR="0028384B">
        <w:rPr>
          <w:noProof/>
        </w:rPr>
        <w:t> </w:t>
      </w:r>
      <w:r w:rsidR="0028384B" w:rsidRPr="002F16A1">
        <w:rPr>
          <w:noProof/>
        </w:rPr>
        <w:t>tak</w:t>
      </w:r>
      <w:r w:rsidRPr="002F16A1">
        <w:rPr>
          <w:noProof/>
        </w:rPr>
        <w:t>że powiadamiają ją niezwłocznie</w:t>
      </w:r>
      <w:r w:rsidR="0028384B" w:rsidRPr="002F16A1">
        <w:rPr>
          <w:noProof/>
        </w:rPr>
        <w:t xml:space="preserve"> o</w:t>
      </w:r>
      <w:r w:rsidR="0028384B">
        <w:rPr>
          <w:noProof/>
        </w:rPr>
        <w:t> </w:t>
      </w:r>
      <w:r w:rsidR="0028384B" w:rsidRPr="002F16A1">
        <w:rPr>
          <w:noProof/>
        </w:rPr>
        <w:t>wsz</w:t>
      </w:r>
      <w:r w:rsidRPr="002F16A1">
        <w:rPr>
          <w:noProof/>
        </w:rPr>
        <w:t>elkich późniejszych zmianach, które ich dotyczą.</w:t>
      </w:r>
    </w:p>
    <w:p w:rsidR="00AD62E2" w:rsidRPr="002F16A1" w:rsidRDefault="00AD62E2" w:rsidP="00AD62E2">
      <w:pPr>
        <w:pStyle w:val="Titrearticle"/>
        <w:rPr>
          <w:noProof/>
        </w:rPr>
      </w:pPr>
      <w:r w:rsidRPr="002F16A1">
        <w:rPr>
          <w:noProof/>
        </w:rPr>
        <w:t>Artykuł 46</w:t>
      </w:r>
    </w:p>
    <w:p w:rsidR="00AD62E2" w:rsidRPr="002F16A1" w:rsidRDefault="00AD62E2" w:rsidP="00AD62E2">
      <w:pPr>
        <w:pStyle w:val="NormalCentered"/>
        <w:rPr>
          <w:noProof/>
        </w:rPr>
      </w:pPr>
      <w:r w:rsidRPr="002F16A1">
        <w:rPr>
          <w:b/>
          <w:noProof/>
        </w:rPr>
        <w:t>Ocena</w:t>
      </w:r>
    </w:p>
    <w:p w:rsidR="00AD62E2" w:rsidRPr="002F16A1" w:rsidRDefault="00733965" w:rsidP="00733965">
      <w:pPr>
        <w:pStyle w:val="ManualNumPar1"/>
        <w:rPr>
          <w:noProof/>
        </w:rPr>
      </w:pPr>
      <w:r w:rsidRPr="00733965">
        <w:t>1.</w:t>
      </w:r>
      <w:r w:rsidRPr="00733965">
        <w:tab/>
      </w:r>
      <w:r w:rsidR="00AD62E2" w:rsidRPr="002F16A1">
        <w:rPr>
          <w:noProof/>
        </w:rPr>
        <w:t>Do dnia [</w:t>
      </w:r>
      <w:r w:rsidR="00AD62E2" w:rsidRPr="002F16A1">
        <w:rPr>
          <w:i/>
          <w:iCs/>
          <w:noProof/>
        </w:rPr>
        <w:t>Urząd Publikacji: proszę wstawić</w:t>
      </w:r>
      <w:r w:rsidR="00AD62E2" w:rsidRPr="002F16A1">
        <w:rPr>
          <w:noProof/>
        </w:rPr>
        <w:t xml:space="preserve"> </w:t>
      </w:r>
      <w:r w:rsidR="00AD62E2" w:rsidRPr="002F16A1">
        <w:rPr>
          <w:i/>
          <w:iCs/>
          <w:noProof/>
        </w:rPr>
        <w:t>datę: pięć lat od daty wejścia</w:t>
      </w:r>
      <w:r w:rsidR="0028384B" w:rsidRPr="002F16A1">
        <w:rPr>
          <w:i/>
          <w:iCs/>
          <w:noProof/>
        </w:rPr>
        <w:t xml:space="preserve"> w</w:t>
      </w:r>
      <w:r w:rsidR="0028384B">
        <w:rPr>
          <w:i/>
          <w:iCs/>
          <w:noProof/>
        </w:rPr>
        <w:t> </w:t>
      </w:r>
      <w:r w:rsidR="0028384B" w:rsidRPr="002F16A1">
        <w:rPr>
          <w:i/>
          <w:iCs/>
          <w:noProof/>
        </w:rPr>
        <w:t>życ</w:t>
      </w:r>
      <w:r w:rsidR="00AD62E2" w:rsidRPr="002F16A1">
        <w:rPr>
          <w:i/>
          <w:iCs/>
          <w:noProof/>
        </w:rPr>
        <w:t>ie niniejszego rozporządzenia</w:t>
      </w:r>
      <w:r w:rsidR="00AD62E2" w:rsidRPr="002F16A1">
        <w:rPr>
          <w:noProof/>
        </w:rPr>
        <w:t>] Komisja dokonuje oceny niniejszego rozporządzenia pod kątem określonych</w:t>
      </w:r>
      <w:r w:rsidR="0028384B" w:rsidRPr="002F16A1">
        <w:rPr>
          <w:noProof/>
        </w:rPr>
        <w:t xml:space="preserve"> w</w:t>
      </w:r>
      <w:r w:rsidR="0028384B">
        <w:rPr>
          <w:noProof/>
        </w:rPr>
        <w:t> </w:t>
      </w:r>
      <w:r w:rsidR="0028384B" w:rsidRPr="002F16A1">
        <w:rPr>
          <w:noProof/>
        </w:rPr>
        <w:t>nim</w:t>
      </w:r>
      <w:r w:rsidR="00AD62E2" w:rsidRPr="002F16A1">
        <w:rPr>
          <w:noProof/>
        </w:rPr>
        <w:t xml:space="preserve"> celów</w:t>
      </w:r>
      <w:r w:rsidR="0028384B" w:rsidRPr="002F16A1">
        <w:rPr>
          <w:noProof/>
        </w:rPr>
        <w:t xml:space="preserve"> i</w:t>
      </w:r>
      <w:r w:rsidR="0028384B">
        <w:rPr>
          <w:noProof/>
        </w:rPr>
        <w:t> </w:t>
      </w:r>
      <w:r w:rsidR="0028384B" w:rsidRPr="002F16A1">
        <w:rPr>
          <w:noProof/>
        </w:rPr>
        <w:t>prz</w:t>
      </w:r>
      <w:r w:rsidR="00AD62E2" w:rsidRPr="002F16A1">
        <w:rPr>
          <w:noProof/>
        </w:rPr>
        <w:t>edstawia sprawozdanie na ten temat Parlamentowi Europejskiemu, Radzie</w:t>
      </w:r>
      <w:r w:rsidR="0028384B" w:rsidRPr="002F16A1">
        <w:rPr>
          <w:noProof/>
        </w:rPr>
        <w:t xml:space="preserve"> i</w:t>
      </w:r>
      <w:r w:rsidR="0028384B">
        <w:rPr>
          <w:noProof/>
        </w:rPr>
        <w:t> </w:t>
      </w:r>
      <w:r w:rsidR="0028384B" w:rsidRPr="002F16A1">
        <w:rPr>
          <w:noProof/>
        </w:rPr>
        <w:t>Eur</w:t>
      </w:r>
      <w:r w:rsidR="00AD62E2" w:rsidRPr="002F16A1">
        <w:rPr>
          <w:noProof/>
        </w:rPr>
        <w:t>opejskiemu Komitetowi Ekonomiczno-Społecznemu.</w:t>
      </w:r>
    </w:p>
    <w:p w:rsidR="00AD62E2" w:rsidRPr="002F16A1" w:rsidRDefault="00733965" w:rsidP="00733965">
      <w:pPr>
        <w:pStyle w:val="ManualNumPar1"/>
        <w:rPr>
          <w:noProof/>
        </w:rPr>
      </w:pPr>
      <w:r w:rsidRPr="00733965">
        <w:t>2.</w:t>
      </w:r>
      <w:r w:rsidRPr="00733965">
        <w:tab/>
      </w:r>
      <w:r w:rsidR="00AD62E2" w:rsidRPr="002F16A1">
        <w:rPr>
          <w:noProof/>
        </w:rPr>
        <w:t>W sprawozdaniu,</w:t>
      </w:r>
      <w:r w:rsidR="0028384B" w:rsidRPr="002F16A1">
        <w:rPr>
          <w:noProof/>
        </w:rPr>
        <w:t xml:space="preserve"> o</w:t>
      </w:r>
      <w:r w:rsidR="0028384B">
        <w:rPr>
          <w:noProof/>
        </w:rPr>
        <w:t> </w:t>
      </w:r>
      <w:r w:rsidR="0028384B" w:rsidRPr="002F16A1">
        <w:rPr>
          <w:noProof/>
        </w:rPr>
        <w:t>któ</w:t>
      </w:r>
      <w:r w:rsidR="00AD62E2" w:rsidRPr="002F16A1">
        <w:rPr>
          <w:noProof/>
        </w:rPr>
        <w:t>rym mowa</w:t>
      </w:r>
      <w:r w:rsidR="0028384B" w:rsidRPr="002F16A1">
        <w:rPr>
          <w:noProof/>
        </w:rPr>
        <w:t xml:space="preserve"> w</w:t>
      </w:r>
      <w:r w:rsidR="0028384B">
        <w:rPr>
          <w:noProof/>
        </w:rPr>
        <w:t> </w:t>
      </w:r>
      <w:r w:rsidR="0028384B" w:rsidRPr="0028384B">
        <w:rPr>
          <w:noProof/>
        </w:rPr>
        <w:t>ust</w:t>
      </w:r>
      <w:r w:rsidR="00AD62E2" w:rsidRPr="0028384B">
        <w:rPr>
          <w:noProof/>
        </w:rPr>
        <w:t>.</w:t>
      </w:r>
      <w:r w:rsidR="0028384B" w:rsidRPr="0028384B">
        <w:rPr>
          <w:noProof/>
        </w:rPr>
        <w:t> </w:t>
      </w:r>
      <w:r w:rsidR="00AD62E2" w:rsidRPr="0028384B">
        <w:rPr>
          <w:noProof/>
        </w:rPr>
        <w:t>1</w:t>
      </w:r>
      <w:r w:rsidR="00AD62E2" w:rsidRPr="002F16A1">
        <w:rPr>
          <w:noProof/>
        </w:rPr>
        <w:t>, ocenia się co najmniej stosowność ustanawiania maksymalnych progów śladu środowiskowego</w:t>
      </w:r>
      <w:r w:rsidR="0028384B" w:rsidRPr="002F16A1">
        <w:rPr>
          <w:noProof/>
        </w:rPr>
        <w:t xml:space="preserve"> w</w:t>
      </w:r>
      <w:r w:rsidR="0028384B">
        <w:rPr>
          <w:noProof/>
        </w:rPr>
        <w:t> </w:t>
      </w:r>
      <w:r w:rsidR="0028384B" w:rsidRPr="002F16A1">
        <w:rPr>
          <w:noProof/>
        </w:rPr>
        <w:t>odn</w:t>
      </w:r>
      <w:r w:rsidR="00AD62E2" w:rsidRPr="002F16A1">
        <w:rPr>
          <w:noProof/>
        </w:rPr>
        <w:t>iesieniu do surowców krytycznych, dla których przyjęto zasady obliczania</w:t>
      </w:r>
      <w:r w:rsidR="0028384B" w:rsidRPr="002F16A1">
        <w:rPr>
          <w:noProof/>
        </w:rPr>
        <w:t xml:space="preserve"> i</w:t>
      </w:r>
      <w:r w:rsidR="0028384B">
        <w:rPr>
          <w:noProof/>
        </w:rPr>
        <w:t> </w:t>
      </w:r>
      <w:r w:rsidR="0028384B" w:rsidRPr="002F16A1">
        <w:rPr>
          <w:noProof/>
        </w:rPr>
        <w:t>wer</w:t>
      </w:r>
      <w:r w:rsidR="00AD62E2" w:rsidRPr="002F16A1">
        <w:rPr>
          <w:noProof/>
        </w:rPr>
        <w:t>yfikacji.</w:t>
      </w:r>
    </w:p>
    <w:p w:rsidR="00AD62E2" w:rsidRPr="002F16A1" w:rsidRDefault="00AD62E2" w:rsidP="00AD62E2">
      <w:pPr>
        <w:pStyle w:val="Titrearticle"/>
        <w:rPr>
          <w:noProof/>
        </w:rPr>
      </w:pPr>
      <w:r w:rsidRPr="002F16A1">
        <w:rPr>
          <w:noProof/>
        </w:rPr>
        <w:t>Artykuł 47</w:t>
      </w:r>
    </w:p>
    <w:p w:rsidR="00AD62E2" w:rsidRPr="002F16A1" w:rsidRDefault="00AD62E2" w:rsidP="00AD62E2">
      <w:pPr>
        <w:pStyle w:val="NormalCentered"/>
        <w:rPr>
          <w:noProof/>
        </w:rPr>
      </w:pPr>
      <w:r w:rsidRPr="002F16A1">
        <w:rPr>
          <w:b/>
          <w:noProof/>
        </w:rPr>
        <w:t>Wejście</w:t>
      </w:r>
      <w:r w:rsidR="0028384B" w:rsidRPr="002F16A1">
        <w:rPr>
          <w:b/>
          <w:noProof/>
        </w:rPr>
        <w:t xml:space="preserve"> w</w:t>
      </w:r>
      <w:r w:rsidR="0028384B">
        <w:rPr>
          <w:b/>
          <w:noProof/>
        </w:rPr>
        <w:t> </w:t>
      </w:r>
      <w:r w:rsidR="0028384B" w:rsidRPr="002F16A1">
        <w:rPr>
          <w:b/>
          <w:noProof/>
        </w:rPr>
        <w:t>życ</w:t>
      </w:r>
      <w:r w:rsidRPr="002F16A1">
        <w:rPr>
          <w:b/>
          <w:noProof/>
        </w:rPr>
        <w:t>ie</w:t>
      </w:r>
    </w:p>
    <w:p w:rsidR="00AD62E2" w:rsidRPr="002F16A1" w:rsidRDefault="00AD62E2" w:rsidP="00AD62E2">
      <w:pPr>
        <w:rPr>
          <w:noProof/>
        </w:rPr>
      </w:pPr>
      <w:r w:rsidRPr="002F16A1">
        <w:rPr>
          <w:noProof/>
        </w:rPr>
        <w:t>Niniejsze rozporządzenie wchodzi</w:t>
      </w:r>
      <w:r w:rsidR="0028384B" w:rsidRPr="002F16A1">
        <w:rPr>
          <w:noProof/>
        </w:rPr>
        <w:t xml:space="preserve"> w</w:t>
      </w:r>
      <w:r w:rsidR="0028384B">
        <w:rPr>
          <w:noProof/>
        </w:rPr>
        <w:t> </w:t>
      </w:r>
      <w:r w:rsidR="0028384B" w:rsidRPr="002F16A1">
        <w:rPr>
          <w:noProof/>
        </w:rPr>
        <w:t>życ</w:t>
      </w:r>
      <w:r w:rsidRPr="002F16A1">
        <w:rPr>
          <w:noProof/>
        </w:rPr>
        <w:t xml:space="preserve">ie </w:t>
      </w:r>
      <w:r w:rsidRPr="002F16A1">
        <w:rPr>
          <w:noProof/>
          <w:color w:val="000000" w:themeColor="text1"/>
        </w:rPr>
        <w:t>dwudziestego</w:t>
      </w:r>
      <w:r w:rsidRPr="002F16A1">
        <w:rPr>
          <w:noProof/>
        </w:rPr>
        <w:t xml:space="preserve"> dnia po jego opublikowaniu</w:t>
      </w:r>
      <w:r w:rsidR="0028384B" w:rsidRPr="002F16A1">
        <w:rPr>
          <w:noProof/>
        </w:rPr>
        <w:t xml:space="preserve"> w</w:t>
      </w:r>
      <w:r w:rsidR="0028384B">
        <w:rPr>
          <w:noProof/>
        </w:rPr>
        <w:t> </w:t>
      </w:r>
      <w:r w:rsidR="0028384B" w:rsidRPr="002F16A1">
        <w:rPr>
          <w:i/>
          <w:noProof/>
        </w:rPr>
        <w:t>Dzi</w:t>
      </w:r>
      <w:r w:rsidRPr="002F16A1">
        <w:rPr>
          <w:i/>
          <w:noProof/>
        </w:rPr>
        <w:t>enniku Urzędowym Unii Europejskiej</w:t>
      </w:r>
      <w:r w:rsidRPr="002F16A1">
        <w:rPr>
          <w:noProof/>
        </w:rPr>
        <w:t>.</w:t>
      </w:r>
    </w:p>
    <w:p w:rsidR="00AD62E2" w:rsidRPr="002F16A1" w:rsidRDefault="00AD62E2" w:rsidP="004C3D29">
      <w:pPr>
        <w:pStyle w:val="Applicationdirecte"/>
        <w:keepNext/>
        <w:keepLines/>
        <w:rPr>
          <w:noProof/>
        </w:rPr>
      </w:pPr>
      <w:r w:rsidRPr="002F16A1">
        <w:rPr>
          <w:noProof/>
        </w:rPr>
        <w:t>Niniejsze rozporządzenie wiąże</w:t>
      </w:r>
      <w:r w:rsidR="0028384B" w:rsidRPr="002F16A1">
        <w:rPr>
          <w:noProof/>
        </w:rPr>
        <w:t xml:space="preserve"> w</w:t>
      </w:r>
      <w:r w:rsidR="0028384B">
        <w:rPr>
          <w:noProof/>
        </w:rPr>
        <w:t> </w:t>
      </w:r>
      <w:r w:rsidR="0028384B" w:rsidRPr="002F16A1">
        <w:rPr>
          <w:noProof/>
        </w:rPr>
        <w:t>cał</w:t>
      </w:r>
      <w:r w:rsidRPr="002F16A1">
        <w:rPr>
          <w:noProof/>
        </w:rPr>
        <w:t>ości</w:t>
      </w:r>
      <w:r w:rsidR="0028384B" w:rsidRPr="002F16A1">
        <w:rPr>
          <w:noProof/>
        </w:rPr>
        <w:t xml:space="preserve"> i</w:t>
      </w:r>
      <w:r w:rsidR="0028384B">
        <w:rPr>
          <w:noProof/>
        </w:rPr>
        <w:t> </w:t>
      </w:r>
      <w:r w:rsidR="0028384B" w:rsidRPr="002F16A1">
        <w:rPr>
          <w:noProof/>
        </w:rPr>
        <w:t>jes</w:t>
      </w:r>
      <w:r w:rsidRPr="002F16A1">
        <w:rPr>
          <w:noProof/>
        </w:rPr>
        <w:t>t bezpośrednio stosowane we wszystkich państwach członkowskich.</w:t>
      </w:r>
    </w:p>
    <w:p w:rsidR="00AD62E2" w:rsidRPr="002F16A1" w:rsidRDefault="0095000B" w:rsidP="004C3D29">
      <w:pPr>
        <w:pStyle w:val="Fait"/>
        <w:rPr>
          <w:noProof/>
        </w:rPr>
      </w:pPr>
      <w:r w:rsidRPr="0095000B">
        <w:t xml:space="preserve">Sporządzono w Brukseli dnia </w:t>
      </w:r>
      <w:r w:rsidRPr="0095000B">
        <w:rPr>
          <w:rStyle w:val="Marker"/>
        </w:rPr>
        <w:t>[…]</w:t>
      </w:r>
      <w:r w:rsidRPr="0095000B">
        <w:t xml:space="preserve"> r.</w:t>
      </w:r>
    </w:p>
    <w:p w:rsidR="00AD62E2" w:rsidRPr="002F16A1" w:rsidRDefault="00AD62E2" w:rsidP="004C3D29">
      <w:pPr>
        <w:pStyle w:val="Institutionquisigne"/>
        <w:rPr>
          <w:noProof/>
        </w:rPr>
      </w:pPr>
      <w:r w:rsidRPr="002F16A1">
        <w:rPr>
          <w:noProof/>
        </w:rPr>
        <w:t>W imieniu Parlamentu Europejskiego</w:t>
      </w:r>
      <w:r w:rsidRPr="002F16A1">
        <w:rPr>
          <w:noProof/>
        </w:rPr>
        <w:tab/>
        <w:t>W imieniu Rady</w:t>
      </w:r>
    </w:p>
    <w:p w:rsidR="00AD62E2" w:rsidRPr="002F16A1" w:rsidRDefault="00AD62E2" w:rsidP="00AD62E2">
      <w:pPr>
        <w:pStyle w:val="Personnequisigne"/>
        <w:rPr>
          <w:noProof/>
        </w:rPr>
      </w:pPr>
      <w:r w:rsidRPr="002F16A1">
        <w:rPr>
          <w:noProof/>
        </w:rPr>
        <w:t>Przewodnicząca</w:t>
      </w:r>
      <w:r w:rsidRPr="002F16A1">
        <w:rPr>
          <w:noProof/>
        </w:rPr>
        <w:tab/>
        <w:t>Przewodniczący</w:t>
      </w:r>
    </w:p>
    <w:p w:rsidR="00AD62E2" w:rsidRPr="002F16A1" w:rsidRDefault="00AD62E2" w:rsidP="00AD62E2">
      <w:pPr>
        <w:pStyle w:val="Fichefinanciretitre"/>
        <w:keepNext/>
        <w:rPr>
          <w:noProof/>
        </w:rPr>
      </w:pPr>
      <w:bookmarkStart w:id="30" w:name="_TocB7751C055C4744A28A002AAF436526DF"/>
      <w:r w:rsidRPr="002F16A1">
        <w:rPr>
          <w:noProof/>
        </w:rPr>
        <w:t>OCENA SKUTKÓW FINANSOWYCH REGULACJI</w:t>
      </w:r>
      <w:bookmarkEnd w:id="30"/>
    </w:p>
    <w:p w:rsidR="00AD62E2" w:rsidRPr="002F16A1" w:rsidRDefault="00AD62E2" w:rsidP="00AD62E2">
      <w:pPr>
        <w:pStyle w:val="ManualHeading1"/>
        <w:rPr>
          <w:noProof/>
        </w:rPr>
      </w:pPr>
      <w:r w:rsidRPr="002F16A1">
        <w:rPr>
          <w:noProof/>
        </w:rPr>
        <w:t>1.</w:t>
      </w:r>
      <w:r w:rsidRPr="002F16A1">
        <w:rPr>
          <w:noProof/>
        </w:rPr>
        <w:tab/>
        <w:t>STRUKTURA WNIOSKU/INICJATYWY</w:t>
      </w:r>
    </w:p>
    <w:p w:rsidR="00AD62E2" w:rsidRPr="002F16A1" w:rsidRDefault="00AD62E2" w:rsidP="00AD62E2">
      <w:pPr>
        <w:pStyle w:val="ManualHeading2"/>
        <w:rPr>
          <w:noProof/>
        </w:rPr>
      </w:pPr>
      <w:r w:rsidRPr="002F16A1">
        <w:rPr>
          <w:noProof/>
        </w:rPr>
        <w:t>1.1.</w:t>
      </w:r>
      <w:r w:rsidRPr="002F16A1">
        <w:rPr>
          <w:noProof/>
        </w:rPr>
        <w:tab/>
        <w:t>Tytuł wniosku/inicjatywy</w:t>
      </w:r>
    </w:p>
    <w:p w:rsidR="00AD62E2" w:rsidRPr="002F16A1" w:rsidRDefault="00AD62E2" w:rsidP="00AD62E2">
      <w:pPr>
        <w:pStyle w:val="ManualHeading2"/>
        <w:rPr>
          <w:noProof/>
        </w:rPr>
      </w:pPr>
      <w:r w:rsidRPr="002F16A1">
        <w:rPr>
          <w:noProof/>
        </w:rPr>
        <w:t>1.2.</w:t>
      </w:r>
      <w:r w:rsidRPr="002F16A1">
        <w:rPr>
          <w:noProof/>
        </w:rPr>
        <w:tab/>
        <w:t>Obszary polityki, których dotyczy wniosek/inicjatywa</w:t>
      </w:r>
    </w:p>
    <w:p w:rsidR="00AD62E2" w:rsidRPr="002F16A1" w:rsidRDefault="00AD62E2" w:rsidP="00AD62E2">
      <w:pPr>
        <w:pStyle w:val="ManualHeading2"/>
        <w:rPr>
          <w:noProof/>
        </w:rPr>
      </w:pPr>
      <w:r w:rsidRPr="002F16A1">
        <w:rPr>
          <w:noProof/>
        </w:rPr>
        <w:t>1.3.</w:t>
      </w:r>
      <w:r w:rsidRPr="002F16A1">
        <w:rPr>
          <w:noProof/>
        </w:rPr>
        <w:tab/>
        <w:t>Wniosek/inicjatywa dotyczy:</w:t>
      </w:r>
    </w:p>
    <w:p w:rsidR="00AD62E2" w:rsidRPr="002F16A1" w:rsidRDefault="00AD62E2" w:rsidP="00AD62E2">
      <w:pPr>
        <w:pStyle w:val="ManualHeading2"/>
        <w:rPr>
          <w:noProof/>
        </w:rPr>
      </w:pPr>
      <w:r w:rsidRPr="002F16A1">
        <w:rPr>
          <w:noProof/>
        </w:rPr>
        <w:t>1.4.</w:t>
      </w:r>
      <w:r w:rsidRPr="002F16A1">
        <w:rPr>
          <w:noProof/>
        </w:rPr>
        <w:tab/>
        <w:t>Cel(e)</w:t>
      </w:r>
    </w:p>
    <w:p w:rsidR="00AD62E2" w:rsidRPr="002F16A1" w:rsidRDefault="00AD62E2" w:rsidP="00AD62E2">
      <w:pPr>
        <w:pStyle w:val="ManualHeading3"/>
        <w:rPr>
          <w:noProof/>
        </w:rPr>
      </w:pPr>
      <w:r w:rsidRPr="002F16A1">
        <w:rPr>
          <w:noProof/>
        </w:rPr>
        <w:t>1.4.1.</w:t>
      </w:r>
      <w:r w:rsidRPr="002F16A1">
        <w:rPr>
          <w:noProof/>
        </w:rPr>
        <w:tab/>
        <w:t>Cel(e) ogólny(e)</w:t>
      </w:r>
    </w:p>
    <w:p w:rsidR="00AD62E2" w:rsidRPr="002F16A1" w:rsidRDefault="00AD62E2" w:rsidP="00AD62E2">
      <w:pPr>
        <w:pStyle w:val="ManualHeading3"/>
        <w:rPr>
          <w:noProof/>
        </w:rPr>
      </w:pPr>
      <w:r w:rsidRPr="002F16A1">
        <w:rPr>
          <w:noProof/>
        </w:rPr>
        <w:t>1.4.2.</w:t>
      </w:r>
      <w:r w:rsidRPr="002F16A1">
        <w:rPr>
          <w:noProof/>
        </w:rPr>
        <w:tab/>
        <w:t>Cel(e) szczegółowy(e)</w:t>
      </w:r>
    </w:p>
    <w:p w:rsidR="00AD62E2" w:rsidRPr="002F16A1" w:rsidRDefault="00AD62E2" w:rsidP="00AD62E2">
      <w:pPr>
        <w:pStyle w:val="ManualHeading3"/>
        <w:rPr>
          <w:noProof/>
        </w:rPr>
      </w:pPr>
      <w:r w:rsidRPr="002F16A1">
        <w:rPr>
          <w:noProof/>
        </w:rPr>
        <w:t>1.4.3.</w:t>
      </w:r>
      <w:r w:rsidRPr="002F16A1">
        <w:rPr>
          <w:noProof/>
        </w:rPr>
        <w:tab/>
        <w:t>Oczekiwane wyniki</w:t>
      </w:r>
      <w:r w:rsidR="0028384B" w:rsidRPr="002F16A1">
        <w:rPr>
          <w:noProof/>
        </w:rPr>
        <w:t xml:space="preserve"> i</w:t>
      </w:r>
      <w:r w:rsidR="0028384B">
        <w:rPr>
          <w:noProof/>
        </w:rPr>
        <w:t> </w:t>
      </w:r>
      <w:r w:rsidR="0028384B" w:rsidRPr="002F16A1">
        <w:rPr>
          <w:noProof/>
        </w:rPr>
        <w:t>wpł</w:t>
      </w:r>
      <w:r w:rsidRPr="002F16A1">
        <w:rPr>
          <w:noProof/>
        </w:rPr>
        <w:t>yw</w:t>
      </w:r>
    </w:p>
    <w:p w:rsidR="00AD62E2" w:rsidRPr="002F16A1" w:rsidRDefault="00AD62E2" w:rsidP="00AD62E2">
      <w:pPr>
        <w:pStyle w:val="ManualHeading3"/>
        <w:rPr>
          <w:noProof/>
        </w:rPr>
      </w:pPr>
      <w:r w:rsidRPr="002F16A1">
        <w:rPr>
          <w:noProof/>
        </w:rPr>
        <w:t>1.4.4.</w:t>
      </w:r>
      <w:r w:rsidRPr="002F16A1">
        <w:rPr>
          <w:noProof/>
        </w:rPr>
        <w:tab/>
        <w:t>Wskaźniki dotyczące realizacji celów</w:t>
      </w:r>
    </w:p>
    <w:p w:rsidR="00AD62E2" w:rsidRPr="002F16A1" w:rsidRDefault="00AD62E2" w:rsidP="00AD62E2">
      <w:pPr>
        <w:pStyle w:val="ManualHeading2"/>
        <w:rPr>
          <w:noProof/>
        </w:rPr>
      </w:pPr>
      <w:r w:rsidRPr="002F16A1">
        <w:rPr>
          <w:noProof/>
        </w:rPr>
        <w:t>1.5.</w:t>
      </w:r>
      <w:r w:rsidRPr="002F16A1">
        <w:rPr>
          <w:noProof/>
        </w:rPr>
        <w:tab/>
        <w:t>Uzasadnienie wniosku/inicjatywy</w:t>
      </w:r>
    </w:p>
    <w:p w:rsidR="00AD62E2" w:rsidRPr="002F16A1" w:rsidRDefault="00AD62E2" w:rsidP="00AD62E2">
      <w:pPr>
        <w:pStyle w:val="ManualHeading3"/>
        <w:rPr>
          <w:noProof/>
        </w:rPr>
      </w:pPr>
      <w:r w:rsidRPr="002F16A1">
        <w:rPr>
          <w:noProof/>
        </w:rPr>
        <w:t>1.5.1.</w:t>
      </w:r>
      <w:r w:rsidRPr="002F16A1">
        <w:rPr>
          <w:noProof/>
        </w:rPr>
        <w:tab/>
        <w:t>Potrzeby, które należy zaspokoić</w:t>
      </w:r>
      <w:r w:rsidR="0028384B" w:rsidRPr="002F16A1">
        <w:rPr>
          <w:noProof/>
        </w:rPr>
        <w:t xml:space="preserve"> w</w:t>
      </w:r>
      <w:r w:rsidR="0028384B">
        <w:rPr>
          <w:noProof/>
        </w:rPr>
        <w:t> </w:t>
      </w:r>
      <w:r w:rsidR="0028384B" w:rsidRPr="002F16A1">
        <w:rPr>
          <w:noProof/>
        </w:rPr>
        <w:t>per</w:t>
      </w:r>
      <w:r w:rsidRPr="002F16A1">
        <w:rPr>
          <w:noProof/>
        </w:rPr>
        <w:t>spektywie krótko- lub długoterminowej,</w:t>
      </w:r>
      <w:r w:rsidR="0028384B" w:rsidRPr="002F16A1">
        <w:rPr>
          <w:noProof/>
        </w:rPr>
        <w:t xml:space="preserve"> w</w:t>
      </w:r>
      <w:r w:rsidR="0028384B">
        <w:rPr>
          <w:noProof/>
        </w:rPr>
        <w:t> </w:t>
      </w:r>
      <w:r w:rsidR="0028384B" w:rsidRPr="002F16A1">
        <w:rPr>
          <w:noProof/>
        </w:rPr>
        <w:t>tym</w:t>
      </w:r>
      <w:r w:rsidRPr="002F16A1">
        <w:rPr>
          <w:noProof/>
        </w:rPr>
        <w:t xml:space="preserve"> szczegółowy terminarz przebiegu realizacji inicjatywy</w:t>
      </w:r>
    </w:p>
    <w:p w:rsidR="00AD62E2" w:rsidRPr="002F16A1" w:rsidRDefault="00AD62E2" w:rsidP="00AD62E2">
      <w:pPr>
        <w:pStyle w:val="ManualHeading3"/>
        <w:rPr>
          <w:noProof/>
        </w:rPr>
      </w:pPr>
      <w:r w:rsidRPr="002F16A1">
        <w:rPr>
          <w:noProof/>
        </w:rPr>
        <w:t>1.5.2.</w:t>
      </w:r>
      <w:r w:rsidRPr="002F16A1">
        <w:rPr>
          <w:noProof/>
        </w:rPr>
        <w:tab/>
        <w:t>Wartość dodana</w:t>
      </w:r>
      <w:r w:rsidR="0028384B" w:rsidRPr="002F16A1">
        <w:rPr>
          <w:noProof/>
        </w:rPr>
        <w:t xml:space="preserve"> z</w:t>
      </w:r>
      <w:r w:rsidR="0028384B">
        <w:rPr>
          <w:noProof/>
        </w:rPr>
        <w:t> </w:t>
      </w:r>
      <w:r w:rsidR="0028384B" w:rsidRPr="002F16A1">
        <w:rPr>
          <w:noProof/>
        </w:rPr>
        <w:t>tyt</w:t>
      </w:r>
      <w:r w:rsidRPr="002F16A1">
        <w:rPr>
          <w:noProof/>
        </w:rPr>
        <w:t>ułu zaangażowania Unii Europejskiej (może wynikać</w:t>
      </w:r>
      <w:r w:rsidR="0028384B" w:rsidRPr="002F16A1">
        <w:rPr>
          <w:noProof/>
        </w:rPr>
        <w:t xml:space="preserve"> z</w:t>
      </w:r>
      <w:r w:rsidR="0028384B">
        <w:rPr>
          <w:noProof/>
        </w:rPr>
        <w:t> </w:t>
      </w:r>
      <w:r w:rsidR="0028384B" w:rsidRPr="002F16A1">
        <w:rPr>
          <w:noProof/>
        </w:rPr>
        <w:t>róż</w:t>
      </w:r>
      <w:r w:rsidRPr="002F16A1">
        <w:rPr>
          <w:noProof/>
        </w:rPr>
        <w:t>nych czynników, na przykład korzyści koordynacyjnych, pewności prawa, większej efektywności lub komplementarności). Na potrzeby tego punktu „wartość dodaną</w:t>
      </w:r>
      <w:r w:rsidR="0028384B" w:rsidRPr="002F16A1">
        <w:rPr>
          <w:noProof/>
        </w:rPr>
        <w:t xml:space="preserve"> z</w:t>
      </w:r>
      <w:r w:rsidR="0028384B">
        <w:rPr>
          <w:noProof/>
        </w:rPr>
        <w:t> </w:t>
      </w:r>
      <w:r w:rsidR="0028384B" w:rsidRPr="002F16A1">
        <w:rPr>
          <w:noProof/>
        </w:rPr>
        <w:t>tyt</w:t>
      </w:r>
      <w:r w:rsidRPr="002F16A1">
        <w:rPr>
          <w:noProof/>
        </w:rPr>
        <w:t>ułu zaangażowania Unii” należy rozumieć jako wartość wynikającą</w:t>
      </w:r>
      <w:r w:rsidR="0028384B" w:rsidRPr="002F16A1">
        <w:rPr>
          <w:noProof/>
        </w:rPr>
        <w:t xml:space="preserve"> z</w:t>
      </w:r>
      <w:r w:rsidR="0028384B">
        <w:rPr>
          <w:noProof/>
        </w:rPr>
        <w:t> </w:t>
      </w:r>
      <w:r w:rsidR="0028384B" w:rsidRPr="002F16A1">
        <w:rPr>
          <w:noProof/>
        </w:rPr>
        <w:t>uni</w:t>
      </w:r>
      <w:r w:rsidRPr="002F16A1">
        <w:rPr>
          <w:noProof/>
        </w:rPr>
        <w:t>jnej interwencji, wykraczającą poza wartość, która zostałaby wytworzona przez same państwa członkowskie.</w:t>
      </w:r>
    </w:p>
    <w:p w:rsidR="00AD62E2" w:rsidRPr="002F16A1" w:rsidRDefault="00AD62E2" w:rsidP="00AD62E2">
      <w:pPr>
        <w:pStyle w:val="ManualHeading3"/>
        <w:rPr>
          <w:noProof/>
        </w:rPr>
      </w:pPr>
      <w:r w:rsidRPr="002F16A1">
        <w:rPr>
          <w:noProof/>
        </w:rPr>
        <w:t>1.5.3.</w:t>
      </w:r>
      <w:r w:rsidRPr="002F16A1">
        <w:rPr>
          <w:noProof/>
        </w:rPr>
        <w:tab/>
        <w:t>Główne wnioski wyciągnięte</w:t>
      </w:r>
      <w:r w:rsidR="0028384B" w:rsidRPr="002F16A1">
        <w:rPr>
          <w:noProof/>
        </w:rPr>
        <w:t xml:space="preserve"> z</w:t>
      </w:r>
      <w:r w:rsidR="0028384B">
        <w:rPr>
          <w:noProof/>
        </w:rPr>
        <w:t> </w:t>
      </w:r>
      <w:r w:rsidR="0028384B" w:rsidRPr="002F16A1">
        <w:rPr>
          <w:noProof/>
        </w:rPr>
        <w:t>pod</w:t>
      </w:r>
      <w:r w:rsidRPr="002F16A1">
        <w:rPr>
          <w:noProof/>
        </w:rPr>
        <w:t>obnych działań</w:t>
      </w:r>
    </w:p>
    <w:p w:rsidR="00AD62E2" w:rsidRPr="002F16A1" w:rsidRDefault="00AD62E2" w:rsidP="00AD62E2">
      <w:pPr>
        <w:pStyle w:val="ManualHeading3"/>
        <w:rPr>
          <w:noProof/>
        </w:rPr>
      </w:pPr>
      <w:r w:rsidRPr="002F16A1">
        <w:rPr>
          <w:noProof/>
        </w:rPr>
        <w:t>1.5.4.</w:t>
      </w:r>
      <w:r w:rsidRPr="002F16A1">
        <w:rPr>
          <w:noProof/>
        </w:rPr>
        <w:tab/>
        <w:t>Spójność</w:t>
      </w:r>
      <w:r w:rsidR="0028384B" w:rsidRPr="002F16A1">
        <w:rPr>
          <w:noProof/>
        </w:rPr>
        <w:t xml:space="preserve"> z</w:t>
      </w:r>
      <w:r w:rsidR="0028384B">
        <w:rPr>
          <w:noProof/>
        </w:rPr>
        <w:t> </w:t>
      </w:r>
      <w:r w:rsidR="0028384B" w:rsidRPr="002F16A1">
        <w:rPr>
          <w:noProof/>
        </w:rPr>
        <w:t>wie</w:t>
      </w:r>
      <w:r w:rsidRPr="002F16A1">
        <w:rPr>
          <w:noProof/>
        </w:rPr>
        <w:t>loletnimi ramami finansowymi oraz możliwa synergia</w:t>
      </w:r>
      <w:r w:rsidR="0028384B" w:rsidRPr="002F16A1">
        <w:rPr>
          <w:noProof/>
        </w:rPr>
        <w:t xml:space="preserve"> z</w:t>
      </w:r>
      <w:r w:rsidR="0028384B">
        <w:rPr>
          <w:noProof/>
        </w:rPr>
        <w:t> </w:t>
      </w:r>
      <w:r w:rsidR="0028384B" w:rsidRPr="002F16A1">
        <w:rPr>
          <w:noProof/>
        </w:rPr>
        <w:t>inn</w:t>
      </w:r>
      <w:r w:rsidRPr="002F16A1">
        <w:rPr>
          <w:noProof/>
        </w:rPr>
        <w:t>ymi właściwymi instrumentami</w:t>
      </w:r>
    </w:p>
    <w:p w:rsidR="00AD62E2" w:rsidRPr="002F16A1" w:rsidRDefault="00AD62E2" w:rsidP="00AD62E2">
      <w:pPr>
        <w:pStyle w:val="ManualHeading3"/>
        <w:rPr>
          <w:noProof/>
        </w:rPr>
      </w:pPr>
      <w:r w:rsidRPr="002F16A1">
        <w:rPr>
          <w:noProof/>
        </w:rPr>
        <w:t>1.5.5.</w:t>
      </w:r>
      <w:r w:rsidRPr="002F16A1">
        <w:rPr>
          <w:noProof/>
        </w:rPr>
        <w:tab/>
        <w:t>Ocena różnych dostępnych możliwości finansowania,</w:t>
      </w:r>
      <w:r w:rsidR="0028384B" w:rsidRPr="002F16A1">
        <w:rPr>
          <w:noProof/>
        </w:rPr>
        <w:t xml:space="preserve"> w</w:t>
      </w:r>
      <w:r w:rsidR="0028384B">
        <w:rPr>
          <w:noProof/>
        </w:rPr>
        <w:t> </w:t>
      </w:r>
      <w:r w:rsidR="0028384B" w:rsidRPr="002F16A1">
        <w:rPr>
          <w:noProof/>
        </w:rPr>
        <w:t>tym</w:t>
      </w:r>
      <w:r w:rsidRPr="002F16A1">
        <w:rPr>
          <w:noProof/>
        </w:rPr>
        <w:t xml:space="preserve"> zakresu przegrupowania środków</w:t>
      </w:r>
    </w:p>
    <w:p w:rsidR="00AD62E2" w:rsidRPr="002F16A1" w:rsidRDefault="00AD62E2" w:rsidP="00AD62E2">
      <w:pPr>
        <w:pStyle w:val="ManualHeading2"/>
        <w:rPr>
          <w:noProof/>
        </w:rPr>
      </w:pPr>
      <w:r w:rsidRPr="002F16A1">
        <w:rPr>
          <w:noProof/>
        </w:rPr>
        <w:t>1.6.</w:t>
      </w:r>
      <w:r w:rsidRPr="002F16A1">
        <w:rPr>
          <w:noProof/>
        </w:rPr>
        <w:tab/>
        <w:t>Czas trwania</w:t>
      </w:r>
      <w:r w:rsidR="0028384B" w:rsidRPr="002F16A1">
        <w:rPr>
          <w:noProof/>
        </w:rPr>
        <w:t xml:space="preserve"> i</w:t>
      </w:r>
      <w:r w:rsidR="0028384B">
        <w:rPr>
          <w:noProof/>
        </w:rPr>
        <w:t> </w:t>
      </w:r>
      <w:r w:rsidR="0028384B" w:rsidRPr="002F16A1">
        <w:rPr>
          <w:noProof/>
        </w:rPr>
        <w:t>wpł</w:t>
      </w:r>
      <w:r w:rsidRPr="002F16A1">
        <w:rPr>
          <w:noProof/>
        </w:rPr>
        <w:t>yw finansowy wniosku/inicjatywy</w:t>
      </w:r>
    </w:p>
    <w:p w:rsidR="00AD62E2" w:rsidRPr="002F16A1" w:rsidRDefault="00AD62E2" w:rsidP="00AD62E2">
      <w:pPr>
        <w:pStyle w:val="ManualHeading2"/>
        <w:rPr>
          <w:noProof/>
        </w:rPr>
      </w:pPr>
      <w:r w:rsidRPr="002F16A1">
        <w:rPr>
          <w:noProof/>
        </w:rPr>
        <w:t>1.7.</w:t>
      </w:r>
      <w:r w:rsidRPr="002F16A1">
        <w:rPr>
          <w:noProof/>
        </w:rPr>
        <w:tab/>
        <w:t>Planowane metody wykonania budżetu</w:t>
      </w:r>
    </w:p>
    <w:p w:rsidR="00AD62E2" w:rsidRPr="002F16A1" w:rsidRDefault="00AD62E2" w:rsidP="00AD62E2">
      <w:pPr>
        <w:pStyle w:val="ManualHeading1"/>
        <w:rPr>
          <w:noProof/>
        </w:rPr>
      </w:pPr>
      <w:r w:rsidRPr="002F16A1">
        <w:rPr>
          <w:noProof/>
        </w:rPr>
        <w:t>2.</w:t>
      </w:r>
      <w:r w:rsidRPr="002F16A1">
        <w:rPr>
          <w:noProof/>
        </w:rPr>
        <w:tab/>
        <w:t>ŚRODKI ZARZĄDZANIA</w:t>
      </w:r>
    </w:p>
    <w:p w:rsidR="00AD62E2" w:rsidRPr="002F16A1" w:rsidRDefault="00AD62E2" w:rsidP="00AD62E2">
      <w:pPr>
        <w:pStyle w:val="ManualHeading2"/>
        <w:rPr>
          <w:noProof/>
        </w:rPr>
      </w:pPr>
      <w:r w:rsidRPr="002F16A1">
        <w:rPr>
          <w:noProof/>
        </w:rPr>
        <w:t>2.1.</w:t>
      </w:r>
      <w:r w:rsidRPr="002F16A1">
        <w:rPr>
          <w:noProof/>
        </w:rPr>
        <w:tab/>
        <w:t>Zasady nadzoru</w:t>
      </w:r>
      <w:r w:rsidR="0028384B" w:rsidRPr="002F16A1">
        <w:rPr>
          <w:noProof/>
        </w:rPr>
        <w:t xml:space="preserve"> i</w:t>
      </w:r>
      <w:r w:rsidR="0028384B">
        <w:rPr>
          <w:noProof/>
        </w:rPr>
        <w:t> </w:t>
      </w:r>
      <w:r w:rsidR="0028384B" w:rsidRPr="002F16A1">
        <w:rPr>
          <w:noProof/>
        </w:rPr>
        <w:t>spr</w:t>
      </w:r>
      <w:r w:rsidRPr="002F16A1">
        <w:rPr>
          <w:noProof/>
        </w:rPr>
        <w:t>awozdawczości</w:t>
      </w:r>
    </w:p>
    <w:p w:rsidR="00AD62E2" w:rsidRPr="002F16A1" w:rsidRDefault="00AD62E2" w:rsidP="00AD62E2">
      <w:pPr>
        <w:pStyle w:val="ManualHeading2"/>
        <w:rPr>
          <w:noProof/>
        </w:rPr>
      </w:pPr>
      <w:r w:rsidRPr="002F16A1">
        <w:rPr>
          <w:noProof/>
        </w:rPr>
        <w:t>2.2.</w:t>
      </w:r>
      <w:r w:rsidRPr="002F16A1">
        <w:rPr>
          <w:noProof/>
        </w:rPr>
        <w:tab/>
        <w:t>System zarządzania</w:t>
      </w:r>
      <w:r w:rsidR="0028384B" w:rsidRPr="002F16A1">
        <w:rPr>
          <w:noProof/>
        </w:rPr>
        <w:t xml:space="preserve"> i</w:t>
      </w:r>
      <w:r w:rsidR="0028384B">
        <w:rPr>
          <w:noProof/>
        </w:rPr>
        <w:t> </w:t>
      </w:r>
      <w:r w:rsidR="0028384B" w:rsidRPr="002F16A1">
        <w:rPr>
          <w:noProof/>
        </w:rPr>
        <w:t>kon</w:t>
      </w:r>
      <w:r w:rsidRPr="002F16A1">
        <w:rPr>
          <w:noProof/>
        </w:rPr>
        <w:t>troli</w:t>
      </w:r>
    </w:p>
    <w:p w:rsidR="00AD62E2" w:rsidRPr="002F16A1" w:rsidRDefault="00AD62E2" w:rsidP="00AD62E2">
      <w:pPr>
        <w:pStyle w:val="ManualHeading3"/>
        <w:rPr>
          <w:noProof/>
        </w:rPr>
      </w:pPr>
      <w:r w:rsidRPr="002F16A1">
        <w:rPr>
          <w:noProof/>
        </w:rPr>
        <w:t>2.2.1.</w:t>
      </w:r>
      <w:r w:rsidRPr="002F16A1">
        <w:rPr>
          <w:noProof/>
        </w:rPr>
        <w:tab/>
        <w:t>Uzasadnienie dla systemu zarządzania, mechanizmów finansowania wykonania, warunków płatności</w:t>
      </w:r>
      <w:r w:rsidR="0028384B" w:rsidRPr="002F16A1">
        <w:rPr>
          <w:noProof/>
        </w:rPr>
        <w:t xml:space="preserve"> i</w:t>
      </w:r>
      <w:r w:rsidR="0028384B">
        <w:rPr>
          <w:noProof/>
        </w:rPr>
        <w:t> </w:t>
      </w:r>
      <w:r w:rsidR="0028384B" w:rsidRPr="002F16A1">
        <w:rPr>
          <w:noProof/>
        </w:rPr>
        <w:t>pro</w:t>
      </w:r>
      <w:r w:rsidRPr="002F16A1">
        <w:rPr>
          <w:noProof/>
        </w:rPr>
        <w:t>ponowanej strategii kontroli</w:t>
      </w:r>
    </w:p>
    <w:p w:rsidR="00AD62E2" w:rsidRPr="002F16A1" w:rsidRDefault="00AD62E2" w:rsidP="00AD62E2">
      <w:pPr>
        <w:pStyle w:val="ManualHeading3"/>
        <w:rPr>
          <w:noProof/>
        </w:rPr>
      </w:pPr>
      <w:r w:rsidRPr="002F16A1">
        <w:rPr>
          <w:noProof/>
        </w:rPr>
        <w:t>2.2.2.</w:t>
      </w:r>
      <w:r w:rsidRPr="002F16A1">
        <w:rPr>
          <w:noProof/>
        </w:rPr>
        <w:tab/>
        <w:t>Informacje dotyczące zidentyfikowanego ryzyka</w:t>
      </w:r>
      <w:r w:rsidR="0028384B" w:rsidRPr="002F16A1">
        <w:rPr>
          <w:noProof/>
        </w:rPr>
        <w:t xml:space="preserve"> i</w:t>
      </w:r>
      <w:r w:rsidR="0028384B">
        <w:rPr>
          <w:noProof/>
        </w:rPr>
        <w:t> </w:t>
      </w:r>
      <w:r w:rsidR="0028384B" w:rsidRPr="002F16A1">
        <w:rPr>
          <w:noProof/>
        </w:rPr>
        <w:t>sys</w:t>
      </w:r>
      <w:r w:rsidRPr="002F16A1">
        <w:rPr>
          <w:noProof/>
        </w:rPr>
        <w:t>temów kontroli wewnętrznej ustanowionych</w:t>
      </w:r>
      <w:r w:rsidR="0028384B" w:rsidRPr="002F16A1">
        <w:rPr>
          <w:noProof/>
        </w:rPr>
        <w:t xml:space="preserve"> w</w:t>
      </w:r>
      <w:r w:rsidR="0028384B">
        <w:rPr>
          <w:noProof/>
        </w:rPr>
        <w:t> </w:t>
      </w:r>
      <w:r w:rsidR="0028384B" w:rsidRPr="002F16A1">
        <w:rPr>
          <w:noProof/>
        </w:rPr>
        <w:t>cel</w:t>
      </w:r>
      <w:r w:rsidRPr="002F16A1">
        <w:rPr>
          <w:noProof/>
        </w:rPr>
        <w:t>u jego ograniczenia</w:t>
      </w:r>
    </w:p>
    <w:p w:rsidR="00AD62E2" w:rsidRPr="002F16A1" w:rsidRDefault="00AD62E2" w:rsidP="00AD62E2">
      <w:pPr>
        <w:pStyle w:val="ManualHeading3"/>
        <w:rPr>
          <w:noProof/>
        </w:rPr>
      </w:pPr>
      <w:r w:rsidRPr="002F16A1">
        <w:rPr>
          <w:noProof/>
        </w:rPr>
        <w:t>2.2.3.</w:t>
      </w:r>
      <w:r w:rsidRPr="002F16A1">
        <w:rPr>
          <w:noProof/>
        </w:rPr>
        <w:tab/>
        <w:t>Oszacowanie</w:t>
      </w:r>
      <w:r w:rsidR="0028384B" w:rsidRPr="002F16A1">
        <w:rPr>
          <w:noProof/>
        </w:rPr>
        <w:t xml:space="preserve"> i</w:t>
      </w:r>
      <w:r w:rsidR="0028384B">
        <w:rPr>
          <w:noProof/>
        </w:rPr>
        <w:t> </w:t>
      </w:r>
      <w:r w:rsidR="0028384B" w:rsidRPr="002F16A1">
        <w:rPr>
          <w:noProof/>
        </w:rPr>
        <w:t>uza</w:t>
      </w:r>
      <w:r w:rsidRPr="002F16A1">
        <w:rPr>
          <w:noProof/>
        </w:rPr>
        <w:t>sadnienie efektywności kosztowej kontroli (relacja kosztów kontroli do wartości zarządzanych funduszy powiązanych) oraz ocena prawdopodobnego ryzyka błędu (przy płatności</w:t>
      </w:r>
      <w:r w:rsidR="0028384B" w:rsidRPr="002F16A1">
        <w:rPr>
          <w:noProof/>
        </w:rPr>
        <w:t xml:space="preserve"> i</w:t>
      </w:r>
      <w:r w:rsidR="0028384B">
        <w:rPr>
          <w:noProof/>
        </w:rPr>
        <w:t> </w:t>
      </w:r>
      <w:r w:rsidR="0028384B" w:rsidRPr="002F16A1">
        <w:rPr>
          <w:noProof/>
        </w:rPr>
        <w:t>prz</w:t>
      </w:r>
      <w:r w:rsidRPr="002F16A1">
        <w:rPr>
          <w:noProof/>
        </w:rPr>
        <w:t>y zamykaniu)</w:t>
      </w:r>
    </w:p>
    <w:p w:rsidR="00AD62E2" w:rsidRPr="002F16A1" w:rsidRDefault="00AD62E2" w:rsidP="00AD62E2">
      <w:pPr>
        <w:pStyle w:val="ManualHeading2"/>
        <w:rPr>
          <w:noProof/>
        </w:rPr>
      </w:pPr>
      <w:r w:rsidRPr="002F16A1">
        <w:rPr>
          <w:noProof/>
        </w:rPr>
        <w:t>2.3.</w:t>
      </w:r>
      <w:r w:rsidRPr="002F16A1">
        <w:rPr>
          <w:noProof/>
        </w:rPr>
        <w:tab/>
        <w:t>Środki zapobiegania nadużyciom finansowym</w:t>
      </w:r>
      <w:r w:rsidR="0028384B" w:rsidRPr="002F16A1">
        <w:rPr>
          <w:noProof/>
        </w:rPr>
        <w:t xml:space="preserve"> i</w:t>
      </w:r>
      <w:r w:rsidR="0028384B">
        <w:rPr>
          <w:noProof/>
        </w:rPr>
        <w:t> </w:t>
      </w:r>
      <w:r w:rsidR="0028384B" w:rsidRPr="002F16A1">
        <w:rPr>
          <w:noProof/>
        </w:rPr>
        <w:t>nie</w:t>
      </w:r>
      <w:r w:rsidRPr="002F16A1">
        <w:rPr>
          <w:noProof/>
        </w:rPr>
        <w:t>prawidłowościom</w:t>
      </w:r>
    </w:p>
    <w:p w:rsidR="00AD62E2" w:rsidRPr="002F16A1" w:rsidRDefault="00AD62E2" w:rsidP="00AD62E2">
      <w:pPr>
        <w:pStyle w:val="ManualHeading1"/>
        <w:rPr>
          <w:noProof/>
        </w:rPr>
      </w:pPr>
      <w:r w:rsidRPr="002F16A1">
        <w:rPr>
          <w:noProof/>
        </w:rPr>
        <w:t>3.</w:t>
      </w:r>
      <w:r w:rsidRPr="002F16A1">
        <w:rPr>
          <w:noProof/>
        </w:rPr>
        <w:tab/>
        <w:t>SZACUNKOWY WPŁYW FINANSOWY WNIOSKU/INICJATYWY</w:t>
      </w:r>
    </w:p>
    <w:p w:rsidR="00AD62E2" w:rsidRPr="002F16A1" w:rsidRDefault="00AD62E2" w:rsidP="00AD62E2">
      <w:pPr>
        <w:pStyle w:val="ManualHeading2"/>
        <w:rPr>
          <w:noProof/>
        </w:rPr>
      </w:pPr>
      <w:r w:rsidRPr="002F16A1">
        <w:rPr>
          <w:noProof/>
        </w:rPr>
        <w:t>3.1.</w:t>
      </w:r>
      <w:r w:rsidRPr="002F16A1">
        <w:rPr>
          <w:noProof/>
        </w:rPr>
        <w:tab/>
        <w:t>Działy wieloletnich ram finansowych</w:t>
      </w:r>
      <w:r w:rsidR="0028384B" w:rsidRPr="002F16A1">
        <w:rPr>
          <w:noProof/>
        </w:rPr>
        <w:t xml:space="preserve"> i</w:t>
      </w:r>
      <w:r w:rsidR="0028384B">
        <w:rPr>
          <w:noProof/>
        </w:rPr>
        <w:t> </w:t>
      </w:r>
      <w:r w:rsidR="0028384B" w:rsidRPr="002F16A1">
        <w:rPr>
          <w:noProof/>
        </w:rPr>
        <w:t>lin</w:t>
      </w:r>
      <w:r w:rsidRPr="002F16A1">
        <w:rPr>
          <w:noProof/>
        </w:rPr>
        <w:t>ie budżetowe po stronie wydatków, na które wniosek/inicjatywa ma wpływ</w:t>
      </w:r>
    </w:p>
    <w:p w:rsidR="00AD62E2" w:rsidRPr="002F16A1" w:rsidRDefault="00AD62E2" w:rsidP="00AD62E2">
      <w:pPr>
        <w:pStyle w:val="ManualHeading2"/>
        <w:rPr>
          <w:noProof/>
        </w:rPr>
      </w:pPr>
      <w:r w:rsidRPr="002F16A1">
        <w:rPr>
          <w:noProof/>
        </w:rPr>
        <w:t>3.2.</w:t>
      </w:r>
      <w:r w:rsidRPr="002F16A1">
        <w:rPr>
          <w:noProof/>
        </w:rPr>
        <w:tab/>
        <w:t>Szacunkowy wpływ finansowy wniosku na środki</w:t>
      </w:r>
    </w:p>
    <w:p w:rsidR="00AD62E2" w:rsidRPr="002F16A1" w:rsidRDefault="00AD62E2" w:rsidP="00AD62E2">
      <w:pPr>
        <w:pStyle w:val="ManualHeading3"/>
        <w:rPr>
          <w:noProof/>
        </w:rPr>
      </w:pPr>
      <w:r w:rsidRPr="002F16A1">
        <w:rPr>
          <w:noProof/>
        </w:rPr>
        <w:t>3.2.1.</w:t>
      </w:r>
      <w:r w:rsidRPr="002F16A1">
        <w:rPr>
          <w:noProof/>
        </w:rPr>
        <w:tab/>
        <w:t>Podsumowanie szacunkowego wpływu na środki operacyjne</w:t>
      </w:r>
    </w:p>
    <w:p w:rsidR="00AD62E2" w:rsidRPr="002F16A1" w:rsidRDefault="00AD62E2" w:rsidP="00AD62E2">
      <w:pPr>
        <w:pStyle w:val="ManualHeading3"/>
        <w:rPr>
          <w:noProof/>
        </w:rPr>
      </w:pPr>
      <w:r w:rsidRPr="002F16A1">
        <w:rPr>
          <w:noProof/>
        </w:rPr>
        <w:t>3.2.2.</w:t>
      </w:r>
      <w:r w:rsidRPr="002F16A1">
        <w:rPr>
          <w:noProof/>
        </w:rPr>
        <w:tab/>
        <w:t>Przewidywany produkt finansowany ze środków operacyjnych</w:t>
      </w:r>
    </w:p>
    <w:p w:rsidR="00AD62E2" w:rsidRPr="002F16A1" w:rsidRDefault="00AD62E2" w:rsidP="00AD62E2">
      <w:pPr>
        <w:pStyle w:val="ManualHeading3"/>
        <w:rPr>
          <w:noProof/>
        </w:rPr>
      </w:pPr>
      <w:r w:rsidRPr="002F16A1">
        <w:rPr>
          <w:noProof/>
        </w:rPr>
        <w:t>3.2.3.</w:t>
      </w:r>
      <w:r w:rsidRPr="002F16A1">
        <w:rPr>
          <w:noProof/>
        </w:rPr>
        <w:tab/>
        <w:t>Podsumowanie szacunkowego wpływu na środki administracyjne</w:t>
      </w:r>
    </w:p>
    <w:p w:rsidR="00AD62E2" w:rsidRPr="002F16A1" w:rsidRDefault="00AD62E2" w:rsidP="00AD62E2">
      <w:pPr>
        <w:pStyle w:val="ManualHeading3"/>
        <w:rPr>
          <w:noProof/>
        </w:rPr>
      </w:pPr>
      <w:r w:rsidRPr="002F16A1">
        <w:rPr>
          <w:noProof/>
        </w:rPr>
        <w:t>3.2.3.1.</w:t>
      </w:r>
      <w:r w:rsidRPr="002F16A1">
        <w:rPr>
          <w:noProof/>
        </w:rPr>
        <w:tab/>
        <w:t>Szacowane zapotrzebowanie na zasoby ludzkie</w:t>
      </w:r>
    </w:p>
    <w:p w:rsidR="00AD62E2" w:rsidRPr="002F16A1" w:rsidRDefault="00AD62E2" w:rsidP="00AD62E2">
      <w:pPr>
        <w:pStyle w:val="ManualHeading3"/>
        <w:rPr>
          <w:noProof/>
        </w:rPr>
      </w:pPr>
      <w:r w:rsidRPr="002F16A1">
        <w:rPr>
          <w:noProof/>
        </w:rPr>
        <w:t>3.2.4.</w:t>
      </w:r>
      <w:r w:rsidRPr="002F16A1">
        <w:rPr>
          <w:noProof/>
        </w:rPr>
        <w:tab/>
        <w:t>Zgodność</w:t>
      </w:r>
      <w:r w:rsidR="0028384B" w:rsidRPr="002F16A1">
        <w:rPr>
          <w:noProof/>
        </w:rPr>
        <w:t xml:space="preserve"> z</w:t>
      </w:r>
      <w:r w:rsidR="0028384B">
        <w:rPr>
          <w:noProof/>
        </w:rPr>
        <w:t> </w:t>
      </w:r>
      <w:r w:rsidR="0028384B" w:rsidRPr="002F16A1">
        <w:rPr>
          <w:noProof/>
        </w:rPr>
        <w:t>obo</w:t>
      </w:r>
      <w:r w:rsidRPr="002F16A1">
        <w:rPr>
          <w:noProof/>
        </w:rPr>
        <w:t>wiązującymi wieloletnimi ramami finansowymi</w:t>
      </w:r>
    </w:p>
    <w:p w:rsidR="00AD62E2" w:rsidRPr="002F16A1" w:rsidRDefault="00AD62E2" w:rsidP="00AD62E2">
      <w:pPr>
        <w:pStyle w:val="ManualHeading3"/>
        <w:rPr>
          <w:noProof/>
        </w:rPr>
      </w:pPr>
      <w:r w:rsidRPr="002F16A1">
        <w:rPr>
          <w:noProof/>
        </w:rPr>
        <w:t>3.2.5.</w:t>
      </w:r>
      <w:r w:rsidRPr="002F16A1">
        <w:rPr>
          <w:noProof/>
        </w:rPr>
        <w:tab/>
        <w:t>Udział osób trzecich</w:t>
      </w:r>
      <w:r w:rsidR="0028384B" w:rsidRPr="002F16A1">
        <w:rPr>
          <w:noProof/>
        </w:rPr>
        <w:t xml:space="preserve"> w</w:t>
      </w:r>
      <w:r w:rsidR="0028384B">
        <w:rPr>
          <w:noProof/>
        </w:rPr>
        <w:t> </w:t>
      </w:r>
      <w:r w:rsidR="0028384B" w:rsidRPr="002F16A1">
        <w:rPr>
          <w:noProof/>
        </w:rPr>
        <w:t>fin</w:t>
      </w:r>
      <w:r w:rsidRPr="002F16A1">
        <w:rPr>
          <w:noProof/>
        </w:rPr>
        <w:t>ansowaniu</w:t>
      </w:r>
    </w:p>
    <w:p w:rsidR="00AD62E2" w:rsidRPr="002F16A1" w:rsidRDefault="00AD62E2" w:rsidP="00AD62E2">
      <w:pPr>
        <w:pStyle w:val="ManualHeading2"/>
        <w:rPr>
          <w:noProof/>
        </w:rPr>
      </w:pPr>
      <w:r w:rsidRPr="002F16A1">
        <w:rPr>
          <w:noProof/>
        </w:rPr>
        <w:t>3.3.</w:t>
      </w:r>
      <w:r w:rsidRPr="002F16A1">
        <w:rPr>
          <w:noProof/>
        </w:rPr>
        <w:tab/>
        <w:t>Szacunkowy wpływ na dochody</w:t>
      </w:r>
    </w:p>
    <w:p w:rsidR="00AD62E2" w:rsidRPr="002F16A1" w:rsidRDefault="00AD62E2" w:rsidP="00AD62E2">
      <w:pPr>
        <w:rPr>
          <w:noProof/>
        </w:rPr>
        <w:sectPr w:rsidR="00AD62E2" w:rsidRPr="002F16A1" w:rsidSect="00D32217">
          <w:pgSz w:w="11907" w:h="16840" w:code="9"/>
          <w:pgMar w:top="1134" w:right="1418" w:bottom="1134" w:left="1418" w:header="709" w:footer="709" w:gutter="0"/>
          <w:pgNumType w:start="1"/>
          <w:cols w:space="720"/>
          <w:docGrid w:linePitch="360"/>
        </w:sectPr>
      </w:pPr>
    </w:p>
    <w:p w:rsidR="00AD62E2" w:rsidRPr="002F16A1" w:rsidRDefault="00AD62E2" w:rsidP="00AD62E2">
      <w:pPr>
        <w:pStyle w:val="ManualHeading1"/>
        <w:rPr>
          <w:noProof/>
        </w:rPr>
      </w:pPr>
      <w:bookmarkStart w:id="31" w:name="_Toc514938007"/>
      <w:bookmarkStart w:id="32" w:name="_Toc520485025"/>
      <w:r w:rsidRPr="002F16A1">
        <w:rPr>
          <w:noProof/>
        </w:rPr>
        <w:t>1.</w:t>
      </w:r>
      <w:r w:rsidRPr="002F16A1">
        <w:rPr>
          <w:noProof/>
        </w:rPr>
        <w:tab/>
        <w:t>STRUKTURA WNIOSKU/INICJATYWY</w:t>
      </w:r>
      <w:bookmarkEnd w:id="31"/>
      <w:bookmarkEnd w:id="32"/>
      <w:r w:rsidRPr="002F16A1">
        <w:rPr>
          <w:noProof/>
        </w:rPr>
        <w:t xml:space="preserve"> </w:t>
      </w:r>
    </w:p>
    <w:p w:rsidR="00AD62E2" w:rsidRPr="002F16A1" w:rsidRDefault="00AD62E2" w:rsidP="00AD62E2">
      <w:pPr>
        <w:pStyle w:val="ManualHeading2"/>
        <w:rPr>
          <w:noProof/>
        </w:rPr>
      </w:pPr>
      <w:bookmarkStart w:id="33" w:name="_Toc514938008"/>
      <w:bookmarkStart w:id="34" w:name="_Toc520485026"/>
      <w:r w:rsidRPr="002F16A1">
        <w:rPr>
          <w:noProof/>
        </w:rPr>
        <w:t>1.1.</w:t>
      </w:r>
      <w:r w:rsidRPr="002F16A1">
        <w:rPr>
          <w:noProof/>
        </w:rPr>
        <w:tab/>
        <w:t>Tytuł wniosku/inicjatywy</w:t>
      </w:r>
      <w:bookmarkEnd w:id="33"/>
      <w:bookmarkEnd w:id="34"/>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Rozporządzenie Parlamentu Europejskiego</w:t>
      </w:r>
      <w:r w:rsidR="0028384B" w:rsidRPr="002F16A1">
        <w:rPr>
          <w:noProof/>
        </w:rPr>
        <w:t xml:space="preserve"> i</w:t>
      </w:r>
      <w:r w:rsidR="0028384B">
        <w:rPr>
          <w:noProof/>
        </w:rPr>
        <w:t> </w:t>
      </w:r>
      <w:r w:rsidR="0028384B" w:rsidRPr="002F16A1">
        <w:rPr>
          <w:noProof/>
        </w:rPr>
        <w:t>Rad</w:t>
      </w:r>
      <w:r w:rsidRPr="002F16A1">
        <w:rPr>
          <w:noProof/>
        </w:rPr>
        <w:t>y ustanawiające ramy na potrzeby zapewnienia bezpiecznych</w:t>
      </w:r>
      <w:r w:rsidR="0028384B" w:rsidRPr="002F16A1">
        <w:rPr>
          <w:noProof/>
        </w:rPr>
        <w:t xml:space="preserve"> i</w:t>
      </w:r>
      <w:r w:rsidR="0028384B">
        <w:rPr>
          <w:noProof/>
        </w:rPr>
        <w:t> </w:t>
      </w:r>
      <w:r w:rsidR="0028384B" w:rsidRPr="002F16A1">
        <w:rPr>
          <w:noProof/>
        </w:rPr>
        <w:t>zró</w:t>
      </w:r>
      <w:r w:rsidRPr="002F16A1">
        <w:rPr>
          <w:noProof/>
        </w:rPr>
        <w:t>wnoważonych dostaw surowców krytycznych (europejski akt</w:t>
      </w:r>
      <w:r w:rsidR="0028384B" w:rsidRPr="002F16A1">
        <w:rPr>
          <w:noProof/>
        </w:rPr>
        <w:t xml:space="preserve"> w</w:t>
      </w:r>
      <w:r w:rsidR="0028384B">
        <w:rPr>
          <w:noProof/>
        </w:rPr>
        <w:t> </w:t>
      </w:r>
      <w:r w:rsidR="0028384B" w:rsidRPr="002F16A1">
        <w:rPr>
          <w:noProof/>
        </w:rPr>
        <w:t>spr</w:t>
      </w:r>
      <w:r w:rsidRPr="002F16A1">
        <w:rPr>
          <w:noProof/>
        </w:rPr>
        <w:t>awie surowców krytycznych)</w:t>
      </w:r>
    </w:p>
    <w:p w:rsidR="00AD62E2" w:rsidRPr="002F16A1" w:rsidRDefault="00AD62E2" w:rsidP="00AD62E2">
      <w:pPr>
        <w:pStyle w:val="ManualHeading2"/>
        <w:rPr>
          <w:i/>
          <w:noProof/>
        </w:rPr>
      </w:pPr>
      <w:bookmarkStart w:id="35" w:name="_Toc514938011"/>
      <w:bookmarkStart w:id="36" w:name="_Toc520485027"/>
      <w:r w:rsidRPr="002F16A1">
        <w:rPr>
          <w:noProof/>
        </w:rPr>
        <w:t>1.2.</w:t>
      </w:r>
      <w:r w:rsidRPr="002F16A1">
        <w:rPr>
          <w:noProof/>
        </w:rPr>
        <w:tab/>
        <w:t>Obszary polityki, których dotyczy wniosek/inicjatywa</w:t>
      </w:r>
      <w:bookmarkEnd w:id="35"/>
      <w:bookmarkEnd w:id="36"/>
      <w:r w:rsidRPr="002F16A1">
        <w:rPr>
          <w:i/>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xml:space="preserve">„Europejski Zielony Ład”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„Europa na miarę ery cyfrowej</w:t>
      </w:r>
      <w:r w:rsidRPr="0028384B">
        <w:rPr>
          <w:noProof/>
        </w:rPr>
        <w:t>”</w:t>
      </w:r>
      <w:r w:rsidR="0028384B" w:rsidRPr="0028384B">
        <w:rPr>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„Silniejsza pozycja Europy na świecie”</w:t>
      </w:r>
    </w:p>
    <w:p w:rsidR="00AD62E2" w:rsidRPr="002F16A1" w:rsidRDefault="00AD62E2" w:rsidP="00AD62E2">
      <w:pPr>
        <w:pStyle w:val="ManualHeading2"/>
        <w:rPr>
          <w:bCs/>
          <w:noProof/>
          <w:szCs w:val="24"/>
        </w:rPr>
      </w:pPr>
      <w:bookmarkStart w:id="37" w:name="_Toc514938014"/>
      <w:bookmarkStart w:id="38" w:name="_Toc520485028"/>
      <w:r w:rsidRPr="002F16A1">
        <w:rPr>
          <w:noProof/>
        </w:rPr>
        <w:t>1.3.</w:t>
      </w:r>
      <w:r w:rsidRPr="002F16A1">
        <w:rPr>
          <w:noProof/>
        </w:rPr>
        <w:tab/>
        <w:t>Wniosek/inicjatywa dotyczy:</w:t>
      </w:r>
      <w:bookmarkEnd w:id="37"/>
      <w:bookmarkEnd w:id="38"/>
      <w:r w:rsidRPr="002F16A1">
        <w:rPr>
          <w:noProof/>
        </w:rPr>
        <w:t xml:space="preserve"> </w:t>
      </w:r>
    </w:p>
    <w:p w:rsidR="00AD62E2" w:rsidRPr="002F16A1" w:rsidRDefault="00AD62E2" w:rsidP="00AD62E2">
      <w:pPr>
        <w:pStyle w:val="Text1"/>
        <w:rPr>
          <w:b/>
          <w:noProof/>
          <w:sz w:val="22"/>
        </w:rPr>
      </w:pPr>
      <w:r w:rsidRPr="002F16A1">
        <w:rPr>
          <w:rStyle w:val="normaltextrun"/>
          <w:rFonts w:ascii="Wingdings 2" w:hAnsi="Wingdings 2"/>
          <w:noProof/>
          <w:color w:val="000000"/>
          <w:sz w:val="22"/>
          <w:bdr w:val="none" w:sz="0" w:space="0" w:color="auto" w:frame="1"/>
        </w:rPr>
        <w:t></w:t>
      </w:r>
      <w:r w:rsidRPr="002F16A1">
        <w:rPr>
          <w:noProof/>
        </w:rPr>
        <w:t xml:space="preserve"> </w:t>
      </w:r>
      <w:r w:rsidRPr="002F16A1">
        <w:rPr>
          <w:b/>
          <w:noProof/>
        </w:rPr>
        <w:t>nowego działania</w:t>
      </w:r>
      <w:r w:rsidRPr="002F16A1">
        <w:rPr>
          <w:b/>
          <w:noProof/>
          <w:sz w:val="22"/>
        </w:rPr>
        <w:t xml:space="preserve"> </w:t>
      </w:r>
    </w:p>
    <w:p w:rsidR="00AD62E2" w:rsidRPr="002F16A1" w:rsidRDefault="00AD62E2" w:rsidP="00AD62E2">
      <w:pPr>
        <w:pStyle w:val="Text1"/>
        <w:rPr>
          <w:noProof/>
          <w:sz w:val="22"/>
        </w:rPr>
      </w:pPr>
      <w:r w:rsidRPr="002F16A1">
        <w:rPr>
          <w:rFonts w:ascii="Wingdings" w:hAnsi="Wingdings"/>
          <w:noProof/>
          <w:sz w:val="22"/>
        </w:rPr>
        <w:t></w:t>
      </w:r>
      <w:r w:rsidRPr="002F16A1">
        <w:rPr>
          <w:i/>
          <w:noProof/>
          <w:sz w:val="22"/>
        </w:rPr>
        <w:t xml:space="preserve"> </w:t>
      </w:r>
      <w:r w:rsidRPr="002F16A1">
        <w:rPr>
          <w:b/>
          <w:noProof/>
        </w:rPr>
        <w:t>nowego działania, będącego następstwem projektu pilotażowego/działania przygotowawczego</w:t>
      </w:r>
      <w:r w:rsidRPr="002F16A1">
        <w:rPr>
          <w:rStyle w:val="FootnoteReference"/>
          <w:noProof/>
        </w:rPr>
        <w:footnoteReference w:id="51"/>
      </w:r>
      <w:r w:rsidRPr="002F16A1">
        <w:rPr>
          <w:noProof/>
          <w:sz w:val="22"/>
        </w:rPr>
        <w:t xml:space="preserve"> </w:t>
      </w:r>
    </w:p>
    <w:p w:rsidR="00AD62E2" w:rsidRPr="002F16A1" w:rsidRDefault="00AD62E2" w:rsidP="00AD62E2">
      <w:pPr>
        <w:pStyle w:val="Text1"/>
        <w:rPr>
          <w:noProof/>
          <w:sz w:val="22"/>
        </w:rPr>
      </w:pPr>
      <w:r w:rsidRPr="002F16A1">
        <w:rPr>
          <w:rFonts w:ascii="Wingdings" w:hAnsi="Wingdings"/>
          <w:noProof/>
          <w:sz w:val="22"/>
        </w:rPr>
        <w:t></w:t>
      </w:r>
      <w:r w:rsidRPr="002F16A1">
        <w:rPr>
          <w:i/>
          <w:noProof/>
          <w:sz w:val="22"/>
        </w:rPr>
        <w:t xml:space="preserve"> </w:t>
      </w:r>
      <w:r w:rsidRPr="002F16A1">
        <w:rPr>
          <w:b/>
          <w:noProof/>
        </w:rPr>
        <w:t>przedłużenia bieżącego działania</w:t>
      </w:r>
      <w:r w:rsidRPr="002F16A1">
        <w:rPr>
          <w:noProof/>
          <w:sz w:val="22"/>
        </w:rPr>
        <w:t xml:space="preserve"> </w:t>
      </w:r>
    </w:p>
    <w:p w:rsidR="00AD62E2" w:rsidRPr="002F16A1" w:rsidRDefault="00AD62E2" w:rsidP="00AD62E2">
      <w:pPr>
        <w:pStyle w:val="Text1"/>
        <w:rPr>
          <w:noProof/>
        </w:rPr>
      </w:pPr>
      <w:r w:rsidRPr="002F16A1">
        <w:rPr>
          <w:rFonts w:ascii="Wingdings" w:hAnsi="Wingdings"/>
          <w:noProof/>
          <w:sz w:val="22"/>
        </w:rPr>
        <w:t></w:t>
      </w:r>
      <w:r w:rsidRPr="002F16A1">
        <w:rPr>
          <w:i/>
          <w:noProof/>
          <w:sz w:val="22"/>
        </w:rPr>
        <w:t xml:space="preserve"> </w:t>
      </w:r>
      <w:r w:rsidRPr="002F16A1">
        <w:rPr>
          <w:b/>
          <w:noProof/>
        </w:rPr>
        <w:t>połączenia lub przekształcenia co najmniej jednego działania pod kątem innego/nowego działania</w:t>
      </w:r>
      <w:r w:rsidRPr="002F16A1">
        <w:rPr>
          <w:noProof/>
        </w:rPr>
        <w:t xml:space="preserve"> </w:t>
      </w:r>
    </w:p>
    <w:p w:rsidR="00AD62E2" w:rsidRPr="006912EA" w:rsidRDefault="00AD62E2" w:rsidP="00AD62E2">
      <w:pPr>
        <w:pStyle w:val="ManualHeading2"/>
        <w:rPr>
          <w:bCs/>
          <w:noProof/>
          <w:szCs w:val="24"/>
          <w:lang w:val="it-IT"/>
        </w:rPr>
      </w:pPr>
      <w:bookmarkStart w:id="39" w:name="_Toc514938015"/>
      <w:bookmarkStart w:id="40" w:name="_Toc520485029"/>
      <w:r w:rsidRPr="006912EA">
        <w:rPr>
          <w:noProof/>
          <w:lang w:val="it-IT"/>
        </w:rPr>
        <w:t>1.4.</w:t>
      </w:r>
      <w:r w:rsidRPr="006912EA">
        <w:rPr>
          <w:noProof/>
          <w:lang w:val="it-IT"/>
        </w:rPr>
        <w:tab/>
        <w:t>Cel(e)</w:t>
      </w:r>
      <w:bookmarkEnd w:id="39"/>
      <w:bookmarkEnd w:id="40"/>
    </w:p>
    <w:p w:rsidR="00AD62E2" w:rsidRPr="006912EA" w:rsidRDefault="00AD62E2" w:rsidP="00AD62E2">
      <w:pPr>
        <w:pStyle w:val="ManualHeading3"/>
        <w:rPr>
          <w:noProof/>
          <w:lang w:val="it-IT"/>
        </w:rPr>
      </w:pPr>
      <w:bookmarkStart w:id="41" w:name="_Toc514938016"/>
      <w:bookmarkStart w:id="42" w:name="_Toc520485030"/>
      <w:r w:rsidRPr="006912EA">
        <w:rPr>
          <w:noProof/>
          <w:lang w:val="it-IT"/>
        </w:rPr>
        <w:t>1.4.1.</w:t>
      </w:r>
      <w:r w:rsidRPr="006912EA">
        <w:rPr>
          <w:noProof/>
          <w:lang w:val="it-IT"/>
        </w:rPr>
        <w:tab/>
        <w:t>Cel(e) ogólny(e)</w:t>
      </w:r>
      <w:bookmarkEnd w:id="41"/>
      <w:bookmarkEnd w:id="42"/>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rStyle w:val="normaltextrun"/>
          <w:noProof/>
          <w:color w:val="000000"/>
          <w:shd w:val="clear" w:color="auto" w:fill="FFFFFF"/>
        </w:rPr>
        <w:t>Ogólnym celem</w:t>
      </w:r>
      <w:r w:rsidRPr="002F16A1">
        <w:rPr>
          <w:noProof/>
        </w:rPr>
        <w:t xml:space="preserve"> europejskiego</w:t>
      </w:r>
      <w:r w:rsidRPr="002F16A1">
        <w:rPr>
          <w:rStyle w:val="normaltextrun"/>
          <w:noProof/>
          <w:color w:val="000000"/>
          <w:shd w:val="clear" w:color="auto" w:fill="FFFFFF"/>
        </w:rPr>
        <w:t xml:space="preserve"> aktu</w:t>
      </w:r>
      <w:r w:rsidR="0028384B" w:rsidRPr="002F16A1">
        <w:rPr>
          <w:rStyle w:val="normaltextrun"/>
          <w:noProof/>
          <w:color w:val="000000"/>
          <w:shd w:val="clear" w:color="auto" w:fill="FFFFFF"/>
        </w:rPr>
        <w:t xml:space="preserve"> w</w:t>
      </w:r>
      <w:r w:rsidR="0028384B">
        <w:rPr>
          <w:rStyle w:val="normaltextrun"/>
          <w:noProof/>
          <w:color w:val="000000"/>
          <w:shd w:val="clear" w:color="auto" w:fill="FFFFFF"/>
        </w:rPr>
        <w:t> </w:t>
      </w:r>
      <w:r w:rsidR="0028384B" w:rsidRPr="002F16A1">
        <w:rPr>
          <w:rStyle w:val="normaltextrun"/>
          <w:noProof/>
          <w:color w:val="000000"/>
          <w:shd w:val="clear" w:color="auto" w:fill="FFFFFF"/>
        </w:rPr>
        <w:t>spr</w:t>
      </w:r>
      <w:r w:rsidRPr="002F16A1">
        <w:rPr>
          <w:rStyle w:val="normaltextrun"/>
          <w:noProof/>
          <w:color w:val="000000"/>
          <w:shd w:val="clear" w:color="auto" w:fill="FFFFFF"/>
        </w:rPr>
        <w:t>awie surowców krytycznych jest zapewnienie bezpiecznego dostępu UE do surowców krytycznych przy jednoczesnym zachęcaniu do rozwoju zrównoważonych źródeł dostaw. Przyczynia się to ostatecznie do wzrostu gospodarczego</w:t>
      </w:r>
      <w:r w:rsidR="0028384B" w:rsidRPr="002F16A1">
        <w:rPr>
          <w:rStyle w:val="normaltextrun"/>
          <w:noProof/>
          <w:color w:val="000000"/>
          <w:shd w:val="clear" w:color="auto" w:fill="FFFFFF"/>
        </w:rPr>
        <w:t xml:space="preserve"> i</w:t>
      </w:r>
      <w:r w:rsidR="0028384B">
        <w:rPr>
          <w:rStyle w:val="normaltextrun"/>
          <w:noProof/>
          <w:color w:val="000000"/>
          <w:shd w:val="clear" w:color="auto" w:fill="FFFFFF"/>
        </w:rPr>
        <w:t> </w:t>
      </w:r>
      <w:r w:rsidR="0028384B" w:rsidRPr="002F16A1">
        <w:rPr>
          <w:rStyle w:val="normaltextrun"/>
          <w:noProof/>
          <w:color w:val="000000"/>
          <w:shd w:val="clear" w:color="auto" w:fill="FFFFFF"/>
        </w:rPr>
        <w:t>wys</w:t>
      </w:r>
      <w:r w:rsidRPr="002F16A1">
        <w:rPr>
          <w:rStyle w:val="normaltextrun"/>
          <w:noProof/>
          <w:color w:val="000000"/>
          <w:shd w:val="clear" w:color="auto" w:fill="FFFFFF"/>
        </w:rPr>
        <w:t>okiego poziomu życia w UE, służy zapobieganiu zakłóceniom</w:t>
      </w:r>
      <w:r w:rsidR="0028384B" w:rsidRPr="002F16A1">
        <w:rPr>
          <w:rStyle w:val="normaltextrun"/>
          <w:noProof/>
          <w:color w:val="000000"/>
          <w:shd w:val="clear" w:color="auto" w:fill="FFFFFF"/>
        </w:rPr>
        <w:t xml:space="preserve"> i</w:t>
      </w:r>
      <w:r w:rsidR="0028384B">
        <w:rPr>
          <w:rStyle w:val="normaltextrun"/>
          <w:noProof/>
          <w:color w:val="000000"/>
          <w:shd w:val="clear" w:color="auto" w:fill="FFFFFF"/>
        </w:rPr>
        <w:t> </w:t>
      </w:r>
      <w:r w:rsidR="0028384B" w:rsidRPr="002F16A1">
        <w:rPr>
          <w:rStyle w:val="normaltextrun"/>
          <w:noProof/>
          <w:color w:val="000000"/>
          <w:shd w:val="clear" w:color="auto" w:fill="FFFFFF"/>
        </w:rPr>
        <w:t>zag</w:t>
      </w:r>
      <w:r w:rsidRPr="002F16A1">
        <w:rPr>
          <w:rStyle w:val="normaltextrun"/>
          <w:noProof/>
          <w:color w:val="000000"/>
          <w:shd w:val="clear" w:color="auto" w:fill="FFFFFF"/>
        </w:rPr>
        <w:t>rożeniom wewnątrz jednolitego rynku europejskiego oraz zwiększaniu konkurencyjności europejskich przedsiębiorstw, przy czym nie dochodzi do zaniedbywania roli UE</w:t>
      </w:r>
      <w:r w:rsidR="0028384B" w:rsidRPr="002F16A1">
        <w:rPr>
          <w:rStyle w:val="normaltextrun"/>
          <w:noProof/>
          <w:color w:val="000000"/>
          <w:shd w:val="clear" w:color="auto" w:fill="FFFFFF"/>
        </w:rPr>
        <w:t xml:space="preserve"> w</w:t>
      </w:r>
      <w:r w:rsidR="0028384B">
        <w:rPr>
          <w:rStyle w:val="normaltextrun"/>
          <w:noProof/>
          <w:color w:val="000000"/>
          <w:shd w:val="clear" w:color="auto" w:fill="FFFFFF"/>
        </w:rPr>
        <w:t> </w:t>
      </w:r>
      <w:r w:rsidR="0028384B" w:rsidRPr="002F16A1">
        <w:rPr>
          <w:rStyle w:val="normaltextrun"/>
          <w:noProof/>
          <w:color w:val="000000"/>
          <w:shd w:val="clear" w:color="auto" w:fill="FFFFFF"/>
        </w:rPr>
        <w:t>pro</w:t>
      </w:r>
      <w:r w:rsidRPr="002F16A1">
        <w:rPr>
          <w:rStyle w:val="normaltextrun"/>
          <w:noProof/>
          <w:color w:val="000000"/>
          <w:shd w:val="clear" w:color="auto" w:fill="FFFFFF"/>
        </w:rPr>
        <w:t>pagowaniu zrównoważonego rozwoju</w:t>
      </w:r>
      <w:r w:rsidR="0028384B" w:rsidRPr="002F16A1">
        <w:rPr>
          <w:rStyle w:val="normaltextrun"/>
          <w:noProof/>
          <w:color w:val="000000"/>
          <w:shd w:val="clear" w:color="auto" w:fill="FFFFFF"/>
        </w:rPr>
        <w:t xml:space="preserve"> i</w:t>
      </w:r>
      <w:r w:rsidR="0028384B">
        <w:rPr>
          <w:rStyle w:val="normaltextrun"/>
          <w:noProof/>
          <w:color w:val="000000"/>
          <w:shd w:val="clear" w:color="auto" w:fill="FFFFFF"/>
        </w:rPr>
        <w:t> </w:t>
      </w:r>
      <w:r w:rsidR="0028384B" w:rsidRPr="002F16A1">
        <w:rPr>
          <w:rStyle w:val="normaltextrun"/>
          <w:noProof/>
          <w:color w:val="000000"/>
          <w:shd w:val="clear" w:color="auto" w:fill="FFFFFF"/>
        </w:rPr>
        <w:t>och</w:t>
      </w:r>
      <w:r w:rsidRPr="002F16A1">
        <w:rPr>
          <w:rStyle w:val="normaltextrun"/>
          <w:noProof/>
          <w:color w:val="000000"/>
          <w:shd w:val="clear" w:color="auto" w:fill="FFFFFF"/>
        </w:rPr>
        <w:t>rony środowiska</w:t>
      </w:r>
      <w:r w:rsidR="0028384B" w:rsidRPr="002F16A1">
        <w:rPr>
          <w:rStyle w:val="normaltextrun"/>
          <w:noProof/>
          <w:color w:val="000000"/>
          <w:shd w:val="clear" w:color="auto" w:fill="FFFFFF"/>
        </w:rPr>
        <w:t xml:space="preserve"> w</w:t>
      </w:r>
      <w:r w:rsidR="0028384B">
        <w:rPr>
          <w:rStyle w:val="normaltextrun"/>
          <w:noProof/>
          <w:color w:val="000000"/>
          <w:shd w:val="clear" w:color="auto" w:fill="FFFFFF"/>
        </w:rPr>
        <w:t> </w:t>
      </w:r>
      <w:r w:rsidR="0028384B" w:rsidRPr="002F16A1">
        <w:rPr>
          <w:rStyle w:val="normaltextrun"/>
          <w:noProof/>
          <w:color w:val="000000"/>
          <w:shd w:val="clear" w:color="auto" w:fill="FFFFFF"/>
        </w:rPr>
        <w:t>ska</w:t>
      </w:r>
      <w:r w:rsidRPr="002F16A1">
        <w:rPr>
          <w:rStyle w:val="normaltextrun"/>
          <w:noProof/>
          <w:color w:val="000000"/>
          <w:shd w:val="clear" w:color="auto" w:fill="FFFFFF"/>
        </w:rPr>
        <w:t>li globalnej.</w:t>
      </w:r>
      <w:r w:rsidRPr="002F16A1">
        <w:rPr>
          <w:rStyle w:val="eop"/>
          <w:noProof/>
          <w:color w:val="000000"/>
          <w:shd w:val="clear" w:color="auto" w:fill="FFFFFF"/>
        </w:rPr>
        <w:t xml:space="preserve"> </w:t>
      </w:r>
    </w:p>
    <w:p w:rsidR="00AD62E2" w:rsidRPr="002F16A1" w:rsidRDefault="00AD62E2" w:rsidP="00AD62E2">
      <w:pPr>
        <w:pStyle w:val="ManualHeading3"/>
        <w:rPr>
          <w:bCs/>
          <w:noProof/>
          <w:szCs w:val="24"/>
        </w:rPr>
      </w:pPr>
      <w:bookmarkStart w:id="43" w:name="_Toc514938018"/>
      <w:bookmarkStart w:id="44" w:name="_Toc520485031"/>
      <w:r w:rsidRPr="002F16A1">
        <w:rPr>
          <w:noProof/>
        </w:rPr>
        <w:t>1.4.2.</w:t>
      </w:r>
      <w:r w:rsidRPr="002F16A1">
        <w:rPr>
          <w:noProof/>
        </w:rPr>
        <w:tab/>
        <w:t>Cel(e) szczegółowy(e)</w:t>
      </w:r>
      <w:bookmarkEnd w:id="43"/>
      <w:bookmarkEnd w:id="44"/>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u w:val="single"/>
        </w:rPr>
      </w:pPr>
      <w:r w:rsidRPr="002F16A1">
        <w:rPr>
          <w:noProof/>
          <w:u w:val="single"/>
        </w:rPr>
        <w:t xml:space="preserve">Cel szczegółowy nr: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w:t>
      </w:r>
      <w:r w:rsidRPr="002F16A1">
        <w:rPr>
          <w:noProof/>
        </w:rPr>
        <w:tab/>
        <w:t>wzmocnienie poszczególnych etapów łańcucha wartości</w:t>
      </w:r>
      <w:r w:rsidR="0028384B" w:rsidRPr="002F16A1">
        <w:rPr>
          <w:noProof/>
        </w:rPr>
        <w:t xml:space="preserve"> w</w:t>
      </w:r>
      <w:r w:rsidR="0028384B">
        <w:rPr>
          <w:noProof/>
        </w:rPr>
        <w:t> </w:t>
      </w:r>
      <w:r w:rsidR="0028384B" w:rsidRPr="002F16A1">
        <w:rPr>
          <w:noProof/>
        </w:rPr>
        <w:t>zak</w:t>
      </w:r>
      <w:r w:rsidRPr="002F16A1">
        <w:rPr>
          <w:noProof/>
        </w:rPr>
        <w:t xml:space="preserve">resie surowców strategicznych;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w:t>
      </w:r>
      <w:r w:rsidRPr="002F16A1">
        <w:rPr>
          <w:noProof/>
        </w:rPr>
        <w:tab/>
        <w:t>dywersyfikacja przywozu surowców do Unii</w:t>
      </w:r>
      <w:r w:rsidRPr="0028384B">
        <w:rPr>
          <w:noProof/>
        </w:rPr>
        <w:t>;</w:t>
      </w:r>
      <w:r w:rsidR="0028384B" w:rsidRPr="0028384B">
        <w:rPr>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w:t>
      </w:r>
      <w:r w:rsidRPr="002F16A1">
        <w:rPr>
          <w:noProof/>
        </w:rPr>
        <w:tab/>
        <w:t>zwiększenie zdolności Unii</w:t>
      </w:r>
      <w:r w:rsidR="0028384B" w:rsidRPr="002F16A1">
        <w:rPr>
          <w:noProof/>
        </w:rPr>
        <w:t xml:space="preserve"> w</w:t>
      </w:r>
      <w:r w:rsidR="0028384B">
        <w:rPr>
          <w:noProof/>
        </w:rPr>
        <w:t> </w:t>
      </w:r>
      <w:r w:rsidR="0028384B" w:rsidRPr="002F16A1">
        <w:rPr>
          <w:noProof/>
        </w:rPr>
        <w:t>zak</w:t>
      </w:r>
      <w:r w:rsidRPr="002F16A1">
        <w:rPr>
          <w:noProof/>
        </w:rPr>
        <w:t>resie monitorowania</w:t>
      </w:r>
      <w:r w:rsidR="0028384B" w:rsidRPr="002F16A1">
        <w:rPr>
          <w:noProof/>
        </w:rPr>
        <w:t xml:space="preserve"> i</w:t>
      </w:r>
      <w:r w:rsidR="0028384B">
        <w:rPr>
          <w:noProof/>
        </w:rPr>
        <w:t> </w:t>
      </w:r>
      <w:r w:rsidR="0028384B" w:rsidRPr="002F16A1">
        <w:rPr>
          <w:noProof/>
        </w:rPr>
        <w:t>ogr</w:t>
      </w:r>
      <w:r w:rsidRPr="002F16A1">
        <w:rPr>
          <w:noProof/>
        </w:rPr>
        <w:t xml:space="preserve">aniczania ryzyka zakłóceń dostaw surowców krytycznych;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w:t>
      </w:r>
      <w:r w:rsidRPr="002F16A1">
        <w:rPr>
          <w:noProof/>
        </w:rPr>
        <w:tab/>
        <w:t>zapewnienie swobodnego przepływu surowców krytycznych wprowadzanych do obrotu</w:t>
      </w:r>
      <w:r w:rsidR="0028384B" w:rsidRPr="002F16A1">
        <w:rPr>
          <w:noProof/>
        </w:rPr>
        <w:t xml:space="preserve"> w</w:t>
      </w:r>
      <w:r w:rsidR="0028384B">
        <w:rPr>
          <w:noProof/>
        </w:rPr>
        <w:t> </w:t>
      </w:r>
      <w:r w:rsidR="0028384B" w:rsidRPr="002F16A1">
        <w:rPr>
          <w:noProof/>
        </w:rPr>
        <w:t>Uni</w:t>
      </w:r>
      <w:r w:rsidRPr="002F16A1">
        <w:rPr>
          <w:noProof/>
        </w:rPr>
        <w:t>i przy jednoczesnym zapewnieniu wysokiego poziomu ochrony środowiska</w:t>
      </w:r>
      <w:r w:rsidR="0028384B" w:rsidRPr="002F16A1">
        <w:rPr>
          <w:noProof/>
        </w:rPr>
        <w:t xml:space="preserve"> w</w:t>
      </w:r>
      <w:r w:rsidR="0028384B">
        <w:rPr>
          <w:noProof/>
        </w:rPr>
        <w:t> </w:t>
      </w:r>
      <w:r w:rsidR="0028384B" w:rsidRPr="002F16A1">
        <w:rPr>
          <w:noProof/>
        </w:rPr>
        <w:t>dro</w:t>
      </w:r>
      <w:r w:rsidRPr="002F16A1">
        <w:rPr>
          <w:noProof/>
        </w:rPr>
        <w:t>dze poprawy obiegu zamkniętego tych surowców</w:t>
      </w:r>
      <w:r w:rsidR="0028384B" w:rsidRPr="002F16A1">
        <w:rPr>
          <w:noProof/>
        </w:rPr>
        <w:t xml:space="preserve"> i</w:t>
      </w:r>
      <w:r w:rsidR="0028384B">
        <w:rPr>
          <w:noProof/>
        </w:rPr>
        <w:t> </w:t>
      </w:r>
      <w:r w:rsidR="0028384B" w:rsidRPr="002F16A1">
        <w:rPr>
          <w:noProof/>
        </w:rPr>
        <w:t>zwi</w:t>
      </w:r>
      <w:r w:rsidRPr="002F16A1">
        <w:rPr>
          <w:noProof/>
        </w:rPr>
        <w:t>ększenia ich zrównoważonego charakteru.</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u w:val="single"/>
        </w:rPr>
      </w:pPr>
    </w:p>
    <w:p w:rsidR="00AD62E2" w:rsidRPr="002F16A1" w:rsidRDefault="00AD62E2" w:rsidP="00AD62E2">
      <w:pPr>
        <w:pStyle w:val="ManualHeading3"/>
        <w:rPr>
          <w:noProof/>
        </w:rPr>
      </w:pPr>
      <w:bookmarkStart w:id="45" w:name="_Toc514938019"/>
      <w:bookmarkStart w:id="46" w:name="_Toc520485032"/>
      <w:r w:rsidRPr="002F16A1">
        <w:rPr>
          <w:noProof/>
        </w:rPr>
        <w:t>1.4.3.</w:t>
      </w:r>
      <w:r w:rsidRPr="002F16A1">
        <w:rPr>
          <w:noProof/>
        </w:rPr>
        <w:tab/>
        <w:t>Oczekiwane wyniki</w:t>
      </w:r>
      <w:r w:rsidR="0028384B" w:rsidRPr="002F16A1">
        <w:rPr>
          <w:noProof/>
        </w:rPr>
        <w:t xml:space="preserve"> i</w:t>
      </w:r>
      <w:r w:rsidR="0028384B">
        <w:rPr>
          <w:noProof/>
        </w:rPr>
        <w:t> </w:t>
      </w:r>
      <w:r w:rsidR="0028384B" w:rsidRPr="002F16A1">
        <w:rPr>
          <w:noProof/>
        </w:rPr>
        <w:t>wpł</w:t>
      </w:r>
      <w:r w:rsidRPr="002F16A1">
        <w:rPr>
          <w:noProof/>
        </w:rPr>
        <w:t>yw</w:t>
      </w:r>
      <w:bookmarkEnd w:id="45"/>
      <w:bookmarkEnd w:id="46"/>
    </w:p>
    <w:p w:rsidR="00AD62E2" w:rsidRPr="002F16A1" w:rsidRDefault="00AD62E2" w:rsidP="00AD62E2">
      <w:pPr>
        <w:pStyle w:val="Text1"/>
        <w:rPr>
          <w:i/>
          <w:noProof/>
          <w:sz w:val="20"/>
        </w:rPr>
      </w:pPr>
      <w:r w:rsidRPr="002F16A1">
        <w:rPr>
          <w:i/>
          <w:noProof/>
          <w:sz w:val="20"/>
        </w:rPr>
        <w:t>Należy wskazać, jakie efekty przyniesie wniosek/inicjatywa beneficjentom/grupie docelowej.</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Oczekiwanym wynikiem wdrożenia aktu</w:t>
      </w:r>
      <w:r w:rsidR="0028384B" w:rsidRPr="002F16A1">
        <w:rPr>
          <w:noProof/>
        </w:rPr>
        <w:t xml:space="preserve"> w</w:t>
      </w:r>
      <w:r w:rsidR="0028384B">
        <w:rPr>
          <w:noProof/>
        </w:rPr>
        <w:t> </w:t>
      </w:r>
      <w:r w:rsidR="0028384B" w:rsidRPr="002F16A1">
        <w:rPr>
          <w:noProof/>
        </w:rPr>
        <w:t>spr</w:t>
      </w:r>
      <w:r w:rsidRPr="002F16A1">
        <w:rPr>
          <w:noProof/>
        </w:rPr>
        <w:t>awie surowców krytycznych są bezpieczne dostawy surowców krytycznych</w:t>
      </w:r>
      <w:r w:rsidR="0028384B" w:rsidRPr="002F16A1">
        <w:rPr>
          <w:noProof/>
        </w:rPr>
        <w:t xml:space="preserve"> i</w:t>
      </w:r>
      <w:r w:rsidR="0028384B">
        <w:rPr>
          <w:noProof/>
        </w:rPr>
        <w:t> </w:t>
      </w:r>
      <w:r w:rsidR="0028384B" w:rsidRPr="002F16A1">
        <w:rPr>
          <w:noProof/>
        </w:rPr>
        <w:t>zwi</w:t>
      </w:r>
      <w:r w:rsidRPr="002F16A1">
        <w:rPr>
          <w:noProof/>
        </w:rPr>
        <w:t>ększenie zdolności UE odnośnie do jej łańcucha wartości surowców krytycznych. Akt</w:t>
      </w:r>
      <w:r w:rsidR="0028384B" w:rsidRPr="002F16A1">
        <w:rPr>
          <w:noProof/>
        </w:rPr>
        <w:t xml:space="preserve"> w</w:t>
      </w:r>
      <w:r w:rsidR="0028384B">
        <w:rPr>
          <w:noProof/>
        </w:rPr>
        <w:t> </w:t>
      </w:r>
      <w:r w:rsidR="0028384B" w:rsidRPr="002F16A1">
        <w:rPr>
          <w:noProof/>
        </w:rPr>
        <w:t>spr</w:t>
      </w:r>
      <w:r w:rsidRPr="002F16A1">
        <w:rPr>
          <w:noProof/>
        </w:rPr>
        <w:t>awie surowców krytycznych posłuży jako zachęta do dalszego rozwoju zrównoważonych źródeł dostaw</w:t>
      </w:r>
      <w:r w:rsidR="0028384B" w:rsidRPr="002F16A1">
        <w:rPr>
          <w:noProof/>
        </w:rPr>
        <w:t xml:space="preserve"> w</w:t>
      </w:r>
      <w:r w:rsidR="0028384B">
        <w:rPr>
          <w:noProof/>
        </w:rPr>
        <w:t> </w:t>
      </w:r>
      <w:r w:rsidR="0028384B" w:rsidRPr="002F16A1">
        <w:rPr>
          <w:noProof/>
        </w:rPr>
        <w:t>cel</w:t>
      </w:r>
      <w:r w:rsidRPr="002F16A1">
        <w:rPr>
          <w:noProof/>
        </w:rPr>
        <w:t>u realizacji strategicznych ambicji UE, zwłaszcza transformacji ekologicznej</w:t>
      </w:r>
      <w:r w:rsidR="0028384B" w:rsidRPr="002F16A1">
        <w:rPr>
          <w:noProof/>
        </w:rPr>
        <w:t xml:space="preserve"> i</w:t>
      </w:r>
      <w:r w:rsidR="0028384B">
        <w:rPr>
          <w:noProof/>
        </w:rPr>
        <w:t> </w:t>
      </w:r>
      <w:r w:rsidR="0028384B" w:rsidRPr="002F16A1">
        <w:rPr>
          <w:noProof/>
        </w:rPr>
        <w:t>cyf</w:t>
      </w:r>
      <w:r w:rsidRPr="002F16A1">
        <w:rPr>
          <w:noProof/>
        </w:rPr>
        <w:t>rowej oraz wzmocnienia inwestycji</w:t>
      </w:r>
      <w:r w:rsidR="0028384B" w:rsidRPr="002F16A1">
        <w:rPr>
          <w:noProof/>
        </w:rPr>
        <w:t xml:space="preserve"> w</w:t>
      </w:r>
      <w:r w:rsidR="0028384B">
        <w:rPr>
          <w:noProof/>
        </w:rPr>
        <w:t> </w:t>
      </w:r>
      <w:r w:rsidR="0028384B" w:rsidRPr="002F16A1">
        <w:rPr>
          <w:noProof/>
        </w:rPr>
        <w:t>dzi</w:t>
      </w:r>
      <w:r w:rsidRPr="002F16A1">
        <w:rPr>
          <w:noProof/>
        </w:rPr>
        <w:t xml:space="preserve">edzinie obronności.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Dostępność dodatkowych danych oraz programy mapowania</w:t>
      </w:r>
      <w:r w:rsidR="0028384B" w:rsidRPr="002F16A1">
        <w:rPr>
          <w:noProof/>
        </w:rPr>
        <w:t xml:space="preserve"> i</w:t>
      </w:r>
      <w:r w:rsidR="0028384B">
        <w:rPr>
          <w:noProof/>
        </w:rPr>
        <w:t> </w:t>
      </w:r>
      <w:r w:rsidR="0028384B" w:rsidRPr="002F16A1">
        <w:rPr>
          <w:noProof/>
        </w:rPr>
        <w:t>pos</w:t>
      </w:r>
      <w:r w:rsidRPr="002F16A1">
        <w:rPr>
          <w:noProof/>
        </w:rPr>
        <w:t>zukiwania surowców mineralnych w UE przyczynią się do wsparcia konkurencyjności łańcucha wartości; przedsiębiorstwa, wyposażone</w:t>
      </w:r>
      <w:r w:rsidR="0028384B" w:rsidRPr="002F16A1">
        <w:rPr>
          <w:noProof/>
        </w:rPr>
        <w:t xml:space="preserve"> w</w:t>
      </w:r>
      <w:r w:rsidR="0028384B">
        <w:rPr>
          <w:noProof/>
        </w:rPr>
        <w:t> </w:t>
      </w:r>
      <w:r w:rsidR="0028384B" w:rsidRPr="002F16A1">
        <w:rPr>
          <w:noProof/>
        </w:rPr>
        <w:t>dod</w:t>
      </w:r>
      <w:r w:rsidRPr="002F16A1">
        <w:rPr>
          <w:noProof/>
        </w:rPr>
        <w:t>atkowe informacje, czerpałyby korzyści</w:t>
      </w:r>
      <w:r w:rsidR="0028384B" w:rsidRPr="002F16A1">
        <w:rPr>
          <w:noProof/>
        </w:rPr>
        <w:t xml:space="preserve"> z</w:t>
      </w:r>
      <w:r w:rsidR="0028384B">
        <w:rPr>
          <w:noProof/>
        </w:rPr>
        <w:t> </w:t>
      </w:r>
      <w:r w:rsidR="0028384B" w:rsidRPr="002F16A1">
        <w:rPr>
          <w:noProof/>
        </w:rPr>
        <w:t>ogr</w:t>
      </w:r>
      <w:r w:rsidRPr="002F16A1">
        <w:rPr>
          <w:noProof/>
        </w:rPr>
        <w:t>aniczania ryzyka na wczesnych etapach poszukiwań, co stanowiłoby</w:t>
      </w:r>
      <w:r w:rsidR="0028384B" w:rsidRPr="002F16A1">
        <w:rPr>
          <w:noProof/>
        </w:rPr>
        <w:t xml:space="preserve"> z</w:t>
      </w:r>
      <w:r w:rsidR="0028384B">
        <w:rPr>
          <w:noProof/>
        </w:rPr>
        <w:t> </w:t>
      </w:r>
      <w:r w:rsidR="0028384B" w:rsidRPr="002F16A1">
        <w:rPr>
          <w:noProof/>
        </w:rPr>
        <w:t>kol</w:t>
      </w:r>
      <w:r w:rsidRPr="002F16A1">
        <w:rPr>
          <w:noProof/>
        </w:rPr>
        <w:t>ei wsparcie</w:t>
      </w:r>
      <w:r w:rsidR="0028384B" w:rsidRPr="002F16A1">
        <w:rPr>
          <w:noProof/>
        </w:rPr>
        <w:t xml:space="preserve"> w</w:t>
      </w:r>
      <w:r w:rsidR="0028384B">
        <w:rPr>
          <w:noProof/>
        </w:rPr>
        <w:t> </w:t>
      </w:r>
      <w:r w:rsidR="0028384B" w:rsidRPr="002F16A1">
        <w:rPr>
          <w:noProof/>
        </w:rPr>
        <w:t>zak</w:t>
      </w:r>
      <w:r w:rsidRPr="002F16A1">
        <w:rPr>
          <w:noProof/>
        </w:rPr>
        <w:t>resie większych inwestycji</w:t>
      </w:r>
      <w:r w:rsidR="0028384B" w:rsidRPr="002F16A1">
        <w:rPr>
          <w:noProof/>
        </w:rPr>
        <w:t xml:space="preserve"> w</w:t>
      </w:r>
      <w:r w:rsidR="0028384B">
        <w:rPr>
          <w:noProof/>
        </w:rPr>
        <w:t> </w:t>
      </w:r>
      <w:r w:rsidR="0028384B" w:rsidRPr="002F16A1">
        <w:rPr>
          <w:noProof/>
        </w:rPr>
        <w:t>dal</w:t>
      </w:r>
      <w:r w:rsidRPr="002F16A1">
        <w:rPr>
          <w:noProof/>
        </w:rPr>
        <w:t xml:space="preserve">szych ogniwach łańcucha wartości.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Wyznaczenie projektów strategicznych korzystających</w:t>
      </w:r>
      <w:r w:rsidR="0028384B" w:rsidRPr="002F16A1">
        <w:rPr>
          <w:noProof/>
        </w:rPr>
        <w:t xml:space="preserve"> z</w:t>
      </w:r>
      <w:r w:rsidR="0028384B">
        <w:rPr>
          <w:noProof/>
        </w:rPr>
        <w:t> </w:t>
      </w:r>
      <w:r w:rsidR="0028384B" w:rsidRPr="002F16A1">
        <w:rPr>
          <w:noProof/>
        </w:rPr>
        <w:t>usp</w:t>
      </w:r>
      <w:r w:rsidRPr="002F16A1">
        <w:rPr>
          <w:noProof/>
        </w:rPr>
        <w:t>rawnionych procedur wydawania pozwoleń</w:t>
      </w:r>
      <w:r w:rsidR="0028384B" w:rsidRPr="002F16A1">
        <w:rPr>
          <w:noProof/>
        </w:rPr>
        <w:t xml:space="preserve"> i</w:t>
      </w:r>
      <w:r w:rsidR="0028384B">
        <w:rPr>
          <w:noProof/>
        </w:rPr>
        <w:t> </w:t>
      </w:r>
      <w:r w:rsidR="0028384B" w:rsidRPr="002F16A1">
        <w:rPr>
          <w:noProof/>
        </w:rPr>
        <w:t>lep</w:t>
      </w:r>
      <w:r w:rsidRPr="002F16A1">
        <w:rPr>
          <w:noProof/>
        </w:rPr>
        <w:t>szy dostęp do finansowania poskutkują wzmocnionym wsparciem na rzecz łańcucha wartości surowców krytycznych w UE oraz państwach trzecich,</w:t>
      </w:r>
      <w:r w:rsidR="0028384B" w:rsidRPr="002F16A1">
        <w:rPr>
          <w:noProof/>
        </w:rPr>
        <w:t xml:space="preserve"> a</w:t>
      </w:r>
      <w:r w:rsidR="0028384B">
        <w:rPr>
          <w:noProof/>
        </w:rPr>
        <w:t> </w:t>
      </w:r>
      <w:r w:rsidR="0028384B" w:rsidRPr="002F16A1">
        <w:rPr>
          <w:noProof/>
        </w:rPr>
        <w:t>w</w:t>
      </w:r>
      <w:r w:rsidR="0028384B">
        <w:rPr>
          <w:noProof/>
        </w:rPr>
        <w:t> </w:t>
      </w:r>
      <w:r w:rsidR="0028384B" w:rsidRPr="002F16A1">
        <w:rPr>
          <w:noProof/>
        </w:rPr>
        <w:t>kon</w:t>
      </w:r>
      <w:r w:rsidRPr="002F16A1">
        <w:rPr>
          <w:noProof/>
        </w:rPr>
        <w:t>sekwencji bezpieczniejszymi dostawami surowców krytycznych do dalszych użytkowników w UE. Przyczyni się to do zapewnienia wyraźnej wartości dodanej dla funkcjonowania jednolitego rynku</w:t>
      </w:r>
      <w:r w:rsidR="0028384B" w:rsidRPr="002F16A1">
        <w:rPr>
          <w:noProof/>
        </w:rPr>
        <w:t xml:space="preserve"> i</w:t>
      </w:r>
      <w:r w:rsidR="0028384B">
        <w:rPr>
          <w:noProof/>
        </w:rPr>
        <w:t> </w:t>
      </w:r>
      <w:r w:rsidR="0028384B" w:rsidRPr="002F16A1">
        <w:rPr>
          <w:noProof/>
        </w:rPr>
        <w:t>prz</w:t>
      </w:r>
      <w:r w:rsidRPr="002F16A1">
        <w:rPr>
          <w:noProof/>
        </w:rPr>
        <w:t>yniesie pozytywne skutki gospodarcze producentom surowców krytycznych</w:t>
      </w:r>
      <w:r w:rsidR="0028384B" w:rsidRPr="002F16A1">
        <w:rPr>
          <w:noProof/>
        </w:rPr>
        <w:t xml:space="preserve"> i</w:t>
      </w:r>
      <w:r w:rsidR="0028384B">
        <w:rPr>
          <w:noProof/>
        </w:rPr>
        <w:t> </w:t>
      </w:r>
      <w:r w:rsidR="0028384B" w:rsidRPr="002F16A1">
        <w:rPr>
          <w:noProof/>
        </w:rPr>
        <w:t>sek</w:t>
      </w:r>
      <w:r w:rsidRPr="002F16A1">
        <w:rPr>
          <w:noProof/>
        </w:rPr>
        <w:t>torom usług pochodnych dzięki zapewnianiu odporności przemysłowej</w:t>
      </w:r>
      <w:r w:rsidR="0028384B" w:rsidRPr="002F16A1">
        <w:rPr>
          <w:noProof/>
        </w:rPr>
        <w:t xml:space="preserve"> i</w:t>
      </w:r>
      <w:r w:rsidR="0028384B">
        <w:rPr>
          <w:noProof/>
        </w:rPr>
        <w:t> </w:t>
      </w:r>
      <w:r w:rsidR="0028384B" w:rsidRPr="002F16A1">
        <w:rPr>
          <w:noProof/>
        </w:rPr>
        <w:t>umo</w:t>
      </w:r>
      <w:r w:rsidRPr="002F16A1">
        <w:rPr>
          <w:noProof/>
        </w:rPr>
        <w:t>żliwianiu rozwoju unijnego łańcucha wartości surowców krytycznych. Będzie można również zaobserwować pozytywne skutki społeczne</w:t>
      </w:r>
      <w:r w:rsidR="0028384B" w:rsidRPr="002F16A1">
        <w:rPr>
          <w:noProof/>
        </w:rPr>
        <w:t xml:space="preserve"> w</w:t>
      </w:r>
      <w:r w:rsidR="0028384B">
        <w:rPr>
          <w:noProof/>
        </w:rPr>
        <w:t> </w:t>
      </w:r>
      <w:r w:rsidR="0028384B" w:rsidRPr="002F16A1">
        <w:rPr>
          <w:noProof/>
        </w:rPr>
        <w:t>zak</w:t>
      </w:r>
      <w:r w:rsidRPr="002F16A1">
        <w:rPr>
          <w:noProof/>
        </w:rPr>
        <w:t>resie miejsc pracy</w:t>
      </w:r>
      <w:r w:rsidR="0028384B" w:rsidRPr="002F16A1">
        <w:rPr>
          <w:noProof/>
        </w:rPr>
        <w:t xml:space="preserve"> i</w:t>
      </w:r>
      <w:r w:rsidR="0028384B">
        <w:rPr>
          <w:noProof/>
        </w:rPr>
        <w:t> </w:t>
      </w:r>
      <w:r w:rsidR="0028384B" w:rsidRPr="002F16A1">
        <w:rPr>
          <w:noProof/>
        </w:rPr>
        <w:t>spó</w:t>
      </w:r>
      <w:r w:rsidRPr="002F16A1">
        <w:rPr>
          <w:noProof/>
        </w:rPr>
        <w:t>jności regionów UE</w:t>
      </w:r>
      <w:r w:rsidRPr="0028384B">
        <w:rPr>
          <w:noProof/>
        </w:rPr>
        <w:t>.</w:t>
      </w:r>
      <w:r w:rsidR="0028384B" w:rsidRPr="0028384B">
        <w:rPr>
          <w:noProof/>
        </w:rPr>
        <w:t xml:space="preserve">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Akt</w:t>
      </w:r>
      <w:r w:rsidR="0028384B" w:rsidRPr="002F16A1">
        <w:rPr>
          <w:noProof/>
        </w:rPr>
        <w:t xml:space="preserve"> w</w:t>
      </w:r>
      <w:r w:rsidR="0028384B">
        <w:rPr>
          <w:noProof/>
        </w:rPr>
        <w:t> </w:t>
      </w:r>
      <w:r w:rsidR="0028384B" w:rsidRPr="002F16A1">
        <w:rPr>
          <w:noProof/>
        </w:rPr>
        <w:t>spr</w:t>
      </w:r>
      <w:r w:rsidRPr="002F16A1">
        <w:rPr>
          <w:noProof/>
        </w:rPr>
        <w:t>awie surowców krytycznych zapewni rozwój zdolności</w:t>
      </w:r>
      <w:r w:rsidR="0028384B" w:rsidRPr="002F16A1">
        <w:rPr>
          <w:noProof/>
        </w:rPr>
        <w:t xml:space="preserve"> w</w:t>
      </w:r>
      <w:r w:rsidR="0028384B">
        <w:rPr>
          <w:noProof/>
        </w:rPr>
        <w:t> </w:t>
      </w:r>
      <w:r w:rsidR="0028384B" w:rsidRPr="002F16A1">
        <w:rPr>
          <w:noProof/>
        </w:rPr>
        <w:t>zak</w:t>
      </w:r>
      <w:r w:rsidRPr="002F16A1">
        <w:rPr>
          <w:noProof/>
        </w:rPr>
        <w:t>resie monitorowania</w:t>
      </w:r>
      <w:r w:rsidR="0028384B" w:rsidRPr="002F16A1">
        <w:rPr>
          <w:noProof/>
        </w:rPr>
        <w:t xml:space="preserve"> i</w:t>
      </w:r>
      <w:r w:rsidR="0028384B">
        <w:rPr>
          <w:noProof/>
        </w:rPr>
        <w:t> </w:t>
      </w:r>
      <w:r w:rsidR="0028384B" w:rsidRPr="002F16A1">
        <w:rPr>
          <w:noProof/>
        </w:rPr>
        <w:t>oce</w:t>
      </w:r>
      <w:r w:rsidRPr="002F16A1">
        <w:rPr>
          <w:noProof/>
        </w:rPr>
        <w:t>ny ryzyka przed wystąpieniem sytuacji kryzysowych. System zarządzania</w:t>
      </w:r>
      <w:r w:rsidR="0028384B" w:rsidRPr="002F16A1">
        <w:rPr>
          <w:noProof/>
        </w:rPr>
        <w:t xml:space="preserve"> i</w:t>
      </w:r>
      <w:r w:rsidR="0028384B">
        <w:rPr>
          <w:noProof/>
        </w:rPr>
        <w:t> </w:t>
      </w:r>
      <w:r w:rsidR="0028384B" w:rsidRPr="002F16A1">
        <w:rPr>
          <w:noProof/>
        </w:rPr>
        <w:t>pow</w:t>
      </w:r>
      <w:r w:rsidRPr="002F16A1">
        <w:rPr>
          <w:noProof/>
        </w:rPr>
        <w:t>ołana</w:t>
      </w:r>
      <w:r w:rsidR="0028384B" w:rsidRPr="002F16A1">
        <w:rPr>
          <w:noProof/>
        </w:rPr>
        <w:t xml:space="preserve"> w</w:t>
      </w:r>
      <w:r w:rsidR="0028384B">
        <w:rPr>
          <w:noProof/>
        </w:rPr>
        <w:t> </w:t>
      </w:r>
      <w:r w:rsidR="0028384B" w:rsidRPr="002F16A1">
        <w:rPr>
          <w:noProof/>
        </w:rPr>
        <w:t>jeg</w:t>
      </w:r>
      <w:r w:rsidRPr="002F16A1">
        <w:rPr>
          <w:noProof/>
        </w:rPr>
        <w:t>o ramach Rada ds. Surowców Krytycznych, sieć agencji państw członkowskich oraz wewnętrzne możliwości</w:t>
      </w:r>
      <w:r w:rsidR="0028384B" w:rsidRPr="002F16A1">
        <w:rPr>
          <w:noProof/>
        </w:rPr>
        <w:t xml:space="preserve"> w</w:t>
      </w:r>
      <w:r w:rsidR="0028384B">
        <w:rPr>
          <w:noProof/>
        </w:rPr>
        <w:t> </w:t>
      </w:r>
      <w:r w:rsidR="0028384B" w:rsidRPr="002F16A1">
        <w:rPr>
          <w:noProof/>
        </w:rPr>
        <w:t>Kom</w:t>
      </w:r>
      <w:r w:rsidRPr="002F16A1">
        <w:rPr>
          <w:noProof/>
        </w:rPr>
        <w:t>isji będą stanowiły wsparcie odnośnie do unijnego łańcucha wartości surowców krytycznych. Przedsiębiorstwa będą czerpały bezpośrednie korzyści</w:t>
      </w:r>
      <w:r w:rsidR="0028384B" w:rsidRPr="002F16A1">
        <w:rPr>
          <w:noProof/>
        </w:rPr>
        <w:t xml:space="preserve"> z</w:t>
      </w:r>
      <w:r w:rsidR="0028384B">
        <w:rPr>
          <w:noProof/>
        </w:rPr>
        <w:t> </w:t>
      </w:r>
      <w:r w:rsidR="0028384B" w:rsidRPr="002F16A1">
        <w:rPr>
          <w:noProof/>
        </w:rPr>
        <w:t>reg</w:t>
      </w:r>
      <w:r w:rsidRPr="002F16A1">
        <w:rPr>
          <w:noProof/>
        </w:rPr>
        <w:t>ularnego publikowania aktualnych informacji dotyczących ryzyka związanego</w:t>
      </w:r>
      <w:r w:rsidR="0028384B" w:rsidRPr="002F16A1">
        <w:rPr>
          <w:noProof/>
        </w:rPr>
        <w:t xml:space="preserve"> z</w:t>
      </w:r>
      <w:r w:rsidR="0028384B">
        <w:rPr>
          <w:noProof/>
        </w:rPr>
        <w:t> </w:t>
      </w:r>
      <w:r w:rsidR="0028384B" w:rsidRPr="002F16A1">
        <w:rPr>
          <w:noProof/>
        </w:rPr>
        <w:t>dos</w:t>
      </w:r>
      <w:r w:rsidRPr="002F16A1">
        <w:rPr>
          <w:noProof/>
        </w:rPr>
        <w:t>tawami</w:t>
      </w:r>
      <w:r w:rsidR="0028384B" w:rsidRPr="002F16A1">
        <w:rPr>
          <w:noProof/>
        </w:rPr>
        <w:t xml:space="preserve"> w</w:t>
      </w:r>
      <w:r w:rsidR="0028384B">
        <w:rPr>
          <w:noProof/>
        </w:rPr>
        <w:t> </w:t>
      </w:r>
      <w:r w:rsidR="0028384B" w:rsidRPr="002F16A1">
        <w:rPr>
          <w:noProof/>
        </w:rPr>
        <w:t>pos</w:t>
      </w:r>
      <w:r w:rsidRPr="002F16A1">
        <w:rPr>
          <w:noProof/>
        </w:rPr>
        <w:t>taci tablicy monitorowania, która umożliwi im dostosowanie ich strategii łagodzących. Działania na rzecz monitorowania</w:t>
      </w:r>
      <w:r w:rsidR="0028384B" w:rsidRPr="002F16A1">
        <w:rPr>
          <w:noProof/>
        </w:rPr>
        <w:t xml:space="preserve"> i</w:t>
      </w:r>
      <w:r w:rsidR="0028384B">
        <w:rPr>
          <w:noProof/>
        </w:rPr>
        <w:t> </w:t>
      </w:r>
      <w:r w:rsidR="0028384B" w:rsidRPr="002F16A1">
        <w:rPr>
          <w:noProof/>
        </w:rPr>
        <w:t>oce</w:t>
      </w:r>
      <w:r w:rsidRPr="002F16A1">
        <w:rPr>
          <w:noProof/>
        </w:rPr>
        <w:t>ny ryzyka, takie jak unijne testy warunków skrajnych, przyczynią się do powstania popytu wśród rządów</w:t>
      </w:r>
      <w:r w:rsidR="0028384B" w:rsidRPr="002F16A1">
        <w:rPr>
          <w:noProof/>
        </w:rPr>
        <w:t xml:space="preserve"> i</w:t>
      </w:r>
      <w:r w:rsidR="0028384B">
        <w:rPr>
          <w:noProof/>
        </w:rPr>
        <w:t> </w:t>
      </w:r>
      <w:r w:rsidR="0028384B" w:rsidRPr="002F16A1">
        <w:rPr>
          <w:noProof/>
        </w:rPr>
        <w:t>prz</w:t>
      </w:r>
      <w:r w:rsidRPr="002F16A1">
        <w:rPr>
          <w:noProof/>
        </w:rPr>
        <w:t>edsiębiorstw na nabywanie bezpiecznych surowców krytycznych</w:t>
      </w:r>
      <w:r w:rsidRPr="0028384B">
        <w:rPr>
          <w:noProof/>
        </w:rPr>
        <w:t>.</w:t>
      </w:r>
      <w:r w:rsidR="0028384B" w:rsidRPr="0028384B">
        <w:rPr>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Tworzenie zapasów strategicznych odnosi się do koordynacji krajowych zapasów strategicznych surowców strategicznych. Koordynacja będzie dla państw członkowskich zachętą do zwiększania swoich zapasów strategicznych</w:t>
      </w:r>
      <w:r w:rsidR="0028384B" w:rsidRPr="002F16A1">
        <w:rPr>
          <w:noProof/>
        </w:rPr>
        <w:t xml:space="preserve"> w</w:t>
      </w:r>
      <w:r w:rsidR="0028384B">
        <w:rPr>
          <w:noProof/>
        </w:rPr>
        <w:t> </w:t>
      </w:r>
      <w:r w:rsidR="0028384B" w:rsidRPr="002F16A1">
        <w:rPr>
          <w:noProof/>
        </w:rPr>
        <w:t>dro</w:t>
      </w:r>
      <w:r w:rsidRPr="002F16A1">
        <w:rPr>
          <w:noProof/>
        </w:rPr>
        <w:t>dze zapewniania dodatkowego poziomu ochrony przedsiębiorstwom, których łańcuch wartości obejmuje surowce strategiczne. Europejski wymiar tej koordynacji zapewni unikanie powielania działań</w:t>
      </w:r>
      <w:r w:rsidR="0028384B" w:rsidRPr="002F16A1">
        <w:rPr>
          <w:noProof/>
        </w:rPr>
        <w:t xml:space="preserve"> i</w:t>
      </w:r>
      <w:r w:rsidR="0028384B">
        <w:rPr>
          <w:noProof/>
        </w:rPr>
        <w:t> </w:t>
      </w:r>
      <w:r w:rsidR="0028384B" w:rsidRPr="002F16A1">
        <w:rPr>
          <w:noProof/>
        </w:rPr>
        <w:t>wyk</w:t>
      </w:r>
      <w:r w:rsidRPr="002F16A1">
        <w:rPr>
          <w:noProof/>
        </w:rPr>
        <w:t>orzystywanie synergii między krajowymi zapasami strategicznymi. Ta koordynacja między zapasami krajowymi przed ewentualnym wystąpieniem sytuacji kryzysowej przyczyni się także do zwiększonej gotowości na wypadek sytuacji kryzysowej</w:t>
      </w:r>
      <w:r w:rsidR="0028384B" w:rsidRPr="002F16A1">
        <w:rPr>
          <w:noProof/>
        </w:rPr>
        <w:t xml:space="preserve"> w</w:t>
      </w:r>
      <w:r w:rsidR="0028384B">
        <w:rPr>
          <w:noProof/>
        </w:rPr>
        <w:t> </w:t>
      </w:r>
      <w:r w:rsidR="0028384B" w:rsidRPr="002F16A1">
        <w:rPr>
          <w:noProof/>
        </w:rPr>
        <w:t>raz</w:t>
      </w:r>
      <w:r w:rsidRPr="002F16A1">
        <w:rPr>
          <w:noProof/>
        </w:rPr>
        <w:t>ie uruchomienia ewentualnego mechanizmu</w:t>
      </w:r>
      <w:r w:rsidR="0028384B" w:rsidRPr="002F16A1">
        <w:rPr>
          <w:noProof/>
        </w:rPr>
        <w:t xml:space="preserve"> w</w:t>
      </w:r>
      <w:r w:rsidR="0028384B">
        <w:rPr>
          <w:noProof/>
        </w:rPr>
        <w:t> </w:t>
      </w:r>
      <w:r w:rsidR="0028384B" w:rsidRPr="002F16A1">
        <w:rPr>
          <w:noProof/>
        </w:rPr>
        <w:t>zak</w:t>
      </w:r>
      <w:r w:rsidRPr="002F16A1">
        <w:rPr>
          <w:noProof/>
        </w:rPr>
        <w:t>resie ram czujności lub reagowania kryzysowego, który może obejmować surowce.</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W celu zapewnienia gotowości przedsiębiorstw na wypadek zagrożeń, konkretna grupa dużych przedsiębiorstw, których dotyczą przedmiotowe dyspozycje, będzie inwestowała</w:t>
      </w:r>
      <w:r w:rsidR="0028384B" w:rsidRPr="002F16A1">
        <w:rPr>
          <w:noProof/>
        </w:rPr>
        <w:t xml:space="preserve"> w</w:t>
      </w:r>
      <w:r w:rsidR="0028384B">
        <w:rPr>
          <w:noProof/>
        </w:rPr>
        <w:t> </w:t>
      </w:r>
      <w:r w:rsidR="0028384B" w:rsidRPr="002F16A1">
        <w:rPr>
          <w:noProof/>
        </w:rPr>
        <w:t>swo</w:t>
      </w:r>
      <w:r w:rsidRPr="002F16A1">
        <w:rPr>
          <w:noProof/>
        </w:rPr>
        <w:t>ją odporność</w:t>
      </w:r>
      <w:r w:rsidR="0028384B" w:rsidRPr="002F16A1">
        <w:rPr>
          <w:noProof/>
        </w:rPr>
        <w:t xml:space="preserve"> i</w:t>
      </w:r>
      <w:r w:rsidR="0028384B">
        <w:rPr>
          <w:noProof/>
        </w:rPr>
        <w:t> </w:t>
      </w:r>
      <w:r w:rsidR="0028384B" w:rsidRPr="002F16A1">
        <w:rPr>
          <w:noProof/>
        </w:rPr>
        <w:t>będ</w:t>
      </w:r>
      <w:r w:rsidRPr="002F16A1">
        <w:rPr>
          <w:noProof/>
        </w:rPr>
        <w:t>zie brać pod uwagę rzeczywiste koszty produkcji surowców strategicznych</w:t>
      </w:r>
      <w:r w:rsidR="0028384B" w:rsidRPr="002F16A1">
        <w:rPr>
          <w:noProof/>
        </w:rPr>
        <w:t xml:space="preserve"> w</w:t>
      </w:r>
      <w:r w:rsidR="0028384B">
        <w:rPr>
          <w:noProof/>
        </w:rPr>
        <w:t> </w:t>
      </w:r>
      <w:r w:rsidR="0028384B" w:rsidRPr="002F16A1">
        <w:rPr>
          <w:noProof/>
        </w:rPr>
        <w:t>dro</w:t>
      </w:r>
      <w:r w:rsidRPr="002F16A1">
        <w:rPr>
          <w:noProof/>
        </w:rPr>
        <w:t>dze zapewniania regularnego audytu</w:t>
      </w:r>
      <w:r w:rsidR="0028384B" w:rsidRPr="002F16A1">
        <w:rPr>
          <w:noProof/>
        </w:rPr>
        <w:t xml:space="preserve"> i</w:t>
      </w:r>
      <w:r w:rsidR="0028384B">
        <w:rPr>
          <w:noProof/>
        </w:rPr>
        <w:t> </w:t>
      </w:r>
      <w:r w:rsidR="0028384B" w:rsidRPr="002F16A1">
        <w:rPr>
          <w:noProof/>
        </w:rPr>
        <w:t>tes</w:t>
      </w:r>
      <w:r w:rsidRPr="002F16A1">
        <w:rPr>
          <w:noProof/>
        </w:rPr>
        <w:t>tów warunków skrajnych</w:t>
      </w:r>
      <w:r w:rsidR="0028384B" w:rsidRPr="002F16A1">
        <w:rPr>
          <w:noProof/>
        </w:rPr>
        <w:t xml:space="preserve"> w</w:t>
      </w:r>
      <w:r w:rsidR="0028384B">
        <w:rPr>
          <w:noProof/>
        </w:rPr>
        <w:t> </w:t>
      </w:r>
      <w:r w:rsidR="0028384B" w:rsidRPr="002F16A1">
        <w:rPr>
          <w:noProof/>
        </w:rPr>
        <w:t>odn</w:t>
      </w:r>
      <w:r w:rsidRPr="002F16A1">
        <w:rPr>
          <w:noProof/>
        </w:rPr>
        <w:t xml:space="preserve">iesieniu do swoich łańcuchów dostaw, jeżeli obejmują one określony zestaw surowców strategicznych.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Środki dotyczące wspólnych zakupów umożliwią organom krajowym lub podmiotom gospodarczym połączenie sił</w:t>
      </w:r>
      <w:r w:rsidR="0028384B" w:rsidRPr="002F16A1">
        <w:rPr>
          <w:noProof/>
        </w:rPr>
        <w:t xml:space="preserve"> w</w:t>
      </w:r>
      <w:r w:rsidR="0028384B">
        <w:rPr>
          <w:noProof/>
        </w:rPr>
        <w:t> </w:t>
      </w:r>
      <w:r w:rsidR="0028384B" w:rsidRPr="002F16A1">
        <w:rPr>
          <w:noProof/>
        </w:rPr>
        <w:t>tra</w:t>
      </w:r>
      <w:r w:rsidRPr="002F16A1">
        <w:rPr>
          <w:noProof/>
        </w:rPr>
        <w:t xml:space="preserve">kcie dokonywania zakupu surowców strategicznych.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Rozwój bardziej zrównoważonej produkcji surowców krytycznych znajduje wsparcie</w:t>
      </w:r>
      <w:r w:rsidR="0028384B" w:rsidRPr="002F16A1">
        <w:rPr>
          <w:noProof/>
        </w:rPr>
        <w:t xml:space="preserve"> w</w:t>
      </w:r>
      <w:r w:rsidR="0028384B">
        <w:rPr>
          <w:noProof/>
        </w:rPr>
        <w:t> </w:t>
      </w:r>
      <w:r w:rsidR="0028384B" w:rsidRPr="002F16A1">
        <w:rPr>
          <w:noProof/>
        </w:rPr>
        <w:t>prz</w:t>
      </w:r>
      <w:r w:rsidRPr="002F16A1">
        <w:rPr>
          <w:noProof/>
        </w:rPr>
        <w:t>episach dotyczących stworzenia obiegu zamkniętego na rynkach surowców krytycznych. We wniosku określono przepisy dotyczące przede wszystkim odzysku, zbierania</w:t>
      </w:r>
      <w:r w:rsidR="0028384B" w:rsidRPr="002F16A1">
        <w:rPr>
          <w:noProof/>
        </w:rPr>
        <w:t xml:space="preserve"> i</w:t>
      </w:r>
      <w:r w:rsidR="0028384B">
        <w:rPr>
          <w:noProof/>
        </w:rPr>
        <w:t> </w:t>
      </w:r>
      <w:r w:rsidR="0028384B" w:rsidRPr="002F16A1">
        <w:rPr>
          <w:noProof/>
        </w:rPr>
        <w:t>prz</w:t>
      </w:r>
      <w:r w:rsidRPr="002F16A1">
        <w:rPr>
          <w:noProof/>
        </w:rPr>
        <w:t>etwarzania produktów wycofanych</w:t>
      </w:r>
      <w:r w:rsidR="0028384B" w:rsidRPr="002F16A1">
        <w:rPr>
          <w:noProof/>
        </w:rPr>
        <w:t xml:space="preserve"> z</w:t>
      </w:r>
      <w:r w:rsidR="0028384B">
        <w:rPr>
          <w:noProof/>
        </w:rPr>
        <w:t> </w:t>
      </w:r>
      <w:r w:rsidR="0028384B" w:rsidRPr="002F16A1">
        <w:rPr>
          <w:noProof/>
        </w:rPr>
        <w:t>eks</w:t>
      </w:r>
      <w:r w:rsidRPr="002F16A1">
        <w:rPr>
          <w:noProof/>
        </w:rPr>
        <w:t>ploatacji</w:t>
      </w:r>
      <w:r w:rsidR="0028384B" w:rsidRPr="002F16A1">
        <w:rPr>
          <w:noProof/>
        </w:rPr>
        <w:t xml:space="preserve"> i</w:t>
      </w:r>
      <w:r w:rsidR="0028384B">
        <w:rPr>
          <w:noProof/>
        </w:rPr>
        <w:t> </w:t>
      </w:r>
      <w:r w:rsidR="0028384B" w:rsidRPr="002F16A1">
        <w:rPr>
          <w:noProof/>
        </w:rPr>
        <w:t>str</w:t>
      </w:r>
      <w:r w:rsidRPr="002F16A1">
        <w:rPr>
          <w:noProof/>
        </w:rPr>
        <w:t>umieni odpadów zawierających surowce krytyczne</w:t>
      </w:r>
      <w:r w:rsidR="0028384B" w:rsidRPr="002F16A1">
        <w:rPr>
          <w:noProof/>
        </w:rPr>
        <w:t xml:space="preserve"> w</w:t>
      </w:r>
      <w:r w:rsidR="0028384B">
        <w:rPr>
          <w:noProof/>
        </w:rPr>
        <w:t> </w:t>
      </w:r>
      <w:r w:rsidR="0028384B" w:rsidRPr="002F16A1">
        <w:rPr>
          <w:noProof/>
        </w:rPr>
        <w:t>cel</w:t>
      </w:r>
      <w:r w:rsidRPr="002F16A1">
        <w:rPr>
          <w:noProof/>
        </w:rPr>
        <w:t>u wspierania rozwoju technologii</w:t>
      </w:r>
      <w:r w:rsidR="0028384B" w:rsidRPr="002F16A1">
        <w:rPr>
          <w:noProof/>
        </w:rPr>
        <w:t xml:space="preserve"> i</w:t>
      </w:r>
      <w:r w:rsidR="0028384B">
        <w:rPr>
          <w:noProof/>
        </w:rPr>
        <w:t> </w:t>
      </w:r>
      <w:r w:rsidR="0028384B" w:rsidRPr="002F16A1">
        <w:rPr>
          <w:noProof/>
        </w:rPr>
        <w:t>ryn</w:t>
      </w:r>
      <w:r w:rsidRPr="002F16A1">
        <w:rPr>
          <w:noProof/>
        </w:rPr>
        <w:t>ków recyklingu oraz propagowania wykorzystywania wtórnych surowców krytycznych</w:t>
      </w:r>
      <w:r w:rsidR="0028384B" w:rsidRPr="002F16A1">
        <w:rPr>
          <w:noProof/>
        </w:rPr>
        <w:t xml:space="preserve"> w</w:t>
      </w:r>
      <w:r w:rsidR="0028384B">
        <w:rPr>
          <w:noProof/>
        </w:rPr>
        <w:t> </w:t>
      </w:r>
      <w:r w:rsidR="0028384B" w:rsidRPr="002F16A1">
        <w:rPr>
          <w:noProof/>
        </w:rPr>
        <w:t>pro</w:t>
      </w:r>
      <w:r w:rsidRPr="002F16A1">
        <w:rPr>
          <w:noProof/>
        </w:rPr>
        <w:t>dukcji. Działania będą również skupiały się na odzysku surowców krytycznych</w:t>
      </w:r>
      <w:r w:rsidR="0028384B" w:rsidRPr="002F16A1">
        <w:rPr>
          <w:noProof/>
        </w:rPr>
        <w:t xml:space="preserve"> z</w:t>
      </w:r>
      <w:r w:rsidR="0028384B">
        <w:rPr>
          <w:noProof/>
        </w:rPr>
        <w:t> </w:t>
      </w:r>
      <w:r w:rsidR="0028384B" w:rsidRPr="002F16A1">
        <w:rPr>
          <w:noProof/>
        </w:rPr>
        <w:t>zam</w:t>
      </w:r>
      <w:r w:rsidRPr="002F16A1">
        <w:rPr>
          <w:noProof/>
        </w:rPr>
        <w:t>kniętych</w:t>
      </w:r>
      <w:r w:rsidR="0028384B" w:rsidRPr="002F16A1">
        <w:rPr>
          <w:noProof/>
        </w:rPr>
        <w:t xml:space="preserve"> i</w:t>
      </w:r>
      <w:r w:rsidR="0028384B">
        <w:rPr>
          <w:noProof/>
        </w:rPr>
        <w:t> </w:t>
      </w:r>
      <w:r w:rsidR="0028384B" w:rsidRPr="002F16A1">
        <w:rPr>
          <w:noProof/>
        </w:rPr>
        <w:t>opu</w:t>
      </w:r>
      <w:r w:rsidRPr="002F16A1">
        <w:rPr>
          <w:noProof/>
        </w:rPr>
        <w:t>szczonych składowisk odpadów. Przewidziano również przepisy dotyczące deklarowania śladu środowiskowego</w:t>
      </w:r>
      <w:r w:rsidR="0028384B" w:rsidRPr="002F16A1">
        <w:rPr>
          <w:noProof/>
        </w:rPr>
        <w:t xml:space="preserve"> i</w:t>
      </w:r>
      <w:r w:rsidR="0028384B">
        <w:rPr>
          <w:noProof/>
        </w:rPr>
        <w:t> </w:t>
      </w:r>
      <w:r w:rsidR="0028384B" w:rsidRPr="002F16A1">
        <w:rPr>
          <w:noProof/>
        </w:rPr>
        <w:t>inn</w:t>
      </w:r>
      <w:r w:rsidRPr="002F16A1">
        <w:rPr>
          <w:noProof/>
        </w:rPr>
        <w:t>ych informacji dotyczących surowców krytycznych wprowadzanych do obrotu</w:t>
      </w:r>
      <w:r w:rsidR="0028384B" w:rsidRPr="002F16A1">
        <w:rPr>
          <w:noProof/>
        </w:rPr>
        <w:t xml:space="preserve"> w</w:t>
      </w:r>
      <w:r w:rsidR="0028384B">
        <w:rPr>
          <w:noProof/>
        </w:rPr>
        <w:t> </w:t>
      </w:r>
      <w:r w:rsidR="0028384B" w:rsidRPr="002F16A1">
        <w:rPr>
          <w:noProof/>
        </w:rPr>
        <w:t>Uni</w:t>
      </w:r>
      <w:r w:rsidRPr="002F16A1">
        <w:rPr>
          <w:noProof/>
        </w:rPr>
        <w:t>i</w:t>
      </w:r>
      <w:r w:rsidRPr="0028384B">
        <w:rPr>
          <w:noProof/>
        </w:rPr>
        <w:t>.</w:t>
      </w:r>
      <w:r w:rsidR="0028384B" w:rsidRPr="0028384B">
        <w:rPr>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Na mocy rozporządzenia powstanie Europejska Rada ds. Surowców Krytycznych, która będzie gromadziła najlepszą wiedzę fachową dostępną</w:t>
      </w:r>
      <w:r w:rsidR="0028384B" w:rsidRPr="002F16A1">
        <w:rPr>
          <w:noProof/>
        </w:rPr>
        <w:t xml:space="preserve"> w</w:t>
      </w:r>
      <w:r w:rsidR="0028384B">
        <w:rPr>
          <w:noProof/>
        </w:rPr>
        <w:t> </w:t>
      </w:r>
      <w:r w:rsidR="0028384B" w:rsidRPr="002F16A1">
        <w:rPr>
          <w:noProof/>
        </w:rPr>
        <w:t>Kom</w:t>
      </w:r>
      <w:r w:rsidRPr="002F16A1">
        <w:rPr>
          <w:noProof/>
        </w:rPr>
        <w:t>isji Europejskiej</w:t>
      </w:r>
      <w:r w:rsidR="0028384B" w:rsidRPr="002F16A1">
        <w:rPr>
          <w:noProof/>
        </w:rPr>
        <w:t xml:space="preserve"> i</w:t>
      </w:r>
      <w:r w:rsidR="0028384B">
        <w:rPr>
          <w:noProof/>
        </w:rPr>
        <w:t> </w:t>
      </w:r>
      <w:r w:rsidR="0028384B" w:rsidRPr="002F16A1">
        <w:rPr>
          <w:noProof/>
        </w:rPr>
        <w:t>pań</w:t>
      </w:r>
      <w:r w:rsidRPr="002F16A1">
        <w:rPr>
          <w:noProof/>
        </w:rPr>
        <w:t>stwach członkowskich</w:t>
      </w:r>
      <w:r w:rsidR="0028384B" w:rsidRPr="002F16A1">
        <w:rPr>
          <w:noProof/>
        </w:rPr>
        <w:t xml:space="preserve"> w</w:t>
      </w:r>
      <w:r w:rsidR="0028384B">
        <w:rPr>
          <w:noProof/>
        </w:rPr>
        <w:t> </w:t>
      </w:r>
      <w:r w:rsidR="0028384B" w:rsidRPr="002F16A1">
        <w:rPr>
          <w:noProof/>
        </w:rPr>
        <w:t>cel</w:t>
      </w:r>
      <w:r w:rsidRPr="002F16A1">
        <w:rPr>
          <w:noProof/>
        </w:rPr>
        <w:t>u analizy</w:t>
      </w:r>
      <w:r w:rsidR="0028384B" w:rsidRPr="002F16A1">
        <w:rPr>
          <w:noProof/>
        </w:rPr>
        <w:t xml:space="preserve"> i</w:t>
      </w:r>
      <w:r w:rsidR="0028384B">
        <w:rPr>
          <w:noProof/>
        </w:rPr>
        <w:t> </w:t>
      </w:r>
      <w:r w:rsidR="0028384B" w:rsidRPr="002F16A1">
        <w:rPr>
          <w:noProof/>
        </w:rPr>
        <w:t>mon</w:t>
      </w:r>
      <w:r w:rsidRPr="002F16A1">
        <w:rPr>
          <w:noProof/>
        </w:rPr>
        <w:t>itorowania rynków, oceny ryzyka</w:t>
      </w:r>
      <w:r w:rsidR="0028384B" w:rsidRPr="002F16A1">
        <w:rPr>
          <w:noProof/>
        </w:rPr>
        <w:t xml:space="preserve"> i</w:t>
      </w:r>
      <w:r w:rsidR="0028384B">
        <w:rPr>
          <w:noProof/>
        </w:rPr>
        <w:t> </w:t>
      </w:r>
      <w:r w:rsidR="0028384B" w:rsidRPr="002F16A1">
        <w:rPr>
          <w:noProof/>
        </w:rPr>
        <w:t>zaj</w:t>
      </w:r>
      <w:r w:rsidRPr="002F16A1">
        <w:rPr>
          <w:noProof/>
        </w:rPr>
        <w:t>mowania stanowiska</w:t>
      </w:r>
      <w:r w:rsidR="0028384B" w:rsidRPr="002F16A1">
        <w:rPr>
          <w:noProof/>
        </w:rPr>
        <w:t xml:space="preserve"> w</w:t>
      </w:r>
      <w:r w:rsidR="0028384B">
        <w:rPr>
          <w:noProof/>
        </w:rPr>
        <w:t> </w:t>
      </w:r>
      <w:r w:rsidR="0028384B" w:rsidRPr="002F16A1">
        <w:rPr>
          <w:noProof/>
        </w:rPr>
        <w:t>spr</w:t>
      </w:r>
      <w:r w:rsidRPr="002F16A1">
        <w:rPr>
          <w:noProof/>
        </w:rPr>
        <w:t>awie strategii łagodzących, asystowania przy projektach strategicznych</w:t>
      </w:r>
      <w:r w:rsidR="0028384B" w:rsidRPr="002F16A1">
        <w:rPr>
          <w:noProof/>
        </w:rPr>
        <w:t xml:space="preserve"> i</w:t>
      </w:r>
      <w:r w:rsidR="0028384B">
        <w:rPr>
          <w:noProof/>
        </w:rPr>
        <w:t> </w:t>
      </w:r>
      <w:r w:rsidR="0028384B" w:rsidRPr="002F16A1">
        <w:rPr>
          <w:noProof/>
        </w:rPr>
        <w:t>koo</w:t>
      </w:r>
      <w:r w:rsidRPr="002F16A1">
        <w:rPr>
          <w:noProof/>
        </w:rPr>
        <w:t>rdynacji tworzenia zapasów strategicznych. Rada będzie również prowadziła dyskusje na temat priorytetów</w:t>
      </w:r>
      <w:r w:rsidR="0028384B" w:rsidRPr="002F16A1">
        <w:rPr>
          <w:noProof/>
        </w:rPr>
        <w:t xml:space="preserve"> i</w:t>
      </w:r>
      <w:r w:rsidR="0028384B">
        <w:rPr>
          <w:noProof/>
        </w:rPr>
        <w:t> </w:t>
      </w:r>
      <w:r w:rsidR="0028384B" w:rsidRPr="002F16A1">
        <w:rPr>
          <w:noProof/>
        </w:rPr>
        <w:t>cel</w:t>
      </w:r>
      <w:r w:rsidRPr="002F16A1">
        <w:rPr>
          <w:noProof/>
        </w:rPr>
        <w:t>ów partnerstw strategicznych</w:t>
      </w:r>
      <w:r w:rsidR="0028384B" w:rsidRPr="002F16A1">
        <w:rPr>
          <w:noProof/>
        </w:rPr>
        <w:t xml:space="preserve"> z</w:t>
      </w:r>
      <w:r w:rsidR="0028384B">
        <w:rPr>
          <w:noProof/>
        </w:rPr>
        <w:t> </w:t>
      </w:r>
      <w:r w:rsidR="0028384B" w:rsidRPr="002F16A1">
        <w:rPr>
          <w:noProof/>
        </w:rPr>
        <w:t>pań</w:t>
      </w:r>
      <w:r w:rsidRPr="002F16A1">
        <w:rPr>
          <w:noProof/>
        </w:rPr>
        <w:t>stwami trzecimi obejmujących surowce oraz koordynacji tych partnerstw</w:t>
      </w:r>
      <w:r w:rsidR="0028384B" w:rsidRPr="002F16A1">
        <w:rPr>
          <w:noProof/>
        </w:rPr>
        <w:t xml:space="preserve"> z</w:t>
      </w:r>
      <w:r w:rsidR="0028384B">
        <w:rPr>
          <w:noProof/>
        </w:rPr>
        <w:t> </w:t>
      </w:r>
      <w:r w:rsidR="0028384B" w:rsidRPr="002F16A1">
        <w:rPr>
          <w:noProof/>
        </w:rPr>
        <w:t>pod</w:t>
      </w:r>
      <w:r w:rsidRPr="002F16A1">
        <w:rPr>
          <w:noProof/>
        </w:rPr>
        <w:t>obnymi partnerstwami zawieranymi przez państwa członkowskie.</w:t>
      </w:r>
    </w:p>
    <w:p w:rsidR="00AD62E2" w:rsidRPr="002F16A1" w:rsidRDefault="00AD62E2" w:rsidP="00AD62E2">
      <w:pPr>
        <w:pStyle w:val="ManualHeading3"/>
        <w:rPr>
          <w:noProof/>
          <w:szCs w:val="24"/>
        </w:rPr>
      </w:pPr>
      <w:bookmarkStart w:id="47" w:name="_Toc514938023"/>
      <w:bookmarkStart w:id="48" w:name="_Toc520485033"/>
      <w:r w:rsidRPr="002F16A1">
        <w:rPr>
          <w:noProof/>
        </w:rPr>
        <w:t>1.4.4.</w:t>
      </w:r>
      <w:r w:rsidRPr="002F16A1">
        <w:rPr>
          <w:noProof/>
        </w:rPr>
        <w:tab/>
        <w:t>Wskaźniki dotyczące realizacji celów</w:t>
      </w:r>
      <w:bookmarkEnd w:id="47"/>
      <w:bookmarkEnd w:id="48"/>
    </w:p>
    <w:p w:rsidR="00AD62E2" w:rsidRPr="002F16A1" w:rsidRDefault="00AD62E2" w:rsidP="00AD62E2">
      <w:pPr>
        <w:pStyle w:val="Text1"/>
        <w:rPr>
          <w:i/>
          <w:noProof/>
          <w:sz w:val="20"/>
        </w:rPr>
      </w:pPr>
      <w:r w:rsidRPr="002F16A1">
        <w:rPr>
          <w:i/>
          <w:noProof/>
          <w:sz w:val="20"/>
        </w:rPr>
        <w:t>Należy wskazać wskaźniki stosowane do monitorowania postępów</w:t>
      </w:r>
      <w:r w:rsidR="0028384B" w:rsidRPr="002F16A1">
        <w:rPr>
          <w:i/>
          <w:noProof/>
          <w:sz w:val="20"/>
        </w:rPr>
        <w:t xml:space="preserve"> i</w:t>
      </w:r>
      <w:r w:rsidR="0028384B">
        <w:rPr>
          <w:i/>
          <w:noProof/>
          <w:sz w:val="20"/>
        </w:rPr>
        <w:t> </w:t>
      </w:r>
      <w:r w:rsidR="0028384B" w:rsidRPr="002F16A1">
        <w:rPr>
          <w:i/>
          <w:noProof/>
          <w:sz w:val="20"/>
        </w:rPr>
        <w:t>osi</w:t>
      </w:r>
      <w:r w:rsidRPr="002F16A1">
        <w:rPr>
          <w:i/>
          <w:noProof/>
          <w:sz w:val="20"/>
        </w:rPr>
        <w:t>ągnięć.</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Ilość danych</w:t>
      </w:r>
      <w:r w:rsidR="0028384B" w:rsidRPr="002F16A1">
        <w:rPr>
          <w:noProof/>
        </w:rPr>
        <w:t xml:space="preserve"> i</w:t>
      </w:r>
      <w:r w:rsidR="0028384B">
        <w:rPr>
          <w:noProof/>
        </w:rPr>
        <w:t> </w:t>
      </w:r>
      <w:r w:rsidR="0028384B" w:rsidRPr="002F16A1">
        <w:rPr>
          <w:noProof/>
        </w:rPr>
        <w:t>lic</w:t>
      </w:r>
      <w:r w:rsidRPr="002F16A1">
        <w:rPr>
          <w:noProof/>
        </w:rPr>
        <w:t>zba map dotyczących zasobów surowców mineralnych w UE opracowanych</w:t>
      </w:r>
      <w:r w:rsidR="0028384B" w:rsidRPr="002F16A1">
        <w:rPr>
          <w:noProof/>
        </w:rPr>
        <w:t xml:space="preserve"> w</w:t>
      </w:r>
      <w:r w:rsidR="0028384B">
        <w:rPr>
          <w:noProof/>
        </w:rPr>
        <w:t> </w:t>
      </w:r>
      <w:r w:rsidR="0028384B" w:rsidRPr="002F16A1">
        <w:rPr>
          <w:noProof/>
        </w:rPr>
        <w:t>pań</w:t>
      </w:r>
      <w:r w:rsidRPr="002F16A1">
        <w:rPr>
          <w:noProof/>
        </w:rPr>
        <w:t xml:space="preserve">stwach członkowskich.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Liczba projektów strategicznych finansowanych w UE</w:t>
      </w:r>
      <w:r w:rsidR="0028384B" w:rsidRPr="002F16A1">
        <w:rPr>
          <w:noProof/>
        </w:rPr>
        <w:t xml:space="preserve"> i</w:t>
      </w:r>
      <w:r w:rsidR="0028384B">
        <w:rPr>
          <w:noProof/>
        </w:rPr>
        <w:t> </w:t>
      </w:r>
      <w:r w:rsidR="0028384B" w:rsidRPr="002F16A1">
        <w:rPr>
          <w:noProof/>
        </w:rPr>
        <w:t>poz</w:t>
      </w:r>
      <w:r w:rsidRPr="002F16A1">
        <w:rPr>
          <w:noProof/>
        </w:rPr>
        <w:t>a jej granicami wzdłuż łańcucha wartości surowców krytycznych</w:t>
      </w:r>
      <w:r w:rsidRPr="0028384B">
        <w:rPr>
          <w:noProof/>
        </w:rPr>
        <w:t>.</w:t>
      </w:r>
      <w:r w:rsidR="0028384B" w:rsidRPr="0028384B">
        <w:rPr>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Całkowita wielkość inwestycji przedsiębiorstw prowadzących działalność w UE</w:t>
      </w:r>
      <w:r w:rsidR="0028384B" w:rsidRPr="002F16A1">
        <w:rPr>
          <w:noProof/>
        </w:rPr>
        <w:t xml:space="preserve"> w</w:t>
      </w:r>
      <w:r w:rsidR="0028384B">
        <w:rPr>
          <w:noProof/>
        </w:rPr>
        <w:t> </w:t>
      </w:r>
      <w:r w:rsidR="0028384B" w:rsidRPr="002F16A1">
        <w:rPr>
          <w:noProof/>
        </w:rPr>
        <w:t>zak</w:t>
      </w:r>
      <w:r w:rsidRPr="002F16A1">
        <w:rPr>
          <w:noProof/>
        </w:rPr>
        <w:t>resie surowców krytycznych,</w:t>
      </w:r>
      <w:r w:rsidR="0028384B" w:rsidRPr="002F16A1">
        <w:rPr>
          <w:noProof/>
        </w:rPr>
        <w:t xml:space="preserve"> z</w:t>
      </w:r>
      <w:r w:rsidR="0028384B">
        <w:rPr>
          <w:noProof/>
        </w:rPr>
        <w:t> </w:t>
      </w:r>
      <w:r w:rsidR="0028384B" w:rsidRPr="002F16A1">
        <w:rPr>
          <w:noProof/>
        </w:rPr>
        <w:t>uwz</w:t>
      </w:r>
      <w:r w:rsidRPr="002F16A1">
        <w:rPr>
          <w:noProof/>
        </w:rPr>
        <w:t>ględnieniem segmentu łańcucha wartości,</w:t>
      </w:r>
      <w:r w:rsidR="0028384B" w:rsidRPr="002F16A1">
        <w:rPr>
          <w:noProof/>
        </w:rPr>
        <w:t xml:space="preserve"> w</w:t>
      </w:r>
      <w:r w:rsidR="0028384B">
        <w:rPr>
          <w:noProof/>
        </w:rPr>
        <w:t> </w:t>
      </w:r>
      <w:r w:rsidR="0028384B" w:rsidRPr="002F16A1">
        <w:rPr>
          <w:noProof/>
        </w:rPr>
        <w:t>któ</w:t>
      </w:r>
      <w:r w:rsidRPr="002F16A1">
        <w:rPr>
          <w:noProof/>
        </w:rPr>
        <w:t xml:space="preserve">rym działają.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Dane</w:t>
      </w:r>
      <w:r w:rsidR="0028384B" w:rsidRPr="002F16A1">
        <w:rPr>
          <w:noProof/>
        </w:rPr>
        <w:t xml:space="preserve"> z</w:t>
      </w:r>
      <w:r w:rsidR="0028384B">
        <w:rPr>
          <w:noProof/>
        </w:rPr>
        <w:t> </w:t>
      </w:r>
      <w:r w:rsidR="0028384B" w:rsidRPr="002F16A1">
        <w:rPr>
          <w:noProof/>
        </w:rPr>
        <w:t>mon</w:t>
      </w:r>
      <w:r w:rsidRPr="002F16A1">
        <w:rPr>
          <w:noProof/>
        </w:rPr>
        <w:t>itorowania dotyczące rozwoju projektów, zmian popytu</w:t>
      </w:r>
      <w:r w:rsidR="0028384B" w:rsidRPr="002F16A1">
        <w:rPr>
          <w:noProof/>
        </w:rPr>
        <w:t xml:space="preserve"> i</w:t>
      </w:r>
      <w:r w:rsidR="0028384B">
        <w:rPr>
          <w:noProof/>
        </w:rPr>
        <w:t> </w:t>
      </w:r>
      <w:r w:rsidR="0028384B" w:rsidRPr="002F16A1">
        <w:rPr>
          <w:noProof/>
        </w:rPr>
        <w:t>pod</w:t>
      </w:r>
      <w:r w:rsidRPr="002F16A1">
        <w:rPr>
          <w:noProof/>
        </w:rPr>
        <w:t>aży oraz przepływów handlowych</w:t>
      </w:r>
      <w:r w:rsidR="0028384B" w:rsidRPr="002F16A1">
        <w:rPr>
          <w:noProof/>
        </w:rPr>
        <w:t xml:space="preserve"> w</w:t>
      </w:r>
      <w:r w:rsidR="0028384B">
        <w:rPr>
          <w:noProof/>
        </w:rPr>
        <w:t> </w:t>
      </w:r>
      <w:r w:rsidR="0028384B" w:rsidRPr="002F16A1">
        <w:rPr>
          <w:noProof/>
        </w:rPr>
        <w:t>zak</w:t>
      </w:r>
      <w:r w:rsidRPr="002F16A1">
        <w:rPr>
          <w:noProof/>
        </w:rPr>
        <w:t xml:space="preserve">resie surowców krytycznych.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xml:space="preserve">– Wielkość zapasów strategicznych na poziomie krajowym.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Ilość</w:t>
      </w:r>
      <w:r w:rsidR="0028384B" w:rsidRPr="002F16A1">
        <w:rPr>
          <w:noProof/>
        </w:rPr>
        <w:t xml:space="preserve"> i</w:t>
      </w:r>
      <w:r w:rsidR="0028384B">
        <w:rPr>
          <w:noProof/>
        </w:rPr>
        <w:t> </w:t>
      </w:r>
      <w:r w:rsidR="0028384B" w:rsidRPr="002F16A1">
        <w:rPr>
          <w:noProof/>
        </w:rPr>
        <w:t>ods</w:t>
      </w:r>
      <w:r w:rsidRPr="002F16A1">
        <w:rPr>
          <w:noProof/>
        </w:rPr>
        <w:t>etek surowców krytycznych poddawanych recyklingowi. – Ilość wtórnych surowców krytycznych wykorzystywanych</w:t>
      </w:r>
      <w:r w:rsidR="0028384B" w:rsidRPr="002F16A1">
        <w:rPr>
          <w:noProof/>
        </w:rPr>
        <w:t xml:space="preserve"> w</w:t>
      </w:r>
      <w:r w:rsidR="0028384B">
        <w:rPr>
          <w:noProof/>
        </w:rPr>
        <w:t> </w:t>
      </w:r>
      <w:r w:rsidR="0028384B" w:rsidRPr="002F16A1">
        <w:rPr>
          <w:noProof/>
        </w:rPr>
        <w:t>now</w:t>
      </w:r>
      <w:r w:rsidRPr="002F16A1">
        <w:rPr>
          <w:noProof/>
        </w:rPr>
        <w:t>ych procesach produkcji.</w:t>
      </w:r>
    </w:p>
    <w:p w:rsidR="00AD62E2" w:rsidRPr="002F16A1" w:rsidRDefault="00AD62E2" w:rsidP="00AD62E2">
      <w:pPr>
        <w:pStyle w:val="ManualHeading2"/>
        <w:rPr>
          <w:bCs/>
          <w:noProof/>
          <w:szCs w:val="24"/>
        </w:rPr>
      </w:pPr>
      <w:bookmarkStart w:id="49" w:name="_Toc514938025"/>
      <w:bookmarkStart w:id="50" w:name="_Toc520485034"/>
      <w:r w:rsidRPr="002F16A1">
        <w:rPr>
          <w:noProof/>
        </w:rPr>
        <w:t>1.5.</w:t>
      </w:r>
      <w:r w:rsidRPr="002F16A1">
        <w:rPr>
          <w:noProof/>
        </w:rPr>
        <w:tab/>
        <w:t>Uzasadnienie wniosku/inicjatywy</w:t>
      </w:r>
      <w:bookmarkEnd w:id="49"/>
      <w:bookmarkEnd w:id="50"/>
      <w:r w:rsidRPr="002F16A1">
        <w:rPr>
          <w:noProof/>
        </w:rPr>
        <w:t xml:space="preserve"> </w:t>
      </w:r>
    </w:p>
    <w:p w:rsidR="00AD62E2" w:rsidRPr="002F16A1" w:rsidRDefault="00AD62E2" w:rsidP="00AD62E2">
      <w:pPr>
        <w:pStyle w:val="ManualHeading3"/>
        <w:rPr>
          <w:noProof/>
        </w:rPr>
      </w:pPr>
      <w:bookmarkStart w:id="51" w:name="_Toc514938026"/>
      <w:bookmarkStart w:id="52" w:name="_Toc520485035"/>
      <w:r w:rsidRPr="002F16A1">
        <w:rPr>
          <w:noProof/>
        </w:rPr>
        <w:t>1.5.1.</w:t>
      </w:r>
      <w:r w:rsidRPr="002F16A1">
        <w:rPr>
          <w:noProof/>
        </w:rPr>
        <w:tab/>
        <w:t>Potrzeby, które należy zaspokoić</w:t>
      </w:r>
      <w:r w:rsidR="0028384B" w:rsidRPr="002F16A1">
        <w:rPr>
          <w:noProof/>
        </w:rPr>
        <w:t xml:space="preserve"> w</w:t>
      </w:r>
      <w:r w:rsidR="0028384B">
        <w:rPr>
          <w:noProof/>
        </w:rPr>
        <w:t> </w:t>
      </w:r>
      <w:r w:rsidR="0028384B" w:rsidRPr="002F16A1">
        <w:rPr>
          <w:noProof/>
        </w:rPr>
        <w:t>per</w:t>
      </w:r>
      <w:r w:rsidRPr="002F16A1">
        <w:rPr>
          <w:noProof/>
        </w:rPr>
        <w:t>spektywie krótko- lub długoterminowej,</w:t>
      </w:r>
      <w:r w:rsidR="0028384B" w:rsidRPr="002F16A1">
        <w:rPr>
          <w:noProof/>
        </w:rPr>
        <w:t xml:space="preserve"> w</w:t>
      </w:r>
      <w:r w:rsidR="0028384B">
        <w:rPr>
          <w:noProof/>
        </w:rPr>
        <w:t> </w:t>
      </w:r>
      <w:r w:rsidR="0028384B" w:rsidRPr="002F16A1">
        <w:rPr>
          <w:noProof/>
        </w:rPr>
        <w:t>tym</w:t>
      </w:r>
      <w:r w:rsidRPr="002F16A1">
        <w:rPr>
          <w:noProof/>
        </w:rPr>
        <w:t xml:space="preserve"> szczegółowy terminarz przebiegu realizacji inicjatywy</w:t>
      </w:r>
      <w:bookmarkEnd w:id="51"/>
      <w:bookmarkEnd w:id="52"/>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Niniejsze rozporządzenie powinno mieć pełne zastosowanie następnego dnia po jego opublikowaniu</w:t>
      </w:r>
      <w:r w:rsidR="0028384B" w:rsidRPr="002F16A1">
        <w:rPr>
          <w:noProof/>
        </w:rPr>
        <w:t xml:space="preserve"> w</w:t>
      </w:r>
      <w:r w:rsidR="0028384B">
        <w:rPr>
          <w:noProof/>
        </w:rPr>
        <w:t> </w:t>
      </w:r>
      <w:r w:rsidR="0028384B" w:rsidRPr="002F16A1">
        <w:rPr>
          <w:i/>
          <w:iCs/>
          <w:noProof/>
        </w:rPr>
        <w:t>Dzi</w:t>
      </w:r>
      <w:r w:rsidRPr="002F16A1">
        <w:rPr>
          <w:i/>
          <w:iCs/>
          <w:noProof/>
        </w:rPr>
        <w:t>enniku Urzędowym Unii Europejskiej</w:t>
      </w:r>
      <w:r w:rsidRPr="002F16A1">
        <w:rPr>
          <w:noProof/>
        </w:rPr>
        <w:t xml:space="preserve">.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Przedtem konieczne jest jednak podjęcie kilku działań</w:t>
      </w:r>
      <w:r w:rsidR="0028384B" w:rsidRPr="002F16A1">
        <w:rPr>
          <w:noProof/>
        </w:rPr>
        <w:t xml:space="preserve"> w</w:t>
      </w:r>
      <w:r w:rsidR="0028384B">
        <w:rPr>
          <w:noProof/>
        </w:rPr>
        <w:t> </w:t>
      </w:r>
      <w:r w:rsidR="0028384B" w:rsidRPr="002F16A1">
        <w:rPr>
          <w:noProof/>
        </w:rPr>
        <w:t>cel</w:t>
      </w:r>
      <w:r w:rsidRPr="002F16A1">
        <w:rPr>
          <w:noProof/>
        </w:rPr>
        <w:t>u przygotowania wdrożenia tego rozporządzenia. Należy ustanowić Europejską Radę ds. Surowców Krytycznych,</w:t>
      </w:r>
      <w:r w:rsidR="0028384B" w:rsidRPr="002F16A1">
        <w:rPr>
          <w:noProof/>
        </w:rPr>
        <w:t xml:space="preserve"> a</w:t>
      </w:r>
      <w:r w:rsidR="0028384B">
        <w:rPr>
          <w:noProof/>
        </w:rPr>
        <w:t> </w:t>
      </w:r>
      <w:r w:rsidR="0028384B" w:rsidRPr="002F16A1">
        <w:rPr>
          <w:noProof/>
        </w:rPr>
        <w:t>pań</w:t>
      </w:r>
      <w:r w:rsidRPr="002F16A1">
        <w:rPr>
          <w:noProof/>
        </w:rPr>
        <w:t>stwa członkowskie powinny wyznaczyć punkt kontaktowy na potrzeby jej posiedzeń. Do momentu rozpoczęcia stosowania rozporządzenia Rada ta powinna</w:t>
      </w:r>
      <w:r w:rsidR="0028384B" w:rsidRPr="002F16A1">
        <w:rPr>
          <w:noProof/>
        </w:rPr>
        <w:t xml:space="preserve"> w</w:t>
      </w:r>
      <w:r w:rsidR="0028384B">
        <w:rPr>
          <w:noProof/>
        </w:rPr>
        <w:t> </w:t>
      </w:r>
      <w:r w:rsidR="0028384B" w:rsidRPr="002F16A1">
        <w:rPr>
          <w:noProof/>
        </w:rPr>
        <w:t>peł</w:t>
      </w:r>
      <w:r w:rsidRPr="002F16A1">
        <w:rPr>
          <w:noProof/>
        </w:rPr>
        <w:t>ni funkcjonować</w:t>
      </w:r>
      <w:r w:rsidRPr="0028384B">
        <w:rPr>
          <w:noProof/>
        </w:rPr>
        <w:t>.</w:t>
      </w:r>
      <w:r w:rsidR="0028384B" w:rsidRPr="0028384B">
        <w:rPr>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Gromadzeni</w:t>
      </w:r>
      <w:r w:rsidRPr="0028384B">
        <w:rPr>
          <w:noProof/>
        </w:rPr>
        <w:t>e</w:t>
      </w:r>
      <w:r w:rsidR="0028384B" w:rsidRPr="0028384B">
        <w:rPr>
          <w:noProof/>
        </w:rPr>
        <w:t xml:space="preserve"> </w:t>
      </w:r>
      <w:r w:rsidRPr="0028384B">
        <w:rPr>
          <w:noProof/>
        </w:rPr>
        <w:t>i</w:t>
      </w:r>
      <w:r w:rsidRPr="002F16A1">
        <w:rPr>
          <w:noProof/>
        </w:rPr>
        <w:t>nformacji od przedstawicieli przedsiębiorstw działających wzdłuż łańcucha wartości surowców krytycznych powinno być już</w:t>
      </w:r>
      <w:r w:rsidR="0028384B" w:rsidRPr="002F16A1">
        <w:rPr>
          <w:noProof/>
        </w:rPr>
        <w:t xml:space="preserve"> w</w:t>
      </w:r>
      <w:r w:rsidR="0028384B">
        <w:rPr>
          <w:noProof/>
        </w:rPr>
        <w:t> </w:t>
      </w:r>
      <w:r w:rsidR="0028384B" w:rsidRPr="002F16A1">
        <w:rPr>
          <w:noProof/>
        </w:rPr>
        <w:t>tok</w:t>
      </w:r>
      <w:r w:rsidRPr="002F16A1">
        <w:rPr>
          <w:noProof/>
        </w:rPr>
        <w:t>u,</w:t>
      </w:r>
      <w:r w:rsidR="0028384B" w:rsidRPr="002F16A1">
        <w:rPr>
          <w:noProof/>
        </w:rPr>
        <w:t xml:space="preserve"> a</w:t>
      </w:r>
      <w:r w:rsidR="0028384B">
        <w:rPr>
          <w:noProof/>
        </w:rPr>
        <w:t> </w:t>
      </w:r>
      <w:r w:rsidR="0028384B" w:rsidRPr="002F16A1">
        <w:rPr>
          <w:noProof/>
        </w:rPr>
        <w:t>pań</w:t>
      </w:r>
      <w:r w:rsidRPr="002F16A1">
        <w:rPr>
          <w:noProof/>
        </w:rPr>
        <w:t>stwa członkowskie powinny do tego czasu przedyskutować</w:t>
      </w:r>
      <w:r w:rsidR="0028384B" w:rsidRPr="002F16A1">
        <w:rPr>
          <w:noProof/>
        </w:rPr>
        <w:t xml:space="preserve"> i</w:t>
      </w:r>
      <w:r w:rsidR="0028384B">
        <w:rPr>
          <w:noProof/>
        </w:rPr>
        <w:t> </w:t>
      </w:r>
      <w:r w:rsidR="0028384B" w:rsidRPr="002F16A1">
        <w:rPr>
          <w:noProof/>
        </w:rPr>
        <w:t>prz</w:t>
      </w:r>
      <w:r w:rsidRPr="002F16A1">
        <w:rPr>
          <w:noProof/>
        </w:rPr>
        <w:t>eprowadzić monitorowanie łańcucha wartości surowców krytycznych.</w:t>
      </w:r>
    </w:p>
    <w:p w:rsidR="00AD62E2" w:rsidRPr="002F16A1" w:rsidRDefault="00AD62E2" w:rsidP="00AD62E2">
      <w:pPr>
        <w:pStyle w:val="ManualHeading3"/>
        <w:rPr>
          <w:bCs/>
          <w:noProof/>
          <w:szCs w:val="24"/>
        </w:rPr>
      </w:pPr>
      <w:bookmarkStart w:id="53" w:name="_Toc514938029"/>
      <w:bookmarkStart w:id="54" w:name="_Toc520485036"/>
      <w:r w:rsidRPr="002F16A1">
        <w:rPr>
          <w:noProof/>
        </w:rPr>
        <w:t>1.5.2.</w:t>
      </w:r>
      <w:r w:rsidRPr="002F16A1">
        <w:rPr>
          <w:noProof/>
        </w:rPr>
        <w:tab/>
        <w:t>Wartość dodana</w:t>
      </w:r>
      <w:r w:rsidR="0028384B" w:rsidRPr="002F16A1">
        <w:rPr>
          <w:noProof/>
        </w:rPr>
        <w:t xml:space="preserve"> z</w:t>
      </w:r>
      <w:r w:rsidR="0028384B">
        <w:rPr>
          <w:noProof/>
        </w:rPr>
        <w:t> </w:t>
      </w:r>
      <w:r w:rsidR="0028384B" w:rsidRPr="002F16A1">
        <w:rPr>
          <w:noProof/>
        </w:rPr>
        <w:t>tyt</w:t>
      </w:r>
      <w:r w:rsidRPr="002F16A1">
        <w:rPr>
          <w:noProof/>
        </w:rPr>
        <w:t>ułu zaangażowania Unii Europejskiej (może wynikać</w:t>
      </w:r>
      <w:r w:rsidR="0028384B" w:rsidRPr="002F16A1">
        <w:rPr>
          <w:noProof/>
        </w:rPr>
        <w:t xml:space="preserve"> z</w:t>
      </w:r>
      <w:r w:rsidR="0028384B">
        <w:rPr>
          <w:noProof/>
        </w:rPr>
        <w:t> </w:t>
      </w:r>
      <w:r w:rsidR="0028384B" w:rsidRPr="002F16A1">
        <w:rPr>
          <w:noProof/>
        </w:rPr>
        <w:t>róż</w:t>
      </w:r>
      <w:r w:rsidRPr="002F16A1">
        <w:rPr>
          <w:noProof/>
        </w:rPr>
        <w:t>nych czynników, na przykład korzyści koordynacyjnych, pewności prawa, większej efektywności lub komplementarności). Na potrzeby tego punktu „wartość dodaną</w:t>
      </w:r>
      <w:r w:rsidR="0028384B" w:rsidRPr="002F16A1">
        <w:rPr>
          <w:noProof/>
        </w:rPr>
        <w:t xml:space="preserve"> z</w:t>
      </w:r>
      <w:r w:rsidR="0028384B">
        <w:rPr>
          <w:noProof/>
        </w:rPr>
        <w:t> </w:t>
      </w:r>
      <w:r w:rsidR="0028384B" w:rsidRPr="002F16A1">
        <w:rPr>
          <w:noProof/>
        </w:rPr>
        <w:t>tyt</w:t>
      </w:r>
      <w:r w:rsidRPr="002F16A1">
        <w:rPr>
          <w:noProof/>
        </w:rPr>
        <w:t>ułu zaangażowania Unii” należy rozumieć jako wartość wynikającą</w:t>
      </w:r>
      <w:r w:rsidR="0028384B" w:rsidRPr="002F16A1">
        <w:rPr>
          <w:noProof/>
        </w:rPr>
        <w:t xml:space="preserve"> z</w:t>
      </w:r>
      <w:r w:rsidR="0028384B">
        <w:rPr>
          <w:noProof/>
        </w:rPr>
        <w:t> </w:t>
      </w:r>
      <w:r w:rsidR="0028384B" w:rsidRPr="002F16A1">
        <w:rPr>
          <w:noProof/>
        </w:rPr>
        <w:t>uni</w:t>
      </w:r>
      <w:r w:rsidRPr="002F16A1">
        <w:rPr>
          <w:noProof/>
        </w:rPr>
        <w:t>jnej interwencji, wykraczającą poza wartość, która zostałaby wytworzona przez same państwa członkowskie.</w:t>
      </w:r>
      <w:bookmarkEnd w:id="53"/>
      <w:bookmarkEnd w:id="54"/>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u w:val="single"/>
        </w:rPr>
      </w:pPr>
      <w:r w:rsidRPr="002F16A1">
        <w:rPr>
          <w:noProof/>
          <w:u w:val="single"/>
        </w:rPr>
        <w:t>Przyczyny działania na poziomie europejskim (ex ante</w:t>
      </w:r>
      <w:r w:rsidRPr="0028384B">
        <w:rPr>
          <w:noProof/>
          <w:u w:val="single"/>
        </w:rPr>
        <w:t>)</w:t>
      </w:r>
      <w:r w:rsidR="0028384B" w:rsidRPr="0028384B">
        <w:rPr>
          <w:noProof/>
          <w:u w:val="single"/>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Żadne państwo członkowskie nie jest</w:t>
      </w:r>
      <w:r w:rsidR="0028384B" w:rsidRPr="002F16A1">
        <w:rPr>
          <w:noProof/>
        </w:rPr>
        <w:t xml:space="preserve"> w</w:t>
      </w:r>
      <w:r w:rsidR="0028384B">
        <w:rPr>
          <w:noProof/>
        </w:rPr>
        <w:t> </w:t>
      </w:r>
      <w:r w:rsidR="0028384B" w:rsidRPr="002F16A1">
        <w:rPr>
          <w:noProof/>
        </w:rPr>
        <w:t>sta</w:t>
      </w:r>
      <w:r w:rsidRPr="002F16A1">
        <w:rPr>
          <w:noProof/>
        </w:rPr>
        <w:t>nie samodzielnie skutecznie sprostać rosnącemu ryzyku związanemu</w:t>
      </w:r>
      <w:r w:rsidR="0028384B" w:rsidRPr="002F16A1">
        <w:rPr>
          <w:noProof/>
        </w:rPr>
        <w:t xml:space="preserve"> z</w:t>
      </w:r>
      <w:r w:rsidR="0028384B">
        <w:rPr>
          <w:noProof/>
        </w:rPr>
        <w:t> </w:t>
      </w:r>
      <w:r w:rsidR="0028384B" w:rsidRPr="002F16A1">
        <w:rPr>
          <w:noProof/>
        </w:rPr>
        <w:t>dos</w:t>
      </w:r>
      <w:r w:rsidRPr="002F16A1">
        <w:rPr>
          <w:noProof/>
        </w:rPr>
        <w:t>tawami surowców krytycznych, między innymi</w:t>
      </w:r>
      <w:r w:rsidR="0028384B" w:rsidRPr="002F16A1">
        <w:rPr>
          <w:noProof/>
        </w:rPr>
        <w:t xml:space="preserve"> z</w:t>
      </w:r>
      <w:r w:rsidR="0028384B">
        <w:rPr>
          <w:noProof/>
        </w:rPr>
        <w:t> </w:t>
      </w:r>
      <w:r w:rsidR="0028384B" w:rsidRPr="002F16A1">
        <w:rPr>
          <w:noProof/>
        </w:rPr>
        <w:t>pow</w:t>
      </w:r>
      <w:r w:rsidRPr="002F16A1">
        <w:rPr>
          <w:noProof/>
        </w:rPr>
        <w:t>odu braku występowania złóż geologicznych</w:t>
      </w:r>
      <w:r w:rsidR="0028384B" w:rsidRPr="002F16A1">
        <w:rPr>
          <w:noProof/>
        </w:rPr>
        <w:t xml:space="preserve"> w</w:t>
      </w:r>
      <w:r w:rsidR="0028384B">
        <w:rPr>
          <w:noProof/>
        </w:rPr>
        <w:t> </w:t>
      </w:r>
      <w:r w:rsidR="0028384B" w:rsidRPr="002F16A1">
        <w:rPr>
          <w:noProof/>
        </w:rPr>
        <w:t>pos</w:t>
      </w:r>
      <w:r w:rsidRPr="002F16A1">
        <w:rPr>
          <w:noProof/>
        </w:rPr>
        <w:t>zczególnych państwach członkowskich oraz znacznych korzyści skali</w:t>
      </w:r>
      <w:r w:rsidR="0028384B" w:rsidRPr="002F16A1">
        <w:rPr>
          <w:noProof/>
        </w:rPr>
        <w:t xml:space="preserve"> w</w:t>
      </w:r>
      <w:r w:rsidR="0028384B">
        <w:rPr>
          <w:noProof/>
        </w:rPr>
        <w:t> </w:t>
      </w:r>
      <w:r w:rsidR="0028384B" w:rsidRPr="002F16A1">
        <w:rPr>
          <w:noProof/>
        </w:rPr>
        <w:t>łań</w:t>
      </w:r>
      <w:r w:rsidRPr="002F16A1">
        <w:rPr>
          <w:noProof/>
        </w:rPr>
        <w:t>cuchu wartości surowców krytycznych. Środki określone</w:t>
      </w:r>
      <w:r w:rsidR="0028384B" w:rsidRPr="002F16A1">
        <w:rPr>
          <w:noProof/>
        </w:rPr>
        <w:t xml:space="preserve"> w</w:t>
      </w:r>
      <w:r w:rsidR="0028384B">
        <w:rPr>
          <w:noProof/>
        </w:rPr>
        <w:t> </w:t>
      </w:r>
      <w:r w:rsidR="0028384B" w:rsidRPr="002F16A1">
        <w:rPr>
          <w:noProof/>
        </w:rPr>
        <w:t>nin</w:t>
      </w:r>
      <w:r w:rsidRPr="002F16A1">
        <w:rPr>
          <w:noProof/>
        </w:rPr>
        <w:t>iejszej inicjatywie nie byłyby tak skuteczne, gdyby zostały wdrożone przez państwa członkowskie działające samodzielnie, ponieważ problemy, do których te środki mają zastosowanie, dotyczą całego jednolitego rynku. Nie są one ograniczone do pojedynczych państw członkowskich ani ich podzbiorów, ale do bazy przemysłowej UE</w:t>
      </w:r>
      <w:r w:rsidR="0028384B" w:rsidRPr="002F16A1">
        <w:rPr>
          <w:noProof/>
        </w:rPr>
        <w:t xml:space="preserve"> i</w:t>
      </w:r>
      <w:r w:rsidR="0028384B">
        <w:rPr>
          <w:noProof/>
        </w:rPr>
        <w:t> </w:t>
      </w:r>
      <w:r w:rsidR="0028384B" w:rsidRPr="002F16A1">
        <w:rPr>
          <w:noProof/>
        </w:rPr>
        <w:t>ogó</w:t>
      </w:r>
      <w:r w:rsidRPr="002F16A1">
        <w:rPr>
          <w:noProof/>
        </w:rPr>
        <w:t>lnounijnego łańcucha wartości surowców krytycznych. Ponadto istnieje niewielkie prawdopodobieństwo, że podejście realizowane jedynie na poziomie państw członkowskich będzie stosowne do zaspokojenia potrzeb łańcuchów dostaw ściśle powiązanych</w:t>
      </w:r>
      <w:r w:rsidR="0028384B" w:rsidRPr="002F16A1">
        <w:rPr>
          <w:noProof/>
        </w:rPr>
        <w:t xml:space="preserve"> w</w:t>
      </w:r>
      <w:r w:rsidR="0028384B">
        <w:rPr>
          <w:noProof/>
        </w:rPr>
        <w:t> </w:t>
      </w:r>
      <w:r w:rsidR="0028384B" w:rsidRPr="002F16A1">
        <w:rPr>
          <w:noProof/>
        </w:rPr>
        <w:t>ram</w:t>
      </w:r>
      <w:r w:rsidRPr="002F16A1">
        <w:rPr>
          <w:noProof/>
        </w:rPr>
        <w:t>ach rynku wewnętrznego.</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u w:val="single"/>
        </w:rPr>
      </w:pPr>
      <w:r w:rsidRPr="002F16A1">
        <w:rPr>
          <w:noProof/>
          <w:u w:val="single"/>
        </w:rPr>
        <w:t>Oczekiwana wygenerowana unijna wartość dodana (ex post</w:t>
      </w:r>
      <w:r w:rsidRPr="0028384B">
        <w:rPr>
          <w:noProof/>
          <w:u w:val="single"/>
        </w:rPr>
        <w:t>)</w:t>
      </w:r>
      <w:r w:rsidR="0028384B" w:rsidRPr="0028384B">
        <w:rPr>
          <w:noProof/>
          <w:u w:val="single"/>
        </w:rPr>
        <w:t xml:space="preserve">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Działania UE mają zasadnicze znaczenie dla uzyskania korzyści skali</w:t>
      </w:r>
      <w:r w:rsidR="0028384B" w:rsidRPr="002F16A1">
        <w:rPr>
          <w:noProof/>
        </w:rPr>
        <w:t xml:space="preserve"> i</w:t>
      </w:r>
      <w:r w:rsidR="0028384B">
        <w:rPr>
          <w:noProof/>
        </w:rPr>
        <w:t> </w:t>
      </w:r>
      <w:r w:rsidR="0028384B" w:rsidRPr="002F16A1">
        <w:rPr>
          <w:noProof/>
        </w:rPr>
        <w:t>zak</w:t>
      </w:r>
      <w:r w:rsidRPr="002F16A1">
        <w:rPr>
          <w:noProof/>
        </w:rPr>
        <w:t>resu oraz ograniczenia,</w:t>
      </w:r>
      <w:r w:rsidR="0028384B" w:rsidRPr="002F16A1">
        <w:rPr>
          <w:noProof/>
        </w:rPr>
        <w:t xml:space="preserve"> a</w:t>
      </w:r>
      <w:r w:rsidR="0028384B">
        <w:rPr>
          <w:noProof/>
        </w:rPr>
        <w:t> </w:t>
      </w:r>
      <w:r w:rsidR="0028384B" w:rsidRPr="002F16A1">
        <w:rPr>
          <w:noProof/>
        </w:rPr>
        <w:t>naw</w:t>
      </w:r>
      <w:r w:rsidRPr="002F16A1">
        <w:rPr>
          <w:noProof/>
        </w:rPr>
        <w:t>et uniknięcia rozdrobnienia starań</w:t>
      </w:r>
      <w:r w:rsidR="0028384B" w:rsidRPr="002F16A1">
        <w:rPr>
          <w:noProof/>
        </w:rPr>
        <w:t xml:space="preserve"> i</w:t>
      </w:r>
      <w:r w:rsidR="0028384B">
        <w:rPr>
          <w:noProof/>
        </w:rPr>
        <w:t> </w:t>
      </w:r>
      <w:r w:rsidR="0028384B" w:rsidRPr="002F16A1">
        <w:rPr>
          <w:noProof/>
        </w:rPr>
        <w:t>zwi</w:t>
      </w:r>
      <w:r w:rsidRPr="002F16A1">
        <w:rPr>
          <w:noProof/>
        </w:rPr>
        <w:t>ązanej</w:t>
      </w:r>
      <w:r w:rsidR="0028384B" w:rsidRPr="002F16A1">
        <w:rPr>
          <w:noProof/>
        </w:rPr>
        <w:t xml:space="preserve"> z</w:t>
      </w:r>
      <w:r w:rsidR="0028384B">
        <w:rPr>
          <w:noProof/>
        </w:rPr>
        <w:t> </w:t>
      </w:r>
      <w:r w:rsidR="0028384B" w:rsidRPr="002F16A1">
        <w:rPr>
          <w:noProof/>
        </w:rPr>
        <w:t>nim</w:t>
      </w:r>
      <w:r w:rsidRPr="002F16A1">
        <w:rPr>
          <w:noProof/>
        </w:rPr>
        <w:t xml:space="preserve"> nieefektywności. Zgodnie z tą logiką proponowane działania koncentrują się na obszarach,</w:t>
      </w:r>
      <w:r w:rsidR="0028384B" w:rsidRPr="002F16A1">
        <w:rPr>
          <w:noProof/>
        </w:rPr>
        <w:t xml:space="preserve"> w</w:t>
      </w:r>
      <w:r w:rsidR="0028384B">
        <w:rPr>
          <w:noProof/>
        </w:rPr>
        <w:t> </w:t>
      </w:r>
      <w:r w:rsidR="0028384B" w:rsidRPr="002F16A1">
        <w:rPr>
          <w:noProof/>
        </w:rPr>
        <w:t>któ</w:t>
      </w:r>
      <w:r w:rsidRPr="002F16A1">
        <w:rPr>
          <w:noProof/>
        </w:rPr>
        <w:t>rych istnieje możliwa do wykazania wartość dodana związana</w:t>
      </w:r>
      <w:r w:rsidR="0028384B" w:rsidRPr="002F16A1">
        <w:rPr>
          <w:noProof/>
        </w:rPr>
        <w:t xml:space="preserve"> z</w:t>
      </w:r>
      <w:r w:rsidR="0028384B">
        <w:rPr>
          <w:noProof/>
        </w:rPr>
        <w:t> </w:t>
      </w:r>
      <w:r w:rsidR="0028384B" w:rsidRPr="002F16A1">
        <w:rPr>
          <w:noProof/>
        </w:rPr>
        <w:t>dzi</w:t>
      </w:r>
      <w:r w:rsidRPr="002F16A1">
        <w:rPr>
          <w:noProof/>
        </w:rPr>
        <w:t>ałaniem na poziomie Unii ze względu na skalę, szybkość</w:t>
      </w:r>
      <w:r w:rsidR="0028384B" w:rsidRPr="002F16A1">
        <w:rPr>
          <w:noProof/>
        </w:rPr>
        <w:t xml:space="preserve"> i</w:t>
      </w:r>
      <w:r w:rsidR="0028384B">
        <w:rPr>
          <w:noProof/>
        </w:rPr>
        <w:t> </w:t>
      </w:r>
      <w:r w:rsidR="0028384B" w:rsidRPr="002F16A1">
        <w:rPr>
          <w:noProof/>
        </w:rPr>
        <w:t>zak</w:t>
      </w:r>
      <w:r w:rsidRPr="002F16A1">
        <w:rPr>
          <w:noProof/>
        </w:rPr>
        <w:t>res wymaganych działań. Oto przykłady</w:t>
      </w:r>
      <w:r w:rsidRPr="0028384B">
        <w:rPr>
          <w:noProof/>
        </w:rPr>
        <w:t>:</w:t>
      </w:r>
      <w:r w:rsidR="0028384B" w:rsidRPr="0028384B">
        <w:rPr>
          <w:noProof/>
        </w:rPr>
        <w:t xml:space="preserve">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działania mające na celu mobilizację inwestycji</w:t>
      </w:r>
      <w:r w:rsidR="0028384B" w:rsidRPr="002F16A1">
        <w:rPr>
          <w:noProof/>
        </w:rPr>
        <w:t xml:space="preserve"> w</w:t>
      </w:r>
      <w:r w:rsidR="0028384B">
        <w:rPr>
          <w:noProof/>
        </w:rPr>
        <w:t> </w:t>
      </w:r>
      <w:r w:rsidR="0028384B" w:rsidRPr="002F16A1">
        <w:rPr>
          <w:noProof/>
        </w:rPr>
        <w:t>pro</w:t>
      </w:r>
      <w:r w:rsidRPr="002F16A1">
        <w:rPr>
          <w:noProof/>
        </w:rPr>
        <w:t>jekty dotyczące surowców krytycznych</w:t>
      </w:r>
      <w:r w:rsidR="0028384B" w:rsidRPr="002F16A1">
        <w:rPr>
          <w:noProof/>
        </w:rPr>
        <w:t xml:space="preserve"> w</w:t>
      </w:r>
      <w:r w:rsidR="0028384B">
        <w:rPr>
          <w:noProof/>
        </w:rPr>
        <w:t> </w:t>
      </w:r>
      <w:r w:rsidR="0028384B" w:rsidRPr="002F16A1">
        <w:rPr>
          <w:noProof/>
        </w:rPr>
        <w:t>cał</w:t>
      </w:r>
      <w:r w:rsidRPr="002F16A1">
        <w:rPr>
          <w:noProof/>
        </w:rPr>
        <w:t>ym łańcuchu wartości mogłyby być najskuteczniej opracowywane</w:t>
      </w:r>
      <w:r w:rsidR="0028384B" w:rsidRPr="002F16A1">
        <w:rPr>
          <w:noProof/>
        </w:rPr>
        <w:t xml:space="preserve"> i</w:t>
      </w:r>
      <w:r w:rsidR="0028384B">
        <w:rPr>
          <w:noProof/>
        </w:rPr>
        <w:t> </w:t>
      </w:r>
      <w:r w:rsidR="0028384B" w:rsidRPr="002F16A1">
        <w:rPr>
          <w:noProof/>
        </w:rPr>
        <w:t>koo</w:t>
      </w:r>
      <w:r w:rsidRPr="002F16A1">
        <w:rPr>
          <w:noProof/>
        </w:rPr>
        <w:t>rdynowane na szczeblu Unii, biorąc pod uwagę skalę potrzebnych inwestycji oraz fakt, że wynikające</w:t>
      </w:r>
      <w:r w:rsidR="0028384B" w:rsidRPr="002F16A1">
        <w:rPr>
          <w:noProof/>
        </w:rPr>
        <w:t xml:space="preserve"> z</w:t>
      </w:r>
      <w:r w:rsidR="0028384B">
        <w:rPr>
          <w:noProof/>
        </w:rPr>
        <w:t> </w:t>
      </w:r>
      <w:r w:rsidR="0028384B" w:rsidRPr="002F16A1">
        <w:rPr>
          <w:noProof/>
        </w:rPr>
        <w:t>nic</w:t>
      </w:r>
      <w:r w:rsidRPr="002F16A1">
        <w:rPr>
          <w:noProof/>
        </w:rPr>
        <w:t>h możliwości powinny służyć całemu rynkowi wewnętrznemu</w:t>
      </w:r>
      <w:r w:rsidRPr="0028384B">
        <w:rPr>
          <w:noProof/>
        </w:rPr>
        <w:t>;</w:t>
      </w:r>
      <w:r w:rsidR="0028384B" w:rsidRPr="0028384B">
        <w:rPr>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działania mające na celu zwiększenie zdolności</w:t>
      </w:r>
      <w:r w:rsidR="0028384B" w:rsidRPr="002F16A1">
        <w:rPr>
          <w:noProof/>
        </w:rPr>
        <w:t xml:space="preserve"> w</w:t>
      </w:r>
      <w:r w:rsidR="0028384B">
        <w:rPr>
          <w:noProof/>
        </w:rPr>
        <w:t> </w:t>
      </w:r>
      <w:r w:rsidR="0028384B" w:rsidRPr="002F16A1">
        <w:rPr>
          <w:noProof/>
        </w:rPr>
        <w:t>zak</w:t>
      </w:r>
      <w:r w:rsidRPr="002F16A1">
        <w:rPr>
          <w:noProof/>
        </w:rPr>
        <w:t>resie monitorowania na szczeblu Unii będą skuteczniejsze niż</w:t>
      </w:r>
      <w:r w:rsidR="0028384B" w:rsidRPr="002F16A1">
        <w:rPr>
          <w:noProof/>
        </w:rPr>
        <w:t xml:space="preserve"> w</w:t>
      </w:r>
      <w:r w:rsidR="0028384B">
        <w:rPr>
          <w:noProof/>
        </w:rPr>
        <w:t> </w:t>
      </w:r>
      <w:r w:rsidR="0028384B" w:rsidRPr="002F16A1">
        <w:rPr>
          <w:noProof/>
        </w:rPr>
        <w:t>prz</w:t>
      </w:r>
      <w:r w:rsidRPr="002F16A1">
        <w:rPr>
          <w:noProof/>
        </w:rPr>
        <w:t>ypadku ich nieskoordynowania. Wspólnie państwa członkowskie</w:t>
      </w:r>
      <w:r w:rsidR="0028384B" w:rsidRPr="002F16A1">
        <w:rPr>
          <w:noProof/>
        </w:rPr>
        <w:t xml:space="preserve"> i</w:t>
      </w:r>
      <w:r w:rsidR="0028384B">
        <w:rPr>
          <w:noProof/>
        </w:rPr>
        <w:t> </w:t>
      </w:r>
      <w:r w:rsidR="0028384B" w:rsidRPr="002F16A1">
        <w:rPr>
          <w:noProof/>
        </w:rPr>
        <w:t>Kom</w:t>
      </w:r>
      <w:r w:rsidRPr="002F16A1">
        <w:rPr>
          <w:noProof/>
        </w:rPr>
        <w:t>isja będą</w:t>
      </w:r>
      <w:r w:rsidR="0028384B" w:rsidRPr="002F16A1">
        <w:rPr>
          <w:noProof/>
        </w:rPr>
        <w:t xml:space="preserve"> w</w:t>
      </w:r>
      <w:r w:rsidR="0028384B">
        <w:rPr>
          <w:noProof/>
        </w:rPr>
        <w:t> </w:t>
      </w:r>
      <w:r w:rsidR="0028384B" w:rsidRPr="002F16A1">
        <w:rPr>
          <w:noProof/>
        </w:rPr>
        <w:t>sta</w:t>
      </w:r>
      <w:r w:rsidRPr="002F16A1">
        <w:rPr>
          <w:noProof/>
        </w:rPr>
        <w:t>nie przewidywać zakłócenia dostaw lepiej niż</w:t>
      </w:r>
      <w:r w:rsidR="0028384B" w:rsidRPr="002F16A1">
        <w:rPr>
          <w:noProof/>
        </w:rPr>
        <w:t xml:space="preserve"> w</w:t>
      </w:r>
      <w:r w:rsidR="0028384B">
        <w:rPr>
          <w:noProof/>
        </w:rPr>
        <w:t> </w:t>
      </w:r>
      <w:r w:rsidR="0028384B" w:rsidRPr="002F16A1">
        <w:rPr>
          <w:noProof/>
        </w:rPr>
        <w:t>dro</w:t>
      </w:r>
      <w:r w:rsidRPr="002F16A1">
        <w:rPr>
          <w:noProof/>
        </w:rPr>
        <w:t>dze wielu różnych działań krajowych. Proponowane ramy powinny umożliwiać bardziej efektywny podział zadań oraz udostępnianie istotnych informacji</w:t>
      </w:r>
      <w:r w:rsidR="0028384B" w:rsidRPr="002F16A1">
        <w:rPr>
          <w:noProof/>
        </w:rPr>
        <w:t xml:space="preserve"> w</w:t>
      </w:r>
      <w:r w:rsidR="0028384B">
        <w:rPr>
          <w:noProof/>
        </w:rPr>
        <w:t> </w:t>
      </w:r>
      <w:r w:rsidR="0028384B" w:rsidRPr="002F16A1">
        <w:rPr>
          <w:noProof/>
        </w:rPr>
        <w:t>cel</w:t>
      </w:r>
      <w:r w:rsidRPr="002F16A1">
        <w:rPr>
          <w:noProof/>
        </w:rPr>
        <w:t xml:space="preserve">u zapobiegania powielaniu działań.   </w:t>
      </w:r>
    </w:p>
    <w:p w:rsidR="00AD62E2" w:rsidRPr="002F16A1" w:rsidRDefault="00AD62E2" w:rsidP="00AD62E2">
      <w:pPr>
        <w:pStyle w:val="ManualHeading3"/>
        <w:rPr>
          <w:noProof/>
        </w:rPr>
      </w:pPr>
      <w:bookmarkStart w:id="55" w:name="_Toc514938030"/>
      <w:bookmarkStart w:id="56" w:name="_Toc520485037"/>
      <w:r w:rsidRPr="002F16A1">
        <w:rPr>
          <w:noProof/>
        </w:rPr>
        <w:t>1.5.3.</w:t>
      </w:r>
      <w:r w:rsidRPr="002F16A1">
        <w:rPr>
          <w:noProof/>
        </w:rPr>
        <w:tab/>
        <w:t>Główne wnioski wyciągnięte</w:t>
      </w:r>
      <w:r w:rsidR="0028384B" w:rsidRPr="002F16A1">
        <w:rPr>
          <w:noProof/>
        </w:rPr>
        <w:t xml:space="preserve"> z</w:t>
      </w:r>
      <w:r w:rsidR="0028384B">
        <w:rPr>
          <w:noProof/>
        </w:rPr>
        <w:t> </w:t>
      </w:r>
      <w:r w:rsidR="0028384B" w:rsidRPr="002F16A1">
        <w:rPr>
          <w:noProof/>
        </w:rPr>
        <w:t>pod</w:t>
      </w:r>
      <w:r w:rsidRPr="002F16A1">
        <w:rPr>
          <w:noProof/>
        </w:rPr>
        <w:t>obnych działań</w:t>
      </w:r>
      <w:bookmarkEnd w:id="55"/>
      <w:bookmarkEnd w:id="56"/>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W przypadku wielu surowców,</w:t>
      </w:r>
      <w:r w:rsidR="0028384B" w:rsidRPr="002F16A1">
        <w:rPr>
          <w:noProof/>
        </w:rPr>
        <w:t xml:space="preserve"> o</w:t>
      </w:r>
      <w:r w:rsidR="0028384B">
        <w:rPr>
          <w:noProof/>
        </w:rPr>
        <w:t> </w:t>
      </w:r>
      <w:r w:rsidR="0028384B" w:rsidRPr="002F16A1">
        <w:rPr>
          <w:noProof/>
        </w:rPr>
        <w:t>któ</w:t>
      </w:r>
      <w:r w:rsidRPr="002F16A1">
        <w:rPr>
          <w:noProof/>
        </w:rPr>
        <w:t>rych mowa, UE jest obecnie uzależniona prawie wyłącznie od przywozu; co ważniejsze,</w:t>
      </w:r>
      <w:r w:rsidR="0028384B" w:rsidRPr="002F16A1">
        <w:rPr>
          <w:noProof/>
        </w:rPr>
        <w:t xml:space="preserve"> w</w:t>
      </w:r>
      <w:r w:rsidR="0028384B">
        <w:rPr>
          <w:noProof/>
        </w:rPr>
        <w:t> </w:t>
      </w:r>
      <w:r w:rsidR="0028384B" w:rsidRPr="002F16A1">
        <w:rPr>
          <w:noProof/>
        </w:rPr>
        <w:t>ram</w:t>
      </w:r>
      <w:r w:rsidRPr="002F16A1">
        <w:rPr>
          <w:noProof/>
        </w:rPr>
        <w:t>ach tego przywozu panuje duża koncentracja dostawców,</w:t>
      </w:r>
      <w:r w:rsidR="0028384B" w:rsidRPr="002F16A1">
        <w:rPr>
          <w:noProof/>
        </w:rPr>
        <w:t xml:space="preserve"> a</w:t>
      </w:r>
      <w:r w:rsidR="0028384B">
        <w:rPr>
          <w:noProof/>
        </w:rPr>
        <w:t> </w:t>
      </w:r>
      <w:r w:rsidR="0028384B" w:rsidRPr="002F16A1">
        <w:rPr>
          <w:noProof/>
        </w:rPr>
        <w:t>głó</w:t>
      </w:r>
      <w:r w:rsidRPr="002F16A1">
        <w:rPr>
          <w:noProof/>
        </w:rPr>
        <w:t>wni dostawcy są</w:t>
      </w:r>
      <w:r w:rsidR="0028384B" w:rsidRPr="002F16A1">
        <w:rPr>
          <w:noProof/>
        </w:rPr>
        <w:t xml:space="preserve"> w</w:t>
      </w:r>
      <w:r w:rsidR="0028384B">
        <w:rPr>
          <w:noProof/>
        </w:rPr>
        <w:t> </w:t>
      </w:r>
      <w:r w:rsidR="0028384B" w:rsidRPr="002F16A1">
        <w:rPr>
          <w:noProof/>
        </w:rPr>
        <w:t>wie</w:t>
      </w:r>
      <w:r w:rsidRPr="002F16A1">
        <w:rPr>
          <w:noProof/>
        </w:rPr>
        <w:t>lu przypadkach narażeni na poważne ryzyka</w:t>
      </w:r>
      <w:r w:rsidR="0028384B" w:rsidRPr="002F16A1">
        <w:rPr>
          <w:noProof/>
        </w:rPr>
        <w:t xml:space="preserve"> z</w:t>
      </w:r>
      <w:r w:rsidR="0028384B">
        <w:rPr>
          <w:noProof/>
        </w:rPr>
        <w:t> </w:t>
      </w:r>
      <w:r w:rsidR="0028384B" w:rsidRPr="002F16A1">
        <w:rPr>
          <w:noProof/>
        </w:rPr>
        <w:t>zak</w:t>
      </w:r>
      <w:r w:rsidRPr="002F16A1">
        <w:rPr>
          <w:noProof/>
        </w:rPr>
        <w:t>resu ochrony środowiska, polityki społecznej</w:t>
      </w:r>
      <w:r w:rsidR="0028384B" w:rsidRPr="002F16A1">
        <w:rPr>
          <w:noProof/>
        </w:rPr>
        <w:t xml:space="preserve"> i</w:t>
      </w:r>
      <w:r w:rsidR="0028384B">
        <w:rPr>
          <w:noProof/>
        </w:rPr>
        <w:t> </w:t>
      </w:r>
      <w:r w:rsidR="0028384B" w:rsidRPr="002F16A1">
        <w:rPr>
          <w:noProof/>
        </w:rPr>
        <w:t>ład</w:t>
      </w:r>
      <w:r w:rsidRPr="002F16A1">
        <w:rPr>
          <w:noProof/>
        </w:rPr>
        <w:t xml:space="preserve">u korporacyjnego.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Udział dostaw</w:t>
      </w:r>
      <w:r w:rsidR="0028384B" w:rsidRPr="002F16A1">
        <w:rPr>
          <w:noProof/>
        </w:rPr>
        <w:t xml:space="preserve"> z</w:t>
      </w:r>
      <w:r w:rsidR="0028384B">
        <w:rPr>
          <w:noProof/>
        </w:rPr>
        <w:t> </w:t>
      </w:r>
      <w:r w:rsidR="0028384B" w:rsidRPr="002F16A1">
        <w:rPr>
          <w:noProof/>
        </w:rPr>
        <w:t>jed</w:t>
      </w:r>
      <w:r w:rsidRPr="002F16A1">
        <w:rPr>
          <w:noProof/>
        </w:rPr>
        <w:t>nego państwa przekracza niekiedy 9</w:t>
      </w:r>
      <w:r w:rsidRPr="0028384B">
        <w:rPr>
          <w:noProof/>
        </w:rPr>
        <w:t>0</w:t>
      </w:r>
      <w:r w:rsidR="0028384B" w:rsidRPr="0028384B">
        <w:rPr>
          <w:noProof/>
        </w:rPr>
        <w:t> </w:t>
      </w:r>
      <w:r w:rsidRPr="0028384B">
        <w:rPr>
          <w:noProof/>
        </w:rPr>
        <w:t>%</w:t>
      </w:r>
      <w:r w:rsidRPr="002F16A1">
        <w:rPr>
          <w:noProof/>
        </w:rPr>
        <w:t>, czego przykładem są Chiny</w:t>
      </w:r>
      <w:r w:rsidR="0028384B" w:rsidRPr="002F16A1">
        <w:rPr>
          <w:noProof/>
        </w:rPr>
        <w:t xml:space="preserve"> w</w:t>
      </w:r>
      <w:r w:rsidR="0028384B">
        <w:rPr>
          <w:noProof/>
        </w:rPr>
        <w:t> </w:t>
      </w:r>
      <w:r w:rsidR="0028384B" w:rsidRPr="002F16A1">
        <w:rPr>
          <w:noProof/>
        </w:rPr>
        <w:t>odn</w:t>
      </w:r>
      <w:r w:rsidRPr="002F16A1">
        <w:rPr>
          <w:noProof/>
        </w:rPr>
        <w:t>iesieniu do metali lekkich ziem rzadkich, metali ciężkich ziem rzadkich, galu</w:t>
      </w:r>
      <w:r w:rsidR="0028384B" w:rsidRPr="002F16A1">
        <w:rPr>
          <w:noProof/>
        </w:rPr>
        <w:t xml:space="preserve"> i</w:t>
      </w:r>
      <w:r w:rsidR="0028384B">
        <w:rPr>
          <w:noProof/>
        </w:rPr>
        <w:t> </w:t>
      </w:r>
      <w:r w:rsidR="0028384B" w:rsidRPr="002F16A1">
        <w:rPr>
          <w:noProof/>
        </w:rPr>
        <w:t>mag</w:t>
      </w:r>
      <w:r w:rsidRPr="002F16A1">
        <w:rPr>
          <w:noProof/>
        </w:rPr>
        <w:t>nezu oraz Turcja</w:t>
      </w:r>
      <w:r w:rsidR="0028384B" w:rsidRPr="002F16A1">
        <w:rPr>
          <w:noProof/>
        </w:rPr>
        <w:t xml:space="preserve"> w</w:t>
      </w:r>
      <w:r w:rsidR="0028384B">
        <w:rPr>
          <w:noProof/>
        </w:rPr>
        <w:t> </w:t>
      </w:r>
      <w:r w:rsidR="0028384B" w:rsidRPr="002F16A1">
        <w:rPr>
          <w:noProof/>
        </w:rPr>
        <w:t>zak</w:t>
      </w:r>
      <w:r w:rsidRPr="002F16A1">
        <w:rPr>
          <w:noProof/>
        </w:rPr>
        <w:t>resie boru</w:t>
      </w:r>
      <w:r w:rsidR="0028384B" w:rsidRPr="002F16A1">
        <w:rPr>
          <w:noProof/>
        </w:rPr>
        <w:t>. W</w:t>
      </w:r>
      <w:r w:rsidR="0028384B">
        <w:rPr>
          <w:noProof/>
        </w:rPr>
        <w:t> </w:t>
      </w:r>
      <w:r w:rsidR="0028384B" w:rsidRPr="002F16A1">
        <w:rPr>
          <w:noProof/>
        </w:rPr>
        <w:t>prz</w:t>
      </w:r>
      <w:r w:rsidRPr="002F16A1">
        <w:rPr>
          <w:noProof/>
        </w:rPr>
        <w:t>ypadku około jednej trzeciej minerałów poddanych ocenie krytyczności</w:t>
      </w:r>
      <w:r w:rsidR="0028384B" w:rsidRPr="002F16A1">
        <w:rPr>
          <w:noProof/>
        </w:rPr>
        <w:t xml:space="preserve"> i</w:t>
      </w:r>
      <w:r w:rsidR="0028384B">
        <w:rPr>
          <w:noProof/>
        </w:rPr>
        <w:t> </w:t>
      </w:r>
      <w:r w:rsidR="0028384B" w:rsidRPr="002F16A1">
        <w:rPr>
          <w:noProof/>
        </w:rPr>
        <w:t>poł</w:t>
      </w:r>
      <w:r w:rsidRPr="002F16A1">
        <w:rPr>
          <w:noProof/>
        </w:rPr>
        <w:t>owy surowców krytycznych podaż w UE jest bardziej skoncentrowana niż na świecie (dotyczy to boksytu, boranu lub manganu). Koncentracja ta wzrasta wzdłuż łańcucha wartości,</w:t>
      </w:r>
      <w:r w:rsidR="0028384B" w:rsidRPr="002F16A1">
        <w:rPr>
          <w:noProof/>
        </w:rPr>
        <w:t xml:space="preserve"> a</w:t>
      </w:r>
      <w:r w:rsidR="0028384B">
        <w:rPr>
          <w:noProof/>
        </w:rPr>
        <w:t> </w:t>
      </w:r>
      <w:r w:rsidR="0028384B" w:rsidRPr="002F16A1">
        <w:rPr>
          <w:noProof/>
        </w:rPr>
        <w:t>jeż</w:t>
      </w:r>
      <w:r w:rsidRPr="002F16A1">
        <w:rPr>
          <w:noProof/>
        </w:rPr>
        <w:t>eli chodzi</w:t>
      </w:r>
      <w:r w:rsidR="0028384B" w:rsidRPr="002F16A1">
        <w:rPr>
          <w:noProof/>
        </w:rPr>
        <w:t xml:space="preserve"> o</w:t>
      </w:r>
      <w:r w:rsidR="0028384B">
        <w:rPr>
          <w:noProof/>
        </w:rPr>
        <w:t> </w:t>
      </w:r>
      <w:r w:rsidR="0028384B" w:rsidRPr="002F16A1">
        <w:rPr>
          <w:noProof/>
        </w:rPr>
        <w:t>nie</w:t>
      </w:r>
      <w:r w:rsidRPr="002F16A1">
        <w:rPr>
          <w:noProof/>
        </w:rPr>
        <w:t>które surowce, takie jak lit, magnez lub german, koncentracja na etapie przetwarzania jest nawet większa niż na etapie wydobywania. Chiny kontrolują 5</w:t>
      </w:r>
      <w:r w:rsidRPr="0028384B">
        <w:rPr>
          <w:noProof/>
        </w:rPr>
        <w:t>6</w:t>
      </w:r>
      <w:r w:rsidR="0028384B" w:rsidRPr="0028384B">
        <w:rPr>
          <w:noProof/>
        </w:rPr>
        <w:t> </w:t>
      </w:r>
      <w:r w:rsidRPr="0028384B">
        <w:rPr>
          <w:noProof/>
        </w:rPr>
        <w:t>%</w:t>
      </w:r>
      <w:r w:rsidRPr="002F16A1">
        <w:rPr>
          <w:noProof/>
        </w:rPr>
        <w:t xml:space="preserve"> globalnych zdolności produkcyjnych</w:t>
      </w:r>
      <w:r w:rsidR="0028384B" w:rsidRPr="002F16A1">
        <w:rPr>
          <w:noProof/>
        </w:rPr>
        <w:t xml:space="preserve"> w</w:t>
      </w:r>
      <w:r w:rsidR="0028384B">
        <w:rPr>
          <w:noProof/>
        </w:rPr>
        <w:t> </w:t>
      </w:r>
      <w:r w:rsidR="0028384B" w:rsidRPr="002F16A1">
        <w:rPr>
          <w:noProof/>
        </w:rPr>
        <w:t>zak</w:t>
      </w:r>
      <w:r w:rsidRPr="002F16A1">
        <w:rPr>
          <w:noProof/>
        </w:rPr>
        <w:t>resie rafinowanego litu, 6</w:t>
      </w:r>
      <w:r w:rsidRPr="0028384B">
        <w:rPr>
          <w:noProof/>
        </w:rPr>
        <w:t>0</w:t>
      </w:r>
      <w:r w:rsidR="0028384B" w:rsidRPr="0028384B">
        <w:rPr>
          <w:noProof/>
        </w:rPr>
        <w:t> </w:t>
      </w:r>
      <w:r w:rsidRPr="0028384B">
        <w:rPr>
          <w:noProof/>
        </w:rPr>
        <w:t>%</w:t>
      </w:r>
      <w:r w:rsidR="0028384B" w:rsidRPr="002F16A1">
        <w:rPr>
          <w:noProof/>
        </w:rPr>
        <w:t xml:space="preserve"> w</w:t>
      </w:r>
      <w:r w:rsidR="0028384B">
        <w:rPr>
          <w:noProof/>
        </w:rPr>
        <w:t> </w:t>
      </w:r>
      <w:r w:rsidR="0028384B" w:rsidRPr="002F16A1">
        <w:rPr>
          <w:noProof/>
        </w:rPr>
        <w:t>zak</w:t>
      </w:r>
      <w:r w:rsidRPr="002F16A1">
        <w:rPr>
          <w:noProof/>
        </w:rPr>
        <w:t>resie rafinowanego kobaltu</w:t>
      </w:r>
      <w:r w:rsidR="0028384B" w:rsidRPr="002F16A1">
        <w:rPr>
          <w:noProof/>
        </w:rPr>
        <w:t xml:space="preserve"> i</w:t>
      </w:r>
      <w:r w:rsidR="0028384B">
        <w:rPr>
          <w:noProof/>
        </w:rPr>
        <w:t> </w:t>
      </w:r>
      <w:r w:rsidR="0028384B" w:rsidRPr="002F16A1">
        <w:rPr>
          <w:noProof/>
        </w:rPr>
        <w:t>5</w:t>
      </w:r>
      <w:r w:rsidRPr="0028384B">
        <w:rPr>
          <w:noProof/>
        </w:rPr>
        <w:t>8</w:t>
      </w:r>
      <w:r w:rsidR="0028384B" w:rsidRPr="0028384B">
        <w:rPr>
          <w:noProof/>
        </w:rPr>
        <w:t> </w:t>
      </w:r>
      <w:r w:rsidRPr="0028384B">
        <w:rPr>
          <w:noProof/>
        </w:rPr>
        <w:t>%</w:t>
      </w:r>
      <w:r w:rsidR="0028384B" w:rsidRPr="002F16A1">
        <w:rPr>
          <w:noProof/>
        </w:rPr>
        <w:t xml:space="preserve"> w</w:t>
      </w:r>
      <w:r w:rsidR="0028384B">
        <w:rPr>
          <w:noProof/>
        </w:rPr>
        <w:t> </w:t>
      </w:r>
      <w:r w:rsidR="0028384B" w:rsidRPr="002F16A1">
        <w:rPr>
          <w:noProof/>
        </w:rPr>
        <w:t>zak</w:t>
      </w:r>
      <w:r w:rsidRPr="002F16A1">
        <w:rPr>
          <w:noProof/>
        </w:rPr>
        <w:t>resie rafinowanego manganu. Oprócz koncentracji podaży</w:t>
      </w:r>
      <w:r w:rsidR="0028384B" w:rsidRPr="002F16A1">
        <w:rPr>
          <w:noProof/>
        </w:rPr>
        <w:t xml:space="preserve"> w</w:t>
      </w:r>
      <w:r w:rsidR="0028384B">
        <w:rPr>
          <w:noProof/>
        </w:rPr>
        <w:t> </w:t>
      </w:r>
      <w:r w:rsidR="0028384B" w:rsidRPr="002F16A1">
        <w:rPr>
          <w:noProof/>
        </w:rPr>
        <w:t>poj</w:t>
      </w:r>
      <w:r w:rsidRPr="002F16A1">
        <w:rPr>
          <w:noProof/>
        </w:rPr>
        <w:t>edynczych państwach niektóre podmioty poszerzyły swoją dominację</w:t>
      </w:r>
      <w:r w:rsidR="0028384B" w:rsidRPr="002F16A1">
        <w:rPr>
          <w:noProof/>
        </w:rPr>
        <w:t xml:space="preserve"> w</w:t>
      </w:r>
      <w:r w:rsidR="0028384B">
        <w:rPr>
          <w:noProof/>
        </w:rPr>
        <w:t> </w:t>
      </w:r>
      <w:r w:rsidR="0028384B" w:rsidRPr="002F16A1">
        <w:rPr>
          <w:noProof/>
        </w:rPr>
        <w:t>zak</w:t>
      </w:r>
      <w:r w:rsidRPr="002F16A1">
        <w:rPr>
          <w:noProof/>
        </w:rPr>
        <w:t>resie globalnego łańcucha wartości, zyskując kontrolę nad działalnością</w:t>
      </w:r>
      <w:r w:rsidR="0028384B" w:rsidRPr="002F16A1">
        <w:rPr>
          <w:noProof/>
        </w:rPr>
        <w:t xml:space="preserve"> i</w:t>
      </w:r>
      <w:r w:rsidR="0028384B">
        <w:rPr>
          <w:noProof/>
        </w:rPr>
        <w:t> </w:t>
      </w:r>
      <w:r w:rsidR="0028384B" w:rsidRPr="002F16A1">
        <w:rPr>
          <w:noProof/>
        </w:rPr>
        <w:t>akt</w:t>
      </w:r>
      <w:r w:rsidRPr="002F16A1">
        <w:rPr>
          <w:noProof/>
        </w:rPr>
        <w:t>ywami gospodarczymi</w:t>
      </w:r>
      <w:r w:rsidR="0028384B" w:rsidRPr="002F16A1">
        <w:rPr>
          <w:noProof/>
        </w:rPr>
        <w:t xml:space="preserve"> w</w:t>
      </w:r>
      <w:r w:rsidR="0028384B">
        <w:rPr>
          <w:noProof/>
        </w:rPr>
        <w:t> </w:t>
      </w:r>
      <w:r w:rsidR="0028384B" w:rsidRPr="002F16A1">
        <w:rPr>
          <w:noProof/>
        </w:rPr>
        <w:t>pań</w:t>
      </w:r>
      <w:r w:rsidRPr="002F16A1">
        <w:rPr>
          <w:noProof/>
        </w:rPr>
        <w:t>stwach trzecich, czego przykładem są Chiny kontrolujące kopalnie kobaltu</w:t>
      </w:r>
      <w:r w:rsidR="0028384B" w:rsidRPr="002F16A1">
        <w:rPr>
          <w:noProof/>
        </w:rPr>
        <w:t xml:space="preserve"> w</w:t>
      </w:r>
      <w:r w:rsidR="0028384B">
        <w:rPr>
          <w:noProof/>
        </w:rPr>
        <w:t> </w:t>
      </w:r>
      <w:r w:rsidR="0028384B" w:rsidRPr="002F16A1">
        <w:rPr>
          <w:noProof/>
        </w:rPr>
        <w:t>Kon</w:t>
      </w:r>
      <w:r w:rsidRPr="002F16A1">
        <w:rPr>
          <w:noProof/>
        </w:rPr>
        <w:t>go (chińscy akcjonariusze lub udziałowcy kontrolują dwa przedsiębiorstwa</w:t>
      </w:r>
      <w:r w:rsidR="0028384B" w:rsidRPr="002F16A1">
        <w:rPr>
          <w:noProof/>
        </w:rPr>
        <w:t xml:space="preserve"> w</w:t>
      </w:r>
      <w:r w:rsidR="0028384B">
        <w:rPr>
          <w:noProof/>
        </w:rPr>
        <w:t> </w:t>
      </w:r>
      <w:r w:rsidR="0028384B" w:rsidRPr="002F16A1">
        <w:rPr>
          <w:noProof/>
        </w:rPr>
        <w:t>Kon</w:t>
      </w:r>
      <w:r w:rsidRPr="002F16A1">
        <w:rPr>
          <w:noProof/>
        </w:rPr>
        <w:t>go, na które przypada łącznie 13,</w:t>
      </w:r>
      <w:r w:rsidRPr="0028384B">
        <w:rPr>
          <w:noProof/>
        </w:rPr>
        <w:t>8</w:t>
      </w:r>
      <w:r w:rsidR="0028384B" w:rsidRPr="0028384B">
        <w:rPr>
          <w:noProof/>
        </w:rPr>
        <w:t> </w:t>
      </w:r>
      <w:r w:rsidRPr="0028384B">
        <w:rPr>
          <w:noProof/>
        </w:rPr>
        <w:t>%</w:t>
      </w:r>
      <w:r w:rsidRPr="002F16A1">
        <w:rPr>
          <w:noProof/>
        </w:rPr>
        <w:t xml:space="preserve"> światowej produkcji kobaltu).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Taki stopień koncentracji stanowi ryzyko geopolityczne dla bezpieczeństwa dostaw w UE</w:t>
      </w:r>
      <w:r w:rsidRPr="0028384B">
        <w:rPr>
          <w:noProof/>
        </w:rPr>
        <w:t>.</w:t>
      </w:r>
      <w:r w:rsidR="0028384B" w:rsidRPr="0028384B">
        <w:rPr>
          <w:noProof/>
        </w:rPr>
        <w:t xml:space="preserve"> </w:t>
      </w:r>
    </w:p>
    <w:p w:rsidR="00AD62E2" w:rsidRPr="002F16A1" w:rsidRDefault="00AD62E2" w:rsidP="00AD62E2">
      <w:pPr>
        <w:pStyle w:val="ManualHeading3"/>
        <w:rPr>
          <w:noProof/>
        </w:rPr>
      </w:pPr>
      <w:bookmarkStart w:id="57" w:name="_Toc514938033"/>
      <w:bookmarkStart w:id="58" w:name="_Toc520485038"/>
      <w:r w:rsidRPr="002F16A1">
        <w:rPr>
          <w:noProof/>
        </w:rPr>
        <w:t>1.5.4.</w:t>
      </w:r>
      <w:r w:rsidRPr="002F16A1">
        <w:rPr>
          <w:noProof/>
        </w:rPr>
        <w:tab/>
        <w:t>Spójność</w:t>
      </w:r>
      <w:r w:rsidR="0028384B" w:rsidRPr="002F16A1">
        <w:rPr>
          <w:noProof/>
        </w:rPr>
        <w:t xml:space="preserve"> z</w:t>
      </w:r>
      <w:r w:rsidR="0028384B">
        <w:rPr>
          <w:noProof/>
        </w:rPr>
        <w:t> </w:t>
      </w:r>
      <w:r w:rsidR="0028384B" w:rsidRPr="002F16A1">
        <w:rPr>
          <w:noProof/>
        </w:rPr>
        <w:t>wie</w:t>
      </w:r>
      <w:r w:rsidRPr="002F16A1">
        <w:rPr>
          <w:noProof/>
        </w:rPr>
        <w:t>loletnimi ramami finansowymi oraz możliwa synergia</w:t>
      </w:r>
      <w:r w:rsidR="0028384B" w:rsidRPr="002F16A1">
        <w:rPr>
          <w:noProof/>
        </w:rPr>
        <w:t xml:space="preserve"> z</w:t>
      </w:r>
      <w:r w:rsidR="0028384B">
        <w:rPr>
          <w:noProof/>
        </w:rPr>
        <w:t> </w:t>
      </w:r>
      <w:r w:rsidR="0028384B" w:rsidRPr="002F16A1">
        <w:rPr>
          <w:noProof/>
        </w:rPr>
        <w:t>inn</w:t>
      </w:r>
      <w:r w:rsidRPr="002F16A1">
        <w:rPr>
          <w:noProof/>
        </w:rPr>
        <w:t>ymi właściwymi instrumentami</w:t>
      </w:r>
      <w:bookmarkEnd w:id="57"/>
      <w:bookmarkEnd w:id="58"/>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Aby możliwe było pomyślne realizowanie działań przewidzianych</w:t>
      </w:r>
      <w:r w:rsidR="0028384B" w:rsidRPr="002F16A1">
        <w:rPr>
          <w:noProof/>
        </w:rPr>
        <w:t xml:space="preserve"> w</w:t>
      </w:r>
      <w:r w:rsidR="0028384B">
        <w:rPr>
          <w:noProof/>
        </w:rPr>
        <w:t> </w:t>
      </w:r>
      <w:r w:rsidR="0028384B" w:rsidRPr="002F16A1">
        <w:rPr>
          <w:noProof/>
        </w:rPr>
        <w:t>akc</w:t>
      </w:r>
      <w:r w:rsidRPr="002F16A1">
        <w:rPr>
          <w:noProof/>
        </w:rPr>
        <w:t>ie</w:t>
      </w:r>
      <w:r w:rsidR="0028384B" w:rsidRPr="002F16A1">
        <w:rPr>
          <w:noProof/>
        </w:rPr>
        <w:t xml:space="preserve"> w</w:t>
      </w:r>
      <w:r w:rsidR="0028384B">
        <w:rPr>
          <w:noProof/>
        </w:rPr>
        <w:t> </w:t>
      </w:r>
      <w:r w:rsidR="0028384B" w:rsidRPr="002F16A1">
        <w:rPr>
          <w:noProof/>
        </w:rPr>
        <w:t>spr</w:t>
      </w:r>
      <w:r w:rsidRPr="002F16A1">
        <w:rPr>
          <w:noProof/>
        </w:rPr>
        <w:t>awie surowców krytycznych, kontynuowany będzie rozwój spójności</w:t>
      </w:r>
      <w:r w:rsidR="0028384B" w:rsidRPr="002F16A1">
        <w:rPr>
          <w:noProof/>
        </w:rPr>
        <w:t xml:space="preserve"> z</w:t>
      </w:r>
      <w:r w:rsidR="0028384B">
        <w:rPr>
          <w:noProof/>
        </w:rPr>
        <w:t> </w:t>
      </w:r>
      <w:r w:rsidR="0028384B" w:rsidRPr="002F16A1">
        <w:rPr>
          <w:noProof/>
        </w:rPr>
        <w:t>dzi</w:t>
      </w:r>
      <w:r w:rsidRPr="002F16A1">
        <w:rPr>
          <w:noProof/>
        </w:rPr>
        <w:t>ałaniami wspieranymi obecnie przez Unię</w:t>
      </w:r>
      <w:r w:rsidR="0028384B" w:rsidRPr="002F16A1">
        <w:rPr>
          <w:noProof/>
        </w:rPr>
        <w:t xml:space="preserve"> i</w:t>
      </w:r>
      <w:r w:rsidR="0028384B">
        <w:rPr>
          <w:noProof/>
        </w:rPr>
        <w:t> </w:t>
      </w:r>
      <w:r w:rsidR="0028384B" w:rsidRPr="002F16A1">
        <w:rPr>
          <w:noProof/>
        </w:rPr>
        <w:t>pań</w:t>
      </w:r>
      <w:r w:rsidRPr="002F16A1">
        <w:rPr>
          <w:noProof/>
        </w:rPr>
        <w:t>stwa członkowskie za pośrednictwem programów</w:t>
      </w:r>
      <w:r w:rsidR="0028384B" w:rsidRPr="002F16A1">
        <w:rPr>
          <w:noProof/>
        </w:rPr>
        <w:t xml:space="preserve"> i</w:t>
      </w:r>
      <w:r w:rsidR="0028384B">
        <w:rPr>
          <w:noProof/>
        </w:rPr>
        <w:t> </w:t>
      </w:r>
      <w:r w:rsidR="0028384B" w:rsidRPr="002F16A1">
        <w:rPr>
          <w:noProof/>
        </w:rPr>
        <w:t>dzi</w:t>
      </w:r>
      <w:r w:rsidRPr="002F16A1">
        <w:rPr>
          <w:noProof/>
        </w:rPr>
        <w:t>ałań</w:t>
      </w:r>
      <w:r w:rsidR="0028384B" w:rsidRPr="002F16A1">
        <w:rPr>
          <w:noProof/>
        </w:rPr>
        <w:t xml:space="preserve"> w</w:t>
      </w:r>
      <w:r w:rsidR="0028384B">
        <w:rPr>
          <w:noProof/>
        </w:rPr>
        <w:t> </w:t>
      </w:r>
      <w:r w:rsidR="0028384B" w:rsidRPr="002F16A1">
        <w:rPr>
          <w:noProof/>
        </w:rPr>
        <w:t>zak</w:t>
      </w:r>
      <w:r w:rsidRPr="002F16A1">
        <w:rPr>
          <w:noProof/>
        </w:rPr>
        <w:t>resie badań naukowych</w:t>
      </w:r>
      <w:r w:rsidR="0028384B" w:rsidRPr="002F16A1">
        <w:rPr>
          <w:noProof/>
        </w:rPr>
        <w:t xml:space="preserve"> i</w:t>
      </w:r>
      <w:r w:rsidR="0028384B">
        <w:rPr>
          <w:noProof/>
        </w:rPr>
        <w:t> </w:t>
      </w:r>
      <w:r w:rsidR="0028384B" w:rsidRPr="002F16A1">
        <w:rPr>
          <w:noProof/>
        </w:rPr>
        <w:t>inn</w:t>
      </w:r>
      <w:r w:rsidRPr="002F16A1">
        <w:rPr>
          <w:noProof/>
        </w:rPr>
        <w:t>owacji dotyczących surowców krytycznych oraz rozwoju niektórych części łańcucha dostaw. Dotyczy to</w:t>
      </w:r>
      <w:r w:rsidR="0028384B" w:rsidRPr="002F16A1">
        <w:rPr>
          <w:noProof/>
        </w:rPr>
        <w:t xml:space="preserve"> w</w:t>
      </w:r>
      <w:r w:rsidR="0028384B">
        <w:rPr>
          <w:noProof/>
        </w:rPr>
        <w:t> </w:t>
      </w:r>
      <w:r w:rsidR="0028384B" w:rsidRPr="002F16A1">
        <w:rPr>
          <w:noProof/>
        </w:rPr>
        <w:t>szc</w:t>
      </w:r>
      <w:r w:rsidRPr="002F16A1">
        <w:rPr>
          <w:noProof/>
        </w:rPr>
        <w:t>zególności programu ramowego „Horyzont Europa”</w:t>
      </w:r>
      <w:r w:rsidR="0028384B" w:rsidRPr="002F16A1">
        <w:rPr>
          <w:noProof/>
        </w:rPr>
        <w:t xml:space="preserve"> w</w:t>
      </w:r>
      <w:r w:rsidR="0028384B">
        <w:rPr>
          <w:noProof/>
        </w:rPr>
        <w:t> </w:t>
      </w:r>
      <w:r w:rsidR="0028384B" w:rsidRPr="002F16A1">
        <w:rPr>
          <w:noProof/>
        </w:rPr>
        <w:t>cel</w:t>
      </w:r>
      <w:r w:rsidRPr="002F16A1">
        <w:rPr>
          <w:noProof/>
        </w:rPr>
        <w:t>u wspierania rozwoju badań naukowych</w:t>
      </w:r>
      <w:r w:rsidR="0028384B" w:rsidRPr="002F16A1">
        <w:rPr>
          <w:noProof/>
        </w:rPr>
        <w:t xml:space="preserve"> i</w:t>
      </w:r>
      <w:r w:rsidR="0028384B">
        <w:rPr>
          <w:noProof/>
        </w:rPr>
        <w:t> </w:t>
      </w:r>
      <w:r w:rsidR="0028384B" w:rsidRPr="002F16A1">
        <w:rPr>
          <w:noProof/>
        </w:rPr>
        <w:t>inn</w:t>
      </w:r>
      <w:r w:rsidRPr="002F16A1">
        <w:rPr>
          <w:noProof/>
        </w:rPr>
        <w:t>owacji mających na celu wprowadzenie innowacyjnych rozwiązań</w:t>
      </w:r>
      <w:r w:rsidR="0028384B" w:rsidRPr="002F16A1">
        <w:rPr>
          <w:noProof/>
        </w:rPr>
        <w:t xml:space="preserve"> w</w:t>
      </w:r>
      <w:r w:rsidR="0028384B">
        <w:rPr>
          <w:noProof/>
        </w:rPr>
        <w:t> </w:t>
      </w:r>
      <w:r w:rsidR="0028384B" w:rsidRPr="002F16A1">
        <w:rPr>
          <w:noProof/>
        </w:rPr>
        <w:t>łań</w:t>
      </w:r>
      <w:r w:rsidRPr="002F16A1">
        <w:rPr>
          <w:noProof/>
        </w:rPr>
        <w:t>cuchu wartości surowców krytycznych</w:t>
      </w:r>
      <w:r w:rsidRPr="0028384B">
        <w:rPr>
          <w:noProof/>
        </w:rPr>
        <w:t>.</w:t>
      </w:r>
      <w:r w:rsidR="0028384B" w:rsidRPr="0028384B">
        <w:rPr>
          <w:noProof/>
        </w:rPr>
        <w:t xml:space="preserve">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Co więcej, odnośnie do rozwoju zrównoważonego łańcucha wartości surowców krytycznych</w:t>
      </w:r>
      <w:r w:rsidR="0028384B" w:rsidRPr="002F16A1">
        <w:rPr>
          <w:noProof/>
        </w:rPr>
        <w:t xml:space="preserve"> w</w:t>
      </w:r>
      <w:r w:rsidR="0028384B">
        <w:rPr>
          <w:noProof/>
        </w:rPr>
        <w:t> </w:t>
      </w:r>
      <w:r w:rsidR="0028384B" w:rsidRPr="002F16A1">
        <w:rPr>
          <w:noProof/>
        </w:rPr>
        <w:t>Eur</w:t>
      </w:r>
      <w:r w:rsidRPr="002F16A1">
        <w:rPr>
          <w:noProof/>
        </w:rPr>
        <w:t>opie możliwymi źródłami wsparcia na szczeblu europejskim</w:t>
      </w:r>
      <w:r w:rsidR="0028384B" w:rsidRPr="002F16A1">
        <w:rPr>
          <w:noProof/>
        </w:rPr>
        <w:t xml:space="preserve"> i</w:t>
      </w:r>
      <w:r w:rsidR="0028384B">
        <w:rPr>
          <w:noProof/>
        </w:rPr>
        <w:t> </w:t>
      </w:r>
      <w:r w:rsidR="0028384B" w:rsidRPr="002F16A1">
        <w:rPr>
          <w:noProof/>
        </w:rPr>
        <w:t>pań</w:t>
      </w:r>
      <w:r w:rsidRPr="002F16A1">
        <w:rPr>
          <w:noProof/>
        </w:rPr>
        <w:t>stw członkowskich mogą być</w:t>
      </w:r>
      <w:r w:rsidRPr="0028384B">
        <w:rPr>
          <w:noProof/>
        </w:rPr>
        <w:t>:</w:t>
      </w:r>
      <w:r w:rsidR="0028384B" w:rsidRPr="0028384B">
        <w:rPr>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wykorzystanie Instrumentu na rzecz Odbudowy</w:t>
      </w:r>
      <w:r w:rsidR="0028384B" w:rsidRPr="002F16A1">
        <w:rPr>
          <w:noProof/>
        </w:rPr>
        <w:t xml:space="preserve"> i</w:t>
      </w:r>
      <w:r w:rsidR="0028384B">
        <w:rPr>
          <w:noProof/>
        </w:rPr>
        <w:t> </w:t>
      </w:r>
      <w:r w:rsidR="0028384B" w:rsidRPr="002F16A1">
        <w:rPr>
          <w:noProof/>
        </w:rPr>
        <w:t>Zwi</w:t>
      </w:r>
      <w:r w:rsidRPr="002F16A1">
        <w:rPr>
          <w:noProof/>
        </w:rPr>
        <w:t>ększania Odporności (RRF) przez państwa członkowskie jako wkład</w:t>
      </w:r>
      <w:r w:rsidR="0028384B" w:rsidRPr="002F16A1">
        <w:rPr>
          <w:noProof/>
        </w:rPr>
        <w:t xml:space="preserve"> w</w:t>
      </w:r>
      <w:r w:rsidR="0028384B">
        <w:rPr>
          <w:noProof/>
        </w:rPr>
        <w:t> </w:t>
      </w:r>
      <w:r w:rsidR="0028384B" w:rsidRPr="002F16A1">
        <w:rPr>
          <w:noProof/>
        </w:rPr>
        <w:t>nie</w:t>
      </w:r>
      <w:r w:rsidRPr="002F16A1">
        <w:rPr>
          <w:noProof/>
        </w:rPr>
        <w:t xml:space="preserve">zbędne inwestycje;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program „Horyzont Europa”</w:t>
      </w:r>
      <w:r w:rsidRPr="0028384B">
        <w:rPr>
          <w:noProof/>
        </w:rPr>
        <w:t>;</w:t>
      </w:r>
      <w:r w:rsidR="0028384B" w:rsidRPr="0028384B">
        <w:rPr>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fundusz innowacyjny na potrzeby działań wspierających inwestycje</w:t>
      </w:r>
      <w:r w:rsidR="0028384B" w:rsidRPr="002F16A1">
        <w:rPr>
          <w:noProof/>
        </w:rPr>
        <w:t xml:space="preserve"> w</w:t>
      </w:r>
      <w:r w:rsidR="0028384B">
        <w:rPr>
          <w:noProof/>
        </w:rPr>
        <w:t> </w:t>
      </w:r>
      <w:r w:rsidR="0028384B" w:rsidRPr="002F16A1">
        <w:rPr>
          <w:noProof/>
        </w:rPr>
        <w:t>dzi</w:t>
      </w:r>
      <w:r w:rsidRPr="002F16A1">
        <w:rPr>
          <w:noProof/>
        </w:rPr>
        <w:t>edzinie surowców krytycznych, szczególnie</w:t>
      </w:r>
      <w:r w:rsidR="0028384B" w:rsidRPr="002F16A1">
        <w:rPr>
          <w:noProof/>
        </w:rPr>
        <w:t xml:space="preserve"> w</w:t>
      </w:r>
      <w:r w:rsidR="0028384B">
        <w:rPr>
          <w:noProof/>
        </w:rPr>
        <w:t> </w:t>
      </w:r>
      <w:r w:rsidR="0028384B" w:rsidRPr="002F16A1">
        <w:rPr>
          <w:noProof/>
        </w:rPr>
        <w:t>kon</w:t>
      </w:r>
      <w:r w:rsidRPr="002F16A1">
        <w:rPr>
          <w:noProof/>
        </w:rPr>
        <w:t xml:space="preserve">tekście recyklingu;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fundusze rozwoju regionalnego</w:t>
      </w:r>
      <w:r w:rsidR="0028384B" w:rsidRPr="002F16A1">
        <w:rPr>
          <w:noProof/>
        </w:rPr>
        <w:t xml:space="preserve"> i</w:t>
      </w:r>
      <w:r w:rsidR="0028384B">
        <w:rPr>
          <w:noProof/>
        </w:rPr>
        <w:t> </w:t>
      </w:r>
      <w:r w:rsidR="0028384B" w:rsidRPr="002F16A1">
        <w:rPr>
          <w:noProof/>
        </w:rPr>
        <w:t>fun</w:t>
      </w:r>
      <w:r w:rsidRPr="002F16A1">
        <w:rPr>
          <w:noProof/>
        </w:rPr>
        <w:t xml:space="preserve">dusze objęte polityką spójności oraz Fundusz na rzecz Sprawiedliwej Transformacji; </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system poręczeń</w:t>
      </w:r>
      <w:r w:rsidR="0028384B" w:rsidRPr="002F16A1">
        <w:rPr>
          <w:noProof/>
        </w:rPr>
        <w:t xml:space="preserve"> w</w:t>
      </w:r>
      <w:r w:rsidR="0028384B">
        <w:rPr>
          <w:noProof/>
        </w:rPr>
        <w:t> </w:t>
      </w:r>
      <w:r w:rsidR="0028384B" w:rsidRPr="002F16A1">
        <w:rPr>
          <w:noProof/>
        </w:rPr>
        <w:t>zak</w:t>
      </w:r>
      <w:r w:rsidRPr="002F16A1">
        <w:rPr>
          <w:noProof/>
        </w:rPr>
        <w:t>resie EFZR+</w:t>
      </w:r>
      <w:r w:rsidRPr="0028384B">
        <w:rPr>
          <w:noProof/>
        </w:rPr>
        <w:t>;</w:t>
      </w:r>
      <w:r w:rsidR="0028384B" w:rsidRPr="0028384B">
        <w:rPr>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Instrument Sąsiedztwa oraz Współpracy Międzynarodowej</w:t>
      </w:r>
      <w:r w:rsidR="0028384B" w:rsidRPr="002F16A1">
        <w:rPr>
          <w:noProof/>
        </w:rPr>
        <w:t xml:space="preserve"> i</w:t>
      </w:r>
      <w:r w:rsidR="0028384B">
        <w:rPr>
          <w:noProof/>
        </w:rPr>
        <w:t> </w:t>
      </w:r>
      <w:r w:rsidR="0028384B" w:rsidRPr="002F16A1">
        <w:rPr>
          <w:noProof/>
        </w:rPr>
        <w:t>Roz</w:t>
      </w:r>
      <w:r w:rsidRPr="002F16A1">
        <w:rPr>
          <w:noProof/>
        </w:rPr>
        <w:t>wojowej – „Globalny wymiar Europy” (oraz</w:t>
      </w:r>
      <w:r w:rsidR="0028384B" w:rsidRPr="002F16A1">
        <w:rPr>
          <w:noProof/>
        </w:rPr>
        <w:t xml:space="preserve"> w</w:t>
      </w:r>
      <w:r w:rsidR="0028384B">
        <w:rPr>
          <w:noProof/>
        </w:rPr>
        <w:t> </w:t>
      </w:r>
      <w:r w:rsidR="0028384B" w:rsidRPr="002F16A1">
        <w:rPr>
          <w:noProof/>
        </w:rPr>
        <w:t>szc</w:t>
      </w:r>
      <w:r w:rsidRPr="002F16A1">
        <w:rPr>
          <w:noProof/>
        </w:rPr>
        <w:t>zególności system poręczeń</w:t>
      </w:r>
      <w:r w:rsidR="0028384B" w:rsidRPr="002F16A1">
        <w:rPr>
          <w:noProof/>
        </w:rPr>
        <w:t xml:space="preserve"> i</w:t>
      </w:r>
      <w:r w:rsidR="0028384B">
        <w:rPr>
          <w:noProof/>
        </w:rPr>
        <w:t> </w:t>
      </w:r>
      <w:r w:rsidR="0028384B" w:rsidRPr="002F16A1">
        <w:rPr>
          <w:noProof/>
        </w:rPr>
        <w:t>ins</w:t>
      </w:r>
      <w:r w:rsidRPr="002F16A1">
        <w:rPr>
          <w:noProof/>
        </w:rPr>
        <w:t>trument łączony</w:t>
      </w:r>
      <w:r w:rsidR="0028384B" w:rsidRPr="002F16A1">
        <w:rPr>
          <w:noProof/>
        </w:rPr>
        <w:t xml:space="preserve"> w</w:t>
      </w:r>
      <w:r w:rsidR="0028384B">
        <w:rPr>
          <w:noProof/>
        </w:rPr>
        <w:t> </w:t>
      </w:r>
      <w:r w:rsidR="0028384B" w:rsidRPr="002F16A1">
        <w:rPr>
          <w:noProof/>
        </w:rPr>
        <w:t>zak</w:t>
      </w:r>
      <w:r w:rsidRPr="002F16A1">
        <w:rPr>
          <w:noProof/>
        </w:rPr>
        <w:t xml:space="preserve">resie EFZR+) oraz IPA (Instrument Pomocy Przedakcesyjnej);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Instrument Wsparcia Technicznego;</w:t>
      </w:r>
    </w:p>
    <w:p w:rsidR="00DD443B" w:rsidRPr="002F16A1" w:rsidRDefault="00DD443B"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Program na rzecz jednolitego rynku.</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Proponowaną inicjatywę można umiejscowić</w:t>
      </w:r>
      <w:r w:rsidR="0028384B" w:rsidRPr="002F16A1">
        <w:rPr>
          <w:noProof/>
        </w:rPr>
        <w:t xml:space="preserve"> w</w:t>
      </w:r>
      <w:r w:rsidR="0028384B">
        <w:rPr>
          <w:noProof/>
        </w:rPr>
        <w:t> </w:t>
      </w:r>
      <w:r w:rsidR="0028384B" w:rsidRPr="002F16A1">
        <w:rPr>
          <w:noProof/>
        </w:rPr>
        <w:t>kon</w:t>
      </w:r>
      <w:r w:rsidRPr="002F16A1">
        <w:rPr>
          <w:noProof/>
        </w:rPr>
        <w:t>tekście szeregu niedawno ogłoszonych europejskich polityk</w:t>
      </w:r>
      <w:r w:rsidR="0028384B" w:rsidRPr="002F16A1">
        <w:rPr>
          <w:noProof/>
        </w:rPr>
        <w:t xml:space="preserve"> i</w:t>
      </w:r>
      <w:r w:rsidR="0028384B">
        <w:rPr>
          <w:noProof/>
        </w:rPr>
        <w:t> </w:t>
      </w:r>
      <w:r w:rsidR="0028384B" w:rsidRPr="002F16A1">
        <w:rPr>
          <w:noProof/>
        </w:rPr>
        <w:t>pri</w:t>
      </w:r>
      <w:r w:rsidRPr="002F16A1">
        <w:rPr>
          <w:noProof/>
        </w:rPr>
        <w:t xml:space="preserve">orytetów: </w:t>
      </w:r>
    </w:p>
    <w:p w:rsidR="00AD62E2" w:rsidRPr="002F16A1" w:rsidRDefault="005D263F"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w:t>
      </w:r>
      <w:r w:rsidR="00AD62E2" w:rsidRPr="002F16A1">
        <w:rPr>
          <w:noProof/>
        </w:rPr>
        <w:t xml:space="preserve"> strategii przemysłowej UE; </w:t>
      </w:r>
    </w:p>
    <w:p w:rsidR="00AD62E2" w:rsidRPr="002F16A1" w:rsidRDefault="005D263F"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w:t>
      </w:r>
      <w:r w:rsidR="00AD62E2" w:rsidRPr="002F16A1">
        <w:rPr>
          <w:noProof/>
        </w:rPr>
        <w:t xml:space="preserve"> planu odbudowy dla Europy; </w:t>
      </w:r>
    </w:p>
    <w:p w:rsidR="00AD62E2" w:rsidRPr="002F16A1" w:rsidRDefault="005D263F"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w:t>
      </w:r>
      <w:r w:rsidR="00AD62E2" w:rsidRPr="002F16A1">
        <w:rPr>
          <w:noProof/>
        </w:rPr>
        <w:t xml:space="preserve"> planu REPowerEU; </w:t>
      </w:r>
    </w:p>
    <w:p w:rsidR="00AD62E2" w:rsidRPr="002F16A1" w:rsidRDefault="005D263F"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w:t>
      </w:r>
      <w:r w:rsidR="00AD62E2" w:rsidRPr="002F16A1">
        <w:rPr>
          <w:noProof/>
        </w:rPr>
        <w:t xml:space="preserve"> Zielonego Ładu;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badań naukowych</w:t>
      </w:r>
      <w:r w:rsidR="0028384B" w:rsidRPr="002F16A1">
        <w:rPr>
          <w:noProof/>
        </w:rPr>
        <w:t xml:space="preserve"> i</w:t>
      </w:r>
      <w:r w:rsidR="0028384B">
        <w:rPr>
          <w:noProof/>
        </w:rPr>
        <w:t> </w:t>
      </w:r>
      <w:r w:rsidR="0028384B" w:rsidRPr="002F16A1">
        <w:rPr>
          <w:noProof/>
        </w:rPr>
        <w:t>inn</w:t>
      </w:r>
      <w:r w:rsidRPr="002F16A1">
        <w:rPr>
          <w:noProof/>
        </w:rPr>
        <w:t>owacji na podstawie proponowanego programu „Horyzont Europa” filar II klaster 4 „Technologie cyfrowe, przemysł</w:t>
      </w:r>
      <w:r w:rsidR="0028384B" w:rsidRPr="002F16A1">
        <w:rPr>
          <w:noProof/>
        </w:rPr>
        <w:t xml:space="preserve"> i</w:t>
      </w:r>
      <w:r w:rsidR="0028384B">
        <w:rPr>
          <w:noProof/>
        </w:rPr>
        <w:t> </w:t>
      </w:r>
      <w:r w:rsidR="0028384B" w:rsidRPr="002F16A1">
        <w:rPr>
          <w:noProof/>
        </w:rPr>
        <w:t>prz</w:t>
      </w:r>
      <w:r w:rsidRPr="002F16A1">
        <w:rPr>
          <w:noProof/>
        </w:rPr>
        <w:t>estrzeń kosmiczna” mających na celu wniesienie konkretnego wkładu</w:t>
      </w:r>
      <w:r w:rsidR="0028384B" w:rsidRPr="002F16A1">
        <w:rPr>
          <w:noProof/>
        </w:rPr>
        <w:t xml:space="preserve"> w</w:t>
      </w:r>
      <w:r w:rsidR="0028384B">
        <w:rPr>
          <w:noProof/>
        </w:rPr>
        <w:t> </w:t>
      </w:r>
      <w:r w:rsidR="0028384B" w:rsidRPr="002F16A1">
        <w:rPr>
          <w:noProof/>
        </w:rPr>
        <w:t>trz</w:t>
      </w:r>
      <w:r w:rsidRPr="002F16A1">
        <w:rPr>
          <w:noProof/>
        </w:rPr>
        <w:t xml:space="preserve">y nadrzędne polityki UE, którymi są: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 xml:space="preserve">„Europa na miarę ery cyfrowej”;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„Gospodarka służąca ludziom” oraz</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„Europejski Zielony Ład”.</w:t>
      </w:r>
    </w:p>
    <w:p w:rsidR="00AD62E2" w:rsidRPr="002F16A1" w:rsidRDefault="00AD62E2" w:rsidP="00AD62E2">
      <w:pPr>
        <w:pStyle w:val="ManualHeading3"/>
        <w:rPr>
          <w:noProof/>
        </w:rPr>
      </w:pPr>
      <w:bookmarkStart w:id="59" w:name="_Toc514938036"/>
      <w:bookmarkStart w:id="60" w:name="_Toc520485039"/>
      <w:r w:rsidRPr="002F16A1">
        <w:rPr>
          <w:noProof/>
        </w:rPr>
        <w:t>1.5.5.</w:t>
      </w:r>
      <w:r w:rsidRPr="002F16A1">
        <w:rPr>
          <w:noProof/>
        </w:rPr>
        <w:tab/>
        <w:t>Ocena różnych dostępnych możliwości finansowania,</w:t>
      </w:r>
      <w:r w:rsidR="0028384B" w:rsidRPr="002F16A1">
        <w:rPr>
          <w:noProof/>
        </w:rPr>
        <w:t xml:space="preserve"> w</w:t>
      </w:r>
      <w:r w:rsidR="0028384B">
        <w:rPr>
          <w:noProof/>
        </w:rPr>
        <w:t> </w:t>
      </w:r>
      <w:r w:rsidR="0028384B" w:rsidRPr="002F16A1">
        <w:rPr>
          <w:noProof/>
        </w:rPr>
        <w:t>tym</w:t>
      </w:r>
      <w:r w:rsidRPr="002F16A1">
        <w:rPr>
          <w:noProof/>
        </w:rPr>
        <w:t xml:space="preserve"> zakresu przegrupowania środków</w:t>
      </w:r>
      <w:bookmarkEnd w:id="59"/>
      <w:bookmarkEnd w:id="60"/>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Nie dotyczy.</w:t>
      </w:r>
    </w:p>
    <w:p w:rsidR="00AD62E2" w:rsidRPr="002F16A1" w:rsidRDefault="00AD62E2" w:rsidP="00AD62E2">
      <w:pPr>
        <w:pStyle w:val="Text1"/>
        <w:rPr>
          <w:noProof/>
        </w:rPr>
      </w:pPr>
    </w:p>
    <w:p w:rsidR="00AD62E2" w:rsidRPr="002F16A1" w:rsidRDefault="00AD62E2" w:rsidP="00AD62E2">
      <w:pPr>
        <w:pStyle w:val="ManualHeading2"/>
        <w:rPr>
          <w:bCs/>
          <w:noProof/>
          <w:szCs w:val="24"/>
        </w:rPr>
      </w:pPr>
      <w:r w:rsidRPr="002F16A1">
        <w:rPr>
          <w:noProof/>
        </w:rPr>
        <w:br w:type="page"/>
      </w:r>
      <w:bookmarkStart w:id="61" w:name="_Toc514938039"/>
      <w:bookmarkStart w:id="62" w:name="_Toc520485040"/>
      <w:r w:rsidRPr="002F16A1">
        <w:rPr>
          <w:noProof/>
        </w:rPr>
        <w:t>1.6.</w:t>
      </w:r>
      <w:r w:rsidRPr="002F16A1">
        <w:rPr>
          <w:noProof/>
        </w:rPr>
        <w:tab/>
        <w:t>Czas trwania</w:t>
      </w:r>
      <w:r w:rsidR="0028384B" w:rsidRPr="002F16A1">
        <w:rPr>
          <w:noProof/>
        </w:rPr>
        <w:t xml:space="preserve"> i</w:t>
      </w:r>
      <w:r w:rsidR="0028384B">
        <w:rPr>
          <w:noProof/>
        </w:rPr>
        <w:t> </w:t>
      </w:r>
      <w:r w:rsidR="0028384B" w:rsidRPr="002F16A1">
        <w:rPr>
          <w:noProof/>
        </w:rPr>
        <w:t>wpł</w:t>
      </w:r>
      <w:r w:rsidRPr="002F16A1">
        <w:rPr>
          <w:noProof/>
        </w:rPr>
        <w:t>yw finansowy wniosku/inicjatywy</w:t>
      </w:r>
      <w:bookmarkEnd w:id="61"/>
      <w:bookmarkEnd w:id="62"/>
    </w:p>
    <w:p w:rsidR="00AD62E2" w:rsidRPr="002F16A1" w:rsidRDefault="00AD62E2" w:rsidP="00AD62E2">
      <w:pPr>
        <w:pStyle w:val="Text1"/>
        <w:rPr>
          <w:noProof/>
        </w:rPr>
      </w:pPr>
      <w:r w:rsidRPr="002F16A1">
        <w:rPr>
          <w:rFonts w:ascii="Wingdings" w:hAnsi="Wingdings"/>
          <w:noProof/>
        </w:rPr>
        <w:t></w:t>
      </w:r>
      <w:r w:rsidRPr="002F16A1">
        <w:rPr>
          <w:noProof/>
        </w:rPr>
        <w:t xml:space="preserve"> </w:t>
      </w:r>
      <w:r w:rsidRPr="002F16A1">
        <w:rPr>
          <w:b/>
          <w:noProof/>
        </w:rPr>
        <w:t xml:space="preserve">Ograniczony czas trwania </w:t>
      </w:r>
    </w:p>
    <w:p w:rsidR="00AD62E2" w:rsidRPr="002F16A1" w:rsidRDefault="00AD62E2" w:rsidP="00AD62E2">
      <w:pPr>
        <w:pStyle w:val="ListDash2"/>
        <w:rPr>
          <w:noProof/>
        </w:rPr>
      </w:pPr>
      <w:r w:rsidRPr="002F16A1">
        <w:rPr>
          <w:rFonts w:ascii="Wingdings" w:hAnsi="Wingdings"/>
          <w:noProof/>
        </w:rPr>
        <w:t></w:t>
      </w:r>
      <w:r w:rsidRPr="002F16A1">
        <w:rPr>
          <w:noProof/>
        </w:rPr>
        <w:tab/>
        <w:t xml:space="preserve">Okres trwania wniosku/inicjatywy: od [DD/MM]RRRR r. do [DD/MM]RRRR r. </w:t>
      </w:r>
    </w:p>
    <w:p w:rsidR="00AD62E2" w:rsidRPr="002F16A1" w:rsidRDefault="00AD62E2" w:rsidP="00AD62E2">
      <w:pPr>
        <w:pStyle w:val="ListDash2"/>
        <w:rPr>
          <w:noProof/>
        </w:rPr>
      </w:pPr>
      <w:r w:rsidRPr="002F16A1">
        <w:rPr>
          <w:rFonts w:ascii="Wingdings" w:hAnsi="Wingdings"/>
          <w:noProof/>
        </w:rPr>
        <w:t></w:t>
      </w:r>
      <w:r w:rsidRPr="002F16A1">
        <w:rPr>
          <w:noProof/>
        </w:rPr>
        <w:tab/>
        <w:t>Okres trwania wpływu finansowego: od RRRR r. do RRRR r.</w:t>
      </w:r>
      <w:r w:rsidR="0028384B" w:rsidRPr="002F16A1">
        <w:rPr>
          <w:noProof/>
        </w:rPr>
        <w:t xml:space="preserve"> w</w:t>
      </w:r>
      <w:r w:rsidR="0028384B">
        <w:rPr>
          <w:noProof/>
        </w:rPr>
        <w:t> </w:t>
      </w:r>
      <w:r w:rsidR="0028384B" w:rsidRPr="002F16A1">
        <w:rPr>
          <w:noProof/>
        </w:rPr>
        <w:t>odn</w:t>
      </w:r>
      <w:r w:rsidRPr="002F16A1">
        <w:rPr>
          <w:noProof/>
        </w:rPr>
        <w:t>iesieniu do środków na zobowiązania oraz od RRRR r. do RRRR r.</w:t>
      </w:r>
      <w:r w:rsidR="0028384B" w:rsidRPr="002F16A1">
        <w:rPr>
          <w:noProof/>
        </w:rPr>
        <w:t xml:space="preserve"> w</w:t>
      </w:r>
      <w:r w:rsidR="0028384B">
        <w:rPr>
          <w:noProof/>
        </w:rPr>
        <w:t> </w:t>
      </w:r>
      <w:r w:rsidR="0028384B" w:rsidRPr="002F16A1">
        <w:rPr>
          <w:noProof/>
        </w:rPr>
        <w:t>odn</w:t>
      </w:r>
      <w:r w:rsidRPr="002F16A1">
        <w:rPr>
          <w:noProof/>
        </w:rPr>
        <w:t xml:space="preserve">iesieniu do środków na płatności. </w:t>
      </w:r>
    </w:p>
    <w:p w:rsidR="00AD62E2" w:rsidRPr="002F16A1" w:rsidRDefault="00AD62E2" w:rsidP="00AD62E2">
      <w:pPr>
        <w:pStyle w:val="Text1"/>
        <w:rPr>
          <w:noProof/>
        </w:rPr>
      </w:pPr>
      <w:r w:rsidRPr="002F16A1">
        <w:rPr>
          <w:rStyle w:val="normaltextrun"/>
          <w:rFonts w:ascii="Wingdings 2" w:hAnsi="Wingdings 2"/>
          <w:noProof/>
          <w:color w:val="000000"/>
          <w:bdr w:val="none" w:sz="0" w:space="0" w:color="auto" w:frame="1"/>
        </w:rPr>
        <w:t></w:t>
      </w:r>
      <w:r w:rsidRPr="002F16A1">
        <w:rPr>
          <w:noProof/>
        </w:rPr>
        <w:t xml:space="preserve"> </w:t>
      </w:r>
      <w:r w:rsidRPr="002F16A1">
        <w:rPr>
          <w:b/>
          <w:noProof/>
        </w:rPr>
        <w:t>Nieograniczony czas trwania</w:t>
      </w:r>
    </w:p>
    <w:p w:rsidR="00AD62E2" w:rsidRPr="002F16A1" w:rsidRDefault="00AD62E2" w:rsidP="00AD62E2">
      <w:pPr>
        <w:pStyle w:val="ListDash1"/>
        <w:rPr>
          <w:noProof/>
        </w:rPr>
      </w:pPr>
      <w:r w:rsidRPr="002F16A1">
        <w:rPr>
          <w:noProof/>
        </w:rPr>
        <w:t>Wprowadzenie</w:t>
      </w:r>
      <w:r w:rsidR="0028384B" w:rsidRPr="002F16A1">
        <w:rPr>
          <w:noProof/>
        </w:rPr>
        <w:t xml:space="preserve"> w</w:t>
      </w:r>
      <w:r w:rsidR="0028384B">
        <w:rPr>
          <w:noProof/>
        </w:rPr>
        <w:t> </w:t>
      </w:r>
      <w:r w:rsidR="0028384B" w:rsidRPr="002F16A1">
        <w:rPr>
          <w:noProof/>
        </w:rPr>
        <w:t>życ</w:t>
      </w:r>
      <w:r w:rsidRPr="002F16A1">
        <w:rPr>
          <w:noProof/>
        </w:rPr>
        <w:t>ie</w:t>
      </w:r>
      <w:r w:rsidR="0028384B" w:rsidRPr="002F16A1">
        <w:rPr>
          <w:noProof/>
        </w:rPr>
        <w:t xml:space="preserve"> z</w:t>
      </w:r>
      <w:r w:rsidR="0028384B">
        <w:rPr>
          <w:noProof/>
        </w:rPr>
        <w:t> </w:t>
      </w:r>
      <w:r w:rsidR="0028384B" w:rsidRPr="002F16A1">
        <w:rPr>
          <w:noProof/>
        </w:rPr>
        <w:t>okr</w:t>
      </w:r>
      <w:r w:rsidRPr="002F16A1">
        <w:rPr>
          <w:noProof/>
        </w:rPr>
        <w:t>esem rozruchu od RRRR r. do RRRR r.,</w:t>
      </w:r>
    </w:p>
    <w:p w:rsidR="00AD62E2" w:rsidRPr="002F16A1" w:rsidRDefault="00AD62E2" w:rsidP="00AD62E2">
      <w:pPr>
        <w:pStyle w:val="ListDash1"/>
        <w:rPr>
          <w:noProof/>
        </w:rPr>
      </w:pPr>
      <w:r w:rsidRPr="002F16A1">
        <w:rPr>
          <w:noProof/>
        </w:rPr>
        <w:t>po którym następuje faza operacyjna.</w:t>
      </w:r>
    </w:p>
    <w:p w:rsidR="00AD62E2" w:rsidRPr="002F16A1" w:rsidRDefault="00AD62E2" w:rsidP="00AD62E2">
      <w:pPr>
        <w:pStyle w:val="ManualHeading2"/>
        <w:rPr>
          <w:bCs/>
          <w:noProof/>
          <w:szCs w:val="24"/>
        </w:rPr>
      </w:pPr>
      <w:bookmarkStart w:id="63" w:name="_Toc514938040"/>
      <w:bookmarkStart w:id="64" w:name="_Toc520485041"/>
      <w:r w:rsidRPr="002F16A1">
        <w:rPr>
          <w:noProof/>
        </w:rPr>
        <w:t>1.7.</w:t>
      </w:r>
      <w:r w:rsidRPr="002F16A1">
        <w:rPr>
          <w:noProof/>
        </w:rPr>
        <w:tab/>
        <w:t>Planowane metody wykonania budżetu</w:t>
      </w:r>
      <w:r w:rsidRPr="002F16A1">
        <w:rPr>
          <w:rStyle w:val="FootnoteReference"/>
          <w:noProof/>
        </w:rPr>
        <w:footnoteReference w:id="52"/>
      </w:r>
      <w:bookmarkEnd w:id="63"/>
      <w:bookmarkEnd w:id="64"/>
      <w:r w:rsidRPr="002F16A1">
        <w:rPr>
          <w:noProof/>
        </w:rPr>
        <w:t xml:space="preserve"> </w:t>
      </w:r>
    </w:p>
    <w:p w:rsidR="00AD62E2" w:rsidRPr="002F16A1" w:rsidRDefault="00AD62E2" w:rsidP="00AD62E2">
      <w:pPr>
        <w:pStyle w:val="Text1"/>
        <w:rPr>
          <w:noProof/>
        </w:rPr>
      </w:pPr>
      <w:r w:rsidRPr="002F16A1">
        <w:rPr>
          <w:rStyle w:val="normaltextrun"/>
          <w:rFonts w:ascii="Wingdings 2" w:hAnsi="Wingdings 2"/>
          <w:noProof/>
          <w:color w:val="000000"/>
          <w:bdr w:val="none" w:sz="0" w:space="0" w:color="auto" w:frame="1"/>
        </w:rPr>
        <w:t></w:t>
      </w:r>
      <w:r w:rsidRPr="002F16A1">
        <w:rPr>
          <w:i/>
          <w:noProof/>
        </w:rPr>
        <w:t xml:space="preserve"> </w:t>
      </w:r>
      <w:r w:rsidRPr="002F16A1">
        <w:rPr>
          <w:b/>
          <w:noProof/>
        </w:rPr>
        <w:t>Bezpośrednie zarządzanie</w:t>
      </w:r>
      <w:r w:rsidRPr="002F16A1">
        <w:rPr>
          <w:noProof/>
        </w:rPr>
        <w:t xml:space="preserve"> przez Komisję</w:t>
      </w:r>
    </w:p>
    <w:p w:rsidR="00AD62E2" w:rsidRPr="002F16A1" w:rsidRDefault="00AD62E2" w:rsidP="00AD62E2">
      <w:pPr>
        <w:pStyle w:val="ListDash2"/>
        <w:rPr>
          <w:rFonts w:cs="EUAlbertina"/>
          <w:noProof/>
        </w:rPr>
      </w:pPr>
      <w:r w:rsidRPr="002F16A1">
        <w:rPr>
          <w:rStyle w:val="normaltextrun"/>
          <w:rFonts w:ascii="Wingdings 2" w:hAnsi="Wingdings 2"/>
          <w:noProof/>
          <w:color w:val="000000"/>
          <w:bdr w:val="none" w:sz="0" w:space="0" w:color="auto" w:frame="1"/>
        </w:rPr>
        <w:t></w:t>
      </w:r>
      <w:r w:rsidR="0028384B" w:rsidRPr="002F16A1">
        <w:rPr>
          <w:noProof/>
        </w:rPr>
        <w:t xml:space="preserve"> w</w:t>
      </w:r>
      <w:r w:rsidR="0028384B">
        <w:rPr>
          <w:noProof/>
        </w:rPr>
        <w:t> </w:t>
      </w:r>
      <w:r w:rsidR="0028384B" w:rsidRPr="002F16A1">
        <w:rPr>
          <w:noProof/>
        </w:rPr>
        <w:t>ram</w:t>
      </w:r>
      <w:r w:rsidRPr="002F16A1">
        <w:rPr>
          <w:noProof/>
        </w:rPr>
        <w:t>ach jej służb,</w:t>
      </w:r>
      <w:r w:rsidR="0028384B" w:rsidRPr="002F16A1">
        <w:rPr>
          <w:noProof/>
        </w:rPr>
        <w:t xml:space="preserve"> w</w:t>
      </w:r>
      <w:r w:rsidR="0028384B">
        <w:rPr>
          <w:noProof/>
        </w:rPr>
        <w:t> </w:t>
      </w:r>
      <w:r w:rsidR="0028384B" w:rsidRPr="002F16A1">
        <w:rPr>
          <w:noProof/>
        </w:rPr>
        <w:t>tym</w:t>
      </w:r>
      <w:r w:rsidRPr="002F16A1">
        <w:rPr>
          <w:noProof/>
        </w:rPr>
        <w:t xml:space="preserve"> za pośrednictwem jej pracowników</w:t>
      </w:r>
      <w:r w:rsidR="0028384B" w:rsidRPr="002F16A1">
        <w:rPr>
          <w:noProof/>
        </w:rPr>
        <w:t xml:space="preserve"> w</w:t>
      </w:r>
      <w:r w:rsidR="0028384B">
        <w:rPr>
          <w:noProof/>
        </w:rPr>
        <w:t> </w:t>
      </w:r>
      <w:r w:rsidR="0028384B" w:rsidRPr="002F16A1">
        <w:rPr>
          <w:noProof/>
        </w:rPr>
        <w:t>del</w:t>
      </w:r>
      <w:r w:rsidRPr="002F16A1">
        <w:rPr>
          <w:noProof/>
        </w:rPr>
        <w:t xml:space="preserve">egaturach Unii; </w:t>
      </w:r>
    </w:p>
    <w:p w:rsidR="00AD62E2" w:rsidRPr="002F16A1" w:rsidRDefault="00AD62E2" w:rsidP="00AD62E2">
      <w:pPr>
        <w:pStyle w:val="ListDash2"/>
        <w:rPr>
          <w:noProof/>
        </w:rPr>
      </w:pPr>
      <w:r w:rsidRPr="002F16A1">
        <w:rPr>
          <w:rFonts w:ascii="Wingdings" w:hAnsi="Wingdings"/>
          <w:noProof/>
        </w:rPr>
        <w:t></w:t>
      </w:r>
      <w:r w:rsidRPr="002F16A1">
        <w:rPr>
          <w:noProof/>
        </w:rPr>
        <w:t xml:space="preserve"> przez agencje wykonawcze; </w:t>
      </w:r>
    </w:p>
    <w:p w:rsidR="00AD62E2" w:rsidRPr="002F16A1" w:rsidRDefault="00AD62E2" w:rsidP="00AD62E2">
      <w:pPr>
        <w:pStyle w:val="Text1"/>
        <w:rPr>
          <w:noProof/>
        </w:rPr>
      </w:pPr>
      <w:r w:rsidRPr="002F16A1">
        <w:rPr>
          <w:rFonts w:ascii="Wingdings" w:hAnsi="Wingdings"/>
          <w:noProof/>
        </w:rPr>
        <w:t></w:t>
      </w:r>
      <w:r w:rsidRPr="002F16A1">
        <w:rPr>
          <w:b/>
          <w:i/>
          <w:noProof/>
        </w:rPr>
        <w:t xml:space="preserve"> </w:t>
      </w:r>
      <w:r w:rsidRPr="002F16A1">
        <w:rPr>
          <w:b/>
          <w:noProof/>
        </w:rPr>
        <w:t>Zarządzanie dzielone</w:t>
      </w:r>
      <w:r w:rsidR="0028384B" w:rsidRPr="002F16A1">
        <w:rPr>
          <w:noProof/>
        </w:rPr>
        <w:t xml:space="preserve"> z</w:t>
      </w:r>
      <w:r w:rsidR="0028384B">
        <w:rPr>
          <w:noProof/>
        </w:rPr>
        <w:t> </w:t>
      </w:r>
      <w:r w:rsidR="0028384B" w:rsidRPr="002F16A1">
        <w:rPr>
          <w:noProof/>
        </w:rPr>
        <w:t>pań</w:t>
      </w:r>
      <w:r w:rsidRPr="002F16A1">
        <w:rPr>
          <w:noProof/>
        </w:rPr>
        <w:t xml:space="preserve">stwami członkowskimi </w:t>
      </w:r>
    </w:p>
    <w:p w:rsidR="00AD62E2" w:rsidRPr="002F16A1" w:rsidRDefault="00AD62E2" w:rsidP="00AD62E2">
      <w:pPr>
        <w:pStyle w:val="Text1"/>
        <w:rPr>
          <w:noProof/>
        </w:rPr>
      </w:pPr>
      <w:r w:rsidRPr="002F16A1">
        <w:rPr>
          <w:rFonts w:ascii="Wingdings" w:hAnsi="Wingdings"/>
          <w:noProof/>
        </w:rPr>
        <w:t></w:t>
      </w:r>
      <w:r w:rsidRPr="002F16A1">
        <w:rPr>
          <w:i/>
          <w:noProof/>
        </w:rPr>
        <w:t xml:space="preserve"> </w:t>
      </w:r>
      <w:r w:rsidRPr="002F16A1">
        <w:rPr>
          <w:b/>
          <w:noProof/>
        </w:rPr>
        <w:t>Zarządzanie pośrednie</w:t>
      </w:r>
      <w:r w:rsidRPr="002F16A1">
        <w:rPr>
          <w:noProof/>
        </w:rPr>
        <w:t xml:space="preserve"> poprzez przekazanie zadań związanych</w:t>
      </w:r>
      <w:r w:rsidR="0028384B" w:rsidRPr="002F16A1">
        <w:rPr>
          <w:noProof/>
        </w:rPr>
        <w:t xml:space="preserve"> z</w:t>
      </w:r>
      <w:r w:rsidR="0028384B">
        <w:rPr>
          <w:noProof/>
        </w:rPr>
        <w:t> </w:t>
      </w:r>
      <w:r w:rsidR="0028384B" w:rsidRPr="002F16A1">
        <w:rPr>
          <w:noProof/>
        </w:rPr>
        <w:t>wyk</w:t>
      </w:r>
      <w:r w:rsidRPr="002F16A1">
        <w:rPr>
          <w:noProof/>
        </w:rPr>
        <w:t>onaniem budżetu:</w:t>
      </w:r>
    </w:p>
    <w:p w:rsidR="00AD62E2" w:rsidRPr="002F16A1" w:rsidRDefault="00AD62E2" w:rsidP="00AD62E2">
      <w:pPr>
        <w:pStyle w:val="ListDash2"/>
        <w:rPr>
          <w:noProof/>
        </w:rPr>
      </w:pPr>
      <w:r w:rsidRPr="002F16A1">
        <w:rPr>
          <w:rFonts w:ascii="Wingdings" w:hAnsi="Wingdings"/>
          <w:noProof/>
        </w:rPr>
        <w:t></w:t>
      </w:r>
      <w:r w:rsidRPr="002F16A1">
        <w:rPr>
          <w:noProof/>
        </w:rPr>
        <w:t xml:space="preserve"> państwom trzecim lub organom przez nie wyznaczonym;</w:t>
      </w:r>
    </w:p>
    <w:p w:rsidR="00AD62E2" w:rsidRPr="002F16A1" w:rsidRDefault="00AD62E2" w:rsidP="00AD62E2">
      <w:pPr>
        <w:pStyle w:val="ListDash2"/>
        <w:rPr>
          <w:noProof/>
        </w:rPr>
      </w:pPr>
      <w:r w:rsidRPr="002F16A1">
        <w:rPr>
          <w:rFonts w:ascii="Wingdings" w:hAnsi="Wingdings"/>
          <w:noProof/>
        </w:rPr>
        <w:t></w:t>
      </w:r>
      <w:r w:rsidRPr="002F16A1">
        <w:rPr>
          <w:noProof/>
        </w:rPr>
        <w:t xml:space="preserve"> organizacjom międzynarodowym</w:t>
      </w:r>
      <w:r w:rsidR="0028384B" w:rsidRPr="002F16A1">
        <w:rPr>
          <w:noProof/>
        </w:rPr>
        <w:t xml:space="preserve"> i</w:t>
      </w:r>
      <w:r w:rsidR="0028384B">
        <w:rPr>
          <w:noProof/>
        </w:rPr>
        <w:t> </w:t>
      </w:r>
      <w:r w:rsidR="0028384B" w:rsidRPr="002F16A1">
        <w:rPr>
          <w:noProof/>
        </w:rPr>
        <w:t>ich</w:t>
      </w:r>
      <w:r w:rsidRPr="002F16A1">
        <w:rPr>
          <w:noProof/>
        </w:rPr>
        <w:t xml:space="preserve"> agencjom (należy wyszczególnić);</w:t>
      </w:r>
    </w:p>
    <w:p w:rsidR="00AD62E2" w:rsidRPr="002F16A1" w:rsidRDefault="00AD62E2" w:rsidP="00AD62E2">
      <w:pPr>
        <w:pStyle w:val="ListDash2"/>
        <w:rPr>
          <w:noProof/>
        </w:rPr>
      </w:pPr>
      <w:r w:rsidRPr="002F16A1">
        <w:rPr>
          <w:rFonts w:ascii="Wingdings" w:hAnsi="Wingdings"/>
          <w:noProof/>
        </w:rPr>
        <w:t></w:t>
      </w:r>
      <w:r w:rsidRPr="002F16A1">
        <w:rPr>
          <w:noProof/>
        </w:rPr>
        <w:t xml:space="preserve"> EBI oraz Europejskiemu Funduszowi Inwestycyjnemu;</w:t>
      </w:r>
    </w:p>
    <w:p w:rsidR="00AD62E2" w:rsidRPr="002F16A1" w:rsidRDefault="00AD62E2" w:rsidP="00AD62E2">
      <w:pPr>
        <w:pStyle w:val="ListDash2"/>
        <w:rPr>
          <w:noProof/>
        </w:rPr>
      </w:pPr>
      <w:r w:rsidRPr="002F16A1">
        <w:rPr>
          <w:rFonts w:ascii="Wingdings" w:hAnsi="Wingdings"/>
          <w:noProof/>
        </w:rPr>
        <w:t></w:t>
      </w:r>
      <w:r w:rsidRPr="002F16A1">
        <w:rPr>
          <w:noProof/>
        </w:rPr>
        <w:t xml:space="preserve"> organom,</w:t>
      </w:r>
      <w:r w:rsidR="0028384B" w:rsidRPr="002F16A1">
        <w:rPr>
          <w:noProof/>
        </w:rPr>
        <w:t xml:space="preserve"> o</w:t>
      </w:r>
      <w:r w:rsidR="0028384B">
        <w:rPr>
          <w:noProof/>
        </w:rPr>
        <w:t> </w:t>
      </w:r>
      <w:r w:rsidR="0028384B" w:rsidRPr="002F16A1">
        <w:rPr>
          <w:noProof/>
        </w:rPr>
        <w:t>któ</w:t>
      </w:r>
      <w:r w:rsidRPr="002F16A1">
        <w:rPr>
          <w:noProof/>
        </w:rPr>
        <w:t>rych mowa</w:t>
      </w:r>
      <w:r w:rsidR="0028384B" w:rsidRPr="002F16A1">
        <w:rPr>
          <w:noProof/>
        </w:rPr>
        <w:t xml:space="preserve"> w</w:t>
      </w:r>
      <w:r w:rsidR="0028384B">
        <w:rPr>
          <w:noProof/>
        </w:rPr>
        <w:t> </w:t>
      </w:r>
      <w:r w:rsidR="0028384B" w:rsidRPr="0028384B">
        <w:rPr>
          <w:noProof/>
        </w:rPr>
        <w:t>art</w:t>
      </w:r>
      <w:r w:rsidRPr="0028384B">
        <w:rPr>
          <w:noProof/>
        </w:rPr>
        <w:t>.</w:t>
      </w:r>
      <w:r w:rsidR="0028384B" w:rsidRPr="0028384B">
        <w:rPr>
          <w:noProof/>
        </w:rPr>
        <w:t> </w:t>
      </w:r>
      <w:r w:rsidRPr="0028384B">
        <w:rPr>
          <w:noProof/>
        </w:rPr>
        <w:t>7</w:t>
      </w:r>
      <w:r w:rsidRPr="002F16A1">
        <w:rPr>
          <w:noProof/>
        </w:rPr>
        <w:t>0</w:t>
      </w:r>
      <w:r w:rsidR="0028384B" w:rsidRPr="002F16A1">
        <w:rPr>
          <w:noProof/>
        </w:rPr>
        <w:t xml:space="preserve"> i</w:t>
      </w:r>
      <w:r w:rsidR="0028384B">
        <w:rPr>
          <w:noProof/>
        </w:rPr>
        <w:t> </w:t>
      </w:r>
      <w:r w:rsidR="0028384B" w:rsidRPr="002F16A1">
        <w:rPr>
          <w:noProof/>
        </w:rPr>
        <w:t>7</w:t>
      </w:r>
      <w:r w:rsidRPr="002F16A1">
        <w:rPr>
          <w:noProof/>
        </w:rPr>
        <w:t>1 rozporządzenia finansowego;</w:t>
      </w:r>
    </w:p>
    <w:p w:rsidR="00AD62E2" w:rsidRPr="002F16A1" w:rsidRDefault="00AD62E2" w:rsidP="00AD62E2">
      <w:pPr>
        <w:pStyle w:val="ListDash2"/>
        <w:rPr>
          <w:noProof/>
        </w:rPr>
      </w:pPr>
      <w:r w:rsidRPr="002F16A1">
        <w:rPr>
          <w:rFonts w:ascii="Wingdings" w:hAnsi="Wingdings"/>
          <w:noProof/>
        </w:rPr>
        <w:t></w:t>
      </w:r>
      <w:r w:rsidRPr="002F16A1">
        <w:rPr>
          <w:noProof/>
        </w:rPr>
        <w:t xml:space="preserve"> organom prawa publicznego;</w:t>
      </w:r>
    </w:p>
    <w:p w:rsidR="00AD62E2" w:rsidRPr="002F16A1" w:rsidRDefault="00AD62E2" w:rsidP="00AD62E2">
      <w:pPr>
        <w:pStyle w:val="ListDash2"/>
        <w:rPr>
          <w:noProof/>
        </w:rPr>
      </w:pPr>
      <w:r w:rsidRPr="002F16A1">
        <w:rPr>
          <w:rFonts w:ascii="Wingdings" w:hAnsi="Wingdings"/>
          <w:noProof/>
        </w:rPr>
        <w:t></w:t>
      </w:r>
      <w:r w:rsidRPr="002F16A1">
        <w:rPr>
          <w:noProof/>
        </w:rPr>
        <w:t xml:space="preserve"> podmiotom podlegającym prawu prywatnemu, które świadczą usługi użyteczności publicznej,</w:t>
      </w:r>
      <w:r w:rsidR="0028384B" w:rsidRPr="002F16A1">
        <w:rPr>
          <w:noProof/>
        </w:rPr>
        <w:t xml:space="preserve"> o</w:t>
      </w:r>
      <w:r w:rsidR="0028384B">
        <w:rPr>
          <w:noProof/>
        </w:rPr>
        <w:t> </w:t>
      </w:r>
      <w:r w:rsidR="0028384B" w:rsidRPr="002F16A1">
        <w:rPr>
          <w:noProof/>
        </w:rPr>
        <w:t>ile</w:t>
      </w:r>
      <w:r w:rsidRPr="002F16A1">
        <w:rPr>
          <w:noProof/>
        </w:rPr>
        <w:t xml:space="preserve"> są im zapewnione odpowiednie gwarancje finansowe;</w:t>
      </w:r>
    </w:p>
    <w:p w:rsidR="00AD62E2" w:rsidRPr="002F16A1" w:rsidRDefault="00AD62E2" w:rsidP="00AD62E2">
      <w:pPr>
        <w:pStyle w:val="ListDash2"/>
        <w:rPr>
          <w:noProof/>
        </w:rPr>
      </w:pPr>
      <w:r w:rsidRPr="002F16A1">
        <w:rPr>
          <w:rFonts w:ascii="Wingdings" w:hAnsi="Wingdings"/>
          <w:noProof/>
        </w:rPr>
        <w:t></w:t>
      </w:r>
      <w:r w:rsidRPr="002F16A1">
        <w:rPr>
          <w:noProof/>
        </w:rPr>
        <w:t xml:space="preserve"> podmiotom podlegającym prawu prywatnemu państwa członkowskiego, którym powierzono realizację partnerstwa publiczno-prywatnego</w:t>
      </w:r>
      <w:r w:rsidR="0028384B" w:rsidRPr="002F16A1">
        <w:rPr>
          <w:noProof/>
        </w:rPr>
        <w:t xml:space="preserve"> i</w:t>
      </w:r>
      <w:r w:rsidR="0028384B">
        <w:rPr>
          <w:noProof/>
        </w:rPr>
        <w:t> </w:t>
      </w:r>
      <w:r w:rsidR="0028384B" w:rsidRPr="002F16A1">
        <w:rPr>
          <w:noProof/>
        </w:rPr>
        <w:t>zap</w:t>
      </w:r>
      <w:r w:rsidRPr="002F16A1">
        <w:rPr>
          <w:noProof/>
        </w:rPr>
        <w:t>ewniono odpowiednie gwarancje finansowe;</w:t>
      </w:r>
    </w:p>
    <w:p w:rsidR="00AD62E2" w:rsidRPr="002F16A1" w:rsidRDefault="00AD62E2" w:rsidP="00AD62E2">
      <w:pPr>
        <w:pStyle w:val="ListDash2"/>
        <w:rPr>
          <w:noProof/>
        </w:rPr>
      </w:pPr>
      <w:r w:rsidRPr="002F16A1">
        <w:rPr>
          <w:rFonts w:ascii="Wingdings" w:hAnsi="Wingdings"/>
          <w:noProof/>
        </w:rPr>
        <w:t></w:t>
      </w:r>
      <w:r w:rsidRPr="002F16A1">
        <w:rPr>
          <w:noProof/>
        </w:rPr>
        <w:t xml:space="preserve"> podmiotom lub osobom odpowiedzialnym za wykonanie określonych działań</w:t>
      </w:r>
      <w:r w:rsidR="0028384B" w:rsidRPr="002F16A1">
        <w:rPr>
          <w:noProof/>
        </w:rPr>
        <w:t xml:space="preserve"> w</w:t>
      </w:r>
      <w:r w:rsidR="0028384B">
        <w:rPr>
          <w:noProof/>
        </w:rPr>
        <w:t> </w:t>
      </w:r>
      <w:r w:rsidR="0028384B" w:rsidRPr="002F16A1">
        <w:rPr>
          <w:noProof/>
        </w:rPr>
        <w:t>dzi</w:t>
      </w:r>
      <w:r w:rsidRPr="002F16A1">
        <w:rPr>
          <w:noProof/>
        </w:rPr>
        <w:t>edzinie wspólnej polityki zagranicznej</w:t>
      </w:r>
      <w:r w:rsidR="0028384B" w:rsidRPr="002F16A1">
        <w:rPr>
          <w:noProof/>
        </w:rPr>
        <w:t xml:space="preserve"> i</w:t>
      </w:r>
      <w:r w:rsidR="0028384B">
        <w:rPr>
          <w:noProof/>
        </w:rPr>
        <w:t> </w:t>
      </w:r>
      <w:r w:rsidR="0028384B" w:rsidRPr="002F16A1">
        <w:rPr>
          <w:noProof/>
        </w:rPr>
        <w:t>bez</w:t>
      </w:r>
      <w:r w:rsidRPr="002F16A1">
        <w:rPr>
          <w:noProof/>
        </w:rPr>
        <w:t>pieczeństwa na mocy tytułu V Traktatu</w:t>
      </w:r>
      <w:r w:rsidR="0028384B" w:rsidRPr="002F16A1">
        <w:rPr>
          <w:noProof/>
        </w:rPr>
        <w:t xml:space="preserve"> o</w:t>
      </w:r>
      <w:r w:rsidR="0028384B">
        <w:rPr>
          <w:noProof/>
        </w:rPr>
        <w:t> </w:t>
      </w:r>
      <w:r w:rsidR="0028384B" w:rsidRPr="002F16A1">
        <w:rPr>
          <w:noProof/>
        </w:rPr>
        <w:t>Uni</w:t>
      </w:r>
      <w:r w:rsidRPr="002F16A1">
        <w:rPr>
          <w:noProof/>
        </w:rPr>
        <w:t>i Europejskiej oraz określonym we właściwym podstawowym akcie prawnym.</w:t>
      </w:r>
    </w:p>
    <w:p w:rsidR="00AD62E2" w:rsidRPr="002F16A1" w:rsidRDefault="00AD62E2" w:rsidP="00AD62E2">
      <w:pPr>
        <w:pStyle w:val="ListDash2"/>
        <w:rPr>
          <w:i/>
          <w:noProof/>
          <w:sz w:val="18"/>
          <w:u w:val="single"/>
        </w:rPr>
      </w:pPr>
      <w:r w:rsidRPr="002F16A1">
        <w:rPr>
          <w:i/>
          <w:noProof/>
          <w:sz w:val="18"/>
        </w:rPr>
        <w:t>W przypadku wskazania więcej niż jednego trybu należy podać dodatkowe informacje</w:t>
      </w:r>
      <w:r w:rsidR="0028384B" w:rsidRPr="002F16A1">
        <w:rPr>
          <w:i/>
          <w:noProof/>
          <w:sz w:val="18"/>
        </w:rPr>
        <w:t xml:space="preserve"> w</w:t>
      </w:r>
      <w:r w:rsidR="0028384B">
        <w:rPr>
          <w:i/>
          <w:noProof/>
          <w:sz w:val="18"/>
        </w:rPr>
        <w:t> </w:t>
      </w:r>
      <w:r w:rsidR="0028384B" w:rsidRPr="002F16A1">
        <w:rPr>
          <w:i/>
          <w:noProof/>
          <w:sz w:val="18"/>
        </w:rPr>
        <w:t>czę</w:t>
      </w:r>
      <w:r w:rsidRPr="002F16A1">
        <w:rPr>
          <w:i/>
          <w:noProof/>
          <w:sz w:val="18"/>
        </w:rPr>
        <w:t>ści „Uwagi”.</w:t>
      </w:r>
    </w:p>
    <w:p w:rsidR="00AD62E2" w:rsidRPr="002F16A1" w:rsidRDefault="00AD62E2" w:rsidP="00AD62E2">
      <w:pPr>
        <w:rPr>
          <w:noProof/>
        </w:rPr>
      </w:pPr>
      <w:r w:rsidRPr="002F16A1">
        <w:rPr>
          <w:noProof/>
        </w:rPr>
        <w:t xml:space="preserve">Uwagi </w:t>
      </w:r>
    </w:p>
    <w:p w:rsidR="00AD62E2" w:rsidRPr="002F16A1" w:rsidRDefault="00AD62E2" w:rsidP="00AD62E2">
      <w:pPr>
        <w:pBdr>
          <w:top w:val="single" w:sz="4" w:space="1" w:color="auto"/>
          <w:left w:val="single" w:sz="4" w:space="4" w:color="auto"/>
          <w:bottom w:val="single" w:sz="4" w:space="1" w:color="auto"/>
          <w:right w:val="single" w:sz="4" w:space="4" w:color="auto"/>
        </w:pBdr>
        <w:rPr>
          <w:noProof/>
        </w:rPr>
        <w:sectPr w:rsidR="00AD62E2" w:rsidRPr="002F16A1" w:rsidSect="00D32217">
          <w:pgSz w:w="11907" w:h="16840" w:code="9"/>
          <w:pgMar w:top="1134" w:right="1418" w:bottom="1134" w:left="1418" w:header="709" w:footer="709" w:gutter="0"/>
          <w:cols w:space="708"/>
          <w:docGrid w:linePitch="360"/>
        </w:sectPr>
      </w:pPr>
      <w:r w:rsidRPr="002F16A1">
        <w:rPr>
          <w:noProof/>
        </w:rPr>
        <w:t xml:space="preserve"> </w:t>
      </w:r>
    </w:p>
    <w:p w:rsidR="00AD62E2" w:rsidRPr="002F16A1" w:rsidRDefault="00AD62E2" w:rsidP="00AD62E2">
      <w:pPr>
        <w:pStyle w:val="ManualHeading1"/>
        <w:rPr>
          <w:bCs/>
          <w:noProof/>
          <w:szCs w:val="24"/>
        </w:rPr>
      </w:pPr>
      <w:bookmarkStart w:id="65" w:name="_Toc514938041"/>
      <w:bookmarkStart w:id="66" w:name="_Toc520485042"/>
      <w:r w:rsidRPr="002F16A1">
        <w:rPr>
          <w:noProof/>
        </w:rPr>
        <w:t>2.</w:t>
      </w:r>
      <w:r w:rsidRPr="002F16A1">
        <w:rPr>
          <w:noProof/>
        </w:rPr>
        <w:tab/>
        <w:t>ŚRODKI ZARZĄDZANIA</w:t>
      </w:r>
      <w:bookmarkEnd w:id="65"/>
      <w:bookmarkEnd w:id="66"/>
      <w:r w:rsidRPr="002F16A1">
        <w:rPr>
          <w:noProof/>
        </w:rPr>
        <w:t xml:space="preserve"> </w:t>
      </w:r>
    </w:p>
    <w:p w:rsidR="00AD62E2" w:rsidRPr="002F16A1" w:rsidRDefault="00AD62E2" w:rsidP="00AD62E2">
      <w:pPr>
        <w:pStyle w:val="ManualHeading2"/>
        <w:rPr>
          <w:noProof/>
        </w:rPr>
      </w:pPr>
      <w:bookmarkStart w:id="67" w:name="_Toc514938042"/>
      <w:bookmarkStart w:id="68" w:name="_Toc520485043"/>
      <w:r w:rsidRPr="002F16A1">
        <w:rPr>
          <w:noProof/>
        </w:rPr>
        <w:t>2.1.</w:t>
      </w:r>
      <w:r w:rsidRPr="002F16A1">
        <w:rPr>
          <w:noProof/>
        </w:rPr>
        <w:tab/>
        <w:t>Zasady nadzoru</w:t>
      </w:r>
      <w:r w:rsidR="0028384B" w:rsidRPr="002F16A1">
        <w:rPr>
          <w:noProof/>
        </w:rPr>
        <w:t xml:space="preserve"> i</w:t>
      </w:r>
      <w:r w:rsidR="0028384B">
        <w:rPr>
          <w:noProof/>
        </w:rPr>
        <w:t> </w:t>
      </w:r>
      <w:r w:rsidR="0028384B" w:rsidRPr="002F16A1">
        <w:rPr>
          <w:noProof/>
        </w:rPr>
        <w:t>spr</w:t>
      </w:r>
      <w:r w:rsidRPr="002F16A1">
        <w:rPr>
          <w:noProof/>
        </w:rPr>
        <w:t>awozdawczości</w:t>
      </w:r>
      <w:bookmarkEnd w:id="67"/>
      <w:bookmarkEnd w:id="68"/>
      <w:r w:rsidRPr="002F16A1">
        <w:rPr>
          <w:noProof/>
        </w:rPr>
        <w:t xml:space="preserve"> </w:t>
      </w:r>
    </w:p>
    <w:p w:rsidR="00AD62E2" w:rsidRPr="002F16A1" w:rsidRDefault="00AD62E2" w:rsidP="00AD62E2">
      <w:pPr>
        <w:pStyle w:val="Text1"/>
        <w:rPr>
          <w:i/>
          <w:noProof/>
          <w:sz w:val="20"/>
        </w:rPr>
      </w:pPr>
      <w:r w:rsidRPr="002F16A1">
        <w:rPr>
          <w:i/>
          <w:noProof/>
          <w:sz w:val="20"/>
        </w:rPr>
        <w:t>Określić częstotliwość</w:t>
      </w:r>
      <w:r w:rsidR="0028384B" w:rsidRPr="002F16A1">
        <w:rPr>
          <w:i/>
          <w:noProof/>
          <w:sz w:val="20"/>
        </w:rPr>
        <w:t xml:space="preserve"> i</w:t>
      </w:r>
      <w:r w:rsidR="0028384B">
        <w:rPr>
          <w:i/>
          <w:noProof/>
          <w:sz w:val="20"/>
        </w:rPr>
        <w:t> </w:t>
      </w:r>
      <w:r w:rsidR="0028384B" w:rsidRPr="002F16A1">
        <w:rPr>
          <w:i/>
          <w:noProof/>
          <w:sz w:val="20"/>
        </w:rPr>
        <w:t>war</w:t>
      </w:r>
      <w:r w:rsidRPr="002F16A1">
        <w:rPr>
          <w:i/>
          <w:noProof/>
          <w:sz w:val="20"/>
        </w:rPr>
        <w:t>unki</w:t>
      </w:r>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rStyle w:val="normaltextrun"/>
          <w:noProof/>
          <w:color w:val="000000"/>
          <w:shd w:val="clear" w:color="auto" w:fill="FFFFFF"/>
        </w:rPr>
        <w:t>Rozporządzenie przewiduje ustanowienie Europejskiej Rady ds. Surowców Krytycznych pełniącej funkcje doradcze. Komisja będzie miała swojego przedstawiciela</w:t>
      </w:r>
      <w:r w:rsidR="0028384B" w:rsidRPr="002F16A1">
        <w:rPr>
          <w:rStyle w:val="normaltextrun"/>
          <w:noProof/>
          <w:color w:val="000000"/>
          <w:shd w:val="clear" w:color="auto" w:fill="FFFFFF"/>
        </w:rPr>
        <w:t xml:space="preserve"> w</w:t>
      </w:r>
      <w:r w:rsidR="0028384B">
        <w:rPr>
          <w:rStyle w:val="normaltextrun"/>
          <w:noProof/>
          <w:color w:val="000000"/>
          <w:shd w:val="clear" w:color="auto" w:fill="FFFFFF"/>
        </w:rPr>
        <w:t> </w:t>
      </w:r>
      <w:r w:rsidR="0028384B" w:rsidRPr="002F16A1">
        <w:rPr>
          <w:rStyle w:val="normaltextrun"/>
          <w:noProof/>
          <w:color w:val="000000"/>
          <w:shd w:val="clear" w:color="auto" w:fill="FFFFFF"/>
        </w:rPr>
        <w:t>tej</w:t>
      </w:r>
      <w:r w:rsidRPr="002F16A1">
        <w:rPr>
          <w:rStyle w:val="normaltextrun"/>
          <w:noProof/>
          <w:color w:val="000000"/>
          <w:shd w:val="clear" w:color="auto" w:fill="FFFFFF"/>
        </w:rPr>
        <w:t xml:space="preserve"> Radzie. Monitorowanie zapasów strategicznych, ich koordynacja lub wybór projektów strategicznych będą przeprowadzane przy wsparciu rzeczonej Rady</w:t>
      </w:r>
      <w:r w:rsidRPr="0028384B">
        <w:rPr>
          <w:rStyle w:val="normaltextrun"/>
          <w:noProof/>
          <w:color w:val="000000"/>
          <w:shd w:val="clear" w:color="auto" w:fill="FFFFFF"/>
        </w:rPr>
        <w:t>.</w:t>
      </w:r>
      <w:r w:rsidR="0028384B" w:rsidRPr="0028384B">
        <w:rPr>
          <w:rStyle w:val="normaltextrun"/>
          <w:noProof/>
          <w:color w:val="000000"/>
          <w:shd w:val="clear" w:color="auto" w:fill="FFFFFF"/>
        </w:rPr>
        <w:t xml:space="preserve"> </w:t>
      </w:r>
    </w:p>
    <w:p w:rsidR="00AD62E2" w:rsidRPr="002F16A1" w:rsidRDefault="00AD62E2" w:rsidP="00AD62E2">
      <w:pPr>
        <w:pStyle w:val="ManualHeading2"/>
        <w:rPr>
          <w:bCs/>
          <w:noProof/>
          <w:szCs w:val="24"/>
        </w:rPr>
      </w:pPr>
      <w:bookmarkStart w:id="69" w:name="_Toc514938045"/>
      <w:bookmarkStart w:id="70" w:name="_Toc520485044"/>
      <w:r w:rsidRPr="002F16A1">
        <w:rPr>
          <w:noProof/>
        </w:rPr>
        <w:t>2.2.</w:t>
      </w:r>
      <w:r w:rsidRPr="002F16A1">
        <w:rPr>
          <w:noProof/>
        </w:rPr>
        <w:tab/>
        <w:t>System zarządzania</w:t>
      </w:r>
      <w:r w:rsidR="0028384B" w:rsidRPr="002F16A1">
        <w:rPr>
          <w:noProof/>
        </w:rPr>
        <w:t xml:space="preserve"> i</w:t>
      </w:r>
      <w:r w:rsidR="0028384B">
        <w:rPr>
          <w:noProof/>
        </w:rPr>
        <w:t> </w:t>
      </w:r>
      <w:r w:rsidR="0028384B" w:rsidRPr="002F16A1">
        <w:rPr>
          <w:noProof/>
        </w:rPr>
        <w:t>kon</w:t>
      </w:r>
      <w:r w:rsidRPr="002F16A1">
        <w:rPr>
          <w:noProof/>
        </w:rPr>
        <w:t>troli</w:t>
      </w:r>
      <w:bookmarkEnd w:id="69"/>
      <w:bookmarkEnd w:id="70"/>
      <w:r w:rsidRPr="002F16A1">
        <w:rPr>
          <w:noProof/>
        </w:rPr>
        <w:t xml:space="preserve"> </w:t>
      </w:r>
    </w:p>
    <w:p w:rsidR="00AD62E2" w:rsidRPr="002F16A1" w:rsidRDefault="00AD62E2" w:rsidP="00AD62E2">
      <w:pPr>
        <w:pStyle w:val="ManualHeading3"/>
        <w:rPr>
          <w:noProof/>
        </w:rPr>
      </w:pPr>
      <w:bookmarkStart w:id="71" w:name="_Toc514938046"/>
      <w:bookmarkStart w:id="72" w:name="_Toc520485045"/>
      <w:r w:rsidRPr="002F16A1">
        <w:rPr>
          <w:noProof/>
        </w:rPr>
        <w:t>2.2.1.</w:t>
      </w:r>
      <w:r w:rsidRPr="002F16A1">
        <w:rPr>
          <w:noProof/>
        </w:rPr>
        <w:tab/>
        <w:t>Uzasadnienie dla systemu zarządzania, mechanizmów finansowania wykonania, warunków płatności</w:t>
      </w:r>
      <w:r w:rsidR="0028384B" w:rsidRPr="002F16A1">
        <w:rPr>
          <w:noProof/>
        </w:rPr>
        <w:t xml:space="preserve"> i</w:t>
      </w:r>
      <w:r w:rsidR="0028384B">
        <w:rPr>
          <w:noProof/>
        </w:rPr>
        <w:t> </w:t>
      </w:r>
      <w:r w:rsidR="0028384B" w:rsidRPr="002F16A1">
        <w:rPr>
          <w:noProof/>
        </w:rPr>
        <w:t>pro</w:t>
      </w:r>
      <w:r w:rsidRPr="002F16A1">
        <w:rPr>
          <w:noProof/>
        </w:rPr>
        <w:t>ponowanej strategii kontroli</w:t>
      </w:r>
      <w:bookmarkEnd w:id="71"/>
      <w:bookmarkEnd w:id="72"/>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Rozporządzenie wprowadza nowe ramy polityki</w:t>
      </w:r>
      <w:r w:rsidR="0028384B" w:rsidRPr="002F16A1">
        <w:rPr>
          <w:noProof/>
        </w:rPr>
        <w:t xml:space="preserve"> w</w:t>
      </w:r>
      <w:r w:rsidR="0028384B">
        <w:rPr>
          <w:noProof/>
        </w:rPr>
        <w:t> </w:t>
      </w:r>
      <w:r w:rsidR="0028384B" w:rsidRPr="002F16A1">
        <w:rPr>
          <w:noProof/>
        </w:rPr>
        <w:t>zak</w:t>
      </w:r>
      <w:r w:rsidRPr="002F16A1">
        <w:rPr>
          <w:noProof/>
        </w:rPr>
        <w:t>resie przyciągania inwestycji</w:t>
      </w:r>
      <w:r w:rsidR="0028384B" w:rsidRPr="002F16A1">
        <w:rPr>
          <w:noProof/>
        </w:rPr>
        <w:t xml:space="preserve"> i</w:t>
      </w:r>
      <w:r w:rsidR="0028384B">
        <w:rPr>
          <w:noProof/>
        </w:rPr>
        <w:t> </w:t>
      </w:r>
      <w:r w:rsidR="0028384B" w:rsidRPr="002F16A1">
        <w:rPr>
          <w:noProof/>
        </w:rPr>
        <w:t>roz</w:t>
      </w:r>
      <w:r w:rsidRPr="002F16A1">
        <w:rPr>
          <w:noProof/>
        </w:rPr>
        <w:t>wijania łańcucha wartości surowców krytycznych</w:t>
      </w:r>
      <w:r w:rsidR="0028384B" w:rsidRPr="002F16A1">
        <w:rPr>
          <w:noProof/>
        </w:rPr>
        <w:t xml:space="preserve"> w</w:t>
      </w:r>
      <w:r w:rsidR="0028384B">
        <w:rPr>
          <w:noProof/>
        </w:rPr>
        <w:t> </w:t>
      </w:r>
      <w:r w:rsidR="0028384B" w:rsidRPr="002F16A1">
        <w:rPr>
          <w:noProof/>
        </w:rPr>
        <w:t>Uni</w:t>
      </w:r>
      <w:r w:rsidRPr="002F16A1">
        <w:rPr>
          <w:noProof/>
        </w:rPr>
        <w:t>i. Wprowadza ono zharmonizowane przepisy zapewniające skoordynowane podejście dotyczące monitorowania, sprawozdawczości</w:t>
      </w:r>
      <w:r w:rsidR="0028384B" w:rsidRPr="002F16A1">
        <w:rPr>
          <w:noProof/>
        </w:rPr>
        <w:t xml:space="preserve"> i</w:t>
      </w:r>
      <w:r w:rsidR="0028384B">
        <w:rPr>
          <w:noProof/>
        </w:rPr>
        <w:t> </w:t>
      </w:r>
      <w:r w:rsidR="0028384B" w:rsidRPr="002F16A1">
        <w:rPr>
          <w:noProof/>
        </w:rPr>
        <w:t>oce</w:t>
      </w:r>
      <w:r w:rsidRPr="002F16A1">
        <w:rPr>
          <w:noProof/>
        </w:rPr>
        <w:t xml:space="preserve">ny ryzyka odnośnie do surowców strategicznych.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Te nowe przepisy wymagają ustanowienia mechanizmu spójności</w:t>
      </w:r>
      <w:r w:rsidR="0028384B" w:rsidRPr="002F16A1">
        <w:rPr>
          <w:noProof/>
        </w:rPr>
        <w:t xml:space="preserve"> w</w:t>
      </w:r>
      <w:r w:rsidR="0028384B">
        <w:rPr>
          <w:noProof/>
        </w:rPr>
        <w:t> </w:t>
      </w:r>
      <w:r w:rsidR="0028384B" w:rsidRPr="002F16A1">
        <w:rPr>
          <w:noProof/>
        </w:rPr>
        <w:t>zak</w:t>
      </w:r>
      <w:r w:rsidRPr="002F16A1">
        <w:rPr>
          <w:noProof/>
        </w:rPr>
        <w:t>resie transgranicznego stosowania obowiązków wynikających</w:t>
      </w:r>
      <w:r w:rsidR="0028384B" w:rsidRPr="002F16A1">
        <w:rPr>
          <w:noProof/>
        </w:rPr>
        <w:t xml:space="preserve"> z</w:t>
      </w:r>
      <w:r w:rsidR="0028384B">
        <w:rPr>
          <w:noProof/>
        </w:rPr>
        <w:t> </w:t>
      </w:r>
      <w:r w:rsidR="0028384B" w:rsidRPr="002F16A1">
        <w:rPr>
          <w:noProof/>
        </w:rPr>
        <w:t>nin</w:t>
      </w:r>
      <w:r w:rsidRPr="002F16A1">
        <w:rPr>
          <w:noProof/>
        </w:rPr>
        <w:t>iejszego rozporządzenia oraz koordynacji działań organów krajowych</w:t>
      </w:r>
      <w:r w:rsidR="0028384B" w:rsidRPr="002F16A1">
        <w:rPr>
          <w:noProof/>
        </w:rPr>
        <w:t xml:space="preserve"> i</w:t>
      </w:r>
      <w:r w:rsidR="0028384B">
        <w:rPr>
          <w:noProof/>
        </w:rPr>
        <w:t> </w:t>
      </w:r>
      <w:r w:rsidR="0028384B" w:rsidRPr="002F16A1">
        <w:rPr>
          <w:noProof/>
        </w:rPr>
        <w:t>Kom</w:t>
      </w:r>
      <w:r w:rsidRPr="002F16A1">
        <w:rPr>
          <w:noProof/>
        </w:rPr>
        <w:t>isji za pomocą Europejskiej Rady ds. Surowców Krytycznych.</w:t>
      </w:r>
    </w:p>
    <w:p w:rsidR="00AD62E2" w:rsidRPr="0028384B" w:rsidRDefault="00AD62E2" w:rsidP="00AD62E2">
      <w:pPr>
        <w:pStyle w:val="ManualHeading3"/>
        <w:rPr>
          <w:bCs/>
          <w:noProof/>
          <w:szCs w:val="24"/>
        </w:rPr>
      </w:pPr>
      <w:bookmarkStart w:id="73" w:name="_Toc514938047"/>
      <w:bookmarkStart w:id="74" w:name="_Toc520485046"/>
      <w:r w:rsidRPr="002F16A1">
        <w:rPr>
          <w:noProof/>
        </w:rPr>
        <w:t>2.2.2.</w:t>
      </w:r>
      <w:r w:rsidRPr="002F16A1">
        <w:rPr>
          <w:noProof/>
        </w:rPr>
        <w:tab/>
        <w:t>Informacje dotyczące zidentyfikowanego ryzyka</w:t>
      </w:r>
      <w:r w:rsidR="0028384B" w:rsidRPr="002F16A1">
        <w:rPr>
          <w:noProof/>
        </w:rPr>
        <w:t xml:space="preserve"> i</w:t>
      </w:r>
      <w:r w:rsidR="0028384B">
        <w:rPr>
          <w:noProof/>
        </w:rPr>
        <w:t> </w:t>
      </w:r>
      <w:r w:rsidR="0028384B" w:rsidRPr="002F16A1">
        <w:rPr>
          <w:noProof/>
        </w:rPr>
        <w:t>sys</w:t>
      </w:r>
      <w:r w:rsidRPr="002F16A1">
        <w:rPr>
          <w:noProof/>
        </w:rPr>
        <w:t>temów kontroli wewnętrznej ustanowionych</w:t>
      </w:r>
      <w:r w:rsidR="0028384B" w:rsidRPr="002F16A1">
        <w:rPr>
          <w:noProof/>
        </w:rPr>
        <w:t xml:space="preserve"> w</w:t>
      </w:r>
      <w:r w:rsidR="0028384B">
        <w:rPr>
          <w:noProof/>
        </w:rPr>
        <w:t> </w:t>
      </w:r>
      <w:r w:rsidR="0028384B" w:rsidRPr="002F16A1">
        <w:rPr>
          <w:noProof/>
        </w:rPr>
        <w:t>cel</w:t>
      </w:r>
      <w:r w:rsidRPr="002F16A1">
        <w:rPr>
          <w:noProof/>
        </w:rPr>
        <w:t>u jego ograniczenia</w:t>
      </w:r>
      <w:bookmarkEnd w:id="73"/>
      <w:bookmarkEnd w:id="74"/>
    </w:p>
    <w:p w:rsidR="00AD62E2" w:rsidRPr="0028384B" w:rsidRDefault="00AD62E2" w:rsidP="00AD62E2">
      <w:pPr>
        <w:pStyle w:val="Text1"/>
        <w:pBdr>
          <w:top w:val="single" w:sz="4" w:space="1" w:color="auto"/>
          <w:left w:val="single" w:sz="4" w:space="4" w:color="auto"/>
          <w:bottom w:val="single" w:sz="4" w:space="1" w:color="auto"/>
          <w:right w:val="single" w:sz="4" w:space="4" w:color="auto"/>
        </w:pBdr>
        <w:rPr>
          <w:noProof/>
        </w:rPr>
      </w:pPr>
      <w:r w:rsidRPr="0028384B">
        <w:rPr>
          <w:noProof/>
        </w:rPr>
        <w:t>E</w:t>
      </w:r>
      <w:r w:rsidRPr="002F16A1">
        <w:rPr>
          <w:noProof/>
        </w:rPr>
        <w:t>uropejska Rada ds. Surowców Krytycznych ustanowiona rozporządzeniem pełni rolę doradczą. Ryzyko ogranicza się</w:t>
      </w:r>
      <w:r w:rsidR="0028384B" w:rsidRPr="002F16A1">
        <w:rPr>
          <w:noProof/>
        </w:rPr>
        <w:t xml:space="preserve"> w</w:t>
      </w:r>
      <w:r w:rsidR="0028384B">
        <w:rPr>
          <w:noProof/>
        </w:rPr>
        <w:t> </w:t>
      </w:r>
      <w:r w:rsidR="0028384B" w:rsidRPr="002F16A1">
        <w:rPr>
          <w:noProof/>
        </w:rPr>
        <w:t>dro</w:t>
      </w:r>
      <w:r w:rsidRPr="002F16A1">
        <w:rPr>
          <w:noProof/>
        </w:rPr>
        <w:t>dze uczestnictwa Komisji</w:t>
      </w:r>
      <w:r w:rsidR="0028384B" w:rsidRPr="002F16A1">
        <w:rPr>
          <w:noProof/>
        </w:rPr>
        <w:t xml:space="preserve"> w</w:t>
      </w:r>
      <w:r w:rsidR="0028384B">
        <w:rPr>
          <w:noProof/>
        </w:rPr>
        <w:t> </w:t>
      </w:r>
      <w:r w:rsidR="0028384B" w:rsidRPr="002F16A1">
        <w:rPr>
          <w:noProof/>
        </w:rPr>
        <w:t>Rad</w:t>
      </w:r>
      <w:r w:rsidRPr="002F16A1">
        <w:rPr>
          <w:noProof/>
        </w:rPr>
        <w:t>zie oraz zapewniania działania jej sekretariatu wykonawczego. Komisja będzie uczestniczyła</w:t>
      </w:r>
      <w:r w:rsidR="0028384B" w:rsidRPr="002F16A1">
        <w:rPr>
          <w:noProof/>
        </w:rPr>
        <w:t xml:space="preserve"> w</w:t>
      </w:r>
      <w:r w:rsidR="0028384B">
        <w:rPr>
          <w:noProof/>
        </w:rPr>
        <w:t> </w:t>
      </w:r>
      <w:r w:rsidR="0028384B" w:rsidRPr="002F16A1">
        <w:rPr>
          <w:noProof/>
        </w:rPr>
        <w:t>pos</w:t>
      </w:r>
      <w:r w:rsidRPr="002F16A1">
        <w:rPr>
          <w:noProof/>
        </w:rPr>
        <w:t>iedzeniach Rady, wnosiła wkład</w:t>
      </w:r>
      <w:r w:rsidR="0028384B" w:rsidRPr="002F16A1">
        <w:rPr>
          <w:noProof/>
        </w:rPr>
        <w:t xml:space="preserve"> w</w:t>
      </w:r>
      <w:r w:rsidR="0028384B">
        <w:rPr>
          <w:noProof/>
        </w:rPr>
        <w:t> </w:t>
      </w:r>
      <w:r w:rsidR="0028384B" w:rsidRPr="002F16A1">
        <w:rPr>
          <w:noProof/>
        </w:rPr>
        <w:t>wyk</w:t>
      </w:r>
      <w:r w:rsidRPr="002F16A1">
        <w:rPr>
          <w:noProof/>
        </w:rPr>
        <w:t>onywanie powierzonych jej zadań</w:t>
      </w:r>
      <w:r w:rsidR="0028384B" w:rsidRPr="002F16A1">
        <w:rPr>
          <w:noProof/>
        </w:rPr>
        <w:t xml:space="preserve"> i</w:t>
      </w:r>
      <w:r w:rsidR="0028384B">
        <w:rPr>
          <w:noProof/>
        </w:rPr>
        <w:t> </w:t>
      </w:r>
      <w:r w:rsidR="0028384B" w:rsidRPr="002F16A1">
        <w:rPr>
          <w:noProof/>
        </w:rPr>
        <w:t>zap</w:t>
      </w:r>
      <w:r w:rsidRPr="002F16A1">
        <w:rPr>
          <w:noProof/>
        </w:rPr>
        <w:t>ewniała ich monitorowanie</w:t>
      </w:r>
      <w:r w:rsidRPr="0028384B">
        <w:rPr>
          <w:noProof/>
        </w:rPr>
        <w:t>.</w:t>
      </w:r>
      <w:r w:rsidR="0028384B" w:rsidRPr="0028384B">
        <w:rPr>
          <w:noProof/>
        </w:rPr>
        <w:t xml:space="preserve"> </w:t>
      </w:r>
    </w:p>
    <w:p w:rsidR="00AD62E2" w:rsidRPr="002F16A1" w:rsidRDefault="00AD62E2" w:rsidP="00AD62E2">
      <w:pPr>
        <w:pStyle w:val="ManualHeading3"/>
        <w:rPr>
          <w:noProof/>
        </w:rPr>
      </w:pPr>
      <w:bookmarkStart w:id="75" w:name="_Toc514938048"/>
      <w:bookmarkStart w:id="76" w:name="_Toc520485047"/>
      <w:r w:rsidRPr="002F16A1">
        <w:rPr>
          <w:noProof/>
        </w:rPr>
        <w:t>2.2.3.</w:t>
      </w:r>
      <w:r w:rsidRPr="002F16A1">
        <w:rPr>
          <w:noProof/>
        </w:rPr>
        <w:tab/>
        <w:t>Oszacowanie</w:t>
      </w:r>
      <w:r w:rsidR="0028384B" w:rsidRPr="002F16A1">
        <w:rPr>
          <w:noProof/>
        </w:rPr>
        <w:t xml:space="preserve"> i</w:t>
      </w:r>
      <w:r w:rsidR="0028384B">
        <w:rPr>
          <w:noProof/>
        </w:rPr>
        <w:t> </w:t>
      </w:r>
      <w:r w:rsidR="0028384B" w:rsidRPr="002F16A1">
        <w:rPr>
          <w:noProof/>
        </w:rPr>
        <w:t>uza</w:t>
      </w:r>
      <w:r w:rsidRPr="002F16A1">
        <w:rPr>
          <w:noProof/>
        </w:rPr>
        <w:t>sadnienie efektywności kosztowej kontroli (relacja kosztów kontroli do wartości zarządzanych funduszy powiązanych) oraz ocena prawdopodobnego ryzyka błędu (przy płatności</w:t>
      </w:r>
      <w:r w:rsidR="0028384B" w:rsidRPr="002F16A1">
        <w:rPr>
          <w:noProof/>
        </w:rPr>
        <w:t xml:space="preserve"> i</w:t>
      </w:r>
      <w:r w:rsidR="0028384B">
        <w:rPr>
          <w:noProof/>
        </w:rPr>
        <w:t> </w:t>
      </w:r>
      <w:r w:rsidR="0028384B" w:rsidRPr="002F16A1">
        <w:rPr>
          <w:noProof/>
        </w:rPr>
        <w:t>prz</w:t>
      </w:r>
      <w:r w:rsidRPr="002F16A1">
        <w:rPr>
          <w:noProof/>
        </w:rPr>
        <w:t>y zamykaniu)</w:t>
      </w:r>
      <w:bookmarkEnd w:id="75"/>
      <w:bookmarkEnd w:id="76"/>
      <w:r w:rsidRPr="002F16A1">
        <w:rPr>
          <w:noProof/>
        </w:rPr>
        <w:t xml:space="preserve">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Nie dotyczy. </w:t>
      </w:r>
    </w:p>
    <w:p w:rsidR="00AD62E2" w:rsidRPr="002F16A1" w:rsidRDefault="00AD62E2" w:rsidP="00AD62E2">
      <w:pPr>
        <w:pStyle w:val="ManualHeading2"/>
        <w:rPr>
          <w:bCs/>
          <w:noProof/>
          <w:szCs w:val="24"/>
        </w:rPr>
      </w:pPr>
      <w:bookmarkStart w:id="77" w:name="_Toc514938049"/>
      <w:bookmarkStart w:id="78" w:name="_Toc520485048"/>
      <w:r w:rsidRPr="002F16A1">
        <w:rPr>
          <w:noProof/>
        </w:rPr>
        <w:t>2.3.</w:t>
      </w:r>
      <w:r w:rsidRPr="002F16A1">
        <w:rPr>
          <w:noProof/>
        </w:rPr>
        <w:tab/>
        <w:t>Środki zapobiegania nadużyciom finansowym</w:t>
      </w:r>
      <w:r w:rsidR="0028384B" w:rsidRPr="002F16A1">
        <w:rPr>
          <w:noProof/>
        </w:rPr>
        <w:t xml:space="preserve"> i</w:t>
      </w:r>
      <w:r w:rsidR="0028384B">
        <w:rPr>
          <w:noProof/>
        </w:rPr>
        <w:t> </w:t>
      </w:r>
      <w:r w:rsidR="0028384B" w:rsidRPr="002F16A1">
        <w:rPr>
          <w:noProof/>
        </w:rPr>
        <w:t>nie</w:t>
      </w:r>
      <w:r w:rsidRPr="002F16A1">
        <w:rPr>
          <w:noProof/>
        </w:rPr>
        <w:t>prawidłowościom</w:t>
      </w:r>
      <w:bookmarkEnd w:id="77"/>
      <w:bookmarkEnd w:id="78"/>
      <w:r w:rsidRPr="002F16A1">
        <w:rPr>
          <w:noProof/>
        </w:rPr>
        <w:t xml:space="preserve"> </w:t>
      </w:r>
    </w:p>
    <w:p w:rsidR="00AD62E2" w:rsidRPr="002F16A1" w:rsidRDefault="00AD62E2" w:rsidP="00AD62E2">
      <w:pPr>
        <w:pStyle w:val="Text1"/>
        <w:rPr>
          <w:i/>
          <w:noProof/>
          <w:sz w:val="20"/>
        </w:rPr>
      </w:pPr>
      <w:r w:rsidRPr="002F16A1">
        <w:rPr>
          <w:i/>
          <w:noProof/>
          <w:sz w:val="20"/>
        </w:rPr>
        <w:t>Określić istniejące lub przewidywane środki zapobiegania</w:t>
      </w:r>
      <w:r w:rsidR="0028384B" w:rsidRPr="002F16A1">
        <w:rPr>
          <w:i/>
          <w:noProof/>
          <w:sz w:val="20"/>
        </w:rPr>
        <w:t xml:space="preserve"> i</w:t>
      </w:r>
      <w:r w:rsidR="0028384B">
        <w:rPr>
          <w:i/>
          <w:noProof/>
          <w:sz w:val="20"/>
        </w:rPr>
        <w:t> </w:t>
      </w:r>
      <w:r w:rsidR="0028384B" w:rsidRPr="002F16A1">
        <w:rPr>
          <w:i/>
          <w:noProof/>
          <w:sz w:val="20"/>
        </w:rPr>
        <w:t>och</w:t>
      </w:r>
      <w:r w:rsidRPr="002F16A1">
        <w:rPr>
          <w:i/>
          <w:noProof/>
          <w:sz w:val="20"/>
        </w:rPr>
        <w:t>rony, np. ze strategii zwalczania nadużyć finansowych.</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F16A1">
        <w:rPr>
          <w:noProof/>
        </w:rPr>
        <w:t>Nie dotyczy. </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sectPr w:rsidR="00AD62E2" w:rsidRPr="002F16A1" w:rsidSect="00D32217">
          <w:pgSz w:w="11907" w:h="16840" w:code="9"/>
          <w:pgMar w:top="1134" w:right="1418" w:bottom="1134" w:left="1418" w:header="709" w:footer="709" w:gutter="0"/>
          <w:cols w:space="708"/>
          <w:docGrid w:linePitch="360"/>
        </w:sectPr>
      </w:pPr>
    </w:p>
    <w:p w:rsidR="00AD62E2" w:rsidRPr="002F16A1" w:rsidRDefault="00AD62E2" w:rsidP="00AD62E2">
      <w:pPr>
        <w:pStyle w:val="ManualHeading1"/>
        <w:rPr>
          <w:bCs/>
          <w:noProof/>
          <w:szCs w:val="24"/>
        </w:rPr>
      </w:pPr>
      <w:bookmarkStart w:id="79" w:name="_Toc514938050"/>
      <w:bookmarkStart w:id="80" w:name="_Toc520485049"/>
      <w:r w:rsidRPr="002F16A1">
        <w:rPr>
          <w:noProof/>
        </w:rPr>
        <w:t>3.</w:t>
      </w:r>
      <w:r w:rsidRPr="002F16A1">
        <w:rPr>
          <w:noProof/>
        </w:rPr>
        <w:tab/>
        <w:t>SZACUNKOWY WPŁYW FINANSOWY WNIOSKU/INICJATYWY</w:t>
      </w:r>
      <w:bookmarkEnd w:id="79"/>
      <w:bookmarkEnd w:id="80"/>
      <w:r w:rsidRPr="002F16A1">
        <w:rPr>
          <w:noProof/>
        </w:rPr>
        <w:t xml:space="preserve"> </w:t>
      </w:r>
    </w:p>
    <w:p w:rsidR="00AD62E2" w:rsidRPr="002F16A1" w:rsidRDefault="00AD62E2" w:rsidP="00AD62E2">
      <w:pPr>
        <w:pStyle w:val="ManualHeading2"/>
        <w:rPr>
          <w:noProof/>
        </w:rPr>
      </w:pPr>
      <w:bookmarkStart w:id="81" w:name="_Toc514938051"/>
      <w:bookmarkStart w:id="82" w:name="_Toc520485050"/>
      <w:r w:rsidRPr="002F16A1">
        <w:rPr>
          <w:noProof/>
        </w:rPr>
        <w:t>3.1.</w:t>
      </w:r>
      <w:r w:rsidRPr="002F16A1">
        <w:rPr>
          <w:noProof/>
        </w:rPr>
        <w:tab/>
        <w:t>Działy wieloletnich ram finansowych</w:t>
      </w:r>
      <w:r w:rsidR="0028384B" w:rsidRPr="002F16A1">
        <w:rPr>
          <w:noProof/>
        </w:rPr>
        <w:t xml:space="preserve"> i</w:t>
      </w:r>
      <w:r w:rsidR="0028384B">
        <w:rPr>
          <w:noProof/>
        </w:rPr>
        <w:t> </w:t>
      </w:r>
      <w:r w:rsidR="0028384B" w:rsidRPr="002F16A1">
        <w:rPr>
          <w:noProof/>
        </w:rPr>
        <w:t>lin</w:t>
      </w:r>
      <w:r w:rsidRPr="002F16A1">
        <w:rPr>
          <w:noProof/>
        </w:rPr>
        <w:t>ie budżetowe po stronie wydatków, na które wniosek/inicjatywa ma wpływ</w:t>
      </w:r>
      <w:bookmarkEnd w:id="81"/>
      <w:bookmarkEnd w:id="82"/>
      <w:r w:rsidRPr="002F16A1">
        <w:rPr>
          <w:noProof/>
        </w:rPr>
        <w:t xml:space="preserve"> </w:t>
      </w:r>
    </w:p>
    <w:p w:rsidR="00AD62E2" w:rsidRPr="002F16A1" w:rsidRDefault="00AD62E2" w:rsidP="00AD62E2">
      <w:pPr>
        <w:pStyle w:val="ListBullet1"/>
        <w:rPr>
          <w:noProof/>
        </w:rPr>
      </w:pPr>
      <w:r w:rsidRPr="002F16A1">
        <w:rPr>
          <w:noProof/>
        </w:rPr>
        <w:t xml:space="preserve">Istniejące linie budżetowe </w:t>
      </w:r>
    </w:p>
    <w:p w:rsidR="00AD62E2" w:rsidRPr="002F16A1" w:rsidRDefault="00AD62E2" w:rsidP="00AD62E2">
      <w:pPr>
        <w:pStyle w:val="Text1"/>
        <w:rPr>
          <w:i/>
          <w:noProof/>
        </w:rPr>
      </w:pPr>
      <w:r w:rsidRPr="002F16A1">
        <w:rPr>
          <w:i/>
          <w:noProof/>
          <w:u w:val="single"/>
        </w:rPr>
        <w:t>Według</w:t>
      </w:r>
      <w:r w:rsidRPr="002F16A1">
        <w:rPr>
          <w:i/>
          <w:noProof/>
        </w:rPr>
        <w:t xml:space="preserve"> działów wieloletnich ram finansowych</w:t>
      </w:r>
      <w:r w:rsidR="0028384B" w:rsidRPr="002F16A1">
        <w:rPr>
          <w:i/>
          <w:noProof/>
        </w:rPr>
        <w:t xml:space="preserve"> i</w:t>
      </w:r>
      <w:r w:rsidR="0028384B">
        <w:rPr>
          <w:i/>
          <w:noProof/>
        </w:rPr>
        <w:t> </w:t>
      </w:r>
      <w:r w:rsidR="0028384B" w:rsidRPr="002F16A1">
        <w:rPr>
          <w:i/>
          <w:noProof/>
        </w:rPr>
        <w:t>lin</w:t>
      </w:r>
      <w:r w:rsidRPr="002F16A1">
        <w:rPr>
          <w:i/>
          <w:noProof/>
        </w:rPr>
        <w:t>ii budżetowych</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AD62E2" w:rsidRPr="002F16A1" w:rsidTr="000154FC">
        <w:tc>
          <w:tcPr>
            <w:tcW w:w="1080" w:type="dxa"/>
            <w:vMerge w:val="restart"/>
            <w:vAlign w:val="center"/>
          </w:tcPr>
          <w:p w:rsidR="00AD62E2" w:rsidRPr="002F16A1" w:rsidRDefault="00AD62E2" w:rsidP="000154FC">
            <w:pPr>
              <w:spacing w:before="60" w:after="60"/>
              <w:jc w:val="center"/>
              <w:rPr>
                <w:noProof/>
              </w:rPr>
            </w:pPr>
            <w:r w:rsidRPr="002F16A1">
              <w:rPr>
                <w:noProof/>
                <w:sz w:val="18"/>
              </w:rPr>
              <w:t>Dział wieloletnich ram finansowych</w:t>
            </w:r>
          </w:p>
        </w:tc>
        <w:tc>
          <w:tcPr>
            <w:tcW w:w="3960" w:type="dxa"/>
            <w:vAlign w:val="center"/>
          </w:tcPr>
          <w:p w:rsidR="00AD62E2" w:rsidRPr="002F16A1" w:rsidRDefault="00AD62E2" w:rsidP="000154FC">
            <w:pPr>
              <w:spacing w:before="60" w:after="60"/>
              <w:jc w:val="center"/>
              <w:rPr>
                <w:noProof/>
              </w:rPr>
            </w:pPr>
            <w:r w:rsidRPr="002F16A1">
              <w:rPr>
                <w:noProof/>
                <w:sz w:val="20"/>
              </w:rPr>
              <w:t>Linia budżetowa</w:t>
            </w:r>
          </w:p>
        </w:tc>
        <w:tc>
          <w:tcPr>
            <w:tcW w:w="1080" w:type="dxa"/>
            <w:vAlign w:val="center"/>
          </w:tcPr>
          <w:p w:rsidR="00AD62E2" w:rsidRPr="002F16A1" w:rsidRDefault="00AD62E2" w:rsidP="000154FC">
            <w:pPr>
              <w:spacing w:before="60" w:after="60"/>
              <w:jc w:val="center"/>
              <w:rPr>
                <w:noProof/>
              </w:rPr>
            </w:pPr>
            <w:r w:rsidRPr="002F16A1">
              <w:rPr>
                <w:noProof/>
              </w:rPr>
              <w:t>Rodza</w:t>
            </w:r>
            <w:r w:rsidRPr="0028384B">
              <w:rPr>
                <w:noProof/>
              </w:rPr>
              <w:t>j</w:t>
            </w:r>
            <w:r w:rsidR="0028384B" w:rsidRPr="0028384B">
              <w:rPr>
                <w:noProof/>
                <w:sz w:val="18"/>
              </w:rPr>
              <w:t xml:space="preserve"> </w:t>
            </w:r>
            <w:r w:rsidRPr="0028384B">
              <w:rPr>
                <w:noProof/>
              </w:rPr>
              <w:br/>
            </w:r>
            <w:r w:rsidRPr="002F16A1">
              <w:rPr>
                <w:noProof/>
              </w:rPr>
              <w:t>środków</w:t>
            </w:r>
          </w:p>
        </w:tc>
        <w:tc>
          <w:tcPr>
            <w:tcW w:w="4440" w:type="dxa"/>
            <w:gridSpan w:val="4"/>
            <w:vAlign w:val="center"/>
          </w:tcPr>
          <w:p w:rsidR="00AD62E2" w:rsidRPr="002F16A1" w:rsidRDefault="00AD62E2" w:rsidP="000154FC">
            <w:pPr>
              <w:spacing w:before="60" w:after="60"/>
              <w:jc w:val="center"/>
              <w:rPr>
                <w:noProof/>
              </w:rPr>
            </w:pPr>
            <w:r w:rsidRPr="002F16A1">
              <w:rPr>
                <w:noProof/>
                <w:sz w:val="20"/>
              </w:rPr>
              <w:t xml:space="preserve">Wkład </w:t>
            </w:r>
          </w:p>
        </w:tc>
      </w:tr>
      <w:tr w:rsidR="00AD62E2" w:rsidRPr="002F16A1" w:rsidTr="000154FC">
        <w:tc>
          <w:tcPr>
            <w:tcW w:w="1080" w:type="dxa"/>
            <w:vMerge/>
            <w:vAlign w:val="center"/>
          </w:tcPr>
          <w:p w:rsidR="00AD62E2" w:rsidRPr="002F16A1" w:rsidRDefault="00AD62E2" w:rsidP="000154FC">
            <w:pPr>
              <w:jc w:val="center"/>
              <w:rPr>
                <w:noProof/>
              </w:rPr>
            </w:pPr>
          </w:p>
        </w:tc>
        <w:tc>
          <w:tcPr>
            <w:tcW w:w="3960" w:type="dxa"/>
            <w:vAlign w:val="center"/>
          </w:tcPr>
          <w:p w:rsidR="00AD62E2" w:rsidRPr="002F16A1" w:rsidRDefault="00AD62E2" w:rsidP="000154FC">
            <w:pPr>
              <w:rPr>
                <w:noProof/>
              </w:rPr>
            </w:pPr>
            <w:r w:rsidRPr="002F16A1">
              <w:rPr>
                <w:noProof/>
                <w:sz w:val="20"/>
              </w:rPr>
              <w:t>Nume</w:t>
            </w:r>
            <w:r w:rsidRPr="0028384B">
              <w:rPr>
                <w:noProof/>
                <w:sz w:val="20"/>
              </w:rPr>
              <w:t>r</w:t>
            </w:r>
            <w:r w:rsidR="0028384B" w:rsidRPr="0028384B">
              <w:rPr>
                <w:noProof/>
                <w:sz w:val="20"/>
              </w:rPr>
              <w:t xml:space="preserve"> </w:t>
            </w:r>
            <w:r w:rsidRPr="0028384B">
              <w:rPr>
                <w:noProof/>
              </w:rPr>
              <w:br/>
            </w:r>
          </w:p>
        </w:tc>
        <w:tc>
          <w:tcPr>
            <w:tcW w:w="1080" w:type="dxa"/>
            <w:vAlign w:val="center"/>
          </w:tcPr>
          <w:p w:rsidR="00AD62E2" w:rsidRPr="002F16A1" w:rsidRDefault="00AD62E2" w:rsidP="000154FC">
            <w:pPr>
              <w:jc w:val="center"/>
              <w:rPr>
                <w:noProof/>
              </w:rPr>
            </w:pPr>
            <w:r w:rsidRPr="002F16A1">
              <w:rPr>
                <w:noProof/>
                <w:sz w:val="18"/>
              </w:rPr>
              <w:t>Zróżn. / niezróżn.</w:t>
            </w:r>
            <w:r w:rsidRPr="002F16A1">
              <w:rPr>
                <w:rStyle w:val="FootnoteReference"/>
                <w:noProof/>
              </w:rPr>
              <w:footnoteReference w:id="53"/>
            </w:r>
          </w:p>
        </w:tc>
        <w:tc>
          <w:tcPr>
            <w:tcW w:w="956" w:type="dxa"/>
            <w:vAlign w:val="center"/>
          </w:tcPr>
          <w:p w:rsidR="00AD62E2" w:rsidRPr="002F16A1" w:rsidRDefault="00AD62E2" w:rsidP="000154FC">
            <w:pPr>
              <w:jc w:val="center"/>
              <w:rPr>
                <w:b/>
                <w:noProof/>
                <w:sz w:val="18"/>
              </w:rPr>
            </w:pPr>
            <w:r w:rsidRPr="002F16A1">
              <w:rPr>
                <w:noProof/>
                <w:sz w:val="18"/>
              </w:rPr>
              <w:t>państw EFTA</w:t>
            </w:r>
            <w:r w:rsidRPr="002F16A1">
              <w:rPr>
                <w:rStyle w:val="FootnoteReference"/>
                <w:noProof/>
              </w:rPr>
              <w:footnoteReference w:id="54"/>
            </w:r>
          </w:p>
        </w:tc>
        <w:tc>
          <w:tcPr>
            <w:tcW w:w="1080" w:type="dxa"/>
            <w:vAlign w:val="center"/>
          </w:tcPr>
          <w:p w:rsidR="00AD62E2" w:rsidRPr="002F16A1" w:rsidRDefault="00AD62E2" w:rsidP="000154FC">
            <w:pPr>
              <w:jc w:val="center"/>
              <w:rPr>
                <w:noProof/>
                <w:sz w:val="18"/>
              </w:rPr>
            </w:pPr>
            <w:r w:rsidRPr="002F16A1">
              <w:rPr>
                <w:noProof/>
                <w:sz w:val="18"/>
              </w:rPr>
              <w:t>krajów kandydujących</w:t>
            </w:r>
            <w:r w:rsidR="0028384B" w:rsidRPr="002F16A1">
              <w:rPr>
                <w:noProof/>
                <w:sz w:val="18"/>
              </w:rPr>
              <w:t xml:space="preserve"> i</w:t>
            </w:r>
            <w:r w:rsidR="0028384B">
              <w:rPr>
                <w:noProof/>
                <w:sz w:val="18"/>
              </w:rPr>
              <w:t> </w:t>
            </w:r>
            <w:r w:rsidR="0028384B" w:rsidRPr="002F16A1">
              <w:rPr>
                <w:noProof/>
                <w:sz w:val="18"/>
              </w:rPr>
              <w:t>pot</w:t>
            </w:r>
            <w:r w:rsidRPr="002F16A1">
              <w:rPr>
                <w:noProof/>
                <w:sz w:val="18"/>
              </w:rPr>
              <w:t>encjalnych krajów kandydujących</w:t>
            </w:r>
            <w:r w:rsidRPr="002F16A1">
              <w:rPr>
                <w:rStyle w:val="FootnoteReference"/>
                <w:noProof/>
              </w:rPr>
              <w:footnoteReference w:id="55"/>
            </w:r>
          </w:p>
        </w:tc>
        <w:tc>
          <w:tcPr>
            <w:tcW w:w="956" w:type="dxa"/>
            <w:vAlign w:val="center"/>
          </w:tcPr>
          <w:p w:rsidR="00AD62E2" w:rsidRPr="002F16A1" w:rsidRDefault="00AD62E2" w:rsidP="000154FC">
            <w:pPr>
              <w:jc w:val="center"/>
              <w:rPr>
                <w:noProof/>
                <w:sz w:val="18"/>
              </w:rPr>
            </w:pPr>
            <w:r w:rsidRPr="002F16A1">
              <w:rPr>
                <w:noProof/>
                <w:sz w:val="18"/>
              </w:rPr>
              <w:t>innych państw</w:t>
            </w:r>
          </w:p>
        </w:tc>
        <w:tc>
          <w:tcPr>
            <w:tcW w:w="1448" w:type="dxa"/>
            <w:vAlign w:val="center"/>
          </w:tcPr>
          <w:p w:rsidR="00AD62E2" w:rsidRPr="002F16A1" w:rsidRDefault="00AD62E2" w:rsidP="000154FC">
            <w:pPr>
              <w:jc w:val="center"/>
              <w:rPr>
                <w:noProof/>
              </w:rPr>
            </w:pPr>
            <w:r w:rsidRPr="002F16A1">
              <w:rPr>
                <w:noProof/>
                <w:sz w:val="18"/>
              </w:rPr>
              <w:t>pochodzący</w:t>
            </w:r>
            <w:r w:rsidR="0028384B" w:rsidRPr="002F16A1">
              <w:rPr>
                <w:noProof/>
                <w:sz w:val="18"/>
              </w:rPr>
              <w:t xml:space="preserve"> z</w:t>
            </w:r>
            <w:r w:rsidR="0028384B">
              <w:rPr>
                <w:noProof/>
                <w:sz w:val="18"/>
              </w:rPr>
              <w:t> </w:t>
            </w:r>
            <w:r w:rsidR="0028384B" w:rsidRPr="002F16A1">
              <w:rPr>
                <w:noProof/>
                <w:sz w:val="18"/>
              </w:rPr>
              <w:t>poz</w:t>
            </w:r>
            <w:r w:rsidRPr="002F16A1">
              <w:rPr>
                <w:noProof/>
                <w:sz w:val="18"/>
              </w:rPr>
              <w:t>ostałych dochodów przeznaczonych na określony cel</w:t>
            </w:r>
          </w:p>
        </w:tc>
      </w:tr>
      <w:tr w:rsidR="00AD62E2" w:rsidRPr="002F16A1" w:rsidTr="000154FC">
        <w:tc>
          <w:tcPr>
            <w:tcW w:w="1080" w:type="dxa"/>
            <w:vAlign w:val="center"/>
          </w:tcPr>
          <w:p w:rsidR="00AD62E2" w:rsidRPr="002F16A1" w:rsidRDefault="00AD62E2" w:rsidP="000154FC">
            <w:pPr>
              <w:jc w:val="center"/>
              <w:rPr>
                <w:noProof/>
                <w:color w:val="0000FF"/>
              </w:rPr>
            </w:pPr>
          </w:p>
        </w:tc>
        <w:tc>
          <w:tcPr>
            <w:tcW w:w="3960" w:type="dxa"/>
            <w:vAlign w:val="center"/>
          </w:tcPr>
          <w:p w:rsidR="00AD62E2" w:rsidRPr="002F16A1" w:rsidRDefault="00AD62E2" w:rsidP="000154FC">
            <w:pPr>
              <w:spacing w:after="60"/>
              <w:rPr>
                <w:noProof/>
              </w:rPr>
            </w:pPr>
            <w:r w:rsidRPr="002F16A1">
              <w:rPr>
                <w:rStyle w:val="normaltextrun"/>
                <w:noProof/>
              </w:rPr>
              <w:t>03.020101</w:t>
            </w:r>
            <w:r w:rsidRPr="002F16A1">
              <w:rPr>
                <w:rStyle w:val="eop"/>
                <w:noProof/>
              </w:rPr>
              <w:t xml:space="preserve"> </w:t>
            </w:r>
          </w:p>
        </w:tc>
        <w:tc>
          <w:tcPr>
            <w:tcW w:w="1080" w:type="dxa"/>
            <w:vAlign w:val="center"/>
          </w:tcPr>
          <w:p w:rsidR="00AD62E2" w:rsidRPr="002F16A1" w:rsidRDefault="00AD62E2" w:rsidP="000154FC">
            <w:pPr>
              <w:jc w:val="center"/>
              <w:rPr>
                <w:noProof/>
                <w:color w:val="0000FF"/>
              </w:rPr>
            </w:pPr>
            <w:r w:rsidRPr="002F16A1">
              <w:rPr>
                <w:rStyle w:val="normaltextrun"/>
                <w:noProof/>
                <w:sz w:val="22"/>
              </w:rPr>
              <w:t>Zróżn.</w:t>
            </w:r>
            <w:r w:rsidRPr="002F16A1">
              <w:rPr>
                <w:rStyle w:val="eop"/>
                <w:noProof/>
                <w:sz w:val="22"/>
              </w:rPr>
              <w:t xml:space="preserve"> </w:t>
            </w:r>
          </w:p>
        </w:tc>
        <w:tc>
          <w:tcPr>
            <w:tcW w:w="956" w:type="dxa"/>
            <w:vAlign w:val="center"/>
          </w:tcPr>
          <w:p w:rsidR="00AD62E2" w:rsidRPr="002F16A1" w:rsidRDefault="00AD62E2" w:rsidP="000154FC">
            <w:pPr>
              <w:jc w:val="center"/>
              <w:rPr>
                <w:noProof/>
                <w:sz w:val="20"/>
                <w:szCs w:val="20"/>
              </w:rPr>
            </w:pPr>
            <w:r w:rsidRPr="002F16A1">
              <w:rPr>
                <w:rStyle w:val="normaltextrun"/>
                <w:noProof/>
                <w:sz w:val="20"/>
              </w:rPr>
              <w:t>NIE</w:t>
            </w:r>
            <w:r w:rsidRPr="002F16A1">
              <w:rPr>
                <w:rStyle w:val="eop"/>
                <w:noProof/>
                <w:sz w:val="20"/>
              </w:rPr>
              <w:t xml:space="preserve"> </w:t>
            </w:r>
          </w:p>
        </w:tc>
        <w:tc>
          <w:tcPr>
            <w:tcW w:w="1080" w:type="dxa"/>
            <w:vAlign w:val="center"/>
          </w:tcPr>
          <w:p w:rsidR="00AD62E2" w:rsidRPr="002F16A1" w:rsidRDefault="00AD62E2" w:rsidP="000154FC">
            <w:pPr>
              <w:jc w:val="center"/>
              <w:rPr>
                <w:noProof/>
                <w:sz w:val="20"/>
                <w:szCs w:val="20"/>
              </w:rPr>
            </w:pPr>
            <w:r w:rsidRPr="002F16A1">
              <w:rPr>
                <w:rStyle w:val="normaltextrun"/>
                <w:noProof/>
                <w:sz w:val="20"/>
              </w:rPr>
              <w:t>NIE</w:t>
            </w:r>
            <w:r w:rsidRPr="002F16A1">
              <w:rPr>
                <w:rStyle w:val="eop"/>
                <w:noProof/>
                <w:sz w:val="20"/>
              </w:rPr>
              <w:t xml:space="preserve"> </w:t>
            </w:r>
          </w:p>
        </w:tc>
        <w:tc>
          <w:tcPr>
            <w:tcW w:w="956" w:type="dxa"/>
            <w:vAlign w:val="center"/>
          </w:tcPr>
          <w:p w:rsidR="00AD62E2" w:rsidRPr="002F16A1" w:rsidRDefault="00AD62E2" w:rsidP="000154FC">
            <w:pPr>
              <w:jc w:val="center"/>
              <w:rPr>
                <w:noProof/>
                <w:sz w:val="20"/>
                <w:szCs w:val="20"/>
              </w:rPr>
            </w:pPr>
            <w:r w:rsidRPr="002F16A1">
              <w:rPr>
                <w:rStyle w:val="normaltextrun"/>
                <w:noProof/>
                <w:sz w:val="20"/>
              </w:rPr>
              <w:t>NIE</w:t>
            </w:r>
            <w:r w:rsidRPr="002F16A1">
              <w:rPr>
                <w:rStyle w:val="eop"/>
                <w:noProof/>
                <w:sz w:val="20"/>
              </w:rPr>
              <w:t xml:space="preserve"> </w:t>
            </w:r>
          </w:p>
        </w:tc>
        <w:tc>
          <w:tcPr>
            <w:tcW w:w="1448" w:type="dxa"/>
            <w:vAlign w:val="center"/>
          </w:tcPr>
          <w:p w:rsidR="00AD62E2" w:rsidRPr="002F16A1" w:rsidRDefault="00AD62E2" w:rsidP="000154FC">
            <w:pPr>
              <w:jc w:val="center"/>
              <w:rPr>
                <w:noProof/>
                <w:sz w:val="20"/>
                <w:szCs w:val="20"/>
              </w:rPr>
            </w:pPr>
            <w:r w:rsidRPr="002F16A1">
              <w:rPr>
                <w:rStyle w:val="normaltextrun"/>
                <w:noProof/>
                <w:sz w:val="20"/>
              </w:rPr>
              <w:t>NIE</w:t>
            </w:r>
            <w:r w:rsidRPr="002F16A1">
              <w:rPr>
                <w:rStyle w:val="eop"/>
                <w:noProof/>
                <w:sz w:val="20"/>
              </w:rPr>
              <w:t xml:space="preserve"> </w:t>
            </w:r>
          </w:p>
        </w:tc>
      </w:tr>
    </w:tbl>
    <w:p w:rsidR="00AD62E2" w:rsidRPr="002F16A1" w:rsidRDefault="00AD62E2" w:rsidP="00AD62E2">
      <w:pPr>
        <w:pStyle w:val="ListBullet1"/>
        <w:rPr>
          <w:noProof/>
        </w:rPr>
      </w:pPr>
      <w:r w:rsidRPr="002F16A1">
        <w:rPr>
          <w:noProof/>
        </w:rPr>
        <w:t xml:space="preserve">Proponowane nowe linie budżetowe </w:t>
      </w:r>
    </w:p>
    <w:p w:rsidR="00AD62E2" w:rsidRPr="002F16A1" w:rsidRDefault="00AD62E2" w:rsidP="00AD62E2">
      <w:pPr>
        <w:pStyle w:val="Text1"/>
        <w:rPr>
          <w:i/>
          <w:noProof/>
          <w:sz w:val="20"/>
        </w:rPr>
      </w:pPr>
      <w:r w:rsidRPr="002F16A1">
        <w:rPr>
          <w:i/>
          <w:noProof/>
          <w:u w:val="single"/>
        </w:rPr>
        <w:t>Według</w:t>
      </w:r>
      <w:r w:rsidRPr="002F16A1">
        <w:rPr>
          <w:i/>
          <w:noProof/>
        </w:rPr>
        <w:t xml:space="preserve"> działów wieloletnich ram finansowych</w:t>
      </w:r>
      <w:r w:rsidR="0028384B" w:rsidRPr="002F16A1">
        <w:rPr>
          <w:i/>
          <w:noProof/>
        </w:rPr>
        <w:t xml:space="preserve"> i</w:t>
      </w:r>
      <w:r w:rsidR="0028384B">
        <w:rPr>
          <w:i/>
          <w:noProof/>
        </w:rPr>
        <w:t> </w:t>
      </w:r>
      <w:r w:rsidR="0028384B" w:rsidRPr="002F16A1">
        <w:rPr>
          <w:i/>
          <w:noProof/>
        </w:rPr>
        <w:t>lin</w:t>
      </w:r>
      <w:r w:rsidRPr="002F16A1">
        <w:rPr>
          <w:i/>
          <w:noProof/>
        </w:rPr>
        <w:t>ii budżetowych</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AD62E2" w:rsidRPr="002F16A1" w:rsidTr="000154FC">
        <w:tc>
          <w:tcPr>
            <w:tcW w:w="1080" w:type="dxa"/>
            <w:vMerge w:val="restart"/>
            <w:vAlign w:val="center"/>
          </w:tcPr>
          <w:p w:rsidR="00AD62E2" w:rsidRPr="002F16A1" w:rsidRDefault="00AD62E2" w:rsidP="000154FC">
            <w:pPr>
              <w:spacing w:before="60" w:after="60"/>
              <w:jc w:val="center"/>
              <w:rPr>
                <w:noProof/>
                <w:sz w:val="18"/>
                <w:szCs w:val="18"/>
              </w:rPr>
            </w:pPr>
            <w:r w:rsidRPr="002F16A1">
              <w:rPr>
                <w:noProof/>
                <w:sz w:val="18"/>
              </w:rPr>
              <w:t>Dział wieloletnich ram finansowych</w:t>
            </w:r>
          </w:p>
        </w:tc>
        <w:tc>
          <w:tcPr>
            <w:tcW w:w="3960" w:type="dxa"/>
            <w:vAlign w:val="center"/>
          </w:tcPr>
          <w:p w:rsidR="00AD62E2" w:rsidRPr="002F16A1" w:rsidRDefault="00AD62E2" w:rsidP="000154FC">
            <w:pPr>
              <w:spacing w:before="60" w:after="60"/>
              <w:jc w:val="center"/>
              <w:rPr>
                <w:noProof/>
              </w:rPr>
            </w:pPr>
            <w:r w:rsidRPr="002F16A1">
              <w:rPr>
                <w:noProof/>
                <w:sz w:val="20"/>
              </w:rPr>
              <w:t>Linia budżetowa</w:t>
            </w:r>
          </w:p>
        </w:tc>
        <w:tc>
          <w:tcPr>
            <w:tcW w:w="1080" w:type="dxa"/>
            <w:vAlign w:val="center"/>
          </w:tcPr>
          <w:p w:rsidR="00AD62E2" w:rsidRPr="002F16A1" w:rsidRDefault="00AD62E2" w:rsidP="000154FC">
            <w:pPr>
              <w:spacing w:before="60" w:after="60"/>
              <w:jc w:val="center"/>
              <w:rPr>
                <w:noProof/>
              </w:rPr>
            </w:pPr>
            <w:r w:rsidRPr="002F16A1">
              <w:rPr>
                <w:noProof/>
                <w:sz w:val="18"/>
              </w:rPr>
              <w:t>Rodzaj</w:t>
            </w:r>
            <w:r w:rsidRPr="002F16A1">
              <w:rPr>
                <w:noProof/>
              </w:rPr>
              <w:t xml:space="preserve"> </w:t>
            </w:r>
            <w:r w:rsidRPr="002F16A1">
              <w:rPr>
                <w:noProof/>
              </w:rPr>
              <w:br/>
            </w:r>
            <w:r w:rsidRPr="002F16A1">
              <w:rPr>
                <w:noProof/>
                <w:sz w:val="18"/>
              </w:rPr>
              <w:t>środków</w:t>
            </w:r>
          </w:p>
        </w:tc>
        <w:tc>
          <w:tcPr>
            <w:tcW w:w="4440" w:type="dxa"/>
            <w:gridSpan w:val="4"/>
            <w:vAlign w:val="center"/>
          </w:tcPr>
          <w:p w:rsidR="00AD62E2" w:rsidRPr="002F16A1" w:rsidRDefault="00AD62E2" w:rsidP="000154FC">
            <w:pPr>
              <w:spacing w:before="60" w:after="60"/>
              <w:jc w:val="center"/>
              <w:rPr>
                <w:noProof/>
              </w:rPr>
            </w:pPr>
            <w:r w:rsidRPr="002F16A1">
              <w:rPr>
                <w:noProof/>
                <w:sz w:val="20"/>
              </w:rPr>
              <w:t xml:space="preserve">Wkład </w:t>
            </w:r>
          </w:p>
        </w:tc>
      </w:tr>
      <w:tr w:rsidR="00AD62E2" w:rsidRPr="002F16A1" w:rsidTr="000154FC">
        <w:tc>
          <w:tcPr>
            <w:tcW w:w="1080" w:type="dxa"/>
            <w:vMerge/>
            <w:vAlign w:val="center"/>
          </w:tcPr>
          <w:p w:rsidR="00AD62E2" w:rsidRPr="002F16A1" w:rsidRDefault="00AD62E2" w:rsidP="000154FC">
            <w:pPr>
              <w:jc w:val="center"/>
              <w:rPr>
                <w:noProof/>
              </w:rPr>
            </w:pPr>
          </w:p>
        </w:tc>
        <w:tc>
          <w:tcPr>
            <w:tcW w:w="3960" w:type="dxa"/>
            <w:vAlign w:val="center"/>
          </w:tcPr>
          <w:p w:rsidR="00AD62E2" w:rsidRPr="002F16A1" w:rsidRDefault="00AD62E2" w:rsidP="000154FC">
            <w:pPr>
              <w:rPr>
                <w:noProof/>
              </w:rPr>
            </w:pPr>
            <w:r w:rsidRPr="002F16A1">
              <w:rPr>
                <w:noProof/>
                <w:sz w:val="20"/>
              </w:rPr>
              <w:t>Nume</w:t>
            </w:r>
            <w:r w:rsidRPr="0028384B">
              <w:rPr>
                <w:noProof/>
                <w:sz w:val="20"/>
              </w:rPr>
              <w:t>r</w:t>
            </w:r>
            <w:r w:rsidR="0028384B" w:rsidRPr="0028384B">
              <w:rPr>
                <w:noProof/>
                <w:sz w:val="20"/>
              </w:rPr>
              <w:t xml:space="preserve"> </w:t>
            </w:r>
            <w:r w:rsidRPr="0028384B">
              <w:rPr>
                <w:noProof/>
              </w:rPr>
              <w:br/>
            </w:r>
          </w:p>
        </w:tc>
        <w:tc>
          <w:tcPr>
            <w:tcW w:w="1080" w:type="dxa"/>
            <w:vAlign w:val="center"/>
          </w:tcPr>
          <w:p w:rsidR="00AD62E2" w:rsidRPr="002F16A1" w:rsidRDefault="00AD62E2" w:rsidP="000154FC">
            <w:pPr>
              <w:jc w:val="center"/>
              <w:rPr>
                <w:noProof/>
              </w:rPr>
            </w:pPr>
            <w:r w:rsidRPr="002F16A1">
              <w:rPr>
                <w:noProof/>
                <w:sz w:val="18"/>
              </w:rPr>
              <w:t>Zróżn. / niezróżn.</w:t>
            </w:r>
          </w:p>
        </w:tc>
        <w:tc>
          <w:tcPr>
            <w:tcW w:w="956" w:type="dxa"/>
            <w:vAlign w:val="center"/>
          </w:tcPr>
          <w:p w:rsidR="00AD62E2" w:rsidRPr="002F16A1" w:rsidRDefault="00AD62E2" w:rsidP="000154FC">
            <w:pPr>
              <w:jc w:val="center"/>
              <w:rPr>
                <w:noProof/>
                <w:sz w:val="18"/>
              </w:rPr>
            </w:pPr>
            <w:r w:rsidRPr="002F16A1">
              <w:rPr>
                <w:noProof/>
                <w:sz w:val="18"/>
              </w:rPr>
              <w:t>państw EFTA</w:t>
            </w:r>
          </w:p>
        </w:tc>
        <w:tc>
          <w:tcPr>
            <w:tcW w:w="1080" w:type="dxa"/>
            <w:vAlign w:val="center"/>
          </w:tcPr>
          <w:p w:rsidR="00AD62E2" w:rsidRPr="002F16A1" w:rsidRDefault="00AD62E2" w:rsidP="000154FC">
            <w:pPr>
              <w:jc w:val="center"/>
              <w:rPr>
                <w:noProof/>
                <w:sz w:val="18"/>
              </w:rPr>
            </w:pPr>
            <w:r w:rsidRPr="002F16A1">
              <w:rPr>
                <w:noProof/>
                <w:sz w:val="18"/>
              </w:rPr>
              <w:t>krajów kandydujących</w:t>
            </w:r>
            <w:r w:rsidR="0028384B" w:rsidRPr="002F16A1">
              <w:rPr>
                <w:noProof/>
                <w:sz w:val="18"/>
              </w:rPr>
              <w:t xml:space="preserve"> i</w:t>
            </w:r>
            <w:r w:rsidR="0028384B">
              <w:rPr>
                <w:noProof/>
                <w:sz w:val="18"/>
              </w:rPr>
              <w:t> </w:t>
            </w:r>
            <w:r w:rsidR="0028384B" w:rsidRPr="002F16A1">
              <w:rPr>
                <w:noProof/>
                <w:sz w:val="18"/>
              </w:rPr>
              <w:t>pot</w:t>
            </w:r>
            <w:r w:rsidRPr="002F16A1">
              <w:rPr>
                <w:noProof/>
                <w:sz w:val="18"/>
              </w:rPr>
              <w:t>encjalnych krajów kandydujących</w:t>
            </w:r>
          </w:p>
        </w:tc>
        <w:tc>
          <w:tcPr>
            <w:tcW w:w="956" w:type="dxa"/>
            <w:vAlign w:val="center"/>
          </w:tcPr>
          <w:p w:rsidR="00AD62E2" w:rsidRPr="002F16A1" w:rsidRDefault="00AD62E2" w:rsidP="000154FC">
            <w:pPr>
              <w:jc w:val="center"/>
              <w:rPr>
                <w:noProof/>
                <w:sz w:val="18"/>
              </w:rPr>
            </w:pPr>
            <w:r w:rsidRPr="002F16A1">
              <w:rPr>
                <w:noProof/>
                <w:sz w:val="18"/>
              </w:rPr>
              <w:t>innych państw trzecich</w:t>
            </w:r>
          </w:p>
        </w:tc>
        <w:tc>
          <w:tcPr>
            <w:tcW w:w="1448" w:type="dxa"/>
            <w:vAlign w:val="center"/>
          </w:tcPr>
          <w:p w:rsidR="00AD62E2" w:rsidRPr="002F16A1" w:rsidRDefault="00AD62E2" w:rsidP="000154FC">
            <w:pPr>
              <w:jc w:val="center"/>
              <w:rPr>
                <w:noProof/>
              </w:rPr>
            </w:pPr>
            <w:r w:rsidRPr="002F16A1">
              <w:rPr>
                <w:noProof/>
                <w:sz w:val="18"/>
              </w:rPr>
              <w:t>pochodzący</w:t>
            </w:r>
            <w:r w:rsidR="0028384B" w:rsidRPr="002F16A1">
              <w:rPr>
                <w:noProof/>
                <w:sz w:val="18"/>
              </w:rPr>
              <w:t xml:space="preserve"> z</w:t>
            </w:r>
            <w:r w:rsidR="0028384B">
              <w:rPr>
                <w:noProof/>
                <w:sz w:val="18"/>
              </w:rPr>
              <w:t> </w:t>
            </w:r>
            <w:r w:rsidR="0028384B" w:rsidRPr="002F16A1">
              <w:rPr>
                <w:noProof/>
                <w:sz w:val="18"/>
              </w:rPr>
              <w:t>poz</w:t>
            </w:r>
            <w:r w:rsidRPr="002F16A1">
              <w:rPr>
                <w:noProof/>
                <w:sz w:val="18"/>
              </w:rPr>
              <w:t xml:space="preserve">ostałych dochodów przeznaczonych na określony cel </w:t>
            </w:r>
          </w:p>
        </w:tc>
      </w:tr>
      <w:tr w:rsidR="00AD62E2" w:rsidRPr="002F16A1" w:rsidTr="000154FC">
        <w:tc>
          <w:tcPr>
            <w:tcW w:w="1080" w:type="dxa"/>
            <w:vAlign w:val="center"/>
          </w:tcPr>
          <w:p w:rsidR="00AD62E2" w:rsidRPr="002F16A1" w:rsidRDefault="00AD62E2" w:rsidP="000154FC">
            <w:pPr>
              <w:jc w:val="center"/>
              <w:rPr>
                <w:noProof/>
                <w:color w:val="0000FF"/>
              </w:rPr>
            </w:pPr>
          </w:p>
        </w:tc>
        <w:tc>
          <w:tcPr>
            <w:tcW w:w="3960" w:type="dxa"/>
            <w:vAlign w:val="center"/>
          </w:tcPr>
          <w:p w:rsidR="00AD62E2" w:rsidRPr="002F16A1" w:rsidRDefault="00AD62E2" w:rsidP="000154FC">
            <w:pPr>
              <w:spacing w:before="60"/>
              <w:rPr>
                <w:noProof/>
              </w:rPr>
            </w:pPr>
            <w:r w:rsidRPr="002F16A1">
              <w:rPr>
                <w:noProof/>
                <w:sz w:val="22"/>
              </w:rPr>
              <w:t>[XX.YY.YY.YY]</w:t>
            </w:r>
          </w:p>
          <w:p w:rsidR="00AD62E2" w:rsidRPr="002F16A1" w:rsidRDefault="00AD62E2" w:rsidP="000154FC">
            <w:pPr>
              <w:spacing w:after="60"/>
              <w:rPr>
                <w:noProof/>
                <w:color w:val="0000FF"/>
              </w:rPr>
            </w:pPr>
          </w:p>
        </w:tc>
        <w:tc>
          <w:tcPr>
            <w:tcW w:w="1080" w:type="dxa"/>
            <w:vAlign w:val="center"/>
          </w:tcPr>
          <w:p w:rsidR="00AD62E2" w:rsidRPr="002F16A1" w:rsidRDefault="00AD62E2" w:rsidP="000154FC">
            <w:pPr>
              <w:jc w:val="center"/>
              <w:rPr>
                <w:noProof/>
                <w:color w:val="0000FF"/>
              </w:rPr>
            </w:pPr>
          </w:p>
        </w:tc>
        <w:tc>
          <w:tcPr>
            <w:tcW w:w="956" w:type="dxa"/>
            <w:vAlign w:val="center"/>
          </w:tcPr>
          <w:p w:rsidR="00AD62E2" w:rsidRPr="002F16A1" w:rsidRDefault="00AD62E2" w:rsidP="000154FC">
            <w:pPr>
              <w:jc w:val="center"/>
              <w:rPr>
                <w:noProof/>
                <w:sz w:val="20"/>
                <w:szCs w:val="20"/>
              </w:rPr>
            </w:pPr>
            <w:r w:rsidRPr="002F16A1">
              <w:rPr>
                <w:noProof/>
                <w:sz w:val="20"/>
              </w:rPr>
              <w:t>TAK/ NIE</w:t>
            </w:r>
          </w:p>
        </w:tc>
        <w:tc>
          <w:tcPr>
            <w:tcW w:w="1080" w:type="dxa"/>
            <w:vAlign w:val="center"/>
          </w:tcPr>
          <w:p w:rsidR="00AD62E2" w:rsidRPr="002F16A1" w:rsidRDefault="00AD62E2" w:rsidP="000154FC">
            <w:pPr>
              <w:jc w:val="center"/>
              <w:rPr>
                <w:noProof/>
                <w:color w:val="0000FF"/>
                <w:sz w:val="20"/>
                <w:szCs w:val="20"/>
              </w:rPr>
            </w:pPr>
            <w:r w:rsidRPr="002F16A1">
              <w:rPr>
                <w:noProof/>
                <w:sz w:val="20"/>
              </w:rPr>
              <w:t>TAK/ NIE</w:t>
            </w:r>
          </w:p>
        </w:tc>
        <w:tc>
          <w:tcPr>
            <w:tcW w:w="956" w:type="dxa"/>
            <w:vAlign w:val="center"/>
          </w:tcPr>
          <w:p w:rsidR="00AD62E2" w:rsidRPr="002F16A1" w:rsidRDefault="00AD62E2" w:rsidP="000154FC">
            <w:pPr>
              <w:jc w:val="center"/>
              <w:rPr>
                <w:noProof/>
                <w:color w:val="0000FF"/>
                <w:sz w:val="20"/>
                <w:szCs w:val="20"/>
              </w:rPr>
            </w:pPr>
            <w:r w:rsidRPr="002F16A1">
              <w:rPr>
                <w:noProof/>
                <w:sz w:val="20"/>
              </w:rPr>
              <w:t>TAK/ NIE</w:t>
            </w:r>
          </w:p>
        </w:tc>
        <w:tc>
          <w:tcPr>
            <w:tcW w:w="1448" w:type="dxa"/>
            <w:vAlign w:val="center"/>
          </w:tcPr>
          <w:p w:rsidR="00AD62E2" w:rsidRPr="002F16A1" w:rsidRDefault="00AD62E2" w:rsidP="000154FC">
            <w:pPr>
              <w:jc w:val="center"/>
              <w:rPr>
                <w:noProof/>
                <w:sz w:val="20"/>
                <w:szCs w:val="20"/>
              </w:rPr>
            </w:pPr>
            <w:r w:rsidRPr="002F16A1">
              <w:rPr>
                <w:noProof/>
                <w:sz w:val="20"/>
              </w:rPr>
              <w:t>TAK/ NIE</w:t>
            </w:r>
          </w:p>
        </w:tc>
      </w:tr>
    </w:tbl>
    <w:p w:rsidR="00AD62E2" w:rsidRPr="002F16A1" w:rsidRDefault="00AD62E2" w:rsidP="00AD62E2">
      <w:pPr>
        <w:rPr>
          <w:noProof/>
        </w:rPr>
        <w:sectPr w:rsidR="00AD62E2" w:rsidRPr="002F16A1" w:rsidSect="00D32217">
          <w:pgSz w:w="11907" w:h="16840" w:code="1"/>
          <w:pgMar w:top="1134" w:right="1418" w:bottom="1134" w:left="1418" w:header="709" w:footer="709" w:gutter="0"/>
          <w:cols w:space="708"/>
          <w:docGrid w:linePitch="360"/>
        </w:sectPr>
      </w:pPr>
    </w:p>
    <w:p w:rsidR="00AD62E2" w:rsidRPr="002F16A1" w:rsidRDefault="00AD62E2" w:rsidP="00AD62E2">
      <w:pPr>
        <w:pStyle w:val="ManualHeading2"/>
        <w:rPr>
          <w:bCs/>
          <w:noProof/>
          <w:szCs w:val="24"/>
        </w:rPr>
      </w:pPr>
      <w:bookmarkStart w:id="83" w:name="_Toc514938052"/>
      <w:bookmarkStart w:id="84" w:name="_Toc520485051"/>
      <w:r w:rsidRPr="002F16A1">
        <w:rPr>
          <w:noProof/>
        </w:rPr>
        <w:t>3.2.</w:t>
      </w:r>
      <w:r w:rsidRPr="002F16A1">
        <w:rPr>
          <w:noProof/>
        </w:rPr>
        <w:tab/>
        <w:t>Szacunkowy wpływ finansowy wniosku na środki</w:t>
      </w:r>
      <w:bookmarkEnd w:id="83"/>
      <w:bookmarkEnd w:id="84"/>
      <w:r w:rsidRPr="002F16A1">
        <w:rPr>
          <w:noProof/>
        </w:rPr>
        <w:t xml:space="preserve"> </w:t>
      </w:r>
    </w:p>
    <w:p w:rsidR="00AD62E2" w:rsidRPr="002F16A1" w:rsidRDefault="00AD62E2" w:rsidP="00AD62E2">
      <w:pPr>
        <w:pStyle w:val="ManualHeading3"/>
        <w:rPr>
          <w:noProof/>
        </w:rPr>
      </w:pPr>
      <w:bookmarkStart w:id="85" w:name="_Toc514938053"/>
      <w:bookmarkStart w:id="86" w:name="_Toc520485052"/>
      <w:r w:rsidRPr="002F16A1">
        <w:rPr>
          <w:noProof/>
        </w:rPr>
        <w:t>3.2.1.</w:t>
      </w:r>
      <w:r w:rsidRPr="002F16A1">
        <w:rPr>
          <w:noProof/>
        </w:rPr>
        <w:tab/>
        <w:t>Podsumowanie szacunkowego wpływu na środki operacyjne</w:t>
      </w:r>
      <w:bookmarkEnd w:id="85"/>
      <w:bookmarkEnd w:id="86"/>
      <w:r w:rsidRPr="002F16A1">
        <w:rPr>
          <w:noProof/>
        </w:rPr>
        <w:t xml:space="preserve"> </w:t>
      </w:r>
    </w:p>
    <w:p w:rsidR="00AD62E2" w:rsidRPr="002F16A1" w:rsidRDefault="00AD62E2" w:rsidP="00AD62E2">
      <w:pPr>
        <w:pStyle w:val="ListDash1"/>
        <w:rPr>
          <w:noProof/>
        </w:rPr>
      </w:pPr>
      <w:r w:rsidRPr="002F16A1">
        <w:rPr>
          <w:rFonts w:ascii="Wingdings" w:hAnsi="Wingdings"/>
          <w:noProof/>
        </w:rPr>
        <w:t></w:t>
      </w:r>
      <w:r w:rsidRPr="002F16A1">
        <w:rPr>
          <w:noProof/>
        </w:rPr>
        <w:tab/>
        <w:t>Wniosek/inicjatywa nie wiąże się</w:t>
      </w:r>
      <w:r w:rsidR="0028384B" w:rsidRPr="002F16A1">
        <w:rPr>
          <w:noProof/>
        </w:rPr>
        <w:t xml:space="preserve"> z</w:t>
      </w:r>
      <w:r w:rsidR="0028384B">
        <w:rPr>
          <w:noProof/>
        </w:rPr>
        <w:t> </w:t>
      </w:r>
      <w:r w:rsidR="0028384B" w:rsidRPr="002F16A1">
        <w:rPr>
          <w:noProof/>
        </w:rPr>
        <w:t>kon</w:t>
      </w:r>
      <w:r w:rsidRPr="002F16A1">
        <w:rPr>
          <w:noProof/>
        </w:rPr>
        <w:t xml:space="preserve">iecznością wykorzystania środków operacyjnych </w:t>
      </w:r>
    </w:p>
    <w:p w:rsidR="00AD62E2" w:rsidRPr="002F16A1" w:rsidRDefault="00AD62E2" w:rsidP="00AD62E2">
      <w:pPr>
        <w:pStyle w:val="ListDash1"/>
        <w:rPr>
          <w:noProof/>
        </w:rPr>
      </w:pPr>
      <w:r w:rsidRPr="002F16A1">
        <w:rPr>
          <w:rStyle w:val="normaltextrun"/>
          <w:rFonts w:ascii="Wingdings 2" w:hAnsi="Wingdings 2"/>
          <w:noProof/>
          <w:color w:val="000000"/>
          <w:bdr w:val="none" w:sz="0" w:space="0" w:color="auto" w:frame="1"/>
        </w:rPr>
        <w:t></w:t>
      </w:r>
      <w:r w:rsidRPr="002F16A1">
        <w:rPr>
          <w:noProof/>
        </w:rPr>
        <w:tab/>
        <w:t>Wniosek/inicjatywa wiąże się</w:t>
      </w:r>
      <w:r w:rsidR="0028384B" w:rsidRPr="002F16A1">
        <w:rPr>
          <w:noProof/>
        </w:rPr>
        <w:t xml:space="preserve"> z</w:t>
      </w:r>
      <w:r w:rsidR="0028384B">
        <w:rPr>
          <w:noProof/>
        </w:rPr>
        <w:t> </w:t>
      </w:r>
      <w:r w:rsidR="0028384B" w:rsidRPr="002F16A1">
        <w:rPr>
          <w:noProof/>
        </w:rPr>
        <w:t>kon</w:t>
      </w:r>
      <w:r w:rsidRPr="002F16A1">
        <w:rPr>
          <w:noProof/>
        </w:rPr>
        <w:t>iecznością wykorzystania środków operacyjnych, jak określono poniżej:</w:t>
      </w:r>
    </w:p>
    <w:p w:rsidR="00AD62E2" w:rsidRPr="002F16A1" w:rsidRDefault="00AD62E2" w:rsidP="00AD62E2">
      <w:pPr>
        <w:jc w:val="right"/>
        <w:rPr>
          <w:noProof/>
          <w:sz w:val="18"/>
          <w:szCs w:val="18"/>
        </w:rPr>
      </w:pPr>
      <w:r w:rsidRPr="002F16A1">
        <w:rPr>
          <w:noProof/>
          <w:sz w:val="18"/>
        </w:rPr>
        <w:t>w mln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AD62E2" w:rsidRPr="002F16A1" w:rsidTr="000154FC">
        <w:trPr>
          <w:jc w:val="center"/>
        </w:trPr>
        <w:tc>
          <w:tcPr>
            <w:tcW w:w="4744" w:type="dxa"/>
            <w:shd w:val="thinDiagStripe" w:color="C0C0C0" w:fill="auto"/>
            <w:vAlign w:val="center"/>
          </w:tcPr>
          <w:p w:rsidR="00AD62E2" w:rsidRPr="002F16A1" w:rsidRDefault="00AD62E2" w:rsidP="000154FC">
            <w:pPr>
              <w:spacing w:before="60" w:after="60"/>
              <w:jc w:val="center"/>
              <w:rPr>
                <w:b/>
                <w:noProof/>
              </w:rPr>
            </w:pPr>
            <w:r w:rsidRPr="002F16A1">
              <w:rPr>
                <w:b/>
                <w:noProof/>
                <w:sz w:val="22"/>
              </w:rPr>
              <w:t>Dział wieloletnich ra</w:t>
            </w:r>
            <w:r w:rsidRPr="0028384B">
              <w:rPr>
                <w:b/>
                <w:noProof/>
                <w:sz w:val="22"/>
              </w:rPr>
              <w:t>m</w:t>
            </w:r>
            <w:r w:rsidR="0028384B" w:rsidRPr="0028384B">
              <w:rPr>
                <w:b/>
                <w:noProof/>
                <w:sz w:val="22"/>
              </w:rPr>
              <w:t xml:space="preserve"> </w:t>
            </w:r>
            <w:r w:rsidRPr="0028384B">
              <w:rPr>
                <w:b/>
                <w:noProof/>
                <w:sz w:val="22"/>
              </w:rPr>
              <w:br/>
            </w:r>
            <w:r w:rsidRPr="002F16A1">
              <w:rPr>
                <w:b/>
                <w:noProof/>
                <w:sz w:val="22"/>
              </w:rPr>
              <w:t xml:space="preserve">finansowych </w:t>
            </w:r>
          </w:p>
        </w:tc>
        <w:tc>
          <w:tcPr>
            <w:tcW w:w="1080" w:type="dxa"/>
            <w:vAlign w:val="center"/>
          </w:tcPr>
          <w:p w:rsidR="00AD62E2" w:rsidRPr="002F16A1" w:rsidRDefault="00AD62E2" w:rsidP="000154FC">
            <w:pPr>
              <w:spacing w:before="60" w:after="60"/>
              <w:jc w:val="center"/>
              <w:rPr>
                <w:noProof/>
              </w:rPr>
            </w:pPr>
            <w:r w:rsidRPr="002F16A1">
              <w:rPr>
                <w:noProof/>
                <w:sz w:val="22"/>
              </w:rPr>
              <w:t>1</w:t>
            </w:r>
          </w:p>
        </w:tc>
        <w:tc>
          <w:tcPr>
            <w:tcW w:w="7817" w:type="dxa"/>
            <w:vAlign w:val="center"/>
          </w:tcPr>
          <w:p w:rsidR="00AD62E2" w:rsidRPr="002F16A1" w:rsidRDefault="00AD62E2" w:rsidP="000154FC">
            <w:pPr>
              <w:spacing w:before="60" w:after="60"/>
              <w:rPr>
                <w:noProof/>
              </w:rPr>
            </w:pPr>
            <w:r w:rsidRPr="002F16A1">
              <w:rPr>
                <w:rStyle w:val="normaltextrun"/>
                <w:noProof/>
                <w:color w:val="000000"/>
                <w:sz w:val="22"/>
                <w:shd w:val="clear" w:color="auto" w:fill="FFFFFF"/>
              </w:rPr>
              <w:t>Jednolity rynek, innowacje</w:t>
            </w:r>
            <w:r w:rsidR="0028384B" w:rsidRPr="002F16A1">
              <w:rPr>
                <w:rStyle w:val="normaltextrun"/>
                <w:noProof/>
                <w:color w:val="000000"/>
                <w:sz w:val="22"/>
                <w:shd w:val="clear" w:color="auto" w:fill="FFFFFF"/>
              </w:rPr>
              <w:t xml:space="preserve"> i</w:t>
            </w:r>
            <w:r w:rsidR="0028384B">
              <w:rPr>
                <w:rStyle w:val="normaltextrun"/>
                <w:noProof/>
                <w:color w:val="000000"/>
                <w:sz w:val="22"/>
                <w:shd w:val="clear" w:color="auto" w:fill="FFFFFF"/>
              </w:rPr>
              <w:t> </w:t>
            </w:r>
            <w:r w:rsidR="0028384B" w:rsidRPr="002F16A1">
              <w:rPr>
                <w:rStyle w:val="normaltextrun"/>
                <w:noProof/>
                <w:color w:val="000000"/>
                <w:sz w:val="22"/>
                <w:shd w:val="clear" w:color="auto" w:fill="FFFFFF"/>
              </w:rPr>
              <w:t>gos</w:t>
            </w:r>
            <w:r w:rsidRPr="002F16A1">
              <w:rPr>
                <w:rStyle w:val="normaltextrun"/>
                <w:noProof/>
                <w:color w:val="000000"/>
                <w:sz w:val="22"/>
                <w:shd w:val="clear" w:color="auto" w:fill="FFFFFF"/>
              </w:rPr>
              <w:t>podarka cyfrowa</w:t>
            </w:r>
            <w:r w:rsidRPr="002F16A1">
              <w:rPr>
                <w:rStyle w:val="eop"/>
                <w:noProof/>
                <w:color w:val="000000"/>
                <w:sz w:val="22"/>
                <w:shd w:val="clear" w:color="auto" w:fill="FFFFFF"/>
              </w:rPr>
              <w:t xml:space="preserve"> </w:t>
            </w:r>
          </w:p>
        </w:tc>
      </w:tr>
    </w:tbl>
    <w:p w:rsidR="00AD62E2" w:rsidRPr="002F16A1" w:rsidRDefault="00AD62E2" w:rsidP="00AD62E2">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AD62E2" w:rsidRPr="002F16A1" w:rsidTr="000154FC">
        <w:tc>
          <w:tcPr>
            <w:tcW w:w="3960" w:type="dxa"/>
            <w:vAlign w:val="center"/>
          </w:tcPr>
          <w:p w:rsidR="00AD62E2" w:rsidRPr="002F16A1" w:rsidRDefault="00AD62E2" w:rsidP="000154FC">
            <w:pPr>
              <w:jc w:val="center"/>
              <w:rPr>
                <w:noProof/>
              </w:rPr>
            </w:pPr>
            <w:r w:rsidRPr="002F16A1">
              <w:rPr>
                <w:noProof/>
                <w:sz w:val="22"/>
              </w:rPr>
              <w:t xml:space="preserve">Dyrekcja Generalna: </w:t>
            </w:r>
            <w:r w:rsidRPr="002F16A1">
              <w:rPr>
                <w:rStyle w:val="normaltextrun"/>
                <w:noProof/>
                <w:color w:val="000000"/>
                <w:sz w:val="22"/>
                <w:bdr w:val="none" w:sz="0" w:space="0" w:color="auto" w:frame="1"/>
              </w:rPr>
              <w:t>GROW</w:t>
            </w:r>
          </w:p>
        </w:tc>
        <w:tc>
          <w:tcPr>
            <w:tcW w:w="1560" w:type="dxa"/>
            <w:gridSpan w:val="2"/>
          </w:tcPr>
          <w:p w:rsidR="00AD62E2" w:rsidRPr="002F16A1" w:rsidRDefault="00AD62E2" w:rsidP="000154FC">
            <w:pPr>
              <w:rPr>
                <w:noProof/>
                <w:sz w:val="20"/>
              </w:rPr>
            </w:pPr>
          </w:p>
        </w:tc>
        <w:tc>
          <w:tcPr>
            <w:tcW w:w="534" w:type="dxa"/>
          </w:tcPr>
          <w:p w:rsidR="00AD62E2" w:rsidRPr="002F16A1" w:rsidRDefault="00AD62E2" w:rsidP="000154FC">
            <w:pPr>
              <w:jc w:val="center"/>
              <w:rPr>
                <w:noProof/>
                <w:sz w:val="20"/>
              </w:rPr>
            </w:pPr>
          </w:p>
        </w:tc>
        <w:tc>
          <w:tcPr>
            <w:tcW w:w="868" w:type="dxa"/>
            <w:vAlign w:val="center"/>
          </w:tcPr>
          <w:p w:rsidR="00AD62E2" w:rsidRPr="002F16A1" w:rsidRDefault="00AD62E2" w:rsidP="000154FC">
            <w:pPr>
              <w:jc w:val="center"/>
              <w:rPr>
                <w:noProof/>
                <w:sz w:val="20"/>
              </w:rPr>
            </w:pPr>
            <w:r w:rsidRPr="002F16A1">
              <w:rPr>
                <w:rStyle w:val="normaltextrun"/>
                <w:noProof/>
                <w:sz w:val="20"/>
              </w:rPr>
              <w:t>Ro</w:t>
            </w:r>
            <w:r w:rsidRPr="0028384B">
              <w:rPr>
                <w:rStyle w:val="normaltextrun"/>
                <w:noProof/>
                <w:sz w:val="20"/>
              </w:rPr>
              <w:t>k</w:t>
            </w:r>
            <w:r w:rsidR="0028384B" w:rsidRPr="0028384B">
              <w:rPr>
                <w:rStyle w:val="scxw177865205"/>
                <w:noProof/>
                <w:sz w:val="20"/>
              </w:rPr>
              <w:t xml:space="preserve"> </w:t>
            </w:r>
            <w:r w:rsidRPr="0028384B">
              <w:rPr>
                <w:noProof/>
              </w:rPr>
              <w:br/>
            </w:r>
            <w:r w:rsidRPr="002F16A1">
              <w:rPr>
                <w:rStyle w:val="normaltextrun"/>
                <w:b/>
                <w:noProof/>
                <w:sz w:val="20"/>
              </w:rPr>
              <w:t>2024</w:t>
            </w:r>
            <w:r w:rsidRPr="002F16A1">
              <w:rPr>
                <w:rStyle w:val="eop"/>
                <w:noProof/>
                <w:sz w:val="20"/>
              </w:rPr>
              <w:t xml:space="preserve"> </w:t>
            </w:r>
          </w:p>
        </w:tc>
        <w:tc>
          <w:tcPr>
            <w:tcW w:w="868" w:type="dxa"/>
            <w:vAlign w:val="center"/>
          </w:tcPr>
          <w:p w:rsidR="00AD62E2" w:rsidRPr="002F16A1" w:rsidRDefault="00AD62E2" w:rsidP="000154FC">
            <w:pPr>
              <w:jc w:val="center"/>
              <w:rPr>
                <w:noProof/>
                <w:sz w:val="20"/>
              </w:rPr>
            </w:pPr>
            <w:r w:rsidRPr="002F16A1">
              <w:rPr>
                <w:rStyle w:val="normaltextrun"/>
                <w:noProof/>
                <w:sz w:val="20"/>
              </w:rPr>
              <w:t>Ro</w:t>
            </w:r>
            <w:r w:rsidRPr="0028384B">
              <w:rPr>
                <w:rStyle w:val="normaltextrun"/>
                <w:noProof/>
                <w:sz w:val="20"/>
              </w:rPr>
              <w:t>k</w:t>
            </w:r>
            <w:r w:rsidR="0028384B" w:rsidRPr="0028384B">
              <w:rPr>
                <w:rStyle w:val="scxw177865205"/>
                <w:noProof/>
                <w:sz w:val="20"/>
              </w:rPr>
              <w:t xml:space="preserve"> </w:t>
            </w:r>
            <w:r w:rsidRPr="0028384B">
              <w:rPr>
                <w:noProof/>
              </w:rPr>
              <w:br/>
            </w:r>
            <w:r w:rsidRPr="002F16A1">
              <w:rPr>
                <w:rStyle w:val="normaltextrun"/>
                <w:b/>
                <w:noProof/>
                <w:sz w:val="20"/>
              </w:rPr>
              <w:t>2025</w:t>
            </w:r>
            <w:r w:rsidRPr="002F16A1">
              <w:rPr>
                <w:rStyle w:val="eop"/>
                <w:noProof/>
                <w:sz w:val="20"/>
              </w:rPr>
              <w:t xml:space="preserve"> </w:t>
            </w:r>
          </w:p>
        </w:tc>
        <w:tc>
          <w:tcPr>
            <w:tcW w:w="868" w:type="dxa"/>
            <w:vAlign w:val="center"/>
          </w:tcPr>
          <w:p w:rsidR="00AD62E2" w:rsidRPr="002F16A1" w:rsidRDefault="00AD62E2" w:rsidP="000154FC">
            <w:pPr>
              <w:jc w:val="center"/>
              <w:rPr>
                <w:noProof/>
                <w:sz w:val="20"/>
              </w:rPr>
            </w:pPr>
            <w:r w:rsidRPr="002F16A1">
              <w:rPr>
                <w:rStyle w:val="normaltextrun"/>
                <w:noProof/>
                <w:sz w:val="20"/>
              </w:rPr>
              <w:t>Ro</w:t>
            </w:r>
            <w:r w:rsidRPr="0028384B">
              <w:rPr>
                <w:rStyle w:val="normaltextrun"/>
                <w:noProof/>
                <w:sz w:val="20"/>
              </w:rPr>
              <w:t>k</w:t>
            </w:r>
            <w:r w:rsidR="0028384B" w:rsidRPr="0028384B">
              <w:rPr>
                <w:rStyle w:val="scxw177865205"/>
                <w:noProof/>
                <w:sz w:val="20"/>
              </w:rPr>
              <w:t xml:space="preserve"> </w:t>
            </w:r>
            <w:r w:rsidRPr="0028384B">
              <w:rPr>
                <w:noProof/>
              </w:rPr>
              <w:br/>
            </w:r>
            <w:r w:rsidRPr="002F16A1">
              <w:rPr>
                <w:rStyle w:val="normaltextrun"/>
                <w:b/>
                <w:noProof/>
                <w:sz w:val="20"/>
              </w:rPr>
              <w:t>2026</w:t>
            </w:r>
            <w:r w:rsidRPr="002F16A1">
              <w:rPr>
                <w:rStyle w:val="eop"/>
                <w:noProof/>
                <w:sz w:val="20"/>
              </w:rPr>
              <w:t xml:space="preserve"> </w:t>
            </w:r>
          </w:p>
        </w:tc>
        <w:tc>
          <w:tcPr>
            <w:tcW w:w="868" w:type="dxa"/>
            <w:vAlign w:val="center"/>
          </w:tcPr>
          <w:p w:rsidR="00AD62E2" w:rsidRPr="002F16A1" w:rsidRDefault="00AD62E2" w:rsidP="000154FC">
            <w:pPr>
              <w:jc w:val="center"/>
              <w:rPr>
                <w:noProof/>
                <w:sz w:val="20"/>
              </w:rPr>
            </w:pPr>
            <w:r w:rsidRPr="002F16A1">
              <w:rPr>
                <w:rStyle w:val="normaltextrun"/>
                <w:noProof/>
                <w:sz w:val="20"/>
              </w:rPr>
              <w:t>Ro</w:t>
            </w:r>
            <w:r w:rsidRPr="0028384B">
              <w:rPr>
                <w:rStyle w:val="normaltextrun"/>
                <w:noProof/>
                <w:sz w:val="20"/>
              </w:rPr>
              <w:t>k</w:t>
            </w:r>
            <w:r w:rsidR="0028384B" w:rsidRPr="0028384B">
              <w:rPr>
                <w:rStyle w:val="scxw177865205"/>
                <w:noProof/>
                <w:sz w:val="20"/>
              </w:rPr>
              <w:t xml:space="preserve"> </w:t>
            </w:r>
            <w:r w:rsidRPr="0028384B">
              <w:rPr>
                <w:noProof/>
              </w:rPr>
              <w:br/>
            </w:r>
            <w:r w:rsidRPr="002F16A1">
              <w:rPr>
                <w:rStyle w:val="normaltextrun"/>
                <w:b/>
                <w:noProof/>
                <w:sz w:val="20"/>
              </w:rPr>
              <w:t>2027</w:t>
            </w:r>
            <w:r w:rsidRPr="002F16A1">
              <w:rPr>
                <w:rStyle w:val="eop"/>
                <w:noProof/>
                <w:sz w:val="20"/>
              </w:rPr>
              <w:t xml:space="preserve"> </w:t>
            </w:r>
          </w:p>
        </w:tc>
        <w:tc>
          <w:tcPr>
            <w:tcW w:w="2604" w:type="dxa"/>
            <w:gridSpan w:val="3"/>
            <w:vAlign w:val="center"/>
          </w:tcPr>
          <w:p w:rsidR="00AD62E2" w:rsidRPr="002F16A1" w:rsidRDefault="00AD62E2" w:rsidP="000154FC">
            <w:pPr>
              <w:jc w:val="center"/>
              <w:rPr>
                <w:b/>
                <w:noProof/>
                <w:sz w:val="18"/>
              </w:rPr>
            </w:pPr>
            <w:r w:rsidRPr="002F16A1">
              <w:rPr>
                <w:noProof/>
                <w:sz w:val="18"/>
              </w:rPr>
              <w:t xml:space="preserve">Wprowadzić taką liczbę kolumn dla poszczególnych lat, jaka jest niezbędna, by odzwierciedlić cały okres wpływu (por. </w:t>
            </w:r>
            <w:r w:rsidRPr="0028384B">
              <w:rPr>
                <w:noProof/>
                <w:sz w:val="18"/>
              </w:rPr>
              <w:t>pkt</w:t>
            </w:r>
            <w:r w:rsidR="0028384B" w:rsidRPr="0028384B">
              <w:rPr>
                <w:noProof/>
                <w:sz w:val="18"/>
              </w:rPr>
              <w:t> </w:t>
            </w:r>
            <w:r w:rsidRPr="0028384B">
              <w:rPr>
                <w:noProof/>
                <w:sz w:val="18"/>
              </w:rPr>
              <w:t>1</w:t>
            </w:r>
            <w:r w:rsidRPr="002F16A1">
              <w:rPr>
                <w:noProof/>
                <w:sz w:val="18"/>
              </w:rPr>
              <w:t>.6)</w:t>
            </w:r>
          </w:p>
        </w:tc>
        <w:tc>
          <w:tcPr>
            <w:tcW w:w="1777" w:type="dxa"/>
            <w:vAlign w:val="center"/>
          </w:tcPr>
          <w:p w:rsidR="00AD62E2" w:rsidRPr="002F16A1" w:rsidRDefault="00AD62E2" w:rsidP="000154FC">
            <w:pPr>
              <w:jc w:val="center"/>
              <w:rPr>
                <w:b/>
                <w:noProof/>
                <w:sz w:val="20"/>
              </w:rPr>
            </w:pPr>
            <w:r w:rsidRPr="002F16A1">
              <w:rPr>
                <w:b/>
                <w:noProof/>
                <w:sz w:val="20"/>
              </w:rPr>
              <w:t>OGÓŁEM</w:t>
            </w:r>
          </w:p>
        </w:tc>
      </w:tr>
      <w:tr w:rsidR="00AD62E2" w:rsidRPr="002F16A1" w:rsidTr="000154FC">
        <w:trPr>
          <w:trHeight w:val="213"/>
        </w:trPr>
        <w:tc>
          <w:tcPr>
            <w:tcW w:w="6054" w:type="dxa"/>
            <w:gridSpan w:val="4"/>
            <w:vAlign w:val="center"/>
          </w:tcPr>
          <w:p w:rsidR="00AD62E2" w:rsidRPr="002F16A1" w:rsidRDefault="00AD62E2" w:rsidP="000154FC">
            <w:pPr>
              <w:spacing w:before="20" w:after="20"/>
              <w:rPr>
                <w:noProof/>
                <w:sz w:val="21"/>
              </w:rPr>
            </w:pPr>
            <w:r w:rsidRPr="002F16A1">
              <w:rPr>
                <w:rFonts w:ascii="Wingdings" w:hAnsi="Wingdings"/>
                <w:noProof/>
                <w:sz w:val="21"/>
              </w:rPr>
              <w:t>□</w:t>
            </w:r>
            <w:r w:rsidRPr="002F16A1">
              <w:rPr>
                <w:noProof/>
              </w:rPr>
              <w:t xml:space="preserve"> </w:t>
            </w:r>
            <w:r w:rsidRPr="002F16A1">
              <w:rPr>
                <w:noProof/>
                <w:sz w:val="21"/>
              </w:rPr>
              <w:t xml:space="preserve">Środki operacyjne </w:t>
            </w:r>
          </w:p>
        </w:tc>
        <w:tc>
          <w:tcPr>
            <w:tcW w:w="868" w:type="dxa"/>
            <w:vAlign w:val="center"/>
          </w:tcPr>
          <w:p w:rsidR="00AD62E2" w:rsidRPr="002F16A1" w:rsidRDefault="00AD62E2" w:rsidP="000154FC">
            <w:pPr>
              <w:rPr>
                <w:noProof/>
                <w:sz w:val="20"/>
              </w:rPr>
            </w:pPr>
          </w:p>
        </w:tc>
        <w:tc>
          <w:tcPr>
            <w:tcW w:w="868" w:type="dxa"/>
            <w:vAlign w:val="center"/>
          </w:tcPr>
          <w:p w:rsidR="00AD62E2" w:rsidRPr="002F16A1" w:rsidRDefault="00AD62E2" w:rsidP="000154FC">
            <w:pPr>
              <w:rPr>
                <w:noProof/>
                <w:sz w:val="20"/>
              </w:rPr>
            </w:pPr>
          </w:p>
        </w:tc>
        <w:tc>
          <w:tcPr>
            <w:tcW w:w="868" w:type="dxa"/>
            <w:vAlign w:val="center"/>
          </w:tcPr>
          <w:p w:rsidR="00AD62E2" w:rsidRPr="002F16A1" w:rsidRDefault="00AD62E2" w:rsidP="000154FC">
            <w:pPr>
              <w:rPr>
                <w:noProof/>
                <w:sz w:val="20"/>
              </w:rPr>
            </w:pPr>
          </w:p>
        </w:tc>
        <w:tc>
          <w:tcPr>
            <w:tcW w:w="868" w:type="dxa"/>
            <w:vAlign w:val="center"/>
          </w:tcPr>
          <w:p w:rsidR="00AD62E2" w:rsidRPr="002F16A1" w:rsidRDefault="00AD62E2" w:rsidP="000154FC">
            <w:pPr>
              <w:rPr>
                <w:noProof/>
                <w:sz w:val="20"/>
              </w:rPr>
            </w:pPr>
          </w:p>
        </w:tc>
        <w:tc>
          <w:tcPr>
            <w:tcW w:w="868" w:type="dxa"/>
            <w:vAlign w:val="center"/>
          </w:tcPr>
          <w:p w:rsidR="00AD62E2" w:rsidRPr="002F16A1" w:rsidRDefault="00AD62E2" w:rsidP="000154FC">
            <w:pPr>
              <w:rPr>
                <w:noProof/>
                <w:sz w:val="20"/>
              </w:rPr>
            </w:pPr>
          </w:p>
        </w:tc>
        <w:tc>
          <w:tcPr>
            <w:tcW w:w="868" w:type="dxa"/>
            <w:vAlign w:val="center"/>
          </w:tcPr>
          <w:p w:rsidR="00AD62E2" w:rsidRPr="002F16A1" w:rsidRDefault="00AD62E2" w:rsidP="000154FC">
            <w:pPr>
              <w:rPr>
                <w:noProof/>
                <w:sz w:val="20"/>
              </w:rPr>
            </w:pPr>
          </w:p>
        </w:tc>
        <w:tc>
          <w:tcPr>
            <w:tcW w:w="868" w:type="dxa"/>
            <w:vAlign w:val="center"/>
          </w:tcPr>
          <w:p w:rsidR="00AD62E2" w:rsidRPr="002F16A1" w:rsidRDefault="00AD62E2" w:rsidP="000154FC">
            <w:pPr>
              <w:rPr>
                <w:b/>
                <w:noProof/>
                <w:sz w:val="20"/>
              </w:rPr>
            </w:pPr>
          </w:p>
        </w:tc>
        <w:tc>
          <w:tcPr>
            <w:tcW w:w="1777" w:type="dxa"/>
            <w:vAlign w:val="center"/>
          </w:tcPr>
          <w:p w:rsidR="00AD62E2" w:rsidRPr="002F16A1" w:rsidRDefault="00AD62E2" w:rsidP="000154FC">
            <w:pPr>
              <w:rPr>
                <w:b/>
                <w:noProof/>
                <w:sz w:val="20"/>
              </w:rPr>
            </w:pPr>
          </w:p>
        </w:tc>
      </w:tr>
      <w:tr w:rsidR="00AD62E2" w:rsidRPr="002F16A1" w:rsidTr="000154FC">
        <w:trPr>
          <w:trHeight w:val="277"/>
        </w:trPr>
        <w:tc>
          <w:tcPr>
            <w:tcW w:w="3960" w:type="dxa"/>
            <w:vMerge w:val="restart"/>
            <w:vAlign w:val="center"/>
          </w:tcPr>
          <w:p w:rsidR="00AD62E2" w:rsidRPr="002F16A1" w:rsidRDefault="00AD62E2" w:rsidP="000154FC">
            <w:pPr>
              <w:rPr>
                <w:noProof/>
              </w:rPr>
            </w:pPr>
            <w:r w:rsidRPr="002F16A1">
              <w:rPr>
                <w:noProof/>
                <w:sz w:val="20"/>
              </w:rPr>
              <w:t xml:space="preserve"> 03.020101 </w:t>
            </w:r>
            <w:r w:rsidRPr="002F16A1">
              <w:rPr>
                <w:rStyle w:val="FootnoteReference"/>
                <w:noProof/>
              </w:rPr>
              <w:footnoteReference w:id="56"/>
            </w:r>
          </w:p>
        </w:tc>
        <w:tc>
          <w:tcPr>
            <w:tcW w:w="1440" w:type="dxa"/>
            <w:vAlign w:val="center"/>
          </w:tcPr>
          <w:p w:rsidR="00AD62E2" w:rsidRPr="002F16A1" w:rsidRDefault="00AD62E2" w:rsidP="000154FC">
            <w:pPr>
              <w:spacing w:before="20" w:after="20"/>
              <w:rPr>
                <w:noProof/>
                <w:sz w:val="18"/>
              </w:rPr>
            </w:pPr>
            <w:r w:rsidRPr="002F16A1">
              <w:rPr>
                <w:noProof/>
                <w:sz w:val="18"/>
              </w:rPr>
              <w:t>Środki na zobowiązania</w:t>
            </w:r>
          </w:p>
        </w:tc>
        <w:tc>
          <w:tcPr>
            <w:tcW w:w="654" w:type="dxa"/>
            <w:gridSpan w:val="2"/>
            <w:vAlign w:val="center"/>
          </w:tcPr>
          <w:p w:rsidR="00AD62E2" w:rsidRPr="002F16A1" w:rsidRDefault="00AD62E2" w:rsidP="000154FC">
            <w:pPr>
              <w:spacing w:before="20" w:after="20"/>
              <w:jc w:val="center"/>
              <w:rPr>
                <w:noProof/>
                <w:sz w:val="14"/>
              </w:rPr>
            </w:pPr>
            <w:r w:rsidRPr="002F16A1">
              <w:rPr>
                <w:noProof/>
                <w:sz w:val="14"/>
              </w:rPr>
              <w:t>(1a)</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20" w:after="20"/>
              <w:jc w:val="right"/>
              <w:rPr>
                <w:b/>
                <w:noProof/>
                <w:sz w:val="20"/>
              </w:rPr>
            </w:pPr>
            <w:r w:rsidRPr="002F16A1">
              <w:rPr>
                <w:rStyle w:val="normaltextrun"/>
                <w:b/>
                <w:noProof/>
                <w:sz w:val="20"/>
              </w:rPr>
              <w:t>3.2</w:t>
            </w:r>
            <w:r w:rsidRPr="002F16A1">
              <w:rPr>
                <w:rStyle w:val="eop"/>
                <w:noProof/>
                <w:sz w:val="20"/>
              </w:rPr>
              <w:t xml:space="preserve"> </w:t>
            </w:r>
          </w:p>
        </w:tc>
      </w:tr>
      <w:tr w:rsidR="00AD62E2" w:rsidRPr="002F16A1" w:rsidTr="000154FC">
        <w:tc>
          <w:tcPr>
            <w:tcW w:w="3960" w:type="dxa"/>
            <w:vMerge/>
          </w:tcPr>
          <w:p w:rsidR="00AD62E2" w:rsidRPr="002F16A1" w:rsidRDefault="00AD62E2" w:rsidP="000154FC">
            <w:pPr>
              <w:jc w:val="center"/>
              <w:rPr>
                <w:noProof/>
                <w:sz w:val="20"/>
              </w:rPr>
            </w:pPr>
          </w:p>
        </w:tc>
        <w:tc>
          <w:tcPr>
            <w:tcW w:w="1440" w:type="dxa"/>
            <w:vAlign w:val="center"/>
          </w:tcPr>
          <w:p w:rsidR="00AD62E2" w:rsidRPr="002F16A1" w:rsidRDefault="00AD62E2" w:rsidP="000154FC">
            <w:pPr>
              <w:spacing w:before="20" w:after="20"/>
              <w:rPr>
                <w:noProof/>
                <w:sz w:val="18"/>
              </w:rPr>
            </w:pPr>
            <w:r w:rsidRPr="002F16A1">
              <w:rPr>
                <w:noProof/>
                <w:sz w:val="18"/>
              </w:rPr>
              <w:t>Środki na płatności</w:t>
            </w:r>
          </w:p>
        </w:tc>
        <w:tc>
          <w:tcPr>
            <w:tcW w:w="654" w:type="dxa"/>
            <w:gridSpan w:val="2"/>
            <w:vAlign w:val="center"/>
          </w:tcPr>
          <w:p w:rsidR="00AD62E2" w:rsidRPr="002F16A1" w:rsidRDefault="00AD62E2" w:rsidP="000154FC">
            <w:pPr>
              <w:spacing w:before="20" w:after="20"/>
              <w:jc w:val="center"/>
              <w:rPr>
                <w:noProof/>
                <w:sz w:val="14"/>
              </w:rPr>
            </w:pPr>
            <w:r w:rsidRPr="002F16A1">
              <w:rPr>
                <w:noProof/>
                <w:sz w:val="14"/>
              </w:rPr>
              <w:t>(2a)</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20" w:after="20"/>
              <w:jc w:val="right"/>
              <w:rPr>
                <w:b/>
                <w:noProof/>
                <w:sz w:val="20"/>
              </w:rPr>
            </w:pPr>
            <w:r w:rsidRPr="002F16A1">
              <w:rPr>
                <w:rStyle w:val="normaltextrun"/>
                <w:b/>
                <w:noProof/>
                <w:sz w:val="20"/>
              </w:rPr>
              <w:t>3.2</w:t>
            </w:r>
            <w:r w:rsidRPr="002F16A1">
              <w:rPr>
                <w:rStyle w:val="eop"/>
                <w:noProof/>
                <w:sz w:val="20"/>
              </w:rPr>
              <w:t xml:space="preserve"> </w:t>
            </w:r>
          </w:p>
        </w:tc>
      </w:tr>
      <w:tr w:rsidR="00AD62E2" w:rsidRPr="002F16A1" w:rsidTr="000154FC">
        <w:tc>
          <w:tcPr>
            <w:tcW w:w="3960" w:type="dxa"/>
            <w:vMerge w:val="restart"/>
            <w:vAlign w:val="center"/>
          </w:tcPr>
          <w:p w:rsidR="00AD62E2" w:rsidRPr="002F16A1" w:rsidRDefault="00DD443B" w:rsidP="000154FC">
            <w:pPr>
              <w:rPr>
                <w:noProof/>
              </w:rPr>
            </w:pPr>
            <w:r w:rsidRPr="002F16A1">
              <w:rPr>
                <w:noProof/>
                <w:sz w:val="20"/>
              </w:rPr>
              <w:t>03.0202</w:t>
            </w:r>
          </w:p>
        </w:tc>
        <w:tc>
          <w:tcPr>
            <w:tcW w:w="1440" w:type="dxa"/>
            <w:vAlign w:val="center"/>
          </w:tcPr>
          <w:p w:rsidR="00AD62E2" w:rsidRPr="002F16A1" w:rsidRDefault="00AD62E2" w:rsidP="000154FC">
            <w:pPr>
              <w:spacing w:before="20" w:after="20"/>
              <w:rPr>
                <w:noProof/>
                <w:sz w:val="18"/>
              </w:rPr>
            </w:pPr>
            <w:r w:rsidRPr="002F16A1">
              <w:rPr>
                <w:noProof/>
                <w:sz w:val="18"/>
              </w:rPr>
              <w:t>Środki na zobowiązania</w:t>
            </w:r>
          </w:p>
        </w:tc>
        <w:tc>
          <w:tcPr>
            <w:tcW w:w="654" w:type="dxa"/>
            <w:gridSpan w:val="2"/>
            <w:vAlign w:val="center"/>
          </w:tcPr>
          <w:p w:rsidR="00AD62E2" w:rsidRPr="002F16A1" w:rsidRDefault="00AD62E2" w:rsidP="000154FC">
            <w:pPr>
              <w:spacing w:before="20" w:after="20"/>
              <w:jc w:val="center"/>
              <w:rPr>
                <w:noProof/>
                <w:sz w:val="14"/>
              </w:rPr>
            </w:pPr>
            <w:r w:rsidRPr="002F16A1">
              <w:rPr>
                <w:noProof/>
                <w:sz w:val="14"/>
              </w:rPr>
              <w:t>(1b)</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20" w:after="20"/>
              <w:jc w:val="right"/>
              <w:rPr>
                <w:b/>
                <w:noProof/>
                <w:sz w:val="20"/>
              </w:rPr>
            </w:pPr>
            <w:r w:rsidRPr="002F16A1">
              <w:rPr>
                <w:rStyle w:val="eop"/>
                <w:noProof/>
                <w:sz w:val="20"/>
              </w:rPr>
              <w:t xml:space="preserve"> </w:t>
            </w:r>
          </w:p>
        </w:tc>
      </w:tr>
      <w:tr w:rsidR="00AD62E2" w:rsidRPr="002F16A1" w:rsidTr="000154FC">
        <w:tc>
          <w:tcPr>
            <w:tcW w:w="3960" w:type="dxa"/>
            <w:vMerge/>
          </w:tcPr>
          <w:p w:rsidR="00AD62E2" w:rsidRPr="002F16A1" w:rsidRDefault="00AD62E2" w:rsidP="000154FC">
            <w:pPr>
              <w:jc w:val="center"/>
              <w:rPr>
                <w:noProof/>
                <w:sz w:val="20"/>
              </w:rPr>
            </w:pPr>
          </w:p>
        </w:tc>
        <w:tc>
          <w:tcPr>
            <w:tcW w:w="1440" w:type="dxa"/>
            <w:vAlign w:val="center"/>
          </w:tcPr>
          <w:p w:rsidR="00AD62E2" w:rsidRPr="002F16A1" w:rsidRDefault="00AD62E2" w:rsidP="000154FC">
            <w:pPr>
              <w:spacing w:before="20" w:after="20"/>
              <w:rPr>
                <w:noProof/>
                <w:sz w:val="18"/>
              </w:rPr>
            </w:pPr>
            <w:r w:rsidRPr="002F16A1">
              <w:rPr>
                <w:noProof/>
                <w:sz w:val="18"/>
              </w:rPr>
              <w:t>Środki na płatności</w:t>
            </w:r>
          </w:p>
        </w:tc>
        <w:tc>
          <w:tcPr>
            <w:tcW w:w="654" w:type="dxa"/>
            <w:gridSpan w:val="2"/>
            <w:vAlign w:val="center"/>
          </w:tcPr>
          <w:p w:rsidR="00AD62E2" w:rsidRPr="002F16A1" w:rsidRDefault="00AD62E2" w:rsidP="000154FC">
            <w:pPr>
              <w:spacing w:before="20" w:after="20"/>
              <w:jc w:val="center"/>
              <w:rPr>
                <w:noProof/>
                <w:sz w:val="14"/>
              </w:rPr>
            </w:pPr>
            <w:r w:rsidRPr="002F16A1">
              <w:rPr>
                <w:noProof/>
                <w:sz w:val="14"/>
              </w:rPr>
              <w:t>(2b)</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20" w:after="20"/>
              <w:jc w:val="right"/>
              <w:rPr>
                <w:b/>
                <w:noProof/>
                <w:sz w:val="20"/>
              </w:rPr>
            </w:pPr>
            <w:r w:rsidRPr="002F16A1">
              <w:rPr>
                <w:rStyle w:val="eop"/>
                <w:noProof/>
                <w:sz w:val="20"/>
              </w:rPr>
              <w:t xml:space="preserve"> </w:t>
            </w:r>
          </w:p>
        </w:tc>
      </w:tr>
      <w:tr w:rsidR="00AD62E2" w:rsidRPr="002F16A1" w:rsidTr="000154FC">
        <w:trPr>
          <w:trHeight w:val="231"/>
        </w:trPr>
        <w:tc>
          <w:tcPr>
            <w:tcW w:w="6054" w:type="dxa"/>
            <w:gridSpan w:val="4"/>
            <w:vAlign w:val="center"/>
          </w:tcPr>
          <w:p w:rsidR="00AD62E2" w:rsidRPr="002F16A1" w:rsidRDefault="00AD62E2" w:rsidP="000154FC">
            <w:pPr>
              <w:spacing w:before="20" w:after="20"/>
              <w:rPr>
                <w:noProof/>
              </w:rPr>
            </w:pPr>
            <w:r w:rsidRPr="002F16A1">
              <w:rPr>
                <w:noProof/>
                <w:sz w:val="21"/>
              </w:rPr>
              <w:t>Środki administracyjne finansowane ze środków przydzielonych na określone programy</w:t>
            </w:r>
            <w:r w:rsidRPr="002F16A1">
              <w:rPr>
                <w:rStyle w:val="FootnoteReference"/>
                <w:noProof/>
              </w:rPr>
              <w:footnoteReference w:id="57"/>
            </w:r>
            <w:r w:rsidRPr="002F16A1">
              <w:rPr>
                <w:noProof/>
                <w:sz w:val="21"/>
              </w:rPr>
              <w:t xml:space="preserve"> </w:t>
            </w:r>
          </w:p>
          <w:p w:rsidR="00AD62E2" w:rsidRPr="002F16A1" w:rsidRDefault="00AD62E2" w:rsidP="000154FC">
            <w:pPr>
              <w:spacing w:before="0" w:after="0"/>
              <w:rPr>
                <w:noProof/>
              </w:rPr>
            </w:pPr>
          </w:p>
        </w:tc>
        <w:tc>
          <w:tcPr>
            <w:tcW w:w="868" w:type="dxa"/>
            <w:vAlign w:val="center"/>
          </w:tcPr>
          <w:p w:rsidR="00AD62E2" w:rsidRPr="002F16A1" w:rsidRDefault="00AD62E2" w:rsidP="000154FC">
            <w:pPr>
              <w:rPr>
                <w:b/>
                <w:noProof/>
                <w:sz w:val="20"/>
              </w:rPr>
            </w:pPr>
          </w:p>
        </w:tc>
        <w:tc>
          <w:tcPr>
            <w:tcW w:w="868" w:type="dxa"/>
            <w:vAlign w:val="center"/>
          </w:tcPr>
          <w:p w:rsidR="00AD62E2" w:rsidRPr="002F16A1" w:rsidRDefault="00AD62E2" w:rsidP="000154FC">
            <w:pPr>
              <w:rPr>
                <w:b/>
                <w:noProof/>
                <w:sz w:val="20"/>
              </w:rPr>
            </w:pPr>
          </w:p>
        </w:tc>
        <w:tc>
          <w:tcPr>
            <w:tcW w:w="868" w:type="dxa"/>
            <w:vAlign w:val="center"/>
          </w:tcPr>
          <w:p w:rsidR="00AD62E2" w:rsidRPr="002F16A1" w:rsidRDefault="00AD62E2" w:rsidP="000154FC">
            <w:pPr>
              <w:rPr>
                <w:b/>
                <w:noProof/>
                <w:sz w:val="20"/>
              </w:rPr>
            </w:pPr>
            <w:r w:rsidRPr="002F16A1">
              <w:rPr>
                <w:rStyle w:val="eop"/>
                <w:noProof/>
                <w:sz w:val="20"/>
              </w:rPr>
              <w:t xml:space="preserve"> </w:t>
            </w:r>
          </w:p>
        </w:tc>
        <w:tc>
          <w:tcPr>
            <w:tcW w:w="868" w:type="dxa"/>
            <w:vAlign w:val="center"/>
          </w:tcPr>
          <w:p w:rsidR="00AD62E2" w:rsidRPr="002F16A1" w:rsidRDefault="00AD62E2" w:rsidP="000154FC">
            <w:pPr>
              <w:rPr>
                <w:b/>
                <w:noProof/>
                <w:sz w:val="20"/>
              </w:rPr>
            </w:pPr>
            <w:r w:rsidRPr="002F16A1">
              <w:rPr>
                <w:rStyle w:val="eop"/>
                <w:noProof/>
                <w:sz w:val="20"/>
              </w:rPr>
              <w:t xml:space="preserve"> </w:t>
            </w:r>
          </w:p>
        </w:tc>
        <w:tc>
          <w:tcPr>
            <w:tcW w:w="868" w:type="dxa"/>
            <w:vAlign w:val="center"/>
          </w:tcPr>
          <w:p w:rsidR="00AD62E2" w:rsidRPr="002F16A1" w:rsidRDefault="00AD62E2" w:rsidP="000154FC">
            <w:pPr>
              <w:rPr>
                <w:b/>
                <w:noProof/>
                <w:sz w:val="20"/>
              </w:rPr>
            </w:pPr>
            <w:r w:rsidRPr="002F16A1">
              <w:rPr>
                <w:rStyle w:val="eop"/>
                <w:noProof/>
                <w:sz w:val="20"/>
              </w:rPr>
              <w:t xml:space="preserve"> </w:t>
            </w:r>
          </w:p>
        </w:tc>
        <w:tc>
          <w:tcPr>
            <w:tcW w:w="868" w:type="dxa"/>
            <w:vAlign w:val="center"/>
          </w:tcPr>
          <w:p w:rsidR="00AD62E2" w:rsidRPr="002F16A1" w:rsidRDefault="00AD62E2" w:rsidP="000154FC">
            <w:pPr>
              <w:rPr>
                <w:b/>
                <w:noProof/>
                <w:sz w:val="20"/>
              </w:rPr>
            </w:pPr>
            <w:r w:rsidRPr="002F16A1">
              <w:rPr>
                <w:rStyle w:val="eop"/>
                <w:noProof/>
                <w:sz w:val="20"/>
              </w:rPr>
              <w:t xml:space="preserve"> </w:t>
            </w:r>
          </w:p>
        </w:tc>
        <w:tc>
          <w:tcPr>
            <w:tcW w:w="868" w:type="dxa"/>
            <w:vAlign w:val="center"/>
          </w:tcPr>
          <w:p w:rsidR="00AD62E2" w:rsidRPr="002F16A1" w:rsidRDefault="00AD62E2" w:rsidP="000154FC">
            <w:pPr>
              <w:rPr>
                <w:b/>
                <w:noProof/>
                <w:sz w:val="20"/>
              </w:rPr>
            </w:pPr>
            <w:r w:rsidRPr="002F16A1">
              <w:rPr>
                <w:rStyle w:val="eop"/>
                <w:noProof/>
                <w:sz w:val="20"/>
              </w:rPr>
              <w:t xml:space="preserve"> </w:t>
            </w:r>
          </w:p>
        </w:tc>
        <w:tc>
          <w:tcPr>
            <w:tcW w:w="1777" w:type="dxa"/>
            <w:vAlign w:val="center"/>
          </w:tcPr>
          <w:p w:rsidR="00AD62E2" w:rsidRPr="002F16A1" w:rsidRDefault="00AD62E2" w:rsidP="000154FC">
            <w:pPr>
              <w:rPr>
                <w:b/>
                <w:noProof/>
                <w:sz w:val="20"/>
              </w:rPr>
            </w:pPr>
            <w:r w:rsidRPr="002F16A1">
              <w:rPr>
                <w:rStyle w:val="eop"/>
                <w:noProof/>
                <w:sz w:val="20"/>
              </w:rPr>
              <w:t xml:space="preserve"> </w:t>
            </w:r>
          </w:p>
        </w:tc>
      </w:tr>
      <w:tr w:rsidR="00AD62E2" w:rsidRPr="002F16A1" w:rsidTr="000154FC">
        <w:trPr>
          <w:trHeight w:val="319"/>
        </w:trPr>
        <w:tc>
          <w:tcPr>
            <w:tcW w:w="3960" w:type="dxa"/>
            <w:vAlign w:val="center"/>
          </w:tcPr>
          <w:p w:rsidR="00AD62E2" w:rsidRPr="002F16A1" w:rsidRDefault="00AD62E2" w:rsidP="000154FC">
            <w:pPr>
              <w:spacing w:before="60" w:after="60"/>
              <w:rPr>
                <w:noProof/>
              </w:rPr>
            </w:pPr>
            <w:r w:rsidRPr="002F16A1">
              <w:rPr>
                <w:noProof/>
                <w:sz w:val="20"/>
              </w:rPr>
              <w:t>Linia budżetowa</w:t>
            </w:r>
          </w:p>
        </w:tc>
        <w:tc>
          <w:tcPr>
            <w:tcW w:w="1440" w:type="dxa"/>
            <w:vAlign w:val="center"/>
          </w:tcPr>
          <w:p w:rsidR="00AD62E2" w:rsidRPr="002F16A1" w:rsidRDefault="00AD62E2" w:rsidP="000154FC">
            <w:pPr>
              <w:spacing w:before="40" w:after="40"/>
              <w:jc w:val="right"/>
              <w:rPr>
                <w:noProof/>
                <w:sz w:val="18"/>
              </w:rPr>
            </w:pPr>
          </w:p>
        </w:tc>
        <w:tc>
          <w:tcPr>
            <w:tcW w:w="654" w:type="dxa"/>
            <w:gridSpan w:val="2"/>
            <w:vAlign w:val="center"/>
          </w:tcPr>
          <w:p w:rsidR="00AD62E2" w:rsidRPr="002F16A1" w:rsidRDefault="00AD62E2" w:rsidP="000154FC">
            <w:pPr>
              <w:spacing w:before="40" w:after="40"/>
              <w:jc w:val="center"/>
              <w:rPr>
                <w:noProof/>
                <w:sz w:val="14"/>
              </w:rPr>
            </w:pPr>
            <w:r w:rsidRPr="002F16A1">
              <w:rPr>
                <w:noProof/>
                <w:sz w:val="14"/>
              </w:rPr>
              <w:t>(3)</w:t>
            </w:r>
          </w:p>
        </w:tc>
        <w:tc>
          <w:tcPr>
            <w:tcW w:w="868" w:type="dxa"/>
            <w:vAlign w:val="center"/>
          </w:tcPr>
          <w:p w:rsidR="00AD62E2" w:rsidRPr="002F16A1" w:rsidRDefault="00AD62E2" w:rsidP="000154FC">
            <w:pPr>
              <w:spacing w:before="40" w:after="40"/>
              <w:jc w:val="right"/>
              <w:rPr>
                <w:b/>
                <w:noProof/>
                <w:sz w:val="20"/>
              </w:rPr>
            </w:pPr>
            <w:r w:rsidRPr="002F16A1">
              <w:rPr>
                <w:rStyle w:val="eop"/>
                <w:noProof/>
                <w:sz w:val="20"/>
              </w:rPr>
              <w:t xml:space="preserve"> </w:t>
            </w:r>
          </w:p>
        </w:tc>
        <w:tc>
          <w:tcPr>
            <w:tcW w:w="868" w:type="dxa"/>
            <w:vAlign w:val="center"/>
          </w:tcPr>
          <w:p w:rsidR="00AD62E2" w:rsidRPr="002F16A1" w:rsidRDefault="00AD62E2" w:rsidP="000154FC">
            <w:pPr>
              <w:spacing w:before="40" w:after="40"/>
              <w:jc w:val="right"/>
              <w:rPr>
                <w:b/>
                <w:noProof/>
                <w:sz w:val="20"/>
              </w:rPr>
            </w:pPr>
            <w:r w:rsidRPr="002F16A1">
              <w:rPr>
                <w:rStyle w:val="eop"/>
                <w:noProof/>
                <w:sz w:val="20"/>
              </w:rPr>
              <w:t xml:space="preserve"> </w:t>
            </w:r>
          </w:p>
        </w:tc>
        <w:tc>
          <w:tcPr>
            <w:tcW w:w="868" w:type="dxa"/>
            <w:vAlign w:val="center"/>
          </w:tcPr>
          <w:p w:rsidR="00AD62E2" w:rsidRPr="002F16A1" w:rsidRDefault="00AD62E2" w:rsidP="000154FC">
            <w:pPr>
              <w:spacing w:before="40" w:after="40"/>
              <w:jc w:val="right"/>
              <w:rPr>
                <w:b/>
                <w:noProof/>
                <w:sz w:val="20"/>
              </w:rPr>
            </w:pPr>
            <w:r w:rsidRPr="002F16A1">
              <w:rPr>
                <w:rStyle w:val="eop"/>
                <w:noProof/>
                <w:sz w:val="20"/>
              </w:rPr>
              <w:t xml:space="preserve"> </w:t>
            </w:r>
          </w:p>
        </w:tc>
        <w:tc>
          <w:tcPr>
            <w:tcW w:w="868" w:type="dxa"/>
            <w:vAlign w:val="center"/>
          </w:tcPr>
          <w:p w:rsidR="00AD62E2" w:rsidRPr="002F16A1" w:rsidRDefault="00AD62E2" w:rsidP="000154FC">
            <w:pPr>
              <w:spacing w:before="40" w:after="40"/>
              <w:jc w:val="right"/>
              <w:rPr>
                <w:b/>
                <w:noProof/>
                <w:sz w:val="20"/>
              </w:rPr>
            </w:pPr>
            <w:r w:rsidRPr="002F16A1">
              <w:rPr>
                <w:rStyle w:val="eop"/>
                <w:noProof/>
                <w:sz w:val="20"/>
              </w:rPr>
              <w:t xml:space="preserve"> </w:t>
            </w:r>
          </w:p>
        </w:tc>
        <w:tc>
          <w:tcPr>
            <w:tcW w:w="868" w:type="dxa"/>
            <w:vAlign w:val="center"/>
          </w:tcPr>
          <w:p w:rsidR="00AD62E2" w:rsidRPr="002F16A1" w:rsidRDefault="00AD62E2" w:rsidP="000154FC">
            <w:pPr>
              <w:spacing w:before="40" w:after="40"/>
              <w:jc w:val="right"/>
              <w:rPr>
                <w:b/>
                <w:noProof/>
                <w:sz w:val="20"/>
              </w:rPr>
            </w:pPr>
            <w:r w:rsidRPr="002F16A1">
              <w:rPr>
                <w:rStyle w:val="eop"/>
                <w:noProof/>
                <w:sz w:val="20"/>
              </w:rPr>
              <w:t xml:space="preserve"> </w:t>
            </w:r>
          </w:p>
        </w:tc>
        <w:tc>
          <w:tcPr>
            <w:tcW w:w="868" w:type="dxa"/>
            <w:vAlign w:val="center"/>
          </w:tcPr>
          <w:p w:rsidR="00AD62E2" w:rsidRPr="002F16A1" w:rsidRDefault="00AD62E2" w:rsidP="000154FC">
            <w:pPr>
              <w:spacing w:before="40" w:after="40"/>
              <w:jc w:val="right"/>
              <w:rPr>
                <w:b/>
                <w:noProof/>
                <w:sz w:val="20"/>
              </w:rPr>
            </w:pPr>
            <w:r w:rsidRPr="002F16A1">
              <w:rPr>
                <w:rStyle w:val="eop"/>
                <w:noProof/>
                <w:sz w:val="20"/>
              </w:rPr>
              <w:t xml:space="preserve"> </w:t>
            </w:r>
          </w:p>
        </w:tc>
        <w:tc>
          <w:tcPr>
            <w:tcW w:w="868" w:type="dxa"/>
            <w:vAlign w:val="center"/>
          </w:tcPr>
          <w:p w:rsidR="00AD62E2" w:rsidRPr="002F16A1" w:rsidRDefault="00AD62E2" w:rsidP="000154FC">
            <w:pPr>
              <w:spacing w:before="40" w:after="4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40" w:after="40"/>
              <w:jc w:val="right"/>
              <w:rPr>
                <w:b/>
                <w:noProof/>
                <w:sz w:val="20"/>
              </w:rPr>
            </w:pPr>
            <w:r w:rsidRPr="002F16A1">
              <w:rPr>
                <w:rStyle w:val="eop"/>
                <w:noProof/>
                <w:sz w:val="20"/>
              </w:rPr>
              <w:t xml:space="preserve"> </w:t>
            </w:r>
          </w:p>
        </w:tc>
      </w:tr>
      <w:tr w:rsidR="00AD62E2" w:rsidRPr="002F16A1" w:rsidTr="000154FC">
        <w:tc>
          <w:tcPr>
            <w:tcW w:w="3960" w:type="dxa"/>
            <w:vMerge w:val="restart"/>
            <w:vAlign w:val="center"/>
          </w:tcPr>
          <w:p w:rsidR="00AD62E2" w:rsidRPr="002F16A1" w:rsidRDefault="00AD62E2" w:rsidP="000154FC">
            <w:pPr>
              <w:jc w:val="center"/>
              <w:rPr>
                <w:b/>
                <w:noProof/>
              </w:rPr>
            </w:pPr>
            <w:r w:rsidRPr="002F16A1">
              <w:rPr>
                <w:b/>
                <w:noProof/>
                <w:sz w:val="22"/>
              </w:rPr>
              <w:t>OGÓŁEM środki</w:t>
            </w:r>
            <w:r w:rsidRPr="002F16A1">
              <w:rPr>
                <w:noProof/>
              </w:rPr>
              <w:t xml:space="preserve"> </w:t>
            </w:r>
            <w:r w:rsidRPr="002F16A1">
              <w:rPr>
                <w:noProof/>
              </w:rPr>
              <w:br/>
            </w:r>
            <w:r w:rsidRPr="002F16A1">
              <w:rPr>
                <w:b/>
                <w:noProof/>
                <w:sz w:val="22"/>
              </w:rPr>
              <w:t xml:space="preserve">dla DG </w:t>
            </w:r>
            <w:r w:rsidRPr="002F16A1">
              <w:rPr>
                <w:rStyle w:val="normaltextrun"/>
                <w:b/>
                <w:noProof/>
                <w:color w:val="000000"/>
                <w:sz w:val="22"/>
                <w:bdr w:val="none" w:sz="0" w:space="0" w:color="auto" w:frame="1"/>
              </w:rPr>
              <w:t>GROW</w:t>
            </w:r>
          </w:p>
        </w:tc>
        <w:tc>
          <w:tcPr>
            <w:tcW w:w="1440" w:type="dxa"/>
            <w:vAlign w:val="center"/>
          </w:tcPr>
          <w:p w:rsidR="00AD62E2" w:rsidRPr="002F16A1" w:rsidRDefault="00AD62E2" w:rsidP="000154FC">
            <w:pPr>
              <w:rPr>
                <w:noProof/>
                <w:sz w:val="18"/>
              </w:rPr>
            </w:pPr>
            <w:r w:rsidRPr="002F16A1">
              <w:rPr>
                <w:noProof/>
                <w:sz w:val="18"/>
              </w:rPr>
              <w:t>Środki na zobowiązania</w:t>
            </w:r>
          </w:p>
        </w:tc>
        <w:tc>
          <w:tcPr>
            <w:tcW w:w="654" w:type="dxa"/>
            <w:gridSpan w:val="2"/>
            <w:vAlign w:val="center"/>
          </w:tcPr>
          <w:p w:rsidR="00AD62E2" w:rsidRPr="002F16A1" w:rsidRDefault="00AD62E2" w:rsidP="000154FC">
            <w:pPr>
              <w:jc w:val="center"/>
              <w:rPr>
                <w:noProof/>
                <w:sz w:val="14"/>
              </w:rPr>
            </w:pPr>
            <w:r w:rsidRPr="002F16A1">
              <w:rPr>
                <w:noProof/>
                <w:sz w:val="14"/>
              </w:rPr>
              <w:t>=1a+1b +3</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20" w:after="20"/>
              <w:jc w:val="right"/>
              <w:rPr>
                <w:b/>
                <w:noProof/>
                <w:sz w:val="20"/>
              </w:rPr>
            </w:pPr>
            <w:r w:rsidRPr="002F16A1">
              <w:rPr>
                <w:rStyle w:val="normaltextrun"/>
                <w:b/>
                <w:noProof/>
                <w:sz w:val="20"/>
              </w:rPr>
              <w:t>3.2</w:t>
            </w:r>
            <w:r w:rsidRPr="002F16A1">
              <w:rPr>
                <w:rStyle w:val="eop"/>
                <w:noProof/>
                <w:sz w:val="20"/>
              </w:rPr>
              <w:t xml:space="preserve"> </w:t>
            </w:r>
          </w:p>
        </w:tc>
      </w:tr>
      <w:tr w:rsidR="00AD62E2" w:rsidRPr="002F16A1" w:rsidTr="000154FC">
        <w:tc>
          <w:tcPr>
            <w:tcW w:w="3960" w:type="dxa"/>
            <w:vMerge/>
          </w:tcPr>
          <w:p w:rsidR="00AD62E2" w:rsidRPr="002F16A1" w:rsidRDefault="00AD62E2" w:rsidP="000154FC">
            <w:pPr>
              <w:rPr>
                <w:noProof/>
                <w:sz w:val="20"/>
              </w:rPr>
            </w:pPr>
          </w:p>
        </w:tc>
        <w:tc>
          <w:tcPr>
            <w:tcW w:w="1440" w:type="dxa"/>
            <w:vAlign w:val="center"/>
          </w:tcPr>
          <w:p w:rsidR="00AD62E2" w:rsidRPr="002F16A1" w:rsidRDefault="00AD62E2" w:rsidP="000154FC">
            <w:pPr>
              <w:rPr>
                <w:noProof/>
                <w:sz w:val="18"/>
              </w:rPr>
            </w:pPr>
            <w:r w:rsidRPr="002F16A1">
              <w:rPr>
                <w:noProof/>
                <w:sz w:val="18"/>
              </w:rPr>
              <w:t>Środki na płatności</w:t>
            </w:r>
          </w:p>
        </w:tc>
        <w:tc>
          <w:tcPr>
            <w:tcW w:w="654" w:type="dxa"/>
            <w:gridSpan w:val="2"/>
            <w:vAlign w:val="center"/>
          </w:tcPr>
          <w:p w:rsidR="00AD62E2" w:rsidRPr="002F16A1" w:rsidRDefault="00AD62E2" w:rsidP="000154FC">
            <w:pPr>
              <w:jc w:val="center"/>
              <w:rPr>
                <w:noProof/>
                <w:sz w:val="14"/>
              </w:rPr>
            </w:pPr>
            <w:r w:rsidRPr="002F16A1">
              <w:rPr>
                <w:noProof/>
                <w:sz w:val="14"/>
              </w:rPr>
              <w:t>=2a+2b</w:t>
            </w:r>
          </w:p>
          <w:p w:rsidR="00AD62E2" w:rsidRPr="002F16A1" w:rsidRDefault="00AD62E2" w:rsidP="000154FC">
            <w:pPr>
              <w:jc w:val="center"/>
              <w:rPr>
                <w:noProof/>
                <w:sz w:val="14"/>
              </w:rPr>
            </w:pPr>
            <w:r w:rsidRPr="002F16A1">
              <w:rPr>
                <w:noProof/>
                <w:sz w:val="14"/>
              </w:rPr>
              <w:t>+3</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20" w:after="20"/>
              <w:jc w:val="right"/>
              <w:rPr>
                <w:b/>
                <w:noProof/>
                <w:sz w:val="20"/>
              </w:rPr>
            </w:pPr>
            <w:r w:rsidRPr="002F16A1">
              <w:rPr>
                <w:rStyle w:val="normaltextrun"/>
                <w:b/>
                <w:noProof/>
                <w:sz w:val="20"/>
              </w:rPr>
              <w:t>3.2</w:t>
            </w:r>
            <w:r w:rsidRPr="002F16A1">
              <w:rPr>
                <w:rStyle w:val="eop"/>
                <w:noProof/>
                <w:sz w:val="20"/>
              </w:rPr>
              <w:t xml:space="preserve"> </w:t>
            </w:r>
          </w:p>
        </w:tc>
      </w:tr>
    </w:tbl>
    <w:p w:rsidR="00AD62E2" w:rsidRPr="002F16A1" w:rsidRDefault="00AD62E2" w:rsidP="00AD62E2">
      <w:pPr>
        <w:rPr>
          <w:noProof/>
        </w:rPr>
      </w:pPr>
      <w:r w:rsidRPr="002F16A1">
        <w:rPr>
          <w:noProof/>
        </w:rPr>
        <w:t xml:space="preserve"> </w:t>
      </w:r>
      <w:r w:rsidRPr="002F16A1">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AD62E2" w:rsidRPr="002F16A1" w:rsidTr="000154FC">
        <w:trPr>
          <w:trHeight w:val="277"/>
        </w:trPr>
        <w:tc>
          <w:tcPr>
            <w:tcW w:w="3960" w:type="dxa"/>
            <w:vMerge w:val="restart"/>
            <w:vAlign w:val="center"/>
          </w:tcPr>
          <w:p w:rsidR="00AD62E2" w:rsidRPr="002F16A1" w:rsidRDefault="00AD62E2" w:rsidP="000154FC">
            <w:pPr>
              <w:spacing w:before="20" w:after="20"/>
              <w:rPr>
                <w:noProof/>
              </w:rPr>
            </w:pPr>
            <w:r w:rsidRPr="002F16A1">
              <w:rPr>
                <w:noProof/>
              </w:rPr>
              <w:br w:type="page"/>
            </w:r>
            <w:r w:rsidRPr="002F16A1">
              <w:rPr>
                <w:rFonts w:ascii="Wingdings" w:hAnsi="Wingdings"/>
                <w:noProof/>
                <w:sz w:val="21"/>
              </w:rPr>
              <w:t>□</w:t>
            </w:r>
            <w:r w:rsidRPr="002F16A1">
              <w:rPr>
                <w:noProof/>
              </w:rPr>
              <w:t xml:space="preserve"> </w:t>
            </w:r>
            <w:r w:rsidRPr="002F16A1">
              <w:rPr>
                <w:noProof/>
                <w:sz w:val="21"/>
              </w:rPr>
              <w:t xml:space="preserve">OGÓŁEM środki operacyjne </w:t>
            </w:r>
          </w:p>
        </w:tc>
        <w:tc>
          <w:tcPr>
            <w:tcW w:w="1440" w:type="dxa"/>
            <w:vAlign w:val="center"/>
          </w:tcPr>
          <w:p w:rsidR="00AD62E2" w:rsidRPr="002F16A1" w:rsidRDefault="00AD62E2" w:rsidP="000154FC">
            <w:pPr>
              <w:spacing w:beforeLines="20" w:before="48" w:afterLines="20" w:after="48"/>
              <w:rPr>
                <w:noProof/>
                <w:sz w:val="18"/>
              </w:rPr>
            </w:pPr>
            <w:r w:rsidRPr="002F16A1">
              <w:rPr>
                <w:noProof/>
                <w:sz w:val="18"/>
              </w:rPr>
              <w:t>Środki na zobowiązania</w:t>
            </w:r>
          </w:p>
        </w:tc>
        <w:tc>
          <w:tcPr>
            <w:tcW w:w="654" w:type="dxa"/>
            <w:vAlign w:val="center"/>
          </w:tcPr>
          <w:p w:rsidR="00AD62E2" w:rsidRPr="002F16A1" w:rsidRDefault="00AD62E2" w:rsidP="000154FC">
            <w:pPr>
              <w:spacing w:beforeLines="20" w:before="48" w:afterLines="20" w:after="48"/>
              <w:jc w:val="center"/>
              <w:rPr>
                <w:noProof/>
                <w:sz w:val="14"/>
              </w:rPr>
            </w:pPr>
            <w:r w:rsidRPr="002F16A1">
              <w:rPr>
                <w:noProof/>
                <w:sz w:val="14"/>
              </w:rPr>
              <w:t>(4)</w:t>
            </w: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b/>
                <w:noProof/>
                <w:sz w:val="20"/>
              </w:rPr>
            </w:pPr>
          </w:p>
        </w:tc>
        <w:tc>
          <w:tcPr>
            <w:tcW w:w="1777" w:type="dxa"/>
            <w:vAlign w:val="center"/>
          </w:tcPr>
          <w:p w:rsidR="00AD62E2" w:rsidRPr="002F16A1" w:rsidRDefault="00AD62E2" w:rsidP="000154FC">
            <w:pPr>
              <w:spacing w:before="20" w:after="20"/>
              <w:jc w:val="right"/>
              <w:rPr>
                <w:b/>
                <w:noProof/>
                <w:sz w:val="20"/>
              </w:rPr>
            </w:pPr>
          </w:p>
        </w:tc>
      </w:tr>
      <w:tr w:rsidR="00AD62E2" w:rsidRPr="002F16A1" w:rsidTr="000154FC">
        <w:tc>
          <w:tcPr>
            <w:tcW w:w="3960" w:type="dxa"/>
            <w:vMerge/>
          </w:tcPr>
          <w:p w:rsidR="00AD62E2" w:rsidRPr="002F16A1" w:rsidRDefault="00AD62E2" w:rsidP="000154FC">
            <w:pPr>
              <w:jc w:val="center"/>
              <w:rPr>
                <w:noProof/>
                <w:sz w:val="20"/>
              </w:rPr>
            </w:pPr>
          </w:p>
        </w:tc>
        <w:tc>
          <w:tcPr>
            <w:tcW w:w="1440" w:type="dxa"/>
            <w:vAlign w:val="center"/>
          </w:tcPr>
          <w:p w:rsidR="00AD62E2" w:rsidRPr="002F16A1" w:rsidRDefault="00AD62E2" w:rsidP="000154FC">
            <w:pPr>
              <w:spacing w:beforeLines="20" w:before="48" w:afterLines="20" w:after="48"/>
              <w:rPr>
                <w:noProof/>
                <w:sz w:val="18"/>
              </w:rPr>
            </w:pPr>
            <w:r w:rsidRPr="002F16A1">
              <w:rPr>
                <w:noProof/>
                <w:sz w:val="18"/>
              </w:rPr>
              <w:t>Środki na płatności</w:t>
            </w:r>
          </w:p>
        </w:tc>
        <w:tc>
          <w:tcPr>
            <w:tcW w:w="654" w:type="dxa"/>
            <w:vAlign w:val="center"/>
          </w:tcPr>
          <w:p w:rsidR="00AD62E2" w:rsidRPr="002F16A1" w:rsidRDefault="00AD62E2" w:rsidP="000154FC">
            <w:pPr>
              <w:spacing w:beforeLines="20" w:before="48" w:afterLines="20" w:after="48"/>
              <w:jc w:val="center"/>
              <w:rPr>
                <w:noProof/>
                <w:sz w:val="14"/>
              </w:rPr>
            </w:pPr>
            <w:r w:rsidRPr="002F16A1">
              <w:rPr>
                <w:noProof/>
                <w:sz w:val="14"/>
              </w:rPr>
              <w:t>(5)</w:t>
            </w: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b/>
                <w:noProof/>
                <w:sz w:val="20"/>
              </w:rPr>
            </w:pPr>
          </w:p>
        </w:tc>
        <w:tc>
          <w:tcPr>
            <w:tcW w:w="1777" w:type="dxa"/>
            <w:vAlign w:val="center"/>
          </w:tcPr>
          <w:p w:rsidR="00AD62E2" w:rsidRPr="002F16A1" w:rsidRDefault="00AD62E2" w:rsidP="000154FC">
            <w:pPr>
              <w:spacing w:before="20" w:after="20"/>
              <w:jc w:val="right"/>
              <w:rPr>
                <w:b/>
                <w:noProof/>
                <w:sz w:val="20"/>
              </w:rPr>
            </w:pPr>
          </w:p>
        </w:tc>
      </w:tr>
      <w:tr w:rsidR="00AD62E2" w:rsidRPr="002F16A1" w:rsidTr="000154FC">
        <w:trPr>
          <w:trHeight w:val="533"/>
        </w:trPr>
        <w:tc>
          <w:tcPr>
            <w:tcW w:w="5400" w:type="dxa"/>
            <w:gridSpan w:val="2"/>
            <w:vAlign w:val="center"/>
          </w:tcPr>
          <w:p w:rsidR="00AD62E2" w:rsidRPr="002F16A1" w:rsidRDefault="00AD62E2" w:rsidP="000154FC">
            <w:pPr>
              <w:spacing w:beforeLines="20" w:before="48" w:afterLines="20" w:after="48"/>
              <w:rPr>
                <w:noProof/>
              </w:rPr>
            </w:pPr>
            <w:r w:rsidRPr="002F16A1">
              <w:rPr>
                <w:rFonts w:ascii="Wingdings" w:hAnsi="Wingdings"/>
                <w:noProof/>
                <w:sz w:val="21"/>
              </w:rPr>
              <w:t>□</w:t>
            </w:r>
            <w:r w:rsidRPr="002F16A1">
              <w:rPr>
                <w:noProof/>
              </w:rPr>
              <w:t xml:space="preserve"> </w:t>
            </w:r>
            <w:r w:rsidRPr="002F16A1">
              <w:rPr>
                <w:noProof/>
                <w:sz w:val="21"/>
              </w:rPr>
              <w:t xml:space="preserve">OGÓŁEM środki administracyjne finansowane ze środków przydzielonych na określone programy </w:t>
            </w:r>
          </w:p>
        </w:tc>
        <w:tc>
          <w:tcPr>
            <w:tcW w:w="654" w:type="dxa"/>
            <w:vAlign w:val="center"/>
          </w:tcPr>
          <w:p w:rsidR="00AD62E2" w:rsidRPr="002F16A1" w:rsidRDefault="00AD62E2" w:rsidP="000154FC">
            <w:pPr>
              <w:spacing w:beforeLines="20" w:before="48" w:afterLines="20" w:after="48"/>
              <w:jc w:val="center"/>
              <w:rPr>
                <w:noProof/>
                <w:sz w:val="14"/>
              </w:rPr>
            </w:pPr>
            <w:r w:rsidRPr="002F16A1">
              <w:rPr>
                <w:noProof/>
                <w:sz w:val="14"/>
              </w:rPr>
              <w:t>(6)</w:t>
            </w:r>
          </w:p>
        </w:tc>
        <w:tc>
          <w:tcPr>
            <w:tcW w:w="868" w:type="dxa"/>
            <w:vAlign w:val="center"/>
          </w:tcPr>
          <w:p w:rsidR="00AD62E2" w:rsidRPr="002F16A1" w:rsidRDefault="00AD62E2" w:rsidP="000154FC">
            <w:pPr>
              <w:spacing w:before="20" w:after="20"/>
              <w:jc w:val="right"/>
              <w:rPr>
                <w:b/>
                <w:noProof/>
                <w:sz w:val="20"/>
              </w:rPr>
            </w:pPr>
          </w:p>
        </w:tc>
        <w:tc>
          <w:tcPr>
            <w:tcW w:w="868" w:type="dxa"/>
            <w:vAlign w:val="center"/>
          </w:tcPr>
          <w:p w:rsidR="00AD62E2" w:rsidRPr="002F16A1" w:rsidRDefault="00AD62E2" w:rsidP="000154FC">
            <w:pPr>
              <w:spacing w:before="20" w:after="20"/>
              <w:jc w:val="right"/>
              <w:rPr>
                <w:b/>
                <w:noProof/>
                <w:sz w:val="20"/>
              </w:rPr>
            </w:pPr>
          </w:p>
        </w:tc>
        <w:tc>
          <w:tcPr>
            <w:tcW w:w="868" w:type="dxa"/>
            <w:vAlign w:val="center"/>
          </w:tcPr>
          <w:p w:rsidR="00AD62E2" w:rsidRPr="002F16A1" w:rsidRDefault="00AD62E2" w:rsidP="000154FC">
            <w:pPr>
              <w:spacing w:before="20" w:after="20"/>
              <w:jc w:val="right"/>
              <w:rPr>
                <w:b/>
                <w:noProof/>
                <w:sz w:val="20"/>
              </w:rPr>
            </w:pPr>
          </w:p>
        </w:tc>
        <w:tc>
          <w:tcPr>
            <w:tcW w:w="868" w:type="dxa"/>
            <w:vAlign w:val="center"/>
          </w:tcPr>
          <w:p w:rsidR="00AD62E2" w:rsidRPr="002F16A1" w:rsidRDefault="00AD62E2" w:rsidP="000154FC">
            <w:pPr>
              <w:spacing w:before="20" w:after="20"/>
              <w:jc w:val="right"/>
              <w:rPr>
                <w:b/>
                <w:noProof/>
                <w:sz w:val="20"/>
              </w:rPr>
            </w:pPr>
          </w:p>
        </w:tc>
        <w:tc>
          <w:tcPr>
            <w:tcW w:w="868" w:type="dxa"/>
            <w:vAlign w:val="center"/>
          </w:tcPr>
          <w:p w:rsidR="00AD62E2" w:rsidRPr="002F16A1" w:rsidRDefault="00AD62E2" w:rsidP="000154FC">
            <w:pPr>
              <w:spacing w:before="20" w:after="20"/>
              <w:jc w:val="right"/>
              <w:rPr>
                <w:b/>
                <w:noProof/>
                <w:sz w:val="20"/>
              </w:rPr>
            </w:pPr>
          </w:p>
        </w:tc>
        <w:tc>
          <w:tcPr>
            <w:tcW w:w="868" w:type="dxa"/>
            <w:vAlign w:val="center"/>
          </w:tcPr>
          <w:p w:rsidR="00AD62E2" w:rsidRPr="002F16A1" w:rsidRDefault="00AD62E2" w:rsidP="000154FC">
            <w:pPr>
              <w:spacing w:before="20" w:after="20"/>
              <w:jc w:val="right"/>
              <w:rPr>
                <w:b/>
                <w:noProof/>
                <w:sz w:val="20"/>
              </w:rPr>
            </w:pPr>
          </w:p>
        </w:tc>
        <w:tc>
          <w:tcPr>
            <w:tcW w:w="868" w:type="dxa"/>
            <w:vAlign w:val="center"/>
          </w:tcPr>
          <w:p w:rsidR="00AD62E2" w:rsidRPr="002F16A1" w:rsidRDefault="00AD62E2" w:rsidP="000154FC">
            <w:pPr>
              <w:spacing w:before="20" w:after="20"/>
              <w:jc w:val="right"/>
              <w:rPr>
                <w:b/>
                <w:noProof/>
                <w:sz w:val="20"/>
              </w:rPr>
            </w:pPr>
          </w:p>
        </w:tc>
        <w:tc>
          <w:tcPr>
            <w:tcW w:w="1777" w:type="dxa"/>
            <w:vAlign w:val="center"/>
          </w:tcPr>
          <w:p w:rsidR="00AD62E2" w:rsidRPr="002F16A1" w:rsidRDefault="00AD62E2" w:rsidP="000154FC">
            <w:pPr>
              <w:spacing w:before="20" w:after="20"/>
              <w:jc w:val="right"/>
              <w:rPr>
                <w:b/>
                <w:noProof/>
                <w:sz w:val="20"/>
              </w:rPr>
            </w:pPr>
          </w:p>
        </w:tc>
      </w:tr>
      <w:tr w:rsidR="00AD62E2" w:rsidRPr="002F16A1" w:rsidTr="000154FC">
        <w:tc>
          <w:tcPr>
            <w:tcW w:w="3960" w:type="dxa"/>
            <w:vMerge w:val="restart"/>
            <w:shd w:val="thinDiagStripe" w:color="C0C0C0" w:fill="auto"/>
            <w:vAlign w:val="center"/>
          </w:tcPr>
          <w:p w:rsidR="00AD62E2" w:rsidRPr="002F16A1" w:rsidRDefault="00AD62E2" w:rsidP="000154FC">
            <w:pPr>
              <w:jc w:val="center"/>
              <w:rPr>
                <w:b/>
                <w:noProof/>
              </w:rPr>
            </w:pPr>
            <w:r w:rsidRPr="002F16A1">
              <w:rPr>
                <w:b/>
                <w:noProof/>
                <w:sz w:val="22"/>
              </w:rPr>
              <w:t>OGÓŁEM środk</w:t>
            </w:r>
            <w:r w:rsidRPr="0028384B">
              <w:rPr>
                <w:b/>
                <w:noProof/>
                <w:sz w:val="22"/>
              </w:rPr>
              <w:t>i</w:t>
            </w:r>
            <w:r w:rsidR="0028384B" w:rsidRPr="0028384B">
              <w:rPr>
                <w:b/>
                <w:noProof/>
                <w:sz w:val="22"/>
              </w:rPr>
              <w:t xml:space="preserve"> </w:t>
            </w:r>
            <w:r w:rsidRPr="0028384B">
              <w:rPr>
                <w:noProof/>
              </w:rPr>
              <w:br/>
            </w:r>
            <w:r w:rsidRPr="002F16A1">
              <w:rPr>
                <w:b/>
                <w:noProof/>
                <w:sz w:val="22"/>
              </w:rPr>
              <w:t>na DZIAŁ 1</w:t>
            </w:r>
            <w:r w:rsidRPr="002F16A1">
              <w:rPr>
                <w:noProof/>
              </w:rPr>
              <w:t xml:space="preserve"> </w:t>
            </w:r>
            <w:r w:rsidRPr="002F16A1">
              <w:rPr>
                <w:noProof/>
              </w:rPr>
              <w:br/>
            </w:r>
            <w:r w:rsidRPr="002F16A1">
              <w:rPr>
                <w:noProof/>
                <w:sz w:val="22"/>
              </w:rPr>
              <w:t>wieloletnich ram finansowych</w:t>
            </w:r>
          </w:p>
        </w:tc>
        <w:tc>
          <w:tcPr>
            <w:tcW w:w="1440" w:type="dxa"/>
            <w:vAlign w:val="center"/>
          </w:tcPr>
          <w:p w:rsidR="00AD62E2" w:rsidRPr="002F16A1" w:rsidRDefault="00AD62E2" w:rsidP="000154FC">
            <w:pPr>
              <w:rPr>
                <w:noProof/>
                <w:sz w:val="18"/>
              </w:rPr>
            </w:pPr>
            <w:r w:rsidRPr="002F16A1">
              <w:rPr>
                <w:noProof/>
                <w:sz w:val="18"/>
              </w:rPr>
              <w:t>Środki na zobowiązania</w:t>
            </w:r>
          </w:p>
        </w:tc>
        <w:tc>
          <w:tcPr>
            <w:tcW w:w="654" w:type="dxa"/>
            <w:vAlign w:val="center"/>
          </w:tcPr>
          <w:p w:rsidR="00AD62E2" w:rsidRPr="002F16A1" w:rsidRDefault="00AD62E2" w:rsidP="000154FC">
            <w:pPr>
              <w:jc w:val="center"/>
              <w:rPr>
                <w:noProof/>
                <w:sz w:val="14"/>
              </w:rPr>
            </w:pPr>
            <w:r w:rsidRPr="002F16A1">
              <w:rPr>
                <w:noProof/>
                <w:sz w:val="14"/>
              </w:rPr>
              <w:t>=4 + 6</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20" w:after="20"/>
              <w:jc w:val="right"/>
              <w:rPr>
                <w:b/>
                <w:noProof/>
                <w:sz w:val="20"/>
              </w:rPr>
            </w:pPr>
            <w:r w:rsidRPr="002F16A1">
              <w:rPr>
                <w:rStyle w:val="normaltextrun"/>
                <w:b/>
                <w:noProof/>
                <w:sz w:val="20"/>
              </w:rPr>
              <w:t>3.2</w:t>
            </w:r>
            <w:r w:rsidRPr="002F16A1">
              <w:rPr>
                <w:rStyle w:val="eop"/>
                <w:noProof/>
                <w:sz w:val="20"/>
              </w:rPr>
              <w:t xml:space="preserve"> </w:t>
            </w:r>
          </w:p>
        </w:tc>
      </w:tr>
      <w:tr w:rsidR="00AD62E2" w:rsidRPr="002F16A1" w:rsidTr="000154FC">
        <w:tc>
          <w:tcPr>
            <w:tcW w:w="3960" w:type="dxa"/>
            <w:vMerge/>
            <w:shd w:val="thinDiagStripe" w:color="C0C0C0" w:fill="auto"/>
          </w:tcPr>
          <w:p w:rsidR="00AD62E2" w:rsidRPr="002F16A1" w:rsidRDefault="00AD62E2" w:rsidP="000154FC">
            <w:pPr>
              <w:rPr>
                <w:noProof/>
                <w:sz w:val="20"/>
              </w:rPr>
            </w:pPr>
          </w:p>
        </w:tc>
        <w:tc>
          <w:tcPr>
            <w:tcW w:w="1440" w:type="dxa"/>
            <w:vAlign w:val="center"/>
          </w:tcPr>
          <w:p w:rsidR="00AD62E2" w:rsidRPr="002F16A1" w:rsidRDefault="00AD62E2" w:rsidP="000154FC">
            <w:pPr>
              <w:rPr>
                <w:noProof/>
                <w:sz w:val="18"/>
              </w:rPr>
            </w:pPr>
            <w:r w:rsidRPr="002F16A1">
              <w:rPr>
                <w:noProof/>
                <w:sz w:val="18"/>
              </w:rPr>
              <w:t>Środki na płatności</w:t>
            </w:r>
          </w:p>
        </w:tc>
        <w:tc>
          <w:tcPr>
            <w:tcW w:w="654" w:type="dxa"/>
            <w:vAlign w:val="center"/>
          </w:tcPr>
          <w:p w:rsidR="00AD62E2" w:rsidRPr="002F16A1" w:rsidRDefault="00AD62E2" w:rsidP="000154FC">
            <w:pPr>
              <w:jc w:val="center"/>
              <w:rPr>
                <w:noProof/>
                <w:sz w:val="14"/>
              </w:rPr>
            </w:pPr>
            <w:r w:rsidRPr="002F16A1">
              <w:rPr>
                <w:noProof/>
                <w:sz w:val="14"/>
              </w:rPr>
              <w:t>=5 + 6</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noProof/>
                <w:sz w:val="20"/>
              </w:rPr>
              <w:t>0,8</w:t>
            </w: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20" w:after="20"/>
              <w:jc w:val="right"/>
              <w:rPr>
                <w:b/>
                <w:noProof/>
                <w:sz w:val="20"/>
              </w:rPr>
            </w:pPr>
            <w:r w:rsidRPr="002F16A1">
              <w:rPr>
                <w:rStyle w:val="normaltextrun"/>
                <w:b/>
                <w:noProof/>
                <w:sz w:val="20"/>
              </w:rPr>
              <w:t>3.2</w:t>
            </w:r>
            <w:r w:rsidRPr="002F16A1">
              <w:rPr>
                <w:rStyle w:val="eop"/>
                <w:noProof/>
                <w:sz w:val="20"/>
              </w:rPr>
              <w:t xml:space="preserve"> </w:t>
            </w:r>
          </w:p>
        </w:tc>
      </w:tr>
    </w:tbl>
    <w:p w:rsidR="00AD62E2" w:rsidRPr="002F16A1" w:rsidRDefault="00AD62E2" w:rsidP="00AD62E2">
      <w:pPr>
        <w:spacing w:after="40"/>
        <w:rPr>
          <w:b/>
          <w:noProof/>
          <w:sz w:val="22"/>
          <w:u w:val="single"/>
        </w:rPr>
      </w:pPr>
      <w:r w:rsidRPr="002F16A1">
        <w:rPr>
          <w:b/>
          <w:noProof/>
          <w:sz w:val="22"/>
          <w:u w:val="single"/>
        </w:rPr>
        <w:t>Jeżeli wpływ wniosku/inicjatywy nie ogranicza się do jednego działu operacyjnego, należy powtórzyć powyższą część:</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AD62E2" w:rsidRPr="002F16A1" w:rsidTr="000154FC">
        <w:trPr>
          <w:trHeight w:val="277"/>
        </w:trPr>
        <w:tc>
          <w:tcPr>
            <w:tcW w:w="3960" w:type="dxa"/>
            <w:vMerge w:val="restart"/>
            <w:tcBorders>
              <w:top w:val="single" w:sz="4" w:space="0" w:color="auto"/>
              <w:left w:val="single" w:sz="4" w:space="0" w:color="auto"/>
              <w:bottom w:val="single" w:sz="4" w:space="0" w:color="FF0000"/>
            </w:tcBorders>
            <w:vAlign w:val="center"/>
          </w:tcPr>
          <w:p w:rsidR="00AD62E2" w:rsidRPr="002F16A1" w:rsidRDefault="00AD62E2" w:rsidP="000154FC">
            <w:pPr>
              <w:spacing w:before="20" w:after="20"/>
              <w:rPr>
                <w:noProof/>
              </w:rPr>
            </w:pPr>
            <w:r w:rsidRPr="002F16A1">
              <w:rPr>
                <w:rFonts w:ascii="Wingdings" w:hAnsi="Wingdings"/>
                <w:noProof/>
                <w:sz w:val="21"/>
              </w:rPr>
              <w:t>□</w:t>
            </w:r>
            <w:r w:rsidRPr="002F16A1">
              <w:rPr>
                <w:noProof/>
                <w:sz w:val="21"/>
              </w:rPr>
              <w:t xml:space="preserve"> OGÓŁEM środki operacyjne (wszystkie działy operacyjne)</w:t>
            </w:r>
          </w:p>
        </w:tc>
        <w:tc>
          <w:tcPr>
            <w:tcW w:w="1440" w:type="dxa"/>
            <w:tcBorders>
              <w:top w:val="single" w:sz="4" w:space="0" w:color="auto"/>
            </w:tcBorders>
            <w:vAlign w:val="center"/>
          </w:tcPr>
          <w:p w:rsidR="00AD62E2" w:rsidRPr="002F16A1" w:rsidRDefault="00AD62E2" w:rsidP="000154FC">
            <w:pPr>
              <w:spacing w:beforeLines="20" w:before="48" w:afterLines="20" w:after="48"/>
              <w:rPr>
                <w:noProof/>
                <w:sz w:val="18"/>
              </w:rPr>
            </w:pPr>
            <w:r w:rsidRPr="002F16A1">
              <w:rPr>
                <w:noProof/>
                <w:sz w:val="18"/>
              </w:rPr>
              <w:t>Środki na zobowiązania</w:t>
            </w:r>
          </w:p>
        </w:tc>
        <w:tc>
          <w:tcPr>
            <w:tcW w:w="654" w:type="dxa"/>
            <w:tcBorders>
              <w:top w:val="single" w:sz="4" w:space="0" w:color="auto"/>
            </w:tcBorders>
            <w:vAlign w:val="center"/>
          </w:tcPr>
          <w:p w:rsidR="00AD62E2" w:rsidRPr="002F16A1" w:rsidRDefault="00AD62E2" w:rsidP="000154FC">
            <w:pPr>
              <w:spacing w:beforeLines="20" w:before="48" w:afterLines="20" w:after="48"/>
              <w:jc w:val="center"/>
              <w:rPr>
                <w:noProof/>
                <w:sz w:val="14"/>
              </w:rPr>
            </w:pPr>
            <w:r w:rsidRPr="002F16A1">
              <w:rPr>
                <w:noProof/>
                <w:sz w:val="14"/>
              </w:rPr>
              <w:t>(4)</w:t>
            </w:r>
          </w:p>
        </w:tc>
        <w:tc>
          <w:tcPr>
            <w:tcW w:w="868" w:type="dxa"/>
            <w:tcBorders>
              <w:top w:val="single" w:sz="4" w:space="0" w:color="auto"/>
            </w:tcBorders>
            <w:vAlign w:val="center"/>
          </w:tcPr>
          <w:p w:rsidR="00AD62E2" w:rsidRPr="002F16A1" w:rsidRDefault="00AD62E2" w:rsidP="000154FC">
            <w:pPr>
              <w:spacing w:before="20" w:after="20"/>
              <w:jc w:val="right"/>
              <w:rPr>
                <w:noProof/>
                <w:sz w:val="20"/>
              </w:rPr>
            </w:pPr>
          </w:p>
        </w:tc>
        <w:tc>
          <w:tcPr>
            <w:tcW w:w="868" w:type="dxa"/>
            <w:tcBorders>
              <w:top w:val="single" w:sz="4" w:space="0" w:color="auto"/>
            </w:tcBorders>
            <w:vAlign w:val="center"/>
          </w:tcPr>
          <w:p w:rsidR="00AD62E2" w:rsidRPr="002F16A1" w:rsidRDefault="00AD62E2" w:rsidP="000154FC">
            <w:pPr>
              <w:spacing w:before="20" w:after="20"/>
              <w:jc w:val="right"/>
              <w:rPr>
                <w:noProof/>
                <w:sz w:val="20"/>
              </w:rPr>
            </w:pPr>
          </w:p>
        </w:tc>
        <w:tc>
          <w:tcPr>
            <w:tcW w:w="868" w:type="dxa"/>
            <w:tcBorders>
              <w:top w:val="single" w:sz="4" w:space="0" w:color="auto"/>
            </w:tcBorders>
            <w:vAlign w:val="center"/>
          </w:tcPr>
          <w:p w:rsidR="00AD62E2" w:rsidRPr="002F16A1" w:rsidRDefault="00AD62E2" w:rsidP="000154FC">
            <w:pPr>
              <w:spacing w:before="20" w:after="20"/>
              <w:jc w:val="right"/>
              <w:rPr>
                <w:noProof/>
                <w:sz w:val="20"/>
              </w:rPr>
            </w:pPr>
          </w:p>
        </w:tc>
        <w:tc>
          <w:tcPr>
            <w:tcW w:w="868" w:type="dxa"/>
            <w:tcBorders>
              <w:top w:val="single" w:sz="4" w:space="0" w:color="auto"/>
            </w:tcBorders>
            <w:vAlign w:val="center"/>
          </w:tcPr>
          <w:p w:rsidR="00AD62E2" w:rsidRPr="002F16A1" w:rsidRDefault="00AD62E2" w:rsidP="000154FC">
            <w:pPr>
              <w:spacing w:before="20" w:after="20"/>
              <w:jc w:val="right"/>
              <w:rPr>
                <w:noProof/>
                <w:sz w:val="20"/>
              </w:rPr>
            </w:pPr>
          </w:p>
        </w:tc>
        <w:tc>
          <w:tcPr>
            <w:tcW w:w="868" w:type="dxa"/>
            <w:tcBorders>
              <w:top w:val="single" w:sz="4" w:space="0" w:color="auto"/>
            </w:tcBorders>
            <w:vAlign w:val="center"/>
          </w:tcPr>
          <w:p w:rsidR="00AD62E2" w:rsidRPr="002F16A1" w:rsidRDefault="00AD62E2" w:rsidP="000154FC">
            <w:pPr>
              <w:spacing w:before="20" w:after="20"/>
              <w:jc w:val="right"/>
              <w:rPr>
                <w:noProof/>
                <w:sz w:val="20"/>
              </w:rPr>
            </w:pPr>
          </w:p>
        </w:tc>
        <w:tc>
          <w:tcPr>
            <w:tcW w:w="868" w:type="dxa"/>
            <w:tcBorders>
              <w:top w:val="single" w:sz="4" w:space="0" w:color="auto"/>
            </w:tcBorders>
            <w:vAlign w:val="center"/>
          </w:tcPr>
          <w:p w:rsidR="00AD62E2" w:rsidRPr="002F16A1" w:rsidRDefault="00AD62E2" w:rsidP="000154FC">
            <w:pPr>
              <w:spacing w:before="20" w:after="20"/>
              <w:jc w:val="right"/>
              <w:rPr>
                <w:noProof/>
                <w:sz w:val="20"/>
              </w:rPr>
            </w:pPr>
          </w:p>
        </w:tc>
        <w:tc>
          <w:tcPr>
            <w:tcW w:w="868" w:type="dxa"/>
            <w:tcBorders>
              <w:top w:val="single" w:sz="4" w:space="0" w:color="auto"/>
            </w:tcBorders>
            <w:vAlign w:val="center"/>
          </w:tcPr>
          <w:p w:rsidR="00AD62E2" w:rsidRPr="002F16A1" w:rsidRDefault="00AD62E2" w:rsidP="000154FC">
            <w:pPr>
              <w:spacing w:before="20" w:after="20"/>
              <w:jc w:val="right"/>
              <w:rPr>
                <w:b/>
                <w:noProof/>
                <w:sz w:val="20"/>
              </w:rPr>
            </w:pPr>
          </w:p>
        </w:tc>
        <w:tc>
          <w:tcPr>
            <w:tcW w:w="1777" w:type="dxa"/>
            <w:tcBorders>
              <w:top w:val="single" w:sz="4" w:space="0" w:color="auto"/>
              <w:right w:val="single" w:sz="4" w:space="0" w:color="auto"/>
            </w:tcBorders>
            <w:vAlign w:val="center"/>
          </w:tcPr>
          <w:p w:rsidR="00AD62E2" w:rsidRPr="002F16A1" w:rsidRDefault="00AD62E2" w:rsidP="000154FC">
            <w:pPr>
              <w:spacing w:before="20" w:after="20"/>
              <w:jc w:val="right"/>
              <w:rPr>
                <w:b/>
                <w:noProof/>
                <w:sz w:val="20"/>
              </w:rPr>
            </w:pPr>
          </w:p>
        </w:tc>
      </w:tr>
      <w:tr w:rsidR="00AD62E2" w:rsidRPr="002F16A1" w:rsidTr="000154FC">
        <w:tc>
          <w:tcPr>
            <w:tcW w:w="3960" w:type="dxa"/>
            <w:vMerge/>
            <w:tcBorders>
              <w:top w:val="single" w:sz="4" w:space="0" w:color="FF0000"/>
              <w:left w:val="single" w:sz="4" w:space="0" w:color="auto"/>
              <w:bottom w:val="single" w:sz="4" w:space="0" w:color="FF0000"/>
            </w:tcBorders>
          </w:tcPr>
          <w:p w:rsidR="00AD62E2" w:rsidRPr="002F16A1" w:rsidRDefault="00AD62E2" w:rsidP="000154FC">
            <w:pPr>
              <w:jc w:val="center"/>
              <w:rPr>
                <w:noProof/>
                <w:sz w:val="20"/>
              </w:rPr>
            </w:pPr>
          </w:p>
        </w:tc>
        <w:tc>
          <w:tcPr>
            <w:tcW w:w="1440" w:type="dxa"/>
            <w:vAlign w:val="center"/>
          </w:tcPr>
          <w:p w:rsidR="00AD62E2" w:rsidRPr="002F16A1" w:rsidRDefault="00AD62E2" w:rsidP="000154FC">
            <w:pPr>
              <w:spacing w:beforeLines="20" w:before="48" w:afterLines="20" w:after="48"/>
              <w:rPr>
                <w:noProof/>
                <w:sz w:val="18"/>
              </w:rPr>
            </w:pPr>
            <w:r w:rsidRPr="002F16A1">
              <w:rPr>
                <w:noProof/>
                <w:sz w:val="18"/>
              </w:rPr>
              <w:t>Środki na płatności</w:t>
            </w:r>
          </w:p>
        </w:tc>
        <w:tc>
          <w:tcPr>
            <w:tcW w:w="654" w:type="dxa"/>
            <w:vAlign w:val="center"/>
          </w:tcPr>
          <w:p w:rsidR="00AD62E2" w:rsidRPr="002F16A1" w:rsidRDefault="00AD62E2" w:rsidP="000154FC">
            <w:pPr>
              <w:spacing w:beforeLines="20" w:before="48" w:afterLines="20" w:after="48"/>
              <w:jc w:val="center"/>
              <w:rPr>
                <w:noProof/>
                <w:sz w:val="14"/>
              </w:rPr>
            </w:pPr>
            <w:r w:rsidRPr="002F16A1">
              <w:rPr>
                <w:noProof/>
                <w:sz w:val="14"/>
              </w:rPr>
              <w:t>(5)</w:t>
            </w: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b/>
                <w:noProof/>
                <w:sz w:val="20"/>
              </w:rPr>
            </w:pPr>
          </w:p>
        </w:tc>
        <w:tc>
          <w:tcPr>
            <w:tcW w:w="1777" w:type="dxa"/>
            <w:tcBorders>
              <w:right w:val="single" w:sz="4" w:space="0" w:color="auto"/>
            </w:tcBorders>
            <w:vAlign w:val="center"/>
          </w:tcPr>
          <w:p w:rsidR="00AD62E2" w:rsidRPr="002F16A1" w:rsidRDefault="00AD62E2" w:rsidP="000154FC">
            <w:pPr>
              <w:spacing w:before="20" w:after="20"/>
              <w:jc w:val="right"/>
              <w:rPr>
                <w:b/>
                <w:noProof/>
                <w:sz w:val="20"/>
              </w:rPr>
            </w:pPr>
          </w:p>
        </w:tc>
      </w:tr>
      <w:tr w:rsidR="00AD62E2" w:rsidRPr="002F16A1" w:rsidTr="000154FC">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AD62E2" w:rsidRPr="002F16A1" w:rsidRDefault="00AD62E2" w:rsidP="000154FC">
            <w:pPr>
              <w:spacing w:beforeLines="20" w:before="48" w:afterLines="20" w:after="48"/>
              <w:rPr>
                <w:noProof/>
              </w:rPr>
            </w:pPr>
            <w:r w:rsidRPr="002F16A1">
              <w:rPr>
                <w:noProof/>
                <w:sz w:val="21"/>
              </w:rPr>
              <w:t xml:space="preserve"> OGÓŁEM środki administracyjne finansowane ze środków przydzielonych na określone programy (wszystkie działy operacyjne)</w:t>
            </w:r>
          </w:p>
        </w:tc>
        <w:tc>
          <w:tcPr>
            <w:tcW w:w="654" w:type="dxa"/>
            <w:vAlign w:val="center"/>
          </w:tcPr>
          <w:p w:rsidR="00AD62E2" w:rsidRPr="002F16A1" w:rsidRDefault="00AD62E2" w:rsidP="000154FC">
            <w:pPr>
              <w:rPr>
                <w:noProof/>
              </w:rPr>
            </w:pPr>
          </w:p>
          <w:p w:rsidR="00AD62E2" w:rsidRPr="002F16A1" w:rsidRDefault="00AD62E2" w:rsidP="000154FC">
            <w:pPr>
              <w:spacing w:beforeLines="20" w:before="48" w:afterLines="20" w:after="48"/>
              <w:jc w:val="center"/>
              <w:rPr>
                <w:noProof/>
                <w:sz w:val="14"/>
              </w:rPr>
            </w:pPr>
            <w:r w:rsidRPr="002F16A1">
              <w:rPr>
                <w:noProof/>
                <w:sz w:val="14"/>
              </w:rPr>
              <w:t>(6)</w:t>
            </w:r>
          </w:p>
        </w:tc>
        <w:tc>
          <w:tcPr>
            <w:tcW w:w="868" w:type="dxa"/>
            <w:vAlign w:val="center"/>
          </w:tcPr>
          <w:p w:rsidR="00AD62E2" w:rsidRPr="002F16A1" w:rsidRDefault="00AD62E2" w:rsidP="000154FC">
            <w:pPr>
              <w:spacing w:before="20" w:after="20"/>
              <w:jc w:val="right"/>
              <w:rPr>
                <w:b/>
                <w:noProof/>
                <w:sz w:val="20"/>
              </w:rPr>
            </w:pPr>
          </w:p>
        </w:tc>
        <w:tc>
          <w:tcPr>
            <w:tcW w:w="868" w:type="dxa"/>
            <w:vAlign w:val="center"/>
          </w:tcPr>
          <w:p w:rsidR="00AD62E2" w:rsidRPr="002F16A1" w:rsidRDefault="00AD62E2" w:rsidP="000154FC">
            <w:pPr>
              <w:spacing w:before="20" w:after="20"/>
              <w:jc w:val="right"/>
              <w:rPr>
                <w:b/>
                <w:noProof/>
                <w:sz w:val="20"/>
              </w:rPr>
            </w:pPr>
          </w:p>
        </w:tc>
        <w:tc>
          <w:tcPr>
            <w:tcW w:w="868" w:type="dxa"/>
            <w:vAlign w:val="center"/>
          </w:tcPr>
          <w:p w:rsidR="00AD62E2" w:rsidRPr="002F16A1" w:rsidRDefault="00AD62E2" w:rsidP="000154FC">
            <w:pPr>
              <w:spacing w:before="20" w:after="20"/>
              <w:jc w:val="right"/>
              <w:rPr>
                <w:b/>
                <w:noProof/>
                <w:sz w:val="20"/>
              </w:rPr>
            </w:pPr>
          </w:p>
        </w:tc>
        <w:tc>
          <w:tcPr>
            <w:tcW w:w="868" w:type="dxa"/>
            <w:vAlign w:val="center"/>
          </w:tcPr>
          <w:p w:rsidR="00AD62E2" w:rsidRPr="002F16A1" w:rsidRDefault="00AD62E2" w:rsidP="000154FC">
            <w:pPr>
              <w:spacing w:before="20" w:after="20"/>
              <w:jc w:val="right"/>
              <w:rPr>
                <w:b/>
                <w:noProof/>
                <w:sz w:val="20"/>
              </w:rPr>
            </w:pPr>
          </w:p>
        </w:tc>
        <w:tc>
          <w:tcPr>
            <w:tcW w:w="868" w:type="dxa"/>
            <w:vAlign w:val="center"/>
          </w:tcPr>
          <w:p w:rsidR="00AD62E2" w:rsidRPr="002F16A1" w:rsidRDefault="00AD62E2" w:rsidP="000154FC">
            <w:pPr>
              <w:spacing w:before="20" w:after="20"/>
              <w:jc w:val="right"/>
              <w:rPr>
                <w:b/>
                <w:noProof/>
                <w:sz w:val="20"/>
              </w:rPr>
            </w:pPr>
          </w:p>
        </w:tc>
        <w:tc>
          <w:tcPr>
            <w:tcW w:w="868" w:type="dxa"/>
            <w:vAlign w:val="center"/>
          </w:tcPr>
          <w:p w:rsidR="00AD62E2" w:rsidRPr="002F16A1" w:rsidRDefault="00AD62E2" w:rsidP="000154FC">
            <w:pPr>
              <w:spacing w:before="20" w:after="20"/>
              <w:jc w:val="right"/>
              <w:rPr>
                <w:b/>
                <w:noProof/>
                <w:sz w:val="20"/>
              </w:rPr>
            </w:pPr>
          </w:p>
        </w:tc>
        <w:tc>
          <w:tcPr>
            <w:tcW w:w="868" w:type="dxa"/>
            <w:vAlign w:val="center"/>
          </w:tcPr>
          <w:p w:rsidR="00AD62E2" w:rsidRPr="002F16A1" w:rsidRDefault="00AD62E2" w:rsidP="000154FC">
            <w:pPr>
              <w:spacing w:before="20" w:after="20"/>
              <w:jc w:val="right"/>
              <w:rPr>
                <w:b/>
                <w:noProof/>
                <w:sz w:val="20"/>
              </w:rPr>
            </w:pPr>
          </w:p>
        </w:tc>
        <w:tc>
          <w:tcPr>
            <w:tcW w:w="1777" w:type="dxa"/>
            <w:vAlign w:val="center"/>
          </w:tcPr>
          <w:p w:rsidR="00AD62E2" w:rsidRPr="002F16A1" w:rsidRDefault="00AD62E2" w:rsidP="000154FC">
            <w:pPr>
              <w:spacing w:before="20" w:after="20"/>
              <w:jc w:val="right"/>
              <w:rPr>
                <w:b/>
                <w:noProof/>
                <w:sz w:val="20"/>
              </w:rPr>
            </w:pPr>
          </w:p>
        </w:tc>
      </w:tr>
      <w:tr w:rsidR="00AD62E2" w:rsidRPr="002F16A1" w:rsidTr="000154FC">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AD62E2" w:rsidRPr="002F16A1" w:rsidRDefault="00AD62E2" w:rsidP="000154FC">
            <w:pPr>
              <w:jc w:val="center"/>
              <w:rPr>
                <w:b/>
                <w:noProof/>
              </w:rPr>
            </w:pPr>
            <w:r w:rsidRPr="002F16A1">
              <w:rPr>
                <w:b/>
                <w:noProof/>
                <w:sz w:val="22"/>
              </w:rPr>
              <w:t>OGÓŁEM środk</w:t>
            </w:r>
            <w:r w:rsidRPr="0028384B">
              <w:rPr>
                <w:b/>
                <w:noProof/>
                <w:sz w:val="22"/>
              </w:rPr>
              <w:t>i</w:t>
            </w:r>
            <w:r w:rsidR="0028384B" w:rsidRPr="0028384B">
              <w:rPr>
                <w:b/>
                <w:noProof/>
                <w:sz w:val="22"/>
              </w:rPr>
              <w:t xml:space="preserve"> </w:t>
            </w:r>
            <w:r w:rsidRPr="0028384B">
              <w:rPr>
                <w:noProof/>
              </w:rPr>
              <w:br/>
            </w:r>
            <w:r w:rsidRPr="002F16A1">
              <w:rPr>
                <w:b/>
                <w:noProof/>
                <w:sz w:val="22"/>
              </w:rPr>
              <w:t xml:space="preserve">na DZIAŁY </w:t>
            </w:r>
            <w:r w:rsidRPr="0028384B">
              <w:rPr>
                <w:b/>
                <w:noProof/>
                <w:sz w:val="22"/>
              </w:rPr>
              <w:t>od</w:t>
            </w:r>
            <w:r w:rsidR="0028384B" w:rsidRPr="0028384B">
              <w:rPr>
                <w:b/>
                <w:noProof/>
                <w:sz w:val="22"/>
              </w:rPr>
              <w:t> </w:t>
            </w:r>
            <w:r w:rsidRPr="0028384B">
              <w:rPr>
                <w:b/>
                <w:noProof/>
                <w:sz w:val="22"/>
              </w:rPr>
              <w:t>1</w:t>
            </w:r>
            <w:r w:rsidRPr="002F16A1">
              <w:rPr>
                <w:b/>
                <w:noProof/>
                <w:sz w:val="22"/>
              </w:rPr>
              <w:t xml:space="preserve"> </w:t>
            </w:r>
            <w:r w:rsidRPr="0028384B">
              <w:rPr>
                <w:b/>
                <w:noProof/>
                <w:sz w:val="22"/>
              </w:rPr>
              <w:t>do</w:t>
            </w:r>
            <w:r w:rsidR="0028384B" w:rsidRPr="0028384B">
              <w:rPr>
                <w:b/>
                <w:noProof/>
                <w:sz w:val="22"/>
              </w:rPr>
              <w:t> </w:t>
            </w:r>
            <w:r w:rsidRPr="0028384B">
              <w:rPr>
                <w:b/>
                <w:noProof/>
                <w:sz w:val="22"/>
              </w:rPr>
              <w:t>6</w:t>
            </w:r>
            <w:r w:rsidRPr="002F16A1">
              <w:rPr>
                <w:noProof/>
              </w:rPr>
              <w:t xml:space="preserve"> </w:t>
            </w:r>
            <w:r w:rsidRPr="002F16A1">
              <w:rPr>
                <w:noProof/>
              </w:rPr>
              <w:br/>
            </w:r>
            <w:r w:rsidRPr="002F16A1">
              <w:rPr>
                <w:noProof/>
                <w:sz w:val="22"/>
              </w:rPr>
              <w:t>wieloletnich ram finansowych</w:t>
            </w:r>
            <w:r w:rsidRPr="002F16A1">
              <w:rPr>
                <w:noProof/>
              </w:rPr>
              <w:t xml:space="preserve"> </w:t>
            </w:r>
            <w:r w:rsidRPr="002F16A1">
              <w:rPr>
                <w:noProof/>
              </w:rPr>
              <w:br/>
            </w:r>
            <w:r w:rsidRPr="002F16A1">
              <w:rPr>
                <w:noProof/>
                <w:sz w:val="20"/>
              </w:rPr>
              <w:t>(kwota referencyjna)</w:t>
            </w:r>
          </w:p>
        </w:tc>
        <w:tc>
          <w:tcPr>
            <w:tcW w:w="1440" w:type="dxa"/>
            <w:vAlign w:val="center"/>
          </w:tcPr>
          <w:p w:rsidR="00AD62E2" w:rsidRPr="002F16A1" w:rsidRDefault="00AD62E2" w:rsidP="000154FC">
            <w:pPr>
              <w:rPr>
                <w:noProof/>
                <w:sz w:val="18"/>
              </w:rPr>
            </w:pPr>
            <w:r w:rsidRPr="002F16A1">
              <w:rPr>
                <w:noProof/>
                <w:sz w:val="18"/>
              </w:rPr>
              <w:t>Środki na zobowiązania</w:t>
            </w:r>
          </w:p>
        </w:tc>
        <w:tc>
          <w:tcPr>
            <w:tcW w:w="654" w:type="dxa"/>
            <w:vAlign w:val="center"/>
          </w:tcPr>
          <w:p w:rsidR="00AD62E2" w:rsidRPr="002F16A1" w:rsidRDefault="00AD62E2" w:rsidP="000154FC">
            <w:pPr>
              <w:jc w:val="center"/>
              <w:rPr>
                <w:noProof/>
                <w:sz w:val="14"/>
              </w:rPr>
            </w:pPr>
            <w:r w:rsidRPr="002F16A1">
              <w:rPr>
                <w:noProof/>
                <w:sz w:val="14"/>
              </w:rPr>
              <w:t>=4 + 6</w:t>
            </w: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noProof/>
                <w:sz w:val="20"/>
              </w:rPr>
            </w:pPr>
          </w:p>
        </w:tc>
        <w:tc>
          <w:tcPr>
            <w:tcW w:w="868" w:type="dxa"/>
            <w:vAlign w:val="center"/>
          </w:tcPr>
          <w:p w:rsidR="00AD62E2" w:rsidRPr="002F16A1" w:rsidRDefault="00AD62E2" w:rsidP="000154FC">
            <w:pPr>
              <w:spacing w:before="20" w:after="20"/>
              <w:jc w:val="right"/>
              <w:rPr>
                <w:b/>
                <w:noProof/>
                <w:sz w:val="20"/>
              </w:rPr>
            </w:pPr>
          </w:p>
        </w:tc>
        <w:tc>
          <w:tcPr>
            <w:tcW w:w="1777" w:type="dxa"/>
            <w:tcBorders>
              <w:right w:val="single" w:sz="4" w:space="0" w:color="auto"/>
            </w:tcBorders>
            <w:vAlign w:val="center"/>
          </w:tcPr>
          <w:p w:rsidR="00AD62E2" w:rsidRPr="002F16A1" w:rsidRDefault="00AD62E2" w:rsidP="000154FC">
            <w:pPr>
              <w:spacing w:before="20" w:after="20"/>
              <w:jc w:val="right"/>
              <w:rPr>
                <w:b/>
                <w:noProof/>
                <w:sz w:val="20"/>
              </w:rPr>
            </w:pPr>
          </w:p>
        </w:tc>
      </w:tr>
      <w:tr w:rsidR="00AD62E2" w:rsidRPr="002F16A1" w:rsidTr="000154FC">
        <w:tc>
          <w:tcPr>
            <w:tcW w:w="3960" w:type="dxa"/>
            <w:vMerge/>
            <w:tcBorders>
              <w:top w:val="single" w:sz="4" w:space="0" w:color="FF0000"/>
              <w:left w:val="single" w:sz="4" w:space="0" w:color="auto"/>
              <w:bottom w:val="single" w:sz="4" w:space="0" w:color="auto"/>
            </w:tcBorders>
            <w:shd w:val="thinDiagStripe" w:color="C0C0C0" w:fill="auto"/>
          </w:tcPr>
          <w:p w:rsidR="00AD62E2" w:rsidRPr="002F16A1" w:rsidRDefault="00AD62E2" w:rsidP="000154FC">
            <w:pPr>
              <w:rPr>
                <w:noProof/>
                <w:sz w:val="20"/>
              </w:rPr>
            </w:pPr>
          </w:p>
        </w:tc>
        <w:tc>
          <w:tcPr>
            <w:tcW w:w="1440" w:type="dxa"/>
            <w:tcBorders>
              <w:bottom w:val="single" w:sz="4" w:space="0" w:color="auto"/>
            </w:tcBorders>
            <w:vAlign w:val="center"/>
          </w:tcPr>
          <w:p w:rsidR="00AD62E2" w:rsidRPr="002F16A1" w:rsidRDefault="00AD62E2" w:rsidP="000154FC">
            <w:pPr>
              <w:rPr>
                <w:noProof/>
                <w:sz w:val="18"/>
              </w:rPr>
            </w:pPr>
            <w:r w:rsidRPr="002F16A1">
              <w:rPr>
                <w:noProof/>
                <w:sz w:val="18"/>
              </w:rPr>
              <w:t>Środki na płatności</w:t>
            </w:r>
          </w:p>
        </w:tc>
        <w:tc>
          <w:tcPr>
            <w:tcW w:w="654" w:type="dxa"/>
            <w:tcBorders>
              <w:bottom w:val="single" w:sz="4" w:space="0" w:color="auto"/>
            </w:tcBorders>
            <w:vAlign w:val="center"/>
          </w:tcPr>
          <w:p w:rsidR="00AD62E2" w:rsidRPr="002F16A1" w:rsidRDefault="00AD62E2" w:rsidP="000154FC">
            <w:pPr>
              <w:jc w:val="center"/>
              <w:rPr>
                <w:noProof/>
                <w:sz w:val="14"/>
              </w:rPr>
            </w:pPr>
            <w:r w:rsidRPr="002F16A1">
              <w:rPr>
                <w:noProof/>
                <w:sz w:val="14"/>
              </w:rPr>
              <w:t>=5 + 6</w:t>
            </w:r>
          </w:p>
        </w:tc>
        <w:tc>
          <w:tcPr>
            <w:tcW w:w="868" w:type="dxa"/>
            <w:tcBorders>
              <w:bottom w:val="single" w:sz="4" w:space="0" w:color="auto"/>
            </w:tcBorders>
            <w:vAlign w:val="center"/>
          </w:tcPr>
          <w:p w:rsidR="00AD62E2" w:rsidRPr="002F16A1" w:rsidRDefault="00AD62E2" w:rsidP="000154FC">
            <w:pPr>
              <w:spacing w:before="20" w:after="20"/>
              <w:jc w:val="right"/>
              <w:rPr>
                <w:noProof/>
                <w:sz w:val="20"/>
              </w:rPr>
            </w:pPr>
          </w:p>
        </w:tc>
        <w:tc>
          <w:tcPr>
            <w:tcW w:w="868" w:type="dxa"/>
            <w:tcBorders>
              <w:bottom w:val="single" w:sz="4" w:space="0" w:color="auto"/>
            </w:tcBorders>
            <w:vAlign w:val="center"/>
          </w:tcPr>
          <w:p w:rsidR="00AD62E2" w:rsidRPr="002F16A1" w:rsidRDefault="00AD62E2" w:rsidP="000154FC">
            <w:pPr>
              <w:spacing w:before="20" w:after="20"/>
              <w:jc w:val="right"/>
              <w:rPr>
                <w:noProof/>
                <w:sz w:val="20"/>
              </w:rPr>
            </w:pPr>
          </w:p>
        </w:tc>
        <w:tc>
          <w:tcPr>
            <w:tcW w:w="868" w:type="dxa"/>
            <w:tcBorders>
              <w:bottom w:val="single" w:sz="4" w:space="0" w:color="auto"/>
            </w:tcBorders>
            <w:vAlign w:val="center"/>
          </w:tcPr>
          <w:p w:rsidR="00AD62E2" w:rsidRPr="002F16A1" w:rsidRDefault="00AD62E2" w:rsidP="000154FC">
            <w:pPr>
              <w:spacing w:before="20" w:after="20"/>
              <w:jc w:val="right"/>
              <w:rPr>
                <w:noProof/>
                <w:sz w:val="20"/>
              </w:rPr>
            </w:pPr>
          </w:p>
        </w:tc>
        <w:tc>
          <w:tcPr>
            <w:tcW w:w="868" w:type="dxa"/>
            <w:tcBorders>
              <w:bottom w:val="single" w:sz="4" w:space="0" w:color="auto"/>
            </w:tcBorders>
            <w:vAlign w:val="center"/>
          </w:tcPr>
          <w:p w:rsidR="00AD62E2" w:rsidRPr="002F16A1" w:rsidRDefault="00AD62E2" w:rsidP="000154FC">
            <w:pPr>
              <w:spacing w:before="20" w:after="20"/>
              <w:jc w:val="right"/>
              <w:rPr>
                <w:noProof/>
                <w:sz w:val="20"/>
              </w:rPr>
            </w:pPr>
          </w:p>
        </w:tc>
        <w:tc>
          <w:tcPr>
            <w:tcW w:w="868" w:type="dxa"/>
            <w:tcBorders>
              <w:bottom w:val="single" w:sz="4" w:space="0" w:color="auto"/>
            </w:tcBorders>
            <w:vAlign w:val="center"/>
          </w:tcPr>
          <w:p w:rsidR="00AD62E2" w:rsidRPr="002F16A1" w:rsidRDefault="00AD62E2" w:rsidP="000154FC">
            <w:pPr>
              <w:spacing w:before="20" w:after="20"/>
              <w:jc w:val="right"/>
              <w:rPr>
                <w:noProof/>
                <w:sz w:val="20"/>
              </w:rPr>
            </w:pPr>
          </w:p>
        </w:tc>
        <w:tc>
          <w:tcPr>
            <w:tcW w:w="868" w:type="dxa"/>
            <w:tcBorders>
              <w:bottom w:val="single" w:sz="4" w:space="0" w:color="auto"/>
            </w:tcBorders>
            <w:vAlign w:val="center"/>
          </w:tcPr>
          <w:p w:rsidR="00AD62E2" w:rsidRPr="002F16A1" w:rsidRDefault="00AD62E2" w:rsidP="000154FC">
            <w:pPr>
              <w:spacing w:before="20" w:after="20"/>
              <w:jc w:val="right"/>
              <w:rPr>
                <w:noProof/>
                <w:sz w:val="20"/>
              </w:rPr>
            </w:pPr>
          </w:p>
        </w:tc>
        <w:tc>
          <w:tcPr>
            <w:tcW w:w="868" w:type="dxa"/>
            <w:tcBorders>
              <w:bottom w:val="single" w:sz="4" w:space="0" w:color="auto"/>
            </w:tcBorders>
            <w:vAlign w:val="center"/>
          </w:tcPr>
          <w:p w:rsidR="00AD62E2" w:rsidRPr="002F16A1" w:rsidRDefault="00AD62E2" w:rsidP="000154FC">
            <w:pPr>
              <w:spacing w:before="20" w:after="20"/>
              <w:jc w:val="right"/>
              <w:rPr>
                <w:b/>
                <w:noProof/>
                <w:sz w:val="20"/>
              </w:rPr>
            </w:pPr>
          </w:p>
        </w:tc>
        <w:tc>
          <w:tcPr>
            <w:tcW w:w="1777" w:type="dxa"/>
            <w:tcBorders>
              <w:bottom w:val="single" w:sz="4" w:space="0" w:color="auto"/>
              <w:right w:val="single" w:sz="4" w:space="0" w:color="auto"/>
            </w:tcBorders>
            <w:vAlign w:val="center"/>
          </w:tcPr>
          <w:p w:rsidR="00AD62E2" w:rsidRPr="002F16A1" w:rsidRDefault="00AD62E2" w:rsidP="000154FC">
            <w:pPr>
              <w:spacing w:before="20" w:after="20"/>
              <w:jc w:val="right"/>
              <w:rPr>
                <w:b/>
                <w:noProof/>
                <w:sz w:val="20"/>
              </w:rPr>
            </w:pPr>
          </w:p>
        </w:tc>
      </w:tr>
    </w:tbl>
    <w:p w:rsidR="00AD62E2" w:rsidRPr="002F16A1" w:rsidRDefault="00AD62E2" w:rsidP="00AD62E2">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AD62E2" w:rsidRPr="002F16A1" w:rsidTr="000154FC">
        <w:trPr>
          <w:jc w:val="center"/>
        </w:trPr>
        <w:tc>
          <w:tcPr>
            <w:tcW w:w="4744" w:type="dxa"/>
            <w:shd w:val="thinDiagStripe" w:color="C0C0C0" w:fill="auto"/>
            <w:vAlign w:val="center"/>
          </w:tcPr>
          <w:p w:rsidR="00AD62E2" w:rsidRPr="002F16A1" w:rsidRDefault="00AD62E2" w:rsidP="000154FC">
            <w:pPr>
              <w:spacing w:before="60" w:after="60"/>
              <w:jc w:val="center"/>
              <w:rPr>
                <w:b/>
                <w:noProof/>
              </w:rPr>
            </w:pPr>
            <w:r w:rsidRPr="002F16A1">
              <w:rPr>
                <w:noProof/>
              </w:rPr>
              <w:br w:type="page"/>
            </w:r>
            <w:r w:rsidRPr="002F16A1">
              <w:rPr>
                <w:b/>
                <w:noProof/>
                <w:sz w:val="22"/>
              </w:rPr>
              <w:t>Dział wieloletnich ra</w:t>
            </w:r>
            <w:r w:rsidRPr="0028384B">
              <w:rPr>
                <w:b/>
                <w:noProof/>
                <w:sz w:val="22"/>
              </w:rPr>
              <w:t>m</w:t>
            </w:r>
            <w:r w:rsidR="0028384B" w:rsidRPr="0028384B">
              <w:rPr>
                <w:b/>
                <w:noProof/>
                <w:sz w:val="22"/>
              </w:rPr>
              <w:t xml:space="preserve"> </w:t>
            </w:r>
            <w:r w:rsidRPr="0028384B">
              <w:rPr>
                <w:b/>
                <w:noProof/>
                <w:sz w:val="22"/>
              </w:rPr>
              <w:br/>
            </w:r>
            <w:r w:rsidRPr="002F16A1">
              <w:rPr>
                <w:b/>
                <w:noProof/>
                <w:sz w:val="22"/>
              </w:rPr>
              <w:t xml:space="preserve">finansowych </w:t>
            </w:r>
          </w:p>
        </w:tc>
        <w:tc>
          <w:tcPr>
            <w:tcW w:w="1080" w:type="dxa"/>
            <w:shd w:val="thinDiagStripe" w:color="C0C0C0" w:fill="auto"/>
            <w:vAlign w:val="center"/>
          </w:tcPr>
          <w:p w:rsidR="00AD62E2" w:rsidRPr="002F16A1" w:rsidRDefault="00AD62E2" w:rsidP="000154FC">
            <w:pPr>
              <w:spacing w:before="60" w:after="60"/>
              <w:jc w:val="center"/>
              <w:rPr>
                <w:noProof/>
              </w:rPr>
            </w:pPr>
            <w:r w:rsidRPr="002F16A1">
              <w:rPr>
                <w:b/>
                <w:noProof/>
                <w:sz w:val="22"/>
              </w:rPr>
              <w:t>7</w:t>
            </w:r>
          </w:p>
        </w:tc>
        <w:tc>
          <w:tcPr>
            <w:tcW w:w="7817" w:type="dxa"/>
            <w:vAlign w:val="center"/>
          </w:tcPr>
          <w:p w:rsidR="00AD62E2" w:rsidRPr="002F16A1" w:rsidRDefault="00AD62E2" w:rsidP="000154FC">
            <w:pPr>
              <w:spacing w:before="60" w:after="60"/>
              <w:rPr>
                <w:noProof/>
              </w:rPr>
            </w:pPr>
            <w:r w:rsidRPr="002F16A1">
              <w:rPr>
                <w:noProof/>
                <w:sz w:val="22"/>
              </w:rPr>
              <w:t>„Wydatki administracyjne”</w:t>
            </w:r>
          </w:p>
        </w:tc>
      </w:tr>
    </w:tbl>
    <w:p w:rsidR="00AD62E2" w:rsidRPr="002F16A1" w:rsidRDefault="00AD62E2" w:rsidP="00AD62E2">
      <w:pPr>
        <w:jc w:val="left"/>
        <w:rPr>
          <w:noProof/>
          <w:sz w:val="20"/>
        </w:rPr>
      </w:pPr>
      <w:r w:rsidRPr="002F16A1">
        <w:rPr>
          <w:noProof/>
        </w:rPr>
        <w:t>Niniejszą część uzupełnia się przy użyciu „danych budżetowych</w:t>
      </w:r>
      <w:r w:rsidR="0028384B" w:rsidRPr="002F16A1">
        <w:rPr>
          <w:noProof/>
        </w:rPr>
        <w:t xml:space="preserve"> o</w:t>
      </w:r>
      <w:r w:rsidR="0028384B">
        <w:rPr>
          <w:noProof/>
        </w:rPr>
        <w:t> </w:t>
      </w:r>
      <w:r w:rsidR="0028384B" w:rsidRPr="002F16A1">
        <w:rPr>
          <w:noProof/>
        </w:rPr>
        <w:t>cha</w:t>
      </w:r>
      <w:r w:rsidRPr="002F16A1">
        <w:rPr>
          <w:noProof/>
        </w:rPr>
        <w:t xml:space="preserve">rakterze administracyjnym”, które należy najpierw wprowadzić do </w:t>
      </w:r>
      <w:hyperlink r:id="rId12" w:history="1">
        <w:r w:rsidRPr="002F16A1">
          <w:rPr>
            <w:rStyle w:val="Hyperlink"/>
            <w:noProof/>
          </w:rPr>
          <w:t>załącznika do oceny skutków finansowych regulacji</w:t>
        </w:r>
      </w:hyperlink>
      <w:r w:rsidRPr="002F16A1">
        <w:rPr>
          <w:noProof/>
        </w:rPr>
        <w:t xml:space="preserve"> (załącznika 5 do decyzji Komisji</w:t>
      </w:r>
      <w:r w:rsidR="0028384B" w:rsidRPr="002F16A1">
        <w:rPr>
          <w:noProof/>
        </w:rPr>
        <w:t xml:space="preserve"> w</w:t>
      </w:r>
      <w:r w:rsidR="0028384B">
        <w:rPr>
          <w:noProof/>
        </w:rPr>
        <w:t> </w:t>
      </w:r>
      <w:r w:rsidR="0028384B" w:rsidRPr="002F16A1">
        <w:rPr>
          <w:noProof/>
        </w:rPr>
        <w:t>spr</w:t>
      </w:r>
      <w:r w:rsidRPr="002F16A1">
        <w:rPr>
          <w:noProof/>
        </w:rPr>
        <w:t>awie przepisów wewnętrznych dotyczących wykonania budżetu ogólnego Unii Europejskiej), przesyłanego do DECIDE</w:t>
      </w:r>
      <w:r w:rsidR="0028384B" w:rsidRPr="002F16A1">
        <w:rPr>
          <w:noProof/>
        </w:rPr>
        <w:t xml:space="preserve"> w</w:t>
      </w:r>
      <w:r w:rsidR="0028384B">
        <w:rPr>
          <w:noProof/>
        </w:rPr>
        <w:t> </w:t>
      </w:r>
      <w:r w:rsidR="0028384B" w:rsidRPr="002F16A1">
        <w:rPr>
          <w:noProof/>
        </w:rPr>
        <w:t>cel</w:t>
      </w:r>
      <w:r w:rsidRPr="002F16A1">
        <w:rPr>
          <w:noProof/>
        </w:rPr>
        <w:t>u konsultacji między służbami.</w:t>
      </w:r>
    </w:p>
    <w:p w:rsidR="00AD62E2" w:rsidRPr="002F16A1" w:rsidRDefault="00AD62E2" w:rsidP="00AD62E2">
      <w:pPr>
        <w:jc w:val="right"/>
        <w:rPr>
          <w:noProof/>
          <w:sz w:val="20"/>
        </w:rPr>
      </w:pPr>
      <w:r w:rsidRPr="002F16A1">
        <w:rPr>
          <w:noProof/>
          <w:sz w:val="20"/>
        </w:rPr>
        <w:t>w mln EUR (do trzech miejsc po przecinku)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AD62E2" w:rsidRPr="002F16A1" w:rsidTr="000154FC">
        <w:tc>
          <w:tcPr>
            <w:tcW w:w="3960" w:type="dxa"/>
            <w:tcBorders>
              <w:top w:val="nil"/>
              <w:left w:val="nil"/>
              <w:right w:val="nil"/>
            </w:tcBorders>
            <w:vAlign w:val="center"/>
          </w:tcPr>
          <w:p w:rsidR="00AD62E2" w:rsidRPr="002F16A1" w:rsidRDefault="00AD62E2" w:rsidP="000154FC">
            <w:pPr>
              <w:jc w:val="center"/>
              <w:rPr>
                <w:noProof/>
              </w:rPr>
            </w:pPr>
          </w:p>
        </w:tc>
        <w:tc>
          <w:tcPr>
            <w:tcW w:w="1560" w:type="dxa"/>
            <w:tcBorders>
              <w:top w:val="nil"/>
              <w:left w:val="nil"/>
              <w:right w:val="nil"/>
            </w:tcBorders>
          </w:tcPr>
          <w:p w:rsidR="00AD62E2" w:rsidRPr="002F16A1" w:rsidRDefault="00AD62E2" w:rsidP="000154FC">
            <w:pPr>
              <w:rPr>
                <w:noProof/>
                <w:sz w:val="20"/>
              </w:rPr>
            </w:pPr>
          </w:p>
        </w:tc>
        <w:tc>
          <w:tcPr>
            <w:tcW w:w="534" w:type="dxa"/>
            <w:tcBorders>
              <w:top w:val="nil"/>
              <w:left w:val="nil"/>
            </w:tcBorders>
          </w:tcPr>
          <w:p w:rsidR="00AD62E2" w:rsidRPr="002F16A1" w:rsidRDefault="00AD62E2" w:rsidP="000154FC">
            <w:pPr>
              <w:jc w:val="center"/>
              <w:rPr>
                <w:noProof/>
                <w:sz w:val="20"/>
              </w:rPr>
            </w:pPr>
          </w:p>
        </w:tc>
        <w:tc>
          <w:tcPr>
            <w:tcW w:w="868" w:type="dxa"/>
            <w:vAlign w:val="center"/>
          </w:tcPr>
          <w:p w:rsidR="00AD62E2" w:rsidRPr="002F16A1" w:rsidRDefault="00AD62E2" w:rsidP="000154FC">
            <w:pPr>
              <w:jc w:val="center"/>
              <w:rPr>
                <w:b/>
                <w:bCs/>
                <w:noProof/>
                <w:sz w:val="20"/>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2024</w:t>
            </w:r>
            <w:r w:rsidRPr="002F16A1">
              <w:rPr>
                <w:rStyle w:val="eop"/>
                <w:noProof/>
                <w:sz w:val="20"/>
              </w:rPr>
              <w:t xml:space="preserve"> </w:t>
            </w:r>
          </w:p>
        </w:tc>
        <w:tc>
          <w:tcPr>
            <w:tcW w:w="868" w:type="dxa"/>
            <w:vAlign w:val="center"/>
          </w:tcPr>
          <w:p w:rsidR="00AD62E2" w:rsidRPr="002F16A1" w:rsidRDefault="00AD62E2" w:rsidP="000154FC">
            <w:pPr>
              <w:jc w:val="center"/>
              <w:rPr>
                <w:b/>
                <w:bCs/>
                <w:noProof/>
                <w:sz w:val="20"/>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2025</w:t>
            </w:r>
            <w:r w:rsidRPr="002F16A1">
              <w:rPr>
                <w:rStyle w:val="eop"/>
                <w:noProof/>
                <w:sz w:val="20"/>
              </w:rPr>
              <w:t xml:space="preserve"> </w:t>
            </w:r>
          </w:p>
        </w:tc>
        <w:tc>
          <w:tcPr>
            <w:tcW w:w="868" w:type="dxa"/>
            <w:vAlign w:val="center"/>
          </w:tcPr>
          <w:p w:rsidR="00AD62E2" w:rsidRPr="002F16A1" w:rsidRDefault="00AD62E2" w:rsidP="000154FC">
            <w:pPr>
              <w:jc w:val="center"/>
              <w:rPr>
                <w:b/>
                <w:bCs/>
                <w:noProof/>
                <w:sz w:val="20"/>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2026</w:t>
            </w:r>
            <w:r w:rsidRPr="002F16A1">
              <w:rPr>
                <w:rStyle w:val="eop"/>
                <w:noProof/>
                <w:sz w:val="20"/>
              </w:rPr>
              <w:t xml:space="preserve"> </w:t>
            </w:r>
          </w:p>
        </w:tc>
        <w:tc>
          <w:tcPr>
            <w:tcW w:w="868" w:type="dxa"/>
            <w:vAlign w:val="center"/>
          </w:tcPr>
          <w:p w:rsidR="00AD62E2" w:rsidRPr="002F16A1" w:rsidRDefault="00AD62E2" w:rsidP="000154FC">
            <w:pPr>
              <w:jc w:val="center"/>
              <w:rPr>
                <w:b/>
                <w:bCs/>
                <w:noProof/>
                <w:sz w:val="20"/>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2027</w:t>
            </w:r>
            <w:r w:rsidRPr="002F16A1">
              <w:rPr>
                <w:rStyle w:val="eop"/>
                <w:noProof/>
                <w:sz w:val="20"/>
              </w:rPr>
              <w:t xml:space="preserve"> </w:t>
            </w:r>
          </w:p>
        </w:tc>
        <w:tc>
          <w:tcPr>
            <w:tcW w:w="2604" w:type="dxa"/>
            <w:gridSpan w:val="3"/>
            <w:vAlign w:val="center"/>
          </w:tcPr>
          <w:p w:rsidR="00AD62E2" w:rsidRPr="002F16A1" w:rsidRDefault="00AD62E2" w:rsidP="000154FC">
            <w:pPr>
              <w:jc w:val="center"/>
              <w:rPr>
                <w:b/>
                <w:noProof/>
                <w:sz w:val="18"/>
              </w:rPr>
            </w:pPr>
            <w:r w:rsidRPr="002F16A1">
              <w:rPr>
                <w:noProof/>
                <w:sz w:val="18"/>
              </w:rPr>
              <w:t xml:space="preserve">Wprowadzić taką liczbę kolumn dla poszczególnych lat, jaka jest niezbędna, by odzwierciedlić cały okres wpływu (por. </w:t>
            </w:r>
            <w:r w:rsidRPr="0028384B">
              <w:rPr>
                <w:noProof/>
                <w:sz w:val="18"/>
              </w:rPr>
              <w:t>pkt</w:t>
            </w:r>
            <w:r w:rsidR="0028384B" w:rsidRPr="0028384B">
              <w:rPr>
                <w:noProof/>
                <w:sz w:val="18"/>
              </w:rPr>
              <w:t> </w:t>
            </w:r>
            <w:r w:rsidRPr="0028384B">
              <w:rPr>
                <w:noProof/>
                <w:sz w:val="18"/>
              </w:rPr>
              <w:t>1</w:t>
            </w:r>
            <w:r w:rsidRPr="002F16A1">
              <w:rPr>
                <w:noProof/>
                <w:sz w:val="18"/>
              </w:rPr>
              <w:t xml:space="preserve">.6) </w:t>
            </w:r>
          </w:p>
        </w:tc>
        <w:tc>
          <w:tcPr>
            <w:tcW w:w="1777" w:type="dxa"/>
            <w:vAlign w:val="center"/>
          </w:tcPr>
          <w:p w:rsidR="00AD62E2" w:rsidRPr="002F16A1" w:rsidRDefault="00AD62E2" w:rsidP="000154FC">
            <w:pPr>
              <w:jc w:val="center"/>
              <w:rPr>
                <w:b/>
                <w:noProof/>
                <w:sz w:val="20"/>
              </w:rPr>
            </w:pPr>
            <w:r w:rsidRPr="002F16A1">
              <w:rPr>
                <w:b/>
                <w:noProof/>
                <w:sz w:val="20"/>
              </w:rPr>
              <w:t>OGÓŁEM</w:t>
            </w:r>
          </w:p>
        </w:tc>
      </w:tr>
      <w:tr w:rsidR="00AD62E2" w:rsidRPr="002F16A1" w:rsidTr="000154FC">
        <w:trPr>
          <w:gridAfter w:val="10"/>
          <w:wAfter w:w="9947" w:type="dxa"/>
        </w:trPr>
        <w:tc>
          <w:tcPr>
            <w:tcW w:w="3960" w:type="dxa"/>
            <w:vAlign w:val="center"/>
          </w:tcPr>
          <w:p w:rsidR="00AD62E2" w:rsidRPr="002F16A1" w:rsidRDefault="00AD62E2" w:rsidP="000154FC">
            <w:pPr>
              <w:spacing w:before="60" w:after="60"/>
              <w:jc w:val="center"/>
              <w:rPr>
                <w:noProof/>
              </w:rPr>
            </w:pPr>
            <w:r w:rsidRPr="002F16A1">
              <w:rPr>
                <w:noProof/>
                <w:sz w:val="22"/>
              </w:rPr>
              <w:t>Dyrekcja Generalna:</w:t>
            </w:r>
            <w:r w:rsidRPr="002F16A1">
              <w:rPr>
                <w:rStyle w:val="normaltextrun"/>
                <w:noProof/>
                <w:color w:val="000000"/>
                <w:sz w:val="22"/>
                <w:shd w:val="clear" w:color="auto" w:fill="FFFFFF"/>
              </w:rPr>
              <w:t xml:space="preserve"> GROW</w:t>
            </w:r>
            <w:r w:rsidRPr="002F16A1">
              <w:rPr>
                <w:rStyle w:val="eop"/>
                <w:noProof/>
                <w:color w:val="000000"/>
                <w:sz w:val="22"/>
                <w:shd w:val="clear" w:color="auto" w:fill="FFFFFF"/>
              </w:rPr>
              <w:t xml:space="preserve"> </w:t>
            </w:r>
          </w:p>
        </w:tc>
      </w:tr>
      <w:tr w:rsidR="00AD62E2" w:rsidRPr="002F16A1" w:rsidTr="000154FC">
        <w:trPr>
          <w:trHeight w:val="313"/>
        </w:trPr>
        <w:tc>
          <w:tcPr>
            <w:tcW w:w="6054" w:type="dxa"/>
            <w:gridSpan w:val="3"/>
            <w:vAlign w:val="center"/>
          </w:tcPr>
          <w:p w:rsidR="00AD62E2" w:rsidRPr="002F16A1" w:rsidRDefault="00AD62E2" w:rsidP="000154FC">
            <w:pPr>
              <w:spacing w:before="20" w:after="20"/>
              <w:rPr>
                <w:noProof/>
              </w:rPr>
            </w:pPr>
            <w:r w:rsidRPr="002F16A1">
              <w:rPr>
                <w:rFonts w:ascii="Wingdings" w:hAnsi="Wingdings"/>
                <w:noProof/>
                <w:sz w:val="22"/>
              </w:rPr>
              <w:t>□</w:t>
            </w:r>
            <w:r w:rsidRPr="002F16A1">
              <w:rPr>
                <w:noProof/>
              </w:rPr>
              <w:t xml:space="preserve"> </w:t>
            </w:r>
            <w:r w:rsidRPr="002F16A1">
              <w:rPr>
                <w:noProof/>
                <w:sz w:val="22"/>
              </w:rPr>
              <w:t xml:space="preserve">Zasoby ludzkie </w:t>
            </w:r>
          </w:p>
        </w:tc>
        <w:tc>
          <w:tcPr>
            <w:tcW w:w="868" w:type="dxa"/>
            <w:vAlign w:val="center"/>
          </w:tcPr>
          <w:p w:rsidR="00AD62E2" w:rsidRPr="002F16A1" w:rsidRDefault="00AD62E2" w:rsidP="000154FC">
            <w:pPr>
              <w:spacing w:before="20" w:after="20"/>
              <w:jc w:val="right"/>
              <w:rPr>
                <w:noProof/>
                <w:sz w:val="20"/>
                <w:szCs w:val="20"/>
              </w:rPr>
            </w:pPr>
            <w:r w:rsidRPr="002F16A1">
              <w:rPr>
                <w:rStyle w:val="normaltextrun"/>
                <w:rFonts w:ascii="Arial Narrow" w:hAnsi="Arial Narrow"/>
                <w:noProof/>
                <w:color w:val="000000" w:themeColor="text1"/>
                <w:sz w:val="20"/>
              </w:rPr>
              <w:t>1,392</w:t>
            </w:r>
            <w:r w:rsidRPr="002F16A1">
              <w:rPr>
                <w:rStyle w:val="normaltextrun"/>
                <w:rFonts w:ascii="Arial" w:hAnsi="Arial"/>
                <w:noProof/>
                <w:color w:val="000000" w:themeColor="text1"/>
                <w:sz w:val="20"/>
              </w:rPr>
              <w:t xml:space="preserve"> </w:t>
            </w:r>
            <w:r w:rsidRPr="002F16A1">
              <w:rPr>
                <w:rStyle w:val="eop"/>
                <w:rFonts w:ascii="Arial Narrow" w:hAnsi="Arial Narrow"/>
                <w:noProof/>
                <w:color w:val="000000" w:themeColor="text1"/>
                <w:sz w:val="20"/>
              </w:rPr>
              <w:t xml:space="preserve"> </w:t>
            </w:r>
          </w:p>
        </w:tc>
        <w:tc>
          <w:tcPr>
            <w:tcW w:w="868" w:type="dxa"/>
            <w:vAlign w:val="center"/>
          </w:tcPr>
          <w:p w:rsidR="00AD62E2" w:rsidRPr="002F16A1" w:rsidRDefault="00AD62E2" w:rsidP="000154FC">
            <w:pPr>
              <w:spacing w:before="20" w:after="20"/>
              <w:jc w:val="right"/>
              <w:rPr>
                <w:noProof/>
                <w:sz w:val="20"/>
                <w:szCs w:val="20"/>
              </w:rPr>
            </w:pPr>
            <w:r w:rsidRPr="002F16A1">
              <w:rPr>
                <w:rStyle w:val="normaltextrun"/>
                <w:rFonts w:ascii="Arial Narrow" w:hAnsi="Arial Narrow"/>
                <w:noProof/>
                <w:color w:val="000000" w:themeColor="text1"/>
                <w:sz w:val="20"/>
              </w:rPr>
              <w:t>2,167</w:t>
            </w:r>
            <w:r w:rsidRPr="002F16A1">
              <w:rPr>
                <w:rStyle w:val="normaltextrun"/>
                <w:rFonts w:ascii="Arial" w:hAnsi="Arial"/>
                <w:noProof/>
                <w:color w:val="000000" w:themeColor="text1"/>
                <w:sz w:val="20"/>
              </w:rPr>
              <w:t xml:space="preserve"> </w:t>
            </w:r>
            <w:r w:rsidRPr="002F16A1">
              <w:rPr>
                <w:rStyle w:val="eop"/>
                <w:rFonts w:ascii="Arial Narrow" w:hAnsi="Arial Narrow"/>
                <w:noProof/>
                <w:color w:val="000000" w:themeColor="text1"/>
                <w:sz w:val="20"/>
              </w:rPr>
              <w:t xml:space="preserve"> </w:t>
            </w:r>
          </w:p>
        </w:tc>
        <w:tc>
          <w:tcPr>
            <w:tcW w:w="868" w:type="dxa"/>
            <w:vAlign w:val="center"/>
          </w:tcPr>
          <w:p w:rsidR="00AD62E2" w:rsidRPr="002F16A1" w:rsidRDefault="00AD62E2" w:rsidP="000154FC">
            <w:pPr>
              <w:spacing w:before="20" w:after="20"/>
              <w:jc w:val="right"/>
              <w:rPr>
                <w:noProof/>
                <w:sz w:val="20"/>
                <w:szCs w:val="20"/>
              </w:rPr>
            </w:pPr>
            <w:r w:rsidRPr="002F16A1">
              <w:rPr>
                <w:rStyle w:val="normaltextrun"/>
                <w:rFonts w:ascii="Arial Narrow" w:hAnsi="Arial Narrow"/>
                <w:noProof/>
                <w:color w:val="000000" w:themeColor="text1"/>
                <w:sz w:val="20"/>
              </w:rPr>
              <w:t>3,912</w:t>
            </w:r>
            <w:r w:rsidRPr="002F16A1">
              <w:rPr>
                <w:rStyle w:val="normaltextrun"/>
                <w:rFonts w:ascii="Arial" w:hAnsi="Arial"/>
                <w:noProof/>
                <w:color w:val="000000" w:themeColor="text1"/>
                <w:sz w:val="20"/>
              </w:rPr>
              <w:t xml:space="preserve"> </w:t>
            </w:r>
            <w:r w:rsidRPr="002F16A1">
              <w:rPr>
                <w:rStyle w:val="eop"/>
                <w:rFonts w:ascii="Arial Narrow" w:hAnsi="Arial Narrow"/>
                <w:noProof/>
                <w:color w:val="000000" w:themeColor="text1"/>
                <w:sz w:val="20"/>
              </w:rPr>
              <w:t xml:space="preserve"> </w:t>
            </w:r>
          </w:p>
        </w:tc>
        <w:tc>
          <w:tcPr>
            <w:tcW w:w="868" w:type="dxa"/>
            <w:vAlign w:val="center"/>
          </w:tcPr>
          <w:p w:rsidR="00AD62E2" w:rsidRPr="002F16A1" w:rsidRDefault="00AD62E2" w:rsidP="000154FC">
            <w:pPr>
              <w:spacing w:before="20" w:after="20"/>
              <w:jc w:val="right"/>
              <w:rPr>
                <w:noProof/>
                <w:sz w:val="20"/>
                <w:szCs w:val="20"/>
              </w:rPr>
            </w:pPr>
            <w:r w:rsidRPr="002F16A1">
              <w:rPr>
                <w:rStyle w:val="normaltextrun"/>
                <w:rFonts w:ascii="Arial" w:hAnsi="Arial"/>
                <w:noProof/>
                <w:color w:val="000000" w:themeColor="text1"/>
                <w:sz w:val="20"/>
              </w:rPr>
              <w:t>3,912</w:t>
            </w:r>
            <w:r w:rsidRPr="002F16A1">
              <w:rPr>
                <w:rStyle w:val="eop"/>
                <w:rFonts w:ascii="Arial Narrow" w:hAnsi="Arial Narrow"/>
                <w:noProof/>
                <w:color w:val="000000" w:themeColor="text1"/>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1777" w:type="dxa"/>
            <w:vAlign w:val="center"/>
          </w:tcPr>
          <w:p w:rsidR="00AD62E2" w:rsidRPr="002F16A1" w:rsidRDefault="00AD62E2" w:rsidP="000154FC">
            <w:pPr>
              <w:spacing w:before="20" w:after="20"/>
              <w:jc w:val="right"/>
              <w:rPr>
                <w:rFonts w:ascii="Arial Narrow" w:eastAsia="Arial Narrow" w:hAnsi="Arial Narrow" w:cs="Arial Narrow"/>
                <w:noProof/>
                <w:sz w:val="20"/>
                <w:szCs w:val="20"/>
              </w:rPr>
            </w:pPr>
            <w:r w:rsidRPr="002F16A1">
              <w:rPr>
                <w:rStyle w:val="normaltextrun"/>
                <w:rFonts w:ascii="Arial Narrow" w:hAnsi="Arial Narrow"/>
                <w:b/>
                <w:noProof/>
                <w:color w:val="000000" w:themeColor="text1"/>
                <w:sz w:val="20"/>
              </w:rPr>
              <w:t>11,383</w:t>
            </w:r>
          </w:p>
        </w:tc>
      </w:tr>
      <w:tr w:rsidR="00AD62E2" w:rsidRPr="002F16A1" w:rsidTr="000154FC">
        <w:trPr>
          <w:trHeight w:val="351"/>
        </w:trPr>
        <w:tc>
          <w:tcPr>
            <w:tcW w:w="6054" w:type="dxa"/>
            <w:gridSpan w:val="3"/>
            <w:vAlign w:val="center"/>
          </w:tcPr>
          <w:p w:rsidR="00AD62E2" w:rsidRPr="002F16A1" w:rsidRDefault="00AD62E2" w:rsidP="000154FC">
            <w:pPr>
              <w:spacing w:before="20" w:after="20"/>
              <w:rPr>
                <w:noProof/>
              </w:rPr>
            </w:pPr>
            <w:r w:rsidRPr="002F16A1">
              <w:rPr>
                <w:rFonts w:ascii="Wingdings" w:hAnsi="Wingdings"/>
                <w:noProof/>
                <w:sz w:val="22"/>
              </w:rPr>
              <w:t>□</w:t>
            </w:r>
            <w:r w:rsidRPr="002F16A1">
              <w:rPr>
                <w:noProof/>
              </w:rPr>
              <w:t xml:space="preserve"> </w:t>
            </w:r>
            <w:r w:rsidRPr="002F16A1">
              <w:rPr>
                <w:noProof/>
                <w:sz w:val="22"/>
              </w:rPr>
              <w:t xml:space="preserve">Pozostałe wydatki administracyjne </w:t>
            </w:r>
          </w:p>
        </w:tc>
        <w:tc>
          <w:tcPr>
            <w:tcW w:w="868" w:type="dxa"/>
            <w:vAlign w:val="center"/>
          </w:tcPr>
          <w:p w:rsidR="00AD62E2" w:rsidRPr="002F16A1" w:rsidRDefault="00AD62E2" w:rsidP="000154FC">
            <w:pPr>
              <w:spacing w:before="20" w:after="20"/>
              <w:jc w:val="right"/>
              <w:rPr>
                <w:b/>
                <w:noProof/>
                <w:sz w:val="20"/>
              </w:rPr>
            </w:pPr>
            <w:r w:rsidRPr="002F16A1">
              <w:rPr>
                <w:rStyle w:val="normaltextrun"/>
                <w:rFonts w:ascii="Arial Narrow" w:hAnsi="Arial Narrow"/>
                <w:noProof/>
                <w:color w:val="000000"/>
                <w:sz w:val="20"/>
              </w:rPr>
              <w:t>0,212</w:t>
            </w:r>
            <w:r w:rsidRPr="002F16A1">
              <w:rPr>
                <w:rStyle w:val="eop"/>
                <w:rFonts w:ascii="Arial Narrow" w:hAnsi="Arial Narrow"/>
                <w:noProof/>
                <w:color w:val="000000"/>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normaltextrun"/>
                <w:rFonts w:ascii="Arial Narrow" w:hAnsi="Arial Narrow"/>
                <w:noProof/>
                <w:color w:val="000000"/>
                <w:sz w:val="20"/>
              </w:rPr>
              <w:t>0,212</w:t>
            </w:r>
            <w:r w:rsidRPr="002F16A1">
              <w:rPr>
                <w:rStyle w:val="eop"/>
                <w:rFonts w:ascii="Arial Narrow" w:hAnsi="Arial Narrow"/>
                <w:noProof/>
                <w:color w:val="000000"/>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normaltextrun"/>
                <w:rFonts w:ascii="Arial" w:hAnsi="Arial"/>
                <w:noProof/>
                <w:color w:val="000000"/>
                <w:sz w:val="20"/>
              </w:rPr>
              <w:t xml:space="preserve"> </w:t>
            </w:r>
            <w:r w:rsidRPr="002F16A1">
              <w:rPr>
                <w:rStyle w:val="normaltextrun"/>
                <w:rFonts w:ascii="Arial Narrow" w:hAnsi="Arial Narrow"/>
                <w:noProof/>
                <w:color w:val="000000"/>
                <w:sz w:val="20"/>
              </w:rPr>
              <w:t>0,213</w:t>
            </w:r>
            <w:r w:rsidRPr="002F16A1">
              <w:rPr>
                <w:rStyle w:val="eop"/>
                <w:rFonts w:ascii="Arial Narrow" w:hAnsi="Arial Narrow"/>
                <w:noProof/>
                <w:color w:val="000000"/>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normaltextrun"/>
                <w:rFonts w:ascii="Arial" w:hAnsi="Arial"/>
                <w:noProof/>
                <w:color w:val="000000"/>
                <w:sz w:val="20"/>
              </w:rPr>
              <w:t xml:space="preserve"> </w:t>
            </w:r>
            <w:r w:rsidRPr="002F16A1">
              <w:rPr>
                <w:rStyle w:val="normaltextrun"/>
                <w:rFonts w:ascii="Arial Narrow" w:hAnsi="Arial Narrow"/>
                <w:noProof/>
                <w:color w:val="000000"/>
                <w:sz w:val="20"/>
              </w:rPr>
              <w:t>0,213</w:t>
            </w:r>
            <w:r w:rsidRPr="002F16A1">
              <w:rPr>
                <w:rStyle w:val="eop"/>
                <w:rFonts w:ascii="Arial Narrow" w:hAnsi="Arial Narrow"/>
                <w:noProof/>
                <w:color w:val="000000"/>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1777" w:type="dxa"/>
            <w:vAlign w:val="center"/>
          </w:tcPr>
          <w:p w:rsidR="00AD62E2" w:rsidRPr="002F16A1" w:rsidRDefault="00AD62E2" w:rsidP="000154FC">
            <w:pPr>
              <w:spacing w:before="20" w:after="20"/>
              <w:jc w:val="right"/>
              <w:rPr>
                <w:b/>
                <w:noProof/>
                <w:sz w:val="20"/>
              </w:rPr>
            </w:pPr>
            <w:r w:rsidRPr="002F16A1">
              <w:rPr>
                <w:rStyle w:val="normaltextrun"/>
                <w:rFonts w:ascii="Arial Narrow" w:hAnsi="Arial Narrow"/>
                <w:b/>
                <w:noProof/>
                <w:color w:val="000000"/>
                <w:sz w:val="20"/>
              </w:rPr>
              <w:t>0,850</w:t>
            </w:r>
            <w:r w:rsidRPr="002F16A1">
              <w:rPr>
                <w:rStyle w:val="eop"/>
                <w:rFonts w:ascii="Arial Narrow" w:hAnsi="Arial Narrow"/>
                <w:noProof/>
                <w:color w:val="000000"/>
                <w:sz w:val="20"/>
              </w:rPr>
              <w:t xml:space="preserve"> </w:t>
            </w:r>
          </w:p>
        </w:tc>
      </w:tr>
      <w:tr w:rsidR="00AD62E2" w:rsidRPr="002F16A1" w:rsidTr="000154FC">
        <w:tc>
          <w:tcPr>
            <w:tcW w:w="3960" w:type="dxa"/>
            <w:vAlign w:val="center"/>
          </w:tcPr>
          <w:p w:rsidR="00AD62E2" w:rsidRPr="002F16A1" w:rsidRDefault="00AD62E2" w:rsidP="000154FC">
            <w:pPr>
              <w:jc w:val="center"/>
              <w:rPr>
                <w:b/>
                <w:noProof/>
              </w:rPr>
            </w:pPr>
            <w:r w:rsidRPr="002F16A1">
              <w:rPr>
                <w:b/>
                <w:noProof/>
                <w:sz w:val="22"/>
              </w:rPr>
              <w:t>OGÓŁEM DG GROW</w:t>
            </w:r>
          </w:p>
        </w:tc>
        <w:tc>
          <w:tcPr>
            <w:tcW w:w="2094" w:type="dxa"/>
            <w:gridSpan w:val="2"/>
            <w:vAlign w:val="center"/>
          </w:tcPr>
          <w:p w:rsidR="00AD62E2" w:rsidRPr="002F16A1" w:rsidRDefault="00AD62E2" w:rsidP="000154FC">
            <w:pPr>
              <w:rPr>
                <w:noProof/>
                <w:sz w:val="14"/>
              </w:rPr>
            </w:pPr>
          </w:p>
        </w:tc>
        <w:tc>
          <w:tcPr>
            <w:tcW w:w="868" w:type="dxa"/>
            <w:vAlign w:val="center"/>
          </w:tcPr>
          <w:p w:rsidR="00AD62E2" w:rsidRPr="002F16A1" w:rsidRDefault="00AD62E2" w:rsidP="000154FC">
            <w:pPr>
              <w:spacing w:before="60" w:after="60"/>
              <w:jc w:val="right"/>
              <w:rPr>
                <w:noProof/>
                <w:sz w:val="20"/>
                <w:szCs w:val="20"/>
              </w:rPr>
            </w:pPr>
            <w:r w:rsidRPr="002F16A1">
              <w:rPr>
                <w:rStyle w:val="normaltextrun"/>
                <w:rFonts w:ascii="Arial Narrow" w:hAnsi="Arial Narrow"/>
                <w:noProof/>
                <w:color w:val="000000" w:themeColor="text1"/>
                <w:sz w:val="20"/>
              </w:rPr>
              <w:t>1,</w:t>
            </w:r>
            <w:r w:rsidRPr="002F16A1">
              <w:rPr>
                <w:rStyle w:val="eop"/>
                <w:rFonts w:ascii="Arial Narrow" w:hAnsi="Arial Narrow"/>
                <w:noProof/>
                <w:color w:val="000000" w:themeColor="text1"/>
                <w:sz w:val="20"/>
              </w:rPr>
              <w:t>604</w:t>
            </w:r>
          </w:p>
        </w:tc>
        <w:tc>
          <w:tcPr>
            <w:tcW w:w="868" w:type="dxa"/>
            <w:vAlign w:val="center"/>
          </w:tcPr>
          <w:p w:rsidR="00AD62E2" w:rsidRPr="002F16A1" w:rsidRDefault="00AD62E2" w:rsidP="000154FC">
            <w:pPr>
              <w:spacing w:before="20" w:after="20"/>
              <w:jc w:val="right"/>
              <w:rPr>
                <w:noProof/>
                <w:sz w:val="20"/>
                <w:szCs w:val="20"/>
              </w:rPr>
            </w:pPr>
            <w:r w:rsidRPr="002F16A1">
              <w:rPr>
                <w:rStyle w:val="normaltextrun"/>
                <w:rFonts w:ascii="Arial Narrow" w:hAnsi="Arial Narrow"/>
                <w:noProof/>
                <w:color w:val="000000" w:themeColor="text1"/>
                <w:sz w:val="20"/>
              </w:rPr>
              <w:t>2,379</w:t>
            </w:r>
            <w:r w:rsidRPr="002F16A1">
              <w:rPr>
                <w:rStyle w:val="eop"/>
                <w:rFonts w:ascii="Arial Narrow" w:hAnsi="Arial Narrow"/>
                <w:noProof/>
                <w:color w:val="000000" w:themeColor="text1"/>
                <w:sz w:val="20"/>
              </w:rPr>
              <w:t xml:space="preserve"> </w:t>
            </w:r>
          </w:p>
        </w:tc>
        <w:tc>
          <w:tcPr>
            <w:tcW w:w="868" w:type="dxa"/>
            <w:vAlign w:val="center"/>
          </w:tcPr>
          <w:p w:rsidR="00AD62E2" w:rsidRPr="002F16A1" w:rsidRDefault="00AD62E2" w:rsidP="000154FC">
            <w:pPr>
              <w:spacing w:before="20" w:after="20"/>
              <w:jc w:val="right"/>
              <w:rPr>
                <w:noProof/>
                <w:sz w:val="20"/>
                <w:szCs w:val="20"/>
              </w:rPr>
            </w:pPr>
            <w:r w:rsidRPr="002F16A1">
              <w:rPr>
                <w:rStyle w:val="normaltextrun"/>
                <w:rFonts w:ascii="Arial Narrow" w:hAnsi="Arial Narrow"/>
                <w:noProof/>
                <w:color w:val="000000" w:themeColor="text1"/>
                <w:sz w:val="20"/>
              </w:rPr>
              <w:t>4,125</w:t>
            </w:r>
            <w:r w:rsidRPr="002F16A1">
              <w:rPr>
                <w:rStyle w:val="eop"/>
                <w:rFonts w:ascii="Arial Narrow" w:hAnsi="Arial Narrow"/>
                <w:noProof/>
                <w:color w:val="000000" w:themeColor="text1"/>
                <w:sz w:val="20"/>
              </w:rPr>
              <w:t xml:space="preserve"> </w:t>
            </w:r>
          </w:p>
        </w:tc>
        <w:tc>
          <w:tcPr>
            <w:tcW w:w="868" w:type="dxa"/>
            <w:vAlign w:val="center"/>
          </w:tcPr>
          <w:p w:rsidR="00AD62E2" w:rsidRPr="002F16A1" w:rsidRDefault="00AD62E2" w:rsidP="000154FC">
            <w:pPr>
              <w:spacing w:before="20" w:after="20"/>
              <w:jc w:val="right"/>
              <w:rPr>
                <w:noProof/>
                <w:sz w:val="20"/>
                <w:szCs w:val="20"/>
              </w:rPr>
            </w:pPr>
            <w:r w:rsidRPr="002F16A1">
              <w:rPr>
                <w:rStyle w:val="normaltextrun"/>
                <w:rFonts w:ascii="Arial Narrow" w:hAnsi="Arial Narrow"/>
                <w:noProof/>
                <w:color w:val="000000" w:themeColor="text1"/>
                <w:sz w:val="20"/>
              </w:rPr>
              <w:t>4,125</w:t>
            </w:r>
            <w:r w:rsidRPr="002F16A1">
              <w:rPr>
                <w:rStyle w:val="eop"/>
                <w:rFonts w:ascii="Arial Narrow" w:hAnsi="Arial Narrow"/>
                <w:noProof/>
                <w:color w:val="000000" w:themeColor="text1"/>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20" w:after="20"/>
              <w:jc w:val="right"/>
              <w:rPr>
                <w:rFonts w:ascii="Arial Narrow" w:eastAsia="Arial Narrow" w:hAnsi="Arial Narrow" w:cs="Arial Narrow"/>
                <w:noProof/>
                <w:sz w:val="20"/>
                <w:szCs w:val="20"/>
              </w:rPr>
            </w:pPr>
            <w:r w:rsidRPr="002F16A1">
              <w:rPr>
                <w:rStyle w:val="normaltextrun"/>
                <w:rFonts w:ascii="Arial Narrow" w:hAnsi="Arial Narrow"/>
                <w:b/>
                <w:noProof/>
                <w:color w:val="000000" w:themeColor="text1"/>
                <w:sz w:val="20"/>
              </w:rPr>
              <w:t>12,233</w:t>
            </w:r>
          </w:p>
        </w:tc>
      </w:tr>
      <w:tr w:rsidR="00AD62E2" w:rsidRPr="002F16A1" w:rsidTr="000154FC">
        <w:trPr>
          <w:trHeight w:val="300"/>
        </w:trPr>
        <w:tc>
          <w:tcPr>
            <w:tcW w:w="3960" w:type="dxa"/>
            <w:vAlign w:val="center"/>
          </w:tcPr>
          <w:p w:rsidR="00AD62E2" w:rsidRPr="002F16A1" w:rsidRDefault="00AD62E2" w:rsidP="000154FC">
            <w:pPr>
              <w:jc w:val="center"/>
              <w:rPr>
                <w:b/>
                <w:bCs/>
                <w:noProof/>
                <w:sz w:val="22"/>
              </w:rPr>
            </w:pPr>
            <w:r w:rsidRPr="002F16A1">
              <w:rPr>
                <w:b/>
                <w:noProof/>
                <w:sz w:val="22"/>
              </w:rPr>
              <w:t>DG ENV</w:t>
            </w:r>
          </w:p>
        </w:tc>
        <w:tc>
          <w:tcPr>
            <w:tcW w:w="9947" w:type="dxa"/>
            <w:gridSpan w:val="10"/>
            <w:vAlign w:val="center"/>
          </w:tcPr>
          <w:p w:rsidR="00AD62E2" w:rsidRPr="002F16A1" w:rsidRDefault="00AD62E2" w:rsidP="000154FC">
            <w:pPr>
              <w:rPr>
                <w:noProof/>
                <w:sz w:val="14"/>
                <w:szCs w:val="14"/>
              </w:rPr>
            </w:pPr>
          </w:p>
        </w:tc>
      </w:tr>
      <w:tr w:rsidR="00AD62E2" w:rsidRPr="002F16A1" w:rsidTr="000154FC">
        <w:trPr>
          <w:trHeight w:val="300"/>
        </w:trPr>
        <w:tc>
          <w:tcPr>
            <w:tcW w:w="6054" w:type="dxa"/>
            <w:gridSpan w:val="3"/>
            <w:vAlign w:val="center"/>
          </w:tcPr>
          <w:p w:rsidR="00AD62E2" w:rsidRPr="002F16A1" w:rsidRDefault="00AD62E2" w:rsidP="000154FC">
            <w:pPr>
              <w:spacing w:before="20" w:after="20"/>
              <w:rPr>
                <w:noProof/>
              </w:rPr>
            </w:pPr>
            <w:r w:rsidRPr="002F16A1">
              <w:rPr>
                <w:rFonts w:ascii="Wingdings" w:hAnsi="Wingdings"/>
                <w:noProof/>
                <w:sz w:val="22"/>
              </w:rPr>
              <w:t>□</w:t>
            </w:r>
            <w:r w:rsidRPr="002F16A1">
              <w:rPr>
                <w:noProof/>
              </w:rPr>
              <w:t xml:space="preserve"> </w:t>
            </w:r>
            <w:r w:rsidRPr="002F16A1">
              <w:rPr>
                <w:noProof/>
                <w:sz w:val="22"/>
              </w:rPr>
              <w:t>Zasoby ludzkie</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0,171</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0,342</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0,513</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0,513</w:t>
            </w:r>
          </w:p>
        </w:tc>
        <w:tc>
          <w:tcPr>
            <w:tcW w:w="868" w:type="dxa"/>
            <w:vAlign w:val="center"/>
          </w:tcPr>
          <w:p w:rsidR="00AD62E2" w:rsidRPr="002F16A1" w:rsidRDefault="00AD62E2" w:rsidP="000154FC">
            <w:pPr>
              <w:jc w:val="right"/>
              <w:rPr>
                <w:rStyle w:val="normaltextrun"/>
                <w:rFonts w:ascii="Arial" w:hAnsi="Arial" w:cs="Arial"/>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w:hAnsi="Arial" w:cs="Arial"/>
                <w:noProof/>
                <w:color w:val="000000" w:themeColor="text1"/>
                <w:sz w:val="20"/>
                <w:szCs w:val="20"/>
              </w:rPr>
            </w:pPr>
          </w:p>
        </w:tc>
        <w:tc>
          <w:tcPr>
            <w:tcW w:w="868" w:type="dxa"/>
            <w:vAlign w:val="center"/>
          </w:tcPr>
          <w:p w:rsidR="00AD62E2" w:rsidRPr="002F16A1" w:rsidRDefault="00AD62E2" w:rsidP="000154FC">
            <w:pPr>
              <w:jc w:val="right"/>
              <w:rPr>
                <w:rStyle w:val="eop"/>
                <w:noProof/>
                <w:sz w:val="20"/>
                <w:szCs w:val="20"/>
              </w:rPr>
            </w:pPr>
          </w:p>
        </w:tc>
        <w:tc>
          <w:tcPr>
            <w:tcW w:w="1777" w:type="dxa"/>
            <w:vAlign w:val="center"/>
          </w:tcPr>
          <w:p w:rsidR="00AD62E2" w:rsidRPr="002F16A1" w:rsidRDefault="00AD62E2" w:rsidP="000154FC">
            <w:pPr>
              <w:jc w:val="right"/>
              <w:rPr>
                <w:rStyle w:val="normaltextrun"/>
                <w:rFonts w:ascii="Arial Narrow" w:hAnsi="Arial Narrow" w:cs="Segoe UI"/>
                <w:b/>
                <w:bCs/>
                <w:noProof/>
                <w:color w:val="000000" w:themeColor="text1"/>
                <w:sz w:val="20"/>
                <w:szCs w:val="20"/>
              </w:rPr>
            </w:pPr>
            <w:r w:rsidRPr="002F16A1">
              <w:rPr>
                <w:rStyle w:val="normaltextrun"/>
                <w:rFonts w:ascii="Arial Narrow" w:hAnsi="Arial Narrow"/>
                <w:b/>
                <w:noProof/>
                <w:color w:val="000000" w:themeColor="text1"/>
                <w:sz w:val="20"/>
              </w:rPr>
              <w:t>1,539</w:t>
            </w:r>
          </w:p>
        </w:tc>
      </w:tr>
      <w:tr w:rsidR="00AD62E2" w:rsidRPr="002F16A1" w:rsidTr="000154FC">
        <w:trPr>
          <w:trHeight w:val="300"/>
        </w:trPr>
        <w:tc>
          <w:tcPr>
            <w:tcW w:w="6054" w:type="dxa"/>
            <w:gridSpan w:val="3"/>
            <w:vAlign w:val="center"/>
          </w:tcPr>
          <w:p w:rsidR="00AD62E2" w:rsidRPr="002F16A1" w:rsidRDefault="00AD62E2" w:rsidP="000154FC">
            <w:pPr>
              <w:spacing w:before="20" w:after="20"/>
              <w:rPr>
                <w:noProof/>
              </w:rPr>
            </w:pPr>
            <w:r w:rsidRPr="002F16A1">
              <w:rPr>
                <w:rFonts w:ascii="Wingdings" w:hAnsi="Wingdings"/>
                <w:noProof/>
                <w:sz w:val="22"/>
              </w:rPr>
              <w:t>□</w:t>
            </w:r>
            <w:r w:rsidRPr="002F16A1">
              <w:rPr>
                <w:noProof/>
              </w:rPr>
              <w:t xml:space="preserve"> </w:t>
            </w:r>
            <w:r w:rsidRPr="002F16A1">
              <w:rPr>
                <w:noProof/>
                <w:sz w:val="22"/>
              </w:rPr>
              <w:t>Pozostałe wydatki administracyjne</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w:hAnsi="Arial" w:cs="Arial"/>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w:hAnsi="Arial" w:cs="Arial"/>
                <w:noProof/>
                <w:color w:val="000000" w:themeColor="text1"/>
                <w:sz w:val="20"/>
                <w:szCs w:val="20"/>
              </w:rPr>
            </w:pPr>
          </w:p>
        </w:tc>
        <w:tc>
          <w:tcPr>
            <w:tcW w:w="868" w:type="dxa"/>
            <w:vAlign w:val="center"/>
          </w:tcPr>
          <w:p w:rsidR="00AD62E2" w:rsidRPr="002F16A1" w:rsidRDefault="00AD62E2" w:rsidP="000154FC">
            <w:pPr>
              <w:jc w:val="right"/>
              <w:rPr>
                <w:rStyle w:val="eop"/>
                <w:noProof/>
                <w:sz w:val="20"/>
                <w:szCs w:val="20"/>
              </w:rPr>
            </w:pPr>
          </w:p>
        </w:tc>
        <w:tc>
          <w:tcPr>
            <w:tcW w:w="1777" w:type="dxa"/>
            <w:vAlign w:val="center"/>
          </w:tcPr>
          <w:p w:rsidR="00AD62E2" w:rsidRPr="002F16A1" w:rsidRDefault="00AD62E2" w:rsidP="000154FC">
            <w:pPr>
              <w:jc w:val="right"/>
              <w:rPr>
                <w:rStyle w:val="normaltextrun"/>
                <w:rFonts w:ascii="Arial Narrow" w:hAnsi="Arial Narrow" w:cs="Segoe UI"/>
                <w:b/>
                <w:bCs/>
                <w:noProof/>
                <w:color w:val="000000" w:themeColor="text1"/>
                <w:sz w:val="20"/>
                <w:szCs w:val="20"/>
              </w:rPr>
            </w:pPr>
          </w:p>
        </w:tc>
      </w:tr>
      <w:tr w:rsidR="00AD62E2" w:rsidRPr="002F16A1" w:rsidTr="000154FC">
        <w:trPr>
          <w:trHeight w:val="300"/>
        </w:trPr>
        <w:tc>
          <w:tcPr>
            <w:tcW w:w="3960" w:type="dxa"/>
            <w:vAlign w:val="center"/>
          </w:tcPr>
          <w:p w:rsidR="00AD62E2" w:rsidRPr="002F16A1" w:rsidRDefault="00AD62E2" w:rsidP="000154FC">
            <w:pPr>
              <w:jc w:val="center"/>
              <w:rPr>
                <w:b/>
                <w:bCs/>
                <w:noProof/>
                <w:sz w:val="22"/>
              </w:rPr>
            </w:pPr>
            <w:r w:rsidRPr="002F16A1">
              <w:rPr>
                <w:b/>
                <w:noProof/>
                <w:sz w:val="22"/>
              </w:rPr>
              <w:t>OGÓŁEM DG ENV</w:t>
            </w:r>
          </w:p>
        </w:tc>
        <w:tc>
          <w:tcPr>
            <w:tcW w:w="2094" w:type="dxa"/>
            <w:gridSpan w:val="2"/>
            <w:vAlign w:val="center"/>
          </w:tcPr>
          <w:p w:rsidR="00AD62E2" w:rsidRPr="002F16A1" w:rsidRDefault="00AD62E2" w:rsidP="000154FC">
            <w:pPr>
              <w:jc w:val="center"/>
              <w:rPr>
                <w:b/>
                <w:bCs/>
                <w:noProof/>
                <w:sz w:val="22"/>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0,171</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0,342</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0,513</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0,513</w:t>
            </w:r>
          </w:p>
        </w:tc>
        <w:tc>
          <w:tcPr>
            <w:tcW w:w="868" w:type="dxa"/>
            <w:vAlign w:val="center"/>
          </w:tcPr>
          <w:p w:rsidR="00AD62E2" w:rsidRPr="002F16A1" w:rsidRDefault="00AD62E2" w:rsidP="000154FC">
            <w:pPr>
              <w:jc w:val="right"/>
              <w:rPr>
                <w:rStyle w:val="normaltextrun"/>
                <w:rFonts w:ascii="Arial" w:hAnsi="Arial" w:cs="Arial"/>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w:hAnsi="Arial" w:cs="Arial"/>
                <w:noProof/>
                <w:color w:val="000000" w:themeColor="text1"/>
                <w:sz w:val="20"/>
                <w:szCs w:val="20"/>
              </w:rPr>
            </w:pPr>
          </w:p>
        </w:tc>
        <w:tc>
          <w:tcPr>
            <w:tcW w:w="868" w:type="dxa"/>
            <w:vAlign w:val="center"/>
          </w:tcPr>
          <w:p w:rsidR="00AD62E2" w:rsidRPr="002F16A1" w:rsidRDefault="00AD62E2" w:rsidP="000154FC">
            <w:pPr>
              <w:jc w:val="right"/>
              <w:rPr>
                <w:rStyle w:val="eop"/>
                <w:noProof/>
                <w:sz w:val="20"/>
                <w:szCs w:val="20"/>
              </w:rPr>
            </w:pPr>
          </w:p>
        </w:tc>
        <w:tc>
          <w:tcPr>
            <w:tcW w:w="1777" w:type="dxa"/>
            <w:vAlign w:val="center"/>
          </w:tcPr>
          <w:p w:rsidR="00AD62E2" w:rsidRPr="002F16A1" w:rsidRDefault="00AD62E2" w:rsidP="000154FC">
            <w:pPr>
              <w:jc w:val="right"/>
              <w:rPr>
                <w:rStyle w:val="normaltextrun"/>
                <w:rFonts w:ascii="Arial Narrow" w:hAnsi="Arial Narrow" w:cs="Segoe UI"/>
                <w:b/>
                <w:bCs/>
                <w:noProof/>
                <w:color w:val="000000" w:themeColor="text1"/>
                <w:sz w:val="20"/>
                <w:szCs w:val="20"/>
              </w:rPr>
            </w:pPr>
            <w:r w:rsidRPr="002F16A1">
              <w:rPr>
                <w:rStyle w:val="normaltextrun"/>
                <w:rFonts w:ascii="Arial Narrow" w:hAnsi="Arial Narrow"/>
                <w:b/>
                <w:noProof/>
                <w:color w:val="000000" w:themeColor="text1"/>
                <w:sz w:val="20"/>
              </w:rPr>
              <w:t>1,539</w:t>
            </w:r>
          </w:p>
        </w:tc>
      </w:tr>
      <w:tr w:rsidR="00AD62E2" w:rsidRPr="002F16A1" w:rsidTr="000154FC">
        <w:trPr>
          <w:trHeight w:val="300"/>
        </w:trPr>
        <w:tc>
          <w:tcPr>
            <w:tcW w:w="3960" w:type="dxa"/>
            <w:vAlign w:val="center"/>
          </w:tcPr>
          <w:p w:rsidR="00AD62E2" w:rsidRPr="002F16A1" w:rsidRDefault="00AD62E2" w:rsidP="000154FC">
            <w:pPr>
              <w:jc w:val="center"/>
              <w:rPr>
                <w:b/>
                <w:bCs/>
                <w:noProof/>
                <w:sz w:val="22"/>
              </w:rPr>
            </w:pPr>
            <w:r w:rsidRPr="002F16A1">
              <w:rPr>
                <w:b/>
                <w:noProof/>
                <w:sz w:val="22"/>
              </w:rPr>
              <w:t>DG INTPA</w:t>
            </w:r>
          </w:p>
        </w:tc>
        <w:tc>
          <w:tcPr>
            <w:tcW w:w="2094" w:type="dxa"/>
            <w:gridSpan w:val="2"/>
            <w:vAlign w:val="center"/>
          </w:tcPr>
          <w:p w:rsidR="00AD62E2" w:rsidRPr="002F16A1" w:rsidRDefault="00AD62E2" w:rsidP="000154FC">
            <w:pPr>
              <w:rPr>
                <w:noProof/>
                <w:sz w:val="14"/>
                <w:szCs w:val="14"/>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w:hAnsi="Arial" w:cs="Arial"/>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w:hAnsi="Arial" w:cs="Arial"/>
                <w:noProof/>
                <w:color w:val="000000" w:themeColor="text1"/>
                <w:sz w:val="20"/>
                <w:szCs w:val="20"/>
              </w:rPr>
            </w:pPr>
          </w:p>
        </w:tc>
        <w:tc>
          <w:tcPr>
            <w:tcW w:w="868" w:type="dxa"/>
            <w:vAlign w:val="center"/>
          </w:tcPr>
          <w:p w:rsidR="00AD62E2" w:rsidRPr="002F16A1" w:rsidRDefault="00AD62E2" w:rsidP="000154FC">
            <w:pPr>
              <w:jc w:val="right"/>
              <w:rPr>
                <w:rStyle w:val="eop"/>
                <w:noProof/>
                <w:sz w:val="20"/>
                <w:szCs w:val="20"/>
              </w:rPr>
            </w:pPr>
          </w:p>
        </w:tc>
        <w:tc>
          <w:tcPr>
            <w:tcW w:w="1777" w:type="dxa"/>
            <w:vAlign w:val="center"/>
          </w:tcPr>
          <w:p w:rsidR="00AD62E2" w:rsidRPr="002F16A1" w:rsidRDefault="00AD62E2" w:rsidP="000154FC">
            <w:pPr>
              <w:jc w:val="right"/>
              <w:rPr>
                <w:rStyle w:val="normaltextrun"/>
                <w:rFonts w:ascii="Arial Narrow" w:hAnsi="Arial Narrow" w:cs="Segoe UI"/>
                <w:b/>
                <w:bCs/>
                <w:noProof/>
                <w:color w:val="000000" w:themeColor="text1"/>
                <w:sz w:val="20"/>
                <w:szCs w:val="20"/>
              </w:rPr>
            </w:pPr>
          </w:p>
        </w:tc>
      </w:tr>
      <w:tr w:rsidR="00AD62E2" w:rsidRPr="002F16A1" w:rsidTr="000154FC">
        <w:trPr>
          <w:trHeight w:val="300"/>
        </w:trPr>
        <w:tc>
          <w:tcPr>
            <w:tcW w:w="3960" w:type="dxa"/>
            <w:vAlign w:val="center"/>
          </w:tcPr>
          <w:p w:rsidR="00AD62E2" w:rsidRPr="002F16A1" w:rsidRDefault="00AD62E2" w:rsidP="000154FC">
            <w:pPr>
              <w:spacing w:before="20" w:after="20"/>
              <w:rPr>
                <w:noProof/>
              </w:rPr>
            </w:pPr>
            <w:r w:rsidRPr="002F16A1">
              <w:rPr>
                <w:rFonts w:ascii="Wingdings" w:hAnsi="Wingdings"/>
                <w:noProof/>
                <w:sz w:val="22"/>
              </w:rPr>
              <w:t>□</w:t>
            </w:r>
            <w:r w:rsidRPr="002F16A1">
              <w:rPr>
                <w:noProof/>
              </w:rPr>
              <w:t xml:space="preserve"> </w:t>
            </w:r>
            <w:r w:rsidRPr="002F16A1">
              <w:rPr>
                <w:noProof/>
                <w:sz w:val="22"/>
              </w:rPr>
              <w:t>Zasoby ludzkie</w:t>
            </w:r>
          </w:p>
        </w:tc>
        <w:tc>
          <w:tcPr>
            <w:tcW w:w="2094" w:type="dxa"/>
            <w:gridSpan w:val="2"/>
            <w:vAlign w:val="center"/>
          </w:tcPr>
          <w:p w:rsidR="00AD62E2" w:rsidRPr="002F16A1" w:rsidRDefault="00AD62E2" w:rsidP="000154FC">
            <w:pPr>
              <w:jc w:val="center"/>
              <w:rPr>
                <w:b/>
                <w:bCs/>
                <w:noProof/>
                <w:sz w:val="22"/>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0,171</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0,342</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0,342</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0,342</w:t>
            </w:r>
          </w:p>
        </w:tc>
        <w:tc>
          <w:tcPr>
            <w:tcW w:w="868" w:type="dxa"/>
            <w:vAlign w:val="center"/>
          </w:tcPr>
          <w:p w:rsidR="00AD62E2" w:rsidRPr="002F16A1" w:rsidRDefault="00AD62E2" w:rsidP="000154FC">
            <w:pPr>
              <w:jc w:val="right"/>
              <w:rPr>
                <w:rStyle w:val="normaltextrun"/>
                <w:rFonts w:ascii="Arial" w:hAnsi="Arial" w:cs="Arial"/>
                <w:noProof/>
                <w:color w:val="000000" w:themeColor="text1"/>
                <w:sz w:val="20"/>
                <w:szCs w:val="20"/>
              </w:rPr>
            </w:pPr>
          </w:p>
        </w:tc>
        <w:tc>
          <w:tcPr>
            <w:tcW w:w="868" w:type="dxa"/>
            <w:vAlign w:val="center"/>
          </w:tcPr>
          <w:p w:rsidR="00AD62E2" w:rsidRPr="002F16A1" w:rsidRDefault="00AD62E2" w:rsidP="000154FC">
            <w:pPr>
              <w:jc w:val="right"/>
              <w:rPr>
                <w:rStyle w:val="eop"/>
                <w:noProof/>
                <w:sz w:val="20"/>
                <w:szCs w:val="20"/>
              </w:rPr>
            </w:pPr>
          </w:p>
        </w:tc>
        <w:tc>
          <w:tcPr>
            <w:tcW w:w="868" w:type="dxa"/>
            <w:vAlign w:val="center"/>
          </w:tcPr>
          <w:p w:rsidR="00AD62E2" w:rsidRPr="002F16A1" w:rsidRDefault="00AD62E2" w:rsidP="000154FC">
            <w:pPr>
              <w:jc w:val="right"/>
              <w:rPr>
                <w:rStyle w:val="normaltextrun"/>
                <w:rFonts w:ascii="Arial Narrow" w:hAnsi="Arial Narrow" w:cs="Segoe UI"/>
                <w:b/>
                <w:bCs/>
                <w:noProof/>
                <w:color w:val="000000" w:themeColor="text1"/>
                <w:sz w:val="20"/>
                <w:szCs w:val="20"/>
              </w:rPr>
            </w:pPr>
          </w:p>
        </w:tc>
        <w:tc>
          <w:tcPr>
            <w:tcW w:w="1777" w:type="dxa"/>
            <w:vAlign w:val="center"/>
          </w:tcPr>
          <w:p w:rsidR="00AD62E2" w:rsidRPr="002F16A1" w:rsidRDefault="00AD62E2" w:rsidP="000154FC">
            <w:pPr>
              <w:jc w:val="right"/>
              <w:rPr>
                <w:rStyle w:val="normaltextrun"/>
                <w:rFonts w:ascii="Arial Narrow" w:hAnsi="Arial Narrow" w:cs="Segoe UI"/>
                <w:b/>
                <w:bCs/>
                <w:noProof/>
                <w:color w:val="000000" w:themeColor="text1"/>
                <w:sz w:val="20"/>
                <w:szCs w:val="20"/>
              </w:rPr>
            </w:pPr>
            <w:r w:rsidRPr="002F16A1">
              <w:rPr>
                <w:rStyle w:val="normaltextrun"/>
                <w:rFonts w:ascii="Arial Narrow" w:hAnsi="Arial Narrow"/>
                <w:b/>
                <w:noProof/>
                <w:color w:val="000000" w:themeColor="text1"/>
                <w:sz w:val="20"/>
              </w:rPr>
              <w:t>1,197</w:t>
            </w:r>
          </w:p>
        </w:tc>
      </w:tr>
      <w:tr w:rsidR="00AD62E2" w:rsidRPr="002F16A1" w:rsidTr="000154FC">
        <w:trPr>
          <w:trHeight w:val="300"/>
        </w:trPr>
        <w:tc>
          <w:tcPr>
            <w:tcW w:w="3960" w:type="dxa"/>
            <w:vAlign w:val="center"/>
          </w:tcPr>
          <w:p w:rsidR="00AD62E2" w:rsidRPr="002F16A1" w:rsidRDefault="00AD62E2" w:rsidP="000154FC">
            <w:pPr>
              <w:spacing w:before="20" w:after="20"/>
              <w:rPr>
                <w:noProof/>
              </w:rPr>
            </w:pPr>
            <w:r w:rsidRPr="002F16A1">
              <w:rPr>
                <w:rFonts w:ascii="Wingdings" w:hAnsi="Wingdings"/>
                <w:noProof/>
                <w:sz w:val="22"/>
              </w:rPr>
              <w:t>□</w:t>
            </w:r>
            <w:r w:rsidRPr="002F16A1">
              <w:rPr>
                <w:noProof/>
              </w:rPr>
              <w:t xml:space="preserve"> </w:t>
            </w:r>
            <w:r w:rsidRPr="002F16A1">
              <w:rPr>
                <w:noProof/>
                <w:sz w:val="22"/>
              </w:rPr>
              <w:t>Pozostałe wydatki administracyjne</w:t>
            </w:r>
          </w:p>
        </w:tc>
        <w:tc>
          <w:tcPr>
            <w:tcW w:w="2094" w:type="dxa"/>
            <w:gridSpan w:val="2"/>
            <w:vAlign w:val="center"/>
          </w:tcPr>
          <w:p w:rsidR="00AD62E2" w:rsidRPr="002F16A1" w:rsidRDefault="00AD62E2" w:rsidP="000154FC">
            <w:pPr>
              <w:jc w:val="center"/>
              <w:rPr>
                <w:b/>
                <w:bCs/>
                <w:noProof/>
                <w:sz w:val="22"/>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p>
        </w:tc>
        <w:tc>
          <w:tcPr>
            <w:tcW w:w="868" w:type="dxa"/>
            <w:vAlign w:val="center"/>
          </w:tcPr>
          <w:p w:rsidR="00AD62E2" w:rsidRPr="002F16A1" w:rsidRDefault="00AD62E2" w:rsidP="000154FC">
            <w:pPr>
              <w:jc w:val="right"/>
              <w:rPr>
                <w:rStyle w:val="normaltextrun"/>
                <w:rFonts w:ascii="Arial" w:hAnsi="Arial" w:cs="Arial"/>
                <w:noProof/>
                <w:color w:val="000000" w:themeColor="text1"/>
                <w:sz w:val="20"/>
                <w:szCs w:val="20"/>
              </w:rPr>
            </w:pPr>
          </w:p>
        </w:tc>
        <w:tc>
          <w:tcPr>
            <w:tcW w:w="868" w:type="dxa"/>
            <w:vAlign w:val="center"/>
          </w:tcPr>
          <w:p w:rsidR="00AD62E2" w:rsidRPr="002F16A1" w:rsidRDefault="00AD62E2" w:rsidP="000154FC">
            <w:pPr>
              <w:jc w:val="right"/>
              <w:rPr>
                <w:rStyle w:val="eop"/>
                <w:noProof/>
                <w:sz w:val="20"/>
                <w:szCs w:val="20"/>
              </w:rPr>
            </w:pPr>
          </w:p>
        </w:tc>
        <w:tc>
          <w:tcPr>
            <w:tcW w:w="868" w:type="dxa"/>
            <w:vAlign w:val="center"/>
          </w:tcPr>
          <w:p w:rsidR="00AD62E2" w:rsidRPr="002F16A1" w:rsidRDefault="00AD62E2" w:rsidP="000154FC">
            <w:pPr>
              <w:jc w:val="right"/>
              <w:rPr>
                <w:rStyle w:val="normaltextrun"/>
                <w:rFonts w:ascii="Arial Narrow" w:hAnsi="Arial Narrow" w:cs="Segoe UI"/>
                <w:b/>
                <w:bCs/>
                <w:noProof/>
                <w:color w:val="000000" w:themeColor="text1"/>
                <w:sz w:val="20"/>
                <w:szCs w:val="20"/>
              </w:rPr>
            </w:pPr>
          </w:p>
        </w:tc>
        <w:tc>
          <w:tcPr>
            <w:tcW w:w="1777" w:type="dxa"/>
            <w:vAlign w:val="center"/>
          </w:tcPr>
          <w:p w:rsidR="00AD62E2" w:rsidRPr="002F16A1" w:rsidRDefault="00AD62E2" w:rsidP="000154FC">
            <w:pPr>
              <w:jc w:val="right"/>
              <w:rPr>
                <w:rStyle w:val="normaltextrun"/>
                <w:rFonts w:ascii="Arial Narrow" w:hAnsi="Arial Narrow" w:cs="Segoe UI"/>
                <w:b/>
                <w:bCs/>
                <w:noProof/>
                <w:color w:val="000000" w:themeColor="text1"/>
                <w:sz w:val="20"/>
                <w:szCs w:val="20"/>
              </w:rPr>
            </w:pPr>
          </w:p>
        </w:tc>
      </w:tr>
      <w:tr w:rsidR="00AD62E2" w:rsidRPr="002F16A1" w:rsidTr="000154FC">
        <w:trPr>
          <w:trHeight w:val="300"/>
        </w:trPr>
        <w:tc>
          <w:tcPr>
            <w:tcW w:w="3960" w:type="dxa"/>
            <w:vAlign w:val="center"/>
          </w:tcPr>
          <w:p w:rsidR="00AD62E2" w:rsidRPr="002F16A1" w:rsidRDefault="00AD62E2" w:rsidP="000154FC">
            <w:pPr>
              <w:jc w:val="center"/>
              <w:rPr>
                <w:b/>
                <w:bCs/>
                <w:noProof/>
                <w:sz w:val="22"/>
              </w:rPr>
            </w:pPr>
            <w:r w:rsidRPr="002F16A1">
              <w:rPr>
                <w:b/>
                <w:noProof/>
                <w:sz w:val="22"/>
              </w:rPr>
              <w:t>OGÓŁEM DG INTPA</w:t>
            </w:r>
          </w:p>
        </w:tc>
        <w:tc>
          <w:tcPr>
            <w:tcW w:w="2094" w:type="dxa"/>
            <w:gridSpan w:val="2"/>
            <w:vAlign w:val="center"/>
          </w:tcPr>
          <w:p w:rsidR="00AD62E2" w:rsidRPr="002F16A1" w:rsidRDefault="00AD62E2" w:rsidP="000154FC">
            <w:pPr>
              <w:jc w:val="center"/>
              <w:rPr>
                <w:b/>
                <w:bCs/>
                <w:noProof/>
                <w:sz w:val="22"/>
              </w:rPr>
            </w:pP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0,171</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0,342</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0,342</w:t>
            </w:r>
          </w:p>
        </w:tc>
        <w:tc>
          <w:tcPr>
            <w:tcW w:w="868" w:type="dxa"/>
            <w:vAlign w:val="center"/>
          </w:tcPr>
          <w:p w:rsidR="00AD62E2" w:rsidRPr="002F16A1" w:rsidRDefault="00AD62E2" w:rsidP="000154FC">
            <w:pPr>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0,342</w:t>
            </w:r>
          </w:p>
        </w:tc>
        <w:tc>
          <w:tcPr>
            <w:tcW w:w="868" w:type="dxa"/>
            <w:vAlign w:val="center"/>
          </w:tcPr>
          <w:p w:rsidR="00AD62E2" w:rsidRPr="002F16A1" w:rsidRDefault="00AD62E2" w:rsidP="000154FC">
            <w:pPr>
              <w:jc w:val="right"/>
              <w:rPr>
                <w:rStyle w:val="normaltextrun"/>
                <w:rFonts w:ascii="Arial" w:hAnsi="Arial" w:cs="Arial"/>
                <w:noProof/>
                <w:color w:val="000000" w:themeColor="text1"/>
                <w:sz w:val="20"/>
                <w:szCs w:val="20"/>
              </w:rPr>
            </w:pPr>
          </w:p>
        </w:tc>
        <w:tc>
          <w:tcPr>
            <w:tcW w:w="868" w:type="dxa"/>
            <w:vAlign w:val="center"/>
          </w:tcPr>
          <w:p w:rsidR="00AD62E2" w:rsidRPr="002F16A1" w:rsidRDefault="00AD62E2" w:rsidP="000154FC">
            <w:pPr>
              <w:jc w:val="right"/>
              <w:rPr>
                <w:rStyle w:val="eop"/>
                <w:noProof/>
                <w:sz w:val="20"/>
                <w:szCs w:val="20"/>
              </w:rPr>
            </w:pPr>
          </w:p>
        </w:tc>
        <w:tc>
          <w:tcPr>
            <w:tcW w:w="868" w:type="dxa"/>
            <w:vAlign w:val="center"/>
          </w:tcPr>
          <w:p w:rsidR="00AD62E2" w:rsidRPr="002F16A1" w:rsidRDefault="00AD62E2" w:rsidP="000154FC">
            <w:pPr>
              <w:jc w:val="right"/>
              <w:rPr>
                <w:rStyle w:val="normaltextrun"/>
                <w:rFonts w:ascii="Arial Narrow" w:hAnsi="Arial Narrow" w:cs="Segoe UI"/>
                <w:b/>
                <w:bCs/>
                <w:noProof/>
                <w:color w:val="000000" w:themeColor="text1"/>
                <w:sz w:val="20"/>
                <w:szCs w:val="20"/>
              </w:rPr>
            </w:pPr>
          </w:p>
        </w:tc>
        <w:tc>
          <w:tcPr>
            <w:tcW w:w="1777" w:type="dxa"/>
            <w:vAlign w:val="center"/>
          </w:tcPr>
          <w:p w:rsidR="00AD62E2" w:rsidRPr="002F16A1" w:rsidRDefault="00AD62E2" w:rsidP="000154FC">
            <w:pPr>
              <w:jc w:val="right"/>
              <w:rPr>
                <w:rFonts w:ascii="Arial Narrow" w:eastAsia="Arial Narrow" w:hAnsi="Arial Narrow" w:cs="Arial Narrow"/>
                <w:noProof/>
                <w:sz w:val="20"/>
                <w:szCs w:val="20"/>
              </w:rPr>
            </w:pPr>
            <w:r w:rsidRPr="002F16A1">
              <w:rPr>
                <w:rStyle w:val="normaltextrun"/>
                <w:rFonts w:ascii="Arial Narrow" w:hAnsi="Arial Narrow"/>
                <w:b/>
                <w:noProof/>
                <w:color w:val="000000" w:themeColor="text1"/>
                <w:sz w:val="20"/>
              </w:rPr>
              <w:t>1,197</w:t>
            </w:r>
          </w:p>
        </w:tc>
      </w:tr>
    </w:tbl>
    <w:p w:rsidR="00AD62E2" w:rsidRPr="002F16A1" w:rsidRDefault="00AD62E2" w:rsidP="00AD62E2">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AD62E2" w:rsidRPr="002F16A1" w:rsidTr="000154FC">
        <w:tc>
          <w:tcPr>
            <w:tcW w:w="3960" w:type="dxa"/>
            <w:shd w:val="clear" w:color="auto" w:fill="auto"/>
            <w:vAlign w:val="center"/>
          </w:tcPr>
          <w:p w:rsidR="00AD62E2" w:rsidRPr="002F16A1" w:rsidRDefault="00AD62E2" w:rsidP="000154FC">
            <w:pPr>
              <w:jc w:val="center"/>
              <w:rPr>
                <w:b/>
                <w:noProof/>
              </w:rPr>
            </w:pPr>
            <w:r w:rsidRPr="002F16A1">
              <w:rPr>
                <w:b/>
                <w:noProof/>
                <w:sz w:val="22"/>
              </w:rPr>
              <w:t>OGÓŁEM środki</w:t>
            </w:r>
            <w:r w:rsidRPr="002F16A1">
              <w:rPr>
                <w:noProof/>
              </w:rPr>
              <w:t xml:space="preserve"> </w:t>
            </w:r>
            <w:r w:rsidRPr="002F16A1">
              <w:rPr>
                <w:noProof/>
              </w:rPr>
              <w:br/>
            </w:r>
            <w:r w:rsidRPr="002F16A1">
              <w:rPr>
                <w:b/>
                <w:noProof/>
                <w:sz w:val="22"/>
              </w:rPr>
              <w:t>na DZIAŁ 7</w:t>
            </w:r>
            <w:r w:rsidRPr="002F16A1">
              <w:rPr>
                <w:noProof/>
              </w:rPr>
              <w:t xml:space="preserve"> </w:t>
            </w:r>
            <w:r w:rsidRPr="002F16A1">
              <w:rPr>
                <w:noProof/>
              </w:rPr>
              <w:br/>
            </w:r>
            <w:r w:rsidRPr="002F16A1">
              <w:rPr>
                <w:noProof/>
                <w:sz w:val="22"/>
              </w:rPr>
              <w:t>wieloletnich ram finansowych</w:t>
            </w:r>
            <w:r w:rsidRPr="002F16A1">
              <w:rPr>
                <w:b/>
                <w:noProof/>
                <w:sz w:val="22"/>
              </w:rPr>
              <w:t xml:space="preserve"> </w:t>
            </w:r>
          </w:p>
        </w:tc>
        <w:tc>
          <w:tcPr>
            <w:tcW w:w="2094" w:type="dxa"/>
            <w:vAlign w:val="center"/>
          </w:tcPr>
          <w:p w:rsidR="00AD62E2" w:rsidRPr="002F16A1" w:rsidRDefault="00AD62E2" w:rsidP="000154FC">
            <w:pPr>
              <w:spacing w:before="40" w:after="40"/>
              <w:rPr>
                <w:noProof/>
              </w:rPr>
            </w:pPr>
            <w:r w:rsidRPr="002F16A1">
              <w:rPr>
                <w:noProof/>
                <w:sz w:val="18"/>
              </w:rPr>
              <w:t>(Środki na zobowiązania ogółem = środki na płatności ogółem)</w:t>
            </w:r>
          </w:p>
        </w:tc>
        <w:tc>
          <w:tcPr>
            <w:tcW w:w="868" w:type="dxa"/>
            <w:vAlign w:val="center"/>
          </w:tcPr>
          <w:p w:rsidR="00AD62E2" w:rsidRPr="002F16A1" w:rsidRDefault="00AD62E2" w:rsidP="000154FC">
            <w:pPr>
              <w:spacing w:before="20" w:after="20"/>
              <w:jc w:val="right"/>
              <w:rPr>
                <w:noProof/>
                <w:sz w:val="20"/>
                <w:szCs w:val="20"/>
              </w:rPr>
            </w:pPr>
            <w:r w:rsidRPr="002F16A1">
              <w:rPr>
                <w:rStyle w:val="normaltextrun"/>
                <w:rFonts w:ascii="Arial Narrow" w:hAnsi="Arial Narrow"/>
                <w:noProof/>
                <w:color w:val="000000" w:themeColor="text1"/>
                <w:sz w:val="20"/>
              </w:rPr>
              <w:t>1,946</w:t>
            </w:r>
          </w:p>
        </w:tc>
        <w:tc>
          <w:tcPr>
            <w:tcW w:w="868" w:type="dxa"/>
            <w:vAlign w:val="center"/>
          </w:tcPr>
          <w:p w:rsidR="00AD62E2" w:rsidRPr="002F16A1" w:rsidRDefault="00AD62E2" w:rsidP="000154FC">
            <w:pPr>
              <w:spacing w:before="20" w:after="20"/>
              <w:jc w:val="right"/>
              <w:rPr>
                <w:noProof/>
                <w:sz w:val="20"/>
                <w:szCs w:val="20"/>
              </w:rPr>
            </w:pPr>
            <w:r w:rsidRPr="002F16A1">
              <w:rPr>
                <w:rStyle w:val="normaltextrun"/>
                <w:rFonts w:ascii="Arial Narrow" w:hAnsi="Arial Narrow"/>
                <w:noProof/>
                <w:color w:val="000000" w:themeColor="text1"/>
                <w:sz w:val="20"/>
              </w:rPr>
              <w:t>3,063</w:t>
            </w:r>
            <w:r w:rsidRPr="002F16A1">
              <w:rPr>
                <w:rStyle w:val="eop"/>
                <w:rFonts w:ascii="Arial Narrow" w:hAnsi="Arial Narrow"/>
                <w:noProof/>
                <w:color w:val="000000" w:themeColor="text1"/>
                <w:sz w:val="20"/>
              </w:rPr>
              <w:t xml:space="preserve"> </w:t>
            </w:r>
          </w:p>
        </w:tc>
        <w:tc>
          <w:tcPr>
            <w:tcW w:w="868" w:type="dxa"/>
            <w:vAlign w:val="center"/>
          </w:tcPr>
          <w:p w:rsidR="00AD62E2" w:rsidRPr="002F16A1" w:rsidRDefault="00AD62E2" w:rsidP="000154FC">
            <w:pPr>
              <w:spacing w:before="20" w:after="20"/>
              <w:jc w:val="right"/>
              <w:rPr>
                <w:rFonts w:ascii="Arial Narrow" w:eastAsia="Arial Narrow" w:hAnsi="Arial Narrow" w:cs="Arial Narrow"/>
                <w:noProof/>
                <w:sz w:val="20"/>
                <w:szCs w:val="20"/>
              </w:rPr>
            </w:pPr>
            <w:r w:rsidRPr="002F16A1">
              <w:rPr>
                <w:rStyle w:val="normaltextrun"/>
                <w:rFonts w:ascii="Arial Narrow" w:hAnsi="Arial Narrow"/>
                <w:noProof/>
                <w:color w:val="000000" w:themeColor="text1"/>
                <w:sz w:val="20"/>
              </w:rPr>
              <w:t>4,980</w:t>
            </w:r>
          </w:p>
        </w:tc>
        <w:tc>
          <w:tcPr>
            <w:tcW w:w="868" w:type="dxa"/>
            <w:vAlign w:val="center"/>
          </w:tcPr>
          <w:p w:rsidR="00AD62E2" w:rsidRPr="002F16A1" w:rsidRDefault="00AD62E2" w:rsidP="000154FC">
            <w:pPr>
              <w:spacing w:before="20" w:after="20"/>
              <w:jc w:val="right"/>
              <w:rPr>
                <w:noProof/>
                <w:sz w:val="20"/>
                <w:szCs w:val="20"/>
              </w:rPr>
            </w:pPr>
            <w:r w:rsidRPr="002F16A1">
              <w:rPr>
                <w:rStyle w:val="normaltextrun"/>
                <w:rFonts w:ascii="Arial Narrow" w:hAnsi="Arial Narrow"/>
                <w:noProof/>
                <w:color w:val="000000" w:themeColor="text1"/>
                <w:sz w:val="20"/>
              </w:rPr>
              <w:t>4,980</w:t>
            </w:r>
            <w:r w:rsidRPr="002F16A1">
              <w:rPr>
                <w:rStyle w:val="eop"/>
                <w:rFonts w:ascii="Arial Narrow" w:hAnsi="Arial Narrow"/>
                <w:noProof/>
                <w:color w:val="000000" w:themeColor="text1"/>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868" w:type="dxa"/>
            <w:vAlign w:val="center"/>
          </w:tcPr>
          <w:p w:rsidR="00AD62E2" w:rsidRPr="002F16A1" w:rsidRDefault="00AD62E2" w:rsidP="000154FC">
            <w:pPr>
              <w:spacing w:before="20" w:after="20"/>
              <w:jc w:val="right"/>
              <w:rPr>
                <w:noProof/>
                <w:sz w:val="20"/>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868" w:type="dxa"/>
            <w:vAlign w:val="center"/>
          </w:tcPr>
          <w:p w:rsidR="00AD62E2" w:rsidRPr="002F16A1" w:rsidRDefault="00AD62E2" w:rsidP="000154FC">
            <w:pPr>
              <w:spacing w:before="20" w:after="2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20" w:after="20"/>
              <w:jc w:val="right"/>
              <w:rPr>
                <w:b/>
                <w:noProof/>
                <w:sz w:val="20"/>
                <w:szCs w:val="20"/>
              </w:rPr>
            </w:pPr>
            <w:r w:rsidRPr="002F16A1">
              <w:rPr>
                <w:rStyle w:val="normaltextrun"/>
                <w:rFonts w:ascii="Arial Narrow" w:hAnsi="Arial Narrow"/>
                <w:b/>
                <w:noProof/>
                <w:color w:val="000000" w:themeColor="text1"/>
                <w:sz w:val="20"/>
              </w:rPr>
              <w:t>14,969</w:t>
            </w:r>
            <w:r w:rsidRPr="002F16A1">
              <w:rPr>
                <w:rStyle w:val="eop"/>
                <w:rFonts w:ascii="Arial Narrow" w:hAnsi="Arial Narrow"/>
                <w:noProof/>
                <w:color w:val="000000" w:themeColor="text1"/>
                <w:sz w:val="20"/>
              </w:rPr>
              <w:t xml:space="preserve"> </w:t>
            </w:r>
          </w:p>
        </w:tc>
      </w:tr>
    </w:tbl>
    <w:p w:rsidR="00AD62E2" w:rsidRPr="002F16A1" w:rsidRDefault="00AD62E2" w:rsidP="00AD62E2">
      <w:pPr>
        <w:jc w:val="right"/>
        <w:rPr>
          <w:noProof/>
          <w:sz w:val="20"/>
        </w:rPr>
      </w:pPr>
      <w:r w:rsidRPr="002F16A1">
        <w:rPr>
          <w:noProof/>
          <w:sz w:val="20"/>
        </w:rPr>
        <w:t>w mln EUR (do trzech miejsc po przecinku)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AD62E2" w:rsidRPr="002F16A1" w:rsidTr="000154FC">
        <w:tc>
          <w:tcPr>
            <w:tcW w:w="3960" w:type="dxa"/>
            <w:tcBorders>
              <w:top w:val="nil"/>
              <w:left w:val="nil"/>
              <w:right w:val="nil"/>
            </w:tcBorders>
            <w:vAlign w:val="center"/>
          </w:tcPr>
          <w:p w:rsidR="00AD62E2" w:rsidRPr="002F16A1" w:rsidRDefault="00AD62E2" w:rsidP="000154FC">
            <w:pPr>
              <w:jc w:val="center"/>
              <w:rPr>
                <w:noProof/>
              </w:rPr>
            </w:pPr>
          </w:p>
        </w:tc>
        <w:tc>
          <w:tcPr>
            <w:tcW w:w="1560" w:type="dxa"/>
            <w:tcBorders>
              <w:top w:val="nil"/>
              <w:left w:val="nil"/>
              <w:right w:val="nil"/>
            </w:tcBorders>
          </w:tcPr>
          <w:p w:rsidR="00AD62E2" w:rsidRPr="002F16A1" w:rsidRDefault="00AD62E2" w:rsidP="000154FC">
            <w:pPr>
              <w:rPr>
                <w:noProof/>
                <w:sz w:val="20"/>
              </w:rPr>
            </w:pPr>
          </w:p>
        </w:tc>
        <w:tc>
          <w:tcPr>
            <w:tcW w:w="534" w:type="dxa"/>
            <w:tcBorders>
              <w:top w:val="nil"/>
              <w:left w:val="nil"/>
            </w:tcBorders>
          </w:tcPr>
          <w:p w:rsidR="00AD62E2" w:rsidRPr="002F16A1" w:rsidRDefault="00AD62E2" w:rsidP="000154FC">
            <w:pPr>
              <w:jc w:val="center"/>
              <w:rPr>
                <w:noProof/>
                <w:sz w:val="20"/>
              </w:rPr>
            </w:pPr>
          </w:p>
        </w:tc>
        <w:tc>
          <w:tcPr>
            <w:tcW w:w="868" w:type="dxa"/>
            <w:vAlign w:val="center"/>
          </w:tcPr>
          <w:p w:rsidR="00AD62E2" w:rsidRPr="002F16A1" w:rsidRDefault="00AD62E2" w:rsidP="000154FC">
            <w:pPr>
              <w:jc w:val="center"/>
              <w:rPr>
                <w:noProof/>
                <w:sz w:val="20"/>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2024</w:t>
            </w:r>
            <w:r w:rsidRPr="002F16A1">
              <w:rPr>
                <w:rStyle w:val="eop"/>
                <w:noProof/>
                <w:sz w:val="20"/>
              </w:rPr>
              <w:t xml:space="preserve"> </w:t>
            </w:r>
          </w:p>
        </w:tc>
        <w:tc>
          <w:tcPr>
            <w:tcW w:w="868" w:type="dxa"/>
            <w:vAlign w:val="center"/>
          </w:tcPr>
          <w:p w:rsidR="00AD62E2" w:rsidRPr="002F16A1" w:rsidRDefault="00AD62E2" w:rsidP="000154FC">
            <w:pPr>
              <w:jc w:val="center"/>
              <w:rPr>
                <w:noProof/>
                <w:sz w:val="20"/>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2025</w:t>
            </w:r>
            <w:r w:rsidRPr="002F16A1">
              <w:rPr>
                <w:rStyle w:val="eop"/>
                <w:noProof/>
                <w:sz w:val="20"/>
              </w:rPr>
              <w:t xml:space="preserve"> </w:t>
            </w:r>
          </w:p>
        </w:tc>
        <w:tc>
          <w:tcPr>
            <w:tcW w:w="868" w:type="dxa"/>
            <w:vAlign w:val="center"/>
          </w:tcPr>
          <w:p w:rsidR="00AD62E2" w:rsidRPr="002F16A1" w:rsidRDefault="00AD62E2" w:rsidP="000154FC">
            <w:pPr>
              <w:jc w:val="center"/>
              <w:rPr>
                <w:noProof/>
                <w:sz w:val="20"/>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2026</w:t>
            </w:r>
            <w:r w:rsidRPr="002F16A1">
              <w:rPr>
                <w:rStyle w:val="eop"/>
                <w:noProof/>
                <w:sz w:val="20"/>
              </w:rPr>
              <w:t xml:space="preserve"> </w:t>
            </w:r>
          </w:p>
        </w:tc>
        <w:tc>
          <w:tcPr>
            <w:tcW w:w="868" w:type="dxa"/>
            <w:vAlign w:val="center"/>
          </w:tcPr>
          <w:p w:rsidR="00AD62E2" w:rsidRPr="002F16A1" w:rsidRDefault="00AD62E2" w:rsidP="000154FC">
            <w:pPr>
              <w:jc w:val="center"/>
              <w:rPr>
                <w:noProof/>
                <w:sz w:val="20"/>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2027</w:t>
            </w:r>
            <w:r w:rsidRPr="002F16A1">
              <w:rPr>
                <w:rStyle w:val="eop"/>
                <w:noProof/>
                <w:sz w:val="20"/>
              </w:rPr>
              <w:t xml:space="preserve"> </w:t>
            </w:r>
          </w:p>
        </w:tc>
        <w:tc>
          <w:tcPr>
            <w:tcW w:w="2604" w:type="dxa"/>
            <w:gridSpan w:val="3"/>
            <w:vAlign w:val="center"/>
          </w:tcPr>
          <w:p w:rsidR="00AD62E2" w:rsidRPr="002F16A1" w:rsidRDefault="00AD62E2" w:rsidP="000154FC">
            <w:pPr>
              <w:jc w:val="center"/>
              <w:rPr>
                <w:b/>
                <w:noProof/>
                <w:sz w:val="18"/>
              </w:rPr>
            </w:pPr>
            <w:r w:rsidRPr="002F16A1">
              <w:rPr>
                <w:noProof/>
                <w:sz w:val="18"/>
              </w:rPr>
              <w:t xml:space="preserve">Wprowadzić taką liczbę kolumn dla poszczególnych lat, jaka jest niezbędna, by odzwierciedlić cały okres wpływu (por. </w:t>
            </w:r>
            <w:r w:rsidRPr="0028384B">
              <w:rPr>
                <w:noProof/>
                <w:sz w:val="18"/>
              </w:rPr>
              <w:t>pkt</w:t>
            </w:r>
            <w:r w:rsidR="0028384B" w:rsidRPr="0028384B">
              <w:rPr>
                <w:noProof/>
                <w:sz w:val="18"/>
              </w:rPr>
              <w:t> </w:t>
            </w:r>
            <w:r w:rsidRPr="0028384B">
              <w:rPr>
                <w:noProof/>
                <w:sz w:val="18"/>
              </w:rPr>
              <w:t>1</w:t>
            </w:r>
            <w:r w:rsidRPr="002F16A1">
              <w:rPr>
                <w:noProof/>
                <w:sz w:val="18"/>
              </w:rPr>
              <w:t>.6)</w:t>
            </w:r>
          </w:p>
        </w:tc>
        <w:tc>
          <w:tcPr>
            <w:tcW w:w="1777" w:type="dxa"/>
            <w:vAlign w:val="center"/>
          </w:tcPr>
          <w:p w:rsidR="00AD62E2" w:rsidRPr="002F16A1" w:rsidRDefault="00AD62E2" w:rsidP="000154FC">
            <w:pPr>
              <w:jc w:val="center"/>
              <w:rPr>
                <w:b/>
                <w:noProof/>
                <w:sz w:val="20"/>
              </w:rPr>
            </w:pPr>
            <w:r w:rsidRPr="002F16A1">
              <w:rPr>
                <w:b/>
                <w:noProof/>
                <w:sz w:val="20"/>
              </w:rPr>
              <w:t>OGÓŁEM</w:t>
            </w:r>
          </w:p>
        </w:tc>
      </w:tr>
      <w:tr w:rsidR="00AD62E2" w:rsidRPr="002F16A1" w:rsidTr="000154FC">
        <w:tc>
          <w:tcPr>
            <w:tcW w:w="3960" w:type="dxa"/>
            <w:vMerge w:val="restart"/>
            <w:shd w:val="clear" w:color="auto" w:fill="C0C0C0"/>
            <w:vAlign w:val="center"/>
          </w:tcPr>
          <w:p w:rsidR="00AD62E2" w:rsidRPr="002F16A1" w:rsidRDefault="00AD62E2" w:rsidP="000154FC">
            <w:pPr>
              <w:jc w:val="center"/>
              <w:rPr>
                <w:b/>
                <w:noProof/>
              </w:rPr>
            </w:pPr>
            <w:r w:rsidRPr="002F16A1">
              <w:rPr>
                <w:b/>
                <w:noProof/>
                <w:sz w:val="22"/>
              </w:rPr>
              <w:t>OGÓŁEM środk</w:t>
            </w:r>
            <w:r w:rsidRPr="0028384B">
              <w:rPr>
                <w:b/>
                <w:noProof/>
                <w:sz w:val="22"/>
              </w:rPr>
              <w:t>i</w:t>
            </w:r>
            <w:r w:rsidR="0028384B" w:rsidRPr="0028384B">
              <w:rPr>
                <w:b/>
                <w:noProof/>
                <w:sz w:val="22"/>
              </w:rPr>
              <w:t xml:space="preserve"> </w:t>
            </w:r>
            <w:r w:rsidRPr="0028384B">
              <w:rPr>
                <w:noProof/>
              </w:rPr>
              <w:br/>
            </w:r>
            <w:r w:rsidRPr="002F16A1">
              <w:rPr>
                <w:b/>
                <w:noProof/>
                <w:sz w:val="22"/>
              </w:rPr>
              <w:t xml:space="preserve">na DZIAŁY </w:t>
            </w:r>
            <w:r w:rsidRPr="0028384B">
              <w:rPr>
                <w:b/>
                <w:noProof/>
                <w:sz w:val="22"/>
              </w:rPr>
              <w:t>od</w:t>
            </w:r>
            <w:r w:rsidR="0028384B" w:rsidRPr="0028384B">
              <w:rPr>
                <w:b/>
                <w:noProof/>
                <w:sz w:val="22"/>
              </w:rPr>
              <w:t> </w:t>
            </w:r>
            <w:r w:rsidRPr="0028384B">
              <w:rPr>
                <w:b/>
                <w:noProof/>
                <w:sz w:val="22"/>
              </w:rPr>
              <w:t>1</w:t>
            </w:r>
            <w:r w:rsidRPr="002F16A1">
              <w:rPr>
                <w:b/>
                <w:noProof/>
                <w:sz w:val="22"/>
              </w:rPr>
              <w:t xml:space="preserve"> </w:t>
            </w:r>
            <w:r w:rsidRPr="0028384B">
              <w:rPr>
                <w:b/>
                <w:noProof/>
                <w:sz w:val="22"/>
              </w:rPr>
              <w:t>do</w:t>
            </w:r>
            <w:r w:rsidR="0028384B" w:rsidRPr="0028384B">
              <w:rPr>
                <w:b/>
                <w:noProof/>
                <w:sz w:val="22"/>
              </w:rPr>
              <w:t> </w:t>
            </w:r>
            <w:r w:rsidRPr="0028384B">
              <w:rPr>
                <w:b/>
                <w:noProof/>
                <w:sz w:val="22"/>
              </w:rPr>
              <w:t>7</w:t>
            </w:r>
            <w:r w:rsidRPr="002F16A1">
              <w:rPr>
                <w:noProof/>
              </w:rPr>
              <w:t xml:space="preserve"> </w:t>
            </w:r>
            <w:r w:rsidRPr="002F16A1">
              <w:rPr>
                <w:noProof/>
              </w:rPr>
              <w:br/>
            </w:r>
            <w:r w:rsidRPr="002F16A1">
              <w:rPr>
                <w:noProof/>
                <w:sz w:val="22"/>
              </w:rPr>
              <w:t>wieloletnich ram finansowych</w:t>
            </w:r>
            <w:r w:rsidRPr="002F16A1">
              <w:rPr>
                <w:b/>
                <w:noProof/>
                <w:sz w:val="22"/>
              </w:rPr>
              <w:t xml:space="preserve"> </w:t>
            </w:r>
          </w:p>
        </w:tc>
        <w:tc>
          <w:tcPr>
            <w:tcW w:w="2094" w:type="dxa"/>
            <w:gridSpan w:val="2"/>
            <w:vAlign w:val="center"/>
          </w:tcPr>
          <w:p w:rsidR="00AD62E2" w:rsidRPr="002F16A1" w:rsidRDefault="00AD62E2" w:rsidP="000154FC">
            <w:pPr>
              <w:rPr>
                <w:noProof/>
                <w:sz w:val="14"/>
              </w:rPr>
            </w:pPr>
            <w:r w:rsidRPr="002F16A1">
              <w:rPr>
                <w:noProof/>
                <w:sz w:val="18"/>
              </w:rPr>
              <w:t>Środki na zobowiązania</w:t>
            </w:r>
          </w:p>
        </w:tc>
        <w:tc>
          <w:tcPr>
            <w:tcW w:w="868" w:type="dxa"/>
            <w:vAlign w:val="center"/>
          </w:tcPr>
          <w:p w:rsidR="00AD62E2" w:rsidRPr="002F16A1" w:rsidRDefault="00AD62E2" w:rsidP="000154FC">
            <w:pPr>
              <w:spacing w:before="60" w:after="60"/>
              <w:jc w:val="right"/>
              <w:rPr>
                <w:noProof/>
                <w:sz w:val="20"/>
                <w:szCs w:val="20"/>
              </w:rPr>
            </w:pPr>
            <w:r w:rsidRPr="002F16A1">
              <w:rPr>
                <w:rStyle w:val="normaltextrun"/>
                <w:noProof/>
                <w:sz w:val="20"/>
              </w:rPr>
              <w:t>2,746</w:t>
            </w:r>
            <w:r w:rsidRPr="002F16A1">
              <w:rPr>
                <w:rStyle w:val="eop"/>
                <w:noProof/>
                <w:sz w:val="20"/>
              </w:rPr>
              <w:t xml:space="preserve"> </w:t>
            </w:r>
          </w:p>
        </w:tc>
        <w:tc>
          <w:tcPr>
            <w:tcW w:w="868" w:type="dxa"/>
            <w:vAlign w:val="center"/>
          </w:tcPr>
          <w:p w:rsidR="00AD62E2" w:rsidRPr="002F16A1" w:rsidRDefault="00AD62E2" w:rsidP="000154FC">
            <w:pPr>
              <w:spacing w:before="60" w:after="60"/>
              <w:jc w:val="right"/>
              <w:rPr>
                <w:noProof/>
                <w:sz w:val="20"/>
                <w:szCs w:val="20"/>
              </w:rPr>
            </w:pPr>
            <w:r w:rsidRPr="002F16A1">
              <w:rPr>
                <w:rStyle w:val="normaltextrun"/>
                <w:noProof/>
                <w:sz w:val="20"/>
              </w:rPr>
              <w:t>3,863</w:t>
            </w:r>
            <w:r w:rsidRPr="002F16A1">
              <w:rPr>
                <w:rStyle w:val="eop"/>
                <w:noProof/>
                <w:sz w:val="20"/>
              </w:rPr>
              <w:t xml:space="preserve"> </w:t>
            </w:r>
          </w:p>
        </w:tc>
        <w:tc>
          <w:tcPr>
            <w:tcW w:w="868" w:type="dxa"/>
            <w:vAlign w:val="center"/>
          </w:tcPr>
          <w:p w:rsidR="00AD62E2" w:rsidRPr="002F16A1" w:rsidRDefault="00AD62E2" w:rsidP="000154FC">
            <w:pPr>
              <w:spacing w:before="60" w:after="60"/>
              <w:jc w:val="right"/>
              <w:rPr>
                <w:noProof/>
                <w:sz w:val="20"/>
                <w:szCs w:val="20"/>
              </w:rPr>
            </w:pPr>
            <w:r w:rsidRPr="002F16A1">
              <w:rPr>
                <w:rStyle w:val="normaltextrun"/>
                <w:noProof/>
                <w:sz w:val="20"/>
              </w:rPr>
              <w:t>5,</w:t>
            </w:r>
            <w:r w:rsidRPr="002F16A1">
              <w:rPr>
                <w:rStyle w:val="eop"/>
                <w:noProof/>
                <w:sz w:val="20"/>
              </w:rPr>
              <w:t>780</w:t>
            </w:r>
          </w:p>
        </w:tc>
        <w:tc>
          <w:tcPr>
            <w:tcW w:w="868" w:type="dxa"/>
            <w:vAlign w:val="center"/>
          </w:tcPr>
          <w:p w:rsidR="00AD62E2" w:rsidRPr="002F16A1" w:rsidRDefault="00AD62E2" w:rsidP="000154FC">
            <w:pPr>
              <w:spacing w:before="60" w:after="60"/>
              <w:jc w:val="right"/>
              <w:rPr>
                <w:noProof/>
                <w:sz w:val="20"/>
                <w:szCs w:val="20"/>
              </w:rPr>
            </w:pPr>
            <w:r w:rsidRPr="002F16A1">
              <w:rPr>
                <w:rStyle w:val="normaltextrun"/>
                <w:noProof/>
                <w:sz w:val="20"/>
              </w:rPr>
              <w:t>5,780</w:t>
            </w:r>
          </w:p>
        </w:tc>
        <w:tc>
          <w:tcPr>
            <w:tcW w:w="868" w:type="dxa"/>
            <w:vAlign w:val="center"/>
          </w:tcPr>
          <w:p w:rsidR="00AD62E2" w:rsidRPr="002F16A1" w:rsidRDefault="00AD62E2" w:rsidP="000154FC">
            <w:pPr>
              <w:spacing w:before="60" w:after="6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60" w:after="6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60" w:after="6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60" w:after="60"/>
              <w:jc w:val="right"/>
              <w:rPr>
                <w:rFonts w:eastAsia="Times New Roman"/>
                <w:noProof/>
                <w:sz w:val="20"/>
                <w:szCs w:val="20"/>
              </w:rPr>
            </w:pPr>
            <w:r w:rsidRPr="002F16A1">
              <w:rPr>
                <w:rStyle w:val="normaltextrun"/>
                <w:b/>
                <w:noProof/>
                <w:sz w:val="20"/>
              </w:rPr>
              <w:t>18,169</w:t>
            </w:r>
          </w:p>
        </w:tc>
      </w:tr>
      <w:tr w:rsidR="00AD62E2" w:rsidRPr="002F16A1" w:rsidTr="000154FC">
        <w:tc>
          <w:tcPr>
            <w:tcW w:w="3960" w:type="dxa"/>
            <w:vMerge/>
          </w:tcPr>
          <w:p w:rsidR="00AD62E2" w:rsidRPr="002F16A1" w:rsidRDefault="00AD62E2" w:rsidP="000154FC">
            <w:pPr>
              <w:rPr>
                <w:noProof/>
                <w:sz w:val="20"/>
              </w:rPr>
            </w:pPr>
          </w:p>
        </w:tc>
        <w:tc>
          <w:tcPr>
            <w:tcW w:w="2094" w:type="dxa"/>
            <w:gridSpan w:val="2"/>
            <w:vAlign w:val="center"/>
          </w:tcPr>
          <w:p w:rsidR="00AD62E2" w:rsidRPr="002F16A1" w:rsidRDefault="00AD62E2" w:rsidP="000154FC">
            <w:pPr>
              <w:rPr>
                <w:noProof/>
                <w:sz w:val="14"/>
              </w:rPr>
            </w:pPr>
            <w:r w:rsidRPr="002F16A1">
              <w:rPr>
                <w:noProof/>
                <w:sz w:val="18"/>
              </w:rPr>
              <w:t>Środki na płatności</w:t>
            </w:r>
          </w:p>
        </w:tc>
        <w:tc>
          <w:tcPr>
            <w:tcW w:w="868" w:type="dxa"/>
            <w:vAlign w:val="center"/>
          </w:tcPr>
          <w:p w:rsidR="00AD62E2" w:rsidRPr="002F16A1" w:rsidRDefault="00AD62E2" w:rsidP="000154FC">
            <w:pPr>
              <w:spacing w:before="60" w:after="60"/>
              <w:jc w:val="right"/>
              <w:rPr>
                <w:noProof/>
                <w:sz w:val="20"/>
                <w:szCs w:val="20"/>
              </w:rPr>
            </w:pPr>
            <w:r w:rsidRPr="002F16A1">
              <w:rPr>
                <w:rStyle w:val="normaltextrun"/>
                <w:noProof/>
                <w:sz w:val="20"/>
              </w:rPr>
              <w:t>2,746</w:t>
            </w:r>
            <w:r w:rsidRPr="002F16A1">
              <w:rPr>
                <w:rStyle w:val="eop"/>
                <w:noProof/>
                <w:sz w:val="20"/>
              </w:rPr>
              <w:t xml:space="preserve"> </w:t>
            </w:r>
          </w:p>
        </w:tc>
        <w:tc>
          <w:tcPr>
            <w:tcW w:w="868" w:type="dxa"/>
            <w:vAlign w:val="center"/>
          </w:tcPr>
          <w:p w:rsidR="00AD62E2" w:rsidRPr="002F16A1" w:rsidRDefault="00AD62E2" w:rsidP="000154FC">
            <w:pPr>
              <w:spacing w:before="60" w:after="60"/>
              <w:jc w:val="right"/>
              <w:rPr>
                <w:noProof/>
                <w:sz w:val="20"/>
                <w:szCs w:val="20"/>
              </w:rPr>
            </w:pPr>
            <w:r w:rsidRPr="002F16A1">
              <w:rPr>
                <w:rStyle w:val="normaltextrun"/>
                <w:noProof/>
                <w:sz w:val="20"/>
              </w:rPr>
              <w:t>3,863</w:t>
            </w:r>
            <w:r w:rsidRPr="002F16A1">
              <w:rPr>
                <w:rStyle w:val="eop"/>
                <w:noProof/>
                <w:sz w:val="20"/>
              </w:rPr>
              <w:t xml:space="preserve"> </w:t>
            </w:r>
          </w:p>
        </w:tc>
        <w:tc>
          <w:tcPr>
            <w:tcW w:w="868" w:type="dxa"/>
            <w:vAlign w:val="center"/>
          </w:tcPr>
          <w:p w:rsidR="00AD62E2" w:rsidRPr="002F16A1" w:rsidRDefault="00AD62E2" w:rsidP="000154FC">
            <w:pPr>
              <w:spacing w:before="60" w:after="60"/>
              <w:jc w:val="right"/>
              <w:rPr>
                <w:noProof/>
                <w:sz w:val="20"/>
                <w:szCs w:val="20"/>
              </w:rPr>
            </w:pPr>
            <w:r w:rsidRPr="002F16A1">
              <w:rPr>
                <w:rStyle w:val="normaltextrun"/>
                <w:noProof/>
                <w:sz w:val="20"/>
              </w:rPr>
              <w:t>5,780</w:t>
            </w:r>
            <w:r w:rsidRPr="002F16A1">
              <w:rPr>
                <w:rStyle w:val="eop"/>
                <w:noProof/>
                <w:sz w:val="20"/>
              </w:rPr>
              <w:t xml:space="preserve"> </w:t>
            </w:r>
          </w:p>
        </w:tc>
        <w:tc>
          <w:tcPr>
            <w:tcW w:w="868" w:type="dxa"/>
            <w:vAlign w:val="center"/>
          </w:tcPr>
          <w:p w:rsidR="00AD62E2" w:rsidRPr="002F16A1" w:rsidRDefault="00AD62E2" w:rsidP="000154FC">
            <w:pPr>
              <w:spacing w:before="60" w:after="60"/>
              <w:jc w:val="right"/>
              <w:rPr>
                <w:noProof/>
                <w:sz w:val="20"/>
                <w:szCs w:val="20"/>
              </w:rPr>
            </w:pPr>
            <w:r w:rsidRPr="002F16A1">
              <w:rPr>
                <w:rStyle w:val="normaltextrun"/>
                <w:noProof/>
                <w:sz w:val="20"/>
              </w:rPr>
              <w:t>5,780</w:t>
            </w:r>
            <w:r w:rsidRPr="002F16A1">
              <w:rPr>
                <w:rStyle w:val="eop"/>
                <w:noProof/>
                <w:sz w:val="20"/>
              </w:rPr>
              <w:t xml:space="preserve"> </w:t>
            </w:r>
          </w:p>
        </w:tc>
        <w:tc>
          <w:tcPr>
            <w:tcW w:w="868" w:type="dxa"/>
            <w:vAlign w:val="center"/>
          </w:tcPr>
          <w:p w:rsidR="00AD62E2" w:rsidRPr="002F16A1" w:rsidRDefault="00AD62E2" w:rsidP="000154FC">
            <w:pPr>
              <w:spacing w:before="60" w:after="6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60" w:after="60"/>
              <w:jc w:val="right"/>
              <w:rPr>
                <w:noProof/>
                <w:sz w:val="20"/>
              </w:rPr>
            </w:pPr>
            <w:r w:rsidRPr="002F16A1">
              <w:rPr>
                <w:rStyle w:val="eop"/>
                <w:noProof/>
                <w:sz w:val="20"/>
              </w:rPr>
              <w:t xml:space="preserve"> </w:t>
            </w:r>
          </w:p>
        </w:tc>
        <w:tc>
          <w:tcPr>
            <w:tcW w:w="868" w:type="dxa"/>
            <w:vAlign w:val="center"/>
          </w:tcPr>
          <w:p w:rsidR="00AD62E2" w:rsidRPr="002F16A1" w:rsidRDefault="00AD62E2" w:rsidP="000154FC">
            <w:pPr>
              <w:spacing w:before="60" w:after="60"/>
              <w:jc w:val="right"/>
              <w:rPr>
                <w:b/>
                <w:noProof/>
                <w:sz w:val="20"/>
              </w:rPr>
            </w:pPr>
            <w:r w:rsidRPr="002F16A1">
              <w:rPr>
                <w:rStyle w:val="eop"/>
                <w:noProof/>
                <w:sz w:val="20"/>
              </w:rPr>
              <w:t xml:space="preserve"> </w:t>
            </w:r>
          </w:p>
        </w:tc>
        <w:tc>
          <w:tcPr>
            <w:tcW w:w="1777" w:type="dxa"/>
            <w:vAlign w:val="center"/>
          </w:tcPr>
          <w:p w:rsidR="00AD62E2" w:rsidRPr="002F16A1" w:rsidRDefault="00AD62E2" w:rsidP="000154FC">
            <w:pPr>
              <w:spacing w:before="60" w:after="60"/>
              <w:jc w:val="right"/>
              <w:rPr>
                <w:rFonts w:eastAsia="Times New Roman"/>
                <w:noProof/>
                <w:sz w:val="20"/>
                <w:szCs w:val="20"/>
              </w:rPr>
            </w:pPr>
            <w:r w:rsidRPr="002F16A1">
              <w:rPr>
                <w:rStyle w:val="normaltextrun"/>
                <w:b/>
                <w:noProof/>
                <w:sz w:val="20"/>
              </w:rPr>
              <w:t>18,169</w:t>
            </w:r>
          </w:p>
        </w:tc>
      </w:tr>
    </w:tbl>
    <w:p w:rsidR="00AD62E2" w:rsidRPr="002F16A1" w:rsidRDefault="00AD62E2" w:rsidP="00AD62E2">
      <w:pPr>
        <w:rPr>
          <w:noProof/>
        </w:rPr>
      </w:pPr>
    </w:p>
    <w:p w:rsidR="00AD62E2" w:rsidRPr="002F16A1" w:rsidRDefault="00AD62E2" w:rsidP="00AD62E2">
      <w:pPr>
        <w:pStyle w:val="ManualHeading3"/>
        <w:rPr>
          <w:bCs/>
          <w:noProof/>
          <w:szCs w:val="24"/>
        </w:rPr>
      </w:pPr>
      <w:bookmarkStart w:id="87" w:name="_Toc514938054"/>
      <w:bookmarkStart w:id="88" w:name="_Toc520485053"/>
      <w:r w:rsidRPr="002F16A1">
        <w:rPr>
          <w:noProof/>
        </w:rPr>
        <w:t>3.2.2.</w:t>
      </w:r>
      <w:r w:rsidRPr="002F16A1">
        <w:rPr>
          <w:noProof/>
        </w:rPr>
        <w:tab/>
        <w:t>Przewidywany produkt finansowany ze środków operacyjnych</w:t>
      </w:r>
      <w:bookmarkEnd w:id="87"/>
      <w:bookmarkEnd w:id="88"/>
      <w:r w:rsidRPr="002F16A1">
        <w:rPr>
          <w:noProof/>
        </w:rPr>
        <w:t xml:space="preserve"> </w:t>
      </w:r>
    </w:p>
    <w:p w:rsidR="00AD62E2" w:rsidRPr="002F16A1" w:rsidRDefault="00AD62E2" w:rsidP="00AD62E2">
      <w:pPr>
        <w:jc w:val="right"/>
        <w:rPr>
          <w:noProof/>
          <w:sz w:val="20"/>
        </w:rPr>
      </w:pPr>
      <w:r w:rsidRPr="002F16A1">
        <w:rPr>
          <w:noProof/>
          <w:sz w:val="20"/>
        </w:rPr>
        <w:t>Środki na zobowiązania</w:t>
      </w:r>
      <w:r w:rsidR="0028384B" w:rsidRPr="002F16A1">
        <w:rPr>
          <w:noProof/>
          <w:sz w:val="20"/>
        </w:rPr>
        <w:t xml:space="preserve"> w</w:t>
      </w:r>
      <w:r w:rsidR="0028384B">
        <w:rPr>
          <w:noProof/>
          <w:sz w:val="20"/>
        </w:rPr>
        <w:t> </w:t>
      </w:r>
      <w:r w:rsidR="0028384B" w:rsidRPr="002F16A1">
        <w:rPr>
          <w:noProof/>
          <w:sz w:val="20"/>
        </w:rPr>
        <w:t>mln</w:t>
      </w:r>
      <w:r w:rsidRPr="002F16A1">
        <w:rPr>
          <w:noProof/>
          <w:sz w:val="20"/>
        </w:rPr>
        <w:t xml:space="preserve"> EUR (do trzech miejsc po przecinku)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AD62E2" w:rsidRPr="002F16A1" w:rsidTr="000154FC">
        <w:trPr>
          <w:jc w:val="center"/>
        </w:trPr>
        <w:tc>
          <w:tcPr>
            <w:tcW w:w="1423" w:type="dxa"/>
            <w:vMerge w:val="restart"/>
            <w:vAlign w:val="center"/>
          </w:tcPr>
          <w:p w:rsidR="00AD62E2" w:rsidRPr="002F16A1" w:rsidRDefault="00AD62E2" w:rsidP="000154FC">
            <w:pPr>
              <w:ind w:right="-29"/>
              <w:jc w:val="center"/>
              <w:rPr>
                <w:b/>
                <w:noProof/>
                <w:sz w:val="18"/>
                <w:szCs w:val="18"/>
              </w:rPr>
            </w:pPr>
            <w:r w:rsidRPr="002F16A1">
              <w:rPr>
                <w:b/>
                <w:noProof/>
                <w:sz w:val="18"/>
              </w:rPr>
              <w:t>Określić cele</w:t>
            </w:r>
            <w:r w:rsidR="0028384B" w:rsidRPr="002F16A1">
              <w:rPr>
                <w:b/>
                <w:noProof/>
                <w:sz w:val="18"/>
              </w:rPr>
              <w:t xml:space="preserve"> i</w:t>
            </w:r>
            <w:r w:rsidR="0028384B">
              <w:rPr>
                <w:b/>
                <w:noProof/>
                <w:sz w:val="18"/>
              </w:rPr>
              <w:t> </w:t>
            </w:r>
            <w:r w:rsidR="0028384B" w:rsidRPr="002F16A1">
              <w:rPr>
                <w:b/>
                <w:noProof/>
                <w:sz w:val="18"/>
              </w:rPr>
              <w:t>pro</w:t>
            </w:r>
            <w:r w:rsidRPr="002F16A1">
              <w:rPr>
                <w:b/>
                <w:noProof/>
                <w:sz w:val="18"/>
              </w:rPr>
              <w:t xml:space="preserve">dukty </w:t>
            </w:r>
          </w:p>
          <w:p w:rsidR="00AD62E2" w:rsidRPr="002F16A1" w:rsidRDefault="00AD62E2" w:rsidP="000154FC">
            <w:pPr>
              <w:ind w:right="-29"/>
              <w:jc w:val="center"/>
              <w:rPr>
                <w:b/>
                <w:noProof/>
                <w:sz w:val="18"/>
                <w:szCs w:val="18"/>
              </w:rPr>
            </w:pPr>
          </w:p>
          <w:p w:rsidR="00AD62E2" w:rsidRPr="002F16A1" w:rsidRDefault="00AD62E2" w:rsidP="000154FC">
            <w:pPr>
              <w:ind w:right="-29"/>
              <w:jc w:val="center"/>
              <w:rPr>
                <w:noProof/>
                <w:sz w:val="18"/>
                <w:szCs w:val="18"/>
              </w:rPr>
            </w:pPr>
            <w:r w:rsidRPr="002F16A1">
              <w:rPr>
                <w:rFonts w:ascii="Wingdings" w:hAnsi="Wingdings"/>
                <w:noProof/>
                <w:sz w:val="18"/>
              </w:rPr>
              <w:t></w:t>
            </w:r>
          </w:p>
        </w:tc>
        <w:tc>
          <w:tcPr>
            <w:tcW w:w="720" w:type="dxa"/>
            <w:vAlign w:val="center"/>
          </w:tcPr>
          <w:p w:rsidR="00AD62E2" w:rsidRPr="002F16A1" w:rsidRDefault="00AD62E2" w:rsidP="000154FC">
            <w:pPr>
              <w:ind w:right="-29"/>
              <w:jc w:val="center"/>
              <w:rPr>
                <w:noProof/>
                <w:sz w:val="18"/>
                <w:szCs w:val="18"/>
              </w:rPr>
            </w:pPr>
          </w:p>
        </w:tc>
        <w:tc>
          <w:tcPr>
            <w:tcW w:w="701" w:type="dxa"/>
            <w:vAlign w:val="center"/>
          </w:tcPr>
          <w:p w:rsidR="00AD62E2" w:rsidRPr="002F16A1" w:rsidRDefault="00AD62E2" w:rsidP="000154FC">
            <w:pPr>
              <w:ind w:right="-29"/>
              <w:jc w:val="center"/>
              <w:rPr>
                <w:noProof/>
                <w:sz w:val="18"/>
                <w:szCs w:val="18"/>
              </w:rPr>
            </w:pPr>
          </w:p>
        </w:tc>
        <w:tc>
          <w:tcPr>
            <w:tcW w:w="1224" w:type="dxa"/>
            <w:gridSpan w:val="2"/>
            <w:tcBorders>
              <w:left w:val="nil"/>
            </w:tcBorders>
            <w:vAlign w:val="center"/>
          </w:tcPr>
          <w:p w:rsidR="00AD62E2" w:rsidRPr="002F16A1" w:rsidRDefault="00AD62E2" w:rsidP="000154FC">
            <w:pPr>
              <w:ind w:right="-29"/>
              <w:jc w:val="center"/>
              <w:rPr>
                <w:noProof/>
                <w:sz w:val="18"/>
                <w:szCs w:val="18"/>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2024</w:t>
            </w:r>
            <w:r w:rsidRPr="002F16A1">
              <w:rPr>
                <w:rStyle w:val="eop"/>
                <w:noProof/>
                <w:sz w:val="20"/>
              </w:rPr>
              <w:t xml:space="preserve"> </w:t>
            </w:r>
          </w:p>
        </w:tc>
        <w:tc>
          <w:tcPr>
            <w:tcW w:w="1260" w:type="dxa"/>
            <w:gridSpan w:val="2"/>
            <w:vAlign w:val="center"/>
          </w:tcPr>
          <w:p w:rsidR="00AD62E2" w:rsidRPr="002F16A1" w:rsidRDefault="00AD62E2" w:rsidP="000154FC">
            <w:pPr>
              <w:ind w:right="-29"/>
              <w:jc w:val="center"/>
              <w:rPr>
                <w:noProof/>
                <w:sz w:val="18"/>
                <w:szCs w:val="18"/>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2025</w:t>
            </w:r>
            <w:r w:rsidRPr="002F16A1">
              <w:rPr>
                <w:rStyle w:val="eop"/>
                <w:noProof/>
                <w:sz w:val="20"/>
              </w:rPr>
              <w:t xml:space="preserve"> </w:t>
            </w:r>
          </w:p>
        </w:tc>
        <w:tc>
          <w:tcPr>
            <w:tcW w:w="1440" w:type="dxa"/>
            <w:gridSpan w:val="2"/>
            <w:vAlign w:val="center"/>
          </w:tcPr>
          <w:p w:rsidR="00AD62E2" w:rsidRPr="002F16A1" w:rsidRDefault="00AD62E2" w:rsidP="000154FC">
            <w:pPr>
              <w:ind w:right="-29"/>
              <w:jc w:val="center"/>
              <w:rPr>
                <w:noProof/>
                <w:sz w:val="18"/>
                <w:szCs w:val="18"/>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2026</w:t>
            </w:r>
            <w:r w:rsidRPr="002F16A1">
              <w:rPr>
                <w:rStyle w:val="eop"/>
                <w:noProof/>
                <w:sz w:val="20"/>
              </w:rPr>
              <w:t xml:space="preserve"> </w:t>
            </w:r>
          </w:p>
        </w:tc>
        <w:tc>
          <w:tcPr>
            <w:tcW w:w="1620" w:type="dxa"/>
            <w:gridSpan w:val="3"/>
            <w:vAlign w:val="center"/>
          </w:tcPr>
          <w:p w:rsidR="00AD62E2" w:rsidRPr="002F16A1" w:rsidRDefault="00AD62E2" w:rsidP="000154FC">
            <w:pPr>
              <w:ind w:right="-29"/>
              <w:jc w:val="center"/>
              <w:rPr>
                <w:noProof/>
                <w:sz w:val="18"/>
                <w:szCs w:val="18"/>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2027</w:t>
            </w:r>
            <w:r w:rsidRPr="002F16A1">
              <w:rPr>
                <w:rStyle w:val="eop"/>
                <w:noProof/>
                <w:sz w:val="20"/>
              </w:rPr>
              <w:t xml:space="preserve"> </w:t>
            </w:r>
          </w:p>
        </w:tc>
        <w:tc>
          <w:tcPr>
            <w:tcW w:w="3600" w:type="dxa"/>
            <w:gridSpan w:val="6"/>
            <w:vAlign w:val="center"/>
          </w:tcPr>
          <w:p w:rsidR="00AD62E2" w:rsidRPr="002F16A1" w:rsidRDefault="00AD62E2" w:rsidP="000154FC">
            <w:pPr>
              <w:jc w:val="center"/>
              <w:rPr>
                <w:noProof/>
                <w:sz w:val="18"/>
                <w:szCs w:val="18"/>
              </w:rPr>
            </w:pPr>
            <w:r w:rsidRPr="002F16A1">
              <w:rPr>
                <w:noProof/>
                <w:sz w:val="18"/>
              </w:rPr>
              <w:t xml:space="preserve">Wprowadzić taką liczbę kolumn dla poszczególnych lat, jaka jest niezbędna, by odzwierciedlić cały okres wpływu (por. </w:t>
            </w:r>
            <w:r w:rsidRPr="0028384B">
              <w:rPr>
                <w:noProof/>
                <w:sz w:val="18"/>
              </w:rPr>
              <w:t>pkt</w:t>
            </w:r>
            <w:r w:rsidR="0028384B" w:rsidRPr="0028384B">
              <w:rPr>
                <w:noProof/>
                <w:sz w:val="18"/>
              </w:rPr>
              <w:t> </w:t>
            </w:r>
            <w:r w:rsidRPr="0028384B">
              <w:rPr>
                <w:noProof/>
                <w:sz w:val="18"/>
              </w:rPr>
              <w:t>1</w:t>
            </w:r>
            <w:r w:rsidRPr="002F16A1">
              <w:rPr>
                <w:noProof/>
                <w:sz w:val="18"/>
              </w:rPr>
              <w:t>.6)</w:t>
            </w:r>
          </w:p>
        </w:tc>
        <w:tc>
          <w:tcPr>
            <w:tcW w:w="1620" w:type="dxa"/>
            <w:gridSpan w:val="2"/>
            <w:tcBorders>
              <w:left w:val="nil"/>
              <w:bottom w:val="nil"/>
            </w:tcBorders>
            <w:vAlign w:val="center"/>
          </w:tcPr>
          <w:p w:rsidR="00AD62E2" w:rsidRPr="002F16A1" w:rsidRDefault="00AD62E2" w:rsidP="000154FC">
            <w:pPr>
              <w:ind w:right="-29"/>
              <w:jc w:val="center"/>
              <w:rPr>
                <w:noProof/>
                <w:sz w:val="18"/>
                <w:szCs w:val="18"/>
              </w:rPr>
            </w:pPr>
            <w:r w:rsidRPr="002F16A1">
              <w:rPr>
                <w:b/>
                <w:noProof/>
                <w:sz w:val="18"/>
              </w:rPr>
              <w:t>OGÓŁEM</w:t>
            </w:r>
          </w:p>
        </w:tc>
      </w:tr>
      <w:tr w:rsidR="00AD62E2" w:rsidRPr="002F16A1" w:rsidTr="000154FC">
        <w:trPr>
          <w:jc w:val="center"/>
        </w:trPr>
        <w:tc>
          <w:tcPr>
            <w:tcW w:w="1423" w:type="dxa"/>
            <w:vMerge/>
            <w:vAlign w:val="center"/>
          </w:tcPr>
          <w:p w:rsidR="00AD62E2" w:rsidRPr="002F16A1" w:rsidRDefault="00AD62E2" w:rsidP="000154FC">
            <w:pPr>
              <w:ind w:right="-29"/>
              <w:jc w:val="center"/>
              <w:rPr>
                <w:noProof/>
                <w:sz w:val="18"/>
                <w:szCs w:val="18"/>
              </w:rPr>
            </w:pPr>
          </w:p>
        </w:tc>
        <w:tc>
          <w:tcPr>
            <w:tcW w:w="12185" w:type="dxa"/>
            <w:gridSpan w:val="19"/>
            <w:vAlign w:val="center"/>
          </w:tcPr>
          <w:p w:rsidR="00AD62E2" w:rsidRPr="002F16A1" w:rsidRDefault="00AD62E2" w:rsidP="000154FC">
            <w:pPr>
              <w:spacing w:before="60" w:after="60"/>
              <w:ind w:right="-29"/>
              <w:jc w:val="center"/>
              <w:rPr>
                <w:noProof/>
                <w:sz w:val="18"/>
                <w:szCs w:val="18"/>
              </w:rPr>
            </w:pPr>
            <w:r w:rsidRPr="002F16A1">
              <w:rPr>
                <w:b/>
                <w:noProof/>
                <w:sz w:val="18"/>
              </w:rPr>
              <w:t>PRODUKT</w:t>
            </w:r>
          </w:p>
        </w:tc>
      </w:tr>
      <w:tr w:rsidR="00AD62E2" w:rsidRPr="002F16A1" w:rsidTr="000154FC">
        <w:trPr>
          <w:cantSplit/>
          <w:trHeight w:val="1134"/>
          <w:jc w:val="center"/>
        </w:trPr>
        <w:tc>
          <w:tcPr>
            <w:tcW w:w="1423" w:type="dxa"/>
            <w:vMerge/>
            <w:vAlign w:val="center"/>
          </w:tcPr>
          <w:p w:rsidR="00AD62E2" w:rsidRPr="002F16A1" w:rsidRDefault="00AD62E2" w:rsidP="000154FC">
            <w:pPr>
              <w:rPr>
                <w:noProof/>
                <w:sz w:val="18"/>
                <w:szCs w:val="18"/>
              </w:rPr>
            </w:pPr>
          </w:p>
        </w:tc>
        <w:tc>
          <w:tcPr>
            <w:tcW w:w="720" w:type="dxa"/>
            <w:vAlign w:val="center"/>
          </w:tcPr>
          <w:p w:rsidR="00AD62E2" w:rsidRPr="002F16A1" w:rsidRDefault="00AD62E2" w:rsidP="000154FC">
            <w:pPr>
              <w:jc w:val="center"/>
              <w:rPr>
                <w:noProof/>
                <w:sz w:val="18"/>
                <w:szCs w:val="18"/>
              </w:rPr>
            </w:pPr>
            <w:r w:rsidRPr="002F16A1">
              <w:rPr>
                <w:noProof/>
                <w:sz w:val="18"/>
              </w:rPr>
              <w:t>Rodzaj</w:t>
            </w:r>
            <w:r w:rsidRPr="002F16A1">
              <w:rPr>
                <w:rStyle w:val="FootnoteReference"/>
                <w:noProof/>
              </w:rPr>
              <w:footnoteReference w:id="58"/>
            </w:r>
          </w:p>
          <w:p w:rsidR="00AD62E2" w:rsidRPr="002F16A1" w:rsidRDefault="00AD62E2" w:rsidP="000154FC">
            <w:pPr>
              <w:spacing w:before="0" w:after="0"/>
              <w:jc w:val="center"/>
              <w:rPr>
                <w:noProof/>
                <w:sz w:val="18"/>
                <w:szCs w:val="18"/>
              </w:rPr>
            </w:pPr>
          </w:p>
        </w:tc>
        <w:tc>
          <w:tcPr>
            <w:tcW w:w="701" w:type="dxa"/>
            <w:vAlign w:val="center"/>
          </w:tcPr>
          <w:p w:rsidR="00AD62E2" w:rsidRPr="002F16A1" w:rsidRDefault="00AD62E2" w:rsidP="000154FC">
            <w:pPr>
              <w:jc w:val="center"/>
              <w:rPr>
                <w:noProof/>
                <w:sz w:val="18"/>
                <w:szCs w:val="18"/>
              </w:rPr>
            </w:pPr>
            <w:r w:rsidRPr="002F16A1">
              <w:rPr>
                <w:noProof/>
                <w:sz w:val="18"/>
              </w:rPr>
              <w:t>Średni koszt</w:t>
            </w:r>
          </w:p>
        </w:tc>
        <w:tc>
          <w:tcPr>
            <w:tcW w:w="504" w:type="dxa"/>
            <w:tcBorders>
              <w:left w:val="nil"/>
              <w:right w:val="dashSmallGap" w:sz="4" w:space="0" w:color="auto"/>
            </w:tcBorders>
            <w:shd w:val="clear" w:color="auto" w:fill="auto"/>
            <w:textDirection w:val="btLr"/>
            <w:vAlign w:val="center"/>
          </w:tcPr>
          <w:p w:rsidR="00AD62E2" w:rsidRPr="002F16A1" w:rsidRDefault="00AD62E2" w:rsidP="000154FC">
            <w:pPr>
              <w:ind w:left="113" w:right="113"/>
              <w:jc w:val="center"/>
              <w:rPr>
                <w:noProof/>
                <w:sz w:val="18"/>
                <w:szCs w:val="18"/>
              </w:rPr>
            </w:pPr>
            <w:r w:rsidRPr="002F16A1">
              <w:rPr>
                <w:noProof/>
                <w:sz w:val="18"/>
              </w:rPr>
              <w:t>Liczba</w:t>
            </w:r>
          </w:p>
        </w:tc>
        <w:tc>
          <w:tcPr>
            <w:tcW w:w="720" w:type="dxa"/>
            <w:tcBorders>
              <w:left w:val="dashSmallGap" w:sz="4" w:space="0" w:color="auto"/>
            </w:tcBorders>
            <w:shd w:val="clear" w:color="auto" w:fill="auto"/>
            <w:vAlign w:val="center"/>
          </w:tcPr>
          <w:p w:rsidR="00AD62E2" w:rsidRPr="002F16A1" w:rsidRDefault="00AD62E2" w:rsidP="000154FC">
            <w:pPr>
              <w:jc w:val="center"/>
              <w:rPr>
                <w:noProof/>
                <w:sz w:val="18"/>
                <w:szCs w:val="18"/>
              </w:rPr>
            </w:pPr>
            <w:r w:rsidRPr="002F16A1">
              <w:rPr>
                <w:noProof/>
                <w:sz w:val="18"/>
              </w:rPr>
              <w:t>Koszt</w:t>
            </w:r>
          </w:p>
        </w:tc>
        <w:tc>
          <w:tcPr>
            <w:tcW w:w="540" w:type="dxa"/>
            <w:tcBorders>
              <w:right w:val="dashSmallGap" w:sz="4" w:space="0" w:color="auto"/>
            </w:tcBorders>
            <w:shd w:val="clear" w:color="auto" w:fill="auto"/>
            <w:textDirection w:val="btLr"/>
            <w:vAlign w:val="center"/>
          </w:tcPr>
          <w:p w:rsidR="00AD62E2" w:rsidRPr="002F16A1" w:rsidRDefault="00AD62E2" w:rsidP="000154FC">
            <w:pPr>
              <w:ind w:left="113" w:right="113"/>
              <w:jc w:val="center"/>
              <w:rPr>
                <w:noProof/>
                <w:sz w:val="18"/>
                <w:szCs w:val="18"/>
              </w:rPr>
            </w:pPr>
            <w:r w:rsidRPr="002F16A1">
              <w:rPr>
                <w:noProof/>
                <w:sz w:val="18"/>
              </w:rPr>
              <w:t>Liczba</w:t>
            </w:r>
          </w:p>
        </w:tc>
        <w:tc>
          <w:tcPr>
            <w:tcW w:w="720" w:type="dxa"/>
            <w:tcBorders>
              <w:left w:val="dashSmallGap" w:sz="4" w:space="0" w:color="auto"/>
            </w:tcBorders>
            <w:shd w:val="clear" w:color="auto" w:fill="auto"/>
            <w:vAlign w:val="center"/>
          </w:tcPr>
          <w:p w:rsidR="00AD62E2" w:rsidRPr="002F16A1" w:rsidRDefault="00AD62E2" w:rsidP="000154FC">
            <w:pPr>
              <w:jc w:val="center"/>
              <w:rPr>
                <w:noProof/>
                <w:sz w:val="18"/>
                <w:szCs w:val="18"/>
              </w:rPr>
            </w:pPr>
            <w:r w:rsidRPr="002F16A1">
              <w:rPr>
                <w:noProof/>
                <w:sz w:val="18"/>
              </w:rPr>
              <w:t>Koszt</w:t>
            </w:r>
          </w:p>
        </w:tc>
        <w:tc>
          <w:tcPr>
            <w:tcW w:w="720" w:type="dxa"/>
            <w:tcBorders>
              <w:right w:val="dashSmallGap" w:sz="4" w:space="0" w:color="auto"/>
            </w:tcBorders>
            <w:shd w:val="clear" w:color="auto" w:fill="auto"/>
            <w:textDirection w:val="btLr"/>
            <w:vAlign w:val="center"/>
          </w:tcPr>
          <w:p w:rsidR="00AD62E2" w:rsidRPr="002F16A1" w:rsidRDefault="00AD62E2" w:rsidP="000154FC">
            <w:pPr>
              <w:ind w:left="113" w:right="113"/>
              <w:jc w:val="center"/>
              <w:rPr>
                <w:noProof/>
                <w:sz w:val="18"/>
                <w:szCs w:val="18"/>
              </w:rPr>
            </w:pPr>
            <w:r w:rsidRPr="002F16A1">
              <w:rPr>
                <w:noProof/>
                <w:sz w:val="18"/>
              </w:rPr>
              <w:t>Liczba</w:t>
            </w:r>
          </w:p>
        </w:tc>
        <w:tc>
          <w:tcPr>
            <w:tcW w:w="720" w:type="dxa"/>
            <w:tcBorders>
              <w:left w:val="dashSmallGap" w:sz="4" w:space="0" w:color="auto"/>
            </w:tcBorders>
            <w:shd w:val="clear" w:color="auto" w:fill="auto"/>
            <w:vAlign w:val="center"/>
          </w:tcPr>
          <w:p w:rsidR="00AD62E2" w:rsidRPr="002F16A1" w:rsidRDefault="00AD62E2" w:rsidP="000154FC">
            <w:pPr>
              <w:jc w:val="center"/>
              <w:rPr>
                <w:noProof/>
                <w:sz w:val="18"/>
                <w:szCs w:val="18"/>
              </w:rPr>
            </w:pPr>
            <w:r w:rsidRPr="002F16A1">
              <w:rPr>
                <w:noProof/>
                <w:sz w:val="18"/>
              </w:rPr>
              <w:t>Koszt</w:t>
            </w:r>
          </w:p>
        </w:tc>
        <w:tc>
          <w:tcPr>
            <w:tcW w:w="900" w:type="dxa"/>
            <w:tcBorders>
              <w:right w:val="dashSmallGap" w:sz="4" w:space="0" w:color="auto"/>
            </w:tcBorders>
            <w:shd w:val="clear" w:color="auto" w:fill="auto"/>
            <w:textDirection w:val="btLr"/>
            <w:vAlign w:val="center"/>
          </w:tcPr>
          <w:p w:rsidR="00AD62E2" w:rsidRPr="002F16A1" w:rsidRDefault="00AD62E2" w:rsidP="000154FC">
            <w:pPr>
              <w:ind w:left="113" w:right="113"/>
              <w:jc w:val="center"/>
              <w:rPr>
                <w:noProof/>
                <w:sz w:val="18"/>
                <w:szCs w:val="18"/>
              </w:rPr>
            </w:pPr>
            <w:r w:rsidRPr="002F16A1">
              <w:rPr>
                <w:noProof/>
                <w:sz w:val="18"/>
              </w:rPr>
              <w:t>Liczba</w:t>
            </w:r>
          </w:p>
        </w:tc>
        <w:tc>
          <w:tcPr>
            <w:tcW w:w="720" w:type="dxa"/>
            <w:gridSpan w:val="2"/>
            <w:tcBorders>
              <w:left w:val="dashSmallGap" w:sz="4" w:space="0" w:color="auto"/>
            </w:tcBorders>
            <w:shd w:val="clear" w:color="auto" w:fill="auto"/>
            <w:vAlign w:val="center"/>
          </w:tcPr>
          <w:p w:rsidR="00AD62E2" w:rsidRPr="002F16A1" w:rsidRDefault="00AD62E2" w:rsidP="000154FC">
            <w:pPr>
              <w:jc w:val="center"/>
              <w:rPr>
                <w:noProof/>
                <w:sz w:val="18"/>
                <w:szCs w:val="18"/>
              </w:rPr>
            </w:pPr>
            <w:r w:rsidRPr="002F16A1">
              <w:rPr>
                <w:noProof/>
                <w:sz w:val="18"/>
              </w:rPr>
              <w:t>Koszt</w:t>
            </w:r>
          </w:p>
        </w:tc>
        <w:tc>
          <w:tcPr>
            <w:tcW w:w="540" w:type="dxa"/>
            <w:tcBorders>
              <w:right w:val="dashSmallGap" w:sz="4" w:space="0" w:color="auto"/>
            </w:tcBorders>
            <w:shd w:val="clear" w:color="auto" w:fill="auto"/>
            <w:textDirection w:val="btLr"/>
            <w:vAlign w:val="center"/>
          </w:tcPr>
          <w:p w:rsidR="00AD62E2" w:rsidRPr="002F16A1" w:rsidRDefault="00AD62E2" w:rsidP="000154FC">
            <w:pPr>
              <w:ind w:left="113" w:right="113"/>
              <w:jc w:val="center"/>
              <w:rPr>
                <w:noProof/>
                <w:sz w:val="18"/>
                <w:szCs w:val="18"/>
              </w:rPr>
            </w:pPr>
            <w:r w:rsidRPr="002F16A1">
              <w:rPr>
                <w:noProof/>
                <w:sz w:val="18"/>
              </w:rPr>
              <w:t>Liczba</w:t>
            </w:r>
          </w:p>
        </w:tc>
        <w:tc>
          <w:tcPr>
            <w:tcW w:w="648" w:type="dxa"/>
            <w:tcBorders>
              <w:left w:val="dashSmallGap" w:sz="4" w:space="0" w:color="auto"/>
            </w:tcBorders>
            <w:shd w:val="clear" w:color="auto" w:fill="auto"/>
            <w:vAlign w:val="center"/>
          </w:tcPr>
          <w:p w:rsidR="00AD62E2" w:rsidRPr="002F16A1" w:rsidRDefault="00AD62E2" w:rsidP="000154FC">
            <w:pPr>
              <w:jc w:val="center"/>
              <w:rPr>
                <w:noProof/>
                <w:sz w:val="18"/>
                <w:szCs w:val="18"/>
              </w:rPr>
            </w:pPr>
            <w:r w:rsidRPr="002F16A1">
              <w:rPr>
                <w:noProof/>
                <w:sz w:val="18"/>
              </w:rPr>
              <w:t>Koszt</w:t>
            </w:r>
          </w:p>
        </w:tc>
        <w:tc>
          <w:tcPr>
            <w:tcW w:w="432" w:type="dxa"/>
            <w:tcBorders>
              <w:right w:val="dashSmallGap" w:sz="4" w:space="0" w:color="auto"/>
            </w:tcBorders>
            <w:shd w:val="clear" w:color="auto" w:fill="auto"/>
            <w:textDirection w:val="btLr"/>
            <w:vAlign w:val="center"/>
          </w:tcPr>
          <w:p w:rsidR="00AD62E2" w:rsidRPr="002F16A1" w:rsidRDefault="00AD62E2" w:rsidP="000154FC">
            <w:pPr>
              <w:ind w:left="113" w:right="113"/>
              <w:jc w:val="center"/>
              <w:rPr>
                <w:noProof/>
                <w:sz w:val="18"/>
                <w:szCs w:val="18"/>
              </w:rPr>
            </w:pPr>
            <w:r w:rsidRPr="002F16A1">
              <w:rPr>
                <w:noProof/>
                <w:sz w:val="18"/>
              </w:rPr>
              <w:t>Liczba</w:t>
            </w:r>
          </w:p>
        </w:tc>
        <w:tc>
          <w:tcPr>
            <w:tcW w:w="720" w:type="dxa"/>
            <w:tcBorders>
              <w:left w:val="dashSmallGap" w:sz="4" w:space="0" w:color="auto"/>
            </w:tcBorders>
            <w:shd w:val="clear" w:color="auto" w:fill="auto"/>
            <w:vAlign w:val="center"/>
          </w:tcPr>
          <w:p w:rsidR="00AD62E2" w:rsidRPr="002F16A1" w:rsidRDefault="00AD62E2" w:rsidP="000154FC">
            <w:pPr>
              <w:jc w:val="center"/>
              <w:rPr>
                <w:noProof/>
                <w:sz w:val="18"/>
                <w:szCs w:val="18"/>
              </w:rPr>
            </w:pPr>
            <w:r w:rsidRPr="002F16A1">
              <w:rPr>
                <w:noProof/>
                <w:sz w:val="18"/>
              </w:rPr>
              <w:t>Koszt</w:t>
            </w:r>
          </w:p>
        </w:tc>
        <w:tc>
          <w:tcPr>
            <w:tcW w:w="540" w:type="dxa"/>
            <w:tcBorders>
              <w:right w:val="dashSmallGap" w:sz="4" w:space="0" w:color="auto"/>
            </w:tcBorders>
            <w:shd w:val="clear" w:color="auto" w:fill="auto"/>
            <w:textDirection w:val="btLr"/>
            <w:vAlign w:val="center"/>
          </w:tcPr>
          <w:p w:rsidR="00AD62E2" w:rsidRPr="002F16A1" w:rsidRDefault="00AD62E2" w:rsidP="000154FC">
            <w:pPr>
              <w:ind w:left="113" w:right="113"/>
              <w:jc w:val="center"/>
              <w:rPr>
                <w:noProof/>
                <w:sz w:val="18"/>
                <w:szCs w:val="18"/>
              </w:rPr>
            </w:pPr>
            <w:r w:rsidRPr="002F16A1">
              <w:rPr>
                <w:noProof/>
                <w:sz w:val="18"/>
              </w:rPr>
              <w:t>Liczba</w:t>
            </w:r>
          </w:p>
        </w:tc>
        <w:tc>
          <w:tcPr>
            <w:tcW w:w="720" w:type="dxa"/>
            <w:tcBorders>
              <w:left w:val="dashSmallGap" w:sz="4" w:space="0" w:color="auto"/>
            </w:tcBorders>
            <w:shd w:val="clear" w:color="auto" w:fill="auto"/>
            <w:vAlign w:val="center"/>
          </w:tcPr>
          <w:p w:rsidR="00AD62E2" w:rsidRPr="002F16A1" w:rsidRDefault="00AD62E2" w:rsidP="000154FC">
            <w:pPr>
              <w:jc w:val="center"/>
              <w:rPr>
                <w:noProof/>
                <w:sz w:val="18"/>
                <w:szCs w:val="18"/>
              </w:rPr>
            </w:pPr>
            <w:r w:rsidRPr="002F16A1">
              <w:rPr>
                <w:noProof/>
                <w:sz w:val="18"/>
              </w:rPr>
              <w:t>Koszt</w:t>
            </w:r>
          </w:p>
        </w:tc>
        <w:tc>
          <w:tcPr>
            <w:tcW w:w="720" w:type="dxa"/>
            <w:tcBorders>
              <w:right w:val="dashSmallGap" w:sz="4" w:space="0" w:color="auto"/>
            </w:tcBorders>
            <w:shd w:val="clear" w:color="auto" w:fill="auto"/>
            <w:vAlign w:val="center"/>
          </w:tcPr>
          <w:p w:rsidR="00AD62E2" w:rsidRPr="002F16A1" w:rsidRDefault="00AD62E2" w:rsidP="000154FC">
            <w:pPr>
              <w:jc w:val="center"/>
              <w:rPr>
                <w:noProof/>
                <w:sz w:val="18"/>
                <w:szCs w:val="18"/>
              </w:rPr>
            </w:pPr>
            <w:r w:rsidRPr="002F16A1">
              <w:rPr>
                <w:noProof/>
                <w:sz w:val="18"/>
              </w:rPr>
              <w:t>Liczba ogółem</w:t>
            </w:r>
          </w:p>
        </w:tc>
        <w:tc>
          <w:tcPr>
            <w:tcW w:w="900" w:type="dxa"/>
            <w:tcBorders>
              <w:left w:val="dashSmallGap" w:sz="4" w:space="0" w:color="auto"/>
            </w:tcBorders>
            <w:shd w:val="clear" w:color="auto" w:fill="auto"/>
            <w:vAlign w:val="center"/>
          </w:tcPr>
          <w:p w:rsidR="00AD62E2" w:rsidRPr="002F16A1" w:rsidRDefault="00AD62E2" w:rsidP="000154FC">
            <w:pPr>
              <w:jc w:val="center"/>
              <w:rPr>
                <w:noProof/>
                <w:sz w:val="18"/>
                <w:szCs w:val="18"/>
              </w:rPr>
            </w:pPr>
            <w:r w:rsidRPr="002F16A1">
              <w:rPr>
                <w:noProof/>
                <w:sz w:val="18"/>
              </w:rPr>
              <w:t>Koszt całkowity</w:t>
            </w:r>
          </w:p>
        </w:tc>
      </w:tr>
      <w:tr w:rsidR="00AD62E2" w:rsidRPr="002F16A1" w:rsidTr="000154FC">
        <w:trPr>
          <w:jc w:val="center"/>
        </w:trPr>
        <w:tc>
          <w:tcPr>
            <w:tcW w:w="2844" w:type="dxa"/>
            <w:gridSpan w:val="3"/>
            <w:vAlign w:val="center"/>
          </w:tcPr>
          <w:p w:rsidR="00AD62E2" w:rsidRPr="002F16A1" w:rsidRDefault="00AD62E2" w:rsidP="000154FC">
            <w:pPr>
              <w:spacing w:before="60" w:after="60"/>
              <w:ind w:right="-29"/>
              <w:jc w:val="center"/>
              <w:rPr>
                <w:noProof/>
                <w:sz w:val="18"/>
                <w:szCs w:val="18"/>
              </w:rPr>
            </w:pPr>
            <w:r w:rsidRPr="002F16A1">
              <w:rPr>
                <w:noProof/>
                <w:sz w:val="18"/>
              </w:rPr>
              <w:t xml:space="preserve">CEL SZCZEGÓŁOWY </w:t>
            </w:r>
            <w:r w:rsidRPr="0028384B">
              <w:rPr>
                <w:noProof/>
                <w:sz w:val="18"/>
              </w:rPr>
              <w:t>nr</w:t>
            </w:r>
            <w:r w:rsidR="0028384B" w:rsidRPr="0028384B">
              <w:rPr>
                <w:noProof/>
                <w:sz w:val="18"/>
              </w:rPr>
              <w:t> </w:t>
            </w:r>
            <w:r w:rsidRPr="0028384B">
              <w:rPr>
                <w:noProof/>
                <w:sz w:val="18"/>
              </w:rPr>
              <w:t>1</w:t>
            </w:r>
            <w:r w:rsidRPr="002F16A1">
              <w:rPr>
                <w:rStyle w:val="FootnoteReference"/>
                <w:noProof/>
              </w:rPr>
              <w:footnoteReference w:id="59"/>
            </w:r>
          </w:p>
        </w:tc>
        <w:tc>
          <w:tcPr>
            <w:tcW w:w="504"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54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90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gridSpan w:val="2"/>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54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648"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432"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54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90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r>
      <w:tr w:rsidR="00AD62E2" w:rsidRPr="002F16A1" w:rsidTr="000154FC">
        <w:trPr>
          <w:trHeight w:hRule="exact" w:val="369"/>
          <w:jc w:val="center"/>
        </w:trPr>
        <w:tc>
          <w:tcPr>
            <w:tcW w:w="1423" w:type="dxa"/>
          </w:tcPr>
          <w:p w:rsidR="00AD62E2" w:rsidRPr="002F16A1" w:rsidRDefault="00AD62E2" w:rsidP="000154FC">
            <w:pPr>
              <w:ind w:right="-29"/>
              <w:jc w:val="center"/>
              <w:rPr>
                <w:noProof/>
                <w:sz w:val="18"/>
                <w:szCs w:val="18"/>
              </w:rPr>
            </w:pPr>
            <w:r w:rsidRPr="002F16A1">
              <w:rPr>
                <w:noProof/>
                <w:sz w:val="18"/>
              </w:rPr>
              <w:t>- Produkt</w:t>
            </w:r>
          </w:p>
        </w:tc>
        <w:tc>
          <w:tcPr>
            <w:tcW w:w="720" w:type="dxa"/>
          </w:tcPr>
          <w:p w:rsidR="00AD62E2" w:rsidRPr="002F16A1" w:rsidRDefault="00AD62E2" w:rsidP="000154FC">
            <w:pPr>
              <w:ind w:right="-29"/>
              <w:jc w:val="center"/>
              <w:rPr>
                <w:noProof/>
                <w:sz w:val="18"/>
                <w:szCs w:val="18"/>
              </w:rPr>
            </w:pPr>
          </w:p>
        </w:tc>
        <w:tc>
          <w:tcPr>
            <w:tcW w:w="701" w:type="dxa"/>
          </w:tcPr>
          <w:p w:rsidR="00AD62E2" w:rsidRPr="002F16A1" w:rsidRDefault="00AD62E2" w:rsidP="000154FC">
            <w:pPr>
              <w:ind w:right="-29"/>
              <w:jc w:val="center"/>
              <w:rPr>
                <w:noProof/>
                <w:sz w:val="18"/>
                <w:szCs w:val="18"/>
              </w:rPr>
            </w:pPr>
          </w:p>
        </w:tc>
        <w:tc>
          <w:tcPr>
            <w:tcW w:w="504" w:type="dxa"/>
            <w:tcBorders>
              <w:right w:val="dashSmallGap" w:sz="4" w:space="0" w:color="auto"/>
            </w:tcBorders>
          </w:tcPr>
          <w:p w:rsidR="00AD62E2" w:rsidRPr="002F16A1" w:rsidRDefault="00AD62E2" w:rsidP="000154FC">
            <w:pPr>
              <w:ind w:right="-29"/>
              <w:jc w:val="center"/>
              <w:rPr>
                <w:noProof/>
                <w:sz w:val="18"/>
                <w:szCs w:val="18"/>
              </w:rPr>
            </w:pPr>
          </w:p>
        </w:tc>
        <w:tc>
          <w:tcPr>
            <w:tcW w:w="720" w:type="dxa"/>
            <w:tcBorders>
              <w:left w:val="dashSmallGap" w:sz="4" w:space="0" w:color="auto"/>
            </w:tcBorders>
          </w:tcPr>
          <w:p w:rsidR="00AD62E2" w:rsidRPr="002F16A1" w:rsidRDefault="00AD62E2" w:rsidP="000154FC">
            <w:pPr>
              <w:ind w:right="-29"/>
              <w:jc w:val="center"/>
              <w:rPr>
                <w:noProof/>
                <w:sz w:val="18"/>
                <w:szCs w:val="18"/>
              </w:rPr>
            </w:pPr>
          </w:p>
        </w:tc>
        <w:tc>
          <w:tcPr>
            <w:tcW w:w="540" w:type="dxa"/>
            <w:tcBorders>
              <w:right w:val="dashSmallGap" w:sz="4" w:space="0" w:color="auto"/>
            </w:tcBorders>
          </w:tcPr>
          <w:p w:rsidR="00AD62E2" w:rsidRPr="002F16A1" w:rsidRDefault="00AD62E2" w:rsidP="000154FC">
            <w:pPr>
              <w:ind w:right="-29"/>
              <w:jc w:val="center"/>
              <w:rPr>
                <w:noProof/>
                <w:sz w:val="18"/>
                <w:szCs w:val="18"/>
              </w:rPr>
            </w:pPr>
          </w:p>
        </w:tc>
        <w:tc>
          <w:tcPr>
            <w:tcW w:w="720" w:type="dxa"/>
            <w:tcBorders>
              <w:left w:val="dashSmallGap" w:sz="4" w:space="0" w:color="auto"/>
            </w:tcBorders>
          </w:tcPr>
          <w:p w:rsidR="00AD62E2" w:rsidRPr="002F16A1" w:rsidRDefault="00AD62E2" w:rsidP="000154FC">
            <w:pPr>
              <w:ind w:right="-29"/>
              <w:jc w:val="center"/>
              <w:rPr>
                <w:noProof/>
                <w:sz w:val="18"/>
                <w:szCs w:val="18"/>
              </w:rPr>
            </w:pPr>
          </w:p>
        </w:tc>
        <w:tc>
          <w:tcPr>
            <w:tcW w:w="720" w:type="dxa"/>
            <w:tcBorders>
              <w:right w:val="dashSmallGap" w:sz="4" w:space="0" w:color="auto"/>
            </w:tcBorders>
          </w:tcPr>
          <w:p w:rsidR="00AD62E2" w:rsidRPr="002F16A1" w:rsidRDefault="00AD62E2" w:rsidP="000154FC">
            <w:pPr>
              <w:ind w:right="-29"/>
              <w:jc w:val="center"/>
              <w:rPr>
                <w:noProof/>
                <w:sz w:val="18"/>
                <w:szCs w:val="18"/>
              </w:rPr>
            </w:pPr>
          </w:p>
        </w:tc>
        <w:tc>
          <w:tcPr>
            <w:tcW w:w="720" w:type="dxa"/>
            <w:tcBorders>
              <w:left w:val="dashSmallGap" w:sz="4" w:space="0" w:color="auto"/>
            </w:tcBorders>
          </w:tcPr>
          <w:p w:rsidR="00AD62E2" w:rsidRPr="002F16A1" w:rsidRDefault="00AD62E2" w:rsidP="000154FC">
            <w:pPr>
              <w:ind w:right="-29"/>
              <w:jc w:val="center"/>
              <w:rPr>
                <w:noProof/>
                <w:sz w:val="18"/>
                <w:szCs w:val="18"/>
              </w:rPr>
            </w:pPr>
          </w:p>
        </w:tc>
        <w:tc>
          <w:tcPr>
            <w:tcW w:w="900" w:type="dxa"/>
            <w:tcBorders>
              <w:right w:val="dashSmallGap" w:sz="4" w:space="0" w:color="auto"/>
            </w:tcBorders>
          </w:tcPr>
          <w:p w:rsidR="00AD62E2" w:rsidRPr="002F16A1" w:rsidRDefault="00AD62E2" w:rsidP="000154FC">
            <w:pPr>
              <w:ind w:right="-29"/>
              <w:jc w:val="center"/>
              <w:rPr>
                <w:noProof/>
                <w:sz w:val="18"/>
                <w:szCs w:val="18"/>
              </w:rPr>
            </w:pPr>
          </w:p>
        </w:tc>
        <w:tc>
          <w:tcPr>
            <w:tcW w:w="720" w:type="dxa"/>
            <w:gridSpan w:val="2"/>
            <w:tcBorders>
              <w:left w:val="dashSmallGap" w:sz="4" w:space="0" w:color="auto"/>
            </w:tcBorders>
          </w:tcPr>
          <w:p w:rsidR="00AD62E2" w:rsidRPr="002F16A1" w:rsidRDefault="00AD62E2" w:rsidP="000154FC">
            <w:pPr>
              <w:ind w:right="-29"/>
              <w:jc w:val="center"/>
              <w:rPr>
                <w:noProof/>
                <w:sz w:val="18"/>
                <w:szCs w:val="18"/>
              </w:rPr>
            </w:pPr>
          </w:p>
        </w:tc>
        <w:tc>
          <w:tcPr>
            <w:tcW w:w="540" w:type="dxa"/>
            <w:tcBorders>
              <w:right w:val="dashSmallGap" w:sz="4" w:space="0" w:color="auto"/>
            </w:tcBorders>
          </w:tcPr>
          <w:p w:rsidR="00AD62E2" w:rsidRPr="002F16A1" w:rsidRDefault="00AD62E2" w:rsidP="000154FC">
            <w:pPr>
              <w:ind w:right="-29"/>
              <w:jc w:val="center"/>
              <w:rPr>
                <w:noProof/>
                <w:sz w:val="18"/>
                <w:szCs w:val="18"/>
              </w:rPr>
            </w:pPr>
          </w:p>
        </w:tc>
        <w:tc>
          <w:tcPr>
            <w:tcW w:w="648" w:type="dxa"/>
            <w:tcBorders>
              <w:left w:val="dashSmallGap" w:sz="4" w:space="0" w:color="auto"/>
            </w:tcBorders>
          </w:tcPr>
          <w:p w:rsidR="00AD62E2" w:rsidRPr="002F16A1" w:rsidRDefault="00AD62E2" w:rsidP="000154FC">
            <w:pPr>
              <w:ind w:right="-29"/>
              <w:jc w:val="center"/>
              <w:rPr>
                <w:noProof/>
                <w:sz w:val="18"/>
                <w:szCs w:val="18"/>
              </w:rPr>
            </w:pPr>
          </w:p>
        </w:tc>
        <w:tc>
          <w:tcPr>
            <w:tcW w:w="432" w:type="dxa"/>
            <w:tcBorders>
              <w:right w:val="dashSmallGap" w:sz="4" w:space="0" w:color="auto"/>
            </w:tcBorders>
          </w:tcPr>
          <w:p w:rsidR="00AD62E2" w:rsidRPr="002F16A1" w:rsidRDefault="00AD62E2" w:rsidP="000154FC">
            <w:pPr>
              <w:ind w:right="-29"/>
              <w:jc w:val="center"/>
              <w:rPr>
                <w:noProof/>
                <w:sz w:val="18"/>
                <w:szCs w:val="18"/>
              </w:rPr>
            </w:pPr>
          </w:p>
        </w:tc>
        <w:tc>
          <w:tcPr>
            <w:tcW w:w="720" w:type="dxa"/>
            <w:tcBorders>
              <w:left w:val="dashSmallGap" w:sz="4" w:space="0" w:color="auto"/>
            </w:tcBorders>
          </w:tcPr>
          <w:p w:rsidR="00AD62E2" w:rsidRPr="002F16A1" w:rsidRDefault="00AD62E2" w:rsidP="000154FC">
            <w:pPr>
              <w:ind w:right="-29"/>
              <w:jc w:val="center"/>
              <w:rPr>
                <w:noProof/>
                <w:sz w:val="18"/>
                <w:szCs w:val="18"/>
              </w:rPr>
            </w:pPr>
          </w:p>
        </w:tc>
        <w:tc>
          <w:tcPr>
            <w:tcW w:w="540" w:type="dxa"/>
            <w:tcBorders>
              <w:right w:val="dashSmallGap" w:sz="4" w:space="0" w:color="auto"/>
            </w:tcBorders>
          </w:tcPr>
          <w:p w:rsidR="00AD62E2" w:rsidRPr="002F16A1" w:rsidRDefault="00AD62E2" w:rsidP="000154FC">
            <w:pPr>
              <w:ind w:right="-29"/>
              <w:jc w:val="center"/>
              <w:rPr>
                <w:noProof/>
                <w:sz w:val="18"/>
                <w:szCs w:val="18"/>
              </w:rPr>
            </w:pPr>
          </w:p>
        </w:tc>
        <w:tc>
          <w:tcPr>
            <w:tcW w:w="720" w:type="dxa"/>
            <w:tcBorders>
              <w:left w:val="dashSmallGap" w:sz="4" w:space="0" w:color="auto"/>
            </w:tcBorders>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900" w:type="dxa"/>
          </w:tcPr>
          <w:p w:rsidR="00AD62E2" w:rsidRPr="002F16A1" w:rsidRDefault="00AD62E2" w:rsidP="000154FC">
            <w:pPr>
              <w:ind w:right="-29"/>
              <w:jc w:val="center"/>
              <w:rPr>
                <w:noProof/>
                <w:sz w:val="18"/>
                <w:szCs w:val="18"/>
              </w:rPr>
            </w:pPr>
          </w:p>
        </w:tc>
      </w:tr>
      <w:tr w:rsidR="00AD62E2" w:rsidRPr="002F16A1" w:rsidTr="000154FC">
        <w:trPr>
          <w:trHeight w:hRule="exact" w:val="369"/>
          <w:jc w:val="center"/>
        </w:trPr>
        <w:tc>
          <w:tcPr>
            <w:tcW w:w="1423" w:type="dxa"/>
          </w:tcPr>
          <w:p w:rsidR="00AD62E2" w:rsidRPr="002F16A1" w:rsidRDefault="00AD62E2" w:rsidP="000154FC">
            <w:pPr>
              <w:ind w:right="-29"/>
              <w:jc w:val="center"/>
              <w:rPr>
                <w:noProof/>
                <w:sz w:val="18"/>
                <w:szCs w:val="18"/>
              </w:rPr>
            </w:pPr>
            <w:r w:rsidRPr="002F16A1">
              <w:rPr>
                <w:noProof/>
                <w:sz w:val="18"/>
              </w:rPr>
              <w:t>- Produkt</w:t>
            </w:r>
          </w:p>
        </w:tc>
        <w:tc>
          <w:tcPr>
            <w:tcW w:w="720" w:type="dxa"/>
          </w:tcPr>
          <w:p w:rsidR="00AD62E2" w:rsidRPr="002F16A1" w:rsidRDefault="00AD62E2" w:rsidP="000154FC">
            <w:pPr>
              <w:ind w:right="-29"/>
              <w:jc w:val="center"/>
              <w:rPr>
                <w:noProof/>
                <w:sz w:val="18"/>
                <w:szCs w:val="18"/>
              </w:rPr>
            </w:pPr>
          </w:p>
        </w:tc>
        <w:tc>
          <w:tcPr>
            <w:tcW w:w="701" w:type="dxa"/>
          </w:tcPr>
          <w:p w:rsidR="00AD62E2" w:rsidRPr="002F16A1" w:rsidRDefault="00AD62E2" w:rsidP="000154FC">
            <w:pPr>
              <w:ind w:right="-29"/>
              <w:jc w:val="center"/>
              <w:rPr>
                <w:noProof/>
                <w:sz w:val="18"/>
                <w:szCs w:val="18"/>
              </w:rPr>
            </w:pPr>
          </w:p>
        </w:tc>
        <w:tc>
          <w:tcPr>
            <w:tcW w:w="504" w:type="dxa"/>
            <w:tcBorders>
              <w:right w:val="dashSmallGap" w:sz="4" w:space="0" w:color="auto"/>
            </w:tcBorders>
          </w:tcPr>
          <w:p w:rsidR="00AD62E2" w:rsidRPr="002F16A1" w:rsidRDefault="00AD62E2" w:rsidP="000154FC">
            <w:pPr>
              <w:ind w:right="-29"/>
              <w:jc w:val="center"/>
              <w:rPr>
                <w:noProof/>
                <w:sz w:val="18"/>
                <w:szCs w:val="18"/>
              </w:rPr>
            </w:pPr>
          </w:p>
        </w:tc>
        <w:tc>
          <w:tcPr>
            <w:tcW w:w="720" w:type="dxa"/>
            <w:tcBorders>
              <w:left w:val="dashSmallGap" w:sz="4" w:space="0" w:color="auto"/>
            </w:tcBorders>
          </w:tcPr>
          <w:p w:rsidR="00AD62E2" w:rsidRPr="002F16A1" w:rsidRDefault="00AD62E2" w:rsidP="000154FC">
            <w:pPr>
              <w:ind w:right="-29"/>
              <w:jc w:val="center"/>
              <w:rPr>
                <w:noProof/>
                <w:sz w:val="18"/>
                <w:szCs w:val="18"/>
              </w:rPr>
            </w:pPr>
          </w:p>
        </w:tc>
        <w:tc>
          <w:tcPr>
            <w:tcW w:w="540" w:type="dxa"/>
            <w:tcBorders>
              <w:right w:val="dashSmallGap" w:sz="4" w:space="0" w:color="auto"/>
            </w:tcBorders>
          </w:tcPr>
          <w:p w:rsidR="00AD62E2" w:rsidRPr="002F16A1" w:rsidRDefault="00AD62E2" w:rsidP="000154FC">
            <w:pPr>
              <w:ind w:right="-29"/>
              <w:jc w:val="center"/>
              <w:rPr>
                <w:noProof/>
                <w:sz w:val="18"/>
                <w:szCs w:val="18"/>
              </w:rPr>
            </w:pPr>
          </w:p>
        </w:tc>
        <w:tc>
          <w:tcPr>
            <w:tcW w:w="720" w:type="dxa"/>
            <w:tcBorders>
              <w:left w:val="dashSmallGap" w:sz="4" w:space="0" w:color="auto"/>
            </w:tcBorders>
          </w:tcPr>
          <w:p w:rsidR="00AD62E2" w:rsidRPr="002F16A1" w:rsidRDefault="00AD62E2" w:rsidP="000154FC">
            <w:pPr>
              <w:ind w:right="-29"/>
              <w:jc w:val="center"/>
              <w:rPr>
                <w:noProof/>
                <w:sz w:val="18"/>
                <w:szCs w:val="18"/>
              </w:rPr>
            </w:pPr>
          </w:p>
        </w:tc>
        <w:tc>
          <w:tcPr>
            <w:tcW w:w="720" w:type="dxa"/>
            <w:tcBorders>
              <w:right w:val="dashSmallGap" w:sz="4" w:space="0" w:color="auto"/>
            </w:tcBorders>
          </w:tcPr>
          <w:p w:rsidR="00AD62E2" w:rsidRPr="002F16A1" w:rsidRDefault="00AD62E2" w:rsidP="000154FC">
            <w:pPr>
              <w:ind w:right="-29"/>
              <w:jc w:val="center"/>
              <w:rPr>
                <w:noProof/>
                <w:sz w:val="18"/>
                <w:szCs w:val="18"/>
              </w:rPr>
            </w:pPr>
          </w:p>
        </w:tc>
        <w:tc>
          <w:tcPr>
            <w:tcW w:w="720" w:type="dxa"/>
            <w:tcBorders>
              <w:left w:val="dashSmallGap" w:sz="4" w:space="0" w:color="auto"/>
            </w:tcBorders>
          </w:tcPr>
          <w:p w:rsidR="00AD62E2" w:rsidRPr="002F16A1" w:rsidRDefault="00AD62E2" w:rsidP="000154FC">
            <w:pPr>
              <w:ind w:right="-29"/>
              <w:jc w:val="center"/>
              <w:rPr>
                <w:noProof/>
                <w:sz w:val="18"/>
                <w:szCs w:val="18"/>
              </w:rPr>
            </w:pPr>
          </w:p>
        </w:tc>
        <w:tc>
          <w:tcPr>
            <w:tcW w:w="900" w:type="dxa"/>
            <w:tcBorders>
              <w:right w:val="dashSmallGap" w:sz="4" w:space="0" w:color="auto"/>
            </w:tcBorders>
          </w:tcPr>
          <w:p w:rsidR="00AD62E2" w:rsidRPr="002F16A1" w:rsidRDefault="00AD62E2" w:rsidP="000154FC">
            <w:pPr>
              <w:ind w:right="-29"/>
              <w:jc w:val="center"/>
              <w:rPr>
                <w:noProof/>
                <w:sz w:val="18"/>
                <w:szCs w:val="18"/>
              </w:rPr>
            </w:pPr>
          </w:p>
        </w:tc>
        <w:tc>
          <w:tcPr>
            <w:tcW w:w="720" w:type="dxa"/>
            <w:gridSpan w:val="2"/>
            <w:tcBorders>
              <w:left w:val="dashSmallGap" w:sz="4" w:space="0" w:color="auto"/>
            </w:tcBorders>
          </w:tcPr>
          <w:p w:rsidR="00AD62E2" w:rsidRPr="002F16A1" w:rsidRDefault="00AD62E2" w:rsidP="000154FC">
            <w:pPr>
              <w:ind w:right="-29"/>
              <w:jc w:val="center"/>
              <w:rPr>
                <w:noProof/>
                <w:sz w:val="18"/>
                <w:szCs w:val="18"/>
              </w:rPr>
            </w:pPr>
          </w:p>
        </w:tc>
        <w:tc>
          <w:tcPr>
            <w:tcW w:w="540" w:type="dxa"/>
            <w:tcBorders>
              <w:right w:val="dashSmallGap" w:sz="4" w:space="0" w:color="auto"/>
            </w:tcBorders>
          </w:tcPr>
          <w:p w:rsidR="00AD62E2" w:rsidRPr="002F16A1" w:rsidRDefault="00AD62E2" w:rsidP="000154FC">
            <w:pPr>
              <w:ind w:right="-29"/>
              <w:jc w:val="center"/>
              <w:rPr>
                <w:noProof/>
                <w:sz w:val="18"/>
                <w:szCs w:val="18"/>
              </w:rPr>
            </w:pPr>
          </w:p>
        </w:tc>
        <w:tc>
          <w:tcPr>
            <w:tcW w:w="648" w:type="dxa"/>
            <w:tcBorders>
              <w:left w:val="dashSmallGap" w:sz="4" w:space="0" w:color="auto"/>
            </w:tcBorders>
          </w:tcPr>
          <w:p w:rsidR="00AD62E2" w:rsidRPr="002F16A1" w:rsidRDefault="00AD62E2" w:rsidP="000154FC">
            <w:pPr>
              <w:ind w:right="-29"/>
              <w:jc w:val="center"/>
              <w:rPr>
                <w:noProof/>
                <w:sz w:val="18"/>
                <w:szCs w:val="18"/>
              </w:rPr>
            </w:pPr>
          </w:p>
        </w:tc>
        <w:tc>
          <w:tcPr>
            <w:tcW w:w="432" w:type="dxa"/>
            <w:tcBorders>
              <w:right w:val="dashSmallGap" w:sz="4" w:space="0" w:color="auto"/>
            </w:tcBorders>
          </w:tcPr>
          <w:p w:rsidR="00AD62E2" w:rsidRPr="002F16A1" w:rsidRDefault="00AD62E2" w:rsidP="000154FC">
            <w:pPr>
              <w:ind w:right="-29"/>
              <w:jc w:val="center"/>
              <w:rPr>
                <w:noProof/>
                <w:sz w:val="18"/>
                <w:szCs w:val="18"/>
              </w:rPr>
            </w:pPr>
          </w:p>
        </w:tc>
        <w:tc>
          <w:tcPr>
            <w:tcW w:w="720" w:type="dxa"/>
            <w:tcBorders>
              <w:left w:val="dashSmallGap" w:sz="4" w:space="0" w:color="auto"/>
            </w:tcBorders>
          </w:tcPr>
          <w:p w:rsidR="00AD62E2" w:rsidRPr="002F16A1" w:rsidRDefault="00AD62E2" w:rsidP="000154FC">
            <w:pPr>
              <w:ind w:right="-29"/>
              <w:jc w:val="center"/>
              <w:rPr>
                <w:noProof/>
                <w:sz w:val="18"/>
                <w:szCs w:val="18"/>
              </w:rPr>
            </w:pPr>
          </w:p>
        </w:tc>
        <w:tc>
          <w:tcPr>
            <w:tcW w:w="540" w:type="dxa"/>
            <w:tcBorders>
              <w:right w:val="dashSmallGap" w:sz="4" w:space="0" w:color="auto"/>
            </w:tcBorders>
          </w:tcPr>
          <w:p w:rsidR="00AD62E2" w:rsidRPr="002F16A1" w:rsidRDefault="00AD62E2" w:rsidP="000154FC">
            <w:pPr>
              <w:ind w:right="-29"/>
              <w:jc w:val="center"/>
              <w:rPr>
                <w:noProof/>
                <w:sz w:val="18"/>
                <w:szCs w:val="18"/>
              </w:rPr>
            </w:pPr>
          </w:p>
        </w:tc>
        <w:tc>
          <w:tcPr>
            <w:tcW w:w="720" w:type="dxa"/>
            <w:tcBorders>
              <w:left w:val="dashSmallGap" w:sz="4" w:space="0" w:color="auto"/>
            </w:tcBorders>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900" w:type="dxa"/>
          </w:tcPr>
          <w:p w:rsidR="00AD62E2" w:rsidRPr="002F16A1" w:rsidRDefault="00AD62E2" w:rsidP="000154FC">
            <w:pPr>
              <w:ind w:right="-29"/>
              <w:jc w:val="center"/>
              <w:rPr>
                <w:noProof/>
                <w:sz w:val="18"/>
                <w:szCs w:val="18"/>
              </w:rPr>
            </w:pPr>
          </w:p>
        </w:tc>
      </w:tr>
      <w:tr w:rsidR="00AD62E2" w:rsidRPr="002F16A1" w:rsidTr="000154FC">
        <w:trPr>
          <w:trHeight w:hRule="exact" w:val="369"/>
          <w:jc w:val="center"/>
        </w:trPr>
        <w:tc>
          <w:tcPr>
            <w:tcW w:w="1423" w:type="dxa"/>
          </w:tcPr>
          <w:p w:rsidR="00AD62E2" w:rsidRPr="002F16A1" w:rsidRDefault="00AD62E2" w:rsidP="000154FC">
            <w:pPr>
              <w:ind w:right="-29"/>
              <w:jc w:val="center"/>
              <w:rPr>
                <w:noProof/>
                <w:sz w:val="18"/>
                <w:szCs w:val="18"/>
              </w:rPr>
            </w:pPr>
            <w:r w:rsidRPr="002F16A1">
              <w:rPr>
                <w:noProof/>
                <w:sz w:val="18"/>
              </w:rPr>
              <w:t>- Produkt</w:t>
            </w:r>
          </w:p>
        </w:tc>
        <w:tc>
          <w:tcPr>
            <w:tcW w:w="720" w:type="dxa"/>
          </w:tcPr>
          <w:p w:rsidR="00AD62E2" w:rsidRPr="002F16A1" w:rsidRDefault="00AD62E2" w:rsidP="000154FC">
            <w:pPr>
              <w:ind w:right="-29"/>
              <w:jc w:val="center"/>
              <w:rPr>
                <w:noProof/>
                <w:sz w:val="18"/>
                <w:szCs w:val="18"/>
              </w:rPr>
            </w:pPr>
          </w:p>
        </w:tc>
        <w:tc>
          <w:tcPr>
            <w:tcW w:w="701" w:type="dxa"/>
          </w:tcPr>
          <w:p w:rsidR="00AD62E2" w:rsidRPr="002F16A1" w:rsidRDefault="00AD62E2" w:rsidP="000154FC">
            <w:pPr>
              <w:ind w:right="-29"/>
              <w:jc w:val="center"/>
              <w:rPr>
                <w:noProof/>
                <w:sz w:val="18"/>
                <w:szCs w:val="18"/>
              </w:rPr>
            </w:pPr>
          </w:p>
        </w:tc>
        <w:tc>
          <w:tcPr>
            <w:tcW w:w="504"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540"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900" w:type="dxa"/>
          </w:tcPr>
          <w:p w:rsidR="00AD62E2" w:rsidRPr="002F16A1" w:rsidRDefault="00AD62E2" w:rsidP="000154FC">
            <w:pPr>
              <w:ind w:right="-29"/>
              <w:jc w:val="center"/>
              <w:rPr>
                <w:noProof/>
                <w:sz w:val="18"/>
                <w:szCs w:val="18"/>
              </w:rPr>
            </w:pPr>
          </w:p>
        </w:tc>
        <w:tc>
          <w:tcPr>
            <w:tcW w:w="720" w:type="dxa"/>
            <w:gridSpan w:val="2"/>
          </w:tcPr>
          <w:p w:rsidR="00AD62E2" w:rsidRPr="002F16A1" w:rsidRDefault="00AD62E2" w:rsidP="000154FC">
            <w:pPr>
              <w:ind w:right="-29"/>
              <w:jc w:val="center"/>
              <w:rPr>
                <w:noProof/>
                <w:sz w:val="18"/>
                <w:szCs w:val="18"/>
              </w:rPr>
            </w:pPr>
          </w:p>
        </w:tc>
        <w:tc>
          <w:tcPr>
            <w:tcW w:w="540" w:type="dxa"/>
          </w:tcPr>
          <w:p w:rsidR="00AD62E2" w:rsidRPr="002F16A1" w:rsidRDefault="00AD62E2" w:rsidP="000154FC">
            <w:pPr>
              <w:ind w:right="-29"/>
              <w:jc w:val="center"/>
              <w:rPr>
                <w:noProof/>
                <w:sz w:val="18"/>
                <w:szCs w:val="18"/>
              </w:rPr>
            </w:pPr>
          </w:p>
        </w:tc>
        <w:tc>
          <w:tcPr>
            <w:tcW w:w="648" w:type="dxa"/>
          </w:tcPr>
          <w:p w:rsidR="00AD62E2" w:rsidRPr="002F16A1" w:rsidRDefault="00AD62E2" w:rsidP="000154FC">
            <w:pPr>
              <w:ind w:right="-29"/>
              <w:jc w:val="center"/>
              <w:rPr>
                <w:noProof/>
                <w:sz w:val="18"/>
                <w:szCs w:val="18"/>
              </w:rPr>
            </w:pPr>
          </w:p>
        </w:tc>
        <w:tc>
          <w:tcPr>
            <w:tcW w:w="432"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540"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900" w:type="dxa"/>
          </w:tcPr>
          <w:p w:rsidR="00AD62E2" w:rsidRPr="002F16A1" w:rsidRDefault="00AD62E2" w:rsidP="000154FC">
            <w:pPr>
              <w:ind w:right="-29"/>
              <w:jc w:val="center"/>
              <w:rPr>
                <w:noProof/>
                <w:sz w:val="18"/>
                <w:szCs w:val="18"/>
              </w:rPr>
            </w:pPr>
          </w:p>
        </w:tc>
      </w:tr>
      <w:tr w:rsidR="00AD62E2" w:rsidRPr="002F16A1" w:rsidTr="000154FC">
        <w:trPr>
          <w:trHeight w:val="77"/>
          <w:jc w:val="center"/>
        </w:trPr>
        <w:tc>
          <w:tcPr>
            <w:tcW w:w="2844" w:type="dxa"/>
            <w:gridSpan w:val="3"/>
            <w:tcBorders>
              <w:bottom w:val="single" w:sz="12" w:space="0" w:color="auto"/>
            </w:tcBorders>
            <w:vAlign w:val="center"/>
          </w:tcPr>
          <w:p w:rsidR="00AD62E2" w:rsidRPr="002F16A1" w:rsidRDefault="00AD62E2" w:rsidP="000154FC">
            <w:pPr>
              <w:ind w:right="-29"/>
              <w:jc w:val="center"/>
              <w:rPr>
                <w:noProof/>
                <w:sz w:val="18"/>
                <w:szCs w:val="18"/>
              </w:rPr>
            </w:pPr>
            <w:r w:rsidRPr="002F16A1">
              <w:rPr>
                <w:noProof/>
                <w:sz w:val="18"/>
              </w:rPr>
              <w:t xml:space="preserve">Cel szczegółowy </w:t>
            </w:r>
            <w:r w:rsidRPr="0028384B">
              <w:rPr>
                <w:noProof/>
                <w:sz w:val="18"/>
              </w:rPr>
              <w:t>nr</w:t>
            </w:r>
            <w:r w:rsidR="0028384B" w:rsidRPr="0028384B">
              <w:rPr>
                <w:noProof/>
                <w:sz w:val="18"/>
              </w:rPr>
              <w:t> </w:t>
            </w:r>
            <w:r w:rsidRPr="0028384B">
              <w:rPr>
                <w:noProof/>
                <w:sz w:val="18"/>
              </w:rPr>
              <w:t>1</w:t>
            </w:r>
            <w:r w:rsidRPr="002F16A1">
              <w:rPr>
                <w:noProof/>
                <w:sz w:val="18"/>
              </w:rPr>
              <w:t xml:space="preserve"> – suma cząstkowa</w:t>
            </w:r>
          </w:p>
        </w:tc>
        <w:tc>
          <w:tcPr>
            <w:tcW w:w="504"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540"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900" w:type="dxa"/>
            <w:tcBorders>
              <w:bottom w:val="single" w:sz="12" w:space="0" w:color="auto"/>
            </w:tcBorders>
          </w:tcPr>
          <w:p w:rsidR="00AD62E2" w:rsidRPr="002F16A1" w:rsidRDefault="00AD62E2" w:rsidP="000154FC">
            <w:pPr>
              <w:ind w:right="-29"/>
              <w:jc w:val="center"/>
              <w:rPr>
                <w:noProof/>
                <w:sz w:val="18"/>
                <w:szCs w:val="18"/>
              </w:rPr>
            </w:pPr>
          </w:p>
        </w:tc>
        <w:tc>
          <w:tcPr>
            <w:tcW w:w="720" w:type="dxa"/>
            <w:gridSpan w:val="2"/>
            <w:tcBorders>
              <w:bottom w:val="single" w:sz="12" w:space="0" w:color="auto"/>
            </w:tcBorders>
          </w:tcPr>
          <w:p w:rsidR="00AD62E2" w:rsidRPr="002F16A1" w:rsidRDefault="00AD62E2" w:rsidP="000154FC">
            <w:pPr>
              <w:ind w:right="-29"/>
              <w:jc w:val="center"/>
              <w:rPr>
                <w:noProof/>
                <w:sz w:val="18"/>
                <w:szCs w:val="18"/>
              </w:rPr>
            </w:pPr>
          </w:p>
        </w:tc>
        <w:tc>
          <w:tcPr>
            <w:tcW w:w="540" w:type="dxa"/>
            <w:tcBorders>
              <w:bottom w:val="single" w:sz="12" w:space="0" w:color="auto"/>
            </w:tcBorders>
          </w:tcPr>
          <w:p w:rsidR="00AD62E2" w:rsidRPr="002F16A1" w:rsidRDefault="00AD62E2" w:rsidP="000154FC">
            <w:pPr>
              <w:ind w:right="-29"/>
              <w:jc w:val="center"/>
              <w:rPr>
                <w:noProof/>
                <w:sz w:val="18"/>
                <w:szCs w:val="18"/>
              </w:rPr>
            </w:pPr>
          </w:p>
        </w:tc>
        <w:tc>
          <w:tcPr>
            <w:tcW w:w="648" w:type="dxa"/>
            <w:tcBorders>
              <w:bottom w:val="single" w:sz="12" w:space="0" w:color="auto"/>
            </w:tcBorders>
          </w:tcPr>
          <w:p w:rsidR="00AD62E2" w:rsidRPr="002F16A1" w:rsidRDefault="00AD62E2" w:rsidP="000154FC">
            <w:pPr>
              <w:ind w:right="-29"/>
              <w:jc w:val="center"/>
              <w:rPr>
                <w:noProof/>
                <w:sz w:val="18"/>
                <w:szCs w:val="18"/>
              </w:rPr>
            </w:pPr>
          </w:p>
        </w:tc>
        <w:tc>
          <w:tcPr>
            <w:tcW w:w="432"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540"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900" w:type="dxa"/>
            <w:tcBorders>
              <w:bottom w:val="single" w:sz="12" w:space="0" w:color="auto"/>
            </w:tcBorders>
          </w:tcPr>
          <w:p w:rsidR="00AD62E2" w:rsidRPr="002F16A1" w:rsidRDefault="00AD62E2" w:rsidP="000154FC">
            <w:pPr>
              <w:ind w:right="-29"/>
              <w:jc w:val="center"/>
              <w:rPr>
                <w:noProof/>
                <w:sz w:val="18"/>
                <w:szCs w:val="18"/>
              </w:rPr>
            </w:pPr>
          </w:p>
        </w:tc>
      </w:tr>
      <w:tr w:rsidR="00AD62E2" w:rsidRPr="002F16A1" w:rsidTr="000154FC">
        <w:trPr>
          <w:jc w:val="center"/>
        </w:trPr>
        <w:tc>
          <w:tcPr>
            <w:tcW w:w="2844" w:type="dxa"/>
            <w:gridSpan w:val="3"/>
            <w:vAlign w:val="center"/>
          </w:tcPr>
          <w:p w:rsidR="00AD62E2" w:rsidRPr="002F16A1" w:rsidRDefault="00AD62E2" w:rsidP="000154FC">
            <w:pPr>
              <w:spacing w:before="60" w:after="60"/>
              <w:ind w:right="-29"/>
              <w:jc w:val="center"/>
              <w:rPr>
                <w:noProof/>
                <w:sz w:val="18"/>
                <w:szCs w:val="18"/>
              </w:rPr>
            </w:pPr>
            <w:r w:rsidRPr="002F16A1">
              <w:rPr>
                <w:noProof/>
                <w:sz w:val="18"/>
              </w:rPr>
              <w:t xml:space="preserve">CEL SZCZEGÓŁOWY </w:t>
            </w:r>
            <w:r w:rsidRPr="0028384B">
              <w:rPr>
                <w:noProof/>
                <w:sz w:val="18"/>
              </w:rPr>
              <w:t>nr</w:t>
            </w:r>
            <w:r w:rsidR="0028384B" w:rsidRPr="0028384B">
              <w:rPr>
                <w:noProof/>
                <w:sz w:val="18"/>
              </w:rPr>
              <w:t> </w:t>
            </w:r>
            <w:r w:rsidRPr="0028384B">
              <w:rPr>
                <w:noProof/>
                <w:sz w:val="18"/>
              </w:rPr>
              <w:t>2</w:t>
            </w:r>
          </w:p>
        </w:tc>
        <w:tc>
          <w:tcPr>
            <w:tcW w:w="504"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54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90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gridSpan w:val="2"/>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54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648"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432"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54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72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c>
          <w:tcPr>
            <w:tcW w:w="900" w:type="dxa"/>
            <w:tcBorders>
              <w:top w:val="nil"/>
              <w:left w:val="nil"/>
              <w:bottom w:val="nil"/>
              <w:right w:val="nil"/>
            </w:tcBorders>
          </w:tcPr>
          <w:p w:rsidR="00AD62E2" w:rsidRPr="002F16A1" w:rsidRDefault="00AD62E2" w:rsidP="000154FC">
            <w:pPr>
              <w:spacing w:before="60" w:after="60"/>
              <w:ind w:right="-29"/>
              <w:jc w:val="center"/>
              <w:rPr>
                <w:noProof/>
                <w:sz w:val="18"/>
                <w:szCs w:val="18"/>
              </w:rPr>
            </w:pPr>
          </w:p>
        </w:tc>
      </w:tr>
      <w:tr w:rsidR="00AD62E2" w:rsidRPr="002F16A1" w:rsidTr="000154FC">
        <w:trPr>
          <w:trHeight w:hRule="exact" w:val="369"/>
          <w:jc w:val="center"/>
        </w:trPr>
        <w:tc>
          <w:tcPr>
            <w:tcW w:w="1423" w:type="dxa"/>
          </w:tcPr>
          <w:p w:rsidR="00AD62E2" w:rsidRPr="002F16A1" w:rsidRDefault="00AD62E2" w:rsidP="000154FC">
            <w:pPr>
              <w:ind w:right="-29"/>
              <w:jc w:val="center"/>
              <w:rPr>
                <w:noProof/>
                <w:sz w:val="18"/>
                <w:szCs w:val="18"/>
              </w:rPr>
            </w:pPr>
            <w:r w:rsidRPr="002F16A1">
              <w:rPr>
                <w:noProof/>
                <w:sz w:val="18"/>
              </w:rPr>
              <w:t>- Produkt</w:t>
            </w:r>
          </w:p>
        </w:tc>
        <w:tc>
          <w:tcPr>
            <w:tcW w:w="720" w:type="dxa"/>
          </w:tcPr>
          <w:p w:rsidR="00AD62E2" w:rsidRPr="002F16A1" w:rsidRDefault="00AD62E2" w:rsidP="000154FC">
            <w:pPr>
              <w:ind w:right="-29"/>
              <w:jc w:val="center"/>
              <w:rPr>
                <w:noProof/>
                <w:sz w:val="18"/>
                <w:szCs w:val="18"/>
              </w:rPr>
            </w:pPr>
          </w:p>
        </w:tc>
        <w:tc>
          <w:tcPr>
            <w:tcW w:w="701" w:type="dxa"/>
          </w:tcPr>
          <w:p w:rsidR="00AD62E2" w:rsidRPr="002F16A1" w:rsidRDefault="00AD62E2" w:rsidP="000154FC">
            <w:pPr>
              <w:ind w:right="-29"/>
              <w:jc w:val="center"/>
              <w:rPr>
                <w:noProof/>
                <w:sz w:val="18"/>
                <w:szCs w:val="18"/>
              </w:rPr>
            </w:pPr>
          </w:p>
        </w:tc>
        <w:tc>
          <w:tcPr>
            <w:tcW w:w="504"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540"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900" w:type="dxa"/>
          </w:tcPr>
          <w:p w:rsidR="00AD62E2" w:rsidRPr="002F16A1" w:rsidRDefault="00AD62E2" w:rsidP="000154FC">
            <w:pPr>
              <w:ind w:right="-29"/>
              <w:jc w:val="center"/>
              <w:rPr>
                <w:noProof/>
                <w:sz w:val="18"/>
                <w:szCs w:val="18"/>
              </w:rPr>
            </w:pPr>
          </w:p>
        </w:tc>
        <w:tc>
          <w:tcPr>
            <w:tcW w:w="720" w:type="dxa"/>
            <w:gridSpan w:val="2"/>
          </w:tcPr>
          <w:p w:rsidR="00AD62E2" w:rsidRPr="002F16A1" w:rsidRDefault="00AD62E2" w:rsidP="000154FC">
            <w:pPr>
              <w:ind w:right="-29"/>
              <w:jc w:val="center"/>
              <w:rPr>
                <w:noProof/>
                <w:sz w:val="18"/>
                <w:szCs w:val="18"/>
              </w:rPr>
            </w:pPr>
          </w:p>
        </w:tc>
        <w:tc>
          <w:tcPr>
            <w:tcW w:w="540" w:type="dxa"/>
          </w:tcPr>
          <w:p w:rsidR="00AD62E2" w:rsidRPr="002F16A1" w:rsidRDefault="00AD62E2" w:rsidP="000154FC">
            <w:pPr>
              <w:ind w:right="-29"/>
              <w:jc w:val="center"/>
              <w:rPr>
                <w:noProof/>
                <w:sz w:val="18"/>
                <w:szCs w:val="18"/>
              </w:rPr>
            </w:pPr>
          </w:p>
        </w:tc>
        <w:tc>
          <w:tcPr>
            <w:tcW w:w="648" w:type="dxa"/>
          </w:tcPr>
          <w:p w:rsidR="00AD62E2" w:rsidRPr="002F16A1" w:rsidRDefault="00AD62E2" w:rsidP="000154FC">
            <w:pPr>
              <w:ind w:right="-29"/>
              <w:jc w:val="center"/>
              <w:rPr>
                <w:noProof/>
                <w:sz w:val="18"/>
                <w:szCs w:val="18"/>
              </w:rPr>
            </w:pPr>
          </w:p>
        </w:tc>
        <w:tc>
          <w:tcPr>
            <w:tcW w:w="432"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540"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720" w:type="dxa"/>
          </w:tcPr>
          <w:p w:rsidR="00AD62E2" w:rsidRPr="002F16A1" w:rsidRDefault="00AD62E2" w:rsidP="000154FC">
            <w:pPr>
              <w:ind w:right="-29"/>
              <w:jc w:val="center"/>
              <w:rPr>
                <w:noProof/>
                <w:sz w:val="18"/>
                <w:szCs w:val="18"/>
              </w:rPr>
            </w:pPr>
          </w:p>
        </w:tc>
        <w:tc>
          <w:tcPr>
            <w:tcW w:w="900" w:type="dxa"/>
          </w:tcPr>
          <w:p w:rsidR="00AD62E2" w:rsidRPr="002F16A1" w:rsidRDefault="00AD62E2" w:rsidP="000154FC">
            <w:pPr>
              <w:ind w:right="-29"/>
              <w:jc w:val="center"/>
              <w:rPr>
                <w:noProof/>
                <w:sz w:val="18"/>
                <w:szCs w:val="18"/>
              </w:rPr>
            </w:pPr>
          </w:p>
        </w:tc>
      </w:tr>
      <w:tr w:rsidR="00AD62E2" w:rsidRPr="002F16A1" w:rsidTr="000154FC">
        <w:trPr>
          <w:jc w:val="center"/>
        </w:trPr>
        <w:tc>
          <w:tcPr>
            <w:tcW w:w="2844" w:type="dxa"/>
            <w:gridSpan w:val="3"/>
            <w:tcBorders>
              <w:bottom w:val="single" w:sz="12" w:space="0" w:color="auto"/>
            </w:tcBorders>
            <w:vAlign w:val="center"/>
          </w:tcPr>
          <w:p w:rsidR="00AD62E2" w:rsidRPr="002F16A1" w:rsidRDefault="00AD62E2" w:rsidP="000154FC">
            <w:pPr>
              <w:jc w:val="center"/>
              <w:rPr>
                <w:noProof/>
                <w:sz w:val="18"/>
                <w:szCs w:val="18"/>
              </w:rPr>
            </w:pPr>
            <w:r w:rsidRPr="002F16A1">
              <w:rPr>
                <w:noProof/>
                <w:sz w:val="18"/>
              </w:rPr>
              <w:t xml:space="preserve">Cel szczegółowy </w:t>
            </w:r>
            <w:r w:rsidRPr="0028384B">
              <w:rPr>
                <w:noProof/>
                <w:sz w:val="18"/>
              </w:rPr>
              <w:t>nr</w:t>
            </w:r>
            <w:r w:rsidR="0028384B" w:rsidRPr="0028384B">
              <w:rPr>
                <w:noProof/>
                <w:sz w:val="18"/>
              </w:rPr>
              <w:t> </w:t>
            </w:r>
            <w:r w:rsidRPr="0028384B">
              <w:rPr>
                <w:noProof/>
                <w:sz w:val="18"/>
              </w:rPr>
              <w:t>2</w:t>
            </w:r>
            <w:r w:rsidRPr="002F16A1">
              <w:rPr>
                <w:noProof/>
                <w:sz w:val="18"/>
              </w:rPr>
              <w:t xml:space="preserve"> – suma cząstkowa</w:t>
            </w:r>
          </w:p>
        </w:tc>
        <w:tc>
          <w:tcPr>
            <w:tcW w:w="504"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540"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951" w:type="dxa"/>
            <w:gridSpan w:val="2"/>
            <w:tcBorders>
              <w:bottom w:val="single" w:sz="12" w:space="0" w:color="auto"/>
            </w:tcBorders>
          </w:tcPr>
          <w:p w:rsidR="00AD62E2" w:rsidRPr="002F16A1" w:rsidRDefault="00AD62E2" w:rsidP="000154FC">
            <w:pPr>
              <w:ind w:right="-29"/>
              <w:jc w:val="center"/>
              <w:rPr>
                <w:noProof/>
                <w:sz w:val="18"/>
                <w:szCs w:val="18"/>
              </w:rPr>
            </w:pPr>
          </w:p>
        </w:tc>
        <w:tc>
          <w:tcPr>
            <w:tcW w:w="669" w:type="dxa"/>
            <w:tcBorders>
              <w:bottom w:val="single" w:sz="12" w:space="0" w:color="auto"/>
            </w:tcBorders>
          </w:tcPr>
          <w:p w:rsidR="00AD62E2" w:rsidRPr="002F16A1" w:rsidRDefault="00AD62E2" w:rsidP="000154FC">
            <w:pPr>
              <w:ind w:right="-29"/>
              <w:jc w:val="center"/>
              <w:rPr>
                <w:noProof/>
                <w:sz w:val="18"/>
                <w:szCs w:val="18"/>
              </w:rPr>
            </w:pPr>
          </w:p>
        </w:tc>
        <w:tc>
          <w:tcPr>
            <w:tcW w:w="540" w:type="dxa"/>
            <w:tcBorders>
              <w:bottom w:val="single" w:sz="12" w:space="0" w:color="auto"/>
            </w:tcBorders>
          </w:tcPr>
          <w:p w:rsidR="00AD62E2" w:rsidRPr="002F16A1" w:rsidRDefault="00AD62E2" w:rsidP="000154FC">
            <w:pPr>
              <w:ind w:right="-29"/>
              <w:jc w:val="center"/>
              <w:rPr>
                <w:noProof/>
                <w:sz w:val="18"/>
                <w:szCs w:val="18"/>
              </w:rPr>
            </w:pPr>
          </w:p>
        </w:tc>
        <w:tc>
          <w:tcPr>
            <w:tcW w:w="648" w:type="dxa"/>
            <w:tcBorders>
              <w:bottom w:val="single" w:sz="12" w:space="0" w:color="auto"/>
            </w:tcBorders>
          </w:tcPr>
          <w:p w:rsidR="00AD62E2" w:rsidRPr="002F16A1" w:rsidRDefault="00AD62E2" w:rsidP="000154FC">
            <w:pPr>
              <w:ind w:right="-29"/>
              <w:jc w:val="center"/>
              <w:rPr>
                <w:noProof/>
                <w:sz w:val="18"/>
                <w:szCs w:val="18"/>
              </w:rPr>
            </w:pPr>
          </w:p>
        </w:tc>
        <w:tc>
          <w:tcPr>
            <w:tcW w:w="432"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540"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720" w:type="dxa"/>
            <w:tcBorders>
              <w:bottom w:val="single" w:sz="12" w:space="0" w:color="auto"/>
            </w:tcBorders>
          </w:tcPr>
          <w:p w:rsidR="00AD62E2" w:rsidRPr="002F16A1" w:rsidRDefault="00AD62E2" w:rsidP="000154FC">
            <w:pPr>
              <w:ind w:right="-29"/>
              <w:jc w:val="center"/>
              <w:rPr>
                <w:noProof/>
                <w:sz w:val="18"/>
                <w:szCs w:val="18"/>
              </w:rPr>
            </w:pPr>
          </w:p>
        </w:tc>
        <w:tc>
          <w:tcPr>
            <w:tcW w:w="900" w:type="dxa"/>
            <w:tcBorders>
              <w:bottom w:val="single" w:sz="12" w:space="0" w:color="auto"/>
            </w:tcBorders>
          </w:tcPr>
          <w:p w:rsidR="00AD62E2" w:rsidRPr="002F16A1" w:rsidRDefault="00AD62E2" w:rsidP="000154FC">
            <w:pPr>
              <w:ind w:right="-29"/>
              <w:jc w:val="center"/>
              <w:rPr>
                <w:noProof/>
                <w:sz w:val="18"/>
                <w:szCs w:val="18"/>
              </w:rPr>
            </w:pPr>
          </w:p>
        </w:tc>
      </w:tr>
      <w:tr w:rsidR="00AD62E2" w:rsidRPr="002F16A1" w:rsidTr="000154FC">
        <w:trPr>
          <w:jc w:val="center"/>
        </w:trPr>
        <w:tc>
          <w:tcPr>
            <w:tcW w:w="2844" w:type="dxa"/>
            <w:gridSpan w:val="3"/>
            <w:tcBorders>
              <w:top w:val="single" w:sz="12" w:space="0" w:color="auto"/>
              <w:left w:val="single" w:sz="12" w:space="0" w:color="auto"/>
              <w:bottom w:val="single" w:sz="12" w:space="0" w:color="auto"/>
            </w:tcBorders>
            <w:vAlign w:val="center"/>
          </w:tcPr>
          <w:p w:rsidR="00AD62E2" w:rsidRPr="002F16A1" w:rsidRDefault="00AD62E2" w:rsidP="000154FC">
            <w:pPr>
              <w:ind w:right="-29"/>
              <w:jc w:val="center"/>
              <w:rPr>
                <w:noProof/>
                <w:sz w:val="18"/>
                <w:szCs w:val="18"/>
              </w:rPr>
            </w:pPr>
            <w:r w:rsidRPr="002F16A1">
              <w:rPr>
                <w:b/>
                <w:noProof/>
                <w:sz w:val="18"/>
              </w:rPr>
              <w:t>OGÓŁEM</w:t>
            </w:r>
          </w:p>
        </w:tc>
        <w:tc>
          <w:tcPr>
            <w:tcW w:w="504"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720"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540"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720"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720"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720"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900"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540"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648"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432"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720"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540"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720"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720" w:type="dxa"/>
            <w:tcBorders>
              <w:top w:val="single" w:sz="12" w:space="0" w:color="auto"/>
              <w:bottom w:val="single" w:sz="12" w:space="0" w:color="auto"/>
            </w:tcBorders>
          </w:tcPr>
          <w:p w:rsidR="00AD62E2" w:rsidRPr="002F16A1" w:rsidRDefault="00AD62E2" w:rsidP="000154FC">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AD62E2" w:rsidRPr="002F16A1" w:rsidRDefault="00AD62E2" w:rsidP="000154FC">
            <w:pPr>
              <w:spacing w:before="180" w:after="180"/>
              <w:ind w:right="-29"/>
              <w:jc w:val="center"/>
              <w:rPr>
                <w:noProof/>
                <w:sz w:val="18"/>
                <w:szCs w:val="18"/>
              </w:rPr>
            </w:pPr>
          </w:p>
        </w:tc>
      </w:tr>
    </w:tbl>
    <w:p w:rsidR="00AD62E2" w:rsidRPr="002F16A1" w:rsidRDefault="00AD62E2" w:rsidP="00AD62E2">
      <w:pPr>
        <w:rPr>
          <w:noProof/>
        </w:rPr>
        <w:sectPr w:rsidR="00AD62E2" w:rsidRPr="002F16A1" w:rsidSect="00D32217">
          <w:headerReference w:type="default" r:id="rId13"/>
          <w:footerReference w:type="default" r:id="rId14"/>
          <w:headerReference w:type="first" r:id="rId15"/>
          <w:footerReference w:type="first" r:id="rId16"/>
          <w:pgSz w:w="16840" w:h="11907" w:orient="landscape" w:code="9"/>
          <w:pgMar w:top="1134" w:right="1418" w:bottom="567" w:left="1418" w:header="709" w:footer="709" w:gutter="0"/>
          <w:cols w:space="708"/>
          <w:docGrid w:linePitch="360"/>
        </w:sectPr>
      </w:pPr>
    </w:p>
    <w:p w:rsidR="00AD62E2" w:rsidRPr="002F16A1" w:rsidRDefault="00AD62E2" w:rsidP="00AD62E2">
      <w:pPr>
        <w:pStyle w:val="ManualHeading3"/>
        <w:rPr>
          <w:bCs/>
          <w:noProof/>
          <w:szCs w:val="24"/>
        </w:rPr>
      </w:pPr>
      <w:bookmarkStart w:id="89" w:name="_Toc514938055"/>
      <w:bookmarkStart w:id="90" w:name="_Toc520485054"/>
      <w:r w:rsidRPr="002F16A1">
        <w:rPr>
          <w:noProof/>
        </w:rPr>
        <w:t>3.2.3.</w:t>
      </w:r>
      <w:r w:rsidRPr="002F16A1">
        <w:rPr>
          <w:noProof/>
        </w:rPr>
        <w:tab/>
        <w:t>Podsumowanie szacunkowego wpływu na środki administracyjne</w:t>
      </w:r>
      <w:bookmarkEnd w:id="89"/>
      <w:bookmarkEnd w:id="90"/>
      <w:r w:rsidRPr="002F16A1">
        <w:rPr>
          <w:noProof/>
        </w:rPr>
        <w:t xml:space="preserve"> </w:t>
      </w:r>
    </w:p>
    <w:p w:rsidR="00AD62E2" w:rsidRPr="002F16A1" w:rsidRDefault="00AD62E2" w:rsidP="00AD62E2">
      <w:pPr>
        <w:pStyle w:val="ListDash1"/>
        <w:rPr>
          <w:noProof/>
        </w:rPr>
      </w:pPr>
      <w:r w:rsidRPr="002F16A1">
        <w:rPr>
          <w:rFonts w:ascii="Wingdings" w:hAnsi="Wingdings"/>
          <w:noProof/>
        </w:rPr>
        <w:t></w:t>
      </w:r>
      <w:r w:rsidRPr="002F16A1">
        <w:rPr>
          <w:noProof/>
        </w:rPr>
        <w:tab/>
        <w:t>Wniosek/inicjatywa nie wiąże się</w:t>
      </w:r>
      <w:r w:rsidR="0028384B" w:rsidRPr="002F16A1">
        <w:rPr>
          <w:noProof/>
        </w:rPr>
        <w:t xml:space="preserve"> z</w:t>
      </w:r>
      <w:r w:rsidR="0028384B">
        <w:rPr>
          <w:noProof/>
        </w:rPr>
        <w:t> </w:t>
      </w:r>
      <w:r w:rsidR="0028384B" w:rsidRPr="002F16A1">
        <w:rPr>
          <w:noProof/>
        </w:rPr>
        <w:t>kon</w:t>
      </w:r>
      <w:r w:rsidRPr="002F16A1">
        <w:rPr>
          <w:noProof/>
        </w:rPr>
        <w:t xml:space="preserve">iecznością wykorzystania środków administracyjnych </w:t>
      </w:r>
    </w:p>
    <w:p w:rsidR="00AD62E2" w:rsidRPr="002F16A1" w:rsidRDefault="00AD62E2" w:rsidP="00AD62E2">
      <w:pPr>
        <w:pStyle w:val="ListDash1"/>
        <w:rPr>
          <w:noProof/>
        </w:rPr>
      </w:pPr>
      <w:r w:rsidRPr="002F16A1">
        <w:rPr>
          <w:rStyle w:val="normaltextrun"/>
          <w:rFonts w:ascii="Wingdings 2" w:hAnsi="Wingdings 2"/>
          <w:noProof/>
          <w:color w:val="000000"/>
          <w:bdr w:val="none" w:sz="0" w:space="0" w:color="auto" w:frame="1"/>
        </w:rPr>
        <w:t></w:t>
      </w:r>
      <w:r w:rsidRPr="002F16A1">
        <w:rPr>
          <w:noProof/>
        </w:rPr>
        <w:tab/>
        <w:t>Wniosek/inicjatywa wiąże się</w:t>
      </w:r>
      <w:r w:rsidR="0028384B" w:rsidRPr="002F16A1">
        <w:rPr>
          <w:noProof/>
        </w:rPr>
        <w:t xml:space="preserve"> z</w:t>
      </w:r>
      <w:r w:rsidR="0028384B">
        <w:rPr>
          <w:noProof/>
        </w:rPr>
        <w:t> </w:t>
      </w:r>
      <w:r w:rsidR="0028384B" w:rsidRPr="002F16A1">
        <w:rPr>
          <w:noProof/>
        </w:rPr>
        <w:t>kon</w:t>
      </w:r>
      <w:r w:rsidRPr="002F16A1">
        <w:rPr>
          <w:noProof/>
        </w:rPr>
        <w:t>iecznością wykorzystania środków administracyjnych, jak określono poniżej:</w:t>
      </w:r>
    </w:p>
    <w:p w:rsidR="00AD62E2" w:rsidRPr="002F16A1" w:rsidRDefault="00AD62E2" w:rsidP="00AD62E2">
      <w:pPr>
        <w:jc w:val="right"/>
        <w:rPr>
          <w:noProof/>
          <w:sz w:val="20"/>
        </w:rPr>
      </w:pPr>
      <w:r w:rsidRPr="002F16A1">
        <w:rPr>
          <w:noProof/>
          <w:sz w:val="20"/>
        </w:rPr>
        <w:t>w mln EUR (do trzech miejsc po przecinku)</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AD62E2" w:rsidRPr="002F16A1" w:rsidTr="000154FC">
        <w:trPr>
          <w:trHeight w:val="585"/>
        </w:trPr>
        <w:tc>
          <w:tcPr>
            <w:tcW w:w="1980" w:type="dxa"/>
          </w:tcPr>
          <w:p w:rsidR="00AD62E2" w:rsidRPr="002F16A1" w:rsidRDefault="00AD62E2" w:rsidP="000154FC">
            <w:pPr>
              <w:spacing w:before="60" w:after="60" w:line="200" w:lineRule="exact"/>
              <w:rPr>
                <w:noProof/>
                <w:sz w:val="16"/>
                <w:szCs w:val="16"/>
              </w:rPr>
            </w:pPr>
          </w:p>
        </w:tc>
        <w:tc>
          <w:tcPr>
            <w:tcW w:w="1080" w:type="dxa"/>
            <w:vAlign w:val="center"/>
          </w:tcPr>
          <w:p w:rsidR="00AD62E2" w:rsidRPr="002F16A1" w:rsidRDefault="00AD62E2" w:rsidP="000154FC">
            <w:pPr>
              <w:spacing w:before="60" w:after="60" w:line="200" w:lineRule="exact"/>
              <w:jc w:val="center"/>
              <w:rPr>
                <w:noProof/>
                <w:sz w:val="16"/>
                <w:szCs w:val="16"/>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2024</w:t>
            </w:r>
            <w:r w:rsidRPr="002F16A1">
              <w:rPr>
                <w:rStyle w:val="eop"/>
                <w:noProof/>
                <w:sz w:val="20"/>
              </w:rPr>
              <w:t xml:space="preserve"> </w:t>
            </w:r>
          </w:p>
        </w:tc>
        <w:tc>
          <w:tcPr>
            <w:tcW w:w="1080" w:type="dxa"/>
            <w:vAlign w:val="center"/>
          </w:tcPr>
          <w:p w:rsidR="00AD62E2" w:rsidRPr="002F16A1" w:rsidRDefault="00AD62E2" w:rsidP="000154FC">
            <w:pPr>
              <w:spacing w:before="60" w:after="60" w:line="200" w:lineRule="exact"/>
              <w:jc w:val="center"/>
              <w:rPr>
                <w:noProof/>
                <w:sz w:val="16"/>
                <w:szCs w:val="16"/>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2025</w:t>
            </w:r>
            <w:r w:rsidRPr="002F16A1">
              <w:rPr>
                <w:rStyle w:val="eop"/>
                <w:noProof/>
                <w:sz w:val="20"/>
              </w:rPr>
              <w:t xml:space="preserve"> </w:t>
            </w:r>
          </w:p>
        </w:tc>
        <w:tc>
          <w:tcPr>
            <w:tcW w:w="1080" w:type="dxa"/>
            <w:vAlign w:val="center"/>
          </w:tcPr>
          <w:p w:rsidR="00AD62E2" w:rsidRPr="002F16A1" w:rsidRDefault="00AD62E2" w:rsidP="000154FC">
            <w:pPr>
              <w:spacing w:before="60" w:after="60" w:line="200" w:lineRule="exact"/>
              <w:jc w:val="center"/>
              <w:rPr>
                <w:noProof/>
                <w:sz w:val="16"/>
                <w:szCs w:val="16"/>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2026</w:t>
            </w:r>
            <w:r w:rsidRPr="002F16A1">
              <w:rPr>
                <w:rStyle w:val="eop"/>
                <w:noProof/>
                <w:sz w:val="20"/>
              </w:rPr>
              <w:t xml:space="preserve"> </w:t>
            </w:r>
          </w:p>
        </w:tc>
        <w:tc>
          <w:tcPr>
            <w:tcW w:w="1080" w:type="dxa"/>
            <w:vAlign w:val="center"/>
          </w:tcPr>
          <w:p w:rsidR="00AD62E2" w:rsidRPr="002F16A1" w:rsidRDefault="00AD62E2" w:rsidP="000154FC">
            <w:pPr>
              <w:spacing w:before="60" w:after="60" w:line="200" w:lineRule="exact"/>
              <w:jc w:val="center"/>
              <w:rPr>
                <w:noProof/>
                <w:sz w:val="16"/>
                <w:szCs w:val="16"/>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2027</w:t>
            </w:r>
            <w:r w:rsidRPr="002F16A1">
              <w:rPr>
                <w:rStyle w:val="eop"/>
                <w:noProof/>
                <w:sz w:val="20"/>
              </w:rPr>
              <w:t xml:space="preserve"> </w:t>
            </w:r>
          </w:p>
        </w:tc>
        <w:tc>
          <w:tcPr>
            <w:tcW w:w="3240" w:type="dxa"/>
            <w:vAlign w:val="center"/>
          </w:tcPr>
          <w:p w:rsidR="00AD62E2" w:rsidRPr="002F16A1" w:rsidRDefault="00AD62E2" w:rsidP="000154FC">
            <w:pPr>
              <w:spacing w:line="200" w:lineRule="exact"/>
              <w:jc w:val="center"/>
              <w:rPr>
                <w:b/>
                <w:noProof/>
                <w:sz w:val="16"/>
                <w:szCs w:val="16"/>
              </w:rPr>
            </w:pPr>
            <w:r w:rsidRPr="002F16A1">
              <w:rPr>
                <w:noProof/>
                <w:sz w:val="16"/>
              </w:rPr>
              <w:t xml:space="preserve">Wprowadzić taką liczbę kolumn dla poszczególnych lat, jaka jest niezbędna, by odzwierciedlić cały okres wpływu (por. </w:t>
            </w:r>
            <w:r w:rsidRPr="0028384B">
              <w:rPr>
                <w:noProof/>
                <w:sz w:val="16"/>
              </w:rPr>
              <w:t>pkt</w:t>
            </w:r>
            <w:r w:rsidR="0028384B" w:rsidRPr="0028384B">
              <w:rPr>
                <w:noProof/>
                <w:sz w:val="16"/>
              </w:rPr>
              <w:t> </w:t>
            </w:r>
            <w:r w:rsidRPr="0028384B">
              <w:rPr>
                <w:noProof/>
                <w:sz w:val="16"/>
              </w:rPr>
              <w:t>1</w:t>
            </w:r>
            <w:r w:rsidRPr="002F16A1">
              <w:rPr>
                <w:noProof/>
                <w:sz w:val="16"/>
              </w:rPr>
              <w:t>.6)</w:t>
            </w:r>
          </w:p>
        </w:tc>
        <w:tc>
          <w:tcPr>
            <w:tcW w:w="1080" w:type="dxa"/>
            <w:vAlign w:val="center"/>
          </w:tcPr>
          <w:p w:rsidR="00AD62E2" w:rsidRPr="002F16A1" w:rsidRDefault="00AD62E2" w:rsidP="000154FC">
            <w:pPr>
              <w:spacing w:before="60" w:after="60" w:line="200" w:lineRule="exact"/>
              <w:jc w:val="center"/>
              <w:rPr>
                <w:b/>
                <w:noProof/>
                <w:sz w:val="16"/>
                <w:szCs w:val="16"/>
              </w:rPr>
            </w:pPr>
            <w:r w:rsidRPr="002F16A1">
              <w:rPr>
                <w:b/>
                <w:noProof/>
                <w:sz w:val="16"/>
              </w:rPr>
              <w:t>OGÓŁEM</w:t>
            </w:r>
          </w:p>
        </w:tc>
      </w:tr>
    </w:tbl>
    <w:p w:rsidR="00AD62E2" w:rsidRPr="002F16A1" w:rsidRDefault="00AD62E2" w:rsidP="00AD62E2">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AD62E2" w:rsidRPr="002F16A1" w:rsidTr="000154FC">
        <w:trPr>
          <w:trHeight w:val="585"/>
        </w:trPr>
        <w:tc>
          <w:tcPr>
            <w:tcW w:w="1980" w:type="dxa"/>
            <w:shd w:val="clear" w:color="auto" w:fill="CCCCCC"/>
            <w:vAlign w:val="center"/>
          </w:tcPr>
          <w:p w:rsidR="00AD62E2" w:rsidRPr="002F16A1" w:rsidRDefault="00AD62E2" w:rsidP="000154FC">
            <w:pPr>
              <w:spacing w:before="60" w:after="60" w:line="200" w:lineRule="exact"/>
              <w:jc w:val="center"/>
              <w:rPr>
                <w:b/>
                <w:noProof/>
                <w:sz w:val="16"/>
                <w:szCs w:val="16"/>
              </w:rPr>
            </w:pPr>
            <w:r w:rsidRPr="002F16A1">
              <w:rPr>
                <w:b/>
                <w:noProof/>
                <w:sz w:val="16"/>
              </w:rPr>
              <w:t>DZIAŁ 7</w:t>
            </w:r>
            <w:r w:rsidRPr="002F16A1">
              <w:rPr>
                <w:noProof/>
              </w:rPr>
              <w:t xml:space="preserve"> </w:t>
            </w:r>
            <w:r w:rsidRPr="002F16A1">
              <w:rPr>
                <w:noProof/>
              </w:rPr>
              <w:br/>
            </w:r>
            <w:r w:rsidRPr="002F16A1">
              <w:rPr>
                <w:b/>
                <w:noProof/>
                <w:sz w:val="16"/>
              </w:rPr>
              <w:t>wieloletnich ram finansowych</w:t>
            </w: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b/>
                <w:noProof/>
                <w:sz w:val="16"/>
                <w:szCs w:val="16"/>
              </w:rPr>
            </w:pPr>
          </w:p>
        </w:tc>
        <w:tc>
          <w:tcPr>
            <w:tcW w:w="1080" w:type="dxa"/>
            <w:vAlign w:val="center"/>
          </w:tcPr>
          <w:p w:rsidR="00AD62E2" w:rsidRPr="002F16A1" w:rsidRDefault="00AD62E2" w:rsidP="000154FC">
            <w:pPr>
              <w:spacing w:before="60" w:after="60" w:line="200" w:lineRule="exact"/>
              <w:jc w:val="right"/>
              <w:rPr>
                <w:b/>
                <w:noProof/>
                <w:sz w:val="16"/>
                <w:szCs w:val="16"/>
              </w:rPr>
            </w:pPr>
          </w:p>
        </w:tc>
      </w:tr>
      <w:tr w:rsidR="00AD62E2" w:rsidRPr="002F16A1" w:rsidTr="000154FC">
        <w:trPr>
          <w:trHeight w:val="585"/>
        </w:trPr>
        <w:tc>
          <w:tcPr>
            <w:tcW w:w="1980" w:type="dxa"/>
            <w:vAlign w:val="center"/>
          </w:tcPr>
          <w:p w:rsidR="00AD62E2" w:rsidRPr="002F16A1" w:rsidRDefault="00AD62E2" w:rsidP="000154FC">
            <w:pPr>
              <w:spacing w:before="60" w:after="60" w:line="200" w:lineRule="exact"/>
              <w:ind w:left="72"/>
              <w:jc w:val="left"/>
              <w:rPr>
                <w:noProof/>
                <w:sz w:val="16"/>
                <w:szCs w:val="16"/>
              </w:rPr>
            </w:pPr>
            <w:r w:rsidRPr="002F16A1">
              <w:rPr>
                <w:noProof/>
                <w:sz w:val="16"/>
              </w:rPr>
              <w:t xml:space="preserve">Zasoby ludzkie </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Narrow" w:hAnsi="Arial Narrow"/>
                <w:noProof/>
                <w:color w:val="000000" w:themeColor="text1"/>
                <w:sz w:val="20"/>
              </w:rPr>
              <w:t>1,</w:t>
            </w:r>
            <w:r w:rsidRPr="002F16A1">
              <w:rPr>
                <w:rStyle w:val="eop"/>
                <w:rFonts w:ascii="Arial Narrow" w:hAnsi="Arial Narrow"/>
                <w:noProof/>
                <w:color w:val="000000" w:themeColor="text1"/>
                <w:sz w:val="20"/>
              </w:rPr>
              <w:t>734</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Narrow" w:hAnsi="Arial Narrow"/>
                <w:noProof/>
                <w:color w:val="000000" w:themeColor="text1"/>
                <w:sz w:val="20"/>
              </w:rPr>
              <w:t>2,</w:t>
            </w:r>
            <w:r w:rsidRPr="002F16A1">
              <w:rPr>
                <w:rStyle w:val="normaltextrun"/>
                <w:rFonts w:ascii="Arial" w:hAnsi="Arial"/>
                <w:noProof/>
                <w:color w:val="000000" w:themeColor="text1"/>
                <w:sz w:val="20"/>
              </w:rPr>
              <w:t>851</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Narrow" w:hAnsi="Arial Narrow"/>
                <w:noProof/>
                <w:color w:val="000000" w:themeColor="text1"/>
                <w:sz w:val="20"/>
              </w:rPr>
              <w:t>4,767</w:t>
            </w:r>
            <w:r w:rsidRPr="002F16A1">
              <w:rPr>
                <w:rStyle w:val="normaltextrun"/>
                <w:rFonts w:ascii="Arial" w:hAnsi="Arial"/>
                <w:noProof/>
                <w:color w:val="000000" w:themeColor="text1"/>
                <w:sz w:val="20"/>
              </w:rPr>
              <w:t xml:space="preserve"> </w:t>
            </w:r>
            <w:r w:rsidRPr="002F16A1">
              <w:rPr>
                <w:rStyle w:val="eop"/>
                <w:rFonts w:ascii="Arial Narrow" w:hAnsi="Arial Narrow"/>
                <w:noProof/>
                <w:color w:val="000000" w:themeColor="text1"/>
                <w:sz w:val="20"/>
              </w:rPr>
              <w:t xml:space="preserve"> </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Narrow" w:hAnsi="Arial Narrow"/>
                <w:noProof/>
                <w:color w:val="000000" w:themeColor="text1"/>
                <w:sz w:val="20"/>
              </w:rPr>
              <w:t>4,767</w:t>
            </w:r>
            <w:r w:rsidRPr="002F16A1">
              <w:rPr>
                <w:rStyle w:val="normaltextrun"/>
                <w:rFonts w:ascii="Arial" w:hAnsi="Arial"/>
                <w:noProof/>
                <w:color w:val="000000" w:themeColor="text1"/>
                <w:sz w:val="20"/>
              </w:rPr>
              <w:t xml:space="preserve"> </w:t>
            </w:r>
            <w:r w:rsidRPr="002F16A1">
              <w:rPr>
                <w:rStyle w:val="eop"/>
                <w:rFonts w:ascii="Arial Narrow" w:hAnsi="Arial Narrow"/>
                <w:noProof/>
                <w:color w:val="000000" w:themeColor="text1"/>
                <w:sz w:val="20"/>
              </w:rPr>
              <w:t xml:space="preserve"> </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00" w:lineRule="exact"/>
              <w:jc w:val="right"/>
              <w:rPr>
                <w:b/>
                <w:noProof/>
                <w:sz w:val="16"/>
                <w:szCs w:val="16"/>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40" w:lineRule="exact"/>
              <w:jc w:val="right"/>
              <w:rPr>
                <w:rFonts w:ascii="Arial Narrow" w:eastAsia="Arial Narrow" w:hAnsi="Arial Narrow" w:cs="Arial Narrow"/>
                <w:noProof/>
                <w:sz w:val="20"/>
                <w:szCs w:val="20"/>
              </w:rPr>
            </w:pPr>
            <w:r w:rsidRPr="002F16A1">
              <w:rPr>
                <w:rStyle w:val="normaltextrun"/>
                <w:rFonts w:ascii="Arial Narrow" w:hAnsi="Arial Narrow"/>
                <w:b/>
                <w:noProof/>
                <w:color w:val="000000" w:themeColor="text1"/>
                <w:sz w:val="20"/>
              </w:rPr>
              <w:t>14,119</w:t>
            </w:r>
          </w:p>
        </w:tc>
      </w:tr>
      <w:tr w:rsidR="00AD62E2" w:rsidRPr="002F16A1" w:rsidTr="000154FC">
        <w:trPr>
          <w:trHeight w:val="585"/>
        </w:trPr>
        <w:tc>
          <w:tcPr>
            <w:tcW w:w="1980" w:type="dxa"/>
            <w:vAlign w:val="center"/>
          </w:tcPr>
          <w:p w:rsidR="00AD62E2" w:rsidRPr="002F16A1" w:rsidRDefault="00AD62E2" w:rsidP="000154FC">
            <w:pPr>
              <w:spacing w:before="60" w:after="60" w:line="200" w:lineRule="exact"/>
              <w:ind w:left="72"/>
              <w:jc w:val="left"/>
              <w:rPr>
                <w:noProof/>
                <w:sz w:val="16"/>
                <w:szCs w:val="16"/>
              </w:rPr>
            </w:pPr>
            <w:r w:rsidRPr="002F16A1">
              <w:rPr>
                <w:noProof/>
                <w:sz w:val="16"/>
              </w:rPr>
              <w:t xml:space="preserve">Pozostałe wydatki administracyjne </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Narrow" w:hAnsi="Arial Narrow"/>
                <w:noProof/>
                <w:color w:val="000000"/>
                <w:sz w:val="20"/>
              </w:rPr>
              <w:t>0,212</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Narrow" w:hAnsi="Arial Narrow"/>
                <w:noProof/>
                <w:color w:val="000000"/>
                <w:sz w:val="20"/>
              </w:rPr>
              <w:t>0,212</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w:hAnsi="Arial"/>
                <w:noProof/>
                <w:color w:val="000000"/>
                <w:sz w:val="20"/>
              </w:rPr>
              <w:t xml:space="preserve"> </w:t>
            </w:r>
            <w:r w:rsidRPr="002F16A1">
              <w:rPr>
                <w:rStyle w:val="normaltextrun"/>
                <w:rFonts w:ascii="Arial Narrow" w:hAnsi="Arial Narrow"/>
                <w:noProof/>
                <w:color w:val="000000"/>
                <w:sz w:val="20"/>
              </w:rPr>
              <w:t>0,213</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w:hAnsi="Arial"/>
                <w:noProof/>
                <w:color w:val="000000"/>
                <w:sz w:val="20"/>
              </w:rPr>
              <w:t xml:space="preserve"> </w:t>
            </w:r>
            <w:r w:rsidRPr="002F16A1">
              <w:rPr>
                <w:rStyle w:val="normaltextrun"/>
                <w:rFonts w:ascii="Arial Narrow" w:hAnsi="Arial Narrow"/>
                <w:noProof/>
                <w:color w:val="000000"/>
                <w:sz w:val="20"/>
              </w:rPr>
              <w:t>0,213</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00" w:lineRule="exact"/>
              <w:jc w:val="right"/>
              <w:rPr>
                <w:b/>
                <w:noProof/>
                <w:sz w:val="16"/>
                <w:szCs w:val="16"/>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00" w:lineRule="exact"/>
              <w:jc w:val="right"/>
              <w:rPr>
                <w:b/>
                <w:noProof/>
                <w:sz w:val="16"/>
                <w:szCs w:val="16"/>
              </w:rPr>
            </w:pPr>
            <w:r w:rsidRPr="002F16A1">
              <w:rPr>
                <w:rStyle w:val="normaltextrun"/>
                <w:rFonts w:ascii="Arial Narrow" w:hAnsi="Arial Narrow"/>
                <w:b/>
                <w:noProof/>
                <w:color w:val="000000"/>
                <w:sz w:val="20"/>
              </w:rPr>
              <w:t>0,850</w:t>
            </w:r>
            <w:r w:rsidRPr="002F16A1">
              <w:rPr>
                <w:rStyle w:val="eop"/>
                <w:rFonts w:ascii="Arial Narrow" w:hAnsi="Arial Narrow"/>
                <w:noProof/>
                <w:color w:val="000000"/>
                <w:sz w:val="20"/>
              </w:rPr>
              <w:t xml:space="preserve"> </w:t>
            </w:r>
          </w:p>
        </w:tc>
      </w:tr>
      <w:tr w:rsidR="00AD62E2" w:rsidRPr="002F16A1" w:rsidTr="000154FC">
        <w:trPr>
          <w:trHeight w:val="585"/>
        </w:trPr>
        <w:tc>
          <w:tcPr>
            <w:tcW w:w="1980" w:type="dxa"/>
            <w:shd w:val="clear" w:color="auto" w:fill="CCCCCC"/>
            <w:vAlign w:val="center"/>
          </w:tcPr>
          <w:p w:rsidR="00AD62E2" w:rsidRPr="002F16A1" w:rsidRDefault="00AD62E2" w:rsidP="000154FC">
            <w:pPr>
              <w:spacing w:before="60" w:after="60" w:line="200" w:lineRule="exact"/>
              <w:jc w:val="center"/>
              <w:rPr>
                <w:b/>
                <w:noProof/>
                <w:sz w:val="16"/>
                <w:szCs w:val="16"/>
              </w:rPr>
            </w:pPr>
            <w:r w:rsidRPr="002F16A1">
              <w:rPr>
                <w:b/>
                <w:noProof/>
                <w:sz w:val="16"/>
              </w:rPr>
              <w:t>Suma cząstkowa DZIAŁU 7</w:t>
            </w:r>
            <w:r w:rsidRPr="002F16A1">
              <w:rPr>
                <w:noProof/>
              </w:rPr>
              <w:t xml:space="preserve"> </w:t>
            </w:r>
            <w:r w:rsidRPr="002F16A1">
              <w:rPr>
                <w:noProof/>
              </w:rPr>
              <w:br/>
            </w:r>
            <w:r w:rsidRPr="002F16A1">
              <w:rPr>
                <w:b/>
                <w:noProof/>
                <w:sz w:val="16"/>
              </w:rPr>
              <w:t xml:space="preserve">wieloletnich ram finansowych </w:t>
            </w:r>
          </w:p>
        </w:tc>
        <w:tc>
          <w:tcPr>
            <w:tcW w:w="1080" w:type="dxa"/>
            <w:vAlign w:val="center"/>
          </w:tcPr>
          <w:p w:rsidR="00AD62E2" w:rsidRPr="002F16A1" w:rsidRDefault="00AD62E2" w:rsidP="000154FC">
            <w:pPr>
              <w:spacing w:before="60" w:after="60" w:line="200" w:lineRule="exact"/>
              <w:jc w:val="right"/>
              <w:rPr>
                <w:rStyle w:val="eop"/>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1,946</w:t>
            </w:r>
          </w:p>
        </w:tc>
        <w:tc>
          <w:tcPr>
            <w:tcW w:w="1080" w:type="dxa"/>
            <w:vAlign w:val="center"/>
          </w:tcPr>
          <w:p w:rsidR="00AD62E2" w:rsidRPr="002F16A1" w:rsidRDefault="00AD62E2" w:rsidP="000154FC">
            <w:pPr>
              <w:spacing w:before="60" w:after="60" w:line="200" w:lineRule="exact"/>
              <w:jc w:val="right"/>
              <w:rPr>
                <w:rStyle w:val="eop"/>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3,063</w:t>
            </w:r>
          </w:p>
        </w:tc>
        <w:tc>
          <w:tcPr>
            <w:tcW w:w="1080" w:type="dxa"/>
            <w:vAlign w:val="center"/>
          </w:tcPr>
          <w:p w:rsidR="00AD62E2" w:rsidRPr="002F16A1" w:rsidRDefault="00AD62E2" w:rsidP="000154FC">
            <w:pPr>
              <w:spacing w:before="60" w:after="60" w:line="200" w:lineRule="exact"/>
              <w:jc w:val="right"/>
              <w:rPr>
                <w:rFonts w:ascii="Arial Narrow" w:eastAsia="Arial Narrow" w:hAnsi="Arial Narrow" w:cs="Arial Narrow"/>
                <w:noProof/>
                <w:sz w:val="20"/>
                <w:szCs w:val="20"/>
              </w:rPr>
            </w:pPr>
            <w:r w:rsidRPr="002F16A1">
              <w:rPr>
                <w:rStyle w:val="normaltextrun"/>
                <w:rFonts w:ascii="Arial Narrow" w:hAnsi="Arial Narrow"/>
                <w:noProof/>
                <w:color w:val="000000" w:themeColor="text1"/>
                <w:sz w:val="20"/>
              </w:rPr>
              <w:t>4,980</w:t>
            </w:r>
          </w:p>
        </w:tc>
        <w:tc>
          <w:tcPr>
            <w:tcW w:w="1080" w:type="dxa"/>
            <w:vAlign w:val="center"/>
          </w:tcPr>
          <w:p w:rsidR="00AD62E2" w:rsidRPr="002F16A1" w:rsidRDefault="00AD62E2" w:rsidP="000154FC">
            <w:pPr>
              <w:spacing w:before="60" w:after="60" w:line="200" w:lineRule="exact"/>
              <w:jc w:val="right"/>
              <w:rPr>
                <w:rFonts w:ascii="Arial Narrow" w:eastAsia="Arial Narrow" w:hAnsi="Arial Narrow" w:cs="Arial Narrow"/>
                <w:noProof/>
                <w:sz w:val="20"/>
                <w:szCs w:val="20"/>
              </w:rPr>
            </w:pPr>
            <w:r w:rsidRPr="002F16A1">
              <w:rPr>
                <w:rStyle w:val="normaltextrun"/>
                <w:rFonts w:ascii="Arial Narrow" w:hAnsi="Arial Narrow"/>
                <w:noProof/>
                <w:color w:val="000000" w:themeColor="text1"/>
                <w:sz w:val="20"/>
              </w:rPr>
              <w:t>4,980</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00" w:lineRule="exact"/>
              <w:jc w:val="right"/>
              <w:rPr>
                <w:noProof/>
                <w:sz w:val="16"/>
                <w:szCs w:val="16"/>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00" w:lineRule="exact"/>
              <w:jc w:val="right"/>
              <w:rPr>
                <w:b/>
                <w:noProof/>
                <w:sz w:val="16"/>
                <w:szCs w:val="16"/>
              </w:rPr>
            </w:pPr>
            <w:r w:rsidRPr="002F16A1">
              <w:rPr>
                <w:rStyle w:val="normaltextrun"/>
                <w:rFonts w:ascii="Arial" w:hAnsi="Arial"/>
                <w:noProof/>
                <w:color w:val="000000"/>
                <w:sz w:val="20"/>
              </w:rPr>
              <w:t xml:space="preserve"> </w:t>
            </w:r>
            <w:r w:rsidRPr="002F16A1">
              <w:rPr>
                <w:rStyle w:val="eop"/>
                <w:rFonts w:ascii="Arial Narrow" w:hAnsi="Arial Narrow"/>
                <w:noProof/>
                <w:color w:val="000000"/>
                <w:sz w:val="20"/>
              </w:rPr>
              <w:t xml:space="preserve"> </w:t>
            </w:r>
          </w:p>
        </w:tc>
        <w:tc>
          <w:tcPr>
            <w:tcW w:w="1080" w:type="dxa"/>
            <w:vAlign w:val="center"/>
          </w:tcPr>
          <w:p w:rsidR="00AD62E2" w:rsidRPr="002F16A1" w:rsidRDefault="00AD62E2" w:rsidP="000154FC">
            <w:pPr>
              <w:spacing w:before="60" w:after="60" w:line="200" w:lineRule="exact"/>
              <w:jc w:val="right"/>
              <w:rPr>
                <w:rStyle w:val="eop"/>
                <w:rFonts w:ascii="Arial Narrow" w:hAnsi="Arial Narrow" w:cs="Segoe UI"/>
                <w:noProof/>
                <w:color w:val="000000" w:themeColor="text1"/>
                <w:sz w:val="20"/>
                <w:szCs w:val="20"/>
              </w:rPr>
            </w:pPr>
            <w:r w:rsidRPr="002F16A1">
              <w:rPr>
                <w:rStyle w:val="normaltextrun"/>
                <w:rFonts w:ascii="Arial Narrow" w:hAnsi="Arial Narrow"/>
                <w:b/>
                <w:noProof/>
                <w:color w:val="000000" w:themeColor="text1"/>
                <w:sz w:val="20"/>
              </w:rPr>
              <w:t>14,969</w:t>
            </w:r>
          </w:p>
        </w:tc>
      </w:tr>
    </w:tbl>
    <w:p w:rsidR="00AD62E2" w:rsidRPr="002F16A1" w:rsidRDefault="00AD62E2" w:rsidP="00AD62E2">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AD62E2" w:rsidRPr="002F16A1" w:rsidTr="000154FC">
        <w:trPr>
          <w:trHeight w:val="585"/>
        </w:trPr>
        <w:tc>
          <w:tcPr>
            <w:tcW w:w="1980" w:type="dxa"/>
            <w:shd w:val="clear" w:color="auto" w:fill="CCCCCC"/>
            <w:vAlign w:val="center"/>
          </w:tcPr>
          <w:p w:rsidR="00AD62E2" w:rsidRPr="002F16A1" w:rsidRDefault="00AD62E2" w:rsidP="000154FC">
            <w:pPr>
              <w:spacing w:before="60" w:after="60" w:line="200" w:lineRule="exact"/>
              <w:jc w:val="center"/>
              <w:rPr>
                <w:noProof/>
                <w:sz w:val="16"/>
                <w:szCs w:val="16"/>
              </w:rPr>
            </w:pPr>
            <w:r w:rsidRPr="002F16A1">
              <w:rPr>
                <w:b/>
                <w:noProof/>
                <w:sz w:val="16"/>
              </w:rPr>
              <w:t>Poza DZIAŁEM 7</w:t>
            </w:r>
            <w:r w:rsidRPr="002F16A1">
              <w:rPr>
                <w:rStyle w:val="FootnoteReference"/>
                <w:noProof/>
              </w:rPr>
              <w:footnoteReference w:id="60"/>
            </w:r>
            <w:r w:rsidRPr="002F16A1">
              <w:rPr>
                <w:noProof/>
              </w:rPr>
              <w:t xml:space="preserve"> </w:t>
            </w:r>
            <w:r w:rsidRPr="002F16A1">
              <w:rPr>
                <w:noProof/>
              </w:rPr>
              <w:br/>
            </w:r>
            <w:r w:rsidRPr="002F16A1">
              <w:rPr>
                <w:b/>
                <w:noProof/>
                <w:sz w:val="16"/>
              </w:rPr>
              <w:t xml:space="preserve">wieloletnich ram finansowych </w:t>
            </w:r>
          </w:p>
          <w:p w:rsidR="00AD62E2" w:rsidRPr="002F16A1" w:rsidRDefault="00AD62E2" w:rsidP="000154FC">
            <w:pPr>
              <w:spacing w:before="0" w:after="0" w:line="200" w:lineRule="exact"/>
              <w:jc w:val="center"/>
              <w:rPr>
                <w:b/>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b/>
                <w:noProof/>
                <w:sz w:val="16"/>
                <w:szCs w:val="16"/>
              </w:rPr>
            </w:pPr>
          </w:p>
        </w:tc>
        <w:tc>
          <w:tcPr>
            <w:tcW w:w="1080" w:type="dxa"/>
            <w:vAlign w:val="center"/>
          </w:tcPr>
          <w:p w:rsidR="00AD62E2" w:rsidRPr="002F16A1" w:rsidRDefault="00AD62E2" w:rsidP="000154FC">
            <w:pPr>
              <w:spacing w:before="60" w:after="60" w:line="200" w:lineRule="exact"/>
              <w:jc w:val="right"/>
              <w:rPr>
                <w:b/>
                <w:noProof/>
                <w:sz w:val="16"/>
                <w:szCs w:val="16"/>
              </w:rPr>
            </w:pPr>
          </w:p>
        </w:tc>
      </w:tr>
      <w:tr w:rsidR="00AD62E2" w:rsidRPr="002F16A1" w:rsidTr="000154FC">
        <w:trPr>
          <w:trHeight w:val="585"/>
        </w:trPr>
        <w:tc>
          <w:tcPr>
            <w:tcW w:w="1980" w:type="dxa"/>
            <w:vAlign w:val="center"/>
          </w:tcPr>
          <w:p w:rsidR="00AD62E2" w:rsidRPr="002F16A1" w:rsidRDefault="00AD62E2" w:rsidP="000154FC">
            <w:pPr>
              <w:spacing w:before="60" w:after="60" w:line="200" w:lineRule="exact"/>
              <w:ind w:left="72"/>
              <w:jc w:val="left"/>
              <w:rPr>
                <w:noProof/>
                <w:sz w:val="16"/>
                <w:szCs w:val="16"/>
              </w:rPr>
            </w:pPr>
            <w:r w:rsidRPr="002F16A1">
              <w:rPr>
                <w:noProof/>
                <w:sz w:val="16"/>
              </w:rPr>
              <w:t xml:space="preserve">Zasoby ludzkie </w:t>
            </w: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b/>
                <w:noProof/>
                <w:sz w:val="16"/>
                <w:szCs w:val="16"/>
              </w:rPr>
            </w:pPr>
          </w:p>
        </w:tc>
        <w:tc>
          <w:tcPr>
            <w:tcW w:w="1080" w:type="dxa"/>
            <w:vAlign w:val="center"/>
          </w:tcPr>
          <w:p w:rsidR="00AD62E2" w:rsidRPr="002F16A1" w:rsidRDefault="00AD62E2" w:rsidP="000154FC">
            <w:pPr>
              <w:spacing w:before="60" w:after="60" w:line="200" w:lineRule="exact"/>
              <w:jc w:val="right"/>
              <w:rPr>
                <w:b/>
                <w:noProof/>
                <w:sz w:val="16"/>
                <w:szCs w:val="16"/>
              </w:rPr>
            </w:pPr>
          </w:p>
        </w:tc>
      </w:tr>
      <w:tr w:rsidR="00AD62E2" w:rsidRPr="002F16A1" w:rsidTr="000154FC">
        <w:trPr>
          <w:trHeight w:val="585"/>
        </w:trPr>
        <w:tc>
          <w:tcPr>
            <w:tcW w:w="1980" w:type="dxa"/>
            <w:vAlign w:val="center"/>
          </w:tcPr>
          <w:p w:rsidR="00AD62E2" w:rsidRPr="002F16A1" w:rsidRDefault="00AD62E2" w:rsidP="000154FC">
            <w:pPr>
              <w:spacing w:before="60" w:after="60" w:line="200" w:lineRule="exact"/>
              <w:ind w:left="72"/>
              <w:jc w:val="left"/>
              <w:rPr>
                <w:noProof/>
                <w:sz w:val="16"/>
                <w:szCs w:val="16"/>
              </w:rPr>
            </w:pPr>
            <w:r w:rsidRPr="002F16A1">
              <w:rPr>
                <w:noProof/>
                <w:sz w:val="16"/>
              </w:rPr>
              <w:t>Pozostałe wydatk</w:t>
            </w:r>
            <w:r w:rsidRPr="0028384B">
              <w:rPr>
                <w:noProof/>
                <w:sz w:val="16"/>
              </w:rPr>
              <w:t>i</w:t>
            </w:r>
            <w:r w:rsidR="0028384B" w:rsidRPr="0028384B">
              <w:rPr>
                <w:noProof/>
                <w:sz w:val="16"/>
              </w:rPr>
              <w:t xml:space="preserve"> </w:t>
            </w:r>
            <w:r w:rsidRPr="0028384B">
              <w:rPr>
                <w:noProof/>
              </w:rPr>
              <w:br/>
            </w:r>
            <w:r w:rsidRPr="002F16A1">
              <w:rPr>
                <w:noProof/>
                <w:sz w:val="16"/>
              </w:rPr>
              <w:t>o charakterze administracyjnym</w:t>
            </w: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b/>
                <w:noProof/>
                <w:sz w:val="16"/>
                <w:szCs w:val="16"/>
              </w:rPr>
            </w:pPr>
          </w:p>
        </w:tc>
        <w:tc>
          <w:tcPr>
            <w:tcW w:w="1080" w:type="dxa"/>
            <w:vAlign w:val="center"/>
          </w:tcPr>
          <w:p w:rsidR="00AD62E2" w:rsidRPr="002F16A1" w:rsidRDefault="00AD62E2" w:rsidP="000154FC">
            <w:pPr>
              <w:spacing w:before="60" w:after="60" w:line="200" w:lineRule="exact"/>
              <w:jc w:val="right"/>
              <w:rPr>
                <w:b/>
                <w:noProof/>
                <w:sz w:val="16"/>
                <w:szCs w:val="16"/>
              </w:rPr>
            </w:pPr>
          </w:p>
        </w:tc>
      </w:tr>
      <w:tr w:rsidR="00AD62E2" w:rsidRPr="002F16A1" w:rsidTr="000154FC">
        <w:trPr>
          <w:trHeight w:val="585"/>
        </w:trPr>
        <w:tc>
          <w:tcPr>
            <w:tcW w:w="1980" w:type="dxa"/>
            <w:shd w:val="clear" w:color="auto" w:fill="CCCCCC"/>
            <w:vAlign w:val="center"/>
          </w:tcPr>
          <w:p w:rsidR="00AD62E2" w:rsidRPr="002F16A1" w:rsidRDefault="00AD62E2" w:rsidP="000154FC">
            <w:pPr>
              <w:spacing w:before="60" w:after="60" w:line="200" w:lineRule="exact"/>
              <w:jc w:val="center"/>
              <w:rPr>
                <w:b/>
                <w:noProof/>
                <w:sz w:val="16"/>
                <w:szCs w:val="16"/>
              </w:rPr>
            </w:pPr>
            <w:r w:rsidRPr="002F16A1">
              <w:rPr>
                <w:b/>
                <w:noProof/>
                <w:sz w:val="16"/>
              </w:rPr>
              <w:t>Suma cząstkow</w:t>
            </w:r>
            <w:r w:rsidRPr="0028384B">
              <w:rPr>
                <w:b/>
                <w:noProof/>
                <w:sz w:val="16"/>
              </w:rPr>
              <w:t>a</w:t>
            </w:r>
            <w:r w:rsidR="0028384B" w:rsidRPr="0028384B">
              <w:rPr>
                <w:b/>
                <w:noProof/>
                <w:sz w:val="16"/>
              </w:rPr>
              <w:t xml:space="preserve"> </w:t>
            </w:r>
            <w:r w:rsidRPr="0028384B">
              <w:rPr>
                <w:noProof/>
              </w:rPr>
              <w:br/>
            </w:r>
            <w:r w:rsidRPr="002F16A1">
              <w:rPr>
                <w:b/>
                <w:noProof/>
                <w:sz w:val="16"/>
              </w:rPr>
              <w:t>poza DZIAŁEM 7</w:t>
            </w:r>
            <w:r w:rsidRPr="002F16A1">
              <w:rPr>
                <w:noProof/>
              </w:rPr>
              <w:t xml:space="preserve"> </w:t>
            </w:r>
            <w:r w:rsidRPr="002F16A1">
              <w:rPr>
                <w:noProof/>
              </w:rPr>
              <w:br/>
            </w:r>
            <w:r w:rsidRPr="002F16A1">
              <w:rPr>
                <w:b/>
                <w:noProof/>
                <w:sz w:val="16"/>
              </w:rPr>
              <w:t xml:space="preserve">wieloletnich ram finansowych </w:t>
            </w: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noProof/>
                <w:sz w:val="16"/>
                <w:szCs w:val="16"/>
              </w:rPr>
            </w:pPr>
          </w:p>
        </w:tc>
        <w:tc>
          <w:tcPr>
            <w:tcW w:w="1080" w:type="dxa"/>
            <w:vAlign w:val="center"/>
          </w:tcPr>
          <w:p w:rsidR="00AD62E2" w:rsidRPr="002F16A1" w:rsidRDefault="00AD62E2" w:rsidP="000154FC">
            <w:pPr>
              <w:spacing w:before="60" w:after="60" w:line="200" w:lineRule="exact"/>
              <w:jc w:val="right"/>
              <w:rPr>
                <w:b/>
                <w:noProof/>
                <w:sz w:val="16"/>
                <w:szCs w:val="16"/>
              </w:rPr>
            </w:pPr>
          </w:p>
        </w:tc>
        <w:tc>
          <w:tcPr>
            <w:tcW w:w="1080" w:type="dxa"/>
            <w:vAlign w:val="center"/>
          </w:tcPr>
          <w:p w:rsidR="00AD62E2" w:rsidRPr="002F16A1" w:rsidRDefault="00AD62E2" w:rsidP="000154FC">
            <w:pPr>
              <w:spacing w:before="60" w:after="60" w:line="200" w:lineRule="exact"/>
              <w:jc w:val="right"/>
              <w:rPr>
                <w:b/>
                <w:noProof/>
                <w:sz w:val="16"/>
                <w:szCs w:val="16"/>
              </w:rPr>
            </w:pPr>
          </w:p>
        </w:tc>
      </w:tr>
    </w:tbl>
    <w:p w:rsidR="00AD62E2" w:rsidRPr="002F16A1" w:rsidRDefault="00AD62E2" w:rsidP="00AD62E2">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AD62E2" w:rsidRPr="002F16A1" w:rsidTr="000154FC">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AD62E2" w:rsidRPr="002F16A1" w:rsidRDefault="00AD62E2" w:rsidP="000154FC">
            <w:pPr>
              <w:spacing w:before="60" w:after="60" w:line="200" w:lineRule="exact"/>
              <w:jc w:val="center"/>
              <w:rPr>
                <w:noProof/>
                <w:sz w:val="16"/>
                <w:szCs w:val="16"/>
              </w:rPr>
            </w:pPr>
            <w:r w:rsidRPr="002F16A1">
              <w:rPr>
                <w:b/>
                <w:noProof/>
                <w:sz w:val="16"/>
              </w:rPr>
              <w:t>OGÓŁEM</w:t>
            </w:r>
          </w:p>
        </w:tc>
        <w:tc>
          <w:tcPr>
            <w:tcW w:w="1080" w:type="dxa"/>
            <w:tcBorders>
              <w:top w:val="single" w:sz="12" w:space="0" w:color="auto"/>
              <w:left w:val="single" w:sz="2" w:space="0" w:color="auto"/>
              <w:bottom w:val="single" w:sz="12" w:space="0" w:color="auto"/>
              <w:right w:val="single" w:sz="2" w:space="0" w:color="auto"/>
            </w:tcBorders>
            <w:vAlign w:val="center"/>
          </w:tcPr>
          <w:p w:rsidR="00AD62E2" w:rsidRPr="002F16A1" w:rsidRDefault="00AD62E2" w:rsidP="000154FC">
            <w:pPr>
              <w:spacing w:before="60" w:after="60" w:line="200" w:lineRule="exact"/>
              <w:jc w:val="right"/>
              <w:rPr>
                <w:rStyle w:val="eop"/>
                <w:rFonts w:ascii="Arial Narrow" w:hAnsi="Arial Narrow" w:cs="Segoe UI"/>
                <w:noProof/>
                <w:color w:val="000000" w:themeColor="text1"/>
                <w:sz w:val="20"/>
                <w:szCs w:val="20"/>
              </w:rPr>
            </w:pPr>
            <w:r w:rsidRPr="002F16A1">
              <w:rPr>
                <w:rStyle w:val="normaltextrun"/>
                <w:rFonts w:ascii="Arial Narrow" w:hAnsi="Arial Narrow"/>
                <w:noProof/>
                <w:color w:val="000000" w:themeColor="text1"/>
                <w:sz w:val="20"/>
              </w:rPr>
              <w:t>1,946</w:t>
            </w:r>
          </w:p>
        </w:tc>
        <w:tc>
          <w:tcPr>
            <w:tcW w:w="1080" w:type="dxa"/>
            <w:tcBorders>
              <w:top w:val="single" w:sz="12" w:space="0" w:color="auto"/>
              <w:left w:val="single" w:sz="2" w:space="0" w:color="auto"/>
              <w:bottom w:val="single" w:sz="12" w:space="0" w:color="auto"/>
              <w:right w:val="single" w:sz="2" w:space="0" w:color="auto"/>
            </w:tcBorders>
            <w:vAlign w:val="center"/>
          </w:tcPr>
          <w:p w:rsidR="00AD62E2" w:rsidRPr="002F16A1" w:rsidRDefault="00AD62E2" w:rsidP="000154FC">
            <w:pPr>
              <w:spacing w:before="60" w:after="60" w:line="200" w:lineRule="exact"/>
              <w:jc w:val="right"/>
              <w:rPr>
                <w:rStyle w:val="normaltextrun"/>
                <w:noProof/>
              </w:rPr>
            </w:pPr>
            <w:r w:rsidRPr="002F16A1">
              <w:rPr>
                <w:rStyle w:val="normaltextrun"/>
                <w:rFonts w:ascii="Arial Narrow" w:hAnsi="Arial Narrow"/>
                <w:noProof/>
                <w:color w:val="000000" w:themeColor="text1"/>
                <w:sz w:val="20"/>
              </w:rPr>
              <w:t>3,063</w:t>
            </w:r>
          </w:p>
          <w:p w:rsidR="00AD62E2" w:rsidRPr="002F16A1" w:rsidRDefault="00AD62E2" w:rsidP="000154FC">
            <w:pPr>
              <w:spacing w:before="60" w:after="60" w:line="200" w:lineRule="exact"/>
              <w:jc w:val="right"/>
              <w:rPr>
                <w:rStyle w:val="normaltextrun"/>
                <w:rFonts w:ascii="Arial Narrow" w:hAnsi="Arial Narrow" w:cs="Segoe UI"/>
                <w:noProof/>
                <w:color w:val="000000" w:themeColor="text1"/>
                <w:sz w:val="20"/>
                <w:szCs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AD62E2" w:rsidRPr="002F16A1" w:rsidRDefault="00AD62E2" w:rsidP="000154FC">
            <w:pPr>
              <w:spacing w:before="60" w:after="60" w:line="200" w:lineRule="exact"/>
              <w:jc w:val="right"/>
              <w:rPr>
                <w:b/>
                <w:noProof/>
                <w:sz w:val="16"/>
                <w:szCs w:val="16"/>
              </w:rPr>
            </w:pPr>
            <w:r w:rsidRPr="002F16A1">
              <w:rPr>
                <w:rStyle w:val="normaltextrun"/>
                <w:rFonts w:ascii="Arial Narrow" w:hAnsi="Arial Narrow"/>
                <w:noProof/>
                <w:color w:val="000000" w:themeColor="text1"/>
                <w:sz w:val="20"/>
              </w:rPr>
              <w:t>4,980</w:t>
            </w:r>
          </w:p>
        </w:tc>
        <w:tc>
          <w:tcPr>
            <w:tcW w:w="1080" w:type="dxa"/>
            <w:tcBorders>
              <w:top w:val="single" w:sz="12" w:space="0" w:color="auto"/>
              <w:left w:val="single" w:sz="2" w:space="0" w:color="auto"/>
              <w:bottom w:val="single" w:sz="12" w:space="0" w:color="auto"/>
              <w:right w:val="single" w:sz="2" w:space="0" w:color="auto"/>
            </w:tcBorders>
            <w:vAlign w:val="center"/>
          </w:tcPr>
          <w:p w:rsidR="00AD62E2" w:rsidRPr="002F16A1" w:rsidRDefault="00AD62E2" w:rsidP="000154FC">
            <w:pPr>
              <w:spacing w:before="60" w:after="60" w:line="200" w:lineRule="exact"/>
              <w:jc w:val="right"/>
              <w:rPr>
                <w:b/>
                <w:noProof/>
                <w:sz w:val="16"/>
                <w:szCs w:val="16"/>
              </w:rPr>
            </w:pPr>
            <w:r w:rsidRPr="002F16A1">
              <w:rPr>
                <w:rStyle w:val="normaltextrun"/>
                <w:rFonts w:ascii="Arial Narrow" w:hAnsi="Arial Narrow"/>
                <w:noProof/>
                <w:color w:val="000000" w:themeColor="text1"/>
                <w:sz w:val="20"/>
              </w:rPr>
              <w:t>4,980</w:t>
            </w:r>
          </w:p>
        </w:tc>
        <w:tc>
          <w:tcPr>
            <w:tcW w:w="1080" w:type="dxa"/>
            <w:tcBorders>
              <w:top w:val="single" w:sz="12" w:space="0" w:color="auto"/>
              <w:left w:val="single" w:sz="2" w:space="0" w:color="auto"/>
              <w:bottom w:val="single" w:sz="12" w:space="0" w:color="auto"/>
              <w:right w:val="single" w:sz="2" w:space="0" w:color="auto"/>
            </w:tcBorders>
            <w:vAlign w:val="center"/>
          </w:tcPr>
          <w:p w:rsidR="00AD62E2" w:rsidRPr="002F16A1" w:rsidRDefault="00AD62E2" w:rsidP="000154FC">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AD62E2" w:rsidRPr="002F16A1" w:rsidRDefault="00AD62E2" w:rsidP="000154FC">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AD62E2" w:rsidRPr="002F16A1" w:rsidRDefault="00AD62E2" w:rsidP="000154FC">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rsidR="00AD62E2" w:rsidRPr="002F16A1" w:rsidDel="6AC3B7A0" w:rsidRDefault="00AD62E2" w:rsidP="000154FC">
            <w:pPr>
              <w:spacing w:before="60" w:after="60" w:line="200" w:lineRule="exact"/>
              <w:jc w:val="right"/>
              <w:rPr>
                <w:rStyle w:val="normaltextrun"/>
                <w:rFonts w:ascii="Arial Narrow" w:hAnsi="Arial Narrow" w:cs="Segoe UI"/>
                <w:noProof/>
                <w:color w:val="000000" w:themeColor="text1"/>
                <w:sz w:val="20"/>
                <w:szCs w:val="20"/>
              </w:rPr>
            </w:pPr>
            <w:r w:rsidRPr="002F16A1">
              <w:rPr>
                <w:rStyle w:val="normaltextrun"/>
                <w:rFonts w:ascii="Arial Narrow" w:hAnsi="Arial Narrow"/>
                <w:b/>
                <w:noProof/>
                <w:color w:val="000000" w:themeColor="text1"/>
                <w:sz w:val="20"/>
              </w:rPr>
              <w:t>14,969</w:t>
            </w:r>
          </w:p>
        </w:tc>
      </w:tr>
    </w:tbl>
    <w:p w:rsidR="00AD62E2" w:rsidRPr="002F16A1" w:rsidRDefault="00AD62E2" w:rsidP="00AD62E2">
      <w:pPr>
        <w:rPr>
          <w:noProof/>
          <w:sz w:val="18"/>
        </w:rPr>
      </w:pPr>
      <w:r w:rsidRPr="002F16A1">
        <w:rPr>
          <w:noProof/>
          <w:sz w:val="18"/>
        </w:rPr>
        <w:t>Potrzeby</w:t>
      </w:r>
      <w:r w:rsidR="0028384B" w:rsidRPr="002F16A1">
        <w:rPr>
          <w:noProof/>
          <w:sz w:val="18"/>
        </w:rPr>
        <w:t xml:space="preserve"> w</w:t>
      </w:r>
      <w:r w:rsidR="0028384B">
        <w:rPr>
          <w:noProof/>
          <w:sz w:val="18"/>
        </w:rPr>
        <w:t> </w:t>
      </w:r>
      <w:r w:rsidR="0028384B" w:rsidRPr="002F16A1">
        <w:rPr>
          <w:noProof/>
          <w:sz w:val="18"/>
        </w:rPr>
        <w:t>zak</w:t>
      </w:r>
      <w:r w:rsidRPr="002F16A1">
        <w:rPr>
          <w:noProof/>
          <w:sz w:val="18"/>
        </w:rPr>
        <w:t>resie środków na zasoby ludzkie</w:t>
      </w:r>
      <w:r w:rsidR="0028384B" w:rsidRPr="002F16A1">
        <w:rPr>
          <w:noProof/>
          <w:sz w:val="18"/>
        </w:rPr>
        <w:t xml:space="preserve"> i</w:t>
      </w:r>
      <w:r w:rsidR="0028384B">
        <w:rPr>
          <w:noProof/>
          <w:sz w:val="18"/>
        </w:rPr>
        <w:t> </w:t>
      </w:r>
      <w:r w:rsidR="0028384B" w:rsidRPr="002F16A1">
        <w:rPr>
          <w:noProof/>
          <w:sz w:val="18"/>
        </w:rPr>
        <w:t>inn</w:t>
      </w:r>
      <w:r w:rsidRPr="002F16A1">
        <w:rPr>
          <w:noProof/>
          <w:sz w:val="18"/>
        </w:rPr>
        <w:t>e wydatki</w:t>
      </w:r>
      <w:r w:rsidR="0028384B" w:rsidRPr="002F16A1">
        <w:rPr>
          <w:noProof/>
          <w:sz w:val="18"/>
        </w:rPr>
        <w:t xml:space="preserve"> o</w:t>
      </w:r>
      <w:r w:rsidR="0028384B">
        <w:rPr>
          <w:noProof/>
          <w:sz w:val="18"/>
        </w:rPr>
        <w:t> </w:t>
      </w:r>
      <w:r w:rsidR="0028384B" w:rsidRPr="002F16A1">
        <w:rPr>
          <w:noProof/>
          <w:sz w:val="18"/>
        </w:rPr>
        <w:t>cha</w:t>
      </w:r>
      <w:r w:rsidRPr="002F16A1">
        <w:rPr>
          <w:noProof/>
          <w:sz w:val="18"/>
        </w:rPr>
        <w:t>rakterze administracyjnym zostaną pokryte</w:t>
      </w:r>
      <w:r w:rsidR="0028384B" w:rsidRPr="002F16A1">
        <w:rPr>
          <w:noProof/>
          <w:sz w:val="18"/>
        </w:rPr>
        <w:t xml:space="preserve"> z</w:t>
      </w:r>
      <w:r w:rsidR="0028384B">
        <w:rPr>
          <w:noProof/>
          <w:sz w:val="18"/>
        </w:rPr>
        <w:t> </w:t>
      </w:r>
      <w:r w:rsidR="0028384B" w:rsidRPr="002F16A1">
        <w:rPr>
          <w:noProof/>
          <w:sz w:val="18"/>
        </w:rPr>
        <w:t>zas</w:t>
      </w:r>
      <w:r w:rsidRPr="002F16A1">
        <w:rPr>
          <w:noProof/>
          <w:sz w:val="18"/>
        </w:rPr>
        <w:t>obów dyrekcji generalnej już przydzielonych na zarządzanie tym działaniem lub przesuniętych</w:t>
      </w:r>
      <w:r w:rsidR="0028384B" w:rsidRPr="002F16A1">
        <w:rPr>
          <w:noProof/>
          <w:sz w:val="18"/>
        </w:rPr>
        <w:t xml:space="preserve"> w</w:t>
      </w:r>
      <w:r w:rsidR="0028384B">
        <w:rPr>
          <w:noProof/>
          <w:sz w:val="18"/>
        </w:rPr>
        <w:t> </w:t>
      </w:r>
      <w:r w:rsidR="0028384B" w:rsidRPr="002F16A1">
        <w:rPr>
          <w:noProof/>
          <w:sz w:val="18"/>
        </w:rPr>
        <w:t>ram</w:t>
      </w:r>
      <w:r w:rsidRPr="002F16A1">
        <w:rPr>
          <w:noProof/>
          <w:sz w:val="18"/>
        </w:rPr>
        <w:t>ach dyrekcji generalnej, uzupełnionych</w:t>
      </w:r>
      <w:r w:rsidR="0028384B" w:rsidRPr="002F16A1">
        <w:rPr>
          <w:noProof/>
          <w:sz w:val="18"/>
        </w:rPr>
        <w:t xml:space="preserve"> w</w:t>
      </w:r>
      <w:r w:rsidR="0028384B">
        <w:rPr>
          <w:noProof/>
          <w:sz w:val="18"/>
        </w:rPr>
        <w:t> </w:t>
      </w:r>
      <w:r w:rsidR="0028384B" w:rsidRPr="002F16A1">
        <w:rPr>
          <w:noProof/>
          <w:sz w:val="18"/>
        </w:rPr>
        <w:t>raz</w:t>
      </w:r>
      <w:r w:rsidRPr="002F16A1">
        <w:rPr>
          <w:noProof/>
          <w:sz w:val="18"/>
        </w:rPr>
        <w:t>ie potrzeby wszelkimi dodatkowymi zasobami, które mogą zostać przydzielone zarządzającej dyrekcji generalnej</w:t>
      </w:r>
      <w:r w:rsidR="0028384B" w:rsidRPr="002F16A1">
        <w:rPr>
          <w:noProof/>
          <w:sz w:val="18"/>
        </w:rPr>
        <w:t xml:space="preserve"> w</w:t>
      </w:r>
      <w:r w:rsidR="0028384B">
        <w:rPr>
          <w:noProof/>
          <w:sz w:val="18"/>
        </w:rPr>
        <w:t> </w:t>
      </w:r>
      <w:r w:rsidR="0028384B" w:rsidRPr="002F16A1">
        <w:rPr>
          <w:noProof/>
          <w:sz w:val="18"/>
        </w:rPr>
        <w:t>ram</w:t>
      </w:r>
      <w:r w:rsidRPr="002F16A1">
        <w:rPr>
          <w:noProof/>
          <w:sz w:val="18"/>
        </w:rPr>
        <w:t>ach procedury rocznego przydziału środków oraz</w:t>
      </w:r>
      <w:r w:rsidR="0028384B" w:rsidRPr="002F16A1">
        <w:rPr>
          <w:noProof/>
          <w:sz w:val="18"/>
        </w:rPr>
        <w:t xml:space="preserve"> w</w:t>
      </w:r>
      <w:r w:rsidR="0028384B">
        <w:rPr>
          <w:noProof/>
          <w:sz w:val="18"/>
        </w:rPr>
        <w:t> </w:t>
      </w:r>
      <w:r w:rsidR="0028384B" w:rsidRPr="002F16A1">
        <w:rPr>
          <w:noProof/>
          <w:sz w:val="18"/>
        </w:rPr>
        <w:t>świ</w:t>
      </w:r>
      <w:r w:rsidRPr="002F16A1">
        <w:rPr>
          <w:noProof/>
          <w:sz w:val="18"/>
        </w:rPr>
        <w:t>etle istniejących ograniczeń budżetowych.</w:t>
      </w:r>
    </w:p>
    <w:p w:rsidR="00AD62E2" w:rsidRPr="002F16A1" w:rsidRDefault="00AD62E2" w:rsidP="00AD62E2">
      <w:pPr>
        <w:rPr>
          <w:noProof/>
          <w:sz w:val="18"/>
        </w:rPr>
        <w:sectPr w:rsidR="00AD62E2" w:rsidRPr="002F16A1" w:rsidSect="00D32217">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rsidR="00AD62E2" w:rsidRPr="002F16A1" w:rsidRDefault="00AD62E2" w:rsidP="00AD62E2">
      <w:pPr>
        <w:pStyle w:val="ManualHeading4"/>
        <w:rPr>
          <w:bCs/>
          <w:noProof/>
          <w:szCs w:val="24"/>
        </w:rPr>
      </w:pPr>
      <w:bookmarkStart w:id="91" w:name="_Toc82C9CE6E4E1F470F8F09B4938A67F539"/>
      <w:r w:rsidRPr="002F16A1">
        <w:rPr>
          <w:noProof/>
        </w:rPr>
        <w:t>3.2.3.1.</w:t>
      </w:r>
      <w:r w:rsidRPr="002F16A1">
        <w:rPr>
          <w:noProof/>
        </w:rPr>
        <w:tab/>
        <w:t xml:space="preserve">Szacowane zapotrzebowanie na zasoby ludzkie </w:t>
      </w:r>
      <w:bookmarkEnd w:id="91"/>
    </w:p>
    <w:p w:rsidR="00AD62E2" w:rsidRPr="002F16A1" w:rsidRDefault="00AD62E2" w:rsidP="00AD62E2">
      <w:pPr>
        <w:pStyle w:val="ListDash1"/>
        <w:rPr>
          <w:noProof/>
        </w:rPr>
      </w:pPr>
      <w:r w:rsidRPr="002F16A1">
        <w:rPr>
          <w:rFonts w:ascii="Wingdings" w:hAnsi="Wingdings"/>
          <w:noProof/>
        </w:rPr>
        <w:t></w:t>
      </w:r>
      <w:r w:rsidRPr="002F16A1">
        <w:rPr>
          <w:noProof/>
        </w:rPr>
        <w:tab/>
        <w:t>Wniosek/inicjatywa nie wiąże się</w:t>
      </w:r>
      <w:r w:rsidR="0028384B" w:rsidRPr="002F16A1">
        <w:rPr>
          <w:noProof/>
        </w:rPr>
        <w:t xml:space="preserve"> z</w:t>
      </w:r>
      <w:r w:rsidR="0028384B">
        <w:rPr>
          <w:noProof/>
        </w:rPr>
        <w:t> </w:t>
      </w:r>
      <w:r w:rsidR="0028384B" w:rsidRPr="002F16A1">
        <w:rPr>
          <w:noProof/>
        </w:rPr>
        <w:t>kon</w:t>
      </w:r>
      <w:r w:rsidRPr="002F16A1">
        <w:rPr>
          <w:noProof/>
        </w:rPr>
        <w:t xml:space="preserve">iecznością wykorzystania zasobów ludzkich. </w:t>
      </w:r>
    </w:p>
    <w:p w:rsidR="00AD62E2" w:rsidRPr="002F16A1" w:rsidRDefault="00AD62E2" w:rsidP="00AD62E2">
      <w:pPr>
        <w:pStyle w:val="ListDash1"/>
        <w:rPr>
          <w:noProof/>
        </w:rPr>
      </w:pPr>
      <w:r w:rsidRPr="002F16A1">
        <w:rPr>
          <w:rStyle w:val="normaltextrun"/>
          <w:rFonts w:ascii="Wingdings 2" w:hAnsi="Wingdings 2"/>
          <w:noProof/>
          <w:color w:val="000000"/>
          <w:bdr w:val="none" w:sz="0" w:space="0" w:color="auto" w:frame="1"/>
        </w:rPr>
        <w:t></w:t>
      </w:r>
      <w:r w:rsidRPr="002F16A1">
        <w:rPr>
          <w:noProof/>
        </w:rPr>
        <w:tab/>
        <w:t>Wniosek/inicjatywa wiąże się</w:t>
      </w:r>
      <w:r w:rsidR="0028384B" w:rsidRPr="002F16A1">
        <w:rPr>
          <w:noProof/>
        </w:rPr>
        <w:t xml:space="preserve"> z</w:t>
      </w:r>
      <w:r w:rsidR="0028384B">
        <w:rPr>
          <w:noProof/>
        </w:rPr>
        <w:t> </w:t>
      </w:r>
      <w:r w:rsidR="0028384B" w:rsidRPr="002F16A1">
        <w:rPr>
          <w:noProof/>
        </w:rPr>
        <w:t>kon</w:t>
      </w:r>
      <w:r w:rsidRPr="002F16A1">
        <w:rPr>
          <w:noProof/>
        </w:rPr>
        <w:t>iecznością wykorzystania zasobów ludzkich, jak określono poniżej:</w:t>
      </w:r>
    </w:p>
    <w:p w:rsidR="00AD62E2" w:rsidRPr="002F16A1" w:rsidRDefault="00AD62E2" w:rsidP="00AD62E2">
      <w:pPr>
        <w:spacing w:after="60"/>
        <w:jc w:val="right"/>
        <w:rPr>
          <w:i/>
          <w:noProof/>
          <w:sz w:val="20"/>
        </w:rPr>
      </w:pPr>
      <w:r w:rsidRPr="002F16A1">
        <w:rPr>
          <w:i/>
          <w:noProof/>
          <w:sz w:val="20"/>
        </w:rPr>
        <w:t>Wartości szacunkowe należy wyrazić</w:t>
      </w:r>
      <w:r w:rsidR="0028384B" w:rsidRPr="002F16A1">
        <w:rPr>
          <w:i/>
          <w:noProof/>
          <w:sz w:val="20"/>
        </w:rPr>
        <w:t xml:space="preserve"> w</w:t>
      </w:r>
      <w:r w:rsidR="0028384B">
        <w:rPr>
          <w:i/>
          <w:noProof/>
          <w:sz w:val="20"/>
        </w:rPr>
        <w:t> </w:t>
      </w:r>
      <w:r w:rsidR="0028384B" w:rsidRPr="002F16A1">
        <w:rPr>
          <w:i/>
          <w:noProof/>
          <w:sz w:val="20"/>
        </w:rPr>
        <w:t>ekw</w:t>
      </w:r>
      <w:r w:rsidRPr="002F16A1">
        <w:rPr>
          <w:i/>
          <w:noProof/>
          <w:sz w:val="20"/>
        </w:rPr>
        <w:t>iwalentach pełnego czasu pracy</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AD62E2" w:rsidRPr="002F16A1" w:rsidTr="000154FC">
        <w:trPr>
          <w:gridBefore w:val="1"/>
          <w:wBefore w:w="15" w:type="dxa"/>
          <w:trHeight w:val="289"/>
          <w:jc w:val="center"/>
        </w:trPr>
        <w:tc>
          <w:tcPr>
            <w:tcW w:w="4754" w:type="dxa"/>
            <w:gridSpan w:val="2"/>
            <w:shd w:val="clear" w:color="auto" w:fill="auto"/>
          </w:tcPr>
          <w:p w:rsidR="00AD62E2" w:rsidRPr="002F16A1" w:rsidRDefault="00AD62E2" w:rsidP="000154FC">
            <w:pPr>
              <w:pStyle w:val="Text1"/>
              <w:spacing w:before="40" w:after="40"/>
              <w:ind w:left="0"/>
              <w:jc w:val="center"/>
              <w:rPr>
                <w:i/>
                <w:noProof/>
                <w:sz w:val="16"/>
                <w:szCs w:val="16"/>
              </w:rPr>
            </w:pPr>
          </w:p>
        </w:tc>
        <w:tc>
          <w:tcPr>
            <w:tcW w:w="731" w:type="dxa"/>
            <w:shd w:val="clear" w:color="auto" w:fill="auto"/>
            <w:vAlign w:val="center"/>
          </w:tcPr>
          <w:p w:rsidR="00AD62E2" w:rsidRPr="002F16A1" w:rsidRDefault="00AD62E2" w:rsidP="000154FC">
            <w:pPr>
              <w:spacing w:before="20" w:after="20"/>
              <w:jc w:val="center"/>
              <w:rPr>
                <w:noProof/>
                <w:sz w:val="16"/>
                <w:szCs w:val="16"/>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2024</w:t>
            </w:r>
            <w:r w:rsidRPr="002F16A1">
              <w:rPr>
                <w:rStyle w:val="eop"/>
                <w:noProof/>
                <w:sz w:val="20"/>
              </w:rPr>
              <w:t xml:space="preserve"> </w:t>
            </w:r>
          </w:p>
        </w:tc>
        <w:tc>
          <w:tcPr>
            <w:tcW w:w="731" w:type="dxa"/>
            <w:shd w:val="clear" w:color="auto" w:fill="auto"/>
            <w:vAlign w:val="center"/>
          </w:tcPr>
          <w:p w:rsidR="00AD62E2" w:rsidRPr="002F16A1" w:rsidRDefault="00AD62E2" w:rsidP="000154FC">
            <w:pPr>
              <w:spacing w:before="20" w:after="20"/>
              <w:jc w:val="center"/>
              <w:rPr>
                <w:noProof/>
                <w:sz w:val="16"/>
                <w:szCs w:val="16"/>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2025</w:t>
            </w:r>
            <w:r w:rsidRPr="002F16A1">
              <w:rPr>
                <w:rStyle w:val="eop"/>
                <w:noProof/>
                <w:sz w:val="20"/>
              </w:rPr>
              <w:t xml:space="preserve"> </w:t>
            </w:r>
          </w:p>
        </w:tc>
        <w:tc>
          <w:tcPr>
            <w:tcW w:w="731" w:type="dxa"/>
            <w:shd w:val="clear" w:color="auto" w:fill="auto"/>
            <w:vAlign w:val="center"/>
          </w:tcPr>
          <w:p w:rsidR="00AD62E2" w:rsidRPr="002F16A1" w:rsidRDefault="00AD62E2" w:rsidP="000154FC">
            <w:pPr>
              <w:spacing w:before="20" w:after="20"/>
              <w:jc w:val="center"/>
              <w:rPr>
                <w:noProof/>
                <w:sz w:val="16"/>
                <w:szCs w:val="16"/>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2026</w:t>
            </w:r>
            <w:r w:rsidRPr="002F16A1">
              <w:rPr>
                <w:rStyle w:val="eop"/>
                <w:noProof/>
                <w:sz w:val="20"/>
              </w:rPr>
              <w:t xml:space="preserve"> </w:t>
            </w:r>
          </w:p>
        </w:tc>
        <w:tc>
          <w:tcPr>
            <w:tcW w:w="731" w:type="dxa"/>
            <w:shd w:val="clear" w:color="auto" w:fill="auto"/>
            <w:vAlign w:val="center"/>
          </w:tcPr>
          <w:p w:rsidR="00AD62E2" w:rsidRPr="002F16A1" w:rsidRDefault="00AD62E2" w:rsidP="000154FC">
            <w:pPr>
              <w:spacing w:before="20" w:after="20"/>
              <w:jc w:val="center"/>
              <w:rPr>
                <w:noProof/>
                <w:sz w:val="16"/>
                <w:szCs w:val="16"/>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2027</w:t>
            </w:r>
            <w:r w:rsidRPr="002F16A1">
              <w:rPr>
                <w:rStyle w:val="eop"/>
                <w:noProof/>
                <w:sz w:val="20"/>
              </w:rPr>
              <w:t xml:space="preserve"> </w:t>
            </w:r>
          </w:p>
        </w:tc>
        <w:tc>
          <w:tcPr>
            <w:tcW w:w="2193" w:type="dxa"/>
            <w:gridSpan w:val="3"/>
            <w:shd w:val="clear" w:color="auto" w:fill="auto"/>
            <w:vAlign w:val="center"/>
          </w:tcPr>
          <w:p w:rsidR="00AD62E2" w:rsidRPr="002F16A1" w:rsidRDefault="00AD62E2" w:rsidP="000154FC">
            <w:pPr>
              <w:jc w:val="center"/>
              <w:rPr>
                <w:b/>
                <w:noProof/>
                <w:sz w:val="16"/>
                <w:szCs w:val="16"/>
              </w:rPr>
            </w:pPr>
            <w:r w:rsidRPr="002F16A1">
              <w:rPr>
                <w:noProof/>
                <w:sz w:val="16"/>
              </w:rPr>
              <w:t xml:space="preserve">Wprowadzić taką liczbę kolumn dla poszczególnych lat, jaka jest niezbędna, by odzwierciedlić cały okres wpływu (por. </w:t>
            </w:r>
            <w:r w:rsidRPr="0028384B">
              <w:rPr>
                <w:noProof/>
                <w:sz w:val="16"/>
              </w:rPr>
              <w:t>pkt</w:t>
            </w:r>
            <w:r w:rsidR="0028384B" w:rsidRPr="0028384B">
              <w:rPr>
                <w:noProof/>
                <w:sz w:val="16"/>
              </w:rPr>
              <w:t> </w:t>
            </w:r>
            <w:r w:rsidRPr="0028384B">
              <w:rPr>
                <w:noProof/>
                <w:sz w:val="16"/>
              </w:rPr>
              <w:t>1</w:t>
            </w:r>
            <w:r w:rsidRPr="002F16A1">
              <w:rPr>
                <w:noProof/>
                <w:sz w:val="16"/>
              </w:rPr>
              <w:t>.6)</w:t>
            </w:r>
          </w:p>
        </w:tc>
      </w:tr>
      <w:tr w:rsidR="00AD62E2" w:rsidRPr="002F16A1" w:rsidTr="000154FC">
        <w:trPr>
          <w:gridBefore w:val="1"/>
          <w:wBefore w:w="15" w:type="dxa"/>
          <w:trHeight w:val="289"/>
          <w:jc w:val="center"/>
        </w:trPr>
        <w:tc>
          <w:tcPr>
            <w:tcW w:w="9871" w:type="dxa"/>
            <w:gridSpan w:val="9"/>
            <w:shd w:val="clear" w:color="auto" w:fill="auto"/>
          </w:tcPr>
          <w:p w:rsidR="00AD62E2" w:rsidRPr="002F16A1" w:rsidRDefault="00AD62E2" w:rsidP="000154FC">
            <w:pPr>
              <w:jc w:val="left"/>
              <w:rPr>
                <w:noProof/>
                <w:sz w:val="16"/>
                <w:szCs w:val="16"/>
              </w:rPr>
            </w:pPr>
            <w:r w:rsidRPr="002F16A1">
              <w:rPr>
                <w:rFonts w:ascii="Wingdings" w:hAnsi="Wingdings"/>
                <w:b/>
                <w:noProof/>
                <w:sz w:val="16"/>
              </w:rPr>
              <w:t>□</w:t>
            </w:r>
            <w:r w:rsidRPr="002F16A1">
              <w:rPr>
                <w:b/>
                <w:noProof/>
                <w:sz w:val="16"/>
              </w:rPr>
              <w:t xml:space="preserve"> Stanowiska przewidziane</w:t>
            </w:r>
            <w:r w:rsidR="0028384B" w:rsidRPr="002F16A1">
              <w:rPr>
                <w:b/>
                <w:noProof/>
                <w:sz w:val="16"/>
              </w:rPr>
              <w:t xml:space="preserve"> w</w:t>
            </w:r>
            <w:r w:rsidR="0028384B">
              <w:rPr>
                <w:b/>
                <w:noProof/>
                <w:sz w:val="16"/>
              </w:rPr>
              <w:t> </w:t>
            </w:r>
            <w:r w:rsidR="0028384B" w:rsidRPr="002F16A1">
              <w:rPr>
                <w:b/>
                <w:noProof/>
                <w:sz w:val="16"/>
              </w:rPr>
              <w:t>pla</w:t>
            </w:r>
            <w:r w:rsidRPr="002F16A1">
              <w:rPr>
                <w:b/>
                <w:noProof/>
                <w:sz w:val="16"/>
              </w:rPr>
              <w:t>nie zatrudnienia (stanowiska urzędników</w:t>
            </w:r>
            <w:r w:rsidR="0028384B" w:rsidRPr="002F16A1">
              <w:rPr>
                <w:b/>
                <w:noProof/>
                <w:sz w:val="16"/>
              </w:rPr>
              <w:t xml:space="preserve"> i</w:t>
            </w:r>
            <w:r w:rsidR="0028384B">
              <w:rPr>
                <w:b/>
                <w:noProof/>
                <w:sz w:val="16"/>
              </w:rPr>
              <w:t> </w:t>
            </w:r>
            <w:r w:rsidR="0028384B" w:rsidRPr="002F16A1">
              <w:rPr>
                <w:b/>
                <w:noProof/>
                <w:sz w:val="16"/>
              </w:rPr>
              <w:t>pra</w:t>
            </w:r>
            <w:r w:rsidRPr="002F16A1">
              <w:rPr>
                <w:b/>
                <w:noProof/>
                <w:sz w:val="16"/>
              </w:rPr>
              <w:t>cowników zatrudnionych na czas określony)</w:t>
            </w:r>
          </w:p>
        </w:tc>
      </w:tr>
      <w:tr w:rsidR="00AD62E2" w:rsidRPr="002F16A1" w:rsidTr="000154FC">
        <w:trPr>
          <w:gridBefore w:val="1"/>
          <w:wBefore w:w="15" w:type="dxa"/>
          <w:trHeight w:val="289"/>
          <w:jc w:val="center"/>
        </w:trPr>
        <w:tc>
          <w:tcPr>
            <w:tcW w:w="4754" w:type="dxa"/>
            <w:gridSpan w:val="2"/>
            <w:shd w:val="clear" w:color="auto" w:fill="auto"/>
            <w:vAlign w:val="center"/>
          </w:tcPr>
          <w:p w:rsidR="00AD62E2" w:rsidRPr="002F16A1" w:rsidRDefault="00AD62E2" w:rsidP="000154FC">
            <w:pPr>
              <w:pStyle w:val="Text1"/>
              <w:spacing w:beforeLines="20" w:before="48" w:afterLines="20" w:after="48"/>
              <w:ind w:left="134"/>
              <w:jc w:val="left"/>
              <w:rPr>
                <w:b/>
                <w:noProof/>
                <w:sz w:val="16"/>
                <w:szCs w:val="16"/>
              </w:rPr>
            </w:pPr>
            <w:r w:rsidRPr="002F16A1">
              <w:rPr>
                <w:noProof/>
              </w:rPr>
              <w:t>20 01 02 01 (w centrali</w:t>
            </w:r>
            <w:r w:rsidR="0028384B" w:rsidRPr="002F16A1">
              <w:rPr>
                <w:noProof/>
              </w:rPr>
              <w:t xml:space="preserve"> i</w:t>
            </w:r>
            <w:r w:rsidR="0028384B">
              <w:rPr>
                <w:noProof/>
              </w:rPr>
              <w:t> </w:t>
            </w:r>
            <w:r w:rsidR="0028384B" w:rsidRPr="002F16A1">
              <w:rPr>
                <w:noProof/>
              </w:rPr>
              <w:t>w</w:t>
            </w:r>
            <w:r w:rsidR="0028384B">
              <w:rPr>
                <w:noProof/>
              </w:rPr>
              <w:t> </w:t>
            </w:r>
            <w:r w:rsidR="0028384B" w:rsidRPr="002F16A1">
              <w:rPr>
                <w:noProof/>
              </w:rPr>
              <w:t>biu</w:t>
            </w:r>
            <w:r w:rsidRPr="002F16A1">
              <w:rPr>
                <w:noProof/>
              </w:rPr>
              <w:t>rach przedstawicielstw Komisji)</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normaltextrun"/>
                <w:noProof/>
                <w:sz w:val="16"/>
              </w:rPr>
              <w:t>8</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normaltextrun"/>
                <w:noProof/>
                <w:sz w:val="16"/>
              </w:rPr>
              <w:t>14</w:t>
            </w: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normaltextrun"/>
                <w:noProof/>
                <w:sz w:val="16"/>
              </w:rPr>
              <w:t>22</w:t>
            </w: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normaltextrun"/>
                <w:noProof/>
                <w:sz w:val="16"/>
              </w:rPr>
              <w:t>22</w:t>
            </w: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r>
      <w:tr w:rsidR="00AD62E2" w:rsidRPr="002F16A1" w:rsidTr="000154FC">
        <w:trPr>
          <w:gridBefore w:val="1"/>
          <w:wBefore w:w="15" w:type="dxa"/>
          <w:trHeight w:val="289"/>
          <w:jc w:val="center"/>
        </w:trPr>
        <w:tc>
          <w:tcPr>
            <w:tcW w:w="4754" w:type="dxa"/>
            <w:gridSpan w:val="2"/>
            <w:shd w:val="clear" w:color="auto" w:fill="auto"/>
            <w:vAlign w:val="center"/>
          </w:tcPr>
          <w:p w:rsidR="00AD62E2" w:rsidRPr="002F16A1" w:rsidRDefault="00AD62E2" w:rsidP="000154FC">
            <w:pPr>
              <w:pStyle w:val="Text1"/>
              <w:spacing w:beforeLines="20" w:before="48" w:afterLines="20" w:after="48"/>
              <w:ind w:left="134"/>
              <w:jc w:val="left"/>
              <w:rPr>
                <w:noProof/>
                <w:sz w:val="16"/>
              </w:rPr>
            </w:pPr>
            <w:r w:rsidRPr="002F16A1">
              <w:rPr>
                <w:noProof/>
                <w:sz w:val="16"/>
              </w:rPr>
              <w:t>20 01 02 03 (w delegaturach)</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r>
      <w:tr w:rsidR="00AD62E2" w:rsidRPr="002F16A1" w:rsidTr="000154FC">
        <w:trPr>
          <w:gridBefore w:val="1"/>
          <w:wBefore w:w="15" w:type="dxa"/>
          <w:trHeight w:val="289"/>
          <w:jc w:val="center"/>
        </w:trPr>
        <w:tc>
          <w:tcPr>
            <w:tcW w:w="4754" w:type="dxa"/>
            <w:gridSpan w:val="2"/>
            <w:shd w:val="clear" w:color="auto" w:fill="auto"/>
            <w:vAlign w:val="center"/>
          </w:tcPr>
          <w:p w:rsidR="00AD62E2" w:rsidRPr="002F16A1" w:rsidRDefault="00AD62E2" w:rsidP="000154FC">
            <w:pPr>
              <w:pStyle w:val="Text1"/>
              <w:spacing w:beforeLines="20" w:before="48" w:afterLines="20" w:after="48"/>
              <w:ind w:left="134"/>
              <w:jc w:val="left"/>
              <w:rPr>
                <w:noProof/>
                <w:sz w:val="16"/>
                <w:szCs w:val="16"/>
              </w:rPr>
            </w:pPr>
            <w:r w:rsidRPr="002F16A1">
              <w:rPr>
                <w:noProof/>
              </w:rPr>
              <w:t>01 01 01 01 (pośrednie badania naukowe)</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r>
      <w:tr w:rsidR="00AD62E2" w:rsidRPr="002F16A1" w:rsidTr="000154FC">
        <w:trPr>
          <w:gridBefore w:val="1"/>
          <w:wBefore w:w="15" w:type="dxa"/>
          <w:trHeight w:val="289"/>
          <w:jc w:val="center"/>
        </w:trPr>
        <w:tc>
          <w:tcPr>
            <w:tcW w:w="4754" w:type="dxa"/>
            <w:gridSpan w:val="2"/>
            <w:shd w:val="clear" w:color="auto" w:fill="auto"/>
            <w:vAlign w:val="center"/>
          </w:tcPr>
          <w:p w:rsidR="00AD62E2" w:rsidRPr="002F16A1" w:rsidRDefault="00AD62E2" w:rsidP="000154FC">
            <w:pPr>
              <w:pStyle w:val="Text1"/>
              <w:spacing w:beforeLines="20" w:before="48" w:afterLines="20" w:after="48"/>
              <w:ind w:left="134"/>
              <w:jc w:val="left"/>
              <w:rPr>
                <w:noProof/>
                <w:sz w:val="16"/>
                <w:szCs w:val="16"/>
              </w:rPr>
            </w:pPr>
            <w:r w:rsidRPr="002F16A1">
              <w:rPr>
                <w:noProof/>
                <w:sz w:val="16"/>
              </w:rPr>
              <w:t xml:space="preserve"> 01 01 01 11 (bezpośrednie badania naukowe)</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r>
      <w:tr w:rsidR="00AD62E2" w:rsidRPr="002F16A1" w:rsidTr="000154FC">
        <w:trPr>
          <w:gridBefore w:val="1"/>
          <w:wBefore w:w="15" w:type="dxa"/>
          <w:trHeight w:val="289"/>
          <w:jc w:val="center"/>
        </w:trPr>
        <w:tc>
          <w:tcPr>
            <w:tcW w:w="4754" w:type="dxa"/>
            <w:gridSpan w:val="2"/>
            <w:shd w:val="clear" w:color="auto" w:fill="auto"/>
            <w:vAlign w:val="center"/>
          </w:tcPr>
          <w:p w:rsidR="00AD62E2" w:rsidRPr="002F16A1" w:rsidRDefault="00AD62E2" w:rsidP="000154FC">
            <w:pPr>
              <w:pStyle w:val="Text1"/>
              <w:spacing w:beforeLines="20" w:before="48" w:afterLines="20" w:after="48"/>
              <w:ind w:left="134"/>
              <w:jc w:val="left"/>
              <w:rPr>
                <w:noProof/>
                <w:sz w:val="16"/>
              </w:rPr>
            </w:pPr>
            <w:r w:rsidRPr="002F16A1">
              <w:rPr>
                <w:noProof/>
                <w:sz w:val="16"/>
              </w:rPr>
              <w:t>Inna linia budżetowa (określić)</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r>
      <w:tr w:rsidR="00AD62E2" w:rsidRPr="002F16A1" w:rsidTr="000154FC">
        <w:trPr>
          <w:trHeight w:val="248"/>
          <w:jc w:val="center"/>
        </w:trPr>
        <w:tc>
          <w:tcPr>
            <w:tcW w:w="9886" w:type="dxa"/>
            <w:gridSpan w:val="10"/>
            <w:shd w:val="clear" w:color="auto" w:fill="auto"/>
            <w:vAlign w:val="center"/>
          </w:tcPr>
          <w:p w:rsidR="00AD62E2" w:rsidRPr="002F16A1" w:rsidRDefault="00AD62E2" w:rsidP="000154FC">
            <w:pPr>
              <w:pStyle w:val="Text1"/>
              <w:spacing w:before="60" w:after="60"/>
              <w:ind w:left="0"/>
              <w:jc w:val="left"/>
              <w:rPr>
                <w:b/>
                <w:noProof/>
                <w:sz w:val="16"/>
                <w:szCs w:val="16"/>
              </w:rPr>
            </w:pPr>
            <w:r w:rsidRPr="002F16A1">
              <w:rPr>
                <w:rFonts w:ascii="Wingdings" w:hAnsi="Wingdings"/>
                <w:b/>
                <w:noProof/>
                <w:sz w:val="16"/>
              </w:rPr>
              <w:t>□</w:t>
            </w:r>
            <w:r w:rsidRPr="002F16A1">
              <w:rPr>
                <w:b/>
                <w:noProof/>
                <w:sz w:val="16"/>
              </w:rPr>
              <w:t xml:space="preserve"> Personel zewnętrzny (w ekwiwalentach pełnego czasu pracy: EPC)</w:t>
            </w:r>
            <w:r w:rsidRPr="002F16A1">
              <w:rPr>
                <w:rStyle w:val="FootnoteReference"/>
                <w:noProof/>
              </w:rPr>
              <w:footnoteReference w:id="61"/>
            </w:r>
          </w:p>
          <w:p w:rsidR="00AD62E2" w:rsidRPr="002F16A1" w:rsidRDefault="00AD62E2" w:rsidP="000154FC">
            <w:pPr>
              <w:pStyle w:val="Text1"/>
              <w:spacing w:before="0" w:after="0"/>
              <w:ind w:left="0"/>
              <w:jc w:val="left"/>
              <w:rPr>
                <w:noProof/>
                <w:sz w:val="16"/>
                <w:szCs w:val="16"/>
              </w:rPr>
            </w:pPr>
          </w:p>
        </w:tc>
      </w:tr>
      <w:tr w:rsidR="00AD62E2" w:rsidRPr="002F16A1" w:rsidTr="000154FC">
        <w:trPr>
          <w:gridBefore w:val="1"/>
          <w:wBefore w:w="15" w:type="dxa"/>
          <w:trHeight w:val="289"/>
          <w:jc w:val="center"/>
        </w:trPr>
        <w:tc>
          <w:tcPr>
            <w:tcW w:w="4754" w:type="dxa"/>
            <w:gridSpan w:val="2"/>
            <w:shd w:val="clear" w:color="auto" w:fill="auto"/>
            <w:vAlign w:val="center"/>
          </w:tcPr>
          <w:p w:rsidR="00AD62E2" w:rsidRPr="002F16A1" w:rsidRDefault="00AD62E2" w:rsidP="000154FC">
            <w:pPr>
              <w:pStyle w:val="Text1"/>
              <w:spacing w:beforeLines="20" w:before="48" w:afterLines="20" w:after="48"/>
              <w:ind w:left="136"/>
              <w:jc w:val="left"/>
              <w:rPr>
                <w:b/>
                <w:noProof/>
                <w:sz w:val="16"/>
                <w:szCs w:val="16"/>
              </w:rPr>
            </w:pPr>
            <w:r w:rsidRPr="002F16A1">
              <w:rPr>
                <w:noProof/>
              </w:rPr>
              <w:t>20 02 01 (CA, SNE, INT</w:t>
            </w:r>
            <w:r w:rsidR="0028384B" w:rsidRPr="002F16A1">
              <w:rPr>
                <w:noProof/>
              </w:rPr>
              <w:t xml:space="preserve"> z</w:t>
            </w:r>
            <w:r w:rsidR="0028384B">
              <w:rPr>
                <w:noProof/>
              </w:rPr>
              <w:t> </w:t>
            </w:r>
            <w:r w:rsidR="0028384B" w:rsidRPr="002F16A1">
              <w:rPr>
                <w:noProof/>
              </w:rPr>
              <w:t>glo</w:t>
            </w:r>
            <w:r w:rsidRPr="002F16A1">
              <w:rPr>
                <w:noProof/>
              </w:rPr>
              <w:t>balnej koperty finansowej)</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normaltextrun"/>
                <w:noProof/>
                <w:sz w:val="16"/>
              </w:rPr>
              <w:t>4</w:t>
            </w: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normaltextrun"/>
                <w:noProof/>
                <w:sz w:val="16"/>
              </w:rPr>
              <w:t>5</w:t>
            </w: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normaltextrun"/>
                <w:noProof/>
                <w:sz w:val="16"/>
              </w:rPr>
              <w:t>11</w:t>
            </w: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normaltextrun"/>
                <w:noProof/>
                <w:sz w:val="16"/>
              </w:rPr>
              <w:t>11</w:t>
            </w: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r>
      <w:tr w:rsidR="00AD62E2" w:rsidRPr="002F16A1" w:rsidTr="000154FC">
        <w:trPr>
          <w:gridBefore w:val="1"/>
          <w:wBefore w:w="15" w:type="dxa"/>
          <w:trHeight w:val="289"/>
          <w:jc w:val="center"/>
        </w:trPr>
        <w:tc>
          <w:tcPr>
            <w:tcW w:w="4754" w:type="dxa"/>
            <w:gridSpan w:val="2"/>
            <w:shd w:val="clear" w:color="auto" w:fill="auto"/>
            <w:vAlign w:val="center"/>
          </w:tcPr>
          <w:p w:rsidR="00AD62E2" w:rsidRPr="002F16A1" w:rsidRDefault="00AD62E2" w:rsidP="000154FC">
            <w:pPr>
              <w:pStyle w:val="Text1"/>
              <w:spacing w:beforeLines="20" w:before="48" w:afterLines="20" w:after="48"/>
              <w:ind w:left="136"/>
              <w:jc w:val="left"/>
              <w:rPr>
                <w:noProof/>
                <w:sz w:val="16"/>
              </w:rPr>
            </w:pPr>
            <w:r w:rsidRPr="002F16A1">
              <w:rPr>
                <w:noProof/>
                <w:sz w:val="16"/>
              </w:rPr>
              <w:t>20 02 03 (CA, LA, SNE, INT i JPD</w:t>
            </w:r>
            <w:r w:rsidR="0028384B" w:rsidRPr="002F16A1">
              <w:rPr>
                <w:noProof/>
                <w:sz w:val="16"/>
              </w:rPr>
              <w:t xml:space="preserve"> w</w:t>
            </w:r>
            <w:r w:rsidR="0028384B">
              <w:rPr>
                <w:noProof/>
                <w:sz w:val="16"/>
              </w:rPr>
              <w:t> </w:t>
            </w:r>
            <w:r w:rsidR="0028384B" w:rsidRPr="002F16A1">
              <w:rPr>
                <w:noProof/>
                <w:sz w:val="16"/>
              </w:rPr>
              <w:t>del</w:t>
            </w:r>
            <w:r w:rsidRPr="002F16A1">
              <w:rPr>
                <w:noProof/>
                <w:sz w:val="16"/>
              </w:rPr>
              <w:t>egaturach)</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r>
      <w:tr w:rsidR="00AD62E2" w:rsidRPr="002F16A1" w:rsidTr="000154FC">
        <w:trPr>
          <w:gridBefore w:val="1"/>
          <w:wBefore w:w="15" w:type="dxa"/>
          <w:trHeight w:val="289"/>
          <w:jc w:val="center"/>
        </w:trPr>
        <w:tc>
          <w:tcPr>
            <w:tcW w:w="2376" w:type="dxa"/>
            <w:vMerge w:val="restart"/>
            <w:shd w:val="clear" w:color="auto" w:fill="auto"/>
            <w:vAlign w:val="center"/>
          </w:tcPr>
          <w:p w:rsidR="00AD62E2" w:rsidRPr="002F16A1" w:rsidRDefault="00AD62E2" w:rsidP="000154FC">
            <w:pPr>
              <w:pStyle w:val="Text1"/>
              <w:spacing w:beforeLines="20" w:before="48" w:afterLines="20" w:after="48"/>
              <w:ind w:left="136"/>
              <w:jc w:val="left"/>
              <w:rPr>
                <w:b/>
                <w:noProof/>
                <w:sz w:val="16"/>
                <w:szCs w:val="16"/>
              </w:rPr>
            </w:pPr>
            <w:r w:rsidRPr="002F16A1">
              <w:rPr>
                <w:b/>
                <w:noProof/>
                <w:sz w:val="16"/>
              </w:rPr>
              <w:t>XX</w:t>
            </w:r>
            <w:r w:rsidRPr="002F16A1">
              <w:rPr>
                <w:noProof/>
                <w:sz w:val="16"/>
              </w:rPr>
              <w:t xml:space="preserve"> 0</w:t>
            </w:r>
            <w:r w:rsidRPr="0028384B">
              <w:rPr>
                <w:noProof/>
                <w:sz w:val="16"/>
              </w:rPr>
              <w:t>1</w:t>
            </w:r>
            <w:r w:rsidR="0028384B" w:rsidRPr="0028384B">
              <w:rPr>
                <w:noProof/>
                <w:sz w:val="16"/>
              </w:rPr>
              <w:t xml:space="preserve"> </w:t>
            </w:r>
            <w:r w:rsidRPr="0028384B">
              <w:rPr>
                <w:noProof/>
                <w:sz w:val="16"/>
              </w:rPr>
              <w:t>x</w:t>
            </w:r>
            <w:r w:rsidRPr="002F16A1">
              <w:rPr>
                <w:noProof/>
                <w:sz w:val="16"/>
              </w:rPr>
              <w:t xml:space="preserve">x </w:t>
            </w:r>
            <w:r w:rsidRPr="002F16A1">
              <w:rPr>
                <w:b/>
                <w:noProof/>
                <w:sz w:val="16"/>
              </w:rPr>
              <w:t>yy z</w:t>
            </w:r>
            <w:r w:rsidRPr="0028384B">
              <w:rPr>
                <w:b/>
                <w:noProof/>
                <w:sz w:val="16"/>
              </w:rPr>
              <w:t>z</w:t>
            </w:r>
            <w:r w:rsidR="0028384B" w:rsidRPr="0028384B">
              <w:rPr>
                <w:b/>
                <w:noProof/>
                <w:sz w:val="16"/>
              </w:rPr>
              <w:t xml:space="preserve"> </w:t>
            </w:r>
            <w:r w:rsidRPr="0028384B">
              <w:rPr>
                <w:rStyle w:val="FootnoteReference"/>
                <w:noProof/>
              </w:rPr>
              <w:footnoteReference w:id="62"/>
            </w:r>
          </w:p>
          <w:p w:rsidR="00AD62E2" w:rsidRPr="002F16A1" w:rsidRDefault="00AD62E2" w:rsidP="000154FC">
            <w:pPr>
              <w:pStyle w:val="Text1"/>
              <w:spacing w:beforeLines="20" w:before="48" w:afterLines="20" w:after="48"/>
              <w:ind w:left="136"/>
              <w:jc w:val="left"/>
              <w:rPr>
                <w:b/>
                <w:noProof/>
                <w:sz w:val="16"/>
                <w:szCs w:val="16"/>
              </w:rPr>
            </w:pPr>
          </w:p>
        </w:tc>
        <w:tc>
          <w:tcPr>
            <w:tcW w:w="2378" w:type="dxa"/>
            <w:shd w:val="clear" w:color="auto" w:fill="auto"/>
            <w:vAlign w:val="center"/>
          </w:tcPr>
          <w:p w:rsidR="00AD62E2" w:rsidRPr="002F16A1" w:rsidRDefault="00AD62E2" w:rsidP="000154FC">
            <w:pPr>
              <w:pStyle w:val="Text1"/>
              <w:spacing w:beforeLines="20" w:before="48" w:afterLines="20" w:after="48"/>
              <w:ind w:left="136"/>
              <w:jc w:val="left"/>
              <w:rPr>
                <w:b/>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pStyle w:val="Text1"/>
              <w:spacing w:beforeLines="20" w:before="48" w:afterLines="20" w:after="48"/>
              <w:ind w:left="0"/>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r>
      <w:tr w:rsidR="00AD62E2" w:rsidRPr="002F16A1" w:rsidTr="000154FC">
        <w:trPr>
          <w:gridBefore w:val="1"/>
          <w:wBefore w:w="15" w:type="dxa"/>
          <w:trHeight w:val="289"/>
          <w:jc w:val="center"/>
        </w:trPr>
        <w:tc>
          <w:tcPr>
            <w:tcW w:w="2376" w:type="dxa"/>
            <w:vMerge/>
            <w:vAlign w:val="center"/>
          </w:tcPr>
          <w:p w:rsidR="00AD62E2" w:rsidRPr="002F16A1" w:rsidRDefault="00AD62E2" w:rsidP="000154FC">
            <w:pPr>
              <w:pStyle w:val="Text1"/>
              <w:spacing w:beforeLines="20" w:before="48" w:afterLines="20" w:after="48"/>
              <w:ind w:left="136"/>
              <w:jc w:val="left"/>
              <w:rPr>
                <w:b/>
                <w:noProof/>
                <w:sz w:val="16"/>
                <w:szCs w:val="16"/>
              </w:rPr>
            </w:pPr>
          </w:p>
        </w:tc>
        <w:tc>
          <w:tcPr>
            <w:tcW w:w="2378" w:type="dxa"/>
            <w:shd w:val="clear" w:color="auto" w:fill="auto"/>
            <w:vAlign w:val="center"/>
          </w:tcPr>
          <w:p w:rsidR="00AD62E2" w:rsidRPr="002F16A1" w:rsidRDefault="00AD62E2" w:rsidP="000154FC">
            <w:pPr>
              <w:pStyle w:val="Text1"/>
              <w:spacing w:beforeLines="20" w:before="48" w:afterLines="20" w:after="48"/>
              <w:ind w:left="136"/>
              <w:jc w:val="left"/>
              <w:rPr>
                <w:b/>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pStyle w:val="Text1"/>
              <w:spacing w:beforeLines="20" w:before="48" w:afterLines="20" w:after="48"/>
              <w:ind w:left="0"/>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p>
        </w:tc>
      </w:tr>
      <w:tr w:rsidR="00AD62E2" w:rsidRPr="002F16A1" w:rsidTr="000154FC">
        <w:trPr>
          <w:gridBefore w:val="1"/>
          <w:wBefore w:w="15" w:type="dxa"/>
          <w:trHeight w:val="289"/>
          <w:jc w:val="center"/>
        </w:trPr>
        <w:tc>
          <w:tcPr>
            <w:tcW w:w="4754" w:type="dxa"/>
            <w:gridSpan w:val="2"/>
            <w:shd w:val="clear" w:color="auto" w:fill="auto"/>
            <w:vAlign w:val="center"/>
          </w:tcPr>
          <w:p w:rsidR="00AD62E2" w:rsidRPr="002F16A1" w:rsidRDefault="00AD62E2" w:rsidP="000154FC">
            <w:pPr>
              <w:pStyle w:val="Text1"/>
              <w:spacing w:beforeLines="20" w:before="48" w:afterLines="20" w:after="48"/>
              <w:ind w:left="136"/>
              <w:jc w:val="left"/>
              <w:rPr>
                <w:noProof/>
                <w:sz w:val="16"/>
                <w:szCs w:val="16"/>
              </w:rPr>
            </w:pPr>
            <w:r w:rsidRPr="002F16A1">
              <w:rPr>
                <w:noProof/>
              </w:rPr>
              <w:t>01 01 01 02 (CA, SNE, INT – pośrednie badania naukowe)</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r>
      <w:tr w:rsidR="00AD62E2" w:rsidRPr="002F16A1" w:rsidTr="000154FC">
        <w:trPr>
          <w:gridBefore w:val="1"/>
          <w:wBefore w:w="15" w:type="dxa"/>
          <w:trHeight w:val="289"/>
          <w:jc w:val="center"/>
        </w:trPr>
        <w:tc>
          <w:tcPr>
            <w:tcW w:w="4754" w:type="dxa"/>
            <w:gridSpan w:val="2"/>
            <w:shd w:val="clear" w:color="auto" w:fill="auto"/>
            <w:vAlign w:val="center"/>
          </w:tcPr>
          <w:p w:rsidR="00AD62E2" w:rsidRPr="002F16A1" w:rsidRDefault="00AD62E2" w:rsidP="000154FC">
            <w:pPr>
              <w:pStyle w:val="Text1"/>
              <w:spacing w:beforeLines="20" w:before="48" w:afterLines="20" w:after="48"/>
              <w:ind w:left="136"/>
              <w:jc w:val="left"/>
              <w:rPr>
                <w:noProof/>
                <w:color w:val="FF0000"/>
                <w:sz w:val="16"/>
                <w:szCs w:val="16"/>
              </w:rPr>
            </w:pPr>
            <w:r w:rsidRPr="002F16A1">
              <w:rPr>
                <w:noProof/>
                <w:sz w:val="16"/>
              </w:rPr>
              <w:t xml:space="preserve"> 01 01 01 12 (CA, INT, SNE – bezpośrednie badania naukowe)</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r>
      <w:tr w:rsidR="00AD62E2" w:rsidRPr="002F16A1" w:rsidTr="000154FC">
        <w:trPr>
          <w:gridBefore w:val="1"/>
          <w:wBefore w:w="15" w:type="dxa"/>
          <w:trHeight w:val="289"/>
          <w:jc w:val="center"/>
        </w:trPr>
        <w:tc>
          <w:tcPr>
            <w:tcW w:w="4754" w:type="dxa"/>
            <w:gridSpan w:val="2"/>
            <w:shd w:val="clear" w:color="auto" w:fill="auto"/>
            <w:vAlign w:val="center"/>
          </w:tcPr>
          <w:p w:rsidR="00AD62E2" w:rsidRPr="002F16A1" w:rsidRDefault="00AD62E2" w:rsidP="000154FC">
            <w:pPr>
              <w:pStyle w:val="Text1"/>
              <w:spacing w:beforeLines="20" w:before="48" w:afterLines="20" w:after="48"/>
              <w:ind w:left="136"/>
              <w:jc w:val="left"/>
              <w:rPr>
                <w:noProof/>
                <w:sz w:val="16"/>
              </w:rPr>
            </w:pPr>
            <w:r w:rsidRPr="002F16A1">
              <w:rPr>
                <w:noProof/>
                <w:sz w:val="16"/>
              </w:rPr>
              <w:t>Inna linia budżetowa (określić)</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c>
          <w:tcPr>
            <w:tcW w:w="731" w:type="dxa"/>
            <w:shd w:val="clear" w:color="auto" w:fill="auto"/>
            <w:vAlign w:val="center"/>
          </w:tcPr>
          <w:p w:rsidR="00AD62E2" w:rsidRPr="002F16A1" w:rsidRDefault="00AD62E2" w:rsidP="000154FC">
            <w:pPr>
              <w:spacing w:beforeLines="20" w:before="48" w:afterLines="20" w:after="48"/>
              <w:jc w:val="center"/>
              <w:rPr>
                <w:noProof/>
                <w:sz w:val="16"/>
                <w:szCs w:val="16"/>
              </w:rPr>
            </w:pPr>
            <w:r w:rsidRPr="002F16A1">
              <w:rPr>
                <w:rStyle w:val="eop"/>
                <w:noProof/>
                <w:sz w:val="16"/>
              </w:rPr>
              <w:t xml:space="preserve"> </w:t>
            </w:r>
          </w:p>
        </w:tc>
      </w:tr>
      <w:tr w:rsidR="00AD62E2" w:rsidRPr="002F16A1" w:rsidTr="000154FC">
        <w:trPr>
          <w:gridBefore w:val="1"/>
          <w:wBefore w:w="15" w:type="dxa"/>
          <w:trHeight w:val="289"/>
          <w:jc w:val="center"/>
        </w:trPr>
        <w:tc>
          <w:tcPr>
            <w:tcW w:w="4754" w:type="dxa"/>
            <w:gridSpan w:val="2"/>
            <w:tcBorders>
              <w:top w:val="double" w:sz="4" w:space="0" w:color="auto"/>
            </w:tcBorders>
            <w:shd w:val="clear" w:color="auto" w:fill="auto"/>
            <w:vAlign w:val="center"/>
          </w:tcPr>
          <w:p w:rsidR="00AD62E2" w:rsidRPr="002F16A1" w:rsidRDefault="00AD62E2" w:rsidP="000154FC">
            <w:pPr>
              <w:pStyle w:val="Text1"/>
              <w:spacing w:beforeLines="20" w:before="48" w:afterLines="20" w:after="48"/>
              <w:ind w:left="136"/>
              <w:jc w:val="left"/>
              <w:rPr>
                <w:noProof/>
                <w:sz w:val="16"/>
                <w:szCs w:val="16"/>
              </w:rPr>
            </w:pPr>
            <w:r w:rsidRPr="002F16A1">
              <w:rPr>
                <w:b/>
                <w:noProof/>
                <w:sz w:val="16"/>
              </w:rPr>
              <w:t>OGÓŁEM</w:t>
            </w:r>
          </w:p>
        </w:tc>
        <w:tc>
          <w:tcPr>
            <w:tcW w:w="731" w:type="dxa"/>
            <w:tcBorders>
              <w:top w:val="double" w:sz="4" w:space="0" w:color="auto"/>
            </w:tcBorders>
            <w:shd w:val="clear" w:color="auto" w:fill="auto"/>
            <w:vAlign w:val="center"/>
          </w:tcPr>
          <w:p w:rsidR="00AD62E2" w:rsidRPr="002F16A1" w:rsidRDefault="00AD62E2" w:rsidP="000154FC">
            <w:pPr>
              <w:spacing w:beforeLines="20" w:before="48" w:afterLines="20" w:after="48"/>
              <w:jc w:val="center"/>
              <w:rPr>
                <w:b/>
                <w:noProof/>
                <w:sz w:val="16"/>
                <w:szCs w:val="16"/>
              </w:rPr>
            </w:pPr>
            <w:r w:rsidRPr="002F16A1">
              <w:rPr>
                <w:rStyle w:val="normaltextrun"/>
                <w:b/>
                <w:noProof/>
                <w:sz w:val="16"/>
              </w:rPr>
              <w:t>12</w:t>
            </w:r>
            <w:r w:rsidRPr="002F16A1">
              <w:rPr>
                <w:rStyle w:val="eop"/>
                <w:noProof/>
                <w:sz w:val="16"/>
              </w:rPr>
              <w:t xml:space="preserve"> </w:t>
            </w:r>
          </w:p>
        </w:tc>
        <w:tc>
          <w:tcPr>
            <w:tcW w:w="731" w:type="dxa"/>
            <w:tcBorders>
              <w:top w:val="double" w:sz="4" w:space="0" w:color="auto"/>
            </w:tcBorders>
            <w:shd w:val="clear" w:color="auto" w:fill="auto"/>
            <w:vAlign w:val="center"/>
          </w:tcPr>
          <w:p w:rsidR="00AD62E2" w:rsidRPr="002F16A1" w:rsidRDefault="00AD62E2" w:rsidP="000154FC">
            <w:pPr>
              <w:spacing w:beforeLines="20" w:before="48" w:afterLines="20" w:after="48"/>
              <w:jc w:val="center"/>
              <w:rPr>
                <w:b/>
                <w:noProof/>
                <w:sz w:val="16"/>
                <w:szCs w:val="16"/>
              </w:rPr>
            </w:pPr>
            <w:r w:rsidRPr="002F16A1">
              <w:rPr>
                <w:rStyle w:val="normaltextrun"/>
                <w:b/>
                <w:noProof/>
                <w:sz w:val="16"/>
              </w:rPr>
              <w:t>19</w:t>
            </w:r>
            <w:r w:rsidRPr="002F16A1">
              <w:rPr>
                <w:rStyle w:val="eop"/>
                <w:noProof/>
                <w:sz w:val="16"/>
              </w:rPr>
              <w:t xml:space="preserve"> </w:t>
            </w:r>
          </w:p>
        </w:tc>
        <w:tc>
          <w:tcPr>
            <w:tcW w:w="731" w:type="dxa"/>
            <w:tcBorders>
              <w:top w:val="double" w:sz="4" w:space="0" w:color="auto"/>
            </w:tcBorders>
            <w:shd w:val="clear" w:color="auto" w:fill="auto"/>
            <w:vAlign w:val="center"/>
          </w:tcPr>
          <w:p w:rsidR="00AD62E2" w:rsidRPr="002F16A1" w:rsidRDefault="00AD62E2" w:rsidP="000154FC">
            <w:pPr>
              <w:spacing w:beforeLines="20" w:before="48" w:afterLines="20" w:after="48"/>
              <w:jc w:val="center"/>
              <w:rPr>
                <w:b/>
                <w:noProof/>
                <w:sz w:val="16"/>
                <w:szCs w:val="16"/>
              </w:rPr>
            </w:pPr>
            <w:r w:rsidRPr="002F16A1">
              <w:rPr>
                <w:rStyle w:val="normaltextrun"/>
                <w:b/>
                <w:noProof/>
                <w:sz w:val="16"/>
              </w:rPr>
              <w:t>33</w:t>
            </w:r>
            <w:r w:rsidRPr="002F16A1">
              <w:rPr>
                <w:rStyle w:val="eop"/>
                <w:noProof/>
                <w:sz w:val="16"/>
              </w:rPr>
              <w:t xml:space="preserve"> </w:t>
            </w:r>
          </w:p>
        </w:tc>
        <w:tc>
          <w:tcPr>
            <w:tcW w:w="731" w:type="dxa"/>
            <w:tcBorders>
              <w:top w:val="double" w:sz="4" w:space="0" w:color="auto"/>
            </w:tcBorders>
            <w:shd w:val="clear" w:color="auto" w:fill="auto"/>
            <w:vAlign w:val="center"/>
          </w:tcPr>
          <w:p w:rsidR="00AD62E2" w:rsidRPr="002F16A1" w:rsidRDefault="00AD62E2" w:rsidP="000154FC">
            <w:pPr>
              <w:spacing w:beforeLines="20" w:before="48" w:afterLines="20" w:after="48"/>
              <w:jc w:val="center"/>
              <w:rPr>
                <w:b/>
                <w:noProof/>
                <w:sz w:val="16"/>
                <w:szCs w:val="16"/>
              </w:rPr>
            </w:pPr>
            <w:r w:rsidRPr="002F16A1">
              <w:rPr>
                <w:rStyle w:val="normaltextrun"/>
                <w:b/>
                <w:noProof/>
                <w:sz w:val="16"/>
              </w:rPr>
              <w:t>33</w:t>
            </w:r>
            <w:r w:rsidRPr="002F16A1">
              <w:rPr>
                <w:rStyle w:val="eop"/>
                <w:noProof/>
                <w:sz w:val="16"/>
              </w:rPr>
              <w:t xml:space="preserve"> </w:t>
            </w:r>
          </w:p>
        </w:tc>
        <w:tc>
          <w:tcPr>
            <w:tcW w:w="731" w:type="dxa"/>
            <w:tcBorders>
              <w:top w:val="double" w:sz="4" w:space="0" w:color="auto"/>
            </w:tcBorders>
            <w:shd w:val="clear" w:color="auto" w:fill="auto"/>
            <w:vAlign w:val="center"/>
          </w:tcPr>
          <w:p w:rsidR="00AD62E2" w:rsidRPr="002F16A1" w:rsidRDefault="00AD62E2" w:rsidP="000154FC">
            <w:pPr>
              <w:spacing w:beforeLines="20" w:before="48" w:afterLines="20" w:after="48"/>
              <w:jc w:val="center"/>
              <w:rPr>
                <w:b/>
                <w:noProof/>
                <w:sz w:val="16"/>
                <w:szCs w:val="16"/>
              </w:rPr>
            </w:pPr>
            <w:r w:rsidRPr="002F16A1">
              <w:rPr>
                <w:rStyle w:val="eop"/>
                <w:noProof/>
                <w:sz w:val="16"/>
              </w:rPr>
              <w:t xml:space="preserve"> </w:t>
            </w:r>
          </w:p>
        </w:tc>
        <w:tc>
          <w:tcPr>
            <w:tcW w:w="731" w:type="dxa"/>
            <w:tcBorders>
              <w:top w:val="double" w:sz="4" w:space="0" w:color="auto"/>
            </w:tcBorders>
            <w:shd w:val="clear" w:color="auto" w:fill="auto"/>
            <w:vAlign w:val="center"/>
          </w:tcPr>
          <w:p w:rsidR="00AD62E2" w:rsidRPr="002F16A1" w:rsidRDefault="00AD62E2" w:rsidP="000154FC">
            <w:pPr>
              <w:spacing w:beforeLines="20" w:before="48" w:afterLines="20" w:after="48"/>
              <w:jc w:val="center"/>
              <w:rPr>
                <w:b/>
                <w:noProof/>
                <w:sz w:val="16"/>
                <w:szCs w:val="16"/>
              </w:rPr>
            </w:pPr>
            <w:r w:rsidRPr="002F16A1">
              <w:rPr>
                <w:rStyle w:val="eop"/>
                <w:noProof/>
                <w:sz w:val="16"/>
              </w:rPr>
              <w:t xml:space="preserve"> </w:t>
            </w:r>
          </w:p>
        </w:tc>
        <w:tc>
          <w:tcPr>
            <w:tcW w:w="731" w:type="dxa"/>
            <w:tcBorders>
              <w:top w:val="double" w:sz="4" w:space="0" w:color="auto"/>
            </w:tcBorders>
            <w:shd w:val="clear" w:color="auto" w:fill="auto"/>
            <w:vAlign w:val="center"/>
          </w:tcPr>
          <w:p w:rsidR="00AD62E2" w:rsidRPr="002F16A1" w:rsidRDefault="00AD62E2" w:rsidP="000154FC">
            <w:pPr>
              <w:spacing w:beforeLines="20" w:before="48" w:afterLines="20" w:after="48"/>
              <w:jc w:val="center"/>
              <w:rPr>
                <w:b/>
                <w:noProof/>
                <w:sz w:val="16"/>
                <w:szCs w:val="16"/>
              </w:rPr>
            </w:pPr>
            <w:r w:rsidRPr="002F16A1">
              <w:rPr>
                <w:rStyle w:val="eop"/>
                <w:noProof/>
                <w:sz w:val="16"/>
              </w:rPr>
              <w:t xml:space="preserve"> </w:t>
            </w:r>
          </w:p>
        </w:tc>
      </w:tr>
    </w:tbl>
    <w:p w:rsidR="00AD62E2" w:rsidRPr="002F16A1" w:rsidRDefault="00AD62E2" w:rsidP="00AD62E2">
      <w:pPr>
        <w:pStyle w:val="Text1"/>
        <w:spacing w:before="60" w:after="60"/>
        <w:ind w:left="851"/>
        <w:rPr>
          <w:noProof/>
          <w:sz w:val="18"/>
          <w:szCs w:val="18"/>
        </w:rPr>
      </w:pPr>
      <w:r w:rsidRPr="002F16A1">
        <w:rPr>
          <w:b/>
          <w:noProof/>
          <w:sz w:val="18"/>
        </w:rPr>
        <w:t>XX</w:t>
      </w:r>
      <w:r w:rsidRPr="002F16A1">
        <w:rPr>
          <w:noProof/>
          <w:sz w:val="18"/>
        </w:rPr>
        <w:t xml:space="preserve"> oznacza odpowiedni obszar polityki lub odpowiedni tytuł</w:t>
      </w:r>
      <w:r w:rsidR="0028384B" w:rsidRPr="002F16A1">
        <w:rPr>
          <w:noProof/>
          <w:sz w:val="18"/>
        </w:rPr>
        <w:t xml:space="preserve"> w</w:t>
      </w:r>
      <w:r w:rsidR="0028384B">
        <w:rPr>
          <w:noProof/>
          <w:sz w:val="18"/>
        </w:rPr>
        <w:t> </w:t>
      </w:r>
      <w:r w:rsidR="0028384B" w:rsidRPr="002F16A1">
        <w:rPr>
          <w:noProof/>
          <w:sz w:val="18"/>
        </w:rPr>
        <w:t>bud</w:t>
      </w:r>
      <w:r w:rsidRPr="002F16A1">
        <w:rPr>
          <w:noProof/>
          <w:sz w:val="18"/>
        </w:rPr>
        <w:t>żecie.</w:t>
      </w:r>
    </w:p>
    <w:p w:rsidR="00AD62E2" w:rsidRPr="002F16A1" w:rsidRDefault="00AD62E2" w:rsidP="00AD62E2">
      <w:pPr>
        <w:pStyle w:val="Text1"/>
        <w:rPr>
          <w:noProof/>
          <w:sz w:val="18"/>
          <w:szCs w:val="18"/>
        </w:rPr>
      </w:pPr>
      <w:r w:rsidRPr="002F16A1">
        <w:rPr>
          <w:noProof/>
          <w:sz w:val="18"/>
        </w:rPr>
        <w:t>Potrzeby</w:t>
      </w:r>
      <w:r w:rsidR="0028384B" w:rsidRPr="002F16A1">
        <w:rPr>
          <w:noProof/>
          <w:sz w:val="18"/>
        </w:rPr>
        <w:t xml:space="preserve"> w</w:t>
      </w:r>
      <w:r w:rsidR="0028384B">
        <w:rPr>
          <w:noProof/>
          <w:sz w:val="18"/>
        </w:rPr>
        <w:t> </w:t>
      </w:r>
      <w:r w:rsidR="0028384B" w:rsidRPr="002F16A1">
        <w:rPr>
          <w:noProof/>
          <w:sz w:val="18"/>
        </w:rPr>
        <w:t>zak</w:t>
      </w:r>
      <w:r w:rsidRPr="002F16A1">
        <w:rPr>
          <w:noProof/>
          <w:sz w:val="18"/>
        </w:rPr>
        <w:t>resie zasobów ludzkich zostaną pokryte</w:t>
      </w:r>
      <w:r w:rsidR="0028384B" w:rsidRPr="002F16A1">
        <w:rPr>
          <w:noProof/>
          <w:sz w:val="18"/>
        </w:rPr>
        <w:t xml:space="preserve"> z</w:t>
      </w:r>
      <w:r w:rsidR="0028384B">
        <w:rPr>
          <w:noProof/>
          <w:sz w:val="18"/>
        </w:rPr>
        <w:t> </w:t>
      </w:r>
      <w:r w:rsidR="0028384B" w:rsidRPr="002F16A1">
        <w:rPr>
          <w:noProof/>
          <w:sz w:val="18"/>
        </w:rPr>
        <w:t>zas</w:t>
      </w:r>
      <w:r w:rsidRPr="002F16A1">
        <w:rPr>
          <w:noProof/>
          <w:sz w:val="18"/>
        </w:rPr>
        <w:t>obów dyrekcji generalnej już przydzielonych na zarządzanie tym działaniem lub przesuniętych</w:t>
      </w:r>
      <w:r w:rsidR="0028384B" w:rsidRPr="002F16A1">
        <w:rPr>
          <w:noProof/>
          <w:sz w:val="18"/>
        </w:rPr>
        <w:t xml:space="preserve"> w</w:t>
      </w:r>
      <w:r w:rsidR="0028384B">
        <w:rPr>
          <w:noProof/>
          <w:sz w:val="18"/>
        </w:rPr>
        <w:t> </w:t>
      </w:r>
      <w:r w:rsidR="0028384B" w:rsidRPr="002F16A1">
        <w:rPr>
          <w:noProof/>
          <w:sz w:val="18"/>
        </w:rPr>
        <w:t>ram</w:t>
      </w:r>
      <w:r w:rsidRPr="002F16A1">
        <w:rPr>
          <w:noProof/>
          <w:sz w:val="18"/>
        </w:rPr>
        <w:t>ach dyrekcji generalnej, uzupełnionych</w:t>
      </w:r>
      <w:r w:rsidR="0028384B" w:rsidRPr="002F16A1">
        <w:rPr>
          <w:noProof/>
          <w:sz w:val="18"/>
        </w:rPr>
        <w:t xml:space="preserve"> w</w:t>
      </w:r>
      <w:r w:rsidR="0028384B">
        <w:rPr>
          <w:noProof/>
          <w:sz w:val="18"/>
        </w:rPr>
        <w:t> </w:t>
      </w:r>
      <w:r w:rsidR="0028384B" w:rsidRPr="002F16A1">
        <w:rPr>
          <w:noProof/>
          <w:sz w:val="18"/>
        </w:rPr>
        <w:t>raz</w:t>
      </w:r>
      <w:r w:rsidRPr="002F16A1">
        <w:rPr>
          <w:noProof/>
          <w:sz w:val="18"/>
        </w:rPr>
        <w:t>ie potrzeby wszelkimi dodatkowymi zasobami, które mogą zostać przydzielone zarządzającej dyrekcji generalnej</w:t>
      </w:r>
      <w:r w:rsidR="0028384B" w:rsidRPr="002F16A1">
        <w:rPr>
          <w:noProof/>
          <w:sz w:val="18"/>
        </w:rPr>
        <w:t xml:space="preserve"> w</w:t>
      </w:r>
      <w:r w:rsidR="0028384B">
        <w:rPr>
          <w:noProof/>
          <w:sz w:val="18"/>
        </w:rPr>
        <w:t> </w:t>
      </w:r>
      <w:r w:rsidR="0028384B" w:rsidRPr="002F16A1">
        <w:rPr>
          <w:noProof/>
          <w:sz w:val="18"/>
        </w:rPr>
        <w:t>ram</w:t>
      </w:r>
      <w:r w:rsidRPr="002F16A1">
        <w:rPr>
          <w:noProof/>
          <w:sz w:val="18"/>
        </w:rPr>
        <w:t>ach procedury rocznego przydziału środków oraz</w:t>
      </w:r>
      <w:r w:rsidR="0028384B" w:rsidRPr="002F16A1">
        <w:rPr>
          <w:noProof/>
          <w:sz w:val="18"/>
        </w:rPr>
        <w:t xml:space="preserve"> w</w:t>
      </w:r>
      <w:r w:rsidR="0028384B">
        <w:rPr>
          <w:noProof/>
          <w:sz w:val="18"/>
        </w:rPr>
        <w:t> </w:t>
      </w:r>
      <w:r w:rsidR="0028384B" w:rsidRPr="002F16A1">
        <w:rPr>
          <w:noProof/>
          <w:sz w:val="18"/>
        </w:rPr>
        <w:t>świ</w:t>
      </w:r>
      <w:r w:rsidRPr="002F16A1">
        <w:rPr>
          <w:noProof/>
          <w:sz w:val="18"/>
        </w:rPr>
        <w:t>etle istniejących ograniczeń budżetowych.</w:t>
      </w:r>
    </w:p>
    <w:p w:rsidR="00AD62E2" w:rsidRPr="002F16A1" w:rsidRDefault="00AD62E2" w:rsidP="00AD62E2">
      <w:pPr>
        <w:rPr>
          <w:noProof/>
          <w:sz w:val="20"/>
        </w:rPr>
      </w:pPr>
      <w:r w:rsidRPr="002F16A1">
        <w:rPr>
          <w:noProof/>
          <w:sz w:val="20"/>
        </w:rPr>
        <w:t>Opis zadań do wykonania: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AD62E2" w:rsidRPr="002F16A1" w:rsidTr="000154FC">
        <w:tc>
          <w:tcPr>
            <w:tcW w:w="3240" w:type="dxa"/>
          </w:tcPr>
          <w:p w:rsidR="00AD62E2" w:rsidRPr="002F16A1" w:rsidRDefault="00AD62E2" w:rsidP="000154FC">
            <w:pPr>
              <w:rPr>
                <w:noProof/>
                <w:sz w:val="20"/>
              </w:rPr>
            </w:pPr>
            <w:r w:rsidRPr="002F16A1">
              <w:rPr>
                <w:noProof/>
                <w:sz w:val="20"/>
              </w:rPr>
              <w:t>Urzędnicy</w:t>
            </w:r>
            <w:r w:rsidR="0028384B" w:rsidRPr="002F16A1">
              <w:rPr>
                <w:noProof/>
                <w:sz w:val="20"/>
              </w:rPr>
              <w:t xml:space="preserve"> i</w:t>
            </w:r>
            <w:r w:rsidR="0028384B">
              <w:rPr>
                <w:noProof/>
                <w:sz w:val="20"/>
              </w:rPr>
              <w:t> </w:t>
            </w:r>
            <w:r w:rsidR="0028384B" w:rsidRPr="002F16A1">
              <w:rPr>
                <w:noProof/>
                <w:sz w:val="20"/>
              </w:rPr>
              <w:t>pra</w:t>
            </w:r>
            <w:r w:rsidRPr="002F16A1">
              <w:rPr>
                <w:noProof/>
                <w:sz w:val="20"/>
              </w:rPr>
              <w:t>cownicy zatrudnieni na czas określony</w:t>
            </w:r>
          </w:p>
        </w:tc>
        <w:tc>
          <w:tcPr>
            <w:tcW w:w="7200" w:type="dxa"/>
          </w:tcPr>
          <w:p w:rsidR="00AD62E2" w:rsidRPr="002F16A1" w:rsidRDefault="00AD62E2" w:rsidP="000154FC">
            <w:pPr>
              <w:pStyle w:val="paragraph"/>
              <w:spacing w:before="0" w:beforeAutospacing="0" w:after="0" w:afterAutospacing="0"/>
              <w:jc w:val="both"/>
              <w:textAlignment w:val="baseline"/>
              <w:rPr>
                <w:rFonts w:ascii="Segoe UI" w:hAnsi="Segoe UI" w:cs="Segoe UI"/>
                <w:noProof/>
                <w:sz w:val="18"/>
                <w:szCs w:val="18"/>
              </w:rPr>
            </w:pPr>
            <w:r w:rsidRPr="002F16A1">
              <w:rPr>
                <w:rStyle w:val="normaltextrun"/>
                <w:b/>
                <w:noProof/>
              </w:rPr>
              <w:t>Pełne wdrożenie aktu</w:t>
            </w:r>
            <w:r w:rsidR="0028384B" w:rsidRPr="002F16A1">
              <w:rPr>
                <w:rStyle w:val="normaltextrun"/>
                <w:b/>
                <w:noProof/>
              </w:rPr>
              <w:t xml:space="preserve"> w</w:t>
            </w:r>
            <w:r w:rsidR="0028384B">
              <w:rPr>
                <w:rStyle w:val="normaltextrun"/>
                <w:b/>
                <w:noProof/>
              </w:rPr>
              <w:t> </w:t>
            </w:r>
            <w:r w:rsidR="0028384B" w:rsidRPr="002F16A1">
              <w:rPr>
                <w:rStyle w:val="normaltextrun"/>
                <w:b/>
                <w:noProof/>
              </w:rPr>
              <w:t>spr</w:t>
            </w:r>
            <w:r w:rsidRPr="002F16A1">
              <w:rPr>
                <w:rStyle w:val="normaltextrun"/>
                <w:b/>
                <w:noProof/>
              </w:rPr>
              <w:t>awie surowców krytycznych</w:t>
            </w:r>
            <w:r w:rsidRPr="002F16A1">
              <w:rPr>
                <w:rStyle w:val="eop"/>
                <w:noProof/>
              </w:rPr>
              <w:t xml:space="preserve"> </w:t>
            </w:r>
          </w:p>
          <w:p w:rsidR="00AD62E2" w:rsidRPr="002F16A1" w:rsidRDefault="00AD62E2" w:rsidP="008171B0">
            <w:pPr>
              <w:pStyle w:val="paragraph"/>
              <w:numPr>
                <w:ilvl w:val="0"/>
                <w:numId w:val="51"/>
              </w:numPr>
              <w:spacing w:before="0" w:beforeAutospacing="0" w:after="0" w:afterAutospacing="0"/>
              <w:ind w:left="1080" w:firstLine="0"/>
              <w:jc w:val="both"/>
              <w:textAlignment w:val="baseline"/>
              <w:rPr>
                <w:noProof/>
              </w:rPr>
            </w:pPr>
            <w:r w:rsidRPr="002F16A1">
              <w:rPr>
                <w:rStyle w:val="normaltextrun"/>
                <w:noProof/>
              </w:rPr>
              <w:t>5 EPC na potrzeby realizacji zadań dotyczących zarządzania</w:t>
            </w:r>
            <w:r w:rsidR="0028384B" w:rsidRPr="002F16A1">
              <w:rPr>
                <w:rStyle w:val="normaltextrun"/>
                <w:noProof/>
              </w:rPr>
              <w:t xml:space="preserve"> i</w:t>
            </w:r>
            <w:r w:rsidR="0028384B">
              <w:rPr>
                <w:rStyle w:val="normaltextrun"/>
                <w:noProof/>
              </w:rPr>
              <w:t> </w:t>
            </w:r>
            <w:r w:rsidR="0028384B" w:rsidRPr="002F16A1">
              <w:rPr>
                <w:rStyle w:val="normaltextrun"/>
                <w:noProof/>
              </w:rPr>
              <w:t>koo</w:t>
            </w:r>
            <w:r w:rsidRPr="002F16A1">
              <w:rPr>
                <w:rStyle w:val="normaltextrun"/>
                <w:noProof/>
              </w:rPr>
              <w:t>rdynacji</w:t>
            </w:r>
            <w:r w:rsidRPr="002F16A1">
              <w:rPr>
                <w:rStyle w:val="eop"/>
                <w:noProof/>
              </w:rPr>
              <w:t xml:space="preserve"> </w:t>
            </w:r>
          </w:p>
          <w:p w:rsidR="00AD62E2" w:rsidRPr="002F16A1" w:rsidRDefault="00AD62E2" w:rsidP="008171B0">
            <w:pPr>
              <w:pStyle w:val="paragraph"/>
              <w:numPr>
                <w:ilvl w:val="0"/>
                <w:numId w:val="52"/>
              </w:numPr>
              <w:spacing w:before="0" w:beforeAutospacing="0" w:after="0" w:afterAutospacing="0"/>
              <w:ind w:left="1800" w:firstLine="0"/>
              <w:jc w:val="both"/>
              <w:textAlignment w:val="baseline"/>
              <w:rPr>
                <w:noProof/>
              </w:rPr>
            </w:pPr>
            <w:r w:rsidRPr="002F16A1">
              <w:rPr>
                <w:rStyle w:val="normaltextrun"/>
                <w:noProof/>
              </w:rPr>
              <w:t>2 EPC na potrzeby koordynacji polityki</w:t>
            </w:r>
            <w:r w:rsidR="0028384B" w:rsidRPr="002F16A1">
              <w:rPr>
                <w:rStyle w:val="normaltextrun"/>
                <w:noProof/>
              </w:rPr>
              <w:t xml:space="preserve"> i</w:t>
            </w:r>
            <w:r w:rsidR="0028384B">
              <w:rPr>
                <w:rStyle w:val="normaltextrun"/>
                <w:noProof/>
              </w:rPr>
              <w:t> </w:t>
            </w:r>
            <w:r w:rsidR="0028384B" w:rsidRPr="002F16A1">
              <w:rPr>
                <w:rStyle w:val="normaltextrun"/>
                <w:noProof/>
              </w:rPr>
              <w:t>opr</w:t>
            </w:r>
            <w:r w:rsidRPr="002F16A1">
              <w:rPr>
                <w:rStyle w:val="normaltextrun"/>
                <w:noProof/>
              </w:rPr>
              <w:t>acowywania aktów delegowanych</w:t>
            </w:r>
            <w:r w:rsidR="0028384B" w:rsidRPr="002F16A1">
              <w:rPr>
                <w:rStyle w:val="normaltextrun"/>
                <w:noProof/>
              </w:rPr>
              <w:t xml:space="preserve"> i</w:t>
            </w:r>
            <w:r w:rsidR="0028384B">
              <w:rPr>
                <w:rStyle w:val="normaltextrun"/>
                <w:noProof/>
              </w:rPr>
              <w:t> </w:t>
            </w:r>
            <w:r w:rsidR="0028384B" w:rsidRPr="002F16A1">
              <w:rPr>
                <w:rStyle w:val="normaltextrun"/>
                <w:noProof/>
              </w:rPr>
              <w:t>wyk</w:t>
            </w:r>
            <w:r w:rsidRPr="002F16A1">
              <w:rPr>
                <w:rStyle w:val="normaltextrun"/>
                <w:noProof/>
              </w:rPr>
              <w:t>onawczych</w:t>
            </w:r>
            <w:r w:rsidRPr="002F16A1">
              <w:rPr>
                <w:rStyle w:val="eop"/>
                <w:noProof/>
              </w:rPr>
              <w:t xml:space="preserve"> </w:t>
            </w:r>
          </w:p>
          <w:p w:rsidR="00AD62E2" w:rsidRPr="002F16A1" w:rsidRDefault="00AD62E2" w:rsidP="008171B0">
            <w:pPr>
              <w:pStyle w:val="paragraph"/>
              <w:numPr>
                <w:ilvl w:val="0"/>
                <w:numId w:val="52"/>
              </w:numPr>
              <w:spacing w:before="0" w:beforeAutospacing="0" w:after="0" w:afterAutospacing="0"/>
              <w:ind w:left="1800" w:firstLine="0"/>
              <w:jc w:val="both"/>
              <w:textAlignment w:val="baseline"/>
              <w:rPr>
                <w:noProof/>
              </w:rPr>
            </w:pPr>
            <w:r w:rsidRPr="002F16A1">
              <w:rPr>
                <w:rStyle w:val="normaltextrun"/>
                <w:noProof/>
              </w:rPr>
              <w:t>2 EPC na potrzeb realizacji zadań</w:t>
            </w:r>
            <w:r w:rsidR="0028384B" w:rsidRPr="002F16A1">
              <w:rPr>
                <w:rStyle w:val="normaltextrun"/>
                <w:noProof/>
              </w:rPr>
              <w:t xml:space="preserve"> w</w:t>
            </w:r>
            <w:r w:rsidR="0028384B">
              <w:rPr>
                <w:rStyle w:val="normaltextrun"/>
                <w:noProof/>
              </w:rPr>
              <w:t> </w:t>
            </w:r>
            <w:r w:rsidR="0028384B" w:rsidRPr="002F16A1">
              <w:rPr>
                <w:rStyle w:val="normaltextrun"/>
                <w:noProof/>
              </w:rPr>
              <w:t>zak</w:t>
            </w:r>
            <w:r w:rsidRPr="002F16A1">
              <w:rPr>
                <w:rStyle w:val="normaltextrun"/>
                <w:noProof/>
              </w:rPr>
              <w:t>resie działania sekretariatu</w:t>
            </w:r>
            <w:r w:rsidR="0028384B" w:rsidRPr="002F16A1">
              <w:rPr>
                <w:rStyle w:val="normaltextrun"/>
                <w:noProof/>
              </w:rPr>
              <w:t xml:space="preserve"> w</w:t>
            </w:r>
            <w:r w:rsidR="0028384B">
              <w:rPr>
                <w:rStyle w:val="normaltextrun"/>
                <w:noProof/>
              </w:rPr>
              <w:t> </w:t>
            </w:r>
            <w:r w:rsidR="0028384B" w:rsidRPr="002F16A1">
              <w:rPr>
                <w:rStyle w:val="normaltextrun"/>
                <w:noProof/>
              </w:rPr>
              <w:t>ram</w:t>
            </w:r>
            <w:r w:rsidRPr="002F16A1">
              <w:rPr>
                <w:rStyle w:val="normaltextrun"/>
                <w:noProof/>
              </w:rPr>
              <w:t>ach struktury zarządzania</w:t>
            </w:r>
            <w:r w:rsidRPr="002F16A1">
              <w:rPr>
                <w:rStyle w:val="eop"/>
                <w:noProof/>
              </w:rPr>
              <w:t xml:space="preserve"> </w:t>
            </w:r>
          </w:p>
          <w:p w:rsidR="00AD62E2" w:rsidRPr="002F16A1" w:rsidRDefault="00AD62E2" w:rsidP="008171B0">
            <w:pPr>
              <w:pStyle w:val="paragraph"/>
              <w:numPr>
                <w:ilvl w:val="0"/>
                <w:numId w:val="52"/>
              </w:numPr>
              <w:spacing w:before="0" w:beforeAutospacing="0" w:after="0" w:afterAutospacing="0"/>
              <w:ind w:left="1800" w:firstLine="0"/>
              <w:jc w:val="both"/>
              <w:textAlignment w:val="baseline"/>
              <w:rPr>
                <w:noProof/>
              </w:rPr>
            </w:pPr>
            <w:r w:rsidRPr="002F16A1">
              <w:rPr>
                <w:rStyle w:val="normaltextrun"/>
                <w:noProof/>
              </w:rPr>
              <w:t>1 EPC na potrzeby prowadzenia prac administracyjnych dotyczących badań</w:t>
            </w:r>
            <w:r w:rsidR="0028384B" w:rsidRPr="002F16A1">
              <w:rPr>
                <w:rStyle w:val="normaltextrun"/>
                <w:noProof/>
              </w:rPr>
              <w:t xml:space="preserve"> i</w:t>
            </w:r>
            <w:r w:rsidR="0028384B">
              <w:rPr>
                <w:rStyle w:val="normaltextrun"/>
                <w:noProof/>
              </w:rPr>
              <w:t> </w:t>
            </w:r>
            <w:r w:rsidR="0028384B" w:rsidRPr="002F16A1">
              <w:rPr>
                <w:rStyle w:val="normaltextrun"/>
                <w:noProof/>
              </w:rPr>
              <w:t>umó</w:t>
            </w:r>
            <w:r w:rsidRPr="002F16A1">
              <w:rPr>
                <w:rStyle w:val="normaltextrun"/>
                <w:noProof/>
              </w:rPr>
              <w:t>w</w:t>
            </w:r>
            <w:r w:rsidRPr="002F16A1">
              <w:rPr>
                <w:rStyle w:val="eop"/>
                <w:noProof/>
              </w:rPr>
              <w:t xml:space="preserve"> </w:t>
            </w:r>
          </w:p>
          <w:p w:rsidR="00AD62E2" w:rsidRPr="002F16A1" w:rsidRDefault="00AD62E2" w:rsidP="008171B0">
            <w:pPr>
              <w:pStyle w:val="paragraph"/>
              <w:numPr>
                <w:ilvl w:val="0"/>
                <w:numId w:val="53"/>
              </w:numPr>
              <w:spacing w:before="0" w:beforeAutospacing="0" w:after="0" w:afterAutospacing="0"/>
              <w:ind w:left="1080" w:firstLine="0"/>
              <w:jc w:val="both"/>
              <w:textAlignment w:val="baseline"/>
              <w:rPr>
                <w:noProof/>
              </w:rPr>
            </w:pPr>
            <w:r w:rsidRPr="002F16A1">
              <w:rPr>
                <w:rStyle w:val="normaltextrun"/>
                <w:noProof/>
              </w:rPr>
              <w:t>10 EPC na potrzeby realizacji zadań</w:t>
            </w:r>
            <w:r w:rsidR="0028384B" w:rsidRPr="002F16A1">
              <w:rPr>
                <w:rStyle w:val="normaltextrun"/>
                <w:noProof/>
              </w:rPr>
              <w:t xml:space="preserve"> w</w:t>
            </w:r>
            <w:r w:rsidR="0028384B">
              <w:rPr>
                <w:rStyle w:val="normaltextrun"/>
                <w:noProof/>
              </w:rPr>
              <w:t> </w:t>
            </w:r>
            <w:r w:rsidR="0028384B" w:rsidRPr="002F16A1">
              <w:rPr>
                <w:rStyle w:val="normaltextrun"/>
                <w:noProof/>
              </w:rPr>
              <w:t>zak</w:t>
            </w:r>
            <w:r w:rsidRPr="002F16A1">
              <w:rPr>
                <w:rStyle w:val="normaltextrun"/>
                <w:noProof/>
              </w:rPr>
              <w:t>resie monitorowania, gromadzenia danych</w:t>
            </w:r>
            <w:r w:rsidR="0028384B" w:rsidRPr="002F16A1">
              <w:rPr>
                <w:rStyle w:val="normaltextrun"/>
                <w:noProof/>
              </w:rPr>
              <w:t xml:space="preserve"> i</w:t>
            </w:r>
            <w:r w:rsidR="0028384B">
              <w:rPr>
                <w:rStyle w:val="normaltextrun"/>
                <w:noProof/>
              </w:rPr>
              <w:t> </w:t>
            </w:r>
            <w:r w:rsidR="0028384B" w:rsidRPr="002F16A1">
              <w:rPr>
                <w:rStyle w:val="normaltextrun"/>
                <w:noProof/>
              </w:rPr>
              <w:t>oce</w:t>
            </w:r>
            <w:r w:rsidRPr="002F16A1">
              <w:rPr>
                <w:rStyle w:val="normaltextrun"/>
                <w:noProof/>
              </w:rPr>
              <w:t>ny ryzyka, przy czym możliwy jest następujący podział:</w:t>
            </w:r>
            <w:r w:rsidRPr="002F16A1">
              <w:rPr>
                <w:rStyle w:val="eop"/>
                <w:noProof/>
              </w:rPr>
              <w:t xml:space="preserve"> </w:t>
            </w:r>
          </w:p>
          <w:p w:rsidR="00AD62E2" w:rsidRPr="002F16A1" w:rsidRDefault="00AD62E2" w:rsidP="008171B0">
            <w:pPr>
              <w:pStyle w:val="paragraph"/>
              <w:numPr>
                <w:ilvl w:val="0"/>
                <w:numId w:val="54"/>
              </w:numPr>
              <w:spacing w:before="0" w:beforeAutospacing="0" w:after="0" w:afterAutospacing="0"/>
              <w:ind w:left="1800" w:firstLine="0"/>
              <w:jc w:val="both"/>
              <w:textAlignment w:val="baseline"/>
              <w:rPr>
                <w:noProof/>
              </w:rPr>
            </w:pPr>
            <w:r w:rsidRPr="002F16A1">
              <w:rPr>
                <w:rStyle w:val="normaltextrun"/>
                <w:noProof/>
              </w:rPr>
              <w:t>7 EPC na potrzeby monitorowania rynku</w:t>
            </w:r>
            <w:r w:rsidR="0028384B" w:rsidRPr="002F16A1">
              <w:rPr>
                <w:rStyle w:val="normaltextrun"/>
                <w:noProof/>
              </w:rPr>
              <w:t xml:space="preserve"> i</w:t>
            </w:r>
            <w:r w:rsidR="0028384B">
              <w:rPr>
                <w:rStyle w:val="normaltextrun"/>
                <w:noProof/>
              </w:rPr>
              <w:t> </w:t>
            </w:r>
            <w:r w:rsidR="0028384B" w:rsidRPr="002F16A1">
              <w:rPr>
                <w:rStyle w:val="normaltextrun"/>
                <w:noProof/>
              </w:rPr>
              <w:t>spr</w:t>
            </w:r>
            <w:r w:rsidRPr="002F16A1">
              <w:rPr>
                <w:rStyle w:val="normaltextrun"/>
                <w:noProof/>
              </w:rPr>
              <w:t>awozdawczości dotyczącej surowców strategicznych</w:t>
            </w:r>
            <w:r w:rsidR="0028384B" w:rsidRPr="002F16A1">
              <w:rPr>
                <w:rStyle w:val="normaltextrun"/>
                <w:noProof/>
              </w:rPr>
              <w:t xml:space="preserve"> i</w:t>
            </w:r>
            <w:r w:rsidR="0028384B">
              <w:rPr>
                <w:rStyle w:val="normaltextrun"/>
                <w:noProof/>
              </w:rPr>
              <w:t> </w:t>
            </w:r>
            <w:r w:rsidR="0028384B" w:rsidRPr="002F16A1">
              <w:rPr>
                <w:rStyle w:val="normaltextrun"/>
                <w:noProof/>
              </w:rPr>
              <w:t>kry</w:t>
            </w:r>
            <w:r w:rsidRPr="002F16A1">
              <w:rPr>
                <w:rStyle w:val="normaltextrun"/>
                <w:noProof/>
              </w:rPr>
              <w:t>tycznych</w:t>
            </w:r>
            <w:r w:rsidRPr="002F16A1">
              <w:rPr>
                <w:rStyle w:val="eop"/>
                <w:noProof/>
              </w:rPr>
              <w:t xml:space="preserve"> </w:t>
            </w:r>
          </w:p>
          <w:p w:rsidR="00AD62E2" w:rsidRPr="002F16A1" w:rsidRDefault="00AD62E2" w:rsidP="008171B0">
            <w:pPr>
              <w:pStyle w:val="paragraph"/>
              <w:numPr>
                <w:ilvl w:val="0"/>
                <w:numId w:val="54"/>
              </w:numPr>
              <w:spacing w:before="0" w:beforeAutospacing="0" w:after="0" w:afterAutospacing="0"/>
              <w:ind w:left="1800" w:firstLine="0"/>
              <w:jc w:val="both"/>
              <w:textAlignment w:val="baseline"/>
              <w:rPr>
                <w:noProof/>
              </w:rPr>
            </w:pPr>
            <w:r w:rsidRPr="002F16A1">
              <w:rPr>
                <w:rStyle w:val="normaltextrun"/>
                <w:noProof/>
              </w:rPr>
              <w:t>2 EPC na potrzeby koordynowania informacji otrzymanych od państw członkowskich</w:t>
            </w:r>
            <w:r w:rsidRPr="002F16A1">
              <w:rPr>
                <w:rStyle w:val="eop"/>
                <w:noProof/>
              </w:rPr>
              <w:t xml:space="preserve"> </w:t>
            </w:r>
          </w:p>
          <w:p w:rsidR="00AD62E2" w:rsidRPr="002F16A1" w:rsidRDefault="00AD62E2" w:rsidP="008171B0">
            <w:pPr>
              <w:pStyle w:val="paragraph"/>
              <w:numPr>
                <w:ilvl w:val="0"/>
                <w:numId w:val="54"/>
              </w:numPr>
              <w:spacing w:before="0" w:beforeAutospacing="0" w:after="0" w:afterAutospacing="0"/>
              <w:ind w:left="1800" w:firstLine="0"/>
              <w:jc w:val="both"/>
              <w:textAlignment w:val="baseline"/>
              <w:rPr>
                <w:noProof/>
              </w:rPr>
            </w:pPr>
            <w:r w:rsidRPr="002F16A1">
              <w:rPr>
                <w:rStyle w:val="normaltextrun"/>
                <w:noProof/>
              </w:rPr>
              <w:t>1 EPC na potrzeby tworzenia</w:t>
            </w:r>
            <w:r w:rsidR="0028384B" w:rsidRPr="002F16A1">
              <w:rPr>
                <w:rStyle w:val="normaltextrun"/>
                <w:noProof/>
              </w:rPr>
              <w:t xml:space="preserve"> i</w:t>
            </w:r>
            <w:r w:rsidR="0028384B">
              <w:rPr>
                <w:rStyle w:val="normaltextrun"/>
                <w:noProof/>
              </w:rPr>
              <w:t> </w:t>
            </w:r>
            <w:r w:rsidR="0028384B" w:rsidRPr="002F16A1">
              <w:rPr>
                <w:rStyle w:val="normaltextrun"/>
                <w:noProof/>
              </w:rPr>
              <w:t>akt</w:t>
            </w:r>
            <w:r w:rsidRPr="002F16A1">
              <w:rPr>
                <w:rStyle w:val="normaltextrun"/>
                <w:noProof/>
              </w:rPr>
              <w:t>ualizacji bazy danych dotyczącej wszystkich danych</w:t>
            </w:r>
            <w:r w:rsidR="0028384B" w:rsidRPr="002F16A1">
              <w:rPr>
                <w:rStyle w:val="normaltextrun"/>
                <w:noProof/>
              </w:rPr>
              <w:t xml:space="preserve"> i</w:t>
            </w:r>
            <w:r w:rsidR="0028384B">
              <w:rPr>
                <w:rStyle w:val="normaltextrun"/>
                <w:noProof/>
              </w:rPr>
              <w:t> </w:t>
            </w:r>
            <w:r w:rsidR="0028384B" w:rsidRPr="002F16A1">
              <w:rPr>
                <w:rStyle w:val="normaltextrun"/>
                <w:noProof/>
              </w:rPr>
              <w:t>inf</w:t>
            </w:r>
            <w:r w:rsidRPr="002F16A1">
              <w:rPr>
                <w:rStyle w:val="normaltextrun"/>
                <w:noProof/>
              </w:rPr>
              <w:t>ormacji zebranych</w:t>
            </w:r>
            <w:r w:rsidR="0028384B" w:rsidRPr="002F16A1">
              <w:rPr>
                <w:rStyle w:val="normaltextrun"/>
                <w:noProof/>
              </w:rPr>
              <w:t xml:space="preserve"> w</w:t>
            </w:r>
            <w:r w:rsidR="0028384B">
              <w:rPr>
                <w:rStyle w:val="normaltextrun"/>
                <w:noProof/>
              </w:rPr>
              <w:t> </w:t>
            </w:r>
            <w:r w:rsidR="0028384B" w:rsidRPr="002F16A1">
              <w:rPr>
                <w:rStyle w:val="normaltextrun"/>
                <w:noProof/>
              </w:rPr>
              <w:t>tra</w:t>
            </w:r>
            <w:r w:rsidRPr="002F16A1">
              <w:rPr>
                <w:rStyle w:val="normaltextrun"/>
                <w:noProof/>
              </w:rPr>
              <w:t>kcie monitorowania, realizacji projektów, od państw członkowskich itp.</w:t>
            </w:r>
            <w:r w:rsidRPr="002F16A1">
              <w:rPr>
                <w:rStyle w:val="eop"/>
                <w:noProof/>
              </w:rPr>
              <w:t xml:space="preserve"> </w:t>
            </w:r>
          </w:p>
          <w:p w:rsidR="00AD62E2" w:rsidRPr="002F16A1" w:rsidRDefault="00AD62E2" w:rsidP="008171B0">
            <w:pPr>
              <w:pStyle w:val="paragraph"/>
              <w:numPr>
                <w:ilvl w:val="0"/>
                <w:numId w:val="55"/>
              </w:numPr>
              <w:spacing w:before="0" w:beforeAutospacing="0" w:after="0" w:afterAutospacing="0"/>
              <w:ind w:left="1080" w:firstLine="0"/>
              <w:jc w:val="both"/>
              <w:textAlignment w:val="baseline"/>
              <w:rPr>
                <w:noProof/>
              </w:rPr>
            </w:pPr>
            <w:r w:rsidRPr="002F16A1">
              <w:rPr>
                <w:rStyle w:val="normaltextrun"/>
                <w:noProof/>
              </w:rPr>
              <w:t>11 EPC na potrzeby środków</w:t>
            </w:r>
            <w:r w:rsidR="0028384B" w:rsidRPr="002F16A1">
              <w:rPr>
                <w:rStyle w:val="normaltextrun"/>
                <w:noProof/>
              </w:rPr>
              <w:t xml:space="preserve"> z</w:t>
            </w:r>
            <w:r w:rsidR="0028384B">
              <w:rPr>
                <w:rStyle w:val="normaltextrun"/>
                <w:noProof/>
              </w:rPr>
              <w:t> </w:t>
            </w:r>
            <w:r w:rsidR="0028384B" w:rsidRPr="002F16A1">
              <w:rPr>
                <w:rStyle w:val="normaltextrun"/>
                <w:noProof/>
              </w:rPr>
              <w:t>zak</w:t>
            </w:r>
            <w:r w:rsidRPr="002F16A1">
              <w:rPr>
                <w:rStyle w:val="normaltextrun"/>
                <w:noProof/>
              </w:rPr>
              <w:t>resu polityki, przy czym możliwy jest następujący podział:</w:t>
            </w:r>
            <w:r w:rsidRPr="002F16A1">
              <w:rPr>
                <w:rStyle w:val="eop"/>
                <w:noProof/>
              </w:rPr>
              <w:t xml:space="preserve"> </w:t>
            </w:r>
          </w:p>
          <w:p w:rsidR="00AD62E2" w:rsidRPr="002F16A1" w:rsidRDefault="00AD62E2" w:rsidP="008171B0">
            <w:pPr>
              <w:pStyle w:val="paragraph"/>
              <w:numPr>
                <w:ilvl w:val="0"/>
                <w:numId w:val="56"/>
              </w:numPr>
              <w:spacing w:before="0" w:beforeAutospacing="0" w:after="0" w:afterAutospacing="0"/>
              <w:ind w:left="1800" w:firstLine="0"/>
              <w:jc w:val="both"/>
              <w:textAlignment w:val="baseline"/>
              <w:rPr>
                <w:noProof/>
              </w:rPr>
            </w:pPr>
            <w:r w:rsidRPr="002F16A1">
              <w:rPr>
                <w:rStyle w:val="normaltextrun"/>
                <w:noProof/>
              </w:rPr>
              <w:t>2 EPC na potrzeby zapewniania egzekwowania zobowiązań państw członkowskich</w:t>
            </w:r>
            <w:r w:rsidR="0028384B" w:rsidRPr="002F16A1">
              <w:rPr>
                <w:rStyle w:val="normaltextrun"/>
                <w:noProof/>
              </w:rPr>
              <w:t xml:space="preserve"> w</w:t>
            </w:r>
            <w:r w:rsidR="0028384B">
              <w:rPr>
                <w:rStyle w:val="normaltextrun"/>
                <w:noProof/>
              </w:rPr>
              <w:t> </w:t>
            </w:r>
            <w:r w:rsidR="0028384B" w:rsidRPr="002F16A1">
              <w:rPr>
                <w:rStyle w:val="normaltextrun"/>
                <w:noProof/>
              </w:rPr>
              <w:t>zak</w:t>
            </w:r>
            <w:r w:rsidRPr="002F16A1">
              <w:rPr>
                <w:rStyle w:val="normaltextrun"/>
                <w:noProof/>
              </w:rPr>
              <w:t>resie środków dotyczących obiegu zamkniętego,</w:t>
            </w:r>
            <w:r w:rsidR="0028384B" w:rsidRPr="002F16A1">
              <w:rPr>
                <w:rStyle w:val="normaltextrun"/>
                <w:noProof/>
              </w:rPr>
              <w:t xml:space="preserve"> w</w:t>
            </w:r>
            <w:r w:rsidR="0028384B">
              <w:rPr>
                <w:rStyle w:val="normaltextrun"/>
                <w:noProof/>
              </w:rPr>
              <w:t> </w:t>
            </w:r>
            <w:r w:rsidR="0028384B" w:rsidRPr="002F16A1">
              <w:rPr>
                <w:rStyle w:val="normaltextrun"/>
                <w:noProof/>
              </w:rPr>
              <w:t>tym</w:t>
            </w:r>
            <w:r w:rsidRPr="002F16A1">
              <w:rPr>
                <w:rStyle w:val="normaltextrun"/>
                <w:noProof/>
              </w:rPr>
              <w:t xml:space="preserve"> środków dotyczących dyrektywy</w:t>
            </w:r>
            <w:r w:rsidR="0028384B" w:rsidRPr="002F16A1">
              <w:rPr>
                <w:rStyle w:val="normaltextrun"/>
                <w:noProof/>
              </w:rPr>
              <w:t xml:space="preserve"> w</w:t>
            </w:r>
            <w:r w:rsidR="0028384B">
              <w:rPr>
                <w:rStyle w:val="normaltextrun"/>
                <w:noProof/>
              </w:rPr>
              <w:t> </w:t>
            </w:r>
            <w:r w:rsidR="0028384B" w:rsidRPr="002F16A1">
              <w:rPr>
                <w:rStyle w:val="normaltextrun"/>
                <w:noProof/>
              </w:rPr>
              <w:t>spr</w:t>
            </w:r>
            <w:r w:rsidRPr="002F16A1">
              <w:rPr>
                <w:rStyle w:val="normaltextrun"/>
                <w:noProof/>
              </w:rPr>
              <w:t>awie odpadów wydobywczych</w:t>
            </w:r>
            <w:r w:rsidRPr="002F16A1">
              <w:rPr>
                <w:rStyle w:val="eop"/>
                <w:noProof/>
              </w:rPr>
              <w:t xml:space="preserve"> </w:t>
            </w:r>
          </w:p>
          <w:p w:rsidR="00AD62E2" w:rsidRPr="002F16A1" w:rsidRDefault="00AD62E2" w:rsidP="008171B0">
            <w:pPr>
              <w:pStyle w:val="paragraph"/>
              <w:numPr>
                <w:ilvl w:val="0"/>
                <w:numId w:val="56"/>
              </w:numPr>
              <w:spacing w:before="0" w:beforeAutospacing="0" w:after="0" w:afterAutospacing="0"/>
              <w:ind w:left="1800" w:firstLine="0"/>
              <w:jc w:val="both"/>
              <w:textAlignment w:val="baseline"/>
              <w:rPr>
                <w:noProof/>
              </w:rPr>
            </w:pPr>
            <w:r w:rsidRPr="002F16A1">
              <w:rPr>
                <w:rStyle w:val="normaltextrun"/>
                <w:noProof/>
              </w:rPr>
              <w:t>2 EPC na potrzeby oceny odpowiedniości śladu środowiskowego, opracowania metod obliczeniowych</w:t>
            </w:r>
            <w:r w:rsidR="0028384B" w:rsidRPr="002F16A1">
              <w:rPr>
                <w:rStyle w:val="normaltextrun"/>
                <w:noProof/>
              </w:rPr>
              <w:t xml:space="preserve"> i</w:t>
            </w:r>
            <w:r w:rsidR="0028384B">
              <w:rPr>
                <w:rStyle w:val="normaltextrun"/>
                <w:noProof/>
              </w:rPr>
              <w:t> </w:t>
            </w:r>
            <w:r w:rsidR="0028384B" w:rsidRPr="002F16A1">
              <w:rPr>
                <w:rStyle w:val="normaltextrun"/>
                <w:noProof/>
              </w:rPr>
              <w:t>mon</w:t>
            </w:r>
            <w:r w:rsidRPr="002F16A1">
              <w:rPr>
                <w:rStyle w:val="normaltextrun"/>
                <w:noProof/>
              </w:rPr>
              <w:t>itorowania wdrażania środków</w:t>
            </w:r>
            <w:r w:rsidRPr="002F16A1">
              <w:rPr>
                <w:rStyle w:val="eop"/>
                <w:noProof/>
              </w:rPr>
              <w:t xml:space="preserve"> </w:t>
            </w:r>
          </w:p>
          <w:p w:rsidR="00AD62E2" w:rsidRPr="002F16A1" w:rsidRDefault="00AD62E2" w:rsidP="008171B0">
            <w:pPr>
              <w:pStyle w:val="paragraph"/>
              <w:numPr>
                <w:ilvl w:val="0"/>
                <w:numId w:val="56"/>
              </w:numPr>
              <w:spacing w:before="0" w:beforeAutospacing="0" w:after="0" w:afterAutospacing="0"/>
              <w:ind w:left="1800" w:firstLine="0"/>
              <w:jc w:val="both"/>
              <w:textAlignment w:val="baseline"/>
              <w:rPr>
                <w:noProof/>
              </w:rPr>
            </w:pPr>
            <w:r w:rsidRPr="002F16A1">
              <w:rPr>
                <w:rStyle w:val="normaltextrun"/>
                <w:noProof/>
              </w:rPr>
              <w:t>2 EPC na potrzeby realizacji działań</w:t>
            </w:r>
            <w:r w:rsidR="0028384B" w:rsidRPr="002F16A1">
              <w:rPr>
                <w:rStyle w:val="normaltextrun"/>
                <w:noProof/>
              </w:rPr>
              <w:t xml:space="preserve"> w</w:t>
            </w:r>
            <w:r w:rsidR="0028384B">
              <w:rPr>
                <w:rStyle w:val="normaltextrun"/>
                <w:noProof/>
              </w:rPr>
              <w:t> </w:t>
            </w:r>
            <w:r w:rsidR="0028384B" w:rsidRPr="002F16A1">
              <w:rPr>
                <w:rStyle w:val="normaltextrun"/>
                <w:noProof/>
              </w:rPr>
              <w:t>zak</w:t>
            </w:r>
            <w:r w:rsidRPr="002F16A1">
              <w:rPr>
                <w:rStyle w:val="normaltextrun"/>
                <w:noProof/>
              </w:rPr>
              <w:t>resie normalizacji</w:t>
            </w:r>
            <w:r w:rsidR="0028384B" w:rsidRPr="002F16A1">
              <w:rPr>
                <w:rStyle w:val="normaltextrun"/>
                <w:noProof/>
              </w:rPr>
              <w:t xml:space="preserve"> i</w:t>
            </w:r>
            <w:r w:rsidR="0028384B">
              <w:rPr>
                <w:rStyle w:val="normaltextrun"/>
                <w:noProof/>
              </w:rPr>
              <w:t> </w:t>
            </w:r>
            <w:r w:rsidR="0028384B" w:rsidRPr="002F16A1">
              <w:rPr>
                <w:rStyle w:val="normaltextrun"/>
                <w:noProof/>
              </w:rPr>
              <w:t>prz</w:t>
            </w:r>
            <w:r w:rsidRPr="002F16A1">
              <w:rPr>
                <w:rStyle w:val="normaltextrun"/>
                <w:noProof/>
              </w:rPr>
              <w:t>ygotowania wniosków</w:t>
            </w:r>
            <w:r w:rsidR="0028384B" w:rsidRPr="002F16A1">
              <w:rPr>
                <w:rStyle w:val="normaltextrun"/>
                <w:noProof/>
              </w:rPr>
              <w:t xml:space="preserve"> o</w:t>
            </w:r>
            <w:r w:rsidR="0028384B">
              <w:rPr>
                <w:rStyle w:val="normaltextrun"/>
                <w:noProof/>
              </w:rPr>
              <w:t> </w:t>
            </w:r>
            <w:r w:rsidR="0028384B" w:rsidRPr="002F16A1">
              <w:rPr>
                <w:rStyle w:val="normaltextrun"/>
                <w:noProof/>
              </w:rPr>
              <w:t>nor</w:t>
            </w:r>
            <w:r w:rsidRPr="002F16A1">
              <w:rPr>
                <w:rStyle w:val="normaltextrun"/>
                <w:noProof/>
              </w:rPr>
              <w:t>malizację (zwłaszcza</w:t>
            </w:r>
            <w:r w:rsidR="0028384B" w:rsidRPr="002F16A1">
              <w:rPr>
                <w:rStyle w:val="normaltextrun"/>
                <w:noProof/>
              </w:rPr>
              <w:t xml:space="preserve"> w</w:t>
            </w:r>
            <w:r w:rsidR="0028384B">
              <w:rPr>
                <w:rStyle w:val="normaltextrun"/>
                <w:noProof/>
              </w:rPr>
              <w:t> </w:t>
            </w:r>
            <w:r w:rsidR="0028384B" w:rsidRPr="002F16A1">
              <w:rPr>
                <w:rStyle w:val="normaltextrun"/>
                <w:noProof/>
              </w:rPr>
              <w:t>odn</w:t>
            </w:r>
            <w:r w:rsidRPr="002F16A1">
              <w:rPr>
                <w:rStyle w:val="normaltextrun"/>
                <w:noProof/>
              </w:rPr>
              <w:t>iesieniu do kwestii związanych</w:t>
            </w:r>
            <w:r w:rsidR="0028384B" w:rsidRPr="002F16A1">
              <w:rPr>
                <w:rStyle w:val="normaltextrun"/>
                <w:noProof/>
              </w:rPr>
              <w:t xml:space="preserve"> z</w:t>
            </w:r>
            <w:r w:rsidR="0028384B">
              <w:rPr>
                <w:rStyle w:val="normaltextrun"/>
                <w:noProof/>
              </w:rPr>
              <w:t> </w:t>
            </w:r>
            <w:r w:rsidR="0028384B" w:rsidRPr="002F16A1">
              <w:rPr>
                <w:rStyle w:val="normaltextrun"/>
                <w:noProof/>
              </w:rPr>
              <w:t>met</w:t>
            </w:r>
            <w:r w:rsidRPr="002F16A1">
              <w:rPr>
                <w:rStyle w:val="normaltextrun"/>
                <w:noProof/>
              </w:rPr>
              <w:t>alami ziem rzadkich)</w:t>
            </w:r>
            <w:r w:rsidRPr="002F16A1">
              <w:rPr>
                <w:rStyle w:val="eop"/>
                <w:noProof/>
              </w:rPr>
              <w:t xml:space="preserve"> </w:t>
            </w:r>
          </w:p>
          <w:p w:rsidR="00AD62E2" w:rsidRPr="002F16A1" w:rsidRDefault="00AD62E2" w:rsidP="008171B0">
            <w:pPr>
              <w:pStyle w:val="paragraph"/>
              <w:numPr>
                <w:ilvl w:val="0"/>
                <w:numId w:val="56"/>
              </w:numPr>
              <w:spacing w:before="0" w:beforeAutospacing="0" w:after="0" w:afterAutospacing="0"/>
              <w:ind w:left="1800" w:firstLine="0"/>
              <w:jc w:val="both"/>
              <w:textAlignment w:val="baseline"/>
              <w:rPr>
                <w:noProof/>
              </w:rPr>
            </w:pPr>
            <w:r w:rsidRPr="002F16A1">
              <w:rPr>
                <w:rStyle w:val="normaltextrun"/>
                <w:noProof/>
              </w:rPr>
              <w:t>2 EPC na potrzeby koordynowania krajowych działań poszukiwawczych</w:t>
            </w:r>
            <w:r w:rsidRPr="002F16A1">
              <w:rPr>
                <w:rStyle w:val="eop"/>
                <w:noProof/>
              </w:rPr>
              <w:t xml:space="preserve"> </w:t>
            </w:r>
          </w:p>
          <w:p w:rsidR="00AD62E2" w:rsidRPr="002F16A1" w:rsidRDefault="00AD62E2" w:rsidP="008171B0">
            <w:pPr>
              <w:pStyle w:val="paragraph"/>
              <w:numPr>
                <w:ilvl w:val="0"/>
                <w:numId w:val="56"/>
              </w:numPr>
              <w:spacing w:before="0" w:beforeAutospacing="0" w:after="0" w:afterAutospacing="0"/>
              <w:ind w:left="1800" w:firstLine="0"/>
              <w:jc w:val="both"/>
              <w:textAlignment w:val="baseline"/>
              <w:rPr>
                <w:noProof/>
              </w:rPr>
            </w:pPr>
            <w:r w:rsidRPr="002F16A1">
              <w:rPr>
                <w:rStyle w:val="normaltextrun"/>
                <w:noProof/>
              </w:rPr>
              <w:t>3 EPC na potrzeby koordynowania informacji dotyczących zapasów krajowych oraz,</w:t>
            </w:r>
            <w:r w:rsidR="0028384B" w:rsidRPr="002F16A1">
              <w:rPr>
                <w:rStyle w:val="normaltextrun"/>
                <w:noProof/>
              </w:rPr>
              <w:t xml:space="preserve"> w</w:t>
            </w:r>
            <w:r w:rsidR="0028384B">
              <w:rPr>
                <w:rStyle w:val="normaltextrun"/>
                <w:noProof/>
              </w:rPr>
              <w:t> </w:t>
            </w:r>
            <w:r w:rsidR="0028384B" w:rsidRPr="002F16A1">
              <w:rPr>
                <w:rStyle w:val="normaltextrun"/>
                <w:noProof/>
              </w:rPr>
              <w:t>mia</w:t>
            </w:r>
            <w:r w:rsidRPr="002F16A1">
              <w:rPr>
                <w:rStyle w:val="normaltextrun"/>
                <w:noProof/>
              </w:rPr>
              <w:t>rę możliwości, opracowywania wytycznych</w:t>
            </w:r>
            <w:r w:rsidRPr="002F16A1">
              <w:rPr>
                <w:rStyle w:val="eop"/>
                <w:noProof/>
              </w:rPr>
              <w:t xml:space="preserve"> </w:t>
            </w:r>
          </w:p>
          <w:p w:rsidR="00AD62E2" w:rsidRPr="0028384B" w:rsidRDefault="00AD62E2" w:rsidP="008171B0">
            <w:pPr>
              <w:pStyle w:val="paragraph"/>
              <w:numPr>
                <w:ilvl w:val="0"/>
                <w:numId w:val="57"/>
              </w:numPr>
              <w:spacing w:before="0" w:beforeAutospacing="0" w:after="0" w:afterAutospacing="0"/>
              <w:ind w:left="1080" w:firstLine="0"/>
              <w:jc w:val="both"/>
              <w:textAlignment w:val="baseline"/>
              <w:rPr>
                <w:noProof/>
              </w:rPr>
            </w:pPr>
            <w:r w:rsidRPr="002F16A1">
              <w:rPr>
                <w:rStyle w:val="normaltextrun"/>
                <w:noProof/>
              </w:rPr>
              <w:t>5 EPC na potrzeby wspierania projektów strategicznych, przy czym możliwy jest następujący podział</w:t>
            </w:r>
            <w:r w:rsidRPr="0028384B">
              <w:rPr>
                <w:rStyle w:val="normaltextrun"/>
                <w:noProof/>
              </w:rPr>
              <w:t>:</w:t>
            </w:r>
            <w:r w:rsidR="0028384B" w:rsidRPr="0028384B">
              <w:rPr>
                <w:rStyle w:val="normaltextrun"/>
                <w:noProof/>
              </w:rPr>
              <w:t xml:space="preserve"> </w:t>
            </w:r>
          </w:p>
          <w:p w:rsidR="00AD62E2" w:rsidRPr="002F16A1" w:rsidRDefault="00AD62E2" w:rsidP="008171B0">
            <w:pPr>
              <w:pStyle w:val="paragraph"/>
              <w:numPr>
                <w:ilvl w:val="0"/>
                <w:numId w:val="58"/>
              </w:numPr>
              <w:spacing w:before="0" w:beforeAutospacing="0" w:after="0" w:afterAutospacing="0"/>
              <w:ind w:left="1800" w:firstLine="0"/>
              <w:jc w:val="both"/>
              <w:textAlignment w:val="baseline"/>
              <w:rPr>
                <w:noProof/>
              </w:rPr>
            </w:pPr>
            <w:r w:rsidRPr="002F16A1">
              <w:rPr>
                <w:rStyle w:val="normaltextrun"/>
                <w:noProof/>
              </w:rPr>
              <w:t>2 EPC na potrzeb</w:t>
            </w:r>
            <w:r w:rsidRPr="0028384B">
              <w:rPr>
                <w:rStyle w:val="normaltextrun"/>
                <w:noProof/>
              </w:rPr>
              <w:t>y</w:t>
            </w:r>
            <w:r w:rsidR="0028384B" w:rsidRPr="0028384B">
              <w:rPr>
                <w:rStyle w:val="normaltextrun"/>
                <w:noProof/>
              </w:rPr>
              <w:t xml:space="preserve"> </w:t>
            </w:r>
            <w:r w:rsidRPr="0028384B">
              <w:rPr>
                <w:rStyle w:val="normaltextrun"/>
                <w:noProof/>
              </w:rPr>
              <w:t>w</w:t>
            </w:r>
            <w:r w:rsidRPr="002F16A1">
              <w:rPr>
                <w:rStyle w:val="normaltextrun"/>
                <w:noProof/>
              </w:rPr>
              <w:t>spierania Europejskiej Rady ds. Surowców Krytycznych</w:t>
            </w:r>
            <w:r w:rsidR="0028384B" w:rsidRPr="002F16A1">
              <w:rPr>
                <w:rStyle w:val="normaltextrun"/>
                <w:noProof/>
              </w:rPr>
              <w:t xml:space="preserve"> w</w:t>
            </w:r>
            <w:r w:rsidR="0028384B">
              <w:rPr>
                <w:rStyle w:val="normaltextrun"/>
                <w:noProof/>
              </w:rPr>
              <w:t> </w:t>
            </w:r>
            <w:r w:rsidR="0028384B" w:rsidRPr="002F16A1">
              <w:rPr>
                <w:rStyle w:val="normaltextrun"/>
                <w:noProof/>
              </w:rPr>
              <w:t>zak</w:t>
            </w:r>
            <w:r w:rsidRPr="002F16A1">
              <w:rPr>
                <w:rStyle w:val="normaltextrun"/>
                <w:noProof/>
              </w:rPr>
              <w:t>resie wyboru projektów strategicznych</w:t>
            </w:r>
            <w:r w:rsidRPr="002F16A1">
              <w:rPr>
                <w:rStyle w:val="eop"/>
                <w:noProof/>
              </w:rPr>
              <w:t xml:space="preserve"> </w:t>
            </w:r>
          </w:p>
          <w:p w:rsidR="00AD62E2" w:rsidRPr="002F16A1" w:rsidRDefault="00AD62E2" w:rsidP="008171B0">
            <w:pPr>
              <w:pStyle w:val="paragraph"/>
              <w:numPr>
                <w:ilvl w:val="0"/>
                <w:numId w:val="58"/>
              </w:numPr>
              <w:spacing w:before="0" w:beforeAutospacing="0" w:after="0" w:afterAutospacing="0"/>
              <w:ind w:left="1800" w:firstLine="0"/>
              <w:jc w:val="both"/>
              <w:textAlignment w:val="baseline"/>
              <w:rPr>
                <w:noProof/>
              </w:rPr>
            </w:pPr>
            <w:r w:rsidRPr="002F16A1">
              <w:rPr>
                <w:rStyle w:val="normaltextrun"/>
                <w:noProof/>
              </w:rPr>
              <w:t>1 EPC na potrzeby monitorowania projektów strategicznych,</w:t>
            </w:r>
            <w:r w:rsidR="0028384B" w:rsidRPr="002F16A1">
              <w:rPr>
                <w:rStyle w:val="normaltextrun"/>
                <w:noProof/>
              </w:rPr>
              <w:t xml:space="preserve"> w</w:t>
            </w:r>
            <w:r w:rsidR="0028384B">
              <w:rPr>
                <w:rStyle w:val="normaltextrun"/>
                <w:noProof/>
              </w:rPr>
              <w:t> </w:t>
            </w:r>
            <w:r w:rsidR="0028384B" w:rsidRPr="002F16A1">
              <w:rPr>
                <w:rStyle w:val="normaltextrun"/>
                <w:noProof/>
              </w:rPr>
              <w:t>szc</w:t>
            </w:r>
            <w:r w:rsidRPr="002F16A1">
              <w:rPr>
                <w:rStyle w:val="normaltextrun"/>
                <w:noProof/>
              </w:rPr>
              <w:t>zególności</w:t>
            </w:r>
            <w:r w:rsidR="0028384B" w:rsidRPr="002F16A1">
              <w:rPr>
                <w:rStyle w:val="normaltextrun"/>
                <w:noProof/>
              </w:rPr>
              <w:t xml:space="preserve"> w</w:t>
            </w:r>
            <w:r w:rsidR="0028384B">
              <w:rPr>
                <w:rStyle w:val="normaltextrun"/>
                <w:noProof/>
              </w:rPr>
              <w:t> </w:t>
            </w:r>
            <w:r w:rsidR="0028384B" w:rsidRPr="002F16A1">
              <w:rPr>
                <w:rStyle w:val="normaltextrun"/>
                <w:noProof/>
              </w:rPr>
              <w:t>odn</w:t>
            </w:r>
            <w:r w:rsidRPr="002F16A1">
              <w:rPr>
                <w:rStyle w:val="normaltextrun"/>
                <w:noProof/>
              </w:rPr>
              <w:t>iesieniu do procesów wydawania pozwoleń</w:t>
            </w:r>
            <w:r w:rsidRPr="002F16A1">
              <w:rPr>
                <w:rStyle w:val="eop"/>
                <w:noProof/>
              </w:rPr>
              <w:t xml:space="preserve"> </w:t>
            </w:r>
          </w:p>
          <w:p w:rsidR="00AD62E2" w:rsidRPr="002F16A1" w:rsidRDefault="00AD62E2" w:rsidP="008171B0">
            <w:pPr>
              <w:pStyle w:val="paragraph"/>
              <w:numPr>
                <w:ilvl w:val="0"/>
                <w:numId w:val="58"/>
              </w:numPr>
              <w:spacing w:before="0" w:beforeAutospacing="0" w:after="0" w:afterAutospacing="0"/>
              <w:ind w:left="1800" w:firstLine="0"/>
              <w:jc w:val="both"/>
              <w:rPr>
                <w:rStyle w:val="eop"/>
                <w:noProof/>
              </w:rPr>
            </w:pPr>
            <w:r w:rsidRPr="002F16A1">
              <w:rPr>
                <w:rStyle w:val="normaltextrun"/>
                <w:noProof/>
              </w:rPr>
              <w:t>2 EPC na potrzeby wspierania projektów strategicznych</w:t>
            </w:r>
            <w:r w:rsidR="0028384B" w:rsidRPr="002F16A1">
              <w:rPr>
                <w:rStyle w:val="normaltextrun"/>
                <w:noProof/>
              </w:rPr>
              <w:t xml:space="preserve"> w</w:t>
            </w:r>
            <w:r w:rsidR="0028384B">
              <w:rPr>
                <w:rStyle w:val="normaltextrun"/>
                <w:noProof/>
              </w:rPr>
              <w:t> </w:t>
            </w:r>
            <w:r w:rsidR="0028384B" w:rsidRPr="002F16A1">
              <w:rPr>
                <w:rStyle w:val="normaltextrun"/>
                <w:noProof/>
              </w:rPr>
              <w:t>zak</w:t>
            </w:r>
            <w:r w:rsidRPr="002F16A1">
              <w:rPr>
                <w:rStyle w:val="normaltextrun"/>
                <w:noProof/>
              </w:rPr>
              <w:t>resie dostępu do inwestycji</w:t>
            </w:r>
            <w:r w:rsidRPr="002F16A1">
              <w:rPr>
                <w:rStyle w:val="eop"/>
                <w:noProof/>
              </w:rPr>
              <w:t xml:space="preserve"> </w:t>
            </w:r>
          </w:p>
          <w:p w:rsidR="00AD62E2" w:rsidRPr="002F16A1" w:rsidRDefault="00AD62E2" w:rsidP="008171B0">
            <w:pPr>
              <w:pStyle w:val="paragraph"/>
              <w:numPr>
                <w:ilvl w:val="0"/>
                <w:numId w:val="57"/>
              </w:numPr>
              <w:spacing w:before="0" w:beforeAutospacing="0" w:after="0" w:afterAutospacing="0"/>
              <w:ind w:left="1080" w:firstLine="0"/>
              <w:jc w:val="both"/>
              <w:rPr>
                <w:noProof/>
              </w:rPr>
            </w:pPr>
            <w:r w:rsidRPr="002F16A1">
              <w:rPr>
                <w:rStyle w:val="normaltextrun"/>
                <w:noProof/>
              </w:rPr>
              <w:t>2 EPC na potrzeby wspierania partnerstw strategicznych </w:t>
            </w:r>
          </w:p>
          <w:p w:rsidR="00AD62E2" w:rsidRPr="002F16A1" w:rsidRDefault="00AD62E2" w:rsidP="000154FC">
            <w:pPr>
              <w:pStyle w:val="paragraph"/>
              <w:spacing w:before="0" w:beforeAutospacing="0" w:after="0" w:afterAutospacing="0"/>
              <w:jc w:val="both"/>
              <w:rPr>
                <w:rStyle w:val="eop"/>
                <w:noProof/>
              </w:rPr>
            </w:pPr>
          </w:p>
          <w:p w:rsidR="00AD62E2" w:rsidRPr="002F16A1" w:rsidRDefault="00AD62E2" w:rsidP="000154FC">
            <w:pPr>
              <w:rPr>
                <w:noProof/>
                <w:sz w:val="20"/>
              </w:rPr>
            </w:pPr>
          </w:p>
        </w:tc>
      </w:tr>
      <w:tr w:rsidR="00AD62E2" w:rsidRPr="002F16A1" w:rsidTr="000154FC">
        <w:tc>
          <w:tcPr>
            <w:tcW w:w="3240" w:type="dxa"/>
          </w:tcPr>
          <w:p w:rsidR="00AD62E2" w:rsidRPr="002F16A1" w:rsidRDefault="00AD62E2" w:rsidP="000154FC">
            <w:pPr>
              <w:spacing w:before="60" w:after="60"/>
              <w:rPr>
                <w:noProof/>
                <w:sz w:val="20"/>
              </w:rPr>
            </w:pPr>
            <w:r w:rsidRPr="002F16A1">
              <w:rPr>
                <w:noProof/>
                <w:sz w:val="20"/>
              </w:rPr>
              <w:t>Personel zewnętrzny</w:t>
            </w:r>
          </w:p>
        </w:tc>
        <w:tc>
          <w:tcPr>
            <w:tcW w:w="7200" w:type="dxa"/>
          </w:tcPr>
          <w:p w:rsidR="00AD62E2" w:rsidRPr="002F16A1" w:rsidRDefault="00AD62E2" w:rsidP="000154FC">
            <w:pPr>
              <w:rPr>
                <w:noProof/>
                <w:sz w:val="20"/>
              </w:rPr>
            </w:pPr>
          </w:p>
        </w:tc>
      </w:tr>
    </w:tbl>
    <w:p w:rsidR="00AD62E2" w:rsidRPr="002F16A1" w:rsidRDefault="00AD62E2" w:rsidP="00AD62E2">
      <w:pPr>
        <w:rPr>
          <w:noProof/>
        </w:rPr>
        <w:sectPr w:rsidR="00AD62E2" w:rsidRPr="002F16A1" w:rsidSect="00D32217">
          <w:pgSz w:w="11907" w:h="16840"/>
          <w:pgMar w:top="1134" w:right="1418" w:bottom="1134" w:left="1418" w:header="709" w:footer="709" w:gutter="0"/>
          <w:cols w:space="708"/>
          <w:docGrid w:linePitch="360"/>
        </w:sectPr>
      </w:pPr>
    </w:p>
    <w:p w:rsidR="00AD62E2" w:rsidRPr="002F16A1" w:rsidRDefault="00AD62E2" w:rsidP="00AD62E2">
      <w:pPr>
        <w:pStyle w:val="ManualHeading3"/>
        <w:rPr>
          <w:noProof/>
        </w:rPr>
      </w:pPr>
      <w:bookmarkStart w:id="92" w:name="_Toc514938056"/>
      <w:bookmarkStart w:id="93" w:name="_Toc520485055"/>
      <w:r w:rsidRPr="002F16A1">
        <w:rPr>
          <w:noProof/>
        </w:rPr>
        <w:t>3.2.4.</w:t>
      </w:r>
      <w:r w:rsidRPr="002F16A1">
        <w:rPr>
          <w:noProof/>
        </w:rPr>
        <w:tab/>
        <w:t>Zgodność</w:t>
      </w:r>
      <w:r w:rsidR="0028384B" w:rsidRPr="002F16A1">
        <w:rPr>
          <w:noProof/>
        </w:rPr>
        <w:t xml:space="preserve"> z</w:t>
      </w:r>
      <w:r w:rsidR="0028384B">
        <w:rPr>
          <w:noProof/>
        </w:rPr>
        <w:t> </w:t>
      </w:r>
      <w:r w:rsidR="0028384B" w:rsidRPr="002F16A1">
        <w:rPr>
          <w:noProof/>
        </w:rPr>
        <w:t>obo</w:t>
      </w:r>
      <w:r w:rsidRPr="002F16A1">
        <w:rPr>
          <w:noProof/>
        </w:rPr>
        <w:t>wiązującymi wieloletnimi ramami finansowymi</w:t>
      </w:r>
      <w:bookmarkEnd w:id="92"/>
      <w:bookmarkEnd w:id="93"/>
      <w:r w:rsidRPr="002F16A1">
        <w:rPr>
          <w:noProof/>
        </w:rPr>
        <w:t xml:space="preserve"> </w:t>
      </w:r>
    </w:p>
    <w:p w:rsidR="00AD62E2" w:rsidRPr="002F16A1" w:rsidRDefault="00AD62E2" w:rsidP="00AD62E2">
      <w:pPr>
        <w:pStyle w:val="Text1"/>
        <w:rPr>
          <w:noProof/>
        </w:rPr>
      </w:pPr>
      <w:r w:rsidRPr="002F16A1">
        <w:rPr>
          <w:noProof/>
        </w:rPr>
        <w:t>Wniosek/inicjatywa:</w:t>
      </w:r>
    </w:p>
    <w:p w:rsidR="00AD62E2" w:rsidRPr="0028384B" w:rsidRDefault="00AD62E2" w:rsidP="00AD62E2">
      <w:pPr>
        <w:pStyle w:val="ListDash1"/>
        <w:rPr>
          <w:noProof/>
        </w:rPr>
      </w:pPr>
      <w:r w:rsidRPr="002F16A1">
        <w:rPr>
          <w:rStyle w:val="normaltextrun"/>
          <w:rFonts w:ascii="Wingdings 2" w:hAnsi="Wingdings 2"/>
          <w:noProof/>
          <w:color w:val="000000"/>
          <w:bdr w:val="none" w:sz="0" w:space="0" w:color="auto" w:frame="1"/>
        </w:rPr>
        <w:t></w:t>
      </w:r>
      <w:r w:rsidRPr="002F16A1">
        <w:rPr>
          <w:noProof/>
        </w:rPr>
        <w:tab/>
        <w:t>może zostać</w:t>
      </w:r>
      <w:r w:rsidR="0028384B" w:rsidRPr="002F16A1">
        <w:rPr>
          <w:noProof/>
        </w:rPr>
        <w:t xml:space="preserve"> w</w:t>
      </w:r>
      <w:r w:rsidR="0028384B">
        <w:rPr>
          <w:noProof/>
        </w:rPr>
        <w:t> </w:t>
      </w:r>
      <w:r w:rsidR="0028384B" w:rsidRPr="002F16A1">
        <w:rPr>
          <w:noProof/>
        </w:rPr>
        <w:t>peł</w:t>
      </w:r>
      <w:r w:rsidRPr="002F16A1">
        <w:rPr>
          <w:noProof/>
        </w:rPr>
        <w:t>ni sfinansowany(a) przez przegrupowanie środków</w:t>
      </w:r>
      <w:r w:rsidR="0028384B" w:rsidRPr="002F16A1">
        <w:rPr>
          <w:noProof/>
        </w:rPr>
        <w:t xml:space="preserve"> w</w:t>
      </w:r>
      <w:r w:rsidR="0028384B">
        <w:rPr>
          <w:noProof/>
        </w:rPr>
        <w:t> </w:t>
      </w:r>
      <w:r w:rsidR="0028384B" w:rsidRPr="002F16A1">
        <w:rPr>
          <w:noProof/>
        </w:rPr>
        <w:t>ram</w:t>
      </w:r>
      <w:r w:rsidRPr="002F16A1">
        <w:rPr>
          <w:noProof/>
        </w:rPr>
        <w:t>ach odpowiedniego działu wieloletnich ram finansowych (WRF).</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r w:rsidRPr="0028384B">
        <w:rPr>
          <w:noProof/>
          <w:sz w:val="20"/>
        </w:rPr>
        <w:t>Ś</w:t>
      </w:r>
      <w:r w:rsidRPr="002F16A1">
        <w:rPr>
          <w:noProof/>
          <w:sz w:val="20"/>
        </w:rPr>
        <w:t>rodki operacyjne zostaną przesunięte na podstawie istniejących środków budżetowych Programu na rzecz jednolitego rynku.</w:t>
      </w:r>
    </w:p>
    <w:p w:rsidR="00AD62E2" w:rsidRPr="002F16A1" w:rsidRDefault="00AD62E2" w:rsidP="00AD62E2">
      <w:pPr>
        <w:pStyle w:val="ListDash1"/>
        <w:rPr>
          <w:noProof/>
        </w:rPr>
      </w:pPr>
      <w:r w:rsidRPr="002F16A1">
        <w:rPr>
          <w:rFonts w:ascii="Wingdings" w:hAnsi="Wingdings"/>
          <w:noProof/>
        </w:rPr>
        <w:t></w:t>
      </w:r>
      <w:r w:rsidRPr="002F16A1">
        <w:rPr>
          <w:noProof/>
        </w:rPr>
        <w:tab/>
        <w:t>wymaga zastosowania nieprzydzielonego marginesu środków</w:t>
      </w:r>
      <w:r w:rsidR="0028384B" w:rsidRPr="002F16A1">
        <w:rPr>
          <w:noProof/>
        </w:rPr>
        <w:t xml:space="preserve"> w</w:t>
      </w:r>
      <w:r w:rsidR="0028384B">
        <w:rPr>
          <w:noProof/>
        </w:rPr>
        <w:t> </w:t>
      </w:r>
      <w:r w:rsidR="0028384B" w:rsidRPr="002F16A1">
        <w:rPr>
          <w:noProof/>
        </w:rPr>
        <w:t>ram</w:t>
      </w:r>
      <w:r w:rsidRPr="002F16A1">
        <w:rPr>
          <w:noProof/>
        </w:rPr>
        <w:t>ach odpowiedniego działu WRF lub zastosowania specjalnych instrumentów zdefiniowanych</w:t>
      </w:r>
      <w:r w:rsidR="0028384B" w:rsidRPr="002F16A1">
        <w:rPr>
          <w:noProof/>
        </w:rPr>
        <w:t xml:space="preserve"> w</w:t>
      </w:r>
      <w:r w:rsidR="0028384B">
        <w:rPr>
          <w:noProof/>
        </w:rPr>
        <w:t> </w:t>
      </w:r>
      <w:r w:rsidR="0028384B" w:rsidRPr="002F16A1">
        <w:rPr>
          <w:noProof/>
        </w:rPr>
        <w:t>roz</w:t>
      </w:r>
      <w:r w:rsidRPr="002F16A1">
        <w:rPr>
          <w:noProof/>
        </w:rPr>
        <w:t>porządzeniu</w:t>
      </w:r>
      <w:r w:rsidR="0028384B" w:rsidRPr="002F16A1">
        <w:rPr>
          <w:noProof/>
        </w:rPr>
        <w:t xml:space="preserve"> w</w:t>
      </w:r>
      <w:r w:rsidR="0028384B">
        <w:rPr>
          <w:noProof/>
        </w:rPr>
        <w:t> </w:t>
      </w:r>
      <w:r w:rsidR="0028384B" w:rsidRPr="002F16A1">
        <w:rPr>
          <w:noProof/>
        </w:rPr>
        <w:t>spr</w:t>
      </w:r>
      <w:r w:rsidRPr="002F16A1">
        <w:rPr>
          <w:noProof/>
        </w:rPr>
        <w:t>awie WRF.</w:t>
      </w:r>
    </w:p>
    <w:p w:rsidR="00AD62E2" w:rsidRPr="002F16A1" w:rsidRDefault="00AD62E2" w:rsidP="00AD62E2">
      <w:pPr>
        <w:pStyle w:val="ManualHeading3"/>
        <w:rPr>
          <w:bCs/>
          <w:noProof/>
          <w:szCs w:val="24"/>
        </w:rPr>
      </w:pPr>
      <w:r w:rsidRPr="002F16A1">
        <w:rPr>
          <w:rFonts w:ascii="Wingdings" w:hAnsi="Wingdings"/>
          <w:noProof/>
        </w:rPr>
        <w:t></w:t>
      </w:r>
      <w:r w:rsidRPr="002F16A1">
        <w:rPr>
          <w:noProof/>
        </w:rPr>
        <w:tab/>
        <w:t>wymaga rewizji WRF.</w:t>
      </w:r>
      <w:bookmarkStart w:id="94" w:name="_Toc514938058"/>
      <w:bookmarkStart w:id="95" w:name="_Toc520485056"/>
      <w:r w:rsidRPr="002F16A1">
        <w:rPr>
          <w:noProof/>
        </w:rPr>
        <w:t>3.2.5.</w:t>
      </w:r>
      <w:r w:rsidRPr="002F16A1">
        <w:rPr>
          <w:noProof/>
        </w:rPr>
        <w:tab/>
        <w:t>Udział osób trzecich</w:t>
      </w:r>
      <w:r w:rsidR="0028384B" w:rsidRPr="002F16A1">
        <w:rPr>
          <w:noProof/>
        </w:rPr>
        <w:t xml:space="preserve"> w</w:t>
      </w:r>
      <w:r w:rsidR="0028384B">
        <w:rPr>
          <w:noProof/>
        </w:rPr>
        <w:t> </w:t>
      </w:r>
      <w:r w:rsidR="0028384B" w:rsidRPr="002F16A1">
        <w:rPr>
          <w:noProof/>
        </w:rPr>
        <w:t>fin</w:t>
      </w:r>
      <w:r w:rsidRPr="002F16A1">
        <w:rPr>
          <w:noProof/>
        </w:rPr>
        <w:t>ansowaniu</w:t>
      </w:r>
      <w:bookmarkEnd w:id="94"/>
      <w:bookmarkEnd w:id="95"/>
      <w:r w:rsidRPr="002F16A1">
        <w:rPr>
          <w:noProof/>
        </w:rPr>
        <w:t xml:space="preserve"> </w:t>
      </w:r>
    </w:p>
    <w:p w:rsidR="00AD62E2" w:rsidRPr="002F16A1" w:rsidRDefault="00AD62E2" w:rsidP="00AD62E2">
      <w:pPr>
        <w:pStyle w:val="Text1"/>
        <w:rPr>
          <w:noProof/>
        </w:rPr>
      </w:pPr>
      <w:r w:rsidRPr="002F16A1">
        <w:rPr>
          <w:noProof/>
        </w:rPr>
        <w:t>Wniosek/inicjatywa:</w:t>
      </w:r>
    </w:p>
    <w:p w:rsidR="00AD62E2" w:rsidRPr="002F16A1" w:rsidRDefault="00AD62E2" w:rsidP="00AD62E2">
      <w:pPr>
        <w:pStyle w:val="ListDash1"/>
        <w:rPr>
          <w:noProof/>
        </w:rPr>
      </w:pPr>
      <w:r w:rsidRPr="002F16A1">
        <w:rPr>
          <w:rStyle w:val="normaltextrun"/>
          <w:rFonts w:ascii="Wingdings 2" w:hAnsi="Wingdings 2"/>
          <w:noProof/>
          <w:color w:val="000000"/>
          <w:bdr w:val="none" w:sz="0" w:space="0" w:color="auto" w:frame="1"/>
        </w:rPr>
        <w:t></w:t>
      </w:r>
      <w:r w:rsidRPr="002F16A1">
        <w:rPr>
          <w:noProof/>
        </w:rPr>
        <w:tab/>
        <w:t>nie przewiduje współfinansowania ze strony osób trzecich</w:t>
      </w:r>
    </w:p>
    <w:p w:rsidR="00AD62E2" w:rsidRPr="002F16A1" w:rsidRDefault="00AD62E2" w:rsidP="00AD62E2">
      <w:pPr>
        <w:pStyle w:val="ListDash1"/>
        <w:rPr>
          <w:noProof/>
        </w:rPr>
      </w:pPr>
      <w:r w:rsidRPr="002F16A1">
        <w:rPr>
          <w:rFonts w:ascii="Wingdings" w:hAnsi="Wingdings"/>
          <w:noProof/>
        </w:rPr>
        <w:t></w:t>
      </w:r>
      <w:r w:rsidRPr="002F16A1">
        <w:rPr>
          <w:noProof/>
        </w:rPr>
        <w:tab/>
        <w:t>przewiduje współfinansowanie ze strony osób trzecich szacowane zgodnie</w:t>
      </w:r>
      <w:r w:rsidR="0028384B" w:rsidRPr="002F16A1">
        <w:rPr>
          <w:noProof/>
        </w:rPr>
        <w:t xml:space="preserve"> z</w:t>
      </w:r>
      <w:r w:rsidR="0028384B">
        <w:rPr>
          <w:noProof/>
        </w:rPr>
        <w:t> </w:t>
      </w:r>
      <w:r w:rsidR="0028384B" w:rsidRPr="002F16A1">
        <w:rPr>
          <w:noProof/>
        </w:rPr>
        <w:t>pon</w:t>
      </w:r>
      <w:r w:rsidRPr="002F16A1">
        <w:rPr>
          <w:noProof/>
        </w:rPr>
        <w:t>iższymi szacunkami:</w:t>
      </w:r>
    </w:p>
    <w:p w:rsidR="00AD62E2" w:rsidRPr="002F16A1" w:rsidRDefault="00AD62E2" w:rsidP="00AD62E2">
      <w:pPr>
        <w:jc w:val="right"/>
        <w:rPr>
          <w:noProof/>
          <w:sz w:val="20"/>
        </w:rPr>
      </w:pPr>
      <w:r w:rsidRPr="002F16A1">
        <w:rPr>
          <w:noProof/>
          <w:sz w:val="20"/>
        </w:rPr>
        <w:t>środki</w:t>
      </w:r>
      <w:r w:rsidR="0028384B" w:rsidRPr="002F16A1">
        <w:rPr>
          <w:noProof/>
          <w:sz w:val="20"/>
        </w:rPr>
        <w:t xml:space="preserve"> w</w:t>
      </w:r>
      <w:r w:rsidR="0028384B">
        <w:rPr>
          <w:noProof/>
          <w:sz w:val="20"/>
        </w:rPr>
        <w:t> </w:t>
      </w:r>
      <w:r w:rsidR="0028384B" w:rsidRPr="002F16A1">
        <w:rPr>
          <w:noProof/>
          <w:sz w:val="20"/>
        </w:rPr>
        <w:t>mln</w:t>
      </w:r>
      <w:r w:rsidRPr="002F16A1">
        <w:rPr>
          <w:noProof/>
          <w:sz w:val="20"/>
        </w:rPr>
        <w:t xml:space="preserve"> EUR (do trzech miejsc po przecinku)</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AD62E2" w:rsidRPr="002F16A1" w:rsidTr="000154FC">
        <w:trPr>
          <w:cantSplit/>
        </w:trPr>
        <w:tc>
          <w:tcPr>
            <w:tcW w:w="2340" w:type="dxa"/>
          </w:tcPr>
          <w:p w:rsidR="00AD62E2" w:rsidRPr="002F16A1" w:rsidRDefault="00AD62E2" w:rsidP="000154FC">
            <w:pPr>
              <w:spacing w:before="60" w:after="60"/>
              <w:rPr>
                <w:noProof/>
                <w:sz w:val="20"/>
              </w:rPr>
            </w:pPr>
          </w:p>
        </w:tc>
        <w:tc>
          <w:tcPr>
            <w:tcW w:w="964" w:type="dxa"/>
            <w:vAlign w:val="center"/>
          </w:tcPr>
          <w:p w:rsidR="00AD62E2" w:rsidRPr="002F16A1" w:rsidRDefault="00AD62E2" w:rsidP="000154FC">
            <w:pPr>
              <w:jc w:val="center"/>
              <w:rPr>
                <w:noProof/>
                <w:sz w:val="20"/>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2024</w:t>
            </w:r>
            <w:r w:rsidRPr="002F16A1">
              <w:rPr>
                <w:rStyle w:val="eop"/>
                <w:noProof/>
                <w:sz w:val="20"/>
              </w:rPr>
              <w:t xml:space="preserve"> </w:t>
            </w:r>
          </w:p>
        </w:tc>
        <w:tc>
          <w:tcPr>
            <w:tcW w:w="964" w:type="dxa"/>
            <w:vAlign w:val="center"/>
          </w:tcPr>
          <w:p w:rsidR="00AD62E2" w:rsidRPr="002F16A1" w:rsidRDefault="00AD62E2" w:rsidP="000154FC">
            <w:pPr>
              <w:jc w:val="center"/>
              <w:rPr>
                <w:noProof/>
                <w:sz w:val="20"/>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2025</w:t>
            </w:r>
            <w:r w:rsidRPr="002F16A1">
              <w:rPr>
                <w:rStyle w:val="eop"/>
                <w:noProof/>
                <w:sz w:val="20"/>
              </w:rPr>
              <w:t xml:space="preserve"> </w:t>
            </w:r>
          </w:p>
        </w:tc>
        <w:tc>
          <w:tcPr>
            <w:tcW w:w="964" w:type="dxa"/>
            <w:vAlign w:val="center"/>
          </w:tcPr>
          <w:p w:rsidR="00AD62E2" w:rsidRPr="002F16A1" w:rsidRDefault="00AD62E2" w:rsidP="000154FC">
            <w:pPr>
              <w:jc w:val="center"/>
              <w:rPr>
                <w:noProof/>
                <w:sz w:val="20"/>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2026</w:t>
            </w:r>
            <w:r w:rsidRPr="002F16A1">
              <w:rPr>
                <w:rStyle w:val="eop"/>
                <w:noProof/>
                <w:sz w:val="20"/>
              </w:rPr>
              <w:t xml:space="preserve"> </w:t>
            </w:r>
          </w:p>
        </w:tc>
        <w:tc>
          <w:tcPr>
            <w:tcW w:w="964" w:type="dxa"/>
            <w:vAlign w:val="center"/>
          </w:tcPr>
          <w:p w:rsidR="00AD62E2" w:rsidRPr="002F16A1" w:rsidRDefault="00AD62E2" w:rsidP="000154FC">
            <w:pPr>
              <w:jc w:val="center"/>
              <w:rPr>
                <w:noProof/>
                <w:sz w:val="20"/>
              </w:rPr>
            </w:pPr>
            <w:r w:rsidRPr="002F16A1">
              <w:rPr>
                <w:rStyle w:val="normaltextrun"/>
                <w:noProof/>
                <w:sz w:val="20"/>
              </w:rPr>
              <w:t>Ro</w:t>
            </w:r>
            <w:r w:rsidRPr="0028384B">
              <w:rPr>
                <w:rStyle w:val="normaltextrun"/>
                <w:noProof/>
                <w:sz w:val="20"/>
              </w:rPr>
              <w:t>k</w:t>
            </w:r>
            <w:r w:rsidR="0028384B" w:rsidRPr="0028384B">
              <w:rPr>
                <w:rStyle w:val="scxw135922253"/>
                <w:noProof/>
                <w:sz w:val="20"/>
              </w:rPr>
              <w:t xml:space="preserve"> </w:t>
            </w:r>
            <w:r w:rsidRPr="0028384B">
              <w:rPr>
                <w:noProof/>
              </w:rPr>
              <w:br/>
            </w:r>
            <w:r w:rsidRPr="002F16A1">
              <w:rPr>
                <w:rStyle w:val="normaltextrun"/>
                <w:b/>
                <w:noProof/>
                <w:sz w:val="20"/>
              </w:rPr>
              <w:t>2027</w:t>
            </w:r>
            <w:r w:rsidRPr="002F16A1">
              <w:rPr>
                <w:rStyle w:val="eop"/>
                <w:noProof/>
                <w:sz w:val="20"/>
              </w:rPr>
              <w:t xml:space="preserve"> </w:t>
            </w:r>
          </w:p>
        </w:tc>
        <w:tc>
          <w:tcPr>
            <w:tcW w:w="2892" w:type="dxa"/>
            <w:gridSpan w:val="3"/>
            <w:vAlign w:val="center"/>
          </w:tcPr>
          <w:p w:rsidR="00AD62E2" w:rsidRPr="002F16A1" w:rsidRDefault="00AD62E2" w:rsidP="000154FC">
            <w:pPr>
              <w:jc w:val="center"/>
              <w:rPr>
                <w:b/>
                <w:noProof/>
                <w:sz w:val="20"/>
              </w:rPr>
            </w:pPr>
            <w:r w:rsidRPr="002F16A1">
              <w:rPr>
                <w:noProof/>
                <w:sz w:val="20"/>
              </w:rPr>
              <w:t xml:space="preserve">Wprowadzić taką liczbę kolumn dla poszczególnych lat, jaka jest niezbędna, by odzwierciedlić cały okres wpływu (por. </w:t>
            </w:r>
            <w:r w:rsidRPr="0028384B">
              <w:rPr>
                <w:noProof/>
                <w:sz w:val="20"/>
              </w:rPr>
              <w:t>pkt</w:t>
            </w:r>
            <w:r w:rsidR="0028384B" w:rsidRPr="0028384B">
              <w:rPr>
                <w:noProof/>
                <w:sz w:val="20"/>
              </w:rPr>
              <w:t> </w:t>
            </w:r>
            <w:r w:rsidRPr="0028384B">
              <w:rPr>
                <w:noProof/>
                <w:sz w:val="20"/>
              </w:rPr>
              <w:t>1</w:t>
            </w:r>
            <w:r w:rsidRPr="002F16A1">
              <w:rPr>
                <w:noProof/>
                <w:sz w:val="20"/>
              </w:rPr>
              <w:t>.6)</w:t>
            </w:r>
          </w:p>
        </w:tc>
        <w:tc>
          <w:tcPr>
            <w:tcW w:w="1158" w:type="dxa"/>
            <w:vAlign w:val="center"/>
          </w:tcPr>
          <w:p w:rsidR="00AD62E2" w:rsidRPr="002F16A1" w:rsidRDefault="00AD62E2" w:rsidP="000154FC">
            <w:pPr>
              <w:spacing w:before="60" w:after="60"/>
              <w:jc w:val="center"/>
              <w:rPr>
                <w:noProof/>
                <w:sz w:val="20"/>
              </w:rPr>
            </w:pPr>
            <w:r w:rsidRPr="002F16A1">
              <w:rPr>
                <w:noProof/>
                <w:sz w:val="20"/>
              </w:rPr>
              <w:t>Ogółem</w:t>
            </w:r>
          </w:p>
        </w:tc>
      </w:tr>
      <w:tr w:rsidR="00AD62E2" w:rsidRPr="002F16A1" w:rsidTr="000154FC">
        <w:trPr>
          <w:cantSplit/>
        </w:trPr>
        <w:tc>
          <w:tcPr>
            <w:tcW w:w="2340" w:type="dxa"/>
          </w:tcPr>
          <w:p w:rsidR="00AD62E2" w:rsidRPr="002F16A1" w:rsidRDefault="00AD62E2" w:rsidP="000154FC">
            <w:pPr>
              <w:rPr>
                <w:noProof/>
              </w:rPr>
            </w:pPr>
            <w:r w:rsidRPr="002F16A1">
              <w:rPr>
                <w:noProof/>
                <w:sz w:val="20"/>
              </w:rPr>
              <w:t>Określić organ współfinansujący</w:t>
            </w:r>
            <w:r w:rsidRPr="002F16A1">
              <w:rPr>
                <w:i/>
                <w:noProof/>
                <w:sz w:val="20"/>
              </w:rPr>
              <w:t xml:space="preserve"> </w:t>
            </w:r>
          </w:p>
        </w:tc>
        <w:tc>
          <w:tcPr>
            <w:tcW w:w="964" w:type="dxa"/>
            <w:vAlign w:val="center"/>
          </w:tcPr>
          <w:p w:rsidR="00AD62E2" w:rsidRPr="002F16A1" w:rsidRDefault="00AD62E2" w:rsidP="000154FC">
            <w:pPr>
              <w:spacing w:before="60" w:after="60"/>
              <w:jc w:val="center"/>
              <w:rPr>
                <w:noProof/>
                <w:sz w:val="20"/>
              </w:rPr>
            </w:pPr>
          </w:p>
        </w:tc>
        <w:tc>
          <w:tcPr>
            <w:tcW w:w="964" w:type="dxa"/>
            <w:vAlign w:val="center"/>
          </w:tcPr>
          <w:p w:rsidR="00AD62E2" w:rsidRPr="002F16A1" w:rsidRDefault="00AD62E2" w:rsidP="000154FC">
            <w:pPr>
              <w:spacing w:before="60" w:after="60"/>
              <w:jc w:val="center"/>
              <w:rPr>
                <w:noProof/>
                <w:sz w:val="20"/>
              </w:rPr>
            </w:pPr>
          </w:p>
        </w:tc>
        <w:tc>
          <w:tcPr>
            <w:tcW w:w="964" w:type="dxa"/>
            <w:vAlign w:val="center"/>
          </w:tcPr>
          <w:p w:rsidR="00AD62E2" w:rsidRPr="002F16A1" w:rsidRDefault="00AD62E2" w:rsidP="000154FC">
            <w:pPr>
              <w:spacing w:before="60" w:after="60"/>
              <w:jc w:val="center"/>
              <w:rPr>
                <w:noProof/>
                <w:sz w:val="20"/>
              </w:rPr>
            </w:pPr>
          </w:p>
        </w:tc>
        <w:tc>
          <w:tcPr>
            <w:tcW w:w="964" w:type="dxa"/>
            <w:vAlign w:val="center"/>
          </w:tcPr>
          <w:p w:rsidR="00AD62E2" w:rsidRPr="002F16A1" w:rsidRDefault="00AD62E2" w:rsidP="000154FC">
            <w:pPr>
              <w:spacing w:before="60" w:after="60"/>
              <w:jc w:val="center"/>
              <w:rPr>
                <w:noProof/>
                <w:sz w:val="20"/>
              </w:rPr>
            </w:pPr>
          </w:p>
        </w:tc>
        <w:tc>
          <w:tcPr>
            <w:tcW w:w="964" w:type="dxa"/>
            <w:vAlign w:val="center"/>
          </w:tcPr>
          <w:p w:rsidR="00AD62E2" w:rsidRPr="002F16A1" w:rsidRDefault="00AD62E2" w:rsidP="000154FC">
            <w:pPr>
              <w:spacing w:before="60" w:after="60"/>
              <w:jc w:val="center"/>
              <w:rPr>
                <w:noProof/>
                <w:sz w:val="20"/>
              </w:rPr>
            </w:pPr>
          </w:p>
        </w:tc>
        <w:tc>
          <w:tcPr>
            <w:tcW w:w="964" w:type="dxa"/>
            <w:vAlign w:val="center"/>
          </w:tcPr>
          <w:p w:rsidR="00AD62E2" w:rsidRPr="002F16A1" w:rsidRDefault="00AD62E2" w:rsidP="000154FC">
            <w:pPr>
              <w:spacing w:before="60" w:after="60"/>
              <w:jc w:val="center"/>
              <w:rPr>
                <w:noProof/>
                <w:sz w:val="20"/>
              </w:rPr>
            </w:pPr>
          </w:p>
        </w:tc>
        <w:tc>
          <w:tcPr>
            <w:tcW w:w="964" w:type="dxa"/>
            <w:vAlign w:val="center"/>
          </w:tcPr>
          <w:p w:rsidR="00AD62E2" w:rsidRPr="002F16A1" w:rsidRDefault="00AD62E2" w:rsidP="000154FC">
            <w:pPr>
              <w:spacing w:before="60" w:after="60"/>
              <w:jc w:val="center"/>
              <w:rPr>
                <w:noProof/>
                <w:sz w:val="20"/>
              </w:rPr>
            </w:pPr>
          </w:p>
        </w:tc>
        <w:tc>
          <w:tcPr>
            <w:tcW w:w="1158" w:type="dxa"/>
            <w:vAlign w:val="center"/>
          </w:tcPr>
          <w:p w:rsidR="00AD62E2" w:rsidRPr="002F16A1" w:rsidRDefault="00AD62E2" w:rsidP="000154FC">
            <w:pPr>
              <w:spacing w:before="60" w:after="60"/>
              <w:jc w:val="center"/>
              <w:rPr>
                <w:noProof/>
                <w:sz w:val="20"/>
              </w:rPr>
            </w:pPr>
          </w:p>
        </w:tc>
      </w:tr>
      <w:tr w:rsidR="00AD62E2" w:rsidRPr="002F16A1" w:rsidTr="000154FC">
        <w:trPr>
          <w:cantSplit/>
        </w:trPr>
        <w:tc>
          <w:tcPr>
            <w:tcW w:w="2340" w:type="dxa"/>
          </w:tcPr>
          <w:p w:rsidR="00AD62E2" w:rsidRPr="002F16A1" w:rsidRDefault="00AD62E2" w:rsidP="000154FC">
            <w:pPr>
              <w:spacing w:before="60" w:after="60"/>
              <w:jc w:val="left"/>
              <w:rPr>
                <w:noProof/>
                <w:sz w:val="20"/>
              </w:rPr>
            </w:pPr>
            <w:r w:rsidRPr="002F16A1">
              <w:rPr>
                <w:noProof/>
                <w:sz w:val="20"/>
              </w:rPr>
              <w:t xml:space="preserve">OGÓŁEM środki objęte współfinansowaniem </w:t>
            </w:r>
          </w:p>
        </w:tc>
        <w:tc>
          <w:tcPr>
            <w:tcW w:w="964" w:type="dxa"/>
            <w:vAlign w:val="center"/>
          </w:tcPr>
          <w:p w:rsidR="00AD62E2" w:rsidRPr="002F16A1" w:rsidRDefault="00AD62E2" w:rsidP="000154FC">
            <w:pPr>
              <w:spacing w:before="60" w:after="60"/>
              <w:jc w:val="center"/>
              <w:rPr>
                <w:noProof/>
                <w:sz w:val="20"/>
              </w:rPr>
            </w:pPr>
          </w:p>
        </w:tc>
        <w:tc>
          <w:tcPr>
            <w:tcW w:w="964" w:type="dxa"/>
            <w:vAlign w:val="center"/>
          </w:tcPr>
          <w:p w:rsidR="00AD62E2" w:rsidRPr="002F16A1" w:rsidRDefault="00AD62E2" w:rsidP="000154FC">
            <w:pPr>
              <w:spacing w:before="60" w:after="60"/>
              <w:jc w:val="center"/>
              <w:rPr>
                <w:noProof/>
                <w:sz w:val="20"/>
              </w:rPr>
            </w:pPr>
          </w:p>
        </w:tc>
        <w:tc>
          <w:tcPr>
            <w:tcW w:w="964" w:type="dxa"/>
            <w:vAlign w:val="center"/>
          </w:tcPr>
          <w:p w:rsidR="00AD62E2" w:rsidRPr="002F16A1" w:rsidRDefault="00AD62E2" w:rsidP="000154FC">
            <w:pPr>
              <w:spacing w:before="60" w:after="60"/>
              <w:jc w:val="center"/>
              <w:rPr>
                <w:noProof/>
                <w:sz w:val="20"/>
              </w:rPr>
            </w:pPr>
          </w:p>
        </w:tc>
        <w:tc>
          <w:tcPr>
            <w:tcW w:w="964" w:type="dxa"/>
            <w:vAlign w:val="center"/>
          </w:tcPr>
          <w:p w:rsidR="00AD62E2" w:rsidRPr="002F16A1" w:rsidRDefault="00AD62E2" w:rsidP="000154FC">
            <w:pPr>
              <w:spacing w:before="60" w:after="60"/>
              <w:jc w:val="center"/>
              <w:rPr>
                <w:noProof/>
                <w:sz w:val="20"/>
              </w:rPr>
            </w:pPr>
          </w:p>
        </w:tc>
        <w:tc>
          <w:tcPr>
            <w:tcW w:w="964" w:type="dxa"/>
            <w:vAlign w:val="center"/>
          </w:tcPr>
          <w:p w:rsidR="00AD62E2" w:rsidRPr="002F16A1" w:rsidRDefault="00AD62E2" w:rsidP="000154FC">
            <w:pPr>
              <w:spacing w:before="60" w:after="60"/>
              <w:jc w:val="center"/>
              <w:rPr>
                <w:noProof/>
                <w:sz w:val="20"/>
              </w:rPr>
            </w:pPr>
          </w:p>
        </w:tc>
        <w:tc>
          <w:tcPr>
            <w:tcW w:w="964" w:type="dxa"/>
            <w:vAlign w:val="center"/>
          </w:tcPr>
          <w:p w:rsidR="00AD62E2" w:rsidRPr="002F16A1" w:rsidRDefault="00AD62E2" w:rsidP="000154FC">
            <w:pPr>
              <w:spacing w:before="60" w:after="60"/>
              <w:jc w:val="center"/>
              <w:rPr>
                <w:noProof/>
                <w:sz w:val="20"/>
              </w:rPr>
            </w:pPr>
          </w:p>
        </w:tc>
        <w:tc>
          <w:tcPr>
            <w:tcW w:w="964" w:type="dxa"/>
            <w:vAlign w:val="center"/>
          </w:tcPr>
          <w:p w:rsidR="00AD62E2" w:rsidRPr="002F16A1" w:rsidRDefault="00AD62E2" w:rsidP="000154FC">
            <w:pPr>
              <w:spacing w:before="60" w:after="60"/>
              <w:jc w:val="center"/>
              <w:rPr>
                <w:noProof/>
                <w:sz w:val="20"/>
              </w:rPr>
            </w:pPr>
          </w:p>
        </w:tc>
        <w:tc>
          <w:tcPr>
            <w:tcW w:w="1158" w:type="dxa"/>
            <w:vAlign w:val="center"/>
          </w:tcPr>
          <w:p w:rsidR="00AD62E2" w:rsidRPr="002F16A1" w:rsidRDefault="00AD62E2" w:rsidP="000154FC">
            <w:pPr>
              <w:spacing w:before="60" w:after="60"/>
              <w:jc w:val="center"/>
              <w:rPr>
                <w:noProof/>
                <w:sz w:val="20"/>
              </w:rPr>
            </w:pPr>
          </w:p>
        </w:tc>
      </w:tr>
    </w:tbl>
    <w:p w:rsidR="00AD62E2" w:rsidRPr="002F16A1" w:rsidRDefault="00AD62E2" w:rsidP="00AD62E2">
      <w:pPr>
        <w:rPr>
          <w:noProof/>
        </w:rPr>
      </w:pPr>
      <w:r w:rsidRPr="002F16A1">
        <w:rPr>
          <w:noProof/>
        </w:rPr>
        <w:t xml:space="preserve"> </w:t>
      </w:r>
      <w:r w:rsidRPr="002F16A1">
        <w:rPr>
          <w:noProof/>
        </w:rPr>
        <w:br/>
      </w:r>
    </w:p>
    <w:p w:rsidR="00AD62E2" w:rsidRPr="002F16A1" w:rsidRDefault="00AD62E2" w:rsidP="00AD62E2">
      <w:pPr>
        <w:pStyle w:val="ManualHeading2"/>
        <w:rPr>
          <w:bCs/>
          <w:noProof/>
          <w:szCs w:val="24"/>
        </w:rPr>
      </w:pPr>
      <w:r w:rsidRPr="002F16A1">
        <w:rPr>
          <w:noProof/>
        </w:rPr>
        <w:br w:type="page"/>
      </w:r>
      <w:bookmarkStart w:id="96" w:name="_Toc514938059"/>
      <w:bookmarkStart w:id="97" w:name="_Toc520485057"/>
      <w:r w:rsidRPr="002F16A1">
        <w:rPr>
          <w:noProof/>
        </w:rPr>
        <w:t>3.3.</w:t>
      </w:r>
      <w:r w:rsidRPr="002F16A1">
        <w:rPr>
          <w:noProof/>
        </w:rPr>
        <w:tab/>
        <w:t>Szacunkowy wpływ na dochody</w:t>
      </w:r>
      <w:bookmarkEnd w:id="96"/>
      <w:bookmarkEnd w:id="97"/>
      <w:r w:rsidRPr="002F16A1">
        <w:rPr>
          <w:noProof/>
        </w:rPr>
        <w:t xml:space="preserve"> </w:t>
      </w:r>
    </w:p>
    <w:p w:rsidR="00AD62E2" w:rsidRPr="002F16A1" w:rsidRDefault="00AD62E2" w:rsidP="00AD62E2">
      <w:pPr>
        <w:pStyle w:val="ListDash1"/>
        <w:rPr>
          <w:noProof/>
        </w:rPr>
      </w:pPr>
      <w:r w:rsidRPr="002F16A1">
        <w:rPr>
          <w:rStyle w:val="normaltextrun"/>
          <w:rFonts w:ascii="Wingdings 2" w:hAnsi="Wingdings 2"/>
          <w:noProof/>
          <w:color w:val="000000"/>
          <w:bdr w:val="none" w:sz="0" w:space="0" w:color="auto" w:frame="1"/>
        </w:rPr>
        <w:t></w:t>
      </w:r>
      <w:r w:rsidRPr="002F16A1">
        <w:rPr>
          <w:noProof/>
        </w:rPr>
        <w:tab/>
        <w:t>Wniosek/inicjatywa nie ma wpływu finansowego na dochody</w:t>
      </w:r>
    </w:p>
    <w:p w:rsidR="00AD62E2" w:rsidRPr="002F16A1" w:rsidRDefault="00AD62E2" w:rsidP="00AD62E2">
      <w:pPr>
        <w:pStyle w:val="ListDash1"/>
        <w:rPr>
          <w:noProof/>
        </w:rPr>
      </w:pPr>
      <w:r w:rsidRPr="002F16A1">
        <w:rPr>
          <w:rFonts w:ascii="Wingdings" w:hAnsi="Wingdings"/>
          <w:noProof/>
        </w:rPr>
        <w:t></w:t>
      </w:r>
      <w:r w:rsidRPr="002F16A1">
        <w:rPr>
          <w:noProof/>
        </w:rPr>
        <w:tab/>
        <w:t>Wniosek/inicjatywa ma wpływ finansowy określony poniżej:</w:t>
      </w:r>
    </w:p>
    <w:p w:rsidR="00AD62E2" w:rsidRPr="002F16A1" w:rsidRDefault="00AD62E2" w:rsidP="00AD62E2">
      <w:pPr>
        <w:pStyle w:val="ListNumberLevel3"/>
        <w:tabs>
          <w:tab w:val="clear" w:pos="2126"/>
        </w:tabs>
        <w:rPr>
          <w:noProof/>
        </w:rPr>
      </w:pPr>
      <w:r w:rsidRPr="002F16A1">
        <w:rPr>
          <w:rFonts w:ascii="Wingdings" w:hAnsi="Wingdings"/>
          <w:noProof/>
        </w:rPr>
        <w:t></w:t>
      </w:r>
      <w:r w:rsidRPr="002F16A1">
        <w:rPr>
          <w:noProof/>
        </w:rPr>
        <w:tab/>
        <w:t xml:space="preserve">wpływ na zasoby własne </w:t>
      </w:r>
    </w:p>
    <w:p w:rsidR="00AD62E2" w:rsidRPr="002F16A1" w:rsidRDefault="00AD62E2" w:rsidP="00AD62E2">
      <w:pPr>
        <w:pStyle w:val="ListNumberLevel3"/>
        <w:tabs>
          <w:tab w:val="clear" w:pos="2126"/>
        </w:tabs>
        <w:rPr>
          <w:noProof/>
        </w:rPr>
      </w:pPr>
      <w:r w:rsidRPr="002F16A1">
        <w:rPr>
          <w:rFonts w:ascii="Wingdings" w:hAnsi="Wingdings"/>
          <w:noProof/>
        </w:rPr>
        <w:t></w:t>
      </w:r>
      <w:r w:rsidRPr="002F16A1">
        <w:rPr>
          <w:noProof/>
        </w:rPr>
        <w:tab/>
        <w:t>wpływ na dochody inne</w:t>
      </w:r>
    </w:p>
    <w:p w:rsidR="00AD62E2" w:rsidRPr="002F16A1" w:rsidRDefault="00AD62E2" w:rsidP="00AD62E2">
      <w:pPr>
        <w:pStyle w:val="ListNumberLevel3"/>
        <w:tabs>
          <w:tab w:val="clear" w:pos="2126"/>
        </w:tabs>
        <w:rPr>
          <w:noProof/>
        </w:rPr>
      </w:pPr>
      <w:r w:rsidRPr="002F16A1">
        <w:rPr>
          <w:noProof/>
        </w:rPr>
        <w:t>Wskazać, czy dochody są przypisane do linii budżetowej po stronie wydatków</w:t>
      </w:r>
      <w:r w:rsidRPr="002F16A1">
        <w:rPr>
          <w:rFonts w:ascii="Wingdings" w:hAnsi="Wingdings"/>
          <w:noProof/>
        </w:rPr>
        <w:t></w:t>
      </w:r>
      <w:r w:rsidRPr="002F16A1">
        <w:rPr>
          <w:noProof/>
        </w:rPr>
        <w:tab/>
      </w:r>
    </w:p>
    <w:p w:rsidR="00AD62E2" w:rsidRPr="002F16A1" w:rsidRDefault="00AD62E2" w:rsidP="00AD62E2">
      <w:pPr>
        <w:ind w:left="4320"/>
        <w:rPr>
          <w:i/>
          <w:noProof/>
          <w:sz w:val="20"/>
        </w:rPr>
      </w:pPr>
      <w:r w:rsidRPr="002F16A1">
        <w:rPr>
          <w:noProof/>
        </w:rPr>
        <w:t xml:space="preserve">    </w:t>
      </w:r>
      <w:r w:rsidR="0028384B" w:rsidRPr="002F16A1">
        <w:rPr>
          <w:noProof/>
        </w:rPr>
        <w:t xml:space="preserve"> w</w:t>
      </w:r>
      <w:r w:rsidR="0028384B">
        <w:rPr>
          <w:noProof/>
        </w:rPr>
        <w:t> </w:t>
      </w:r>
      <w:r w:rsidR="0028384B" w:rsidRPr="002F16A1">
        <w:rPr>
          <w:noProof/>
        </w:rPr>
        <w:t>mln</w:t>
      </w:r>
      <w:r w:rsidRPr="002F16A1">
        <w:rPr>
          <w:noProof/>
        </w:rPr>
        <w:t xml:space="preserve"> EUR (do trzech miejsc po przecinku)</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AD62E2" w:rsidRPr="002F16A1" w:rsidTr="000154FC">
        <w:trPr>
          <w:trHeight w:val="388"/>
        </w:trPr>
        <w:tc>
          <w:tcPr>
            <w:tcW w:w="2144" w:type="dxa"/>
            <w:vMerge w:val="restart"/>
            <w:vAlign w:val="center"/>
          </w:tcPr>
          <w:p w:rsidR="00AD62E2" w:rsidRPr="002F16A1" w:rsidRDefault="00AD62E2" w:rsidP="000154FC">
            <w:pPr>
              <w:spacing w:before="40" w:after="40"/>
              <w:rPr>
                <w:noProof/>
                <w:sz w:val="18"/>
              </w:rPr>
            </w:pPr>
            <w:r w:rsidRPr="002F16A1">
              <w:rPr>
                <w:noProof/>
                <w:sz w:val="18"/>
              </w:rPr>
              <w:t>Linia budżetowa po stronie dochodów</w:t>
            </w:r>
          </w:p>
        </w:tc>
        <w:tc>
          <w:tcPr>
            <w:tcW w:w="1325" w:type="dxa"/>
            <w:vMerge w:val="restart"/>
            <w:vAlign w:val="center"/>
          </w:tcPr>
          <w:p w:rsidR="00AD62E2" w:rsidRPr="002F16A1" w:rsidRDefault="00AD62E2" w:rsidP="000154FC">
            <w:pPr>
              <w:jc w:val="center"/>
              <w:rPr>
                <w:noProof/>
                <w:sz w:val="18"/>
              </w:rPr>
            </w:pPr>
            <w:r w:rsidRPr="002F16A1">
              <w:rPr>
                <w:noProof/>
                <w:sz w:val="18"/>
              </w:rPr>
              <w:t>Środki zapisane</w:t>
            </w:r>
            <w:r w:rsidR="0028384B" w:rsidRPr="002F16A1">
              <w:rPr>
                <w:noProof/>
                <w:sz w:val="18"/>
              </w:rPr>
              <w:t xml:space="preserve"> w</w:t>
            </w:r>
            <w:r w:rsidR="0028384B">
              <w:rPr>
                <w:noProof/>
                <w:sz w:val="18"/>
              </w:rPr>
              <w:t> </w:t>
            </w:r>
            <w:r w:rsidR="0028384B" w:rsidRPr="002F16A1">
              <w:rPr>
                <w:noProof/>
                <w:sz w:val="18"/>
              </w:rPr>
              <w:t>bud</w:t>
            </w:r>
            <w:r w:rsidRPr="002F16A1">
              <w:rPr>
                <w:noProof/>
                <w:sz w:val="18"/>
              </w:rPr>
              <w:t>żecie na bieżący rok budżetowy</w:t>
            </w:r>
          </w:p>
        </w:tc>
        <w:tc>
          <w:tcPr>
            <w:tcW w:w="7151" w:type="dxa"/>
            <w:gridSpan w:val="7"/>
            <w:vAlign w:val="center"/>
          </w:tcPr>
          <w:p w:rsidR="00AD62E2" w:rsidRPr="002F16A1" w:rsidRDefault="00AD62E2" w:rsidP="000154FC">
            <w:pPr>
              <w:jc w:val="center"/>
              <w:rPr>
                <w:noProof/>
                <w:sz w:val="18"/>
              </w:rPr>
            </w:pPr>
            <w:r w:rsidRPr="002F16A1">
              <w:rPr>
                <w:noProof/>
                <w:sz w:val="18"/>
              </w:rPr>
              <w:t>Wpływ wniosku/inicjatywy</w:t>
            </w:r>
          </w:p>
        </w:tc>
      </w:tr>
      <w:tr w:rsidR="00AD62E2" w:rsidRPr="002F16A1" w:rsidTr="000154FC">
        <w:trPr>
          <w:trHeight w:val="388"/>
        </w:trPr>
        <w:tc>
          <w:tcPr>
            <w:tcW w:w="2144" w:type="dxa"/>
            <w:vMerge/>
          </w:tcPr>
          <w:p w:rsidR="00AD62E2" w:rsidRPr="002F16A1" w:rsidRDefault="00AD62E2" w:rsidP="000154FC">
            <w:pPr>
              <w:spacing w:before="40" w:after="40"/>
              <w:rPr>
                <w:noProof/>
                <w:sz w:val="18"/>
              </w:rPr>
            </w:pPr>
          </w:p>
        </w:tc>
        <w:tc>
          <w:tcPr>
            <w:tcW w:w="1325" w:type="dxa"/>
            <w:vMerge/>
          </w:tcPr>
          <w:p w:rsidR="00AD62E2" w:rsidRPr="002F16A1" w:rsidRDefault="00AD62E2" w:rsidP="000154FC">
            <w:pPr>
              <w:spacing w:beforeLines="40" w:before="96" w:afterLines="40" w:after="96"/>
              <w:rPr>
                <w:i/>
                <w:noProof/>
                <w:sz w:val="18"/>
              </w:rPr>
            </w:pPr>
          </w:p>
        </w:tc>
        <w:tc>
          <w:tcPr>
            <w:tcW w:w="1031" w:type="dxa"/>
            <w:vAlign w:val="center"/>
          </w:tcPr>
          <w:p w:rsidR="00AD62E2" w:rsidRPr="002F16A1" w:rsidRDefault="00AD62E2" w:rsidP="000154FC">
            <w:pPr>
              <w:jc w:val="center"/>
              <w:rPr>
                <w:noProof/>
                <w:sz w:val="18"/>
              </w:rPr>
            </w:pPr>
            <w:r w:rsidRPr="002F16A1">
              <w:rPr>
                <w:noProof/>
                <w:sz w:val="18"/>
              </w:rPr>
              <w:t>Rok</w:t>
            </w:r>
            <w:r w:rsidRPr="002F16A1">
              <w:rPr>
                <w:noProof/>
              </w:rPr>
              <w:t xml:space="preserve"> </w:t>
            </w:r>
            <w:r w:rsidRPr="002F16A1">
              <w:rPr>
                <w:noProof/>
              </w:rPr>
              <w:br/>
            </w:r>
            <w:r w:rsidRPr="002F16A1">
              <w:rPr>
                <w:b/>
                <w:noProof/>
                <w:sz w:val="18"/>
              </w:rPr>
              <w:t>N</w:t>
            </w:r>
          </w:p>
        </w:tc>
        <w:tc>
          <w:tcPr>
            <w:tcW w:w="900" w:type="dxa"/>
            <w:vAlign w:val="center"/>
          </w:tcPr>
          <w:p w:rsidR="00AD62E2" w:rsidRPr="002F16A1" w:rsidRDefault="00AD62E2" w:rsidP="000154FC">
            <w:pPr>
              <w:jc w:val="center"/>
              <w:rPr>
                <w:noProof/>
                <w:sz w:val="18"/>
              </w:rPr>
            </w:pPr>
            <w:r w:rsidRPr="002F16A1">
              <w:rPr>
                <w:noProof/>
                <w:sz w:val="18"/>
              </w:rPr>
              <w:t>Rok</w:t>
            </w:r>
            <w:r w:rsidRPr="002F16A1">
              <w:rPr>
                <w:noProof/>
              </w:rPr>
              <w:t xml:space="preserve"> </w:t>
            </w:r>
            <w:r w:rsidRPr="002F16A1">
              <w:rPr>
                <w:noProof/>
              </w:rPr>
              <w:br/>
            </w:r>
            <w:r w:rsidRPr="002F16A1">
              <w:rPr>
                <w:b/>
                <w:noProof/>
                <w:sz w:val="18"/>
              </w:rPr>
              <w:t>N+1</w:t>
            </w:r>
          </w:p>
        </w:tc>
        <w:tc>
          <w:tcPr>
            <w:tcW w:w="900" w:type="dxa"/>
            <w:vAlign w:val="center"/>
          </w:tcPr>
          <w:p w:rsidR="00AD62E2" w:rsidRPr="002F16A1" w:rsidRDefault="00AD62E2" w:rsidP="000154FC">
            <w:pPr>
              <w:jc w:val="center"/>
              <w:rPr>
                <w:noProof/>
                <w:sz w:val="18"/>
              </w:rPr>
            </w:pPr>
            <w:r w:rsidRPr="002F16A1">
              <w:rPr>
                <w:noProof/>
                <w:sz w:val="18"/>
              </w:rPr>
              <w:t>Rok</w:t>
            </w:r>
            <w:r w:rsidRPr="002F16A1">
              <w:rPr>
                <w:noProof/>
              </w:rPr>
              <w:t xml:space="preserve"> </w:t>
            </w:r>
            <w:r w:rsidRPr="002F16A1">
              <w:rPr>
                <w:noProof/>
              </w:rPr>
              <w:br/>
            </w:r>
            <w:r w:rsidRPr="002F16A1">
              <w:rPr>
                <w:b/>
                <w:noProof/>
                <w:sz w:val="18"/>
              </w:rPr>
              <w:t>N+2</w:t>
            </w:r>
          </w:p>
        </w:tc>
        <w:tc>
          <w:tcPr>
            <w:tcW w:w="1080" w:type="dxa"/>
            <w:vAlign w:val="center"/>
          </w:tcPr>
          <w:p w:rsidR="00AD62E2" w:rsidRPr="002F16A1" w:rsidRDefault="00AD62E2" w:rsidP="000154FC">
            <w:pPr>
              <w:jc w:val="center"/>
              <w:rPr>
                <w:noProof/>
                <w:sz w:val="18"/>
              </w:rPr>
            </w:pPr>
            <w:r w:rsidRPr="002F16A1">
              <w:rPr>
                <w:noProof/>
                <w:sz w:val="18"/>
              </w:rPr>
              <w:t>Rok</w:t>
            </w:r>
            <w:r w:rsidRPr="002F16A1">
              <w:rPr>
                <w:noProof/>
              </w:rPr>
              <w:t xml:space="preserve"> </w:t>
            </w:r>
            <w:r w:rsidRPr="002F16A1">
              <w:rPr>
                <w:noProof/>
              </w:rPr>
              <w:br/>
            </w:r>
            <w:r w:rsidRPr="002F16A1">
              <w:rPr>
                <w:b/>
                <w:noProof/>
                <w:sz w:val="18"/>
              </w:rPr>
              <w:t>N+3</w:t>
            </w:r>
          </w:p>
        </w:tc>
        <w:tc>
          <w:tcPr>
            <w:tcW w:w="3240" w:type="dxa"/>
            <w:gridSpan w:val="3"/>
            <w:vAlign w:val="center"/>
          </w:tcPr>
          <w:p w:rsidR="00AD62E2" w:rsidRPr="002F16A1" w:rsidRDefault="00AD62E2" w:rsidP="000154FC">
            <w:pPr>
              <w:jc w:val="center"/>
              <w:rPr>
                <w:b/>
                <w:noProof/>
                <w:sz w:val="18"/>
              </w:rPr>
            </w:pPr>
            <w:r w:rsidRPr="002F16A1">
              <w:rPr>
                <w:noProof/>
                <w:sz w:val="18"/>
              </w:rPr>
              <w:t xml:space="preserve">Wprowadzić taką liczbę kolumn dla poszczególnych lat, jaka jest niezbędna, by odzwierciedlić cały okres wpływu (por. </w:t>
            </w:r>
            <w:r w:rsidRPr="0028384B">
              <w:rPr>
                <w:noProof/>
                <w:sz w:val="18"/>
              </w:rPr>
              <w:t>pkt</w:t>
            </w:r>
            <w:r w:rsidR="0028384B" w:rsidRPr="0028384B">
              <w:rPr>
                <w:noProof/>
                <w:sz w:val="18"/>
              </w:rPr>
              <w:t> </w:t>
            </w:r>
            <w:r w:rsidRPr="0028384B">
              <w:rPr>
                <w:noProof/>
                <w:sz w:val="18"/>
              </w:rPr>
              <w:t>1</w:t>
            </w:r>
            <w:r w:rsidRPr="002F16A1">
              <w:rPr>
                <w:noProof/>
                <w:sz w:val="18"/>
              </w:rPr>
              <w:t>.6)</w:t>
            </w:r>
          </w:p>
        </w:tc>
      </w:tr>
      <w:tr w:rsidR="00AD62E2" w:rsidRPr="002F16A1" w:rsidTr="000154FC">
        <w:trPr>
          <w:trHeight w:val="388"/>
        </w:trPr>
        <w:tc>
          <w:tcPr>
            <w:tcW w:w="2144" w:type="dxa"/>
            <w:vAlign w:val="center"/>
          </w:tcPr>
          <w:p w:rsidR="00AD62E2" w:rsidRPr="002F16A1" w:rsidRDefault="00AD62E2" w:rsidP="000154FC">
            <w:pPr>
              <w:spacing w:before="40" w:after="40"/>
              <w:rPr>
                <w:noProof/>
                <w:sz w:val="18"/>
              </w:rPr>
            </w:pPr>
            <w:r w:rsidRPr="002F16A1">
              <w:rPr>
                <w:noProof/>
                <w:sz w:val="18"/>
              </w:rPr>
              <w:t>Artykuł …</w:t>
            </w:r>
          </w:p>
        </w:tc>
        <w:tc>
          <w:tcPr>
            <w:tcW w:w="1325" w:type="dxa"/>
          </w:tcPr>
          <w:p w:rsidR="00AD62E2" w:rsidRPr="002F16A1" w:rsidRDefault="00AD62E2" w:rsidP="000154FC">
            <w:pPr>
              <w:spacing w:beforeLines="40" w:before="96" w:afterLines="40" w:after="96"/>
              <w:jc w:val="center"/>
              <w:rPr>
                <w:i/>
                <w:noProof/>
                <w:sz w:val="18"/>
              </w:rPr>
            </w:pPr>
          </w:p>
        </w:tc>
        <w:tc>
          <w:tcPr>
            <w:tcW w:w="1031" w:type="dxa"/>
          </w:tcPr>
          <w:p w:rsidR="00AD62E2" w:rsidRPr="002F16A1" w:rsidRDefault="00AD62E2" w:rsidP="000154FC">
            <w:pPr>
              <w:spacing w:beforeLines="40" w:before="96" w:afterLines="40" w:after="96"/>
              <w:jc w:val="center"/>
              <w:rPr>
                <w:noProof/>
                <w:sz w:val="18"/>
              </w:rPr>
            </w:pPr>
          </w:p>
        </w:tc>
        <w:tc>
          <w:tcPr>
            <w:tcW w:w="900" w:type="dxa"/>
          </w:tcPr>
          <w:p w:rsidR="00AD62E2" w:rsidRPr="002F16A1" w:rsidRDefault="00AD62E2" w:rsidP="000154FC">
            <w:pPr>
              <w:spacing w:beforeLines="40" w:before="96" w:afterLines="40" w:after="96"/>
              <w:jc w:val="center"/>
              <w:rPr>
                <w:noProof/>
                <w:sz w:val="18"/>
              </w:rPr>
            </w:pPr>
          </w:p>
        </w:tc>
        <w:tc>
          <w:tcPr>
            <w:tcW w:w="900" w:type="dxa"/>
          </w:tcPr>
          <w:p w:rsidR="00AD62E2" w:rsidRPr="002F16A1" w:rsidRDefault="00AD62E2" w:rsidP="000154FC">
            <w:pPr>
              <w:spacing w:beforeLines="40" w:before="96" w:afterLines="40" w:after="96"/>
              <w:jc w:val="center"/>
              <w:rPr>
                <w:noProof/>
                <w:sz w:val="18"/>
              </w:rPr>
            </w:pPr>
          </w:p>
        </w:tc>
        <w:tc>
          <w:tcPr>
            <w:tcW w:w="1080" w:type="dxa"/>
          </w:tcPr>
          <w:p w:rsidR="00AD62E2" w:rsidRPr="002F16A1" w:rsidRDefault="00AD62E2" w:rsidP="000154FC">
            <w:pPr>
              <w:spacing w:beforeLines="40" w:before="96" w:afterLines="40" w:after="96"/>
              <w:jc w:val="center"/>
              <w:rPr>
                <w:noProof/>
                <w:sz w:val="18"/>
              </w:rPr>
            </w:pPr>
          </w:p>
        </w:tc>
        <w:tc>
          <w:tcPr>
            <w:tcW w:w="1080" w:type="dxa"/>
          </w:tcPr>
          <w:p w:rsidR="00AD62E2" w:rsidRPr="002F16A1" w:rsidRDefault="00AD62E2" w:rsidP="000154FC">
            <w:pPr>
              <w:spacing w:beforeLines="40" w:before="96" w:afterLines="40" w:after="96"/>
              <w:jc w:val="center"/>
              <w:rPr>
                <w:noProof/>
                <w:sz w:val="18"/>
              </w:rPr>
            </w:pPr>
          </w:p>
        </w:tc>
        <w:tc>
          <w:tcPr>
            <w:tcW w:w="1080" w:type="dxa"/>
          </w:tcPr>
          <w:p w:rsidR="00AD62E2" w:rsidRPr="002F16A1" w:rsidRDefault="00AD62E2" w:rsidP="000154FC">
            <w:pPr>
              <w:spacing w:beforeLines="40" w:before="96" w:afterLines="40" w:after="96"/>
              <w:jc w:val="center"/>
              <w:rPr>
                <w:noProof/>
                <w:sz w:val="18"/>
              </w:rPr>
            </w:pPr>
          </w:p>
        </w:tc>
        <w:tc>
          <w:tcPr>
            <w:tcW w:w="1080" w:type="dxa"/>
          </w:tcPr>
          <w:p w:rsidR="00AD62E2" w:rsidRPr="002F16A1" w:rsidRDefault="00AD62E2" w:rsidP="000154FC">
            <w:pPr>
              <w:spacing w:beforeLines="40" w:before="96" w:afterLines="40" w:after="96"/>
              <w:jc w:val="center"/>
              <w:rPr>
                <w:noProof/>
                <w:sz w:val="18"/>
              </w:rPr>
            </w:pPr>
          </w:p>
        </w:tc>
      </w:tr>
    </w:tbl>
    <w:p w:rsidR="00AD62E2" w:rsidRPr="002F16A1" w:rsidRDefault="00AD62E2" w:rsidP="00AD62E2">
      <w:pPr>
        <w:pStyle w:val="Text1"/>
        <w:rPr>
          <w:noProof/>
          <w:sz w:val="20"/>
        </w:rPr>
      </w:pPr>
      <w:r w:rsidRPr="002F16A1">
        <w:rPr>
          <w:noProof/>
          <w:sz w:val="20"/>
        </w:rPr>
        <w:t>W przypadku wpływu na dochody przeznaczone na określony cel należy wskazać linie budżetowe po stronie wydatków, które ten wpływ obejmie.</w:t>
      </w:r>
    </w:p>
    <w:p w:rsidR="00AD62E2" w:rsidRPr="002F16A1" w:rsidRDefault="00AD62E2" w:rsidP="00AD62E2">
      <w:pPr>
        <w:pStyle w:val="Text1"/>
        <w:pBdr>
          <w:top w:val="single" w:sz="4" w:space="1" w:color="auto"/>
          <w:left w:val="single" w:sz="4" w:space="4" w:color="auto"/>
          <w:bottom w:val="single" w:sz="4" w:space="1" w:color="auto"/>
          <w:right w:val="single" w:sz="4" w:space="4" w:color="auto"/>
        </w:pBdr>
        <w:rPr>
          <w:noProof/>
        </w:rPr>
      </w:pPr>
    </w:p>
    <w:p w:rsidR="00AD62E2" w:rsidRPr="002F16A1" w:rsidRDefault="00AD62E2" w:rsidP="008F374A">
      <w:pPr>
        <w:pStyle w:val="Text1"/>
        <w:rPr>
          <w:noProof/>
          <w:sz w:val="20"/>
        </w:rPr>
      </w:pPr>
      <w:r w:rsidRPr="002F16A1">
        <w:rPr>
          <w:noProof/>
          <w:sz w:val="20"/>
        </w:rPr>
        <w:t>Pozostałe uwagi (np. metoda/wzór użyte do obliczenia wpływu na dochody albo inne informacje).</w:t>
      </w:r>
    </w:p>
    <w:sectPr w:rsidR="00AD62E2" w:rsidRPr="002F16A1" w:rsidSect="00D322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68C" w:rsidRDefault="006B068C" w:rsidP="00AD62E2">
      <w:pPr>
        <w:spacing w:before="0" w:after="0"/>
      </w:pPr>
      <w:r>
        <w:separator/>
      </w:r>
    </w:p>
  </w:endnote>
  <w:endnote w:type="continuationSeparator" w:id="0">
    <w:p w:rsidR="006B068C" w:rsidRDefault="006B068C" w:rsidP="00AD62E2">
      <w:pPr>
        <w:spacing w:before="0" w:after="0"/>
      </w:pPr>
      <w:r>
        <w:continuationSeparator/>
      </w:r>
    </w:p>
  </w:endnote>
  <w:endnote w:type="continuationNotice" w:id="1">
    <w:p w:rsidR="006B068C" w:rsidRDefault="006B06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CD7" w:rsidRPr="00D32217" w:rsidRDefault="00D32217" w:rsidP="00D32217">
    <w:pPr>
      <w:pStyle w:val="Footer"/>
      <w:rPr>
        <w:rFonts w:ascii="Arial" w:hAnsi="Arial" w:cs="Arial"/>
        <w:b/>
        <w:sz w:val="48"/>
      </w:rPr>
    </w:pPr>
    <w:r w:rsidRPr="00D32217">
      <w:rPr>
        <w:rFonts w:ascii="Arial" w:hAnsi="Arial" w:cs="Arial"/>
        <w:b/>
        <w:sz w:val="48"/>
      </w:rPr>
      <w:t>PL</w:t>
    </w:r>
    <w:r w:rsidRPr="00D32217">
      <w:rPr>
        <w:rFonts w:ascii="Arial" w:hAnsi="Arial" w:cs="Arial"/>
        <w:b/>
        <w:sz w:val="48"/>
      </w:rPr>
      <w:tab/>
    </w:r>
    <w:r w:rsidRPr="00D32217">
      <w:rPr>
        <w:rFonts w:ascii="Arial" w:hAnsi="Arial" w:cs="Arial"/>
        <w:b/>
        <w:sz w:val="48"/>
      </w:rPr>
      <w:tab/>
    </w:r>
    <w:r w:rsidRPr="00D32217">
      <w:tab/>
    </w:r>
    <w:r w:rsidRPr="00D32217">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17" w:rsidRPr="00D32217" w:rsidRDefault="00D32217" w:rsidP="00D32217">
    <w:pPr>
      <w:pStyle w:val="Footer"/>
      <w:rPr>
        <w:rFonts w:ascii="Arial" w:hAnsi="Arial" w:cs="Arial"/>
        <w:b/>
        <w:sz w:val="48"/>
      </w:rPr>
    </w:pPr>
    <w:r w:rsidRPr="00D32217">
      <w:rPr>
        <w:rFonts w:ascii="Arial" w:hAnsi="Arial" w:cs="Arial"/>
        <w:b/>
        <w:sz w:val="48"/>
      </w:rPr>
      <w:t>PL</w:t>
    </w:r>
    <w:r w:rsidRPr="00D32217">
      <w:rPr>
        <w:rFonts w:ascii="Arial" w:hAnsi="Arial" w:cs="Arial"/>
        <w:b/>
        <w:sz w:val="48"/>
      </w:rPr>
      <w:tab/>
    </w:r>
    <w:r>
      <w:fldChar w:fldCharType="begin"/>
    </w:r>
    <w:r>
      <w:instrText xml:space="preserve"> PAGE  \* MERGEFORMAT </w:instrText>
    </w:r>
    <w:r>
      <w:fldChar w:fldCharType="separate"/>
    </w:r>
    <w:r w:rsidR="004C3D29">
      <w:rPr>
        <w:noProof/>
      </w:rPr>
      <w:t>64</w:t>
    </w:r>
    <w:r>
      <w:fldChar w:fldCharType="end"/>
    </w:r>
    <w:r>
      <w:tab/>
    </w:r>
    <w:r w:rsidRPr="00D32217">
      <w:tab/>
    </w:r>
    <w:r w:rsidRPr="00D32217">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17" w:rsidRPr="00D32217" w:rsidRDefault="00D32217" w:rsidP="00D322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17" w:rsidRPr="00D32217" w:rsidRDefault="00D32217" w:rsidP="00D32217">
    <w:pPr>
      <w:pStyle w:val="FooterLandscape"/>
      <w:rPr>
        <w:rFonts w:ascii="Arial" w:hAnsi="Arial" w:cs="Arial"/>
        <w:b/>
        <w:sz w:val="48"/>
      </w:rPr>
    </w:pPr>
    <w:r w:rsidRPr="00D32217">
      <w:rPr>
        <w:rFonts w:ascii="Arial" w:hAnsi="Arial" w:cs="Arial"/>
        <w:b/>
        <w:sz w:val="48"/>
      </w:rPr>
      <w:t>PL</w:t>
    </w:r>
    <w:r w:rsidRPr="00D3221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32217">
      <w:tab/>
    </w:r>
    <w:r w:rsidRPr="00D32217">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17" w:rsidRPr="00D32217" w:rsidRDefault="00D32217" w:rsidP="00D32217">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515" w:rsidRPr="00D32217" w:rsidRDefault="00D32217" w:rsidP="00D32217">
    <w:pPr>
      <w:pStyle w:val="Footer"/>
      <w:rPr>
        <w:rFonts w:ascii="Arial" w:hAnsi="Arial" w:cs="Arial"/>
        <w:b/>
        <w:sz w:val="48"/>
      </w:rPr>
    </w:pPr>
    <w:r w:rsidRPr="00D32217">
      <w:rPr>
        <w:rFonts w:ascii="Arial" w:hAnsi="Arial" w:cs="Arial"/>
        <w:b/>
        <w:sz w:val="48"/>
      </w:rPr>
      <w:t>PL</w:t>
    </w:r>
    <w:r w:rsidRPr="00D32217">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D32217">
      <w:tab/>
    </w:r>
    <w:r w:rsidRPr="00D32217">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17" w:rsidRPr="00D32217" w:rsidRDefault="00D32217" w:rsidP="00D32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68C" w:rsidRDefault="006B068C" w:rsidP="00AD62E2">
      <w:pPr>
        <w:spacing w:before="0" w:after="0"/>
      </w:pPr>
      <w:r>
        <w:separator/>
      </w:r>
    </w:p>
  </w:footnote>
  <w:footnote w:type="continuationSeparator" w:id="0">
    <w:p w:rsidR="006B068C" w:rsidRDefault="006B068C" w:rsidP="00AD62E2">
      <w:pPr>
        <w:spacing w:before="0" w:after="0"/>
      </w:pPr>
      <w:r>
        <w:continuationSeparator/>
      </w:r>
    </w:p>
  </w:footnote>
  <w:footnote w:type="continuationNotice" w:id="1">
    <w:p w:rsidR="006B068C" w:rsidRDefault="006B068C">
      <w:pPr>
        <w:spacing w:before="0" w:after="0"/>
      </w:pPr>
    </w:p>
  </w:footnote>
  <w:footnote w:id="2">
    <w:p w:rsidR="00131515" w:rsidRPr="00A05204" w:rsidRDefault="00131515" w:rsidP="00AD62E2">
      <w:pPr>
        <w:pStyle w:val="FootnoteText"/>
      </w:pPr>
      <w:r>
        <w:rPr>
          <w:rStyle w:val="FootnoteReference"/>
        </w:rPr>
        <w:footnoteRef/>
      </w:r>
      <w:r>
        <w:tab/>
        <w:t xml:space="preserve">Carrara, S. i in. </w:t>
      </w:r>
      <w:r>
        <w:rPr>
          <w:i/>
          <w:iCs/>
        </w:rPr>
        <w:t>Supply chain analysis and material demand forecast in strategic technologies and sectors in the EU – A foresight study</w:t>
      </w:r>
      <w:r>
        <w:t xml:space="preserve"> [</w:t>
      </w:r>
      <w:r>
        <w:rPr>
          <w:i/>
          <w:iCs/>
        </w:rPr>
        <w:t>Analiza łańcucha dostaw</w:t>
      </w:r>
      <w:r w:rsidR="0028384B">
        <w:rPr>
          <w:i/>
          <w:iCs/>
        </w:rPr>
        <w:t xml:space="preserve"> i pro</w:t>
      </w:r>
      <w:r>
        <w:rPr>
          <w:i/>
          <w:iCs/>
        </w:rPr>
        <w:t>gnoza popytu na materiały</w:t>
      </w:r>
      <w:r w:rsidR="0028384B">
        <w:rPr>
          <w:i/>
          <w:iCs/>
        </w:rPr>
        <w:t xml:space="preserve"> w tec</w:t>
      </w:r>
      <w:r>
        <w:rPr>
          <w:i/>
          <w:iCs/>
        </w:rPr>
        <w:t>hnologiach</w:t>
      </w:r>
      <w:r w:rsidR="0028384B">
        <w:rPr>
          <w:i/>
          <w:iCs/>
        </w:rPr>
        <w:t xml:space="preserve"> i sek</w:t>
      </w:r>
      <w:r>
        <w:rPr>
          <w:i/>
          <w:iCs/>
        </w:rPr>
        <w:t>torach strategicznych w UE – prognoza</w:t>
      </w:r>
      <w:r>
        <w:t>], Urząd Publikacji Unii Europejskiej, Luksemburg, 2023, doi:10.2760/386650, JRC132889.</w:t>
      </w:r>
      <w:r>
        <w:tab/>
      </w:r>
    </w:p>
  </w:footnote>
  <w:footnote w:id="3">
    <w:p w:rsidR="00131515" w:rsidRPr="001D58AE" w:rsidRDefault="00131515" w:rsidP="00AD62E2">
      <w:pPr>
        <w:pStyle w:val="FootnoteText"/>
      </w:pPr>
      <w:r>
        <w:rPr>
          <w:rStyle w:val="FootnoteReference"/>
        </w:rPr>
        <w:footnoteRef/>
      </w:r>
      <w:r>
        <w:tab/>
        <w:t>Rozporządzenie Parlamentu Europejskiego</w:t>
      </w:r>
      <w:r w:rsidR="0028384B">
        <w:t xml:space="preserve"> i Rad</w:t>
      </w:r>
      <w:r>
        <w:t>y (UE) 2017/821</w:t>
      </w:r>
      <w:r w:rsidR="0028384B">
        <w:t xml:space="preserve"> z dni</w:t>
      </w:r>
      <w:r>
        <w:t>a 17 maja 20</w:t>
      </w:r>
      <w:r w:rsidRPr="0028384B">
        <w:t>17</w:t>
      </w:r>
      <w:r w:rsidR="0028384B" w:rsidRPr="0028384B">
        <w:t> </w:t>
      </w:r>
      <w:r w:rsidRPr="0028384B">
        <w:t>r.</w:t>
      </w:r>
      <w:r>
        <w:t xml:space="preserve"> ustanawiające obowiązki</w:t>
      </w:r>
      <w:r w:rsidR="0028384B">
        <w:t xml:space="preserve"> w zak</w:t>
      </w:r>
      <w:r>
        <w:t>resie należytej staranności</w:t>
      </w:r>
      <w:r w:rsidR="0028384B">
        <w:t xml:space="preserve"> w łań</w:t>
      </w:r>
      <w:r>
        <w:t>cuchu dostaw unijnych importerów cyny, tantalu</w:t>
      </w:r>
      <w:r w:rsidR="0028384B">
        <w:t xml:space="preserve"> i wol</w:t>
      </w:r>
      <w:r>
        <w:t>framu, ich rud oraz złota pochodzących</w:t>
      </w:r>
      <w:r w:rsidR="0028384B">
        <w:t xml:space="preserve"> z obs</w:t>
      </w:r>
      <w:r>
        <w:t>zarów dotkniętych konfliktami</w:t>
      </w:r>
      <w:r w:rsidR="0028384B">
        <w:t xml:space="preserve"> i obs</w:t>
      </w:r>
      <w:r>
        <w:t>zarów wysokiego ryzyka (Dz.U. L 130</w:t>
      </w:r>
      <w:r w:rsidR="0028384B">
        <w:t xml:space="preserve"> z 1</w:t>
      </w:r>
      <w:r>
        <w:t>9.5.2017, s. 1).</w:t>
      </w:r>
    </w:p>
  </w:footnote>
  <w:footnote w:id="4">
    <w:p w:rsidR="00131515" w:rsidRDefault="00131515" w:rsidP="00AD62E2">
      <w:pPr>
        <w:pStyle w:val="FootnoteText"/>
      </w:pPr>
      <w:r>
        <w:rPr>
          <w:rStyle w:val="FootnoteReference"/>
        </w:rPr>
        <w:footnoteRef/>
      </w:r>
      <w:r>
        <w:tab/>
        <w:t>Dyrektywa Parlamentu Europejskiego</w:t>
      </w:r>
      <w:r w:rsidR="0028384B">
        <w:t xml:space="preserve"> i Rad</w:t>
      </w:r>
      <w:r>
        <w:t>y 2011/92/UE</w:t>
      </w:r>
      <w:r w:rsidR="0028384B">
        <w:t xml:space="preserve"> z dni</w:t>
      </w:r>
      <w:r>
        <w:t>a 13 grudnia 20</w:t>
      </w:r>
      <w:r w:rsidRPr="0028384B">
        <w:t>11</w:t>
      </w:r>
      <w:r w:rsidR="0028384B" w:rsidRPr="0028384B">
        <w:t> </w:t>
      </w:r>
      <w:r w:rsidRPr="0028384B">
        <w:t>r.</w:t>
      </w:r>
      <w:r w:rsidR="0028384B">
        <w:t xml:space="preserve"> w spr</w:t>
      </w:r>
      <w:r>
        <w:t>awie oceny skutków wywieranych przez niektóre przedsięwzięcia publiczne</w:t>
      </w:r>
      <w:r w:rsidR="0028384B">
        <w:t xml:space="preserve"> i pry</w:t>
      </w:r>
      <w:r>
        <w:t>watne na środowisko (tekst jednolity) (Dz.U. L 26</w:t>
      </w:r>
      <w:r w:rsidR="0028384B">
        <w:t xml:space="preserve"> z 2</w:t>
      </w:r>
      <w:r>
        <w:t>8.1.2012, s. 1).</w:t>
      </w:r>
    </w:p>
  </w:footnote>
  <w:footnote w:id="5">
    <w:p w:rsidR="00131515" w:rsidRPr="001D58AE" w:rsidRDefault="00131515" w:rsidP="00AD62E2">
      <w:pPr>
        <w:pStyle w:val="FootnoteText"/>
      </w:pPr>
      <w:r>
        <w:rPr>
          <w:rStyle w:val="FootnoteReference"/>
        </w:rPr>
        <w:footnoteRef/>
      </w:r>
      <w:r>
        <w:tab/>
        <w:t>Dyrektywa Parlamentu Europejskiego</w:t>
      </w:r>
      <w:r w:rsidR="0028384B">
        <w:t xml:space="preserve"> i Rad</w:t>
      </w:r>
      <w:r>
        <w:t>y 2010/75/UE</w:t>
      </w:r>
      <w:r w:rsidR="0028384B">
        <w:t xml:space="preserve"> z dni</w:t>
      </w:r>
      <w:r>
        <w:t>a 24 listopada 20</w:t>
      </w:r>
      <w:r w:rsidRPr="0028384B">
        <w:t>10</w:t>
      </w:r>
      <w:r w:rsidR="0028384B" w:rsidRPr="0028384B">
        <w:t> </w:t>
      </w:r>
      <w:r w:rsidRPr="0028384B">
        <w:t>r.</w:t>
      </w:r>
      <w:r w:rsidR="0028384B">
        <w:t xml:space="preserve"> w spr</w:t>
      </w:r>
      <w:r>
        <w:t>awie emisji przemysłowych (zintegrowane zapobieganie zanieczyszczeniom</w:t>
      </w:r>
      <w:r w:rsidR="0028384B">
        <w:t xml:space="preserve"> i ich</w:t>
      </w:r>
      <w:r>
        <w:t xml:space="preserve"> kontrola) (Dz.U. L 334</w:t>
      </w:r>
      <w:r w:rsidR="0028384B">
        <w:t xml:space="preserve"> z 1</w:t>
      </w:r>
      <w:r>
        <w:t>7.12.2010, s. 17).</w:t>
      </w:r>
    </w:p>
  </w:footnote>
  <w:footnote w:id="6">
    <w:p w:rsidR="00131515" w:rsidRPr="001D58AE" w:rsidRDefault="00131515" w:rsidP="00AD62E2">
      <w:pPr>
        <w:pStyle w:val="FootnoteText"/>
      </w:pPr>
      <w:r>
        <w:rPr>
          <w:rStyle w:val="FootnoteReference"/>
        </w:rPr>
        <w:footnoteRef/>
      </w:r>
      <w:r>
        <w:tab/>
        <w:t>Dyrektywa Rady 92/43/EWG</w:t>
      </w:r>
      <w:r w:rsidR="0028384B">
        <w:t xml:space="preserve"> z dni</w:t>
      </w:r>
      <w:r>
        <w:t>a 21 maja 19</w:t>
      </w:r>
      <w:r w:rsidRPr="0028384B">
        <w:t>92</w:t>
      </w:r>
      <w:r w:rsidR="0028384B" w:rsidRPr="0028384B">
        <w:t> </w:t>
      </w:r>
      <w:r w:rsidRPr="0028384B">
        <w:t>r.</w:t>
      </w:r>
      <w:r w:rsidR="0028384B">
        <w:t xml:space="preserve"> w spr</w:t>
      </w:r>
      <w:r>
        <w:t>awie ochrony siedlisk przyrodniczych oraz dzikiej fauny</w:t>
      </w:r>
      <w:r w:rsidR="0028384B">
        <w:t xml:space="preserve"> i flo</w:t>
      </w:r>
      <w:r>
        <w:t>ry (Dz.U. L 206</w:t>
      </w:r>
      <w:r w:rsidR="0028384B">
        <w:t xml:space="preserve"> z 2</w:t>
      </w:r>
      <w:r>
        <w:t>2.7.1992, s. 7).</w:t>
      </w:r>
    </w:p>
  </w:footnote>
  <w:footnote w:id="7">
    <w:p w:rsidR="00131515" w:rsidRDefault="00131515" w:rsidP="00AD62E2">
      <w:pPr>
        <w:pStyle w:val="FootnoteText"/>
      </w:pPr>
      <w:r>
        <w:rPr>
          <w:rStyle w:val="FootnoteReference"/>
        </w:rPr>
        <w:footnoteRef/>
      </w:r>
      <w:r>
        <w:tab/>
        <w:t>Dyrektywa Parlamentu Europejskiego</w:t>
      </w:r>
      <w:r w:rsidR="0028384B">
        <w:t xml:space="preserve"> i Rad</w:t>
      </w:r>
      <w:r>
        <w:t>y 2009/147/WE</w:t>
      </w:r>
      <w:r w:rsidR="0028384B">
        <w:t xml:space="preserve"> z dni</w:t>
      </w:r>
      <w:r>
        <w:t>a 30 listopada 20</w:t>
      </w:r>
      <w:r w:rsidRPr="0028384B">
        <w:t>09</w:t>
      </w:r>
      <w:r w:rsidR="0028384B" w:rsidRPr="0028384B">
        <w:t> </w:t>
      </w:r>
      <w:r w:rsidRPr="0028384B">
        <w:t>r.</w:t>
      </w:r>
      <w:r w:rsidR="0028384B">
        <w:t xml:space="preserve"> w spr</w:t>
      </w:r>
      <w:r>
        <w:t>awie ochrony dzikiego ptactwa (Dz.U. L 20</w:t>
      </w:r>
      <w:r w:rsidR="0028384B">
        <w:t xml:space="preserve"> z 2</w:t>
      </w:r>
      <w:r>
        <w:t>6.1.2010, s. 7).</w:t>
      </w:r>
    </w:p>
  </w:footnote>
  <w:footnote w:id="8">
    <w:p w:rsidR="00131515" w:rsidRDefault="00131515" w:rsidP="00AD62E2">
      <w:pPr>
        <w:pStyle w:val="FootnoteText"/>
      </w:pPr>
      <w:r>
        <w:rPr>
          <w:rStyle w:val="FootnoteReference"/>
        </w:rPr>
        <w:footnoteRef/>
      </w:r>
      <w:r>
        <w:tab/>
        <w:t>Dyrektywa 2000/60/WE Parlamentu Europejskiego</w:t>
      </w:r>
      <w:r w:rsidR="0028384B">
        <w:t xml:space="preserve"> i Rad</w:t>
      </w:r>
      <w:r>
        <w:t>y</w:t>
      </w:r>
      <w:r w:rsidR="0028384B">
        <w:t xml:space="preserve"> z dni</w:t>
      </w:r>
      <w:r>
        <w:t>a 23 października 20</w:t>
      </w:r>
      <w:r w:rsidRPr="0028384B">
        <w:t>00</w:t>
      </w:r>
      <w:r w:rsidR="0028384B" w:rsidRPr="0028384B">
        <w:t> </w:t>
      </w:r>
      <w:r w:rsidRPr="0028384B">
        <w:t>r.</w:t>
      </w:r>
      <w:r>
        <w:t xml:space="preserve"> ustanawiająca ramy wspólnotowego działania</w:t>
      </w:r>
      <w:r w:rsidR="0028384B">
        <w:t xml:space="preserve"> w dzi</w:t>
      </w:r>
      <w:r>
        <w:t>edzinie polityki wodnej (Dz.U. L 327</w:t>
      </w:r>
      <w:r w:rsidR="0028384B">
        <w:t xml:space="preserve"> z 2</w:t>
      </w:r>
      <w:r>
        <w:t>2.12.2000, s. 1).</w:t>
      </w:r>
    </w:p>
  </w:footnote>
  <w:footnote w:id="9">
    <w:p w:rsidR="00131515" w:rsidRDefault="00131515" w:rsidP="00AD62E2">
      <w:pPr>
        <w:pStyle w:val="FootnoteText"/>
      </w:pPr>
      <w:r>
        <w:rPr>
          <w:rStyle w:val="FootnoteReference"/>
        </w:rPr>
        <w:footnoteRef/>
      </w:r>
      <w:r>
        <w:tab/>
        <w:t>Dyrektywa 2008/56/WE Parlamentu Europejskiego</w:t>
      </w:r>
      <w:r w:rsidR="0028384B">
        <w:t xml:space="preserve"> i Rad</w:t>
      </w:r>
      <w:r>
        <w:t>y</w:t>
      </w:r>
      <w:r w:rsidR="0028384B">
        <w:t xml:space="preserve"> z dni</w:t>
      </w:r>
      <w:r>
        <w:t>a 17 czerwca 20</w:t>
      </w:r>
      <w:r w:rsidRPr="0028384B">
        <w:t>08</w:t>
      </w:r>
      <w:r w:rsidR="0028384B" w:rsidRPr="0028384B">
        <w:t> </w:t>
      </w:r>
      <w:r w:rsidRPr="0028384B">
        <w:t>r.</w:t>
      </w:r>
      <w:r>
        <w:t xml:space="preserve"> ustanawiająca ramy działań Wspólnoty</w:t>
      </w:r>
      <w:r w:rsidR="0028384B">
        <w:t xml:space="preserve"> w dzi</w:t>
      </w:r>
      <w:r>
        <w:t>edzinie polityki środowiska morskiego (dyrektywa ramowa</w:t>
      </w:r>
      <w:r w:rsidR="0028384B">
        <w:t xml:space="preserve"> w spr</w:t>
      </w:r>
      <w:r>
        <w:t>awie strategii morskiej) (Dz.U. L 164</w:t>
      </w:r>
      <w:r w:rsidR="0028384B">
        <w:t xml:space="preserve"> z 2</w:t>
      </w:r>
      <w:r>
        <w:t>5.6.2008, s. 19).</w:t>
      </w:r>
    </w:p>
  </w:footnote>
  <w:footnote w:id="10">
    <w:p w:rsidR="00131515" w:rsidRDefault="00131515" w:rsidP="00AD62E2">
      <w:pPr>
        <w:pStyle w:val="FootnoteText"/>
      </w:pPr>
      <w:r>
        <w:rPr>
          <w:rStyle w:val="FootnoteReference"/>
        </w:rPr>
        <w:footnoteRef/>
      </w:r>
      <w:r>
        <w:tab/>
        <w:t>Dyrektywa 2006/21/WE Parlamentu Europejskiego</w:t>
      </w:r>
      <w:r w:rsidR="0028384B">
        <w:t xml:space="preserve"> i Rad</w:t>
      </w:r>
      <w:r>
        <w:t>y</w:t>
      </w:r>
      <w:r w:rsidR="0028384B">
        <w:t xml:space="preserve"> z dni</w:t>
      </w:r>
      <w:r>
        <w:t>a 15 marca 20</w:t>
      </w:r>
      <w:r w:rsidRPr="0028384B">
        <w:t>06</w:t>
      </w:r>
      <w:r w:rsidR="0028384B" w:rsidRPr="0028384B">
        <w:t> </w:t>
      </w:r>
      <w:r w:rsidRPr="0028384B">
        <w:t>r.</w:t>
      </w:r>
      <w:r w:rsidR="0028384B">
        <w:t xml:space="preserve"> w spr</w:t>
      </w:r>
      <w:r>
        <w:t>awie gospodarowania odpadami pochodzącymi</w:t>
      </w:r>
      <w:r w:rsidR="0028384B">
        <w:t xml:space="preserve"> z prz</w:t>
      </w:r>
      <w:r>
        <w:t>emysłu wydobywczego oraz zmieniająca dyrektywę 2004/35/WE – Oświadczenie Parlamentu Europejskiego, Rady</w:t>
      </w:r>
      <w:r w:rsidR="0028384B">
        <w:t xml:space="preserve"> i Kom</w:t>
      </w:r>
      <w:r>
        <w:t>isji (Dz.U. L 102</w:t>
      </w:r>
      <w:r w:rsidR="0028384B">
        <w:t xml:space="preserve"> z 1</w:t>
      </w:r>
      <w:r>
        <w:t>1.4.2006, s. 15).</w:t>
      </w:r>
    </w:p>
  </w:footnote>
  <w:footnote w:id="11">
    <w:p w:rsidR="00131515" w:rsidRDefault="00131515" w:rsidP="00AD62E2">
      <w:pPr>
        <w:pStyle w:val="FootnoteText"/>
      </w:pPr>
      <w:r>
        <w:rPr>
          <w:rStyle w:val="FootnoteReference"/>
        </w:rPr>
        <w:footnoteRef/>
      </w:r>
      <w:r>
        <w:tab/>
        <w:t>Dyrektywa Parlamentu Europejskiego</w:t>
      </w:r>
      <w:r w:rsidR="0028384B">
        <w:t xml:space="preserve"> i Rad</w:t>
      </w:r>
      <w:r>
        <w:t>y 2008/98/WE</w:t>
      </w:r>
      <w:r w:rsidR="0028384B">
        <w:t xml:space="preserve"> z dni</w:t>
      </w:r>
      <w:r>
        <w:t>a 19 listopada 20</w:t>
      </w:r>
      <w:r w:rsidRPr="0028384B">
        <w:t>08</w:t>
      </w:r>
      <w:r w:rsidR="0028384B" w:rsidRPr="0028384B">
        <w:t> </w:t>
      </w:r>
      <w:r w:rsidRPr="0028384B">
        <w:t>r.</w:t>
      </w:r>
      <w:r w:rsidR="0028384B">
        <w:t xml:space="preserve"> w spr</w:t>
      </w:r>
      <w:r>
        <w:t>awie odpadów oraz uchylająca niektóre dyrektywy (Dz.U. L 312</w:t>
      </w:r>
      <w:r w:rsidR="0028384B">
        <w:t xml:space="preserve"> z 2</w:t>
      </w:r>
      <w:r>
        <w:t>2.11.2008, s. 3).</w:t>
      </w:r>
    </w:p>
  </w:footnote>
  <w:footnote w:id="12">
    <w:p w:rsidR="00131515" w:rsidRDefault="00131515" w:rsidP="00AD62E2">
      <w:pPr>
        <w:pStyle w:val="FootnoteText"/>
      </w:pPr>
      <w:r>
        <w:rPr>
          <w:rStyle w:val="FootnoteReference"/>
        </w:rPr>
        <w:footnoteRef/>
      </w:r>
      <w:r>
        <w:tab/>
        <w:t>Dyrektywa Parlamentu Europejskiego</w:t>
      </w:r>
      <w:r w:rsidR="0028384B">
        <w:t xml:space="preserve"> i Rad</w:t>
      </w:r>
      <w:r>
        <w:t>y 2012/19/UE</w:t>
      </w:r>
      <w:r w:rsidR="0028384B">
        <w:t xml:space="preserve"> z dni</w:t>
      </w:r>
      <w:r>
        <w:t>a 4 lipca 20</w:t>
      </w:r>
      <w:r w:rsidRPr="0028384B">
        <w:t>12</w:t>
      </w:r>
      <w:r w:rsidR="0028384B" w:rsidRPr="0028384B">
        <w:t> </w:t>
      </w:r>
      <w:r w:rsidRPr="0028384B">
        <w:t>r.</w:t>
      </w:r>
      <w:r w:rsidR="0028384B">
        <w:t xml:space="preserve"> w spr</w:t>
      </w:r>
      <w:r>
        <w:t>awie zużytego sprzętu elektrycznego</w:t>
      </w:r>
      <w:r w:rsidR="0028384B">
        <w:t xml:space="preserve"> i ele</w:t>
      </w:r>
      <w:r>
        <w:t>ktronicznego (WEEE) (wersja przekształcona) Tekst mający znaczenie dla EOG (Dz.U. L 197</w:t>
      </w:r>
      <w:r w:rsidR="0028384B">
        <w:t xml:space="preserve"> z 2</w:t>
      </w:r>
      <w:r>
        <w:t>4.7.2012, s. 38).</w:t>
      </w:r>
    </w:p>
  </w:footnote>
  <w:footnote w:id="13">
    <w:p w:rsidR="00131515" w:rsidRDefault="00131515" w:rsidP="00AD62E2">
      <w:pPr>
        <w:pStyle w:val="FootnoteText"/>
      </w:pPr>
      <w:r>
        <w:rPr>
          <w:rStyle w:val="FootnoteReference"/>
        </w:rPr>
        <w:footnoteRef/>
      </w:r>
      <w:r>
        <w:tab/>
        <w:t>Dyrektywa Parlamentu Europejskiego</w:t>
      </w:r>
      <w:r w:rsidR="0028384B">
        <w:t xml:space="preserve"> i Rad</w:t>
      </w:r>
      <w:r>
        <w:t>y 2000/53/WE</w:t>
      </w:r>
      <w:r w:rsidR="0028384B">
        <w:t xml:space="preserve"> z dni</w:t>
      </w:r>
      <w:r>
        <w:t>a 18 września 20</w:t>
      </w:r>
      <w:r w:rsidRPr="0028384B">
        <w:t>00</w:t>
      </w:r>
      <w:r w:rsidR="0028384B" w:rsidRPr="0028384B">
        <w:t> </w:t>
      </w:r>
      <w:r w:rsidRPr="0028384B">
        <w:t>r.</w:t>
      </w:r>
      <w:r w:rsidR="0028384B">
        <w:t xml:space="preserve"> w spr</w:t>
      </w:r>
      <w:r>
        <w:t>awie pojazdów wycofanych</w:t>
      </w:r>
      <w:r w:rsidR="0028384B">
        <w:t xml:space="preserve"> z eks</w:t>
      </w:r>
      <w:r>
        <w:t>ploatacji – Oświadczenia Komisji (Dz.U. L 269</w:t>
      </w:r>
      <w:r w:rsidR="0028384B">
        <w:t xml:space="preserve"> z 2</w:t>
      </w:r>
      <w:r>
        <w:t>1.10.2000, s. 34).</w:t>
      </w:r>
    </w:p>
  </w:footnote>
  <w:footnote w:id="14">
    <w:p w:rsidR="00131515" w:rsidRPr="00A05204" w:rsidRDefault="00131515" w:rsidP="00AD62E2">
      <w:pPr>
        <w:pStyle w:val="FootnoteText"/>
      </w:pPr>
      <w:r>
        <w:rPr>
          <w:rStyle w:val="FootnoteReference"/>
        </w:rPr>
        <w:footnoteRef/>
      </w:r>
      <w:r>
        <w:tab/>
        <w:t>Dyrektywa 2005/64/WE Parlamentu Europejskiego</w:t>
      </w:r>
      <w:r w:rsidR="0028384B">
        <w:t xml:space="preserve"> i Rad</w:t>
      </w:r>
      <w:r>
        <w:t>y</w:t>
      </w:r>
      <w:r w:rsidR="0028384B">
        <w:t xml:space="preserve"> z dni</w:t>
      </w:r>
      <w:r>
        <w:t>a 26 października 20</w:t>
      </w:r>
      <w:r w:rsidRPr="0028384B">
        <w:t>05</w:t>
      </w:r>
      <w:r w:rsidR="0028384B" w:rsidRPr="0028384B">
        <w:t> </w:t>
      </w:r>
      <w:r w:rsidRPr="0028384B">
        <w:t>r.</w:t>
      </w:r>
      <w:r>
        <w:t xml:space="preserve"> dotycząca homologacji typu pojazdów mechanicznych pod względem ich przydatności do ponownego użycia, zdolności do recyklingu</w:t>
      </w:r>
      <w:r w:rsidR="0028384B">
        <w:t xml:space="preserve"> i odz</w:t>
      </w:r>
      <w:r>
        <w:t>ysku oraz zmieniająca dyrektywę Rady 70/156/EWG.</w:t>
      </w:r>
    </w:p>
  </w:footnote>
  <w:footnote w:id="15">
    <w:p w:rsidR="00131515" w:rsidRPr="00A05204" w:rsidRDefault="00131515" w:rsidP="00AD62E2">
      <w:pPr>
        <w:pStyle w:val="FootnoteText"/>
      </w:pPr>
      <w:r>
        <w:rPr>
          <w:rStyle w:val="FootnoteReference"/>
        </w:rPr>
        <w:footnoteRef/>
      </w:r>
      <w:r>
        <w:tab/>
        <w:t>Rozporządzenie Parlamentu Europejskiego</w:t>
      </w:r>
      <w:r w:rsidR="0028384B">
        <w:t xml:space="preserve"> i Rad</w:t>
      </w:r>
      <w:r>
        <w:t xml:space="preserve">y (WE) </w:t>
      </w:r>
      <w:r w:rsidRPr="0028384B">
        <w:t>nr</w:t>
      </w:r>
      <w:r w:rsidR="0028384B" w:rsidRPr="0028384B">
        <w:t> </w:t>
      </w:r>
      <w:r w:rsidRPr="0028384B">
        <w:t>1</w:t>
      </w:r>
      <w:r>
        <w:t>272/2008</w:t>
      </w:r>
      <w:r w:rsidR="0028384B">
        <w:t xml:space="preserve"> z dni</w:t>
      </w:r>
      <w:r>
        <w:t>a 16 grudnia 20</w:t>
      </w:r>
      <w:r w:rsidRPr="0028384B">
        <w:t>08</w:t>
      </w:r>
      <w:r w:rsidR="0028384B" w:rsidRPr="0028384B">
        <w:t> </w:t>
      </w:r>
      <w:r w:rsidRPr="0028384B">
        <w:t>r.</w:t>
      </w:r>
      <w:r w:rsidR="0028384B">
        <w:t xml:space="preserve"> w spr</w:t>
      </w:r>
      <w:r>
        <w:t>awie klasyfikacji, oznakowania</w:t>
      </w:r>
      <w:r w:rsidR="0028384B">
        <w:t xml:space="preserve"> i pak</w:t>
      </w:r>
      <w:r>
        <w:t>owania substancji</w:t>
      </w:r>
      <w:r w:rsidR="0028384B">
        <w:t xml:space="preserve"> i mie</w:t>
      </w:r>
      <w:r>
        <w:t>szanin, zmieniające</w:t>
      </w:r>
      <w:r w:rsidR="0028384B">
        <w:t xml:space="preserve"> i uch</w:t>
      </w:r>
      <w:r>
        <w:t>ylające dyrektywy 67/548/EWG</w:t>
      </w:r>
      <w:r w:rsidR="0028384B">
        <w:t xml:space="preserve"> i 1</w:t>
      </w:r>
      <w:r>
        <w:t xml:space="preserve">999/45/WE oraz zmieniające rozporządzenie (WE) </w:t>
      </w:r>
      <w:r w:rsidRPr="0028384B">
        <w:t>nr</w:t>
      </w:r>
      <w:r w:rsidR="0028384B" w:rsidRPr="0028384B">
        <w:t> </w:t>
      </w:r>
      <w:r w:rsidRPr="0028384B">
        <w:t>1</w:t>
      </w:r>
      <w:r>
        <w:t>907/2006 (Dz.U. L 353</w:t>
      </w:r>
      <w:r w:rsidR="0028384B">
        <w:t xml:space="preserve"> z 3</w:t>
      </w:r>
      <w:r>
        <w:t>1.12.2008, s. 1).</w:t>
      </w:r>
    </w:p>
  </w:footnote>
  <w:footnote w:id="16">
    <w:p w:rsidR="00131515" w:rsidRPr="00A05204" w:rsidRDefault="00131515" w:rsidP="00AD62E2">
      <w:pPr>
        <w:pStyle w:val="FootnoteText"/>
      </w:pPr>
      <w:r>
        <w:rPr>
          <w:rStyle w:val="FootnoteReference"/>
        </w:rPr>
        <w:footnoteRef/>
      </w:r>
      <w:r>
        <w:tab/>
        <w:t xml:space="preserve">Rozporządzenie (WE) </w:t>
      </w:r>
      <w:r w:rsidRPr="0028384B">
        <w:t>nr</w:t>
      </w:r>
      <w:r w:rsidR="0028384B" w:rsidRPr="0028384B">
        <w:t> </w:t>
      </w:r>
      <w:r w:rsidRPr="0028384B">
        <w:t>1</w:t>
      </w:r>
      <w:r>
        <w:t>907/2006 Parlamentu Europejskiego</w:t>
      </w:r>
      <w:r w:rsidR="0028384B">
        <w:t xml:space="preserve"> i Rad</w:t>
      </w:r>
      <w:r>
        <w:t>y</w:t>
      </w:r>
      <w:r w:rsidR="0028384B">
        <w:t xml:space="preserve"> z dni</w:t>
      </w:r>
      <w:r>
        <w:t>a 18 grudnia 20</w:t>
      </w:r>
      <w:r w:rsidRPr="0028384B">
        <w:t>06</w:t>
      </w:r>
      <w:r w:rsidR="0028384B" w:rsidRPr="0028384B">
        <w:t> </w:t>
      </w:r>
      <w:r w:rsidRPr="0028384B">
        <w:t>r.</w:t>
      </w:r>
      <w:r w:rsidR="0028384B">
        <w:t xml:space="preserve"> w spr</w:t>
      </w:r>
      <w:r>
        <w:t>awie rejestracji, oceny, udzielania zezwoleń</w:t>
      </w:r>
      <w:r w:rsidR="0028384B">
        <w:t xml:space="preserve"> i sto</w:t>
      </w:r>
      <w:r>
        <w:t>sowanych ograniczeń</w:t>
      </w:r>
      <w:r w:rsidR="0028384B">
        <w:t xml:space="preserve"> w zak</w:t>
      </w:r>
      <w:r>
        <w:t>resie chemikaliów (REACH)</w:t>
      </w:r>
      <w:r w:rsidR="0028384B">
        <w:t xml:space="preserve"> i utw</w:t>
      </w:r>
      <w:r>
        <w:t>orzenia Europejskiej Agencji Chemikaliów (Dz.U. L 396</w:t>
      </w:r>
      <w:r w:rsidR="0028384B">
        <w:t xml:space="preserve"> z 3</w:t>
      </w:r>
      <w:r>
        <w:t>0.12.2006, s. 1).</w:t>
      </w:r>
    </w:p>
  </w:footnote>
  <w:footnote w:id="17">
    <w:p w:rsidR="00131515" w:rsidRPr="00A05204" w:rsidRDefault="00131515" w:rsidP="00AD62E2">
      <w:pPr>
        <w:pStyle w:val="FootnoteText"/>
      </w:pPr>
      <w:r>
        <w:rPr>
          <w:rStyle w:val="FootnoteReference"/>
        </w:rPr>
        <w:footnoteRef/>
      </w:r>
      <w:r>
        <w:tab/>
        <w:t>COM(2020) 667 final.</w:t>
      </w:r>
    </w:p>
  </w:footnote>
  <w:footnote w:id="18">
    <w:p w:rsidR="00131515" w:rsidRDefault="00131515" w:rsidP="00AD62E2">
      <w:pPr>
        <w:pStyle w:val="FootnoteText"/>
      </w:pPr>
      <w:r>
        <w:rPr>
          <w:rStyle w:val="FootnoteReference"/>
        </w:rPr>
        <w:footnoteRef/>
      </w:r>
      <w:r>
        <w:tab/>
        <w:t>Zalecenie Rady</w:t>
      </w:r>
      <w:r w:rsidR="0028384B">
        <w:t xml:space="preserve"> z dni</w:t>
      </w:r>
      <w:r>
        <w:t>a 16 czerwca 20</w:t>
      </w:r>
      <w:r w:rsidRPr="0028384B">
        <w:t>22</w:t>
      </w:r>
      <w:r w:rsidR="0028384B" w:rsidRPr="0028384B">
        <w:t> </w:t>
      </w:r>
      <w:r w:rsidRPr="0028384B">
        <w:t>r.</w:t>
      </w:r>
      <w:r w:rsidR="0028384B">
        <w:t xml:space="preserve"> w spr</w:t>
      </w:r>
      <w:r>
        <w:t>awie zapewnienia sprawiedliwej transformacji</w:t>
      </w:r>
      <w:r w:rsidR="0028384B">
        <w:t xml:space="preserve"> w kie</w:t>
      </w:r>
      <w:r>
        <w:t>runku neutralności klimatycznej, 2022/C 243/04 (Dz.U. C 243</w:t>
      </w:r>
      <w:r w:rsidR="0028384B">
        <w:t xml:space="preserve"> z 2</w:t>
      </w:r>
      <w:r>
        <w:t>7.6.2022, s. 35).</w:t>
      </w:r>
    </w:p>
  </w:footnote>
  <w:footnote w:id="19">
    <w:p w:rsidR="00131515" w:rsidRDefault="00131515" w:rsidP="00AD62E2">
      <w:pPr>
        <w:pStyle w:val="FootnoteText"/>
      </w:pPr>
      <w:r>
        <w:rPr>
          <w:rStyle w:val="FootnoteReference"/>
        </w:rPr>
        <w:footnoteRef/>
      </w:r>
      <w:r>
        <w:tab/>
        <w:t>Dyrektywa 2007/2/WE Parlamentu Europejskiego</w:t>
      </w:r>
      <w:r w:rsidR="0028384B">
        <w:t xml:space="preserve"> i Rad</w:t>
      </w:r>
      <w:r>
        <w:t>y</w:t>
      </w:r>
      <w:r w:rsidR="0028384B">
        <w:t xml:space="preserve"> z dni</w:t>
      </w:r>
      <w:r>
        <w:t>a 14 marca 20</w:t>
      </w:r>
      <w:r w:rsidRPr="0028384B">
        <w:t>07</w:t>
      </w:r>
      <w:r w:rsidR="0028384B" w:rsidRPr="0028384B">
        <w:t> </w:t>
      </w:r>
      <w:r w:rsidRPr="0028384B">
        <w:t>r.</w:t>
      </w:r>
      <w:r>
        <w:t xml:space="preserve"> ustanawiająca infrastrukturę informacji przestrzennej we Wspólnocie Europejskiej (INSPIRE) (Dz.U. L 108</w:t>
      </w:r>
      <w:r w:rsidR="0028384B">
        <w:t xml:space="preserve"> z 2</w:t>
      </w:r>
      <w:r>
        <w:t>5.4.2007, s. 1).</w:t>
      </w:r>
    </w:p>
  </w:footnote>
  <w:footnote w:id="20">
    <w:p w:rsidR="00131515" w:rsidRDefault="00131515" w:rsidP="00AD62E2">
      <w:pPr>
        <w:pStyle w:val="FootnoteText"/>
      </w:pPr>
      <w:r>
        <w:rPr>
          <w:rStyle w:val="FootnoteReference"/>
        </w:rPr>
        <w:footnoteRef/>
      </w:r>
      <w:r>
        <w:tab/>
        <w:t>Rozporządzenie Parlamentu Europejskiego</w:t>
      </w:r>
      <w:r w:rsidR="0028384B">
        <w:t xml:space="preserve"> i Rad</w:t>
      </w:r>
      <w:r>
        <w:t>y (UE) 2020/852</w:t>
      </w:r>
      <w:r w:rsidR="0028384B">
        <w:t xml:space="preserve"> z dni</w:t>
      </w:r>
      <w:r>
        <w:t>a 18 czerwca 2020 r.</w:t>
      </w:r>
      <w:r w:rsidR="0028384B">
        <w:t xml:space="preserve"> w spr</w:t>
      </w:r>
      <w:r>
        <w:t>awie ustanowienia ram ułatwiających zrównoważone inwestycje, zmieniające rozporządzenie (UE) 2019/2088 (PE/20/2020/INIT).</w:t>
      </w:r>
    </w:p>
  </w:footnote>
  <w:footnote w:id="21">
    <w:p w:rsidR="00131515" w:rsidRPr="001D58AE" w:rsidRDefault="00131515" w:rsidP="00AD62E2">
      <w:pPr>
        <w:pStyle w:val="FootnoteText"/>
      </w:pPr>
      <w:r>
        <w:rPr>
          <w:rStyle w:val="FootnoteReference"/>
        </w:rPr>
        <w:footnoteRef/>
      </w:r>
      <w:r>
        <w:tab/>
        <w:t>Wniosek dotyczący rozporządzenia Parlamentu Europejskiego</w:t>
      </w:r>
      <w:r w:rsidR="0028384B">
        <w:t xml:space="preserve"> i Rad</w:t>
      </w:r>
      <w:r>
        <w:t>y</w:t>
      </w:r>
      <w:r w:rsidR="0028384B">
        <w:t xml:space="preserve"> w spr</w:t>
      </w:r>
      <w:r>
        <w:t>awie baterii</w:t>
      </w:r>
      <w:r w:rsidR="0028384B">
        <w:t xml:space="preserve"> i zuż</w:t>
      </w:r>
      <w:r>
        <w:t>ytych baterii, uchylającego dyrektywę 2006/66/WE</w:t>
      </w:r>
      <w:r w:rsidR="0028384B">
        <w:t xml:space="preserve"> i zmi</w:t>
      </w:r>
      <w:r>
        <w:t>eniającego rozporządzenie (UE) 2019/1020 (COM(2020) 798 final).</w:t>
      </w:r>
    </w:p>
  </w:footnote>
  <w:footnote w:id="22">
    <w:p w:rsidR="00131515" w:rsidRDefault="00131515" w:rsidP="00AD62E2">
      <w:pPr>
        <w:pStyle w:val="FootnoteText"/>
      </w:pPr>
      <w:r>
        <w:rPr>
          <w:rStyle w:val="FootnoteReference"/>
        </w:rPr>
        <w:footnoteRef/>
      </w:r>
      <w:r>
        <w:tab/>
        <w:t>Wniosek dotyczący dyrektywy Parlamentu Europejskiego</w:t>
      </w:r>
      <w:r w:rsidR="0028384B">
        <w:t xml:space="preserve"> i Rad</w:t>
      </w:r>
      <w:r>
        <w:t>y</w:t>
      </w:r>
      <w:r w:rsidR="0028384B">
        <w:t xml:space="preserve"> w spr</w:t>
      </w:r>
      <w:r>
        <w:t>awie należytej staranności przedsiębiorstw</w:t>
      </w:r>
      <w:r w:rsidR="0028384B">
        <w:t xml:space="preserve"> w zak</w:t>
      </w:r>
      <w:r>
        <w:t>resie zrównoważonego rozwoju oraz zmieniającej dyrektywę (UE) 2019/1937 (COM(2022) 71 final).</w:t>
      </w:r>
    </w:p>
  </w:footnote>
  <w:footnote w:id="23">
    <w:p w:rsidR="00131515" w:rsidRPr="00891CB6" w:rsidRDefault="00131515" w:rsidP="005B605E">
      <w:pPr>
        <w:pStyle w:val="FootnoteText"/>
      </w:pPr>
      <w:r>
        <w:rPr>
          <w:rStyle w:val="FootnoteReference"/>
        </w:rPr>
        <w:footnoteRef/>
      </w:r>
      <w:r>
        <w:tab/>
        <w:t>https://publications.jrc.ec.europa.eu/repository/handle/JRC117729</w:t>
      </w:r>
    </w:p>
  </w:footnote>
  <w:footnote w:id="24">
    <w:p w:rsidR="00131515" w:rsidRPr="00891CB6" w:rsidRDefault="00131515" w:rsidP="005B605E">
      <w:pPr>
        <w:pStyle w:val="FootnoteText"/>
      </w:pPr>
      <w:r>
        <w:rPr>
          <w:rStyle w:val="FootnoteReference"/>
        </w:rPr>
        <w:footnoteRef/>
      </w:r>
      <w:r>
        <w:tab/>
        <w:t>https://ec.europa.eu/docsroom/documents/42881?locale=pl</w:t>
      </w:r>
    </w:p>
  </w:footnote>
  <w:footnote w:id="25">
    <w:p w:rsidR="00131515" w:rsidRPr="00891CB6" w:rsidRDefault="00131515" w:rsidP="005B605E">
      <w:pPr>
        <w:pStyle w:val="FootnoteText"/>
      </w:pPr>
      <w:r>
        <w:rPr>
          <w:rStyle w:val="FootnoteReference"/>
        </w:rPr>
        <w:footnoteRef/>
      </w:r>
      <w:r>
        <w:tab/>
        <w:t>https://op.europa.eu/pl/publication-detail/-/publication/b80d77b6-2a3b-11ec-bd8e-01aa75ed71a1</w:t>
      </w:r>
    </w:p>
  </w:footnote>
  <w:footnote w:id="26">
    <w:p w:rsidR="00131515" w:rsidRPr="00A7463F" w:rsidRDefault="00131515" w:rsidP="005B605E">
      <w:pPr>
        <w:pStyle w:val="FootnoteText"/>
      </w:pPr>
      <w:r>
        <w:rPr>
          <w:rStyle w:val="FootnoteReference"/>
        </w:rPr>
        <w:footnoteRef/>
      </w:r>
      <w:r>
        <w:tab/>
        <w:t>Do potwierdzenia.</w:t>
      </w:r>
    </w:p>
  </w:footnote>
  <w:footnote w:id="27">
    <w:p w:rsidR="00131515" w:rsidRPr="00891CB6" w:rsidRDefault="00131515" w:rsidP="005B605E">
      <w:pPr>
        <w:pStyle w:val="FootnoteText"/>
      </w:pPr>
      <w:r>
        <w:rPr>
          <w:rStyle w:val="FootnoteReference"/>
        </w:rPr>
        <w:footnoteRef/>
      </w:r>
      <w:r>
        <w:tab/>
        <w:t>https://www.iea.org/reports/the-role-of-critical-minerals-in-clean-energy-transitions/mineral-requirements-for-clean-energy-transitions</w:t>
      </w:r>
    </w:p>
  </w:footnote>
  <w:footnote w:id="28">
    <w:p w:rsidR="00131515" w:rsidRDefault="00131515" w:rsidP="005B605E">
      <w:pPr>
        <w:pStyle w:val="FootnoteText"/>
      </w:pPr>
      <w:r>
        <w:rPr>
          <w:rStyle w:val="FootnoteReference"/>
        </w:rPr>
        <w:footnoteRef/>
      </w:r>
      <w:r>
        <w:tab/>
        <w:t>https://www.oecd.org/environment/global-material-resources-outlook-to-2060-9789264307452-en.htm</w:t>
      </w:r>
    </w:p>
    <w:p w:rsidR="00131515" w:rsidRPr="00E93FB5" w:rsidRDefault="00131515" w:rsidP="005B605E">
      <w:pPr>
        <w:pStyle w:val="FootnoteText"/>
      </w:pPr>
    </w:p>
  </w:footnote>
  <w:footnote w:id="29">
    <w:p w:rsidR="00131515" w:rsidRDefault="00131515" w:rsidP="00AD62E2">
      <w:pPr>
        <w:pStyle w:val="FootnoteText"/>
      </w:pPr>
      <w:r>
        <w:rPr>
          <w:rStyle w:val="FootnoteReference"/>
        </w:rPr>
        <w:footnoteRef/>
      </w:r>
      <w:r>
        <w:tab/>
        <w:t>Dz.U. C  z , s. .</w:t>
      </w:r>
    </w:p>
  </w:footnote>
  <w:footnote w:id="30">
    <w:p w:rsidR="00131515" w:rsidRPr="002B3899" w:rsidRDefault="00131515" w:rsidP="00AD62E2">
      <w:pPr>
        <w:spacing w:before="0" w:after="0"/>
        <w:ind w:left="720" w:hanging="720"/>
        <w:rPr>
          <w:rFonts w:eastAsia="Times New Roman"/>
          <w:sz w:val="20"/>
          <w:szCs w:val="20"/>
        </w:rPr>
      </w:pPr>
      <w:r>
        <w:rPr>
          <w:rStyle w:val="FootnoteReference"/>
        </w:rPr>
        <w:footnoteRef/>
      </w:r>
      <w:r>
        <w:tab/>
      </w:r>
      <w:r>
        <w:rPr>
          <w:sz w:val="20"/>
        </w:rPr>
        <w:t>Rozporządzenie Parlamentu Europejskiego</w:t>
      </w:r>
      <w:r w:rsidR="0028384B">
        <w:rPr>
          <w:sz w:val="20"/>
        </w:rPr>
        <w:t xml:space="preserve"> i Rad</w:t>
      </w:r>
      <w:r>
        <w:rPr>
          <w:sz w:val="20"/>
        </w:rPr>
        <w:t>y (UE) 2021/1119</w:t>
      </w:r>
      <w:r w:rsidR="0028384B">
        <w:rPr>
          <w:sz w:val="20"/>
        </w:rPr>
        <w:t xml:space="preserve"> z dni</w:t>
      </w:r>
      <w:r>
        <w:rPr>
          <w:sz w:val="20"/>
        </w:rPr>
        <w:t>a 30 czerwca 20</w:t>
      </w:r>
      <w:r w:rsidRPr="0028384B">
        <w:rPr>
          <w:sz w:val="20"/>
        </w:rPr>
        <w:t>21</w:t>
      </w:r>
      <w:r w:rsidR="0028384B" w:rsidRPr="0028384B">
        <w:rPr>
          <w:sz w:val="20"/>
        </w:rPr>
        <w:t> </w:t>
      </w:r>
      <w:r w:rsidRPr="0028384B">
        <w:rPr>
          <w:sz w:val="20"/>
        </w:rPr>
        <w:t>r.</w:t>
      </w:r>
      <w:r w:rsidR="0028384B">
        <w:rPr>
          <w:sz w:val="20"/>
        </w:rPr>
        <w:t xml:space="preserve"> w spr</w:t>
      </w:r>
      <w:r>
        <w:rPr>
          <w:sz w:val="20"/>
        </w:rPr>
        <w:t>awie ustanowienia ram na potrzeby osiągnięcia neutralności klimatycznej</w:t>
      </w:r>
      <w:r w:rsidR="0028384B">
        <w:rPr>
          <w:sz w:val="20"/>
        </w:rPr>
        <w:t xml:space="preserve"> i zmi</w:t>
      </w:r>
      <w:r>
        <w:rPr>
          <w:sz w:val="20"/>
        </w:rPr>
        <w:t xml:space="preserve">any rozporządzeń (WE) </w:t>
      </w:r>
      <w:r w:rsidRPr="0028384B">
        <w:rPr>
          <w:sz w:val="20"/>
        </w:rPr>
        <w:t>nr</w:t>
      </w:r>
      <w:r w:rsidR="0028384B" w:rsidRPr="0028384B">
        <w:rPr>
          <w:sz w:val="20"/>
        </w:rPr>
        <w:t> </w:t>
      </w:r>
      <w:r w:rsidRPr="0028384B">
        <w:rPr>
          <w:sz w:val="20"/>
        </w:rPr>
        <w:t>4</w:t>
      </w:r>
      <w:r>
        <w:rPr>
          <w:sz w:val="20"/>
        </w:rPr>
        <w:t>01/2009 i (UE) 2018/1999 (Dz.U. L 243</w:t>
      </w:r>
      <w:r w:rsidR="0028384B">
        <w:rPr>
          <w:sz w:val="20"/>
        </w:rPr>
        <w:t xml:space="preserve"> z 9</w:t>
      </w:r>
      <w:r>
        <w:rPr>
          <w:sz w:val="20"/>
        </w:rPr>
        <w:t>.7.2021, s. 1).</w:t>
      </w:r>
    </w:p>
  </w:footnote>
  <w:footnote w:id="31">
    <w:p w:rsidR="00131515" w:rsidRPr="00CE5EFF" w:rsidRDefault="00131515" w:rsidP="00AD62E2">
      <w:pPr>
        <w:pStyle w:val="FootnoteText"/>
      </w:pPr>
      <w:r>
        <w:rPr>
          <w:rStyle w:val="FootnoteReference"/>
        </w:rPr>
        <w:footnoteRef/>
      </w:r>
      <w:r>
        <w:tab/>
        <w:t>Decyzja Parlamentu Europejskiego</w:t>
      </w:r>
      <w:r w:rsidR="0028384B">
        <w:t xml:space="preserve"> i Rad</w:t>
      </w:r>
      <w:r>
        <w:t>y (UE) 2022/2481</w:t>
      </w:r>
      <w:r w:rsidR="0028384B">
        <w:t xml:space="preserve"> z dni</w:t>
      </w:r>
      <w:r>
        <w:t>a 14 grudnia 20</w:t>
      </w:r>
      <w:r w:rsidRPr="0028384B">
        <w:t>22</w:t>
      </w:r>
      <w:r w:rsidR="0028384B" w:rsidRPr="0028384B">
        <w:t> </w:t>
      </w:r>
      <w:r w:rsidRPr="0028384B">
        <w:t>r.</w:t>
      </w:r>
      <w:r>
        <w:t xml:space="preserve"> ustanawiająca program polityki „Droga ku cyfrowej dekadzie” </w:t>
      </w:r>
      <w:r w:rsidRPr="0028384B">
        <w:t>do</w:t>
      </w:r>
      <w:r w:rsidR="0028384B" w:rsidRPr="0028384B">
        <w:t> </w:t>
      </w:r>
      <w:r w:rsidRPr="0028384B">
        <w:t>2</w:t>
      </w:r>
      <w:r>
        <w:t>0</w:t>
      </w:r>
      <w:r w:rsidRPr="0028384B">
        <w:t>30</w:t>
      </w:r>
      <w:r w:rsidR="0028384B" w:rsidRPr="0028384B">
        <w:t> </w:t>
      </w:r>
      <w:r w:rsidRPr="0028384B">
        <w:t>r.</w:t>
      </w:r>
      <w:r>
        <w:t xml:space="preserve"> (Dz.U. L 323</w:t>
      </w:r>
      <w:r w:rsidR="0028384B">
        <w:t xml:space="preserve"> z 1</w:t>
      </w:r>
      <w:r>
        <w:t>9.12.2022, s. 4).</w:t>
      </w:r>
    </w:p>
  </w:footnote>
  <w:footnote w:id="32">
    <w:p w:rsidR="00131515" w:rsidRDefault="00131515" w:rsidP="00AD62E2">
      <w:pPr>
        <w:pStyle w:val="FootnoteText"/>
      </w:pPr>
      <w:r>
        <w:rPr>
          <w:rStyle w:val="FootnoteReference"/>
        </w:rPr>
        <w:footnoteRef/>
      </w:r>
      <w:r>
        <w:tab/>
        <w:t>Komisja Europejska, Dyrekcja Generalna ds. Rynku Wewnętrznego, Przemysłu, Przedsiębiorczości i MŚP, Unijne zasady dotyczące zrównoważonych surowców, Urząd Publikacji, 2021, https://data.europa.eu/doi/10.2873/27875</w:t>
      </w:r>
      <w:r w:rsidR="002F16A1">
        <w:t>.</w:t>
      </w:r>
    </w:p>
  </w:footnote>
  <w:footnote w:id="33">
    <w:p w:rsidR="00131515" w:rsidRPr="002B3899" w:rsidRDefault="00131515" w:rsidP="00AD62E2">
      <w:pPr>
        <w:spacing w:before="0" w:after="0"/>
        <w:ind w:left="720" w:hanging="720"/>
        <w:rPr>
          <w:rFonts w:eastAsia="Times New Roman"/>
        </w:rPr>
      </w:pPr>
      <w:r>
        <w:rPr>
          <w:rStyle w:val="FootnoteReference"/>
        </w:rPr>
        <w:footnoteRef/>
      </w:r>
      <w:r>
        <w:tab/>
      </w:r>
      <w:r>
        <w:rPr>
          <w:sz w:val="20"/>
        </w:rPr>
        <w:t>Dyrektywa Parlamentu Europejskiego</w:t>
      </w:r>
      <w:r w:rsidR="0028384B">
        <w:rPr>
          <w:sz w:val="20"/>
        </w:rPr>
        <w:t xml:space="preserve"> i Rad</w:t>
      </w:r>
      <w:r>
        <w:rPr>
          <w:sz w:val="20"/>
        </w:rPr>
        <w:t>y 2011/92/UE</w:t>
      </w:r>
      <w:r w:rsidR="0028384B">
        <w:rPr>
          <w:sz w:val="20"/>
        </w:rPr>
        <w:t xml:space="preserve"> z dni</w:t>
      </w:r>
      <w:r>
        <w:rPr>
          <w:sz w:val="20"/>
        </w:rPr>
        <w:t>a 13 grudnia 20</w:t>
      </w:r>
      <w:r w:rsidRPr="0028384B">
        <w:rPr>
          <w:sz w:val="20"/>
        </w:rPr>
        <w:t>11</w:t>
      </w:r>
      <w:r w:rsidR="0028384B" w:rsidRPr="0028384B">
        <w:rPr>
          <w:sz w:val="20"/>
        </w:rPr>
        <w:t> </w:t>
      </w:r>
      <w:r w:rsidRPr="0028384B">
        <w:rPr>
          <w:sz w:val="20"/>
        </w:rPr>
        <w:t>r.</w:t>
      </w:r>
      <w:r w:rsidR="0028384B">
        <w:rPr>
          <w:sz w:val="20"/>
        </w:rPr>
        <w:t xml:space="preserve"> w spr</w:t>
      </w:r>
      <w:r>
        <w:rPr>
          <w:sz w:val="20"/>
        </w:rPr>
        <w:t>awie oceny skutków wywieranych przez niektóre przedsięwzięcia publiczne</w:t>
      </w:r>
      <w:r w:rsidR="0028384B">
        <w:rPr>
          <w:sz w:val="20"/>
        </w:rPr>
        <w:t xml:space="preserve"> i pry</w:t>
      </w:r>
      <w:r>
        <w:rPr>
          <w:sz w:val="20"/>
        </w:rPr>
        <w:t>watne na środowisko (Dz.U. L 26</w:t>
      </w:r>
      <w:r w:rsidR="0028384B">
        <w:rPr>
          <w:sz w:val="20"/>
        </w:rPr>
        <w:t xml:space="preserve"> z 2</w:t>
      </w:r>
      <w:r>
        <w:rPr>
          <w:sz w:val="20"/>
        </w:rPr>
        <w:t>8.1.2012, s. 1).</w:t>
      </w:r>
    </w:p>
  </w:footnote>
  <w:footnote w:id="34">
    <w:p w:rsidR="00131515" w:rsidRDefault="00131515" w:rsidP="00AD62E2">
      <w:pPr>
        <w:spacing w:before="0" w:after="0"/>
        <w:ind w:left="720" w:hanging="720"/>
        <w:rPr>
          <w:rFonts w:eastAsia="Times New Roman"/>
          <w:sz w:val="20"/>
          <w:szCs w:val="20"/>
        </w:rPr>
      </w:pPr>
      <w:r>
        <w:rPr>
          <w:rStyle w:val="FootnoteReference"/>
        </w:rPr>
        <w:footnoteRef/>
      </w:r>
      <w:r>
        <w:tab/>
      </w:r>
      <w:r>
        <w:rPr>
          <w:sz w:val="20"/>
        </w:rPr>
        <w:t>Dyrektywa Rady 92/43/EWG</w:t>
      </w:r>
      <w:r w:rsidR="0028384B">
        <w:rPr>
          <w:sz w:val="20"/>
        </w:rPr>
        <w:t xml:space="preserve"> z dni</w:t>
      </w:r>
      <w:r>
        <w:rPr>
          <w:sz w:val="20"/>
        </w:rPr>
        <w:t>a 21 maja 19</w:t>
      </w:r>
      <w:r w:rsidRPr="0028384B">
        <w:rPr>
          <w:sz w:val="20"/>
        </w:rPr>
        <w:t>92</w:t>
      </w:r>
      <w:r w:rsidR="0028384B" w:rsidRPr="0028384B">
        <w:rPr>
          <w:sz w:val="20"/>
        </w:rPr>
        <w:t> </w:t>
      </w:r>
      <w:r w:rsidRPr="0028384B">
        <w:rPr>
          <w:sz w:val="20"/>
        </w:rPr>
        <w:t>r.</w:t>
      </w:r>
      <w:r w:rsidR="0028384B">
        <w:rPr>
          <w:sz w:val="20"/>
        </w:rPr>
        <w:t xml:space="preserve"> w spr</w:t>
      </w:r>
      <w:r>
        <w:rPr>
          <w:sz w:val="20"/>
        </w:rPr>
        <w:t>awie ochrony siedlisk przyrodniczych oraz dzikiej fauny</w:t>
      </w:r>
      <w:r w:rsidR="0028384B">
        <w:rPr>
          <w:sz w:val="20"/>
        </w:rPr>
        <w:t xml:space="preserve"> i flo</w:t>
      </w:r>
      <w:r>
        <w:rPr>
          <w:sz w:val="20"/>
        </w:rPr>
        <w:t>ry (Dz.U. L 206</w:t>
      </w:r>
      <w:r w:rsidR="0028384B">
        <w:rPr>
          <w:sz w:val="20"/>
        </w:rPr>
        <w:t xml:space="preserve"> z 2</w:t>
      </w:r>
      <w:r>
        <w:rPr>
          <w:sz w:val="20"/>
        </w:rPr>
        <w:t>2.7.1992, s. 7).</w:t>
      </w:r>
    </w:p>
  </w:footnote>
  <w:footnote w:id="35">
    <w:p w:rsidR="00131515" w:rsidRPr="002B3899" w:rsidRDefault="00131515" w:rsidP="00AD62E2">
      <w:pPr>
        <w:spacing w:before="0" w:after="0"/>
        <w:ind w:left="720" w:hanging="720"/>
        <w:rPr>
          <w:rFonts w:eastAsia="Times New Roman"/>
          <w:sz w:val="20"/>
          <w:szCs w:val="20"/>
        </w:rPr>
      </w:pPr>
      <w:r>
        <w:rPr>
          <w:rStyle w:val="FootnoteReference"/>
        </w:rPr>
        <w:footnoteRef/>
      </w:r>
      <w:r>
        <w:tab/>
      </w:r>
      <w:r>
        <w:rPr>
          <w:sz w:val="20"/>
        </w:rPr>
        <w:t>Dyrektywa 2000/60/WE Parlamentu Europejskiego</w:t>
      </w:r>
      <w:r w:rsidR="0028384B">
        <w:rPr>
          <w:sz w:val="20"/>
        </w:rPr>
        <w:t xml:space="preserve"> i Rad</w:t>
      </w:r>
      <w:r>
        <w:rPr>
          <w:sz w:val="20"/>
        </w:rPr>
        <w:t>y</w:t>
      </w:r>
      <w:r w:rsidR="0028384B">
        <w:rPr>
          <w:sz w:val="20"/>
        </w:rPr>
        <w:t xml:space="preserve"> z dni</w:t>
      </w:r>
      <w:r>
        <w:rPr>
          <w:sz w:val="20"/>
        </w:rPr>
        <w:t>a 23 października 20</w:t>
      </w:r>
      <w:r w:rsidRPr="0028384B">
        <w:rPr>
          <w:sz w:val="20"/>
        </w:rPr>
        <w:t>00</w:t>
      </w:r>
      <w:r w:rsidR="0028384B" w:rsidRPr="0028384B">
        <w:rPr>
          <w:sz w:val="20"/>
        </w:rPr>
        <w:t> </w:t>
      </w:r>
      <w:r w:rsidRPr="0028384B">
        <w:rPr>
          <w:sz w:val="20"/>
        </w:rPr>
        <w:t>r.</w:t>
      </w:r>
      <w:r>
        <w:rPr>
          <w:sz w:val="20"/>
        </w:rPr>
        <w:t xml:space="preserve"> ustanawiająca ramy wspólnotowego działania</w:t>
      </w:r>
      <w:r w:rsidR="0028384B">
        <w:rPr>
          <w:sz w:val="20"/>
        </w:rPr>
        <w:t xml:space="preserve"> w dzi</w:t>
      </w:r>
      <w:r>
        <w:rPr>
          <w:sz w:val="20"/>
        </w:rPr>
        <w:t>edzinie polityki wodnej (Dz.U. L 327</w:t>
      </w:r>
      <w:r w:rsidR="0028384B">
        <w:rPr>
          <w:sz w:val="20"/>
        </w:rPr>
        <w:t xml:space="preserve"> z 2</w:t>
      </w:r>
      <w:r>
        <w:rPr>
          <w:sz w:val="20"/>
        </w:rPr>
        <w:t>2.12.2000, s. 1).</w:t>
      </w:r>
    </w:p>
  </w:footnote>
  <w:footnote w:id="36">
    <w:p w:rsidR="00131515" w:rsidRPr="002B3899" w:rsidRDefault="00131515" w:rsidP="00AD62E2">
      <w:pPr>
        <w:spacing w:before="0" w:after="0"/>
        <w:ind w:left="720" w:hanging="720"/>
        <w:rPr>
          <w:rFonts w:eastAsia="Times New Roman"/>
          <w:sz w:val="20"/>
          <w:szCs w:val="20"/>
        </w:rPr>
      </w:pPr>
      <w:r>
        <w:rPr>
          <w:rStyle w:val="FootnoteReference"/>
        </w:rPr>
        <w:footnoteRef/>
      </w:r>
      <w:r>
        <w:tab/>
      </w:r>
      <w:r>
        <w:rPr>
          <w:sz w:val="20"/>
        </w:rPr>
        <w:t>Dyrektywa Parlamentu Europejskiego</w:t>
      </w:r>
      <w:r w:rsidR="0028384B">
        <w:rPr>
          <w:sz w:val="20"/>
        </w:rPr>
        <w:t xml:space="preserve"> i Rad</w:t>
      </w:r>
      <w:r>
        <w:rPr>
          <w:sz w:val="20"/>
        </w:rPr>
        <w:t>y 2010/75/UE</w:t>
      </w:r>
      <w:r w:rsidR="0028384B">
        <w:rPr>
          <w:sz w:val="20"/>
        </w:rPr>
        <w:t xml:space="preserve"> z dni</w:t>
      </w:r>
      <w:r>
        <w:rPr>
          <w:sz w:val="20"/>
        </w:rPr>
        <w:t>a 24 listopada 20</w:t>
      </w:r>
      <w:r w:rsidRPr="0028384B">
        <w:rPr>
          <w:sz w:val="20"/>
        </w:rPr>
        <w:t>10</w:t>
      </w:r>
      <w:r w:rsidR="0028384B" w:rsidRPr="0028384B">
        <w:rPr>
          <w:sz w:val="20"/>
        </w:rPr>
        <w:t> </w:t>
      </w:r>
      <w:r w:rsidRPr="0028384B">
        <w:rPr>
          <w:sz w:val="20"/>
        </w:rPr>
        <w:t>r.</w:t>
      </w:r>
      <w:r w:rsidR="0028384B">
        <w:rPr>
          <w:sz w:val="20"/>
        </w:rPr>
        <w:t xml:space="preserve"> w spr</w:t>
      </w:r>
      <w:r>
        <w:rPr>
          <w:sz w:val="20"/>
        </w:rPr>
        <w:t>awie emisji przemysłowych (zintegrowane zapobieganie zanieczyszczeniom</w:t>
      </w:r>
      <w:r w:rsidR="0028384B">
        <w:rPr>
          <w:sz w:val="20"/>
        </w:rPr>
        <w:t xml:space="preserve"> i ich</w:t>
      </w:r>
      <w:r>
        <w:rPr>
          <w:sz w:val="20"/>
        </w:rPr>
        <w:t xml:space="preserve"> kontrola) (Dz.U. L 334</w:t>
      </w:r>
      <w:r w:rsidR="0028384B">
        <w:rPr>
          <w:sz w:val="20"/>
        </w:rPr>
        <w:t xml:space="preserve"> z 1</w:t>
      </w:r>
      <w:r>
        <w:rPr>
          <w:sz w:val="20"/>
        </w:rPr>
        <w:t>7.12.2010, s. 17).</w:t>
      </w:r>
    </w:p>
  </w:footnote>
  <w:footnote w:id="37">
    <w:p w:rsidR="00131515" w:rsidRPr="002B3899" w:rsidRDefault="00131515" w:rsidP="00AD62E2">
      <w:pPr>
        <w:spacing w:before="0" w:after="0"/>
        <w:ind w:left="720" w:hanging="720"/>
        <w:rPr>
          <w:rFonts w:eastAsia="Times New Roman"/>
          <w:sz w:val="20"/>
          <w:szCs w:val="20"/>
        </w:rPr>
      </w:pPr>
      <w:r>
        <w:rPr>
          <w:rStyle w:val="FootnoteReference"/>
        </w:rPr>
        <w:footnoteRef/>
      </w:r>
      <w:r>
        <w:tab/>
      </w:r>
      <w:r>
        <w:rPr>
          <w:sz w:val="20"/>
          <w:vertAlign w:val="superscript"/>
        </w:rPr>
        <w:t>[1]</w:t>
      </w:r>
      <w:r>
        <w:rPr>
          <w:sz w:val="20"/>
        </w:rPr>
        <w:t xml:space="preserve"> Dyrektywa 2004/35/WE Parlamentu Europejskiego</w:t>
      </w:r>
      <w:r w:rsidR="0028384B">
        <w:rPr>
          <w:sz w:val="20"/>
        </w:rPr>
        <w:t xml:space="preserve"> i Rad</w:t>
      </w:r>
      <w:r>
        <w:rPr>
          <w:sz w:val="20"/>
        </w:rPr>
        <w:t>y</w:t>
      </w:r>
      <w:r w:rsidR="0028384B">
        <w:rPr>
          <w:sz w:val="20"/>
        </w:rPr>
        <w:t xml:space="preserve"> z dni</w:t>
      </w:r>
      <w:r>
        <w:rPr>
          <w:sz w:val="20"/>
        </w:rPr>
        <w:t>a 21 kwietnia 20</w:t>
      </w:r>
      <w:r w:rsidRPr="0028384B">
        <w:rPr>
          <w:sz w:val="20"/>
        </w:rPr>
        <w:t>04</w:t>
      </w:r>
      <w:r w:rsidR="0028384B" w:rsidRPr="0028384B">
        <w:rPr>
          <w:sz w:val="20"/>
        </w:rPr>
        <w:t> </w:t>
      </w:r>
      <w:r w:rsidRPr="0028384B">
        <w:rPr>
          <w:sz w:val="20"/>
        </w:rPr>
        <w:t>r.</w:t>
      </w:r>
      <w:r w:rsidR="0028384B">
        <w:rPr>
          <w:sz w:val="20"/>
        </w:rPr>
        <w:t xml:space="preserve"> w spr</w:t>
      </w:r>
      <w:r>
        <w:rPr>
          <w:sz w:val="20"/>
        </w:rPr>
        <w:t>awie odpowiedzialności za środowisko</w:t>
      </w:r>
      <w:r w:rsidR="0028384B">
        <w:rPr>
          <w:sz w:val="20"/>
        </w:rPr>
        <w:t xml:space="preserve"> w odn</w:t>
      </w:r>
      <w:r>
        <w:rPr>
          <w:sz w:val="20"/>
        </w:rPr>
        <w:t>iesieniu do zapobiegania</w:t>
      </w:r>
      <w:r w:rsidR="0028384B">
        <w:rPr>
          <w:sz w:val="20"/>
        </w:rPr>
        <w:t xml:space="preserve"> i zar</w:t>
      </w:r>
      <w:r>
        <w:rPr>
          <w:sz w:val="20"/>
        </w:rPr>
        <w:t>adzania szkodom wyrządzonym środowisku naturalnemu (Dz.U. L 143</w:t>
      </w:r>
      <w:r w:rsidR="0028384B">
        <w:rPr>
          <w:sz w:val="20"/>
        </w:rPr>
        <w:t xml:space="preserve"> z 3</w:t>
      </w:r>
      <w:r>
        <w:rPr>
          <w:sz w:val="20"/>
        </w:rPr>
        <w:t>0.4.2004, s. 56).</w:t>
      </w:r>
    </w:p>
  </w:footnote>
  <w:footnote w:id="38">
    <w:p w:rsidR="00131515" w:rsidRPr="00CE5EFF" w:rsidRDefault="00131515" w:rsidP="00AD62E2">
      <w:pPr>
        <w:pStyle w:val="FootnoteText"/>
      </w:pPr>
      <w:r>
        <w:rPr>
          <w:rStyle w:val="FootnoteReference"/>
        </w:rPr>
        <w:footnoteRef/>
      </w:r>
      <w:r>
        <w:tab/>
        <w:t>Dyrektywa Parlamentu Europejskiego</w:t>
      </w:r>
      <w:r w:rsidR="0028384B">
        <w:t xml:space="preserve"> i Rad</w:t>
      </w:r>
      <w:r>
        <w:t>y 2009/147/WE</w:t>
      </w:r>
      <w:r w:rsidR="0028384B">
        <w:t xml:space="preserve"> z dni</w:t>
      </w:r>
      <w:r>
        <w:t>a 30 listopada 20</w:t>
      </w:r>
      <w:r w:rsidRPr="0028384B">
        <w:t>09</w:t>
      </w:r>
      <w:r w:rsidR="0028384B" w:rsidRPr="0028384B">
        <w:t> </w:t>
      </w:r>
      <w:r w:rsidRPr="0028384B">
        <w:t>r.</w:t>
      </w:r>
      <w:r w:rsidR="0028384B">
        <w:t xml:space="preserve"> w spr</w:t>
      </w:r>
      <w:r>
        <w:t>awie ochrony dzikiego ptactwa (Dz.U. L 20</w:t>
      </w:r>
      <w:r w:rsidR="0028384B">
        <w:t xml:space="preserve"> z 2</w:t>
      </w:r>
      <w:r>
        <w:t>6.1.2010, s. 7).</w:t>
      </w:r>
    </w:p>
  </w:footnote>
  <w:footnote w:id="39">
    <w:p w:rsidR="00131515" w:rsidRPr="00CE5EFF" w:rsidRDefault="00131515" w:rsidP="00AD62E2">
      <w:pPr>
        <w:pStyle w:val="FootnoteText"/>
      </w:pPr>
      <w:r>
        <w:rPr>
          <w:rStyle w:val="FootnoteReference"/>
        </w:rPr>
        <w:footnoteRef/>
      </w:r>
      <w:r>
        <w:tab/>
        <w:t>Dyrektywa 2006/21/WE Parlamentu Europejskiego</w:t>
      </w:r>
      <w:r w:rsidR="0028384B">
        <w:t xml:space="preserve"> i Rad</w:t>
      </w:r>
      <w:r>
        <w:t>y</w:t>
      </w:r>
      <w:r w:rsidR="0028384B">
        <w:t xml:space="preserve"> z dni</w:t>
      </w:r>
      <w:r>
        <w:t>a 15 marca 20</w:t>
      </w:r>
      <w:r w:rsidRPr="0028384B">
        <w:t>06</w:t>
      </w:r>
      <w:r w:rsidR="0028384B" w:rsidRPr="0028384B">
        <w:t> </w:t>
      </w:r>
      <w:r w:rsidRPr="0028384B">
        <w:t>r.</w:t>
      </w:r>
      <w:r w:rsidR="0028384B">
        <w:t xml:space="preserve"> w spr</w:t>
      </w:r>
      <w:r>
        <w:t>awie gospodarowania odpadami pochodzącymi</w:t>
      </w:r>
      <w:r w:rsidR="0028384B">
        <w:t xml:space="preserve"> z prz</w:t>
      </w:r>
      <w:r>
        <w:t>emysłu wydobywczego oraz zmieniająca dyrektywę 2004/35/WE – Oświadczenie Parlamentu Europejskiego, Rady</w:t>
      </w:r>
      <w:r w:rsidR="0028384B">
        <w:t xml:space="preserve"> i Kom</w:t>
      </w:r>
      <w:r>
        <w:t>isji (Dz.U. L 102</w:t>
      </w:r>
      <w:r w:rsidR="0028384B">
        <w:t xml:space="preserve"> z 1</w:t>
      </w:r>
      <w:r>
        <w:t>1.4.2006, s. 15).</w:t>
      </w:r>
    </w:p>
  </w:footnote>
  <w:footnote w:id="40">
    <w:p w:rsidR="00131515" w:rsidRPr="00CE5EFF" w:rsidRDefault="00131515" w:rsidP="00AD62E2">
      <w:pPr>
        <w:pStyle w:val="FootnoteText"/>
      </w:pPr>
      <w:r>
        <w:rPr>
          <w:rStyle w:val="FootnoteReference"/>
        </w:rPr>
        <w:footnoteRef/>
      </w:r>
      <w:r>
        <w:tab/>
        <w:t>Dyrektywa Parlamentu Europejskiego</w:t>
      </w:r>
      <w:r w:rsidR="0028384B">
        <w:t xml:space="preserve"> i Rad</w:t>
      </w:r>
      <w:r>
        <w:t>y 2009/147/WE</w:t>
      </w:r>
      <w:r w:rsidR="0028384B">
        <w:t xml:space="preserve"> z dni</w:t>
      </w:r>
      <w:r>
        <w:t>a 30 listopada 20</w:t>
      </w:r>
      <w:r w:rsidRPr="0028384B">
        <w:t>09</w:t>
      </w:r>
      <w:r w:rsidR="0028384B" w:rsidRPr="0028384B">
        <w:t> </w:t>
      </w:r>
      <w:r w:rsidRPr="0028384B">
        <w:t>r.</w:t>
      </w:r>
      <w:r w:rsidR="0028384B">
        <w:t xml:space="preserve"> w spr</w:t>
      </w:r>
      <w:r>
        <w:t>awie ochrony dzikiego ptactwa (Dz.U. L 20</w:t>
      </w:r>
      <w:r w:rsidR="0028384B">
        <w:t xml:space="preserve"> z 2</w:t>
      </w:r>
      <w:r>
        <w:t>6.1.2010, s. 7)</w:t>
      </w:r>
      <w:r>
        <w:rPr>
          <w:b/>
        </w:rPr>
        <w:t>.</w:t>
      </w:r>
    </w:p>
  </w:footnote>
  <w:footnote w:id="41">
    <w:p w:rsidR="00131515" w:rsidRDefault="00131515" w:rsidP="00AD62E2">
      <w:pPr>
        <w:spacing w:before="0" w:after="0"/>
        <w:ind w:left="720" w:hanging="720"/>
        <w:rPr>
          <w:rFonts w:eastAsia="Times New Roman"/>
          <w:sz w:val="20"/>
          <w:szCs w:val="20"/>
        </w:rPr>
      </w:pPr>
      <w:r>
        <w:rPr>
          <w:rStyle w:val="FootnoteReference"/>
        </w:rPr>
        <w:footnoteRef/>
      </w:r>
      <w:r>
        <w:tab/>
      </w:r>
      <w:r>
        <w:rPr>
          <w:sz w:val="20"/>
        </w:rPr>
        <w:t>Rozporządzenie Parlamentu Europejskiego</w:t>
      </w:r>
      <w:r w:rsidR="0028384B">
        <w:rPr>
          <w:sz w:val="20"/>
        </w:rPr>
        <w:t xml:space="preserve"> i Rad</w:t>
      </w:r>
      <w:r>
        <w:rPr>
          <w:sz w:val="20"/>
        </w:rPr>
        <w:t>y (UE) 2018/1724</w:t>
      </w:r>
      <w:r w:rsidR="0028384B">
        <w:rPr>
          <w:sz w:val="20"/>
        </w:rPr>
        <w:t xml:space="preserve"> z dni</w:t>
      </w:r>
      <w:r>
        <w:rPr>
          <w:sz w:val="20"/>
        </w:rPr>
        <w:t>a 2 października 20</w:t>
      </w:r>
      <w:r w:rsidRPr="0028384B">
        <w:rPr>
          <w:sz w:val="20"/>
        </w:rPr>
        <w:t>18</w:t>
      </w:r>
      <w:r w:rsidR="0028384B" w:rsidRPr="0028384B">
        <w:rPr>
          <w:sz w:val="20"/>
        </w:rPr>
        <w:t> </w:t>
      </w:r>
      <w:r w:rsidRPr="0028384B">
        <w:rPr>
          <w:sz w:val="20"/>
        </w:rPr>
        <w:t>r.</w:t>
      </w:r>
      <w:r w:rsidR="0028384B">
        <w:rPr>
          <w:sz w:val="20"/>
        </w:rPr>
        <w:t xml:space="preserve"> w spr</w:t>
      </w:r>
      <w:r>
        <w:rPr>
          <w:sz w:val="20"/>
        </w:rPr>
        <w:t>awie utworzenia jednolitego portalu cyfrowego</w:t>
      </w:r>
      <w:r w:rsidR="0028384B">
        <w:rPr>
          <w:sz w:val="20"/>
        </w:rPr>
        <w:t xml:space="preserve"> w cel</w:t>
      </w:r>
      <w:r>
        <w:rPr>
          <w:sz w:val="20"/>
        </w:rPr>
        <w:t>u zapewnienia dostępu do informacji, procedur oraz usług wsparcia</w:t>
      </w:r>
      <w:r w:rsidR="0028384B">
        <w:rPr>
          <w:sz w:val="20"/>
        </w:rPr>
        <w:t xml:space="preserve"> i roz</w:t>
      </w:r>
      <w:r>
        <w:rPr>
          <w:sz w:val="20"/>
        </w:rPr>
        <w:t>wiązywania problemów,</w:t>
      </w:r>
      <w:r w:rsidR="0028384B">
        <w:rPr>
          <w:sz w:val="20"/>
        </w:rPr>
        <w:t xml:space="preserve"> a tak</w:t>
      </w:r>
      <w:r>
        <w:rPr>
          <w:sz w:val="20"/>
        </w:rPr>
        <w:t xml:space="preserve">że zmieniające rozporządzenie (UE) </w:t>
      </w:r>
      <w:r w:rsidRPr="0028384B">
        <w:rPr>
          <w:sz w:val="20"/>
        </w:rPr>
        <w:t>nr</w:t>
      </w:r>
      <w:r w:rsidR="0028384B" w:rsidRPr="0028384B">
        <w:rPr>
          <w:sz w:val="20"/>
        </w:rPr>
        <w:t> </w:t>
      </w:r>
      <w:r w:rsidRPr="0028384B">
        <w:rPr>
          <w:sz w:val="20"/>
        </w:rPr>
        <w:t>1</w:t>
      </w:r>
      <w:r>
        <w:rPr>
          <w:sz w:val="20"/>
        </w:rPr>
        <w:t>024/2012 (Dz.U. L 295</w:t>
      </w:r>
      <w:r w:rsidR="0028384B">
        <w:rPr>
          <w:sz w:val="20"/>
        </w:rPr>
        <w:t xml:space="preserve"> z 2</w:t>
      </w:r>
      <w:r>
        <w:rPr>
          <w:sz w:val="20"/>
        </w:rPr>
        <w:t>1.11.2018, s. 1).</w:t>
      </w:r>
    </w:p>
    <w:p w:rsidR="00131515" w:rsidRDefault="00131515" w:rsidP="00AD62E2">
      <w:pPr>
        <w:pStyle w:val="FootnoteText"/>
      </w:pPr>
    </w:p>
  </w:footnote>
  <w:footnote w:id="42">
    <w:p w:rsidR="00131515" w:rsidRPr="003D6A00" w:rsidRDefault="00131515" w:rsidP="00AD62E2">
      <w:pPr>
        <w:pStyle w:val="FootnoteText"/>
      </w:pPr>
      <w:r>
        <w:rPr>
          <w:rStyle w:val="FootnoteReference"/>
        </w:rPr>
        <w:footnoteRef/>
      </w:r>
      <w:r>
        <w:tab/>
        <w:t>Rozporządzenie Parlamentu Europejskiego</w:t>
      </w:r>
      <w:r w:rsidR="0028384B">
        <w:t xml:space="preserve"> i Rad</w:t>
      </w:r>
      <w:r>
        <w:t>y (UE) 2021/523</w:t>
      </w:r>
      <w:r w:rsidR="0028384B">
        <w:t xml:space="preserve"> z dni</w:t>
      </w:r>
      <w:r>
        <w:t>a 24 marca 20</w:t>
      </w:r>
      <w:r w:rsidRPr="0028384B">
        <w:t>21</w:t>
      </w:r>
      <w:r w:rsidR="0028384B" w:rsidRPr="0028384B">
        <w:t> </w:t>
      </w:r>
      <w:r w:rsidRPr="0028384B">
        <w:t>r.</w:t>
      </w:r>
      <w:r>
        <w:t xml:space="preserve"> ustanawiające Program InvestEU</w:t>
      </w:r>
      <w:r w:rsidR="0028384B">
        <w:t xml:space="preserve"> i zmi</w:t>
      </w:r>
      <w:r>
        <w:t>eniające rozporządzenie (UE) 2015/1017 (Dz.U. 64</w:t>
      </w:r>
      <w:r w:rsidR="0028384B">
        <w:t xml:space="preserve"> z 2</w:t>
      </w:r>
      <w:r>
        <w:t>6.3.2021, s. 30).</w:t>
      </w:r>
    </w:p>
  </w:footnote>
  <w:footnote w:id="43">
    <w:p w:rsidR="00131515" w:rsidRPr="00CE5EFF" w:rsidRDefault="00131515" w:rsidP="00AD62E2">
      <w:pPr>
        <w:pStyle w:val="FootnoteText"/>
      </w:pPr>
      <w:r>
        <w:rPr>
          <w:rStyle w:val="FootnoteReference"/>
        </w:rPr>
        <w:footnoteRef/>
      </w:r>
      <w:r>
        <w:tab/>
        <w:t>Wspólny komunikat do Parlamentu Europejskiego, Rady, Europejskiego Komitetu Ekonomiczno-Społecznego, Komitetu Regionów</w:t>
      </w:r>
      <w:r w:rsidR="0028384B">
        <w:t xml:space="preserve"> i Eur</w:t>
      </w:r>
      <w:r>
        <w:t>opejskiego Banku Inwestycyjnego Strategia Global Gateway (JOIN/2021/30 final).</w:t>
      </w:r>
    </w:p>
  </w:footnote>
  <w:footnote w:id="44">
    <w:p w:rsidR="00131515" w:rsidRDefault="00131515" w:rsidP="00AD62E2">
      <w:pPr>
        <w:ind w:left="720" w:hanging="720"/>
        <w:rPr>
          <w:rFonts w:eastAsia="Times New Roman"/>
          <w:sz w:val="20"/>
          <w:szCs w:val="20"/>
        </w:rPr>
      </w:pPr>
      <w:r>
        <w:rPr>
          <w:rStyle w:val="FootnoteReference"/>
        </w:rPr>
        <w:footnoteRef/>
      </w:r>
      <w:r>
        <w:tab/>
      </w:r>
      <w:r>
        <w:rPr>
          <w:sz w:val="20"/>
        </w:rPr>
        <w:t>Dyrektywa 2007/2/WE Parlamentu Europejskiego</w:t>
      </w:r>
      <w:r w:rsidR="0028384B">
        <w:rPr>
          <w:sz w:val="20"/>
        </w:rPr>
        <w:t xml:space="preserve"> i Rad</w:t>
      </w:r>
      <w:r>
        <w:rPr>
          <w:sz w:val="20"/>
        </w:rPr>
        <w:t>y</w:t>
      </w:r>
      <w:r w:rsidR="0028384B">
        <w:rPr>
          <w:sz w:val="20"/>
        </w:rPr>
        <w:t xml:space="preserve"> z dni</w:t>
      </w:r>
      <w:r>
        <w:rPr>
          <w:sz w:val="20"/>
        </w:rPr>
        <w:t>a 14 marca 20</w:t>
      </w:r>
      <w:r w:rsidRPr="0028384B">
        <w:rPr>
          <w:sz w:val="20"/>
        </w:rPr>
        <w:t>07</w:t>
      </w:r>
      <w:r w:rsidR="0028384B" w:rsidRPr="0028384B">
        <w:rPr>
          <w:sz w:val="20"/>
        </w:rPr>
        <w:t> </w:t>
      </w:r>
      <w:r w:rsidRPr="0028384B">
        <w:rPr>
          <w:sz w:val="20"/>
        </w:rPr>
        <w:t>r.</w:t>
      </w:r>
      <w:r>
        <w:rPr>
          <w:sz w:val="20"/>
        </w:rPr>
        <w:t xml:space="preserve"> ustanawiająca infrastrukturę informacji przestrzennej we Wspólnocie Europejskiej (INSPIRE) (Dz.U. L 108</w:t>
      </w:r>
      <w:r w:rsidR="0028384B">
        <w:rPr>
          <w:sz w:val="20"/>
        </w:rPr>
        <w:t xml:space="preserve"> z 2</w:t>
      </w:r>
      <w:r>
        <w:rPr>
          <w:sz w:val="20"/>
        </w:rPr>
        <w:t>5.4.2007, s. 1).</w:t>
      </w:r>
    </w:p>
    <w:p w:rsidR="00131515" w:rsidRDefault="00131515" w:rsidP="00AD62E2">
      <w:pPr>
        <w:pStyle w:val="FootnoteText"/>
      </w:pPr>
    </w:p>
  </w:footnote>
  <w:footnote w:id="45">
    <w:p w:rsidR="00131515" w:rsidRPr="00A05204" w:rsidRDefault="00131515" w:rsidP="00AD62E2">
      <w:pPr>
        <w:pStyle w:val="FootnoteText"/>
      </w:pPr>
      <w:r>
        <w:rPr>
          <w:rStyle w:val="FootnoteReference"/>
        </w:rPr>
        <w:footnoteRef/>
      </w:r>
      <w:r>
        <w:tab/>
        <w:t>Rozporządzenie Rady (UE) 2022/2576</w:t>
      </w:r>
      <w:r w:rsidR="0028384B">
        <w:t xml:space="preserve"> z dni</w:t>
      </w:r>
      <w:r>
        <w:t>a 19 grudnia 20</w:t>
      </w:r>
      <w:r w:rsidRPr="0028384B">
        <w:t>22</w:t>
      </w:r>
      <w:r w:rsidR="0028384B" w:rsidRPr="0028384B">
        <w:t> </w:t>
      </w:r>
      <w:r w:rsidRPr="0028384B">
        <w:t>r.</w:t>
      </w:r>
      <w:r w:rsidR="0028384B">
        <w:t xml:space="preserve"> w spr</w:t>
      </w:r>
      <w:r>
        <w:t>awie zwiększenia solidarności dzięki lepszej koordynacji zakupów gazu, wiarygodnym poziomom odniesienia cen</w:t>
      </w:r>
      <w:r w:rsidR="0028384B">
        <w:t xml:space="preserve"> i tra</w:t>
      </w:r>
      <w:r>
        <w:t>nsgranicznej wymianie gazu (Dz.U. L 335</w:t>
      </w:r>
      <w:r w:rsidR="0028384B">
        <w:t xml:space="preserve"> z 2</w:t>
      </w:r>
      <w:r>
        <w:t>9.12.2022, s. 1).</w:t>
      </w:r>
    </w:p>
  </w:footnote>
  <w:footnote w:id="46">
    <w:p w:rsidR="00131515" w:rsidRPr="00A05204" w:rsidRDefault="00131515" w:rsidP="00AD62E2">
      <w:pPr>
        <w:pStyle w:val="FootnoteText"/>
      </w:pPr>
      <w:r>
        <w:rPr>
          <w:rStyle w:val="FootnoteReference"/>
        </w:rPr>
        <w:footnoteRef/>
      </w:r>
      <w:r>
        <w:tab/>
        <w:t>Rozporządzenie Rady (UE) 2022/2372</w:t>
      </w:r>
      <w:r w:rsidR="0028384B">
        <w:t xml:space="preserve"> z dni</w:t>
      </w:r>
      <w:r>
        <w:t>a 24 października 20</w:t>
      </w:r>
      <w:r w:rsidRPr="0028384B">
        <w:t>22</w:t>
      </w:r>
      <w:r w:rsidR="0028384B" w:rsidRPr="0028384B">
        <w:t> </w:t>
      </w:r>
      <w:r w:rsidRPr="0028384B">
        <w:t>r.</w:t>
      </w:r>
      <w:r w:rsidR="0028384B">
        <w:t xml:space="preserve"> w spr</w:t>
      </w:r>
      <w:r>
        <w:t>awie ram środków służących zapewnieniu zaopatrzenia</w:t>
      </w:r>
      <w:r w:rsidR="0028384B">
        <w:t xml:space="preserve"> w med</w:t>
      </w:r>
      <w:r>
        <w:t>yczne środki przeciwdziałania istotne podczas kryzysu</w:t>
      </w:r>
      <w:r w:rsidR="0028384B">
        <w:t xml:space="preserve"> w prz</w:t>
      </w:r>
      <w:r>
        <w:t>ypadku stanu zagrożenia zdrowia publicznego na poziomie Unii (Dz.U. L 314</w:t>
      </w:r>
      <w:r w:rsidR="0028384B">
        <w:t xml:space="preserve"> z 6</w:t>
      </w:r>
      <w:r>
        <w:t>.12.2022, s. 64).</w:t>
      </w:r>
    </w:p>
  </w:footnote>
  <w:footnote w:id="47">
    <w:p w:rsidR="00131515" w:rsidRDefault="00131515" w:rsidP="00AD62E2">
      <w:pPr>
        <w:spacing w:before="0" w:after="0"/>
        <w:ind w:left="720" w:hanging="720"/>
        <w:rPr>
          <w:rFonts w:eastAsia="Times New Roman"/>
          <w:sz w:val="20"/>
          <w:szCs w:val="20"/>
        </w:rPr>
      </w:pPr>
      <w:r>
        <w:rPr>
          <w:rStyle w:val="FootnoteReference"/>
        </w:rPr>
        <w:footnoteRef/>
      </w:r>
      <w:r>
        <w:tab/>
      </w:r>
      <w:r>
        <w:rPr>
          <w:sz w:val="20"/>
        </w:rPr>
        <w:t>Dyrektywa Parlamentu Europejskiego</w:t>
      </w:r>
      <w:r w:rsidR="0028384B">
        <w:rPr>
          <w:sz w:val="20"/>
        </w:rPr>
        <w:t xml:space="preserve"> i Rad</w:t>
      </w:r>
      <w:r>
        <w:rPr>
          <w:sz w:val="20"/>
        </w:rPr>
        <w:t>y 2008/98/WE</w:t>
      </w:r>
      <w:r w:rsidR="0028384B">
        <w:rPr>
          <w:sz w:val="20"/>
        </w:rPr>
        <w:t xml:space="preserve"> z dni</w:t>
      </w:r>
      <w:r>
        <w:rPr>
          <w:sz w:val="20"/>
        </w:rPr>
        <w:t>a 19 listopada 20</w:t>
      </w:r>
      <w:r w:rsidRPr="0028384B">
        <w:rPr>
          <w:sz w:val="20"/>
        </w:rPr>
        <w:t>08</w:t>
      </w:r>
      <w:r w:rsidR="0028384B" w:rsidRPr="0028384B">
        <w:rPr>
          <w:sz w:val="20"/>
        </w:rPr>
        <w:t> </w:t>
      </w:r>
      <w:r w:rsidRPr="0028384B">
        <w:rPr>
          <w:sz w:val="20"/>
        </w:rPr>
        <w:t>r.</w:t>
      </w:r>
      <w:r w:rsidR="0028384B">
        <w:rPr>
          <w:sz w:val="20"/>
        </w:rPr>
        <w:t xml:space="preserve"> w spr</w:t>
      </w:r>
      <w:r>
        <w:rPr>
          <w:sz w:val="20"/>
        </w:rPr>
        <w:t>awie odpadów oraz uchylająca niektóre dyrektywy (Dz.U. L 312</w:t>
      </w:r>
      <w:r w:rsidR="0028384B">
        <w:rPr>
          <w:sz w:val="20"/>
        </w:rPr>
        <w:t xml:space="preserve"> z 2</w:t>
      </w:r>
      <w:r>
        <w:rPr>
          <w:sz w:val="20"/>
        </w:rPr>
        <w:t>2.11.2008, s. 3).</w:t>
      </w:r>
    </w:p>
    <w:p w:rsidR="00131515" w:rsidRDefault="00131515" w:rsidP="00AD62E2">
      <w:pPr>
        <w:pStyle w:val="FootnoteText"/>
      </w:pPr>
    </w:p>
  </w:footnote>
  <w:footnote w:id="48">
    <w:p w:rsidR="00131515" w:rsidRPr="00322485" w:rsidRDefault="00131515" w:rsidP="00AD62E2">
      <w:pPr>
        <w:pStyle w:val="FootnoteText"/>
      </w:pPr>
      <w:r>
        <w:rPr>
          <w:rStyle w:val="FootnoteReference"/>
        </w:rPr>
        <w:footnoteRef/>
      </w:r>
      <w:r>
        <w:tab/>
        <w:t>Dz.U. L 123</w:t>
      </w:r>
      <w:r w:rsidR="0028384B">
        <w:t xml:space="preserve"> z 1</w:t>
      </w:r>
      <w:r>
        <w:t>2.5. 2016, s. 1.</w:t>
      </w:r>
    </w:p>
  </w:footnote>
  <w:footnote w:id="49">
    <w:p w:rsidR="00131515" w:rsidRPr="00CE5EFF" w:rsidRDefault="00131515" w:rsidP="00AD62E2">
      <w:pPr>
        <w:pStyle w:val="FootnoteText"/>
      </w:pPr>
      <w:r>
        <w:rPr>
          <w:rStyle w:val="FootnoteReference"/>
        </w:rPr>
        <w:footnoteRef/>
      </w:r>
      <w:r>
        <w:tab/>
        <w:t>Rozporządzenie Parlamentu Europejskiego</w:t>
      </w:r>
      <w:r w:rsidR="0028384B">
        <w:t xml:space="preserve"> i Rad</w:t>
      </w:r>
      <w:r>
        <w:t xml:space="preserve">y (UE) </w:t>
      </w:r>
      <w:r w:rsidRPr="0028384B">
        <w:t>nr</w:t>
      </w:r>
      <w:r w:rsidR="0028384B" w:rsidRPr="0028384B">
        <w:t> </w:t>
      </w:r>
      <w:r w:rsidRPr="0028384B">
        <w:t>1</w:t>
      </w:r>
      <w:r>
        <w:t>82/2011</w:t>
      </w:r>
      <w:r w:rsidR="0028384B">
        <w:t xml:space="preserve"> z dni</w:t>
      </w:r>
      <w:r>
        <w:t>a 16 lutego 20</w:t>
      </w:r>
      <w:r w:rsidRPr="0028384B">
        <w:t>11</w:t>
      </w:r>
      <w:r w:rsidR="0028384B" w:rsidRPr="0028384B">
        <w:t> </w:t>
      </w:r>
      <w:r w:rsidRPr="0028384B">
        <w:t>r.</w:t>
      </w:r>
      <w:r>
        <w:t xml:space="preserve"> ustanawiające przepisy</w:t>
      </w:r>
      <w:r w:rsidR="0028384B">
        <w:t xml:space="preserve"> i zas</w:t>
      </w:r>
      <w:r>
        <w:t>ady ogólne dotyczące trybu kontroli przez państwa członkowskie wykonywania uprawnień wykonawczych przez Komisję (Dz.U. L 55</w:t>
      </w:r>
      <w:r w:rsidR="0028384B">
        <w:t xml:space="preserve"> z 2</w:t>
      </w:r>
      <w:r>
        <w:t>8.2.2011, s. 13).</w:t>
      </w:r>
    </w:p>
  </w:footnote>
  <w:footnote w:id="50">
    <w:p w:rsidR="00131515" w:rsidRPr="003713E3" w:rsidRDefault="00131515" w:rsidP="00AD62E2">
      <w:pPr>
        <w:pStyle w:val="FootnoteText"/>
      </w:pPr>
      <w:r>
        <w:rPr>
          <w:rStyle w:val="FootnoteReference"/>
        </w:rPr>
        <w:footnoteRef/>
      </w:r>
      <w:r>
        <w:tab/>
        <w:t>Nomenklatura Scalona</w:t>
      </w:r>
      <w:r w:rsidR="0028384B">
        <w:t xml:space="preserve"> w zał</w:t>
      </w:r>
      <w:r>
        <w:t xml:space="preserve">ączniku I do rozporządzenia (EWG) </w:t>
      </w:r>
      <w:r w:rsidRPr="0028384B">
        <w:t>nr</w:t>
      </w:r>
      <w:r w:rsidR="0028384B" w:rsidRPr="0028384B">
        <w:t> </w:t>
      </w:r>
      <w:r w:rsidRPr="0028384B">
        <w:t>2</w:t>
      </w:r>
      <w:r>
        <w:t>658/87.</w:t>
      </w:r>
    </w:p>
  </w:footnote>
  <w:footnote w:id="51">
    <w:p w:rsidR="00131515" w:rsidRDefault="00131515" w:rsidP="00AD62E2">
      <w:pPr>
        <w:pStyle w:val="FootnoteText"/>
        <w:rPr>
          <w:szCs w:val="24"/>
        </w:rPr>
      </w:pPr>
      <w:r>
        <w:rPr>
          <w:rStyle w:val="FootnoteReference"/>
        </w:rPr>
        <w:footnoteRef/>
      </w:r>
      <w:r>
        <w:tab/>
        <w:t>O którym mowa</w:t>
      </w:r>
      <w:r w:rsidR="0028384B">
        <w:t xml:space="preserve"> w </w:t>
      </w:r>
      <w:r w:rsidR="0028384B" w:rsidRPr="0028384B">
        <w:t>art</w:t>
      </w:r>
      <w:r w:rsidRPr="0028384B">
        <w:t>.</w:t>
      </w:r>
      <w:r w:rsidR="0028384B" w:rsidRPr="0028384B">
        <w:t> </w:t>
      </w:r>
      <w:r w:rsidRPr="0028384B">
        <w:t>5</w:t>
      </w:r>
      <w:r>
        <w:t xml:space="preserve">8 </w:t>
      </w:r>
      <w:r w:rsidRPr="0028384B">
        <w:t>ust.</w:t>
      </w:r>
      <w:r w:rsidR="0028384B" w:rsidRPr="0028384B">
        <w:t> </w:t>
      </w:r>
      <w:r w:rsidRPr="0028384B">
        <w:t>2</w:t>
      </w:r>
      <w:r>
        <w:t xml:space="preserve"> </w:t>
      </w:r>
      <w:r w:rsidRPr="0028384B">
        <w:t>lit.</w:t>
      </w:r>
      <w:r w:rsidR="0028384B" w:rsidRPr="0028384B">
        <w:t> </w:t>
      </w:r>
      <w:r w:rsidRPr="0028384B">
        <w:t>a)</w:t>
      </w:r>
      <w:r>
        <w:t xml:space="preserve"> lub b) rozporządzenia finansowego.</w:t>
      </w:r>
    </w:p>
  </w:footnote>
  <w:footnote w:id="52">
    <w:p w:rsidR="00131515" w:rsidRDefault="00131515" w:rsidP="00AD62E2">
      <w:pPr>
        <w:pStyle w:val="FootnoteText"/>
        <w:jc w:val="left"/>
        <w:rPr>
          <w:szCs w:val="24"/>
        </w:rPr>
      </w:pPr>
      <w:r>
        <w:rPr>
          <w:rStyle w:val="FootnoteReference"/>
        </w:rPr>
        <w:footnoteRef/>
      </w:r>
      <w:r>
        <w:tab/>
        <w:t xml:space="preserve">Szczegóły dotyczące metod wykonania budżetu oraz odniesienia do rozporządzenia finansowego znajdują się na stronie BUDGpedia: </w:t>
      </w:r>
      <w:hyperlink r:id="rId1" w:history="1">
        <w:r>
          <w:rPr>
            <w:rStyle w:val="Hyperlink"/>
          </w:rPr>
          <w:t>https://myintracomm.ec.europa.eu/corp/budget/financial-rules/budget-implementation/Pages/implementation-methods.aspx</w:t>
        </w:r>
      </w:hyperlink>
    </w:p>
  </w:footnote>
  <w:footnote w:id="53">
    <w:p w:rsidR="00131515" w:rsidRDefault="00131515" w:rsidP="00AD62E2">
      <w:pPr>
        <w:pStyle w:val="FootnoteText"/>
        <w:rPr>
          <w:szCs w:val="24"/>
        </w:rPr>
      </w:pPr>
      <w:r>
        <w:rPr>
          <w:rStyle w:val="FootnoteReference"/>
        </w:rPr>
        <w:footnoteRef/>
      </w:r>
      <w:r>
        <w:tab/>
        <w:t>Środki zróżnicowane/środki niezróżnicowane.</w:t>
      </w:r>
    </w:p>
  </w:footnote>
  <w:footnote w:id="54">
    <w:p w:rsidR="00131515" w:rsidRDefault="00131515" w:rsidP="00AD62E2">
      <w:pPr>
        <w:pStyle w:val="FootnoteText"/>
        <w:rPr>
          <w:szCs w:val="24"/>
        </w:rPr>
      </w:pPr>
      <w:r>
        <w:rPr>
          <w:rStyle w:val="FootnoteReference"/>
        </w:rPr>
        <w:footnoteRef/>
      </w:r>
      <w:r>
        <w:tab/>
        <w:t xml:space="preserve">EFTA: Europejskie Stowarzyszenie Wolnego Handlu. </w:t>
      </w:r>
    </w:p>
  </w:footnote>
  <w:footnote w:id="55">
    <w:p w:rsidR="00131515" w:rsidRDefault="00131515" w:rsidP="00AD62E2">
      <w:pPr>
        <w:pStyle w:val="FootnoteText"/>
        <w:rPr>
          <w:szCs w:val="24"/>
        </w:rPr>
      </w:pPr>
      <w:r>
        <w:rPr>
          <w:rStyle w:val="FootnoteReference"/>
        </w:rPr>
        <w:footnoteRef/>
      </w:r>
      <w:r>
        <w:tab/>
        <w:t>Kraje kandydujące oraz</w:t>
      </w:r>
      <w:r w:rsidR="0028384B">
        <w:t xml:space="preserve"> w sto</w:t>
      </w:r>
      <w:r>
        <w:t>sownych przypadkach potencjalne kraje kandydujące Bałkanów Zachodnich.</w:t>
      </w:r>
    </w:p>
  </w:footnote>
  <w:footnote w:id="56">
    <w:p w:rsidR="00131515" w:rsidRPr="001A68DA" w:rsidRDefault="00131515" w:rsidP="00AD62E2">
      <w:pPr>
        <w:pStyle w:val="FootnoteText"/>
        <w:rPr>
          <w:sz w:val="18"/>
          <w:szCs w:val="18"/>
        </w:rPr>
      </w:pPr>
      <w:r>
        <w:rPr>
          <w:rStyle w:val="FootnoteReference"/>
        </w:rPr>
        <w:footnoteRef/>
      </w:r>
      <w:r>
        <w:tab/>
      </w:r>
      <w:r>
        <w:rPr>
          <w:sz w:val="18"/>
        </w:rPr>
        <w:t>Zgodnie</w:t>
      </w:r>
      <w:r w:rsidR="0028384B">
        <w:rPr>
          <w:sz w:val="18"/>
        </w:rPr>
        <w:t xml:space="preserve"> z ofi</w:t>
      </w:r>
      <w:r>
        <w:rPr>
          <w:sz w:val="18"/>
        </w:rPr>
        <w:t>cjalną nomenklaturą budżetową.</w:t>
      </w:r>
    </w:p>
  </w:footnote>
  <w:footnote w:id="57">
    <w:p w:rsidR="00131515" w:rsidRDefault="00131515" w:rsidP="00AD62E2">
      <w:pPr>
        <w:pStyle w:val="FootnoteText"/>
        <w:rPr>
          <w:szCs w:val="24"/>
        </w:rPr>
      </w:pPr>
      <w:r>
        <w:rPr>
          <w:rStyle w:val="FootnoteReference"/>
        </w:rPr>
        <w:footnoteRef/>
      </w:r>
      <w:r>
        <w:tab/>
        <w:t>Wsparcie techniczne lub administracyjne oraz wydatki na wsparcie realizacji programów lub działań UE (dawne linie „BA”), pośrednie badania naukowe, bezpośrednie badania naukowe.</w:t>
      </w:r>
    </w:p>
  </w:footnote>
  <w:footnote w:id="58">
    <w:p w:rsidR="00131515" w:rsidRDefault="00131515" w:rsidP="00AD62E2">
      <w:pPr>
        <w:pStyle w:val="FootnoteText"/>
        <w:rPr>
          <w:szCs w:val="24"/>
        </w:rPr>
      </w:pPr>
      <w:r>
        <w:rPr>
          <w:rStyle w:val="FootnoteReference"/>
        </w:rPr>
        <w:footnoteRef/>
      </w:r>
      <w:r>
        <w:tab/>
        <w:t>Produkty odnoszą się do produktów</w:t>
      </w:r>
      <w:r w:rsidR="0028384B">
        <w:t xml:space="preserve"> i usł</w:t>
      </w:r>
      <w:r>
        <w:t>ug, które mają zostać zapewnione (np. liczba sfinansowanych wymian studentów, liczba kilometrów zbudowanych dróg itp.).</w:t>
      </w:r>
    </w:p>
  </w:footnote>
  <w:footnote w:id="59">
    <w:p w:rsidR="00131515" w:rsidRDefault="00131515" w:rsidP="00AD62E2">
      <w:pPr>
        <w:pStyle w:val="FootnoteText"/>
        <w:rPr>
          <w:szCs w:val="24"/>
        </w:rPr>
      </w:pPr>
      <w:r>
        <w:rPr>
          <w:rStyle w:val="FootnoteReference"/>
        </w:rPr>
        <w:footnoteRef/>
      </w:r>
      <w:r>
        <w:tab/>
        <w:t>Zgodnie</w:t>
      </w:r>
      <w:r w:rsidR="0028384B">
        <w:t xml:space="preserve"> z opi</w:t>
      </w:r>
      <w:r>
        <w:t>sem</w:t>
      </w:r>
      <w:r w:rsidR="0028384B">
        <w:t xml:space="preserve"> w </w:t>
      </w:r>
      <w:r w:rsidR="0028384B" w:rsidRPr="0028384B">
        <w:t>pkt </w:t>
      </w:r>
      <w:r w:rsidRPr="0028384B">
        <w:t>1</w:t>
      </w:r>
      <w:r>
        <w:t xml:space="preserve">.4.2. „Cel(e) szczegółowy(e) …”. </w:t>
      </w:r>
    </w:p>
  </w:footnote>
  <w:footnote w:id="60">
    <w:p w:rsidR="00131515" w:rsidRDefault="00131515" w:rsidP="00AD62E2">
      <w:pPr>
        <w:pStyle w:val="FootnoteText"/>
        <w:rPr>
          <w:szCs w:val="24"/>
        </w:rPr>
      </w:pPr>
      <w:r>
        <w:rPr>
          <w:rStyle w:val="FootnoteReference"/>
        </w:rPr>
        <w:footnoteRef/>
      </w:r>
      <w:r>
        <w:tab/>
        <w:t>Wsparcie techniczne lub administracyjne oraz wydatki na wsparcie realizacji programów lub działań UE (dawne linie „BA”), pośrednie badania naukowe, bezpośrednie badania naukowe.</w:t>
      </w:r>
    </w:p>
  </w:footnote>
  <w:footnote w:id="61">
    <w:p w:rsidR="00131515" w:rsidRDefault="00131515" w:rsidP="00AD62E2">
      <w:pPr>
        <w:pStyle w:val="FootnoteText"/>
        <w:rPr>
          <w:szCs w:val="24"/>
        </w:rPr>
      </w:pPr>
      <w:r>
        <w:rPr>
          <w:rStyle w:val="FootnoteReference"/>
        </w:rPr>
        <w:footnoteRef/>
      </w:r>
      <w:r>
        <w:tab/>
        <w:t>CA = personel kontraktowy; LA = personel miejscowy; SNE = oddelegowany ekspert krajowy; INT = personel tymczasowy; JPD = młodszy specjalista</w:t>
      </w:r>
      <w:r w:rsidR="0028384B">
        <w:t xml:space="preserve"> w del</w:t>
      </w:r>
      <w:r>
        <w:t xml:space="preserve">egaturze. </w:t>
      </w:r>
    </w:p>
  </w:footnote>
  <w:footnote w:id="62">
    <w:p w:rsidR="00131515" w:rsidRDefault="00131515" w:rsidP="00AD62E2">
      <w:pPr>
        <w:pStyle w:val="FootnoteText"/>
        <w:rPr>
          <w:szCs w:val="24"/>
        </w:rPr>
      </w:pPr>
      <w:r>
        <w:rPr>
          <w:rStyle w:val="FootnoteReference"/>
        </w:rPr>
        <w:footnoteRef/>
      </w:r>
      <w:r>
        <w:tab/>
        <w:t>W ramach podpułapu na personel zewnętrzny ze środków operacyjnych (dawne linie „BA”).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17" w:rsidRPr="00D32217" w:rsidRDefault="00D32217" w:rsidP="00D32217">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17" w:rsidRPr="00D32217" w:rsidRDefault="00D32217" w:rsidP="00D32217">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515" w:rsidRPr="00E91BE1" w:rsidRDefault="00131515" w:rsidP="00D322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17" w:rsidRPr="00D32217" w:rsidRDefault="00D32217" w:rsidP="00D32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1C21E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DA627C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7A682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19458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AE017A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F62FA0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878860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6FE5D8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8A3043"/>
    <w:multiLevelType w:val="multilevel"/>
    <w:tmpl w:val="59CC42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0E4D4A8A"/>
    <w:multiLevelType w:val="multilevel"/>
    <w:tmpl w:val="8EE2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4B35311"/>
    <w:multiLevelType w:val="multilevel"/>
    <w:tmpl w:val="E0A476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4DF563F"/>
    <w:multiLevelType w:val="multilevel"/>
    <w:tmpl w:val="FAD0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17529F1"/>
    <w:multiLevelType w:val="multilevel"/>
    <w:tmpl w:val="9D38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6C816BE2"/>
    <w:multiLevelType w:val="multilevel"/>
    <w:tmpl w:val="0F5445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C9D210D"/>
    <w:multiLevelType w:val="multilevel"/>
    <w:tmpl w:val="2B52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851C38"/>
    <w:multiLevelType w:val="multilevel"/>
    <w:tmpl w:val="7E2015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
  </w:num>
  <w:num w:numId="42">
    <w:abstractNumId w:val="4"/>
  </w:num>
  <w:num w:numId="43">
    <w:abstractNumId w:val="3"/>
  </w:num>
  <w:num w:numId="44">
    <w:abstractNumId w:val="6"/>
  </w:num>
  <w:num w:numId="45">
    <w:abstractNumId w:val="2"/>
  </w:num>
  <w:num w:numId="46">
    <w:abstractNumId w:val="1"/>
  </w:num>
  <w:num w:numId="47">
    <w:abstractNumId w:val="0"/>
  </w:num>
  <w:num w:numId="48">
    <w:abstractNumId w:val="9"/>
  </w:num>
  <w:num w:numId="49">
    <w:abstractNumId w:val="22"/>
  </w:num>
  <w:num w:numId="50">
    <w:abstractNumId w:val="21"/>
  </w:num>
  <w:num w:numId="51">
    <w:abstractNumId w:val="23"/>
  </w:num>
  <w:num w:numId="52">
    <w:abstractNumId w:val="8"/>
  </w:num>
  <w:num w:numId="53">
    <w:abstractNumId w:val="19"/>
  </w:num>
  <w:num w:numId="54">
    <w:abstractNumId w:val="18"/>
  </w:num>
  <w:num w:numId="55">
    <w:abstractNumId w:val="31"/>
  </w:num>
  <w:num w:numId="56">
    <w:abstractNumId w:val="32"/>
  </w:num>
  <w:num w:numId="57">
    <w:abstractNumId w:val="10"/>
  </w:num>
  <w:num w:numId="58">
    <w:abstractNumId w:val="30"/>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1"/>
    </w:lvlOverride>
  </w:num>
  <w:num w:numId="61">
    <w:abstractNumId w:val="15"/>
    <w:lvlOverride w:ilvl="0">
      <w:startOverride w:val="1"/>
    </w:lvlOverride>
  </w:num>
  <w:num w:numId="62">
    <w:abstractNumId w:val="27"/>
  </w:num>
  <w:num w:numId="63">
    <w:abstractNumId w:val="15"/>
  </w:num>
  <w:num w:numId="64">
    <w:abstractNumId w:val="29"/>
  </w:num>
  <w:num w:numId="65">
    <w:abstractNumId w:val="14"/>
  </w:num>
  <w:num w:numId="66">
    <w:abstractNumId w:val="16"/>
  </w:num>
  <w:num w:numId="67">
    <w:abstractNumId w:val="17"/>
  </w:num>
  <w:num w:numId="68">
    <w:abstractNumId w:val="12"/>
  </w:num>
  <w:num w:numId="69">
    <w:abstractNumId w:val="28"/>
  </w:num>
  <w:num w:numId="70">
    <w:abstractNumId w:val="11"/>
  </w:num>
  <w:num w:numId="71">
    <w:abstractNumId w:val="20"/>
  </w:num>
  <w:num w:numId="72">
    <w:abstractNumId w:val="25"/>
  </w:num>
  <w:num w:numId="73">
    <w:abstractNumId w:val="26"/>
  </w:num>
  <w:num w:numId="74">
    <w:abstractNumId w:val="13"/>
  </w:num>
  <w:num w:numId="75">
    <w:abstractNumId w:val="24"/>
  </w:num>
  <w:num w:numId="76">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05 18:35:2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CF8DCF2-6A8F-47FF-8232-159DBB42FE05"/>
    <w:docVar w:name="LW_COVERPAGE_TYPE" w:val="1"/>
    <w:docVar w:name="LW_CROSSREFERENCE" w:val="{SEC(2023) 360 final} - {SWD(2023) 160 final} - {SWD(2023) 161 final} - {SWD(2023) 162 final}"/>
    <w:docVar w:name="LW_DocType" w:val="COM"/>
    <w:docVar w:name="LW_EMISSION" w:val="16.3.2023"/>
    <w:docVar w:name="LW_EMISSION_ISODATE" w:val="2023-03-16"/>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SERT_EXP.MOTIFS.NEW" w:val="1"/>
    <w:docVar w:name="LW_INTERETEEE.CP" w:val="(Tekst mają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079"/>
    <w:docVar w:name="LW_REF.II.NEW.CP_YEAR" w:val="2023"/>
    <w:docVar w:name="LW_REF.INST.NEW" w:val="COM"/>
    <w:docVar w:name="LW_REF.INST.NEW_ADOPTED" w:val="final"/>
    <w:docVar w:name="LW_REF.INST.NEW_TEXT" w:val="(2023) 1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ustanawiające ramy na potrzeby zapewnienia bezpiecznych i zrównoważonych dostaw surowców krytycznych oraz zmieniające rozporządzenia (UE) nr 168/2013, (UE) 2018/858, (UE) 2018/1724 i (UE) 2019/1020"/>
    <w:docVar w:name="LW_TYPE.DOC.CP" w:val="ROZPORZĄDZENIE PARLAMENTU EUROPEJSKIEGO I RADY"/>
    <w:docVar w:name="LwApiVersions" w:val="LW4CoDe 1.23.2.0; LW 8.0, Build 20211117"/>
  </w:docVars>
  <w:rsids>
    <w:rsidRoot w:val="00AD62E2"/>
    <w:rsid w:val="00002714"/>
    <w:rsid w:val="000061BA"/>
    <w:rsid w:val="000154FC"/>
    <w:rsid w:val="00045984"/>
    <w:rsid w:val="0005015C"/>
    <w:rsid w:val="00051190"/>
    <w:rsid w:val="000537B3"/>
    <w:rsid w:val="000659B7"/>
    <w:rsid w:val="00087DB5"/>
    <w:rsid w:val="000929C5"/>
    <w:rsid w:val="000965F1"/>
    <w:rsid w:val="000A13B7"/>
    <w:rsid w:val="000B5B74"/>
    <w:rsid w:val="000B6EE2"/>
    <w:rsid w:val="000D1851"/>
    <w:rsid w:val="000D20F7"/>
    <w:rsid w:val="000E1CCB"/>
    <w:rsid w:val="0010475F"/>
    <w:rsid w:val="001065F5"/>
    <w:rsid w:val="001238EF"/>
    <w:rsid w:val="00123E58"/>
    <w:rsid w:val="00131515"/>
    <w:rsid w:val="0015292F"/>
    <w:rsid w:val="001602A6"/>
    <w:rsid w:val="00162BF5"/>
    <w:rsid w:val="00172900"/>
    <w:rsid w:val="001806E7"/>
    <w:rsid w:val="001850DC"/>
    <w:rsid w:val="001866FC"/>
    <w:rsid w:val="00187F45"/>
    <w:rsid w:val="00195361"/>
    <w:rsid w:val="00197613"/>
    <w:rsid w:val="001A3A62"/>
    <w:rsid w:val="001A57B7"/>
    <w:rsid w:val="001B31D3"/>
    <w:rsid w:val="001C2A07"/>
    <w:rsid w:val="001D2D12"/>
    <w:rsid w:val="001E68AF"/>
    <w:rsid w:val="001F0583"/>
    <w:rsid w:val="001F536D"/>
    <w:rsid w:val="00212CD7"/>
    <w:rsid w:val="00233DC7"/>
    <w:rsid w:val="00247779"/>
    <w:rsid w:val="002503A1"/>
    <w:rsid w:val="00250F30"/>
    <w:rsid w:val="00250F5A"/>
    <w:rsid w:val="0027242A"/>
    <w:rsid w:val="0028384B"/>
    <w:rsid w:val="00285BEE"/>
    <w:rsid w:val="0029533F"/>
    <w:rsid w:val="002A32CB"/>
    <w:rsid w:val="002A7D3E"/>
    <w:rsid w:val="002B0153"/>
    <w:rsid w:val="002B200B"/>
    <w:rsid w:val="002B30AF"/>
    <w:rsid w:val="002B7B71"/>
    <w:rsid w:val="002D1A69"/>
    <w:rsid w:val="002E30E8"/>
    <w:rsid w:val="002F0626"/>
    <w:rsid w:val="002F16A1"/>
    <w:rsid w:val="002F23E6"/>
    <w:rsid w:val="002F7820"/>
    <w:rsid w:val="00300D8B"/>
    <w:rsid w:val="003260FB"/>
    <w:rsid w:val="0033344A"/>
    <w:rsid w:val="003429C9"/>
    <w:rsid w:val="0034350C"/>
    <w:rsid w:val="0034515B"/>
    <w:rsid w:val="00346675"/>
    <w:rsid w:val="00352475"/>
    <w:rsid w:val="003633C6"/>
    <w:rsid w:val="003715A7"/>
    <w:rsid w:val="003839CE"/>
    <w:rsid w:val="00386E50"/>
    <w:rsid w:val="00395327"/>
    <w:rsid w:val="003A2CA5"/>
    <w:rsid w:val="003A5827"/>
    <w:rsid w:val="003B3C44"/>
    <w:rsid w:val="003C1077"/>
    <w:rsid w:val="003C4313"/>
    <w:rsid w:val="003F5176"/>
    <w:rsid w:val="0041721C"/>
    <w:rsid w:val="00417A95"/>
    <w:rsid w:val="0042648E"/>
    <w:rsid w:val="0042759D"/>
    <w:rsid w:val="004656EB"/>
    <w:rsid w:val="00481D9A"/>
    <w:rsid w:val="004910D2"/>
    <w:rsid w:val="00492296"/>
    <w:rsid w:val="004936D2"/>
    <w:rsid w:val="00494330"/>
    <w:rsid w:val="004955A4"/>
    <w:rsid w:val="004A3B95"/>
    <w:rsid w:val="004B422D"/>
    <w:rsid w:val="004B6B37"/>
    <w:rsid w:val="004C3D29"/>
    <w:rsid w:val="004C4377"/>
    <w:rsid w:val="004D1F51"/>
    <w:rsid w:val="004E28AF"/>
    <w:rsid w:val="004F573F"/>
    <w:rsid w:val="004F7143"/>
    <w:rsid w:val="00513FA8"/>
    <w:rsid w:val="0051760E"/>
    <w:rsid w:val="00535B1A"/>
    <w:rsid w:val="00540D41"/>
    <w:rsid w:val="005417C6"/>
    <w:rsid w:val="005600AA"/>
    <w:rsid w:val="00573B2D"/>
    <w:rsid w:val="00593BD5"/>
    <w:rsid w:val="00595E20"/>
    <w:rsid w:val="00596E81"/>
    <w:rsid w:val="005B1EB6"/>
    <w:rsid w:val="005B605E"/>
    <w:rsid w:val="005C7379"/>
    <w:rsid w:val="005D263F"/>
    <w:rsid w:val="005E16D6"/>
    <w:rsid w:val="00620C9F"/>
    <w:rsid w:val="006319AC"/>
    <w:rsid w:val="00651EAE"/>
    <w:rsid w:val="00656269"/>
    <w:rsid w:val="00683F68"/>
    <w:rsid w:val="006912EA"/>
    <w:rsid w:val="00691F59"/>
    <w:rsid w:val="006958A1"/>
    <w:rsid w:val="006B068C"/>
    <w:rsid w:val="006E0B17"/>
    <w:rsid w:val="006E153D"/>
    <w:rsid w:val="006E4CAA"/>
    <w:rsid w:val="006E596A"/>
    <w:rsid w:val="006F6D75"/>
    <w:rsid w:val="007074A0"/>
    <w:rsid w:val="00733965"/>
    <w:rsid w:val="007427F5"/>
    <w:rsid w:val="00744BFC"/>
    <w:rsid w:val="0077175D"/>
    <w:rsid w:val="00773331"/>
    <w:rsid w:val="00782E2D"/>
    <w:rsid w:val="0078365B"/>
    <w:rsid w:val="00785BF0"/>
    <w:rsid w:val="00791A90"/>
    <w:rsid w:val="007932EF"/>
    <w:rsid w:val="007A57A1"/>
    <w:rsid w:val="007A751B"/>
    <w:rsid w:val="007E05B0"/>
    <w:rsid w:val="007F7C00"/>
    <w:rsid w:val="00802D6B"/>
    <w:rsid w:val="008171B0"/>
    <w:rsid w:val="00820C85"/>
    <w:rsid w:val="008363A5"/>
    <w:rsid w:val="00845E3F"/>
    <w:rsid w:val="00867D1E"/>
    <w:rsid w:val="008715DC"/>
    <w:rsid w:val="00874D22"/>
    <w:rsid w:val="008801B7"/>
    <w:rsid w:val="00885432"/>
    <w:rsid w:val="008A0DC3"/>
    <w:rsid w:val="008A2914"/>
    <w:rsid w:val="008A544D"/>
    <w:rsid w:val="008B1500"/>
    <w:rsid w:val="008C4571"/>
    <w:rsid w:val="008C6725"/>
    <w:rsid w:val="008D79EB"/>
    <w:rsid w:val="008E4D8E"/>
    <w:rsid w:val="008E5BB0"/>
    <w:rsid w:val="008F374A"/>
    <w:rsid w:val="009173A2"/>
    <w:rsid w:val="0093049F"/>
    <w:rsid w:val="00936C4D"/>
    <w:rsid w:val="0095000B"/>
    <w:rsid w:val="00950DD2"/>
    <w:rsid w:val="0097590E"/>
    <w:rsid w:val="009763D7"/>
    <w:rsid w:val="0098236E"/>
    <w:rsid w:val="00994E88"/>
    <w:rsid w:val="009972B5"/>
    <w:rsid w:val="009A40C9"/>
    <w:rsid w:val="009C551F"/>
    <w:rsid w:val="009C7209"/>
    <w:rsid w:val="009E28D5"/>
    <w:rsid w:val="009F12A4"/>
    <w:rsid w:val="00A426A2"/>
    <w:rsid w:val="00A42D4D"/>
    <w:rsid w:val="00A513DA"/>
    <w:rsid w:val="00A534F3"/>
    <w:rsid w:val="00A63B56"/>
    <w:rsid w:val="00A66741"/>
    <w:rsid w:val="00A829B2"/>
    <w:rsid w:val="00AB7A53"/>
    <w:rsid w:val="00AC6E93"/>
    <w:rsid w:val="00AD0FCF"/>
    <w:rsid w:val="00AD62E2"/>
    <w:rsid w:val="00AE1992"/>
    <w:rsid w:val="00AF1A83"/>
    <w:rsid w:val="00B1329C"/>
    <w:rsid w:val="00B32C8B"/>
    <w:rsid w:val="00B34F00"/>
    <w:rsid w:val="00B57EC7"/>
    <w:rsid w:val="00BA00A5"/>
    <w:rsid w:val="00BA12FC"/>
    <w:rsid w:val="00BB6FA1"/>
    <w:rsid w:val="00BC7DA7"/>
    <w:rsid w:val="00C12301"/>
    <w:rsid w:val="00C162C1"/>
    <w:rsid w:val="00C506BB"/>
    <w:rsid w:val="00C84F91"/>
    <w:rsid w:val="00C97E4B"/>
    <w:rsid w:val="00CB28BB"/>
    <w:rsid w:val="00CC281A"/>
    <w:rsid w:val="00CD397F"/>
    <w:rsid w:val="00CD615D"/>
    <w:rsid w:val="00CD6D43"/>
    <w:rsid w:val="00CF5511"/>
    <w:rsid w:val="00D07512"/>
    <w:rsid w:val="00D20381"/>
    <w:rsid w:val="00D22371"/>
    <w:rsid w:val="00D25971"/>
    <w:rsid w:val="00D32217"/>
    <w:rsid w:val="00D822B1"/>
    <w:rsid w:val="00DA60DF"/>
    <w:rsid w:val="00DB3D15"/>
    <w:rsid w:val="00DB6B7D"/>
    <w:rsid w:val="00DD1475"/>
    <w:rsid w:val="00DD3A74"/>
    <w:rsid w:val="00DD443B"/>
    <w:rsid w:val="00DD5EEB"/>
    <w:rsid w:val="00DD66F9"/>
    <w:rsid w:val="00DE1918"/>
    <w:rsid w:val="00DE4296"/>
    <w:rsid w:val="00DF13A3"/>
    <w:rsid w:val="00DF71D5"/>
    <w:rsid w:val="00E031E1"/>
    <w:rsid w:val="00E3377B"/>
    <w:rsid w:val="00E338C1"/>
    <w:rsid w:val="00E6506C"/>
    <w:rsid w:val="00E7570F"/>
    <w:rsid w:val="00E82A61"/>
    <w:rsid w:val="00E91BE1"/>
    <w:rsid w:val="00EC0ACF"/>
    <w:rsid w:val="00EC4CF6"/>
    <w:rsid w:val="00ED3440"/>
    <w:rsid w:val="00EE5970"/>
    <w:rsid w:val="00F00246"/>
    <w:rsid w:val="00F01B63"/>
    <w:rsid w:val="00F036C5"/>
    <w:rsid w:val="00F123B6"/>
    <w:rsid w:val="00F1562C"/>
    <w:rsid w:val="00F2591B"/>
    <w:rsid w:val="00F338C2"/>
    <w:rsid w:val="00F35B0A"/>
    <w:rsid w:val="00F54BF8"/>
    <w:rsid w:val="00FA015B"/>
    <w:rsid w:val="00FB5681"/>
    <w:rsid w:val="00FC38F8"/>
    <w:rsid w:val="00FC3CA4"/>
    <w:rsid w:val="00FF1DBD"/>
    <w:rsid w:val="00FF2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6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AD62E2"/>
    <w:rPr>
      <w:sz w:val="16"/>
      <w:szCs w:val="16"/>
    </w:rPr>
  </w:style>
  <w:style w:type="paragraph" w:styleId="CommentText">
    <w:name w:val="annotation text"/>
    <w:basedOn w:val="Normal"/>
    <w:link w:val="CommentTextChar"/>
    <w:uiPriority w:val="99"/>
    <w:qFormat/>
    <w:rsid w:val="00AD62E2"/>
    <w:pPr>
      <w:spacing w:before="0"/>
    </w:pPr>
    <w:rPr>
      <w:rFonts w:eastAsia="Times New Roman"/>
      <w:sz w:val="20"/>
      <w:szCs w:val="20"/>
    </w:rPr>
  </w:style>
  <w:style w:type="character" w:customStyle="1" w:styleId="CommentTextChar">
    <w:name w:val="Comment Text Char"/>
    <w:basedOn w:val="DefaultParagraphFont"/>
    <w:link w:val="CommentText"/>
    <w:uiPriority w:val="99"/>
    <w:rsid w:val="00AD62E2"/>
    <w:rPr>
      <w:rFonts w:ascii="Times New Roman" w:eastAsia="Times New Roman" w:hAnsi="Times New Roman" w:cs="Times New Roman"/>
      <w:sz w:val="20"/>
      <w:szCs w:val="20"/>
      <w:lang w:val="pl-PL"/>
    </w:rPr>
  </w:style>
  <w:style w:type="character" w:styleId="Hyperlink">
    <w:name w:val="Hyperlink"/>
    <w:basedOn w:val="DefaultParagraphFont"/>
    <w:uiPriority w:val="99"/>
    <w:unhideWhenUsed/>
    <w:rsid w:val="00AD62E2"/>
    <w:rPr>
      <w:color w:val="0000FF" w:themeColor="hyperlink"/>
      <w:u w:val="single"/>
    </w:rPr>
  </w:style>
  <w:style w:type="character" w:customStyle="1" w:styleId="ui-provider">
    <w:name w:val="ui-provider"/>
    <w:basedOn w:val="DefaultParagraphFont"/>
    <w:rsid w:val="00AD62E2"/>
  </w:style>
  <w:style w:type="paragraph" w:styleId="BalloonText">
    <w:name w:val="Balloon Text"/>
    <w:basedOn w:val="Normal"/>
    <w:link w:val="BalloonTextChar"/>
    <w:uiPriority w:val="99"/>
    <w:semiHidden/>
    <w:unhideWhenUsed/>
    <w:rsid w:val="00AD62E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2E2"/>
    <w:rPr>
      <w:rFonts w:ascii="Segoe UI" w:hAnsi="Segoe UI" w:cs="Segoe UI"/>
      <w:sz w:val="18"/>
      <w:szCs w:val="18"/>
      <w:lang w:val="pl-PL"/>
    </w:rPr>
  </w:style>
  <w:style w:type="paragraph" w:styleId="Revision">
    <w:name w:val="Revision"/>
    <w:hidden/>
    <w:uiPriority w:val="99"/>
    <w:semiHidden/>
    <w:rsid w:val="00AD62E2"/>
    <w:pPr>
      <w:spacing w:after="0" w:line="240" w:lineRule="auto"/>
    </w:pPr>
    <w:rPr>
      <w:rFonts w:ascii="Times New Roman" w:hAnsi="Times New Roman" w:cs="Times New Roman"/>
      <w:sz w:val="24"/>
    </w:rPr>
  </w:style>
  <w:style w:type="paragraph" w:customStyle="1" w:styleId="HeaderCoverPage">
    <w:name w:val="Header Cover Page"/>
    <w:basedOn w:val="Normal"/>
    <w:link w:val="HeaderCoverPageChar"/>
    <w:rsid w:val="00AD62E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D62E2"/>
    <w:rPr>
      <w:rFonts w:ascii="Times New Roman" w:eastAsia="Calibri" w:hAnsi="Times New Roman" w:cs="Times New Roman"/>
      <w:sz w:val="24"/>
      <w:lang w:val="pl-PL" w:eastAsia="en-GB"/>
    </w:rPr>
  </w:style>
  <w:style w:type="paragraph" w:styleId="Caption">
    <w:name w:val="caption"/>
    <w:basedOn w:val="Normal"/>
    <w:next w:val="Normal"/>
    <w:uiPriority w:val="35"/>
    <w:semiHidden/>
    <w:unhideWhenUsed/>
    <w:qFormat/>
    <w:rsid w:val="00AD62E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D62E2"/>
    <w:pPr>
      <w:spacing w:after="0"/>
    </w:pPr>
  </w:style>
  <w:style w:type="paragraph" w:styleId="ListBullet">
    <w:name w:val="List Bullet"/>
    <w:basedOn w:val="Normal"/>
    <w:uiPriority w:val="99"/>
    <w:semiHidden/>
    <w:unhideWhenUsed/>
    <w:rsid w:val="00AD62E2"/>
    <w:pPr>
      <w:numPr>
        <w:numId w:val="40"/>
      </w:numPr>
      <w:contextualSpacing/>
    </w:pPr>
  </w:style>
  <w:style w:type="paragraph" w:styleId="ListBullet2">
    <w:name w:val="List Bullet 2"/>
    <w:basedOn w:val="Normal"/>
    <w:uiPriority w:val="99"/>
    <w:semiHidden/>
    <w:unhideWhenUsed/>
    <w:rsid w:val="00AD62E2"/>
    <w:pPr>
      <w:numPr>
        <w:numId w:val="41"/>
      </w:numPr>
      <w:contextualSpacing/>
    </w:pPr>
  </w:style>
  <w:style w:type="paragraph" w:styleId="ListBullet3">
    <w:name w:val="List Bullet 3"/>
    <w:basedOn w:val="Normal"/>
    <w:uiPriority w:val="99"/>
    <w:semiHidden/>
    <w:unhideWhenUsed/>
    <w:rsid w:val="00AD62E2"/>
    <w:pPr>
      <w:numPr>
        <w:numId w:val="42"/>
      </w:numPr>
      <w:contextualSpacing/>
    </w:pPr>
  </w:style>
  <w:style w:type="paragraph" w:styleId="ListBullet4">
    <w:name w:val="List Bullet 4"/>
    <w:basedOn w:val="Normal"/>
    <w:uiPriority w:val="99"/>
    <w:semiHidden/>
    <w:unhideWhenUsed/>
    <w:rsid w:val="00AD62E2"/>
    <w:pPr>
      <w:numPr>
        <w:numId w:val="43"/>
      </w:numPr>
      <w:contextualSpacing/>
    </w:pPr>
  </w:style>
  <w:style w:type="paragraph" w:styleId="ListNumber">
    <w:name w:val="List Number"/>
    <w:basedOn w:val="Normal"/>
    <w:uiPriority w:val="99"/>
    <w:unhideWhenUsed/>
    <w:rsid w:val="00AD62E2"/>
    <w:pPr>
      <w:numPr>
        <w:numId w:val="44"/>
      </w:numPr>
      <w:contextualSpacing/>
    </w:pPr>
  </w:style>
  <w:style w:type="paragraph" w:styleId="ListNumber2">
    <w:name w:val="List Number 2"/>
    <w:basedOn w:val="Normal"/>
    <w:uiPriority w:val="99"/>
    <w:semiHidden/>
    <w:unhideWhenUsed/>
    <w:rsid w:val="00AD62E2"/>
    <w:pPr>
      <w:numPr>
        <w:numId w:val="45"/>
      </w:numPr>
      <w:contextualSpacing/>
    </w:pPr>
  </w:style>
  <w:style w:type="paragraph" w:styleId="ListNumber3">
    <w:name w:val="List Number 3"/>
    <w:basedOn w:val="Normal"/>
    <w:uiPriority w:val="99"/>
    <w:semiHidden/>
    <w:unhideWhenUsed/>
    <w:rsid w:val="00AD62E2"/>
    <w:pPr>
      <w:numPr>
        <w:numId w:val="46"/>
      </w:numPr>
      <w:contextualSpacing/>
    </w:pPr>
  </w:style>
  <w:style w:type="paragraph" w:styleId="ListNumber4">
    <w:name w:val="List Number 4"/>
    <w:basedOn w:val="Normal"/>
    <w:uiPriority w:val="99"/>
    <w:semiHidden/>
    <w:unhideWhenUsed/>
    <w:rsid w:val="00AD62E2"/>
    <w:pPr>
      <w:numPr>
        <w:numId w:val="47"/>
      </w:numPr>
      <w:contextualSpacing/>
    </w:pPr>
  </w:style>
  <w:style w:type="paragraph" w:styleId="ListParagraph">
    <w:name w:val="List Paragraph"/>
    <w:aliases w:val="1st level - Bullet List Paragraph,Lettre d'introduction,Paragrafo elenco,List Paragraph1,Medium Grid 1 - Accent 21,FooterText,Paragraphe de liste1,Heading 2_sj,Numbered Para 1,Dot pt,No Spacing1,List Paragraph Char Char Char,lp1,L"/>
    <w:basedOn w:val="Normal"/>
    <w:link w:val="ListParagraphChar"/>
    <w:qFormat/>
    <w:rsid w:val="00AD62E2"/>
    <w:pPr>
      <w:spacing w:before="0" w:after="0"/>
      <w:ind w:left="720"/>
      <w:contextualSpacing/>
    </w:pPr>
    <w:rPr>
      <w:rFonts w:eastAsia="Times New Roman"/>
      <w:szCs w:val="24"/>
      <w:lang w:eastAsia="en-GB"/>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Heading 2_sj Char,Numbered Para 1 Char,Dot pt Char"/>
    <w:link w:val="ListParagraph"/>
    <w:qFormat/>
    <w:rsid w:val="00AD62E2"/>
    <w:rPr>
      <w:rFonts w:ascii="Times New Roman" w:eastAsia="Times New Roman" w:hAnsi="Times New Roman" w:cs="Times New Roman"/>
      <w:sz w:val="24"/>
      <w:szCs w:val="24"/>
      <w:lang w:val="pl-PL" w:eastAsia="en-GB"/>
    </w:rPr>
  </w:style>
  <w:style w:type="character" w:customStyle="1" w:styleId="eop">
    <w:name w:val="eop"/>
    <w:basedOn w:val="DefaultParagraphFont"/>
    <w:rsid w:val="00AD62E2"/>
  </w:style>
  <w:style w:type="character" w:customStyle="1" w:styleId="normaltextrun">
    <w:name w:val="normaltextrun"/>
    <w:basedOn w:val="DefaultParagraphFont"/>
    <w:rsid w:val="00AD62E2"/>
  </w:style>
  <w:style w:type="paragraph" w:customStyle="1" w:styleId="ListBullet1">
    <w:name w:val="List Bullet 1"/>
    <w:basedOn w:val="Normal"/>
    <w:rsid w:val="00AD62E2"/>
    <w:pPr>
      <w:numPr>
        <w:numId w:val="48"/>
      </w:numPr>
    </w:pPr>
    <w:rPr>
      <w:rFonts w:eastAsia="Times New Roman"/>
      <w:lang w:eastAsia="de-DE"/>
    </w:rPr>
  </w:style>
  <w:style w:type="paragraph" w:customStyle="1" w:styleId="ListDash1">
    <w:name w:val="List Dash 1"/>
    <w:basedOn w:val="Normal"/>
    <w:rsid w:val="00AD62E2"/>
    <w:pPr>
      <w:numPr>
        <w:numId w:val="49"/>
      </w:numPr>
    </w:pPr>
    <w:rPr>
      <w:rFonts w:eastAsia="Times New Roman"/>
      <w:lang w:eastAsia="de-DE"/>
    </w:rPr>
  </w:style>
  <w:style w:type="paragraph" w:customStyle="1" w:styleId="ListDash2">
    <w:name w:val="List Dash 2"/>
    <w:basedOn w:val="Normal"/>
    <w:rsid w:val="00AD62E2"/>
    <w:pPr>
      <w:numPr>
        <w:numId w:val="50"/>
      </w:numPr>
    </w:pPr>
    <w:rPr>
      <w:rFonts w:eastAsia="Times New Roman"/>
      <w:lang w:eastAsia="de-DE"/>
    </w:rPr>
  </w:style>
  <w:style w:type="paragraph" w:customStyle="1" w:styleId="ListNumberLevel2">
    <w:name w:val="List Number (Level 2)"/>
    <w:basedOn w:val="Normal"/>
    <w:rsid w:val="00AD62E2"/>
    <w:pPr>
      <w:tabs>
        <w:tab w:val="num" w:pos="1417"/>
      </w:tabs>
      <w:ind w:left="1417" w:hanging="708"/>
    </w:pPr>
    <w:rPr>
      <w:rFonts w:eastAsia="Times New Roman"/>
      <w:lang w:eastAsia="de-DE"/>
    </w:rPr>
  </w:style>
  <w:style w:type="paragraph" w:customStyle="1" w:styleId="ListNumberLevel3">
    <w:name w:val="List Number (Level 3)"/>
    <w:basedOn w:val="Normal"/>
    <w:rsid w:val="00AD62E2"/>
    <w:pPr>
      <w:tabs>
        <w:tab w:val="num" w:pos="2126"/>
      </w:tabs>
      <w:ind w:left="2126" w:hanging="709"/>
    </w:pPr>
    <w:rPr>
      <w:rFonts w:eastAsia="Times New Roman"/>
      <w:lang w:eastAsia="de-DE"/>
    </w:rPr>
  </w:style>
  <w:style w:type="paragraph" w:customStyle="1" w:styleId="ListNumberLevel4">
    <w:name w:val="List Number (Level 4)"/>
    <w:basedOn w:val="Normal"/>
    <w:rsid w:val="00AD62E2"/>
    <w:pPr>
      <w:tabs>
        <w:tab w:val="num" w:pos="2835"/>
      </w:tabs>
      <w:ind w:left="2835" w:hanging="709"/>
    </w:pPr>
    <w:rPr>
      <w:rFonts w:eastAsia="Times New Roman"/>
      <w:lang w:eastAsia="de-DE"/>
    </w:rPr>
  </w:style>
  <w:style w:type="character" w:customStyle="1" w:styleId="scxw177865205">
    <w:name w:val="scxw177865205"/>
    <w:basedOn w:val="DefaultParagraphFont"/>
    <w:rsid w:val="00AD62E2"/>
  </w:style>
  <w:style w:type="character" w:customStyle="1" w:styleId="scxw135922253">
    <w:name w:val="scxw135922253"/>
    <w:basedOn w:val="DefaultParagraphFont"/>
    <w:rsid w:val="00AD62E2"/>
  </w:style>
  <w:style w:type="paragraph" w:customStyle="1" w:styleId="paragraph">
    <w:name w:val="paragraph"/>
    <w:basedOn w:val="Normal"/>
    <w:rsid w:val="00AD62E2"/>
    <w:pPr>
      <w:spacing w:before="100" w:beforeAutospacing="1" w:after="100" w:afterAutospacing="1"/>
      <w:jc w:val="left"/>
    </w:pPr>
    <w:rPr>
      <w:rFonts w:eastAsia="Times New Roman"/>
      <w:szCs w:val="24"/>
      <w:lang w:eastAsia="en-IE"/>
    </w:rPr>
  </w:style>
  <w:style w:type="paragraph" w:styleId="CommentSubject">
    <w:name w:val="annotation subject"/>
    <w:basedOn w:val="CommentText"/>
    <w:next w:val="CommentText"/>
    <w:link w:val="CommentSubjectChar"/>
    <w:uiPriority w:val="99"/>
    <w:semiHidden/>
    <w:unhideWhenUsed/>
    <w:rsid w:val="00AD62E2"/>
    <w:pPr>
      <w:spacing w:before="120"/>
    </w:pPr>
    <w:rPr>
      <w:rFonts w:eastAsiaTheme="minorHAnsi"/>
      <w:b/>
      <w:bCs/>
    </w:rPr>
  </w:style>
  <w:style w:type="character" w:customStyle="1" w:styleId="CommentSubjectChar">
    <w:name w:val="Comment Subject Char"/>
    <w:basedOn w:val="CommentTextChar"/>
    <w:link w:val="CommentSubject"/>
    <w:uiPriority w:val="99"/>
    <w:semiHidden/>
    <w:rsid w:val="00AD62E2"/>
    <w:rPr>
      <w:rFonts w:ascii="Times New Roman" w:eastAsia="Times New Roman" w:hAnsi="Times New Roman" w:cs="Times New Roman"/>
      <w:b/>
      <w:bCs/>
      <w:sz w:val="20"/>
      <w:szCs w:val="20"/>
      <w:lang w:val="pl-PL"/>
    </w:rPr>
  </w:style>
  <w:style w:type="character" w:customStyle="1" w:styleId="Mention1">
    <w:name w:val="Mention1"/>
    <w:basedOn w:val="DefaultParagraphFont"/>
    <w:uiPriority w:val="99"/>
    <w:unhideWhenUsed/>
    <w:rsid w:val="00AD62E2"/>
    <w:rPr>
      <w:color w:val="2B579A"/>
      <w:shd w:val="clear" w:color="auto" w:fill="E6E6E6"/>
    </w:rPr>
  </w:style>
  <w:style w:type="table" w:styleId="TableGrid">
    <w:name w:val="Table Grid"/>
    <w:basedOn w:val="TableNormal"/>
    <w:uiPriority w:val="59"/>
    <w:rsid w:val="00AD62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D62E2"/>
    <w:rPr>
      <w:color w:val="800080" w:themeColor="followedHyperlink"/>
      <w:u w:val="single"/>
    </w:rPr>
  </w:style>
  <w:style w:type="paragraph" w:styleId="Header">
    <w:name w:val="header"/>
    <w:basedOn w:val="Normal"/>
    <w:link w:val="HeaderChar"/>
    <w:uiPriority w:val="99"/>
    <w:unhideWhenUsed/>
    <w:rsid w:val="00D32217"/>
    <w:pPr>
      <w:tabs>
        <w:tab w:val="center" w:pos="4535"/>
        <w:tab w:val="right" w:pos="9071"/>
      </w:tabs>
      <w:spacing w:before="0"/>
    </w:pPr>
  </w:style>
  <w:style w:type="character" w:customStyle="1" w:styleId="HeaderChar">
    <w:name w:val="Header Char"/>
    <w:basedOn w:val="DefaultParagraphFont"/>
    <w:link w:val="Header"/>
    <w:uiPriority w:val="99"/>
    <w:rsid w:val="00D32217"/>
    <w:rPr>
      <w:rFonts w:ascii="Times New Roman" w:hAnsi="Times New Roman" w:cs="Times New Roman"/>
      <w:sz w:val="24"/>
      <w:lang w:val="pl-PL"/>
    </w:rPr>
  </w:style>
  <w:style w:type="paragraph" w:styleId="Footer">
    <w:name w:val="footer"/>
    <w:basedOn w:val="Normal"/>
    <w:link w:val="FooterChar"/>
    <w:uiPriority w:val="99"/>
    <w:unhideWhenUsed/>
    <w:rsid w:val="00D3221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32217"/>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32217"/>
    <w:pPr>
      <w:tabs>
        <w:tab w:val="center" w:pos="7285"/>
        <w:tab w:val="right" w:pos="14003"/>
      </w:tabs>
      <w:spacing w:before="0"/>
    </w:pPr>
  </w:style>
  <w:style w:type="paragraph" w:customStyle="1" w:styleId="FooterLandscape">
    <w:name w:val="FooterLandscape"/>
    <w:basedOn w:val="Normal"/>
    <w:rsid w:val="00D3221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3221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32217"/>
    <w:pPr>
      <w:spacing w:before="0"/>
      <w:jc w:val="right"/>
    </w:pPr>
    <w:rPr>
      <w:sz w:val="28"/>
    </w:rPr>
  </w:style>
  <w:style w:type="paragraph" w:customStyle="1" w:styleId="FooterSensitivity">
    <w:name w:val="Footer Sensitivity"/>
    <w:basedOn w:val="Normal"/>
    <w:rsid w:val="00D3221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2"/>
      </w:numPr>
    </w:pPr>
  </w:style>
  <w:style w:type="paragraph" w:customStyle="1" w:styleId="Tiret1">
    <w:name w:val="Tiret 1"/>
    <w:basedOn w:val="Point1"/>
    <w:pPr>
      <w:numPr>
        <w:numId w:val="63"/>
      </w:numPr>
    </w:pPr>
  </w:style>
  <w:style w:type="paragraph" w:customStyle="1" w:styleId="Tiret2">
    <w:name w:val="Tiret 2"/>
    <w:basedOn w:val="Point2"/>
    <w:pPr>
      <w:numPr>
        <w:numId w:val="64"/>
      </w:numPr>
    </w:pPr>
  </w:style>
  <w:style w:type="paragraph" w:customStyle="1" w:styleId="Tiret3">
    <w:name w:val="Tiret 3"/>
    <w:basedOn w:val="Point3"/>
    <w:pPr>
      <w:numPr>
        <w:numId w:val="65"/>
      </w:numPr>
    </w:pPr>
  </w:style>
  <w:style w:type="paragraph" w:customStyle="1" w:styleId="Tiret4">
    <w:name w:val="Tiret 4"/>
    <w:basedOn w:val="Point4"/>
    <w:pPr>
      <w:numPr>
        <w:numId w:val="66"/>
      </w:numPr>
    </w:pPr>
  </w:style>
  <w:style w:type="paragraph" w:customStyle="1" w:styleId="Tiret5">
    <w:name w:val="Tiret 5"/>
    <w:basedOn w:val="Point5"/>
    <w:pPr>
      <w:numPr>
        <w:numId w:val="6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8"/>
      </w:numPr>
    </w:pPr>
  </w:style>
  <w:style w:type="paragraph" w:customStyle="1" w:styleId="NumPar2">
    <w:name w:val="NumPar 2"/>
    <w:basedOn w:val="Normal"/>
    <w:next w:val="Text1"/>
    <w:pPr>
      <w:numPr>
        <w:ilvl w:val="1"/>
        <w:numId w:val="68"/>
      </w:numPr>
    </w:pPr>
  </w:style>
  <w:style w:type="paragraph" w:customStyle="1" w:styleId="NumPar3">
    <w:name w:val="NumPar 3"/>
    <w:basedOn w:val="Normal"/>
    <w:next w:val="Text1"/>
    <w:pPr>
      <w:numPr>
        <w:ilvl w:val="2"/>
        <w:numId w:val="68"/>
      </w:numPr>
    </w:pPr>
  </w:style>
  <w:style w:type="paragraph" w:customStyle="1" w:styleId="NumPar4">
    <w:name w:val="NumPar 4"/>
    <w:basedOn w:val="Normal"/>
    <w:next w:val="Text1"/>
    <w:pPr>
      <w:numPr>
        <w:ilvl w:val="3"/>
        <w:numId w:val="68"/>
      </w:numPr>
    </w:pPr>
  </w:style>
  <w:style w:type="paragraph" w:customStyle="1" w:styleId="NumPar5">
    <w:name w:val="NumPar 5"/>
    <w:basedOn w:val="Normal"/>
    <w:next w:val="Text2"/>
    <w:pPr>
      <w:numPr>
        <w:ilvl w:val="4"/>
        <w:numId w:val="68"/>
      </w:numPr>
    </w:pPr>
  </w:style>
  <w:style w:type="paragraph" w:customStyle="1" w:styleId="NumPar6">
    <w:name w:val="NumPar 6"/>
    <w:basedOn w:val="Normal"/>
    <w:next w:val="Text2"/>
    <w:pPr>
      <w:numPr>
        <w:ilvl w:val="5"/>
        <w:numId w:val="68"/>
      </w:numPr>
    </w:pPr>
  </w:style>
  <w:style w:type="paragraph" w:customStyle="1" w:styleId="NumPar7">
    <w:name w:val="NumPar 7"/>
    <w:basedOn w:val="Normal"/>
    <w:next w:val="Text2"/>
    <w:pPr>
      <w:numPr>
        <w:ilvl w:val="6"/>
        <w:numId w:val="6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123E58"/>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0"/>
      </w:numPr>
    </w:pPr>
  </w:style>
  <w:style w:type="paragraph" w:customStyle="1" w:styleId="Point1number">
    <w:name w:val="Point 1 (number)"/>
    <w:basedOn w:val="Normal"/>
    <w:pPr>
      <w:numPr>
        <w:ilvl w:val="2"/>
        <w:numId w:val="70"/>
      </w:numPr>
    </w:pPr>
  </w:style>
  <w:style w:type="paragraph" w:customStyle="1" w:styleId="Point2number">
    <w:name w:val="Point 2 (number)"/>
    <w:basedOn w:val="Normal"/>
    <w:pPr>
      <w:numPr>
        <w:ilvl w:val="4"/>
        <w:numId w:val="70"/>
      </w:numPr>
    </w:pPr>
  </w:style>
  <w:style w:type="paragraph" w:customStyle="1" w:styleId="Point3number">
    <w:name w:val="Point 3 (number)"/>
    <w:basedOn w:val="Normal"/>
    <w:pPr>
      <w:numPr>
        <w:ilvl w:val="6"/>
        <w:numId w:val="70"/>
      </w:numPr>
    </w:pPr>
  </w:style>
  <w:style w:type="paragraph" w:customStyle="1" w:styleId="Point0letter">
    <w:name w:val="Point 0 (letter)"/>
    <w:basedOn w:val="Normal"/>
    <w:pPr>
      <w:numPr>
        <w:ilvl w:val="1"/>
        <w:numId w:val="70"/>
      </w:numPr>
    </w:pPr>
  </w:style>
  <w:style w:type="paragraph" w:customStyle="1" w:styleId="Point1letter">
    <w:name w:val="Point 1 (letter)"/>
    <w:basedOn w:val="Normal"/>
    <w:pPr>
      <w:numPr>
        <w:ilvl w:val="3"/>
        <w:numId w:val="70"/>
      </w:numPr>
    </w:pPr>
  </w:style>
  <w:style w:type="paragraph" w:customStyle="1" w:styleId="Point2letter">
    <w:name w:val="Point 2 (letter)"/>
    <w:basedOn w:val="Normal"/>
    <w:pPr>
      <w:numPr>
        <w:ilvl w:val="5"/>
        <w:numId w:val="70"/>
      </w:numPr>
    </w:pPr>
  </w:style>
  <w:style w:type="paragraph" w:customStyle="1" w:styleId="Point3letter">
    <w:name w:val="Point 3 (letter)"/>
    <w:basedOn w:val="Normal"/>
    <w:pPr>
      <w:numPr>
        <w:ilvl w:val="7"/>
        <w:numId w:val="70"/>
      </w:numPr>
    </w:pPr>
  </w:style>
  <w:style w:type="paragraph" w:customStyle="1" w:styleId="Point4letter">
    <w:name w:val="Point 4 (letter)"/>
    <w:basedOn w:val="Normal"/>
    <w:pPr>
      <w:numPr>
        <w:ilvl w:val="8"/>
        <w:numId w:val="70"/>
      </w:numPr>
    </w:pPr>
  </w:style>
  <w:style w:type="paragraph" w:customStyle="1" w:styleId="Bullet0">
    <w:name w:val="Bullet 0"/>
    <w:basedOn w:val="Normal"/>
    <w:pPr>
      <w:numPr>
        <w:numId w:val="71"/>
      </w:numPr>
    </w:pPr>
  </w:style>
  <w:style w:type="paragraph" w:customStyle="1" w:styleId="Bullet1">
    <w:name w:val="Bullet 1"/>
    <w:basedOn w:val="Normal"/>
    <w:pPr>
      <w:numPr>
        <w:numId w:val="72"/>
      </w:numPr>
    </w:pPr>
  </w:style>
  <w:style w:type="paragraph" w:customStyle="1" w:styleId="Bullet2">
    <w:name w:val="Bullet 2"/>
    <w:basedOn w:val="Normal"/>
    <w:pPr>
      <w:numPr>
        <w:numId w:val="73"/>
      </w:numPr>
    </w:pPr>
  </w:style>
  <w:style w:type="paragraph" w:customStyle="1" w:styleId="Bullet3">
    <w:name w:val="Bullet 3"/>
    <w:basedOn w:val="Normal"/>
    <w:pPr>
      <w:numPr>
        <w:numId w:val="74"/>
      </w:numPr>
    </w:pPr>
  </w:style>
  <w:style w:type="paragraph" w:customStyle="1" w:styleId="Bullet4">
    <w:name w:val="Bullet 4"/>
    <w:basedOn w:val="Normal"/>
    <w:pPr>
      <w:numPr>
        <w:numId w:val="7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445243">
      <w:bodyDiv w:val="1"/>
      <w:marLeft w:val="0"/>
      <w:marRight w:val="0"/>
      <w:marTop w:val="0"/>
      <w:marBottom w:val="0"/>
      <w:divBdr>
        <w:top w:val="none" w:sz="0" w:space="0" w:color="auto"/>
        <w:left w:val="none" w:sz="0" w:space="0" w:color="auto"/>
        <w:bottom w:val="none" w:sz="0" w:space="0" w:color="auto"/>
        <w:right w:val="none" w:sz="0" w:space="0" w:color="auto"/>
      </w:divBdr>
    </w:div>
    <w:div w:id="1165241808">
      <w:bodyDiv w:val="1"/>
      <w:marLeft w:val="0"/>
      <w:marRight w:val="0"/>
      <w:marTop w:val="0"/>
      <w:marBottom w:val="0"/>
      <w:divBdr>
        <w:top w:val="none" w:sz="0" w:space="0" w:color="auto"/>
        <w:left w:val="none" w:sz="0" w:space="0" w:color="auto"/>
        <w:bottom w:val="none" w:sz="0" w:space="0" w:color="auto"/>
        <w:right w:val="none" w:sz="0" w:space="0" w:color="auto"/>
      </w:divBdr>
    </w:div>
    <w:div w:id="1218666339">
      <w:bodyDiv w:val="1"/>
      <w:marLeft w:val="0"/>
      <w:marRight w:val="0"/>
      <w:marTop w:val="0"/>
      <w:marBottom w:val="0"/>
      <w:divBdr>
        <w:top w:val="none" w:sz="0" w:space="0" w:color="auto"/>
        <w:left w:val="none" w:sz="0" w:space="0" w:color="auto"/>
        <w:bottom w:val="none" w:sz="0" w:space="0" w:color="auto"/>
        <w:right w:val="none" w:sz="0" w:space="0" w:color="auto"/>
      </w:divBdr>
    </w:div>
    <w:div w:id="1372727933">
      <w:bodyDiv w:val="1"/>
      <w:marLeft w:val="0"/>
      <w:marRight w:val="0"/>
      <w:marTop w:val="0"/>
      <w:marBottom w:val="0"/>
      <w:divBdr>
        <w:top w:val="none" w:sz="0" w:space="0" w:color="auto"/>
        <w:left w:val="none" w:sz="0" w:space="0" w:color="auto"/>
        <w:bottom w:val="none" w:sz="0" w:space="0" w:color="auto"/>
        <w:right w:val="none" w:sz="0" w:space="0" w:color="auto"/>
      </w:divBdr>
    </w:div>
    <w:div w:id="1426074764">
      <w:bodyDiv w:val="1"/>
      <w:marLeft w:val="0"/>
      <w:marRight w:val="0"/>
      <w:marTop w:val="0"/>
      <w:marBottom w:val="0"/>
      <w:divBdr>
        <w:top w:val="none" w:sz="0" w:space="0" w:color="auto"/>
        <w:left w:val="none" w:sz="0" w:space="0" w:color="auto"/>
        <w:bottom w:val="none" w:sz="0" w:space="0" w:color="auto"/>
        <w:right w:val="none" w:sz="0" w:space="0" w:color="auto"/>
      </w:divBdr>
    </w:div>
    <w:div w:id="1524661391">
      <w:bodyDiv w:val="1"/>
      <w:marLeft w:val="0"/>
      <w:marRight w:val="0"/>
      <w:marTop w:val="0"/>
      <w:marBottom w:val="0"/>
      <w:divBdr>
        <w:top w:val="none" w:sz="0" w:space="0" w:color="auto"/>
        <w:left w:val="none" w:sz="0" w:space="0" w:color="auto"/>
        <w:bottom w:val="none" w:sz="0" w:space="0" w:color="auto"/>
        <w:right w:val="none" w:sz="0" w:space="0" w:color="auto"/>
      </w:divBdr>
    </w:div>
    <w:div w:id="1686664414">
      <w:bodyDiv w:val="1"/>
      <w:marLeft w:val="0"/>
      <w:marRight w:val="0"/>
      <w:marTop w:val="0"/>
      <w:marBottom w:val="0"/>
      <w:divBdr>
        <w:top w:val="none" w:sz="0" w:space="0" w:color="auto"/>
        <w:left w:val="none" w:sz="0" w:space="0" w:color="auto"/>
        <w:bottom w:val="none" w:sz="0" w:space="0" w:color="auto"/>
        <w:right w:val="none" w:sz="0" w:space="0" w:color="auto"/>
      </w:divBdr>
    </w:div>
    <w:div w:id="196754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tracomm.ec.europa.eu/corp/budget/financial-rules/legal-framework/internal-rules/Documents/2022-5-legislative-financial-statement-annex-en.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corp/budget/financial-rules/budget-implementation/Pages/implementation-metho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7D8A8-8E8C-4993-A35A-6FB5A673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105</Pages>
  <Words>34791</Words>
  <Characters>237281</Characters>
  <Application>Microsoft Office Word</Application>
  <DocSecurity>0</DocSecurity>
  <Lines>5158</Lines>
  <Paragraphs>1609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2023-03-15T21:41:00Z</dcterms:created>
  <dcterms:modified xsi:type="dcterms:W3CDTF">2023-05-05T16:35:00Z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2023-03-12T18:49:07Z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ed41babf-f0b8-47bb-aab9-82238b8c2582</vt:lpwstr>
  </property>
  <property fmtid="{D5CDD505-2E9C-101B-9397-08002B2CF9AE}" pid="8" name="MSIP_Label_6bd9ddd1-4d20-43f6-abfa-fc3c07406f94_ContentBits">
    <vt:lpwstr>0</vt:lpwstr>
  </property>
  <property fmtid="{D5CDD505-2E9C-101B-9397-08002B2CF9AE}" pid="9" name="Last edited using">
    <vt:lpwstr>LW 9.0, Build 20230317</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