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012C9" w14:textId="7F50A271" w:rsidR="00A73F63" w:rsidRPr="00CB1586" w:rsidRDefault="00F159FE" w:rsidP="00F159FE">
      <w:pPr>
        <w:pStyle w:val="Pagedecouverture"/>
        <w:rPr>
          <w:noProof/>
        </w:rPr>
      </w:pPr>
      <w:r>
        <w:rPr>
          <w:noProof/>
        </w:rPr>
        <w:pict w14:anchorId="3E083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0E60821D-16DF-498A-BACD-A56283D3442B" style="width:455.25pt;height:429pt">
            <v:imagedata r:id="rId8" o:title=""/>
          </v:shape>
        </w:pict>
      </w:r>
    </w:p>
    <w:p w14:paraId="67BD6F60" w14:textId="77777777" w:rsidR="00A73F63" w:rsidRPr="00CB1586" w:rsidRDefault="00A73F63" w:rsidP="00A73F63">
      <w:pPr>
        <w:rPr>
          <w:noProof/>
        </w:rPr>
        <w:sectPr w:rsidR="00A73F63" w:rsidRPr="00CB1586" w:rsidSect="00F159F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6966A537" w14:textId="702395A7" w:rsidR="00A73F63" w:rsidRPr="00CB1586" w:rsidRDefault="00A73F63" w:rsidP="00A73F63">
      <w:pPr>
        <w:pStyle w:val="Annexetitre"/>
        <w:rPr>
          <w:noProof/>
          <w:color w:val="0000FF"/>
        </w:rPr>
      </w:pPr>
      <w:bookmarkStart w:id="0" w:name="_GoBack"/>
      <w:bookmarkEnd w:id="0"/>
      <w:r w:rsidRPr="00CB1586">
        <w:rPr>
          <w:noProof/>
        </w:rPr>
        <w:lastRenderedPageBreak/>
        <w:t>ANEXA </w:t>
      </w:r>
      <w:r w:rsidRPr="00CB1586">
        <w:rPr>
          <w:rStyle w:val="Marker"/>
          <w:noProof/>
        </w:rPr>
        <w:t>I</w:t>
      </w:r>
    </w:p>
    <w:p w14:paraId="21DD2C0A" w14:textId="77777777" w:rsidR="00A73F63" w:rsidRPr="00CB1586" w:rsidRDefault="00A73F63" w:rsidP="00A73F63">
      <w:pPr>
        <w:pStyle w:val="NormalCentered"/>
        <w:rPr>
          <w:noProof/>
        </w:rPr>
      </w:pPr>
      <w:r w:rsidRPr="00CB1586">
        <w:rPr>
          <w:b/>
          <w:noProof/>
          <w:u w:val="single"/>
        </w:rPr>
        <w:t>Materii prime strategice</w:t>
      </w:r>
    </w:p>
    <w:p w14:paraId="3CEF352E" w14:textId="77777777" w:rsidR="00A73F63" w:rsidRPr="00CB1586" w:rsidRDefault="00A73F63" w:rsidP="00A73F63">
      <w:pPr>
        <w:pStyle w:val="SectionTitle"/>
        <w:rPr>
          <w:noProof/>
        </w:rPr>
      </w:pPr>
      <w:r w:rsidRPr="00CB1586">
        <w:rPr>
          <w:noProof/>
        </w:rPr>
        <w:t xml:space="preserve">Secțiunea 1 </w:t>
      </w:r>
      <w:r w:rsidRPr="00CB1586">
        <w:rPr>
          <w:noProof/>
        </w:rPr>
        <w:br/>
        <w:t>Lista materiilor prime strategice</w:t>
      </w:r>
    </w:p>
    <w:p w14:paraId="3FD7EC5E" w14:textId="77777777" w:rsidR="00A73F63" w:rsidRPr="00CB1586" w:rsidRDefault="00A73F63" w:rsidP="00A73F63">
      <w:pPr>
        <w:rPr>
          <w:noProof/>
        </w:rPr>
      </w:pPr>
      <w:r w:rsidRPr="00CB1586">
        <w:rPr>
          <w:noProof/>
        </w:rPr>
        <w:t>Următoarele materii prime sunt considerate strategice:</w:t>
      </w:r>
    </w:p>
    <w:p w14:paraId="12E06793" w14:textId="77777777" w:rsidR="00A73F63" w:rsidRPr="00CB1586" w:rsidRDefault="00A73F63" w:rsidP="00890E59">
      <w:pPr>
        <w:pStyle w:val="Point1letter"/>
        <w:numPr>
          <w:ilvl w:val="3"/>
          <w:numId w:val="32"/>
        </w:numPr>
        <w:rPr>
          <w:noProof/>
        </w:rPr>
      </w:pPr>
      <w:r w:rsidRPr="00CB1586">
        <w:rPr>
          <w:noProof/>
        </w:rPr>
        <w:t>Bismut</w:t>
      </w:r>
    </w:p>
    <w:p w14:paraId="45F22D72" w14:textId="77777777" w:rsidR="00A73F63" w:rsidRPr="00CB1586" w:rsidRDefault="00A73F63" w:rsidP="00890E59">
      <w:pPr>
        <w:pStyle w:val="Point1letter"/>
        <w:rPr>
          <w:noProof/>
        </w:rPr>
      </w:pPr>
      <w:r w:rsidRPr="00CB1586">
        <w:rPr>
          <w:noProof/>
        </w:rPr>
        <w:t>Bor – de tip metalurgic</w:t>
      </w:r>
    </w:p>
    <w:p w14:paraId="76C64D58" w14:textId="77777777" w:rsidR="00A73F63" w:rsidRPr="00CB1586" w:rsidRDefault="00A73F63" w:rsidP="00890E59">
      <w:pPr>
        <w:pStyle w:val="Point1letter"/>
        <w:rPr>
          <w:noProof/>
        </w:rPr>
      </w:pPr>
      <w:r w:rsidRPr="00CB1586">
        <w:rPr>
          <w:noProof/>
        </w:rPr>
        <w:t>Cobalt</w:t>
      </w:r>
    </w:p>
    <w:p w14:paraId="30922E7E" w14:textId="77777777" w:rsidR="00A73F63" w:rsidRPr="00CB1586" w:rsidRDefault="00A73F63" w:rsidP="00890E59">
      <w:pPr>
        <w:pStyle w:val="Point1letter"/>
        <w:rPr>
          <w:noProof/>
        </w:rPr>
      </w:pPr>
      <w:r w:rsidRPr="00CB1586">
        <w:rPr>
          <w:noProof/>
        </w:rPr>
        <w:t>Cupru</w:t>
      </w:r>
    </w:p>
    <w:p w14:paraId="730E659F" w14:textId="77777777" w:rsidR="00A73F63" w:rsidRPr="00CB1586" w:rsidRDefault="00A73F63" w:rsidP="00890E59">
      <w:pPr>
        <w:pStyle w:val="Point1letter"/>
        <w:rPr>
          <w:noProof/>
        </w:rPr>
      </w:pPr>
      <w:r w:rsidRPr="00CB1586">
        <w:rPr>
          <w:noProof/>
        </w:rPr>
        <w:t>Galiu</w:t>
      </w:r>
    </w:p>
    <w:p w14:paraId="0A5D7A67" w14:textId="77777777" w:rsidR="00A73F63" w:rsidRPr="00CB1586" w:rsidRDefault="00A73F63" w:rsidP="00890E59">
      <w:pPr>
        <w:pStyle w:val="Point1letter"/>
        <w:rPr>
          <w:noProof/>
        </w:rPr>
      </w:pPr>
      <w:r w:rsidRPr="00CB1586">
        <w:rPr>
          <w:noProof/>
        </w:rPr>
        <w:t>Germaniu</w:t>
      </w:r>
    </w:p>
    <w:p w14:paraId="3F2D7BCA" w14:textId="77777777" w:rsidR="00A73F63" w:rsidRPr="00CB1586" w:rsidRDefault="00A73F63" w:rsidP="00890E59">
      <w:pPr>
        <w:pStyle w:val="Point1letter"/>
        <w:rPr>
          <w:noProof/>
        </w:rPr>
      </w:pPr>
      <w:r w:rsidRPr="00CB1586">
        <w:rPr>
          <w:noProof/>
        </w:rPr>
        <w:t>Litiu – grad de puritate pentru baterii</w:t>
      </w:r>
    </w:p>
    <w:p w14:paraId="4EF2BAF7" w14:textId="77777777" w:rsidR="00A73F63" w:rsidRPr="00CB1586" w:rsidRDefault="00A73F63" w:rsidP="00890E59">
      <w:pPr>
        <w:pStyle w:val="Point1letter"/>
        <w:rPr>
          <w:noProof/>
        </w:rPr>
      </w:pPr>
      <w:r w:rsidRPr="00CB1586">
        <w:rPr>
          <w:noProof/>
        </w:rPr>
        <w:t>Magneziu metalic</w:t>
      </w:r>
    </w:p>
    <w:p w14:paraId="50FB739D" w14:textId="77777777" w:rsidR="00A73F63" w:rsidRPr="00CB1586" w:rsidRDefault="00A73F63" w:rsidP="00890E59">
      <w:pPr>
        <w:pStyle w:val="Point1letter"/>
        <w:rPr>
          <w:noProof/>
        </w:rPr>
      </w:pPr>
      <w:r w:rsidRPr="00CB1586">
        <w:rPr>
          <w:noProof/>
        </w:rPr>
        <w:t>Mangan – grad de puritate pentru baterii</w:t>
      </w:r>
    </w:p>
    <w:p w14:paraId="598F3EBA" w14:textId="77777777" w:rsidR="00A73F63" w:rsidRPr="00CB1586" w:rsidRDefault="00A73F63" w:rsidP="00890E59">
      <w:pPr>
        <w:pStyle w:val="Point1letter"/>
        <w:rPr>
          <w:noProof/>
        </w:rPr>
      </w:pPr>
      <w:r w:rsidRPr="00CB1586">
        <w:rPr>
          <w:noProof/>
        </w:rPr>
        <w:t>Grafit natural – grad de puritate pentru baterii</w:t>
      </w:r>
    </w:p>
    <w:p w14:paraId="6766469A" w14:textId="77777777" w:rsidR="00A73F63" w:rsidRPr="00CB1586" w:rsidRDefault="00A73F63" w:rsidP="00890E59">
      <w:pPr>
        <w:pStyle w:val="Point1letter"/>
        <w:rPr>
          <w:noProof/>
        </w:rPr>
      </w:pPr>
      <w:r w:rsidRPr="00CB1586">
        <w:rPr>
          <w:noProof/>
        </w:rPr>
        <w:t>Nichel – grad de puritate pentru baterii</w:t>
      </w:r>
    </w:p>
    <w:p w14:paraId="59AF6466" w14:textId="77777777" w:rsidR="00A73F63" w:rsidRPr="00CB1586" w:rsidRDefault="00A73F63" w:rsidP="00890E59">
      <w:pPr>
        <w:pStyle w:val="Point1letter"/>
        <w:rPr>
          <w:noProof/>
        </w:rPr>
      </w:pPr>
      <w:r w:rsidRPr="00CB1586">
        <w:rPr>
          <w:noProof/>
        </w:rPr>
        <w:t>Metale din grupa platinei</w:t>
      </w:r>
    </w:p>
    <w:p w14:paraId="38AB90D2" w14:textId="77777777" w:rsidR="00A73F63" w:rsidRPr="00CB1586" w:rsidRDefault="00A73F63" w:rsidP="00890E59">
      <w:pPr>
        <w:pStyle w:val="Point1letter"/>
        <w:rPr>
          <w:noProof/>
        </w:rPr>
      </w:pPr>
      <w:r w:rsidRPr="00CB1586">
        <w:rPr>
          <w:noProof/>
        </w:rPr>
        <w:t>Pământuri rare pentru magneți (Nd, Pr, Tb, Dy, Gd, Sm și Ce)</w:t>
      </w:r>
    </w:p>
    <w:p w14:paraId="28DF941E" w14:textId="77777777" w:rsidR="00A73F63" w:rsidRPr="00CB1586" w:rsidRDefault="00A73F63" w:rsidP="00890E59">
      <w:pPr>
        <w:pStyle w:val="Point1letter"/>
        <w:rPr>
          <w:noProof/>
        </w:rPr>
      </w:pPr>
      <w:r w:rsidRPr="00CB1586">
        <w:rPr>
          <w:noProof/>
        </w:rPr>
        <w:t>Siliciu metalic</w:t>
      </w:r>
    </w:p>
    <w:p w14:paraId="244215D9" w14:textId="77777777" w:rsidR="00A73F63" w:rsidRPr="00CB1586" w:rsidRDefault="00A73F63" w:rsidP="00890E59">
      <w:pPr>
        <w:pStyle w:val="Point1letter"/>
        <w:rPr>
          <w:noProof/>
        </w:rPr>
      </w:pPr>
      <w:r w:rsidRPr="00CB1586">
        <w:rPr>
          <w:noProof/>
        </w:rPr>
        <w:t>Titan metalic</w:t>
      </w:r>
    </w:p>
    <w:p w14:paraId="164CDC3C" w14:textId="77777777" w:rsidR="00A73F63" w:rsidRPr="00CB1586" w:rsidRDefault="00A73F63" w:rsidP="00890E59">
      <w:pPr>
        <w:pStyle w:val="Point1letter"/>
        <w:rPr>
          <w:noProof/>
        </w:rPr>
      </w:pPr>
      <w:r w:rsidRPr="00CB1586">
        <w:rPr>
          <w:noProof/>
        </w:rPr>
        <w:t xml:space="preserve">Wolfram </w:t>
      </w:r>
    </w:p>
    <w:p w14:paraId="1DA99854" w14:textId="77777777" w:rsidR="00A73F63" w:rsidRPr="00CB1586" w:rsidRDefault="00A73F63" w:rsidP="00A73F63">
      <w:pPr>
        <w:rPr>
          <w:noProof/>
        </w:rPr>
      </w:pPr>
    </w:p>
    <w:p w14:paraId="0E45A0A4" w14:textId="77777777" w:rsidR="00A73F63" w:rsidRPr="00CB1586" w:rsidRDefault="00A73F63" w:rsidP="00A73F63">
      <w:pPr>
        <w:pStyle w:val="SectionTitle"/>
        <w:rPr>
          <w:noProof/>
        </w:rPr>
      </w:pPr>
      <w:r w:rsidRPr="00CB1586">
        <w:rPr>
          <w:noProof/>
        </w:rPr>
        <w:t xml:space="preserve">Secțiunea 2 </w:t>
      </w:r>
      <w:r w:rsidRPr="00CB1586">
        <w:rPr>
          <w:noProof/>
        </w:rPr>
        <w:br/>
        <w:t>Metodologia de selectare a materiilor prime strategice</w:t>
      </w:r>
    </w:p>
    <w:p w14:paraId="20306A0E" w14:textId="77777777" w:rsidR="00A73F63" w:rsidRPr="00CB1586" w:rsidRDefault="00A73F63" w:rsidP="00F733C0">
      <w:pPr>
        <w:pStyle w:val="NumPar1"/>
        <w:numPr>
          <w:ilvl w:val="0"/>
          <w:numId w:val="5"/>
        </w:numPr>
        <w:rPr>
          <w:noProof/>
        </w:rPr>
      </w:pPr>
      <w:r w:rsidRPr="00CB1586">
        <w:rPr>
          <w:noProof/>
        </w:rPr>
        <w:t>Importanța strategică se stabilește pe baza relevanței unei materii prime pentru dubla tranziția verde și digitală, precum și pentru aplicațiile din domeniul apărării și al spațiului, ținând seama de: </w:t>
      </w:r>
    </w:p>
    <w:p w14:paraId="7C615095" w14:textId="77777777" w:rsidR="00A73F63" w:rsidRPr="00CB1586" w:rsidRDefault="00A73F63" w:rsidP="00F733C0">
      <w:pPr>
        <w:pStyle w:val="Point1letter"/>
        <w:numPr>
          <w:ilvl w:val="3"/>
          <w:numId w:val="23"/>
        </w:numPr>
        <w:rPr>
          <w:noProof/>
        </w:rPr>
      </w:pPr>
      <w:r w:rsidRPr="00CB1586">
        <w:rPr>
          <w:noProof/>
        </w:rPr>
        <w:t>cantitatea de tehnologii strategice care utilizează o materie primă ca factor de producție;</w:t>
      </w:r>
    </w:p>
    <w:p w14:paraId="3C5D587E" w14:textId="77777777" w:rsidR="00A73F63" w:rsidRPr="00CB1586" w:rsidRDefault="00A73F63" w:rsidP="00F733C0">
      <w:pPr>
        <w:pStyle w:val="Point1letter"/>
        <w:numPr>
          <w:ilvl w:val="3"/>
          <w:numId w:val="23"/>
        </w:numPr>
        <w:rPr>
          <w:noProof/>
        </w:rPr>
      </w:pPr>
      <w:r w:rsidRPr="00CB1586">
        <w:rPr>
          <w:noProof/>
        </w:rPr>
        <w:t>cantitatea de materie primă necesară pentru fabricarea tehnologiilor strategice relevante; </w:t>
      </w:r>
    </w:p>
    <w:p w14:paraId="6418B70F" w14:textId="77777777" w:rsidR="00A73F63" w:rsidRPr="00CB1586" w:rsidRDefault="00A73F63" w:rsidP="00F733C0">
      <w:pPr>
        <w:pStyle w:val="Point1letter"/>
        <w:numPr>
          <w:ilvl w:val="3"/>
          <w:numId w:val="23"/>
        </w:numPr>
        <w:rPr>
          <w:noProof/>
        </w:rPr>
      </w:pPr>
      <w:r w:rsidRPr="00CB1586">
        <w:rPr>
          <w:noProof/>
        </w:rPr>
        <w:t>cererea globală preconizată de tehnologii strategice relevante.</w:t>
      </w:r>
    </w:p>
    <w:p w14:paraId="233399C3" w14:textId="77777777" w:rsidR="00A73F63" w:rsidRPr="00CB1586" w:rsidRDefault="00A73F63" w:rsidP="00890E59">
      <w:pPr>
        <w:pStyle w:val="NumPar1"/>
        <w:rPr>
          <w:noProof/>
        </w:rPr>
      </w:pPr>
      <w:r w:rsidRPr="00CB1586">
        <w:rPr>
          <w:noProof/>
        </w:rPr>
        <w:t>Creșterea previzionată a cererii (D</w:t>
      </w:r>
      <w:r w:rsidRPr="00CB1586">
        <w:rPr>
          <w:noProof/>
          <w:vertAlign w:val="subscript"/>
        </w:rPr>
        <w:t>F/C</w:t>
      </w:r>
      <w:r w:rsidRPr="00CB1586">
        <w:rPr>
          <w:noProof/>
        </w:rPr>
        <w:t>) se calculează după cum urmează:</w:t>
      </w:r>
    </w:p>
    <w:p w14:paraId="0D9E831E" w14:textId="77777777" w:rsidR="00A73F63" w:rsidRPr="00CB1586" w:rsidRDefault="00202699" w:rsidP="00A73F63">
      <w:pPr>
        <w:pStyle w:val="Text1"/>
        <w:rPr>
          <w:noProof/>
        </w:rPr>
      </w:pPr>
      <m:oMathPara>
        <m:oMath>
          <m:sSub>
            <m:sSubPr>
              <m:ctrlPr>
                <w:rPr>
                  <w:rFonts w:ascii="Cambria Math" w:hAnsi="Cambria Math"/>
                  <w:noProof/>
                </w:rPr>
              </m:ctrlPr>
            </m:sSubPr>
            <m:e>
              <m:r>
                <w:rPr>
                  <w:rFonts w:ascii="Cambria Math" w:hAnsi="Cambria Math"/>
                  <w:noProof/>
                </w:rPr>
                <m:t>D</m:t>
              </m:r>
            </m:e>
            <m:sub>
              <m:r>
                <w:rPr>
                  <w:rFonts w:ascii="Cambria Math" w:hAnsi="Cambria Math"/>
                  <w:noProof/>
                </w:rPr>
                <m:t>F</m:t>
              </m:r>
              <m:r>
                <m:rPr>
                  <m:sty m:val="p"/>
                </m:rPr>
                <w:rPr>
                  <w:rFonts w:ascii="Cambria Math" w:hAnsi="Cambria Math"/>
                  <w:noProof/>
                </w:rPr>
                <m:t>∕</m:t>
              </m:r>
              <m:r>
                <w:rPr>
                  <w:rFonts w:ascii="Cambria Math" w:hAnsi="Cambria Math"/>
                  <w:noProof/>
                </w:rPr>
                <m:t>C</m:t>
              </m:r>
            </m:sub>
          </m:sSub>
          <m:r>
            <m:rPr>
              <m:sty m:val="p"/>
            </m:rPr>
            <w:rPr>
              <w:rFonts w:ascii="Cambria Math" w:hAnsi="Cambria Math"/>
              <w:noProof/>
            </w:rPr>
            <m:t>=</m:t>
          </m:r>
          <m:f>
            <m:fPr>
              <m:ctrlPr>
                <w:rPr>
                  <w:rFonts w:ascii="Cambria Math" w:hAnsi="Cambria Math"/>
                  <w:noProof/>
                </w:rPr>
              </m:ctrlPr>
            </m:fPr>
            <m:num>
              <m:r>
                <w:rPr>
                  <w:rFonts w:ascii="Cambria Math" w:hAnsi="Cambria Math"/>
                  <w:noProof/>
                </w:rPr>
                <m:t>DF</m:t>
              </m:r>
            </m:num>
            <m:den>
              <m:r>
                <w:rPr>
                  <w:rFonts w:ascii="Cambria Math" w:hAnsi="Cambria Math"/>
                  <w:noProof/>
                </w:rPr>
                <m:t>GS</m:t>
              </m:r>
            </m:den>
          </m:f>
        </m:oMath>
      </m:oMathPara>
    </w:p>
    <w:p w14:paraId="1518CEFF" w14:textId="77777777" w:rsidR="00A73F63" w:rsidRPr="00CB1586" w:rsidRDefault="00A73F63" w:rsidP="00A73F63">
      <w:pPr>
        <w:pStyle w:val="Text1"/>
        <w:rPr>
          <w:noProof/>
        </w:rPr>
      </w:pPr>
      <w:r w:rsidRPr="00CB1586">
        <w:rPr>
          <w:noProof/>
        </w:rPr>
        <w:t>unde:</w:t>
      </w:r>
    </w:p>
    <w:p w14:paraId="73C9CFD8" w14:textId="77777777" w:rsidR="00A73F63" w:rsidRPr="00CB1586" w:rsidRDefault="00A73F63" w:rsidP="00A73F63">
      <w:pPr>
        <w:pStyle w:val="Text1"/>
        <w:rPr>
          <w:noProof/>
        </w:rPr>
      </w:pPr>
      <w:r w:rsidRPr="00CB1586">
        <w:rPr>
          <w:noProof/>
        </w:rPr>
        <w:t>D</w:t>
      </w:r>
      <w:r w:rsidRPr="00CB1586">
        <w:rPr>
          <w:noProof/>
          <w:vertAlign w:val="subscript"/>
        </w:rPr>
        <w:t>F</w:t>
      </w:r>
      <w:r w:rsidRPr="00CB1586">
        <w:rPr>
          <w:noProof/>
        </w:rPr>
        <w:t xml:space="preserve"> este o previziune a cererii pentru o materie primă într-un an de referință;</w:t>
      </w:r>
    </w:p>
    <w:p w14:paraId="20378F0D" w14:textId="77777777" w:rsidR="00A73F63" w:rsidRPr="00CB1586" w:rsidRDefault="00A73F63" w:rsidP="00A73F63">
      <w:pPr>
        <w:pStyle w:val="Text1"/>
        <w:rPr>
          <w:noProof/>
        </w:rPr>
      </w:pPr>
      <w:r w:rsidRPr="00CB1586">
        <w:rPr>
          <w:noProof/>
        </w:rPr>
        <w:t>GS este producția anuală mondială a unei materii prime într-o perioadă de referință.</w:t>
      </w:r>
    </w:p>
    <w:p w14:paraId="0E77A9B0" w14:textId="77777777" w:rsidR="00A73F63" w:rsidRPr="00CB1586" w:rsidRDefault="00A73F63" w:rsidP="00890E59">
      <w:pPr>
        <w:pStyle w:val="NumPar1"/>
        <w:rPr>
          <w:noProof/>
        </w:rPr>
      </w:pPr>
      <w:r w:rsidRPr="00CB1586">
        <w:rPr>
          <w:noProof/>
        </w:rPr>
        <w:t>Dificultatea creșterii producției se stabilește luând în considerare cel puțin:</w:t>
      </w:r>
    </w:p>
    <w:p w14:paraId="1FB56EC0" w14:textId="77777777" w:rsidR="00A73F63" w:rsidRPr="00CB1586" w:rsidRDefault="00A73F63" w:rsidP="00F733C0">
      <w:pPr>
        <w:pStyle w:val="Point1letter"/>
        <w:numPr>
          <w:ilvl w:val="3"/>
          <w:numId w:val="24"/>
        </w:numPr>
        <w:rPr>
          <w:noProof/>
        </w:rPr>
      </w:pPr>
      <w:r w:rsidRPr="00CB1586">
        <w:rPr>
          <w:noProof/>
        </w:rPr>
        <w:t>scara de producție (PS) actuală a unei materii prime într-o perioadă de referință, calculată după cum urmează:</w:t>
      </w:r>
    </w:p>
    <w:p w14:paraId="0E667CDE" w14:textId="77777777" w:rsidR="00A73F63" w:rsidRPr="00CB1586" w:rsidRDefault="00A73F63" w:rsidP="00A73F63">
      <w:pPr>
        <w:pStyle w:val="Text2"/>
        <w:rPr>
          <w:noProof/>
        </w:rPr>
      </w:pPr>
      <m:oMathPara>
        <m:oMath>
          <m:r>
            <w:rPr>
              <w:rFonts w:ascii="Cambria Math" w:hAnsi="Cambria Math"/>
              <w:noProof/>
            </w:rPr>
            <m:t>PS=lo</m:t>
          </m:r>
          <m:sSub>
            <m:sSubPr>
              <m:ctrlPr>
                <w:rPr>
                  <w:rFonts w:ascii="Cambria Math" w:hAnsi="Cambria Math"/>
                  <w:noProof/>
                </w:rPr>
              </m:ctrlPr>
            </m:sSubPr>
            <m:e>
              <m:r>
                <w:rPr>
                  <w:rFonts w:ascii="Cambria Math" w:hAnsi="Cambria Math"/>
                  <w:noProof/>
                </w:rPr>
                <m:t>g</m:t>
              </m:r>
            </m:e>
            <m:sub>
              <m:r>
                <w:rPr>
                  <w:rFonts w:ascii="Cambria Math" w:hAnsi="Cambria Math"/>
                  <w:noProof/>
                </w:rPr>
                <m:t>10</m:t>
              </m:r>
            </m:sub>
          </m:sSub>
          <m:r>
            <w:rPr>
              <w:rFonts w:ascii="Cambria Math" w:hAnsi="Cambria Math"/>
              <w:noProof/>
            </w:rPr>
            <m:t>(GS)</m:t>
          </m:r>
        </m:oMath>
      </m:oMathPara>
    </w:p>
    <w:p w14:paraId="0CD0FE35" w14:textId="77777777" w:rsidR="00A73F63" w:rsidRPr="00CB1586" w:rsidRDefault="00A73F63" w:rsidP="00A73F63">
      <w:pPr>
        <w:pStyle w:val="Text2"/>
        <w:rPr>
          <w:noProof/>
        </w:rPr>
      </w:pPr>
      <w:r w:rsidRPr="00CB1586">
        <w:rPr>
          <w:noProof/>
        </w:rPr>
        <w:t>unde:</w:t>
      </w:r>
    </w:p>
    <w:p w14:paraId="48B4FB83" w14:textId="77777777" w:rsidR="00A73F63" w:rsidRPr="00CB1586" w:rsidRDefault="00A73F63" w:rsidP="00A73F63">
      <w:pPr>
        <w:pStyle w:val="Text2"/>
        <w:rPr>
          <w:noProof/>
        </w:rPr>
      </w:pPr>
      <w:r w:rsidRPr="00CB1586">
        <w:rPr>
          <w:noProof/>
        </w:rPr>
        <w:t>log</w:t>
      </w:r>
      <w:r w:rsidRPr="00CB1586">
        <w:rPr>
          <w:noProof/>
          <w:vertAlign w:val="subscript"/>
        </w:rPr>
        <w:t>10</w:t>
      </w:r>
      <w:r w:rsidRPr="00CB1586">
        <w:rPr>
          <w:noProof/>
        </w:rPr>
        <w:t xml:space="preserve"> este un logaritm comun;</w:t>
      </w:r>
    </w:p>
    <w:p w14:paraId="6221BCA2" w14:textId="77777777" w:rsidR="00A73F63" w:rsidRPr="00CB1586" w:rsidRDefault="00A73F63" w:rsidP="00A73F63">
      <w:pPr>
        <w:pStyle w:val="Text2"/>
        <w:rPr>
          <w:noProof/>
        </w:rPr>
      </w:pPr>
      <w:r w:rsidRPr="00CB1586">
        <w:rPr>
          <w:noProof/>
        </w:rPr>
        <w:t>GS este producția anuală mondială a unei materii prime într-o perioadă de referință;</w:t>
      </w:r>
    </w:p>
    <w:p w14:paraId="434E9035" w14:textId="77777777" w:rsidR="00A73F63" w:rsidRPr="00CB1586" w:rsidRDefault="00A73F63" w:rsidP="00F733C0">
      <w:pPr>
        <w:pStyle w:val="Point1letter"/>
        <w:numPr>
          <w:ilvl w:val="3"/>
          <w:numId w:val="24"/>
        </w:numPr>
        <w:rPr>
          <w:noProof/>
        </w:rPr>
      </w:pPr>
      <w:r w:rsidRPr="00CB1586">
        <w:rPr>
          <w:noProof/>
        </w:rPr>
        <w:t>raportul rezerve-producție (R/P) al unei materii prime, calculat după cum urmează:</w:t>
      </w:r>
    </w:p>
    <w:p w14:paraId="37FF16AC" w14:textId="77777777" w:rsidR="00A73F63" w:rsidRPr="00CB1586" w:rsidRDefault="00A73F63" w:rsidP="00A73F63">
      <w:pPr>
        <w:pStyle w:val="Text2"/>
        <w:rPr>
          <w:noProof/>
        </w:rPr>
      </w:pPr>
      <m:oMathPara>
        <m:oMath>
          <m:r>
            <w:rPr>
              <w:rFonts w:ascii="Cambria Math" w:hAnsi="Cambria Math"/>
              <w:noProof/>
            </w:rPr>
            <m:t>R</m:t>
          </m:r>
          <m:r>
            <m:rPr>
              <m:sty m:val="p"/>
            </m:rPr>
            <w:rPr>
              <w:rFonts w:ascii="Cambria Math" w:hAnsi="Cambria Math"/>
              <w:noProof/>
            </w:rPr>
            <m:t>∕</m:t>
          </m:r>
          <m:r>
            <w:rPr>
              <w:rFonts w:ascii="Cambria Math" w:hAnsi="Cambria Math"/>
              <w:noProof/>
            </w:rPr>
            <m:t>P</m:t>
          </m:r>
          <m:r>
            <m:rPr>
              <m:sty m:val="p"/>
            </m:rPr>
            <w:rPr>
              <w:rFonts w:ascii="Cambria Math" w:hAnsi="Cambria Math"/>
              <w:noProof/>
            </w:rPr>
            <m:t>=</m:t>
          </m:r>
          <m:f>
            <m:fPr>
              <m:ctrlPr>
                <w:rPr>
                  <w:rFonts w:ascii="Cambria Math" w:hAnsi="Cambria Math"/>
                  <w:noProof/>
                </w:rPr>
              </m:ctrlPr>
            </m:fPr>
            <m:num>
              <m:r>
                <w:rPr>
                  <w:rFonts w:ascii="Cambria Math" w:hAnsi="Cambria Math"/>
                  <w:noProof/>
                </w:rPr>
                <m:t>R</m:t>
              </m:r>
            </m:num>
            <m:den>
              <m:r>
                <w:rPr>
                  <w:rFonts w:ascii="Cambria Math" w:hAnsi="Cambria Math"/>
                  <w:noProof/>
                </w:rPr>
                <m:t>GS</m:t>
              </m:r>
            </m:den>
          </m:f>
        </m:oMath>
      </m:oMathPara>
    </w:p>
    <w:p w14:paraId="5015A105" w14:textId="77777777" w:rsidR="00A73F63" w:rsidRPr="00CB1586" w:rsidRDefault="00A73F63" w:rsidP="00A73F63">
      <w:pPr>
        <w:pStyle w:val="Text2"/>
        <w:rPr>
          <w:noProof/>
        </w:rPr>
      </w:pPr>
      <w:r w:rsidRPr="00CB1586">
        <w:rPr>
          <w:noProof/>
        </w:rPr>
        <w:t>unde:</w:t>
      </w:r>
    </w:p>
    <w:p w14:paraId="68CF232B" w14:textId="77777777" w:rsidR="00A73F63" w:rsidRPr="00CB1586" w:rsidRDefault="00A73F63" w:rsidP="00A73F63">
      <w:pPr>
        <w:pStyle w:val="Text2"/>
        <w:rPr>
          <w:noProof/>
        </w:rPr>
      </w:pPr>
      <w:r w:rsidRPr="00CB1586">
        <w:rPr>
          <w:noProof/>
        </w:rPr>
        <w:t>R sunt rezerve cunoscute de resurse geologice exploatabile din punct de vedere economic ale unei materii prime;</w:t>
      </w:r>
    </w:p>
    <w:p w14:paraId="6D85071A" w14:textId="77777777" w:rsidR="00A73F63" w:rsidRPr="00CB1586" w:rsidRDefault="00A73F63" w:rsidP="00A73F63">
      <w:pPr>
        <w:pStyle w:val="Text2"/>
        <w:rPr>
          <w:noProof/>
        </w:rPr>
      </w:pPr>
      <w:r w:rsidRPr="00CB1586">
        <w:rPr>
          <w:noProof/>
        </w:rPr>
        <w:t>GS este producția anuală mondială a unei materii prime într-o perioadă de referință.</w:t>
      </w:r>
    </w:p>
    <w:p w14:paraId="236E7286" w14:textId="77777777" w:rsidR="00A73F63" w:rsidRPr="00CB1586" w:rsidRDefault="00A73F63" w:rsidP="00A73F63">
      <w:pPr>
        <w:rPr>
          <w:noProof/>
        </w:rPr>
        <w:sectPr w:rsidR="00A73F63" w:rsidRPr="00CB1586" w:rsidSect="00F159FE">
          <w:footerReference w:type="default" r:id="rId15"/>
          <w:footerReference w:type="first" r:id="rId16"/>
          <w:pgSz w:w="11907" w:h="16839"/>
          <w:pgMar w:top="1134" w:right="1417" w:bottom="1134" w:left="1417" w:header="709" w:footer="709" w:gutter="0"/>
          <w:cols w:space="720"/>
          <w:docGrid w:linePitch="360"/>
        </w:sectPr>
      </w:pPr>
    </w:p>
    <w:p w14:paraId="5F2C3EBE" w14:textId="77777777" w:rsidR="00A73F63" w:rsidRPr="00CB1586" w:rsidRDefault="00A73F63" w:rsidP="00A73F63">
      <w:pPr>
        <w:pStyle w:val="Annexetitre"/>
        <w:rPr>
          <w:noProof/>
          <w:color w:val="0000FF"/>
        </w:rPr>
      </w:pPr>
      <w:r w:rsidRPr="00CB1586">
        <w:rPr>
          <w:noProof/>
        </w:rPr>
        <w:t>ANEXA </w:t>
      </w:r>
      <w:r w:rsidRPr="00CB1586">
        <w:rPr>
          <w:rStyle w:val="Marker"/>
          <w:noProof/>
        </w:rPr>
        <w:t>II</w:t>
      </w:r>
    </w:p>
    <w:p w14:paraId="3F6FE47A" w14:textId="77777777" w:rsidR="00A73F63" w:rsidRPr="00CB1586" w:rsidRDefault="00A73F63" w:rsidP="00A73F63">
      <w:pPr>
        <w:pStyle w:val="NormalCentered"/>
        <w:rPr>
          <w:b/>
          <w:noProof/>
          <w:u w:val="single"/>
        </w:rPr>
      </w:pPr>
      <w:r w:rsidRPr="00CB1586">
        <w:rPr>
          <w:b/>
          <w:noProof/>
          <w:u w:val="single"/>
        </w:rPr>
        <w:t>Materii prime critice</w:t>
      </w:r>
    </w:p>
    <w:p w14:paraId="429CF3E9" w14:textId="77777777" w:rsidR="00A73F63" w:rsidRPr="00CB1586" w:rsidRDefault="00A73F63" w:rsidP="00A73F63">
      <w:pPr>
        <w:pStyle w:val="SectionTitle"/>
        <w:rPr>
          <w:noProof/>
        </w:rPr>
      </w:pPr>
      <w:r w:rsidRPr="00CB1586">
        <w:rPr>
          <w:noProof/>
        </w:rPr>
        <w:t xml:space="preserve">Secțiunea 1 </w:t>
      </w:r>
      <w:r w:rsidRPr="00CB1586">
        <w:rPr>
          <w:noProof/>
        </w:rPr>
        <w:br/>
        <w:t>Lista materiilor prime critice</w:t>
      </w:r>
    </w:p>
    <w:p w14:paraId="1A461873" w14:textId="77777777" w:rsidR="00A73F63" w:rsidRPr="00CB1586" w:rsidRDefault="00A73F63" w:rsidP="00A73F63">
      <w:pPr>
        <w:rPr>
          <w:noProof/>
        </w:rPr>
      </w:pPr>
      <w:r w:rsidRPr="00CB1586">
        <w:rPr>
          <w:noProof/>
        </w:rPr>
        <w:t>Următoarele materii prime sunt considerate critice:</w:t>
      </w:r>
    </w:p>
    <w:p w14:paraId="0E24AF59" w14:textId="77777777" w:rsidR="00A73F63" w:rsidRPr="00CB1586" w:rsidRDefault="00A73F63" w:rsidP="00F733C0">
      <w:pPr>
        <w:pStyle w:val="Point1letter"/>
        <w:numPr>
          <w:ilvl w:val="3"/>
          <w:numId w:val="22"/>
        </w:numPr>
        <w:rPr>
          <w:noProof/>
        </w:rPr>
      </w:pPr>
      <w:r w:rsidRPr="00CB1586">
        <w:rPr>
          <w:noProof/>
        </w:rPr>
        <w:t>Antimoniu</w:t>
      </w:r>
    </w:p>
    <w:p w14:paraId="3067AC52" w14:textId="77777777" w:rsidR="00A73F63" w:rsidRPr="00CB1586" w:rsidRDefault="00A73F63" w:rsidP="00F733C0">
      <w:pPr>
        <w:pStyle w:val="Point1letter"/>
        <w:numPr>
          <w:ilvl w:val="3"/>
          <w:numId w:val="22"/>
        </w:numPr>
        <w:rPr>
          <w:noProof/>
        </w:rPr>
      </w:pPr>
      <w:r w:rsidRPr="00CB1586">
        <w:rPr>
          <w:noProof/>
        </w:rPr>
        <w:t>Arsen</w:t>
      </w:r>
    </w:p>
    <w:p w14:paraId="144A881B" w14:textId="77777777" w:rsidR="00A73F63" w:rsidRPr="00CB1586" w:rsidRDefault="00A73F63" w:rsidP="00F733C0">
      <w:pPr>
        <w:pStyle w:val="Point1letter"/>
        <w:numPr>
          <w:ilvl w:val="3"/>
          <w:numId w:val="22"/>
        </w:numPr>
        <w:rPr>
          <w:noProof/>
        </w:rPr>
      </w:pPr>
      <w:r w:rsidRPr="00CB1586">
        <w:rPr>
          <w:noProof/>
        </w:rPr>
        <w:t>Bauxită</w:t>
      </w:r>
    </w:p>
    <w:p w14:paraId="0A541DC6" w14:textId="77777777" w:rsidR="00A73F63" w:rsidRPr="00CB1586" w:rsidRDefault="00A73F63" w:rsidP="00F733C0">
      <w:pPr>
        <w:pStyle w:val="Point1letter"/>
        <w:numPr>
          <w:ilvl w:val="3"/>
          <w:numId w:val="22"/>
        </w:numPr>
        <w:rPr>
          <w:noProof/>
        </w:rPr>
      </w:pPr>
      <w:r w:rsidRPr="00CB1586">
        <w:rPr>
          <w:noProof/>
        </w:rPr>
        <w:t>Baritină</w:t>
      </w:r>
    </w:p>
    <w:p w14:paraId="5806DD9D" w14:textId="77777777" w:rsidR="00A73F63" w:rsidRPr="00CB1586" w:rsidRDefault="00A73F63" w:rsidP="00F733C0">
      <w:pPr>
        <w:pStyle w:val="Point1letter"/>
        <w:numPr>
          <w:ilvl w:val="3"/>
          <w:numId w:val="22"/>
        </w:numPr>
        <w:rPr>
          <w:noProof/>
        </w:rPr>
      </w:pPr>
      <w:r w:rsidRPr="00CB1586">
        <w:rPr>
          <w:noProof/>
        </w:rPr>
        <w:t>Beriliu</w:t>
      </w:r>
    </w:p>
    <w:p w14:paraId="1A70C214" w14:textId="77777777" w:rsidR="00A73F63" w:rsidRPr="00CB1586" w:rsidRDefault="00A73F63" w:rsidP="00F733C0">
      <w:pPr>
        <w:pStyle w:val="Point1letter"/>
        <w:numPr>
          <w:ilvl w:val="3"/>
          <w:numId w:val="22"/>
        </w:numPr>
        <w:rPr>
          <w:noProof/>
        </w:rPr>
      </w:pPr>
      <w:r w:rsidRPr="00CB1586">
        <w:rPr>
          <w:noProof/>
        </w:rPr>
        <w:t>Bismut</w:t>
      </w:r>
    </w:p>
    <w:p w14:paraId="72D23E46" w14:textId="50A08462" w:rsidR="00A73F63" w:rsidRPr="00CB1586" w:rsidRDefault="00A73F63" w:rsidP="00F733C0">
      <w:pPr>
        <w:pStyle w:val="Point1letter"/>
        <w:numPr>
          <w:ilvl w:val="3"/>
          <w:numId w:val="22"/>
        </w:numPr>
        <w:rPr>
          <w:noProof/>
        </w:rPr>
      </w:pPr>
      <w:r w:rsidRPr="00CB1586">
        <w:rPr>
          <w:noProof/>
        </w:rPr>
        <w:t>Bor</w:t>
      </w:r>
    </w:p>
    <w:p w14:paraId="06ABE870" w14:textId="77777777" w:rsidR="00A73F63" w:rsidRPr="00CB1586" w:rsidRDefault="00A73F63" w:rsidP="00F733C0">
      <w:pPr>
        <w:pStyle w:val="Point1letter"/>
        <w:numPr>
          <w:ilvl w:val="3"/>
          <w:numId w:val="22"/>
        </w:numPr>
        <w:rPr>
          <w:noProof/>
        </w:rPr>
      </w:pPr>
      <w:r w:rsidRPr="00CB1586">
        <w:rPr>
          <w:noProof/>
        </w:rPr>
        <w:t>Cobalt</w:t>
      </w:r>
    </w:p>
    <w:p w14:paraId="0C00BE79" w14:textId="3D50E5ED" w:rsidR="00A73F63" w:rsidRPr="00CB1586" w:rsidRDefault="00A73F63" w:rsidP="00F733C0">
      <w:pPr>
        <w:pStyle w:val="Point1letter"/>
        <w:numPr>
          <w:ilvl w:val="3"/>
          <w:numId w:val="22"/>
        </w:numPr>
        <w:rPr>
          <w:noProof/>
        </w:rPr>
      </w:pPr>
      <w:r w:rsidRPr="00CB1586">
        <w:rPr>
          <w:noProof/>
        </w:rPr>
        <w:t>Huilă de cocs</w:t>
      </w:r>
    </w:p>
    <w:p w14:paraId="639190CF" w14:textId="715B1F95" w:rsidR="00A749AC" w:rsidRPr="00CB1586" w:rsidRDefault="00A749AC" w:rsidP="00F733C0">
      <w:pPr>
        <w:pStyle w:val="Point1letter"/>
        <w:numPr>
          <w:ilvl w:val="3"/>
          <w:numId w:val="22"/>
        </w:numPr>
        <w:rPr>
          <w:noProof/>
        </w:rPr>
      </w:pPr>
      <w:r w:rsidRPr="00CB1586">
        <w:rPr>
          <w:noProof/>
        </w:rPr>
        <w:t>Cupru</w:t>
      </w:r>
    </w:p>
    <w:p w14:paraId="1397DAC3" w14:textId="77777777" w:rsidR="00A73F63" w:rsidRPr="00CB1586" w:rsidRDefault="00A73F63" w:rsidP="00F733C0">
      <w:pPr>
        <w:pStyle w:val="Point1letter"/>
        <w:numPr>
          <w:ilvl w:val="3"/>
          <w:numId w:val="22"/>
        </w:numPr>
        <w:rPr>
          <w:noProof/>
        </w:rPr>
      </w:pPr>
      <w:r w:rsidRPr="00CB1586">
        <w:rPr>
          <w:noProof/>
        </w:rPr>
        <w:t>Feldspat</w:t>
      </w:r>
    </w:p>
    <w:p w14:paraId="43B02429" w14:textId="77777777" w:rsidR="00A73F63" w:rsidRPr="00CB1586" w:rsidRDefault="00A73F63" w:rsidP="00F733C0">
      <w:pPr>
        <w:pStyle w:val="Point1letter"/>
        <w:numPr>
          <w:ilvl w:val="3"/>
          <w:numId w:val="22"/>
        </w:numPr>
        <w:rPr>
          <w:noProof/>
        </w:rPr>
      </w:pPr>
      <w:r w:rsidRPr="00CB1586">
        <w:rPr>
          <w:noProof/>
        </w:rPr>
        <w:t>Fluorină</w:t>
      </w:r>
    </w:p>
    <w:p w14:paraId="57681102" w14:textId="77777777" w:rsidR="00A73F63" w:rsidRPr="00CB1586" w:rsidRDefault="00A73F63" w:rsidP="00F733C0">
      <w:pPr>
        <w:pStyle w:val="Point1letter"/>
        <w:numPr>
          <w:ilvl w:val="3"/>
          <w:numId w:val="22"/>
        </w:numPr>
        <w:rPr>
          <w:noProof/>
        </w:rPr>
      </w:pPr>
      <w:r w:rsidRPr="00CB1586">
        <w:rPr>
          <w:noProof/>
        </w:rPr>
        <w:t>Galiu</w:t>
      </w:r>
    </w:p>
    <w:p w14:paraId="4E616AF1" w14:textId="77777777" w:rsidR="00A73F63" w:rsidRPr="00CB1586" w:rsidRDefault="00A73F63" w:rsidP="00F733C0">
      <w:pPr>
        <w:pStyle w:val="Point1letter"/>
        <w:numPr>
          <w:ilvl w:val="3"/>
          <w:numId w:val="22"/>
        </w:numPr>
        <w:rPr>
          <w:noProof/>
        </w:rPr>
      </w:pPr>
      <w:r w:rsidRPr="00CB1586">
        <w:rPr>
          <w:noProof/>
        </w:rPr>
        <w:t>Germaniu</w:t>
      </w:r>
    </w:p>
    <w:p w14:paraId="0A508B00" w14:textId="77777777" w:rsidR="00A73F63" w:rsidRPr="00CB1586" w:rsidRDefault="00A73F63" w:rsidP="00F733C0">
      <w:pPr>
        <w:pStyle w:val="Point1letter"/>
        <w:numPr>
          <w:ilvl w:val="3"/>
          <w:numId w:val="22"/>
        </w:numPr>
        <w:rPr>
          <w:noProof/>
        </w:rPr>
      </w:pPr>
      <w:r w:rsidRPr="00CB1586">
        <w:rPr>
          <w:noProof/>
        </w:rPr>
        <w:t>Hafniu</w:t>
      </w:r>
    </w:p>
    <w:p w14:paraId="4EF1449C" w14:textId="77777777" w:rsidR="00A73F63" w:rsidRPr="00CB1586" w:rsidRDefault="00A73F63" w:rsidP="00F733C0">
      <w:pPr>
        <w:pStyle w:val="Point1letter"/>
        <w:numPr>
          <w:ilvl w:val="3"/>
          <w:numId w:val="22"/>
        </w:numPr>
        <w:rPr>
          <w:noProof/>
        </w:rPr>
      </w:pPr>
      <w:r w:rsidRPr="00CB1586">
        <w:rPr>
          <w:noProof/>
        </w:rPr>
        <w:t>Heliu</w:t>
      </w:r>
    </w:p>
    <w:p w14:paraId="18E1E4B3" w14:textId="77777777" w:rsidR="00A73F63" w:rsidRPr="00CB1586" w:rsidRDefault="00A73F63" w:rsidP="00F733C0">
      <w:pPr>
        <w:pStyle w:val="Point1letter"/>
        <w:numPr>
          <w:ilvl w:val="3"/>
          <w:numId w:val="22"/>
        </w:numPr>
        <w:rPr>
          <w:noProof/>
        </w:rPr>
      </w:pPr>
      <w:r w:rsidRPr="00CB1586">
        <w:rPr>
          <w:noProof/>
        </w:rPr>
        <w:t>Pământuri rare grele</w:t>
      </w:r>
    </w:p>
    <w:p w14:paraId="2D0F5A34" w14:textId="77777777" w:rsidR="00A73F63" w:rsidRPr="00CB1586" w:rsidRDefault="00A73F63" w:rsidP="00F733C0">
      <w:pPr>
        <w:pStyle w:val="Point1letter"/>
        <w:numPr>
          <w:ilvl w:val="3"/>
          <w:numId w:val="22"/>
        </w:numPr>
        <w:rPr>
          <w:noProof/>
        </w:rPr>
      </w:pPr>
      <w:r w:rsidRPr="00CB1586">
        <w:rPr>
          <w:noProof/>
        </w:rPr>
        <w:t>Pământuri rare ușoare</w:t>
      </w:r>
    </w:p>
    <w:p w14:paraId="4104590D" w14:textId="77777777" w:rsidR="00A73F63" w:rsidRPr="00CB1586" w:rsidRDefault="00A73F63" w:rsidP="00F733C0">
      <w:pPr>
        <w:pStyle w:val="Point1letter"/>
        <w:numPr>
          <w:ilvl w:val="3"/>
          <w:numId w:val="22"/>
        </w:numPr>
        <w:rPr>
          <w:noProof/>
        </w:rPr>
      </w:pPr>
      <w:r w:rsidRPr="00CB1586">
        <w:rPr>
          <w:noProof/>
        </w:rPr>
        <w:t>Litiu</w:t>
      </w:r>
    </w:p>
    <w:p w14:paraId="5ED93198" w14:textId="77777777" w:rsidR="00A73F63" w:rsidRPr="00CB1586" w:rsidRDefault="00A73F63" w:rsidP="00F733C0">
      <w:pPr>
        <w:pStyle w:val="Point1letter"/>
        <w:numPr>
          <w:ilvl w:val="3"/>
          <w:numId w:val="22"/>
        </w:numPr>
        <w:rPr>
          <w:noProof/>
        </w:rPr>
      </w:pPr>
      <w:r w:rsidRPr="00CB1586">
        <w:rPr>
          <w:noProof/>
        </w:rPr>
        <w:t>Magneziu</w:t>
      </w:r>
    </w:p>
    <w:p w14:paraId="4D50874F" w14:textId="77777777" w:rsidR="00A73F63" w:rsidRPr="00CB1586" w:rsidRDefault="00A73F63" w:rsidP="00F733C0">
      <w:pPr>
        <w:pStyle w:val="Point1letter"/>
        <w:numPr>
          <w:ilvl w:val="3"/>
          <w:numId w:val="22"/>
        </w:numPr>
        <w:rPr>
          <w:noProof/>
        </w:rPr>
      </w:pPr>
      <w:r w:rsidRPr="00CB1586">
        <w:rPr>
          <w:noProof/>
        </w:rPr>
        <w:t>Mangan</w:t>
      </w:r>
    </w:p>
    <w:p w14:paraId="2563BB8A" w14:textId="2C252A2B" w:rsidR="00A73F63" w:rsidRPr="00CB1586" w:rsidRDefault="00A73F63" w:rsidP="00F733C0">
      <w:pPr>
        <w:pStyle w:val="Point1letter"/>
        <w:numPr>
          <w:ilvl w:val="3"/>
          <w:numId w:val="22"/>
        </w:numPr>
        <w:rPr>
          <w:noProof/>
        </w:rPr>
      </w:pPr>
      <w:r w:rsidRPr="00CB1586">
        <w:rPr>
          <w:noProof/>
        </w:rPr>
        <w:t>Grafit natural</w:t>
      </w:r>
    </w:p>
    <w:p w14:paraId="28CF7D34" w14:textId="514C955B" w:rsidR="00A749AC" w:rsidRPr="00CB1586" w:rsidRDefault="00A749AC" w:rsidP="00F733C0">
      <w:pPr>
        <w:pStyle w:val="Point1letter"/>
        <w:numPr>
          <w:ilvl w:val="3"/>
          <w:numId w:val="22"/>
        </w:numPr>
        <w:rPr>
          <w:noProof/>
        </w:rPr>
      </w:pPr>
      <w:r w:rsidRPr="00CB1586">
        <w:rPr>
          <w:noProof/>
        </w:rPr>
        <w:t>Nichel – grad de puritate pentru baterii</w:t>
      </w:r>
    </w:p>
    <w:p w14:paraId="7E1E6ECD" w14:textId="77777777" w:rsidR="00A73F63" w:rsidRPr="00CB1586" w:rsidRDefault="00A73F63" w:rsidP="00F733C0">
      <w:pPr>
        <w:pStyle w:val="Point1letter"/>
        <w:numPr>
          <w:ilvl w:val="3"/>
          <w:numId w:val="22"/>
        </w:numPr>
        <w:rPr>
          <w:noProof/>
        </w:rPr>
      </w:pPr>
      <w:r w:rsidRPr="00CB1586">
        <w:rPr>
          <w:noProof/>
        </w:rPr>
        <w:t>Niobiu</w:t>
      </w:r>
    </w:p>
    <w:p w14:paraId="708DAE39" w14:textId="77777777" w:rsidR="00A73F63" w:rsidRPr="00CB1586" w:rsidRDefault="00A73F63" w:rsidP="00F733C0">
      <w:pPr>
        <w:pStyle w:val="Point1letter"/>
        <w:numPr>
          <w:ilvl w:val="3"/>
          <w:numId w:val="22"/>
        </w:numPr>
        <w:rPr>
          <w:noProof/>
        </w:rPr>
      </w:pPr>
      <w:r w:rsidRPr="00CB1586">
        <w:rPr>
          <w:noProof/>
        </w:rPr>
        <w:t>Rocă fosfatică</w:t>
      </w:r>
    </w:p>
    <w:p w14:paraId="0661B560" w14:textId="77777777" w:rsidR="00A73F63" w:rsidRPr="00CB1586" w:rsidRDefault="00A73F63" w:rsidP="00F733C0">
      <w:pPr>
        <w:pStyle w:val="Point1letter"/>
        <w:numPr>
          <w:ilvl w:val="3"/>
          <w:numId w:val="22"/>
        </w:numPr>
        <w:rPr>
          <w:noProof/>
        </w:rPr>
      </w:pPr>
      <w:r w:rsidRPr="00CB1586">
        <w:rPr>
          <w:noProof/>
        </w:rPr>
        <w:t>Fosfor</w:t>
      </w:r>
    </w:p>
    <w:p w14:paraId="6D77D04E" w14:textId="77777777" w:rsidR="00A73F63" w:rsidRPr="00CB1586" w:rsidRDefault="00A73F63" w:rsidP="00F733C0">
      <w:pPr>
        <w:pStyle w:val="Point1letter"/>
        <w:numPr>
          <w:ilvl w:val="3"/>
          <w:numId w:val="22"/>
        </w:numPr>
        <w:rPr>
          <w:noProof/>
        </w:rPr>
      </w:pPr>
      <w:r w:rsidRPr="00CB1586">
        <w:rPr>
          <w:noProof/>
        </w:rPr>
        <w:t>Metale din grupa platinei</w:t>
      </w:r>
    </w:p>
    <w:p w14:paraId="287F3587" w14:textId="77777777" w:rsidR="00A73F63" w:rsidRPr="00CB1586" w:rsidRDefault="00A73F63" w:rsidP="00F733C0">
      <w:pPr>
        <w:pStyle w:val="Point1letter"/>
        <w:numPr>
          <w:ilvl w:val="3"/>
          <w:numId w:val="22"/>
        </w:numPr>
        <w:rPr>
          <w:noProof/>
        </w:rPr>
      </w:pPr>
      <w:r w:rsidRPr="00CB1586">
        <w:rPr>
          <w:noProof/>
        </w:rPr>
        <w:t>Scandiu</w:t>
      </w:r>
    </w:p>
    <w:p w14:paraId="333532D1" w14:textId="77777777" w:rsidR="00A73F63" w:rsidRPr="00CB1586" w:rsidRDefault="00A73F63" w:rsidP="00F733C0">
      <w:pPr>
        <w:pStyle w:val="Point1letter"/>
        <w:numPr>
          <w:ilvl w:val="3"/>
          <w:numId w:val="22"/>
        </w:numPr>
        <w:rPr>
          <w:noProof/>
        </w:rPr>
      </w:pPr>
      <w:r w:rsidRPr="00CB1586">
        <w:rPr>
          <w:noProof/>
        </w:rPr>
        <w:t>Siliciu metalic</w:t>
      </w:r>
    </w:p>
    <w:p w14:paraId="1AEB4D4D" w14:textId="77777777" w:rsidR="00A73F63" w:rsidRPr="00CB1586" w:rsidRDefault="00A73F63" w:rsidP="00F733C0">
      <w:pPr>
        <w:pStyle w:val="Point1letter"/>
        <w:numPr>
          <w:ilvl w:val="3"/>
          <w:numId w:val="22"/>
        </w:numPr>
        <w:rPr>
          <w:noProof/>
        </w:rPr>
      </w:pPr>
      <w:r w:rsidRPr="00CB1586">
        <w:rPr>
          <w:noProof/>
        </w:rPr>
        <w:t>Stronțiu</w:t>
      </w:r>
    </w:p>
    <w:p w14:paraId="5001407D" w14:textId="77777777" w:rsidR="00A73F63" w:rsidRPr="00CB1586" w:rsidRDefault="00A73F63" w:rsidP="00F733C0">
      <w:pPr>
        <w:pStyle w:val="Point1letter"/>
        <w:numPr>
          <w:ilvl w:val="3"/>
          <w:numId w:val="22"/>
        </w:numPr>
        <w:rPr>
          <w:noProof/>
        </w:rPr>
      </w:pPr>
      <w:r w:rsidRPr="00CB1586">
        <w:rPr>
          <w:noProof/>
        </w:rPr>
        <w:t>Tantal</w:t>
      </w:r>
    </w:p>
    <w:p w14:paraId="5B13DA1E" w14:textId="77777777" w:rsidR="00A73F63" w:rsidRPr="00CB1586" w:rsidRDefault="00A73F63" w:rsidP="00F733C0">
      <w:pPr>
        <w:pStyle w:val="Point1letter"/>
        <w:numPr>
          <w:ilvl w:val="3"/>
          <w:numId w:val="22"/>
        </w:numPr>
        <w:rPr>
          <w:noProof/>
        </w:rPr>
      </w:pPr>
      <w:r w:rsidRPr="00CB1586">
        <w:rPr>
          <w:noProof/>
        </w:rPr>
        <w:t>Titan metalic</w:t>
      </w:r>
    </w:p>
    <w:p w14:paraId="23A3A185" w14:textId="77777777" w:rsidR="00A73F63" w:rsidRPr="00CB1586" w:rsidRDefault="00A73F63" w:rsidP="00F733C0">
      <w:pPr>
        <w:pStyle w:val="Point1letter"/>
        <w:numPr>
          <w:ilvl w:val="3"/>
          <w:numId w:val="22"/>
        </w:numPr>
        <w:rPr>
          <w:noProof/>
        </w:rPr>
      </w:pPr>
      <w:r w:rsidRPr="00CB1586">
        <w:rPr>
          <w:noProof/>
        </w:rPr>
        <w:t>Wolfram</w:t>
      </w:r>
    </w:p>
    <w:p w14:paraId="57781F04" w14:textId="77777777" w:rsidR="00A73F63" w:rsidRPr="00CB1586" w:rsidRDefault="00A73F63" w:rsidP="00F733C0">
      <w:pPr>
        <w:pStyle w:val="Point1letter"/>
        <w:numPr>
          <w:ilvl w:val="3"/>
          <w:numId w:val="22"/>
        </w:numPr>
        <w:rPr>
          <w:noProof/>
        </w:rPr>
      </w:pPr>
      <w:r w:rsidRPr="00CB1586">
        <w:rPr>
          <w:noProof/>
        </w:rPr>
        <w:t>Vanadiu</w:t>
      </w:r>
    </w:p>
    <w:p w14:paraId="364AC308" w14:textId="77777777" w:rsidR="00A73F63" w:rsidRPr="00CB1586" w:rsidRDefault="00A73F63" w:rsidP="00A73F63">
      <w:pPr>
        <w:rPr>
          <w:noProof/>
        </w:rPr>
      </w:pPr>
    </w:p>
    <w:p w14:paraId="6D28D6EE" w14:textId="77777777" w:rsidR="00A73F63" w:rsidRPr="00CB1586" w:rsidRDefault="00A73F63" w:rsidP="00A73F63">
      <w:pPr>
        <w:pStyle w:val="SectionTitle"/>
        <w:rPr>
          <w:noProof/>
        </w:rPr>
      </w:pPr>
      <w:r w:rsidRPr="00CB1586">
        <w:rPr>
          <w:noProof/>
        </w:rPr>
        <w:t xml:space="preserve">Secțiunea 2 </w:t>
      </w:r>
      <w:r w:rsidRPr="00CB1586">
        <w:rPr>
          <w:noProof/>
        </w:rPr>
        <w:br/>
        <w:t>Calcularea importanței economice și a riscului în materie de aprovizionare</w:t>
      </w:r>
    </w:p>
    <w:p w14:paraId="52CA5E2C" w14:textId="77777777" w:rsidR="00A73F63" w:rsidRPr="00CB1586" w:rsidRDefault="00A73F63" w:rsidP="00F733C0">
      <w:pPr>
        <w:pStyle w:val="NumPar1"/>
        <w:numPr>
          <w:ilvl w:val="0"/>
          <w:numId w:val="2"/>
        </w:numPr>
        <w:rPr>
          <w:noProof/>
        </w:rPr>
      </w:pPr>
      <w:r w:rsidRPr="00CB1586">
        <w:rPr>
          <w:noProof/>
        </w:rPr>
        <w:t>Importanța economică (IE) a unei materii prime se calculează după cum urmează:</w:t>
      </w:r>
    </w:p>
    <w:p w14:paraId="388BA59C" w14:textId="77777777" w:rsidR="00A73F63" w:rsidRPr="00CB1586" w:rsidRDefault="00202699" w:rsidP="00A73F63">
      <w:pPr>
        <w:pStyle w:val="Text1"/>
        <w:rPr>
          <w:noProof/>
        </w:rPr>
      </w:pPr>
      <w:sdt>
        <w:sdtPr>
          <w:rPr>
            <w:noProof/>
            <w:color w:val="2B579A"/>
            <w:shd w:val="clear" w:color="auto" w:fill="E6E6E6"/>
          </w:rPr>
          <w:alias w:val="tex-math"/>
          <w:tag w:val="tex-math"/>
          <w:id w:val="294177025"/>
        </w:sdtPr>
        <w:sdtEndPr>
          <w:rPr>
            <w:shd w:val="clear" w:color="auto" w:fill="auto"/>
          </w:rPr>
        </w:sdtEndPr>
        <w:sdtContent>
          <w:r w:rsidR="00963989" w:rsidRPr="00CB1586">
            <w:rPr>
              <w:noProof/>
              <w:color w:val="2B579A"/>
              <w:shd w:val="clear" w:color="auto" w:fill="E6E6E6"/>
              <w:lang w:val="en-GB" w:eastAsia="en-GB"/>
            </w:rPr>
            <w:drawing>
              <wp:inline distT="0" distB="0" distL="0" distR="0" wp14:anchorId="41ADE451" wp14:editId="471CC3B4">
                <wp:extent cx="1911926"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88B50C.tmp"/>
                        <pic:cNvPicPr/>
                      </pic:nvPicPr>
                      <pic:blipFill>
                        <a:blip r:embed="rId17">
                          <a:extLst>
                            <a:ext uri="{28A0092B-C50C-407E-A947-70E740481C1C}">
                              <a14:useLocalDpi xmlns:a14="http://schemas.microsoft.com/office/drawing/2010/main" val="0"/>
                            </a:ext>
                          </a:extLst>
                        </a:blip>
                        <a:stretch>
                          <a:fillRect/>
                        </a:stretch>
                      </pic:blipFill>
                      <pic:spPr>
                        <a:xfrm>
                          <a:off x="0" y="0"/>
                          <a:ext cx="1925273" cy="345294"/>
                        </a:xfrm>
                        <a:prstGeom prst="rect">
                          <a:avLst/>
                        </a:prstGeom>
                      </pic:spPr>
                    </pic:pic>
                  </a:graphicData>
                </a:graphic>
              </wp:inline>
            </w:drawing>
          </w:r>
        </w:sdtContent>
      </w:sdt>
    </w:p>
    <w:p w14:paraId="605D3387" w14:textId="77777777" w:rsidR="00A73F63" w:rsidRPr="00CB1586" w:rsidRDefault="00A73F63" w:rsidP="00A73F63">
      <w:pPr>
        <w:pStyle w:val="Text1"/>
        <w:rPr>
          <w:noProof/>
        </w:rPr>
      </w:pPr>
      <w:r w:rsidRPr="00CB1586">
        <w:rPr>
          <w:noProof/>
        </w:rPr>
        <w:t>unde:</w:t>
      </w:r>
    </w:p>
    <w:p w14:paraId="728EA46C" w14:textId="77777777" w:rsidR="00A73F63" w:rsidRPr="00CB1586" w:rsidRDefault="00A73F63" w:rsidP="00A73F63">
      <w:pPr>
        <w:pStyle w:val="Text1"/>
        <w:rPr>
          <w:noProof/>
        </w:rPr>
      </w:pPr>
      <w:r w:rsidRPr="00CB1586">
        <w:rPr>
          <w:noProof/>
        </w:rPr>
        <w:t>A</w:t>
      </w:r>
      <w:r w:rsidRPr="00CB1586">
        <w:rPr>
          <w:noProof/>
          <w:vertAlign w:val="subscript"/>
        </w:rPr>
        <w:t>s </w:t>
      </w:r>
      <w:r w:rsidRPr="00CB1586">
        <w:rPr>
          <w:noProof/>
        </w:rPr>
        <w:t>este ponderea utilizării finale a materiei prime într-un sector NACE (nivel de 2 cifre);</w:t>
      </w:r>
    </w:p>
    <w:p w14:paraId="6546B007" w14:textId="77777777" w:rsidR="00A73F63" w:rsidRPr="00CB1586" w:rsidRDefault="00A73F63" w:rsidP="00A73F63">
      <w:pPr>
        <w:pStyle w:val="Text1"/>
        <w:rPr>
          <w:noProof/>
        </w:rPr>
      </w:pPr>
      <w:r w:rsidRPr="00CB1586">
        <w:rPr>
          <w:noProof/>
        </w:rPr>
        <w:t>Q</w:t>
      </w:r>
      <w:r w:rsidRPr="00CB1586">
        <w:rPr>
          <w:noProof/>
          <w:vertAlign w:val="subscript"/>
        </w:rPr>
        <w:t>s</w:t>
      </w:r>
      <w:r w:rsidRPr="00CB1586">
        <w:rPr>
          <w:noProof/>
        </w:rPr>
        <w:t> este valoarea adăugată a sectorului relevant în cadrul NACE (nivel de 2 cifre);</w:t>
      </w:r>
    </w:p>
    <w:p w14:paraId="63DBF2DA" w14:textId="5B15F6DE" w:rsidR="00A73F63" w:rsidRPr="00CB1586" w:rsidRDefault="00A73F63" w:rsidP="00A73F63">
      <w:pPr>
        <w:pStyle w:val="Text1"/>
        <w:rPr>
          <w:noProof/>
        </w:rPr>
      </w:pPr>
      <w:r w:rsidRPr="00CB1586">
        <w:rPr>
          <w:noProof/>
        </w:rPr>
        <w:t>SI</w:t>
      </w:r>
      <w:r w:rsidRPr="00CB1586">
        <w:rPr>
          <w:noProof/>
          <w:vertAlign w:val="subscript"/>
        </w:rPr>
        <w:t>EI</w:t>
      </w:r>
      <w:r w:rsidR="00CB1586">
        <w:rPr>
          <w:noProof/>
          <w:vertAlign w:val="subscript"/>
        </w:rPr>
        <w:t xml:space="preserve"> </w:t>
      </w:r>
      <w:r w:rsidRPr="00CB1586">
        <w:rPr>
          <w:noProof/>
        </w:rPr>
        <w:t>este indicele de substituție raportat la importanța economică.</w:t>
      </w:r>
    </w:p>
    <w:p w14:paraId="08008E22" w14:textId="77777777" w:rsidR="00A73F63" w:rsidRPr="00CB1586" w:rsidRDefault="00A73F63" w:rsidP="00890E59">
      <w:pPr>
        <w:pStyle w:val="NumPar1"/>
        <w:rPr>
          <w:noProof/>
        </w:rPr>
      </w:pPr>
      <w:r w:rsidRPr="00CB1586">
        <w:rPr>
          <w:noProof/>
        </w:rPr>
        <w:t>Indicele de substituție al unei materii prime raportat la importanța economică (SI</w:t>
      </w:r>
      <w:r w:rsidRPr="00CB1586">
        <w:rPr>
          <w:noProof/>
          <w:vertAlign w:val="subscript"/>
        </w:rPr>
        <w:t>EI</w:t>
      </w:r>
      <w:r w:rsidRPr="00CB1586">
        <w:rPr>
          <w:noProof/>
        </w:rPr>
        <w:t>) se calculează după cum urmează:</w:t>
      </w:r>
    </w:p>
    <w:p w14:paraId="18596846" w14:textId="77777777" w:rsidR="00A73F63" w:rsidRPr="00CB1586" w:rsidRDefault="00202699" w:rsidP="00A73F63">
      <w:pPr>
        <w:pStyle w:val="Text1"/>
        <w:rPr>
          <w:noProof/>
        </w:rPr>
      </w:pPr>
      <w:sdt>
        <w:sdtPr>
          <w:rPr>
            <w:noProof/>
            <w:color w:val="2B579A"/>
            <w:shd w:val="clear" w:color="auto" w:fill="E6E6E6"/>
          </w:rPr>
          <w:alias w:val="tex-math"/>
          <w:tag w:val="tex-math"/>
          <w:id w:val="-278799703"/>
        </w:sdtPr>
        <w:sdtEndPr>
          <w:rPr>
            <w:shd w:val="clear" w:color="auto" w:fill="auto"/>
          </w:rPr>
        </w:sdtEndPr>
        <w:sdtContent>
          <w:r w:rsidR="00963989" w:rsidRPr="00CB1586">
            <w:rPr>
              <w:noProof/>
              <w:color w:val="2B579A"/>
              <w:shd w:val="clear" w:color="auto" w:fill="E6E6E6"/>
              <w:lang w:val="en-GB" w:eastAsia="en-GB"/>
            </w:rPr>
            <w:drawing>
              <wp:inline distT="0" distB="0" distL="0" distR="0" wp14:anchorId="358CA6C9" wp14:editId="6FE7310D">
                <wp:extent cx="3203641" cy="46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88691E.tmp"/>
                        <pic:cNvPicPr/>
                      </pic:nvPicPr>
                      <pic:blipFill>
                        <a:blip r:embed="rId18">
                          <a:extLst>
                            <a:ext uri="{28A0092B-C50C-407E-A947-70E740481C1C}">
                              <a14:useLocalDpi xmlns:a14="http://schemas.microsoft.com/office/drawing/2010/main" val="0"/>
                            </a:ext>
                          </a:extLst>
                        </a:blip>
                        <a:stretch>
                          <a:fillRect/>
                        </a:stretch>
                      </pic:blipFill>
                      <pic:spPr>
                        <a:xfrm>
                          <a:off x="0" y="0"/>
                          <a:ext cx="3206833" cy="464012"/>
                        </a:xfrm>
                        <a:prstGeom prst="rect">
                          <a:avLst/>
                        </a:prstGeom>
                      </pic:spPr>
                    </pic:pic>
                  </a:graphicData>
                </a:graphic>
              </wp:inline>
            </w:drawing>
          </w:r>
        </w:sdtContent>
      </w:sdt>
    </w:p>
    <w:p w14:paraId="39020891" w14:textId="77777777" w:rsidR="00A73F63" w:rsidRPr="00CB1586" w:rsidRDefault="00A73F63" w:rsidP="00A73F63">
      <w:pPr>
        <w:pStyle w:val="Text1"/>
        <w:rPr>
          <w:noProof/>
        </w:rPr>
      </w:pPr>
      <w:r w:rsidRPr="00CB1586">
        <w:rPr>
          <w:noProof/>
        </w:rPr>
        <w:t>unde:</w:t>
      </w:r>
    </w:p>
    <w:p w14:paraId="1E0F72ED" w14:textId="77777777" w:rsidR="00A73F63" w:rsidRPr="00CB1586" w:rsidRDefault="00A73F63" w:rsidP="00A73F63">
      <w:pPr>
        <w:pStyle w:val="Text1"/>
        <w:rPr>
          <w:noProof/>
        </w:rPr>
      </w:pPr>
      <w:r w:rsidRPr="00CB1586">
        <w:rPr>
          <w:noProof/>
        </w:rPr>
        <w:t>i reprezintă o materie de substituție individuală;</w:t>
      </w:r>
    </w:p>
    <w:p w14:paraId="51B8B62E" w14:textId="77777777" w:rsidR="00A73F63" w:rsidRPr="00CB1586" w:rsidRDefault="00A73F63" w:rsidP="00A73F63">
      <w:pPr>
        <w:pStyle w:val="Text1"/>
        <w:rPr>
          <w:noProof/>
        </w:rPr>
      </w:pPr>
      <w:r w:rsidRPr="00CB1586">
        <w:rPr>
          <w:noProof/>
        </w:rPr>
        <w:t>a reprezintă o utilizare individuală a materiei prime;</w:t>
      </w:r>
    </w:p>
    <w:p w14:paraId="3631D283" w14:textId="77777777" w:rsidR="00A73F63" w:rsidRPr="00CB1586" w:rsidRDefault="00A73F63" w:rsidP="00A73F63">
      <w:pPr>
        <w:pStyle w:val="Text1"/>
        <w:rPr>
          <w:noProof/>
        </w:rPr>
      </w:pPr>
      <w:r w:rsidRPr="00CB1586">
        <w:rPr>
          <w:noProof/>
        </w:rPr>
        <w:t>SCP este raportul cost/performanță al substituentului;</w:t>
      </w:r>
    </w:p>
    <w:p w14:paraId="3065B03A" w14:textId="77777777" w:rsidR="00A73F63" w:rsidRPr="00CB1586" w:rsidRDefault="00A73F63" w:rsidP="00A73F63">
      <w:pPr>
        <w:pStyle w:val="Text1"/>
        <w:rPr>
          <w:noProof/>
        </w:rPr>
      </w:pPr>
      <w:r w:rsidRPr="00CB1586">
        <w:rPr>
          <w:i/>
          <w:iCs/>
          <w:noProof/>
        </w:rPr>
        <w:t>Share</w:t>
      </w:r>
      <w:r w:rsidRPr="00CB1586">
        <w:rPr>
          <w:noProof/>
        </w:rPr>
        <w:t xml:space="preserve"> este ponderea materiilor prime în cadrul unei utilizări finale;</w:t>
      </w:r>
    </w:p>
    <w:p w14:paraId="4826633B" w14:textId="77777777" w:rsidR="00A73F63" w:rsidRPr="00CB1586" w:rsidRDefault="00A73F63" w:rsidP="00A73F63">
      <w:pPr>
        <w:pStyle w:val="Text1"/>
        <w:rPr>
          <w:noProof/>
        </w:rPr>
      </w:pPr>
      <w:r w:rsidRPr="00CB1586">
        <w:rPr>
          <w:i/>
          <w:iCs/>
          <w:noProof/>
        </w:rPr>
        <w:t>Sub-share</w:t>
      </w:r>
      <w:r w:rsidRPr="00CB1586">
        <w:rPr>
          <w:noProof/>
        </w:rPr>
        <w:t xml:space="preserve"> este subponderea fiecărui substituent în cadrul fiecărei utilizări.</w:t>
      </w:r>
    </w:p>
    <w:p w14:paraId="03B9B730" w14:textId="77777777" w:rsidR="00A73F63" w:rsidRPr="00CB1586" w:rsidRDefault="00A73F63" w:rsidP="00890E59">
      <w:pPr>
        <w:pStyle w:val="NumPar1"/>
        <w:rPr>
          <w:noProof/>
        </w:rPr>
      </w:pPr>
      <w:r w:rsidRPr="00CB1586">
        <w:rPr>
          <w:noProof/>
        </w:rPr>
        <w:t>Riscul în materie de aprovizionare (SR) al unei materii prime se calculează după cum urmează:</w:t>
      </w:r>
    </w:p>
    <w:p w14:paraId="06B55D5F" w14:textId="77777777" w:rsidR="00A73F63" w:rsidRPr="00CB1586" w:rsidRDefault="00202699" w:rsidP="00A73F63">
      <w:pPr>
        <w:pStyle w:val="Text1"/>
        <w:rPr>
          <w:noProof/>
        </w:rPr>
      </w:pPr>
      <w:sdt>
        <w:sdtPr>
          <w:rPr>
            <w:noProof/>
            <w:color w:val="2B579A"/>
            <w:shd w:val="clear" w:color="auto" w:fill="E6E6E6"/>
          </w:rPr>
          <w:alias w:val="tex-math"/>
          <w:tag w:val="tex-math"/>
          <w:id w:val="428004140"/>
        </w:sdtPr>
        <w:sdtEndPr>
          <w:rPr>
            <w:shd w:val="clear" w:color="auto" w:fill="auto"/>
          </w:rPr>
        </w:sdtEndPr>
        <w:sdtContent>
          <w:r w:rsidR="00963989" w:rsidRPr="00CB1586">
            <w:rPr>
              <w:noProof/>
              <w:color w:val="2B579A"/>
              <w:shd w:val="clear" w:color="auto" w:fill="E6E6E6"/>
              <w:lang w:val="en-GB" w:eastAsia="en-GB"/>
            </w:rPr>
            <w:drawing>
              <wp:inline distT="0" distB="0" distL="0" distR="0" wp14:anchorId="1351BD3B" wp14:editId="41D53D80">
                <wp:extent cx="5033427" cy="368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88345F.tmp"/>
                        <pic:cNvPicPr/>
                      </pic:nvPicPr>
                      <pic:blipFill>
                        <a:blip r:embed="rId19">
                          <a:extLst>
                            <a:ext uri="{28A0092B-C50C-407E-A947-70E740481C1C}">
                              <a14:useLocalDpi xmlns:a14="http://schemas.microsoft.com/office/drawing/2010/main" val="0"/>
                            </a:ext>
                          </a:extLst>
                        </a:blip>
                        <a:stretch>
                          <a:fillRect/>
                        </a:stretch>
                      </pic:blipFill>
                      <pic:spPr>
                        <a:xfrm>
                          <a:off x="0" y="0"/>
                          <a:ext cx="5040398" cy="368810"/>
                        </a:xfrm>
                        <a:prstGeom prst="rect">
                          <a:avLst/>
                        </a:prstGeom>
                      </pic:spPr>
                    </pic:pic>
                  </a:graphicData>
                </a:graphic>
              </wp:inline>
            </w:drawing>
          </w:r>
        </w:sdtContent>
      </w:sdt>
    </w:p>
    <w:p w14:paraId="76CBAA13" w14:textId="77777777" w:rsidR="00A73F63" w:rsidRPr="00CB1586" w:rsidRDefault="00A73F63" w:rsidP="00A73F63">
      <w:pPr>
        <w:pStyle w:val="Text1"/>
        <w:rPr>
          <w:noProof/>
        </w:rPr>
      </w:pPr>
      <w:r w:rsidRPr="00CB1586">
        <w:rPr>
          <w:noProof/>
        </w:rPr>
        <w:t>unde:</w:t>
      </w:r>
    </w:p>
    <w:p w14:paraId="7E488D50" w14:textId="77777777" w:rsidR="00A73F63" w:rsidRPr="00CB1586" w:rsidRDefault="00A73F63" w:rsidP="00A73F63">
      <w:pPr>
        <w:pStyle w:val="Text1"/>
        <w:rPr>
          <w:noProof/>
        </w:rPr>
      </w:pPr>
      <w:r w:rsidRPr="00CB1586">
        <w:rPr>
          <w:noProof/>
        </w:rPr>
        <w:t>GS este producția anuală mondială a unei materii prime într-o perioadă de referință;</w:t>
      </w:r>
    </w:p>
    <w:p w14:paraId="4062445A" w14:textId="13732D7D" w:rsidR="00A73F63" w:rsidRPr="00CB1586" w:rsidRDefault="00A73F63" w:rsidP="00A73F63">
      <w:pPr>
        <w:pStyle w:val="Text1"/>
        <w:rPr>
          <w:noProof/>
        </w:rPr>
      </w:pPr>
      <w:r w:rsidRPr="00CB1586">
        <w:rPr>
          <w:noProof/>
        </w:rPr>
        <w:t>Aprovizionarea UE reprezintă sursele reale de aprovizionare a UE, și anume producția internă a UE plus importurile în UE din alte țări;</w:t>
      </w:r>
    </w:p>
    <w:p w14:paraId="14E50824" w14:textId="77777777" w:rsidR="00A73F63" w:rsidRPr="00CB1586" w:rsidRDefault="00A73F63" w:rsidP="00A73F63">
      <w:pPr>
        <w:pStyle w:val="Text1"/>
        <w:rPr>
          <w:noProof/>
        </w:rPr>
      </w:pPr>
      <w:r w:rsidRPr="00CB1586">
        <w:rPr>
          <w:noProof/>
        </w:rPr>
        <w:t>HHI este indicele Herfindahl-Hirschman (utilizat ca indicator pentru concentrarea la nivel de țară);</w:t>
      </w:r>
    </w:p>
    <w:p w14:paraId="3175FF95" w14:textId="77777777" w:rsidR="00A73F63" w:rsidRPr="00CB1586" w:rsidRDefault="00A73F63" w:rsidP="00A73F63">
      <w:pPr>
        <w:pStyle w:val="Text1"/>
        <w:rPr>
          <w:noProof/>
        </w:rPr>
      </w:pPr>
      <w:r w:rsidRPr="00CB1586">
        <w:rPr>
          <w:noProof/>
        </w:rPr>
        <w:t>WGI este indicele de guvernanță mondială ajustat (utilizat ca indicator de guvernanță națională);</w:t>
      </w:r>
    </w:p>
    <w:p w14:paraId="16DABAF1" w14:textId="77777777" w:rsidR="00A73F63" w:rsidRPr="00CB1586" w:rsidRDefault="00A73F63" w:rsidP="00A73F63">
      <w:pPr>
        <w:pStyle w:val="Text1"/>
        <w:rPr>
          <w:noProof/>
        </w:rPr>
      </w:pPr>
      <w:r w:rsidRPr="00CB1586">
        <w:rPr>
          <w:noProof/>
        </w:rPr>
        <w:t>t este parametrul comercial ce ajustează WGI, care se stabilește luând în considerare potențialele taxe la export (reduse, după caz, printr-un acord comercial în vigoare), contingentele fizice de export sau interdicțiile de export impuse de o țară.</w:t>
      </w:r>
    </w:p>
    <w:p w14:paraId="604271C9" w14:textId="77777777" w:rsidR="00A73F63" w:rsidRPr="00CB1586" w:rsidRDefault="00A73F63" w:rsidP="00A73F63">
      <w:pPr>
        <w:pStyle w:val="Text1"/>
        <w:rPr>
          <w:noProof/>
        </w:rPr>
      </w:pPr>
      <w:r w:rsidRPr="00CB1586">
        <w:rPr>
          <w:noProof/>
        </w:rPr>
        <w:t>IR este dependența de importuri;</w:t>
      </w:r>
    </w:p>
    <w:p w14:paraId="70141BBC" w14:textId="77777777" w:rsidR="00A73F63" w:rsidRPr="00CB1586" w:rsidRDefault="00A73F63" w:rsidP="00A73F63">
      <w:pPr>
        <w:pStyle w:val="Text1"/>
        <w:rPr>
          <w:noProof/>
        </w:rPr>
      </w:pPr>
      <w:r w:rsidRPr="00CB1586">
        <w:rPr>
          <w:noProof/>
        </w:rPr>
        <w:t>EoL</w:t>
      </w:r>
      <w:r w:rsidRPr="00CB1586">
        <w:rPr>
          <w:noProof/>
          <w:vertAlign w:val="subscript"/>
        </w:rPr>
        <w:t>RIR</w:t>
      </w:r>
      <w:r w:rsidRPr="00CB1586">
        <w:rPr>
          <w:noProof/>
        </w:rPr>
        <w:t> este rata de reciclare a materiilor la sfârșitul ciclului de viață, adică raportul dintre intrările de materii secundare (reciclate din deșeuri vechi) și toate intrările de materii prime (primare și secundare);</w:t>
      </w:r>
    </w:p>
    <w:p w14:paraId="4E78F4D4" w14:textId="77777777" w:rsidR="00A73F63" w:rsidRPr="00CB1586" w:rsidRDefault="00A73F63" w:rsidP="00A73F63">
      <w:pPr>
        <w:pStyle w:val="Text1"/>
        <w:rPr>
          <w:noProof/>
        </w:rPr>
      </w:pPr>
      <w:r w:rsidRPr="00CB1586">
        <w:rPr>
          <w:noProof/>
        </w:rPr>
        <w:t>SI</w:t>
      </w:r>
      <w:r w:rsidRPr="00CB1586">
        <w:rPr>
          <w:noProof/>
          <w:vertAlign w:val="subscript"/>
        </w:rPr>
        <w:t>SR</w:t>
      </w:r>
      <w:r w:rsidRPr="00CB1586">
        <w:rPr>
          <w:noProof/>
        </w:rPr>
        <w:t> este indicele de substituție raportat la riscul în materie de aprovizionare.</w:t>
      </w:r>
    </w:p>
    <w:p w14:paraId="11555AD6" w14:textId="77777777" w:rsidR="00A73F63" w:rsidRPr="00CB1586" w:rsidRDefault="00A73F63" w:rsidP="00890E59">
      <w:pPr>
        <w:pStyle w:val="NumPar1"/>
        <w:rPr>
          <w:noProof/>
        </w:rPr>
      </w:pPr>
      <w:r w:rsidRPr="00CB1586">
        <w:rPr>
          <w:noProof/>
        </w:rPr>
        <w:t>Dependența de importurile de materii prime se calculează după cum urmează:</w:t>
      </w:r>
    </w:p>
    <w:p w14:paraId="128A73D9" w14:textId="77777777" w:rsidR="00A73F63" w:rsidRPr="00CB1586" w:rsidRDefault="00A73F63" w:rsidP="00A73F63">
      <w:pPr>
        <w:pStyle w:val="Text1"/>
        <w:rPr>
          <w:noProof/>
        </w:rPr>
      </w:pPr>
      <m:oMathPara>
        <m:oMath>
          <m:r>
            <w:rPr>
              <w:rFonts w:ascii="Cambria Math" w:hAnsi="Cambria Math"/>
              <w:noProof/>
            </w:rPr>
            <m:t>IR=</m:t>
          </m:r>
          <m:f>
            <m:fPr>
              <m:ctrlPr>
                <w:rPr>
                  <w:rFonts w:ascii="Cambria Math" w:hAnsi="Cambria Math"/>
                  <w:noProof/>
                </w:rPr>
              </m:ctrlPr>
            </m:fPr>
            <m:num>
              <m:r>
                <w:rPr>
                  <w:rFonts w:ascii="Cambria Math" w:hAnsi="Cambria Math"/>
                  <w:noProof/>
                </w:rPr>
                <m:t>Import-Export</m:t>
              </m:r>
            </m:num>
            <m:den>
              <m:r>
                <w:rPr>
                  <w:rFonts w:ascii="Cambria Math" w:hAnsi="Cambria Math"/>
                  <w:noProof/>
                </w:rPr>
                <m:t>Domesticproduction+Import-Export</m:t>
              </m:r>
            </m:den>
          </m:f>
        </m:oMath>
      </m:oMathPara>
    </w:p>
    <w:p w14:paraId="648B16D5" w14:textId="77777777" w:rsidR="00A73F63" w:rsidRPr="00CB1586" w:rsidRDefault="00A73F63" w:rsidP="00890E59">
      <w:pPr>
        <w:pStyle w:val="NumPar1"/>
        <w:rPr>
          <w:noProof/>
        </w:rPr>
      </w:pPr>
      <w:r w:rsidRPr="00CB1586">
        <w:rPr>
          <w:noProof/>
        </w:rPr>
        <w:t>Indicele Herfindahl-Hirschman (HHI</w:t>
      </w:r>
      <w:r w:rsidRPr="00CB1586">
        <w:rPr>
          <w:noProof/>
          <w:vertAlign w:val="subscript"/>
        </w:rPr>
        <w:t>WGI</w:t>
      </w:r>
      <w:r w:rsidRPr="00CB1586">
        <w:rPr>
          <w:noProof/>
        </w:rPr>
        <w:t>) al unei materii prime se calculează după cum urmează:</w:t>
      </w:r>
    </w:p>
    <w:p w14:paraId="46F7E2C3" w14:textId="77777777" w:rsidR="00A73F63" w:rsidRPr="00CB1586" w:rsidRDefault="00202699" w:rsidP="00A73F63">
      <w:pPr>
        <w:pStyle w:val="Text1"/>
        <w:rPr>
          <w:noProof/>
        </w:rPr>
      </w:pPr>
      <w:sdt>
        <w:sdtPr>
          <w:rPr>
            <w:noProof/>
            <w:color w:val="2B579A"/>
            <w:shd w:val="clear" w:color="auto" w:fill="E6E6E6"/>
          </w:rPr>
          <w:alias w:val="tex-math"/>
          <w:tag w:val="tex-math"/>
          <w:id w:val="-735787874"/>
        </w:sdtPr>
        <w:sdtEndPr>
          <w:rPr>
            <w:shd w:val="clear" w:color="auto" w:fill="auto"/>
          </w:rPr>
        </w:sdtEndPr>
        <w:sdtContent>
          <w:r w:rsidR="00963989" w:rsidRPr="00CB1586">
            <w:rPr>
              <w:noProof/>
              <w:color w:val="2B579A"/>
              <w:shd w:val="clear" w:color="auto" w:fill="E6E6E6"/>
              <w:lang w:val="en-GB" w:eastAsia="en-GB"/>
            </w:rPr>
            <w:drawing>
              <wp:inline distT="0" distB="0" distL="0" distR="0" wp14:anchorId="2CA532C4" wp14:editId="589945D2">
                <wp:extent cx="3378200" cy="453945"/>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88F7.tmp"/>
                        <pic:cNvPicPr/>
                      </pic:nvPicPr>
                      <pic:blipFill>
                        <a:blip r:embed="rId20">
                          <a:extLst>
                            <a:ext uri="{28A0092B-C50C-407E-A947-70E740481C1C}">
                              <a14:useLocalDpi xmlns:a14="http://schemas.microsoft.com/office/drawing/2010/main" val="0"/>
                            </a:ext>
                          </a:extLst>
                        </a:blip>
                        <a:stretch>
                          <a:fillRect/>
                        </a:stretch>
                      </pic:blipFill>
                      <pic:spPr>
                        <a:xfrm>
                          <a:off x="0" y="0"/>
                          <a:ext cx="3399890" cy="456860"/>
                        </a:xfrm>
                        <a:prstGeom prst="rect">
                          <a:avLst/>
                        </a:prstGeom>
                      </pic:spPr>
                    </pic:pic>
                  </a:graphicData>
                </a:graphic>
              </wp:inline>
            </w:drawing>
          </w:r>
        </w:sdtContent>
      </w:sdt>
    </w:p>
    <w:p w14:paraId="2EC33692" w14:textId="77777777" w:rsidR="00A73F63" w:rsidRPr="00CB1586" w:rsidRDefault="00A73F63" w:rsidP="00A73F63">
      <w:pPr>
        <w:pStyle w:val="Text1"/>
        <w:rPr>
          <w:noProof/>
        </w:rPr>
      </w:pPr>
      <w:r w:rsidRPr="00CB1586">
        <w:rPr>
          <w:noProof/>
        </w:rPr>
        <w:t>unde:</w:t>
      </w:r>
    </w:p>
    <w:p w14:paraId="12114FD1" w14:textId="78344AE9" w:rsidR="00A73F63" w:rsidRPr="00CB1586" w:rsidRDefault="00A73F63" w:rsidP="00A73F63">
      <w:pPr>
        <w:pStyle w:val="Text1"/>
        <w:rPr>
          <w:noProof/>
        </w:rPr>
      </w:pPr>
      <w:r w:rsidRPr="00CB1586">
        <w:rPr>
          <w:noProof/>
        </w:rPr>
        <w:t>S</w:t>
      </w:r>
      <w:r w:rsidRPr="00CB1586">
        <w:rPr>
          <w:noProof/>
          <w:vertAlign w:val="subscript"/>
        </w:rPr>
        <w:t>c</w:t>
      </w:r>
      <w:r w:rsidRPr="00CB1586">
        <w:rPr>
          <w:noProof/>
        </w:rPr>
        <w:t> este ponderea țării c în aprovizionarea mondială (sau sursele de aprovizionare ale UE) cu materii prime;</w:t>
      </w:r>
    </w:p>
    <w:p w14:paraId="3D2FB10F" w14:textId="77777777" w:rsidR="00A73F63" w:rsidRPr="00CB1586" w:rsidRDefault="00A73F63" w:rsidP="00A73F63">
      <w:pPr>
        <w:pStyle w:val="Text1"/>
        <w:rPr>
          <w:noProof/>
        </w:rPr>
      </w:pPr>
      <w:r w:rsidRPr="00CB1586">
        <w:rPr>
          <w:noProof/>
        </w:rPr>
        <w:t>WGI</w:t>
      </w:r>
      <w:r w:rsidRPr="00CB1586">
        <w:rPr>
          <w:noProof/>
          <w:vertAlign w:val="subscript"/>
        </w:rPr>
        <w:t>c</w:t>
      </w:r>
      <w:r w:rsidRPr="00CB1586">
        <w:rPr>
          <w:noProof/>
        </w:rPr>
        <w:t xml:space="preserve"> este indicele de guvernanță mondială ajustat al țării c;</w:t>
      </w:r>
    </w:p>
    <w:p w14:paraId="69A865C3" w14:textId="77777777" w:rsidR="00A73F63" w:rsidRPr="00CB1586" w:rsidRDefault="00A73F63" w:rsidP="00A73F63">
      <w:pPr>
        <w:pStyle w:val="Text1"/>
        <w:rPr>
          <w:noProof/>
        </w:rPr>
      </w:pPr>
      <w:r w:rsidRPr="00CB1586">
        <w:rPr>
          <w:noProof/>
        </w:rPr>
        <w:t>t</w:t>
      </w:r>
      <w:r w:rsidRPr="00CB1586">
        <w:rPr>
          <w:noProof/>
          <w:vertAlign w:val="subscript"/>
        </w:rPr>
        <w:t>c</w:t>
      </w:r>
      <w:r w:rsidRPr="00CB1586">
        <w:rPr>
          <w:noProof/>
        </w:rPr>
        <w:t xml:space="preserve"> este parametrul comercial al unei țări ce ajustează WGI, care se stabilește luând în considerare potențialele taxe la export (reduse, după caz, printr-un acord comercial în vigoare), contingentele fizice de export sau interdicțiile de export impuse de o țară.</w:t>
      </w:r>
    </w:p>
    <w:p w14:paraId="7C54D775" w14:textId="77777777" w:rsidR="00A73F63" w:rsidRPr="00CB1586" w:rsidRDefault="00A73F63" w:rsidP="00890E59">
      <w:pPr>
        <w:pStyle w:val="NumPar1"/>
        <w:rPr>
          <w:noProof/>
        </w:rPr>
      </w:pPr>
      <w:r w:rsidRPr="00CB1586">
        <w:rPr>
          <w:noProof/>
        </w:rPr>
        <w:t>Indicele de substituție al unei materii prime în ceea ce privește riscul în materie de aprovizionare (SI</w:t>
      </w:r>
      <w:r w:rsidRPr="00CB1586">
        <w:rPr>
          <w:noProof/>
          <w:vertAlign w:val="subscript"/>
        </w:rPr>
        <w:t>SR</w:t>
      </w:r>
      <w:r w:rsidRPr="00CB1586">
        <w:rPr>
          <w:noProof/>
        </w:rPr>
        <w:t>) se calculează după cum urmează:</w:t>
      </w:r>
    </w:p>
    <w:p w14:paraId="5DDA99BD" w14:textId="77777777" w:rsidR="00A73F63" w:rsidRPr="00CB1586" w:rsidRDefault="00202699" w:rsidP="00A73F63">
      <w:pPr>
        <w:pStyle w:val="Text1"/>
        <w:rPr>
          <w:noProof/>
        </w:rPr>
      </w:pPr>
      <w:sdt>
        <w:sdtPr>
          <w:rPr>
            <w:noProof/>
            <w:color w:val="2B579A"/>
            <w:shd w:val="clear" w:color="auto" w:fill="E6E6E6"/>
          </w:rPr>
          <w:alias w:val="tex-math"/>
          <w:tag w:val="tex-math"/>
          <w:id w:val="467403710"/>
        </w:sdtPr>
        <w:sdtEndPr>
          <w:rPr>
            <w:shd w:val="clear" w:color="auto" w:fill="auto"/>
          </w:rPr>
        </w:sdtEndPr>
        <w:sdtContent>
          <w:r w:rsidR="00963989" w:rsidRPr="00CB1586">
            <w:rPr>
              <w:noProof/>
              <w:color w:val="2B579A"/>
              <w:shd w:val="clear" w:color="auto" w:fill="E6E6E6"/>
              <w:lang w:val="en-GB" w:eastAsia="en-GB"/>
            </w:rPr>
            <w:drawing>
              <wp:inline distT="0" distB="0" distL="0" distR="0" wp14:anchorId="0B18611C" wp14:editId="41521E27">
                <wp:extent cx="3887442"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889624.tmp"/>
                        <pic:cNvPicPr/>
                      </pic:nvPicPr>
                      <pic:blipFill>
                        <a:blip r:embed="rId21">
                          <a:extLst>
                            <a:ext uri="{28A0092B-C50C-407E-A947-70E740481C1C}">
                              <a14:useLocalDpi xmlns:a14="http://schemas.microsoft.com/office/drawing/2010/main" val="0"/>
                            </a:ext>
                          </a:extLst>
                        </a:blip>
                        <a:stretch>
                          <a:fillRect/>
                        </a:stretch>
                      </pic:blipFill>
                      <pic:spPr>
                        <a:xfrm>
                          <a:off x="0" y="0"/>
                          <a:ext cx="3891044" cy="400421"/>
                        </a:xfrm>
                        <a:prstGeom prst="rect">
                          <a:avLst/>
                        </a:prstGeom>
                      </pic:spPr>
                    </pic:pic>
                  </a:graphicData>
                </a:graphic>
              </wp:inline>
            </w:drawing>
          </w:r>
        </w:sdtContent>
      </w:sdt>
    </w:p>
    <w:p w14:paraId="2648D9C7" w14:textId="77777777" w:rsidR="00A73F63" w:rsidRPr="00CB1586" w:rsidRDefault="00A73F63" w:rsidP="00A73F63">
      <w:pPr>
        <w:pStyle w:val="Text1"/>
        <w:rPr>
          <w:noProof/>
        </w:rPr>
      </w:pPr>
      <w:r w:rsidRPr="00CB1586">
        <w:rPr>
          <w:noProof/>
        </w:rPr>
        <w:t>unde: </w:t>
      </w:r>
    </w:p>
    <w:p w14:paraId="53D77345" w14:textId="77777777" w:rsidR="00A73F63" w:rsidRPr="00CB1586" w:rsidRDefault="00A73F63" w:rsidP="00A73F63">
      <w:pPr>
        <w:pStyle w:val="Text1"/>
        <w:rPr>
          <w:noProof/>
        </w:rPr>
      </w:pPr>
      <w:r w:rsidRPr="00CB1586">
        <w:rPr>
          <w:noProof/>
        </w:rPr>
        <w:t>i reprezintă o materie de substituție individuală;</w:t>
      </w:r>
    </w:p>
    <w:p w14:paraId="0B6DFEF4" w14:textId="77777777" w:rsidR="00A73F63" w:rsidRPr="00CB1586" w:rsidRDefault="00A73F63" w:rsidP="00A73F63">
      <w:pPr>
        <w:pStyle w:val="Text1"/>
        <w:rPr>
          <w:noProof/>
        </w:rPr>
      </w:pPr>
      <w:r w:rsidRPr="00CB1586">
        <w:rPr>
          <w:noProof/>
        </w:rPr>
        <w:t>a reprezintă o utilizare individuală a materiei candidate;</w:t>
      </w:r>
    </w:p>
    <w:p w14:paraId="15DA84CD" w14:textId="77777777" w:rsidR="00A73F63" w:rsidRPr="00CB1586" w:rsidRDefault="00A73F63" w:rsidP="00A73F63">
      <w:pPr>
        <w:pStyle w:val="Text1"/>
        <w:rPr>
          <w:noProof/>
        </w:rPr>
      </w:pPr>
      <w:r w:rsidRPr="00CB1586">
        <w:rPr>
          <w:noProof/>
        </w:rPr>
        <w:t>SP este producția de substituție, care reflectă producția mondială a substituentului și a materiei;</w:t>
      </w:r>
    </w:p>
    <w:p w14:paraId="7B255BC0" w14:textId="77777777" w:rsidR="00A73F63" w:rsidRPr="00CB1586" w:rsidRDefault="00A73F63" w:rsidP="00A73F63">
      <w:pPr>
        <w:pStyle w:val="Text1"/>
        <w:rPr>
          <w:noProof/>
        </w:rPr>
      </w:pPr>
      <w:r w:rsidRPr="00CB1586">
        <w:rPr>
          <w:noProof/>
        </w:rPr>
        <w:t>SCr este criticalitatea substituentului, stabilită ținând seama de faptul că substituentul este el însuși sau nu o materie primă critică;</w:t>
      </w:r>
    </w:p>
    <w:p w14:paraId="633DC631" w14:textId="77777777" w:rsidR="00A73F63" w:rsidRPr="00CB1586" w:rsidRDefault="00A73F63" w:rsidP="00A73F63">
      <w:pPr>
        <w:pStyle w:val="Text1"/>
        <w:rPr>
          <w:noProof/>
        </w:rPr>
      </w:pPr>
      <w:r w:rsidRPr="00CB1586">
        <w:rPr>
          <w:noProof/>
        </w:rPr>
        <w:t>SCo este coproducția substituentului, stabilită ținând seama de faptul că substituentul este un produs primar sau este extras ca produs secundar sau coprodus;</w:t>
      </w:r>
    </w:p>
    <w:p w14:paraId="53E91FF0" w14:textId="77777777" w:rsidR="00A73F63" w:rsidRPr="00CB1586" w:rsidRDefault="00A73F63" w:rsidP="00A73F63">
      <w:pPr>
        <w:pStyle w:val="Text1"/>
        <w:rPr>
          <w:noProof/>
        </w:rPr>
      </w:pPr>
      <w:r w:rsidRPr="00CB1586">
        <w:rPr>
          <w:i/>
          <w:iCs/>
          <w:noProof/>
        </w:rPr>
        <w:t>Share</w:t>
      </w:r>
      <w:r w:rsidRPr="00CB1586">
        <w:rPr>
          <w:noProof/>
        </w:rPr>
        <w:t xml:space="preserve"> este ponderea materiilor candidate în cadrul unei utilizări finale;</w:t>
      </w:r>
    </w:p>
    <w:p w14:paraId="317B27BC" w14:textId="77777777" w:rsidR="00A73F63" w:rsidRPr="00CB1586" w:rsidRDefault="00A73F63" w:rsidP="00A73F63">
      <w:pPr>
        <w:pStyle w:val="Text1"/>
        <w:rPr>
          <w:noProof/>
        </w:rPr>
      </w:pPr>
      <w:r w:rsidRPr="00CB1586">
        <w:rPr>
          <w:i/>
          <w:iCs/>
          <w:noProof/>
        </w:rPr>
        <w:t>Sub-share</w:t>
      </w:r>
      <w:r w:rsidRPr="00CB1586">
        <w:rPr>
          <w:noProof/>
        </w:rPr>
        <w:t xml:space="preserve"> este subponderea fiecărui substituent în cadrul fiecărei utilizări.</w:t>
      </w:r>
    </w:p>
    <w:p w14:paraId="4BE08105" w14:textId="335D55F1" w:rsidR="00FD1018" w:rsidRPr="00CB1586" w:rsidRDefault="00FD1018" w:rsidP="00FD1018">
      <w:pPr>
        <w:pStyle w:val="NumPar1"/>
        <w:rPr>
          <w:noProof/>
        </w:rPr>
      </w:pPr>
      <w:r w:rsidRPr="00CB1586">
        <w:rPr>
          <w:noProof/>
        </w:rPr>
        <w:t xml:space="preserve">În cazul în care schimbările structurale sau statistice afectează în mod orizontal evaluarea importanței economice și a riscului în materie de aprovizionare pentru toate materiile evaluate, valorile corespunzătoare se corectează pentru a ține cont de respectivele modificări. </w:t>
      </w:r>
    </w:p>
    <w:p w14:paraId="1E5BFE31" w14:textId="5EA827D1" w:rsidR="00FD1018" w:rsidRPr="00CB1586" w:rsidRDefault="00A73F63" w:rsidP="00802F19">
      <w:pPr>
        <w:pStyle w:val="Text1"/>
        <w:rPr>
          <w:noProof/>
        </w:rPr>
        <w:sectPr w:rsidR="00FD1018" w:rsidRPr="00CB1586" w:rsidSect="00F159FE">
          <w:pgSz w:w="11907" w:h="16839"/>
          <w:pgMar w:top="1134" w:right="1417" w:bottom="1134" w:left="1417" w:header="709" w:footer="709" w:gutter="0"/>
          <w:cols w:space="720"/>
          <w:docGrid w:linePitch="360"/>
        </w:sectPr>
      </w:pPr>
      <w:r w:rsidRPr="00CB1586">
        <w:rPr>
          <w:noProof/>
        </w:rPr>
        <w:t>Calculele se bazează pe o medie a ultimilor 5 ani pentru care sunt disponibile date. Se ține seama de prioritatea, calitatea și disponibilitatea datelor.</w:t>
      </w:r>
    </w:p>
    <w:p w14:paraId="2E657D11" w14:textId="77777777" w:rsidR="00A73F63" w:rsidRPr="00CB1586" w:rsidRDefault="00A73F63" w:rsidP="00A73F63">
      <w:pPr>
        <w:pStyle w:val="Annexetitre"/>
        <w:rPr>
          <w:noProof/>
          <w:color w:val="0000FF"/>
        </w:rPr>
      </w:pPr>
      <w:r w:rsidRPr="00CB1586">
        <w:rPr>
          <w:noProof/>
        </w:rPr>
        <w:t>ANEXA </w:t>
      </w:r>
      <w:r w:rsidRPr="00CB1586">
        <w:rPr>
          <w:rStyle w:val="Marker"/>
          <w:noProof/>
        </w:rPr>
        <w:t>III</w:t>
      </w:r>
    </w:p>
    <w:p w14:paraId="067BBB8A" w14:textId="77777777" w:rsidR="00A73F63" w:rsidRPr="00CB1586" w:rsidRDefault="00A73F63" w:rsidP="00A73F63">
      <w:pPr>
        <w:pStyle w:val="Text1"/>
        <w:jc w:val="center"/>
        <w:rPr>
          <w:noProof/>
        </w:rPr>
      </w:pPr>
      <w:r w:rsidRPr="00CB1586">
        <w:rPr>
          <w:b/>
          <w:noProof/>
          <w:u w:val="single"/>
        </w:rPr>
        <w:t>Evaluarea criteriilor de recunoaștere în cazul proiectelor strategice</w:t>
      </w:r>
    </w:p>
    <w:p w14:paraId="53D63FC0" w14:textId="77777777" w:rsidR="00A73F63" w:rsidRPr="00CB1586" w:rsidRDefault="00A73F63" w:rsidP="00F733C0">
      <w:pPr>
        <w:pStyle w:val="NumPar1"/>
        <w:numPr>
          <w:ilvl w:val="0"/>
          <w:numId w:val="3"/>
        </w:numPr>
        <w:rPr>
          <w:noProof/>
        </w:rPr>
      </w:pPr>
      <w:r w:rsidRPr="00CB1586">
        <w:rPr>
          <w:noProof/>
        </w:rPr>
        <w:t>Îndeplinirea de către un proiect din Uniune a criteriului menționat la articolul 5 alineatul (1) litera (a) se evaluează analizând:</w:t>
      </w:r>
    </w:p>
    <w:p w14:paraId="5D587F71" w14:textId="77777777" w:rsidR="00A73F63" w:rsidRPr="00CB1586" w:rsidRDefault="00A73F63" w:rsidP="00F733C0">
      <w:pPr>
        <w:pStyle w:val="Point1letter"/>
        <w:numPr>
          <w:ilvl w:val="3"/>
          <w:numId w:val="21"/>
        </w:numPr>
        <w:rPr>
          <w:noProof/>
        </w:rPr>
      </w:pPr>
      <w:r w:rsidRPr="00CB1586">
        <w:rPr>
          <w:noProof/>
        </w:rPr>
        <w:t>dacă proiectul contribuie la indicii de referință prevăzuți la articolul 1 alineatul (2) litera (a);</w:t>
      </w:r>
    </w:p>
    <w:p w14:paraId="271DF1F6" w14:textId="77777777" w:rsidR="00A73F63" w:rsidRPr="00CB1586" w:rsidRDefault="00A73F63" w:rsidP="00F733C0">
      <w:pPr>
        <w:pStyle w:val="Point1letter"/>
        <w:numPr>
          <w:ilvl w:val="3"/>
          <w:numId w:val="21"/>
        </w:numPr>
        <w:rPr>
          <w:noProof/>
        </w:rPr>
      </w:pPr>
      <w:r w:rsidRPr="00CB1586">
        <w:rPr>
          <w:noProof/>
        </w:rPr>
        <w:t>dacă proiectul contribuie la menținerea sau consolidarea capacităților Uniunii ca pondere din consumul anual al Uniunii de materii prime strategice, ținând seama de creșterea preconizată a consumului la nivelul Uniunii;</w:t>
      </w:r>
    </w:p>
    <w:p w14:paraId="221E577B" w14:textId="77777777" w:rsidR="00A73F63" w:rsidRPr="00CB1586" w:rsidRDefault="00A73F63" w:rsidP="00A73F63">
      <w:pPr>
        <w:pStyle w:val="Text1"/>
        <w:rPr>
          <w:noProof/>
        </w:rPr>
      </w:pPr>
      <w:r w:rsidRPr="00CB1586">
        <w:rPr>
          <w:noProof/>
        </w:rPr>
        <w:t>Contribuția unui proiect la indicele de referință relevant privind capacitatea este evaluată ținând seama de planul de afaceri al proiectului și de informațiile tehnice justificative incluse în cerere, precum și de durata estimată de introducere pe piață a proiectului.</w:t>
      </w:r>
    </w:p>
    <w:p w14:paraId="010EC4CE" w14:textId="77777777" w:rsidR="00A73F63" w:rsidRPr="00CB1586" w:rsidRDefault="00A73F63" w:rsidP="00890E59">
      <w:pPr>
        <w:pStyle w:val="NumPar1"/>
        <w:rPr>
          <w:noProof/>
        </w:rPr>
      </w:pPr>
      <w:r w:rsidRPr="00CB1586">
        <w:rPr>
          <w:noProof/>
        </w:rPr>
        <w:t>Îndeplinirea de către un proiect dintr-o țară terță a criteriului menționat la articolul 5 alineatul (1) litera (a) se evaluează analizând:</w:t>
      </w:r>
    </w:p>
    <w:p w14:paraId="2EA0D260" w14:textId="77777777" w:rsidR="00A73F63" w:rsidRPr="00CB1586" w:rsidRDefault="00A73F63" w:rsidP="00F733C0">
      <w:pPr>
        <w:pStyle w:val="Point1letter"/>
        <w:numPr>
          <w:ilvl w:val="3"/>
          <w:numId w:val="20"/>
        </w:numPr>
        <w:rPr>
          <w:noProof/>
        </w:rPr>
      </w:pPr>
      <w:r w:rsidRPr="00CB1586">
        <w:rPr>
          <w:noProof/>
        </w:rPr>
        <w:t>dacă proiectul contribuie la indicii de referință prevăzuți la articolul 1 alineatul (2) litera (b) sau contribuie la menținerea rezilienței aprovizionării Uniunii cu materii prime strategice;</w:t>
      </w:r>
    </w:p>
    <w:p w14:paraId="6AB387E9" w14:textId="19B40001" w:rsidR="00A73F63" w:rsidRPr="00CB1586" w:rsidRDefault="00A73F63" w:rsidP="00F733C0">
      <w:pPr>
        <w:pStyle w:val="Point1letter"/>
        <w:numPr>
          <w:ilvl w:val="3"/>
          <w:numId w:val="20"/>
        </w:numPr>
        <w:rPr>
          <w:noProof/>
        </w:rPr>
      </w:pPr>
      <w:bookmarkStart w:id="1" w:name="_Hlk129351338"/>
      <w:r w:rsidRPr="00CB1586">
        <w:rPr>
          <w:noProof/>
        </w:rPr>
        <w:t>dacă respectivul cadru juridic aplicabil sau alte condiții oferă asigurări că schimburile comerciale și investițiile legate de proiect nu vor fi denaturate</w:t>
      </w:r>
      <w:bookmarkEnd w:id="1"/>
      <w:r w:rsidRPr="00CB1586">
        <w:rPr>
          <w:noProof/>
        </w:rPr>
        <w:t xml:space="preserve">, ținând seama, în special, dacă Uniunea a încheiat un parteneriat strategic menționat la articolul 33 sau un acord comercial care conține un capitol privind materiile prime cu țara terță relevantă, precum și dacă este în concordanță cu politica comercială comună a Uniunii; </w:t>
      </w:r>
    </w:p>
    <w:p w14:paraId="239650D9" w14:textId="2970F244" w:rsidR="00FE3ED2" w:rsidRPr="00CB1586" w:rsidRDefault="00A73F63" w:rsidP="00F733C0">
      <w:pPr>
        <w:pStyle w:val="Point1letter"/>
        <w:numPr>
          <w:ilvl w:val="3"/>
          <w:numId w:val="20"/>
        </w:numPr>
        <w:rPr>
          <w:noProof/>
        </w:rPr>
      </w:pPr>
      <w:r w:rsidRPr="00CB1586">
        <w:rPr>
          <w:noProof/>
        </w:rPr>
        <w:t>măsura în care există întreprinderi care au încheiat ori sunt dispuse să încheie acorduri de preluare cu promotorul proiectului în vederea utilizării sau prelucrării materiilor prime strategice produse în cadrul proiectelor relevante în Uniune;</w:t>
      </w:r>
    </w:p>
    <w:p w14:paraId="0471F597" w14:textId="25CE302A" w:rsidR="00A73F63" w:rsidRPr="00CB1586" w:rsidRDefault="00FE3ED2" w:rsidP="00FE3ED2">
      <w:pPr>
        <w:pStyle w:val="Point1letter"/>
        <w:numPr>
          <w:ilvl w:val="3"/>
          <w:numId w:val="20"/>
        </w:numPr>
        <w:rPr>
          <w:noProof/>
        </w:rPr>
      </w:pPr>
      <w:r w:rsidRPr="00CB1586">
        <w:rPr>
          <w:noProof/>
        </w:rPr>
        <w:t xml:space="preserve">dacă proiectul este în conformitate cu obiectivele de cooperare pentru dezvoltare și cu obiectivele de politică externă ale Uniunii. </w:t>
      </w:r>
    </w:p>
    <w:p w14:paraId="22E747EC" w14:textId="77777777" w:rsidR="00A73F63" w:rsidRPr="00CB1586" w:rsidRDefault="00A73F63" w:rsidP="00A73F63">
      <w:pPr>
        <w:pStyle w:val="Text1"/>
        <w:rPr>
          <w:noProof/>
        </w:rPr>
      </w:pPr>
      <w:r w:rsidRPr="00CB1586">
        <w:rPr>
          <w:noProof/>
        </w:rPr>
        <w:t>Contribuția unui proiect la indicii de referință menționați la litera (a) se evaluează ținând seama de planul de afaceri al proiectului și de informațiile tehnice justificative incluse în cerere, de durata estimată a introducerii pe piață a proiectului, precum și de cota din rezultatele proiectului care este acoperită de acordurile de preluare existente sau potențiale menționate la litera (c). Printre elementele de probă în sensul literei (c) se pot număra acorduri contractuale, scrisori de intenție sau memorandumuri de înțelegere.</w:t>
      </w:r>
    </w:p>
    <w:p w14:paraId="1DBEE6B4" w14:textId="77777777" w:rsidR="00A73F63" w:rsidRPr="00CB1586" w:rsidRDefault="00A73F63" w:rsidP="00890E59">
      <w:pPr>
        <w:pStyle w:val="NumPar1"/>
        <w:rPr>
          <w:noProof/>
        </w:rPr>
      </w:pPr>
      <w:r w:rsidRPr="00CB1586">
        <w:rPr>
          <w:noProof/>
        </w:rPr>
        <w:t>Îndeplinirea de către un proiect a criteriului menționat la articolul 5 alineatul (1) litera (b) se evaluează analizând:</w:t>
      </w:r>
    </w:p>
    <w:p w14:paraId="3FA5432F" w14:textId="77777777" w:rsidR="00A73F63" w:rsidRPr="00CB1586" w:rsidRDefault="00A73F63" w:rsidP="00F733C0">
      <w:pPr>
        <w:pStyle w:val="Point1letter"/>
        <w:numPr>
          <w:ilvl w:val="3"/>
          <w:numId w:val="19"/>
        </w:numPr>
        <w:rPr>
          <w:noProof/>
        </w:rPr>
      </w:pPr>
      <w:r w:rsidRPr="00CB1586">
        <w:rPr>
          <w:noProof/>
        </w:rPr>
        <w:t>calitatea studiilor de fezabilitate efectuate cu privire la potențialul de dezvoltare a proiectului; </w:t>
      </w:r>
    </w:p>
    <w:p w14:paraId="420F39F7" w14:textId="77777777" w:rsidR="00A73F63" w:rsidRPr="00CB1586" w:rsidRDefault="00A73F63" w:rsidP="00F733C0">
      <w:pPr>
        <w:pStyle w:val="Point1letter"/>
        <w:numPr>
          <w:ilvl w:val="3"/>
          <w:numId w:val="19"/>
        </w:numPr>
        <w:rPr>
          <w:noProof/>
        </w:rPr>
      </w:pPr>
      <w:r w:rsidRPr="00CB1586">
        <w:rPr>
          <w:noProof/>
        </w:rPr>
        <w:t>dacă tehnologia destinată utilizării a fost demonstrată în mediul relevant.</w:t>
      </w:r>
    </w:p>
    <w:p w14:paraId="5D2F950A" w14:textId="77777777" w:rsidR="00A73F63" w:rsidRPr="00CB1586" w:rsidRDefault="00A73F63" w:rsidP="00A73F63">
      <w:pPr>
        <w:pStyle w:val="Text1"/>
        <w:rPr>
          <w:noProof/>
        </w:rPr>
      </w:pPr>
      <w:r w:rsidRPr="00CB1586">
        <w:rPr>
          <w:noProof/>
        </w:rPr>
        <w:t>Studiile de fezabilitate menționate la litera (a) sunt concepute pentru:</w:t>
      </w:r>
    </w:p>
    <w:p w14:paraId="05759872" w14:textId="77777777" w:rsidR="00A73F63" w:rsidRPr="00CB1586" w:rsidRDefault="00A73F63" w:rsidP="00F733C0">
      <w:pPr>
        <w:pStyle w:val="Point1letter"/>
        <w:numPr>
          <w:ilvl w:val="3"/>
          <w:numId w:val="18"/>
        </w:numPr>
        <w:rPr>
          <w:noProof/>
        </w:rPr>
      </w:pPr>
      <w:r w:rsidRPr="00CB1586">
        <w:rPr>
          <w:noProof/>
        </w:rPr>
        <w:t>evaluarea probabilității ca un proiect propus să aibă succes prin analizarea considerentelor tehnologice și de mediu; </w:t>
      </w:r>
    </w:p>
    <w:p w14:paraId="0B6611E7" w14:textId="77777777" w:rsidR="00A73F63" w:rsidRPr="00CB1586" w:rsidRDefault="00A73F63" w:rsidP="00F733C0">
      <w:pPr>
        <w:pStyle w:val="Point1letter"/>
        <w:numPr>
          <w:ilvl w:val="3"/>
          <w:numId w:val="18"/>
        </w:numPr>
        <w:rPr>
          <w:noProof/>
        </w:rPr>
      </w:pPr>
      <w:r w:rsidRPr="00CB1586">
        <w:rPr>
          <w:noProof/>
        </w:rPr>
        <w:t>identificarea potențialelor aspecte și probleme tehnice care ar putea apărea în cursul derulării proiectului.</w:t>
      </w:r>
    </w:p>
    <w:p w14:paraId="65C97F24" w14:textId="77777777" w:rsidR="00A73F63" w:rsidRPr="00CB1586" w:rsidRDefault="00A73F63" w:rsidP="00A73F63">
      <w:pPr>
        <w:pStyle w:val="Text1"/>
        <w:rPr>
          <w:noProof/>
        </w:rPr>
      </w:pPr>
      <w:r w:rsidRPr="00CB1586">
        <w:rPr>
          <w:noProof/>
        </w:rPr>
        <w:t>Ar putea fi necesare studii suplimentare pentru a confirma fezabilitatea proiectului.</w:t>
      </w:r>
    </w:p>
    <w:p w14:paraId="7E1F7911" w14:textId="77777777" w:rsidR="00A73F63" w:rsidRPr="00CB1586" w:rsidRDefault="00A73F63" w:rsidP="00890E59">
      <w:pPr>
        <w:pStyle w:val="NumPar1"/>
        <w:rPr>
          <w:noProof/>
        </w:rPr>
      </w:pPr>
      <w:r w:rsidRPr="00CB1586">
        <w:rPr>
          <w:noProof/>
        </w:rPr>
        <w:t xml:space="preserve">Îndeplinirea de către un proiect a criteriului menționat la articolul 5 alineatul (1) litera (c) se evaluează ținând seama de conformitatea unui proiect cu următoarele acte legislative ale Uniunii sau instrumente internaționale: </w:t>
      </w:r>
    </w:p>
    <w:p w14:paraId="18747E16" w14:textId="77777777" w:rsidR="00A73F63" w:rsidRPr="00CB1586" w:rsidRDefault="00A73F63" w:rsidP="00F733C0">
      <w:pPr>
        <w:pStyle w:val="Point1letter"/>
        <w:numPr>
          <w:ilvl w:val="3"/>
          <w:numId w:val="17"/>
        </w:numPr>
        <w:rPr>
          <w:noProof/>
        </w:rPr>
      </w:pPr>
      <w:r w:rsidRPr="00CB1586">
        <w:rPr>
          <w:noProof/>
        </w:rPr>
        <w:t>[OP vă rugăm să introduceți: trimiterea la Directiva privind diligența necesară în materie de durabilitate a întreprinderilor], în măsura în care aceasta se aplică promotorului proiectului;</w:t>
      </w:r>
    </w:p>
    <w:p w14:paraId="4815BDAD" w14:textId="77777777" w:rsidR="00A73F63" w:rsidRPr="00CB1586" w:rsidRDefault="00A73F63" w:rsidP="00F733C0">
      <w:pPr>
        <w:pStyle w:val="Point1letter"/>
        <w:numPr>
          <w:ilvl w:val="3"/>
          <w:numId w:val="17"/>
        </w:numPr>
        <w:rPr>
          <w:noProof/>
        </w:rPr>
      </w:pPr>
      <w:r w:rsidRPr="00CB1586">
        <w:rPr>
          <w:noProof/>
        </w:rPr>
        <w:t>[OP vă rugăm să introduceți: trimiterea la Directiva privind raportarea de către întreprinderi de informații privind durabilitatea], în măsura în care aceasta se aplică promotorului proiectului;</w:t>
      </w:r>
    </w:p>
    <w:p w14:paraId="051A6BB8" w14:textId="2EA5ED08" w:rsidR="00A73F63" w:rsidRPr="00CB1586" w:rsidRDefault="00A73F63" w:rsidP="00F733C0">
      <w:pPr>
        <w:pStyle w:val="Point1letter"/>
        <w:numPr>
          <w:ilvl w:val="3"/>
          <w:numId w:val="17"/>
        </w:numPr>
        <w:rPr>
          <w:noProof/>
        </w:rPr>
      </w:pPr>
      <w:r w:rsidRPr="00CB1586">
        <w:rPr>
          <w:noProof/>
        </w:rPr>
        <w:t>Declarația tripartită de principii a OIM privind întreprinderile multinaționale și politica socială; </w:t>
      </w:r>
    </w:p>
    <w:p w14:paraId="61A32B76" w14:textId="6C533914" w:rsidR="00A73F63" w:rsidRPr="00CB1586" w:rsidRDefault="00A73F63" w:rsidP="00F733C0">
      <w:pPr>
        <w:pStyle w:val="Point1letter"/>
        <w:numPr>
          <w:ilvl w:val="3"/>
          <w:numId w:val="17"/>
        </w:numPr>
        <w:rPr>
          <w:noProof/>
        </w:rPr>
      </w:pPr>
      <w:r w:rsidRPr="00CB1586">
        <w:rPr>
          <w:noProof/>
        </w:rPr>
        <w:t>Orientările OCDE privind diligența necesară pentru o conduită responsabilă în afaceri, în special orientările privind combaterea corupției; </w:t>
      </w:r>
    </w:p>
    <w:p w14:paraId="4BC741DB" w14:textId="77777777" w:rsidR="00A73F63" w:rsidRPr="00CB1586" w:rsidRDefault="00A73F63" w:rsidP="00F733C0">
      <w:pPr>
        <w:pStyle w:val="Point1letter"/>
        <w:numPr>
          <w:ilvl w:val="3"/>
          <w:numId w:val="17"/>
        </w:numPr>
        <w:rPr>
          <w:noProof/>
        </w:rPr>
      </w:pPr>
      <w:r w:rsidRPr="00CB1586">
        <w:rPr>
          <w:noProof/>
        </w:rPr>
        <w:t>Orientările OCDE privind diligența necesară referitoare la existența unui lanț de aprovizionare responsabil în cazul minereurilor provenite din zone afectate de conflicte și cu risc ridicat;</w:t>
      </w:r>
    </w:p>
    <w:p w14:paraId="36364F4B" w14:textId="57DB0D59" w:rsidR="00A73F63" w:rsidRPr="00CB1586" w:rsidRDefault="00A73F63" w:rsidP="00F733C0">
      <w:pPr>
        <w:pStyle w:val="Point1letter"/>
        <w:numPr>
          <w:ilvl w:val="3"/>
          <w:numId w:val="17"/>
        </w:numPr>
        <w:rPr>
          <w:noProof/>
        </w:rPr>
      </w:pPr>
      <w:r w:rsidRPr="00CB1586">
        <w:rPr>
          <w:noProof/>
        </w:rPr>
        <w:t>Orientările OCDE privind diligența necesară referitoare la implicarea semnificativă a părților interesate în sectorul extractiv;</w:t>
      </w:r>
    </w:p>
    <w:p w14:paraId="099C0559" w14:textId="7284DEB5" w:rsidR="000039ED" w:rsidRPr="00CB1586" w:rsidRDefault="000039ED" w:rsidP="000039ED">
      <w:pPr>
        <w:pStyle w:val="Point1letter"/>
        <w:numPr>
          <w:ilvl w:val="3"/>
          <w:numId w:val="17"/>
        </w:numPr>
        <w:rPr>
          <w:noProof/>
        </w:rPr>
      </w:pPr>
      <w:r w:rsidRPr="00CB1586">
        <w:rPr>
          <w:noProof/>
        </w:rPr>
        <w:t>Principiile OCDE privind guvernanța întreprinderilor;</w:t>
      </w:r>
    </w:p>
    <w:p w14:paraId="5C8CB6D4" w14:textId="77777777" w:rsidR="00A73F63" w:rsidRPr="00CB1586" w:rsidRDefault="00A73F63" w:rsidP="00F733C0">
      <w:pPr>
        <w:pStyle w:val="Point1letter"/>
        <w:numPr>
          <w:ilvl w:val="3"/>
          <w:numId w:val="17"/>
        </w:numPr>
        <w:rPr>
          <w:noProof/>
        </w:rPr>
      </w:pPr>
      <w:r w:rsidRPr="00CB1586">
        <w:rPr>
          <w:noProof/>
        </w:rPr>
        <w:t>Orientările OCDE pentru întreprinderile multinaționale; </w:t>
      </w:r>
    </w:p>
    <w:p w14:paraId="1D4EC0E7" w14:textId="77777777" w:rsidR="00A73F63" w:rsidRPr="00CB1586" w:rsidRDefault="00A73F63" w:rsidP="00F733C0">
      <w:pPr>
        <w:pStyle w:val="Point1letter"/>
        <w:numPr>
          <w:ilvl w:val="3"/>
          <w:numId w:val="17"/>
        </w:numPr>
        <w:rPr>
          <w:noProof/>
        </w:rPr>
      </w:pPr>
      <w:r w:rsidRPr="00CB1586">
        <w:rPr>
          <w:noProof/>
        </w:rPr>
        <w:t>Principiile directoare ale ONU privind afacerile și drepturile omului.</w:t>
      </w:r>
    </w:p>
    <w:p w14:paraId="714B283F" w14:textId="77777777" w:rsidR="00A73F63" w:rsidRPr="00CB1586" w:rsidRDefault="00A73F63" w:rsidP="00A73F63">
      <w:pPr>
        <w:pStyle w:val="Text1"/>
        <w:rPr>
          <w:noProof/>
        </w:rPr>
      </w:pPr>
      <w:r w:rsidRPr="00CB1586">
        <w:rPr>
          <w:noProof/>
        </w:rPr>
        <w:t>Promotorii de proiecte pot atesta, de asemenea, conformitatea cu criteriul menționat la articolul 5 alineatul (1) litera (c) prin:</w:t>
      </w:r>
    </w:p>
    <w:p w14:paraId="6B53D9EB" w14:textId="77777777" w:rsidR="00A73F63" w:rsidRPr="00CB1586" w:rsidRDefault="00A73F63" w:rsidP="00F733C0">
      <w:pPr>
        <w:pStyle w:val="Point1letter"/>
        <w:numPr>
          <w:ilvl w:val="3"/>
          <w:numId w:val="16"/>
        </w:numPr>
        <w:rPr>
          <w:noProof/>
        </w:rPr>
      </w:pPr>
      <w:r w:rsidRPr="00CB1586">
        <w:rPr>
          <w:noProof/>
        </w:rPr>
        <w:t>furnizarea de dovezi în sprijinul faptului că proiectul în cauză este certificat individual ca parte a unui sistem recunoscut menționat la articolul 29; sau</w:t>
      </w:r>
    </w:p>
    <w:p w14:paraId="0ADBEEE8" w14:textId="77777777" w:rsidR="00A73F63" w:rsidRPr="00CB1586" w:rsidRDefault="00A73F63" w:rsidP="00F733C0">
      <w:pPr>
        <w:pStyle w:val="Point1letter"/>
        <w:numPr>
          <w:ilvl w:val="3"/>
          <w:numId w:val="16"/>
        </w:numPr>
        <w:rPr>
          <w:noProof/>
        </w:rPr>
      </w:pPr>
      <w:r w:rsidRPr="00CB1586">
        <w:rPr>
          <w:noProof/>
        </w:rPr>
        <w:t>luarea angajamentului de a obține certificarea pentru proiectul în cauză ca parte a unui sistem recunoscut menționat la articolul 29 și furnizarea unor dovezi suficiente conform cărora, atunci când este pus în aplicare, proiectul în cauză va putea îndeplini criteriile pentru o astfel de certificare.</w:t>
      </w:r>
    </w:p>
    <w:p w14:paraId="3268E85D" w14:textId="77777777" w:rsidR="00A73F63" w:rsidRPr="00CB1586" w:rsidRDefault="00A73F63" w:rsidP="00890E59">
      <w:pPr>
        <w:pStyle w:val="NumPar1"/>
        <w:rPr>
          <w:noProof/>
        </w:rPr>
      </w:pPr>
      <w:r w:rsidRPr="00CB1586">
        <w:rPr>
          <w:noProof/>
        </w:rPr>
        <w:t>Îndeplinirea de către un proiect din Uniune a criteriului menționat la articolul 5 alineatul (1) litera (d) se evaluează analizând:</w:t>
      </w:r>
    </w:p>
    <w:p w14:paraId="7DA70675" w14:textId="77777777" w:rsidR="00A73F63" w:rsidRPr="00CB1586" w:rsidRDefault="00A73F63" w:rsidP="00F733C0">
      <w:pPr>
        <w:pStyle w:val="Point1letter"/>
        <w:numPr>
          <w:ilvl w:val="3"/>
          <w:numId w:val="15"/>
        </w:numPr>
        <w:rPr>
          <w:noProof/>
        </w:rPr>
      </w:pPr>
      <w:r w:rsidRPr="00CB1586">
        <w:rPr>
          <w:noProof/>
        </w:rPr>
        <w:t>dacă la proiect participă întreprinderi din state membre diferite;</w:t>
      </w:r>
    </w:p>
    <w:p w14:paraId="0BAFAC12" w14:textId="77777777" w:rsidR="00A73F63" w:rsidRPr="00CB1586" w:rsidRDefault="00A73F63" w:rsidP="00F733C0">
      <w:pPr>
        <w:pStyle w:val="Point1letter"/>
        <w:numPr>
          <w:ilvl w:val="3"/>
          <w:numId w:val="15"/>
        </w:numPr>
        <w:rPr>
          <w:noProof/>
        </w:rPr>
      </w:pPr>
      <w:r w:rsidRPr="00CB1586">
        <w:rPr>
          <w:noProof/>
        </w:rPr>
        <w:t>dacă potențialii achizitori sunt situați, de asemenea, în mai multe state membre;</w:t>
      </w:r>
    </w:p>
    <w:p w14:paraId="6D68E1DD" w14:textId="77777777" w:rsidR="00A73F63" w:rsidRPr="00CB1586" w:rsidRDefault="00A73F63" w:rsidP="00F733C0">
      <w:pPr>
        <w:pStyle w:val="Point1letter"/>
        <w:numPr>
          <w:ilvl w:val="3"/>
          <w:numId w:val="15"/>
        </w:numPr>
        <w:rPr>
          <w:noProof/>
        </w:rPr>
      </w:pPr>
      <w:r w:rsidRPr="00CB1586">
        <w:rPr>
          <w:noProof/>
        </w:rPr>
        <w:t>efectele asupra disponibilității materiilor prime strategice pentru utilizatorii din aval în mai multe state membre.</w:t>
      </w:r>
    </w:p>
    <w:p w14:paraId="6BADC562" w14:textId="77777777" w:rsidR="00A73F63" w:rsidRPr="00CB1586" w:rsidRDefault="00A73F63" w:rsidP="00890E59">
      <w:pPr>
        <w:pStyle w:val="NumPar1"/>
        <w:rPr>
          <w:noProof/>
        </w:rPr>
      </w:pPr>
      <w:r w:rsidRPr="00CB1586">
        <w:rPr>
          <w:noProof/>
        </w:rPr>
        <w:t>Îndeplinirea de către un proiect dintr-o țară terță a criteriului menționat la articolul 5 alineatul (1) litera (e) se evaluează analizând măsura în care proiectul contribuie, în țara terță relevantă:</w:t>
      </w:r>
    </w:p>
    <w:p w14:paraId="047A223D" w14:textId="58572A0A" w:rsidR="00A73F63" w:rsidRPr="00CB1586" w:rsidRDefault="00A73F63" w:rsidP="00F733C0">
      <w:pPr>
        <w:pStyle w:val="Point1letter"/>
        <w:numPr>
          <w:ilvl w:val="3"/>
          <w:numId w:val="14"/>
        </w:numPr>
        <w:rPr>
          <w:noProof/>
        </w:rPr>
      </w:pPr>
      <w:r w:rsidRPr="00CB1586">
        <w:rPr>
          <w:noProof/>
        </w:rPr>
        <w:t>la consolidarea mai multor etape ale lanțului valoric al materiilor prime în țara respectivă sau în regiune în ansamblu;</w:t>
      </w:r>
    </w:p>
    <w:p w14:paraId="5C802559" w14:textId="77777777" w:rsidR="00A73F63" w:rsidRPr="00CB1586" w:rsidRDefault="00A73F63" w:rsidP="00F733C0">
      <w:pPr>
        <w:pStyle w:val="Point1letter"/>
        <w:numPr>
          <w:ilvl w:val="3"/>
          <w:numId w:val="14"/>
        </w:numPr>
        <w:rPr>
          <w:noProof/>
        </w:rPr>
      </w:pPr>
      <w:r w:rsidRPr="00CB1586">
        <w:rPr>
          <w:noProof/>
        </w:rPr>
        <w:t>la stimularea investițiilor private în lanțul valoric intern al materiilor prime;</w:t>
      </w:r>
    </w:p>
    <w:p w14:paraId="3B25A119" w14:textId="22F496FA" w:rsidR="00A73F63" w:rsidRPr="00CB1586" w:rsidRDefault="00A73F63" w:rsidP="00F733C0">
      <w:pPr>
        <w:pStyle w:val="Point1letter"/>
        <w:numPr>
          <w:ilvl w:val="3"/>
          <w:numId w:val="14"/>
        </w:numPr>
        <w:rPr>
          <w:noProof/>
        </w:rPr>
      </w:pPr>
      <w:r w:rsidRPr="00CB1586">
        <w:rPr>
          <w:noProof/>
        </w:rPr>
        <w:t>la crearea de beneficii economice sau sociale mai ample, inclusiv crearea de locuri de muncă.</w:t>
      </w:r>
    </w:p>
    <w:p w14:paraId="2DA206C9" w14:textId="77777777" w:rsidR="00A73F63" w:rsidRPr="00CB1586" w:rsidRDefault="00A73F63" w:rsidP="00890E59">
      <w:pPr>
        <w:pStyle w:val="Point1letter"/>
        <w:tabs>
          <w:tab w:val="clear" w:pos="1417"/>
        </w:tabs>
        <w:rPr>
          <w:noProof/>
        </w:rPr>
        <w:sectPr w:rsidR="00A73F63" w:rsidRPr="00CB1586" w:rsidSect="00F159FE">
          <w:pgSz w:w="11907" w:h="16839"/>
          <w:pgMar w:top="1134" w:right="1417" w:bottom="1134" w:left="1417" w:header="709" w:footer="709" w:gutter="0"/>
          <w:cols w:space="720"/>
          <w:docGrid w:linePitch="360"/>
        </w:sectPr>
      </w:pPr>
    </w:p>
    <w:p w14:paraId="3BEB2A88" w14:textId="77777777" w:rsidR="00A73F63" w:rsidRPr="00CB1586" w:rsidRDefault="00A73F63" w:rsidP="00A73F63">
      <w:pPr>
        <w:pStyle w:val="Annexetitre"/>
        <w:rPr>
          <w:noProof/>
          <w:color w:val="0000FF"/>
        </w:rPr>
      </w:pPr>
      <w:r w:rsidRPr="00CB1586">
        <w:rPr>
          <w:noProof/>
        </w:rPr>
        <w:t>ANEXA </w:t>
      </w:r>
      <w:r w:rsidRPr="00CB1586">
        <w:rPr>
          <w:rStyle w:val="Marker"/>
          <w:noProof/>
        </w:rPr>
        <w:t>IV</w:t>
      </w:r>
    </w:p>
    <w:p w14:paraId="47CB7142" w14:textId="77777777" w:rsidR="00A73F63" w:rsidRPr="00CB1586" w:rsidRDefault="00A73F63" w:rsidP="00A73F63">
      <w:pPr>
        <w:pStyle w:val="NormalCentered"/>
        <w:rPr>
          <w:noProof/>
        </w:rPr>
      </w:pPr>
      <w:r w:rsidRPr="00CB1586">
        <w:rPr>
          <w:b/>
          <w:noProof/>
          <w:u w:val="single"/>
        </w:rPr>
        <w:t>Criterii pentru sistemele de certificare</w:t>
      </w:r>
    </w:p>
    <w:p w14:paraId="62C4C040" w14:textId="77777777" w:rsidR="00A73F63" w:rsidRPr="00CB1586" w:rsidRDefault="00A73F63" w:rsidP="00A73F63">
      <w:pPr>
        <w:pStyle w:val="Text1"/>
        <w:rPr>
          <w:noProof/>
        </w:rPr>
      </w:pPr>
      <w:r w:rsidRPr="00CB1586">
        <w:rPr>
          <w:noProof/>
        </w:rPr>
        <w:t>Un sistem de certificare recunoscut trebuie să îndeplinească următoarele criterii:</w:t>
      </w:r>
    </w:p>
    <w:p w14:paraId="311037D5" w14:textId="77777777" w:rsidR="00A73F63" w:rsidRPr="00CB1586" w:rsidRDefault="00A73F63" w:rsidP="00F733C0">
      <w:pPr>
        <w:pStyle w:val="Point1letter"/>
        <w:numPr>
          <w:ilvl w:val="3"/>
          <w:numId w:val="13"/>
        </w:numPr>
        <w:rPr>
          <w:noProof/>
        </w:rPr>
      </w:pPr>
      <w:r w:rsidRPr="00CB1586">
        <w:rPr>
          <w:noProof/>
        </w:rPr>
        <w:t>se adresează, în condiții transparente, echitabile și nediscriminatorii, tuturor operatorilor economici care sunt dispuși și în măsură să respecte cerințele sistemului;</w:t>
      </w:r>
    </w:p>
    <w:p w14:paraId="563AC563" w14:textId="77777777" w:rsidR="00A73F63" w:rsidRPr="00CB1586" w:rsidRDefault="00A73F63" w:rsidP="00F733C0">
      <w:pPr>
        <w:pStyle w:val="Point1letter"/>
        <w:numPr>
          <w:ilvl w:val="3"/>
          <w:numId w:val="13"/>
        </w:numPr>
        <w:rPr>
          <w:noProof/>
        </w:rPr>
      </w:pPr>
      <w:r w:rsidRPr="00CB1586">
        <w:rPr>
          <w:noProof/>
        </w:rPr>
        <w:t>cerințele de certificare includ cel puțin:</w:t>
      </w:r>
    </w:p>
    <w:p w14:paraId="27B34D18" w14:textId="77777777" w:rsidR="00A73F63" w:rsidRPr="00CB1586" w:rsidRDefault="00A73F63" w:rsidP="00A73F63">
      <w:pPr>
        <w:pStyle w:val="Point2"/>
        <w:rPr>
          <w:noProof/>
        </w:rPr>
      </w:pPr>
      <w:r w:rsidRPr="00CB1586">
        <w:rPr>
          <w:noProof/>
        </w:rPr>
        <w:t>(i)</w:t>
      </w:r>
      <w:r w:rsidRPr="00CB1586">
        <w:rPr>
          <w:noProof/>
        </w:rPr>
        <w:tab/>
        <w:t>cerințe care să asigure practici durabile din punctul de vedere al mediului, inclusiv cerințe care să asigure gestionarea mediului și atenuarea impactului;</w:t>
      </w:r>
    </w:p>
    <w:p w14:paraId="24A15B4D" w14:textId="77777777" w:rsidR="00A73F63" w:rsidRPr="00CB1586" w:rsidRDefault="00A73F63" w:rsidP="00A73F63">
      <w:pPr>
        <w:pStyle w:val="Point2"/>
        <w:rPr>
          <w:noProof/>
        </w:rPr>
      </w:pPr>
      <w:r w:rsidRPr="00CB1586">
        <w:rPr>
          <w:noProof/>
        </w:rPr>
        <w:t>(ii)</w:t>
      </w:r>
      <w:r w:rsidRPr="00CB1586">
        <w:rPr>
          <w:noProof/>
        </w:rPr>
        <w:tab/>
        <w:t>cerințe pentru asigurarea unor practici responsabile din punct de vedere social, inclusiv respectarea drepturilor omului și a drepturilor lucrătorilor;</w:t>
      </w:r>
    </w:p>
    <w:p w14:paraId="5D385AAF" w14:textId="77777777" w:rsidR="00A73F63" w:rsidRPr="00CB1586" w:rsidRDefault="00A73F63" w:rsidP="00A73F63">
      <w:pPr>
        <w:pStyle w:val="Point2"/>
        <w:rPr>
          <w:noProof/>
        </w:rPr>
      </w:pPr>
      <w:r w:rsidRPr="00CB1586">
        <w:rPr>
          <w:noProof/>
        </w:rPr>
        <w:t>(iii)</w:t>
      </w:r>
      <w:r w:rsidRPr="00CB1586">
        <w:rPr>
          <w:noProof/>
        </w:rPr>
        <w:tab/>
        <w:t>cerințe pentru asigurarea integrității și transparenței întreprinderilor, inclusiv cerințe de aplicare a gestionării eficiente a aspectelor financiare, de mediu și sociale;</w:t>
      </w:r>
    </w:p>
    <w:p w14:paraId="55FBD0E0" w14:textId="77777777" w:rsidR="00A73F63" w:rsidRPr="00CB1586" w:rsidRDefault="00A73F63" w:rsidP="00F733C0">
      <w:pPr>
        <w:pStyle w:val="Point1letter"/>
        <w:numPr>
          <w:ilvl w:val="3"/>
          <w:numId w:val="12"/>
        </w:numPr>
        <w:rPr>
          <w:noProof/>
        </w:rPr>
      </w:pPr>
      <w:r w:rsidRPr="00CB1586">
        <w:rPr>
          <w:noProof/>
        </w:rPr>
        <w:t>verificarea și monitorizarea conformității sunt obiective, bazate pe standardele, cerințele și procedurile internaționale, ale Uniunii sau naționale și sunt efectuate independent de operatorul economic relevant;</w:t>
      </w:r>
    </w:p>
    <w:p w14:paraId="38891165" w14:textId="77777777" w:rsidR="00A73F63" w:rsidRPr="00CB1586" w:rsidRDefault="00A73F63" w:rsidP="00F733C0">
      <w:pPr>
        <w:pStyle w:val="Point1letter"/>
        <w:numPr>
          <w:ilvl w:val="3"/>
          <w:numId w:val="12"/>
        </w:numPr>
        <w:rPr>
          <w:noProof/>
        </w:rPr>
      </w:pPr>
      <w:r w:rsidRPr="00CB1586">
        <w:rPr>
          <w:noProof/>
        </w:rPr>
        <w:t>cuprinde suficiente cerințe și proceduri pentru a asigura competența și independența verificatorilor responsabili.</w:t>
      </w:r>
    </w:p>
    <w:p w14:paraId="7D6D185E" w14:textId="77777777" w:rsidR="00A73F63" w:rsidRPr="00CB1586" w:rsidRDefault="00A73F63" w:rsidP="00A73F63">
      <w:pPr>
        <w:rPr>
          <w:noProof/>
        </w:rPr>
        <w:sectPr w:rsidR="00A73F63" w:rsidRPr="00CB1586" w:rsidSect="00F159FE">
          <w:pgSz w:w="11907" w:h="16839"/>
          <w:pgMar w:top="1134" w:right="1417" w:bottom="1134" w:left="1417" w:header="709" w:footer="709" w:gutter="0"/>
          <w:cols w:space="720"/>
          <w:docGrid w:linePitch="360"/>
        </w:sectPr>
      </w:pPr>
    </w:p>
    <w:p w14:paraId="5D4CD5B1" w14:textId="77777777" w:rsidR="00A73F63" w:rsidRPr="00CB1586" w:rsidRDefault="00A73F63" w:rsidP="00A73F63">
      <w:pPr>
        <w:pStyle w:val="Annexetitre"/>
        <w:rPr>
          <w:rStyle w:val="Marker"/>
          <w:noProof/>
        </w:rPr>
      </w:pPr>
      <w:r w:rsidRPr="00CB1586">
        <w:rPr>
          <w:noProof/>
        </w:rPr>
        <w:t>ANEXA </w:t>
      </w:r>
      <w:r w:rsidRPr="00CB1586">
        <w:rPr>
          <w:rStyle w:val="Marker"/>
          <w:noProof/>
        </w:rPr>
        <w:t>V</w:t>
      </w:r>
    </w:p>
    <w:p w14:paraId="67AED7C4" w14:textId="77777777" w:rsidR="00A73F63" w:rsidRPr="00CB1586" w:rsidRDefault="00A73F63" w:rsidP="00A73F63">
      <w:pPr>
        <w:pStyle w:val="NormalCentered"/>
        <w:rPr>
          <w:noProof/>
        </w:rPr>
      </w:pPr>
      <w:r w:rsidRPr="00CB1586">
        <w:rPr>
          <w:b/>
          <w:noProof/>
          <w:u w:val="single"/>
        </w:rPr>
        <w:t>Amprenta de mediu</w:t>
      </w:r>
    </w:p>
    <w:p w14:paraId="39986CB2" w14:textId="77777777" w:rsidR="00A73F63" w:rsidRPr="00CB1586" w:rsidRDefault="00A73F63" w:rsidP="00F733C0">
      <w:pPr>
        <w:pStyle w:val="NumPar1"/>
        <w:numPr>
          <w:ilvl w:val="0"/>
          <w:numId w:val="4"/>
        </w:numPr>
        <w:rPr>
          <w:b/>
          <w:noProof/>
        </w:rPr>
      </w:pPr>
      <w:r w:rsidRPr="00CB1586">
        <w:rPr>
          <w:b/>
          <w:noProof/>
        </w:rPr>
        <w:t>Definiții</w:t>
      </w:r>
    </w:p>
    <w:p w14:paraId="278EB11F" w14:textId="77777777" w:rsidR="00A73F63" w:rsidRPr="00CB1586" w:rsidRDefault="00A73F63" w:rsidP="00A73F63">
      <w:pPr>
        <w:pStyle w:val="Text1"/>
        <w:rPr>
          <w:noProof/>
        </w:rPr>
      </w:pPr>
      <w:r w:rsidRPr="00CB1586">
        <w:rPr>
          <w:noProof/>
        </w:rPr>
        <w:t>În sensul prezentei anexe, se aplică următoarele definiții:</w:t>
      </w:r>
    </w:p>
    <w:p w14:paraId="282DBE8A" w14:textId="77777777" w:rsidR="00A73F63" w:rsidRPr="00CB1586" w:rsidRDefault="00A73F63" w:rsidP="00F733C0">
      <w:pPr>
        <w:pStyle w:val="Point1letter"/>
        <w:numPr>
          <w:ilvl w:val="3"/>
          <w:numId w:val="11"/>
        </w:numPr>
        <w:rPr>
          <w:noProof/>
        </w:rPr>
      </w:pPr>
      <w:r w:rsidRPr="00CB1586">
        <w:rPr>
          <w:noProof/>
        </w:rPr>
        <w:t>„date de activitate” înseamnă informațiile asociate proceselor în cursul modelării inventarelor ciclului de viață (ICV). Rezultatele agregate ale ICV pentru lanțurile de procese, care reprezintă activitățile unui proces, sunt multiplicate fiecare cu datele de activitate corespunzătoare, iar apoi combinate pentru a calcula amprenta de mediu asociată procesului respectiv;</w:t>
      </w:r>
    </w:p>
    <w:p w14:paraId="7DF38A86" w14:textId="77777777" w:rsidR="00A73F63" w:rsidRPr="00CB1586" w:rsidRDefault="00A73F63" w:rsidP="00F733C0">
      <w:pPr>
        <w:pStyle w:val="Point1letter"/>
        <w:numPr>
          <w:ilvl w:val="3"/>
          <w:numId w:val="11"/>
        </w:numPr>
        <w:rPr>
          <w:noProof/>
        </w:rPr>
      </w:pPr>
      <w:r w:rsidRPr="00CB1586">
        <w:rPr>
          <w:noProof/>
        </w:rPr>
        <w:t>„listă de materiale” înseamnă lista materiilor prime, a subansamblelor, a ansamblelor intermediare, a subcomponentelor și a pieselor, precum și a cantităților pentru fiecare dintre acestea, necesare pentru a fabrica produsul care face obiectul studiului;</w:t>
      </w:r>
    </w:p>
    <w:p w14:paraId="03162115" w14:textId="77777777" w:rsidR="00A73F63" w:rsidRPr="00CB1586" w:rsidRDefault="00A73F63" w:rsidP="00F733C0">
      <w:pPr>
        <w:pStyle w:val="Point1letter"/>
        <w:numPr>
          <w:ilvl w:val="3"/>
          <w:numId w:val="11"/>
        </w:numPr>
        <w:rPr>
          <w:noProof/>
        </w:rPr>
      </w:pPr>
      <w:r w:rsidRPr="00CB1586">
        <w:rPr>
          <w:noProof/>
        </w:rPr>
        <w:t>„date specifice întreprinderii” înseamnă datele măsurate sau colectate direct de la una sau mai multe instalații (date specifice sitului) care sunt reprezentative pentru activitățile întreprinderii. Este sinonim cu „date primare”; </w:t>
      </w:r>
    </w:p>
    <w:p w14:paraId="02FFD369" w14:textId="77777777" w:rsidR="00A73F63" w:rsidRPr="00CB1586" w:rsidRDefault="00A73F63" w:rsidP="00F733C0">
      <w:pPr>
        <w:pStyle w:val="Point1letter"/>
        <w:numPr>
          <w:ilvl w:val="3"/>
          <w:numId w:val="11"/>
        </w:numPr>
        <w:rPr>
          <w:noProof/>
        </w:rPr>
      </w:pPr>
      <w:r w:rsidRPr="00CB1586">
        <w:rPr>
          <w:noProof/>
        </w:rPr>
        <w:t>„metodă de evaluare a impactului” înseamnă protocolul pentru conversia datelor privind inventarul ciclului de viață în contribuții cantitative la un impact asupra mediului îngrijorător;</w:t>
      </w:r>
    </w:p>
    <w:p w14:paraId="2B5E2024" w14:textId="77777777" w:rsidR="00A73F63" w:rsidRPr="00CB1586" w:rsidRDefault="00A73F63" w:rsidP="00F733C0">
      <w:pPr>
        <w:pStyle w:val="Point1letter"/>
        <w:numPr>
          <w:ilvl w:val="3"/>
          <w:numId w:val="11"/>
        </w:numPr>
        <w:rPr>
          <w:noProof/>
        </w:rPr>
      </w:pPr>
      <w:r w:rsidRPr="00CB1586">
        <w:rPr>
          <w:noProof/>
        </w:rPr>
        <w:t>„categorie de impact” înseamnă o clasă de utilizare a resurselor sau de impact asupra mediului la care se raportează datele privind inventarul ciclului de viață;</w:t>
      </w:r>
    </w:p>
    <w:p w14:paraId="5503CA02" w14:textId="77777777" w:rsidR="00A73F63" w:rsidRPr="00CB1586" w:rsidRDefault="00A73F63" w:rsidP="00F733C0">
      <w:pPr>
        <w:pStyle w:val="Point1letter"/>
        <w:numPr>
          <w:ilvl w:val="3"/>
          <w:numId w:val="11"/>
        </w:numPr>
        <w:rPr>
          <w:noProof/>
        </w:rPr>
      </w:pPr>
      <w:r w:rsidRPr="00CB1586">
        <w:rPr>
          <w:noProof/>
        </w:rPr>
        <w:t>„ciclu de viață” înseamnă stadiile consecutive și legate ale unui sistem de produse, de la achiziția materiilor prime sau producția din resurse naturale, până la eliminarea finală (ISO 14040:2006);</w:t>
      </w:r>
    </w:p>
    <w:p w14:paraId="0D69851F" w14:textId="77777777" w:rsidR="00A73F63" w:rsidRPr="00CB1586" w:rsidRDefault="00A73F63" w:rsidP="00F733C0">
      <w:pPr>
        <w:pStyle w:val="Point1letter"/>
        <w:numPr>
          <w:ilvl w:val="3"/>
          <w:numId w:val="11"/>
        </w:numPr>
        <w:rPr>
          <w:noProof/>
        </w:rPr>
      </w:pPr>
      <w:r w:rsidRPr="00CB1586">
        <w:rPr>
          <w:noProof/>
        </w:rPr>
        <w:t>„inventar al ciclului de viață (ICV)” înseamnă setul combinat de schimburi de fluxuri elementare, de deșeuri și de produse dintr-un set de date ICV;</w:t>
      </w:r>
    </w:p>
    <w:p w14:paraId="2424BA4C" w14:textId="77777777" w:rsidR="00A73F63" w:rsidRPr="00CB1586" w:rsidRDefault="00A73F63" w:rsidP="00F733C0">
      <w:pPr>
        <w:pStyle w:val="Point1letter"/>
        <w:numPr>
          <w:ilvl w:val="3"/>
          <w:numId w:val="11"/>
        </w:numPr>
        <w:rPr>
          <w:noProof/>
        </w:rPr>
      </w:pPr>
      <w:r w:rsidRPr="00CB1586">
        <w:rPr>
          <w:noProof/>
        </w:rPr>
        <w:t>„set de date privind inventarul ciclului de viață (ICV)” înseamnă un document sau un fișier cu informații privind ciclul de viață al unui anumit produs sau al unei alte referințe (de exemplu, sit, proces), care include metadate descriptive și date cantitative privind inventarul ciclului de viață. Un set de date ICV ar putea fi un set de date privind un proces elementar, agregat parțial, sau un set de date integral;</w:t>
      </w:r>
    </w:p>
    <w:p w14:paraId="300BCCC1" w14:textId="77777777" w:rsidR="00A73F63" w:rsidRPr="00CB1586" w:rsidRDefault="00A73F63" w:rsidP="00F733C0">
      <w:pPr>
        <w:pStyle w:val="Point1letter"/>
        <w:numPr>
          <w:ilvl w:val="3"/>
          <w:numId w:val="11"/>
        </w:numPr>
        <w:rPr>
          <w:noProof/>
        </w:rPr>
      </w:pPr>
      <w:r w:rsidRPr="00CB1586">
        <w:rPr>
          <w:noProof/>
        </w:rPr>
        <w:t>„date secundare” înseamnă datele care nu provin dintr-un proces specific din lanțul de aprovizionare al întreprinderii ce efectuează un studiu privind amprenta de mediu. Acestea se referă la datele care nu sunt colectate, măsurate sau estimate direct de către întreprindere, ci provin dintr-o bază de date ICV a unui terț sau din alte surse. Datele secundare includ datele medii din sectorul industrial (provenite, de exemplu, din datele de producție publicate, din statisticile guvernamentale și de la asociațiile industriale), studiile de specialitate, studiile de inginerie și brevetele, se pot baza, de asemenea, pe datele financiare și pot conține date indirecte și alte date generice. Datele primare care trec printr-o etapă de agregare orizontală sunt considerate date secundare;</w:t>
      </w:r>
    </w:p>
    <w:p w14:paraId="4FBAC51B" w14:textId="77777777" w:rsidR="00A73F63" w:rsidRPr="00CB1586" w:rsidRDefault="00A73F63" w:rsidP="00F733C0">
      <w:pPr>
        <w:pStyle w:val="Point1letter"/>
        <w:numPr>
          <w:ilvl w:val="3"/>
          <w:numId w:val="11"/>
        </w:numPr>
        <w:rPr>
          <w:noProof/>
        </w:rPr>
      </w:pPr>
      <w:r w:rsidRPr="00CB1586">
        <w:rPr>
          <w:noProof/>
        </w:rPr>
        <w:t>„limită a sistemului” înseamnă aspectele incluse sau excluse din studiul ciclului de viață.</w:t>
      </w:r>
    </w:p>
    <w:p w14:paraId="4B28711A" w14:textId="77777777" w:rsidR="00A73F63" w:rsidRPr="00CB1586" w:rsidRDefault="00A73F63" w:rsidP="00A73F63">
      <w:pPr>
        <w:pStyle w:val="Text1"/>
        <w:rPr>
          <w:noProof/>
        </w:rPr>
      </w:pPr>
      <w:r w:rsidRPr="00CB1586">
        <w:rPr>
          <w:noProof/>
        </w:rPr>
        <w:t>În plus, normele pentru calculul amprentei de mediu a unei materii prime critice includ orice definiție suplimentară necesară pentru interpretarea acestora.</w:t>
      </w:r>
    </w:p>
    <w:p w14:paraId="6987D98B" w14:textId="77777777" w:rsidR="00A73F63" w:rsidRPr="00CB1586" w:rsidRDefault="00A73F63" w:rsidP="00890E59">
      <w:pPr>
        <w:pStyle w:val="NumPar1"/>
        <w:rPr>
          <w:b/>
          <w:noProof/>
        </w:rPr>
      </w:pPr>
      <w:r w:rsidRPr="00CB1586">
        <w:rPr>
          <w:b/>
          <w:noProof/>
        </w:rPr>
        <w:t>Domeniu de aplicare</w:t>
      </w:r>
    </w:p>
    <w:p w14:paraId="1BB1A74E" w14:textId="77777777" w:rsidR="00A73F63" w:rsidRPr="00CB1586" w:rsidRDefault="00A73F63" w:rsidP="00A73F63">
      <w:pPr>
        <w:pStyle w:val="Text1"/>
        <w:rPr>
          <w:noProof/>
        </w:rPr>
      </w:pPr>
      <w:r w:rsidRPr="00CB1586">
        <w:rPr>
          <w:noProof/>
        </w:rPr>
        <w:t>Prezenta anexă furnizează elementele esențiale privind modul de calcul al amprentei de mediu a materiilor prime critice.</w:t>
      </w:r>
    </w:p>
    <w:p w14:paraId="096C0DD7" w14:textId="1C50CA64" w:rsidR="00A73F63" w:rsidRPr="00CB1586" w:rsidRDefault="00A73F63" w:rsidP="00A73F63">
      <w:pPr>
        <w:pStyle w:val="Text1"/>
        <w:rPr>
          <w:noProof/>
        </w:rPr>
      </w:pPr>
      <w:r w:rsidRPr="00CB1586">
        <w:rPr>
          <w:noProof/>
        </w:rPr>
        <w:t>Normele de calcul pentru amprenta de mediu a materiilor prime critice specifice se bazează pe elementele esențiale incluse în prezenta anexă, ținând seama de metodele de evaluare solide din punct de vedere științific și de standardele internaționale relevante în domeniul evaluării ciclului de viață.</w:t>
      </w:r>
    </w:p>
    <w:p w14:paraId="115BB4EB" w14:textId="77777777" w:rsidR="00A73F63" w:rsidRPr="00CB1586" w:rsidRDefault="00A73F63" w:rsidP="00A73F63">
      <w:pPr>
        <w:pStyle w:val="Text1"/>
        <w:rPr>
          <w:noProof/>
        </w:rPr>
      </w:pPr>
      <w:r w:rsidRPr="00CB1586">
        <w:rPr>
          <w:noProof/>
        </w:rPr>
        <w:t>Calculul amprentei de mediu a unei materii prime critice are la bază lista de materiale, energia, metodele de producție și materialele auxiliare utilizate în instalațiile implicate în producția de materii prime critice.</w:t>
      </w:r>
    </w:p>
    <w:p w14:paraId="06385D9D" w14:textId="77777777" w:rsidR="00A73F63" w:rsidRPr="00CB1586" w:rsidRDefault="00A73F63" w:rsidP="00A73F63">
      <w:pPr>
        <w:pStyle w:val="Text1"/>
        <w:rPr>
          <w:noProof/>
        </w:rPr>
      </w:pPr>
      <w:r w:rsidRPr="00CB1586">
        <w:rPr>
          <w:noProof/>
        </w:rPr>
        <w:t>Atunci când stabilește norme de calcul pentru amprenta de mediu a anumitor materii prime critice, Comisia urmărește să asigure coerența cu normele de calcul pentru amprenta de mediu a produsului care utilizează materiile prime critice relevante. </w:t>
      </w:r>
    </w:p>
    <w:p w14:paraId="3B6BF307" w14:textId="77777777" w:rsidR="00A73F63" w:rsidRPr="00CB1586" w:rsidRDefault="00A73F63" w:rsidP="00890E59">
      <w:pPr>
        <w:pStyle w:val="NumPar1"/>
        <w:rPr>
          <w:b/>
          <w:noProof/>
        </w:rPr>
      </w:pPr>
      <w:r w:rsidRPr="00CB1586">
        <w:rPr>
          <w:b/>
          <w:noProof/>
        </w:rPr>
        <w:t>Unitatea declarată</w:t>
      </w:r>
    </w:p>
    <w:p w14:paraId="375726B7" w14:textId="77777777" w:rsidR="00A73F63" w:rsidRPr="00CB1586" w:rsidRDefault="00A73F63" w:rsidP="00A73F63">
      <w:pPr>
        <w:pStyle w:val="Text1"/>
        <w:rPr>
          <w:noProof/>
        </w:rPr>
      </w:pPr>
      <w:r w:rsidRPr="00CB1586">
        <w:rPr>
          <w:noProof/>
        </w:rPr>
        <w:t>Unitatea declarată este 1 kg de materie primă critică relevantă.</w:t>
      </w:r>
    </w:p>
    <w:p w14:paraId="257505C9" w14:textId="289E80B5" w:rsidR="00A73F63" w:rsidRPr="00CB1586" w:rsidRDefault="00A73F63" w:rsidP="00A73F63">
      <w:pPr>
        <w:pStyle w:val="Text1"/>
        <w:rPr>
          <w:noProof/>
        </w:rPr>
      </w:pPr>
      <w:r w:rsidRPr="00CB1586">
        <w:rPr>
          <w:noProof/>
        </w:rPr>
        <w:t>Normele de calcul pentru amprenta de mediu a materiilor prime critice specifice pot prevedea o unitate declarată mai mare sau mai mică, exprimată în kg, dacă este necesar pentru a ține seama de natura sau de utilizarea materiei prime critice relevante.</w:t>
      </w:r>
      <w:r w:rsidR="00CB1586">
        <w:rPr>
          <w:noProof/>
        </w:rPr>
        <w:t xml:space="preserve"> </w:t>
      </w:r>
    </w:p>
    <w:p w14:paraId="156BB88E" w14:textId="77777777" w:rsidR="00A73F63" w:rsidRPr="00CB1586" w:rsidRDefault="00A73F63" w:rsidP="00A73F63">
      <w:pPr>
        <w:pStyle w:val="Text1"/>
        <w:rPr>
          <w:noProof/>
        </w:rPr>
      </w:pPr>
      <w:r w:rsidRPr="00CB1586">
        <w:rPr>
          <w:noProof/>
        </w:rPr>
        <w:t>Toate datele cantitative de intrare și de ieșire colectate de către producător pentru a cuantifica amprenta de carbon se calculează în raport cu această unitate declarată.</w:t>
      </w:r>
    </w:p>
    <w:p w14:paraId="6093CC77" w14:textId="77777777" w:rsidR="00A73F63" w:rsidRPr="00CB1586" w:rsidRDefault="00A73F63" w:rsidP="00890E59">
      <w:pPr>
        <w:pStyle w:val="NumPar1"/>
        <w:rPr>
          <w:b/>
          <w:noProof/>
        </w:rPr>
      </w:pPr>
      <w:r w:rsidRPr="00CB1586">
        <w:rPr>
          <w:b/>
          <w:noProof/>
        </w:rPr>
        <w:t>Limitele sistemului</w:t>
      </w:r>
    </w:p>
    <w:p w14:paraId="2117E9DE" w14:textId="77777777" w:rsidR="00A73F63" w:rsidRPr="00CB1586" w:rsidRDefault="00A73F63" w:rsidP="00A73F63">
      <w:pPr>
        <w:pStyle w:val="Text1"/>
        <w:rPr>
          <w:noProof/>
        </w:rPr>
      </w:pPr>
      <w:r w:rsidRPr="00CB1586">
        <w:rPr>
          <w:noProof/>
        </w:rPr>
        <w:t>Extracția, concentrarea și rafinarea sunt cele trei etape ale ciclului de viață care trebuie incluse în limita sistemului materiilor prime critice principale prin următoarele procese (atunci când sunt relevante pentru materia primă în cauză):</w:t>
      </w:r>
    </w:p>
    <w:p w14:paraId="2D73AE0F" w14:textId="77777777" w:rsidR="00A73F63" w:rsidRPr="00CB1586" w:rsidRDefault="00A73F63" w:rsidP="00F733C0">
      <w:pPr>
        <w:pStyle w:val="Point1letter"/>
        <w:numPr>
          <w:ilvl w:val="3"/>
          <w:numId w:val="10"/>
        </w:numPr>
        <w:rPr>
          <w:noProof/>
        </w:rPr>
      </w:pPr>
      <w:r w:rsidRPr="00CB1586">
        <w:rPr>
          <w:noProof/>
        </w:rPr>
        <w:t>procesele din amonte, inclusiv extracția de minereu pentru producția de materii prime, producția și furnizarea (transportul) de substanțe chimice, auxiliarele, producția și furnizarea (transportul) de combustibili, producția și furnizarea de energie electrică, precum și transportul materialelor în vehicule care nu sunt deținute de organizație;</w:t>
      </w:r>
    </w:p>
    <w:p w14:paraId="49E94912" w14:textId="77777777" w:rsidR="00A73F63" w:rsidRPr="00CB1586" w:rsidRDefault="00A73F63" w:rsidP="00F733C0">
      <w:pPr>
        <w:pStyle w:val="Point1letter"/>
        <w:numPr>
          <w:ilvl w:val="3"/>
          <w:numId w:val="10"/>
        </w:numPr>
        <w:rPr>
          <w:noProof/>
        </w:rPr>
      </w:pPr>
      <w:r w:rsidRPr="00CB1586">
        <w:rPr>
          <w:noProof/>
        </w:rPr>
        <w:t>transportul de minereuri, concentrate și materii prime în vehicule deținute sau exploatate de organizație;</w:t>
      </w:r>
    </w:p>
    <w:p w14:paraId="15A5064B" w14:textId="77777777" w:rsidR="00A73F63" w:rsidRPr="00CB1586" w:rsidRDefault="00A73F63" w:rsidP="00F733C0">
      <w:pPr>
        <w:pStyle w:val="Point1letter"/>
        <w:numPr>
          <w:ilvl w:val="3"/>
          <w:numId w:val="10"/>
        </w:numPr>
        <w:rPr>
          <w:noProof/>
        </w:rPr>
      </w:pPr>
      <w:r w:rsidRPr="00CB1586">
        <w:rPr>
          <w:noProof/>
        </w:rPr>
        <w:t>depozitarea minereurilor, a concentratelor și a materiilor prime;</w:t>
      </w:r>
    </w:p>
    <w:p w14:paraId="76EF1B0C" w14:textId="77777777" w:rsidR="00A73F63" w:rsidRPr="00CB1586" w:rsidRDefault="00A73F63" w:rsidP="00F733C0">
      <w:pPr>
        <w:pStyle w:val="Point1letter"/>
        <w:numPr>
          <w:ilvl w:val="3"/>
          <w:numId w:val="10"/>
        </w:numPr>
        <w:rPr>
          <w:noProof/>
        </w:rPr>
      </w:pPr>
      <w:r w:rsidRPr="00CB1586">
        <w:rPr>
          <w:noProof/>
        </w:rPr>
        <w:t>concasarea și curățarea minereurilor;</w:t>
      </w:r>
    </w:p>
    <w:p w14:paraId="4DED9737" w14:textId="77777777" w:rsidR="00A73F63" w:rsidRPr="00CB1586" w:rsidRDefault="00A73F63" w:rsidP="00F733C0">
      <w:pPr>
        <w:pStyle w:val="Point1letter"/>
        <w:numPr>
          <w:ilvl w:val="3"/>
          <w:numId w:val="10"/>
        </w:numPr>
        <w:rPr>
          <w:noProof/>
        </w:rPr>
      </w:pPr>
      <w:r w:rsidRPr="00CB1586">
        <w:rPr>
          <w:noProof/>
        </w:rPr>
        <w:t>producția de concentrate de materii prime;</w:t>
      </w:r>
    </w:p>
    <w:p w14:paraId="2ECEFC90" w14:textId="77777777" w:rsidR="00A73F63" w:rsidRPr="00CB1586" w:rsidRDefault="00A73F63" w:rsidP="00F733C0">
      <w:pPr>
        <w:pStyle w:val="Point1letter"/>
        <w:numPr>
          <w:ilvl w:val="3"/>
          <w:numId w:val="10"/>
        </w:numPr>
        <w:rPr>
          <w:noProof/>
        </w:rPr>
      </w:pPr>
      <w:r w:rsidRPr="00CB1586">
        <w:rPr>
          <w:noProof/>
        </w:rPr>
        <w:t>extracția metalelor (prin mijloace chimice, fizice sau biologice);</w:t>
      </w:r>
    </w:p>
    <w:p w14:paraId="55BBE326" w14:textId="77777777" w:rsidR="00A73F63" w:rsidRPr="00CB1586" w:rsidRDefault="00A73F63" w:rsidP="00F733C0">
      <w:pPr>
        <w:pStyle w:val="Point1letter"/>
        <w:numPr>
          <w:ilvl w:val="3"/>
          <w:numId w:val="10"/>
        </w:numPr>
        <w:rPr>
          <w:noProof/>
        </w:rPr>
      </w:pPr>
      <w:r w:rsidRPr="00CB1586">
        <w:rPr>
          <w:noProof/>
        </w:rPr>
        <w:t>topirea;</w:t>
      </w:r>
    </w:p>
    <w:p w14:paraId="2406038B" w14:textId="77777777" w:rsidR="00A73F63" w:rsidRPr="00CB1586" w:rsidRDefault="00A73F63" w:rsidP="00F733C0">
      <w:pPr>
        <w:pStyle w:val="Point1letter"/>
        <w:numPr>
          <w:ilvl w:val="3"/>
          <w:numId w:val="10"/>
        </w:numPr>
        <w:rPr>
          <w:noProof/>
        </w:rPr>
      </w:pPr>
      <w:r w:rsidRPr="00CB1586">
        <w:rPr>
          <w:noProof/>
        </w:rPr>
        <w:t>conversia în metal;</w:t>
      </w:r>
    </w:p>
    <w:p w14:paraId="15C2C410" w14:textId="77777777" w:rsidR="00A73F63" w:rsidRPr="00CB1586" w:rsidRDefault="00A73F63" w:rsidP="00F733C0">
      <w:pPr>
        <w:pStyle w:val="Point1letter"/>
        <w:numPr>
          <w:ilvl w:val="3"/>
          <w:numId w:val="10"/>
        </w:numPr>
        <w:rPr>
          <w:noProof/>
        </w:rPr>
      </w:pPr>
      <w:r w:rsidRPr="00CB1586">
        <w:rPr>
          <w:noProof/>
        </w:rPr>
        <w:t>scorificarea;</w:t>
      </w:r>
    </w:p>
    <w:p w14:paraId="6BE8681C" w14:textId="77777777" w:rsidR="00A73F63" w:rsidRPr="00CB1586" w:rsidRDefault="00A73F63" w:rsidP="00F733C0">
      <w:pPr>
        <w:pStyle w:val="Point1letter"/>
        <w:numPr>
          <w:ilvl w:val="3"/>
          <w:numId w:val="10"/>
        </w:numPr>
        <w:rPr>
          <w:noProof/>
        </w:rPr>
      </w:pPr>
      <w:r w:rsidRPr="00CB1586">
        <w:rPr>
          <w:noProof/>
        </w:rPr>
        <w:t>rafinarea metalelor;</w:t>
      </w:r>
    </w:p>
    <w:p w14:paraId="4DEEF341" w14:textId="77777777" w:rsidR="00A73F63" w:rsidRPr="00CB1586" w:rsidRDefault="00A73F63" w:rsidP="00F733C0">
      <w:pPr>
        <w:pStyle w:val="Point1letter"/>
        <w:numPr>
          <w:ilvl w:val="3"/>
          <w:numId w:val="10"/>
        </w:numPr>
        <w:rPr>
          <w:noProof/>
        </w:rPr>
      </w:pPr>
      <w:r w:rsidRPr="00CB1586">
        <w:rPr>
          <w:noProof/>
        </w:rPr>
        <w:t>electroliza metalelor;</w:t>
      </w:r>
    </w:p>
    <w:p w14:paraId="62F6F2D5" w14:textId="77777777" w:rsidR="00A73F63" w:rsidRPr="00CB1586" w:rsidRDefault="00A73F63" w:rsidP="00F733C0">
      <w:pPr>
        <w:pStyle w:val="Point1letter"/>
        <w:numPr>
          <w:ilvl w:val="3"/>
          <w:numId w:val="10"/>
        </w:numPr>
        <w:rPr>
          <w:noProof/>
        </w:rPr>
      </w:pPr>
      <w:r w:rsidRPr="00CB1586">
        <w:rPr>
          <w:noProof/>
        </w:rPr>
        <w:t>turnarea sau ambalarea metalelor;</w:t>
      </w:r>
    </w:p>
    <w:p w14:paraId="36CEB6A3" w14:textId="77777777" w:rsidR="00A73F63" w:rsidRPr="00CB1586" w:rsidRDefault="00A73F63" w:rsidP="00F733C0">
      <w:pPr>
        <w:pStyle w:val="Point1letter"/>
        <w:numPr>
          <w:ilvl w:val="3"/>
          <w:numId w:val="10"/>
        </w:numPr>
        <w:rPr>
          <w:noProof/>
        </w:rPr>
      </w:pPr>
      <w:r w:rsidRPr="00CB1586">
        <w:rPr>
          <w:noProof/>
        </w:rPr>
        <w:t>tratarea materialelor uzate și a zgurii;</w:t>
      </w:r>
    </w:p>
    <w:p w14:paraId="33415C37" w14:textId="77777777" w:rsidR="00A73F63" w:rsidRPr="00CB1586" w:rsidRDefault="00A73F63" w:rsidP="00F733C0">
      <w:pPr>
        <w:pStyle w:val="Point1letter"/>
        <w:numPr>
          <w:ilvl w:val="3"/>
          <w:numId w:val="10"/>
        </w:numPr>
        <w:rPr>
          <w:noProof/>
        </w:rPr>
      </w:pPr>
      <w:r w:rsidRPr="00CB1586">
        <w:rPr>
          <w:noProof/>
        </w:rPr>
        <w:t>toate procesele auxiliare conexe, cum ar fi tratarea apelor reziduale (la fața locului, inclusiv în ceea ce privește tratarea apelor de proces, a apelor de răcire și a scurgerilor de suprafață), sistemele de reducere a gazelor (inclusiv în ceea ce privește gazele reziduale primare și secundare), cazanele (inclusiv tratarea prealabilă a apelor de alimentare) și logistica internă.</w:t>
      </w:r>
    </w:p>
    <w:p w14:paraId="6D7B6B04" w14:textId="77777777" w:rsidR="00A73F63" w:rsidRPr="00CB1586" w:rsidRDefault="00A73F63" w:rsidP="00A73F63">
      <w:pPr>
        <w:pStyle w:val="Text1"/>
        <w:rPr>
          <w:noProof/>
        </w:rPr>
      </w:pPr>
      <w:r w:rsidRPr="00CB1586">
        <w:rPr>
          <w:noProof/>
        </w:rPr>
        <w:t>În limitele sistemului materiilor prime critice secundare (care definesc etapa ciclului de viață al reciclării) sunt incluse următoarele procese (atunci când sunt relevante pentru materia primă reciclată specifică):</w:t>
      </w:r>
    </w:p>
    <w:p w14:paraId="32C56BC5" w14:textId="77777777" w:rsidR="00A73F63" w:rsidRPr="00CB1586" w:rsidRDefault="00A73F63" w:rsidP="00F733C0">
      <w:pPr>
        <w:pStyle w:val="Point1letter"/>
        <w:numPr>
          <w:ilvl w:val="3"/>
          <w:numId w:val="9"/>
        </w:numPr>
        <w:rPr>
          <w:noProof/>
        </w:rPr>
      </w:pPr>
      <w:r w:rsidRPr="00CB1586">
        <w:rPr>
          <w:noProof/>
        </w:rPr>
        <w:t>procesele din amonte, inclusiv generarea de materii prime furajere (deșeuri și concentrate de cupru primar), producția și furnizarea (transportul) de substanțe chimice, auxiliarele, producția și furnizarea (transportul) de combustibili, producția și furnizarea de energie electrică, precum și transportul materialelor în vehicule care nu sunt deținute de organizație;</w:t>
      </w:r>
    </w:p>
    <w:p w14:paraId="5AC42D05" w14:textId="77777777" w:rsidR="00A73F63" w:rsidRPr="00CB1586" w:rsidRDefault="00A73F63" w:rsidP="00F733C0">
      <w:pPr>
        <w:pStyle w:val="Point1letter"/>
        <w:numPr>
          <w:ilvl w:val="3"/>
          <w:numId w:val="9"/>
        </w:numPr>
        <w:rPr>
          <w:noProof/>
        </w:rPr>
      </w:pPr>
      <w:r w:rsidRPr="00CB1586">
        <w:rPr>
          <w:noProof/>
        </w:rPr>
        <w:t>transportul concentratelor și al deșeurilor în vehicule deținute sau exploatate de organizație;</w:t>
      </w:r>
    </w:p>
    <w:p w14:paraId="33000B75" w14:textId="77777777" w:rsidR="00A73F63" w:rsidRPr="00CB1586" w:rsidRDefault="00A73F63" w:rsidP="00F733C0">
      <w:pPr>
        <w:pStyle w:val="Point1letter"/>
        <w:numPr>
          <w:ilvl w:val="3"/>
          <w:numId w:val="9"/>
        </w:numPr>
        <w:rPr>
          <w:noProof/>
        </w:rPr>
      </w:pPr>
      <w:r w:rsidRPr="00CB1586">
        <w:rPr>
          <w:noProof/>
        </w:rPr>
        <w:t>depozitarea deșeurilor, a concentratelor și a materiilor prime;</w:t>
      </w:r>
    </w:p>
    <w:p w14:paraId="23C45DE6" w14:textId="77777777" w:rsidR="00A73F63" w:rsidRPr="00CB1586" w:rsidRDefault="00A73F63" w:rsidP="00F733C0">
      <w:pPr>
        <w:pStyle w:val="Point1letter"/>
        <w:numPr>
          <w:ilvl w:val="3"/>
          <w:numId w:val="9"/>
        </w:numPr>
        <w:rPr>
          <w:noProof/>
        </w:rPr>
      </w:pPr>
      <w:r w:rsidRPr="00CB1586">
        <w:rPr>
          <w:noProof/>
        </w:rPr>
        <w:t>pretratarea materiilor secundare;</w:t>
      </w:r>
    </w:p>
    <w:p w14:paraId="3F530497" w14:textId="77777777" w:rsidR="00A73F63" w:rsidRPr="00CB1586" w:rsidRDefault="00A73F63" w:rsidP="00F733C0">
      <w:pPr>
        <w:pStyle w:val="Point1letter"/>
        <w:numPr>
          <w:ilvl w:val="3"/>
          <w:numId w:val="9"/>
        </w:numPr>
        <w:rPr>
          <w:noProof/>
        </w:rPr>
      </w:pPr>
      <w:r w:rsidRPr="00CB1586">
        <w:rPr>
          <w:noProof/>
        </w:rPr>
        <w:t>topirea;</w:t>
      </w:r>
    </w:p>
    <w:p w14:paraId="6EE3EBFF" w14:textId="77777777" w:rsidR="00A73F63" w:rsidRPr="00CB1586" w:rsidRDefault="00A73F63" w:rsidP="00F733C0">
      <w:pPr>
        <w:pStyle w:val="Point1letter"/>
        <w:numPr>
          <w:ilvl w:val="3"/>
          <w:numId w:val="9"/>
        </w:numPr>
        <w:rPr>
          <w:noProof/>
        </w:rPr>
      </w:pPr>
      <w:r w:rsidRPr="00CB1586">
        <w:rPr>
          <w:noProof/>
        </w:rPr>
        <w:tab/>
        <w:t>conversia în metal;</w:t>
      </w:r>
    </w:p>
    <w:p w14:paraId="38E178FE" w14:textId="77777777" w:rsidR="00A73F63" w:rsidRPr="00CB1586" w:rsidRDefault="00A73F63" w:rsidP="00F733C0">
      <w:pPr>
        <w:pStyle w:val="Point1letter"/>
        <w:numPr>
          <w:ilvl w:val="3"/>
          <w:numId w:val="9"/>
        </w:numPr>
        <w:rPr>
          <w:noProof/>
        </w:rPr>
      </w:pPr>
      <w:r w:rsidRPr="00CB1586">
        <w:rPr>
          <w:noProof/>
        </w:rPr>
        <w:t>rafinarea metalelor;</w:t>
      </w:r>
    </w:p>
    <w:p w14:paraId="3CEB7CB8" w14:textId="77777777" w:rsidR="00A73F63" w:rsidRPr="00CB1586" w:rsidRDefault="00A73F63" w:rsidP="00F733C0">
      <w:pPr>
        <w:pStyle w:val="Point1letter"/>
        <w:numPr>
          <w:ilvl w:val="3"/>
          <w:numId w:val="9"/>
        </w:numPr>
        <w:rPr>
          <w:noProof/>
        </w:rPr>
      </w:pPr>
      <w:r w:rsidRPr="00CB1586">
        <w:rPr>
          <w:noProof/>
        </w:rPr>
        <w:t>electroliza metalelor;</w:t>
      </w:r>
    </w:p>
    <w:p w14:paraId="311C6D85" w14:textId="77777777" w:rsidR="00A73F63" w:rsidRPr="00CB1586" w:rsidRDefault="00A73F63" w:rsidP="00F733C0">
      <w:pPr>
        <w:pStyle w:val="Point1letter"/>
        <w:numPr>
          <w:ilvl w:val="3"/>
          <w:numId w:val="9"/>
        </w:numPr>
        <w:rPr>
          <w:noProof/>
        </w:rPr>
      </w:pPr>
      <w:r w:rsidRPr="00CB1586">
        <w:rPr>
          <w:noProof/>
        </w:rPr>
        <w:t>turnarea sau ambalarea metalelor;</w:t>
      </w:r>
    </w:p>
    <w:p w14:paraId="2AA25684" w14:textId="77777777" w:rsidR="00A73F63" w:rsidRPr="00CB1586" w:rsidRDefault="00A73F63" w:rsidP="00F733C0">
      <w:pPr>
        <w:pStyle w:val="Point1letter"/>
        <w:numPr>
          <w:ilvl w:val="3"/>
          <w:numId w:val="9"/>
        </w:numPr>
        <w:rPr>
          <w:noProof/>
        </w:rPr>
      </w:pPr>
      <w:r w:rsidRPr="00CB1586">
        <w:rPr>
          <w:noProof/>
        </w:rPr>
        <w:t>tratarea materialelor uzate;</w:t>
      </w:r>
    </w:p>
    <w:p w14:paraId="30DDDF92" w14:textId="77777777" w:rsidR="00A73F63" w:rsidRPr="00CB1586" w:rsidRDefault="00A73F63" w:rsidP="00F733C0">
      <w:pPr>
        <w:pStyle w:val="Point1letter"/>
        <w:numPr>
          <w:ilvl w:val="3"/>
          <w:numId w:val="9"/>
        </w:numPr>
        <w:rPr>
          <w:noProof/>
        </w:rPr>
      </w:pPr>
      <w:r w:rsidRPr="00CB1586">
        <w:rPr>
          <w:noProof/>
        </w:rPr>
        <w:t>toate procesele auxiliare conexe, cum ar fi tratarea apelor reziduale (la fața locului, inclusiv în ceea ce privește tratarea apelor de proces, a apelor de răcire și a scurgerilor de suprafață), sistemele de reducere a gazelor (inclusiv în ceea ce privește gazele reziduale primare și secundare), cazanele (inclusiv tratarea prealabilă a apei de alimentare) și logistica internă.</w:t>
      </w:r>
    </w:p>
    <w:p w14:paraId="4AD6A0CE" w14:textId="77777777" w:rsidR="00A73F63" w:rsidRPr="00CB1586" w:rsidRDefault="00A73F63" w:rsidP="00A73F63">
      <w:pPr>
        <w:pStyle w:val="Text1"/>
        <w:rPr>
          <w:noProof/>
        </w:rPr>
      </w:pPr>
      <w:r w:rsidRPr="00CB1586">
        <w:rPr>
          <w:noProof/>
        </w:rPr>
        <w:t>Etapa de utilizare sau etapa de sfârșit al ciclului de viață este exclusă din calculul amprentei de mediu, deoarece nu se află sub influența directă a operatorului economic responsabil. Alte procese pot fi excluse în cazul în care contribuția lor la amprenta de mediu a unei anumite materii prime critice este nesemnificativă.</w:t>
      </w:r>
    </w:p>
    <w:p w14:paraId="26E3E497" w14:textId="77777777" w:rsidR="00A73F63" w:rsidRPr="00CB1586" w:rsidRDefault="00A73F63" w:rsidP="00890E59">
      <w:pPr>
        <w:pStyle w:val="NumPar1"/>
        <w:rPr>
          <w:b/>
          <w:noProof/>
        </w:rPr>
      </w:pPr>
      <w:r w:rsidRPr="00CB1586">
        <w:rPr>
          <w:b/>
          <w:noProof/>
        </w:rPr>
        <w:t>Categorii de impact</w:t>
      </w:r>
    </w:p>
    <w:p w14:paraId="0FC541F6" w14:textId="77777777" w:rsidR="00A73F63" w:rsidRPr="00CB1586" w:rsidRDefault="00A73F63" w:rsidP="00A73F63">
      <w:pPr>
        <w:pStyle w:val="Text1"/>
        <w:rPr>
          <w:noProof/>
        </w:rPr>
      </w:pPr>
      <w:r w:rsidRPr="00CB1586">
        <w:rPr>
          <w:noProof/>
        </w:rPr>
        <w:t>Normele de calcul prevăd categoria de impact care trebuie inclusă în calculul amprentei de mediu. Alegerea se bazează pe analiza punctelor nevralgice efectuată în conformitate cu metodologiile solide din punct de vedere științific elaborate la nivel internațional și ținând seama de:</w:t>
      </w:r>
    </w:p>
    <w:p w14:paraId="1D802A53" w14:textId="77777777" w:rsidR="00A73F63" w:rsidRPr="00CB1586" w:rsidRDefault="00A73F63" w:rsidP="00F733C0">
      <w:pPr>
        <w:pStyle w:val="Point1letter"/>
        <w:numPr>
          <w:ilvl w:val="3"/>
          <w:numId w:val="8"/>
        </w:numPr>
        <w:rPr>
          <w:noProof/>
        </w:rPr>
      </w:pPr>
      <w:r w:rsidRPr="00CB1586">
        <w:rPr>
          <w:noProof/>
        </w:rPr>
        <w:t>importanța relativă a diferitelor impacturi, inclusiv importanța lor relativă pentru îndeplinirea obiectivelor climatice și de mediu la nivelul Uniunii; </w:t>
      </w:r>
    </w:p>
    <w:p w14:paraId="58E46F38" w14:textId="77777777" w:rsidR="00A73F63" w:rsidRPr="00CB1586" w:rsidRDefault="00A73F63" w:rsidP="00F733C0">
      <w:pPr>
        <w:pStyle w:val="Point1letter"/>
        <w:numPr>
          <w:ilvl w:val="3"/>
          <w:numId w:val="8"/>
        </w:numPr>
        <w:rPr>
          <w:noProof/>
        </w:rPr>
      </w:pPr>
      <w:r w:rsidRPr="00CB1586">
        <w:rPr>
          <w:noProof/>
        </w:rPr>
        <w:t>nevoile întreprinderilor din aval care doresc să comunice cu privire la amprenta de mediu a materiilor prime critice pe care le utilizează.</w:t>
      </w:r>
    </w:p>
    <w:p w14:paraId="4E8B929B" w14:textId="77777777" w:rsidR="00A73F63" w:rsidRPr="00CB1586" w:rsidRDefault="00A73F63" w:rsidP="00890E59">
      <w:pPr>
        <w:pStyle w:val="NumPar1"/>
        <w:rPr>
          <w:b/>
          <w:noProof/>
        </w:rPr>
      </w:pPr>
      <w:r w:rsidRPr="00CB1586">
        <w:rPr>
          <w:b/>
          <w:noProof/>
        </w:rPr>
        <w:t>Utilizarea seturilor de date specifice întreprinderii și a seturilor de date secundare</w:t>
      </w:r>
    </w:p>
    <w:p w14:paraId="5B84274A" w14:textId="77777777" w:rsidR="00A73F63" w:rsidRPr="00CB1586" w:rsidRDefault="00A73F63" w:rsidP="00A73F63">
      <w:pPr>
        <w:pStyle w:val="Text1"/>
        <w:rPr>
          <w:noProof/>
        </w:rPr>
      </w:pPr>
      <w:r w:rsidRPr="00CB1586">
        <w:rPr>
          <w:noProof/>
        </w:rPr>
        <w:t>Normele de calcul prevăd utilizarea seturilor de date specifice întreprinderii sau a seturilor de date secundare pentru toate procesele și materiile relevante. </w:t>
      </w:r>
    </w:p>
    <w:p w14:paraId="77E419B2" w14:textId="77777777" w:rsidR="00A73F63" w:rsidRPr="00CB1586" w:rsidRDefault="00A73F63" w:rsidP="00A73F63">
      <w:pPr>
        <w:pStyle w:val="Text1"/>
        <w:rPr>
          <w:noProof/>
        </w:rPr>
      </w:pPr>
      <w:r w:rsidRPr="00CB1586">
        <w:rPr>
          <w:noProof/>
        </w:rPr>
        <w:t>Utilizarea datelor specifice întreprinderii este necesară cel puțin pentru procesele aflate sub influența directă a operatorului responsabil și au cea mai mare contribuție la categoriile de impact relevante.</w:t>
      </w:r>
    </w:p>
    <w:p w14:paraId="04BABD60" w14:textId="77777777" w:rsidR="00A73F63" w:rsidRPr="00CB1586" w:rsidRDefault="00A73F63" w:rsidP="00A73F63">
      <w:pPr>
        <w:pStyle w:val="Text1"/>
        <w:rPr>
          <w:noProof/>
        </w:rPr>
      </w:pPr>
      <w:r w:rsidRPr="00CB1586">
        <w:rPr>
          <w:noProof/>
        </w:rPr>
        <w:t>Datele de activitate specifice societății se utilizează împreună cu seturile de date secundare conforme cu normele relevante referitoare la amprenta de mediu. Normele de calcul ar trebui să specifice dacă eșantionarea este permisă, în conformitate cu criteriile stabilite în metodologiile solide din punct de vedere științific elaborate la nivel internațional.</w:t>
      </w:r>
    </w:p>
    <w:p w14:paraId="0AFFBB29" w14:textId="77777777" w:rsidR="00A73F63" w:rsidRPr="00CB1586" w:rsidRDefault="00A73F63" w:rsidP="00A73F63">
      <w:pPr>
        <w:pStyle w:val="Text1"/>
        <w:rPr>
          <w:noProof/>
        </w:rPr>
      </w:pPr>
      <w:r w:rsidRPr="00CB1586">
        <w:rPr>
          <w:noProof/>
        </w:rPr>
        <w:t>O modificare a listei materialelor sau a mixului energetic utilizat pentru a produce un tip de materie primă critică impune un nou calcul al amprentei de mediu.</w:t>
      </w:r>
    </w:p>
    <w:p w14:paraId="0FBBB89D" w14:textId="77777777" w:rsidR="00A73F63" w:rsidRPr="00CB1586" w:rsidRDefault="00A73F63" w:rsidP="00A73F63">
      <w:pPr>
        <w:pStyle w:val="Text1"/>
        <w:rPr>
          <w:noProof/>
        </w:rPr>
      </w:pPr>
      <w:r w:rsidRPr="00CB1586">
        <w:rPr>
          <w:noProof/>
        </w:rPr>
        <w:t>Normele de calcul care urmează să fie elaborate printr-un act delegat includ modelarea detaliată a următoarelor etape ale ciclului de viață:</w:t>
      </w:r>
    </w:p>
    <w:p w14:paraId="2FA612A9" w14:textId="77777777" w:rsidR="00A73F63" w:rsidRPr="00CB1586" w:rsidRDefault="00A73F63" w:rsidP="00F733C0">
      <w:pPr>
        <w:pStyle w:val="Point1letter"/>
        <w:numPr>
          <w:ilvl w:val="3"/>
          <w:numId w:val="7"/>
        </w:numPr>
        <w:rPr>
          <w:noProof/>
        </w:rPr>
      </w:pPr>
      <w:r w:rsidRPr="00CB1586">
        <w:rPr>
          <w:noProof/>
        </w:rPr>
        <w:t>etapa de extracție, concentrare și rafinare a materiilor prime principale; </w:t>
      </w:r>
    </w:p>
    <w:p w14:paraId="1126BD02" w14:textId="77777777" w:rsidR="00A73F63" w:rsidRPr="00CB1586" w:rsidRDefault="00A73F63" w:rsidP="00F733C0">
      <w:pPr>
        <w:pStyle w:val="Point1letter"/>
        <w:numPr>
          <w:ilvl w:val="3"/>
          <w:numId w:val="7"/>
        </w:numPr>
        <w:rPr>
          <w:noProof/>
        </w:rPr>
      </w:pPr>
      <w:r w:rsidRPr="00CB1586">
        <w:rPr>
          <w:noProof/>
        </w:rPr>
        <w:t>etapa de achiziție și de prelucrare a materiilor prime secundare.</w:t>
      </w:r>
    </w:p>
    <w:p w14:paraId="162DA083" w14:textId="77777777" w:rsidR="00A73F63" w:rsidRPr="00CB1586" w:rsidRDefault="00A73F63" w:rsidP="00890E59">
      <w:pPr>
        <w:pStyle w:val="NumPar1"/>
        <w:rPr>
          <w:b/>
          <w:noProof/>
        </w:rPr>
      </w:pPr>
      <w:r w:rsidRPr="00CB1586">
        <w:rPr>
          <w:b/>
          <w:noProof/>
        </w:rPr>
        <w:t>Metode de evaluare a impactului</w:t>
      </w:r>
    </w:p>
    <w:p w14:paraId="6F739090" w14:textId="77777777" w:rsidR="00A73F63" w:rsidRPr="00CB1586" w:rsidRDefault="00A73F63" w:rsidP="00A73F63">
      <w:pPr>
        <w:pStyle w:val="Text1"/>
        <w:rPr>
          <w:noProof/>
        </w:rPr>
      </w:pPr>
      <w:r w:rsidRPr="00CB1586">
        <w:rPr>
          <w:noProof/>
        </w:rPr>
        <w:t>Amprenta de mediu se calculează utilizând metode de evaluare a impactului solide din punct de vedere științific, care iau în considerare evoluțiile la nivel internațional pentru categoriile de impact relevante legate de schimbările climatice, apă, aer, sol, resurse, utilizarea terenurilor și toxicitate.</w:t>
      </w:r>
    </w:p>
    <w:p w14:paraId="3F7DCF63" w14:textId="77777777" w:rsidR="00A73F63" w:rsidRPr="00CB1586" w:rsidRDefault="00A73F63" w:rsidP="00A73F63">
      <w:pPr>
        <w:pStyle w:val="Text1"/>
        <w:rPr>
          <w:noProof/>
        </w:rPr>
      </w:pPr>
      <w:r w:rsidRPr="00CB1586">
        <w:rPr>
          <w:noProof/>
        </w:rPr>
        <w:t xml:space="preserve">Rezultatele sunt furnizate sub formă de rezultate caracterizate (fără normalizare și ponderare). </w:t>
      </w:r>
    </w:p>
    <w:p w14:paraId="5889D22B" w14:textId="77777777" w:rsidR="00A73F63" w:rsidRPr="00CB1586" w:rsidRDefault="00A73F63" w:rsidP="00890E59">
      <w:pPr>
        <w:pStyle w:val="NumPar1"/>
        <w:rPr>
          <w:b/>
          <w:noProof/>
        </w:rPr>
      </w:pPr>
      <w:r w:rsidRPr="00CB1586">
        <w:rPr>
          <w:b/>
          <w:noProof/>
        </w:rPr>
        <w:t>Clase de performanță privind amprenta de mediu</w:t>
      </w:r>
    </w:p>
    <w:p w14:paraId="3A50A738" w14:textId="77777777" w:rsidR="00A73F63" w:rsidRPr="00CB1586" w:rsidRDefault="00A73F63" w:rsidP="00A73F63">
      <w:pPr>
        <w:pStyle w:val="Text1"/>
        <w:rPr>
          <w:noProof/>
        </w:rPr>
      </w:pPr>
      <w:r w:rsidRPr="00CB1586">
        <w:rPr>
          <w:noProof/>
        </w:rPr>
        <w:t>În funcție de distribuția valorilor din declarațiile privind amprenta de mediu introduse pe piața internă, se identifică un număr semnificativ de clase de performanță, categoria A fiind cea mai bună clasă, cu cel mai mic impact pe durata ciclului de viață, pentru a permite diferențierea produselor de piață. Identificarea pragului pentru fiecare clasă de performanță, precum și a amplorii acestora, se va baza pe distribuția performanțelor materiilor prime critice relevante introduse pe piață în ultimii trei ani, pe îmbunătățirile tehnologice preconizate și pe alți factori tehnici care urmează să fie identificați.</w:t>
      </w:r>
    </w:p>
    <w:p w14:paraId="432BE2E4" w14:textId="77777777" w:rsidR="00A73F63" w:rsidRPr="00CB1586" w:rsidRDefault="00A73F63" w:rsidP="00A73F63">
      <w:pPr>
        <w:pStyle w:val="Text1"/>
        <w:rPr>
          <w:noProof/>
        </w:rPr>
      </w:pPr>
      <w:r w:rsidRPr="00CB1586">
        <w:rPr>
          <w:noProof/>
        </w:rPr>
        <w:t>O dată la trei ani, Comisia analizează numărul claselor de performanță și pragurile dintre acestea pentru a le menține relevante în raport cu realitatea pieței și evoluția sa preconizată.</w:t>
      </w:r>
    </w:p>
    <w:p w14:paraId="05AC0C9D" w14:textId="77777777" w:rsidR="00A73F63" w:rsidRPr="00CB1586" w:rsidRDefault="00A73F63" w:rsidP="00CB1586">
      <w:pPr>
        <w:pStyle w:val="NumPar1"/>
        <w:keepNext/>
        <w:keepLines/>
        <w:rPr>
          <w:b/>
          <w:noProof/>
        </w:rPr>
      </w:pPr>
      <w:r w:rsidRPr="00CB1586">
        <w:rPr>
          <w:b/>
          <w:noProof/>
        </w:rPr>
        <w:t xml:space="preserve">Evaluarea conformității </w:t>
      </w:r>
    </w:p>
    <w:p w14:paraId="346C96F6" w14:textId="77777777" w:rsidR="00A73F63" w:rsidRPr="00CB1586" w:rsidRDefault="00A73F63" w:rsidP="00A73F63">
      <w:pPr>
        <w:pStyle w:val="Text1"/>
        <w:rPr>
          <w:noProof/>
        </w:rPr>
      </w:pPr>
      <w:r w:rsidRPr="00CB1586">
        <w:rPr>
          <w:noProof/>
        </w:rPr>
        <w:t>Normele de calcul și de verificare precizează procedura de evaluare a conformității aplicabilă dintre modulele prevăzute în anexa II la Decizia nr. 768/2008/CE, cu adaptările necesare având în vedere materiile în cauză. </w:t>
      </w:r>
    </w:p>
    <w:p w14:paraId="44E8307C" w14:textId="77777777" w:rsidR="00A73F63" w:rsidRPr="00CB1586" w:rsidRDefault="00A73F63" w:rsidP="00A73F63">
      <w:pPr>
        <w:pStyle w:val="Text1"/>
        <w:rPr>
          <w:noProof/>
        </w:rPr>
      </w:pPr>
      <w:r w:rsidRPr="00CB1586">
        <w:rPr>
          <w:noProof/>
        </w:rPr>
        <w:t>Atunci când precizează procedura de evaluare a conformității aplicabilă, Comisia ia în considerare următoarele criterii:</w:t>
      </w:r>
    </w:p>
    <w:p w14:paraId="1A98EC13" w14:textId="77777777" w:rsidR="00A73F63" w:rsidRPr="00CB1586" w:rsidRDefault="00A73F63" w:rsidP="00F733C0">
      <w:pPr>
        <w:pStyle w:val="Point1letter"/>
        <w:numPr>
          <w:ilvl w:val="3"/>
          <w:numId w:val="6"/>
        </w:numPr>
        <w:rPr>
          <w:noProof/>
        </w:rPr>
      </w:pPr>
      <w:r w:rsidRPr="00CB1586">
        <w:rPr>
          <w:noProof/>
        </w:rPr>
        <w:t>dacă modulul în cauză este adecvat tipului de materie și proporțional cu interesul public urmărit;</w:t>
      </w:r>
    </w:p>
    <w:p w14:paraId="77A5655F" w14:textId="77777777" w:rsidR="00A73F63" w:rsidRPr="00CB1586" w:rsidRDefault="00A73F63" w:rsidP="00F733C0">
      <w:pPr>
        <w:pStyle w:val="Point1letter"/>
        <w:numPr>
          <w:ilvl w:val="3"/>
          <w:numId w:val="6"/>
        </w:numPr>
        <w:rPr>
          <w:noProof/>
        </w:rPr>
      </w:pPr>
      <w:r w:rsidRPr="00CB1586">
        <w:rPr>
          <w:noProof/>
        </w:rPr>
        <w:t>disponibilitatea unor părți terțe competente și independente capabile să îndeplinească sarcini potențiale de evaluare a conformității de către terți;</w:t>
      </w:r>
    </w:p>
    <w:p w14:paraId="1F2EF0DD" w14:textId="77777777" w:rsidR="00A73F63" w:rsidRPr="00CB1586" w:rsidRDefault="00A73F63" w:rsidP="00F733C0">
      <w:pPr>
        <w:pStyle w:val="Point1letter"/>
        <w:numPr>
          <w:ilvl w:val="3"/>
          <w:numId w:val="6"/>
        </w:numPr>
        <w:rPr>
          <w:noProof/>
        </w:rPr>
      </w:pPr>
      <w:r w:rsidRPr="00CB1586">
        <w:rPr>
          <w:noProof/>
        </w:rPr>
        <w:t>atunci când implicarea terților este obligatorie, necesitatea ca producătorul să poată alege între modulele de asigurare a calității și modulele de certificare a produsului enumerate în anexa II din Decizia nr. 768/2008/CE.</w:t>
      </w:r>
    </w:p>
    <w:p w14:paraId="66DB11CB" w14:textId="77777777" w:rsidR="00A73F63" w:rsidRPr="00CB1586" w:rsidRDefault="00A73F63" w:rsidP="00A73F63">
      <w:pPr>
        <w:spacing w:before="0" w:after="200" w:line="276" w:lineRule="auto"/>
        <w:jc w:val="left"/>
        <w:rPr>
          <w:noProof/>
        </w:rPr>
      </w:pPr>
      <w:r w:rsidRPr="00CB1586">
        <w:rPr>
          <w:noProof/>
        </w:rPr>
        <w:br w:type="page"/>
      </w:r>
    </w:p>
    <w:p w14:paraId="7D468BD5" w14:textId="77777777" w:rsidR="00A73F63" w:rsidRPr="00CB1586" w:rsidRDefault="00A73F63" w:rsidP="00A73F63">
      <w:pPr>
        <w:pStyle w:val="Annexetitre"/>
        <w:rPr>
          <w:noProof/>
        </w:rPr>
      </w:pPr>
      <w:r w:rsidRPr="00CB1586">
        <w:rPr>
          <w:noProof/>
        </w:rPr>
        <w:t>ANEXA VI</w:t>
      </w:r>
    </w:p>
    <w:p w14:paraId="166F6A96" w14:textId="77777777" w:rsidR="00A73F63" w:rsidRPr="00CB1586" w:rsidRDefault="00A73F63" w:rsidP="00A73F63">
      <w:pPr>
        <w:pStyle w:val="NormalCentered"/>
        <w:rPr>
          <w:b/>
          <w:noProof/>
          <w:u w:val="single"/>
        </w:rPr>
      </w:pPr>
      <w:r w:rsidRPr="00CB1586">
        <w:rPr>
          <w:b/>
          <w:noProof/>
          <w:u w:val="single"/>
        </w:rPr>
        <w:t>Produsele relevante menționate la articolul 26 alineatul (1)</w:t>
      </w:r>
    </w:p>
    <w:p w14:paraId="4B58A7E0" w14:textId="77777777" w:rsidR="00A73F63" w:rsidRPr="00CB1586" w:rsidRDefault="00A73F63" w:rsidP="00A73F63">
      <w:pPr>
        <w:rPr>
          <w:noProof/>
        </w:rPr>
      </w:pPr>
      <w:r w:rsidRPr="00CB1586">
        <w:rPr>
          <w:noProof/>
        </w:rPr>
        <w:t>În tabelul următor sunt enumerate produsele clasificate în conformitate cu Nomenclatura Combinată care figurează în anexa I la Regulamentul (CEE) nr. 2658/87.</w:t>
      </w:r>
    </w:p>
    <w:p w14:paraId="232D1CBC" w14:textId="77777777" w:rsidR="00A73F63" w:rsidRPr="00CB1586" w:rsidRDefault="00A73F63" w:rsidP="00A73F63">
      <w:pPr>
        <w:rPr>
          <w:noProof/>
        </w:rPr>
      </w:pPr>
    </w:p>
    <w:p w14:paraId="14B42267" w14:textId="77777777" w:rsidR="00905D22" w:rsidRPr="00CB1586" w:rsidRDefault="00905D22" w:rsidP="00A73F63">
      <w:pPr>
        <w:rPr>
          <w:noProof/>
        </w:rPr>
      </w:pPr>
    </w:p>
    <w:sectPr w:rsidR="00905D22" w:rsidRPr="00CB1586" w:rsidSect="00F159FE">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D146E" w14:textId="77777777" w:rsidR="002B1D18" w:rsidRDefault="002B1D18" w:rsidP="00A73F63">
      <w:pPr>
        <w:spacing w:before="0" w:after="0"/>
      </w:pPr>
      <w:r>
        <w:separator/>
      </w:r>
    </w:p>
  </w:endnote>
  <w:endnote w:type="continuationSeparator" w:id="0">
    <w:p w14:paraId="13FE39FE" w14:textId="77777777" w:rsidR="002B1D18" w:rsidRDefault="002B1D18" w:rsidP="00A73F63">
      <w:pPr>
        <w:spacing w:before="0" w:after="0"/>
      </w:pPr>
      <w:r>
        <w:continuationSeparator/>
      </w:r>
    </w:p>
  </w:endnote>
  <w:endnote w:type="continuationNotice" w:id="1">
    <w:p w14:paraId="7D9D8750" w14:textId="77777777" w:rsidR="002B1D18" w:rsidRDefault="002B1D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F8CA5" w14:textId="259BFC2E" w:rsidR="00CB1586" w:rsidRPr="00F159FE" w:rsidRDefault="00CB1586" w:rsidP="00F15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2302D" w14:textId="43AB7062" w:rsidR="00A90AFB" w:rsidRPr="00F159FE" w:rsidRDefault="00F159FE" w:rsidP="00F159FE">
    <w:pPr>
      <w:pStyle w:val="Footer"/>
      <w:rPr>
        <w:rFonts w:ascii="Arial" w:hAnsi="Arial" w:cs="Arial"/>
        <w:b/>
        <w:sz w:val="48"/>
      </w:rPr>
    </w:pPr>
    <w:r w:rsidRPr="00F159FE">
      <w:rPr>
        <w:rFonts w:ascii="Arial" w:hAnsi="Arial" w:cs="Arial"/>
        <w:b/>
        <w:sz w:val="48"/>
      </w:rPr>
      <w:t>RO</w:t>
    </w:r>
    <w:r w:rsidRPr="00F159FE">
      <w:rPr>
        <w:rFonts w:ascii="Arial" w:hAnsi="Arial" w:cs="Arial"/>
        <w:b/>
        <w:sz w:val="48"/>
      </w:rPr>
      <w:tab/>
    </w:r>
    <w:r w:rsidRPr="00F159FE">
      <w:rPr>
        <w:rFonts w:ascii="Arial" w:hAnsi="Arial" w:cs="Arial"/>
        <w:b/>
        <w:sz w:val="48"/>
      </w:rPr>
      <w:tab/>
    </w:r>
    <w:r w:rsidRPr="00F159FE">
      <w:tab/>
    </w:r>
    <w:r w:rsidRPr="00F159FE">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F4DA9" w14:textId="77777777" w:rsidR="00F159FE" w:rsidRPr="00F159FE" w:rsidRDefault="00F159FE" w:rsidP="00F159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91AD8" w14:textId="65180047" w:rsidR="00F159FE" w:rsidRPr="00F159FE" w:rsidRDefault="00F159FE" w:rsidP="00F159FE">
    <w:pPr>
      <w:pStyle w:val="Footer"/>
      <w:rPr>
        <w:rFonts w:ascii="Arial" w:hAnsi="Arial" w:cs="Arial"/>
        <w:b/>
        <w:sz w:val="48"/>
      </w:rPr>
    </w:pPr>
    <w:r w:rsidRPr="00F159FE">
      <w:rPr>
        <w:rFonts w:ascii="Arial" w:hAnsi="Arial" w:cs="Arial"/>
        <w:b/>
        <w:sz w:val="48"/>
      </w:rPr>
      <w:t>RO</w:t>
    </w:r>
    <w:r w:rsidRPr="00F159F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F159FE">
      <w:tab/>
    </w:r>
    <w:r w:rsidRPr="00F159FE">
      <w:rPr>
        <w:rFonts w:ascii="Arial" w:hAnsi="Arial" w:cs="Arial"/>
        <w:b/>
        <w:sz w:val="48"/>
      </w:rPr>
      <w:t>RO</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292DA" w14:textId="77777777" w:rsidR="00F159FE" w:rsidRPr="00F159FE" w:rsidRDefault="00F159FE" w:rsidP="00F15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AE305" w14:textId="77777777" w:rsidR="002B1D18" w:rsidRDefault="002B1D18" w:rsidP="00A73F63">
      <w:pPr>
        <w:spacing w:before="0" w:after="0"/>
      </w:pPr>
      <w:r>
        <w:separator/>
      </w:r>
    </w:p>
  </w:footnote>
  <w:footnote w:type="continuationSeparator" w:id="0">
    <w:p w14:paraId="1D3FE9A9" w14:textId="77777777" w:rsidR="002B1D18" w:rsidRDefault="002B1D18" w:rsidP="00A73F63">
      <w:pPr>
        <w:spacing w:before="0" w:after="0"/>
      </w:pPr>
      <w:r>
        <w:continuationSeparator/>
      </w:r>
    </w:p>
  </w:footnote>
  <w:footnote w:type="continuationNotice" w:id="1">
    <w:p w14:paraId="324D8A1B" w14:textId="77777777" w:rsidR="002B1D18" w:rsidRDefault="002B1D1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7924A" w14:textId="77777777" w:rsidR="00F159FE" w:rsidRPr="00F159FE" w:rsidRDefault="00F159FE" w:rsidP="00F15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E5F01" w14:textId="77777777" w:rsidR="00F159FE" w:rsidRPr="00F159FE" w:rsidRDefault="00F159FE" w:rsidP="00F159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9080E" w14:textId="77777777" w:rsidR="00F159FE" w:rsidRPr="00F159FE" w:rsidRDefault="00F159FE" w:rsidP="00F15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24C552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65E10A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6B0890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2229B5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B04987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B08A57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F1C583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9ACB75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5"/>
  </w:num>
  <w:num w:numId="27">
    <w:abstractNumId w:val="3"/>
  </w:num>
  <w:num w:numId="28">
    <w:abstractNumId w:val="6"/>
  </w:num>
  <w:num w:numId="29">
    <w:abstractNumId w:val="2"/>
  </w:num>
  <w:num w:numId="30">
    <w:abstractNumId w:val="1"/>
  </w:num>
  <w:num w:numId="31">
    <w:abstractNumId w:val="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2"/>
  </w:num>
  <w:num w:numId="35">
    <w:abstractNumId w:val="21"/>
  </w:num>
  <w:num w:numId="36">
    <w:abstractNumId w:val="11"/>
  </w:num>
  <w:num w:numId="37">
    <w:abstractNumId w:val="13"/>
  </w:num>
  <w:num w:numId="38">
    <w:abstractNumId w:val="14"/>
  </w:num>
  <w:num w:numId="39">
    <w:abstractNumId w:val="9"/>
  </w:num>
  <w:num w:numId="40">
    <w:abstractNumId w:val="20"/>
  </w:num>
  <w:num w:numId="41">
    <w:abstractNumId w:val="8"/>
  </w:num>
  <w:num w:numId="42">
    <w:abstractNumId w:val="15"/>
  </w:num>
  <w:num w:numId="43">
    <w:abstractNumId w:val="17"/>
  </w:num>
  <w:num w:numId="44">
    <w:abstractNumId w:val="18"/>
  </w:num>
  <w:num w:numId="45">
    <w:abstractNumId w:val="10"/>
  </w:num>
  <w:num w:numId="46">
    <w:abstractNumId w:val="16"/>
  </w:num>
  <w:num w:numId="47">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5-05 18:40:3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la"/>
    <w:docVar w:name="LW_ACCOMPAGNANT.CP" w:val="la"/>
    <w:docVar w:name="LW_ANNEX_NBR_FIRST" w:val="1"/>
    <w:docVar w:name="LW_ANNEX_NBR_LAST" w:val="6"/>
    <w:docVar w:name="LW_ANNEX_UNIQUE" w:val="0"/>
    <w:docVar w:name="LW_CORRIGENDUM" w:val="&lt;UNUSED&gt;"/>
    <w:docVar w:name="LW_COVERPAGE_EXISTS" w:val="True"/>
    <w:docVar w:name="LW_COVERPAGE_GUID" w:val="0E60821D-16DF-498A-BACD-A56283D3442B"/>
    <w:docVar w:name="LW_COVERPAGE_TYPE" w:val="1"/>
    <w:docVar w:name="LW_CROSSREFERENCE" w:val="{SEC(2023) 360 final} - {SWD(2023) 160 final} - {SWD(2023) 161 final} - {SWD(2023) 162 final}"/>
    <w:docVar w:name="LW_DocType" w:val="ANNEX"/>
    <w:docVar w:name="LW_EMISSION" w:val="16.3.2023"/>
    <w:docVar w:name="LW_EMISSION_ISODATE" w:val="2023-03-16"/>
    <w:docVar w:name="LW_EMISSION_LOCATION" w:val="BRX"/>
    <w:docVar w:name="LW_EMISSION_PREFIX" w:val="Bruxelles, "/>
    <w:docVar w:name="LW_EMISSION_SUFFIX" w:val=" "/>
    <w:docVar w:name="LW_ID_DOCSTRUCTURE" w:val="COM/ANNEX"/>
    <w:docVar w:name="LW_ID_DOCTYPE" w:val="SG-017"/>
    <w:docVar w:name="LW_LANGUE" w:val="RO"/>
    <w:docVar w:name="LW_LEVEL_OF_SENSITIVITY" w:val="Standard treatment"/>
    <w:docVar w:name="LW_NOM.INST" w:val="COMISIA EUROPEAN\u258?"/>
    <w:docVar w:name="LW_NOM.INST_JOINTDOC" w:val="&lt;EMPTY&gt;"/>
    <w:docVar w:name="LW_OBJETACTEPRINCIPAL" w:val="de instituire a unui cadru pentru asigurarea aprovizion\u259?rii sigure \u537?i durabile cu materii prime critice \u537?i de modificare a Regulamentelor (UE) nr. 168/2013, (UE) 2018/858, (UE) 2018/1724 \u537?i (UE) 2019/1020"/>
    <w:docVar w:name="LW_OBJETACTEPRINCIPAL.CP" w:val="de instituire a unui cadru pentru asigurarea aprovizionării sigure și durabile cu materii prime critice și de modificare a Regulamentelor (UE) nr. 168/2013, (UE) 2018/858, (UE) 2018/1724 și (UE) 2019/1020"/>
    <w:docVar w:name="LW_PART_NBR" w:val="&lt;UNUSED&gt;"/>
    <w:docVar w:name="LW_PART_NBR_TOTAL" w:val="&lt;UNUSED&gt;"/>
    <w:docVar w:name="LW_REF.INST.NEW" w:val="COM"/>
    <w:docVar w:name="LW_REF.INST.NEW_ADOPTED" w:val="final"/>
    <w:docVar w:name="LW_REF.INST.NEW_TEXT" w:val="(2023) 1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EXE"/>
    <w:docVar w:name="LW_TYPE.DOC.CP" w:val="ANEXE"/>
    <w:docVar w:name="LW_TYPEACTEPRINCIPAL" w:val="Propunerea de Regulament al Parlamentului European \u537?i al Consiliului"/>
    <w:docVar w:name="LW_TYPEACTEPRINCIPAL.CP" w:val="Propunerea de Regulament al Parlamentului European și al Consiliului"/>
    <w:docVar w:name="LwApiVersions" w:val="LW4CoDe 1.23.2.0; LW 8.0, Build 20211117"/>
  </w:docVars>
  <w:rsids>
    <w:rsidRoot w:val="00A73F63"/>
    <w:rsid w:val="000039ED"/>
    <w:rsid w:val="0001334B"/>
    <w:rsid w:val="00014582"/>
    <w:rsid w:val="0002586A"/>
    <w:rsid w:val="000871DB"/>
    <w:rsid w:val="00093ACA"/>
    <w:rsid w:val="000C0F7F"/>
    <w:rsid w:val="000F0497"/>
    <w:rsid w:val="00162845"/>
    <w:rsid w:val="00165C4F"/>
    <w:rsid w:val="00194EA8"/>
    <w:rsid w:val="001B3693"/>
    <w:rsid w:val="001B5C1E"/>
    <w:rsid w:val="001D779A"/>
    <w:rsid w:val="001F343E"/>
    <w:rsid w:val="00210917"/>
    <w:rsid w:val="00282808"/>
    <w:rsid w:val="00290237"/>
    <w:rsid w:val="002B1D18"/>
    <w:rsid w:val="003033B4"/>
    <w:rsid w:val="0031000D"/>
    <w:rsid w:val="00316ECF"/>
    <w:rsid w:val="00320FEC"/>
    <w:rsid w:val="003B2E39"/>
    <w:rsid w:val="0045468F"/>
    <w:rsid w:val="00477D19"/>
    <w:rsid w:val="00492EB7"/>
    <w:rsid w:val="004C5EB5"/>
    <w:rsid w:val="004F4A57"/>
    <w:rsid w:val="00557958"/>
    <w:rsid w:val="00595DF0"/>
    <w:rsid w:val="005D0BA3"/>
    <w:rsid w:val="005E0557"/>
    <w:rsid w:val="00626E37"/>
    <w:rsid w:val="006374B3"/>
    <w:rsid w:val="00650505"/>
    <w:rsid w:val="006A6BCB"/>
    <w:rsid w:val="006A70E7"/>
    <w:rsid w:val="006B58F0"/>
    <w:rsid w:val="006F2967"/>
    <w:rsid w:val="00745C21"/>
    <w:rsid w:val="007C362B"/>
    <w:rsid w:val="007E196B"/>
    <w:rsid w:val="00802F19"/>
    <w:rsid w:val="0081189E"/>
    <w:rsid w:val="00812272"/>
    <w:rsid w:val="00890E59"/>
    <w:rsid w:val="0089619A"/>
    <w:rsid w:val="008D6398"/>
    <w:rsid w:val="00905D22"/>
    <w:rsid w:val="00930407"/>
    <w:rsid w:val="00936B5D"/>
    <w:rsid w:val="0096058A"/>
    <w:rsid w:val="00963989"/>
    <w:rsid w:val="00966FF1"/>
    <w:rsid w:val="00975221"/>
    <w:rsid w:val="009A1C57"/>
    <w:rsid w:val="00A05060"/>
    <w:rsid w:val="00A373C1"/>
    <w:rsid w:val="00A45C30"/>
    <w:rsid w:val="00A60DD0"/>
    <w:rsid w:val="00A61293"/>
    <w:rsid w:val="00A61D60"/>
    <w:rsid w:val="00A6243B"/>
    <w:rsid w:val="00A67F73"/>
    <w:rsid w:val="00A71F6D"/>
    <w:rsid w:val="00A73F63"/>
    <w:rsid w:val="00A749AC"/>
    <w:rsid w:val="00A90AFB"/>
    <w:rsid w:val="00B112F2"/>
    <w:rsid w:val="00B242F5"/>
    <w:rsid w:val="00B350BE"/>
    <w:rsid w:val="00BA4F3C"/>
    <w:rsid w:val="00BB3037"/>
    <w:rsid w:val="00BB30BC"/>
    <w:rsid w:val="00BF523F"/>
    <w:rsid w:val="00C042DC"/>
    <w:rsid w:val="00C10D5C"/>
    <w:rsid w:val="00C11F03"/>
    <w:rsid w:val="00C953CA"/>
    <w:rsid w:val="00CA6C61"/>
    <w:rsid w:val="00CB0C2C"/>
    <w:rsid w:val="00CB1586"/>
    <w:rsid w:val="00CE326C"/>
    <w:rsid w:val="00D328C4"/>
    <w:rsid w:val="00D33986"/>
    <w:rsid w:val="00D765F9"/>
    <w:rsid w:val="00DB0DEE"/>
    <w:rsid w:val="00DF718F"/>
    <w:rsid w:val="00E80F4B"/>
    <w:rsid w:val="00E86F76"/>
    <w:rsid w:val="00EB136C"/>
    <w:rsid w:val="00EF7A79"/>
    <w:rsid w:val="00F02AE4"/>
    <w:rsid w:val="00F12A4E"/>
    <w:rsid w:val="00F159FE"/>
    <w:rsid w:val="00F7024E"/>
    <w:rsid w:val="00F733C0"/>
    <w:rsid w:val="00F82260"/>
    <w:rsid w:val="00F97A4A"/>
    <w:rsid w:val="00F97ED3"/>
    <w:rsid w:val="00FA0385"/>
    <w:rsid w:val="00FD1018"/>
    <w:rsid w:val="00FE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4271CC"/>
  <w15:docId w15:val="{29CFC13F-E862-4BDF-BB23-B79812CE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uiPriority w:val="99"/>
    <w:semiHidden/>
    <w:unhideWhenUsed/>
    <w:rsid w:val="00A73F63"/>
    <w:pPr>
      <w:numPr>
        <w:numId w:val="1"/>
      </w:numPr>
      <w:contextualSpacing/>
    </w:pPr>
  </w:style>
  <w:style w:type="paragraph" w:styleId="Caption">
    <w:name w:val="caption"/>
    <w:basedOn w:val="Normal"/>
    <w:next w:val="Normal"/>
    <w:uiPriority w:val="35"/>
    <w:semiHidden/>
    <w:unhideWhenUsed/>
    <w:qFormat/>
    <w:rsid w:val="00F733C0"/>
    <w:pPr>
      <w:spacing w:before="0" w:after="200"/>
    </w:pPr>
    <w:rPr>
      <w:i/>
      <w:color w:val="1F497D" w:themeColor="text2"/>
      <w:sz w:val="18"/>
    </w:rPr>
  </w:style>
  <w:style w:type="paragraph" w:styleId="TableofFigures">
    <w:name w:val="table of figures"/>
    <w:basedOn w:val="Normal"/>
    <w:next w:val="Normal"/>
    <w:uiPriority w:val="99"/>
    <w:semiHidden/>
    <w:unhideWhenUsed/>
    <w:rsid w:val="00F733C0"/>
    <w:pPr>
      <w:spacing w:after="0"/>
    </w:pPr>
  </w:style>
  <w:style w:type="paragraph" w:styleId="ListBullet">
    <w:name w:val="List Bullet"/>
    <w:basedOn w:val="Normal"/>
    <w:uiPriority w:val="99"/>
    <w:semiHidden/>
    <w:unhideWhenUsed/>
    <w:rsid w:val="00F733C0"/>
    <w:pPr>
      <w:numPr>
        <w:numId w:val="25"/>
      </w:numPr>
      <w:contextualSpacing/>
    </w:pPr>
  </w:style>
  <w:style w:type="paragraph" w:styleId="ListBullet2">
    <w:name w:val="List Bullet 2"/>
    <w:basedOn w:val="Normal"/>
    <w:uiPriority w:val="99"/>
    <w:semiHidden/>
    <w:unhideWhenUsed/>
    <w:rsid w:val="00F733C0"/>
    <w:pPr>
      <w:numPr>
        <w:numId w:val="26"/>
      </w:numPr>
      <w:contextualSpacing/>
    </w:pPr>
  </w:style>
  <w:style w:type="paragraph" w:styleId="ListBullet4">
    <w:name w:val="List Bullet 4"/>
    <w:basedOn w:val="Normal"/>
    <w:uiPriority w:val="99"/>
    <w:semiHidden/>
    <w:unhideWhenUsed/>
    <w:rsid w:val="00F733C0"/>
    <w:pPr>
      <w:numPr>
        <w:numId w:val="27"/>
      </w:numPr>
      <w:contextualSpacing/>
    </w:pPr>
  </w:style>
  <w:style w:type="paragraph" w:styleId="ListNumber">
    <w:name w:val="List Number"/>
    <w:basedOn w:val="Normal"/>
    <w:uiPriority w:val="99"/>
    <w:semiHidden/>
    <w:unhideWhenUsed/>
    <w:rsid w:val="00F733C0"/>
    <w:pPr>
      <w:numPr>
        <w:numId w:val="28"/>
      </w:numPr>
      <w:contextualSpacing/>
    </w:pPr>
  </w:style>
  <w:style w:type="paragraph" w:styleId="ListNumber2">
    <w:name w:val="List Number 2"/>
    <w:basedOn w:val="Normal"/>
    <w:uiPriority w:val="99"/>
    <w:semiHidden/>
    <w:unhideWhenUsed/>
    <w:rsid w:val="00F733C0"/>
    <w:pPr>
      <w:numPr>
        <w:numId w:val="29"/>
      </w:numPr>
      <w:contextualSpacing/>
    </w:pPr>
  </w:style>
  <w:style w:type="paragraph" w:styleId="ListNumber3">
    <w:name w:val="List Number 3"/>
    <w:basedOn w:val="Normal"/>
    <w:uiPriority w:val="99"/>
    <w:semiHidden/>
    <w:unhideWhenUsed/>
    <w:rsid w:val="00F733C0"/>
    <w:pPr>
      <w:numPr>
        <w:numId w:val="30"/>
      </w:numPr>
      <w:contextualSpacing/>
    </w:pPr>
  </w:style>
  <w:style w:type="paragraph" w:styleId="ListNumber4">
    <w:name w:val="List Number 4"/>
    <w:basedOn w:val="Normal"/>
    <w:uiPriority w:val="99"/>
    <w:semiHidden/>
    <w:unhideWhenUsed/>
    <w:rsid w:val="00F733C0"/>
    <w:pPr>
      <w:numPr>
        <w:numId w:val="31"/>
      </w:numPr>
      <w:contextualSpacing/>
    </w:pPr>
  </w:style>
  <w:style w:type="character" w:styleId="CommentReference">
    <w:name w:val="annotation reference"/>
    <w:basedOn w:val="DefaultParagraphFont"/>
    <w:uiPriority w:val="99"/>
    <w:semiHidden/>
    <w:unhideWhenUsed/>
    <w:rsid w:val="005E0557"/>
    <w:rPr>
      <w:sz w:val="16"/>
    </w:rPr>
  </w:style>
  <w:style w:type="paragraph" w:styleId="CommentText">
    <w:name w:val="annotation text"/>
    <w:basedOn w:val="Normal"/>
    <w:link w:val="CommentTextChar"/>
    <w:uiPriority w:val="99"/>
    <w:semiHidden/>
    <w:unhideWhenUsed/>
    <w:rsid w:val="005E0557"/>
    <w:rPr>
      <w:sz w:val="20"/>
    </w:rPr>
  </w:style>
  <w:style w:type="character" w:customStyle="1" w:styleId="CommentTextChar">
    <w:name w:val="Comment Text Char"/>
    <w:basedOn w:val="DefaultParagraphFont"/>
    <w:link w:val="CommentText"/>
    <w:uiPriority w:val="99"/>
    <w:semiHidden/>
    <w:rsid w:val="005E0557"/>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5E0557"/>
    <w:rPr>
      <w:b/>
    </w:rPr>
  </w:style>
  <w:style w:type="character" w:customStyle="1" w:styleId="CommentSubjectChar">
    <w:name w:val="Comment Subject Char"/>
    <w:basedOn w:val="CommentTextChar"/>
    <w:link w:val="CommentSubject"/>
    <w:uiPriority w:val="99"/>
    <w:semiHidden/>
    <w:rsid w:val="005E0557"/>
    <w:rPr>
      <w:rFonts w:ascii="Times New Roman" w:hAnsi="Times New Roman" w:cs="Times New Roman"/>
      <w:b/>
      <w:sz w:val="20"/>
    </w:rPr>
  </w:style>
  <w:style w:type="paragraph" w:styleId="BalloonText">
    <w:name w:val="Balloon Text"/>
    <w:basedOn w:val="Normal"/>
    <w:link w:val="BalloonTextChar"/>
    <w:uiPriority w:val="99"/>
    <w:semiHidden/>
    <w:unhideWhenUsed/>
    <w:rsid w:val="005E0557"/>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5E0557"/>
    <w:rPr>
      <w:rFonts w:ascii="Segoe UI" w:hAnsi="Segoe UI" w:cs="Segoe UI"/>
      <w:sz w:val="18"/>
    </w:rPr>
  </w:style>
  <w:style w:type="character" w:styleId="Hyperlink">
    <w:name w:val="Hyperlink"/>
    <w:basedOn w:val="DefaultParagraphFont"/>
    <w:uiPriority w:val="99"/>
    <w:unhideWhenUsed/>
    <w:rsid w:val="005E0557"/>
    <w:rPr>
      <w:color w:val="0000FF" w:themeColor="hyperlink"/>
      <w:u w:val="single"/>
    </w:rPr>
  </w:style>
  <w:style w:type="paragraph" w:styleId="Revision">
    <w:name w:val="Revision"/>
    <w:hidden/>
    <w:uiPriority w:val="99"/>
    <w:semiHidden/>
    <w:rsid w:val="00320FEC"/>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F159FE"/>
    <w:pPr>
      <w:tabs>
        <w:tab w:val="center" w:pos="4535"/>
        <w:tab w:val="right" w:pos="9071"/>
      </w:tabs>
      <w:spacing w:before="0"/>
    </w:pPr>
  </w:style>
  <w:style w:type="character" w:customStyle="1" w:styleId="HeaderChar">
    <w:name w:val="Header Char"/>
    <w:basedOn w:val="DefaultParagraphFont"/>
    <w:link w:val="Header"/>
    <w:uiPriority w:val="99"/>
    <w:rsid w:val="00F159FE"/>
    <w:rPr>
      <w:rFonts w:ascii="Times New Roman" w:hAnsi="Times New Roman" w:cs="Times New Roman"/>
      <w:sz w:val="24"/>
      <w:lang w:val="ro-RO"/>
    </w:rPr>
  </w:style>
  <w:style w:type="paragraph" w:styleId="Footer">
    <w:name w:val="footer"/>
    <w:basedOn w:val="Normal"/>
    <w:link w:val="FooterChar"/>
    <w:uiPriority w:val="99"/>
    <w:unhideWhenUsed/>
    <w:rsid w:val="00F159F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159FE"/>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ro-RO"/>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ro-RO"/>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ro-RO"/>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ro-RO"/>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ro-RO"/>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ro-RO"/>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ro-RO"/>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F159FE"/>
    <w:pPr>
      <w:tabs>
        <w:tab w:val="center" w:pos="7285"/>
        <w:tab w:val="right" w:pos="14003"/>
      </w:tabs>
      <w:spacing w:before="0"/>
    </w:pPr>
  </w:style>
  <w:style w:type="paragraph" w:customStyle="1" w:styleId="FooterLandscape">
    <w:name w:val="FooterLandscape"/>
    <w:basedOn w:val="Normal"/>
    <w:rsid w:val="00F159F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159F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159FE"/>
    <w:pPr>
      <w:spacing w:before="0"/>
      <w:jc w:val="right"/>
    </w:pPr>
    <w:rPr>
      <w:sz w:val="28"/>
    </w:rPr>
  </w:style>
  <w:style w:type="paragraph" w:customStyle="1" w:styleId="FooterSensitivity">
    <w:name w:val="Footer Sensitivity"/>
    <w:basedOn w:val="Normal"/>
    <w:rsid w:val="00F159F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Tiret5">
    <w:name w:val="Tiret 5"/>
    <w:basedOn w:val="Point5"/>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NumPar5">
    <w:name w:val="NumPar 5"/>
    <w:basedOn w:val="Normal"/>
    <w:next w:val="Text2"/>
    <w:pPr>
      <w:numPr>
        <w:ilvl w:val="4"/>
        <w:numId w:val="39"/>
      </w:numPr>
    </w:pPr>
  </w:style>
  <w:style w:type="paragraph" w:customStyle="1" w:styleId="NumPar6">
    <w:name w:val="NumPar 6"/>
    <w:basedOn w:val="Normal"/>
    <w:next w:val="Text2"/>
    <w:pPr>
      <w:numPr>
        <w:ilvl w:val="5"/>
        <w:numId w:val="39"/>
      </w:numPr>
    </w:pPr>
  </w:style>
  <w:style w:type="paragraph" w:customStyle="1" w:styleId="NumPar7">
    <w:name w:val="NumPar 7"/>
    <w:basedOn w:val="Normal"/>
    <w:next w:val="Text2"/>
    <w:pPr>
      <w:numPr>
        <w:ilvl w:val="6"/>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3.tmp"/><Relationship Id="rId3" Type="http://schemas.openxmlformats.org/officeDocument/2006/relationships/styles" Target="styles.xml"/><Relationship Id="rId21" Type="http://schemas.openxmlformats.org/officeDocument/2006/relationships/image" Target="media/image6.tmp"/><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tmp"/><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5.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tmp"/><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1812C-79DE-4101-B09A-3B515898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16</TotalTime>
  <Pages>17</Pages>
  <Words>3786</Words>
  <Characters>21585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EC CoDe</cp:lastModifiedBy>
  <cp:revision>45</cp:revision>
  <dcterms:created xsi:type="dcterms:W3CDTF">2023-03-15T22:00:00Z</dcterms:created>
  <dcterms:modified xsi:type="dcterms:W3CDTF">2023-05-05T16:40:00Z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20230124</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2023-03-10T13:37:15Z</vt:lpwstr>
  </property>
  <property fmtid="{D5CDD505-2E9C-101B-9397-08002B2CF9AE}" pid="15" name="MSIP_Label_6bd9ddd1-4d20-43f6-abfa-fc3c07406f94_Method">
    <vt:lpwstr>Privileged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20800e44-fc7f-4358-a669-79061d2d32e1</vt:lpwstr>
  </property>
  <property fmtid="{D5CDD505-2E9C-101B-9397-08002B2CF9AE}" pid="19" name="MSIP_Label_6bd9ddd1-4d20-43f6-abfa-fc3c07406f94_ContentBits">
    <vt:lpwstr>0</vt:lpwstr>
  </property>
  <property fmtid="{D5CDD505-2E9C-101B-9397-08002B2CF9AE}" pid="20" name="DQCStatus">
    <vt:lpwstr>Green (DQC version 03)</vt:lpwstr>
  </property>
</Properties>
</file>