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AEB189" w14:textId="61DD40AE" w:rsidR="00FA1AC8" w:rsidRPr="00CD2699" w:rsidRDefault="00940F86" w:rsidP="009D1EA8">
      <w:pPr>
        <w:pStyle w:val="Pagedecouverture"/>
        <w:rPr>
          <w:noProof/>
        </w:rPr>
      </w:pPr>
      <w:bookmarkStart w:id="0" w:name="LW_BM_COVERPAGE"/>
      <w:r>
        <w:rPr>
          <w:noProof/>
        </w:rPr>
        <w:pict w14:anchorId="203189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4C649B16-A016-433D-8707-EAED56E93A34" style="width:455.25pt;height:336.75pt">
            <v:imagedata r:id="rId8" o:title=""/>
          </v:shape>
        </w:pict>
      </w:r>
    </w:p>
    <w:bookmarkEnd w:id="0"/>
    <w:p w14:paraId="14DDA77E" w14:textId="77777777" w:rsidR="00FA1AC8" w:rsidRPr="00CD2699" w:rsidRDefault="00FA1AC8" w:rsidP="00FA1AC8">
      <w:pPr>
        <w:rPr>
          <w:noProof/>
        </w:rPr>
        <w:sectPr w:rsidR="00FA1AC8" w:rsidRPr="00CD2699" w:rsidSect="009D1EA8">
          <w:headerReference w:type="even" r:id="rId9"/>
          <w:headerReference w:type="default" r:id="rId10"/>
          <w:footerReference w:type="even" r:id="rId11"/>
          <w:footerReference w:type="default" r:id="rId12"/>
          <w:headerReference w:type="first" r:id="rId13"/>
          <w:footerReference w:type="first" r:id="rId14"/>
          <w:pgSz w:w="11906" w:h="16838"/>
          <w:pgMar w:top="1134" w:right="1417" w:bottom="1134" w:left="1417" w:header="709" w:footer="709" w:gutter="0"/>
          <w:pgNumType w:start="0"/>
          <w:cols w:space="720"/>
          <w:docGrid w:linePitch="360"/>
        </w:sectPr>
      </w:pPr>
    </w:p>
    <w:sdt>
      <w:sdtPr>
        <w:rPr>
          <w:rFonts w:ascii="Times New Roman" w:eastAsia="Calibri" w:hAnsi="Times New Roman" w:cs="Times New Roman"/>
          <w:noProof/>
          <w:sz w:val="24"/>
        </w:rPr>
        <w:id w:val="1102146392"/>
        <w:docPartObj>
          <w:docPartGallery w:val="Table of Contents"/>
          <w:docPartUnique/>
        </w:docPartObj>
      </w:sdtPr>
      <w:sdtEndPr>
        <w:rPr>
          <w:rFonts w:ascii="Calibri" w:eastAsiaTheme="minorHAnsi" w:hAnsi="Calibri" w:cstheme="minorBidi"/>
          <w:sz w:val="22"/>
        </w:rPr>
      </w:sdtEndPr>
      <w:sdtContent>
        <w:p w14:paraId="166F54A2" w14:textId="77777777" w:rsidR="00FA1AC8" w:rsidRPr="005E550E" w:rsidRDefault="00FA1AC8" w:rsidP="00FA1AC8">
          <w:pPr>
            <w:keepNext/>
            <w:keepLines/>
            <w:spacing w:before="240" w:after="0" w:line="240" w:lineRule="auto"/>
            <w:rPr>
              <w:rFonts w:ascii="Times New Roman" w:hAnsi="Times New Roman"/>
              <w:b/>
              <w:noProof/>
              <w:sz w:val="24"/>
            </w:rPr>
          </w:pPr>
          <w:r>
            <w:rPr>
              <w:rFonts w:ascii="Times New Roman" w:hAnsi="Times New Roman"/>
              <w:b/>
              <w:noProof/>
              <w:sz w:val="24"/>
            </w:rPr>
            <w:t>INHALTSVERZEICHNIS</w:t>
          </w:r>
          <w:r>
            <w:rPr>
              <w:noProof/>
            </w:rPr>
            <w:t xml:space="preserve"> </w:t>
          </w:r>
          <w:r>
            <w:rPr>
              <w:noProof/>
            </w:rPr>
            <w:br/>
          </w:r>
        </w:p>
        <w:p w14:paraId="0B06CD34" w14:textId="0EEA739E" w:rsidR="00474A07" w:rsidRDefault="00FA1AC8">
          <w:pPr>
            <w:pStyle w:val="TOC1"/>
            <w:tabs>
              <w:tab w:val="left" w:pos="660"/>
              <w:tab w:val="right" w:leader="dot" w:pos="9062"/>
            </w:tabs>
            <w:rPr>
              <w:noProof/>
            </w:rPr>
          </w:pPr>
          <w:r>
            <w:rPr>
              <w:rFonts w:ascii="Times New Roman" w:hAnsi="Times New Roman"/>
              <w:b/>
              <w:noProof/>
              <w:sz w:val="24"/>
            </w:rPr>
            <w:fldChar w:fldCharType="begin"/>
          </w:r>
          <w:r>
            <w:rPr>
              <w:rFonts w:ascii="Times New Roman" w:eastAsia="Times New Roman" w:hAnsi="Times New Roman" w:cs="Times New Roman"/>
              <w:b/>
              <w:noProof/>
              <w:sz w:val="24"/>
            </w:rPr>
            <w:instrText xml:space="preserve"> TOC \o "1-3" \h \z \u  \* MERGEFORMAT </w:instrText>
          </w:r>
          <w:r>
            <w:rPr>
              <w:rFonts w:ascii="Times New Roman" w:hAnsi="Times New Roman"/>
              <w:b/>
              <w:noProof/>
              <w:sz w:val="24"/>
            </w:rPr>
            <w:fldChar w:fldCharType="separate"/>
          </w:r>
          <w:hyperlink w:anchor="_Toc129956456" w:history="1">
            <w:r w:rsidR="00474A07" w:rsidRPr="00CF1A62">
              <w:rPr>
                <w:rStyle w:val="Hyperlink"/>
                <w:rFonts w:ascii="Times New Roman" w:hAnsi="Times New Roman"/>
                <w:b/>
                <w:noProof/>
              </w:rPr>
              <w:t xml:space="preserve">1. </w:t>
            </w:r>
            <w:r w:rsidR="00474A07">
              <w:rPr>
                <w:noProof/>
              </w:rPr>
              <w:tab/>
            </w:r>
            <w:r w:rsidR="00474A07" w:rsidRPr="00CF1A62">
              <w:rPr>
                <w:rStyle w:val="Hyperlink"/>
                <w:rFonts w:ascii="Times New Roman" w:hAnsi="Times New Roman"/>
                <w:b/>
                <w:noProof/>
              </w:rPr>
              <w:t>EINLEITUNG</w:t>
            </w:r>
            <w:r w:rsidR="00474A07">
              <w:rPr>
                <w:noProof/>
                <w:webHidden/>
              </w:rPr>
              <w:tab/>
            </w:r>
            <w:r w:rsidR="00474A07">
              <w:rPr>
                <w:noProof/>
                <w:webHidden/>
              </w:rPr>
              <w:fldChar w:fldCharType="begin"/>
            </w:r>
            <w:r w:rsidR="00474A07">
              <w:rPr>
                <w:noProof/>
                <w:webHidden/>
              </w:rPr>
              <w:instrText xml:space="preserve"> PAGEREF _Toc129956456 \h </w:instrText>
            </w:r>
            <w:r w:rsidR="00474A07">
              <w:rPr>
                <w:noProof/>
                <w:webHidden/>
              </w:rPr>
            </w:r>
            <w:r w:rsidR="00474A07">
              <w:rPr>
                <w:noProof/>
                <w:webHidden/>
              </w:rPr>
              <w:fldChar w:fldCharType="separate"/>
            </w:r>
            <w:r w:rsidR="00940F86">
              <w:rPr>
                <w:noProof/>
                <w:webHidden/>
              </w:rPr>
              <w:t>2</w:t>
            </w:r>
            <w:r w:rsidR="00474A07">
              <w:rPr>
                <w:noProof/>
                <w:webHidden/>
              </w:rPr>
              <w:fldChar w:fldCharType="end"/>
            </w:r>
          </w:hyperlink>
        </w:p>
        <w:p w14:paraId="1EFB05D4" w14:textId="57A98ADF" w:rsidR="00474A07" w:rsidRDefault="00940F86">
          <w:pPr>
            <w:pStyle w:val="TOC1"/>
            <w:tabs>
              <w:tab w:val="left" w:pos="440"/>
              <w:tab w:val="right" w:leader="dot" w:pos="9062"/>
            </w:tabs>
            <w:rPr>
              <w:noProof/>
            </w:rPr>
          </w:pPr>
          <w:hyperlink w:anchor="_Toc129956457" w:history="1">
            <w:r w:rsidR="00474A07" w:rsidRPr="00CF1A62">
              <w:rPr>
                <w:rStyle w:val="Hyperlink"/>
                <w:rFonts w:ascii="Times New Roman" w:eastAsia="Times New Roman" w:hAnsi="Times New Roman" w:cs="Times New Roman"/>
                <w:b/>
                <w:noProof/>
                <w:lang w:val="de-DE"/>
              </w:rPr>
              <w:t>2.</w:t>
            </w:r>
            <w:r w:rsidR="00474A07">
              <w:rPr>
                <w:noProof/>
              </w:rPr>
              <w:tab/>
            </w:r>
            <w:r w:rsidR="00474A07" w:rsidRPr="00CF1A62">
              <w:rPr>
                <w:rStyle w:val="Hyperlink"/>
                <w:rFonts w:ascii="Times New Roman" w:hAnsi="Times New Roman"/>
                <w:b/>
                <w:noProof/>
                <w:lang w:val="de-DE"/>
              </w:rPr>
              <w:t>EINHALTUNG DER BESTIMMUNGEN DER ARTIKEL 4, 5 UND 6 DURCH DIE ZAHLUNGSDIENSTLEISTER</w:t>
            </w:r>
            <w:r w:rsidR="00474A07">
              <w:rPr>
                <w:noProof/>
                <w:webHidden/>
              </w:rPr>
              <w:tab/>
            </w:r>
            <w:r w:rsidR="00474A07">
              <w:rPr>
                <w:noProof/>
                <w:webHidden/>
              </w:rPr>
              <w:fldChar w:fldCharType="begin"/>
            </w:r>
            <w:r w:rsidR="00474A07">
              <w:rPr>
                <w:noProof/>
                <w:webHidden/>
              </w:rPr>
              <w:instrText xml:space="preserve"> PAGEREF _Toc129956457 \h </w:instrText>
            </w:r>
            <w:r w:rsidR="00474A07">
              <w:rPr>
                <w:noProof/>
                <w:webHidden/>
              </w:rPr>
            </w:r>
            <w:r w:rsidR="00474A07">
              <w:rPr>
                <w:noProof/>
                <w:webHidden/>
              </w:rPr>
              <w:fldChar w:fldCharType="separate"/>
            </w:r>
            <w:r>
              <w:rPr>
                <w:noProof/>
                <w:webHidden/>
              </w:rPr>
              <w:t>2</w:t>
            </w:r>
            <w:r w:rsidR="00474A07">
              <w:rPr>
                <w:noProof/>
                <w:webHidden/>
              </w:rPr>
              <w:fldChar w:fldCharType="end"/>
            </w:r>
          </w:hyperlink>
        </w:p>
        <w:p w14:paraId="1F1B69DD" w14:textId="503BE085" w:rsidR="00474A07" w:rsidRDefault="00940F86">
          <w:pPr>
            <w:pStyle w:val="TOC1"/>
            <w:tabs>
              <w:tab w:val="left" w:pos="440"/>
              <w:tab w:val="right" w:leader="dot" w:pos="9062"/>
            </w:tabs>
            <w:rPr>
              <w:noProof/>
            </w:rPr>
          </w:pPr>
          <w:hyperlink w:anchor="_Toc129956458" w:history="1">
            <w:r w:rsidR="00474A07" w:rsidRPr="00CF1A62">
              <w:rPr>
                <w:rStyle w:val="Hyperlink"/>
                <w:rFonts w:ascii="Times New Roman" w:eastAsia="Times New Roman" w:hAnsi="Times New Roman" w:cs="Times New Roman"/>
                <w:b/>
                <w:noProof/>
                <w:lang w:val="de-DE"/>
              </w:rPr>
              <w:t>3.</w:t>
            </w:r>
            <w:r w:rsidR="00474A07">
              <w:rPr>
                <w:noProof/>
              </w:rPr>
              <w:tab/>
            </w:r>
            <w:r w:rsidR="00474A07" w:rsidRPr="002B2E32">
              <w:rPr>
                <w:rStyle w:val="Hyperlink"/>
                <w:rFonts w:ascii="Times New Roman" w:hAnsi="Times New Roman"/>
                <w:b/>
                <w:noProof/>
                <w:spacing w:val="-2"/>
                <w:lang w:val="de-DE"/>
              </w:rPr>
              <w:t>EINHALTUNG DER ANFORDERUNGEN ZUR SICHERSTELLUNG DES BESTEHENS VON VERGLEICHSWEBSITES GEMÄSS ARTIKEL 7 DURCH DIE MITGLIEDSTAATEN</w:t>
            </w:r>
            <w:r w:rsidR="00474A07">
              <w:rPr>
                <w:noProof/>
                <w:webHidden/>
              </w:rPr>
              <w:tab/>
            </w:r>
            <w:r w:rsidR="00474A07">
              <w:rPr>
                <w:noProof/>
                <w:webHidden/>
              </w:rPr>
              <w:fldChar w:fldCharType="begin"/>
            </w:r>
            <w:r w:rsidR="00474A07">
              <w:rPr>
                <w:noProof/>
                <w:webHidden/>
              </w:rPr>
              <w:instrText xml:space="preserve"> PAGEREF _Toc129956458 \h </w:instrText>
            </w:r>
            <w:r w:rsidR="00474A07">
              <w:rPr>
                <w:noProof/>
                <w:webHidden/>
              </w:rPr>
            </w:r>
            <w:r w:rsidR="00474A07">
              <w:rPr>
                <w:noProof/>
                <w:webHidden/>
              </w:rPr>
              <w:fldChar w:fldCharType="separate"/>
            </w:r>
            <w:r>
              <w:rPr>
                <w:noProof/>
                <w:webHidden/>
              </w:rPr>
              <w:t>5</w:t>
            </w:r>
            <w:r w:rsidR="00474A07">
              <w:rPr>
                <w:noProof/>
                <w:webHidden/>
              </w:rPr>
              <w:fldChar w:fldCharType="end"/>
            </w:r>
          </w:hyperlink>
        </w:p>
        <w:p w14:paraId="79B90093" w14:textId="38984997" w:rsidR="00474A07" w:rsidRDefault="00940F86">
          <w:pPr>
            <w:pStyle w:val="TOC1"/>
            <w:tabs>
              <w:tab w:val="left" w:pos="440"/>
              <w:tab w:val="right" w:leader="dot" w:pos="9062"/>
            </w:tabs>
            <w:rPr>
              <w:noProof/>
            </w:rPr>
          </w:pPr>
          <w:hyperlink w:anchor="_Toc129956459" w:history="1">
            <w:r w:rsidR="00474A07" w:rsidRPr="00CF1A62">
              <w:rPr>
                <w:rStyle w:val="Hyperlink"/>
                <w:rFonts w:ascii="Times New Roman" w:eastAsia="Times New Roman" w:hAnsi="Times New Roman" w:cs="Times New Roman"/>
                <w:b/>
                <w:noProof/>
                <w:lang w:val="de-DE"/>
              </w:rPr>
              <w:t>4.</w:t>
            </w:r>
            <w:r w:rsidR="00474A07">
              <w:rPr>
                <w:noProof/>
              </w:rPr>
              <w:tab/>
            </w:r>
            <w:r w:rsidR="00474A07" w:rsidRPr="00CF1A62">
              <w:rPr>
                <w:rStyle w:val="Hyperlink"/>
                <w:rFonts w:ascii="Times New Roman" w:hAnsi="Times New Roman"/>
                <w:b/>
                <w:noProof/>
                <w:lang w:val="de-DE"/>
              </w:rPr>
              <w:t>ANZAHL DER VORGENOMMENEN ZAHLUNGSKONTOWECHSEL UND ANTEIL DER ABGELEHNTEN ANTRÄGE AUF WECHSEL</w:t>
            </w:r>
            <w:r w:rsidR="00474A07">
              <w:rPr>
                <w:noProof/>
                <w:webHidden/>
              </w:rPr>
              <w:tab/>
            </w:r>
            <w:r w:rsidR="00474A07">
              <w:rPr>
                <w:noProof/>
                <w:webHidden/>
              </w:rPr>
              <w:fldChar w:fldCharType="begin"/>
            </w:r>
            <w:r w:rsidR="00474A07">
              <w:rPr>
                <w:noProof/>
                <w:webHidden/>
              </w:rPr>
              <w:instrText xml:space="preserve"> PAGEREF _Toc129956459 \h </w:instrText>
            </w:r>
            <w:r w:rsidR="00474A07">
              <w:rPr>
                <w:noProof/>
                <w:webHidden/>
              </w:rPr>
            </w:r>
            <w:r w:rsidR="00474A07">
              <w:rPr>
                <w:noProof/>
                <w:webHidden/>
              </w:rPr>
              <w:fldChar w:fldCharType="separate"/>
            </w:r>
            <w:r>
              <w:rPr>
                <w:noProof/>
                <w:webHidden/>
              </w:rPr>
              <w:t>6</w:t>
            </w:r>
            <w:r w:rsidR="00474A07">
              <w:rPr>
                <w:noProof/>
                <w:webHidden/>
              </w:rPr>
              <w:fldChar w:fldCharType="end"/>
            </w:r>
          </w:hyperlink>
        </w:p>
        <w:p w14:paraId="4957F792" w14:textId="2C2BA710" w:rsidR="00474A07" w:rsidRDefault="00940F86">
          <w:pPr>
            <w:pStyle w:val="TOC1"/>
            <w:tabs>
              <w:tab w:val="left" w:pos="440"/>
              <w:tab w:val="right" w:leader="dot" w:pos="9062"/>
            </w:tabs>
            <w:rPr>
              <w:noProof/>
            </w:rPr>
          </w:pPr>
          <w:hyperlink w:anchor="_Toc129956460" w:history="1">
            <w:r w:rsidR="00474A07" w:rsidRPr="00CF1A62">
              <w:rPr>
                <w:rStyle w:val="Hyperlink"/>
                <w:rFonts w:ascii="Times New Roman" w:eastAsia="Times New Roman" w:hAnsi="Times New Roman" w:cs="Times New Roman"/>
                <w:b/>
                <w:noProof/>
                <w:lang w:val="de-DE"/>
              </w:rPr>
              <w:t>5.</w:t>
            </w:r>
            <w:r w:rsidR="00474A07">
              <w:rPr>
                <w:noProof/>
              </w:rPr>
              <w:tab/>
            </w:r>
            <w:r w:rsidR="00474A07" w:rsidRPr="00CF1A62">
              <w:rPr>
                <w:rStyle w:val="Hyperlink"/>
                <w:rFonts w:ascii="Times New Roman" w:hAnsi="Times New Roman"/>
                <w:b/>
                <w:noProof/>
                <w:lang w:val="de-DE"/>
              </w:rPr>
              <w:t>ANZAHL DER KREDITINSTITUTE, DIE ZAHLUNGSKONTEN MIT GRUNDLEGENDEN FUNKTIONEN ANBIETEN, ANZAHL DER ERÖFFNETEN DERARTIGEN KONTEN UND ANTEIL DER ABGELEHNTEN ANTRÄGE AUF EIN ZAHLUNGSKONTO MIT GRUNDLEGENDEN FUNKTIONEN</w:t>
            </w:r>
            <w:r w:rsidR="00474A07">
              <w:rPr>
                <w:noProof/>
                <w:webHidden/>
              </w:rPr>
              <w:tab/>
            </w:r>
            <w:r w:rsidR="00474A07">
              <w:rPr>
                <w:noProof/>
                <w:webHidden/>
              </w:rPr>
              <w:fldChar w:fldCharType="begin"/>
            </w:r>
            <w:r w:rsidR="00474A07">
              <w:rPr>
                <w:noProof/>
                <w:webHidden/>
              </w:rPr>
              <w:instrText xml:space="preserve"> PAGEREF _Toc129956460 \h </w:instrText>
            </w:r>
            <w:r w:rsidR="00474A07">
              <w:rPr>
                <w:noProof/>
                <w:webHidden/>
              </w:rPr>
            </w:r>
            <w:r w:rsidR="00474A07">
              <w:rPr>
                <w:noProof/>
                <w:webHidden/>
              </w:rPr>
              <w:fldChar w:fldCharType="separate"/>
            </w:r>
            <w:r>
              <w:rPr>
                <w:noProof/>
                <w:webHidden/>
              </w:rPr>
              <w:t>9</w:t>
            </w:r>
            <w:r w:rsidR="00474A07">
              <w:rPr>
                <w:noProof/>
                <w:webHidden/>
              </w:rPr>
              <w:fldChar w:fldCharType="end"/>
            </w:r>
          </w:hyperlink>
        </w:p>
        <w:p w14:paraId="4EC172BB" w14:textId="632F2B21" w:rsidR="00474A07" w:rsidRDefault="00940F86">
          <w:pPr>
            <w:pStyle w:val="TOC1"/>
            <w:tabs>
              <w:tab w:val="left" w:pos="440"/>
              <w:tab w:val="right" w:leader="dot" w:pos="9062"/>
            </w:tabs>
            <w:rPr>
              <w:noProof/>
            </w:rPr>
          </w:pPr>
          <w:hyperlink w:anchor="_Toc129956461" w:history="1">
            <w:r w:rsidR="00474A07" w:rsidRPr="00CF1A62">
              <w:rPr>
                <w:rStyle w:val="Hyperlink"/>
                <w:rFonts w:ascii="Times New Roman" w:eastAsia="Times New Roman" w:hAnsi="Times New Roman" w:cs="Times New Roman"/>
                <w:b/>
                <w:noProof/>
              </w:rPr>
              <w:t>6.</w:t>
            </w:r>
            <w:r w:rsidR="00474A07">
              <w:rPr>
                <w:noProof/>
              </w:rPr>
              <w:tab/>
            </w:r>
            <w:r w:rsidR="00474A07" w:rsidRPr="00CF1A62">
              <w:rPr>
                <w:rStyle w:val="Hyperlink"/>
                <w:rFonts w:ascii="Times New Roman" w:hAnsi="Times New Roman"/>
                <w:b/>
                <w:noProof/>
              </w:rPr>
              <w:t>SCHLUSSFOLGERUNG</w:t>
            </w:r>
            <w:r w:rsidR="00474A07">
              <w:rPr>
                <w:noProof/>
                <w:webHidden/>
              </w:rPr>
              <w:tab/>
            </w:r>
            <w:r w:rsidR="00474A07">
              <w:rPr>
                <w:noProof/>
                <w:webHidden/>
              </w:rPr>
              <w:fldChar w:fldCharType="begin"/>
            </w:r>
            <w:r w:rsidR="00474A07">
              <w:rPr>
                <w:noProof/>
                <w:webHidden/>
              </w:rPr>
              <w:instrText xml:space="preserve"> PAGEREF _Toc129956461 \h </w:instrText>
            </w:r>
            <w:r w:rsidR="00474A07">
              <w:rPr>
                <w:noProof/>
                <w:webHidden/>
              </w:rPr>
            </w:r>
            <w:r w:rsidR="00474A07">
              <w:rPr>
                <w:noProof/>
                <w:webHidden/>
              </w:rPr>
              <w:fldChar w:fldCharType="separate"/>
            </w:r>
            <w:r>
              <w:rPr>
                <w:noProof/>
                <w:webHidden/>
              </w:rPr>
              <w:t>13</w:t>
            </w:r>
            <w:r w:rsidR="00474A07">
              <w:rPr>
                <w:noProof/>
                <w:webHidden/>
              </w:rPr>
              <w:fldChar w:fldCharType="end"/>
            </w:r>
          </w:hyperlink>
        </w:p>
        <w:p w14:paraId="268BEDBE" w14:textId="24A28CF8" w:rsidR="00FA1AC8" w:rsidRPr="005E550E" w:rsidRDefault="00FA1AC8" w:rsidP="00A03713">
          <w:pPr>
            <w:tabs>
              <w:tab w:val="left" w:pos="660"/>
              <w:tab w:val="right" w:leader="dot" w:pos="9062"/>
            </w:tabs>
            <w:rPr>
              <w:rFonts w:ascii="Calibri" w:hAnsi="Calibri"/>
              <w:noProof/>
            </w:rPr>
          </w:pPr>
          <w:r>
            <w:rPr>
              <w:rFonts w:ascii="Calibri" w:hAnsi="Calibri"/>
              <w:noProof/>
            </w:rPr>
            <w:fldChar w:fldCharType="end"/>
          </w:r>
        </w:p>
      </w:sdtContent>
    </w:sdt>
    <w:p w14:paraId="612C55AF" w14:textId="77777777" w:rsidR="00FA1AC8" w:rsidRPr="00CD2699" w:rsidRDefault="00FA1AC8" w:rsidP="00FA1AC8">
      <w:pPr>
        <w:spacing w:after="200" w:line="240" w:lineRule="auto"/>
        <w:jc w:val="both"/>
        <w:rPr>
          <w:rFonts w:ascii="Times New Roman" w:eastAsia="Times New Roman" w:hAnsi="Times New Roman" w:cs="Times New Roman"/>
          <w:noProof/>
          <w:sz w:val="24"/>
        </w:rPr>
      </w:pPr>
      <w:bookmarkStart w:id="1" w:name="_Toc10474381"/>
      <w:r>
        <w:rPr>
          <w:noProof/>
        </w:rPr>
        <w:br w:type="page"/>
      </w:r>
      <w:bookmarkEnd w:id="1"/>
    </w:p>
    <w:p w14:paraId="36CFF6C2" w14:textId="77777777" w:rsidR="00FA1AC8" w:rsidRPr="00D32F27" w:rsidRDefault="00FA1AC8" w:rsidP="00FA1AC8">
      <w:pPr>
        <w:keepNext/>
        <w:keepLines/>
        <w:spacing w:after="0" w:line="240" w:lineRule="auto"/>
        <w:jc w:val="both"/>
        <w:outlineLvl w:val="0"/>
        <w:rPr>
          <w:rFonts w:ascii="Times New Roman" w:eastAsia="Times New Roman" w:hAnsi="Times New Roman" w:cs="Times New Roman"/>
          <w:b/>
          <w:noProof/>
          <w:sz w:val="24"/>
          <w:lang w:val="de-DE"/>
        </w:rPr>
      </w:pPr>
      <w:bookmarkStart w:id="2" w:name="_Toc878023"/>
      <w:bookmarkStart w:id="3" w:name="_Toc17730531"/>
      <w:bookmarkStart w:id="4" w:name="_Toc41385899"/>
      <w:bookmarkStart w:id="5" w:name="_Toc52294919"/>
      <w:bookmarkStart w:id="6" w:name="_Toc52302081"/>
      <w:bookmarkStart w:id="7" w:name="_Toc52901478"/>
      <w:bookmarkStart w:id="8" w:name="_Toc4058292"/>
      <w:bookmarkStart w:id="9" w:name="_Toc10474382"/>
      <w:bookmarkStart w:id="10" w:name="_Toc67511944"/>
      <w:bookmarkStart w:id="11" w:name="_Toc129956456"/>
      <w:r w:rsidRPr="00D32F27">
        <w:rPr>
          <w:rFonts w:ascii="Times New Roman" w:hAnsi="Times New Roman"/>
          <w:b/>
          <w:noProof/>
          <w:sz w:val="24"/>
          <w:lang w:val="de-DE"/>
        </w:rPr>
        <w:lastRenderedPageBreak/>
        <w:t xml:space="preserve">1. </w:t>
      </w:r>
      <w:r w:rsidRPr="00D32F27">
        <w:rPr>
          <w:noProof/>
          <w:lang w:val="de-DE"/>
        </w:rPr>
        <w:tab/>
      </w:r>
      <w:r w:rsidRPr="00D32F27">
        <w:rPr>
          <w:rFonts w:ascii="Times New Roman" w:hAnsi="Times New Roman"/>
          <w:b/>
          <w:noProof/>
          <w:sz w:val="24"/>
          <w:lang w:val="de-DE"/>
        </w:rPr>
        <w:t>EINLEITUNG</w:t>
      </w:r>
      <w:bookmarkEnd w:id="2"/>
      <w:bookmarkEnd w:id="3"/>
      <w:bookmarkEnd w:id="4"/>
      <w:bookmarkEnd w:id="5"/>
      <w:bookmarkEnd w:id="6"/>
      <w:bookmarkEnd w:id="7"/>
      <w:bookmarkEnd w:id="8"/>
      <w:bookmarkEnd w:id="9"/>
      <w:bookmarkEnd w:id="10"/>
      <w:bookmarkEnd w:id="11"/>
    </w:p>
    <w:p w14:paraId="67178365" w14:textId="4C251946" w:rsidR="005E550E" w:rsidRPr="00474A07" w:rsidRDefault="005E550E" w:rsidP="005E550E">
      <w:pPr>
        <w:spacing w:before="240" w:after="200" w:line="240" w:lineRule="auto"/>
        <w:jc w:val="both"/>
        <w:rPr>
          <w:rFonts w:ascii="Times New Roman" w:eastAsia="Calibri" w:hAnsi="Times New Roman" w:cs="Times New Roman"/>
          <w:noProof/>
          <w:sz w:val="24"/>
          <w:lang w:val="de-DE"/>
        </w:rPr>
      </w:pPr>
      <w:bookmarkStart w:id="12" w:name="_Toc878026"/>
      <w:bookmarkStart w:id="13" w:name="_Toc4058295"/>
      <w:bookmarkStart w:id="14" w:name="_Toc10474385"/>
      <w:bookmarkStart w:id="15" w:name="_Toc17730534"/>
      <w:bookmarkStart w:id="16" w:name="_Toc41385903"/>
      <w:bookmarkStart w:id="17" w:name="_Toc52294924"/>
      <w:bookmarkStart w:id="18" w:name="_Toc52302086"/>
      <w:bookmarkStart w:id="19" w:name="_Toc52901484"/>
      <w:r w:rsidRPr="00474A07">
        <w:rPr>
          <w:rFonts w:ascii="Times New Roman" w:hAnsi="Times New Roman"/>
          <w:noProof/>
          <w:sz w:val="24"/>
          <w:lang w:val="de-DE"/>
        </w:rPr>
        <w:t>Die Richtlinie über Zahlungskonten (im Folgenden auch „Richtlinie“)</w:t>
      </w:r>
      <w:r>
        <w:rPr>
          <w:rStyle w:val="FootnoteReference"/>
          <w:rFonts w:ascii="Times New Roman" w:eastAsia="Calibri" w:hAnsi="Times New Roman" w:cs="Times New Roman"/>
          <w:noProof/>
          <w:sz w:val="24"/>
        </w:rPr>
        <w:footnoteReference w:id="2"/>
      </w:r>
      <w:r w:rsidRPr="00474A07">
        <w:rPr>
          <w:rFonts w:ascii="Times New Roman" w:hAnsi="Times New Roman"/>
          <w:noProof/>
          <w:sz w:val="24"/>
          <w:lang w:val="de-DE"/>
        </w:rPr>
        <w:t xml:space="preserve"> trat im September 2014 in Kraft. Die Mitgliedstaaten sollten die Rechts- und Verwaltungsvorschriften, die erforderlich sind, um der Richtlinie nachzukommen, bis zum 18. September 2016 erlassen und veröffentlichen. Gemäß Artikel 27 der Richtlinie ist die Kommission verpflichtet, (erstmals bis zum 18. September 2018 und danach alle zwei Jahre) einen Bericht zu erstellen, der Informationen zu folgenden Aspekten enthält:</w:t>
      </w:r>
    </w:p>
    <w:p w14:paraId="0C18A91D" w14:textId="77777777" w:rsidR="005E550E" w:rsidRPr="00474A07" w:rsidRDefault="005E550E" w:rsidP="005E550E">
      <w:pPr>
        <w:numPr>
          <w:ilvl w:val="0"/>
          <w:numId w:val="3"/>
        </w:numPr>
        <w:spacing w:before="240" w:after="200" w:line="240" w:lineRule="auto"/>
        <w:contextualSpacing/>
        <w:jc w:val="both"/>
        <w:rPr>
          <w:rFonts w:ascii="Times New Roman" w:eastAsia="Calibri" w:hAnsi="Times New Roman" w:cs="Times New Roman"/>
          <w:noProof/>
          <w:sz w:val="24"/>
          <w:lang w:val="de-DE"/>
        </w:rPr>
      </w:pPr>
      <w:r w:rsidRPr="00474A07">
        <w:rPr>
          <w:rFonts w:ascii="Times New Roman" w:hAnsi="Times New Roman"/>
          <w:noProof/>
          <w:sz w:val="24"/>
          <w:lang w:val="de-DE"/>
        </w:rPr>
        <w:t>Einhaltung der Bestimmungen der Artikel 4, 5 und 6 durch die Zahlungsdienstleister;</w:t>
      </w:r>
    </w:p>
    <w:p w14:paraId="291C74D5" w14:textId="77777777" w:rsidR="005E550E" w:rsidRPr="00474A07" w:rsidRDefault="005E550E" w:rsidP="005E550E">
      <w:pPr>
        <w:numPr>
          <w:ilvl w:val="0"/>
          <w:numId w:val="3"/>
        </w:numPr>
        <w:spacing w:before="240" w:after="200" w:line="240" w:lineRule="auto"/>
        <w:contextualSpacing/>
        <w:jc w:val="both"/>
        <w:rPr>
          <w:rFonts w:ascii="Times New Roman" w:eastAsia="Calibri" w:hAnsi="Times New Roman" w:cs="Times New Roman"/>
          <w:noProof/>
          <w:sz w:val="24"/>
          <w:lang w:val="de-DE"/>
        </w:rPr>
      </w:pPr>
      <w:r w:rsidRPr="00474A07">
        <w:rPr>
          <w:rFonts w:ascii="Times New Roman" w:hAnsi="Times New Roman"/>
          <w:noProof/>
          <w:sz w:val="24"/>
          <w:lang w:val="de-DE"/>
        </w:rPr>
        <w:t>Einhaltung der Anforderungen zur Sicherstellung des Bestehens von Vergleichswebsites gemäß Artikel 7 durch die Mitgliedstaaten;</w:t>
      </w:r>
    </w:p>
    <w:p w14:paraId="43BAEB2B" w14:textId="77777777" w:rsidR="005E550E" w:rsidRPr="00474A07" w:rsidRDefault="005E550E" w:rsidP="005E550E">
      <w:pPr>
        <w:numPr>
          <w:ilvl w:val="0"/>
          <w:numId w:val="3"/>
        </w:numPr>
        <w:spacing w:before="240" w:after="200" w:line="240" w:lineRule="auto"/>
        <w:contextualSpacing/>
        <w:jc w:val="both"/>
        <w:rPr>
          <w:rFonts w:ascii="Times New Roman" w:eastAsia="Calibri" w:hAnsi="Times New Roman" w:cs="Times New Roman"/>
          <w:noProof/>
          <w:sz w:val="24"/>
          <w:lang w:val="de-DE"/>
        </w:rPr>
      </w:pPr>
      <w:r w:rsidRPr="00474A07">
        <w:rPr>
          <w:rFonts w:ascii="Times New Roman" w:hAnsi="Times New Roman"/>
          <w:noProof/>
          <w:sz w:val="24"/>
          <w:lang w:val="de-DE"/>
        </w:rPr>
        <w:t>Anzahl der vorgenommenen Zahlungskontowechsel und Anteil der abgelehnten Anträge auf Wechsel;</w:t>
      </w:r>
    </w:p>
    <w:p w14:paraId="74DC97A6" w14:textId="77777777" w:rsidR="005E550E" w:rsidRPr="00474A07" w:rsidRDefault="005E550E" w:rsidP="005E550E">
      <w:pPr>
        <w:numPr>
          <w:ilvl w:val="0"/>
          <w:numId w:val="3"/>
        </w:numPr>
        <w:spacing w:before="240" w:after="0" w:line="240" w:lineRule="auto"/>
        <w:contextualSpacing/>
        <w:jc w:val="both"/>
        <w:rPr>
          <w:rFonts w:ascii="Times New Roman" w:eastAsia="Calibri" w:hAnsi="Times New Roman" w:cs="Times New Roman"/>
          <w:noProof/>
          <w:sz w:val="24"/>
          <w:lang w:val="de-DE"/>
        </w:rPr>
      </w:pPr>
      <w:r w:rsidRPr="00474A07">
        <w:rPr>
          <w:rFonts w:ascii="Times New Roman" w:hAnsi="Times New Roman"/>
          <w:noProof/>
          <w:sz w:val="24"/>
          <w:lang w:val="de-DE"/>
        </w:rPr>
        <w:t>Anzahl der Kreditinstitute, die Zahlungskonten mit grundlegenden Funktionen anbieten, Anzahl der eröffneten derartigen Konten und Anteil der abgelehnten Anträge auf ein Zahlungskonto mit grundlegenden Funktionen.</w:t>
      </w:r>
    </w:p>
    <w:p w14:paraId="4DB2C300" w14:textId="77777777" w:rsidR="005E550E" w:rsidRPr="00474A07" w:rsidRDefault="005E550E" w:rsidP="005E550E">
      <w:pPr>
        <w:spacing w:before="240" w:after="0" w:line="240" w:lineRule="auto"/>
        <w:ind w:left="720"/>
        <w:contextualSpacing/>
        <w:jc w:val="both"/>
        <w:rPr>
          <w:rFonts w:ascii="Times New Roman" w:eastAsia="Calibri" w:hAnsi="Times New Roman" w:cs="Times New Roman"/>
          <w:noProof/>
          <w:sz w:val="24"/>
          <w:lang w:val="de-DE"/>
        </w:rPr>
      </w:pPr>
    </w:p>
    <w:p w14:paraId="5DEFAF0A" w14:textId="77777777" w:rsidR="005E550E" w:rsidRPr="00474A07" w:rsidRDefault="005E550E" w:rsidP="005E550E">
      <w:pPr>
        <w:spacing w:before="240" w:after="200" w:line="240" w:lineRule="auto"/>
        <w:contextualSpacing/>
        <w:jc w:val="both"/>
        <w:rPr>
          <w:rFonts w:ascii="Times New Roman" w:eastAsia="Calibri" w:hAnsi="Times New Roman" w:cs="Times New Roman"/>
          <w:noProof/>
          <w:sz w:val="24"/>
          <w:lang w:val="de-DE"/>
        </w:rPr>
      </w:pPr>
      <w:r w:rsidRPr="00474A07">
        <w:rPr>
          <w:rFonts w:ascii="Times New Roman" w:hAnsi="Times New Roman"/>
          <w:noProof/>
          <w:sz w:val="24"/>
          <w:lang w:val="de-DE"/>
        </w:rPr>
        <w:t xml:space="preserve">Wie in Artikel 27 dargelegt, stützt sich der Bericht auf die von den Mitgliedstaaten übermittelten Informationen. Die eingegangenen und übermittelten Daten weisen jedoch gewisse Lücken auf (z. B. wenn in einem Mitgliedstaat keine Informationen verfügbar waren). Auch waren die Methoden und Quellen der Datenerhebung in den einzelnen Mitgliedstaaten mitunter unterschiedlich, wodurch Vergleiche und die Bewertung der Daten erschwert werden können. </w:t>
      </w:r>
    </w:p>
    <w:p w14:paraId="4F1AFCE1" w14:textId="77777777" w:rsidR="005E550E" w:rsidRPr="00474A07" w:rsidRDefault="005E550E" w:rsidP="005E550E">
      <w:pPr>
        <w:spacing w:before="240" w:after="200" w:line="240" w:lineRule="auto"/>
        <w:contextualSpacing/>
        <w:jc w:val="both"/>
        <w:rPr>
          <w:rFonts w:ascii="Times New Roman" w:eastAsia="Calibri" w:hAnsi="Times New Roman" w:cs="Times New Roman"/>
          <w:noProof/>
          <w:sz w:val="24"/>
          <w:lang w:val="de-DE"/>
        </w:rPr>
      </w:pPr>
    </w:p>
    <w:p w14:paraId="5964334E" w14:textId="36D0B914" w:rsidR="005E550E" w:rsidRPr="00474A07" w:rsidRDefault="005E550E" w:rsidP="005E550E">
      <w:pPr>
        <w:spacing w:before="240" w:after="200" w:line="240" w:lineRule="auto"/>
        <w:contextualSpacing/>
        <w:jc w:val="both"/>
        <w:rPr>
          <w:rFonts w:ascii="Times New Roman" w:eastAsia="Calibri" w:hAnsi="Times New Roman" w:cs="Times New Roman"/>
          <w:noProof/>
          <w:sz w:val="24"/>
          <w:lang w:val="de-DE"/>
        </w:rPr>
      </w:pPr>
      <w:r w:rsidRPr="00474A07">
        <w:rPr>
          <w:rFonts w:ascii="Times New Roman" w:hAnsi="Times New Roman"/>
          <w:noProof/>
          <w:sz w:val="24"/>
          <w:lang w:val="de-DE"/>
        </w:rPr>
        <w:t>Der vorliegende Bericht ist der erste Bericht nach Artikel 27</w:t>
      </w:r>
      <w:r>
        <w:rPr>
          <w:rStyle w:val="FootnoteReference"/>
          <w:rFonts w:ascii="Times New Roman" w:eastAsia="Calibri" w:hAnsi="Times New Roman" w:cs="Times New Roman"/>
          <w:noProof/>
          <w:sz w:val="24"/>
        </w:rPr>
        <w:footnoteReference w:id="3"/>
      </w:r>
      <w:r w:rsidRPr="00474A07">
        <w:rPr>
          <w:rFonts w:ascii="Times New Roman" w:hAnsi="Times New Roman"/>
          <w:noProof/>
          <w:sz w:val="24"/>
          <w:lang w:val="de-DE"/>
        </w:rPr>
        <w:t>; er erstreckt sich auf den Zeitraum von 2016 bis 2021. Parallel zu diesem Bericht hat die Kommission einen Bericht über die Anwendung der Richtlinie nach Maßgabe des Artikels 28 angenommen.</w:t>
      </w:r>
    </w:p>
    <w:p w14:paraId="5600E12D" w14:textId="77777777" w:rsidR="00FA1AC8" w:rsidRPr="00474A07" w:rsidRDefault="00FA1AC8" w:rsidP="00FA1AC8">
      <w:pPr>
        <w:spacing w:before="240" w:after="200" w:line="240" w:lineRule="auto"/>
        <w:jc w:val="both"/>
        <w:rPr>
          <w:rFonts w:ascii="Times New Roman" w:eastAsia="Calibri" w:hAnsi="Times New Roman" w:cs="Times New Roman"/>
          <w:noProof/>
          <w:sz w:val="24"/>
          <w:lang w:val="de-DE"/>
        </w:rPr>
      </w:pPr>
    </w:p>
    <w:p w14:paraId="7ACB6FA2" w14:textId="66802B8C" w:rsidR="00FA1AC8" w:rsidRPr="00474A07" w:rsidRDefault="00FA1AC8" w:rsidP="00FA1AC8">
      <w:pPr>
        <w:keepNext/>
        <w:keepLines/>
        <w:numPr>
          <w:ilvl w:val="0"/>
          <w:numId w:val="1"/>
        </w:numPr>
        <w:spacing w:after="0" w:line="240" w:lineRule="auto"/>
        <w:jc w:val="both"/>
        <w:outlineLvl w:val="0"/>
        <w:rPr>
          <w:rFonts w:ascii="Times New Roman" w:eastAsia="Times New Roman" w:hAnsi="Times New Roman" w:cs="Times New Roman"/>
          <w:b/>
          <w:noProof/>
          <w:sz w:val="24"/>
          <w:lang w:val="de-DE"/>
        </w:rPr>
      </w:pPr>
      <w:bookmarkStart w:id="20" w:name="_Toc67511945"/>
      <w:bookmarkStart w:id="21" w:name="_Toc129956457"/>
      <w:r w:rsidRPr="00474A07">
        <w:rPr>
          <w:rFonts w:ascii="Times New Roman" w:hAnsi="Times New Roman"/>
          <w:b/>
          <w:noProof/>
          <w:sz w:val="24"/>
          <w:lang w:val="de-DE"/>
        </w:rPr>
        <w:t>EINHALTUNG DER BESTIMMUNGEN DER ARTIKEL 4, 5 UND 6 DURCH DIE ZAHLUNGSDIENSTLEISTER</w:t>
      </w:r>
      <w:bookmarkEnd w:id="20"/>
      <w:bookmarkEnd w:id="21"/>
    </w:p>
    <w:p w14:paraId="69869675" w14:textId="155130DF" w:rsidR="00FA1AC8" w:rsidRPr="00474A07" w:rsidRDefault="00FA1AC8" w:rsidP="00FA1AC8">
      <w:pPr>
        <w:spacing w:before="240" w:line="240" w:lineRule="auto"/>
        <w:jc w:val="both"/>
        <w:rPr>
          <w:rFonts w:ascii="Times New Roman" w:eastAsia="Calibri" w:hAnsi="Times New Roman" w:cs="Times New Roman"/>
          <w:noProof/>
          <w:sz w:val="24"/>
          <w:lang w:val="de-DE"/>
        </w:rPr>
      </w:pPr>
      <w:r w:rsidRPr="00474A07">
        <w:rPr>
          <w:rFonts w:ascii="Times New Roman" w:hAnsi="Times New Roman"/>
          <w:noProof/>
          <w:sz w:val="24"/>
          <w:lang w:val="de-DE"/>
        </w:rPr>
        <w:t>Kapitel II der Richtlinie enthält Vorschriften bezüglich der Vergleichbarkeit der für Zahlungskonten in Rechnung gestellten Entgelte. Wie in den verschiedenen Erwägungsgründen dargelegt, werden mit Kapitel II zwei Ziele verfolgt: Zum einen soll der Binnenmarkt für das Privatkundengeschäft der Banken verbessert und weiterentwickelt werden, zum anderen soll sichergestellt werden, dass die Verbraucher die Entgelte nachvollziehen und somit Angebote vergleichen und fundierte Entscheidungen treffen können.</w:t>
      </w:r>
    </w:p>
    <w:p w14:paraId="6B46E30A" w14:textId="5E139710" w:rsidR="00FA1AC8" w:rsidRPr="00474A07" w:rsidRDefault="00FA1AC8" w:rsidP="00FA1AC8">
      <w:pPr>
        <w:spacing w:line="240" w:lineRule="auto"/>
        <w:jc w:val="both"/>
        <w:rPr>
          <w:rFonts w:ascii="Times New Roman" w:eastAsia="Calibri" w:hAnsi="Times New Roman" w:cs="Times New Roman"/>
          <w:noProof/>
          <w:sz w:val="24"/>
          <w:lang w:val="de-DE"/>
        </w:rPr>
      </w:pPr>
      <w:r w:rsidRPr="00474A07">
        <w:rPr>
          <w:rFonts w:ascii="Times New Roman" w:hAnsi="Times New Roman"/>
          <w:noProof/>
          <w:sz w:val="24"/>
          <w:lang w:val="de-DE"/>
        </w:rPr>
        <w:t xml:space="preserve">Der erste Schritt zur Verwirklichung dieser beiden Ziele besteht darin, eine standardisierte Terminologie gemäß Artikel 3 der Richtlinie festzulegen. Dank eines integrierten und </w:t>
      </w:r>
      <w:r w:rsidRPr="00474A07">
        <w:rPr>
          <w:rFonts w:ascii="Times New Roman" w:hAnsi="Times New Roman"/>
          <w:noProof/>
          <w:sz w:val="24"/>
          <w:lang w:val="de-DE"/>
        </w:rPr>
        <w:lastRenderedPageBreak/>
        <w:t>schrittweisen Ansatzes verfügen die Mitgliedstaaten nunmehr über eine Liste der repräsentativsten entgeltpflichtigen mit einem Zahlungskonto verbundenen Dienste. Diese standardisierten Begriffe dienen auch als Grundlage für die übrigen Artikel des Kapitels II, und zwar insofern, als Zahlungsdienstleister die vereinbarten standardisierten Begriffe verwenden müssen, um den jeweiligen Artikeln des Kapitels II zu entsprechen.</w:t>
      </w:r>
    </w:p>
    <w:p w14:paraId="1980DCFD" w14:textId="3DE5FCDD" w:rsidR="00FA1AC8" w:rsidRPr="00474A07" w:rsidRDefault="00FA1AC8" w:rsidP="00FA1AC8">
      <w:pPr>
        <w:spacing w:line="240" w:lineRule="auto"/>
        <w:jc w:val="both"/>
        <w:rPr>
          <w:rFonts w:ascii="Times New Roman" w:eastAsia="Calibri" w:hAnsi="Times New Roman" w:cs="Times New Roman"/>
          <w:noProof/>
          <w:sz w:val="24"/>
          <w:lang w:val="de-DE"/>
        </w:rPr>
      </w:pPr>
      <w:r w:rsidRPr="00474A07">
        <w:rPr>
          <w:rFonts w:ascii="Times New Roman" w:hAnsi="Times New Roman"/>
          <w:noProof/>
          <w:sz w:val="24"/>
          <w:lang w:val="de-DE"/>
        </w:rPr>
        <w:t>Im Einklang mit Artikel 27 der Richtlinie haben die Mitgliedstaaten die folgenden Informationen zur Einhaltung der Bestimmungen der Artikel 4, 5 und 6 durch die Zahlungsdienstleister vorgelegt.</w:t>
      </w:r>
    </w:p>
    <w:p w14:paraId="7FAA8E2E" w14:textId="134EABD2" w:rsidR="00FA1AC8" w:rsidRPr="00CD2699" w:rsidRDefault="00FA1AC8" w:rsidP="00FA1AC8">
      <w:pPr>
        <w:numPr>
          <w:ilvl w:val="0"/>
          <w:numId w:val="2"/>
        </w:numPr>
        <w:spacing w:after="200" w:line="240" w:lineRule="auto"/>
        <w:contextualSpacing/>
        <w:jc w:val="both"/>
        <w:rPr>
          <w:rFonts w:ascii="Times New Roman" w:eastAsia="Calibri" w:hAnsi="Times New Roman" w:cs="Times New Roman"/>
          <w:b/>
          <w:noProof/>
          <w:sz w:val="24"/>
        </w:rPr>
      </w:pPr>
      <w:r>
        <w:rPr>
          <w:rFonts w:ascii="Times New Roman" w:hAnsi="Times New Roman"/>
          <w:b/>
          <w:noProof/>
          <w:sz w:val="24"/>
        </w:rPr>
        <w:t>Artikel 4 (Entgeltinformation und Glossar)</w:t>
      </w:r>
    </w:p>
    <w:p w14:paraId="4D1D645C" w14:textId="52E943B6" w:rsidR="00FA1AC8" w:rsidRPr="00474A07" w:rsidRDefault="00FA1AC8" w:rsidP="00FA1AC8">
      <w:pPr>
        <w:spacing w:line="240" w:lineRule="auto"/>
        <w:jc w:val="both"/>
        <w:rPr>
          <w:rFonts w:ascii="Times New Roman" w:eastAsia="Calibri" w:hAnsi="Times New Roman" w:cs="Times New Roman"/>
          <w:noProof/>
          <w:sz w:val="24"/>
          <w:lang w:val="de-DE"/>
        </w:rPr>
      </w:pPr>
      <w:bookmarkStart w:id="22" w:name="_Hlk115684581"/>
      <w:r w:rsidRPr="00474A07">
        <w:rPr>
          <w:rFonts w:ascii="Times New Roman" w:hAnsi="Times New Roman"/>
          <w:noProof/>
          <w:sz w:val="24"/>
          <w:lang w:val="de-DE"/>
        </w:rPr>
        <w:t>Artikel 4 der Richtlinie sieht vor, dass „Zahlungsdienstleister einem Verbraucher rechtzeitig, bevor sie mit ihm einen Vertrag über ein Zahlungskonto abschließen, eine Entgeltinformation in Papierform oder auf einem anderen dauerhaften Datenträger aushändigen, die die standardisierten Begriffe … und … Angaben zu den für die einzelnen [von dem Zahlungsdienstleister angebotenen] Dienste verlangten Entgelten enthält“. Nach Artikel 4 wurden im Wege einer Durchführungsverordnung</w:t>
      </w:r>
      <w:r>
        <w:rPr>
          <w:rStyle w:val="FootnoteReference"/>
          <w:noProof/>
        </w:rPr>
        <w:footnoteReference w:id="4"/>
      </w:r>
      <w:r w:rsidRPr="00474A07">
        <w:rPr>
          <w:rFonts w:ascii="Times New Roman" w:hAnsi="Times New Roman"/>
          <w:noProof/>
          <w:sz w:val="24"/>
          <w:lang w:val="de-DE"/>
        </w:rPr>
        <w:t xml:space="preserve"> auch genaue Regeln für das konkrete Format für die Entgeltinformation festgelegt; ferner wurden die Zahlungsdienstleister verpflichtet, den Verbrauchern ein Glossar zur Verfügung zu stellen, das zumindest die standardisierten Begriffe und die entsprechenden Begriffsbestimmungen enthält. Darüber hinaus sind die Zahlungsdienstleister gemäß Artikel 4 verpflichtet, den Verbrauchern die Entgeltinformation und das Glossar jederzeit zur Verfügung stellen. Die Dokumente müssen in elektronischer Form auf der Website des Zahlungsdienstleisters und in dessen Geschäftsräumen zugänglich gemacht werden. Ferner müssen Zahlungsdienstleister gemäß dieser Bestimmung die Entgeltinformation und das Glossar dem Verbraucher auf Anfrage unentgeltlich in Papierform oder auf einem anderen dauerhaften Datenträger aushändigen.</w:t>
      </w:r>
    </w:p>
    <w:p w14:paraId="7B9FFBC1" w14:textId="51047F0B" w:rsidR="00FA1AC8" w:rsidRPr="00474A07" w:rsidRDefault="00FA1AC8" w:rsidP="00FA1AC8">
      <w:pPr>
        <w:spacing w:line="240" w:lineRule="auto"/>
        <w:jc w:val="both"/>
        <w:rPr>
          <w:rFonts w:ascii="Times New Roman" w:eastAsia="Calibri" w:hAnsi="Times New Roman" w:cs="Times New Roman"/>
          <w:noProof/>
          <w:sz w:val="24"/>
          <w:lang w:val="de-DE"/>
        </w:rPr>
      </w:pPr>
      <w:bookmarkStart w:id="23" w:name="_Hlk115684680"/>
      <w:bookmarkEnd w:id="22"/>
      <w:r w:rsidRPr="00474A07">
        <w:rPr>
          <w:rFonts w:ascii="Times New Roman" w:hAnsi="Times New Roman"/>
          <w:noProof/>
          <w:sz w:val="24"/>
          <w:lang w:val="de-DE"/>
        </w:rPr>
        <w:t xml:space="preserve">Was die </w:t>
      </w:r>
      <w:r w:rsidRPr="00474A07">
        <w:rPr>
          <w:rFonts w:ascii="Times New Roman" w:hAnsi="Times New Roman"/>
          <w:b/>
          <w:bCs/>
          <w:noProof/>
          <w:sz w:val="24"/>
          <w:lang w:val="de-DE"/>
        </w:rPr>
        <w:t>Einhaltung der Verpflichtung der Zahlungsdienstleister</w:t>
      </w:r>
      <w:r w:rsidRPr="00474A07">
        <w:rPr>
          <w:rFonts w:ascii="Times New Roman" w:hAnsi="Times New Roman"/>
          <w:noProof/>
          <w:sz w:val="24"/>
          <w:lang w:val="de-DE"/>
        </w:rPr>
        <w:t xml:space="preserve"> betrifft, </w:t>
      </w:r>
      <w:r w:rsidRPr="00474A07">
        <w:rPr>
          <w:rFonts w:ascii="Times New Roman" w:hAnsi="Times New Roman"/>
          <w:b/>
          <w:bCs/>
          <w:noProof/>
          <w:sz w:val="24"/>
          <w:lang w:val="de-DE"/>
        </w:rPr>
        <w:t>den Verbrauchern die Entgeltinformation rechtzeitig zur Verfügung zu stellen</w:t>
      </w:r>
      <w:r w:rsidRPr="00474A07">
        <w:rPr>
          <w:rFonts w:ascii="Times New Roman" w:hAnsi="Times New Roman"/>
          <w:noProof/>
          <w:sz w:val="24"/>
          <w:lang w:val="de-DE"/>
        </w:rPr>
        <w:t xml:space="preserve"> </w:t>
      </w:r>
      <w:r w:rsidRPr="00474A07">
        <w:rPr>
          <w:rFonts w:ascii="Times New Roman" w:hAnsi="Times New Roman"/>
          <w:b/>
          <w:bCs/>
          <w:noProof/>
          <w:sz w:val="24"/>
          <w:lang w:val="de-DE"/>
        </w:rPr>
        <w:t>(Artikel 4 Absatz 1)</w:t>
      </w:r>
      <w:r w:rsidRPr="00474A07">
        <w:rPr>
          <w:rFonts w:ascii="Times New Roman" w:hAnsi="Times New Roman"/>
          <w:noProof/>
          <w:sz w:val="24"/>
          <w:lang w:val="de-DE"/>
        </w:rPr>
        <w:t xml:space="preserve">, so </w:t>
      </w:r>
      <w:r w:rsidRPr="00474A07">
        <w:rPr>
          <w:rFonts w:ascii="Times New Roman" w:hAnsi="Times New Roman"/>
          <w:noProof/>
          <w:sz w:val="24"/>
          <w:u w:val="single"/>
          <w:lang w:val="de-DE"/>
        </w:rPr>
        <w:t>scheinen die Zahlungsdienstleister dieser Verpflichtung im Allgemeinen nachzukommen</w:t>
      </w:r>
      <w:r w:rsidRPr="00474A07">
        <w:rPr>
          <w:rFonts w:ascii="Times New Roman" w:hAnsi="Times New Roman"/>
          <w:noProof/>
          <w:sz w:val="24"/>
          <w:lang w:val="de-DE"/>
        </w:rPr>
        <w:t xml:space="preserve">. Dies geht entweder aus Inspektionen vor Ort oder Erhebungen hervor (BG, FR, CY, LV, PT, SI) oder aus der Tatsache, dass diesbezüglich keine Beschwerden eingegangen sind, was darauf schließen lässt, dass die Zahlungsdienstleister der Verpflichtung im Allgemeinen nachzukommen scheinen (BE, CZ, DK, DE, EE, FR, HR, IT, LT, LU, HU, MT, NL, AT, PL, RO, SK, FI). </w:t>
      </w:r>
    </w:p>
    <w:bookmarkEnd w:id="23"/>
    <w:p w14:paraId="438A0F41" w14:textId="189837A2" w:rsidR="00FA1AC8" w:rsidRPr="00474A07" w:rsidRDefault="00FA1AC8" w:rsidP="00FA1AC8">
      <w:pPr>
        <w:spacing w:line="240" w:lineRule="auto"/>
        <w:jc w:val="both"/>
        <w:rPr>
          <w:rFonts w:ascii="Times New Roman" w:eastAsia="Calibri" w:hAnsi="Times New Roman" w:cs="Times New Roman"/>
          <w:noProof/>
          <w:sz w:val="24"/>
          <w:lang w:val="de-DE"/>
        </w:rPr>
      </w:pPr>
      <w:r w:rsidRPr="00474A07">
        <w:rPr>
          <w:rFonts w:ascii="Times New Roman" w:hAnsi="Times New Roman"/>
          <w:noProof/>
          <w:sz w:val="24"/>
          <w:lang w:val="de-DE"/>
        </w:rPr>
        <w:t>Was die</w:t>
      </w:r>
      <w:r w:rsidRPr="00474A07">
        <w:rPr>
          <w:rFonts w:ascii="Times New Roman" w:hAnsi="Times New Roman"/>
          <w:b/>
          <w:bCs/>
          <w:noProof/>
          <w:sz w:val="24"/>
          <w:lang w:val="de-DE"/>
        </w:rPr>
        <w:t xml:space="preserve"> Einhaltung der Verpflichtung der </w:t>
      </w:r>
      <w:bookmarkStart w:id="24" w:name="_Hlk121925504"/>
      <w:r w:rsidRPr="00474A07">
        <w:rPr>
          <w:rFonts w:ascii="Times New Roman" w:hAnsi="Times New Roman"/>
          <w:b/>
          <w:bCs/>
          <w:noProof/>
          <w:sz w:val="24"/>
          <w:lang w:val="de-DE"/>
        </w:rPr>
        <w:t>Zahlungsdienstleister</w:t>
      </w:r>
      <w:r w:rsidRPr="00474A07">
        <w:rPr>
          <w:rFonts w:ascii="Times New Roman" w:hAnsi="Times New Roman"/>
          <w:noProof/>
          <w:sz w:val="24"/>
          <w:lang w:val="de-DE"/>
        </w:rPr>
        <w:t xml:space="preserve"> </w:t>
      </w:r>
      <w:bookmarkEnd w:id="24"/>
      <w:r w:rsidRPr="00474A07">
        <w:rPr>
          <w:rFonts w:ascii="Times New Roman" w:hAnsi="Times New Roman"/>
          <w:noProof/>
          <w:sz w:val="24"/>
          <w:lang w:val="de-DE"/>
        </w:rPr>
        <w:t xml:space="preserve">betrifft, </w:t>
      </w:r>
      <w:r w:rsidRPr="00474A07">
        <w:rPr>
          <w:rFonts w:ascii="Times New Roman" w:hAnsi="Times New Roman"/>
          <w:b/>
          <w:bCs/>
          <w:noProof/>
          <w:sz w:val="24"/>
          <w:lang w:val="de-DE"/>
        </w:rPr>
        <w:t>den Verbrauchern ein Glossar zur Verfügung zu stellen, das zumindest die standardisierten Begriffe enthält (Artikel 4 Absatz 4)</w:t>
      </w:r>
      <w:r w:rsidRPr="00474A07">
        <w:rPr>
          <w:rFonts w:ascii="Times New Roman" w:hAnsi="Times New Roman"/>
          <w:noProof/>
          <w:sz w:val="24"/>
          <w:lang w:val="de-DE"/>
        </w:rPr>
        <w:t xml:space="preserve">, so </w:t>
      </w:r>
      <w:r w:rsidRPr="00474A07">
        <w:rPr>
          <w:rFonts w:ascii="Times New Roman" w:hAnsi="Times New Roman"/>
          <w:noProof/>
          <w:sz w:val="24"/>
          <w:u w:val="single"/>
          <w:lang w:val="de-DE"/>
        </w:rPr>
        <w:t>scheinen die Zahlungsdienstleister dieser Verpflichtung im Allgemeinen nachzukommen.</w:t>
      </w:r>
      <w:r w:rsidRPr="00474A07">
        <w:rPr>
          <w:rFonts w:ascii="Times New Roman" w:hAnsi="Times New Roman"/>
          <w:noProof/>
          <w:sz w:val="24"/>
          <w:lang w:val="de-DE"/>
        </w:rPr>
        <w:t xml:space="preserve"> Dies geht entweder aus Inspektionen vor Ort oder Erhebungen hervor (BG, FR, CY, LV, PT, SI) oder aus der Tatsache, dass diesbezüglich keine Beschwerden eingegangen sind, was darauf schließen lässt, dass die Zahlungsdienstleister der Verpflichtung im Allgemeinen nachzukommen scheinen (BE, CZ, DK, DE, EE, HR, IT, LT, LU, HU, MT, NL, AT, PL, SK, FI).</w:t>
      </w:r>
    </w:p>
    <w:p w14:paraId="2277F912" w14:textId="20DB374B" w:rsidR="00FA1AC8" w:rsidRPr="00474A07" w:rsidRDefault="00FA1AC8" w:rsidP="00FA1AC8">
      <w:pPr>
        <w:spacing w:line="240" w:lineRule="auto"/>
        <w:jc w:val="both"/>
        <w:rPr>
          <w:rFonts w:ascii="Times New Roman" w:eastAsia="Calibri" w:hAnsi="Times New Roman" w:cs="Times New Roman"/>
          <w:noProof/>
          <w:sz w:val="24"/>
          <w:lang w:val="de-DE"/>
        </w:rPr>
      </w:pPr>
      <w:bookmarkStart w:id="25" w:name="_Hlk115684756"/>
      <w:r w:rsidRPr="00474A07">
        <w:rPr>
          <w:rFonts w:ascii="Times New Roman" w:hAnsi="Times New Roman"/>
          <w:noProof/>
          <w:sz w:val="24"/>
          <w:lang w:val="de-DE"/>
        </w:rPr>
        <w:t xml:space="preserve">Was die </w:t>
      </w:r>
      <w:r w:rsidRPr="00474A07">
        <w:rPr>
          <w:rFonts w:ascii="Times New Roman" w:hAnsi="Times New Roman"/>
          <w:b/>
          <w:bCs/>
          <w:noProof/>
          <w:sz w:val="24"/>
          <w:lang w:val="de-DE"/>
        </w:rPr>
        <w:t>Einhaltung der Verpflichtung der Zahlungsdienstleister</w:t>
      </w:r>
      <w:r w:rsidRPr="00474A07">
        <w:rPr>
          <w:rFonts w:ascii="Times New Roman" w:hAnsi="Times New Roman"/>
          <w:noProof/>
          <w:sz w:val="24"/>
          <w:lang w:val="de-DE"/>
        </w:rPr>
        <w:t xml:space="preserve"> betrifft</w:t>
      </w:r>
      <w:r w:rsidRPr="00474A07">
        <w:rPr>
          <w:rFonts w:ascii="Times New Roman" w:hAnsi="Times New Roman"/>
          <w:b/>
          <w:noProof/>
          <w:sz w:val="24"/>
          <w:lang w:val="de-DE"/>
        </w:rPr>
        <w:t xml:space="preserve">, den Verbrauchern (einschließlich Nichtkunden) die Entgeltinformation und das Glossar </w:t>
      </w:r>
      <w:r w:rsidRPr="00474A07">
        <w:rPr>
          <w:rFonts w:ascii="Times New Roman" w:hAnsi="Times New Roman"/>
          <w:b/>
          <w:noProof/>
          <w:sz w:val="24"/>
          <w:lang w:val="de-DE"/>
        </w:rPr>
        <w:lastRenderedPageBreak/>
        <w:t xml:space="preserve">jederzeit auf ihrer Website und in ihren Geschäftsräumen zur Verfügung zu stellen (Artikel 4 Absatz 5), </w:t>
      </w:r>
      <w:r w:rsidRPr="00474A07">
        <w:rPr>
          <w:rFonts w:ascii="Times New Roman" w:hAnsi="Times New Roman"/>
          <w:noProof/>
          <w:sz w:val="24"/>
          <w:lang w:val="de-DE"/>
        </w:rPr>
        <w:t xml:space="preserve">so </w:t>
      </w:r>
      <w:r w:rsidRPr="00474A07">
        <w:rPr>
          <w:rFonts w:ascii="Times New Roman" w:hAnsi="Times New Roman"/>
          <w:noProof/>
          <w:sz w:val="24"/>
          <w:u w:val="single"/>
          <w:lang w:val="de-DE"/>
        </w:rPr>
        <w:t>scheinen die Zahlungsdienstleister dieser Verpflichtung im Allgemeinen nachzukommen.</w:t>
      </w:r>
      <w:r w:rsidRPr="00474A07">
        <w:rPr>
          <w:rFonts w:ascii="Times New Roman" w:hAnsi="Times New Roman"/>
          <w:noProof/>
          <w:sz w:val="24"/>
          <w:lang w:val="de-DE"/>
        </w:rPr>
        <w:t xml:space="preserve"> Dies geht entweder aus Inspektionen vor Ort oder Erhebungen hervor (BG, FR, CY, LV, PT, SI) oder aus der Tatsache, dass diesbezüglich keine Beschwerden eingegangen sind, was darauf schließen lässt, dass die Zahlungsdienstleister der Verpflichtung im Allgemeinen nachzukommen scheinen (BE, CZ, DK, DE, EE, HR, IT, LT, LU, HU, MT, NL, AT, PL, SK, FI).</w:t>
      </w:r>
    </w:p>
    <w:bookmarkEnd w:id="25"/>
    <w:p w14:paraId="6F9AF3D0" w14:textId="4A21D625" w:rsidR="00FA1AC8" w:rsidRPr="00CD2699" w:rsidRDefault="00FA1AC8" w:rsidP="00FA1AC8">
      <w:pPr>
        <w:numPr>
          <w:ilvl w:val="0"/>
          <w:numId w:val="2"/>
        </w:numPr>
        <w:spacing w:after="200" w:line="240" w:lineRule="auto"/>
        <w:contextualSpacing/>
        <w:jc w:val="both"/>
        <w:rPr>
          <w:rFonts w:ascii="Times New Roman" w:eastAsia="Calibri" w:hAnsi="Times New Roman" w:cs="Times New Roman"/>
          <w:b/>
          <w:noProof/>
          <w:sz w:val="24"/>
        </w:rPr>
      </w:pPr>
      <w:r>
        <w:rPr>
          <w:rFonts w:ascii="Times New Roman" w:hAnsi="Times New Roman"/>
          <w:b/>
          <w:noProof/>
          <w:sz w:val="24"/>
        </w:rPr>
        <w:t>Artikel 5 (Entgeltaufstellung)</w:t>
      </w:r>
    </w:p>
    <w:p w14:paraId="26886F52" w14:textId="414B808C" w:rsidR="00FA1AC8" w:rsidRPr="00474A07" w:rsidRDefault="00FA1AC8" w:rsidP="00FA1AC8">
      <w:pPr>
        <w:spacing w:after="200" w:line="240" w:lineRule="auto"/>
        <w:jc w:val="both"/>
        <w:rPr>
          <w:rFonts w:ascii="Times New Roman" w:hAnsi="Times New Roman"/>
          <w:noProof/>
          <w:sz w:val="24"/>
          <w:lang w:val="de-DE"/>
        </w:rPr>
      </w:pPr>
      <w:r w:rsidRPr="00474A07">
        <w:rPr>
          <w:rFonts w:ascii="Times New Roman" w:hAnsi="Times New Roman"/>
          <w:noProof/>
          <w:sz w:val="24"/>
          <w:lang w:val="de-DE"/>
        </w:rPr>
        <w:t>Artikel 5 enthält die Verpflichtung zur Bereitstellung der Entgeltaufstellung. Dementsprechend hat die Kommission eine Durchführungsverordnung</w:t>
      </w:r>
      <w:r>
        <w:rPr>
          <w:rStyle w:val="FootnoteReference"/>
          <w:noProof/>
        </w:rPr>
        <w:footnoteReference w:id="5"/>
      </w:r>
      <w:r w:rsidRPr="00474A07">
        <w:rPr>
          <w:rFonts w:ascii="Times New Roman" w:hAnsi="Times New Roman"/>
          <w:noProof/>
          <w:sz w:val="24"/>
          <w:lang w:val="de-DE"/>
        </w:rPr>
        <w:t xml:space="preserve"> erlassen, in der das standardisierte Format für die Präsentation der Entgeltaufstellung und des betreffenden gemeinsamen Symbols festgelegt ist. Nach Artikel 5 müssen die Zahlungsdienstleister den Verbrauchern mindestens einmal jährlich unentgeltlich eine Aufstellung sämtlicher Entgelte, die für die mit einem Zahlungskonto verbundenen Dienste angefallen sind, zur Verfügung stellen.</w:t>
      </w:r>
    </w:p>
    <w:p w14:paraId="5B2360E6" w14:textId="714897F1" w:rsidR="00FA1AC8" w:rsidRPr="00474A07" w:rsidRDefault="00FA1AC8" w:rsidP="00FA1AC8">
      <w:pPr>
        <w:spacing w:line="240" w:lineRule="auto"/>
        <w:jc w:val="both"/>
        <w:rPr>
          <w:rFonts w:ascii="Times New Roman" w:eastAsia="Calibri" w:hAnsi="Times New Roman" w:cs="Times New Roman"/>
          <w:noProof/>
          <w:sz w:val="24"/>
          <w:lang w:val="de-DE"/>
        </w:rPr>
      </w:pPr>
      <w:r w:rsidRPr="00474A07">
        <w:rPr>
          <w:rFonts w:ascii="Times New Roman" w:hAnsi="Times New Roman"/>
          <w:noProof/>
          <w:sz w:val="24"/>
          <w:lang w:val="de-DE"/>
        </w:rPr>
        <w:t xml:space="preserve">Was die </w:t>
      </w:r>
      <w:r w:rsidRPr="00474A07">
        <w:rPr>
          <w:rFonts w:ascii="Times New Roman" w:hAnsi="Times New Roman"/>
          <w:b/>
          <w:bCs/>
          <w:noProof/>
          <w:sz w:val="24"/>
          <w:lang w:val="de-DE"/>
        </w:rPr>
        <w:t>Einhaltung der Verpflichtung der Zahlungsdienstleister</w:t>
      </w:r>
      <w:r w:rsidRPr="00474A07">
        <w:rPr>
          <w:rFonts w:ascii="Times New Roman" w:hAnsi="Times New Roman"/>
          <w:noProof/>
          <w:sz w:val="24"/>
          <w:lang w:val="de-DE"/>
        </w:rPr>
        <w:t xml:space="preserve"> betrifft, </w:t>
      </w:r>
      <w:r w:rsidRPr="00474A07">
        <w:rPr>
          <w:rFonts w:ascii="Times New Roman" w:hAnsi="Times New Roman"/>
          <w:b/>
          <w:bCs/>
          <w:noProof/>
          <w:sz w:val="24"/>
          <w:lang w:val="de-DE"/>
        </w:rPr>
        <w:t>den Verbrauchern mindestens einmal jährlich unentgeltlich eine Aufstellung sämtlicher angefallener Entgelte zur Verfügung zu stellen</w:t>
      </w:r>
      <w:r w:rsidRPr="00474A07">
        <w:rPr>
          <w:rFonts w:ascii="Times New Roman" w:hAnsi="Times New Roman"/>
          <w:noProof/>
          <w:sz w:val="24"/>
          <w:lang w:val="de-DE"/>
        </w:rPr>
        <w:t xml:space="preserve"> </w:t>
      </w:r>
      <w:r w:rsidRPr="00474A07">
        <w:rPr>
          <w:rFonts w:ascii="Times New Roman" w:hAnsi="Times New Roman"/>
          <w:b/>
          <w:bCs/>
          <w:noProof/>
          <w:sz w:val="24"/>
          <w:lang w:val="de-DE"/>
        </w:rPr>
        <w:t>(Artikel 5 Absatz 1)</w:t>
      </w:r>
      <w:r w:rsidRPr="00474A07">
        <w:rPr>
          <w:rFonts w:ascii="Times New Roman" w:hAnsi="Times New Roman"/>
          <w:noProof/>
          <w:sz w:val="24"/>
          <w:lang w:val="de-DE"/>
        </w:rPr>
        <w:t xml:space="preserve">, so </w:t>
      </w:r>
      <w:r w:rsidRPr="00474A07">
        <w:rPr>
          <w:rFonts w:ascii="Times New Roman" w:hAnsi="Times New Roman"/>
          <w:noProof/>
          <w:sz w:val="24"/>
          <w:u w:val="single"/>
          <w:lang w:val="de-DE"/>
        </w:rPr>
        <w:t>scheinen die Zahlungsdienstleister dieser Verpflichtung im Allgemeinen nachzukommen</w:t>
      </w:r>
      <w:r w:rsidRPr="00474A07">
        <w:rPr>
          <w:rFonts w:ascii="Times New Roman" w:hAnsi="Times New Roman"/>
          <w:noProof/>
          <w:sz w:val="24"/>
          <w:lang w:val="de-DE"/>
        </w:rPr>
        <w:t>. Dies geht entweder aus Inspektionen vor Ort oder Erhebungen hervor (AT, SI) oder aus der Tatsache, dass diesbezüglich keine Beschwerden eingegangen sind, was darauf schließen lässt, dass die Zahlungsdienstleister der Verpflichtung im Allgemeinen nachzukommen scheinen (BE, BG, CZ, DK, DE, EE, IE, EL, FR, HR, IT, CY, LV, LT, LU, HU, MT, NL, PL, SK, FI).</w:t>
      </w:r>
    </w:p>
    <w:p w14:paraId="774935A9" w14:textId="24A9D18B" w:rsidR="00FA1AC8" w:rsidRPr="00474A07" w:rsidRDefault="00FA1AC8" w:rsidP="00FA1AC8">
      <w:pPr>
        <w:spacing w:line="240" w:lineRule="auto"/>
        <w:jc w:val="both"/>
        <w:rPr>
          <w:rFonts w:ascii="Times New Roman" w:eastAsia="Calibri" w:hAnsi="Times New Roman" w:cs="Times New Roman"/>
          <w:noProof/>
          <w:sz w:val="24"/>
          <w:lang w:val="de-DE"/>
        </w:rPr>
      </w:pPr>
      <w:r w:rsidRPr="00474A07">
        <w:rPr>
          <w:rFonts w:ascii="Times New Roman" w:hAnsi="Times New Roman"/>
          <w:noProof/>
          <w:sz w:val="24"/>
          <w:lang w:val="de-DE"/>
        </w:rPr>
        <w:t xml:space="preserve">Die meisten Mitgliedstaaten haben der Kommission mitgeteilt, dass </w:t>
      </w:r>
      <w:r w:rsidRPr="00474A07">
        <w:rPr>
          <w:rFonts w:ascii="Times New Roman" w:hAnsi="Times New Roman"/>
          <w:b/>
          <w:bCs/>
          <w:noProof/>
          <w:sz w:val="24"/>
          <w:lang w:val="de-DE"/>
        </w:rPr>
        <w:t>keine Durchsetzungsmaßnahmen aufgrund von Verstößen gegen Artikel 5 ergriffen wurden</w:t>
      </w:r>
      <w:r w:rsidRPr="00474A07">
        <w:rPr>
          <w:rFonts w:ascii="Times New Roman" w:hAnsi="Times New Roman"/>
          <w:noProof/>
          <w:sz w:val="24"/>
          <w:lang w:val="de-DE"/>
        </w:rPr>
        <w:t>.</w:t>
      </w:r>
      <w:r w:rsidRPr="00474A07">
        <w:rPr>
          <w:rFonts w:ascii="Times New Roman" w:hAnsi="Times New Roman"/>
          <w:b/>
          <w:noProof/>
          <w:sz w:val="24"/>
          <w:lang w:val="de-DE"/>
        </w:rPr>
        <w:t xml:space="preserve"> </w:t>
      </w:r>
      <w:r w:rsidRPr="00474A07">
        <w:rPr>
          <w:rFonts w:ascii="Times New Roman" w:hAnsi="Times New Roman"/>
          <w:b/>
          <w:bCs/>
          <w:noProof/>
          <w:sz w:val="24"/>
          <w:lang w:val="de-DE"/>
        </w:rPr>
        <w:t>Einige Mitgliedstaaten</w:t>
      </w:r>
      <w:r w:rsidRPr="00474A07">
        <w:rPr>
          <w:rFonts w:ascii="Times New Roman" w:hAnsi="Times New Roman"/>
          <w:noProof/>
          <w:sz w:val="24"/>
          <w:lang w:val="de-DE"/>
        </w:rPr>
        <w:t xml:space="preserve"> (DE, IE, FR, HU, NL) haben jedoch auf Anlaufschwierigkeiten im Zusammenhang mit dem Datum der Umsetzung hingewiesen. In diesen Fällen wurden Warnungen bezüglich des Verbraucherschutzes an die betreffenden Zahlungsdienstleister übermittelt, in denen die unverzügliche Einhaltung der gesetzlichen Bestimmungen gefordert wurde. Irland erklärte, dass zwar einige Kreditinstitute im Privatkundengeschäft aufgrund von system- bzw. IT-bedingten Einschränkungen Probleme gehabt hätten, die Frist zum 31. Oktober 2019 einzuhalten, dass jedoch Ausweichlösungen gefunden und Systemkorrekturen vorgenommen worden seien und somit bisher keine Durchsetzungsmaßnahmen ergriffen worden seien. Die Niederlande erklärten, dass man sich für eine informelle Zusammenarbeit mit den Zahlungsdienstleistern entschieden (und keine formellen Durchsetzungsmaßnahmen ergriffen) habe. Portugal übermittelte im Jahr 2019 227 spezifische Anordnungen an 115 Zahlungsdienstleister wegen Nichteinhaltung von Artikel 5; die festgestellten Unregelmäßigkeiten und Verstöße betrafen hauptsächlich die Vorschriften betreffend die Aushändigung der Entgeltaufstellung sowie die Anforderungen in Bezug auf das entsprechende Muster und das Ausfüllen. Die Tschechische Republik erklärte, dass eine Filiale einer ausländischen Bank es 2019 versäumt habe, den Verbrauchern die Entgeltaufstellung bis Ende Februar zu übermitteln; der Grund hierfür seien technische Schwierigkeiten gewesen. Anfang Juli, als die tschechische Nationalbank entsprechende </w:t>
      </w:r>
      <w:r w:rsidRPr="00474A07">
        <w:rPr>
          <w:rFonts w:ascii="Times New Roman" w:hAnsi="Times New Roman"/>
          <w:noProof/>
          <w:sz w:val="24"/>
          <w:lang w:val="de-DE"/>
        </w:rPr>
        <w:lastRenderedPageBreak/>
        <w:t>Untersuchungen durchgeführt habe, sei die Entgeltaufstellung an alle Kunden dieser Filiale übermittelt worden.</w:t>
      </w:r>
    </w:p>
    <w:p w14:paraId="4E9C99FE" w14:textId="21D88A2E" w:rsidR="00FA1AC8" w:rsidRPr="00CD2699" w:rsidRDefault="00FA1AC8" w:rsidP="00FA1AC8">
      <w:pPr>
        <w:numPr>
          <w:ilvl w:val="0"/>
          <w:numId w:val="2"/>
        </w:numPr>
        <w:spacing w:after="200" w:line="240" w:lineRule="auto"/>
        <w:contextualSpacing/>
        <w:jc w:val="both"/>
        <w:rPr>
          <w:rFonts w:ascii="Times New Roman" w:eastAsia="Calibri" w:hAnsi="Times New Roman" w:cs="Times New Roman"/>
          <w:b/>
          <w:noProof/>
          <w:sz w:val="24"/>
        </w:rPr>
      </w:pPr>
      <w:r>
        <w:rPr>
          <w:rFonts w:ascii="Times New Roman" w:hAnsi="Times New Roman"/>
          <w:b/>
          <w:noProof/>
          <w:sz w:val="24"/>
          <w14:textOutline w14:w="9525" w14:cap="flat" w14:cmpd="sng" w14:algn="ctr">
            <w14:noFill/>
            <w14:prstDash w14:val="solid"/>
            <w14:round/>
          </w14:textOutline>
        </w:rPr>
        <w:t>Artikel 6: Informationen für Verbraucher</w:t>
      </w:r>
    </w:p>
    <w:p w14:paraId="68CC7A04" w14:textId="253D6E23" w:rsidR="00FA1AC8" w:rsidRPr="00474A07" w:rsidRDefault="00FA1AC8" w:rsidP="00FA1AC8">
      <w:pPr>
        <w:spacing w:line="240" w:lineRule="auto"/>
        <w:jc w:val="both"/>
        <w:rPr>
          <w:rFonts w:ascii="Times New Roman" w:eastAsia="Calibri" w:hAnsi="Times New Roman" w:cs="Times New Roman"/>
          <w:noProof/>
          <w:sz w:val="24"/>
          <w:lang w:val="de-DE"/>
        </w:rPr>
      </w:pPr>
      <w:r w:rsidRPr="00474A07">
        <w:rPr>
          <w:rFonts w:ascii="Times New Roman" w:hAnsi="Times New Roman"/>
          <w:noProof/>
          <w:sz w:val="24"/>
          <w:lang w:val="de-DE"/>
        </w:rPr>
        <w:t>Gemäß Artikel 6 sind die Zahlungsdienstleister verpflichtet, in ihren Vertrags-, Geschäfts- und Marketinginformationen für Verbraucher gegebenenfalls die standardisierten Begriffe zu verwenden. Zahlungsdienstleister können in der Entgeltinformation und in der Entgeltaufstellung firmeneigene Produktbezeichnungen unter der Voraussetzung verwenden, dass diese firmeneigenen Produktbezeichnungen eine untergeordnete Bezeichnung für diese Dienste darstellen.</w:t>
      </w:r>
    </w:p>
    <w:p w14:paraId="0771D601" w14:textId="1D4658E0" w:rsidR="00FA1AC8" w:rsidRPr="00474A07" w:rsidRDefault="00FA1AC8" w:rsidP="00FA1AC8">
      <w:pPr>
        <w:spacing w:line="240" w:lineRule="auto"/>
        <w:jc w:val="both"/>
        <w:rPr>
          <w:rFonts w:ascii="Times New Roman" w:eastAsia="Calibri" w:hAnsi="Times New Roman" w:cs="Times New Roman"/>
          <w:noProof/>
          <w:sz w:val="24"/>
          <w:lang w:val="de-DE"/>
        </w:rPr>
      </w:pPr>
      <w:r w:rsidRPr="00474A07">
        <w:rPr>
          <w:rFonts w:ascii="Times New Roman" w:hAnsi="Times New Roman"/>
          <w:noProof/>
          <w:sz w:val="24"/>
          <w:lang w:val="de-DE"/>
        </w:rPr>
        <w:t xml:space="preserve">Was die </w:t>
      </w:r>
      <w:r w:rsidRPr="00474A07">
        <w:rPr>
          <w:rFonts w:ascii="Times New Roman" w:hAnsi="Times New Roman"/>
          <w:b/>
          <w:bCs/>
          <w:noProof/>
          <w:sz w:val="24"/>
          <w:lang w:val="de-DE"/>
        </w:rPr>
        <w:t>Einhaltung der Verpflichtung der Zahlungsdienstleister</w:t>
      </w:r>
      <w:r w:rsidRPr="00474A07">
        <w:rPr>
          <w:rFonts w:ascii="Times New Roman" w:hAnsi="Times New Roman"/>
          <w:noProof/>
          <w:sz w:val="24"/>
          <w:lang w:val="de-DE"/>
        </w:rPr>
        <w:t xml:space="preserve"> betrifft,</w:t>
      </w:r>
      <w:r w:rsidRPr="00474A07">
        <w:rPr>
          <w:rFonts w:ascii="Times New Roman" w:hAnsi="Times New Roman"/>
          <w:b/>
          <w:bCs/>
          <w:noProof/>
          <w:sz w:val="24"/>
          <w:lang w:val="de-DE"/>
        </w:rPr>
        <w:t xml:space="preserve"> in ihren Vertrags-, Geschäfts- und Marketinginformationen für Verbraucher die standardisierten Begriffe zu verwenden (Artikel 6 Absatz 1)</w:t>
      </w:r>
      <w:r w:rsidRPr="00474A07">
        <w:rPr>
          <w:rFonts w:ascii="Times New Roman" w:hAnsi="Times New Roman"/>
          <w:noProof/>
          <w:sz w:val="24"/>
          <w:lang w:val="de-DE"/>
        </w:rPr>
        <w:t xml:space="preserve">, so </w:t>
      </w:r>
      <w:r w:rsidRPr="00474A07">
        <w:rPr>
          <w:rFonts w:ascii="Times New Roman" w:hAnsi="Times New Roman"/>
          <w:noProof/>
          <w:sz w:val="24"/>
          <w:u w:val="single"/>
          <w:lang w:val="de-DE"/>
        </w:rPr>
        <w:t>scheinen die Zahlungsdienstleister dieser Verpflichtung im Allgemeinen nachzukommen</w:t>
      </w:r>
      <w:r w:rsidRPr="00474A07">
        <w:rPr>
          <w:rFonts w:ascii="Times New Roman" w:hAnsi="Times New Roman"/>
          <w:noProof/>
          <w:sz w:val="24"/>
          <w:lang w:val="de-DE"/>
        </w:rPr>
        <w:t>. Dies geht entweder aus Inspektionen vor Ort oder Erhebungen hervor (CY) oder aus der Tatsache, dass keine diesbezüglichen Beschwerden eingegangen sind (BE, BG, CZ, DK, DE, EE, EL, FR, HR, LV, LT, LU, HU, MT, NL, AT, PL, SI, SK, FI). Zypern erklärte, dass im Rahmen der diesbezüglichen Erhebung nur zwei Banken angegeben hätten, dass die Arbeiten noch nicht abgeschlossen seien und sie die Anforderungen nach Artikel 6 voraussichtlich bis Ende 2022 vollumfänglich erfüllen würden.</w:t>
      </w:r>
    </w:p>
    <w:p w14:paraId="352BA314" w14:textId="12A1402A" w:rsidR="00FA1AC8" w:rsidRPr="00474A07" w:rsidRDefault="00FA1AC8" w:rsidP="00FA1AC8">
      <w:pPr>
        <w:spacing w:line="240" w:lineRule="auto"/>
        <w:jc w:val="both"/>
        <w:rPr>
          <w:rFonts w:ascii="Times New Roman" w:eastAsia="Calibri" w:hAnsi="Times New Roman" w:cs="Times New Roman"/>
          <w:noProof/>
          <w:sz w:val="24"/>
          <w:lang w:val="de-DE"/>
        </w:rPr>
      </w:pPr>
      <w:r w:rsidRPr="00474A07">
        <w:rPr>
          <w:rFonts w:ascii="Times New Roman" w:hAnsi="Times New Roman"/>
          <w:noProof/>
          <w:sz w:val="24"/>
          <w:lang w:val="de-DE"/>
        </w:rPr>
        <w:t xml:space="preserve">Hinsichtlich der Frage, </w:t>
      </w:r>
      <w:r w:rsidRPr="00474A07">
        <w:rPr>
          <w:rFonts w:ascii="Times New Roman" w:hAnsi="Times New Roman"/>
          <w:b/>
          <w:bCs/>
          <w:noProof/>
          <w:sz w:val="24"/>
          <w:lang w:val="de-DE"/>
        </w:rPr>
        <w:t>wie häufig die Zahlungsdienstleister firmeneigene Produktbezeichnungen in der Entgeltinformation und in der Entgeltaufstellung verwenden,</w:t>
      </w:r>
      <w:r w:rsidRPr="00474A07">
        <w:rPr>
          <w:rFonts w:ascii="Times New Roman" w:hAnsi="Times New Roman"/>
          <w:noProof/>
          <w:sz w:val="24"/>
          <w:lang w:val="de-DE"/>
        </w:rPr>
        <w:t xml:space="preserve"> zeigt sich, </w:t>
      </w:r>
      <w:r w:rsidRPr="00474A07">
        <w:rPr>
          <w:rFonts w:ascii="Times New Roman" w:hAnsi="Times New Roman"/>
          <w:noProof/>
          <w:sz w:val="24"/>
          <w:u w:val="single"/>
          <w:lang w:val="de-DE"/>
        </w:rPr>
        <w:t>dass die Zahlungsdienstleister firmeneigene Produktbezeichnungen im Allgemeinen recht häufig verwenden</w:t>
      </w:r>
      <w:r w:rsidRPr="00474A07">
        <w:rPr>
          <w:rFonts w:ascii="Times New Roman" w:hAnsi="Times New Roman"/>
          <w:noProof/>
          <w:sz w:val="24"/>
          <w:lang w:val="de-DE"/>
        </w:rPr>
        <w:t>.</w:t>
      </w:r>
    </w:p>
    <w:p w14:paraId="661C1160" w14:textId="012B00A8" w:rsidR="00FA1AC8" w:rsidRPr="00474A07" w:rsidRDefault="00FA1AC8" w:rsidP="00FA1AC8">
      <w:pPr>
        <w:spacing w:line="240" w:lineRule="auto"/>
        <w:jc w:val="both"/>
        <w:rPr>
          <w:rFonts w:ascii="Times New Roman" w:eastAsia="Calibri" w:hAnsi="Times New Roman" w:cs="Times New Roman"/>
          <w:noProof/>
          <w:sz w:val="24"/>
          <w:lang w:val="de-DE"/>
        </w:rPr>
      </w:pPr>
      <w:r w:rsidRPr="00474A07">
        <w:rPr>
          <w:rFonts w:ascii="Times New Roman" w:hAnsi="Times New Roman"/>
          <w:noProof/>
          <w:sz w:val="24"/>
          <w:lang w:val="de-DE"/>
        </w:rPr>
        <w:t xml:space="preserve">Was </w:t>
      </w:r>
      <w:r w:rsidRPr="00474A07">
        <w:rPr>
          <w:rFonts w:ascii="Times New Roman" w:hAnsi="Times New Roman"/>
          <w:b/>
          <w:bCs/>
          <w:noProof/>
          <w:sz w:val="24"/>
          <w:lang w:val="de-DE"/>
        </w:rPr>
        <w:t>mögliche Durchsetzungsmaßnahmen aufgrund von Verstößen gegen Artikel 6 der Richtlinie</w:t>
      </w:r>
      <w:r w:rsidRPr="00474A07">
        <w:rPr>
          <w:rFonts w:ascii="Times New Roman" w:hAnsi="Times New Roman"/>
          <w:noProof/>
          <w:sz w:val="24"/>
          <w:lang w:val="de-DE"/>
        </w:rPr>
        <w:t xml:space="preserve"> betrifft, so </w:t>
      </w:r>
      <w:r w:rsidRPr="00474A07">
        <w:rPr>
          <w:rFonts w:ascii="Times New Roman" w:hAnsi="Times New Roman"/>
          <w:noProof/>
          <w:sz w:val="24"/>
          <w:u w:val="single"/>
          <w:lang w:val="de-DE"/>
        </w:rPr>
        <w:t>gaben alle Mitgliedstaaten, die diese Frage beantworteten, an, dass keine derartigen Durchsetzungsmaßnahmen ergriffen worden seien</w:t>
      </w:r>
      <w:r w:rsidRPr="00474A07">
        <w:rPr>
          <w:rFonts w:ascii="Times New Roman" w:hAnsi="Times New Roman"/>
          <w:noProof/>
          <w:sz w:val="24"/>
          <w:lang w:val="de-DE"/>
        </w:rPr>
        <w:t>. Frankreich erklärte, dass geringfügige Unregelmäßigkeiten festgestellt worden seien (z. B. die Verwendung nicht standardisierter Begriffe, die Verwendung unterschiedlicher Begriffe für denselben Dienst in verschiedenen Dokumenten usw.), die zu Verwirrung bei den Kunden führen könnten. Es seien jedoch keine Sanktionen verhängt worden, da diese Verstöße als unwesentlich angesehen worden seien.</w:t>
      </w:r>
    </w:p>
    <w:p w14:paraId="17932938" w14:textId="7B84857B" w:rsidR="00FA1AC8" w:rsidRPr="00474A07" w:rsidRDefault="00FA1AC8" w:rsidP="00FA1AC8">
      <w:pPr>
        <w:keepNext/>
        <w:keepLines/>
        <w:numPr>
          <w:ilvl w:val="0"/>
          <w:numId w:val="1"/>
        </w:numPr>
        <w:spacing w:after="0" w:line="240" w:lineRule="auto"/>
        <w:jc w:val="both"/>
        <w:outlineLvl w:val="0"/>
        <w:rPr>
          <w:rFonts w:ascii="Times New Roman" w:eastAsia="Times New Roman" w:hAnsi="Times New Roman" w:cs="Times New Roman"/>
          <w:b/>
          <w:noProof/>
          <w:sz w:val="24"/>
          <w:lang w:val="de-DE"/>
        </w:rPr>
      </w:pPr>
      <w:bookmarkStart w:id="26" w:name="_Toc67511946"/>
      <w:bookmarkStart w:id="27" w:name="_Toc129956458"/>
      <w:r w:rsidRPr="00474A07">
        <w:rPr>
          <w:rFonts w:ascii="Times New Roman" w:hAnsi="Times New Roman"/>
          <w:b/>
          <w:noProof/>
          <w:sz w:val="24"/>
          <w:lang w:val="de-DE"/>
        </w:rPr>
        <w:t>EINHALTUNG DER ANFORDERUNGEN ZUR SICHERSTELLUNG DES BESTEHENS VON VERGLEICHSWEBSITES GEMÄSS ARTIKEL 7 DURCH DIE MITGLIEDSTAATEN</w:t>
      </w:r>
      <w:bookmarkEnd w:id="26"/>
      <w:bookmarkEnd w:id="27"/>
    </w:p>
    <w:p w14:paraId="03A0F794" w14:textId="77777777" w:rsidR="00FA1AC8" w:rsidRPr="00474A07" w:rsidRDefault="00FA1AC8" w:rsidP="00FA1AC8">
      <w:pPr>
        <w:spacing w:after="200" w:line="240" w:lineRule="auto"/>
        <w:contextualSpacing/>
        <w:jc w:val="both"/>
        <w:rPr>
          <w:rFonts w:ascii="Times New Roman" w:eastAsia="Calibri" w:hAnsi="Times New Roman" w:cs="Times New Roman"/>
          <w:noProof/>
          <w:sz w:val="24"/>
          <w:lang w:val="de-DE"/>
        </w:rPr>
      </w:pPr>
    </w:p>
    <w:p w14:paraId="51469F03" w14:textId="28B6F9E5" w:rsidR="00FA1AC8" w:rsidRPr="00474A07" w:rsidRDefault="00CD2699" w:rsidP="00FA1AC8">
      <w:pPr>
        <w:spacing w:after="200" w:line="240" w:lineRule="auto"/>
        <w:contextualSpacing/>
        <w:jc w:val="both"/>
        <w:rPr>
          <w:rFonts w:ascii="Times New Roman" w:eastAsia="Calibri" w:hAnsi="Times New Roman" w:cs="Times New Roman"/>
          <w:noProof/>
          <w:sz w:val="24"/>
          <w:lang w:val="de-DE"/>
        </w:rPr>
      </w:pPr>
      <w:r w:rsidRPr="00474A07">
        <w:rPr>
          <w:rFonts w:ascii="Times New Roman" w:hAnsi="Times New Roman"/>
          <w:noProof/>
          <w:sz w:val="24"/>
          <w:lang w:val="de-DE"/>
        </w:rPr>
        <w:t>Nach Artikel 7 sind die Mitgliedstaaten verpflichtet, sicherzustellen, dass die Verbraucher entgeltfreien Zugang zu mindestens einer Website haben, die einen Vergleich der Entgelte ermöglicht, die von Zahlungsdienstleistern für zumindest die Dienste berechnet werden, die in der nationalen Liste der repräsentativsten entgeltpflichtigen mit einem Zahlungskonto verbundenen Dienste aufgeführt sind. Ferner ist in dem Artikel vorgesehen, dass Vergleichswebsites sowohl von privaten Anbietern als auch von staatlichen Stellen betrieben werden können und dass sie auf unabhängige Weise betrieben werden müssen. Zudem müssen diese Websites die Identität ihrer Inhaber offenlegen; klare, objektive Kriterien enthalten, auf die sich der Vergleich stützt; eine leicht verständliche und eindeutige Sprache verwenden; auf dem neuesten Stand sein, einen wesentlichen Teil des Marktes abdecken und ein wirksames Verfahren für die Meldung unrichtiger Informationen über veröffentlichte Entgelte vorsehen.</w:t>
      </w:r>
    </w:p>
    <w:p w14:paraId="1D4F236A" w14:textId="77777777" w:rsidR="00FA1AC8" w:rsidRPr="00474A07" w:rsidRDefault="00FA1AC8" w:rsidP="00FA1AC8">
      <w:pPr>
        <w:spacing w:after="200" w:line="240" w:lineRule="auto"/>
        <w:contextualSpacing/>
        <w:jc w:val="both"/>
        <w:rPr>
          <w:rFonts w:ascii="Times New Roman" w:eastAsia="Calibri" w:hAnsi="Times New Roman" w:cs="Times New Roman"/>
          <w:noProof/>
          <w:sz w:val="24"/>
          <w:lang w:val="de-DE"/>
        </w:rPr>
      </w:pPr>
    </w:p>
    <w:p w14:paraId="000E4D83" w14:textId="04DFA5E3" w:rsidR="00FA1AC8" w:rsidRPr="00474A07" w:rsidRDefault="00FA1AC8" w:rsidP="00FA1AC8">
      <w:pPr>
        <w:spacing w:after="200" w:line="240" w:lineRule="auto"/>
        <w:contextualSpacing/>
        <w:jc w:val="both"/>
        <w:rPr>
          <w:rFonts w:ascii="Times New Roman" w:eastAsia="Calibri" w:hAnsi="Times New Roman" w:cs="Times New Roman"/>
          <w:noProof/>
          <w:sz w:val="24"/>
          <w:lang w:val="de-DE"/>
        </w:rPr>
      </w:pPr>
      <w:r w:rsidRPr="00474A07">
        <w:rPr>
          <w:rFonts w:ascii="Times New Roman" w:hAnsi="Times New Roman"/>
          <w:noProof/>
          <w:sz w:val="24"/>
          <w:lang w:val="de-DE"/>
        </w:rPr>
        <w:t>Zum Januar 2021 verfügten nahezu alle Mitgliedstaaten</w:t>
      </w:r>
      <w:r>
        <w:rPr>
          <w:rStyle w:val="FootnoteReference"/>
          <w:noProof/>
        </w:rPr>
        <w:footnoteReference w:id="6"/>
      </w:r>
      <w:r w:rsidRPr="00474A07">
        <w:rPr>
          <w:rFonts w:ascii="Times New Roman" w:hAnsi="Times New Roman"/>
          <w:noProof/>
          <w:sz w:val="24"/>
          <w:lang w:val="de-DE"/>
        </w:rPr>
        <w:t xml:space="preserve"> über mindestens eine funktionierende Vergleichswebsite entsprechend den Anforderungen von Artikel 7. In der überwiegenden Mehrheit der Mitgliedstaaten wurde eine staatliche Stelle mit der Erstellung und anschließenden Aktualisierung der Tabelle beauftragt.</w:t>
      </w:r>
      <w:r>
        <w:rPr>
          <w:rStyle w:val="FootnoteReference"/>
          <w:noProof/>
        </w:rPr>
        <w:footnoteReference w:id="7"/>
      </w:r>
    </w:p>
    <w:p w14:paraId="3FC05050" w14:textId="77777777" w:rsidR="00FA1AC8" w:rsidRPr="00474A07" w:rsidRDefault="00FA1AC8" w:rsidP="00FA1AC8">
      <w:pPr>
        <w:spacing w:after="200" w:line="240" w:lineRule="auto"/>
        <w:contextualSpacing/>
        <w:jc w:val="both"/>
        <w:rPr>
          <w:rFonts w:ascii="Times New Roman" w:eastAsia="Calibri" w:hAnsi="Times New Roman" w:cs="Times New Roman"/>
          <w:noProof/>
          <w:sz w:val="24"/>
          <w:lang w:val="de-DE"/>
        </w:rPr>
      </w:pPr>
    </w:p>
    <w:p w14:paraId="4FD5EFF8" w14:textId="77777777" w:rsidR="00FA1AC8" w:rsidRPr="00474A07" w:rsidRDefault="00FA1AC8" w:rsidP="00FA1AC8">
      <w:pPr>
        <w:keepNext/>
        <w:keepLines/>
        <w:numPr>
          <w:ilvl w:val="0"/>
          <w:numId w:val="1"/>
        </w:numPr>
        <w:spacing w:after="0" w:line="240" w:lineRule="auto"/>
        <w:jc w:val="both"/>
        <w:outlineLvl w:val="0"/>
        <w:rPr>
          <w:rFonts w:ascii="Times New Roman" w:eastAsia="Times New Roman" w:hAnsi="Times New Roman" w:cs="Times New Roman"/>
          <w:b/>
          <w:noProof/>
          <w:sz w:val="24"/>
          <w:lang w:val="de-DE"/>
        </w:rPr>
      </w:pPr>
      <w:bookmarkStart w:id="28" w:name="_Toc67511947"/>
      <w:bookmarkStart w:id="29" w:name="_Toc129956459"/>
      <w:r w:rsidRPr="00474A07">
        <w:rPr>
          <w:rFonts w:ascii="Times New Roman" w:hAnsi="Times New Roman"/>
          <w:b/>
          <w:noProof/>
          <w:sz w:val="24"/>
          <w:lang w:val="de-DE"/>
        </w:rPr>
        <w:t>ANZAHL DER VORGENOMMENEN ZAHLUNGSKONTOWECHSEL UND ANTEIL DER ABGELEHNTEN ANTRÄGE AUF WECHSEL</w:t>
      </w:r>
      <w:bookmarkEnd w:id="28"/>
      <w:bookmarkEnd w:id="29"/>
    </w:p>
    <w:p w14:paraId="5D63DB94" w14:textId="77777777" w:rsidR="00FA1AC8" w:rsidRPr="00474A07" w:rsidRDefault="00FA1AC8" w:rsidP="00FA1AC8">
      <w:pPr>
        <w:spacing w:after="0" w:line="240" w:lineRule="auto"/>
        <w:rPr>
          <w:rFonts w:ascii="Times New Roman" w:eastAsia="Calibri" w:hAnsi="Times New Roman" w:cs="Times New Roman"/>
          <w:noProof/>
          <w:lang w:val="de-DE"/>
        </w:rPr>
      </w:pPr>
    </w:p>
    <w:p w14:paraId="5AEB987A" w14:textId="3F5228B5" w:rsidR="00FA1AC8" w:rsidRDefault="00FA1AC8" w:rsidP="00332118">
      <w:pPr>
        <w:numPr>
          <w:ilvl w:val="0"/>
          <w:numId w:val="4"/>
        </w:numPr>
        <w:spacing w:after="360" w:line="240" w:lineRule="auto"/>
        <w:ind w:left="357" w:hanging="357"/>
        <w:contextualSpacing/>
        <w:jc w:val="both"/>
        <w:rPr>
          <w:rFonts w:ascii="Times New Roman" w:eastAsia="Calibri" w:hAnsi="Times New Roman" w:cs="Times New Roman"/>
          <w:b/>
          <w:noProof/>
          <w:sz w:val="24"/>
        </w:rPr>
      </w:pPr>
      <w:r>
        <w:rPr>
          <w:rFonts w:ascii="Times New Roman" w:hAnsi="Times New Roman"/>
          <w:b/>
          <w:noProof/>
          <w:sz w:val="24"/>
        </w:rPr>
        <w:t>Vorgenommene Zahlungskontowechsel</w:t>
      </w:r>
    </w:p>
    <w:p w14:paraId="4DF06C50" w14:textId="77777777" w:rsidR="00332118" w:rsidRDefault="00332118" w:rsidP="00332118">
      <w:pPr>
        <w:spacing w:after="360" w:line="240" w:lineRule="auto"/>
        <w:ind w:left="357"/>
        <w:contextualSpacing/>
        <w:jc w:val="both"/>
        <w:rPr>
          <w:rFonts w:ascii="Times New Roman" w:eastAsia="Calibri" w:hAnsi="Times New Roman" w:cs="Times New Roman"/>
          <w:b/>
          <w:noProof/>
          <w:sz w:val="24"/>
        </w:rPr>
      </w:pPr>
    </w:p>
    <w:p w14:paraId="077DDFCA" w14:textId="0A90821D" w:rsidR="005E550E" w:rsidRPr="00474A07" w:rsidRDefault="005E550E" w:rsidP="005E550E">
      <w:pPr>
        <w:spacing w:before="240" w:after="0" w:line="240" w:lineRule="auto"/>
        <w:jc w:val="both"/>
        <w:rPr>
          <w:rFonts w:ascii="Times New Roman" w:eastAsia="Calibri" w:hAnsi="Times New Roman" w:cs="Times New Roman"/>
          <w:noProof/>
          <w:sz w:val="24"/>
          <w:lang w:val="de-DE"/>
        </w:rPr>
      </w:pPr>
      <w:r w:rsidRPr="00474A07">
        <w:rPr>
          <w:rFonts w:ascii="Times New Roman" w:hAnsi="Times New Roman"/>
          <w:noProof/>
          <w:sz w:val="24"/>
          <w:lang w:val="de-DE"/>
        </w:rPr>
        <w:t xml:space="preserve">Um den Wechsel von Zahlungskonten zu erleichtern, wurden die Mitgliedstaaten durch Artikel 10 der Richtlinie verpflichtet, sicherzustellen, dass die Zahlungsdienstleister einen klaren und schnellen Service für den Kontowechsel innerhalb des jeweiligen Mitgliedstaats bereitstellen.  </w:t>
      </w:r>
    </w:p>
    <w:p w14:paraId="02FEFEC9" w14:textId="5AE3181D" w:rsidR="005E550E" w:rsidRPr="00474A07" w:rsidRDefault="005E550E" w:rsidP="005E550E">
      <w:pPr>
        <w:spacing w:before="240" w:after="0" w:line="240" w:lineRule="auto"/>
        <w:jc w:val="both"/>
        <w:rPr>
          <w:rFonts w:ascii="Times New Roman" w:eastAsia="Calibri" w:hAnsi="Times New Roman" w:cs="Times New Roman"/>
          <w:noProof/>
          <w:sz w:val="24"/>
          <w:lang w:val="de-DE"/>
        </w:rPr>
      </w:pPr>
      <w:r w:rsidRPr="00474A07">
        <w:rPr>
          <w:rFonts w:ascii="Times New Roman" w:hAnsi="Times New Roman"/>
          <w:noProof/>
          <w:sz w:val="24"/>
          <w:lang w:val="de-DE"/>
        </w:rPr>
        <w:t>Die nachstehende Tabelle enthält die von den Mitgliedstaaten übermittelten Informationen über die Anzahl der Zahlungskontowechsel, die im Zeitraum zwischen 2016 und 2021 vorgenommenen wurden. Da nicht alle Informationen in allen Mitgliedstaaten zur Verfügung stehen, weist die Tabelle gewisse Lücken auf. Insbesondere die Daten für 2021 waren zum Zeitpunkt der Erhebung noch nicht für alle Mitgliedstaaten verfügbar. Auch kann es sein, dass aufgrund der verspäteten Umsetzung in einigen Mitgliedstaaten in den Jahren 2016 oder 2017 noch kein Kontowechsel-Service zur Verfügung stand oder die Daten für diese Jahre nicht erhoben wurden. Außerdem wurden in einigen Mitgliedstaaten die Daten nicht immer auf jährlicher Basis, sondern über einen längeren Zeitraum erhoben.</w:t>
      </w:r>
    </w:p>
    <w:p w14:paraId="5AFFB45F" w14:textId="77777777" w:rsidR="00014E41" w:rsidRPr="00474A07" w:rsidRDefault="00014E41" w:rsidP="00014E41">
      <w:pPr>
        <w:spacing w:before="240" w:after="0" w:line="240" w:lineRule="auto"/>
        <w:jc w:val="both"/>
        <w:rPr>
          <w:rFonts w:ascii="Times New Roman" w:hAnsi="Times New Roman"/>
          <w:noProof/>
          <w:sz w:val="24"/>
          <w:lang w:val="de-DE"/>
        </w:rPr>
      </w:pPr>
      <w:r w:rsidRPr="00474A07">
        <w:rPr>
          <w:rFonts w:ascii="Times New Roman" w:hAnsi="Times New Roman"/>
          <w:noProof/>
          <w:sz w:val="24"/>
          <w:lang w:val="de-DE"/>
        </w:rPr>
        <w:t xml:space="preserve">Darüber hinaus sind die vorgelegten Daten aufgrund unterschiedlicher Methoden der Datenerhebung nicht in allen Fällen vollständig vergleichbar. In einigen Mitgliedstaaten sind die Kreditinstitute beispielsweise verpflichtet, die Daten regelmäßig (oder auf Ad-hoc-Basis) zu melden. In anderen Mitgliedstaaten hingegen werden die Daten mitunter nur auf freiwilliger Basis oder nur im Rahmen einer Stichprobe von Kreditinstituten erhoben. Ferner können die Zahlen einiger Mitgliedstaaten für 2016 in manchen Fällen Kontowechsel umfassen, die 2016 in den Monaten vor dem Inkrafttreten der Richtlinie stattgefunden haben (z. B. in Fällen, in denen es in den betreffenden Mitgliedstaaten bereits vor der Umsetzung der Richtlinie einen ähnlichen Kontowechsel-Service gab). Aus all diesen Gründen ist es schwierig, eindeutige Schlussfolgerungen zu ziehen. </w:t>
      </w:r>
    </w:p>
    <w:p w14:paraId="71D7DA58" w14:textId="677DBE42" w:rsidR="005E550E" w:rsidRPr="00474A07" w:rsidRDefault="005E550E" w:rsidP="00014E41">
      <w:pPr>
        <w:spacing w:before="240" w:line="240" w:lineRule="auto"/>
        <w:jc w:val="both"/>
        <w:rPr>
          <w:rFonts w:ascii="Times New Roman" w:eastAsia="Calibri" w:hAnsi="Times New Roman" w:cs="Times New Roman"/>
          <w:b/>
          <w:i/>
          <w:noProof/>
          <w:sz w:val="24"/>
          <w:lang w:val="de-DE"/>
        </w:rPr>
      </w:pPr>
      <w:bookmarkStart w:id="30" w:name="_Hlk126336407"/>
      <w:r w:rsidRPr="00474A07">
        <w:rPr>
          <w:rFonts w:ascii="Times New Roman" w:hAnsi="Times New Roman"/>
          <w:noProof/>
          <w:sz w:val="24"/>
          <w:lang w:val="de-DE"/>
        </w:rPr>
        <w:t xml:space="preserve"> </w:t>
      </w:r>
      <w:r w:rsidRPr="00474A07">
        <w:rPr>
          <w:rFonts w:ascii="Times New Roman" w:hAnsi="Times New Roman"/>
          <w:b/>
          <w:i/>
          <w:noProof/>
          <w:sz w:val="24"/>
          <w:u w:val="single"/>
          <w:lang w:val="de-DE"/>
        </w:rPr>
        <w:t>Tabelle 1:</w:t>
      </w:r>
      <w:r w:rsidRPr="00474A07">
        <w:rPr>
          <w:rFonts w:ascii="Times New Roman" w:hAnsi="Times New Roman"/>
          <w:b/>
          <w:i/>
          <w:noProof/>
          <w:sz w:val="24"/>
          <w:lang w:val="de-DE"/>
        </w:rPr>
        <w:t xml:space="preserve"> </w:t>
      </w:r>
      <w:r w:rsidRPr="00474A07">
        <w:rPr>
          <w:rFonts w:ascii="Times New Roman" w:hAnsi="Times New Roman"/>
          <w:i/>
          <w:iCs/>
          <w:noProof/>
          <w:sz w:val="24"/>
          <w:lang w:val="de-DE"/>
        </w:rPr>
        <w:t>Anzahl der pro Jahr vorgenommenen Kontowechsel</w:t>
      </w:r>
      <w:r>
        <w:rPr>
          <w:rStyle w:val="FootnoteReference"/>
          <w:noProof/>
        </w:rPr>
        <w:footnoteReference w:id="8"/>
      </w:r>
    </w:p>
    <w:bookmarkEnd w:id="30"/>
    <w:p w14:paraId="00E055CD" w14:textId="541952C7" w:rsidR="005E550E" w:rsidRPr="00CD2699" w:rsidRDefault="00D32F27" w:rsidP="00014E41">
      <w:pPr>
        <w:spacing w:after="200" w:line="276" w:lineRule="auto"/>
        <w:jc w:val="center"/>
        <w:rPr>
          <w:rFonts w:ascii="Times New Roman" w:eastAsia="Calibri" w:hAnsi="Times New Roman" w:cs="Times New Roman"/>
          <w:noProof/>
        </w:rPr>
      </w:pPr>
      <w:r w:rsidRPr="00D32F27">
        <w:rPr>
          <w:noProof/>
          <w:lang w:val="en-GB" w:eastAsia="en-GB"/>
        </w:rPr>
        <w:lastRenderedPageBreak/>
        <w:drawing>
          <wp:inline distT="0" distB="0" distL="0" distR="0" wp14:anchorId="2AE0A215" wp14:editId="3181DB7D">
            <wp:extent cx="5335326" cy="570474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51383" cy="5721916"/>
                    </a:xfrm>
                    <a:prstGeom prst="rect">
                      <a:avLst/>
                    </a:prstGeom>
                    <a:noFill/>
                    <a:ln>
                      <a:noFill/>
                    </a:ln>
                  </pic:spPr>
                </pic:pic>
              </a:graphicData>
            </a:graphic>
          </wp:inline>
        </w:drawing>
      </w:r>
    </w:p>
    <w:p w14:paraId="39485D22" w14:textId="48A1E268" w:rsidR="005E550E" w:rsidRPr="00474A07" w:rsidRDefault="005E550E" w:rsidP="005E550E">
      <w:pPr>
        <w:spacing w:before="120" w:line="240" w:lineRule="auto"/>
        <w:contextualSpacing/>
        <w:jc w:val="both"/>
        <w:rPr>
          <w:rFonts w:ascii="Times New Roman" w:eastAsia="Times New Roman" w:hAnsi="Times New Roman" w:cs="Times New Roman"/>
          <w:noProof/>
          <w:sz w:val="24"/>
          <w:lang w:val="de-DE"/>
        </w:rPr>
      </w:pPr>
      <w:r w:rsidRPr="00474A07">
        <w:rPr>
          <w:rFonts w:ascii="Times New Roman" w:hAnsi="Times New Roman"/>
          <w:noProof/>
          <w:sz w:val="24"/>
          <w:lang w:val="de-DE"/>
        </w:rPr>
        <w:t xml:space="preserve">Auf der Grundlage der verfügbaren Daten geht aus der Tabelle hervor, dass große Unterschiede zwischen den Mitgliedstaaten bestehen. In einigen Mitgliedstaaten </w:t>
      </w:r>
      <w:bookmarkStart w:id="31" w:name="_Hlk127524835"/>
      <w:r w:rsidRPr="00474A07">
        <w:rPr>
          <w:rFonts w:ascii="Times New Roman" w:hAnsi="Times New Roman"/>
          <w:noProof/>
          <w:sz w:val="24"/>
          <w:lang w:val="de-DE"/>
        </w:rPr>
        <w:t>(z. B. in Dänemark oder Frankreich)</w:t>
      </w:r>
      <w:bookmarkEnd w:id="31"/>
      <w:r w:rsidRPr="00474A07">
        <w:rPr>
          <w:rFonts w:ascii="Times New Roman" w:hAnsi="Times New Roman"/>
          <w:noProof/>
          <w:sz w:val="24"/>
          <w:lang w:val="de-DE"/>
        </w:rPr>
        <w:t xml:space="preserve"> wurde eine beträchtliche Zahl von Kontowechseln vorgenommen, wobei in einigen Fällen eine steigende Tendenz zu verzeichnen ist; in anderen Mitgliedstaaten hingegen </w:t>
      </w:r>
      <w:bookmarkStart w:id="32" w:name="_Hlk127524874"/>
      <w:r w:rsidRPr="00474A07">
        <w:rPr>
          <w:rFonts w:ascii="Times New Roman" w:hAnsi="Times New Roman"/>
          <w:noProof/>
          <w:sz w:val="24"/>
          <w:lang w:val="de-DE"/>
        </w:rPr>
        <w:t>(z. B. Bulgarien, Griechenland, Malta, Portugal, Rumänien oder Zypern) sind die Zahlen sehr niedrig.</w:t>
      </w:r>
      <w:bookmarkEnd w:id="32"/>
      <w:r>
        <w:rPr>
          <w:rStyle w:val="FootnoteReference"/>
          <w:rFonts w:ascii="Times New Roman" w:eastAsia="Times New Roman" w:hAnsi="Times New Roman" w:cs="Times New Roman"/>
          <w:noProof/>
          <w:sz w:val="24"/>
        </w:rPr>
        <w:footnoteReference w:id="9"/>
      </w:r>
      <w:r w:rsidRPr="00474A07">
        <w:rPr>
          <w:rFonts w:ascii="Times New Roman" w:hAnsi="Times New Roman"/>
          <w:noProof/>
          <w:sz w:val="24"/>
          <w:lang w:val="de-DE"/>
        </w:rPr>
        <w:t xml:space="preserve">  </w:t>
      </w:r>
    </w:p>
    <w:p w14:paraId="0B190C5C" w14:textId="77777777" w:rsidR="005E550E" w:rsidRPr="00474A07" w:rsidRDefault="005E550E" w:rsidP="00940F86">
      <w:pPr>
        <w:keepNext/>
        <w:keepLines/>
        <w:numPr>
          <w:ilvl w:val="0"/>
          <w:numId w:val="4"/>
        </w:numPr>
        <w:spacing w:after="200" w:line="240" w:lineRule="auto"/>
        <w:contextualSpacing/>
        <w:jc w:val="both"/>
        <w:rPr>
          <w:rFonts w:ascii="Times New Roman" w:eastAsia="Calibri" w:hAnsi="Times New Roman" w:cs="Times New Roman"/>
          <w:b/>
          <w:noProof/>
          <w:sz w:val="24"/>
          <w:lang w:val="de-DE"/>
        </w:rPr>
      </w:pPr>
      <w:r w:rsidRPr="00474A07">
        <w:rPr>
          <w:rFonts w:ascii="Times New Roman" w:hAnsi="Times New Roman"/>
          <w:b/>
          <w:noProof/>
          <w:sz w:val="24"/>
          <w:lang w:val="de-DE"/>
        </w:rPr>
        <w:lastRenderedPageBreak/>
        <w:t>Anzahl (und Anteil) der abgelehnten Anträge auf Wechsel</w:t>
      </w:r>
    </w:p>
    <w:p w14:paraId="5AFBE70F" w14:textId="77777777" w:rsidR="005E550E" w:rsidRPr="00474A07" w:rsidRDefault="005E550E" w:rsidP="00940F86">
      <w:pPr>
        <w:keepNext/>
        <w:keepLines/>
        <w:spacing w:after="200" w:line="240" w:lineRule="auto"/>
        <w:contextualSpacing/>
        <w:jc w:val="both"/>
        <w:rPr>
          <w:rFonts w:ascii="Times New Roman" w:eastAsia="Calibri" w:hAnsi="Times New Roman" w:cs="Times New Roman"/>
          <w:b/>
          <w:noProof/>
          <w:sz w:val="24"/>
          <w:lang w:val="de-DE"/>
        </w:rPr>
      </w:pPr>
    </w:p>
    <w:p w14:paraId="0CDC08CA" w14:textId="46FE743E" w:rsidR="005E550E" w:rsidRPr="00474A07" w:rsidRDefault="005E550E" w:rsidP="005E550E">
      <w:pPr>
        <w:spacing w:before="240" w:after="0" w:line="240" w:lineRule="auto"/>
        <w:jc w:val="both"/>
        <w:rPr>
          <w:rFonts w:ascii="Times New Roman" w:eastAsia="Calibri" w:hAnsi="Times New Roman" w:cs="Times New Roman"/>
          <w:noProof/>
          <w:sz w:val="24"/>
          <w:lang w:val="de-DE"/>
        </w:rPr>
      </w:pPr>
      <w:r w:rsidRPr="00474A07">
        <w:rPr>
          <w:rFonts w:ascii="Times New Roman" w:hAnsi="Times New Roman"/>
          <w:noProof/>
          <w:sz w:val="24"/>
          <w:lang w:val="de-DE"/>
        </w:rPr>
        <w:t>Die Mitgliedstaaten übermittelten die in der nachstehenden Tabelle enthaltenen Informationen über die Anzahl der Anträge auf Wechsel, die im Zeitraum zwischen 2016 und 2021 abgelehnt wurden. Die jeweiligen Anteile wurden berechnet, indem die Zahl der erfolgten Wechsel und die Zahl der abgelehnten Anträge auf Wechsel als Prozentsatz aller Anträge zugrunde gelegt wurden.</w:t>
      </w:r>
      <w:r>
        <w:rPr>
          <w:rStyle w:val="FootnoteReference"/>
          <w:noProof/>
        </w:rPr>
        <w:footnoteReference w:id="10"/>
      </w:r>
      <w:r w:rsidRPr="00474A07">
        <w:rPr>
          <w:rFonts w:ascii="Times New Roman" w:hAnsi="Times New Roman"/>
          <w:noProof/>
          <w:sz w:val="24"/>
          <w:lang w:val="de-DE"/>
        </w:rPr>
        <w:t xml:space="preserve"> Ähnlich wie oben sind auch die Informationen über die Anzahl der abgelehnten Anträge auf Wechsel nicht vollständig. Darüber hinaus werden in einigen Mitgliedstaaten überhaupt keine Daten über abgelehnte Anträge erhoben. Zudem sind auch hierzu die vorgelegten Daten aufgrund unterschiedlicher Methoden der Datenerhebung in den Mitgliedstaaten nicht immer vollständig vergleichbar. </w:t>
      </w:r>
    </w:p>
    <w:p w14:paraId="7049D4CB" w14:textId="77777777" w:rsidR="005E550E" w:rsidRPr="00474A07" w:rsidRDefault="005E550E" w:rsidP="005E550E">
      <w:pPr>
        <w:spacing w:before="240" w:after="0" w:line="240" w:lineRule="auto"/>
        <w:jc w:val="both"/>
        <w:rPr>
          <w:rFonts w:ascii="Times New Roman" w:eastAsia="Calibri" w:hAnsi="Times New Roman" w:cs="Times New Roman"/>
          <w:b/>
          <w:i/>
          <w:noProof/>
          <w:sz w:val="24"/>
          <w:u w:val="single"/>
          <w:lang w:val="de-DE"/>
        </w:rPr>
      </w:pPr>
      <w:r w:rsidRPr="00474A07">
        <w:rPr>
          <w:rFonts w:ascii="Times New Roman" w:hAnsi="Times New Roman"/>
          <w:b/>
          <w:i/>
          <w:noProof/>
          <w:sz w:val="24"/>
          <w:u w:val="single"/>
          <w:lang w:val="de-DE"/>
        </w:rPr>
        <w:t>Tabelle 2:</w:t>
      </w:r>
      <w:r w:rsidRPr="00474A07">
        <w:rPr>
          <w:rFonts w:ascii="Times New Roman" w:hAnsi="Times New Roman"/>
          <w:b/>
          <w:i/>
          <w:noProof/>
          <w:sz w:val="24"/>
          <w:lang w:val="de-DE"/>
        </w:rPr>
        <w:t xml:space="preserve"> </w:t>
      </w:r>
      <w:r w:rsidRPr="00474A07">
        <w:rPr>
          <w:rFonts w:ascii="Times New Roman" w:hAnsi="Times New Roman"/>
          <w:i/>
          <w:noProof/>
          <w:sz w:val="24"/>
          <w:lang w:val="de-DE"/>
        </w:rPr>
        <w:t>Anzahl und Anteil der abgelehnten Anträge auf Wechsel</w:t>
      </w:r>
      <w:r>
        <w:rPr>
          <w:rStyle w:val="FootnoteReference"/>
          <w:noProof/>
        </w:rPr>
        <w:footnoteReference w:id="11"/>
      </w:r>
    </w:p>
    <w:p w14:paraId="5B755E6A" w14:textId="316B7707" w:rsidR="005E550E" w:rsidRDefault="00D32F27" w:rsidP="005E550E">
      <w:pPr>
        <w:spacing w:before="240" w:after="0" w:line="240" w:lineRule="auto"/>
        <w:jc w:val="both"/>
        <w:rPr>
          <w:rFonts w:ascii="Times New Roman" w:eastAsia="Calibri" w:hAnsi="Times New Roman" w:cs="Times New Roman"/>
          <w:noProof/>
          <w:sz w:val="24"/>
        </w:rPr>
      </w:pPr>
      <w:r w:rsidRPr="00D32F27">
        <w:rPr>
          <w:noProof/>
          <w:lang w:val="en-GB" w:eastAsia="en-GB"/>
        </w:rPr>
        <w:drawing>
          <wp:inline distT="0" distB="0" distL="0" distR="0" wp14:anchorId="592D423C" wp14:editId="08372FA9">
            <wp:extent cx="5760720" cy="44029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0720" cy="4402935"/>
                    </a:xfrm>
                    <a:prstGeom prst="rect">
                      <a:avLst/>
                    </a:prstGeom>
                    <a:noFill/>
                    <a:ln>
                      <a:noFill/>
                    </a:ln>
                  </pic:spPr>
                </pic:pic>
              </a:graphicData>
            </a:graphic>
          </wp:inline>
        </w:drawing>
      </w:r>
    </w:p>
    <w:p w14:paraId="26DA420C" w14:textId="77777777" w:rsidR="005E550E" w:rsidRDefault="005E550E" w:rsidP="005E550E">
      <w:pPr>
        <w:spacing w:before="240" w:after="0" w:line="240" w:lineRule="auto"/>
        <w:jc w:val="both"/>
        <w:rPr>
          <w:rFonts w:ascii="Times New Roman" w:eastAsia="Calibri" w:hAnsi="Times New Roman" w:cs="Times New Roman"/>
          <w:noProof/>
          <w:sz w:val="24"/>
        </w:rPr>
      </w:pPr>
    </w:p>
    <w:p w14:paraId="40B3ED49" w14:textId="418EE073" w:rsidR="005E550E" w:rsidRPr="00474A07" w:rsidRDefault="005E550E" w:rsidP="005E550E">
      <w:pPr>
        <w:spacing w:before="240" w:after="0" w:line="240" w:lineRule="auto"/>
        <w:jc w:val="both"/>
        <w:rPr>
          <w:rFonts w:ascii="Times New Roman" w:eastAsia="Calibri" w:hAnsi="Times New Roman" w:cs="Times New Roman"/>
          <w:noProof/>
          <w:sz w:val="24"/>
          <w:lang w:val="de-DE"/>
        </w:rPr>
      </w:pPr>
      <w:r w:rsidRPr="00474A07">
        <w:rPr>
          <w:rFonts w:ascii="Times New Roman" w:hAnsi="Times New Roman"/>
          <w:noProof/>
          <w:sz w:val="24"/>
          <w:lang w:val="de-DE"/>
        </w:rPr>
        <w:lastRenderedPageBreak/>
        <w:t>Die Zahl der abgelehnten Anträge auf einen Wechsel scheint im Allgemeinen gering zu sein. Allerdings bestehen offenbar erhebliche Unterschiede zwischen den einzelnen Mitgliedstaaten, da einige von ihnen (z. B. Spanien, Rumänien oder Ungarn) dennoch hohe Zahlen aufweisen. Während Kreditinstitute grundsätzlich keinen Kontowechsel ablehnen sollten, können sie die Schließung eines Zahlungskontos verweigern, wenn eine ausstehende Verpflichtung besteht.</w:t>
      </w:r>
      <w:r>
        <w:rPr>
          <w:rStyle w:val="FootnoteReference"/>
          <w:rFonts w:ascii="Times New Roman" w:eastAsia="Calibri" w:hAnsi="Times New Roman" w:cs="Times New Roman"/>
          <w:noProof/>
          <w:sz w:val="24"/>
        </w:rPr>
        <w:footnoteReference w:id="12"/>
      </w:r>
      <w:r w:rsidRPr="00474A07">
        <w:rPr>
          <w:rFonts w:ascii="Times New Roman" w:hAnsi="Times New Roman"/>
          <w:noProof/>
          <w:sz w:val="24"/>
          <w:lang w:val="de-DE"/>
        </w:rPr>
        <w:t xml:space="preserve"> In anderen Fällen könnten unvollständige oder fehlerhafte Antragsformulare ausschlaggebend sein.</w:t>
      </w:r>
    </w:p>
    <w:p w14:paraId="51A2EF1F" w14:textId="77777777" w:rsidR="005E550E" w:rsidRPr="00474A07" w:rsidRDefault="005E550E" w:rsidP="005E550E">
      <w:pPr>
        <w:spacing w:after="200" w:line="276" w:lineRule="auto"/>
        <w:rPr>
          <w:rFonts w:ascii="Times New Roman" w:eastAsia="Calibri" w:hAnsi="Times New Roman" w:cs="Times New Roman"/>
          <w:noProof/>
          <w:lang w:val="de-DE"/>
        </w:rPr>
      </w:pPr>
    </w:p>
    <w:p w14:paraId="72BC5DC9" w14:textId="77777777" w:rsidR="005E550E" w:rsidRPr="00474A07" w:rsidRDefault="005E550E" w:rsidP="005E550E">
      <w:pPr>
        <w:keepNext/>
        <w:keepLines/>
        <w:numPr>
          <w:ilvl w:val="0"/>
          <w:numId w:val="1"/>
        </w:numPr>
        <w:spacing w:after="0" w:line="240" w:lineRule="auto"/>
        <w:jc w:val="both"/>
        <w:outlineLvl w:val="0"/>
        <w:rPr>
          <w:rFonts w:ascii="Times New Roman" w:eastAsia="Times New Roman" w:hAnsi="Times New Roman" w:cs="Times New Roman"/>
          <w:b/>
          <w:noProof/>
          <w:sz w:val="24"/>
          <w:lang w:val="de-DE"/>
        </w:rPr>
      </w:pPr>
      <w:bookmarkStart w:id="33" w:name="_Toc67511948"/>
      <w:bookmarkStart w:id="34" w:name="_Toc129956460"/>
      <w:r w:rsidRPr="00474A07">
        <w:rPr>
          <w:rFonts w:ascii="Times New Roman" w:hAnsi="Times New Roman"/>
          <w:b/>
          <w:noProof/>
          <w:sz w:val="24"/>
          <w:lang w:val="de-DE"/>
        </w:rPr>
        <w:t>ANZAHL DER KREDITINSTITUTE, DIE ZAHLUNGSKONTEN MIT GRUNDLEGENDEN FUNKTIONEN ANBIETEN, ANZAHL DER ERÖFFNETEN DERARTIGEN KONTEN UND ANTEIL DER ABGELEHNTEN ANTRÄGE AUF EIN ZAHLUNGSKONTO MIT GRUNDLEGENDEN FUNKTIONEN</w:t>
      </w:r>
      <w:bookmarkEnd w:id="33"/>
      <w:bookmarkEnd w:id="34"/>
    </w:p>
    <w:p w14:paraId="3F66ECF1" w14:textId="77777777" w:rsidR="005E550E" w:rsidRPr="00474A07" w:rsidRDefault="005E550E" w:rsidP="005E550E">
      <w:pPr>
        <w:spacing w:before="240" w:after="200" w:line="240" w:lineRule="auto"/>
        <w:jc w:val="both"/>
        <w:rPr>
          <w:rFonts w:ascii="Times New Roman" w:eastAsia="Calibri" w:hAnsi="Times New Roman" w:cs="Times New Roman"/>
          <w:noProof/>
          <w:sz w:val="24"/>
          <w:lang w:val="de-DE"/>
        </w:rPr>
      </w:pPr>
      <w:r w:rsidRPr="00474A07">
        <w:rPr>
          <w:rFonts w:ascii="Times New Roman" w:hAnsi="Times New Roman"/>
          <w:noProof/>
          <w:sz w:val="24"/>
          <w:lang w:val="de-DE"/>
        </w:rPr>
        <w:t>Um die finanzielle Teilhabe zu erhöhen, wurde in Artikel 16 der Richtlinie das Recht auf Zugang zu einem Zahlungskonto mit grundlegenden Funktionen für alle Verbraucher mit rechtmäßigem Aufenthalt in der EU verankert. Zahlungskonten mit grundlegenden Funktionen müssen Verbrauchern von allen oder von einer ausreichend großen Zahl von Kreditinstituten angeboten werden, damit alle Verbraucher im Hoheitsgebiet eines Mitgliedstaats garantierten Zugang zu einem solchen Konto haben.</w:t>
      </w:r>
    </w:p>
    <w:p w14:paraId="6A9CBC61" w14:textId="77777777" w:rsidR="005E550E" w:rsidRPr="00474A07" w:rsidRDefault="005E550E" w:rsidP="005E550E">
      <w:pPr>
        <w:numPr>
          <w:ilvl w:val="0"/>
          <w:numId w:val="5"/>
        </w:numPr>
        <w:spacing w:after="200" w:line="240" w:lineRule="auto"/>
        <w:contextualSpacing/>
        <w:jc w:val="both"/>
        <w:rPr>
          <w:rFonts w:ascii="Times New Roman" w:eastAsia="Calibri" w:hAnsi="Times New Roman" w:cs="Times New Roman"/>
          <w:b/>
          <w:noProof/>
          <w:sz w:val="24"/>
          <w:lang w:val="de-DE"/>
        </w:rPr>
      </w:pPr>
      <w:r w:rsidRPr="00474A07">
        <w:rPr>
          <w:rFonts w:ascii="Times New Roman" w:hAnsi="Times New Roman"/>
          <w:b/>
          <w:noProof/>
          <w:sz w:val="24"/>
          <w:lang w:val="de-DE"/>
        </w:rPr>
        <w:t>Anzahl der Kreditinstitute, die Zahlungskonten mit grundlegenden Funktionen anbieten</w:t>
      </w:r>
    </w:p>
    <w:p w14:paraId="19F3C57C" w14:textId="77777777" w:rsidR="005E550E" w:rsidRPr="00474A07" w:rsidRDefault="005E550E" w:rsidP="005E550E">
      <w:pPr>
        <w:spacing w:after="0" w:line="240" w:lineRule="auto"/>
        <w:jc w:val="both"/>
        <w:rPr>
          <w:rFonts w:ascii="Times New Roman" w:eastAsia="Calibri" w:hAnsi="Times New Roman" w:cs="Times New Roman"/>
          <w:noProof/>
          <w:sz w:val="24"/>
          <w:lang w:val="de-DE"/>
        </w:rPr>
      </w:pPr>
    </w:p>
    <w:p w14:paraId="37EBDD45" w14:textId="6C58E2CA" w:rsidR="005E550E" w:rsidRPr="00474A07" w:rsidRDefault="005E550E" w:rsidP="005E550E">
      <w:pPr>
        <w:spacing w:after="0" w:line="240" w:lineRule="auto"/>
        <w:jc w:val="both"/>
        <w:rPr>
          <w:rFonts w:ascii="Times New Roman" w:eastAsia="Calibri" w:hAnsi="Times New Roman" w:cs="Times New Roman"/>
          <w:noProof/>
          <w:sz w:val="24"/>
          <w:lang w:val="de-DE"/>
        </w:rPr>
      </w:pPr>
      <w:r w:rsidRPr="00474A07">
        <w:rPr>
          <w:rFonts w:ascii="Times New Roman" w:hAnsi="Times New Roman"/>
          <w:noProof/>
          <w:sz w:val="24"/>
          <w:lang w:val="de-DE"/>
        </w:rPr>
        <w:t>In den meisten Mitgliedstaaten müssen alle Kreditinstitute, die normale Zahlungskonten anbieten, auch Zahlungskonten mit grundlegenden Funktionen im Angebot haben. In anderen Mitgliedstaaten (siehe nachstehende Tabelle) sind nur manche Kreditinstitute verpflichtet, Zahlungskonten mit grundlegenden Funktionen anzubieten, nämlich diejenigen, die bestimmte, von dem betreffenden Mitgliedstaat festgelegte Kriterien erfüllen. In all diesen Mitgliedstaaten scheinen jedoch diejenigen Kreditinstitute, die einer solchen Pflicht unterliegen, im Allgemeinen einen – gemessen an der Anzahl der Zahlungskonten – großen Marktanteil zu haben.</w:t>
      </w:r>
    </w:p>
    <w:p w14:paraId="29015878" w14:textId="05D4C6C4" w:rsidR="004E601E" w:rsidRPr="00474A07" w:rsidRDefault="004E601E" w:rsidP="005E550E">
      <w:pPr>
        <w:spacing w:after="0" w:line="240" w:lineRule="auto"/>
        <w:jc w:val="both"/>
        <w:rPr>
          <w:rFonts w:ascii="Times New Roman" w:eastAsia="Calibri" w:hAnsi="Times New Roman" w:cs="Times New Roman"/>
          <w:noProof/>
          <w:sz w:val="24"/>
          <w:lang w:val="de-DE"/>
        </w:rPr>
      </w:pPr>
    </w:p>
    <w:p w14:paraId="4ED9EF4C" w14:textId="7D45BBDE" w:rsidR="004E601E" w:rsidRPr="00474A07" w:rsidRDefault="004E601E" w:rsidP="005E550E">
      <w:pPr>
        <w:spacing w:after="0" w:line="240" w:lineRule="auto"/>
        <w:jc w:val="both"/>
        <w:rPr>
          <w:rFonts w:ascii="Times New Roman" w:eastAsia="Calibri" w:hAnsi="Times New Roman" w:cs="Times New Roman"/>
          <w:noProof/>
          <w:sz w:val="24"/>
          <w:lang w:val="de-DE"/>
        </w:rPr>
      </w:pPr>
    </w:p>
    <w:p w14:paraId="333EB7E9" w14:textId="7343A40F" w:rsidR="004E601E" w:rsidRPr="00474A07" w:rsidRDefault="004E601E" w:rsidP="005E550E">
      <w:pPr>
        <w:spacing w:after="0" w:line="240" w:lineRule="auto"/>
        <w:jc w:val="both"/>
        <w:rPr>
          <w:rFonts w:ascii="Times New Roman" w:eastAsia="Calibri" w:hAnsi="Times New Roman" w:cs="Times New Roman"/>
          <w:noProof/>
          <w:sz w:val="24"/>
          <w:lang w:val="de-DE"/>
        </w:rPr>
      </w:pPr>
    </w:p>
    <w:p w14:paraId="04F9CBA3" w14:textId="4C646767" w:rsidR="004E601E" w:rsidRPr="00474A07" w:rsidRDefault="004E601E" w:rsidP="005E550E">
      <w:pPr>
        <w:spacing w:after="0" w:line="240" w:lineRule="auto"/>
        <w:jc w:val="both"/>
        <w:rPr>
          <w:rFonts w:ascii="Times New Roman" w:eastAsia="Calibri" w:hAnsi="Times New Roman" w:cs="Times New Roman"/>
          <w:noProof/>
          <w:sz w:val="24"/>
          <w:lang w:val="de-DE"/>
        </w:rPr>
      </w:pPr>
    </w:p>
    <w:p w14:paraId="42DFCA70" w14:textId="0BEFAA6B" w:rsidR="004E601E" w:rsidRPr="00474A07" w:rsidRDefault="004E601E" w:rsidP="005E550E">
      <w:pPr>
        <w:spacing w:after="0" w:line="240" w:lineRule="auto"/>
        <w:jc w:val="both"/>
        <w:rPr>
          <w:rFonts w:ascii="Times New Roman" w:eastAsia="Calibri" w:hAnsi="Times New Roman" w:cs="Times New Roman"/>
          <w:noProof/>
          <w:sz w:val="24"/>
          <w:lang w:val="de-DE"/>
        </w:rPr>
      </w:pPr>
    </w:p>
    <w:p w14:paraId="0469706A" w14:textId="4B00ACCD" w:rsidR="004E601E" w:rsidRPr="00474A07" w:rsidRDefault="004E601E" w:rsidP="005E550E">
      <w:pPr>
        <w:spacing w:after="0" w:line="240" w:lineRule="auto"/>
        <w:jc w:val="both"/>
        <w:rPr>
          <w:rFonts w:ascii="Times New Roman" w:eastAsia="Calibri" w:hAnsi="Times New Roman" w:cs="Times New Roman"/>
          <w:noProof/>
          <w:sz w:val="24"/>
          <w:lang w:val="de-DE"/>
        </w:rPr>
      </w:pPr>
    </w:p>
    <w:p w14:paraId="73F21235" w14:textId="3CB42CAF" w:rsidR="004E601E" w:rsidRPr="00474A07" w:rsidRDefault="004E601E" w:rsidP="005E550E">
      <w:pPr>
        <w:spacing w:after="0" w:line="240" w:lineRule="auto"/>
        <w:jc w:val="both"/>
        <w:rPr>
          <w:rFonts w:ascii="Times New Roman" w:eastAsia="Calibri" w:hAnsi="Times New Roman" w:cs="Times New Roman"/>
          <w:noProof/>
          <w:sz w:val="24"/>
          <w:lang w:val="de-DE"/>
        </w:rPr>
      </w:pPr>
    </w:p>
    <w:p w14:paraId="672304B2" w14:textId="0B0FB285" w:rsidR="004E601E" w:rsidRPr="00474A07" w:rsidRDefault="004E601E" w:rsidP="005E550E">
      <w:pPr>
        <w:spacing w:after="0" w:line="240" w:lineRule="auto"/>
        <w:jc w:val="both"/>
        <w:rPr>
          <w:rFonts w:ascii="Times New Roman" w:eastAsia="Calibri" w:hAnsi="Times New Roman" w:cs="Times New Roman"/>
          <w:noProof/>
          <w:sz w:val="24"/>
          <w:lang w:val="de-DE"/>
        </w:rPr>
      </w:pPr>
    </w:p>
    <w:p w14:paraId="74405382" w14:textId="67F66F81" w:rsidR="004E601E" w:rsidRPr="00474A07" w:rsidRDefault="004E601E" w:rsidP="005E550E">
      <w:pPr>
        <w:spacing w:after="0" w:line="240" w:lineRule="auto"/>
        <w:jc w:val="both"/>
        <w:rPr>
          <w:rFonts w:ascii="Times New Roman" w:eastAsia="Calibri" w:hAnsi="Times New Roman" w:cs="Times New Roman"/>
          <w:noProof/>
          <w:sz w:val="24"/>
          <w:lang w:val="de-DE"/>
        </w:rPr>
      </w:pPr>
    </w:p>
    <w:p w14:paraId="74208658" w14:textId="23D07859" w:rsidR="004E601E" w:rsidRPr="00474A07" w:rsidRDefault="004E601E" w:rsidP="005E550E">
      <w:pPr>
        <w:spacing w:after="0" w:line="240" w:lineRule="auto"/>
        <w:jc w:val="both"/>
        <w:rPr>
          <w:rFonts w:ascii="Times New Roman" w:eastAsia="Calibri" w:hAnsi="Times New Roman" w:cs="Times New Roman"/>
          <w:noProof/>
          <w:sz w:val="24"/>
          <w:lang w:val="de-DE"/>
        </w:rPr>
      </w:pPr>
    </w:p>
    <w:p w14:paraId="0FA5B88D" w14:textId="12984CB2" w:rsidR="004E601E" w:rsidRPr="00474A07" w:rsidRDefault="004E601E" w:rsidP="005E550E">
      <w:pPr>
        <w:spacing w:after="0" w:line="240" w:lineRule="auto"/>
        <w:jc w:val="both"/>
        <w:rPr>
          <w:rFonts w:ascii="Times New Roman" w:eastAsia="Calibri" w:hAnsi="Times New Roman" w:cs="Times New Roman"/>
          <w:noProof/>
          <w:sz w:val="24"/>
          <w:lang w:val="de-DE"/>
        </w:rPr>
      </w:pPr>
    </w:p>
    <w:p w14:paraId="77C2FC70" w14:textId="77777777" w:rsidR="004E601E" w:rsidRPr="00474A07" w:rsidRDefault="004E601E" w:rsidP="005E550E">
      <w:pPr>
        <w:spacing w:after="0" w:line="240" w:lineRule="auto"/>
        <w:jc w:val="both"/>
        <w:rPr>
          <w:rFonts w:ascii="Times New Roman" w:eastAsia="Calibri" w:hAnsi="Times New Roman" w:cs="Times New Roman"/>
          <w:noProof/>
          <w:sz w:val="24"/>
          <w:lang w:val="de-DE"/>
        </w:rPr>
      </w:pPr>
    </w:p>
    <w:p w14:paraId="35A546EF" w14:textId="0AF95950" w:rsidR="005E550E" w:rsidRPr="00474A07" w:rsidRDefault="005E550E" w:rsidP="005E550E">
      <w:pPr>
        <w:spacing w:after="0" w:line="240" w:lineRule="auto"/>
        <w:jc w:val="both"/>
        <w:rPr>
          <w:rFonts w:ascii="Times New Roman" w:eastAsia="Calibri" w:hAnsi="Times New Roman" w:cs="Times New Roman"/>
          <w:noProof/>
          <w:sz w:val="24"/>
          <w:lang w:val="de-DE"/>
        </w:rPr>
      </w:pPr>
    </w:p>
    <w:p w14:paraId="5054F39E" w14:textId="4D96EAED" w:rsidR="005E550E" w:rsidRPr="00474A07" w:rsidRDefault="005E550E" w:rsidP="00940F86">
      <w:pPr>
        <w:keepNext/>
        <w:keepLines/>
        <w:spacing w:after="0" w:line="240" w:lineRule="auto"/>
        <w:jc w:val="both"/>
        <w:rPr>
          <w:rFonts w:ascii="Times New Roman" w:eastAsia="Calibri" w:hAnsi="Times New Roman" w:cs="Times New Roman"/>
          <w:i/>
          <w:noProof/>
          <w:sz w:val="24"/>
          <w:lang w:val="de-DE"/>
        </w:rPr>
      </w:pPr>
      <w:r w:rsidRPr="00474A07">
        <w:rPr>
          <w:rFonts w:ascii="Times New Roman" w:hAnsi="Times New Roman"/>
          <w:b/>
          <w:i/>
          <w:noProof/>
          <w:sz w:val="24"/>
          <w:u w:val="single"/>
          <w:lang w:val="de-DE"/>
        </w:rPr>
        <w:lastRenderedPageBreak/>
        <w:t>Tabelle 3:</w:t>
      </w:r>
      <w:r w:rsidRPr="00474A07">
        <w:rPr>
          <w:rFonts w:ascii="Times New Roman" w:hAnsi="Times New Roman"/>
          <w:noProof/>
          <w:lang w:val="de-DE"/>
        </w:rPr>
        <w:t xml:space="preserve"> </w:t>
      </w:r>
      <w:bookmarkStart w:id="35" w:name="_Hlk104803905"/>
      <w:r w:rsidRPr="00474A07">
        <w:rPr>
          <w:rFonts w:ascii="Times New Roman" w:hAnsi="Times New Roman"/>
          <w:i/>
          <w:noProof/>
          <w:sz w:val="24"/>
          <w:lang w:val="de-DE"/>
        </w:rPr>
        <w:t>Mitgliedstaaten</w:t>
      </w:r>
      <w:r>
        <w:rPr>
          <w:rStyle w:val="FootnoteReference"/>
          <w:noProof/>
        </w:rPr>
        <w:footnoteReference w:id="13"/>
      </w:r>
      <w:r w:rsidRPr="00474A07">
        <w:rPr>
          <w:rFonts w:ascii="Times New Roman" w:hAnsi="Times New Roman"/>
          <w:i/>
          <w:noProof/>
          <w:sz w:val="24"/>
          <w:lang w:val="de-DE"/>
        </w:rPr>
        <w:t>, in denen nur manche Kreditinstitute Zahlungskonten mit grundlegenden Funktionen anbieten</w:t>
      </w:r>
      <w:bookmarkEnd w:id="35"/>
    </w:p>
    <w:p w14:paraId="6612D56E" w14:textId="77777777" w:rsidR="005E550E" w:rsidRPr="00474A07" w:rsidRDefault="005E550E" w:rsidP="00940F86">
      <w:pPr>
        <w:keepNext/>
        <w:keepLines/>
        <w:spacing w:after="0" w:line="240" w:lineRule="auto"/>
        <w:jc w:val="both"/>
        <w:rPr>
          <w:rFonts w:ascii="Times New Roman" w:eastAsia="Calibri" w:hAnsi="Times New Roman" w:cs="Times New Roman"/>
          <w:i/>
          <w:noProof/>
          <w:sz w:val="24"/>
          <w:lang w:val="de-DE"/>
        </w:rPr>
      </w:pPr>
    </w:p>
    <w:p w14:paraId="7B92BF6A" w14:textId="4B411A37" w:rsidR="005E550E" w:rsidRPr="00CD2699" w:rsidRDefault="0025196E" w:rsidP="005E550E">
      <w:pPr>
        <w:spacing w:after="0" w:line="240" w:lineRule="auto"/>
        <w:jc w:val="both"/>
        <w:rPr>
          <w:rFonts w:ascii="Times New Roman" w:eastAsia="Calibri" w:hAnsi="Times New Roman" w:cs="Times New Roman"/>
          <w:noProof/>
          <w:sz w:val="24"/>
        </w:rPr>
      </w:pPr>
      <w:r w:rsidRPr="0025196E">
        <w:rPr>
          <w:noProof/>
          <w:lang w:val="en-GB" w:eastAsia="en-GB"/>
        </w:rPr>
        <w:drawing>
          <wp:inline distT="0" distB="0" distL="0" distR="0" wp14:anchorId="623BE1A3" wp14:editId="4BC69EB1">
            <wp:extent cx="5760720" cy="3961501"/>
            <wp:effectExtent l="0" t="0" r="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60720" cy="3961501"/>
                    </a:xfrm>
                    <a:prstGeom prst="rect">
                      <a:avLst/>
                    </a:prstGeom>
                    <a:noFill/>
                    <a:ln>
                      <a:noFill/>
                    </a:ln>
                  </pic:spPr>
                </pic:pic>
              </a:graphicData>
            </a:graphic>
          </wp:inline>
        </w:drawing>
      </w:r>
    </w:p>
    <w:p w14:paraId="47C63946" w14:textId="77777777" w:rsidR="005E550E" w:rsidRDefault="005E550E" w:rsidP="005E550E">
      <w:pPr>
        <w:spacing w:after="200" w:line="240" w:lineRule="auto"/>
        <w:ind w:left="360"/>
        <w:contextualSpacing/>
        <w:jc w:val="both"/>
        <w:rPr>
          <w:rFonts w:ascii="Times New Roman" w:eastAsia="Calibri" w:hAnsi="Times New Roman" w:cs="Times New Roman"/>
          <w:b/>
          <w:noProof/>
          <w:sz w:val="24"/>
        </w:rPr>
      </w:pPr>
    </w:p>
    <w:p w14:paraId="1A8FFE56" w14:textId="0AA79502" w:rsidR="005E550E" w:rsidRDefault="005E550E" w:rsidP="005E550E">
      <w:pPr>
        <w:spacing w:after="200" w:line="240" w:lineRule="auto"/>
        <w:ind w:left="360"/>
        <w:contextualSpacing/>
        <w:jc w:val="both"/>
        <w:rPr>
          <w:rFonts w:ascii="Times New Roman" w:eastAsia="Calibri" w:hAnsi="Times New Roman" w:cs="Times New Roman"/>
          <w:b/>
          <w:noProof/>
          <w:sz w:val="24"/>
        </w:rPr>
      </w:pPr>
    </w:p>
    <w:p w14:paraId="211CDCCC" w14:textId="26A8190D" w:rsidR="005E550E" w:rsidRPr="00474A07" w:rsidRDefault="005E550E" w:rsidP="009818E2">
      <w:pPr>
        <w:numPr>
          <w:ilvl w:val="0"/>
          <w:numId w:val="5"/>
        </w:numPr>
        <w:spacing w:after="360" w:line="240" w:lineRule="auto"/>
        <w:ind w:left="357" w:hanging="357"/>
        <w:contextualSpacing/>
        <w:jc w:val="both"/>
        <w:rPr>
          <w:rFonts w:ascii="Times New Roman" w:eastAsia="Calibri" w:hAnsi="Times New Roman" w:cs="Times New Roman"/>
          <w:b/>
          <w:noProof/>
          <w:sz w:val="24"/>
          <w:lang w:val="de-DE"/>
        </w:rPr>
      </w:pPr>
      <w:r w:rsidRPr="00474A07">
        <w:rPr>
          <w:rFonts w:ascii="Times New Roman" w:hAnsi="Times New Roman"/>
          <w:b/>
          <w:noProof/>
          <w:sz w:val="24"/>
          <w:lang w:val="de-DE"/>
        </w:rPr>
        <w:t>Anzahl der Zahlungskonten mit grundlegenden Funktionen</w:t>
      </w:r>
    </w:p>
    <w:p w14:paraId="19D5C398" w14:textId="77777777" w:rsidR="009818E2" w:rsidRPr="00474A07" w:rsidRDefault="009818E2" w:rsidP="009818E2">
      <w:pPr>
        <w:spacing w:after="360" w:line="240" w:lineRule="auto"/>
        <w:ind w:left="357"/>
        <w:contextualSpacing/>
        <w:jc w:val="both"/>
        <w:rPr>
          <w:rFonts w:ascii="Times New Roman" w:eastAsia="Calibri" w:hAnsi="Times New Roman" w:cs="Times New Roman"/>
          <w:b/>
          <w:noProof/>
          <w:sz w:val="24"/>
          <w:lang w:val="de-DE"/>
        </w:rPr>
      </w:pPr>
    </w:p>
    <w:p w14:paraId="5D94A1A5" w14:textId="2B882588" w:rsidR="004E601E" w:rsidRPr="00474A07" w:rsidRDefault="005E550E" w:rsidP="005E550E">
      <w:pPr>
        <w:spacing w:before="120" w:after="0" w:line="240" w:lineRule="auto"/>
        <w:jc w:val="both"/>
        <w:rPr>
          <w:rFonts w:ascii="Times New Roman" w:eastAsia="Calibri" w:hAnsi="Times New Roman" w:cs="Times New Roman"/>
          <w:noProof/>
          <w:sz w:val="24"/>
          <w:lang w:val="de-DE"/>
        </w:rPr>
      </w:pPr>
      <w:r w:rsidRPr="00474A07">
        <w:rPr>
          <w:rFonts w:ascii="Times New Roman" w:hAnsi="Times New Roman"/>
          <w:noProof/>
          <w:sz w:val="24"/>
          <w:lang w:val="de-DE"/>
        </w:rPr>
        <w:t xml:space="preserve">Die von den Mitgliedstaaten übermittelten und in der nachstehenden Tabelle aufgeführten Informationen über die Anzahl der Zahlungskonten mit grundlegenden Funktionen sind für bestimmte Jahre nicht vollständig. Darüber hinaus nehmen </w:t>
      </w:r>
      <w:bookmarkStart w:id="36" w:name="_Hlk106266735"/>
      <w:r w:rsidRPr="00474A07">
        <w:rPr>
          <w:rFonts w:ascii="Times New Roman" w:hAnsi="Times New Roman"/>
          <w:noProof/>
          <w:sz w:val="24"/>
          <w:lang w:val="de-DE"/>
        </w:rPr>
        <w:t xml:space="preserve">die Kreditinstitute in einigen Mitgliedstaaten mitunter keine Unterscheidung zwischen normalen Zahlungskonten und solchen mit grundlegenden Funktionen vor, sodass keine Daten über Zahlungskonten mit grundlegenden Funktionen vorliegen. </w:t>
      </w:r>
      <w:bookmarkEnd w:id="36"/>
      <w:r w:rsidRPr="00474A07">
        <w:rPr>
          <w:rFonts w:ascii="Times New Roman" w:hAnsi="Times New Roman"/>
          <w:noProof/>
          <w:sz w:val="24"/>
          <w:lang w:val="de-DE"/>
        </w:rPr>
        <w:t>Auch hier sind die Informationen aufgrund unterschiedlicher Methoden der Datenerhebung womöglich nicht immer vergleichbar. Ein weiterer Grund für mangelnde Vergleichbarkeit liegt darin, dass in einigen Mitgliedstaaten nur manche Kreditinstitute Zahlungskonten mit grundlegenden Funktionen als gesondertes Produkt anbieten, während andere Kreditinstitute nicht zwischen den verschiedenen Kontoarten unterscheiden. In diesen Ländern beziehen sich die Zahlen somit nur auf die Zahlungskonten mit grundlegenden Funktionen, die als gesondertes Produkt angeboten werden. Folglich ist es auch hier schwierig, eindeutige Schlussfolgerungen zu ziehen.</w:t>
      </w:r>
    </w:p>
    <w:p w14:paraId="7F592006" w14:textId="5F97ADB6" w:rsidR="005E550E" w:rsidRPr="00474A07" w:rsidRDefault="005E550E" w:rsidP="00940F86">
      <w:pPr>
        <w:keepNext/>
        <w:spacing w:before="240" w:after="200" w:line="276" w:lineRule="auto"/>
        <w:rPr>
          <w:rFonts w:ascii="Times New Roman" w:eastAsia="Calibri" w:hAnsi="Times New Roman" w:cs="Times New Roman"/>
          <w:noProof/>
          <w:lang w:val="de-DE"/>
        </w:rPr>
      </w:pPr>
      <w:r w:rsidRPr="00474A07">
        <w:rPr>
          <w:rFonts w:ascii="Times New Roman" w:hAnsi="Times New Roman"/>
          <w:b/>
          <w:i/>
          <w:noProof/>
          <w:sz w:val="24"/>
          <w:u w:val="single"/>
          <w:lang w:val="de-DE"/>
        </w:rPr>
        <w:lastRenderedPageBreak/>
        <w:t>Tabelle 4:</w:t>
      </w:r>
      <w:r w:rsidRPr="00474A07">
        <w:rPr>
          <w:rFonts w:ascii="Times New Roman" w:hAnsi="Times New Roman"/>
          <w:noProof/>
          <w:lang w:val="de-DE"/>
        </w:rPr>
        <w:t xml:space="preserve"> Anzahl der Zahlungskonten mit grundlegenden Funktionen</w:t>
      </w:r>
      <w:r>
        <w:rPr>
          <w:rStyle w:val="FootnoteReference"/>
          <w:noProof/>
        </w:rPr>
        <w:footnoteReference w:id="14"/>
      </w:r>
    </w:p>
    <w:p w14:paraId="192E820A" w14:textId="736C7821" w:rsidR="005E550E" w:rsidRPr="00CD2699" w:rsidRDefault="00D32F27" w:rsidP="009818E2">
      <w:pPr>
        <w:spacing w:after="200" w:line="276" w:lineRule="auto"/>
        <w:jc w:val="center"/>
        <w:rPr>
          <w:rFonts w:ascii="Times New Roman" w:eastAsia="Calibri" w:hAnsi="Times New Roman" w:cs="Times New Roman"/>
          <w:noProof/>
          <w:sz w:val="24"/>
        </w:rPr>
      </w:pPr>
      <w:r w:rsidRPr="00D32F27">
        <w:rPr>
          <w:noProof/>
          <w:lang w:val="en-GB" w:eastAsia="en-GB"/>
        </w:rPr>
        <w:drawing>
          <wp:inline distT="0" distB="0" distL="0" distR="0" wp14:anchorId="77F01746" wp14:editId="3606BB38">
            <wp:extent cx="5430741" cy="556422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42802" cy="5576583"/>
                    </a:xfrm>
                    <a:prstGeom prst="rect">
                      <a:avLst/>
                    </a:prstGeom>
                    <a:noFill/>
                    <a:ln>
                      <a:noFill/>
                    </a:ln>
                  </pic:spPr>
                </pic:pic>
              </a:graphicData>
            </a:graphic>
          </wp:inline>
        </w:drawing>
      </w:r>
    </w:p>
    <w:p w14:paraId="25BF4C09" w14:textId="77777777" w:rsidR="005E550E" w:rsidRPr="00474A07" w:rsidRDefault="005E550E" w:rsidP="00553EEA">
      <w:pPr>
        <w:spacing w:after="200" w:line="240" w:lineRule="auto"/>
        <w:jc w:val="both"/>
        <w:rPr>
          <w:rFonts w:ascii="Times New Roman" w:eastAsia="Calibri" w:hAnsi="Times New Roman" w:cs="Times New Roman"/>
          <w:noProof/>
          <w:sz w:val="24"/>
          <w:lang w:val="de-DE"/>
        </w:rPr>
      </w:pPr>
      <w:r w:rsidRPr="00474A07">
        <w:rPr>
          <w:rFonts w:ascii="Times New Roman" w:hAnsi="Times New Roman"/>
          <w:noProof/>
          <w:sz w:val="24"/>
          <w:lang w:val="de-DE"/>
        </w:rPr>
        <w:t xml:space="preserve">Aus der Tabelle geht hervor, dass während des Zeitraums, für den Daten gemeldet wurden, eine beträchtliche Anzahl von Zahlungskonten mit grundlegenden Funktionen eröffnet wurde. In einigen der Mitgliedstaaten beispielsweise, in denen der Anteil der Bevölkerung ohne Zahlungskonto zuvor höher war, (z. B. Griechenland, Litauen, Tschechische Republik und Zypern) ist eine besonders hohe Nutzung dieser Konten zu verzeichnen. In anderen </w:t>
      </w:r>
      <w:r w:rsidRPr="00474A07">
        <w:rPr>
          <w:rFonts w:ascii="Times New Roman" w:hAnsi="Times New Roman"/>
          <w:noProof/>
          <w:sz w:val="24"/>
          <w:lang w:val="de-DE"/>
        </w:rPr>
        <w:lastRenderedPageBreak/>
        <w:t>Mitgliedstaaten hingegen (z. B. Bulgarien, Kroatien, Lettland, Polen und Rumänien) waren die Zahlen eher gering.</w:t>
      </w:r>
      <w:r>
        <w:rPr>
          <w:rStyle w:val="FootnoteReference"/>
          <w:rFonts w:ascii="Times New Roman" w:eastAsia="Calibri" w:hAnsi="Times New Roman" w:cs="Times New Roman"/>
          <w:noProof/>
          <w:sz w:val="24"/>
        </w:rPr>
        <w:footnoteReference w:id="15"/>
      </w:r>
      <w:r w:rsidRPr="00474A07">
        <w:rPr>
          <w:noProof/>
          <w:lang w:val="de-DE"/>
        </w:rPr>
        <w:t xml:space="preserve"> </w:t>
      </w:r>
    </w:p>
    <w:p w14:paraId="177CF782" w14:textId="77777777" w:rsidR="005E550E" w:rsidRPr="00474A07" w:rsidRDefault="005E550E" w:rsidP="005E550E">
      <w:pPr>
        <w:numPr>
          <w:ilvl w:val="0"/>
          <w:numId w:val="5"/>
        </w:numPr>
        <w:spacing w:after="200" w:line="240" w:lineRule="auto"/>
        <w:contextualSpacing/>
        <w:jc w:val="both"/>
        <w:rPr>
          <w:rFonts w:ascii="Times New Roman" w:eastAsia="Calibri" w:hAnsi="Times New Roman" w:cs="Times New Roman"/>
          <w:b/>
          <w:noProof/>
          <w:sz w:val="24"/>
          <w:lang w:val="de-DE"/>
        </w:rPr>
      </w:pPr>
      <w:r w:rsidRPr="00474A07">
        <w:rPr>
          <w:rFonts w:ascii="Times New Roman" w:hAnsi="Times New Roman"/>
          <w:b/>
          <w:noProof/>
          <w:sz w:val="24"/>
          <w:lang w:val="de-DE"/>
        </w:rPr>
        <w:t>Anzahl (und Anteil) der abgelehnten Anträge auf ein Zahlungskonto mit grundlegenden Funktionen</w:t>
      </w:r>
    </w:p>
    <w:p w14:paraId="30300487" w14:textId="77777777" w:rsidR="005E550E" w:rsidRPr="00474A07" w:rsidRDefault="005E550E" w:rsidP="005E550E">
      <w:pPr>
        <w:spacing w:after="0" w:line="240" w:lineRule="auto"/>
        <w:jc w:val="both"/>
        <w:rPr>
          <w:rFonts w:ascii="Times New Roman" w:eastAsia="Calibri" w:hAnsi="Times New Roman" w:cs="Times New Roman"/>
          <w:noProof/>
          <w:sz w:val="24"/>
          <w:lang w:val="de-DE"/>
        </w:rPr>
      </w:pPr>
    </w:p>
    <w:p w14:paraId="770F008B" w14:textId="2A949AC5" w:rsidR="005E550E" w:rsidRPr="00474A07" w:rsidRDefault="005E550E" w:rsidP="005E550E">
      <w:pPr>
        <w:spacing w:after="0" w:line="240" w:lineRule="auto"/>
        <w:jc w:val="both"/>
        <w:rPr>
          <w:rFonts w:ascii="Times New Roman" w:eastAsia="Calibri" w:hAnsi="Times New Roman" w:cs="Times New Roman"/>
          <w:noProof/>
          <w:sz w:val="24"/>
          <w:lang w:val="de-DE"/>
        </w:rPr>
      </w:pPr>
      <w:r w:rsidRPr="00474A07">
        <w:rPr>
          <w:rFonts w:ascii="Times New Roman" w:hAnsi="Times New Roman"/>
          <w:noProof/>
          <w:sz w:val="24"/>
          <w:lang w:val="de-DE"/>
        </w:rPr>
        <w:t xml:space="preserve">Die Daten über die Anzahl der abgelehnten Anträge auf ein Zahlungskonto mit grundlegenden Funktionen wurden von den Mitgliedstaaten erhoben (siehe nachstehende Tabelle). </w:t>
      </w:r>
      <w:bookmarkStart w:id="37" w:name="_Hlk106265659"/>
      <w:r w:rsidRPr="00474A07">
        <w:rPr>
          <w:rFonts w:ascii="Times New Roman" w:hAnsi="Times New Roman"/>
          <w:noProof/>
          <w:sz w:val="24"/>
          <w:lang w:val="de-DE"/>
        </w:rPr>
        <w:t>Die jeweiligen Anteile wurden berechnet, indem die Zahl der eröffneten Zahlungskonten mit grundlegenden Funktionen und die Zahl der abgelehnten Anträge auf ein Zahlungskonto mit grundlegenden Funktionen als Prozentsatz aller Anträge zugrunde gelegt wurden</w:t>
      </w:r>
      <w:r w:rsidRPr="00474A07">
        <w:rPr>
          <w:noProof/>
          <w:lang w:val="de-DE"/>
        </w:rPr>
        <w:t>.</w:t>
      </w:r>
      <w:bookmarkEnd w:id="37"/>
      <w:r>
        <w:rPr>
          <w:rStyle w:val="FootnoteReference"/>
          <w:noProof/>
        </w:rPr>
        <w:footnoteReference w:id="16"/>
      </w:r>
      <w:r w:rsidRPr="00474A07">
        <w:rPr>
          <w:rFonts w:ascii="Times New Roman" w:hAnsi="Times New Roman"/>
          <w:noProof/>
          <w:sz w:val="24"/>
          <w:lang w:val="de-DE"/>
        </w:rPr>
        <w:t xml:space="preserve"> Für die Daten gelten die gleichen Vorbehalte wie oben: So sind auch hier nicht alle Informationen verfügbar und die Daten möglicherweise nicht vollständig vergleichbar.</w:t>
      </w:r>
    </w:p>
    <w:p w14:paraId="22024485" w14:textId="2544BE61" w:rsidR="00014E41" w:rsidRPr="00474A07" w:rsidRDefault="00014E41" w:rsidP="005E550E">
      <w:pPr>
        <w:spacing w:after="0" w:line="240" w:lineRule="auto"/>
        <w:jc w:val="both"/>
        <w:rPr>
          <w:rFonts w:ascii="Times New Roman" w:eastAsia="Calibri" w:hAnsi="Times New Roman" w:cs="Times New Roman"/>
          <w:noProof/>
          <w:sz w:val="24"/>
          <w:lang w:val="de-DE"/>
        </w:rPr>
      </w:pPr>
    </w:p>
    <w:p w14:paraId="73E6B4C0" w14:textId="77777777" w:rsidR="005E550E" w:rsidRPr="00474A07" w:rsidRDefault="005E550E" w:rsidP="005E550E">
      <w:pPr>
        <w:spacing w:after="200" w:line="276" w:lineRule="auto"/>
        <w:jc w:val="both"/>
        <w:rPr>
          <w:rFonts w:ascii="Times New Roman" w:eastAsia="Calibri" w:hAnsi="Times New Roman" w:cs="Times New Roman"/>
          <w:i/>
          <w:noProof/>
          <w:sz w:val="24"/>
          <w:lang w:val="de-DE"/>
        </w:rPr>
      </w:pPr>
      <w:r w:rsidRPr="00474A07">
        <w:rPr>
          <w:rFonts w:ascii="Times New Roman" w:hAnsi="Times New Roman"/>
          <w:b/>
          <w:i/>
          <w:noProof/>
          <w:sz w:val="24"/>
          <w:u w:val="single"/>
          <w:lang w:val="de-DE"/>
        </w:rPr>
        <w:t>Tabelle 5:</w:t>
      </w:r>
      <w:r w:rsidRPr="00474A07">
        <w:rPr>
          <w:rFonts w:ascii="Times New Roman" w:hAnsi="Times New Roman"/>
          <w:b/>
          <w:i/>
          <w:noProof/>
          <w:sz w:val="24"/>
          <w:lang w:val="de-DE"/>
        </w:rPr>
        <w:t xml:space="preserve"> </w:t>
      </w:r>
      <w:r w:rsidRPr="00474A07">
        <w:rPr>
          <w:rFonts w:ascii="Times New Roman" w:hAnsi="Times New Roman"/>
          <w:i/>
          <w:noProof/>
          <w:sz w:val="24"/>
          <w:lang w:val="de-DE"/>
        </w:rPr>
        <w:t>Anzahl und Anteil der abgelehnten Anträge auf ein Zahlungskonto mit grundlegenden Funktionen</w:t>
      </w:r>
      <w:r>
        <w:rPr>
          <w:rStyle w:val="FootnoteReference"/>
          <w:noProof/>
        </w:rPr>
        <w:footnoteReference w:id="17"/>
      </w:r>
    </w:p>
    <w:p w14:paraId="74B11126" w14:textId="4F7CFA5C" w:rsidR="005E550E" w:rsidRPr="00CD2699" w:rsidRDefault="00D32F27" w:rsidP="005E550E">
      <w:pPr>
        <w:spacing w:after="200" w:line="276" w:lineRule="auto"/>
        <w:jc w:val="both"/>
        <w:rPr>
          <w:rFonts w:ascii="Times New Roman" w:eastAsia="Calibri" w:hAnsi="Times New Roman" w:cs="Times New Roman"/>
          <w:b/>
          <w:i/>
          <w:noProof/>
          <w:sz w:val="24"/>
        </w:rPr>
      </w:pPr>
      <w:r w:rsidRPr="00D32F27">
        <w:rPr>
          <w:noProof/>
          <w:lang w:val="en-GB" w:eastAsia="en-GB"/>
        </w:rPr>
        <w:lastRenderedPageBreak/>
        <w:drawing>
          <wp:inline distT="0" distB="0" distL="0" distR="0" wp14:anchorId="74B1679B" wp14:editId="6CC4AFBB">
            <wp:extent cx="5760720" cy="4469536"/>
            <wp:effectExtent l="0" t="0" r="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60720" cy="4469536"/>
                    </a:xfrm>
                    <a:prstGeom prst="rect">
                      <a:avLst/>
                    </a:prstGeom>
                    <a:noFill/>
                    <a:ln>
                      <a:noFill/>
                    </a:ln>
                  </pic:spPr>
                </pic:pic>
              </a:graphicData>
            </a:graphic>
          </wp:inline>
        </w:drawing>
      </w:r>
    </w:p>
    <w:p w14:paraId="432C684C" w14:textId="03E763BB" w:rsidR="005E550E" w:rsidRPr="00474A07" w:rsidRDefault="005E550E" w:rsidP="005E550E">
      <w:pPr>
        <w:spacing w:before="240" w:after="0" w:line="240" w:lineRule="auto"/>
        <w:jc w:val="both"/>
        <w:rPr>
          <w:rFonts w:ascii="Times New Roman" w:eastAsia="Calibri" w:hAnsi="Times New Roman" w:cs="Times New Roman"/>
          <w:noProof/>
          <w:sz w:val="24"/>
          <w:lang w:val="de-DE"/>
        </w:rPr>
      </w:pPr>
      <w:r w:rsidRPr="00474A07">
        <w:rPr>
          <w:rFonts w:ascii="Times New Roman" w:hAnsi="Times New Roman"/>
          <w:noProof/>
          <w:sz w:val="24"/>
          <w:lang w:val="de-DE"/>
        </w:rPr>
        <w:t>Aus den Daten geht hervor, dass die Zahlen der abgelehnten Anträge auf ein Zahlungskonto mit grundlegenden Funktionen im Allgemeinen sehr niedrig sind; in einigen wenigen Mitgliedstaaten (z. B. Bulgarien oder Frankreich) wurden überhaupt keine Anträge abgelehnt.</w:t>
      </w:r>
      <w:r>
        <w:rPr>
          <w:rStyle w:val="FootnoteReference"/>
          <w:rFonts w:ascii="Times New Roman" w:eastAsia="Calibri" w:hAnsi="Times New Roman" w:cs="Times New Roman"/>
          <w:noProof/>
          <w:sz w:val="24"/>
        </w:rPr>
        <w:footnoteReference w:id="18"/>
      </w:r>
      <w:r w:rsidRPr="00474A07">
        <w:rPr>
          <w:rFonts w:ascii="Times New Roman" w:hAnsi="Times New Roman"/>
          <w:noProof/>
          <w:sz w:val="24"/>
          <w:lang w:val="de-DE"/>
        </w:rPr>
        <w:t xml:space="preserve"> In manchen Mitgliedstaaten jedoch ist die Ablehnungsquote geringfügig höher, und in einem Mitgliedstaat (Lettland) scheinen besonders viele Anträge abgelehnt worden zu sein.</w:t>
      </w:r>
    </w:p>
    <w:p w14:paraId="47EBD21F" w14:textId="28872932" w:rsidR="005E550E" w:rsidRPr="00474A07" w:rsidRDefault="005E550E" w:rsidP="005E550E">
      <w:pPr>
        <w:spacing w:after="200" w:line="276" w:lineRule="auto"/>
        <w:rPr>
          <w:rFonts w:ascii="Calibri" w:eastAsia="Calibri" w:hAnsi="Calibri" w:cs="Times New Roman"/>
          <w:noProof/>
          <w:lang w:val="de-DE"/>
        </w:rPr>
      </w:pPr>
    </w:p>
    <w:p w14:paraId="3CE8B7B8" w14:textId="77777777" w:rsidR="005E550E" w:rsidRPr="00CD2699" w:rsidRDefault="005E550E" w:rsidP="005E550E">
      <w:pPr>
        <w:keepNext/>
        <w:keepLines/>
        <w:numPr>
          <w:ilvl w:val="0"/>
          <w:numId w:val="1"/>
        </w:numPr>
        <w:spacing w:after="0" w:line="240" w:lineRule="auto"/>
        <w:jc w:val="both"/>
        <w:outlineLvl w:val="0"/>
        <w:rPr>
          <w:rFonts w:ascii="Times New Roman" w:eastAsia="Times New Roman" w:hAnsi="Times New Roman" w:cs="Times New Roman"/>
          <w:b/>
          <w:noProof/>
          <w:sz w:val="24"/>
        </w:rPr>
      </w:pPr>
      <w:bookmarkStart w:id="39" w:name="_Toc67511949"/>
      <w:bookmarkStart w:id="40" w:name="_Toc129956461"/>
      <w:r>
        <w:rPr>
          <w:rFonts w:ascii="Times New Roman" w:hAnsi="Times New Roman"/>
          <w:b/>
          <w:noProof/>
          <w:sz w:val="24"/>
        </w:rPr>
        <w:t>SCHLUSSFOLGERUNG</w:t>
      </w:r>
      <w:bookmarkEnd w:id="39"/>
      <w:bookmarkEnd w:id="40"/>
    </w:p>
    <w:p w14:paraId="46DCDA1F" w14:textId="77777777" w:rsidR="005E550E" w:rsidRPr="00CD2699" w:rsidRDefault="005E550E" w:rsidP="005E550E">
      <w:pPr>
        <w:spacing w:after="0" w:line="240" w:lineRule="auto"/>
        <w:jc w:val="both"/>
        <w:rPr>
          <w:rFonts w:ascii="Times New Roman" w:eastAsia="Calibri" w:hAnsi="Times New Roman" w:cs="Times New Roman"/>
          <w:noProof/>
          <w:sz w:val="24"/>
        </w:rPr>
      </w:pPr>
    </w:p>
    <w:p w14:paraId="21A8ADA8" w14:textId="77777777" w:rsidR="005E550E" w:rsidRPr="00474A07" w:rsidRDefault="005E550E" w:rsidP="005E550E">
      <w:pPr>
        <w:spacing w:after="0" w:line="240" w:lineRule="auto"/>
        <w:jc w:val="both"/>
        <w:rPr>
          <w:rFonts w:ascii="Times New Roman" w:eastAsia="Calibri" w:hAnsi="Times New Roman" w:cs="Times New Roman"/>
          <w:noProof/>
          <w:sz w:val="24"/>
          <w:lang w:val="de-DE"/>
        </w:rPr>
      </w:pPr>
      <w:r w:rsidRPr="00474A07">
        <w:rPr>
          <w:rFonts w:ascii="Times New Roman" w:hAnsi="Times New Roman"/>
          <w:noProof/>
          <w:sz w:val="24"/>
          <w:lang w:val="de-DE"/>
        </w:rPr>
        <w:t>Aufgrund des Zeitraums, in dem die Daten erhoben wurden, und der unterschiedlichen Methoden der Datenerhebung ist es schwierig, endgültige Schlussfolgerungen über die Wirkung der Richtlinie vor Ort zu ziehen. Der Bericht bestätigt jedoch, dass die wichtigsten Maßnahmen der Richtlinie – in Bezug auf Transparenz und Vergleichbarkeit, den Kontowechsel-Service und das Recht auf ein Zahlungskonto mit grundlegenden Funktionen – im Allgemeinen umgesetzt wurden.</w:t>
      </w:r>
    </w:p>
    <w:p w14:paraId="5F1ACA11" w14:textId="77777777" w:rsidR="005E550E" w:rsidRPr="00474A07" w:rsidRDefault="005E550E" w:rsidP="005E550E">
      <w:pPr>
        <w:spacing w:before="240" w:after="0" w:line="240" w:lineRule="auto"/>
        <w:jc w:val="both"/>
        <w:rPr>
          <w:rFonts w:ascii="Times New Roman" w:eastAsia="Calibri" w:hAnsi="Times New Roman" w:cs="Times New Roman"/>
          <w:noProof/>
          <w:sz w:val="24"/>
          <w:lang w:val="de-DE"/>
        </w:rPr>
      </w:pPr>
      <w:r w:rsidRPr="00474A07">
        <w:rPr>
          <w:rFonts w:ascii="Times New Roman" w:hAnsi="Times New Roman"/>
          <w:noProof/>
          <w:sz w:val="24"/>
          <w:lang w:val="de-DE"/>
        </w:rPr>
        <w:t xml:space="preserve">Trotz gewisser Vorbehalte aufgrund von Datenlücken und unterschiedlichen Datenerhebungsmethoden scheinen die Daten darauf hinzudeuten, dass in einigen </w:t>
      </w:r>
      <w:r w:rsidRPr="00474A07">
        <w:rPr>
          <w:rFonts w:ascii="Times New Roman" w:hAnsi="Times New Roman"/>
          <w:noProof/>
          <w:sz w:val="24"/>
          <w:lang w:val="de-DE"/>
        </w:rPr>
        <w:lastRenderedPageBreak/>
        <w:t xml:space="preserve">Mitgliedstaaten eine beträchtliche Zahl von Kontowechseln vorgenommen wurde, wobei in einigen Fällen eine steigende Tendenz zu verzeichnen ist. In anderen Mitgliedstaaten hingegen sind die Zahlen sehr gering. </w:t>
      </w:r>
      <w:r w:rsidRPr="00474A07">
        <w:rPr>
          <w:rFonts w:ascii="Times New Roman" w:hAnsi="Times New Roman"/>
          <w:noProof/>
          <w:lang w:val="de-DE"/>
        </w:rPr>
        <w:t>Die Zahl der abgelehnten Anträge auf Wechsel scheint im Allgemeinen gering zu sein, wenngleich sie in einigen Mitgliedstaaten hoch ist.</w:t>
      </w:r>
    </w:p>
    <w:p w14:paraId="21C6C552" w14:textId="77777777" w:rsidR="005E550E" w:rsidRPr="00474A07" w:rsidRDefault="005E550E" w:rsidP="005E550E">
      <w:pPr>
        <w:spacing w:before="240" w:after="0" w:line="240" w:lineRule="auto"/>
        <w:jc w:val="both"/>
        <w:rPr>
          <w:rFonts w:ascii="Times New Roman" w:eastAsia="Calibri" w:hAnsi="Times New Roman" w:cs="Times New Roman"/>
          <w:noProof/>
          <w:sz w:val="24"/>
          <w:lang w:val="de-DE"/>
        </w:rPr>
      </w:pPr>
      <w:r w:rsidRPr="00474A07">
        <w:rPr>
          <w:rFonts w:ascii="Times New Roman" w:hAnsi="Times New Roman"/>
          <w:noProof/>
          <w:sz w:val="24"/>
          <w:lang w:val="de-DE"/>
        </w:rPr>
        <w:t>Im Hinblick auf Zahlungskonten mit grundlegenden Funktionen zeigen die Daten, dass in den meisten Mitgliedstaaten alle Kreditinstitute, die normale Zahlungskonten anbieten, auch Zahlungskonten mit grundlegenden Funktionen im Angebot haben müssen. In anderen Mitgliedstaaten sind jedoch nur manche Kreditinstitute verpflichtet, Zahlungskonten mit grundlegenden Funktionen anzubieten, nämlich diejenigen, die bestimmte, von dem betreffenden Mitgliedstaat festgelegte Kriterien erfüllen. In den letztgenannten Fällen scheinen jedoch diejenigen Kreditinstitute, die einer solchen Pflicht unterliegen, im Allgemeinen einen großen Marktanteil zu haben. Weiterhin ist den Daten zu entnehmen, dass während des Zeitraums, für den Daten gemeldet wurden, eine beträchtliche Anzahl von Zahlungskonten mit grundlegenden Funktionen eröffnet wurde; in einigen Mitgliedstaaten waren die Zahlen jedoch gering. Dennoch ist in einigen Mitgliedstaaten, in denen der Anteil der Bevölkerung ohne Zahlungskonto zuvor höher war, eine besonders hohe Nutzung dieser Konten zu verzeichnen. Die Zahlen der abgelehnten Anträge auf ein Konto mit grundlegenden Funktionen scheinen im Allgemeinen sehr niedrig zu sein. In einigen Mitgliedstaaten jedoch ist die Ablehnungsquote geringfügig höher, und in einem Mitgliedstaat scheinen besonders viele Anträge abgelehnt worden zu sein.</w:t>
      </w:r>
    </w:p>
    <w:p w14:paraId="618C97C7" w14:textId="77777777" w:rsidR="005E550E" w:rsidRPr="00474A07" w:rsidRDefault="005E550E" w:rsidP="005E550E">
      <w:pPr>
        <w:spacing w:before="240" w:after="0" w:line="240" w:lineRule="auto"/>
        <w:jc w:val="both"/>
        <w:rPr>
          <w:rFonts w:ascii="Times New Roman" w:eastAsia="Calibri" w:hAnsi="Times New Roman" w:cs="Times New Roman"/>
          <w:noProof/>
          <w:sz w:val="24"/>
          <w:lang w:val="de-DE"/>
        </w:rPr>
      </w:pPr>
      <w:r w:rsidRPr="00474A07">
        <w:rPr>
          <w:rFonts w:ascii="Times New Roman" w:hAnsi="Times New Roman"/>
          <w:noProof/>
          <w:sz w:val="24"/>
          <w:lang w:val="de-DE"/>
        </w:rPr>
        <w:t xml:space="preserve">Um künftig für eine bessere Verfügbarkeit und Vergleichbarkeit der Daten zu sorgen, arbeitet die Kommission derzeit an einer Einigung mit den Mitgliedstaaten über die zu erhebenden bzw. zu übermittelnden einschlägigen Datensätze. </w:t>
      </w:r>
    </w:p>
    <w:p w14:paraId="677B6060" w14:textId="77777777" w:rsidR="005E550E" w:rsidRPr="00474A07" w:rsidRDefault="005E550E" w:rsidP="005E550E">
      <w:pPr>
        <w:rPr>
          <w:rFonts w:ascii="Times New Roman" w:eastAsia="Calibri" w:hAnsi="Times New Roman" w:cs="Times New Roman"/>
          <w:noProof/>
          <w:sz w:val="24"/>
          <w:lang w:val="de-DE"/>
        </w:rPr>
      </w:pPr>
    </w:p>
    <w:bookmarkEnd w:id="12"/>
    <w:bookmarkEnd w:id="13"/>
    <w:bookmarkEnd w:id="14"/>
    <w:bookmarkEnd w:id="15"/>
    <w:bookmarkEnd w:id="16"/>
    <w:bookmarkEnd w:id="17"/>
    <w:bookmarkEnd w:id="18"/>
    <w:bookmarkEnd w:id="19"/>
    <w:sectPr w:rsidR="005E550E" w:rsidRPr="00474A07" w:rsidSect="00A03713">
      <w:headerReference w:type="even" r:id="rId20"/>
      <w:headerReference w:type="default" r:id="rId21"/>
      <w:footerReference w:type="even" r:id="rId22"/>
      <w:footerReference w:type="default" r:id="rId23"/>
      <w:headerReference w:type="first" r:id="rId24"/>
      <w:footerReference w:type="first" r:id="rId25"/>
      <w:pgSz w:w="11906" w:h="16838"/>
      <w:pgMar w:top="1417" w:right="1417" w:bottom="1417" w:left="1417"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75EF0F" w14:textId="77777777" w:rsidR="00427E0C" w:rsidRPr="00CD2699" w:rsidRDefault="00427E0C" w:rsidP="00FA1AC8">
      <w:pPr>
        <w:spacing w:after="0" w:line="240" w:lineRule="auto"/>
      </w:pPr>
      <w:r>
        <w:separator/>
      </w:r>
    </w:p>
  </w:endnote>
  <w:endnote w:type="continuationSeparator" w:id="0">
    <w:p w14:paraId="3EF3BD71" w14:textId="77777777" w:rsidR="00427E0C" w:rsidRPr="00CD2699" w:rsidRDefault="00427E0C" w:rsidP="00FA1AC8">
      <w:pPr>
        <w:spacing w:after="0" w:line="240" w:lineRule="auto"/>
      </w:pPr>
      <w:r>
        <w:continuationSeparator/>
      </w:r>
    </w:p>
  </w:endnote>
  <w:endnote w:type="continuationNotice" w:id="1">
    <w:p w14:paraId="440EE433" w14:textId="77777777" w:rsidR="00427E0C" w:rsidRDefault="00427E0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8E8B0" w14:textId="77777777" w:rsidR="009D1EA8" w:rsidRPr="009D1EA8" w:rsidRDefault="009D1EA8" w:rsidP="009D1E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D594D" w14:textId="19F2FAEF" w:rsidR="00474A07" w:rsidRPr="009D1EA8" w:rsidRDefault="009D1EA8" w:rsidP="009D1EA8">
    <w:pPr>
      <w:pStyle w:val="FooterCoverPage"/>
      <w:rPr>
        <w:rFonts w:ascii="Arial" w:hAnsi="Arial" w:cs="Arial"/>
        <w:b/>
        <w:sz w:val="48"/>
      </w:rPr>
    </w:pPr>
    <w:r w:rsidRPr="009D1EA8">
      <w:rPr>
        <w:rFonts w:ascii="Arial" w:hAnsi="Arial" w:cs="Arial"/>
        <w:b/>
        <w:sz w:val="48"/>
      </w:rPr>
      <w:t>DE</w:t>
    </w:r>
    <w:r w:rsidRPr="009D1EA8">
      <w:rPr>
        <w:rFonts w:ascii="Arial" w:hAnsi="Arial" w:cs="Arial"/>
        <w:b/>
        <w:sz w:val="48"/>
      </w:rPr>
      <w:tab/>
    </w:r>
    <w:r w:rsidRPr="009D1EA8">
      <w:rPr>
        <w:rFonts w:ascii="Arial" w:hAnsi="Arial" w:cs="Arial"/>
        <w:b/>
        <w:sz w:val="48"/>
      </w:rPr>
      <w:tab/>
    </w:r>
    <w:r w:rsidRPr="009D1EA8">
      <w:tab/>
    </w:r>
    <w:r w:rsidRPr="009D1EA8">
      <w:rPr>
        <w:rFonts w:ascii="Arial" w:hAnsi="Arial" w:cs="Arial"/>
        <w:b/>
        <w:sz w:val="48"/>
      </w:rPr>
      <w:t>DE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FEF88" w14:textId="77777777" w:rsidR="009D1EA8" w:rsidRPr="009D1EA8" w:rsidRDefault="009D1EA8" w:rsidP="009D1EA8">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17156" w14:textId="77777777" w:rsidR="00B110AE" w:rsidRPr="00CD2699" w:rsidRDefault="00940F8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rPr>
      <w:id w:val="-2006977253"/>
      <w:docPartObj>
        <w:docPartGallery w:val="Page Numbers (Bottom of Page)"/>
        <w:docPartUnique/>
      </w:docPartObj>
    </w:sdtPr>
    <w:sdtEndPr/>
    <w:sdtContent>
      <w:p w14:paraId="46BFA740" w14:textId="79961FCD" w:rsidR="00B110AE" w:rsidRPr="00CD2699" w:rsidRDefault="00FA1AC8">
        <w:pPr>
          <w:pStyle w:val="Footer"/>
          <w:jc w:val="center"/>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 PAGE   \* MERGEFORMAT </w:instrText>
        </w:r>
        <w:r>
          <w:rPr>
            <w:rFonts w:ascii="Times New Roman" w:hAnsi="Times New Roman" w:cs="Times New Roman"/>
            <w:sz w:val="24"/>
          </w:rPr>
          <w:fldChar w:fldCharType="separate"/>
        </w:r>
        <w:r w:rsidR="009D1EA8">
          <w:rPr>
            <w:rFonts w:ascii="Times New Roman" w:hAnsi="Times New Roman" w:cs="Times New Roman"/>
            <w:noProof/>
            <w:sz w:val="24"/>
          </w:rPr>
          <w:t>1</w:t>
        </w:r>
        <w:r>
          <w:rPr>
            <w:rFonts w:ascii="Times New Roman" w:hAnsi="Times New Roman" w:cs="Times New Roman"/>
            <w:sz w:val="24"/>
          </w:rPr>
          <w:fldChar w:fldCharType="end"/>
        </w:r>
      </w:p>
    </w:sdtContent>
  </w:sdt>
  <w:p w14:paraId="41802501" w14:textId="77777777" w:rsidR="00B110AE" w:rsidRPr="00CD2699" w:rsidRDefault="00940F86">
    <w:pPr>
      <w:pStyle w:val="Footer"/>
      <w:rPr>
        <w:rFonts w:ascii="Times New Roman" w:hAnsi="Times New Roman" w:cs="Times New Roman"/>
        <w:sz w:val="2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C9B63" w14:textId="77777777" w:rsidR="00B110AE" w:rsidRPr="00CD2699" w:rsidRDefault="00940F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8A75CD" w14:textId="77777777" w:rsidR="00427E0C" w:rsidRPr="00CD2699" w:rsidRDefault="00427E0C" w:rsidP="00FA1AC8">
      <w:pPr>
        <w:spacing w:after="0" w:line="240" w:lineRule="auto"/>
      </w:pPr>
      <w:r>
        <w:separator/>
      </w:r>
    </w:p>
  </w:footnote>
  <w:footnote w:type="continuationSeparator" w:id="0">
    <w:p w14:paraId="21BA5BAB" w14:textId="77777777" w:rsidR="00427E0C" w:rsidRPr="00CD2699" w:rsidRDefault="00427E0C" w:rsidP="00FA1AC8">
      <w:pPr>
        <w:spacing w:after="0" w:line="240" w:lineRule="auto"/>
      </w:pPr>
      <w:r>
        <w:continuationSeparator/>
      </w:r>
    </w:p>
  </w:footnote>
  <w:footnote w:type="continuationNotice" w:id="1">
    <w:p w14:paraId="223AC735" w14:textId="77777777" w:rsidR="00427E0C" w:rsidRDefault="00427E0C">
      <w:pPr>
        <w:spacing w:after="0" w:line="240" w:lineRule="auto"/>
      </w:pPr>
    </w:p>
  </w:footnote>
  <w:footnote w:id="2">
    <w:p w14:paraId="741122EE" w14:textId="77777777" w:rsidR="005E550E" w:rsidRPr="00474A07" w:rsidRDefault="005E550E" w:rsidP="005E550E">
      <w:pPr>
        <w:pStyle w:val="Footno1"/>
        <w:jc w:val="both"/>
        <w:rPr>
          <w:lang w:val="de-DE"/>
        </w:rPr>
      </w:pPr>
      <w:r>
        <w:rPr>
          <w:rStyle w:val="FootnoteReference"/>
        </w:rPr>
        <w:footnoteRef/>
      </w:r>
      <w:r w:rsidRPr="00474A07">
        <w:rPr>
          <w:lang w:val="de-DE"/>
        </w:rPr>
        <w:t xml:space="preserve"> </w:t>
      </w:r>
      <w:r w:rsidRPr="00474A07">
        <w:rPr>
          <w:lang w:val="de-DE"/>
        </w:rPr>
        <w:tab/>
      </w:r>
      <w:r w:rsidRPr="00474A07">
        <w:rPr>
          <w:rFonts w:ascii="Times New Roman" w:hAnsi="Times New Roman"/>
          <w:lang w:val="de-DE"/>
        </w:rPr>
        <w:t>Richtlinie 2014/92/EU des Europäischen Parlaments und des Rates vom 23. Juli 2014 über die Vergleichbarkeit von Zahlungskontoentgelten, den Wechsel von Zahlungskonten und den Zugang zu Zahlungskonten mit grundlegenden Funktionen (ABl. L 257 vom 28.8.2014, S. 214).</w:t>
      </w:r>
    </w:p>
  </w:footnote>
  <w:footnote w:id="3">
    <w:p w14:paraId="5075FE5E" w14:textId="77777777" w:rsidR="005E550E" w:rsidRPr="00474A07" w:rsidRDefault="005E550E" w:rsidP="005E550E">
      <w:pPr>
        <w:pStyle w:val="FootnoteText"/>
        <w:jc w:val="both"/>
        <w:rPr>
          <w:lang w:val="de-DE"/>
        </w:rPr>
      </w:pPr>
      <w:r>
        <w:rPr>
          <w:rStyle w:val="FootnoteReference"/>
        </w:rPr>
        <w:footnoteRef/>
      </w:r>
      <w:r w:rsidRPr="00474A07">
        <w:rPr>
          <w:lang w:val="de-DE"/>
        </w:rPr>
        <w:t xml:space="preserve"> </w:t>
      </w:r>
      <w:r w:rsidRPr="00474A07">
        <w:rPr>
          <w:lang w:val="de-DE"/>
        </w:rPr>
        <w:tab/>
      </w:r>
      <w:r w:rsidRPr="00474A07">
        <w:rPr>
          <w:rFonts w:ascii="Times New Roman" w:hAnsi="Times New Roman"/>
          <w:lang w:val="de-DE"/>
        </w:rPr>
        <w:t>Die Vorlage dieses Berichts hat sich zum Teil verzögert, da zunächst abgewartet werden musste, bis die einschlägigen Daten verfügbar waren, weil die meisten Mitgliedstaaten die Richtlinie verspätet umgesetzt hatten. Darüber hinaus hatte sich die Annahme der delegierten Rechtsakte (technische Durchführungsstandards und technische Regulierungsstandards), die für die Umsetzung der Transparenzanforderungen der Richtlinie von entscheidender Bedeutung sind, ebenfalls verzögert, sodass sie erst im Oktober 2018 anwendbar wurden.</w:t>
      </w:r>
    </w:p>
  </w:footnote>
  <w:footnote w:id="4">
    <w:p w14:paraId="0DA13C57" w14:textId="631F2235" w:rsidR="00FA1AC8" w:rsidRPr="00474A07" w:rsidRDefault="00FA1AC8" w:rsidP="00FA1AC8">
      <w:pPr>
        <w:pStyle w:val="Footno1"/>
        <w:jc w:val="both"/>
        <w:rPr>
          <w:rFonts w:ascii="Times New Roman" w:hAnsi="Times New Roman"/>
          <w:lang w:val="de-DE"/>
        </w:rPr>
      </w:pPr>
      <w:r>
        <w:rPr>
          <w:rStyle w:val="FootnoteReference"/>
          <w:rFonts w:ascii="Times New Roman" w:hAnsi="Times New Roman" w:cs="Times New Roman"/>
        </w:rPr>
        <w:footnoteRef/>
      </w:r>
      <w:r w:rsidRPr="00474A07">
        <w:rPr>
          <w:lang w:val="de-DE"/>
        </w:rPr>
        <w:tab/>
      </w:r>
      <w:r w:rsidRPr="00474A07">
        <w:rPr>
          <w:rFonts w:ascii="Times New Roman" w:hAnsi="Times New Roman"/>
          <w:lang w:val="de-DE"/>
        </w:rPr>
        <w:t>Durchführungsverordnung (EU) 2018/34 der Kommission vom 28. September 2017 zur Festlegung technischer Durchführungsstandards für das standardisierte Format für die Entgeltinformation und des betreffenden gemeinsamen Symbols gemäß der Richtlinie 2014/92/EU des Europäischen Parlaments und des Rates (C/2017/6456) (ABl. L 6 vom 11.1.2018, S. 37).</w:t>
      </w:r>
    </w:p>
  </w:footnote>
  <w:footnote w:id="5">
    <w:p w14:paraId="7D94912C" w14:textId="4F274301" w:rsidR="00FA1AC8" w:rsidRPr="00474A07" w:rsidRDefault="00FA1AC8" w:rsidP="00DF42CF">
      <w:pPr>
        <w:pStyle w:val="Footno1"/>
        <w:jc w:val="both"/>
        <w:rPr>
          <w:rFonts w:ascii="Times New Roman" w:hAnsi="Times New Roman"/>
          <w:lang w:val="de-DE"/>
        </w:rPr>
      </w:pPr>
      <w:r>
        <w:rPr>
          <w:rStyle w:val="FootnoteReference"/>
          <w:rFonts w:ascii="Times New Roman" w:hAnsi="Times New Roman" w:cs="Times New Roman"/>
        </w:rPr>
        <w:footnoteRef/>
      </w:r>
      <w:r w:rsidRPr="00474A07">
        <w:rPr>
          <w:lang w:val="de-DE"/>
        </w:rPr>
        <w:tab/>
      </w:r>
      <w:r w:rsidRPr="00474A07">
        <w:rPr>
          <w:rFonts w:ascii="Times New Roman" w:hAnsi="Times New Roman"/>
          <w:lang w:val="de-DE"/>
        </w:rPr>
        <w:t>Durchführungsverordnung (EU) 2018/33 der Kommission vom 28. September 2017 zur Festlegung technischer Durchführungsstandards für das standardisierte Format für die Präsentation der Entgeltaufstellung und des betreffenden gemeinsamen Symbols gemäß der Richtlinie 2014/92/EU des Europäischen Parlaments und des Rates (C/2017/6453) (ABl. L 6 vom 11.1.2018, S. 26).</w:t>
      </w:r>
    </w:p>
  </w:footnote>
  <w:footnote w:id="6">
    <w:p w14:paraId="47922E55" w14:textId="2B7E35E2" w:rsidR="00FA1AC8" w:rsidRPr="00474A07" w:rsidRDefault="00FA1AC8" w:rsidP="00FA1AC8">
      <w:pPr>
        <w:pStyle w:val="Footno1"/>
        <w:jc w:val="both"/>
        <w:rPr>
          <w:rFonts w:ascii="Times New Roman" w:hAnsi="Times New Roman" w:cs="Times New Roman"/>
          <w:lang w:val="de-DE"/>
        </w:rPr>
      </w:pPr>
      <w:r>
        <w:rPr>
          <w:rStyle w:val="FootnoteReference"/>
          <w:rFonts w:ascii="Times New Roman" w:hAnsi="Times New Roman" w:cs="Times New Roman"/>
        </w:rPr>
        <w:footnoteRef/>
      </w:r>
      <w:r w:rsidRPr="00474A07">
        <w:rPr>
          <w:lang w:val="de-DE"/>
        </w:rPr>
        <w:tab/>
      </w:r>
      <w:r w:rsidRPr="00474A07">
        <w:rPr>
          <w:rFonts w:ascii="Times New Roman" w:hAnsi="Times New Roman"/>
          <w:lang w:val="de-DE"/>
        </w:rPr>
        <w:t>Die Situation in Deutschland wird von der Kommission derzeit beobachtet: Dort hatte ein lokaler Verbraucherverband eine Unterlassungsklage gegen die nationale Vergleichswebsite eingereicht.</w:t>
      </w:r>
    </w:p>
  </w:footnote>
  <w:footnote w:id="7">
    <w:p w14:paraId="4E085BB4" w14:textId="21559D71" w:rsidR="00FA1AC8" w:rsidRPr="00474A07" w:rsidRDefault="00FA1AC8" w:rsidP="00FA1AC8">
      <w:pPr>
        <w:pStyle w:val="Footno1"/>
        <w:jc w:val="both"/>
        <w:rPr>
          <w:rFonts w:ascii="Times New Roman" w:hAnsi="Times New Roman"/>
          <w:lang w:val="de-DE"/>
        </w:rPr>
      </w:pPr>
      <w:r>
        <w:rPr>
          <w:rStyle w:val="FootnoteReference"/>
          <w:rFonts w:ascii="Times New Roman" w:hAnsi="Times New Roman" w:cs="Times New Roman"/>
        </w:rPr>
        <w:footnoteRef/>
      </w:r>
      <w:r w:rsidRPr="00474A07">
        <w:rPr>
          <w:lang w:val="de-DE"/>
        </w:rPr>
        <w:tab/>
      </w:r>
      <w:r w:rsidRPr="00474A07">
        <w:rPr>
          <w:rFonts w:ascii="Times New Roman" w:hAnsi="Times New Roman"/>
          <w:lang w:val="de-DE"/>
        </w:rPr>
        <w:t>Die Vergleichswebsites in Deutschland, den Niederlanden und der Tschechischen Republik werden jeweils von einem privaten Anbieter betrieben. In Polen gibt es zwei den Anforderungen entsprechende Vergleichswebsites, von denen eine privat betrieben wird. In den übrigen Mitgliedstaaten wird die Vergleichswebsite von einer staatlichen Stelle betrieben.</w:t>
      </w:r>
    </w:p>
  </w:footnote>
  <w:footnote w:id="8">
    <w:p w14:paraId="7191B6A9" w14:textId="77777777" w:rsidR="005E550E" w:rsidRPr="00474A07" w:rsidRDefault="005E550E" w:rsidP="005E550E">
      <w:pPr>
        <w:pStyle w:val="Footno1"/>
        <w:jc w:val="both"/>
        <w:rPr>
          <w:rFonts w:ascii="Times New Roman" w:hAnsi="Times New Roman" w:cs="Times New Roman"/>
          <w:lang w:val="de-DE"/>
        </w:rPr>
      </w:pPr>
      <w:r>
        <w:rPr>
          <w:rStyle w:val="FootnoteReference"/>
        </w:rPr>
        <w:footnoteRef/>
      </w:r>
      <w:r w:rsidRPr="00474A07">
        <w:rPr>
          <w:lang w:val="de-DE"/>
        </w:rPr>
        <w:tab/>
      </w:r>
      <w:r w:rsidRPr="00474A07">
        <w:rPr>
          <w:rFonts w:ascii="Times New Roman" w:hAnsi="Times New Roman"/>
          <w:lang w:val="de-DE"/>
        </w:rPr>
        <w:t>Die Daten für Estland beziehen sich auf die Zeiträume vom 10. Januar 2017 bis zum 31. Juli 2018 sowie vom 1. August 2018 bis zum 31. Juli 2020. Die Daten für Deutschland beziehen sich auf den Zeitraum vom 18. September 2016 bis zum 30. Juni 2018 sowie auf das Jahr 2019. Für die Berechnung der Gesamtzahl der pro Jahr vorgenommenen Wechsel wurden die Daten, die für einen längeren Zeitraum als ein Jahr erhoben wurden (z. B. in Estland und Deutschland), anteilig auf die einzelnen Jahre verteilt.</w:t>
      </w:r>
    </w:p>
  </w:footnote>
  <w:footnote w:id="9">
    <w:p w14:paraId="7E197591" w14:textId="77777777" w:rsidR="005E550E" w:rsidRPr="00474A07" w:rsidRDefault="005E550E" w:rsidP="005E550E">
      <w:pPr>
        <w:pStyle w:val="FootnoteText"/>
        <w:jc w:val="both"/>
        <w:rPr>
          <w:rFonts w:ascii="Times New Roman" w:hAnsi="Times New Roman" w:cs="Times New Roman"/>
          <w:lang w:val="de-DE"/>
        </w:rPr>
      </w:pPr>
      <w:r>
        <w:rPr>
          <w:rStyle w:val="FootnoteReference"/>
        </w:rPr>
        <w:footnoteRef/>
      </w:r>
      <w:r w:rsidRPr="00474A07">
        <w:rPr>
          <w:lang w:val="de-DE"/>
        </w:rPr>
        <w:t xml:space="preserve"> </w:t>
      </w:r>
      <w:r w:rsidRPr="00474A07">
        <w:rPr>
          <w:lang w:val="de-DE"/>
        </w:rPr>
        <w:tab/>
      </w:r>
      <w:r w:rsidRPr="00474A07">
        <w:rPr>
          <w:rFonts w:ascii="Times New Roman" w:hAnsi="Times New Roman"/>
          <w:lang w:val="de-DE"/>
        </w:rPr>
        <w:t>Die Anzahl der Kontowechsel kann von einer Reihe von Faktoren abhängen. So gilt der Kontowechsel-Service für Zahlungskonten, nicht aber für andere Finanzprodukte (z. B. Hypothekendarlehen und Anlagen), die mit einem Zahlungskonto verbunden sein können. Zudem kennen manche Verbraucher den Service womöglich gar nicht oder sind nur unzureichend darüber informiert, oder aber ihnen wird sogar davon abgeraten, ihn zu nutzen. Weitere mögliche Gründe sind unzureichende Kenntnisse der Verbraucher im Finanzbereich und die Annahme, dass die Ersparnis durch einen Kontowechsel nur gering sei, der Wunsch, die bestehende Kontonummer nicht zu verlieren, und die Befürchtung, dass Zahlungen nicht ankommen könnten. (Für weitere Einzelheiten hierzu siehe den Bericht nach Artikel 28).</w:t>
      </w:r>
    </w:p>
  </w:footnote>
  <w:footnote w:id="10">
    <w:p w14:paraId="31C02567" w14:textId="77777777" w:rsidR="005E550E" w:rsidRPr="00474A07" w:rsidRDefault="005E550E" w:rsidP="005E550E">
      <w:pPr>
        <w:pStyle w:val="Footno1"/>
        <w:rPr>
          <w:rFonts w:ascii="Times New Roman" w:hAnsi="Times New Roman" w:cs="Times New Roman"/>
          <w:lang w:val="de-DE"/>
        </w:rPr>
      </w:pPr>
      <w:r>
        <w:rPr>
          <w:rStyle w:val="FootnoteReference"/>
        </w:rPr>
        <w:footnoteRef/>
      </w:r>
      <w:r w:rsidRPr="00474A07">
        <w:rPr>
          <w:lang w:val="de-DE"/>
        </w:rPr>
        <w:tab/>
      </w:r>
      <w:r w:rsidRPr="00474A07">
        <w:rPr>
          <w:rFonts w:ascii="Times New Roman" w:hAnsi="Times New Roman"/>
          <w:lang w:val="de-DE"/>
        </w:rPr>
        <w:t>Fälle, in denen Anträge womöglich zurückgezogen wurden, konnten (aufgrund mangelnder Daten) nicht berücksichtigt werden.</w:t>
      </w:r>
    </w:p>
  </w:footnote>
  <w:footnote w:id="11">
    <w:p w14:paraId="33679F49" w14:textId="4C08577E" w:rsidR="005E550E" w:rsidRPr="00474A07" w:rsidRDefault="005E550E" w:rsidP="005E550E">
      <w:pPr>
        <w:pStyle w:val="Footno1"/>
        <w:jc w:val="both"/>
        <w:rPr>
          <w:rFonts w:ascii="Times New Roman" w:hAnsi="Times New Roman" w:cs="Times New Roman"/>
          <w:lang w:val="de-DE"/>
        </w:rPr>
      </w:pPr>
      <w:r>
        <w:rPr>
          <w:rStyle w:val="FootnoteReference"/>
        </w:rPr>
        <w:footnoteRef/>
      </w:r>
      <w:r w:rsidRPr="00474A07">
        <w:rPr>
          <w:lang w:val="de-DE"/>
        </w:rPr>
        <w:tab/>
      </w:r>
      <w:r w:rsidRPr="00474A07">
        <w:rPr>
          <w:rFonts w:ascii="Times New Roman" w:hAnsi="Times New Roman"/>
          <w:lang w:val="de-DE"/>
        </w:rPr>
        <w:t>Die Daten für Estland beziehen sich auf die Zeiträume vom 10. Januar 2017 bis zum 31. Juli 2018 sowie vom 1. August 2018 bis zum 31. Juli 2020. Die Daten für Deutschland beziehen sich auf den Zeitraum vom 18. September 2016 bis zum 30. Juni 2018 sowie auf das Jahr 2019. Für die Berechnung der Gesamtzahl der pro Jahr vorgenommenen Wechsel wurden die Daten, die für einen längeren Zeitraum als ein Jahr erhoben wurden (z. B. in Estland und Deutschland), anteilig auf die einzelnen Jahre verteilt.</w:t>
      </w:r>
    </w:p>
  </w:footnote>
  <w:footnote w:id="12">
    <w:p w14:paraId="29567635" w14:textId="77777777" w:rsidR="005E550E" w:rsidRPr="00474A07" w:rsidRDefault="005E550E" w:rsidP="005E550E">
      <w:pPr>
        <w:pStyle w:val="FootnoteText"/>
        <w:jc w:val="both"/>
        <w:rPr>
          <w:lang w:val="de-DE"/>
        </w:rPr>
      </w:pPr>
      <w:r>
        <w:rPr>
          <w:rStyle w:val="FootnoteReference"/>
        </w:rPr>
        <w:footnoteRef/>
      </w:r>
      <w:r w:rsidRPr="00474A07">
        <w:rPr>
          <w:lang w:val="de-DE"/>
        </w:rPr>
        <w:t xml:space="preserve"> </w:t>
      </w:r>
      <w:r w:rsidRPr="00474A07">
        <w:rPr>
          <w:lang w:val="de-DE"/>
        </w:rPr>
        <w:tab/>
      </w:r>
      <w:r w:rsidRPr="00474A07">
        <w:rPr>
          <w:rFonts w:ascii="Times New Roman" w:hAnsi="Times New Roman"/>
          <w:lang w:val="de-DE"/>
        </w:rPr>
        <w:t>Gemäß Artikel 10 Absatz 4 Buchstabe e der Richtlinie über Zahlungskonten schließt der übertragende Zahlungsdienstleister das Zahlungskonto zu dem in der Ermächtigung angegebenen Datum, sofern der Verbraucher keine ausstehenden Verpflichtungen auf diesem Zahlungskonto mehr hat und die Schritte nach den Buchstaben a, b und d vollzogen wurden.</w:t>
      </w:r>
    </w:p>
  </w:footnote>
  <w:footnote w:id="13">
    <w:p w14:paraId="75019C0D" w14:textId="77777777" w:rsidR="005E550E" w:rsidRPr="00474A07" w:rsidRDefault="005E550E" w:rsidP="005E550E">
      <w:pPr>
        <w:pStyle w:val="Footno1"/>
        <w:jc w:val="both"/>
        <w:rPr>
          <w:lang w:val="de-DE"/>
        </w:rPr>
      </w:pPr>
      <w:r>
        <w:rPr>
          <w:rStyle w:val="FootnoteReference"/>
        </w:rPr>
        <w:footnoteRef/>
      </w:r>
      <w:r w:rsidRPr="00474A07">
        <w:rPr>
          <w:lang w:val="de-DE"/>
        </w:rPr>
        <w:tab/>
      </w:r>
      <w:r w:rsidRPr="00474A07">
        <w:rPr>
          <w:rFonts w:ascii="Times New Roman" w:hAnsi="Times New Roman"/>
          <w:lang w:val="de-DE"/>
        </w:rPr>
        <w:t>In der Slowakei unterliegen nur diejenigen Kreditinstitute einer entsprechenden Pflicht, die im Rahmen ihrer Geschäftstätigkeit für Verbraucher alle mit einem Zahlungskonto mit grundlegenden Funktionen verbundenen Bankdienstleistungen erbringen. Erbringt beispielsweise ein Kreditinstitut diese Dienstleistungen ausschließlich für Geschäftskunden, so unterliegt es nicht der Pflicht. Auch einige reine Internetbanken, die über keine physischen Filialen verfügen, sind von der Pflicht ausgenommen, sofern sie keine Bargeldabhebungen am Schalter einer physischen Bankfiliale ermöglichen.</w:t>
      </w:r>
    </w:p>
  </w:footnote>
  <w:footnote w:id="14">
    <w:p w14:paraId="59CCA5E4" w14:textId="77777777" w:rsidR="005E550E" w:rsidRPr="00474A07" w:rsidRDefault="005E550E" w:rsidP="005E550E">
      <w:pPr>
        <w:pStyle w:val="Footno1"/>
        <w:jc w:val="both"/>
        <w:rPr>
          <w:rFonts w:ascii="Times New Roman" w:hAnsi="Times New Roman" w:cs="Times New Roman"/>
          <w:lang w:val="de-DE"/>
        </w:rPr>
      </w:pPr>
      <w:r>
        <w:rPr>
          <w:rStyle w:val="FootnoteReference"/>
        </w:rPr>
        <w:footnoteRef/>
      </w:r>
      <w:r w:rsidRPr="00474A07">
        <w:rPr>
          <w:lang w:val="de-DE"/>
        </w:rPr>
        <w:tab/>
      </w:r>
      <w:r w:rsidRPr="00474A07">
        <w:rPr>
          <w:rFonts w:ascii="Times New Roman" w:hAnsi="Times New Roman"/>
          <w:lang w:val="de-DE"/>
        </w:rPr>
        <w:t>Die Daten für Zypern beziehen sich auf den Zeitraum vom 1. Juli 2017 bis zum 31. Mai 2018 sowie auf die Jahre 2019, 2020 und 2021 und umfassen größtenteils Fälle, in denen bestehende Basiszahlungskonten neu in die Kategorie der Zahlungskonten mit grundlegenden Funktionen eingestuft wurden. Die Daten für Estland beziehen sich auf die Zeiträume vom 10. Januar 2017 bis zum 31. Juli 2018 sowie vom 1. August 2018 bis zum 31. Juli 2020. Die Daten für Deutschland beziehen sich auf den Zeitraum vom 18. September 2016 bis zum 30. Juni 2018 sowie auf das Jahr 2019. Für die Berechnung der Gesamtzahl der pro Jahr eröffneten Zahlungskonten mit grundlegenden Funktionen wurden die Daten, die für einen längeren Zeitraum als ein Jahr erhoben wurden (z. B. in Estland und Deutschland), anteilig auf die einzelnen Jahre verteilt.</w:t>
      </w:r>
    </w:p>
  </w:footnote>
  <w:footnote w:id="15">
    <w:p w14:paraId="1B050FBF" w14:textId="77777777" w:rsidR="005E550E" w:rsidRPr="00474A07" w:rsidRDefault="005E550E" w:rsidP="005E550E">
      <w:pPr>
        <w:pStyle w:val="FootnoteText"/>
        <w:jc w:val="both"/>
        <w:rPr>
          <w:lang w:val="de-DE"/>
        </w:rPr>
      </w:pPr>
      <w:r>
        <w:rPr>
          <w:rStyle w:val="FootnoteReference"/>
        </w:rPr>
        <w:footnoteRef/>
      </w:r>
      <w:r w:rsidRPr="00474A07">
        <w:rPr>
          <w:lang w:val="de-DE"/>
        </w:rPr>
        <w:t xml:space="preserve"> </w:t>
      </w:r>
      <w:r w:rsidRPr="00474A07">
        <w:rPr>
          <w:lang w:val="de-DE"/>
        </w:rPr>
        <w:tab/>
      </w:r>
      <w:r w:rsidRPr="00474A07">
        <w:rPr>
          <w:rFonts w:ascii="Times New Roman" w:hAnsi="Times New Roman"/>
          <w:lang w:val="de-DE"/>
        </w:rPr>
        <w:t>Für die relativ geringe Zahl der Zahlungskonten mit grundlegenden Funktionen gibt es eine Reihe möglicher Gründe. Erstens war der Anteil der Personen mit einem Bankkonto in vielen Mitgliedstaaten bereits sehr hoch, als die Richtlinie über Zahlungskonten angenommen wurde. Zweitens verfügten einige Mitgliedstaaten bereits über ähnliche Instrumente. Drittens sind normale Konten (einschließlich kostenloser Online-Konten) leicht zugänglich, weshalb Zahlungskonten mit grundlegenden Funktionen für Verbraucher, die Zugang zu normalen Konten haben, möglicherweise nicht relevant sind. Ein weiterer Grund für eine geringe Verbreitung könnte darin liegen, dass Verbraucher nicht ausreichend über derartige Konten Bescheid wissen. (Für weitere Einzelheiten hierzu siehe den Bericht nach Artikel 28).</w:t>
      </w:r>
    </w:p>
  </w:footnote>
  <w:footnote w:id="16">
    <w:p w14:paraId="2C39C5CA" w14:textId="77777777" w:rsidR="005E550E" w:rsidRPr="00474A07" w:rsidRDefault="005E550E" w:rsidP="005E550E">
      <w:pPr>
        <w:pStyle w:val="Footno1"/>
        <w:rPr>
          <w:rFonts w:ascii="Times New Roman" w:hAnsi="Times New Roman" w:cs="Times New Roman"/>
          <w:lang w:val="de-DE"/>
        </w:rPr>
      </w:pPr>
      <w:r>
        <w:rPr>
          <w:rStyle w:val="FootnoteReference"/>
        </w:rPr>
        <w:footnoteRef/>
      </w:r>
      <w:bookmarkStart w:id="38" w:name="_Hlk106265715"/>
      <w:r w:rsidRPr="00474A07">
        <w:rPr>
          <w:lang w:val="de-DE"/>
        </w:rPr>
        <w:tab/>
      </w:r>
      <w:r w:rsidRPr="00474A07">
        <w:rPr>
          <w:rFonts w:ascii="Times New Roman" w:hAnsi="Times New Roman"/>
          <w:lang w:val="de-DE"/>
        </w:rPr>
        <w:t>Fälle, in denen Anträge womöglich zurückgezogen wurden, wurden (aufgrund mangelnder Daten) nicht berücksichtigt.</w:t>
      </w:r>
      <w:bookmarkEnd w:id="38"/>
    </w:p>
  </w:footnote>
  <w:footnote w:id="17">
    <w:p w14:paraId="38E1A681" w14:textId="77777777" w:rsidR="005E550E" w:rsidRPr="00474A07" w:rsidRDefault="005E550E" w:rsidP="005E550E">
      <w:pPr>
        <w:pStyle w:val="Footno1"/>
        <w:jc w:val="both"/>
        <w:rPr>
          <w:lang w:val="de-DE"/>
        </w:rPr>
      </w:pPr>
      <w:r>
        <w:rPr>
          <w:rStyle w:val="FootnoteReference"/>
        </w:rPr>
        <w:footnoteRef/>
      </w:r>
      <w:r w:rsidRPr="00474A07">
        <w:rPr>
          <w:lang w:val="de-DE"/>
        </w:rPr>
        <w:tab/>
      </w:r>
      <w:r w:rsidRPr="00474A07">
        <w:rPr>
          <w:rFonts w:ascii="Times New Roman" w:hAnsi="Times New Roman"/>
          <w:lang w:val="de-DE"/>
        </w:rPr>
        <w:t>Die Daten für Zypern beziehen sich auf den Zeitraum vom 1. Juli 2017 bis zum 31. Mai 2018 sowie auf die Jahre 2019, 2020 und 2021; die Anteile wurden auf der Grundlage der Neuanträge berechnet, d. h., es wurden keine Fälle berücksichtigt, in denen bestehende Konten möglicherweise neu als Zahlungskonten mit grundlegenden Funktionen eingestuft oder in Zahlungskonten mit grundlegenden Funktionen umgewandelt worden waren. Die Daten für Estland beziehen sich auf die Zeiträume vom 10. Januar 2017 bis zum 31. Juli 2018 sowie vom 1. August 2018 bis zum 31. Juli 2020. Die Daten für Deutschland beziehen sich auf den Zeitraum vom 18. September 2016 bis zum 30. Juni 2018 sowie auf das Jahr 2019. Für die Berechnung der Gesamtzahl der abgelehnten Anträge auf ein Zahlungskonto mit grundlegenden Funktionen pro Jahr wurden die Daten, die für einen längeren Zeitraum als ein Jahr erhoben wurden (z. B. in Estland und Deutschland), anteilig auf die einzelnen Jahre verteilt. Die Daten für Lettland umfassen auch Informationen über Zahlungskonten mit grundlegenden Funktionen, die auf Wunsch des Verbrauchers aufgelöst wurden.</w:t>
      </w:r>
    </w:p>
  </w:footnote>
  <w:footnote w:id="18">
    <w:p w14:paraId="19A9F7E4" w14:textId="77777777" w:rsidR="005E550E" w:rsidRPr="00474A07" w:rsidRDefault="005E550E" w:rsidP="005E550E">
      <w:pPr>
        <w:pStyle w:val="FootnoteText"/>
        <w:jc w:val="both"/>
        <w:rPr>
          <w:lang w:val="de-DE"/>
        </w:rPr>
      </w:pPr>
      <w:r>
        <w:rPr>
          <w:rStyle w:val="FootnoteReference"/>
        </w:rPr>
        <w:footnoteRef/>
      </w:r>
      <w:r w:rsidRPr="00474A07">
        <w:rPr>
          <w:lang w:val="de-DE"/>
        </w:rPr>
        <w:t xml:space="preserve"> </w:t>
      </w:r>
      <w:r w:rsidRPr="00474A07">
        <w:rPr>
          <w:lang w:val="de-DE"/>
        </w:rPr>
        <w:tab/>
      </w:r>
      <w:r w:rsidRPr="00474A07">
        <w:rPr>
          <w:rFonts w:ascii="Times New Roman" w:hAnsi="Times New Roman"/>
          <w:lang w:val="de-DE"/>
        </w:rPr>
        <w:t>In Frankreich beispielsweise liegt die Ablehnungsquote bei 0 %. Dieser Mitgliedstaat verfügt über einen Mechanismus zur Benennung eines bestimmten Kreditinstituts, das einem Verbraucher, dessen Anträge auf ein Zahlungskonto mit grundlegenden Funktionen abgelehnt wurden, ein solches Konto zur Verfügung stellen muss.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5883E" w14:textId="77777777" w:rsidR="009D1EA8" w:rsidRPr="009D1EA8" w:rsidRDefault="009D1EA8" w:rsidP="009D1EA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F15D3" w14:textId="77777777" w:rsidR="009D1EA8" w:rsidRPr="009D1EA8" w:rsidRDefault="009D1EA8" w:rsidP="009D1EA8">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19F06" w14:textId="77777777" w:rsidR="009D1EA8" w:rsidRPr="009D1EA8" w:rsidRDefault="009D1EA8" w:rsidP="009D1EA8">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35B23" w14:textId="77777777" w:rsidR="00B110AE" w:rsidRPr="00CD2699" w:rsidRDefault="00940F8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018B1" w14:textId="77777777" w:rsidR="00B110AE" w:rsidRPr="00CD2699" w:rsidRDefault="00940F8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BCEED" w14:textId="77777777" w:rsidR="00B110AE" w:rsidRPr="00CD2699" w:rsidRDefault="00940F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E7FFD"/>
    <w:multiLevelType w:val="hybridMultilevel"/>
    <w:tmpl w:val="E4947EDA"/>
    <w:lvl w:ilvl="0" w:tplc="080C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F9A7E2E"/>
    <w:multiLevelType w:val="hybridMultilevel"/>
    <w:tmpl w:val="FB1022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9071E27"/>
    <w:multiLevelType w:val="hybridMultilevel"/>
    <w:tmpl w:val="71069276"/>
    <w:lvl w:ilvl="0" w:tplc="1D440906">
      <w:start w:val="2"/>
      <w:numFmt w:val="decimal"/>
      <w:lvlText w:val="%1."/>
      <w:lvlJc w:val="left"/>
      <w:pPr>
        <w:ind w:left="360" w:hanging="360"/>
      </w:pPr>
      <w:rPr>
        <w:rFonts w:hint="default"/>
      </w:rPr>
    </w:lvl>
    <w:lvl w:ilvl="1" w:tplc="5BE84006">
      <w:numFmt w:val="bullet"/>
      <w:lvlText w:val="•"/>
      <w:lvlJc w:val="left"/>
      <w:pPr>
        <w:ind w:left="1080" w:hanging="360"/>
      </w:pPr>
      <w:rPr>
        <w:rFonts w:ascii="Times New Roman" w:eastAsiaTheme="minorHAnsi" w:hAnsi="Times New Roman" w:cs="Times New Roman"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6A1047C7"/>
    <w:multiLevelType w:val="hybridMultilevel"/>
    <w:tmpl w:val="E4947EDA"/>
    <w:lvl w:ilvl="0" w:tplc="080C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6DB055CE"/>
    <w:multiLevelType w:val="hybridMultilevel"/>
    <w:tmpl w:val="E4947EDA"/>
    <w:lvl w:ilvl="0" w:tplc="080C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2086148174">
    <w:abstractNumId w:val="2"/>
  </w:num>
  <w:num w:numId="2" w16cid:durableId="1032801828">
    <w:abstractNumId w:val="0"/>
  </w:num>
  <w:num w:numId="3" w16cid:durableId="1545369111">
    <w:abstractNumId w:val="1"/>
  </w:num>
  <w:num w:numId="4" w16cid:durableId="1950159407">
    <w:abstractNumId w:val="3"/>
  </w:num>
  <w:num w:numId="5" w16cid:durableId="15601641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de-DE" w:vendorID="64" w:dllVersion="6" w:nlCheck="1" w:checkStyle="0"/>
  <w:activeWritingStyle w:appName="MSWord" w:lang="en-IE" w:vendorID="64" w:dllVersion="6" w:nlCheck="1" w:checkStyle="1"/>
  <w:defaultTabStop w:val="720"/>
  <w:hyphenationZone w:val="425"/>
  <w:characterSpacingControl w:val="doNotCompress"/>
  <w:hdrShapeDefaults>
    <o:shapedefaults v:ext="edit" spidmax="3686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Status" w:val="Green"/>
    <w:docVar w:name="LW_CORRIGENDUM" w:val="&lt;UNUSED&gt;"/>
    <w:docVar w:name="LW_COVERPAGE_EXISTS" w:val="True"/>
    <w:docVar w:name="LW_COVERPAGE_GUID" w:val="4C649B16-A016-433D-8707-EAED56E93A34"/>
    <w:docVar w:name="LW_COVERPAGE_TYPE" w:val="1"/>
    <w:docVar w:name="LW_CROSSREFERENCE" w:val="&lt;UNUSED&gt;"/>
    <w:docVar w:name="LW_DocType" w:val="NORMAL"/>
    <w:docVar w:name="LW_EMISSION" w:val="12.5.2023"/>
    <w:docVar w:name="LW_EMISSION_ISODATE" w:val="2023-05-12"/>
    <w:docVar w:name="LW_EMISSION_LOCATION" w:val="BRX"/>
    <w:docVar w:name="LW_EMISSION_PREFIX" w:val="Brüssel, den "/>
    <w:docVar w:name="LW_EMISSION_SUFFIX" w:val=" "/>
    <w:docVar w:name="LW_ID_DOCTYPE_NONLW" w:val="CP-003"/>
    <w:docVar w:name="LW_LANGUE" w:val="DE"/>
    <w:docVar w:name="LW_LEVEL_OF_SENSITIVITY" w:val="Standard treatment"/>
    <w:docVar w:name="LW_NOM.INST" w:val="EUROPÄISCHE KOMMISSION"/>
    <w:docVar w:name="LW_NOM.INST_JOINTDOC" w:val="&lt;EMPTY&gt;"/>
    <w:docVar w:name="LW_PART_NBR" w:val="1"/>
    <w:docVar w:name="LW_PART_NBR_TOTAL" w:val="1"/>
    <w:docVar w:name="LW_REF.INST.NEW" w:val="COM"/>
    <w:docVar w:name="LW_REF.INST.NEW_ADOPTED" w:val="final"/>
    <w:docVar w:name="LW_REF.INST.NEW_TEXT" w:val="(2023) 248"/>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lt;FMT:Bold&gt;über die Zusammenstellung spezifischer Daten der Mitgliedstaaten zu Zahlungskonten gemäß Artikel 27 der Richtlinie 2014/92/EU des Europäischen Parlaments und des Rates über die Vergleichbarkeit von Zahlungskontoentgelten, den Wechsel von Zahlungskonten und den Zugang zu Zahlungskonten mit grundlegenden Funktionen &lt;/FMT&gt;"/>
    <w:docVar w:name="LW_TYPE.DOC.CP" w:val="BERICHT DER KOMMISSION"/>
    <w:docVar w:name="LwApiVersions" w:val="LW4CoDe 1.23.2.0; LW 8.0, Build 20211117"/>
    <w:docVar w:name="Stamp" w:val="\\dossiers.dgt.cec.eu.int\dossiers\FISMA\FISMA-2022-00887\FISMA-2022-00887-00-00-EN-EDT-00.202212141051323869560.DOCX"/>
  </w:docVars>
  <w:rsids>
    <w:rsidRoot w:val="00FA1AC8"/>
    <w:rsid w:val="00000B32"/>
    <w:rsid w:val="0001092C"/>
    <w:rsid w:val="00014E41"/>
    <w:rsid w:val="0001670F"/>
    <w:rsid w:val="000235BA"/>
    <w:rsid w:val="00034E78"/>
    <w:rsid w:val="000453F0"/>
    <w:rsid w:val="0005041D"/>
    <w:rsid w:val="000809C1"/>
    <w:rsid w:val="00093F75"/>
    <w:rsid w:val="000975B0"/>
    <w:rsid w:val="000A06C1"/>
    <w:rsid w:val="000C18E7"/>
    <w:rsid w:val="000C2372"/>
    <w:rsid w:val="000C2B91"/>
    <w:rsid w:val="00100306"/>
    <w:rsid w:val="00104A5B"/>
    <w:rsid w:val="001070BF"/>
    <w:rsid w:val="0011091D"/>
    <w:rsid w:val="001242B6"/>
    <w:rsid w:val="001434AA"/>
    <w:rsid w:val="00155841"/>
    <w:rsid w:val="00157A4B"/>
    <w:rsid w:val="0016121B"/>
    <w:rsid w:val="00167021"/>
    <w:rsid w:val="00180316"/>
    <w:rsid w:val="00185731"/>
    <w:rsid w:val="00185932"/>
    <w:rsid w:val="00195423"/>
    <w:rsid w:val="001B1DFE"/>
    <w:rsid w:val="001C3F16"/>
    <w:rsid w:val="001D1371"/>
    <w:rsid w:val="001D3FE9"/>
    <w:rsid w:val="00206B37"/>
    <w:rsid w:val="00207F08"/>
    <w:rsid w:val="00227BEE"/>
    <w:rsid w:val="0025196E"/>
    <w:rsid w:val="002567C7"/>
    <w:rsid w:val="0027111F"/>
    <w:rsid w:val="0029378E"/>
    <w:rsid w:val="002A4192"/>
    <w:rsid w:val="002B2710"/>
    <w:rsid w:val="002B2E32"/>
    <w:rsid w:val="002B38D5"/>
    <w:rsid w:val="002E2EDD"/>
    <w:rsid w:val="00303409"/>
    <w:rsid w:val="00307EA4"/>
    <w:rsid w:val="00316E4F"/>
    <w:rsid w:val="00317646"/>
    <w:rsid w:val="00332118"/>
    <w:rsid w:val="0033370F"/>
    <w:rsid w:val="003436E2"/>
    <w:rsid w:val="0036569A"/>
    <w:rsid w:val="00381DE0"/>
    <w:rsid w:val="003B0B2A"/>
    <w:rsid w:val="003B1816"/>
    <w:rsid w:val="003B658F"/>
    <w:rsid w:val="003C18A1"/>
    <w:rsid w:val="003D23E7"/>
    <w:rsid w:val="003E5E84"/>
    <w:rsid w:val="00403A93"/>
    <w:rsid w:val="00404335"/>
    <w:rsid w:val="00413E9D"/>
    <w:rsid w:val="00427E0C"/>
    <w:rsid w:val="00433C24"/>
    <w:rsid w:val="00441215"/>
    <w:rsid w:val="00461196"/>
    <w:rsid w:val="00474A07"/>
    <w:rsid w:val="004766B8"/>
    <w:rsid w:val="004B719C"/>
    <w:rsid w:val="004C656A"/>
    <w:rsid w:val="004D4706"/>
    <w:rsid w:val="004E50E5"/>
    <w:rsid w:val="004E601E"/>
    <w:rsid w:val="004F5F6C"/>
    <w:rsid w:val="004F61C3"/>
    <w:rsid w:val="005027DE"/>
    <w:rsid w:val="0051395C"/>
    <w:rsid w:val="0052019F"/>
    <w:rsid w:val="00535CD7"/>
    <w:rsid w:val="00544830"/>
    <w:rsid w:val="00551547"/>
    <w:rsid w:val="00553EEA"/>
    <w:rsid w:val="00560503"/>
    <w:rsid w:val="0057189A"/>
    <w:rsid w:val="00585EAA"/>
    <w:rsid w:val="005E3D9A"/>
    <w:rsid w:val="005E4A10"/>
    <w:rsid w:val="005E550E"/>
    <w:rsid w:val="005E7EC9"/>
    <w:rsid w:val="005F0CA2"/>
    <w:rsid w:val="006106E3"/>
    <w:rsid w:val="00616FF8"/>
    <w:rsid w:val="00631FE0"/>
    <w:rsid w:val="00634F1C"/>
    <w:rsid w:val="006401F5"/>
    <w:rsid w:val="0066546B"/>
    <w:rsid w:val="0068257B"/>
    <w:rsid w:val="0069358A"/>
    <w:rsid w:val="006974EB"/>
    <w:rsid w:val="00697E4C"/>
    <w:rsid w:val="006A4248"/>
    <w:rsid w:val="006D07C8"/>
    <w:rsid w:val="006F238A"/>
    <w:rsid w:val="00703A18"/>
    <w:rsid w:val="00705B9F"/>
    <w:rsid w:val="00706F95"/>
    <w:rsid w:val="00730905"/>
    <w:rsid w:val="0076384C"/>
    <w:rsid w:val="00767965"/>
    <w:rsid w:val="00771040"/>
    <w:rsid w:val="00775CD1"/>
    <w:rsid w:val="00783193"/>
    <w:rsid w:val="007858A6"/>
    <w:rsid w:val="0079207D"/>
    <w:rsid w:val="00795ED0"/>
    <w:rsid w:val="007A4094"/>
    <w:rsid w:val="007E48C2"/>
    <w:rsid w:val="00811397"/>
    <w:rsid w:val="00823DA8"/>
    <w:rsid w:val="00826333"/>
    <w:rsid w:val="00853A98"/>
    <w:rsid w:val="0088019B"/>
    <w:rsid w:val="00893916"/>
    <w:rsid w:val="0089655A"/>
    <w:rsid w:val="008B6341"/>
    <w:rsid w:val="008F05A8"/>
    <w:rsid w:val="008F339D"/>
    <w:rsid w:val="00900F57"/>
    <w:rsid w:val="00922C09"/>
    <w:rsid w:val="00924C5B"/>
    <w:rsid w:val="00927EA1"/>
    <w:rsid w:val="00940F86"/>
    <w:rsid w:val="00953F64"/>
    <w:rsid w:val="009818E2"/>
    <w:rsid w:val="00981C7B"/>
    <w:rsid w:val="00986629"/>
    <w:rsid w:val="00990D25"/>
    <w:rsid w:val="009D1EA8"/>
    <w:rsid w:val="009F4197"/>
    <w:rsid w:val="00A03713"/>
    <w:rsid w:val="00A07A7B"/>
    <w:rsid w:val="00A50A56"/>
    <w:rsid w:val="00A673C4"/>
    <w:rsid w:val="00A71027"/>
    <w:rsid w:val="00AA4FEF"/>
    <w:rsid w:val="00AD16EF"/>
    <w:rsid w:val="00AD1CE1"/>
    <w:rsid w:val="00AF3539"/>
    <w:rsid w:val="00B03CAE"/>
    <w:rsid w:val="00B0473E"/>
    <w:rsid w:val="00B246E5"/>
    <w:rsid w:val="00B41BF2"/>
    <w:rsid w:val="00B42ADD"/>
    <w:rsid w:val="00B4314A"/>
    <w:rsid w:val="00B43903"/>
    <w:rsid w:val="00BA2377"/>
    <w:rsid w:val="00BA546B"/>
    <w:rsid w:val="00BB724C"/>
    <w:rsid w:val="00BC2BA1"/>
    <w:rsid w:val="00BC7B91"/>
    <w:rsid w:val="00BE6047"/>
    <w:rsid w:val="00C02F33"/>
    <w:rsid w:val="00C032DE"/>
    <w:rsid w:val="00C17E22"/>
    <w:rsid w:val="00C23565"/>
    <w:rsid w:val="00C5055A"/>
    <w:rsid w:val="00C5679D"/>
    <w:rsid w:val="00C829B3"/>
    <w:rsid w:val="00C84C8C"/>
    <w:rsid w:val="00C97987"/>
    <w:rsid w:val="00CA232F"/>
    <w:rsid w:val="00CB641D"/>
    <w:rsid w:val="00CC685C"/>
    <w:rsid w:val="00CD2699"/>
    <w:rsid w:val="00CE6BEC"/>
    <w:rsid w:val="00CF1048"/>
    <w:rsid w:val="00CF4634"/>
    <w:rsid w:val="00D16538"/>
    <w:rsid w:val="00D20E88"/>
    <w:rsid w:val="00D245B4"/>
    <w:rsid w:val="00D32F27"/>
    <w:rsid w:val="00D44F7A"/>
    <w:rsid w:val="00D51B85"/>
    <w:rsid w:val="00D5683A"/>
    <w:rsid w:val="00D835D3"/>
    <w:rsid w:val="00D905D2"/>
    <w:rsid w:val="00DC2C90"/>
    <w:rsid w:val="00DC6980"/>
    <w:rsid w:val="00DE2ECE"/>
    <w:rsid w:val="00DF42CF"/>
    <w:rsid w:val="00E2709F"/>
    <w:rsid w:val="00E27749"/>
    <w:rsid w:val="00E366E6"/>
    <w:rsid w:val="00E6498E"/>
    <w:rsid w:val="00E761C2"/>
    <w:rsid w:val="00E82C6D"/>
    <w:rsid w:val="00EA230E"/>
    <w:rsid w:val="00EA3D18"/>
    <w:rsid w:val="00EB4AA3"/>
    <w:rsid w:val="00F06FB6"/>
    <w:rsid w:val="00F14F1F"/>
    <w:rsid w:val="00F20E71"/>
    <w:rsid w:val="00F210FE"/>
    <w:rsid w:val="00F25B2B"/>
    <w:rsid w:val="00F36D0E"/>
    <w:rsid w:val="00F43C47"/>
    <w:rsid w:val="00F4430E"/>
    <w:rsid w:val="00F5144C"/>
    <w:rsid w:val="00F545C8"/>
    <w:rsid w:val="00F70ED6"/>
    <w:rsid w:val="00FA1AC8"/>
    <w:rsid w:val="00FC21E9"/>
    <w:rsid w:val="00FE29D3"/>
    <w:rsid w:val="00FF3203"/>
    <w:rsid w:val="00FF6073"/>
    <w:rsid w:val="01A0F232"/>
    <w:rsid w:val="02DD85F0"/>
    <w:rsid w:val="03570356"/>
    <w:rsid w:val="0429649E"/>
    <w:rsid w:val="05EB4215"/>
    <w:rsid w:val="06AC77E0"/>
    <w:rsid w:val="06C4714D"/>
    <w:rsid w:val="09660123"/>
    <w:rsid w:val="0B3EDAED"/>
    <w:rsid w:val="0B72FBAC"/>
    <w:rsid w:val="0C909C96"/>
    <w:rsid w:val="0CD5F927"/>
    <w:rsid w:val="0D0ECC0D"/>
    <w:rsid w:val="0EAA9C6E"/>
    <w:rsid w:val="110B9536"/>
    <w:rsid w:val="1189E8F9"/>
    <w:rsid w:val="133BD929"/>
    <w:rsid w:val="138D9536"/>
    <w:rsid w:val="14D7A98A"/>
    <w:rsid w:val="150D1801"/>
    <w:rsid w:val="156D8A7A"/>
    <w:rsid w:val="16829CE9"/>
    <w:rsid w:val="1823E7B9"/>
    <w:rsid w:val="19A94099"/>
    <w:rsid w:val="19C4236F"/>
    <w:rsid w:val="1AE2A59F"/>
    <w:rsid w:val="1BB64926"/>
    <w:rsid w:val="1C5CC9A0"/>
    <w:rsid w:val="1E1A4661"/>
    <w:rsid w:val="1EC8ADBE"/>
    <w:rsid w:val="2021E3B9"/>
    <w:rsid w:val="20C0E93E"/>
    <w:rsid w:val="239E2A55"/>
    <w:rsid w:val="242A07D3"/>
    <w:rsid w:val="25BEEF6B"/>
    <w:rsid w:val="2662D98C"/>
    <w:rsid w:val="273869B9"/>
    <w:rsid w:val="27A8004A"/>
    <w:rsid w:val="27A8AAF8"/>
    <w:rsid w:val="28D43A1A"/>
    <w:rsid w:val="2A168754"/>
    <w:rsid w:val="2A4384D6"/>
    <w:rsid w:val="2FCDE159"/>
    <w:rsid w:val="35B2060F"/>
    <w:rsid w:val="3746B333"/>
    <w:rsid w:val="388F4726"/>
    <w:rsid w:val="39EE3756"/>
    <w:rsid w:val="3B8A07B7"/>
    <w:rsid w:val="3D7001A9"/>
    <w:rsid w:val="404A8039"/>
    <w:rsid w:val="42FA5E2C"/>
    <w:rsid w:val="46EFDABA"/>
    <w:rsid w:val="46F0405C"/>
    <w:rsid w:val="4AB6E5CA"/>
    <w:rsid w:val="4B06A7CC"/>
    <w:rsid w:val="4D2AA6F7"/>
    <w:rsid w:val="5334C8A4"/>
    <w:rsid w:val="561209BB"/>
    <w:rsid w:val="5773EA5F"/>
    <w:rsid w:val="57A6B6DF"/>
    <w:rsid w:val="582E1507"/>
    <w:rsid w:val="59CCA6F4"/>
    <w:rsid w:val="5ADDF2FA"/>
    <w:rsid w:val="5CF72889"/>
    <w:rsid w:val="5CF8B1BB"/>
    <w:rsid w:val="61808AF4"/>
    <w:rsid w:val="6216E5AE"/>
    <w:rsid w:val="681C0219"/>
    <w:rsid w:val="68E91F11"/>
    <w:rsid w:val="693E868E"/>
    <w:rsid w:val="6DEE7879"/>
    <w:rsid w:val="6DF59E89"/>
    <w:rsid w:val="6F8A4BAD"/>
    <w:rsid w:val="71335BF4"/>
    <w:rsid w:val="745634EC"/>
    <w:rsid w:val="77A2424B"/>
    <w:rsid w:val="79641FC2"/>
    <w:rsid w:val="7AF8CCE6"/>
    <w:rsid w:val="7D542C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743AF3AE"/>
  <w15:chartTrackingRefBased/>
  <w15:docId w15:val="{295A7E82-A07B-42CA-A154-BFD8F93AA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r">
    <w:name w:val="Marker"/>
    <w:basedOn w:val="DefaultParagraphFont"/>
    <w:rsid w:val="00FA1AC8"/>
    <w:rPr>
      <w:color w:val="0000FF"/>
      <w:shd w:val="clear" w:color="auto" w:fill="auto"/>
    </w:rPr>
  </w:style>
  <w:style w:type="paragraph" w:styleId="Header">
    <w:name w:val="header"/>
    <w:basedOn w:val="Normal"/>
    <w:link w:val="HeaderChar"/>
    <w:uiPriority w:val="99"/>
    <w:unhideWhenUsed/>
    <w:rsid w:val="00FA1A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1AC8"/>
  </w:style>
  <w:style w:type="paragraph" w:styleId="Footer">
    <w:name w:val="footer"/>
    <w:basedOn w:val="Normal"/>
    <w:link w:val="FooterChar"/>
    <w:uiPriority w:val="99"/>
    <w:unhideWhenUsed/>
    <w:rsid w:val="00FA1A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1AC8"/>
  </w:style>
  <w:style w:type="paragraph" w:customStyle="1" w:styleId="Pagedecouverture">
    <w:name w:val="Page de couverture"/>
    <w:basedOn w:val="Normal"/>
    <w:next w:val="Normal"/>
    <w:rsid w:val="00FA1AC8"/>
    <w:pPr>
      <w:spacing w:after="0" w:line="240" w:lineRule="auto"/>
      <w:jc w:val="both"/>
    </w:pPr>
    <w:rPr>
      <w:rFonts w:ascii="Times New Roman" w:hAnsi="Times New Roman" w:cs="Times New Roman"/>
      <w:sz w:val="24"/>
    </w:rPr>
  </w:style>
  <w:style w:type="paragraph" w:customStyle="1" w:styleId="FooterCoverPage">
    <w:name w:val="Footer Cover Page"/>
    <w:basedOn w:val="Normal"/>
    <w:link w:val="FooterCoverPageChar"/>
    <w:rsid w:val="00FA1AC8"/>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sid w:val="00FA1AC8"/>
    <w:rPr>
      <w:rFonts w:ascii="Times New Roman" w:hAnsi="Times New Roman" w:cs="Times New Roman"/>
      <w:sz w:val="24"/>
    </w:rPr>
  </w:style>
  <w:style w:type="paragraph" w:customStyle="1" w:styleId="FooterSensitivity">
    <w:name w:val="Footer Sensitivity"/>
    <w:basedOn w:val="Normal"/>
    <w:link w:val="FooterSensitivityChar"/>
    <w:rsid w:val="00FA1AC8"/>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sid w:val="00FA1AC8"/>
    <w:rPr>
      <w:rFonts w:ascii="Times New Roman" w:hAnsi="Times New Roman" w:cs="Times New Roman"/>
      <w:b/>
      <w:sz w:val="32"/>
    </w:rPr>
  </w:style>
  <w:style w:type="paragraph" w:customStyle="1" w:styleId="HeaderCoverPage">
    <w:name w:val="Header Cover Page"/>
    <w:basedOn w:val="Normal"/>
    <w:link w:val="HeaderCoverPageChar"/>
    <w:rsid w:val="00FA1AC8"/>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sid w:val="00FA1AC8"/>
    <w:rPr>
      <w:rFonts w:ascii="Times New Roman" w:hAnsi="Times New Roman" w:cs="Times New Roman"/>
      <w:sz w:val="24"/>
    </w:rPr>
  </w:style>
  <w:style w:type="paragraph" w:customStyle="1" w:styleId="HeaderSensitivity">
    <w:name w:val="Header Sensitivity"/>
    <w:basedOn w:val="Normal"/>
    <w:link w:val="HeaderSensitivityChar"/>
    <w:rsid w:val="00FA1AC8"/>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sid w:val="00FA1AC8"/>
    <w:rPr>
      <w:rFonts w:ascii="Times New Roman" w:hAnsi="Times New Roman" w:cs="Times New Roman"/>
      <w:b/>
      <w:sz w:val="32"/>
    </w:rPr>
  </w:style>
  <w:style w:type="paragraph" w:customStyle="1" w:styleId="HeaderSensitivityRight">
    <w:name w:val="Header Sensitivity Right"/>
    <w:basedOn w:val="Normal"/>
    <w:link w:val="HeaderSensitivityRightChar"/>
    <w:rsid w:val="00FA1AC8"/>
    <w:pPr>
      <w:spacing w:after="120" w:line="240" w:lineRule="auto"/>
      <w:jc w:val="right"/>
    </w:pPr>
    <w:rPr>
      <w:rFonts w:ascii="Times New Roman" w:hAnsi="Times New Roman" w:cs="Times New Roman"/>
      <w:sz w:val="28"/>
    </w:rPr>
  </w:style>
  <w:style w:type="character" w:customStyle="1" w:styleId="HeaderSensitivityRightChar">
    <w:name w:val="Header Sensitivity Right Char"/>
    <w:basedOn w:val="DefaultParagraphFont"/>
    <w:link w:val="HeaderSensitivityRight"/>
    <w:rsid w:val="00FA1AC8"/>
    <w:rPr>
      <w:rFonts w:ascii="Times New Roman" w:hAnsi="Times New Roman" w:cs="Times New Roman"/>
      <w:sz w:val="28"/>
    </w:rPr>
  </w:style>
  <w:style w:type="paragraph" w:customStyle="1" w:styleId="Footno1">
    <w:name w:val="Footno1"/>
    <w:basedOn w:val="Normal"/>
    <w:next w:val="FootnoteText"/>
    <w:link w:val="FootnoteTextChar"/>
    <w:uiPriority w:val="99"/>
    <w:unhideWhenUsed/>
    <w:qFormat/>
    <w:rsid w:val="00FA1AC8"/>
    <w:pPr>
      <w:spacing w:after="0" w:line="240" w:lineRule="auto"/>
    </w:pPr>
    <w:rPr>
      <w:sz w:val="20"/>
    </w:rPr>
  </w:style>
  <w:style w:type="character" w:customStyle="1" w:styleId="FootnoteTextChar">
    <w:name w:val="Footnote Text Char"/>
    <w:basedOn w:val="DefaultParagraphFont"/>
    <w:link w:val="Footno1"/>
    <w:uiPriority w:val="99"/>
    <w:qFormat/>
    <w:rsid w:val="00FA1AC8"/>
    <w:rPr>
      <w:sz w:val="20"/>
    </w:rPr>
  </w:style>
  <w:style w:type="character" w:styleId="FootnoteReference">
    <w:name w:val="footnote reference"/>
    <w:basedOn w:val="DefaultParagraphFont"/>
    <w:link w:val="16Point"/>
    <w:uiPriority w:val="99"/>
    <w:unhideWhenUsed/>
    <w:qFormat/>
    <w:rsid w:val="00FA1AC8"/>
    <w:rPr>
      <w:vertAlign w:val="superscript"/>
    </w:rPr>
  </w:style>
  <w:style w:type="paragraph" w:customStyle="1" w:styleId="16Point">
    <w:name w:val="16 Point"/>
    <w:basedOn w:val="Normal"/>
    <w:link w:val="FootnoteReference"/>
    <w:uiPriority w:val="99"/>
    <w:qFormat/>
    <w:rsid w:val="00FA1AC8"/>
    <w:pPr>
      <w:spacing w:line="240" w:lineRule="exact"/>
    </w:pPr>
    <w:rPr>
      <w:vertAlign w:val="superscript"/>
    </w:rPr>
  </w:style>
  <w:style w:type="paragraph" w:styleId="FootnoteText">
    <w:name w:val="footnote text"/>
    <w:basedOn w:val="Normal"/>
    <w:uiPriority w:val="99"/>
    <w:semiHidden/>
    <w:unhideWhenUsed/>
    <w:rsid w:val="00FA1AC8"/>
    <w:pPr>
      <w:spacing w:after="0" w:line="240" w:lineRule="auto"/>
    </w:pPr>
    <w:rPr>
      <w:sz w:val="20"/>
    </w:rPr>
  </w:style>
  <w:style w:type="character" w:customStyle="1" w:styleId="FootnoteTextChar1">
    <w:name w:val="Footnote Text Char1"/>
    <w:basedOn w:val="DefaultParagraphFont"/>
    <w:uiPriority w:val="99"/>
    <w:semiHidden/>
    <w:rsid w:val="00FA1AC8"/>
    <w:rPr>
      <w:sz w:val="20"/>
    </w:rPr>
  </w:style>
  <w:style w:type="character" w:styleId="Hyperlink">
    <w:name w:val="Hyperlink"/>
    <w:basedOn w:val="DefaultParagraphFont"/>
    <w:uiPriority w:val="99"/>
    <w:unhideWhenUsed/>
    <w:rsid w:val="00CD2699"/>
    <w:rPr>
      <w:color w:val="0563C1" w:themeColor="hyperlink"/>
      <w:u w:val="single"/>
    </w:rPr>
  </w:style>
  <w:style w:type="character" w:styleId="CommentReference">
    <w:name w:val="annotation reference"/>
    <w:basedOn w:val="DefaultParagraphFont"/>
    <w:uiPriority w:val="99"/>
    <w:unhideWhenUsed/>
    <w:rsid w:val="004766B8"/>
    <w:rPr>
      <w:sz w:val="16"/>
    </w:rPr>
  </w:style>
  <w:style w:type="paragraph" w:styleId="CommentText">
    <w:name w:val="annotation text"/>
    <w:basedOn w:val="Normal"/>
    <w:link w:val="CommentTextChar"/>
    <w:uiPriority w:val="99"/>
    <w:unhideWhenUsed/>
    <w:rsid w:val="004766B8"/>
    <w:pPr>
      <w:spacing w:line="240" w:lineRule="auto"/>
    </w:pPr>
    <w:rPr>
      <w:sz w:val="20"/>
    </w:rPr>
  </w:style>
  <w:style w:type="character" w:customStyle="1" w:styleId="CommentTextChar">
    <w:name w:val="Comment Text Char"/>
    <w:basedOn w:val="DefaultParagraphFont"/>
    <w:link w:val="CommentText"/>
    <w:uiPriority w:val="99"/>
    <w:rsid w:val="004766B8"/>
    <w:rPr>
      <w:sz w:val="20"/>
    </w:rPr>
  </w:style>
  <w:style w:type="paragraph" w:styleId="CommentSubject">
    <w:name w:val="annotation subject"/>
    <w:basedOn w:val="CommentText"/>
    <w:next w:val="CommentText"/>
    <w:link w:val="CommentSubjectChar"/>
    <w:uiPriority w:val="99"/>
    <w:semiHidden/>
    <w:unhideWhenUsed/>
    <w:rsid w:val="004766B8"/>
    <w:rPr>
      <w:b/>
    </w:rPr>
  </w:style>
  <w:style w:type="character" w:customStyle="1" w:styleId="CommentSubjectChar">
    <w:name w:val="Comment Subject Char"/>
    <w:basedOn w:val="CommentTextChar"/>
    <w:link w:val="CommentSubject"/>
    <w:uiPriority w:val="99"/>
    <w:semiHidden/>
    <w:rsid w:val="004766B8"/>
    <w:rPr>
      <w:b/>
      <w:sz w:val="20"/>
    </w:rPr>
  </w:style>
  <w:style w:type="paragraph" w:styleId="BalloonText">
    <w:name w:val="Balloon Text"/>
    <w:basedOn w:val="Normal"/>
    <w:link w:val="BalloonTextChar"/>
    <w:uiPriority w:val="99"/>
    <w:semiHidden/>
    <w:unhideWhenUsed/>
    <w:rsid w:val="00403A93"/>
    <w:pPr>
      <w:spacing w:after="0" w:line="240" w:lineRule="auto"/>
    </w:pPr>
    <w:rPr>
      <w:rFonts w:ascii="Segoe UI" w:hAnsi="Segoe UI" w:cs="Segoe UI"/>
      <w:sz w:val="18"/>
    </w:rPr>
  </w:style>
  <w:style w:type="character" w:customStyle="1" w:styleId="BalloonTextChar">
    <w:name w:val="Balloon Text Char"/>
    <w:basedOn w:val="DefaultParagraphFont"/>
    <w:link w:val="BalloonText"/>
    <w:uiPriority w:val="99"/>
    <w:semiHidden/>
    <w:rsid w:val="00403A93"/>
    <w:rPr>
      <w:rFonts w:ascii="Segoe UI" w:hAnsi="Segoe UI" w:cs="Segoe UI"/>
      <w:sz w:val="18"/>
    </w:rPr>
  </w:style>
  <w:style w:type="paragraph" w:styleId="Revision">
    <w:name w:val="Revision"/>
    <w:hidden/>
    <w:uiPriority w:val="99"/>
    <w:semiHidden/>
    <w:rsid w:val="00D245B4"/>
    <w:pPr>
      <w:spacing w:after="0" w:line="240" w:lineRule="auto"/>
    </w:pPr>
  </w:style>
  <w:style w:type="character" w:styleId="FollowedHyperlink">
    <w:name w:val="FollowedHyperlink"/>
    <w:basedOn w:val="DefaultParagraphFont"/>
    <w:uiPriority w:val="99"/>
    <w:semiHidden/>
    <w:unhideWhenUsed/>
    <w:rsid w:val="009F4197"/>
    <w:rPr>
      <w:color w:val="954F72" w:themeColor="followedHyperlink"/>
      <w:u w:val="single"/>
    </w:rPr>
  </w:style>
  <w:style w:type="paragraph" w:styleId="TOC1">
    <w:name w:val="toc 1"/>
    <w:basedOn w:val="Normal"/>
    <w:next w:val="Normal"/>
    <w:autoRedefine/>
    <w:uiPriority w:val="39"/>
    <w:unhideWhenUsed/>
    <w:rsid w:val="00474A07"/>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image" Target="media/image5.e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emf"/><Relationship Id="rId25"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footer" Target="footer5.xml"/><Relationship Id="rId10" Type="http://schemas.openxmlformats.org/officeDocument/2006/relationships/header" Target="header2.xml"/><Relationship Id="rId19"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4.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C177EF-FDE3-4EAA-8AF8-28B1891B2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15</Pages>
  <Words>3226</Words>
  <Characters>21970</Characters>
  <Application>Microsoft Office Word</Application>
  <DocSecurity>0</DocSecurity>
  <Lines>392</Lines>
  <Paragraphs>75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VANROY Anne (SG)</cp:lastModifiedBy>
  <cp:revision>32</cp:revision>
  <cp:lastPrinted>2022-12-14T11:22:00Z</cp:lastPrinted>
  <dcterms:created xsi:type="dcterms:W3CDTF">2023-02-23T17:01:00Z</dcterms:created>
  <dcterms:modified xsi:type="dcterms:W3CDTF">2023-05-07T10:57:00Z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l of sensitivity">
    <vt:lpwstr>Standard treatment</vt:lpwstr>
  </property>
  <property fmtid="{D5CDD505-2E9C-101B-9397-08002B2CF9AE}" pid="3" name="Part">
    <vt:lpwstr>1</vt:lpwstr>
  </property>
  <property fmtid="{D5CDD505-2E9C-101B-9397-08002B2CF9AE}" pid="4" name="Total parts">
    <vt:lpwstr>1</vt:lpwstr>
  </property>
  <property fmtid="{D5CDD505-2E9C-101B-9397-08002B2CF9AE}" pid="5" name="DocStatus">
    <vt:lpwstr>Green</vt:lpwstr>
  </property>
  <property fmtid="{D5CDD505-2E9C-101B-9397-08002B2CF9AE}" pid="6" name="CPTemplateID">
    <vt:lpwstr>CP-003</vt:lpwstr>
  </property>
  <property fmtid="{D5CDD505-2E9C-101B-9397-08002B2CF9AE}" pid="7" name="Last edited using">
    <vt:lpwstr>LW 9.0, Build 20230317</vt:lpwstr>
  </property>
  <property fmtid="{D5CDD505-2E9C-101B-9397-08002B2CF9AE}" pid="8" name="Created using">
    <vt:lpwstr>LW 8.1, Build 20220902</vt:lpwstr>
  </property>
  <property fmtid="{D5CDD505-2E9C-101B-9397-08002B2CF9AE}" pid="9" name="MSIP_Label_6bd9ddd1-4d20-43f6-abfa-fc3c07406f94_Enabled">
    <vt:lpwstr>true</vt:lpwstr>
  </property>
  <property fmtid="{D5CDD505-2E9C-101B-9397-08002B2CF9AE}" pid="10" name="MSIP_Label_6bd9ddd1-4d20-43f6-abfa-fc3c07406f94_SetDate">
    <vt:lpwstr>2022-11-18T10:39:29Z</vt:lpwstr>
  </property>
  <property fmtid="{D5CDD505-2E9C-101B-9397-08002B2CF9AE}" pid="11" name="MSIP_Label_6bd9ddd1-4d20-43f6-abfa-fc3c07406f94_Method">
    <vt:lpwstr>Privileged</vt:lpwstr>
  </property>
  <property fmtid="{D5CDD505-2E9C-101B-9397-08002B2CF9AE}" pid="12" name="MSIP_Label_6bd9ddd1-4d20-43f6-abfa-fc3c07406f94_Name">
    <vt:lpwstr>Commission Use</vt:lpwstr>
  </property>
  <property fmtid="{D5CDD505-2E9C-101B-9397-08002B2CF9AE}" pid="13" name="MSIP_Label_6bd9ddd1-4d20-43f6-abfa-fc3c07406f94_SiteId">
    <vt:lpwstr>b24c8b06-522c-46fe-9080-70926f8dddb1</vt:lpwstr>
  </property>
  <property fmtid="{D5CDD505-2E9C-101B-9397-08002B2CF9AE}" pid="14" name="MSIP_Label_6bd9ddd1-4d20-43f6-abfa-fc3c07406f94_ActionId">
    <vt:lpwstr>b8c64fae-53ae-4e5d-945a-ef7ca83bb199</vt:lpwstr>
  </property>
  <property fmtid="{D5CDD505-2E9C-101B-9397-08002B2CF9AE}" pid="15" name="MSIP_Label_6bd9ddd1-4d20-43f6-abfa-fc3c07406f94_ContentBits">
    <vt:lpwstr>0</vt:lpwstr>
  </property>
</Properties>
</file>