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261A" w14:textId="3F8C8A6D" w:rsidR="00831F29" w:rsidRPr="00C06DCB" w:rsidRDefault="00FA68B8" w:rsidP="00FA68B8">
      <w:pPr>
        <w:pStyle w:val="Pagedecouverture"/>
        <w:rPr>
          <w:noProof/>
        </w:rPr>
      </w:pPr>
      <w:bookmarkStart w:id="0" w:name="LW_BM_COVERPAGE"/>
      <w:r>
        <w:rPr>
          <w:noProof/>
        </w:rPr>
        <w:pict w14:anchorId="4443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5B4A1A-7756-4AF0-A9DB-1090D72ACA19" style="width:455.25pt;height:336.75pt">
            <v:imagedata r:id="rId8" o:title=""/>
          </v:shape>
        </w:pict>
      </w:r>
    </w:p>
    <w:bookmarkEnd w:id="0"/>
    <w:p w14:paraId="6E615E14" w14:textId="77777777" w:rsidR="00831F29" w:rsidRPr="00C06DCB" w:rsidRDefault="00831F29" w:rsidP="00831F29">
      <w:pPr>
        <w:pStyle w:val="Pagedecouverture"/>
        <w:rPr>
          <w:noProof/>
        </w:rPr>
        <w:sectPr w:rsidR="00831F29" w:rsidRPr="00C06DCB" w:rsidSect="00FA68B8">
          <w:headerReference w:type="even" r:id="rId9"/>
          <w:headerReference w:type="default" r:id="rId10"/>
          <w:footerReference w:type="even" r:id="rId11"/>
          <w:footerReference w:type="default" r:id="rId12"/>
          <w:headerReference w:type="first" r:id="rId13"/>
          <w:footerReference w:type="first" r:id="rId14"/>
          <w:footnotePr>
            <w:numStart w:val="25"/>
          </w:footnotePr>
          <w:pgSz w:w="11906" w:h="16838"/>
          <w:pgMar w:top="1134" w:right="1417" w:bottom="1134" w:left="1417" w:header="709" w:footer="709" w:gutter="0"/>
          <w:pgNumType w:start="0"/>
          <w:cols w:space="720"/>
          <w:docGrid w:linePitch="360"/>
        </w:sectPr>
      </w:pPr>
    </w:p>
    <w:p w14:paraId="7AE9C912" w14:textId="7B5A4576" w:rsidR="00831F29" w:rsidRPr="00106810" w:rsidRDefault="566E7AD8" w:rsidP="00831F29">
      <w:pPr>
        <w:spacing w:before="120" w:after="120" w:line="240" w:lineRule="auto"/>
        <w:jc w:val="center"/>
        <w:rPr>
          <w:rFonts w:ascii="Times New Roman" w:eastAsia="Times New Roman" w:hAnsi="Times New Roman" w:cs="Times New Roman"/>
          <w:b/>
          <w:noProof/>
          <w:sz w:val="24"/>
          <w:lang w:val="sl-SI"/>
        </w:rPr>
      </w:pPr>
      <w:bookmarkStart w:id="1" w:name="_GoBack"/>
      <w:bookmarkEnd w:id="1"/>
      <w:r>
        <w:rPr>
          <w:rFonts w:ascii="Times New Roman" w:hAnsi="Times New Roman"/>
          <w:b/>
          <w:noProof/>
          <w:sz w:val="24"/>
        </w:rPr>
        <w:lastRenderedPageBreak/>
        <w:t xml:space="preserve"> </w:t>
      </w:r>
      <w:bookmarkStart w:id="2" w:name="_Hlk132290300"/>
      <w:r w:rsidRPr="00106810">
        <w:rPr>
          <w:rFonts w:ascii="Times New Roman" w:hAnsi="Times New Roman"/>
          <w:b/>
          <w:noProof/>
          <w:sz w:val="24"/>
          <w:lang w:val="sl-SI"/>
        </w:rPr>
        <w:t xml:space="preserve">Zapolnitev vrzeli na področju  strokovnjakov za kibernetsko varnost za povečanje konkurenčnosti, rasti in odpornosti EU </w:t>
      </w:r>
      <w:r w:rsidRPr="00106810">
        <w:rPr>
          <w:noProof/>
          <w:lang w:val="sl-SI"/>
        </w:rPr>
        <w:t xml:space="preserve"> </w:t>
      </w:r>
      <w:r w:rsidRPr="00106810">
        <w:rPr>
          <w:noProof/>
          <w:lang w:val="sl-SI"/>
        </w:rPr>
        <w:br/>
      </w:r>
      <w:r w:rsidRPr="00106810">
        <w:rPr>
          <w:rFonts w:ascii="Times New Roman" w:hAnsi="Times New Roman"/>
          <w:b/>
          <w:noProof/>
          <w:sz w:val="24"/>
          <w:lang w:val="sl-SI"/>
        </w:rPr>
        <w:t>(„akademija za kibernetske veščine“)</w:t>
      </w:r>
    </w:p>
    <w:bookmarkEnd w:id="2"/>
    <w:p w14:paraId="75D3A648" w14:textId="77777777" w:rsidR="00831F29" w:rsidRPr="00106810" w:rsidRDefault="00831F29" w:rsidP="00831F29">
      <w:pPr>
        <w:spacing w:before="120" w:after="120" w:line="240" w:lineRule="auto"/>
        <w:jc w:val="both"/>
        <w:rPr>
          <w:rFonts w:ascii="Times New Roman" w:eastAsia="Times New Roman" w:hAnsi="Times New Roman" w:cs="Times New Roman"/>
          <w:b/>
          <w:noProof/>
          <w:sz w:val="24"/>
          <w:lang w:val="sl-SI"/>
        </w:rPr>
      </w:pPr>
    </w:p>
    <w:p w14:paraId="539F03FA"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 xml:space="preserve">Nujna potreba po zmanjšanju tveganj z odpravljanjem pomanjkanja kibernetskovarnostnih veščin in zapolnitvijo vrzeli v njih </w:t>
      </w:r>
    </w:p>
    <w:p w14:paraId="100B30C7" w14:textId="4D210DB2" w:rsidR="00831F29" w:rsidRPr="00106810" w:rsidRDefault="566E7AD8" w:rsidP="726DB5C3">
      <w:pPr>
        <w:spacing w:before="120" w:after="120" w:line="257"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sz w:val="24"/>
          <w:lang w:val="sl-SI"/>
        </w:rPr>
        <w:t xml:space="preserve">Kibernetska varnost ni le del varnosti državljanov, podjetij in držav članic. Potrebna je tudi za zagotavljanje politične stabilnosti EU in stabilnosti njenih demokracij ter za blaginjo naše družbe in podjetij. </w:t>
      </w:r>
      <w:r w:rsidRPr="00106810">
        <w:rPr>
          <w:rFonts w:ascii="Times New Roman" w:hAnsi="Times New Roman"/>
          <w:b/>
          <w:bCs/>
          <w:noProof/>
          <w:sz w:val="24"/>
          <w:lang w:val="sl-SI"/>
        </w:rPr>
        <w:t>Krajina kibernetskih groženj</w:t>
      </w:r>
      <w:r w:rsidRPr="00106810">
        <w:rPr>
          <w:rFonts w:ascii="Times New Roman" w:hAnsi="Times New Roman"/>
          <w:noProof/>
          <w:sz w:val="24"/>
          <w:lang w:val="sl-SI"/>
        </w:rPr>
        <w:t xml:space="preserve"> se je v zadnjih letih močno spremenila, pri čemer je zaskrbljujoč porast kibernetskih napadov, usmerjenih v vojaško in civilno kritično infrastrukturo v EU. Akterji groženj povečujejo svoje zmogljivosti, pojavljajo pa se nove in hibridne grožnje, kot je uporaba botov in tehnik, ki temeljijo na umetni inteligenci</w:t>
      </w:r>
      <w:r w:rsidRPr="00106810">
        <w:rPr>
          <w:rStyle w:val="FootnoteReference"/>
          <w:rFonts w:ascii="Times New Roman" w:eastAsia="Times New Roman" w:hAnsi="Times New Roman" w:cs="Times New Roman"/>
          <w:noProof/>
          <w:color w:val="000000" w:themeColor="text1"/>
          <w:sz w:val="24"/>
          <w:lang w:val="sl-SI"/>
        </w:rPr>
        <w:footnoteReference w:id="2"/>
      </w:r>
      <w:r w:rsidRPr="00106810">
        <w:rPr>
          <w:rFonts w:ascii="Times New Roman" w:hAnsi="Times New Roman"/>
          <w:noProof/>
          <w:sz w:val="24"/>
          <w:lang w:val="sl-SI"/>
        </w:rPr>
        <w:t>.</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Zlasti akterji groženj, ki uporabljajo izsiljevalsko programje, subjektom stalno povzročajo znatno gospodarsko škodo in škodujejo njihovemu ugledu</w:t>
      </w:r>
      <w:r w:rsidRPr="00106810">
        <w:rPr>
          <w:rStyle w:val="FootnoteReference"/>
          <w:rFonts w:ascii="Times New Roman" w:hAnsi="Times New Roman" w:cs="Times New Roman"/>
          <w:noProof/>
          <w:color w:val="000000" w:themeColor="text1"/>
          <w:lang w:val="sl-SI"/>
        </w:rPr>
        <w:footnoteReference w:id="3"/>
      </w:r>
      <w:r w:rsidRPr="00106810">
        <w:rPr>
          <w:rFonts w:ascii="Times New Roman" w:hAnsi="Times New Roman"/>
          <w:noProof/>
          <w:sz w:val="24"/>
          <w:lang w:val="sl-SI"/>
        </w:rPr>
        <w:t>.</w:t>
      </w:r>
      <w:r w:rsidRPr="00106810">
        <w:rPr>
          <w:rFonts w:ascii="Times New Roman" w:hAnsi="Times New Roman"/>
          <w:noProof/>
          <w:color w:val="000000" w:themeColor="text1"/>
          <w:sz w:val="24"/>
          <w:lang w:val="sl-SI"/>
        </w:rPr>
        <w:t xml:space="preserve">  </w:t>
      </w:r>
    </w:p>
    <w:p w14:paraId="39EBB1A5" w14:textId="48F65510" w:rsidR="00831F29" w:rsidRPr="00106810" w:rsidRDefault="566E7AD8" w:rsidP="726DB5C3">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Tarča v velikem številu kibernetskovarnostnih incidentov so bile tudi javne uprave in vlade držav članic ter evropske institucije, organi, uradi in agencije</w:t>
      </w:r>
      <w:r w:rsidRPr="00106810">
        <w:rPr>
          <w:rStyle w:val="FootnoteReference"/>
          <w:rFonts w:ascii="Times New Roman" w:eastAsia="Times New Roman" w:hAnsi="Times New Roman" w:cs="Times New Roman"/>
          <w:noProof/>
          <w:sz w:val="24"/>
          <w:lang w:val="sl-SI"/>
        </w:rPr>
        <w:footnoteReference w:id="4"/>
      </w:r>
      <w:r w:rsidRPr="00106810">
        <w:rPr>
          <w:rFonts w:ascii="Times New Roman" w:hAnsi="Times New Roman"/>
          <w:noProof/>
          <w:sz w:val="24"/>
          <w:lang w:val="sl-SI"/>
        </w:rPr>
        <w:t>. Prav tako sta pogosti tarči</w:t>
      </w:r>
      <w:r w:rsidRPr="00106810">
        <w:rPr>
          <w:rStyle w:val="FootnoteReference"/>
          <w:rFonts w:ascii="Times New Roman" w:eastAsia="Times New Roman" w:hAnsi="Times New Roman" w:cs="Times New Roman"/>
          <w:noProof/>
          <w:sz w:val="24"/>
          <w:lang w:val="sl-SI"/>
        </w:rPr>
        <w:footnoteReference w:id="5"/>
      </w:r>
      <w:r w:rsidRPr="00106810">
        <w:rPr>
          <w:rFonts w:ascii="Times New Roman" w:hAnsi="Times New Roman"/>
          <w:noProof/>
          <w:sz w:val="24"/>
          <w:lang w:val="sl-SI"/>
        </w:rPr>
        <w:t xml:space="preserve"> tudi finančni</w:t>
      </w:r>
      <w:r w:rsidRPr="00106810">
        <w:rPr>
          <w:rStyle w:val="FootnoteReference"/>
          <w:rFonts w:ascii="Times New Roman" w:eastAsia="Times New Roman" w:hAnsi="Times New Roman" w:cs="Times New Roman"/>
          <w:noProof/>
          <w:sz w:val="24"/>
          <w:lang w:val="sl-SI"/>
        </w:rPr>
        <w:footnoteReference w:id="6"/>
      </w:r>
      <w:r w:rsidRPr="00106810">
        <w:rPr>
          <w:rFonts w:ascii="Times New Roman" w:hAnsi="Times New Roman"/>
          <w:noProof/>
          <w:sz w:val="24"/>
          <w:lang w:val="sl-SI"/>
        </w:rPr>
        <w:t xml:space="preserve"> in zdravstveni</w:t>
      </w:r>
      <w:r w:rsidRPr="00106810">
        <w:rPr>
          <w:rStyle w:val="FootnoteReference"/>
          <w:rFonts w:ascii="Times New Roman" w:eastAsia="Times New Roman" w:hAnsi="Times New Roman" w:cs="Times New Roman"/>
          <w:noProof/>
          <w:sz w:val="24"/>
          <w:lang w:val="sl-SI"/>
        </w:rPr>
        <w:footnoteReference w:id="7"/>
      </w:r>
      <w:r w:rsidRPr="00106810">
        <w:rPr>
          <w:rFonts w:ascii="Times New Roman" w:hAnsi="Times New Roman"/>
          <w:noProof/>
          <w:sz w:val="24"/>
          <w:lang w:val="sl-SI"/>
        </w:rPr>
        <w:t xml:space="preserve"> sektor, na katerih temeljita družba in gospodarstvo. Zaradi geopolitičnih napetosti, povezanih z rusko vojno agresijo proti Ukrajini, se je povečala kibernetska grožnja</w:t>
      </w:r>
      <w:r w:rsidRPr="00106810">
        <w:rPr>
          <w:rStyle w:val="FootnoteReference"/>
          <w:rFonts w:ascii="Times New Roman" w:eastAsia="Times New Roman" w:hAnsi="Times New Roman" w:cs="Times New Roman"/>
          <w:noProof/>
          <w:color w:val="000000" w:themeColor="text1"/>
          <w:sz w:val="24"/>
          <w:lang w:val="sl-SI"/>
        </w:rPr>
        <w:footnoteReference w:id="8"/>
      </w:r>
      <w:r w:rsidRPr="00106810">
        <w:rPr>
          <w:rFonts w:ascii="Times New Roman" w:hAnsi="Times New Roman"/>
          <w:noProof/>
          <w:sz w:val="24"/>
          <w:lang w:val="sl-SI"/>
        </w:rPr>
        <w:t xml:space="preserve">, te napetosti pa lahko privedejo do destabilizacije naše družbe. </w:t>
      </w:r>
      <w:r w:rsidRPr="00106810">
        <w:rPr>
          <w:rFonts w:ascii="Times New Roman" w:hAnsi="Times New Roman"/>
          <w:b/>
          <w:bCs/>
          <w:noProof/>
          <w:sz w:val="24"/>
          <w:lang w:val="sl-SI"/>
        </w:rPr>
        <w:t>Varnosti</w:t>
      </w:r>
      <w:r w:rsidRPr="00106810">
        <w:rPr>
          <w:rFonts w:ascii="Times New Roman" w:hAnsi="Times New Roman"/>
          <w:noProof/>
          <w:sz w:val="24"/>
          <w:lang w:val="sl-SI"/>
        </w:rPr>
        <w:t xml:space="preserve"> v EU ni mogoče zagotoviti brez </w:t>
      </w:r>
      <w:r w:rsidRPr="00106810">
        <w:rPr>
          <w:rFonts w:ascii="Times New Roman" w:hAnsi="Times New Roman"/>
          <w:b/>
          <w:bCs/>
          <w:noProof/>
          <w:sz w:val="24"/>
          <w:lang w:val="sl-SI"/>
        </w:rPr>
        <w:t>največjega bogastva EU</w:t>
      </w:r>
      <w:r w:rsidRPr="00106810">
        <w:rPr>
          <w:rFonts w:ascii="Times New Roman" w:hAnsi="Times New Roman"/>
          <w:noProof/>
          <w:sz w:val="24"/>
          <w:lang w:val="sl-SI"/>
        </w:rPr>
        <w:t>:</w:t>
      </w:r>
      <w:r w:rsidRPr="00106810">
        <w:rPr>
          <w:rFonts w:ascii="Times New Roman" w:hAnsi="Times New Roman"/>
          <w:b/>
          <w:noProof/>
          <w:sz w:val="24"/>
          <w:lang w:val="sl-SI"/>
        </w:rPr>
        <w:t xml:space="preserve"> njenih državljanov. </w:t>
      </w:r>
      <w:r w:rsidRPr="00106810">
        <w:rPr>
          <w:rFonts w:ascii="Times New Roman" w:hAnsi="Times New Roman"/>
          <w:noProof/>
          <w:sz w:val="24"/>
          <w:lang w:val="sl-SI"/>
        </w:rPr>
        <w:t xml:space="preserve">EU nujno potrebuje strokovnjake z znanji, spretnostmi in kompetencami za preprečevanje, odkrivanje in odvračanje kibernetskih napadov ter za obrambo EU in njenih najbolj kritičnih infrastruktur pred njimi ter za zagotavljanje </w:t>
      </w:r>
      <w:r w:rsidRPr="00106810">
        <w:rPr>
          <w:rFonts w:ascii="Times New Roman" w:hAnsi="Times New Roman"/>
          <w:b/>
          <w:bCs/>
          <w:noProof/>
          <w:sz w:val="24"/>
          <w:lang w:val="sl-SI"/>
        </w:rPr>
        <w:t>odpornosti</w:t>
      </w:r>
      <w:r w:rsidRPr="00106810">
        <w:rPr>
          <w:rFonts w:ascii="Times New Roman" w:hAnsi="Times New Roman"/>
          <w:noProof/>
          <w:sz w:val="24"/>
          <w:lang w:val="sl-SI"/>
        </w:rPr>
        <w:t xml:space="preserve"> EU.</w:t>
      </w:r>
    </w:p>
    <w:p w14:paraId="59D15D31" w14:textId="6E4D55CC" w:rsidR="00483B6B" w:rsidRPr="00106810" w:rsidRDefault="6939610A" w:rsidP="00D27FA3">
      <w:pPr>
        <w:jc w:val="both"/>
        <w:rPr>
          <w:rFonts w:ascii="Times New Roman" w:eastAsia="Times New Roman" w:hAnsi="Times New Roman" w:cs="Times New Roman"/>
          <w:noProof/>
          <w:sz w:val="24"/>
          <w:lang w:val="sl-SI"/>
        </w:rPr>
      </w:pPr>
      <w:r w:rsidRPr="00106810">
        <w:rPr>
          <w:rFonts w:ascii="Times New Roman" w:hAnsi="Times New Roman"/>
          <w:noProof/>
          <w:color w:val="000000" w:themeColor="text1"/>
          <w:sz w:val="24"/>
          <w:lang w:val="sl-SI"/>
        </w:rPr>
        <w:t xml:space="preserve">Vrzel na področju strokovnjakov za kibernetsko varnost dodatno ovira </w:t>
      </w:r>
      <w:r w:rsidRPr="00106810">
        <w:rPr>
          <w:rFonts w:ascii="Times New Roman" w:hAnsi="Times New Roman"/>
          <w:b/>
          <w:bCs/>
          <w:noProof/>
          <w:color w:val="000000" w:themeColor="text1"/>
          <w:sz w:val="24"/>
          <w:lang w:val="sl-SI"/>
        </w:rPr>
        <w:t>konkurenčnost</w:t>
      </w:r>
      <w:r w:rsidRPr="00106810">
        <w:rPr>
          <w:rFonts w:ascii="Times New Roman" w:hAnsi="Times New Roman"/>
          <w:noProof/>
          <w:color w:val="000000" w:themeColor="text1"/>
          <w:sz w:val="24"/>
          <w:lang w:val="sl-SI"/>
        </w:rPr>
        <w:t xml:space="preserve"> in </w:t>
      </w:r>
      <w:r w:rsidRPr="00106810">
        <w:rPr>
          <w:rFonts w:ascii="Times New Roman" w:hAnsi="Times New Roman"/>
          <w:b/>
          <w:bCs/>
          <w:noProof/>
          <w:color w:val="000000" w:themeColor="text1"/>
          <w:sz w:val="24"/>
          <w:lang w:val="sl-SI"/>
        </w:rPr>
        <w:t>rast</w:t>
      </w:r>
      <w:r w:rsidRPr="00106810">
        <w:rPr>
          <w:rFonts w:ascii="Times New Roman" w:hAnsi="Times New Roman"/>
          <w:noProof/>
          <w:color w:val="000000" w:themeColor="text1"/>
          <w:sz w:val="24"/>
          <w:lang w:val="sl-SI"/>
        </w:rPr>
        <w:t xml:space="preserve"> Evrope, ki sta močno odvisni od razvoja in uporabe strateških digitalnih tehnologij (npr. umetna inteligenca, 5G in računalništvo v oblaku). Potrebna je usposobljena delovna sila na področju kibernetske varnosti, da bi lahko EU še naprej zagotavljala ključne napredne tehnologije v globalnem okolju.</w:t>
      </w:r>
      <w:r w:rsidRPr="00106810">
        <w:rPr>
          <w:rFonts w:ascii="Times New Roman" w:hAnsi="Times New Roman"/>
          <w:noProof/>
          <w:sz w:val="24"/>
          <w:lang w:val="sl-SI"/>
        </w:rPr>
        <w:t xml:space="preserve"> </w:t>
      </w:r>
    </w:p>
    <w:p w14:paraId="220AD2FF" w14:textId="6042085B" w:rsidR="00831F29" w:rsidRPr="00106810" w:rsidRDefault="566E7AD8" w:rsidP="726DB5C3">
      <w:pPr>
        <w:jc w:val="both"/>
        <w:rPr>
          <w:rFonts w:ascii="Times New Roman" w:eastAsia="Times New Roman" w:hAnsi="Times New Roman" w:cs="Times New Roman"/>
          <w:noProof/>
          <w:sz w:val="24"/>
          <w:lang w:val="sl-SI"/>
        </w:rPr>
      </w:pPr>
      <w:r w:rsidRPr="00106810">
        <w:rPr>
          <w:rFonts w:ascii="Times New Roman" w:hAnsi="Times New Roman"/>
          <w:noProof/>
          <w:sz w:val="24"/>
          <w:lang w:val="sl-SI"/>
        </w:rPr>
        <w:t>V okviru politike EU na področju kibernetske varnosti je bil v zadnjih letih dosežen znaten napredek pri pripravi na to spreminjajočo se krajino groženj in soočanju z njo ter pri spodbujanju konkurenčnosti EU, kar je privedlo do sprejetja številnih pobud, kot so strategija EU za kibernetsko varnost v digitalnem desetletju</w:t>
      </w:r>
      <w:r w:rsidRPr="00106810">
        <w:rPr>
          <w:rStyle w:val="FootnoteReference"/>
          <w:rFonts w:ascii="Times New Roman" w:eastAsia="Times New Roman" w:hAnsi="Times New Roman" w:cs="Times New Roman"/>
          <w:noProof/>
          <w:sz w:val="24"/>
          <w:lang w:val="sl-SI"/>
        </w:rPr>
        <w:footnoteReference w:id="9"/>
      </w:r>
      <w:r w:rsidRPr="00106810">
        <w:rPr>
          <w:rFonts w:ascii="Times New Roman" w:hAnsi="Times New Roman"/>
          <w:noProof/>
          <w:sz w:val="24"/>
          <w:lang w:val="sl-SI"/>
        </w:rPr>
        <w:t>, revidirana direktiva o varnosti omrežij in informacijskih sistemov (direktiva NIS 2)</w:t>
      </w:r>
      <w:r w:rsidRPr="00106810">
        <w:rPr>
          <w:rStyle w:val="FootnoteReference"/>
          <w:rFonts w:ascii="Times New Roman" w:eastAsia="Times New Roman" w:hAnsi="Times New Roman" w:cs="Times New Roman"/>
          <w:noProof/>
          <w:sz w:val="24"/>
          <w:lang w:val="sl-SI"/>
        </w:rPr>
        <w:footnoteReference w:id="10"/>
      </w:r>
      <w:r w:rsidRPr="00106810">
        <w:rPr>
          <w:rFonts w:ascii="Times New Roman" w:hAnsi="Times New Roman"/>
          <w:noProof/>
          <w:sz w:val="24"/>
          <w:lang w:val="sl-SI"/>
        </w:rPr>
        <w:t>, sektorska zakonodaja EU o kibernetski varnosti</w:t>
      </w:r>
      <w:r w:rsidRPr="00106810">
        <w:rPr>
          <w:rStyle w:val="FootnoteReference"/>
          <w:rFonts w:ascii="Times New Roman" w:eastAsia="Times New Roman" w:hAnsi="Times New Roman" w:cs="Times New Roman"/>
          <w:noProof/>
          <w:sz w:val="24"/>
          <w:lang w:val="sl-SI"/>
        </w:rPr>
        <w:footnoteReference w:id="11"/>
      </w:r>
      <w:r w:rsidRPr="00106810">
        <w:rPr>
          <w:rFonts w:ascii="Times New Roman" w:hAnsi="Times New Roman"/>
          <w:noProof/>
          <w:sz w:val="24"/>
          <w:lang w:val="sl-SI"/>
        </w:rPr>
        <w:t>, politika EU za kibernetsko obrambo</w:t>
      </w:r>
      <w:r w:rsidRPr="00106810">
        <w:rPr>
          <w:rStyle w:val="FootnoteReference"/>
          <w:rFonts w:ascii="Times New Roman" w:eastAsia="Times New Roman" w:hAnsi="Times New Roman" w:cs="Times New Roman"/>
          <w:noProof/>
          <w:sz w:val="24"/>
          <w:lang w:val="sl-SI"/>
        </w:rPr>
        <w:footnoteReference w:id="12"/>
      </w:r>
      <w:r w:rsidRPr="00106810">
        <w:rPr>
          <w:rFonts w:ascii="Times New Roman" w:hAnsi="Times New Roman"/>
          <w:noProof/>
          <w:sz w:val="24"/>
          <w:lang w:val="sl-SI"/>
        </w:rPr>
        <w:t>, akt o kibernetski odpornosti</w:t>
      </w:r>
      <w:r w:rsidRPr="00106810">
        <w:rPr>
          <w:rStyle w:val="FootnoteReference"/>
          <w:rFonts w:ascii="Times New Roman" w:eastAsia="Times New Roman" w:hAnsi="Times New Roman" w:cs="Times New Roman"/>
          <w:noProof/>
          <w:sz w:val="24"/>
          <w:lang w:val="sl-SI"/>
        </w:rPr>
        <w:footnoteReference w:id="13"/>
      </w:r>
      <w:r w:rsidRPr="00106810">
        <w:rPr>
          <w:rFonts w:ascii="Times New Roman" w:hAnsi="Times New Roman"/>
          <w:noProof/>
          <w:sz w:val="24"/>
          <w:lang w:val="sl-SI"/>
        </w:rPr>
        <w:t xml:space="preserve"> in akt o kibernetski solidarnosti, ki ga Komisija predlaga skupaj s tem sporočilom. Vendar cilji iz teh zakonodajnih aktov ne bodo doseženi brez usposobljenih ljudi, potrebnih za njihovo izvajanje. Medtem ko se osnovno znanje splošnega prebivalstva o kibernetski varnosti obravnava v okviru pobud, s katerimi se podpira razvoj splošnih znanj in spretnosti, potrebnih za sodelovanje v družbi</w:t>
      </w:r>
      <w:r w:rsidRPr="00106810">
        <w:rPr>
          <w:rStyle w:val="FootnoteReference"/>
          <w:rFonts w:ascii="Times New Roman" w:eastAsia="Times New Roman" w:hAnsi="Times New Roman" w:cs="Times New Roman"/>
          <w:noProof/>
          <w:color w:val="000000" w:themeColor="text1"/>
          <w:sz w:val="24"/>
          <w:lang w:val="sl-SI"/>
        </w:rPr>
        <w:footnoteReference w:id="14"/>
      </w:r>
      <w:r w:rsidRPr="00106810">
        <w:rPr>
          <w:rFonts w:ascii="Times New Roman" w:hAnsi="Times New Roman"/>
          <w:noProof/>
          <w:sz w:val="24"/>
          <w:lang w:val="sl-SI"/>
        </w:rPr>
        <w:t xml:space="preserve">, je usposobljena delovna sila v javnem in zasebnem sektorju na nacionalni ravni in ravni EU, tudi v organizacijah za standardizacijo, bistvenega pomena za </w:t>
      </w:r>
      <w:r w:rsidRPr="00106810">
        <w:rPr>
          <w:rFonts w:ascii="Times New Roman" w:hAnsi="Times New Roman"/>
          <w:b/>
          <w:bCs/>
          <w:noProof/>
          <w:sz w:val="24"/>
          <w:lang w:val="sl-SI"/>
        </w:rPr>
        <w:t>izpolnitev navedenih pravnih in političnih zahtev na področju kibernetske varnosti</w:t>
      </w:r>
      <w:r w:rsidRPr="00106810">
        <w:rPr>
          <w:rFonts w:ascii="Times New Roman" w:hAnsi="Times New Roman"/>
          <w:noProof/>
          <w:sz w:val="24"/>
          <w:lang w:val="sl-SI"/>
        </w:rPr>
        <w:t xml:space="preserve">. </w:t>
      </w:r>
    </w:p>
    <w:p w14:paraId="4B3AF720" w14:textId="3E01B301" w:rsidR="006106B0" w:rsidRPr="00106810" w:rsidRDefault="4977C940" w:rsidP="726DB5C3">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sz w:val="24"/>
          <w:lang w:val="sl-SI"/>
        </w:rPr>
        <w:t xml:space="preserve">Varnost in konkurenčnost EU sta zato odvisni od strokovne usposobljene delovne sile na področju kibernetske varnosti. Vendar pa se EU sooča z zelo velikim pomanjkanjem usposobljenih strokovnjakov za kibernetsko varnost, zaradi česar so EU, njene države članice ter podjetja in državljani izpostavljeni tveganju kibernetskovarnostnih incidentov. Leta 2022 je v Evropski uniji primanjkovalo </w:t>
      </w:r>
      <w:bookmarkStart w:id="3" w:name="_Hlk132290025"/>
      <w:r w:rsidRPr="00106810">
        <w:rPr>
          <w:rFonts w:ascii="Times New Roman" w:hAnsi="Times New Roman"/>
          <w:b/>
          <w:bCs/>
          <w:noProof/>
          <w:sz w:val="24"/>
          <w:lang w:val="sl-SI"/>
        </w:rPr>
        <w:t>med 260 000</w:t>
      </w:r>
      <w:r w:rsidRPr="00106810">
        <w:rPr>
          <w:rStyle w:val="FootnoteReference"/>
          <w:rFonts w:ascii="Times New Roman" w:eastAsia="Times New Roman" w:hAnsi="Times New Roman" w:cs="Times New Roman"/>
          <w:noProof/>
          <w:sz w:val="24"/>
          <w:lang w:val="sl-SI"/>
        </w:rPr>
        <w:footnoteReference w:id="15"/>
      </w:r>
      <w:r w:rsidRPr="00106810">
        <w:rPr>
          <w:rStyle w:val="FootnoteReference"/>
          <w:rFonts w:ascii="Times New Roman" w:eastAsia="Times New Roman" w:hAnsi="Times New Roman" w:cs="Times New Roman"/>
          <w:noProof/>
          <w:sz w:val="24"/>
          <w:lang w:val="sl-SI"/>
        </w:rPr>
        <w:t xml:space="preserve"> </w:t>
      </w:r>
      <w:r w:rsidRPr="00106810">
        <w:rPr>
          <w:rStyle w:val="FootnoteReference"/>
          <w:rFonts w:ascii="Times New Roman" w:hAnsi="Times New Roman"/>
          <w:noProof/>
          <w:sz w:val="24"/>
          <w:lang w:val="sl-SI"/>
        </w:rPr>
        <w:t xml:space="preserve"> </w:t>
      </w:r>
      <w:r w:rsidRPr="00106810">
        <w:rPr>
          <w:rFonts w:ascii="Times New Roman" w:hAnsi="Times New Roman"/>
          <w:b/>
          <w:bCs/>
          <w:noProof/>
          <w:sz w:val="24"/>
          <w:lang w:val="sl-SI"/>
        </w:rPr>
        <w:t>in 500 000</w:t>
      </w:r>
      <w:r w:rsidRPr="00106810">
        <w:rPr>
          <w:rStyle w:val="FootnoteReference"/>
          <w:rFonts w:ascii="Times New Roman" w:eastAsia="Times New Roman" w:hAnsi="Times New Roman" w:cs="Times New Roman"/>
          <w:noProof/>
          <w:sz w:val="24"/>
          <w:lang w:val="sl-SI"/>
        </w:rPr>
        <w:footnoteReference w:id="16"/>
      </w:r>
      <w:r w:rsidRPr="00106810">
        <w:rPr>
          <w:rFonts w:ascii="Times New Roman" w:hAnsi="Times New Roman"/>
          <w:noProof/>
          <w:sz w:val="24"/>
          <w:lang w:val="sl-SI"/>
        </w:rPr>
        <w:t xml:space="preserve"> strokovnjakov za kibernetsko varnost, </w:t>
      </w:r>
      <w:bookmarkEnd w:id="3"/>
      <w:r w:rsidRPr="00106810">
        <w:rPr>
          <w:rFonts w:ascii="Times New Roman" w:hAnsi="Times New Roman"/>
          <w:noProof/>
          <w:sz w:val="24"/>
          <w:lang w:val="sl-SI"/>
        </w:rPr>
        <w:t>medtem ko so bile potrebe EU po delovni sili na področju kibernetske varnosti ocenjene na 883 000 strokovnjakov</w:t>
      </w:r>
      <w:r w:rsidRPr="00106810">
        <w:rPr>
          <w:rStyle w:val="FootnoteReference"/>
          <w:rFonts w:ascii="Times New Roman" w:eastAsia="Times New Roman" w:hAnsi="Times New Roman" w:cs="Times New Roman"/>
          <w:noProof/>
          <w:sz w:val="24"/>
          <w:lang w:val="sl-SI"/>
        </w:rPr>
        <w:footnoteReference w:id="17"/>
      </w:r>
      <w:r w:rsidRPr="00106810">
        <w:rPr>
          <w:rFonts w:ascii="Times New Roman" w:hAnsi="Times New Roman"/>
          <w:noProof/>
          <w:sz w:val="24"/>
          <w:lang w:val="sl-SI"/>
        </w:rPr>
        <w:t xml:space="preserve">, kar kaže na neusklajenost med razpoložljivimi kompetencami in kompetencami, potrebnimi na trgu dela. Na delovno silo na področju kibernetske varnosti dodatno slabo vpliva napačno prepričanje, povezano z njeno tehnično podobo, še vedno pa to področje ni privlačno za </w:t>
      </w:r>
      <w:r w:rsidRPr="00106810">
        <w:rPr>
          <w:rFonts w:ascii="Times New Roman" w:hAnsi="Times New Roman"/>
          <w:b/>
          <w:bCs/>
          <w:noProof/>
          <w:sz w:val="24"/>
          <w:lang w:val="sl-SI"/>
        </w:rPr>
        <w:t>ženske</w:t>
      </w:r>
      <w:r w:rsidRPr="00106810">
        <w:rPr>
          <w:rFonts w:ascii="Times New Roman" w:hAnsi="Times New Roman"/>
          <w:noProof/>
          <w:sz w:val="24"/>
          <w:lang w:val="sl-SI"/>
        </w:rPr>
        <w:t>, ki predstavljajo 20 % diplomantov na področju kibernetske varnosti</w:t>
      </w:r>
      <w:r w:rsidRPr="00106810">
        <w:rPr>
          <w:rStyle w:val="FootnoteReference"/>
          <w:rFonts w:ascii="Times New Roman" w:eastAsia="Times New Roman" w:hAnsi="Times New Roman" w:cs="Times New Roman"/>
          <w:noProof/>
          <w:color w:val="000000" w:themeColor="text1"/>
          <w:sz w:val="24"/>
          <w:lang w:val="sl-SI"/>
        </w:rPr>
        <w:footnoteReference w:id="18"/>
      </w:r>
      <w:r w:rsidRPr="00106810">
        <w:rPr>
          <w:rFonts w:ascii="Times New Roman" w:hAnsi="Times New Roman"/>
          <w:noProof/>
          <w:sz w:val="24"/>
          <w:lang w:val="sl-SI"/>
        </w:rPr>
        <w:t xml:space="preserve"> ter 19 % strokovnjakov za informacijsko in komunikacijsko tehnologijo (IKT)</w:t>
      </w:r>
      <w:r w:rsidRPr="00106810">
        <w:rPr>
          <w:rStyle w:val="FootnoteReference"/>
          <w:rFonts w:ascii="Times New Roman" w:eastAsia="Times New Roman" w:hAnsi="Times New Roman" w:cs="Times New Roman"/>
          <w:noProof/>
          <w:color w:val="000000" w:themeColor="text1"/>
          <w:sz w:val="24"/>
          <w:lang w:val="sl-SI"/>
        </w:rPr>
        <w:footnoteReference w:id="19"/>
      </w:r>
      <w:r w:rsidRPr="00106810">
        <w:rPr>
          <w:rFonts w:ascii="Times New Roman" w:hAnsi="Times New Roman"/>
          <w:noProof/>
          <w:sz w:val="24"/>
          <w:lang w:val="sl-SI"/>
        </w:rPr>
        <w:t xml:space="preserve">. V evropskem </w:t>
      </w:r>
      <w:r w:rsidRPr="00106810">
        <w:rPr>
          <w:rFonts w:ascii="Times New Roman" w:hAnsi="Times New Roman"/>
          <w:b/>
          <w:bCs/>
          <w:noProof/>
          <w:sz w:val="24"/>
          <w:lang w:val="sl-SI"/>
        </w:rPr>
        <w:t>programu politike</w:t>
      </w:r>
      <w:r w:rsidRPr="00106810">
        <w:rPr>
          <w:rFonts w:ascii="Times New Roman" w:hAnsi="Times New Roman"/>
          <w:noProof/>
          <w:sz w:val="24"/>
          <w:lang w:val="sl-SI"/>
        </w:rPr>
        <w:t xml:space="preserve"> </w:t>
      </w:r>
      <w:r w:rsidRPr="00106810">
        <w:rPr>
          <w:rFonts w:ascii="Times New Roman" w:hAnsi="Times New Roman"/>
          <w:b/>
          <w:bCs/>
          <w:noProof/>
          <w:sz w:val="24"/>
          <w:lang w:val="sl-SI"/>
        </w:rPr>
        <w:t>Digitalno desetletje do leta 2030</w:t>
      </w:r>
      <w:r w:rsidRPr="00106810">
        <w:rPr>
          <w:rStyle w:val="FootnoteReference"/>
          <w:rFonts w:ascii="Times New Roman" w:eastAsia="Times New Roman" w:hAnsi="Times New Roman" w:cs="Times New Roman"/>
          <w:noProof/>
          <w:sz w:val="24"/>
          <w:lang w:val="sl-SI"/>
        </w:rPr>
        <w:footnoteReference w:id="20"/>
      </w:r>
      <w:r w:rsidRPr="00106810">
        <w:rPr>
          <w:rFonts w:ascii="Times New Roman" w:hAnsi="Times New Roman"/>
          <w:noProof/>
          <w:sz w:val="24"/>
          <w:lang w:val="sl-SI"/>
        </w:rPr>
        <w:t xml:space="preserve"> je za odpravo te težave določen cilj povečanja števila strokovnjakov na področju IKT za 20 milijonov do leta 2030, pri tem pa se bo odpravila tudi razlika med deležem žensk in moških. Poleg tega izvajanje nastajajoče politike EU zahteva zadostno število ustrezno usposobljene delovne sile.</w:t>
      </w:r>
      <w:r w:rsidRPr="00106810">
        <w:rPr>
          <w:rFonts w:ascii="Times New Roman" w:hAnsi="Times New Roman"/>
          <w:noProof/>
          <w:color w:val="000000" w:themeColor="text1"/>
          <w:sz w:val="24"/>
          <w:lang w:val="sl-SI"/>
        </w:rPr>
        <w:t xml:space="preserve"> Več kot 42 % višjih vodij IT v industriji finančnih storitev je na primer poudarilo, da je pomanjkanje kibernetskovarnostnih veščin in strokovnega znanja ključni izziv, s katerimi se srečuje njihovo podjetje pri kibernetskovarnostni obrambi in obvladovanju kibernetskovarnostnih incidentov</w:t>
      </w:r>
      <w:r w:rsidRPr="00106810">
        <w:rPr>
          <w:rStyle w:val="FootnoteReference"/>
          <w:rFonts w:ascii="Times New Roman" w:eastAsia="Times New Roman" w:hAnsi="Times New Roman" w:cs="Times New Roman"/>
          <w:noProof/>
          <w:color w:val="000000" w:themeColor="text1"/>
          <w:sz w:val="24"/>
          <w:lang w:val="sl-SI"/>
        </w:rPr>
        <w:footnoteReference w:id="21"/>
      </w:r>
      <w:r w:rsidRPr="00106810">
        <w:rPr>
          <w:rFonts w:ascii="Times New Roman" w:hAnsi="Times New Roman"/>
          <w:noProof/>
          <w:color w:val="000000" w:themeColor="text1"/>
          <w:sz w:val="24"/>
          <w:lang w:val="sl-SI"/>
        </w:rPr>
        <w:t>, in to v času, ko bodo morali izvajati sektorsko zakonodajo o kibernetski varnosti, kot je uredba o digitalni operativni odpornosti (DORA).</w:t>
      </w:r>
    </w:p>
    <w:p w14:paraId="2E8A44F8" w14:textId="0642A4F2" w:rsidR="006106B0" w:rsidRPr="00106810" w:rsidRDefault="566E7AD8" w:rsidP="726DB5C3">
      <w:pPr>
        <w:spacing w:before="120" w:after="120" w:line="240" w:lineRule="auto"/>
        <w:jc w:val="both"/>
        <w:rPr>
          <w:rFonts w:ascii="Times New Roman" w:eastAsia="Times New Roman" w:hAnsi="Times New Roman" w:cs="Times New Roman"/>
          <w:i/>
          <w:noProof/>
          <w:color w:val="000000" w:themeColor="text1"/>
          <w:sz w:val="24"/>
          <w:lang w:val="sl-SI"/>
        </w:rPr>
      </w:pPr>
      <w:r w:rsidRPr="00106810">
        <w:rPr>
          <w:rFonts w:ascii="Times New Roman" w:hAnsi="Times New Roman"/>
          <w:noProof/>
          <w:sz w:val="24"/>
          <w:lang w:val="sl-SI"/>
        </w:rPr>
        <w:t>Delodajalci omahujejo pri vlaganju v človeški kapital ter iščejo že usposobljeno in izkušeno delovno silo, kar dodatno prispeva k omejevanju trga dela</w:t>
      </w:r>
      <w:r w:rsidRPr="00106810">
        <w:rPr>
          <w:rStyle w:val="FootnoteReference"/>
          <w:rFonts w:ascii="Times New Roman" w:hAnsi="Times New Roman" w:cs="Times New Roman"/>
          <w:noProof/>
          <w:color w:val="000000" w:themeColor="text1"/>
          <w:sz w:val="24"/>
          <w:lang w:val="sl-SI"/>
        </w:rPr>
        <w:footnoteReference w:id="22"/>
      </w:r>
      <w:r w:rsidRPr="00106810">
        <w:rPr>
          <w:rFonts w:ascii="Times New Roman" w:hAnsi="Times New Roman"/>
          <w:noProof/>
          <w:sz w:val="24"/>
          <w:lang w:val="sl-SI"/>
        </w:rPr>
        <w:t>. To pomanjkanje vpliva na vse vrste družb, vključno z malimi in srednjimi podjetji (</w:t>
      </w:r>
      <w:r w:rsidRPr="00106810">
        <w:rPr>
          <w:rFonts w:ascii="Times New Roman" w:hAnsi="Times New Roman"/>
          <w:b/>
          <w:bCs/>
          <w:noProof/>
          <w:sz w:val="24"/>
          <w:lang w:val="sl-SI"/>
        </w:rPr>
        <w:t>MSP</w:t>
      </w:r>
      <w:r w:rsidRPr="00106810">
        <w:rPr>
          <w:rFonts w:ascii="Times New Roman" w:hAnsi="Times New Roman"/>
          <w:noProof/>
          <w:sz w:val="24"/>
          <w:lang w:val="sl-SI"/>
        </w:rPr>
        <w:t>), ki predstavljajo 99 % vseh podjetij v EU</w:t>
      </w:r>
      <w:r w:rsidRPr="00106810">
        <w:rPr>
          <w:rStyle w:val="FootnoteReference"/>
          <w:rFonts w:ascii="Times New Roman" w:eastAsia="Times New Roman" w:hAnsi="Times New Roman" w:cs="Times New Roman"/>
          <w:noProof/>
          <w:color w:val="000000" w:themeColor="text1"/>
          <w:sz w:val="24"/>
          <w:lang w:val="sl-SI"/>
        </w:rPr>
        <w:footnoteReference w:id="23"/>
      </w:r>
      <w:r w:rsidRPr="00106810">
        <w:rPr>
          <w:rFonts w:ascii="Times New Roman" w:hAnsi="Times New Roman"/>
          <w:noProof/>
          <w:sz w:val="24"/>
          <w:lang w:val="sl-SI"/>
        </w:rPr>
        <w:t>.</w:t>
      </w:r>
      <w:r w:rsidRPr="00106810">
        <w:rPr>
          <w:rFonts w:ascii="Times New Roman" w:hAnsi="Times New Roman"/>
          <w:noProof/>
          <w:color w:val="000000" w:themeColor="text1"/>
          <w:sz w:val="24"/>
          <w:lang w:val="sl-SI"/>
        </w:rPr>
        <w:t xml:space="preserve"> Z velikim izzivom se srečujejo tudi </w:t>
      </w:r>
      <w:r w:rsidRPr="00106810">
        <w:rPr>
          <w:rFonts w:ascii="Times New Roman" w:hAnsi="Times New Roman"/>
          <w:b/>
          <w:bCs/>
          <w:noProof/>
          <w:color w:val="000000" w:themeColor="text1"/>
          <w:sz w:val="24"/>
          <w:lang w:val="sl-SI"/>
        </w:rPr>
        <w:t>javne uprave</w:t>
      </w:r>
      <w:r w:rsidRPr="00106810">
        <w:rPr>
          <w:rFonts w:ascii="Times New Roman" w:hAnsi="Times New Roman"/>
          <w:noProof/>
          <w:color w:val="000000" w:themeColor="text1"/>
          <w:sz w:val="24"/>
          <w:lang w:val="sl-SI"/>
        </w:rPr>
        <w:t>, ki so velikokrat tarče kibernetskovarnostnih incidentov in na katere ti najbolj vplivajo</w:t>
      </w:r>
      <w:r w:rsidRPr="00106810">
        <w:rPr>
          <w:rStyle w:val="FootnoteReference"/>
          <w:rFonts w:ascii="Times New Roman" w:eastAsia="Times New Roman" w:hAnsi="Times New Roman" w:cs="Times New Roman"/>
          <w:noProof/>
          <w:color w:val="000000" w:themeColor="text1"/>
          <w:sz w:val="24"/>
          <w:lang w:val="sl-SI"/>
        </w:rPr>
        <w:footnoteReference w:id="24"/>
      </w:r>
      <w:r w:rsidRPr="00106810">
        <w:rPr>
          <w:rFonts w:ascii="Times New Roman" w:hAnsi="Times New Roman"/>
          <w:noProof/>
          <w:color w:val="000000" w:themeColor="text1"/>
          <w:sz w:val="24"/>
          <w:lang w:val="sl-SI"/>
        </w:rPr>
        <w:t xml:space="preserve">. </w:t>
      </w:r>
    </w:p>
    <w:p w14:paraId="3E898657" w14:textId="28A9754F" w:rsidR="00642BC6" w:rsidRPr="00106810" w:rsidRDefault="721E2B27" w:rsidP="00C06DCB">
      <w:p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noProof/>
          <w:sz w:val="24"/>
          <w:lang w:val="sl-SI"/>
        </w:rPr>
        <w:t>Zato je treba nujno odpraviti vrzel na področju strokovnjakov za kibernetsko varnost v EU, saj sta ogroženi varnost in konkurenčnost EU.</w:t>
      </w:r>
    </w:p>
    <w:p w14:paraId="06835F5C"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Pomanjkanje sinergij in usklajenega ukrepanja za zapolnitev vrzeli v kibernetskovarnostnih veščinah</w:t>
      </w:r>
    </w:p>
    <w:p w14:paraId="78EE0BF5" w14:textId="38979CC7" w:rsidR="00831F29" w:rsidRPr="00106810" w:rsidRDefault="00831F29" w:rsidP="00831F29">
      <w:pPr>
        <w:spacing w:before="120" w:after="120" w:line="240" w:lineRule="auto"/>
        <w:jc w:val="both"/>
        <w:rPr>
          <w:rFonts w:ascii="Times New Roman" w:eastAsia="Calibri" w:hAnsi="Times New Roman" w:cs="Times New Roman"/>
          <w:noProof/>
          <w:color w:val="000000" w:themeColor="text1"/>
          <w:sz w:val="24"/>
          <w:lang w:val="sl-SI"/>
        </w:rPr>
      </w:pPr>
      <w:r w:rsidRPr="00106810">
        <w:rPr>
          <w:rFonts w:ascii="Times New Roman" w:hAnsi="Times New Roman"/>
          <w:noProof/>
          <w:color w:val="000000" w:themeColor="text1"/>
          <w:sz w:val="24"/>
          <w:lang w:val="sl-SI"/>
        </w:rPr>
        <w:t>Na evropski in nacionalni ravni se pojavlja vse več čedalje uspešnejših pobud, ki jih izvajajo javni in zasebni subjekti, da bi odpravili pomanjkanja delovne sile na področju kibernetske varnosti.</w:t>
      </w:r>
      <w:r w:rsidRPr="00106810">
        <w:rPr>
          <w:rFonts w:ascii="Times New Roman" w:hAnsi="Times New Roman"/>
          <w:noProof/>
          <w:sz w:val="24"/>
          <w:lang w:val="sl-SI"/>
        </w:rPr>
        <w:t xml:space="preserve"> Vendar so te razpršene in doslej še niso dosegle kritične mase, ki bi privedla do resnične spremembe.</w:t>
      </w:r>
    </w:p>
    <w:p w14:paraId="01361E97" w14:textId="5132FB15" w:rsidR="00AF00D6" w:rsidRPr="00106810" w:rsidRDefault="566E7AD8" w:rsidP="726DB5C3">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Prvič, skupno razumevanje sestave delovne sile EU na področju kibernetske varnosti ter s tem povezanih veščin je trenutno omejeno, medtem ko bi morali podobni profili delovnih mest na področju kibernetske varnosti vključevati enak nabor veščin. Ker zadevni akterji premalo uporabljajo skupni </w:t>
      </w:r>
      <w:r w:rsidRPr="00106810">
        <w:rPr>
          <w:rFonts w:ascii="Times New Roman" w:hAnsi="Times New Roman"/>
          <w:b/>
          <w:bCs/>
          <w:noProof/>
          <w:sz w:val="24"/>
          <w:lang w:val="sl-SI"/>
        </w:rPr>
        <w:t>evropski referenčni okvir za strokovnjake za kibernetsko varnost</w:t>
      </w:r>
      <w:r w:rsidRPr="00106810">
        <w:rPr>
          <w:rFonts w:ascii="Times New Roman" w:hAnsi="Times New Roman"/>
          <w:noProof/>
          <w:sz w:val="24"/>
          <w:lang w:val="sl-SI"/>
        </w:rPr>
        <w:t xml:space="preserve">, ni komunikacijskega orodja med delodajalci, izobraževalci in oblikovalci politik, prav tako pa ni mogoče izmeriti in oceniti vrzeli na trgu dela na področju kibernetske varnosti. </w:t>
      </w:r>
      <w:r w:rsidRPr="00106810">
        <w:rPr>
          <w:rFonts w:ascii="Times New Roman" w:hAnsi="Times New Roman"/>
          <w:noProof/>
          <w:color w:val="000000" w:themeColor="text1"/>
          <w:sz w:val="24"/>
          <w:lang w:val="sl-SI"/>
        </w:rPr>
        <w:t xml:space="preserve">To dodatno preprečuje oblikovanje učnih načrtov za izobraževanje in usposabljanje ter oblikovanje poklicnih poti, ki bi ustrezale potrebam politike in trga, za tiste, ki želijo začeti opravljati poklic. </w:t>
      </w:r>
      <w:r w:rsidRPr="00106810">
        <w:rPr>
          <w:rFonts w:ascii="Times New Roman" w:hAnsi="Times New Roman"/>
          <w:b/>
          <w:bCs/>
          <w:noProof/>
          <w:sz w:val="24"/>
          <w:lang w:val="sl-SI"/>
        </w:rPr>
        <w:t>Izpopolnjevanje</w:t>
      </w:r>
      <w:r w:rsidRPr="00106810">
        <w:rPr>
          <w:rFonts w:ascii="Times New Roman" w:hAnsi="Times New Roman"/>
          <w:noProof/>
          <w:sz w:val="24"/>
          <w:lang w:val="sl-SI"/>
        </w:rPr>
        <w:t xml:space="preserve"> </w:t>
      </w:r>
      <w:r w:rsidRPr="00106810">
        <w:rPr>
          <w:rFonts w:ascii="Times New Roman" w:hAnsi="Times New Roman"/>
          <w:b/>
          <w:bCs/>
          <w:noProof/>
          <w:sz w:val="24"/>
          <w:lang w:val="sl-SI"/>
        </w:rPr>
        <w:t>in preusposabljanje</w:t>
      </w:r>
      <w:r w:rsidRPr="00106810">
        <w:rPr>
          <w:rFonts w:ascii="Times New Roman" w:hAnsi="Times New Roman"/>
          <w:noProof/>
          <w:sz w:val="24"/>
          <w:lang w:val="sl-SI"/>
        </w:rPr>
        <w:t xml:space="preserve"> delovne sile sta v veliki meri odvisna od usposabljanj in pridobivanja certifikatov na področju kibernetske varnosti, ki jih običajno nudijo zasebni ponudniki. Vendar pa se delovna sila srečuje s težavami pri pridobivanju pregleda nad kakovostjo ponujenih usposabljanj na področju kibernetske varnosti in certifikatov, ki se izdajajo v povezavi z njimi.</w:t>
      </w:r>
    </w:p>
    <w:p w14:paraId="4381DEEE" w14:textId="33D02ECD" w:rsidR="00831F29" w:rsidRPr="00106810" w:rsidRDefault="721E2B27" w:rsidP="00831F29">
      <w:pPr>
        <w:spacing w:before="120" w:after="120" w:line="240" w:lineRule="auto"/>
        <w:jc w:val="both"/>
        <w:rPr>
          <w:rFonts w:ascii="Times New Roman" w:eastAsia="Times New Roman" w:hAnsi="Times New Roman" w:cs="Times New Roman"/>
          <w:noProof/>
          <w:color w:val="000000" w:themeColor="text1"/>
          <w:sz w:val="24"/>
          <w:lang w:val="sl-SI"/>
        </w:rPr>
      </w:pPr>
      <w:bookmarkStart w:id="4" w:name="_Hlk131068651"/>
      <w:r w:rsidRPr="00106810">
        <w:rPr>
          <w:rFonts w:ascii="Times New Roman" w:hAnsi="Times New Roman"/>
          <w:noProof/>
          <w:color w:val="000000" w:themeColor="text1"/>
          <w:sz w:val="24"/>
          <w:lang w:val="sl-SI"/>
        </w:rPr>
        <w:t xml:space="preserve">Čeprav so izobraževanje, usposabljanje ter oblikovanje poklicnih poti potrebni za izboljšanje ponudbe na trgu dela, je vloga </w:t>
      </w:r>
      <w:r w:rsidRPr="00106810">
        <w:rPr>
          <w:rFonts w:ascii="Times New Roman" w:hAnsi="Times New Roman"/>
          <w:b/>
          <w:bCs/>
          <w:noProof/>
          <w:color w:val="000000" w:themeColor="text1"/>
          <w:sz w:val="24"/>
          <w:lang w:val="sl-SI"/>
        </w:rPr>
        <w:t>povpraševanja</w:t>
      </w:r>
      <w:r w:rsidRPr="00106810">
        <w:rPr>
          <w:rFonts w:ascii="Times New Roman" w:hAnsi="Times New Roman"/>
          <w:noProof/>
          <w:color w:val="000000" w:themeColor="text1"/>
          <w:sz w:val="24"/>
          <w:lang w:val="sl-SI"/>
        </w:rPr>
        <w:t xml:space="preserve"> pri usposabljanju delovne sile na trgu dela in pri prilagajanju na razvoj tega trga trenutno podcenjena. Industrija in delodajalci iz javnega sektorja nimajo na voljo skupnih forumov in mest za združevanje zamisli o tem, kako najbolje usposobiti delovno silo ter </w:t>
      </w:r>
      <w:r w:rsidRPr="00106810">
        <w:rPr>
          <w:rFonts w:ascii="Times New Roman" w:hAnsi="Times New Roman"/>
          <w:b/>
          <w:bCs/>
          <w:noProof/>
          <w:color w:val="000000" w:themeColor="text1"/>
          <w:sz w:val="24"/>
          <w:lang w:val="sl-SI"/>
        </w:rPr>
        <w:t>bolje oceniti veščine</w:t>
      </w:r>
      <w:r w:rsidRPr="00106810">
        <w:rPr>
          <w:rFonts w:ascii="Times New Roman" w:hAnsi="Times New Roman"/>
          <w:noProof/>
          <w:color w:val="000000" w:themeColor="text1"/>
          <w:sz w:val="24"/>
          <w:lang w:val="sl-SI"/>
        </w:rPr>
        <w:t xml:space="preserve">, zlasti med postopkom zaposlovanja. Najbolj iskane </w:t>
      </w:r>
      <w:r w:rsidRPr="00106810">
        <w:rPr>
          <w:rFonts w:ascii="Times New Roman" w:hAnsi="Times New Roman"/>
          <w:b/>
          <w:bCs/>
          <w:noProof/>
          <w:color w:val="000000" w:themeColor="text1"/>
          <w:sz w:val="24"/>
          <w:lang w:val="sl-SI"/>
        </w:rPr>
        <w:t>trde veščine</w:t>
      </w:r>
      <w:r w:rsidRPr="00106810">
        <w:rPr>
          <w:rFonts w:ascii="Times New Roman" w:hAnsi="Times New Roman"/>
          <w:noProof/>
          <w:color w:val="000000" w:themeColor="text1"/>
          <w:sz w:val="24"/>
          <w:lang w:val="sl-SI"/>
        </w:rPr>
        <w:t xml:space="preserve"> so lahko povezane s kibernetsko varnostjo</w:t>
      </w:r>
      <w:r w:rsidRPr="00106810">
        <w:rPr>
          <w:rStyle w:val="FootnoteReference"/>
          <w:rFonts w:ascii="Times New Roman" w:eastAsia="Calibri" w:hAnsi="Times New Roman" w:cs="Times New Roman"/>
          <w:noProof/>
          <w:color w:val="000000" w:themeColor="text1"/>
          <w:sz w:val="24"/>
          <w:lang w:val="sl-SI"/>
        </w:rPr>
        <w:footnoteReference w:id="25"/>
      </w:r>
      <w:r w:rsidRPr="00106810">
        <w:rPr>
          <w:rFonts w:ascii="Times New Roman" w:hAnsi="Times New Roman"/>
          <w:noProof/>
          <w:color w:val="000000" w:themeColor="text1"/>
          <w:sz w:val="24"/>
          <w:lang w:val="sl-SI"/>
        </w:rPr>
        <w:t>, kot sta razvoj programske opreme ali računalništvo v oblaku</w:t>
      </w:r>
      <w:r w:rsidRPr="00106810">
        <w:rPr>
          <w:rStyle w:val="FootnoteReference"/>
          <w:rFonts w:ascii="Times New Roman" w:eastAsia="Times New Roman" w:hAnsi="Times New Roman" w:cs="Times New Roman"/>
          <w:noProof/>
          <w:color w:val="000000" w:themeColor="text1"/>
          <w:sz w:val="24"/>
          <w:lang w:val="sl-SI"/>
        </w:rPr>
        <w:footnoteReference w:id="26"/>
      </w:r>
      <w:r w:rsidRPr="00106810">
        <w:rPr>
          <w:rFonts w:ascii="Times New Roman" w:hAnsi="Times New Roman"/>
          <w:noProof/>
          <w:color w:val="000000" w:themeColor="text1"/>
          <w:sz w:val="24"/>
          <w:lang w:val="sl-SI"/>
        </w:rPr>
        <w:t xml:space="preserve">, vendar pa so </w:t>
      </w:r>
      <w:r w:rsidRPr="00106810">
        <w:rPr>
          <w:rFonts w:ascii="Times New Roman" w:hAnsi="Times New Roman"/>
          <w:b/>
          <w:bCs/>
          <w:noProof/>
          <w:color w:val="000000" w:themeColor="text1"/>
          <w:sz w:val="24"/>
          <w:lang w:val="sl-SI"/>
        </w:rPr>
        <w:t>prečne veščine</w:t>
      </w:r>
      <w:r w:rsidRPr="00106810">
        <w:rPr>
          <w:rFonts w:ascii="Times New Roman" w:hAnsi="Times New Roman"/>
          <w:noProof/>
          <w:color w:val="000000" w:themeColor="text1"/>
          <w:sz w:val="24"/>
          <w:lang w:val="sl-SI"/>
        </w:rPr>
        <w:t xml:space="preserve"> še vedno neupravičeno prezrte. Vrste veščin, ki jih delodajalci vse bolj zahtevajo, so kritično razmišljanje, analiziranje, reševanje težav ter samoiniciativnost in samostojnost pri delu</w:t>
      </w:r>
      <w:r w:rsidRPr="00106810">
        <w:rPr>
          <w:rStyle w:val="FootnoteReference"/>
          <w:rFonts w:ascii="Times New Roman" w:eastAsia="Times New Roman" w:hAnsi="Times New Roman" w:cs="Times New Roman"/>
          <w:noProof/>
          <w:color w:val="000000" w:themeColor="text1"/>
          <w:sz w:val="24"/>
          <w:lang w:val="sl-SI"/>
        </w:rPr>
        <w:footnoteReference w:id="27"/>
      </w:r>
      <w:r w:rsidRPr="00106810">
        <w:rPr>
          <w:rFonts w:ascii="Times New Roman" w:hAnsi="Times New Roman"/>
          <w:noProof/>
          <w:color w:val="000000" w:themeColor="text1"/>
          <w:sz w:val="24"/>
          <w:lang w:val="sl-SI"/>
        </w:rPr>
        <w:t>, ki bodo do leta 2025 postajale vse pomembnejše</w:t>
      </w:r>
      <w:r w:rsidRPr="00106810">
        <w:rPr>
          <w:rStyle w:val="FootnoteReference"/>
          <w:rFonts w:ascii="Times New Roman" w:eastAsia="Times New Roman" w:hAnsi="Times New Roman" w:cs="Times New Roman"/>
          <w:noProof/>
          <w:color w:val="000000" w:themeColor="text1"/>
          <w:sz w:val="24"/>
          <w:lang w:val="sl-SI"/>
        </w:rPr>
        <w:footnoteReference w:id="28"/>
      </w:r>
      <w:r w:rsidRPr="00106810">
        <w:rPr>
          <w:rFonts w:ascii="Times New Roman" w:hAnsi="Times New Roman"/>
          <w:noProof/>
          <w:color w:val="000000" w:themeColor="text1"/>
          <w:sz w:val="24"/>
          <w:lang w:val="sl-SI"/>
        </w:rPr>
        <w:t>.</w:t>
      </w:r>
    </w:p>
    <w:bookmarkEnd w:id="4"/>
    <w:p w14:paraId="68523B9B" w14:textId="2D50A256" w:rsidR="00831F29" w:rsidRPr="00106810" w:rsidRDefault="566E7AD8"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sz w:val="24"/>
          <w:lang w:val="sl-SI"/>
        </w:rPr>
        <w:t xml:space="preserve">Obstajajo že številne javne in zasebne naložbene pobude za kibernetskovarnostne veščine, pri čemer EU obsežno </w:t>
      </w:r>
      <w:r w:rsidRPr="00106810">
        <w:rPr>
          <w:rFonts w:ascii="Times New Roman" w:hAnsi="Times New Roman"/>
          <w:b/>
          <w:bCs/>
          <w:noProof/>
          <w:sz w:val="24"/>
          <w:lang w:val="sl-SI"/>
        </w:rPr>
        <w:t>financira</w:t>
      </w:r>
      <w:r w:rsidRPr="00106810">
        <w:rPr>
          <w:rFonts w:ascii="Times New Roman" w:hAnsi="Times New Roman"/>
          <w:noProof/>
          <w:sz w:val="24"/>
          <w:lang w:val="sl-SI"/>
        </w:rPr>
        <w:t xml:space="preserve"> projekte v okviru različnih instrumentov</w:t>
      </w:r>
      <w:r w:rsidRPr="00106810">
        <w:rPr>
          <w:rStyle w:val="FootnoteReference"/>
          <w:rFonts w:ascii="Times New Roman" w:hAnsi="Times New Roman" w:cs="Times New Roman"/>
          <w:noProof/>
          <w:sz w:val="24"/>
          <w:lang w:val="sl-SI"/>
        </w:rPr>
        <w:footnoteReference w:id="29"/>
      </w:r>
      <w:r w:rsidRPr="00106810">
        <w:rPr>
          <w:rFonts w:ascii="Times New Roman" w:hAnsi="Times New Roman"/>
          <w:noProof/>
          <w:sz w:val="24"/>
          <w:lang w:val="sl-SI"/>
        </w:rPr>
        <w:t xml:space="preserve">. </w:t>
      </w:r>
      <w:r w:rsidRPr="00106810">
        <w:rPr>
          <w:rFonts w:ascii="Times New Roman" w:hAnsi="Times New Roman"/>
          <w:noProof/>
          <w:color w:val="000000" w:themeColor="text1"/>
          <w:sz w:val="24"/>
          <w:lang w:val="sl-SI"/>
        </w:rPr>
        <w:t>Ker pa v EU še vedno primanjkuje veščin, se porajajo vprašanja glede prepoznavnosti in učinka teh projektov, kar kaže na to, da se morda ne ujemajo sistematično s potrebami trga, ki jih je treba nujno opredeliti na ravni EU. Poleg tega več virov financiranja vodi k podvajanju, zaradi česar se ne izkoristijo priložnosti za širitev in doseganje dejanskega učinka. Hkrati pa tisti, ki potrebujejo naložbo, ne znajo vedno opredeliti najprimernejših virov za svoje potrebe.</w:t>
      </w:r>
    </w:p>
    <w:p w14:paraId="35C59FC5" w14:textId="5C2A31F7" w:rsidR="00831F29" w:rsidRPr="00106810" w:rsidRDefault="566E7AD8" w:rsidP="726DB5C3">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b/>
          <w:bCs/>
          <w:noProof/>
          <w:sz w:val="24"/>
          <w:lang w:val="sl-SI"/>
        </w:rPr>
        <w:t>Deležniki</w:t>
      </w:r>
      <w:r w:rsidRPr="00106810">
        <w:rPr>
          <w:rFonts w:ascii="Times New Roman" w:hAnsi="Times New Roman"/>
          <w:noProof/>
          <w:sz w:val="24"/>
          <w:lang w:val="sl-SI"/>
        </w:rPr>
        <w:t xml:space="preserve"> že nekaj časa poskušajo odpraviti zapleteno in večplastno težavo pomanjkanja kibernetskovarnostnih veščin. </w:t>
      </w:r>
      <w:r w:rsidRPr="00106810">
        <w:rPr>
          <w:rFonts w:ascii="Times New Roman" w:hAnsi="Times New Roman"/>
          <w:noProof/>
          <w:color w:val="000000" w:themeColor="text1"/>
          <w:sz w:val="24"/>
          <w:lang w:val="sl-SI"/>
        </w:rPr>
        <w:t>Agencija EU za kibernetsko varnost (ENISA) razvija instrumente, povezane s profili vlog ali visokošolskim izobraževanjem</w:t>
      </w:r>
      <w:r w:rsidRPr="00106810">
        <w:rPr>
          <w:rStyle w:val="FootnoteReference"/>
          <w:rFonts w:ascii="Times New Roman" w:hAnsi="Times New Roman" w:cs="Times New Roman"/>
          <w:noProof/>
          <w:sz w:val="24"/>
          <w:lang w:val="sl-SI"/>
        </w:rPr>
        <w:footnoteReference w:id="30"/>
      </w:r>
      <w:r w:rsidRPr="00106810">
        <w:rPr>
          <w:rFonts w:ascii="Times New Roman" w:hAnsi="Times New Roman"/>
          <w:noProof/>
          <w:color w:val="000000" w:themeColor="text1"/>
          <w:sz w:val="24"/>
          <w:lang w:val="sl-SI"/>
        </w:rPr>
        <w:t>, Evropski kompetenčni center za kibernetsko varnost (ECCC)</w:t>
      </w:r>
      <w:r w:rsidRPr="00106810">
        <w:rPr>
          <w:rStyle w:val="FootnoteReference"/>
          <w:rFonts w:ascii="Times New Roman" w:eastAsia="Times New Roman" w:hAnsi="Times New Roman" w:cs="Times New Roman"/>
          <w:noProof/>
          <w:sz w:val="24"/>
          <w:lang w:val="sl-SI"/>
        </w:rPr>
        <w:footnoteReference w:id="31"/>
      </w:r>
      <w:r w:rsidRPr="00106810">
        <w:rPr>
          <w:rFonts w:ascii="Times New Roman" w:hAnsi="Times New Roman"/>
          <w:noProof/>
          <w:color w:val="000000" w:themeColor="text1"/>
          <w:sz w:val="24"/>
          <w:lang w:val="sl-SI"/>
        </w:rPr>
        <w:t xml:space="preserve"> obravnava kibernetskovarnostne veščine v okviru posebne delovne skupine, </w:t>
      </w:r>
      <w:bookmarkStart w:id="5" w:name="_Hlk132367003"/>
      <w:r w:rsidRPr="00106810">
        <w:rPr>
          <w:rFonts w:ascii="Times New Roman" w:hAnsi="Times New Roman"/>
          <w:noProof/>
          <w:color w:val="000000" w:themeColor="text1"/>
          <w:sz w:val="24"/>
          <w:lang w:val="sl-SI"/>
        </w:rPr>
        <w:t>Evropska akademija za varnost in obrambo (EAVO) se ukvarja s kibernetskovarnostnimi veščinami civilne in vojaške delovne sile v okviru skupne varnostne in obrambne politike</w:t>
      </w:r>
      <w:r w:rsidRPr="00106810">
        <w:rPr>
          <w:rStyle w:val="FootnoteReference"/>
          <w:rFonts w:ascii="Times New Roman" w:hAnsi="Times New Roman" w:cs="Times New Roman"/>
          <w:noProof/>
          <w:sz w:val="24"/>
          <w:lang w:val="sl-SI"/>
        </w:rPr>
        <w:footnoteReference w:id="32"/>
      </w:r>
      <w:r w:rsidRPr="00106810">
        <w:rPr>
          <w:rFonts w:ascii="Times New Roman" w:hAnsi="Times New Roman"/>
          <w:noProof/>
          <w:color w:val="000000" w:themeColor="text1"/>
          <w:sz w:val="24"/>
          <w:lang w:val="sl-SI"/>
        </w:rPr>
        <w:t xml:space="preserve">, </w:t>
      </w:r>
      <w:bookmarkEnd w:id="5"/>
      <w:r w:rsidRPr="00106810">
        <w:rPr>
          <w:rFonts w:ascii="Times New Roman" w:hAnsi="Times New Roman"/>
          <w:noProof/>
          <w:color w:val="000000" w:themeColor="text1"/>
          <w:sz w:val="24"/>
          <w:lang w:val="sl-SI"/>
        </w:rPr>
        <w:t xml:space="preserve"> hkrati pa si to težavo prizadevajo rešiti zasebne organizacije</w:t>
      </w:r>
      <w:r w:rsidRPr="00106810">
        <w:rPr>
          <w:rStyle w:val="FootnoteReference"/>
          <w:rFonts w:ascii="Times New Roman" w:hAnsi="Times New Roman" w:cs="Times New Roman"/>
          <w:noProof/>
          <w:sz w:val="24"/>
          <w:lang w:val="sl-SI"/>
        </w:rPr>
        <w:footnoteReference w:id="33"/>
      </w:r>
      <w:r w:rsidRPr="00106810">
        <w:rPr>
          <w:rFonts w:ascii="Times New Roman" w:hAnsi="Times New Roman"/>
          <w:noProof/>
          <w:color w:val="000000" w:themeColor="text1"/>
          <w:sz w:val="24"/>
          <w:lang w:val="sl-SI"/>
        </w:rPr>
        <w:t>, v sektorju za certificiranje kibernetske varnosti pa se pripravljajo časovni načrt in usposabljanja za odpravo pomanjkanja veščin</w:t>
      </w:r>
      <w:r w:rsidRPr="00106810">
        <w:rPr>
          <w:rStyle w:val="FootnoteReference"/>
          <w:rFonts w:ascii="Times New Roman" w:hAnsi="Times New Roman" w:cs="Times New Roman"/>
          <w:noProof/>
          <w:sz w:val="24"/>
          <w:lang w:val="sl-SI"/>
        </w:rPr>
        <w:footnoteReference w:id="34"/>
      </w:r>
      <w:r w:rsidRPr="00106810">
        <w:rPr>
          <w:rFonts w:ascii="Times New Roman" w:hAnsi="Times New Roman"/>
          <w:noProof/>
          <w:color w:val="000000" w:themeColor="text1"/>
          <w:sz w:val="24"/>
          <w:lang w:val="sl-SI"/>
        </w:rPr>
        <w:t>.</w:t>
      </w:r>
      <w:r w:rsidRPr="00106810">
        <w:rPr>
          <w:rFonts w:ascii="Times New Roman" w:hAnsi="Times New Roman"/>
          <w:noProof/>
          <w:sz w:val="24"/>
          <w:lang w:val="sl-SI"/>
        </w:rPr>
        <w:t xml:space="preserve"> </w:t>
      </w:r>
      <w:r w:rsidRPr="00106810">
        <w:rPr>
          <w:rFonts w:ascii="Times New Roman" w:hAnsi="Times New Roman"/>
          <w:noProof/>
          <w:color w:val="000000" w:themeColor="text1"/>
          <w:sz w:val="24"/>
          <w:lang w:val="sl-SI"/>
        </w:rPr>
        <w:t>Države članice poskušajo to težavo obravnavati tudi z različnimi pobudami, ki segajo od regulativnih pobud</w:t>
      </w:r>
      <w:r w:rsidRPr="00106810">
        <w:rPr>
          <w:rStyle w:val="FootnoteReference"/>
          <w:rFonts w:ascii="Times New Roman" w:eastAsia="Calibri" w:hAnsi="Times New Roman" w:cs="Times New Roman"/>
          <w:noProof/>
          <w:color w:val="000000" w:themeColor="text1"/>
          <w:sz w:val="24"/>
          <w:lang w:val="sl-SI"/>
        </w:rPr>
        <w:footnoteReference w:id="35"/>
      </w:r>
      <w:r w:rsidRPr="00106810">
        <w:rPr>
          <w:rFonts w:ascii="Times New Roman" w:hAnsi="Times New Roman"/>
          <w:noProof/>
          <w:color w:val="000000" w:themeColor="text1"/>
          <w:sz w:val="24"/>
          <w:lang w:val="sl-SI"/>
        </w:rPr>
        <w:t xml:space="preserve"> do ustanavljanja akademij za kibernetskovarnostne veščine</w:t>
      </w:r>
      <w:r w:rsidRPr="00106810">
        <w:rPr>
          <w:rStyle w:val="FootnoteReference"/>
          <w:rFonts w:ascii="Times New Roman" w:eastAsia="Calibri" w:hAnsi="Times New Roman" w:cs="Times New Roman"/>
          <w:noProof/>
          <w:color w:val="000000" w:themeColor="text1"/>
          <w:sz w:val="24"/>
          <w:lang w:val="sl-SI"/>
        </w:rPr>
        <w:footnoteReference w:id="36"/>
      </w:r>
      <w:r w:rsidRPr="00106810">
        <w:rPr>
          <w:rFonts w:ascii="Times New Roman" w:hAnsi="Times New Roman"/>
          <w:noProof/>
          <w:color w:val="000000" w:themeColor="text1"/>
          <w:sz w:val="24"/>
          <w:lang w:val="sl-SI"/>
        </w:rPr>
        <w:t xml:space="preserve"> ali kibernetskih kampusov</w:t>
      </w:r>
      <w:r w:rsidRPr="00106810">
        <w:rPr>
          <w:rStyle w:val="FootnoteReference"/>
          <w:rFonts w:ascii="Times New Roman" w:eastAsia="Calibri" w:hAnsi="Times New Roman" w:cs="Times New Roman"/>
          <w:noProof/>
          <w:color w:val="000000" w:themeColor="text1"/>
          <w:sz w:val="24"/>
          <w:lang w:val="sl-SI"/>
        </w:rPr>
        <w:footnoteReference w:id="37"/>
      </w:r>
      <w:r w:rsidRPr="00106810">
        <w:rPr>
          <w:rFonts w:ascii="Times New Roman" w:hAnsi="Times New Roman"/>
          <w:noProof/>
          <w:color w:val="000000" w:themeColor="text1"/>
          <w:sz w:val="24"/>
          <w:lang w:val="sl-SI"/>
        </w:rPr>
        <w:t xml:space="preserve"> in centrov odličnosti za kibernetsko kriminaliteto</w:t>
      </w:r>
      <w:r w:rsidRPr="00106810">
        <w:rPr>
          <w:rStyle w:val="FootnoteReference"/>
          <w:rFonts w:ascii="Times New Roman" w:eastAsia="Calibri" w:hAnsi="Times New Roman" w:cs="Times New Roman"/>
          <w:noProof/>
          <w:color w:val="000000" w:themeColor="text1"/>
          <w:sz w:val="24"/>
          <w:lang w:val="sl-SI"/>
        </w:rPr>
        <w:footnoteReference w:id="38"/>
      </w:r>
      <w:r w:rsidRPr="00106810">
        <w:rPr>
          <w:rFonts w:ascii="Times New Roman" w:hAnsi="Times New Roman"/>
          <w:noProof/>
          <w:color w:val="000000" w:themeColor="text1"/>
          <w:sz w:val="24"/>
          <w:lang w:val="sl-SI"/>
        </w:rPr>
        <w:t>, ali z javno-zasebnimi partnerstvi</w:t>
      </w:r>
      <w:r w:rsidRPr="00106810">
        <w:rPr>
          <w:rStyle w:val="FootnoteReference"/>
          <w:rFonts w:ascii="Times New Roman" w:eastAsia="Calibri" w:hAnsi="Times New Roman" w:cs="Times New Roman"/>
          <w:noProof/>
          <w:color w:val="000000" w:themeColor="text1"/>
          <w:sz w:val="24"/>
          <w:lang w:val="sl-SI"/>
        </w:rPr>
        <w:footnoteReference w:id="39"/>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Vendar pri delu vseh teh deležnikov pogosto manjkajo usklajevanje in sinergije, zato še ni doseglo svojega potenciala, da bi se bistveno spremenil trg dela, kar dokazuje vse večje pomanjkanje delovne sile na področju kibernetske varnosti v EU.</w:t>
      </w:r>
      <w:r w:rsidRPr="00106810">
        <w:rPr>
          <w:rFonts w:ascii="Times New Roman" w:hAnsi="Times New Roman"/>
          <w:noProof/>
          <w:color w:val="000000" w:themeColor="text1"/>
          <w:sz w:val="24"/>
          <w:lang w:val="sl-SI"/>
        </w:rPr>
        <w:t xml:space="preserve"> Potrebne so tudi večje sinergije med kibernetskimi skupnostmi, saj so za ohranjanje kibernetske varnosti, boj proti </w:t>
      </w:r>
      <w:r w:rsidRPr="00106810">
        <w:rPr>
          <w:rFonts w:ascii="Times New Roman" w:hAnsi="Times New Roman"/>
          <w:b/>
          <w:bCs/>
          <w:noProof/>
          <w:color w:val="000000" w:themeColor="text1"/>
          <w:sz w:val="24"/>
          <w:lang w:val="sl-SI"/>
        </w:rPr>
        <w:t>kibernetski kriminaliteti</w:t>
      </w:r>
      <w:r w:rsidRPr="00106810">
        <w:rPr>
          <w:rFonts w:ascii="Times New Roman" w:hAnsi="Times New Roman"/>
          <w:noProof/>
          <w:color w:val="000000" w:themeColor="text1"/>
          <w:sz w:val="24"/>
          <w:lang w:val="sl-SI"/>
        </w:rPr>
        <w:t xml:space="preserve"> ali oblikovanje odzivov v okviru </w:t>
      </w:r>
      <w:r w:rsidRPr="00106810">
        <w:rPr>
          <w:rFonts w:ascii="Times New Roman" w:hAnsi="Times New Roman"/>
          <w:b/>
          <w:bCs/>
          <w:noProof/>
          <w:color w:val="000000" w:themeColor="text1"/>
          <w:sz w:val="24"/>
          <w:lang w:val="sl-SI"/>
        </w:rPr>
        <w:t>kibernetske obrambe</w:t>
      </w:r>
      <w:r w:rsidRPr="00106810">
        <w:rPr>
          <w:rFonts w:ascii="Times New Roman" w:hAnsi="Times New Roman"/>
          <w:noProof/>
          <w:color w:val="000000" w:themeColor="text1"/>
          <w:sz w:val="24"/>
          <w:lang w:val="sl-SI"/>
        </w:rPr>
        <w:t xml:space="preserve"> pogosto potrebne podobne veščine. </w:t>
      </w:r>
    </w:p>
    <w:p w14:paraId="0AB46B0E" w14:textId="4D93D26B" w:rsidR="007F7D26" w:rsidRPr="00106810" w:rsidRDefault="566E7AD8"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Nazadnje, EU ima danes omejena sredstva za ocenjevanje </w:t>
      </w:r>
      <w:r w:rsidRPr="00106810">
        <w:rPr>
          <w:rFonts w:ascii="Times New Roman" w:hAnsi="Times New Roman"/>
          <w:b/>
          <w:bCs/>
          <w:noProof/>
          <w:color w:val="000000" w:themeColor="text1"/>
          <w:sz w:val="24"/>
          <w:lang w:val="sl-SI"/>
        </w:rPr>
        <w:t>stanja in razvoja trga dela na področju kibernetske varnosti</w:t>
      </w:r>
      <w:r w:rsidRPr="00106810">
        <w:rPr>
          <w:rFonts w:ascii="Times New Roman" w:hAnsi="Times New Roman"/>
          <w:noProof/>
          <w:color w:val="000000" w:themeColor="text1"/>
          <w:sz w:val="24"/>
          <w:lang w:val="sl-SI"/>
        </w:rPr>
        <w:t xml:space="preserve"> ter veščin svoje delovne sile. Države članice ter institucije, organi, uradi in agencije EU se opirajo na podatke, ki jih zbirajo zasebni subjekti, ali na širši sklop podatkov, zbranih v EU, zlasti podatkov Eurostata</w:t>
      </w:r>
      <w:r w:rsidRPr="00106810">
        <w:rPr>
          <w:rStyle w:val="FootnoteReference"/>
          <w:rFonts w:ascii="Times New Roman" w:eastAsia="Times New Roman" w:hAnsi="Times New Roman" w:cs="Times New Roman"/>
          <w:noProof/>
          <w:color w:val="000000" w:themeColor="text1"/>
          <w:sz w:val="24"/>
          <w:lang w:val="sl-SI"/>
        </w:rPr>
        <w:footnoteReference w:id="40"/>
      </w:r>
      <w:r w:rsidRPr="00106810">
        <w:rPr>
          <w:rFonts w:ascii="Times New Roman" w:hAnsi="Times New Roman"/>
          <w:noProof/>
          <w:color w:val="000000" w:themeColor="text1"/>
          <w:sz w:val="24"/>
          <w:lang w:val="sl-SI"/>
        </w:rPr>
        <w:t xml:space="preserve"> in Evropskega centra za razvoj poklicnega usposabljanja (CEDEFOP)</w:t>
      </w:r>
      <w:r w:rsidRPr="00106810">
        <w:rPr>
          <w:rStyle w:val="FootnoteReference"/>
          <w:rFonts w:ascii="Times New Roman" w:eastAsia="Times New Roman" w:hAnsi="Times New Roman" w:cs="Times New Roman"/>
          <w:noProof/>
          <w:color w:val="000000" w:themeColor="text1"/>
          <w:sz w:val="24"/>
          <w:lang w:val="sl-SI"/>
        </w:rPr>
        <w:footnoteReference w:id="41"/>
      </w:r>
      <w:r w:rsidRPr="00106810">
        <w:rPr>
          <w:rFonts w:ascii="Times New Roman" w:hAnsi="Times New Roman"/>
          <w:noProof/>
          <w:color w:val="000000" w:themeColor="text1"/>
          <w:sz w:val="24"/>
          <w:lang w:val="sl-SI"/>
        </w:rPr>
        <w:t xml:space="preserve"> o strokovnjakih na področju IKT. Povedano drugače, EU ima delen in razdrobljen pregled nad svojimi potrebami, kar ji preprečuje, da bi utrdila skupno vizijo glede stanja trga dela na področju kibernetske varnosti.</w:t>
      </w:r>
    </w:p>
    <w:p w14:paraId="7DB028DF"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Usklajen odziv na ravni EU: akademija za kibernetske veščine</w:t>
      </w:r>
    </w:p>
    <w:p w14:paraId="6A1CE98C" w14:textId="77777777" w:rsidR="00831F29" w:rsidRPr="00106810" w:rsidRDefault="00831F29" w:rsidP="00831F29">
      <w:pPr>
        <w:pStyle w:val="ListParagraph"/>
        <w:spacing w:before="120" w:after="120" w:line="240" w:lineRule="auto"/>
        <w:ind w:left="360"/>
        <w:jc w:val="both"/>
        <w:rPr>
          <w:rFonts w:ascii="Times New Roman" w:eastAsia="Times New Roman" w:hAnsi="Times New Roman" w:cs="Times New Roman"/>
          <w:b/>
          <w:noProof/>
          <w:sz w:val="24"/>
          <w:lang w:val="sl-SI"/>
        </w:rPr>
      </w:pPr>
    </w:p>
    <w:p w14:paraId="7238877C" w14:textId="77777777" w:rsidR="00831F29" w:rsidRPr="00106810" w:rsidRDefault="00831F29" w:rsidP="007F7D26">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Cilj</w:t>
      </w:r>
    </w:p>
    <w:p w14:paraId="7DB281E6" w14:textId="3AFC4237"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Komisija za premagovanje izziva v zvezi z obravnavanjem kibernetskovarnostnih veščin ter zapolnitvijo vrzeli na trgu dela predlaga ustanovitev </w:t>
      </w:r>
      <w:r w:rsidRPr="00106810">
        <w:rPr>
          <w:rFonts w:ascii="Times New Roman" w:hAnsi="Times New Roman"/>
          <w:b/>
          <w:bCs/>
          <w:noProof/>
          <w:sz w:val="24"/>
          <w:lang w:val="sl-SI"/>
        </w:rPr>
        <w:t>akademije za kibernetske veščine</w:t>
      </w:r>
      <w:r w:rsidRPr="00106810">
        <w:rPr>
          <w:rFonts w:ascii="Times New Roman" w:hAnsi="Times New Roman"/>
          <w:noProof/>
          <w:sz w:val="24"/>
          <w:lang w:val="sl-SI"/>
        </w:rPr>
        <w:t xml:space="preserve">, kot jo je napovedala predsednica Evropske komisije v svojem pismu o nameri k stanju v Uniji v letu 2022 </w:t>
      </w:r>
      <w:r w:rsidRPr="00106810">
        <w:rPr>
          <w:rStyle w:val="FootnoteReference"/>
          <w:rFonts w:ascii="Times New Roman" w:eastAsia="Times New Roman" w:hAnsi="Times New Roman" w:cs="Times New Roman"/>
          <w:noProof/>
          <w:sz w:val="24"/>
          <w:lang w:val="sl-SI"/>
        </w:rPr>
        <w:footnoteReference w:id="42"/>
      </w:r>
      <w:r w:rsidRPr="00106810">
        <w:rPr>
          <w:rStyle w:val="FootnoteReference"/>
          <w:rFonts w:ascii="Times New Roman" w:eastAsia="Times New Roman" w:hAnsi="Times New Roman" w:cs="Times New Roman"/>
          <w:noProof/>
          <w:sz w:val="24"/>
          <w:lang w:val="sl-SI"/>
        </w:rPr>
        <w:t xml:space="preserve">, </w:t>
      </w:r>
      <w:r w:rsidRPr="00106810">
        <w:rPr>
          <w:rStyle w:val="FootnoteReference"/>
          <w:rFonts w:ascii="Times New Roman" w:hAnsi="Times New Roman"/>
          <w:noProof/>
          <w:sz w:val="24"/>
          <w:lang w:val="sl-SI"/>
        </w:rPr>
        <w:t xml:space="preserve">, </w:t>
      </w:r>
      <w:r w:rsidRPr="00106810">
        <w:rPr>
          <w:rStyle w:val="FootnoteReference"/>
          <w:rFonts w:ascii="Times New Roman" w:eastAsia="Times New Roman" w:hAnsi="Times New Roman" w:cs="Times New Roman"/>
          <w:noProof/>
          <w:sz w:val="24"/>
          <w:lang w:val="sl-SI"/>
        </w:rPr>
        <w:footnoteReference w:id="43"/>
      </w:r>
      <w:r w:rsidRPr="00106810">
        <w:rPr>
          <w:rFonts w:ascii="Times New Roman" w:hAnsi="Times New Roman"/>
          <w:noProof/>
          <w:sz w:val="24"/>
          <w:lang w:val="sl-SI"/>
        </w:rPr>
        <w:t xml:space="preserve"> ter kot je bila napovedana v okviru evropskega leta spretnosti. </w:t>
      </w:r>
    </w:p>
    <w:p w14:paraId="442E5D73" w14:textId="5D90BC64"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Namen akademije za kibernetske veščine (v nadaljnjem besedilu: akademija) je ustvariti </w:t>
      </w:r>
      <w:r w:rsidRPr="00106810">
        <w:rPr>
          <w:rFonts w:ascii="Times New Roman" w:hAnsi="Times New Roman"/>
          <w:b/>
          <w:bCs/>
          <w:noProof/>
          <w:sz w:val="24"/>
          <w:lang w:val="sl-SI"/>
        </w:rPr>
        <w:t>enotno vstopno točko in sinergije</w:t>
      </w:r>
      <w:r w:rsidRPr="00106810">
        <w:rPr>
          <w:rFonts w:ascii="Times New Roman" w:hAnsi="Times New Roman"/>
          <w:noProof/>
          <w:sz w:val="24"/>
          <w:lang w:val="sl-SI"/>
        </w:rPr>
        <w:t xml:space="preserve"> za vse ponudbe izobraževanja in usposabljanja na področju kibernetske varnosti, pa tudi za priložnosti za financiranje in specifične ukrepe za podporo razvoju kibernetskovarnostnih veščin. Z akademijo se bodo okrepile pobude deležnikov, da bo dosežena kritična masa, ki bo prinesla spremembe na trgu dela, tudi na področju obrambe. Te dejavnosti bi se za večji učinek uskladile s skupnimi cilji in ključnimi kazalniki uspešnosti.</w:t>
      </w:r>
    </w:p>
    <w:p w14:paraId="41C3D939" w14:textId="7E5C8DFE" w:rsidR="00831F29" w:rsidRPr="00106810" w:rsidRDefault="566E7AD8"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Poudarek akademije bo na usposabljanju </w:t>
      </w:r>
      <w:r w:rsidRPr="00106810">
        <w:rPr>
          <w:rFonts w:ascii="Times New Roman" w:hAnsi="Times New Roman"/>
          <w:b/>
          <w:bCs/>
          <w:noProof/>
          <w:color w:val="000000" w:themeColor="text1"/>
          <w:sz w:val="24"/>
          <w:lang w:val="sl-SI"/>
        </w:rPr>
        <w:t>strokovnjakov za kibernetsko varnost</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Dejavnost akademije bo prispevala k politikam EU na področju kibernetske varnosti, pa tudi k izobraževanju in vseživljenjskemu učenju. Akademija dopolnjuje dve priporočili Sveta v zvezi z digitalnim izobraževanjem in spretnostmi, ki ju Komisija predlaga hkrati s tem sporočilom</w:t>
      </w:r>
      <w:r w:rsidRPr="00106810">
        <w:rPr>
          <w:rStyle w:val="FootnoteReference"/>
          <w:rFonts w:ascii="Times New Roman" w:eastAsia="Times New Roman" w:hAnsi="Times New Roman" w:cs="Times New Roman"/>
          <w:noProof/>
          <w:color w:val="000000" w:themeColor="text1"/>
          <w:sz w:val="24"/>
          <w:lang w:val="sl-SI"/>
        </w:rPr>
        <w:footnoteReference w:id="44"/>
      </w:r>
      <w:r w:rsidRPr="00106810">
        <w:rPr>
          <w:rFonts w:ascii="Times New Roman" w:hAnsi="Times New Roman"/>
          <w:noProof/>
          <w:sz w:val="24"/>
          <w:lang w:val="sl-SI"/>
        </w:rPr>
        <w:t>.</w:t>
      </w:r>
    </w:p>
    <w:p w14:paraId="11712E63" w14:textId="2F56DB12"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color w:val="000000" w:themeColor="text1"/>
          <w:sz w:val="24"/>
          <w:lang w:val="sl-SI"/>
        </w:rPr>
        <w:t xml:space="preserve">Akademija bo temeljila na štirih stebrih: </w:t>
      </w:r>
      <w:r w:rsidRPr="00106810">
        <w:rPr>
          <w:rFonts w:ascii="Times New Roman" w:hAnsi="Times New Roman"/>
          <w:noProof/>
          <w:sz w:val="24"/>
          <w:lang w:val="sl-SI"/>
        </w:rPr>
        <w:t xml:space="preserve">(1) spodbujanju </w:t>
      </w:r>
      <w:r w:rsidRPr="00106810">
        <w:rPr>
          <w:rFonts w:ascii="Times New Roman" w:hAnsi="Times New Roman"/>
          <w:b/>
          <w:bCs/>
          <w:noProof/>
          <w:sz w:val="24"/>
          <w:lang w:val="sl-SI"/>
        </w:rPr>
        <w:t>ustvarjanja znanja z izobraževanjem in usposabljanjem</w:t>
      </w:r>
      <w:r w:rsidRPr="00106810">
        <w:rPr>
          <w:rFonts w:ascii="Times New Roman" w:hAnsi="Times New Roman"/>
          <w:noProof/>
          <w:sz w:val="24"/>
          <w:lang w:val="sl-SI"/>
        </w:rPr>
        <w:t xml:space="preserve">, tako da se bo oblikoval skupni okvir za profile vlog na področju kibernetske varnosti ter s tem povezane veščine, izboljšala evropska ponudba izobraževanja in usposabljanja za zadovoljitev potreb, ustvarile poklicne poti ter zagotovili prepoznavnost in jasnost v zvezi z usposabljanjem in certificiranjem na področju kibernetske varnosti, da se okrepi ponudba na trgu dela; (2) zagotavljanju boljšega usmerjanja in prepoznavnosti razpoložljivih </w:t>
      </w:r>
      <w:r w:rsidRPr="00106810">
        <w:rPr>
          <w:rFonts w:ascii="Times New Roman" w:hAnsi="Times New Roman"/>
          <w:b/>
          <w:bCs/>
          <w:noProof/>
          <w:sz w:val="24"/>
          <w:lang w:val="sl-SI"/>
        </w:rPr>
        <w:t>priložnosti za financiranje</w:t>
      </w:r>
      <w:r w:rsidRPr="00106810">
        <w:rPr>
          <w:rFonts w:ascii="Times New Roman" w:hAnsi="Times New Roman"/>
          <w:noProof/>
          <w:sz w:val="24"/>
          <w:lang w:val="sl-SI"/>
        </w:rPr>
        <w:t xml:space="preserve"> za dejavnosti, povezane z veščinami, da se čim bolj poveča njihov učinek;</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 xml:space="preserve">(3) pozivu deležnikom </w:t>
      </w:r>
      <w:r w:rsidRPr="00106810">
        <w:rPr>
          <w:rFonts w:ascii="Times New Roman" w:hAnsi="Times New Roman"/>
          <w:b/>
          <w:bCs/>
          <w:noProof/>
          <w:sz w:val="24"/>
          <w:lang w:val="sl-SI"/>
        </w:rPr>
        <w:t>k ukrepanju</w:t>
      </w:r>
      <w:r w:rsidRPr="00106810">
        <w:rPr>
          <w:rFonts w:ascii="Times New Roman" w:hAnsi="Times New Roman"/>
          <w:noProof/>
          <w:sz w:val="24"/>
          <w:lang w:val="sl-SI"/>
        </w:rPr>
        <w:t xml:space="preserve"> ter (4) opredelitvi kazalnikov za </w:t>
      </w:r>
      <w:r w:rsidRPr="00106810">
        <w:rPr>
          <w:rFonts w:ascii="Times New Roman" w:hAnsi="Times New Roman"/>
          <w:b/>
          <w:bCs/>
          <w:noProof/>
          <w:sz w:val="24"/>
          <w:lang w:val="sl-SI"/>
        </w:rPr>
        <w:t>spremljanje razvoja trga</w:t>
      </w:r>
      <w:r w:rsidRPr="00106810">
        <w:rPr>
          <w:rFonts w:ascii="Times New Roman" w:hAnsi="Times New Roman"/>
          <w:noProof/>
          <w:sz w:val="24"/>
          <w:lang w:val="sl-SI"/>
        </w:rPr>
        <w:t xml:space="preserve"> in razvoju zmogljivosti za ocenjevanje učinkovitosti ukrepov zadevnih deležnikov.</w:t>
      </w:r>
    </w:p>
    <w:p w14:paraId="3E0D34CD" w14:textId="321F1310"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Delovanje akademije bo podprto s sredstvi v višini 10 milijonov EUR iz programa Digitalna Evropa</w:t>
      </w:r>
      <w:r w:rsidRPr="00106810">
        <w:rPr>
          <w:rStyle w:val="FootnoteReference"/>
          <w:rFonts w:ascii="Times New Roman" w:eastAsia="Times New Roman" w:hAnsi="Times New Roman" w:cs="Times New Roman"/>
          <w:noProof/>
          <w:sz w:val="24"/>
          <w:lang w:val="sl-SI"/>
        </w:rPr>
        <w:footnoteReference w:id="45"/>
      </w:r>
      <w:r w:rsidRPr="00106810">
        <w:rPr>
          <w:rFonts w:ascii="Times New Roman" w:hAnsi="Times New Roman"/>
          <w:noProof/>
          <w:sz w:val="24"/>
          <w:lang w:val="sl-SI"/>
        </w:rPr>
        <w:t>.</w:t>
      </w:r>
    </w:p>
    <w:p w14:paraId="1BAF7617" w14:textId="5B337B13" w:rsidR="00831F29" w:rsidRPr="00106810" w:rsidRDefault="00E52E2E" w:rsidP="007F7D26">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bookmarkStart w:id="6" w:name="_Hlk130905565"/>
      <w:r w:rsidRPr="00106810">
        <w:rPr>
          <w:rFonts w:ascii="Times New Roman" w:hAnsi="Times New Roman"/>
          <w:b/>
          <w:i/>
          <w:noProof/>
          <w:sz w:val="24"/>
          <w:lang w:val="sl-SI"/>
        </w:rPr>
        <w:t>Upravljanje akademije</w:t>
      </w:r>
    </w:p>
    <w:p w14:paraId="2F141A8E" w14:textId="64A60DAC"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Da bi se zagotovila infrastruktura, ki bi služila kot </w:t>
      </w:r>
      <w:r w:rsidRPr="00106810">
        <w:rPr>
          <w:rFonts w:ascii="Times New Roman" w:hAnsi="Times New Roman"/>
          <w:b/>
          <w:bCs/>
          <w:noProof/>
          <w:sz w:val="24"/>
          <w:lang w:val="sl-SI"/>
        </w:rPr>
        <w:t>enotna vstopna točka</w:t>
      </w:r>
      <w:r w:rsidRPr="00106810">
        <w:rPr>
          <w:rFonts w:ascii="Times New Roman" w:hAnsi="Times New Roman"/>
          <w:noProof/>
          <w:sz w:val="24"/>
          <w:lang w:val="sl-SI"/>
        </w:rPr>
        <w:t xml:space="preserve"> za spodbujanje sodelovanja med znanstveno skupnostjo, ponudniki usposabljanja in industrijo, v njenem okviru pa bi se lahko srečevali in usposabljali subjekti na strani ponudbe in povpraševanja v ekosistemu kibernetske varnosti EU, bi se akademija lahko oblikovala kot </w:t>
      </w:r>
      <w:r w:rsidRPr="00106810">
        <w:rPr>
          <w:rFonts w:ascii="Times New Roman" w:hAnsi="Times New Roman"/>
          <w:b/>
          <w:bCs/>
          <w:noProof/>
          <w:sz w:val="24"/>
          <w:lang w:val="sl-SI"/>
        </w:rPr>
        <w:t>konzorcij evropske digitalne infrastrukture (EDIC)</w:t>
      </w:r>
      <w:r w:rsidRPr="00106810">
        <w:rPr>
          <w:rStyle w:val="FootnoteReference"/>
          <w:rFonts w:ascii="Times New Roman" w:eastAsia="Times New Roman" w:hAnsi="Times New Roman" w:cs="Times New Roman"/>
          <w:noProof/>
          <w:color w:val="000000" w:themeColor="text1"/>
          <w:sz w:val="24"/>
          <w:lang w:val="sl-SI"/>
        </w:rPr>
        <w:footnoteReference w:id="46"/>
      </w:r>
      <w:r w:rsidRPr="00106810">
        <w:rPr>
          <w:rFonts w:ascii="Times New Roman" w:hAnsi="Times New Roman"/>
          <w:noProof/>
          <w:sz w:val="24"/>
          <w:lang w:val="sl-SI"/>
        </w:rPr>
        <w:t>.</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Ta instrument bi državam članicam omogočil sodelovanje pri zapolnitvi vrzeli v kibernetskovarnostnih veščinah ter tesno sodelovanje s Komisijo, agencijo ENISA in Evropskim kompetenčnim centrom za kibernetsko varnost (ECCC) v skladu z njihovimi mandati in pristojnostmi, hkrati pa bi jim omogočil, da vključijo vse ustrezne deležnike ter tudi to, da evropske, nacionalne in zasebne naložbe usmerijo v skupni cilj.</w:t>
      </w:r>
      <w:r w:rsidRPr="00106810">
        <w:rPr>
          <w:rFonts w:ascii="Times New Roman" w:hAnsi="Times New Roman"/>
          <w:noProof/>
          <w:color w:val="000000" w:themeColor="text1"/>
          <w:sz w:val="24"/>
          <w:lang w:val="sl-SI"/>
        </w:rPr>
        <w:t xml:space="preserve"> V ta namen so zainteresirane države članice pozvane, naj Komisiji do 30. maja 2023 predložijo predhodno obvestilo o svoji prihodnji vlogi za ustanovitev takega konzorcija evropske digitalne infrastrukture. To prostovoljno predhodno obvestilo bi Komisiji omogočilo, da zgodaj poda pripombe k osnutku vloge za ustanovitev konzorcija evropske digitalne infrastrukture, kar bo omogočilo hitrejši nadaljnji razvoj in uradno predložitev.  </w:t>
      </w:r>
      <w:r w:rsidRPr="00106810">
        <w:rPr>
          <w:rFonts w:ascii="Times New Roman" w:hAnsi="Times New Roman"/>
          <w:noProof/>
          <w:sz w:val="24"/>
          <w:lang w:val="sl-SI"/>
        </w:rPr>
        <w:t>Komisija bo v vlogi pospeševalke večdržavnih projektov med celotnim postopkom in v obsegu, ki ga bodo zahtevale države članice, nudila pomoč pri pripravi vloge za ustanovitev konzorcija evropske digitalne infrastrukture. Komisija bo po tem, ko bo vlogo ocenila pozitivno, in po tem, ko bo vlogo odobril programski odbor za Digitalno desetletje, izdala sklep o ustanovitvi konzorcija evropske digitalne infrastrukture ter nato pomagala usklajevati izvajanje tega konzorcija</w:t>
      </w:r>
      <w:r w:rsidRPr="00106810">
        <w:rPr>
          <w:rStyle w:val="FootnoteReference"/>
          <w:rFonts w:ascii="Times New Roman" w:eastAsia="Times New Roman" w:hAnsi="Times New Roman" w:cs="Times New Roman"/>
          <w:noProof/>
          <w:color w:val="000000" w:themeColor="text1"/>
          <w:sz w:val="24"/>
          <w:lang w:val="sl-SI"/>
        </w:rPr>
        <w:footnoteReference w:id="47"/>
      </w:r>
      <w:r w:rsidRPr="00106810">
        <w:rPr>
          <w:rFonts w:ascii="Times New Roman" w:hAnsi="Times New Roman"/>
          <w:noProof/>
          <w:sz w:val="24"/>
          <w:lang w:val="sl-SI"/>
        </w:rPr>
        <w:t>.</w:t>
      </w:r>
    </w:p>
    <w:p w14:paraId="314B8FE8" w14:textId="4E112065"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Komisija bo medtem in v času uradnega ustanavljanja konzorcija evropske digitalne infrastrukture vzpostavila virtualno enotno vstopno točko, tako da bo izboljšala svojo </w:t>
      </w:r>
      <w:r w:rsidRPr="00106810">
        <w:rPr>
          <w:rFonts w:ascii="Times New Roman" w:hAnsi="Times New Roman"/>
          <w:b/>
          <w:bCs/>
          <w:noProof/>
          <w:sz w:val="24"/>
          <w:lang w:val="sl-SI"/>
        </w:rPr>
        <w:t>platformo za digitalne spretnosti in delovna mesta</w:t>
      </w:r>
      <w:r w:rsidRPr="00106810">
        <w:rPr>
          <w:rStyle w:val="FootnoteReference"/>
          <w:rFonts w:ascii="Times New Roman" w:eastAsia="Times New Roman" w:hAnsi="Times New Roman" w:cs="Times New Roman"/>
          <w:b/>
          <w:noProof/>
          <w:sz w:val="24"/>
          <w:lang w:val="sl-SI"/>
        </w:rPr>
        <w:footnoteReference w:id="48"/>
      </w:r>
      <w:r w:rsidRPr="00106810">
        <w:rPr>
          <w:rFonts w:ascii="Times New Roman" w:hAnsi="Times New Roman"/>
          <w:noProof/>
          <w:sz w:val="24"/>
          <w:lang w:val="sl-SI"/>
        </w:rPr>
        <w:t xml:space="preserve"> s podporo iz projekta za podporo evropski skupnosti za kibernetsko varnost</w:t>
      </w:r>
      <w:r w:rsidRPr="00106810">
        <w:rPr>
          <w:rFonts w:ascii="Times New Roman" w:eastAsia="Times New Roman" w:hAnsi="Times New Roman" w:cs="Times New Roman"/>
          <w:noProof/>
          <w:sz w:val="24"/>
          <w:vertAlign w:val="superscript"/>
          <w:lang w:val="sl-SI"/>
        </w:rPr>
        <w:footnoteReference w:id="49"/>
      </w:r>
      <w:r w:rsidRPr="00106810">
        <w:rPr>
          <w:rFonts w:ascii="Times New Roman" w:hAnsi="Times New Roman"/>
          <w:noProof/>
          <w:sz w:val="24"/>
          <w:lang w:val="sl-SI"/>
        </w:rPr>
        <w:t>.</w:t>
      </w:r>
    </w:p>
    <w:p w14:paraId="1B4408D6" w14:textId="44AD1E21" w:rsidR="00831F29" w:rsidRPr="00106810" w:rsidRDefault="566E7AD8"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b/>
          <w:bCs/>
          <w:noProof/>
          <w:sz w:val="24"/>
          <w:lang w:val="sl-SI"/>
        </w:rPr>
        <w:t>Agencija ENISA</w:t>
      </w:r>
      <w:r w:rsidRPr="00106810">
        <w:rPr>
          <w:rFonts w:ascii="Times New Roman" w:hAnsi="Times New Roman"/>
          <w:noProof/>
          <w:sz w:val="24"/>
          <w:lang w:val="sl-SI"/>
        </w:rPr>
        <w:t xml:space="preserve"> bo prispevala k delovanju akademije v skladu s svojimi cilji</w:t>
      </w:r>
      <w:r w:rsidRPr="00106810">
        <w:rPr>
          <w:rStyle w:val="FootnoteReference"/>
          <w:rFonts w:ascii="Times New Roman" w:eastAsia="Times New Roman" w:hAnsi="Times New Roman" w:cs="Times New Roman"/>
          <w:noProof/>
          <w:sz w:val="24"/>
          <w:lang w:val="sl-SI"/>
        </w:rPr>
        <w:footnoteReference w:id="50"/>
      </w:r>
      <w:r w:rsidRPr="00106810">
        <w:rPr>
          <w:rFonts w:ascii="Times New Roman" w:hAnsi="Times New Roman"/>
          <w:noProof/>
          <w:sz w:val="24"/>
          <w:lang w:val="sl-SI"/>
        </w:rPr>
        <w:t>, zlasti kar zadeva pomoč pri izobraževanju in usposabljanju na področju kibernetske varnosti, ter ob upoštevanju svojih obveznosti poročanja na podlagi direktive NIS 2</w:t>
      </w:r>
      <w:r w:rsidRPr="00106810">
        <w:rPr>
          <w:rStyle w:val="FootnoteReference"/>
          <w:rFonts w:ascii="Times New Roman" w:eastAsia="Times New Roman" w:hAnsi="Times New Roman" w:cs="Times New Roman"/>
          <w:noProof/>
          <w:sz w:val="24"/>
          <w:lang w:val="sl-SI"/>
        </w:rPr>
        <w:footnoteReference w:id="51"/>
      </w:r>
      <w:r w:rsidRPr="00106810">
        <w:rPr>
          <w:rFonts w:ascii="Times New Roman" w:hAnsi="Times New Roman"/>
          <w:noProof/>
          <w:sz w:val="24"/>
          <w:lang w:val="sl-SI"/>
        </w:rPr>
        <w:t xml:space="preserve">. </w:t>
      </w:r>
      <w:r w:rsidRPr="00106810">
        <w:rPr>
          <w:rFonts w:ascii="Times New Roman" w:hAnsi="Times New Roman"/>
          <w:b/>
          <w:bCs/>
          <w:noProof/>
          <w:sz w:val="24"/>
          <w:lang w:val="sl-SI"/>
        </w:rPr>
        <w:t>Evropski kompetenčni center za kibernetsko varnost</w:t>
      </w:r>
      <w:r w:rsidRPr="00106810">
        <w:rPr>
          <w:rFonts w:ascii="Times New Roman" w:hAnsi="Times New Roman"/>
          <w:noProof/>
          <w:sz w:val="24"/>
          <w:lang w:val="sl-SI"/>
        </w:rPr>
        <w:t xml:space="preserve"> bo deloval v skladu s svojim strateškim programom, da bo podprl delovanje akademije za kibernetske veščine. Izvajal bo zlasti strateški cilj 3 (kibernetska varnost) programa Digitalna Evropa. Pri tem ga bodo podprle Komisija in države članice prek </w:t>
      </w:r>
      <w:r w:rsidRPr="00106810">
        <w:rPr>
          <w:rFonts w:ascii="Times New Roman" w:hAnsi="Times New Roman"/>
          <w:b/>
          <w:bCs/>
          <w:noProof/>
          <w:sz w:val="24"/>
          <w:lang w:val="sl-SI"/>
        </w:rPr>
        <w:t>nacionalnih koordinacijskih centrov</w:t>
      </w:r>
      <w:r w:rsidRPr="00106810">
        <w:rPr>
          <w:rFonts w:ascii="Times New Roman" w:hAnsi="Times New Roman"/>
          <w:noProof/>
          <w:sz w:val="24"/>
          <w:lang w:val="sl-SI"/>
        </w:rPr>
        <w:t>.</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 xml:space="preserve">Po potrebi bo k sodelovanju povabljena </w:t>
      </w:r>
      <w:r w:rsidRPr="00106810">
        <w:rPr>
          <w:rFonts w:ascii="Times New Roman" w:hAnsi="Times New Roman"/>
          <w:b/>
          <w:bCs/>
          <w:noProof/>
          <w:sz w:val="24"/>
          <w:lang w:val="sl-SI"/>
        </w:rPr>
        <w:t>skupina za sodelovanje</w:t>
      </w:r>
      <w:r w:rsidRPr="00106810">
        <w:rPr>
          <w:rFonts w:ascii="Times New Roman" w:hAnsi="Times New Roman"/>
          <w:noProof/>
          <w:sz w:val="24"/>
          <w:lang w:val="sl-SI"/>
        </w:rPr>
        <w:t>, ustanovljena na podlagi direktive NIS 2</w:t>
      </w:r>
      <w:r w:rsidRPr="00106810">
        <w:rPr>
          <w:rStyle w:val="FootnoteReference"/>
          <w:rFonts w:ascii="Times New Roman" w:eastAsia="Times New Roman" w:hAnsi="Times New Roman" w:cs="Times New Roman"/>
          <w:noProof/>
          <w:color w:val="000000" w:themeColor="text1"/>
          <w:sz w:val="24"/>
          <w:lang w:val="sl-SI"/>
        </w:rPr>
        <w:footnoteReference w:id="52"/>
      </w:r>
      <w:r w:rsidRPr="00106810">
        <w:rPr>
          <w:rFonts w:ascii="Times New Roman" w:hAnsi="Times New Roman"/>
          <w:noProof/>
          <w:sz w:val="24"/>
          <w:lang w:val="sl-SI"/>
        </w:rPr>
        <w:t xml:space="preserve">. Nazadnje bo treba združiti moči z </w:t>
      </w:r>
      <w:r w:rsidRPr="00106810">
        <w:rPr>
          <w:rFonts w:ascii="Times New Roman" w:hAnsi="Times New Roman"/>
          <w:b/>
          <w:bCs/>
          <w:noProof/>
          <w:sz w:val="24"/>
          <w:lang w:val="sl-SI"/>
        </w:rPr>
        <w:t>industrijo</w:t>
      </w:r>
      <w:r w:rsidRPr="00106810">
        <w:rPr>
          <w:rFonts w:ascii="Times New Roman" w:hAnsi="Times New Roman"/>
          <w:noProof/>
          <w:sz w:val="24"/>
          <w:lang w:val="sl-SI"/>
        </w:rPr>
        <w:t xml:space="preserve"> in </w:t>
      </w:r>
      <w:r w:rsidRPr="00106810">
        <w:rPr>
          <w:rFonts w:ascii="Times New Roman" w:hAnsi="Times New Roman"/>
          <w:b/>
          <w:bCs/>
          <w:noProof/>
          <w:sz w:val="24"/>
          <w:lang w:val="sl-SI"/>
        </w:rPr>
        <w:t>znanstveno skupnostjo</w:t>
      </w:r>
      <w:r w:rsidRPr="00106810">
        <w:rPr>
          <w:rFonts w:ascii="Times New Roman" w:hAnsi="Times New Roman"/>
          <w:noProof/>
          <w:sz w:val="24"/>
          <w:lang w:val="sl-SI"/>
        </w:rPr>
        <w:t xml:space="preserve">, da bi se dosegel cilj akademije, tj. zapolniti vrzel v kibernetskovarnostnih veščinah.  </w:t>
      </w:r>
    </w:p>
    <w:bookmarkEnd w:id="6"/>
    <w:p w14:paraId="1C13AD5F"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Ustvarjanje znanja in usposabljanje:  vzpostavitev skupnega pristopa EU k usposabljanju na področju kibernetske varnosti</w:t>
      </w:r>
    </w:p>
    <w:p w14:paraId="197EB9A0" w14:textId="62432253" w:rsidR="00831F29" w:rsidRPr="00106810" w:rsidRDefault="00831F29"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Na akademiji kibernetskih veščin bo v okviru stebra ustvarjanja znanja in usposabljanja razvit strukturiran pristop z jasnim ciljem povečanja </w:t>
      </w:r>
      <w:r w:rsidRPr="00106810">
        <w:rPr>
          <w:rFonts w:ascii="Times New Roman" w:hAnsi="Times New Roman"/>
          <w:b/>
          <w:bCs/>
          <w:noProof/>
          <w:sz w:val="24"/>
          <w:lang w:val="sl-SI"/>
        </w:rPr>
        <w:t>števila</w:t>
      </w:r>
      <w:r w:rsidRPr="00106810">
        <w:rPr>
          <w:rFonts w:ascii="Times New Roman" w:hAnsi="Times New Roman"/>
          <w:noProof/>
          <w:sz w:val="24"/>
          <w:lang w:val="sl-SI"/>
        </w:rPr>
        <w:t xml:space="preserve"> oseb s kibernetskovarnostnimi veščinami v EU, boljše prilagoditve usposabljanja </w:t>
      </w:r>
      <w:r w:rsidRPr="00106810">
        <w:rPr>
          <w:rFonts w:ascii="Times New Roman" w:hAnsi="Times New Roman"/>
          <w:b/>
          <w:bCs/>
          <w:noProof/>
          <w:sz w:val="24"/>
          <w:lang w:val="sl-SI"/>
        </w:rPr>
        <w:t>potrebam trga</w:t>
      </w:r>
      <w:r w:rsidRPr="00106810">
        <w:rPr>
          <w:rFonts w:ascii="Times New Roman" w:hAnsi="Times New Roman"/>
          <w:noProof/>
          <w:sz w:val="24"/>
          <w:lang w:val="sl-SI"/>
        </w:rPr>
        <w:t xml:space="preserve"> ter zagotovitve prepoznavnosti v okviru </w:t>
      </w:r>
      <w:r w:rsidRPr="00106810">
        <w:rPr>
          <w:rFonts w:ascii="Times New Roman" w:hAnsi="Times New Roman"/>
          <w:b/>
          <w:bCs/>
          <w:noProof/>
          <w:sz w:val="24"/>
          <w:lang w:val="sl-SI"/>
        </w:rPr>
        <w:t>poklicnih poti</w:t>
      </w:r>
      <w:r w:rsidRPr="00106810">
        <w:rPr>
          <w:rFonts w:ascii="Times New Roman" w:hAnsi="Times New Roman"/>
          <w:noProof/>
          <w:sz w:val="24"/>
          <w:lang w:val="sl-SI"/>
        </w:rPr>
        <w:t>.</w:t>
      </w:r>
    </w:p>
    <w:p w14:paraId="2DA3FE1A" w14:textId="4ABD054A" w:rsidR="00831F29" w:rsidRPr="00106810"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V slogi je moč: skupni pristop k profilom vlog na področju kibernetske varnosti ter s tem povezanim veščinam</w:t>
      </w:r>
    </w:p>
    <w:p w14:paraId="53A4F7A9" w14:textId="51675AF9" w:rsidR="00831F29" w:rsidRPr="00106810" w:rsidRDefault="566E7AD8" w:rsidP="726DB5C3">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color w:val="000000" w:themeColor="text1"/>
          <w:sz w:val="24"/>
          <w:lang w:val="sl-SI"/>
        </w:rPr>
        <w:t xml:space="preserve">Agencija ENISA je že opravila delo za opredelitev profilov vlog strokovnjakov za kibernetsko varnost na podlagi evropskega okvira za kibernetskovarnostne veščine </w:t>
      </w:r>
      <w:r w:rsidRPr="00106810">
        <w:rPr>
          <w:rFonts w:ascii="Times New Roman" w:hAnsi="Times New Roman"/>
          <w:b/>
          <w:bCs/>
          <w:noProof/>
          <w:color w:val="000000" w:themeColor="text1"/>
          <w:sz w:val="24"/>
          <w:lang w:val="sl-SI"/>
        </w:rPr>
        <w:t>(ECSF)</w:t>
      </w:r>
      <w:r w:rsidRPr="00106810">
        <w:rPr>
          <w:rStyle w:val="FootnoteReference"/>
          <w:rFonts w:ascii="Times New Roman" w:eastAsia="Times New Roman" w:hAnsi="Times New Roman" w:cs="Times New Roman"/>
          <w:noProof/>
          <w:color w:val="000000" w:themeColor="text1"/>
          <w:sz w:val="24"/>
          <w:lang w:val="sl-SI"/>
        </w:rPr>
        <w:footnoteReference w:id="53"/>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Akademija bi morala na podlagi tega opredeliti in oceniti ustrezne veščine, spremljati razvoj vrzeli v veščinah ter zagotoviti informacije o novih potrebah.</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Za vsako vlogo na področju kibernetske varnosti</w:t>
      </w:r>
      <w:r w:rsidRPr="00106810">
        <w:rPr>
          <w:rStyle w:val="FootnoteReference"/>
          <w:rFonts w:ascii="Times New Roman" w:eastAsia="Times New Roman" w:hAnsi="Times New Roman" w:cs="Times New Roman"/>
          <w:noProof/>
          <w:sz w:val="24"/>
          <w:lang w:val="sl-SI"/>
        </w:rPr>
        <w:footnoteReference w:id="54"/>
      </w:r>
      <w:r w:rsidRPr="00106810">
        <w:rPr>
          <w:rFonts w:ascii="Times New Roman" w:hAnsi="Times New Roman"/>
          <w:noProof/>
          <w:sz w:val="24"/>
          <w:lang w:val="sl-SI"/>
        </w:rPr>
        <w:t xml:space="preserve"> v evropskemu okviru za kibernetskovarnostne veščine je kot element opisa vključen sklop ustreznih informacij iz evropskega okvira za e-usposobljenost</w:t>
      </w:r>
      <w:r w:rsidRPr="00106810">
        <w:rPr>
          <w:rStyle w:val="FootnoteReference"/>
          <w:rFonts w:ascii="Times New Roman" w:eastAsia="Times New Roman" w:hAnsi="Times New Roman" w:cs="Times New Roman"/>
          <w:noProof/>
          <w:sz w:val="24"/>
          <w:lang w:val="sl-SI"/>
        </w:rPr>
        <w:footnoteReference w:id="55"/>
      </w:r>
      <w:r w:rsidRPr="00106810">
        <w:rPr>
          <w:rFonts w:ascii="Times New Roman" w:hAnsi="Times New Roman"/>
          <w:noProof/>
          <w:sz w:val="24"/>
          <w:lang w:val="sl-SI"/>
        </w:rPr>
        <w:t>.</w:t>
      </w:r>
    </w:p>
    <w:p w14:paraId="7ABDF305" w14:textId="329E49E3" w:rsidR="00831F29" w:rsidRPr="00106810" w:rsidRDefault="566E7AD8" w:rsidP="726DB5C3">
      <w:pPr>
        <w:spacing w:before="120" w:after="120" w:line="240" w:lineRule="auto"/>
        <w:jc w:val="both"/>
        <w:rPr>
          <w:rFonts w:ascii="Times New Roman" w:eastAsia="Times New Roman" w:hAnsi="Times New Roman" w:cs="Times New Roman"/>
          <w:noProof/>
          <w:sz w:val="24"/>
          <w:lang w:val="sl-SI"/>
        </w:rPr>
      </w:pPr>
      <w:bookmarkStart w:id="7" w:name="_Hlk132358312"/>
      <w:r w:rsidRPr="00106810">
        <w:rPr>
          <w:rFonts w:ascii="Times New Roman" w:hAnsi="Times New Roman"/>
          <w:noProof/>
          <w:sz w:val="24"/>
          <w:lang w:val="sl-SI"/>
        </w:rPr>
        <w:t xml:space="preserve">Agencija ENISA bo zato pregledala evropski okvir za kibernetskovarnostne veščine ter </w:t>
      </w:r>
      <w:r w:rsidRPr="00106810">
        <w:rPr>
          <w:rFonts w:ascii="Times New Roman" w:hAnsi="Times New Roman"/>
          <w:b/>
          <w:bCs/>
          <w:noProof/>
          <w:sz w:val="24"/>
          <w:lang w:val="sl-SI"/>
        </w:rPr>
        <w:t>opredelila spreminjajoče se potrebe po veščinah ter njihovo pomanjkanje</w:t>
      </w:r>
      <w:r w:rsidRPr="00106810">
        <w:rPr>
          <w:rFonts w:ascii="Times New Roman" w:hAnsi="Times New Roman"/>
          <w:noProof/>
          <w:sz w:val="24"/>
          <w:lang w:val="sl-SI"/>
        </w:rPr>
        <w:t xml:space="preserve"> pri delovni sili na področju kibernetske varnosti, tudi z uporabo naprednih orodij (npr. umetne inteligence, velepodatkov</w:t>
      </w:r>
      <w:r w:rsidRPr="00106810">
        <w:rPr>
          <w:rStyle w:val="FootnoteReference"/>
          <w:rFonts w:ascii="Times New Roman" w:eastAsia="Times New Roman" w:hAnsi="Times New Roman" w:cs="Times New Roman"/>
          <w:noProof/>
          <w:sz w:val="24"/>
          <w:lang w:val="sl-SI"/>
        </w:rPr>
        <w:footnoteReference w:id="56"/>
      </w:r>
      <w:r w:rsidRPr="00106810">
        <w:rPr>
          <w:rFonts w:ascii="Times New Roman" w:hAnsi="Times New Roman"/>
          <w:noProof/>
          <w:sz w:val="24"/>
          <w:lang w:val="sl-SI"/>
        </w:rPr>
        <w:t>, podatkovnega rudarjenja). Agencija ENISA bo v ta namen delovala pod vodstvom konzorcija evropske digitalne infrastrukture, ko bo ta ustanovljen, in Evropskega kompetenčnega centra za kibernetsko varnost (ECCC), skupaj z nacionalnimi koordinacijskimi centri, Komisijo, projektom za podporo evropski skupnosti za kibernetsko varnost ter akterji na trgu</w:t>
      </w:r>
      <w:r w:rsidRPr="00106810">
        <w:rPr>
          <w:rStyle w:val="FootnoteReference"/>
          <w:rFonts w:ascii="Times New Roman" w:eastAsia="Times New Roman" w:hAnsi="Times New Roman" w:cs="Times New Roman"/>
          <w:noProof/>
          <w:sz w:val="24"/>
          <w:lang w:val="sl-SI"/>
        </w:rPr>
        <w:footnoteReference w:id="57"/>
      </w:r>
      <w:r w:rsidRPr="00106810">
        <w:rPr>
          <w:rFonts w:ascii="Times New Roman" w:hAnsi="Times New Roman"/>
          <w:noProof/>
          <w:sz w:val="24"/>
          <w:lang w:val="sl-SI"/>
        </w:rPr>
        <w:t>. Kar zadeva delovno silo na področju kibernetske obrambe, bo agencija ENISA ustrezno upoštevala delo, ki ga opravlja EAVO. Podobno bo na področju boja proti kibernetski kriminaliteti upoštevala dejavnosti, ki jih izvajata Agencija Evropske unije za usposabljanje na področju preprečevanja, odkrivanja in preiskovanja kaznivih dejanj (CEPOL) ter Europol za pripravo analize potreb po operativnem usposabljanju</w:t>
      </w:r>
      <w:r w:rsidRPr="00106810">
        <w:rPr>
          <w:rStyle w:val="FootnoteReference"/>
          <w:rFonts w:ascii="Times New Roman" w:eastAsia="Times New Roman" w:hAnsi="Times New Roman" w:cs="Times New Roman"/>
          <w:noProof/>
          <w:sz w:val="24"/>
          <w:lang w:val="sl-SI"/>
        </w:rPr>
        <w:footnoteReference w:id="58"/>
      </w:r>
      <w:r w:rsidRPr="00106810">
        <w:rPr>
          <w:rFonts w:ascii="Times New Roman" w:hAnsi="Times New Roman"/>
          <w:noProof/>
          <w:sz w:val="24"/>
          <w:lang w:val="sl-SI"/>
        </w:rPr>
        <w:t xml:space="preserve"> v zvezi s kibernetskimi napadi. </w:t>
      </w:r>
    </w:p>
    <w:bookmarkEnd w:id="7"/>
    <w:p w14:paraId="3FF07E04" w14:textId="098B0962" w:rsidR="00ED169B" w:rsidRPr="00106810" w:rsidRDefault="566E7AD8" w:rsidP="726DB5C3">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sz w:val="24"/>
          <w:lang w:val="sl-SI"/>
        </w:rPr>
        <w:t>Evropski okvir za kibernetskovarnostne veščine se bo v celotnem dvoletnem ciklu v okviru akademije redno dopolnjeval in pregledoval.</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Poleg tega bosta Komisija in Evropska služba za zunanje delovanje po potrebi prispevali k opredelitvi posameznih profilov ter s tem povezanih veščin za sektorje, pri čemer ju bodo podprli agencije, uradi in organi EU, kot so EAVO</w:t>
      </w:r>
      <w:r w:rsidRPr="00106810">
        <w:rPr>
          <w:rStyle w:val="FootnoteReference"/>
          <w:rFonts w:ascii="Times New Roman" w:eastAsia="Times New Roman" w:hAnsi="Times New Roman" w:cs="Times New Roman"/>
          <w:noProof/>
          <w:color w:val="000000" w:themeColor="text1"/>
          <w:sz w:val="24"/>
          <w:lang w:val="sl-SI"/>
        </w:rPr>
        <w:footnoteReference w:id="59"/>
      </w:r>
      <w:r w:rsidRPr="00106810">
        <w:rPr>
          <w:rFonts w:ascii="Times New Roman" w:hAnsi="Times New Roman"/>
          <w:noProof/>
          <w:sz w:val="24"/>
          <w:lang w:val="sl-SI"/>
        </w:rPr>
        <w:t>, Europol in CEPOL</w:t>
      </w:r>
      <w:r w:rsidRPr="00106810">
        <w:rPr>
          <w:rStyle w:val="FootnoteReference"/>
          <w:rFonts w:ascii="Times New Roman" w:eastAsia="Times New Roman" w:hAnsi="Times New Roman" w:cs="Times New Roman"/>
          <w:noProof/>
          <w:color w:val="000000" w:themeColor="text1"/>
          <w:sz w:val="24"/>
          <w:lang w:val="sl-SI"/>
        </w:rPr>
        <w:footnoteReference w:id="60"/>
      </w:r>
      <w:r w:rsidRPr="00106810">
        <w:rPr>
          <w:rFonts w:ascii="Times New Roman" w:hAnsi="Times New Roman"/>
          <w:noProof/>
          <w:sz w:val="24"/>
          <w:lang w:val="sl-SI"/>
        </w:rPr>
        <w:t>.</w:t>
      </w:r>
    </w:p>
    <w:p w14:paraId="3584733C" w14:textId="35F3A408" w:rsidR="00166040" w:rsidRPr="00106810" w:rsidRDefault="3611B109" w:rsidP="726DB5C3">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Vzpostavljene bodo tudi povezave med evropskim okvirom za kibernetskovarnostne veščine in ustreznimi instrumenti politike zaposlovanja EU</w:t>
      </w:r>
      <w:r w:rsidRPr="00106810">
        <w:rPr>
          <w:rStyle w:val="FootnoteReference"/>
          <w:rFonts w:ascii="Times New Roman" w:eastAsia="Times New Roman" w:hAnsi="Times New Roman" w:cs="Times New Roman"/>
          <w:noProof/>
          <w:color w:val="000000" w:themeColor="text1"/>
          <w:sz w:val="24"/>
          <w:lang w:val="sl-SI"/>
        </w:rPr>
        <w:footnoteReference w:id="61"/>
      </w:r>
      <w:r w:rsidRPr="00106810">
        <w:rPr>
          <w:rFonts w:ascii="Times New Roman" w:hAnsi="Times New Roman"/>
          <w:noProof/>
          <w:sz w:val="24"/>
          <w:lang w:val="sl-SI"/>
        </w:rPr>
        <w:t xml:space="preserve">. Zlasti bodo profili delovnih mest iz evropskega okvira za kibernetskovarnostne veščine ter s tem povezane veščine vključeni v </w:t>
      </w:r>
      <w:r w:rsidRPr="00106810">
        <w:rPr>
          <w:rFonts w:ascii="Times New Roman" w:hAnsi="Times New Roman"/>
          <w:b/>
          <w:bCs/>
          <w:noProof/>
          <w:sz w:val="24"/>
          <w:lang w:val="sl-SI"/>
        </w:rPr>
        <w:t>klasifikacijo ESCO</w:t>
      </w:r>
      <w:r w:rsidRPr="00106810">
        <w:rPr>
          <w:rFonts w:ascii="Times New Roman" w:hAnsi="Times New Roman"/>
          <w:noProof/>
          <w:sz w:val="24"/>
          <w:lang w:val="sl-SI"/>
        </w:rPr>
        <w:t>. S tem se bodo izboljšale klasifikacija poklicev in veščin na področju kibernetske varnosti ter povezave med njimi, s čimer se bo posameznikom omogočilo lažje izpopolnjevanje in preusposabljanje ter se bosta podprla usklajevanje ponudbe delovnih mest in povpraševanja po njih ter čezmejna mobilnost.   </w:t>
      </w:r>
    </w:p>
    <w:p w14:paraId="157F6D6E" w14:textId="77777777" w:rsidR="00E56E63" w:rsidRPr="00106810" w:rsidRDefault="00E56E63" w:rsidP="00D85FCC">
      <w:pPr>
        <w:pStyle w:val="ListParagraph"/>
        <w:spacing w:before="120" w:after="120" w:line="240" w:lineRule="auto"/>
        <w:ind w:left="0"/>
        <w:jc w:val="both"/>
        <w:rPr>
          <w:rFonts w:ascii="Times New Roman" w:eastAsia="Times New Roman" w:hAnsi="Times New Roman" w:cs="Times New Roman"/>
          <w:noProof/>
          <w:sz w:val="24"/>
          <w:lang w:val="sl-SI"/>
        </w:rPr>
      </w:pPr>
    </w:p>
    <w:p w14:paraId="06B3355C" w14:textId="24839D9A" w:rsidR="00831F29" w:rsidRPr="00106810"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Spodbujanje sodelovanja za oblikovanje učnih načrtov za izobraževanje in usposabljanje na področju kibernetske varnosti</w:t>
      </w:r>
    </w:p>
    <w:p w14:paraId="2412B848" w14:textId="005F4319" w:rsidR="00831F29" w:rsidRPr="00106810" w:rsidRDefault="566E7AD8" w:rsidP="00C2655B">
      <w:pPr>
        <w:jc w:val="both"/>
        <w:rPr>
          <w:rFonts w:ascii="Times New Roman" w:eastAsia="Times New Roman" w:hAnsi="Times New Roman" w:cs="Times New Roman"/>
          <w:noProof/>
          <w:sz w:val="24"/>
          <w:lang w:val="sl-SI"/>
        </w:rPr>
      </w:pPr>
      <w:bookmarkStart w:id="8" w:name="_Hlk131491231"/>
      <w:bookmarkStart w:id="9" w:name="_Hlk131068804"/>
      <w:r w:rsidRPr="00106810">
        <w:rPr>
          <w:rFonts w:ascii="Times New Roman" w:hAnsi="Times New Roman"/>
          <w:noProof/>
          <w:sz w:val="24"/>
          <w:lang w:val="sl-SI"/>
        </w:rPr>
        <w:t xml:space="preserve">Po vzpostavitvi konzorcija evropske digitalne infrastrukture bi morala akademija prejeti podporo držav članic, da bi postala </w:t>
      </w:r>
      <w:r w:rsidRPr="00106810">
        <w:rPr>
          <w:rFonts w:ascii="Times New Roman" w:hAnsi="Times New Roman"/>
          <w:b/>
          <w:bCs/>
          <w:noProof/>
          <w:sz w:val="24"/>
          <w:lang w:val="sl-SI"/>
        </w:rPr>
        <w:t>referenčno mesto v Evropi za oblikovanje in izvajanje usposabljanj na področju kibernetske varnosti</w:t>
      </w:r>
      <w:r w:rsidRPr="00106810">
        <w:rPr>
          <w:rFonts w:ascii="Times New Roman" w:hAnsi="Times New Roman"/>
          <w:noProof/>
          <w:sz w:val="24"/>
          <w:lang w:val="sl-SI"/>
        </w:rPr>
        <w:t xml:space="preserve">, s čimer bi se obravnavale najpotrebnejše veščine ter zagotovile priložnosti za usposabljanja na delovnem mestu in pripravništva za zagonska podjetja in MSP ter javne uprave v inovativnih podjetjih na področju kibernetske varnosti in kompetenčnih centrih za kibernetsko varnost. </w:t>
      </w:r>
      <w:bookmarkEnd w:id="8"/>
      <w:r w:rsidRPr="00106810">
        <w:rPr>
          <w:rFonts w:ascii="Times New Roman" w:hAnsi="Times New Roman"/>
          <w:noProof/>
          <w:sz w:val="24"/>
          <w:lang w:val="sl-SI"/>
        </w:rPr>
        <w:t xml:space="preserve">Konzorcij evropske digitalne infrastrukture bi moral sodelovati z vsemi ustreznimi deležniki, vključno z industrijo, in graditi na projektih kot je </w:t>
      </w:r>
      <w:r w:rsidRPr="00106810">
        <w:rPr>
          <w:rFonts w:ascii="Times New Roman" w:hAnsi="Times New Roman"/>
          <w:b/>
          <w:noProof/>
          <w:sz w:val="24"/>
          <w:lang w:val="sl-SI"/>
        </w:rPr>
        <w:t>CyberSecPro</w:t>
      </w:r>
      <w:r w:rsidRPr="00106810">
        <w:rPr>
          <w:rStyle w:val="FootnoteReference"/>
          <w:rFonts w:ascii="Times New Roman" w:eastAsia="Times New Roman" w:hAnsi="Times New Roman" w:cs="Times New Roman"/>
          <w:noProof/>
          <w:sz w:val="24"/>
          <w:lang w:val="sl-SI"/>
        </w:rPr>
        <w:footnoteReference w:id="62"/>
      </w:r>
      <w:r w:rsidRPr="00106810">
        <w:rPr>
          <w:rFonts w:ascii="Times New Roman" w:hAnsi="Times New Roman"/>
          <w:noProof/>
          <w:sz w:val="24"/>
          <w:lang w:val="sl-SI"/>
        </w:rPr>
        <w:t xml:space="preserve">, ki se financira iz programa Digitalna Evropa ter v katerem sodeluje 17 visokošolskih ustanov in 13 varnostnih podjetij iz 16 držav članic, da bi postal primer dobre prakse za vse programe usposabljanja na področju kibernetske varnosti. </w:t>
      </w:r>
    </w:p>
    <w:bookmarkEnd w:id="9"/>
    <w:p w14:paraId="7D345BEC" w14:textId="6566728B" w:rsidR="00831F29" w:rsidRPr="00106810" w:rsidRDefault="566E7AD8" w:rsidP="726DB5C3">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Akademija bo sodelovala z vsemi ustreznimi deležniki, da bi </w:t>
      </w:r>
      <w:r w:rsidRPr="00106810">
        <w:rPr>
          <w:rFonts w:ascii="Times New Roman" w:hAnsi="Times New Roman"/>
          <w:b/>
          <w:bCs/>
          <w:noProof/>
          <w:sz w:val="24"/>
          <w:lang w:val="sl-SI"/>
        </w:rPr>
        <w:t>mlade generacije pritegnila</w:t>
      </w:r>
      <w:r w:rsidRPr="00106810">
        <w:rPr>
          <w:rFonts w:ascii="Times New Roman" w:hAnsi="Times New Roman"/>
          <w:noProof/>
          <w:sz w:val="24"/>
          <w:lang w:val="sl-SI"/>
        </w:rPr>
        <w:t xml:space="preserve"> k izbiri poklicnih poti na področju kibernetske varnosti. Države članice bi morale v skladu s predlogom za priporočilo Sveta o izboljšanju zagotavljanja digitalnih spretnosti v izobraževanju in usposabljanju vzpostaviti in okrepiti ukrepe za zaposlovanje in usposabljanje specializiranih učiteljev in mentorjev ter olajšati pridobivanje kibernetskovarnostnih veščin, tudi z vajeništvom. Spodbujati bi bilo treba vključevanje kibernetske varnosti v programe izobraževanja in usposabljanja ter hkrati zagotavljati dostopnost teh programov, razvijati ponudbo </w:t>
      </w:r>
      <w:r w:rsidRPr="00106810">
        <w:rPr>
          <w:rFonts w:ascii="Times New Roman" w:hAnsi="Times New Roman"/>
          <w:b/>
          <w:bCs/>
          <w:noProof/>
          <w:sz w:val="24"/>
          <w:lang w:val="sl-SI"/>
        </w:rPr>
        <w:t>vajeništev</w:t>
      </w:r>
      <w:r w:rsidRPr="00106810">
        <w:rPr>
          <w:rFonts w:ascii="Times New Roman" w:hAnsi="Times New Roman"/>
          <w:noProof/>
          <w:sz w:val="24"/>
          <w:lang w:val="sl-SI"/>
        </w:rPr>
        <w:t xml:space="preserve"> in pripravništev, spodbujati inovativne pristope, vključno na primer z resnimi igrami in skupnimi simulacijskimi platformami, organizirati izkustvene tedne na delovnih mestih na področju kibernetske varnosti ter pojasniti profile netehničnih vlog. Podpirati bi bilo treba tudi sodelovanje težko dosegljivih skupin, kot so mladi invalidi, ki živijo na oddaljenih ali podeželskih območjih, in posamezniki iz drugih manjšinskih skupin, pri teh priložnostih za učenje o kibernetski varnosti.</w:t>
      </w:r>
    </w:p>
    <w:p w14:paraId="3103244D" w14:textId="09E84404" w:rsidR="00831F29" w:rsidRPr="00106810" w:rsidDel="00A240E9" w:rsidRDefault="0B54EC9E" w:rsidP="726DB5C3">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Komisija bo še naprej zagotavljala podporo za razvoj mikrodokazil ter programov poklicnega izobraževanja in usposabljanja. V okviru programa Erasmus+ se bodo še naprej financirali zlasti </w:t>
      </w:r>
      <w:r w:rsidRPr="00106810">
        <w:rPr>
          <w:rFonts w:ascii="Times New Roman" w:hAnsi="Times New Roman"/>
          <w:b/>
          <w:bCs/>
          <w:noProof/>
          <w:sz w:val="24"/>
          <w:lang w:val="sl-SI"/>
        </w:rPr>
        <w:t>programi skupnega diplomskega in magistrskega študija</w:t>
      </w:r>
      <w:r w:rsidRPr="00106810">
        <w:rPr>
          <w:rFonts w:ascii="Times New Roman" w:hAnsi="Times New Roman"/>
          <w:noProof/>
          <w:sz w:val="24"/>
          <w:lang w:val="sl-SI"/>
        </w:rPr>
        <w:t xml:space="preserve">, </w:t>
      </w:r>
      <w:r w:rsidRPr="00106810">
        <w:rPr>
          <w:rFonts w:ascii="Times New Roman" w:hAnsi="Times New Roman"/>
          <w:b/>
          <w:bCs/>
          <w:noProof/>
          <w:sz w:val="24"/>
          <w:lang w:val="sl-SI"/>
        </w:rPr>
        <w:t>skupni tečaji ali moduli, s katerimi se lahko pridobijo mikrodokazila</w:t>
      </w:r>
      <w:r w:rsidRPr="00106810">
        <w:rPr>
          <w:rFonts w:ascii="Times New Roman" w:hAnsi="Times New Roman"/>
          <w:noProof/>
          <w:sz w:val="24"/>
          <w:lang w:val="sl-SI"/>
        </w:rPr>
        <w:t xml:space="preserve">, ter </w:t>
      </w:r>
      <w:r w:rsidRPr="00106810">
        <w:rPr>
          <w:rFonts w:ascii="Times New Roman" w:hAnsi="Times New Roman"/>
          <w:b/>
          <w:bCs/>
          <w:noProof/>
          <w:sz w:val="24"/>
          <w:lang w:val="sl-SI"/>
        </w:rPr>
        <w:t>kombinirani intenzivni programi</w:t>
      </w:r>
      <w:r w:rsidRPr="00106810">
        <w:rPr>
          <w:rStyle w:val="FootnoteReference"/>
          <w:rFonts w:ascii="Times New Roman" w:eastAsia="Times New Roman" w:hAnsi="Times New Roman" w:cs="Times New Roman"/>
          <w:noProof/>
          <w:sz w:val="24"/>
          <w:lang w:val="sl-SI"/>
        </w:rPr>
        <w:footnoteReference w:id="63"/>
      </w:r>
      <w:r w:rsidRPr="00106810">
        <w:rPr>
          <w:rFonts w:ascii="Times New Roman" w:hAnsi="Times New Roman"/>
          <w:noProof/>
          <w:sz w:val="24"/>
          <w:lang w:val="sl-SI"/>
        </w:rPr>
        <w:t xml:space="preserve"> o vseh temah, vključno </w:t>
      </w:r>
      <w:r w:rsidRPr="00106810">
        <w:rPr>
          <w:rFonts w:ascii="Times New Roman" w:hAnsi="Times New Roman"/>
          <w:b/>
          <w:bCs/>
          <w:noProof/>
          <w:sz w:val="24"/>
          <w:lang w:val="sl-SI"/>
        </w:rPr>
        <w:t>s kibernetsko varnostjo</w:t>
      </w:r>
      <w:r w:rsidRPr="00106810">
        <w:rPr>
          <w:rFonts w:ascii="Times New Roman" w:hAnsi="Times New Roman"/>
          <w:noProof/>
          <w:sz w:val="24"/>
          <w:lang w:val="sl-SI"/>
        </w:rPr>
        <w:t xml:space="preserve">. Prav tako se bo podprlo nadaljnje izvajanje </w:t>
      </w:r>
      <w:r w:rsidRPr="00106810">
        <w:rPr>
          <w:rFonts w:ascii="Times New Roman" w:hAnsi="Times New Roman"/>
          <w:b/>
          <w:bCs/>
          <w:noProof/>
          <w:sz w:val="24"/>
          <w:lang w:val="sl-SI"/>
        </w:rPr>
        <w:t>pobude Evropske univerze</w:t>
      </w:r>
      <w:r w:rsidRPr="00106810">
        <w:rPr>
          <w:rStyle w:val="FootnoteReference"/>
          <w:rFonts w:ascii="Times New Roman" w:eastAsia="Times New Roman" w:hAnsi="Times New Roman" w:cs="Times New Roman"/>
          <w:noProof/>
          <w:color w:val="000000" w:themeColor="text1"/>
          <w:sz w:val="24"/>
          <w:lang w:val="sl-SI"/>
        </w:rPr>
        <w:footnoteReference w:id="64"/>
      </w:r>
      <w:r w:rsidRPr="00106810">
        <w:rPr>
          <w:rFonts w:ascii="Times New Roman" w:hAnsi="Times New Roman"/>
          <w:noProof/>
          <w:sz w:val="24"/>
          <w:lang w:val="sl-SI"/>
        </w:rPr>
        <w:t xml:space="preserve"> in </w:t>
      </w:r>
      <w:r w:rsidRPr="00106810">
        <w:rPr>
          <w:rFonts w:ascii="Times New Roman" w:hAnsi="Times New Roman"/>
          <w:b/>
          <w:bCs/>
          <w:noProof/>
          <w:sz w:val="24"/>
          <w:lang w:val="sl-SI"/>
        </w:rPr>
        <w:t>centrov poklicne odličnosti</w:t>
      </w:r>
      <w:r w:rsidRPr="00106810">
        <w:rPr>
          <w:rStyle w:val="FootnoteReference"/>
          <w:rFonts w:ascii="Times New Roman" w:eastAsia="Times New Roman" w:hAnsi="Times New Roman" w:cs="Times New Roman"/>
          <w:noProof/>
          <w:color w:val="000000" w:themeColor="text1"/>
          <w:sz w:val="24"/>
          <w:lang w:val="sl-SI"/>
        </w:rPr>
        <w:footnoteReference w:id="65"/>
      </w:r>
      <w:r w:rsidRPr="00106810">
        <w:rPr>
          <w:rFonts w:ascii="Times New Roman" w:hAnsi="Times New Roman"/>
          <w:noProof/>
          <w:sz w:val="24"/>
          <w:lang w:val="sl-SI"/>
        </w:rPr>
        <w:t>, da bi se spodbudilo tesnejše sodelovanje med visokošolskimi ustanovami ter ustreznimi ustanovami poklicnega izobraževanja in usposabljanja po vsej Evropi.</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 xml:space="preserve">Ta cilj tesnejšega sodelovanja se bo podprl s programi financiranja EU, vključno s programom Erasmus+ in programom Digitalna Evropa, ter s sredstvi EU za razvoj </w:t>
      </w:r>
      <w:r w:rsidRPr="00106810">
        <w:rPr>
          <w:rFonts w:ascii="Times New Roman" w:hAnsi="Times New Roman"/>
          <w:b/>
          <w:bCs/>
          <w:noProof/>
          <w:sz w:val="24"/>
          <w:lang w:val="sl-SI"/>
        </w:rPr>
        <w:t>individualnih učnih računov</w:t>
      </w:r>
      <w:r w:rsidRPr="00106810">
        <w:rPr>
          <w:rStyle w:val="FootnoteReference"/>
          <w:rFonts w:ascii="Times New Roman" w:eastAsia="Times New Roman" w:hAnsi="Times New Roman" w:cs="Times New Roman"/>
          <w:noProof/>
          <w:color w:val="000000" w:themeColor="text1"/>
          <w:sz w:val="24"/>
          <w:lang w:val="sl-SI"/>
        </w:rPr>
        <w:footnoteReference w:id="66"/>
      </w:r>
      <w:r w:rsidRPr="00106810">
        <w:rPr>
          <w:rFonts w:ascii="Times New Roman" w:hAnsi="Times New Roman"/>
          <w:noProof/>
          <w:sz w:val="24"/>
          <w:lang w:val="sl-SI"/>
        </w:rPr>
        <w:t>.</w:t>
      </w:r>
      <w:r w:rsidRPr="00106810">
        <w:rPr>
          <w:rFonts w:ascii="Times New Roman" w:hAnsi="Times New Roman"/>
          <w:noProof/>
          <w:color w:val="000000" w:themeColor="text1"/>
          <w:sz w:val="24"/>
          <w:lang w:val="sl-SI"/>
        </w:rPr>
        <w:t xml:space="preserve"> </w:t>
      </w:r>
    </w:p>
    <w:p w14:paraId="6CAF8889" w14:textId="77777777" w:rsidR="00831F29" w:rsidRPr="00106810" w:rsidRDefault="00831F29" w:rsidP="00831F29">
      <w:pPr>
        <w:jc w:val="both"/>
        <w:rPr>
          <w:rFonts w:ascii="Times New Roman" w:eastAsia="Times New Roman" w:hAnsi="Times New Roman" w:cs="Times New Roman"/>
          <w:noProof/>
          <w:sz w:val="24"/>
          <w:lang w:val="sl-SI"/>
        </w:rPr>
      </w:pPr>
      <w:bookmarkStart w:id="10" w:name="_Hlk129941592"/>
      <w:r w:rsidRPr="00106810">
        <w:rPr>
          <w:rFonts w:ascii="Times New Roman" w:hAnsi="Times New Roman"/>
          <w:noProof/>
          <w:sz w:val="24"/>
          <w:lang w:val="sl-SI"/>
        </w:rPr>
        <w:t xml:space="preserve">Da bi se na nacionalni ravni olajšalo sodelovanje med znanstveno skupnostjo in ponudniki usposabljanj za kibernetskovarnostne veščine ter delodajalci iz zasebnega in javnega sektorja ter da bi se spodbudile sinergije med javnim in zasebnim sektorjem, so nacionalni koordinacijski centri pozvani, naj preučijo ustanovitev </w:t>
      </w:r>
      <w:r w:rsidRPr="00106810">
        <w:rPr>
          <w:rFonts w:ascii="Times New Roman" w:hAnsi="Times New Roman"/>
          <w:b/>
          <w:bCs/>
          <w:noProof/>
          <w:sz w:val="24"/>
          <w:lang w:val="sl-SI"/>
        </w:rPr>
        <w:t>kibernetskih kampusov</w:t>
      </w:r>
      <w:r w:rsidRPr="00106810">
        <w:rPr>
          <w:rFonts w:ascii="Times New Roman" w:hAnsi="Times New Roman"/>
          <w:noProof/>
          <w:sz w:val="24"/>
          <w:lang w:val="sl-SI"/>
        </w:rPr>
        <w:t xml:space="preserve"> v državah članicah. Namen kibernetskih kampusov bi bil zagotoviti centre odličnosti na nacionalni ravni za skupnost za kibernetsko varnost, akademija pa bi tem kampusom pomagala pri mreženju in nadaljnjem usklajevanju njihovih dejavnosti.</w:t>
      </w:r>
    </w:p>
    <w:p w14:paraId="50E0E3F7" w14:textId="2E85F0F8" w:rsidR="00DC3D10" w:rsidRPr="00106810" w:rsidRDefault="566E7AD8" w:rsidP="00831F29">
      <w:pPr>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Agencija ENISA bo prav tako izboljšala svojo ponudbo usposabljanja na področju kibernetske varnosti, tako da bo </w:t>
      </w:r>
      <w:r w:rsidRPr="00106810">
        <w:rPr>
          <w:rFonts w:ascii="Times New Roman" w:hAnsi="Times New Roman"/>
          <w:b/>
          <w:bCs/>
          <w:noProof/>
          <w:sz w:val="24"/>
          <w:lang w:val="sl-SI"/>
        </w:rPr>
        <w:t>svoj katalog tečajev</w:t>
      </w:r>
      <w:r w:rsidRPr="00106810">
        <w:rPr>
          <w:rStyle w:val="FootnoteReference"/>
          <w:rFonts w:ascii="Times New Roman" w:eastAsia="Times New Roman" w:hAnsi="Times New Roman" w:cs="Times New Roman"/>
          <w:noProof/>
          <w:sz w:val="24"/>
          <w:lang w:val="sl-SI"/>
        </w:rPr>
        <w:footnoteReference w:id="67"/>
      </w:r>
      <w:r w:rsidRPr="00106810">
        <w:rPr>
          <w:rFonts w:ascii="Times New Roman" w:hAnsi="Times New Roman"/>
          <w:noProof/>
          <w:sz w:val="24"/>
          <w:lang w:val="sl-SI"/>
        </w:rPr>
        <w:t xml:space="preserve"> uskladila s profili iz evropskega okvira za kibernetskovarnostne veščine ter dopolnila module usposabljanja za vsak profil, kar bi lahko izboljšalo ponudbe usposabljanj v državah članicah. Razširila bo tudi svoj </w:t>
      </w:r>
      <w:r w:rsidRPr="00106810">
        <w:rPr>
          <w:rFonts w:ascii="Times New Roman" w:hAnsi="Times New Roman"/>
          <w:b/>
          <w:bCs/>
          <w:noProof/>
          <w:sz w:val="24"/>
          <w:lang w:val="sl-SI"/>
        </w:rPr>
        <w:t>program „usposabljanja izvajalcev usposabljanja“</w:t>
      </w:r>
      <w:r w:rsidRPr="00106810">
        <w:rPr>
          <w:rStyle w:val="FootnoteReference"/>
          <w:rFonts w:ascii="Times New Roman" w:eastAsia="Times New Roman" w:hAnsi="Times New Roman" w:cs="Times New Roman"/>
          <w:noProof/>
          <w:sz w:val="24"/>
          <w:lang w:val="sl-SI"/>
        </w:rPr>
        <w:footnoteReference w:id="68"/>
      </w:r>
      <w:r w:rsidRPr="00106810">
        <w:rPr>
          <w:rFonts w:ascii="Times New Roman" w:hAnsi="Times New Roman"/>
          <w:noProof/>
          <w:sz w:val="24"/>
          <w:lang w:val="sl-SI"/>
        </w:rPr>
        <w:t xml:space="preserve">, pri čemer se bo osredotočila na poklicne potrebe institucij, organov, uradov in agencij EU ter javnih organov in </w:t>
      </w:r>
      <w:r w:rsidRPr="00106810">
        <w:rPr>
          <w:rFonts w:ascii="Times New Roman" w:hAnsi="Times New Roman"/>
          <w:b/>
          <w:bCs/>
          <w:noProof/>
          <w:sz w:val="24"/>
          <w:lang w:val="sl-SI"/>
        </w:rPr>
        <w:t>javnih in zasebnih kritičnih izvajalcev</w:t>
      </w:r>
      <w:r w:rsidRPr="00106810">
        <w:rPr>
          <w:rFonts w:ascii="Times New Roman" w:hAnsi="Times New Roman"/>
          <w:noProof/>
          <w:sz w:val="24"/>
          <w:lang w:val="sl-SI"/>
        </w:rPr>
        <w:t xml:space="preserve"> iz držav članic, ki spadajo na področje uporabe direktive NIS 2. </w:t>
      </w:r>
    </w:p>
    <w:p w14:paraId="70C0A0A5" w14:textId="63E46B72" w:rsidR="00831F29" w:rsidRPr="00106810" w:rsidRDefault="566E7AD8" w:rsidP="00831F29">
      <w:pPr>
        <w:jc w:val="both"/>
        <w:rPr>
          <w:rFonts w:ascii="Times New Roman" w:eastAsia="Times New Roman" w:hAnsi="Times New Roman" w:cs="Times New Roman"/>
          <w:noProof/>
          <w:sz w:val="24"/>
          <w:lang w:val="sl-SI"/>
        </w:rPr>
      </w:pPr>
      <w:bookmarkStart w:id="11" w:name="_Hlk132358438"/>
      <w:r w:rsidRPr="00106810">
        <w:rPr>
          <w:rFonts w:ascii="Times New Roman" w:hAnsi="Times New Roman"/>
          <w:noProof/>
          <w:sz w:val="24"/>
          <w:lang w:val="sl-SI"/>
        </w:rPr>
        <w:t xml:space="preserve">Poleg tega bodo tudi druge agencije, uradi in organi EU okrepili svojo ponudbo usposabljanja na področju kibernetske varnosti. </w:t>
      </w:r>
      <w:r w:rsidRPr="00106810">
        <w:rPr>
          <w:rFonts w:ascii="Times New Roman" w:hAnsi="Times New Roman"/>
          <w:b/>
          <w:bCs/>
          <w:noProof/>
          <w:sz w:val="24"/>
          <w:lang w:val="sl-SI"/>
        </w:rPr>
        <w:t>EAVO</w:t>
      </w:r>
      <w:r w:rsidRPr="00106810">
        <w:rPr>
          <w:rFonts w:ascii="Times New Roman" w:hAnsi="Times New Roman"/>
          <w:noProof/>
          <w:sz w:val="24"/>
          <w:lang w:val="sl-SI"/>
        </w:rPr>
        <w:t xml:space="preserve"> bo na primer z izvajanjem politike EU za kibernetsko obrambo razvila nov sklop tečajev o kibernetski varnosti in nekatere svoje sedanje tečaje uskladila z evropskim okvirom za kibernetskovarnostne veščine. Ti tečaji bodo privedli do certificiranja učnih rezultatov</w:t>
      </w:r>
      <w:r w:rsidRPr="00106810">
        <w:rPr>
          <w:rStyle w:val="FootnoteReference"/>
          <w:rFonts w:ascii="Times New Roman" w:eastAsia="Times New Roman" w:hAnsi="Times New Roman" w:cs="Times New Roman"/>
          <w:noProof/>
          <w:sz w:val="24"/>
          <w:lang w:val="sl-SI"/>
        </w:rPr>
        <w:footnoteReference w:id="69"/>
      </w:r>
      <w:r w:rsidRPr="00106810">
        <w:rPr>
          <w:rFonts w:ascii="Times New Roman" w:hAnsi="Times New Roman"/>
          <w:noProof/>
          <w:sz w:val="24"/>
          <w:lang w:val="sl-SI"/>
        </w:rPr>
        <w:t>. EAVO bo v sodelovanju s Komisijo preučila možnost vključitve spričeval v denarnico evropske digitalne identitete. EAVO bo nadalje preučila možne mehanizme ocenjevanja veščin, na podlagi katerih bodo izdana spričevala.</w:t>
      </w:r>
      <w:bookmarkEnd w:id="10"/>
      <w:r w:rsidRPr="00106810">
        <w:rPr>
          <w:rFonts w:ascii="Times New Roman" w:hAnsi="Times New Roman"/>
          <w:noProof/>
          <w:sz w:val="24"/>
          <w:lang w:val="sl-SI"/>
        </w:rPr>
        <w:t xml:space="preserve"> Podobno bodo na področju boja proti kibernetski kriminaliteti potekala </w:t>
      </w:r>
      <w:r w:rsidRPr="00106810">
        <w:rPr>
          <w:rFonts w:ascii="Times New Roman" w:hAnsi="Times New Roman"/>
          <w:noProof/>
          <w:color w:val="1F497D"/>
          <w:sz w:val="24"/>
          <w:lang w:val="sl-SI"/>
        </w:rPr>
        <w:t xml:space="preserve">prizadevanja za tesnejše sodelovanje z </w:t>
      </w:r>
      <w:r w:rsidRPr="00106810">
        <w:rPr>
          <w:rFonts w:ascii="Times New Roman" w:hAnsi="Times New Roman"/>
          <w:b/>
          <w:bCs/>
          <w:noProof/>
          <w:color w:val="1F497D"/>
          <w:sz w:val="24"/>
          <w:lang w:val="sl-SI"/>
        </w:rPr>
        <w:t>akademijo za kibernetsko kriminaliteto agencije CEPOL</w:t>
      </w:r>
      <w:r w:rsidRPr="00106810">
        <w:rPr>
          <w:rStyle w:val="FootnoteReference"/>
          <w:rFonts w:ascii="Times New Roman" w:hAnsi="Times New Roman" w:cs="Times New Roman"/>
          <w:noProof/>
          <w:color w:val="1F497D"/>
          <w:sz w:val="24"/>
          <w:lang w:val="sl-SI"/>
        </w:rPr>
        <w:footnoteReference w:id="70"/>
      </w:r>
      <w:r w:rsidRPr="00106810">
        <w:rPr>
          <w:rFonts w:ascii="Times New Roman" w:hAnsi="Times New Roman"/>
          <w:noProof/>
          <w:color w:val="1F497D"/>
          <w:sz w:val="24"/>
          <w:lang w:val="sl-SI"/>
        </w:rPr>
        <w:t>, da bi se spodbudile sinergije in dopolnjevanja pri oblikovanju in izvajanju učnih načrtov za usposabljanje.</w:t>
      </w:r>
    </w:p>
    <w:p w14:paraId="28DFDEF1" w14:textId="21BA38BE" w:rsidR="00831F29" w:rsidRPr="00106810" w:rsidRDefault="566E7AD8" w:rsidP="726DB5C3">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bookmarkStart w:id="12" w:name="_Hlk130549265"/>
      <w:bookmarkEnd w:id="11"/>
      <w:r w:rsidRPr="00106810">
        <w:rPr>
          <w:rFonts w:ascii="Times New Roman" w:hAnsi="Times New Roman"/>
          <w:b/>
          <w:i/>
          <w:noProof/>
          <w:sz w:val="24"/>
          <w:lang w:val="sl-SI"/>
        </w:rPr>
        <w:t>Oblikovanje sinergij in zagotavljanje prepoznavnosti usposabljanj in certificiranja na področju kibernetske varnosti v državah članicah</w:t>
      </w:r>
    </w:p>
    <w:p w14:paraId="460F2A7D" w14:textId="001FA027" w:rsidR="00BE1508" w:rsidRPr="00106810" w:rsidRDefault="2F972EFB" w:rsidP="726DB5C3">
      <w:pPr>
        <w:widowControl w:val="0"/>
        <w:spacing w:after="120" w:line="240" w:lineRule="auto"/>
        <w:jc w:val="both"/>
        <w:rPr>
          <w:rFonts w:ascii="Times New Roman" w:eastAsia="Times New Roman" w:hAnsi="Times New Roman" w:cs="Times New Roman"/>
          <w:noProof/>
          <w:sz w:val="24"/>
          <w:lang w:val="sl-SI"/>
        </w:rPr>
      </w:pPr>
      <w:bookmarkStart w:id="13" w:name="_Hlk127721920"/>
      <w:bookmarkEnd w:id="12"/>
      <w:r w:rsidRPr="00106810">
        <w:rPr>
          <w:rFonts w:ascii="Times New Roman" w:hAnsi="Times New Roman"/>
          <w:noProof/>
          <w:sz w:val="24"/>
          <w:lang w:val="sl-SI"/>
        </w:rPr>
        <w:t xml:space="preserve">V okviru akademije bi bilo treba obravnavati vprašanje prepoznavnosti usposabljanja in certificiranja ter sinergij med njima. To bi koristilo civilnim, obrambnim in diplomatskim kibernetskim skupnostim ter kibernetskim skupnostim organov kazenskega pregona, saj je v številnih primerih v vseh sektorjih potrebno enako strokovno znanje, ki temelji na podobnih učnih načrtih in učnih rezultatih.  </w:t>
      </w:r>
    </w:p>
    <w:p w14:paraId="6A44ED7C" w14:textId="2369265F" w:rsidR="0009161B" w:rsidRPr="00106810" w:rsidRDefault="7B7B0918" w:rsidP="00D27FA3">
      <w:pPr>
        <w:widowControl w:val="0"/>
        <w:spacing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Z akademijo bi se zagotovila </w:t>
      </w:r>
      <w:r w:rsidRPr="00106810">
        <w:rPr>
          <w:rFonts w:ascii="Times New Roman" w:hAnsi="Times New Roman"/>
          <w:b/>
          <w:bCs/>
          <w:noProof/>
          <w:sz w:val="24"/>
          <w:lang w:val="sl-SI"/>
        </w:rPr>
        <w:t>enotna vstopna točka</w:t>
      </w:r>
      <w:r w:rsidRPr="00106810">
        <w:rPr>
          <w:rFonts w:ascii="Times New Roman" w:hAnsi="Times New Roman"/>
          <w:noProof/>
          <w:sz w:val="24"/>
          <w:lang w:val="sl-SI"/>
        </w:rPr>
        <w:t xml:space="preserve"> za tiste, ki se zanimajo za poklicno pot na področju kibernetske varnosti. To bo kratkoročno doseženo z okrepitvijo </w:t>
      </w:r>
      <w:r w:rsidRPr="00106810">
        <w:rPr>
          <w:rFonts w:ascii="Times New Roman" w:hAnsi="Times New Roman"/>
          <w:b/>
          <w:bCs/>
          <w:noProof/>
          <w:sz w:val="24"/>
          <w:lang w:val="sl-SI"/>
        </w:rPr>
        <w:t>platforme</w:t>
      </w:r>
      <w:r w:rsidRPr="00106810">
        <w:rPr>
          <w:rFonts w:ascii="Times New Roman" w:hAnsi="Times New Roman"/>
          <w:noProof/>
          <w:sz w:val="24"/>
          <w:lang w:val="sl-SI"/>
        </w:rPr>
        <w:t xml:space="preserve"> Komisije </w:t>
      </w:r>
      <w:r w:rsidRPr="00106810">
        <w:rPr>
          <w:rFonts w:ascii="Times New Roman" w:hAnsi="Times New Roman"/>
          <w:b/>
          <w:bCs/>
          <w:noProof/>
          <w:sz w:val="24"/>
          <w:lang w:val="sl-SI"/>
        </w:rPr>
        <w:t>za digitalne spretnosti in delovna mesta</w:t>
      </w:r>
      <w:r w:rsidRPr="00106810">
        <w:rPr>
          <w:rFonts w:ascii="Times New Roman" w:hAnsi="Times New Roman"/>
          <w:noProof/>
          <w:sz w:val="24"/>
          <w:lang w:val="sl-SI"/>
        </w:rPr>
        <w:t xml:space="preserve"> s podporo iz projekta za podporo evropski skupnosti za kibernetsko varnost. V posebnem oddelku o poklicnih poteh na področju kibernetske varnosti bodo zagotovljene povezave z obstoječimi orodji, od visokošolskih programov do priložnosti za usposabljanje, vključno s tečaji za pridobitev mikrodokazil ter programi poklicnega izobraževanja in usposabljanja, ter do ponudb za zaposlitev. To bo doseženo s sklicevanjem na tekoče delo in pobude, kot so tiste v okviru agencije ENISA, ki je v sodelovanju z znanstveno skupnostjo pripravila </w:t>
      </w:r>
      <w:r w:rsidRPr="00106810">
        <w:rPr>
          <w:rFonts w:ascii="Times New Roman" w:hAnsi="Times New Roman"/>
          <w:b/>
          <w:bCs/>
          <w:noProof/>
          <w:sz w:val="24"/>
          <w:lang w:val="sl-SI"/>
        </w:rPr>
        <w:t>podatkovno zbirko izobraževalnih ustanov</w:t>
      </w:r>
      <w:r w:rsidRPr="00106810">
        <w:rPr>
          <w:rFonts w:ascii="Times New Roman" w:hAnsi="Times New Roman"/>
          <w:noProof/>
          <w:sz w:val="24"/>
          <w:lang w:val="sl-SI"/>
        </w:rPr>
        <w:t>, ki ponujajo programe na področju kibernetske varnosti, ter z vključevanjem tega dela in pobud na platformo.</w:t>
      </w:r>
      <w:bookmarkEnd w:id="13"/>
      <w:r w:rsidRPr="00106810">
        <w:rPr>
          <w:rFonts w:ascii="Times New Roman" w:hAnsi="Times New Roman"/>
          <w:noProof/>
          <w:color w:val="000000" w:themeColor="text1"/>
          <w:sz w:val="24"/>
          <w:lang w:val="sl-SI"/>
        </w:rPr>
        <w:t xml:space="preserve">. To bo dodatno okrepljeno s podporo nacionalnih koordinacijskih centrov. Poleg tega bo agencija ENISA s podporo nacionalnih koordinacijskih centrov, Komisije ter projekta za podporo evropski skupnosti za kibernetsko varnost in v sodelovanju s subjekti, ki zagotavljajo certificiranje, ter na podlagi drugih ustreznih pobud razvila in utrdila dva </w:t>
      </w:r>
      <w:r w:rsidRPr="00106810">
        <w:rPr>
          <w:rFonts w:ascii="Times New Roman" w:hAnsi="Times New Roman"/>
          <w:b/>
          <w:bCs/>
          <w:noProof/>
          <w:color w:val="000000" w:themeColor="text1"/>
          <w:sz w:val="24"/>
          <w:lang w:val="sl-SI"/>
        </w:rPr>
        <w:t>repozitorija obstoječih usposabljanj iz javnega in zasebnega sektorja ter certificiranj na področju kibernetske varnosti</w:t>
      </w:r>
      <w:r w:rsidRPr="00106810">
        <w:rPr>
          <w:rStyle w:val="FootnoteReference"/>
          <w:rFonts w:ascii="Times New Roman" w:eastAsia="Times New Roman" w:hAnsi="Times New Roman" w:cs="Times New Roman"/>
          <w:noProof/>
          <w:color w:val="000000" w:themeColor="text1"/>
          <w:sz w:val="24"/>
          <w:lang w:val="sl-SI"/>
        </w:rPr>
        <w:footnoteReference w:id="71"/>
      </w:r>
      <w:r w:rsidRPr="00106810">
        <w:rPr>
          <w:rFonts w:ascii="Times New Roman" w:hAnsi="Times New Roman"/>
          <w:noProof/>
          <w:color w:val="000000" w:themeColor="text1"/>
          <w:sz w:val="24"/>
          <w:lang w:val="sl-SI"/>
        </w:rPr>
        <w:t>. Ta repozitorija bosta vključena tudi v enotno vstopno točko platforme za digitalne spretnosti in delovna mesta. To delo bo koristilo tudi nacionalnim koordinacijskim centrom, katerih naloga je zlasti spodbujati in razširjati izobraževalne programe na področju kibernetske varnosti</w:t>
      </w:r>
      <w:r w:rsidRPr="00106810">
        <w:rPr>
          <w:rStyle w:val="FootnoteReference"/>
          <w:rFonts w:ascii="Times New Roman" w:eastAsia="Times New Roman" w:hAnsi="Times New Roman" w:cs="Times New Roman"/>
          <w:noProof/>
          <w:color w:val="000000" w:themeColor="text1"/>
          <w:sz w:val="24"/>
          <w:lang w:val="sl-SI"/>
        </w:rPr>
        <w:footnoteReference w:id="72"/>
      </w:r>
      <w:r w:rsidRPr="00106810">
        <w:rPr>
          <w:rFonts w:ascii="Times New Roman" w:hAnsi="Times New Roman"/>
          <w:noProof/>
          <w:color w:val="000000" w:themeColor="text1"/>
          <w:sz w:val="24"/>
          <w:lang w:val="sl-SI"/>
        </w:rPr>
        <w:t>.</w:t>
      </w:r>
      <w:r w:rsidRPr="00106810">
        <w:rPr>
          <w:rFonts w:ascii="Times New Roman" w:hAnsi="Times New Roman"/>
          <w:noProof/>
          <w:sz w:val="24"/>
          <w:lang w:val="sl-SI"/>
        </w:rPr>
        <w:t xml:space="preserve"> </w:t>
      </w:r>
    </w:p>
    <w:p w14:paraId="117F1DA0" w14:textId="6EEBD007" w:rsidR="00895EA5" w:rsidRPr="00106810" w:rsidRDefault="26324616" w:rsidP="726DB5C3">
      <w:pPr>
        <w:jc w:val="both"/>
        <w:rPr>
          <w:rFonts w:ascii="Times New Roman" w:hAnsi="Times New Roman" w:cs="Times New Roman"/>
          <w:noProof/>
          <w:sz w:val="24"/>
          <w:lang w:val="sl-SI"/>
        </w:rPr>
      </w:pPr>
      <w:bookmarkStart w:id="14" w:name="_Hlk130916026"/>
      <w:bookmarkStart w:id="15" w:name="_Hlk130826026"/>
      <w:r w:rsidRPr="00106810">
        <w:rPr>
          <w:rFonts w:ascii="Times New Roman" w:hAnsi="Times New Roman"/>
          <w:noProof/>
          <w:sz w:val="24"/>
          <w:lang w:val="sl-SI"/>
        </w:rPr>
        <w:t xml:space="preserve">Prav tako je treba strokovnjakom dati zagotovilo, da so usposabljanja, ki se jih udeležijo, zahtevane kakovosti. Zato bo agencija ENISA razvila </w:t>
      </w:r>
      <w:r w:rsidRPr="00106810">
        <w:rPr>
          <w:rFonts w:ascii="Times New Roman" w:hAnsi="Times New Roman"/>
          <w:b/>
          <w:bCs/>
          <w:noProof/>
          <w:sz w:val="24"/>
          <w:lang w:val="sl-SI"/>
        </w:rPr>
        <w:t>pilotni projekt</w:t>
      </w:r>
      <w:r w:rsidRPr="00106810">
        <w:rPr>
          <w:rFonts w:ascii="Times New Roman" w:hAnsi="Times New Roman"/>
          <w:noProof/>
          <w:sz w:val="24"/>
          <w:lang w:val="sl-SI"/>
        </w:rPr>
        <w:t xml:space="preserve">, v okviru katerega bo preučila vzpostavitev </w:t>
      </w:r>
      <w:bookmarkStart w:id="16" w:name="_Hlk131067777"/>
      <w:r w:rsidRPr="00106810">
        <w:rPr>
          <w:rFonts w:ascii="Times New Roman" w:hAnsi="Times New Roman"/>
          <w:noProof/>
          <w:sz w:val="24"/>
          <w:lang w:val="sl-SI"/>
        </w:rPr>
        <w:t>evropskega sistema potrdil za kibernetskovarnostne</w:t>
      </w:r>
      <w:bookmarkEnd w:id="16"/>
      <w:r w:rsidRPr="00106810">
        <w:rPr>
          <w:rFonts w:ascii="Times New Roman" w:hAnsi="Times New Roman"/>
          <w:noProof/>
          <w:sz w:val="24"/>
          <w:lang w:val="sl-SI"/>
        </w:rPr>
        <w:t xml:space="preserve"> veščine.</w:t>
      </w:r>
    </w:p>
    <w:bookmarkEnd w:id="14"/>
    <w:bookmarkEnd w:id="15"/>
    <w:p w14:paraId="6AE7BED2" w14:textId="2547BA67" w:rsidR="1A91BBA8" w:rsidRPr="00106810" w:rsidRDefault="2F972EFB" w:rsidP="726DB5C3">
      <w:pPr>
        <w:widowControl w:val="0"/>
        <w:spacing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Poleg tega je bistveno opredeliti veščine in usposabljanja ter jih povezati s profilom delovnega mesta, vendar je prav tako pomembno zagotoviti, da imajo ponudniki storitev kibernetske varnosti potrebne kompetence, strokovno znanje in izkušnje. To velja zlasti za ponudnike upravljanih varnostnih storitev na področjih, kot so odzivanje na incidente, penetracijsko testiranje, varnostne presoje in svetovanje.</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 xml:space="preserve">V direktivi NIS 2 in predlogu akta o kibernetski solidarnosti so določene posebne naloge za take ponudnike upravljanih varnostnih storitev. Komisija zato predlaga tudi </w:t>
      </w:r>
      <w:r w:rsidRPr="00106810">
        <w:rPr>
          <w:rFonts w:ascii="Times New Roman" w:hAnsi="Times New Roman"/>
          <w:b/>
          <w:bCs/>
          <w:noProof/>
          <w:sz w:val="24"/>
          <w:lang w:val="sl-SI"/>
        </w:rPr>
        <w:t>ciljno usmerjeno spremembo Akta o kibernetski varnosti</w:t>
      </w:r>
      <w:r w:rsidRPr="00106810">
        <w:rPr>
          <w:rStyle w:val="FootnoteReference"/>
          <w:rFonts w:ascii="Times New Roman" w:eastAsia="Times New Roman" w:hAnsi="Times New Roman" w:cs="Times New Roman"/>
          <w:noProof/>
          <w:sz w:val="24"/>
          <w:lang w:val="sl-SI"/>
        </w:rPr>
        <w:footnoteReference w:id="73"/>
      </w:r>
      <w:r w:rsidRPr="00106810">
        <w:rPr>
          <w:rFonts w:ascii="Times New Roman" w:hAnsi="Times New Roman"/>
          <w:noProof/>
          <w:sz w:val="24"/>
          <w:lang w:val="sl-SI"/>
        </w:rPr>
        <w:t xml:space="preserve">, da se omogočijo certifikacijske sheme upravljanih varnostnih storitev na ravni EU. Take certifikacijske sheme bi morale biti med drugim namenjene zagotovitvi, da te storitve opravlja osebje z zelo visoko stopnjo tehničnega znanja in kompetenc na ustreznih področjih. </w:t>
      </w:r>
    </w:p>
    <w:p w14:paraId="4771F134" w14:textId="2521584F" w:rsidR="726DB5C3" w:rsidRPr="00106810" w:rsidRDefault="566E7AD8" w:rsidP="726DB5C3">
      <w:pPr>
        <w:jc w:val="both"/>
        <w:rPr>
          <w:rFonts w:ascii="Times New Roman" w:eastAsia="Times New Roman" w:hAnsi="Times New Roman" w:cs="Times New Roman"/>
          <w:noProof/>
          <w:color w:val="000000" w:themeColor="text1"/>
          <w:sz w:val="24"/>
          <w:lang w:val="sl-SI"/>
        </w:rPr>
      </w:pPr>
      <w:r w:rsidRPr="00106810">
        <w:rPr>
          <w:rFonts w:ascii="Times New Roman" w:hAnsi="Times New Roman"/>
          <w:b/>
          <w:bCs/>
          <w:noProof/>
          <w:color w:val="000000" w:themeColor="text1"/>
          <w:sz w:val="24"/>
          <w:lang w:val="sl-SI"/>
        </w:rPr>
        <w:t>Mehanizmi za zagotavljanje kakovosti in priznavanje mikrodokazil</w:t>
      </w:r>
      <w:r w:rsidRPr="00106810">
        <w:rPr>
          <w:rStyle w:val="FootnoteReference"/>
          <w:rFonts w:ascii="Times New Roman" w:eastAsia="Times New Roman" w:hAnsi="Times New Roman" w:cs="Times New Roman"/>
          <w:noProof/>
          <w:color w:val="000000" w:themeColor="text1"/>
          <w:sz w:val="24"/>
          <w:lang w:val="sl-SI"/>
        </w:rPr>
        <w:footnoteReference w:id="74"/>
      </w:r>
      <w:r w:rsidRPr="00106810">
        <w:rPr>
          <w:rFonts w:ascii="Times New Roman" w:hAnsi="Times New Roman"/>
          <w:noProof/>
          <w:color w:val="000000" w:themeColor="text1"/>
          <w:sz w:val="24"/>
          <w:lang w:val="sl-SI"/>
        </w:rPr>
        <w:t xml:space="preserve"> omogočajo boljšo </w:t>
      </w:r>
      <w:bookmarkStart w:id="17" w:name="_Hlk130915125"/>
      <w:r w:rsidRPr="00106810">
        <w:rPr>
          <w:rFonts w:ascii="Times New Roman" w:hAnsi="Times New Roman"/>
          <w:noProof/>
          <w:color w:val="000000" w:themeColor="text1"/>
          <w:sz w:val="24"/>
          <w:lang w:val="sl-SI"/>
        </w:rPr>
        <w:t>preglednost, primerljivost in prenosljivost učnih rezultatov</w:t>
      </w:r>
      <w:bookmarkEnd w:id="17"/>
      <w:r w:rsidRPr="00106810">
        <w:rPr>
          <w:rFonts w:ascii="Times New Roman" w:hAnsi="Times New Roman"/>
          <w:noProof/>
          <w:color w:val="000000" w:themeColor="text1"/>
          <w:sz w:val="24"/>
          <w:lang w:val="sl-SI"/>
        </w:rPr>
        <w:t>. Države članice se v skladu s priporočilom Sveta o evropskem pristopu k mikrodokazilom</w:t>
      </w:r>
      <w:r w:rsidRPr="00106810">
        <w:rPr>
          <w:rStyle w:val="FootnoteReference"/>
          <w:rFonts w:ascii="Times New Roman" w:eastAsia="Times New Roman" w:hAnsi="Times New Roman" w:cs="Times New Roman"/>
          <w:noProof/>
          <w:color w:val="000000" w:themeColor="text1"/>
          <w:sz w:val="24"/>
          <w:lang w:val="sl-SI"/>
        </w:rPr>
        <w:footnoteReference w:id="75"/>
      </w:r>
      <w:r w:rsidRPr="00106810">
        <w:rPr>
          <w:rFonts w:ascii="Times New Roman" w:hAnsi="Times New Roman"/>
          <w:noProof/>
          <w:color w:val="000000" w:themeColor="text1"/>
          <w:sz w:val="24"/>
          <w:lang w:val="sl-SI"/>
        </w:rPr>
        <w:t xml:space="preserve"> spodbuja, naj mikrodokazila za kibernetsko varnost vključijo v svoja nacionalna ogrodja kvalifikacij. To bi jim omogočilo, da mikrodokazila za kibernetsko varnost povežejo z evropskim ogrodjem kvalifikacij</w:t>
      </w:r>
      <w:r w:rsidRPr="00106810">
        <w:rPr>
          <w:rStyle w:val="FootnoteReference"/>
          <w:rFonts w:ascii="Times New Roman" w:eastAsia="Times New Roman" w:hAnsi="Times New Roman" w:cs="Times New Roman"/>
          <w:noProof/>
          <w:color w:val="000000" w:themeColor="text1"/>
          <w:sz w:val="24"/>
          <w:lang w:val="sl-SI"/>
        </w:rPr>
        <w:footnoteReference w:id="76"/>
      </w:r>
      <w:r w:rsidRPr="00106810">
        <w:rPr>
          <w:rFonts w:ascii="Times New Roman" w:hAnsi="Times New Roman"/>
          <w:noProof/>
          <w:color w:val="000000" w:themeColor="text1"/>
          <w:sz w:val="24"/>
          <w:lang w:val="sl-SI"/>
        </w:rPr>
        <w:t xml:space="preserve">. Infrastruktura za evropska digitalna potrdila za učenje je na voljo za izdajanje digitalno podpisanih kvalifikacij in mikrodokazil na področju kibernetske varnosti posameznikom. Ti vsebujejo veliko podatkov, tudi o učnih rezultatih na področju kibernetske varnosti, in jih je mogoče shraniti v prihodnji </w:t>
      </w:r>
      <w:r w:rsidRPr="00106810">
        <w:rPr>
          <w:rFonts w:ascii="Times New Roman" w:hAnsi="Times New Roman"/>
          <w:b/>
          <w:bCs/>
          <w:noProof/>
          <w:color w:val="000000" w:themeColor="text1"/>
          <w:sz w:val="24"/>
          <w:lang w:val="sl-SI"/>
        </w:rPr>
        <w:t>digitalni denarnici evropske digitalne identitete</w:t>
      </w:r>
      <w:r w:rsidRPr="00106810">
        <w:rPr>
          <w:rStyle w:val="FootnoteReference"/>
          <w:rFonts w:ascii="Times New Roman" w:eastAsia="Times New Roman" w:hAnsi="Times New Roman" w:cs="Times New Roman"/>
          <w:noProof/>
          <w:color w:val="000000" w:themeColor="text1"/>
          <w:sz w:val="24"/>
          <w:lang w:val="sl-SI"/>
        </w:rPr>
        <w:footnoteReference w:id="77"/>
      </w:r>
      <w:r w:rsidRPr="00106810">
        <w:rPr>
          <w:rFonts w:ascii="Times New Roman" w:hAnsi="Times New Roman"/>
          <w:noProof/>
          <w:color w:val="000000" w:themeColor="text1"/>
          <w:sz w:val="24"/>
          <w:lang w:val="sl-SI"/>
        </w:rPr>
        <w:t xml:space="preserve">.  </w:t>
      </w:r>
    </w:p>
    <w:tbl>
      <w:tblPr>
        <w:tblStyle w:val="TableGrid"/>
        <w:tblW w:w="0" w:type="auto"/>
        <w:tblLayout w:type="fixed"/>
        <w:tblLook w:val="06A0" w:firstRow="1" w:lastRow="0" w:firstColumn="1" w:lastColumn="0" w:noHBand="1" w:noVBand="1"/>
      </w:tblPr>
      <w:tblGrid>
        <w:gridCol w:w="9360"/>
      </w:tblGrid>
      <w:tr w:rsidR="00831F29" w:rsidRPr="00106810" w14:paraId="72008DA2" w14:textId="77777777" w:rsidTr="726DB5C3">
        <w:trPr>
          <w:trHeight w:val="558"/>
        </w:trPr>
        <w:tc>
          <w:tcPr>
            <w:tcW w:w="9360" w:type="dxa"/>
          </w:tcPr>
          <w:p w14:paraId="071E78AE" w14:textId="77777777" w:rsidR="00831F29" w:rsidRPr="00106810" w:rsidRDefault="566E7AD8" w:rsidP="726DB5C3">
            <w:pPr>
              <w:spacing w:before="120" w:after="120"/>
              <w:jc w:val="both"/>
              <w:rPr>
                <w:rFonts w:ascii="Times New Roman" w:eastAsia="Times New Roman" w:hAnsi="Times New Roman" w:cs="Times New Roman"/>
                <w:b/>
                <w:noProof/>
                <w:sz w:val="24"/>
                <w:u w:val="single"/>
                <w:lang w:val="sl-SI"/>
              </w:rPr>
            </w:pPr>
            <w:r w:rsidRPr="00106810">
              <w:rPr>
                <w:rFonts w:ascii="Times New Roman" w:hAnsi="Times New Roman"/>
                <w:b/>
                <w:noProof/>
                <w:sz w:val="24"/>
                <w:u w:val="single"/>
                <w:lang w:val="sl-SI"/>
              </w:rPr>
              <w:t>Ukrepi v okviru akademije</w:t>
            </w:r>
            <w:r w:rsidRPr="00106810">
              <w:rPr>
                <w:rFonts w:ascii="Times New Roman" w:hAnsi="Times New Roman"/>
                <w:b/>
                <w:noProof/>
                <w:sz w:val="24"/>
                <w:lang w:val="sl-SI"/>
              </w:rPr>
              <w:t xml:space="preserve"> </w:t>
            </w:r>
          </w:p>
          <w:p w14:paraId="78A15922" w14:textId="225FC03B" w:rsidR="00072690" w:rsidRPr="00106810" w:rsidRDefault="566E7AD8" w:rsidP="00D267A4">
            <w:pPr>
              <w:spacing w:before="120" w:after="120"/>
              <w:jc w:val="both"/>
              <w:rPr>
                <w:rFonts w:ascii="Times New Roman" w:eastAsia="Times New Roman" w:hAnsi="Times New Roman" w:cs="Times New Roman"/>
                <w:noProof/>
                <w:sz w:val="24"/>
                <w:lang w:val="sl-SI"/>
              </w:rPr>
            </w:pPr>
            <w:r w:rsidRPr="00106810">
              <w:rPr>
                <w:rFonts w:ascii="Times New Roman" w:hAnsi="Times New Roman"/>
                <w:b/>
                <w:noProof/>
                <w:sz w:val="24"/>
                <w:lang w:val="sl-SI"/>
              </w:rPr>
              <w:t>Države članice in industrija</w:t>
            </w:r>
          </w:p>
          <w:p w14:paraId="2009D191" w14:textId="0B458E51" w:rsidR="00072690" w:rsidRPr="00106810" w:rsidRDefault="2FBFA840" w:rsidP="00895EA5">
            <w:pPr>
              <w:pStyle w:val="ListParagraph"/>
              <w:numPr>
                <w:ilvl w:val="0"/>
                <w:numId w:val="30"/>
              </w:numPr>
              <w:spacing w:before="120" w:after="120"/>
              <w:jc w:val="both"/>
              <w:rPr>
                <w:rFonts w:ascii="Times New Roman" w:eastAsia="Times New Roman" w:hAnsi="Times New Roman" w:cs="Times New Roman"/>
                <w:noProof/>
                <w:sz w:val="24"/>
                <w:lang w:val="sl-SI"/>
              </w:rPr>
            </w:pPr>
            <w:bookmarkStart w:id="18" w:name="_Hlk130914910"/>
            <w:r w:rsidRPr="00106810">
              <w:rPr>
                <w:rFonts w:ascii="Times New Roman" w:hAnsi="Times New Roman"/>
                <w:noProof/>
                <w:sz w:val="24"/>
                <w:lang w:val="sl-SI"/>
              </w:rPr>
              <w:t xml:space="preserve">Zagotoviti podporo za razvoj in priznavanje </w:t>
            </w:r>
            <w:r w:rsidRPr="00106810">
              <w:rPr>
                <w:rFonts w:ascii="Times New Roman" w:hAnsi="Times New Roman"/>
                <w:b/>
                <w:bCs/>
                <w:noProof/>
                <w:sz w:val="24"/>
                <w:lang w:val="sl-SI"/>
              </w:rPr>
              <w:t>mikrodokazil</w:t>
            </w:r>
            <w:r w:rsidRPr="00106810">
              <w:rPr>
                <w:rFonts w:ascii="Times New Roman" w:hAnsi="Times New Roman"/>
                <w:noProof/>
                <w:sz w:val="24"/>
                <w:lang w:val="sl-SI"/>
              </w:rPr>
              <w:t xml:space="preserve"> za učenje na področju kibernetske varnosti v skladu s priporočilom Sveta o evropskem pristopu k mikrodokazilom.</w:t>
            </w:r>
          </w:p>
          <w:p w14:paraId="3D8EB9F6" w14:textId="06717513" w:rsidR="00C11AD6" w:rsidRPr="00106810" w:rsidRDefault="2FBFA840" w:rsidP="00895EA5">
            <w:pPr>
              <w:pStyle w:val="ListParagraph"/>
              <w:numPr>
                <w:ilvl w:val="0"/>
                <w:numId w:val="30"/>
              </w:numPr>
              <w:spacing w:before="120" w:after="12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Vključiti kvalifikacije in mikrodokazila na področju kibernetske varnosti v </w:t>
            </w:r>
            <w:r w:rsidRPr="00106810">
              <w:rPr>
                <w:rFonts w:ascii="Times New Roman" w:hAnsi="Times New Roman"/>
                <w:b/>
                <w:bCs/>
                <w:noProof/>
                <w:sz w:val="24"/>
                <w:lang w:val="sl-SI"/>
              </w:rPr>
              <w:t>nacionalna ogrodja kvalifikacij</w:t>
            </w:r>
            <w:r w:rsidRPr="00106810">
              <w:rPr>
                <w:rFonts w:ascii="Times New Roman" w:hAnsi="Times New Roman"/>
                <w:noProof/>
                <w:sz w:val="24"/>
                <w:lang w:val="sl-SI"/>
              </w:rPr>
              <w:t>.</w:t>
            </w:r>
          </w:p>
          <w:bookmarkEnd w:id="18"/>
          <w:p w14:paraId="6F4AE4B6" w14:textId="0B72124B" w:rsidR="209AAD59" w:rsidRPr="00106810" w:rsidRDefault="209AAD59" w:rsidP="726DB5C3">
            <w:pPr>
              <w:pStyle w:val="ListParagraph"/>
              <w:numPr>
                <w:ilvl w:val="0"/>
                <w:numId w:val="30"/>
              </w:numPr>
              <w:spacing w:before="120" w:after="12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Zagotoviti </w:t>
            </w:r>
            <w:r w:rsidRPr="00106810">
              <w:rPr>
                <w:rFonts w:ascii="Times New Roman" w:hAnsi="Times New Roman"/>
                <w:b/>
                <w:bCs/>
                <w:noProof/>
                <w:sz w:val="24"/>
                <w:lang w:val="sl-SI"/>
              </w:rPr>
              <w:t>priložnosti za učenje na delovnem mestu</w:t>
            </w:r>
            <w:r w:rsidRPr="00106810">
              <w:rPr>
                <w:rFonts w:ascii="Times New Roman" w:hAnsi="Times New Roman"/>
                <w:noProof/>
                <w:sz w:val="24"/>
                <w:lang w:val="sl-SI"/>
              </w:rPr>
              <w:t xml:space="preserve"> v obliki vajeništva za osebe, ki so vključene v pobude za razvoj kibernetskovarnostnih veščin.</w:t>
            </w:r>
          </w:p>
          <w:p w14:paraId="062EEFE2" w14:textId="77777777" w:rsidR="00831F29" w:rsidRPr="00106810" w:rsidRDefault="00831F29">
            <w:pPr>
              <w:spacing w:before="120" w:after="120"/>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Komisija</w:t>
            </w:r>
          </w:p>
          <w:p w14:paraId="5257197E" w14:textId="165980A2" w:rsidR="00C11AD6" w:rsidRPr="00106810" w:rsidRDefault="00BE1508" w:rsidP="00895EA5">
            <w:pPr>
              <w:pStyle w:val="ListParagraph"/>
              <w:numPr>
                <w:ilvl w:val="0"/>
                <w:numId w:val="30"/>
              </w:numPr>
              <w:spacing w:before="120" w:after="120"/>
              <w:jc w:val="both"/>
              <w:rPr>
                <w:rFonts w:ascii="Times New Roman" w:eastAsia="Times New Roman" w:hAnsi="Times New Roman" w:cs="Times New Roman"/>
                <w:i/>
                <w:noProof/>
                <w:color w:val="000000" w:themeColor="text1"/>
                <w:sz w:val="24"/>
                <w:lang w:val="sl-SI"/>
              </w:rPr>
            </w:pPr>
            <w:r w:rsidRPr="00106810">
              <w:rPr>
                <w:rFonts w:ascii="Times New Roman" w:hAnsi="Times New Roman"/>
                <w:noProof/>
                <w:sz w:val="24"/>
                <w:lang w:val="sl-SI"/>
              </w:rPr>
              <w:t xml:space="preserve">Kratkoročno do konca leta 2023 prek </w:t>
            </w:r>
            <w:r w:rsidRPr="00106810">
              <w:rPr>
                <w:rFonts w:ascii="Times New Roman" w:hAnsi="Times New Roman"/>
                <w:b/>
                <w:bCs/>
                <w:noProof/>
                <w:sz w:val="24"/>
                <w:lang w:val="sl-SI"/>
              </w:rPr>
              <w:t>platforme za digitalne spretnosti in delovna mesta</w:t>
            </w:r>
            <w:r w:rsidRPr="00106810">
              <w:rPr>
                <w:rFonts w:ascii="Times New Roman" w:hAnsi="Times New Roman"/>
                <w:noProof/>
                <w:sz w:val="24"/>
                <w:lang w:val="sl-SI"/>
              </w:rPr>
              <w:t xml:space="preserve"> vzpostaviti </w:t>
            </w:r>
            <w:r w:rsidRPr="00106810">
              <w:rPr>
                <w:rFonts w:ascii="Times New Roman" w:hAnsi="Times New Roman"/>
                <w:b/>
                <w:bCs/>
                <w:noProof/>
                <w:sz w:val="24"/>
                <w:lang w:val="sl-SI"/>
              </w:rPr>
              <w:t>enotno vstopno točko</w:t>
            </w:r>
            <w:r w:rsidRPr="00106810">
              <w:rPr>
                <w:rFonts w:ascii="Times New Roman" w:hAnsi="Times New Roman"/>
                <w:noProof/>
                <w:sz w:val="24"/>
                <w:lang w:val="sl-SI"/>
              </w:rPr>
              <w:t xml:space="preserve"> za programe na področju kibernetske varnosti, obstoječa usposabljanja in certificiranja na področju kibernetske varnosti.</w:t>
            </w:r>
          </w:p>
          <w:p w14:paraId="39A373A0" w14:textId="460F17B1" w:rsidR="00831F29" w:rsidRPr="00106810" w:rsidRDefault="00831F29" w:rsidP="00895EA5">
            <w:pPr>
              <w:pStyle w:val="ListParagraph"/>
              <w:numPr>
                <w:ilvl w:val="0"/>
                <w:numId w:val="30"/>
              </w:numPr>
              <w:spacing w:before="120" w:after="120"/>
              <w:jc w:val="both"/>
              <w:rPr>
                <w:rFonts w:ascii="Times New Roman" w:eastAsia="Times New Roman" w:hAnsi="Times New Roman" w:cs="Times New Roman"/>
                <w:i/>
                <w:noProof/>
                <w:color w:val="000000" w:themeColor="text1"/>
                <w:sz w:val="24"/>
                <w:lang w:val="sl-SI"/>
              </w:rPr>
            </w:pPr>
            <w:r w:rsidRPr="00106810">
              <w:rPr>
                <w:rFonts w:ascii="Times New Roman" w:hAnsi="Times New Roman"/>
                <w:noProof/>
                <w:sz w:val="24"/>
                <w:lang w:val="sl-SI"/>
              </w:rPr>
              <w:t xml:space="preserve">18. aprila 2023 predlagati spremembo </w:t>
            </w:r>
            <w:r w:rsidRPr="00106810">
              <w:rPr>
                <w:rFonts w:ascii="Times New Roman" w:hAnsi="Times New Roman"/>
                <w:b/>
                <w:bCs/>
                <w:noProof/>
                <w:sz w:val="24"/>
                <w:lang w:val="sl-SI"/>
              </w:rPr>
              <w:t>Akta o kibernetski varnosti</w:t>
            </w:r>
            <w:r w:rsidRPr="00106810">
              <w:rPr>
                <w:rFonts w:ascii="Times New Roman" w:hAnsi="Times New Roman"/>
                <w:noProof/>
                <w:sz w:val="24"/>
                <w:lang w:val="sl-SI"/>
              </w:rPr>
              <w:t>, da se omogoči certificiranje ponudnikov upravljanih varnostnih storitev.</w:t>
            </w:r>
          </w:p>
          <w:p w14:paraId="6BF1EC4C" w14:textId="77777777" w:rsidR="00831F29" w:rsidRPr="00106810" w:rsidRDefault="00831F29">
            <w:pPr>
              <w:pStyle w:val="ListParagraph"/>
              <w:rPr>
                <w:rFonts w:ascii="Times New Roman" w:eastAsia="Times New Roman" w:hAnsi="Times New Roman" w:cs="Times New Roman"/>
                <w:b/>
                <w:noProof/>
                <w:sz w:val="24"/>
                <w:lang w:val="sl-SI"/>
              </w:rPr>
            </w:pPr>
          </w:p>
          <w:p w14:paraId="3B030D01" w14:textId="77777777" w:rsidR="00831F29" w:rsidRPr="00106810" w:rsidRDefault="00831F29">
            <w:pPr>
              <w:rPr>
                <w:rFonts w:ascii="Times New Roman" w:eastAsia="Times New Roman" w:hAnsi="Times New Roman" w:cs="Times New Roman"/>
                <w:b/>
                <w:noProof/>
                <w:sz w:val="24"/>
                <w:lang w:val="sl-SI"/>
              </w:rPr>
            </w:pPr>
            <w:bookmarkStart w:id="19" w:name="_Hlk130549251"/>
            <w:r w:rsidRPr="00106810">
              <w:rPr>
                <w:rFonts w:ascii="Times New Roman" w:hAnsi="Times New Roman"/>
                <w:b/>
                <w:noProof/>
                <w:sz w:val="24"/>
                <w:lang w:val="sl-SI"/>
              </w:rPr>
              <w:t>Organi, uradi in agencije EU</w:t>
            </w:r>
          </w:p>
          <w:p w14:paraId="7F16C0B1" w14:textId="6A723E75" w:rsidR="00831F29" w:rsidRPr="00106810" w:rsidRDefault="00831F29" w:rsidP="00895EA5">
            <w:pPr>
              <w:pStyle w:val="ListParagraph"/>
              <w:numPr>
                <w:ilvl w:val="0"/>
                <w:numId w:val="30"/>
              </w:numPr>
              <w:spacing w:before="120" w:after="12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Vzpostaviti </w:t>
            </w:r>
            <w:r w:rsidRPr="00106810">
              <w:rPr>
                <w:rFonts w:ascii="Times New Roman" w:hAnsi="Times New Roman"/>
                <w:b/>
                <w:bCs/>
                <w:noProof/>
                <w:sz w:val="24"/>
                <w:lang w:val="sl-SI"/>
              </w:rPr>
              <w:t>evropski okvir za kibernetskovarnostne veščine</w:t>
            </w:r>
            <w:r w:rsidRPr="00106810">
              <w:rPr>
                <w:rFonts w:ascii="Times New Roman" w:hAnsi="Times New Roman"/>
                <w:noProof/>
                <w:sz w:val="24"/>
                <w:lang w:val="sl-SI"/>
              </w:rPr>
              <w:t xml:space="preserve"> kot skupni pristop k profilom vlog na področju kibernetske varnosti ter s tem povezanim veščinam do konca leta 2023.</w:t>
            </w:r>
          </w:p>
          <w:p w14:paraId="2E9AFD92" w14:textId="0D2D3C51" w:rsidR="00895EA5" w:rsidRPr="00106810" w:rsidRDefault="330BBA8F" w:rsidP="00895EA5">
            <w:pPr>
              <w:pStyle w:val="ListParagraph"/>
              <w:numPr>
                <w:ilvl w:val="0"/>
                <w:numId w:val="30"/>
              </w:numPr>
              <w:spacing w:before="120" w:after="120" w:line="252" w:lineRule="auto"/>
              <w:jc w:val="both"/>
              <w:rPr>
                <w:rFonts w:ascii="Times New Roman" w:hAnsi="Times New Roman" w:cs="Times New Roman"/>
                <w:noProof/>
                <w:sz w:val="24"/>
                <w:lang w:val="sl-SI"/>
              </w:rPr>
            </w:pPr>
            <w:r w:rsidRPr="00106810">
              <w:rPr>
                <w:rFonts w:ascii="Times New Roman" w:hAnsi="Times New Roman"/>
                <w:noProof/>
                <w:sz w:val="24"/>
                <w:lang w:val="sl-SI"/>
              </w:rPr>
              <w:t xml:space="preserve">Agencija ENISA začne v drugem četrtletju 2023 razvijati pilotni projekt za vzpostavitev </w:t>
            </w:r>
            <w:r w:rsidRPr="00106810">
              <w:rPr>
                <w:rFonts w:ascii="Times New Roman" w:hAnsi="Times New Roman"/>
                <w:b/>
                <w:bCs/>
                <w:noProof/>
                <w:sz w:val="24"/>
                <w:lang w:val="sl-SI"/>
              </w:rPr>
              <w:t>evropskega sistema potrdil</w:t>
            </w:r>
            <w:r w:rsidRPr="00106810">
              <w:rPr>
                <w:rFonts w:ascii="Times New Roman" w:hAnsi="Times New Roman"/>
                <w:noProof/>
                <w:sz w:val="24"/>
                <w:lang w:val="sl-SI"/>
              </w:rPr>
              <w:t xml:space="preserve"> za kibernetskovarnostne veščine.</w:t>
            </w:r>
          </w:p>
          <w:p w14:paraId="12905557" w14:textId="053B2BA5" w:rsidR="00DC77E9" w:rsidRPr="00106810" w:rsidRDefault="566E7AD8" w:rsidP="00895EA5">
            <w:pPr>
              <w:pStyle w:val="ListParagraph"/>
              <w:numPr>
                <w:ilvl w:val="0"/>
                <w:numId w:val="30"/>
              </w:numPr>
              <w:spacing w:before="120" w:after="12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Agencija ENISA pregleda svoj </w:t>
            </w:r>
            <w:r w:rsidRPr="00106810">
              <w:rPr>
                <w:rFonts w:ascii="Times New Roman" w:hAnsi="Times New Roman"/>
                <w:b/>
                <w:bCs/>
                <w:noProof/>
                <w:sz w:val="24"/>
                <w:lang w:val="sl-SI"/>
              </w:rPr>
              <w:t>katalog tečajev</w:t>
            </w:r>
            <w:r w:rsidRPr="00106810">
              <w:rPr>
                <w:rFonts w:ascii="Times New Roman" w:hAnsi="Times New Roman"/>
                <w:noProof/>
                <w:sz w:val="24"/>
                <w:lang w:val="sl-SI"/>
              </w:rPr>
              <w:t xml:space="preserve"> ter do konca leta 2023 omogoči, da se v njen </w:t>
            </w:r>
            <w:r w:rsidRPr="00106810">
              <w:rPr>
                <w:rFonts w:ascii="Times New Roman" w:hAnsi="Times New Roman"/>
                <w:b/>
                <w:bCs/>
                <w:noProof/>
                <w:sz w:val="24"/>
                <w:lang w:val="sl-SI"/>
              </w:rPr>
              <w:t>program „usposabljanja izvajalcev usposabljanja“</w:t>
            </w:r>
            <w:r w:rsidRPr="00106810">
              <w:rPr>
                <w:rFonts w:ascii="Times New Roman" w:hAnsi="Times New Roman"/>
                <w:noProof/>
                <w:sz w:val="24"/>
                <w:lang w:val="sl-SI"/>
              </w:rPr>
              <w:t xml:space="preserve"> vključijo javni in zasebni kritični izvajalci. </w:t>
            </w:r>
          </w:p>
          <w:p w14:paraId="2AB4B7EB" w14:textId="6110FA5C" w:rsidR="00DF134D" w:rsidRPr="00106810" w:rsidRDefault="00831F29" w:rsidP="00895EA5">
            <w:pPr>
              <w:pStyle w:val="ListParagraph"/>
              <w:numPr>
                <w:ilvl w:val="0"/>
                <w:numId w:val="30"/>
              </w:numPr>
              <w:spacing w:before="120" w:after="12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Končati </w:t>
            </w:r>
            <w:r w:rsidRPr="00106810">
              <w:rPr>
                <w:rFonts w:ascii="Times New Roman" w:hAnsi="Times New Roman"/>
                <w:b/>
                <w:bCs/>
                <w:noProof/>
                <w:sz w:val="24"/>
                <w:lang w:val="sl-SI"/>
              </w:rPr>
              <w:t>usklajevanje</w:t>
            </w:r>
            <w:r w:rsidRPr="00106810">
              <w:rPr>
                <w:rFonts w:ascii="Times New Roman" w:hAnsi="Times New Roman"/>
                <w:noProof/>
                <w:sz w:val="24"/>
                <w:lang w:val="sl-SI"/>
              </w:rPr>
              <w:t xml:space="preserve"> </w:t>
            </w:r>
            <w:r w:rsidRPr="00106810">
              <w:rPr>
                <w:rFonts w:ascii="Times New Roman" w:hAnsi="Times New Roman"/>
                <w:b/>
                <w:bCs/>
                <w:noProof/>
                <w:sz w:val="24"/>
                <w:lang w:val="sl-SI"/>
              </w:rPr>
              <w:t>učnih načrtov EAVO</w:t>
            </w:r>
            <w:r w:rsidRPr="00106810">
              <w:rPr>
                <w:rFonts w:ascii="Times New Roman" w:hAnsi="Times New Roman"/>
                <w:noProof/>
                <w:sz w:val="24"/>
                <w:lang w:val="sl-SI"/>
              </w:rPr>
              <w:t xml:space="preserve"> </w:t>
            </w:r>
            <w:r w:rsidRPr="00106810">
              <w:rPr>
                <w:rFonts w:ascii="Times New Roman" w:hAnsi="Times New Roman"/>
                <w:b/>
                <w:bCs/>
                <w:noProof/>
                <w:sz w:val="24"/>
                <w:lang w:val="sl-SI"/>
              </w:rPr>
              <w:t>z</w:t>
            </w:r>
            <w:r w:rsidRPr="00106810">
              <w:rPr>
                <w:rFonts w:ascii="Times New Roman" w:hAnsi="Times New Roman"/>
                <w:noProof/>
                <w:sz w:val="24"/>
                <w:lang w:val="sl-SI"/>
              </w:rPr>
              <w:t xml:space="preserve"> </w:t>
            </w:r>
            <w:r w:rsidRPr="00106810">
              <w:rPr>
                <w:rFonts w:ascii="Times New Roman" w:hAnsi="Times New Roman"/>
                <w:b/>
                <w:bCs/>
                <w:noProof/>
                <w:sz w:val="24"/>
                <w:lang w:val="sl-SI"/>
              </w:rPr>
              <w:t>evropskim okvirom za kibernetskovarnostne veščine</w:t>
            </w:r>
            <w:r w:rsidRPr="00106810">
              <w:rPr>
                <w:rFonts w:ascii="Times New Roman" w:hAnsi="Times New Roman"/>
                <w:noProof/>
                <w:sz w:val="24"/>
                <w:lang w:val="sl-SI"/>
              </w:rPr>
              <w:t xml:space="preserve"> do sredine leta 2023. </w:t>
            </w:r>
            <w:bookmarkEnd w:id="19"/>
          </w:p>
        </w:tc>
      </w:tr>
    </w:tbl>
    <w:p w14:paraId="1A4662D6" w14:textId="77777777" w:rsidR="00831F29" w:rsidRPr="00106810" w:rsidRDefault="00831F29" w:rsidP="00831F29">
      <w:pPr>
        <w:spacing w:before="120" w:after="120" w:line="240" w:lineRule="auto"/>
        <w:rPr>
          <w:rFonts w:ascii="Times New Roman" w:eastAsia="Times New Roman" w:hAnsi="Times New Roman" w:cs="Times New Roman"/>
          <w:b/>
          <w:noProof/>
          <w:sz w:val="24"/>
          <w:lang w:val="sl-SI"/>
        </w:rPr>
      </w:pPr>
    </w:p>
    <w:p w14:paraId="194A5D46"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 xml:space="preserve">Vključenost deležnikov: zaveza za zapolnitev vrzeli v  kibernetskovarnostnih veščinah  </w:t>
      </w:r>
    </w:p>
    <w:p w14:paraId="0926E6B0" w14:textId="7CC3E903" w:rsidR="00831F29" w:rsidRPr="00106810" w:rsidRDefault="00831F29" w:rsidP="00831F29">
      <w:p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noProof/>
          <w:sz w:val="24"/>
          <w:lang w:val="sl-SI"/>
        </w:rPr>
        <w:t xml:space="preserve">V okviru akademije bo razvit usklajen pristop k vključevanju deležnikov za </w:t>
      </w:r>
      <w:r w:rsidR="006A5532">
        <w:rPr>
          <w:rFonts w:ascii="Times New Roman" w:hAnsi="Times New Roman"/>
          <w:noProof/>
          <w:sz w:val="24"/>
          <w:lang w:val="sl-SI"/>
        </w:rPr>
        <w:t>zapolnitev vrzeli v</w:t>
      </w:r>
      <w:r w:rsidRPr="00106810">
        <w:rPr>
          <w:rFonts w:ascii="Times New Roman" w:hAnsi="Times New Roman"/>
          <w:noProof/>
          <w:sz w:val="24"/>
          <w:lang w:val="sl-SI"/>
        </w:rPr>
        <w:t xml:space="preserve"> kibernetskovarnostnih veščin</w:t>
      </w:r>
      <w:r w:rsidR="006A5532">
        <w:rPr>
          <w:rFonts w:ascii="Times New Roman" w:hAnsi="Times New Roman"/>
          <w:noProof/>
          <w:sz w:val="24"/>
          <w:lang w:val="sl-SI"/>
        </w:rPr>
        <w:t>ah</w:t>
      </w:r>
      <w:r w:rsidRPr="00106810">
        <w:rPr>
          <w:rFonts w:ascii="Times New Roman" w:hAnsi="Times New Roman"/>
          <w:noProof/>
          <w:sz w:val="24"/>
          <w:lang w:val="sl-SI"/>
        </w:rPr>
        <w:t xml:space="preserve">. Cilj bo čim bolj povečati prepoznavnost in učinek zavez različnih deležnikov, namenjenih zmanjševanju </w:t>
      </w:r>
      <w:r w:rsidR="006A5532">
        <w:rPr>
          <w:rFonts w:ascii="Times New Roman" w:hAnsi="Times New Roman"/>
          <w:noProof/>
          <w:sz w:val="24"/>
          <w:lang w:val="sl-SI"/>
        </w:rPr>
        <w:t>vrzeli v</w:t>
      </w:r>
      <w:r w:rsidRPr="00106810">
        <w:rPr>
          <w:rFonts w:ascii="Times New Roman" w:hAnsi="Times New Roman"/>
          <w:noProof/>
          <w:sz w:val="24"/>
          <w:lang w:val="sl-SI"/>
        </w:rPr>
        <w:t xml:space="preserve"> kibernetskovarnostnih veščin</w:t>
      </w:r>
      <w:r w:rsidR="006A5532">
        <w:rPr>
          <w:rFonts w:ascii="Times New Roman" w:hAnsi="Times New Roman"/>
          <w:noProof/>
          <w:sz w:val="24"/>
          <w:lang w:val="sl-SI"/>
        </w:rPr>
        <w:t>ah</w:t>
      </w:r>
      <w:r w:rsidRPr="00106810">
        <w:rPr>
          <w:rFonts w:ascii="Times New Roman" w:hAnsi="Times New Roman"/>
          <w:noProof/>
          <w:sz w:val="24"/>
          <w:lang w:val="sl-SI"/>
        </w:rPr>
        <w:t xml:space="preserve">. </w:t>
      </w:r>
    </w:p>
    <w:p w14:paraId="3C96BE42" w14:textId="642001AA" w:rsidR="00C241B8" w:rsidRPr="00106810" w:rsidRDefault="566E7AD8" w:rsidP="726DB5C3">
      <w:pPr>
        <w:spacing w:before="120" w:after="120" w:line="240" w:lineRule="auto"/>
        <w:jc w:val="both"/>
        <w:rPr>
          <w:rFonts w:ascii="Times New Roman" w:hAnsi="Times New Roman" w:cs="Times New Roman"/>
          <w:noProof/>
          <w:sz w:val="24"/>
          <w:lang w:val="sl-SI"/>
        </w:rPr>
      </w:pPr>
      <w:r w:rsidRPr="00106810">
        <w:rPr>
          <w:rFonts w:ascii="Times New Roman" w:hAnsi="Times New Roman"/>
          <w:noProof/>
          <w:sz w:val="24"/>
          <w:lang w:val="sl-SI"/>
        </w:rPr>
        <w:t xml:space="preserve">Komisija poziva deležnike, naj se s konkretnimi zavezami obvežejo k izpopolnjevanju in preusposabljanju delavcev z namenskimi ukrepi, pri čemer naj se čim bolj oprejo na ugotovljeno vrzeli v  kibernetskovarnostnih veščinah. O takih </w:t>
      </w:r>
      <w:r w:rsidRPr="00106810">
        <w:rPr>
          <w:rFonts w:ascii="Times New Roman" w:hAnsi="Times New Roman"/>
          <w:b/>
          <w:bCs/>
          <w:noProof/>
          <w:sz w:val="24"/>
          <w:lang w:val="sl-SI"/>
        </w:rPr>
        <w:t>zavezah deležnikov glede kibernetske varnosti</w:t>
      </w:r>
      <w:r w:rsidRPr="00106810">
        <w:rPr>
          <w:rFonts w:ascii="Times New Roman" w:hAnsi="Times New Roman"/>
          <w:noProof/>
          <w:sz w:val="24"/>
          <w:lang w:val="sl-SI"/>
        </w:rPr>
        <w:t xml:space="preserve"> bi bilo treba poročati na </w:t>
      </w:r>
      <w:r w:rsidRPr="00106810">
        <w:rPr>
          <w:rFonts w:ascii="Times New Roman" w:hAnsi="Times New Roman"/>
          <w:b/>
          <w:bCs/>
          <w:noProof/>
          <w:sz w:val="24"/>
          <w:lang w:val="sl-SI"/>
        </w:rPr>
        <w:t>platformi za digitalne spretnosti in delovna mesta</w:t>
      </w:r>
      <w:r w:rsidRPr="00106810">
        <w:rPr>
          <w:rFonts w:ascii="Times New Roman" w:hAnsi="Times New Roman"/>
          <w:noProof/>
          <w:sz w:val="24"/>
          <w:lang w:val="sl-SI"/>
        </w:rPr>
        <w:t xml:space="preserve">, podobno kot o drugih digitalnih zavezah, ki so že vidne na platformi. Komisija nadalje spodbuja deležnike, ki so na platformi podali zavezo glede kibernetske varnosti, naj se pridružijo </w:t>
      </w:r>
      <w:r w:rsidRPr="00106810">
        <w:rPr>
          <w:rFonts w:ascii="Times New Roman" w:hAnsi="Times New Roman"/>
          <w:b/>
          <w:bCs/>
          <w:noProof/>
          <w:sz w:val="24"/>
          <w:lang w:val="sl-SI"/>
        </w:rPr>
        <w:t>obsežnemu digitalnemu partnerstvu v okviru Pakta za spretnosti</w:t>
      </w:r>
      <w:r w:rsidRPr="00106810">
        <w:rPr>
          <w:rStyle w:val="FootnoteReference"/>
          <w:rFonts w:ascii="Times New Roman" w:eastAsia="Times New Roman" w:hAnsi="Times New Roman" w:cs="Times New Roman"/>
          <w:noProof/>
          <w:sz w:val="24"/>
          <w:lang w:val="sl-SI"/>
        </w:rPr>
        <w:footnoteReference w:id="78"/>
      </w:r>
      <w:r w:rsidRPr="00106810">
        <w:rPr>
          <w:rFonts w:ascii="Times New Roman" w:hAnsi="Times New Roman"/>
          <w:noProof/>
          <w:sz w:val="24"/>
          <w:lang w:val="sl-SI"/>
        </w:rPr>
        <w:t>. Spodbuja se, da se zaveze glede kibernetske varnosti, sprejete v okviru obsežnega digitalnega partnerstva, predložijo na platformi za digitalne spretnosti in delovna mesta. Podobno se spodbuja, da se zaveze, sprejete v okviru platforme za digitalne spretnosti in delovna mesta, sporočijo v okviru obsežnega digitalnega partnerstva Pakta za spretnosti.</w:t>
      </w:r>
      <w:r w:rsidRPr="00106810">
        <w:rPr>
          <w:rFonts w:ascii="Times New Roman" w:hAnsi="Times New Roman"/>
          <w:noProof/>
          <w:color w:val="000000" w:themeColor="text1"/>
          <w:sz w:val="24"/>
          <w:lang w:val="sl-SI"/>
        </w:rPr>
        <w:t xml:space="preserve"> </w:t>
      </w:r>
    </w:p>
    <w:p w14:paraId="4905B3D3" w14:textId="0C8F9E3F" w:rsidR="00831F29" w:rsidRPr="00106810" w:rsidRDefault="566E7AD8" w:rsidP="726DB5C3">
      <w:pPr>
        <w:spacing w:before="120" w:after="120" w:line="240" w:lineRule="auto"/>
        <w:jc w:val="both"/>
        <w:rPr>
          <w:rStyle w:val="FootnoteReference"/>
          <w:rFonts w:ascii="Times New Roman" w:eastAsia="Times New Roman" w:hAnsi="Times New Roman" w:cs="Times New Roman"/>
          <w:noProof/>
          <w:sz w:val="24"/>
          <w:lang w:val="sl-SI"/>
        </w:rPr>
      </w:pPr>
      <w:r w:rsidRPr="00106810">
        <w:rPr>
          <w:rFonts w:ascii="Times New Roman" w:hAnsi="Times New Roman"/>
          <w:noProof/>
          <w:sz w:val="24"/>
          <w:lang w:val="sl-SI"/>
        </w:rPr>
        <w:t xml:space="preserve">Komisija nadalje poziva države članice, naj si </w:t>
      </w:r>
      <w:r w:rsidRPr="00106810">
        <w:rPr>
          <w:rFonts w:ascii="Times New Roman" w:hAnsi="Times New Roman"/>
          <w:b/>
          <w:bCs/>
          <w:noProof/>
          <w:sz w:val="24"/>
          <w:lang w:val="sl-SI"/>
        </w:rPr>
        <w:t>prizadevajo za izvajanje izjave o ženskah na digitalnem področju</w:t>
      </w:r>
      <w:r w:rsidRPr="00106810">
        <w:rPr>
          <w:rStyle w:val="FootnoteReference"/>
          <w:rFonts w:ascii="Times New Roman" w:eastAsia="Times New Roman" w:hAnsi="Times New Roman" w:cs="Times New Roman"/>
          <w:noProof/>
          <w:sz w:val="24"/>
          <w:lang w:val="sl-SI"/>
        </w:rPr>
        <w:footnoteReference w:id="79"/>
      </w:r>
      <w:r w:rsidRPr="00106810">
        <w:rPr>
          <w:rFonts w:ascii="Times New Roman" w:hAnsi="Times New Roman"/>
          <w:noProof/>
          <w:sz w:val="24"/>
          <w:lang w:val="sl-SI"/>
        </w:rPr>
        <w:t>, da bi se ženske spodbudile k dejavni in pomembni vlogi v sektorju digitalne tehnologije ter da bi se odpravile razlike med deležem žensk in moških na delovnih mestih na področju kibernetske varnosti.</w:t>
      </w:r>
      <w:r w:rsidRPr="00106810">
        <w:rPr>
          <w:rFonts w:ascii="Times New Roman" w:hAnsi="Times New Roman"/>
          <w:noProof/>
          <w:color w:val="000000" w:themeColor="text1"/>
          <w:sz w:val="24"/>
          <w:lang w:val="sl-SI"/>
        </w:rPr>
        <w:t xml:space="preserve"> </w:t>
      </w:r>
      <w:r w:rsidRPr="00106810">
        <w:rPr>
          <w:rFonts w:ascii="Times New Roman" w:hAnsi="Times New Roman"/>
          <w:noProof/>
          <w:sz w:val="24"/>
          <w:lang w:val="sl-SI"/>
        </w:rPr>
        <w:t xml:space="preserve">Komisija države članice prav tako spodbuja, naj razvijejo sinergije s svojimi programi </w:t>
      </w:r>
      <w:r w:rsidRPr="00106810">
        <w:rPr>
          <w:rFonts w:ascii="Times New Roman" w:hAnsi="Times New Roman"/>
          <w:b/>
          <w:bCs/>
          <w:noProof/>
          <w:sz w:val="24"/>
          <w:lang w:val="sl-SI"/>
        </w:rPr>
        <w:t>Evropskega socialnega sklada plus</w:t>
      </w:r>
      <w:r w:rsidRPr="00106810">
        <w:rPr>
          <w:rFonts w:ascii="Times New Roman" w:hAnsi="Times New Roman"/>
          <w:noProof/>
          <w:sz w:val="24"/>
          <w:lang w:val="sl-SI"/>
        </w:rPr>
        <w:t xml:space="preserve"> (ESS+), da bi dodatno podprle cilj enakosti spolov pri udeležbi na trgu dela</w:t>
      </w:r>
      <w:r w:rsidRPr="00106810">
        <w:rPr>
          <w:rStyle w:val="FootnoteReference"/>
          <w:rFonts w:ascii="Times New Roman" w:eastAsia="Times New Roman" w:hAnsi="Times New Roman" w:cs="Times New Roman"/>
          <w:noProof/>
          <w:color w:val="000000" w:themeColor="text1"/>
          <w:sz w:val="24"/>
          <w:lang w:val="sl-SI"/>
        </w:rPr>
        <w:footnoteReference w:id="80"/>
      </w:r>
      <w:r w:rsidRPr="00106810">
        <w:rPr>
          <w:rFonts w:ascii="Times New Roman" w:hAnsi="Times New Roman"/>
          <w:noProof/>
          <w:sz w:val="24"/>
          <w:lang w:val="sl-SI"/>
        </w:rPr>
        <w:t xml:space="preserve">, na primer z vzpostavitvijo </w:t>
      </w:r>
      <w:r w:rsidRPr="00106810">
        <w:rPr>
          <w:rFonts w:ascii="Times New Roman" w:hAnsi="Times New Roman"/>
          <w:b/>
          <w:bCs/>
          <w:noProof/>
          <w:sz w:val="24"/>
          <w:lang w:val="sl-SI"/>
        </w:rPr>
        <w:t>programov mentorstva za dekleta in ženske</w:t>
      </w:r>
      <w:r w:rsidRPr="00106810">
        <w:rPr>
          <w:rFonts w:ascii="Times New Roman" w:hAnsi="Times New Roman"/>
          <w:noProof/>
          <w:sz w:val="24"/>
          <w:lang w:val="sl-SI"/>
        </w:rPr>
        <w:t>.</w:t>
      </w:r>
      <w:r w:rsidRPr="00106810">
        <w:rPr>
          <w:rFonts w:ascii="Times New Roman" w:hAnsi="Times New Roman"/>
          <w:b/>
          <w:noProof/>
          <w:sz w:val="24"/>
          <w:lang w:val="sl-SI"/>
        </w:rPr>
        <w:t xml:space="preserve"> </w:t>
      </w:r>
      <w:r w:rsidRPr="00106810">
        <w:rPr>
          <w:rFonts w:ascii="Times New Roman" w:hAnsi="Times New Roman"/>
          <w:noProof/>
          <w:sz w:val="24"/>
          <w:lang w:val="sl-SI"/>
        </w:rPr>
        <w:t xml:space="preserve">S temi programi se lahko lažje pridobijo vzorniki, ki bi dekleta pritegnili k poklicem na področju kibernetske varnosti, hkrati pa bi se z njimi odpravljali spolni stereotipi. S temi programi se tudi spodbujajo izpopolnjevanje in preusposabljanje žensk ter razvoj skupnosti, ki lahko ženske podpira pri njihovem vstopu na trg dela na področju kibernetske varnosti ali pri napredovanju na njem. </w:t>
      </w:r>
    </w:p>
    <w:p w14:paraId="7AD07047" w14:textId="62A581D4" w:rsidR="00831F29" w:rsidRPr="00106810" w:rsidRDefault="566E7AD8" w:rsidP="00831F29">
      <w:pPr>
        <w:spacing w:line="252" w:lineRule="auto"/>
        <w:jc w:val="both"/>
        <w:rPr>
          <w:rFonts w:ascii="Times New Roman" w:eastAsia="Times"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Države članice bi morale v okviru svojih </w:t>
      </w:r>
      <w:r w:rsidRPr="00106810">
        <w:rPr>
          <w:rFonts w:ascii="Times New Roman" w:hAnsi="Times New Roman"/>
          <w:b/>
          <w:bCs/>
          <w:noProof/>
          <w:color w:val="000000" w:themeColor="text1"/>
          <w:sz w:val="24"/>
          <w:lang w:val="sl-SI"/>
        </w:rPr>
        <w:t>nacionalnih strategij za kibernetsko varnost</w:t>
      </w:r>
      <w:r w:rsidRPr="00106810">
        <w:rPr>
          <w:rFonts w:ascii="Times New Roman" w:hAnsi="Times New Roman"/>
          <w:noProof/>
          <w:color w:val="000000" w:themeColor="text1"/>
          <w:sz w:val="24"/>
          <w:lang w:val="sl-SI"/>
        </w:rPr>
        <w:t xml:space="preserve"> </w:t>
      </w:r>
      <w:r w:rsidRPr="00106810">
        <w:rPr>
          <w:rFonts w:ascii="Times New Roman" w:hAnsi="Times New Roman"/>
          <w:b/>
          <w:bCs/>
          <w:noProof/>
          <w:color w:val="000000" w:themeColor="text1"/>
          <w:sz w:val="24"/>
          <w:lang w:val="sl-SI"/>
        </w:rPr>
        <w:t>sprejeti posebne ukrepe, s katerimi bi ublažile pomanjkanje kibernetskovarnostnih veščin</w:t>
      </w:r>
      <w:r w:rsidRPr="00106810">
        <w:rPr>
          <w:rStyle w:val="FootnoteReference"/>
          <w:rFonts w:ascii="Times New Roman" w:eastAsia="Times New Roman" w:hAnsi="Times New Roman" w:cs="Times New Roman"/>
          <w:noProof/>
          <w:sz w:val="24"/>
          <w:lang w:val="sl-SI"/>
        </w:rPr>
        <w:footnoteReference w:id="81"/>
      </w:r>
      <w:r w:rsidRPr="00106810">
        <w:rPr>
          <w:rFonts w:ascii="Times New Roman" w:hAnsi="Times New Roman"/>
          <w:noProof/>
          <w:color w:val="000000" w:themeColor="text1"/>
          <w:sz w:val="24"/>
          <w:lang w:val="sl-SI"/>
        </w:rPr>
        <w:t>, opredelile in bolje usmerjale prizadevanja za zapolnitev vrzeli v veščinah ter nazadnje zagotovile ustrezno izvajanje svojih obveznosti iz direktive NIS 2.</w:t>
      </w:r>
    </w:p>
    <w:p w14:paraId="297050B3" w14:textId="608B75B0" w:rsidR="00831F29" w:rsidRPr="00106810" w:rsidRDefault="566E7AD8" w:rsidP="00831F29">
      <w:pPr>
        <w:spacing w:before="120" w:after="120" w:line="240" w:lineRule="auto"/>
        <w:jc w:val="both"/>
        <w:rPr>
          <w:rFonts w:ascii="Times New Roman" w:eastAsia="Times" w:hAnsi="Times New Roman" w:cs="Times New Roman"/>
          <w:noProof/>
          <w:color w:val="000000" w:themeColor="text1"/>
          <w:sz w:val="24"/>
          <w:lang w:val="sl-SI"/>
        </w:rPr>
      </w:pPr>
      <w:bookmarkStart w:id="20" w:name="_Hlk131068487"/>
      <w:r w:rsidRPr="00106810">
        <w:rPr>
          <w:rFonts w:ascii="Times New Roman" w:hAnsi="Times New Roman"/>
          <w:noProof/>
          <w:color w:val="000000" w:themeColor="text1"/>
          <w:sz w:val="24"/>
          <w:lang w:val="sl-SI"/>
        </w:rPr>
        <w:t xml:space="preserve">Nekatere države članice izkoriščajo </w:t>
      </w:r>
      <w:r w:rsidRPr="00106810">
        <w:rPr>
          <w:rFonts w:ascii="Times New Roman" w:hAnsi="Times New Roman"/>
          <w:b/>
          <w:bCs/>
          <w:noProof/>
          <w:color w:val="000000" w:themeColor="text1"/>
          <w:sz w:val="24"/>
          <w:lang w:val="sl-SI"/>
        </w:rPr>
        <w:t>sinergije med civilnimi in obrambnimi pobudami ter pobudami na področju kazenskega pregona</w:t>
      </w:r>
      <w:r w:rsidRPr="00106810">
        <w:rPr>
          <w:rFonts w:ascii="Times New Roman" w:hAnsi="Times New Roman"/>
          <w:noProof/>
          <w:color w:val="000000" w:themeColor="text1"/>
          <w:sz w:val="24"/>
          <w:lang w:val="sl-SI"/>
        </w:rPr>
        <w:t>. Na primer z razvojem delovne sile na podlagi nacionalnega obveznega služenja vojaškega roka ali z vključitvijo kibernetskih rezervistov, ki so vojaško usposobljeni državljani na položajih na področju kibernetske varnosti v oboroženih silah</w:t>
      </w:r>
      <w:r w:rsidRPr="00106810">
        <w:rPr>
          <w:rStyle w:val="FootnoteReference"/>
          <w:rFonts w:ascii="Times New Roman" w:eastAsia="Times New Roman" w:hAnsi="Times New Roman" w:cs="Times New Roman"/>
          <w:noProof/>
          <w:sz w:val="24"/>
          <w:lang w:val="sl-SI"/>
        </w:rPr>
        <w:footnoteReference w:id="82"/>
      </w:r>
      <w:r w:rsidRPr="00106810">
        <w:rPr>
          <w:rFonts w:ascii="Times New Roman" w:hAnsi="Times New Roman"/>
          <w:noProof/>
          <w:color w:val="000000" w:themeColor="text1"/>
          <w:sz w:val="24"/>
          <w:lang w:val="sl-SI"/>
        </w:rPr>
        <w:t xml:space="preserve">, se prebivalcem, zlasti mladim odraslim, omogoči izboljšanje veščin na področju kibernetske varnosti in kibernetske obrambe.  Enako velja za področje </w:t>
      </w:r>
      <w:r w:rsidRPr="00106810">
        <w:rPr>
          <w:rFonts w:ascii="Times New Roman" w:hAnsi="Times New Roman"/>
          <w:b/>
          <w:bCs/>
          <w:noProof/>
          <w:color w:val="000000" w:themeColor="text1"/>
          <w:sz w:val="24"/>
          <w:lang w:val="sl-SI"/>
        </w:rPr>
        <w:t>boja proti kibernetski kriminaliteti</w:t>
      </w:r>
      <w:r w:rsidRPr="00106810">
        <w:rPr>
          <w:rFonts w:ascii="Times New Roman" w:hAnsi="Times New Roman"/>
          <w:noProof/>
          <w:color w:val="000000" w:themeColor="text1"/>
          <w:sz w:val="24"/>
          <w:lang w:val="sl-SI"/>
        </w:rPr>
        <w:t xml:space="preserve">, saj so si splošna prizadevanja na področju kibernetske varnosti in dejavnosti kazenskega pregona pri odzivanju na kibernetskovarnostne incidente v marsičem podobni.  Komisija spodbuja razprave o takih pobudah med državami članicami ter jih poziva, naj ocenijo, kako lahko usposobljena delovna sila najbolje služi obrambnim in civilnim skupnostim za kibernetsko varnost. </w:t>
      </w:r>
    </w:p>
    <w:bookmarkEnd w:id="20"/>
    <w:p w14:paraId="54D4B513" w14:textId="655D9644" w:rsidR="00831F29" w:rsidRPr="00106810" w:rsidDel="00822210" w:rsidRDefault="00831F29" w:rsidP="00831F29">
      <w:pPr>
        <w:spacing w:before="120" w:after="120" w:line="240" w:lineRule="auto"/>
        <w:jc w:val="both"/>
        <w:rPr>
          <w:rFonts w:ascii="Times New Roman" w:eastAsia="Times" w:hAnsi="Times New Roman" w:cs="Times New Roman"/>
          <w:noProof/>
          <w:sz w:val="24"/>
          <w:lang w:val="sl-SI"/>
        </w:rPr>
      </w:pPr>
      <w:r w:rsidRPr="00106810">
        <w:rPr>
          <w:rFonts w:ascii="Times New Roman" w:hAnsi="Times New Roman"/>
          <w:noProof/>
          <w:color w:val="000000" w:themeColor="text1"/>
          <w:sz w:val="24"/>
          <w:lang w:val="sl-SI"/>
        </w:rPr>
        <w:t xml:space="preserve">Komisija bo razmislila o predlogih glede tega, kako odpraviti sedanje in pričakovane vrzeli , ki so bile ugotovljene pri njenem pregledu potreb institucij, organov, uradov in agencij EU. Zlasti bo spodbujala osebje, naj izkoristi prihodnja </w:t>
      </w:r>
      <w:r w:rsidRPr="00106810">
        <w:rPr>
          <w:rFonts w:ascii="Times New Roman" w:hAnsi="Times New Roman"/>
          <w:b/>
          <w:bCs/>
          <w:noProof/>
          <w:color w:val="000000" w:themeColor="text1"/>
          <w:sz w:val="24"/>
          <w:lang w:val="sl-SI"/>
        </w:rPr>
        <w:t>nepovratna sredstva za kibernetsko varnost EU-Združene države Amerika (ZDA)</w:t>
      </w:r>
      <w:r w:rsidRPr="00106810">
        <w:rPr>
          <w:rFonts w:ascii="Times New Roman" w:hAnsi="Times New Roman"/>
          <w:noProof/>
          <w:color w:val="000000" w:themeColor="text1"/>
          <w:sz w:val="24"/>
          <w:lang w:val="sl-SI"/>
        </w:rPr>
        <w:t>, vzpostavljena v okviru dialoga med EU in ZDA.</w:t>
      </w:r>
    </w:p>
    <w:tbl>
      <w:tblPr>
        <w:tblStyle w:val="TableGrid"/>
        <w:tblW w:w="0" w:type="auto"/>
        <w:tblLayout w:type="fixed"/>
        <w:tblLook w:val="06A0" w:firstRow="1" w:lastRow="0" w:firstColumn="1" w:lastColumn="0" w:noHBand="1" w:noVBand="1"/>
      </w:tblPr>
      <w:tblGrid>
        <w:gridCol w:w="9360"/>
      </w:tblGrid>
      <w:tr w:rsidR="00831F29" w:rsidRPr="00106810" w14:paraId="3EF4EB8C" w14:textId="77777777" w:rsidTr="726DB5C3">
        <w:trPr>
          <w:trHeight w:val="300"/>
        </w:trPr>
        <w:tc>
          <w:tcPr>
            <w:tcW w:w="9360" w:type="dxa"/>
          </w:tcPr>
          <w:p w14:paraId="7F336FC4" w14:textId="77777777" w:rsidR="00831F29" w:rsidRPr="00106810" w:rsidRDefault="566E7AD8" w:rsidP="726DB5C3">
            <w:pPr>
              <w:spacing w:before="120" w:after="120"/>
              <w:jc w:val="both"/>
              <w:rPr>
                <w:rFonts w:ascii="Times New Roman" w:eastAsia="Times New Roman" w:hAnsi="Times New Roman" w:cs="Times New Roman"/>
                <w:b/>
                <w:noProof/>
                <w:color w:val="000000" w:themeColor="text1"/>
                <w:sz w:val="24"/>
                <w:u w:val="single"/>
                <w:lang w:val="sl-SI"/>
              </w:rPr>
            </w:pPr>
            <w:r w:rsidRPr="00106810">
              <w:rPr>
                <w:rFonts w:ascii="Times New Roman" w:hAnsi="Times New Roman"/>
                <w:b/>
                <w:noProof/>
                <w:color w:val="000000" w:themeColor="text1"/>
                <w:sz w:val="24"/>
                <w:u w:val="single"/>
                <w:lang w:val="sl-SI"/>
              </w:rPr>
              <w:t>Ukrepi v okviru akademije</w:t>
            </w:r>
            <w:r w:rsidRPr="00106810">
              <w:rPr>
                <w:rFonts w:ascii="Times New Roman" w:hAnsi="Times New Roman"/>
                <w:b/>
                <w:noProof/>
                <w:color w:val="000000" w:themeColor="text1"/>
                <w:sz w:val="24"/>
                <w:lang w:val="sl-SI"/>
              </w:rPr>
              <w:t xml:space="preserve"> </w:t>
            </w:r>
          </w:p>
          <w:p w14:paraId="7353B88C" w14:textId="77777777" w:rsidR="00831F29" w:rsidRPr="00106810" w:rsidRDefault="00831F29">
            <w:pPr>
              <w:spacing w:before="120" w:after="120"/>
              <w:jc w:val="both"/>
              <w:rPr>
                <w:rFonts w:ascii="Times New Roman" w:eastAsia="Times New Roman" w:hAnsi="Times New Roman" w:cs="Times New Roman"/>
                <w:noProof/>
                <w:color w:val="000000" w:themeColor="text1"/>
                <w:sz w:val="24"/>
                <w:lang w:val="sl-SI"/>
              </w:rPr>
            </w:pPr>
            <w:r w:rsidRPr="00106810">
              <w:rPr>
                <w:rFonts w:ascii="Times New Roman" w:hAnsi="Times New Roman"/>
                <w:b/>
                <w:noProof/>
                <w:color w:val="000000" w:themeColor="text1"/>
                <w:sz w:val="24"/>
                <w:lang w:val="sl-SI"/>
              </w:rPr>
              <w:t xml:space="preserve">Industrija </w:t>
            </w:r>
          </w:p>
          <w:p w14:paraId="6DDBC6EC" w14:textId="13094310" w:rsidR="00831F29" w:rsidRPr="00106810" w:rsidRDefault="00831F29">
            <w:pPr>
              <w:pStyle w:val="ListParagraph"/>
              <w:numPr>
                <w:ilvl w:val="0"/>
                <w:numId w:val="23"/>
              </w:numPr>
              <w:spacing w:before="120" w:after="120"/>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sz w:val="24"/>
                <w:lang w:val="sl-SI"/>
              </w:rPr>
              <w:t xml:space="preserve">Do 18. aprila 2023 predlagati posebne </w:t>
            </w:r>
            <w:r w:rsidRPr="00106810">
              <w:rPr>
                <w:rFonts w:ascii="Times New Roman" w:hAnsi="Times New Roman"/>
                <w:b/>
                <w:bCs/>
                <w:noProof/>
                <w:sz w:val="24"/>
                <w:lang w:val="sl-SI"/>
              </w:rPr>
              <w:t>zaveze glede kibernetske varnosti</w:t>
            </w:r>
            <w:r w:rsidRPr="00106810">
              <w:rPr>
                <w:rFonts w:ascii="Times New Roman" w:hAnsi="Times New Roman"/>
                <w:noProof/>
                <w:sz w:val="24"/>
                <w:lang w:val="sl-SI"/>
              </w:rPr>
              <w:t xml:space="preserve"> na platformi za digitalne spretnosti in delovna mesta.</w:t>
            </w:r>
          </w:p>
          <w:p w14:paraId="236B3383" w14:textId="77777777" w:rsidR="00831F29" w:rsidRPr="00106810" w:rsidRDefault="00831F29">
            <w:pPr>
              <w:spacing w:before="120" w:after="120"/>
              <w:jc w:val="both"/>
              <w:rPr>
                <w:rFonts w:ascii="Times New Roman" w:eastAsia="Times New Roman" w:hAnsi="Times New Roman" w:cs="Times New Roman"/>
                <w:b/>
                <w:noProof/>
                <w:color w:val="000000" w:themeColor="text1"/>
                <w:sz w:val="24"/>
                <w:lang w:val="sl-SI"/>
              </w:rPr>
            </w:pPr>
            <w:r w:rsidRPr="00106810">
              <w:rPr>
                <w:rFonts w:ascii="Times New Roman" w:hAnsi="Times New Roman"/>
                <w:b/>
                <w:noProof/>
                <w:color w:val="000000" w:themeColor="text1"/>
                <w:sz w:val="24"/>
                <w:lang w:val="sl-SI"/>
              </w:rPr>
              <w:t>Države članice</w:t>
            </w:r>
          </w:p>
          <w:p w14:paraId="62A3F218" w14:textId="751780C1" w:rsidR="00831F29" w:rsidRPr="00106810" w:rsidRDefault="00831F29">
            <w:pPr>
              <w:pStyle w:val="ListParagraph"/>
              <w:numPr>
                <w:ilvl w:val="0"/>
                <w:numId w:val="39"/>
              </w:numPr>
              <w:spacing w:before="120" w:after="120"/>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 V </w:t>
            </w:r>
            <w:r w:rsidRPr="00106810">
              <w:rPr>
                <w:rFonts w:ascii="Times New Roman" w:hAnsi="Times New Roman"/>
                <w:b/>
                <w:bCs/>
                <w:noProof/>
                <w:color w:val="000000" w:themeColor="text1"/>
                <w:sz w:val="24"/>
                <w:lang w:val="sl-SI"/>
              </w:rPr>
              <w:t>nacionalne strategije za kibernetsko varnost</w:t>
            </w:r>
            <w:r w:rsidRPr="00106810">
              <w:rPr>
                <w:rFonts w:ascii="Times New Roman" w:hAnsi="Times New Roman"/>
                <w:noProof/>
                <w:color w:val="000000" w:themeColor="text1"/>
                <w:sz w:val="24"/>
                <w:lang w:val="sl-SI"/>
              </w:rPr>
              <w:t xml:space="preserve"> vključiti posebne ukrepe za odpravo vrzeli v kibernetskovarnostnih veščinah.</w:t>
            </w:r>
          </w:p>
          <w:p w14:paraId="468B63D3" w14:textId="77777777" w:rsidR="00831F29" w:rsidRPr="00106810" w:rsidRDefault="00831F29">
            <w:pPr>
              <w:rPr>
                <w:rFonts w:ascii="Times New Roman" w:eastAsia="Times New Roman" w:hAnsi="Times New Roman" w:cs="Times New Roman"/>
                <w:b/>
                <w:noProof/>
                <w:color w:val="000000" w:themeColor="text1"/>
                <w:sz w:val="24"/>
                <w:lang w:val="sl-SI"/>
              </w:rPr>
            </w:pPr>
            <w:r w:rsidRPr="00106810">
              <w:rPr>
                <w:rFonts w:ascii="Times New Roman" w:hAnsi="Times New Roman"/>
                <w:b/>
                <w:noProof/>
                <w:color w:val="000000" w:themeColor="text1"/>
                <w:sz w:val="24"/>
                <w:lang w:val="sl-SI"/>
              </w:rPr>
              <w:t>Države članice in industrija</w:t>
            </w:r>
          </w:p>
          <w:p w14:paraId="6C817F13" w14:textId="33601FCD" w:rsidR="00831F29" w:rsidRPr="00106810" w:rsidRDefault="566E7AD8">
            <w:pPr>
              <w:pStyle w:val="ListParagraph"/>
              <w:numPr>
                <w:ilvl w:val="0"/>
                <w:numId w:val="39"/>
              </w:numPr>
              <w:spacing w:before="120" w:after="12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Izvajati izjavo o ženskah na digitalnem področju ter do leta 2030 </w:t>
            </w:r>
            <w:r w:rsidRPr="00106810">
              <w:rPr>
                <w:rFonts w:ascii="Times New Roman" w:hAnsi="Times New Roman"/>
                <w:b/>
                <w:bCs/>
                <w:noProof/>
                <w:sz w:val="24"/>
                <w:lang w:val="sl-SI"/>
              </w:rPr>
              <w:t>odpraviti razliko med deležem žensk in moških na delovnih mestih na področju kibernetske varnosti</w:t>
            </w:r>
            <w:r w:rsidRPr="00106810">
              <w:rPr>
                <w:rFonts w:ascii="Times New Roman" w:hAnsi="Times New Roman"/>
                <w:noProof/>
                <w:sz w:val="24"/>
                <w:lang w:val="sl-SI"/>
              </w:rPr>
              <w:t>.</w:t>
            </w:r>
          </w:p>
        </w:tc>
      </w:tr>
    </w:tbl>
    <w:p w14:paraId="54FD2636" w14:textId="77777777" w:rsidR="00831F29" w:rsidRPr="00106810" w:rsidRDefault="00831F29" w:rsidP="00831F29">
      <w:pPr>
        <w:spacing w:before="120" w:after="120" w:line="240" w:lineRule="auto"/>
        <w:jc w:val="both"/>
        <w:rPr>
          <w:rFonts w:ascii="Times New Roman" w:eastAsia="Times New Roman" w:hAnsi="Times New Roman" w:cs="Times New Roman"/>
          <w:noProof/>
          <w:color w:val="000000" w:themeColor="text1"/>
          <w:sz w:val="24"/>
          <w:lang w:val="sl-SI"/>
        </w:rPr>
      </w:pPr>
    </w:p>
    <w:p w14:paraId="0EAFC2FB"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Financiranje: vzpostavitev sinergij za čim večji učinek porabljenih sredstev za razvoj kibernetskovarnostnih veščin</w:t>
      </w:r>
    </w:p>
    <w:p w14:paraId="7E63B198" w14:textId="21E16B51" w:rsidR="00831F29" w:rsidRPr="00106810" w:rsidRDefault="566E7AD8" w:rsidP="00831F29">
      <w:pPr>
        <w:spacing w:before="120" w:after="120" w:line="240" w:lineRule="auto"/>
        <w:jc w:val="both"/>
        <w:rPr>
          <w:rFonts w:ascii="Times New Roman" w:eastAsia="Times New Roman" w:hAnsi="Times New Roman" w:cs="Times New Roman"/>
          <w:b/>
          <w:noProof/>
          <w:sz w:val="24"/>
          <w:lang w:val="sl-SI"/>
        </w:rPr>
      </w:pPr>
      <w:r w:rsidRPr="00106810">
        <w:rPr>
          <w:rFonts w:ascii="Times New Roman" w:hAnsi="Times New Roman"/>
          <w:noProof/>
          <w:sz w:val="24"/>
          <w:lang w:val="sl-SI"/>
        </w:rPr>
        <w:t>V okviru akademije se bo čim bolj povečal učinek naložb v kibernetskovarnostne veščine, in sicer tako da se bo zagotovila skupna vstopna točka, omogočilo boljše usmerjanje sredstev k potrebam trga, spodbudila poraba sredstev in olajšale sinergije med različnimi instrumenti, hkrati pa preprečilo podvajanje prizadevanj</w:t>
      </w:r>
      <w:r w:rsidRPr="00106810">
        <w:rPr>
          <w:rStyle w:val="FootnoteReference"/>
          <w:rFonts w:ascii="Times New Roman" w:eastAsia="Times New Roman" w:hAnsi="Times New Roman" w:cs="Times New Roman"/>
          <w:noProof/>
          <w:color w:val="000000" w:themeColor="text1"/>
          <w:sz w:val="24"/>
          <w:lang w:val="sl-SI"/>
        </w:rPr>
        <w:footnoteReference w:id="83"/>
      </w:r>
      <w:r w:rsidRPr="00106810">
        <w:rPr>
          <w:rFonts w:ascii="Times New Roman" w:hAnsi="Times New Roman"/>
          <w:noProof/>
          <w:sz w:val="24"/>
          <w:lang w:val="sl-SI"/>
        </w:rPr>
        <w:t>.</w:t>
      </w:r>
    </w:p>
    <w:p w14:paraId="51A11A6A" w14:textId="77777777" w:rsidR="00831F29" w:rsidRPr="00106810" w:rsidRDefault="00831F29" w:rsidP="00831F29">
      <w:pPr>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 xml:space="preserve"> Usklajevanje sredstev s potrebami</w:t>
      </w:r>
    </w:p>
    <w:p w14:paraId="2C7F3AA3" w14:textId="208BAB89" w:rsidR="00831F29" w:rsidRPr="00106810" w:rsidRDefault="00831F29"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Evropski kompetenčni center za kibernetsko varnost bo v okviru akademije in ob podpori Komisije, projekta za podporo evropski skupnosti za kibernetsko varnost in nacionalnih koordinacijskih centrov zbiral </w:t>
      </w:r>
      <w:r w:rsidRPr="00106810">
        <w:rPr>
          <w:rFonts w:ascii="Times New Roman" w:hAnsi="Times New Roman"/>
          <w:b/>
          <w:bCs/>
          <w:noProof/>
          <w:color w:val="000000" w:themeColor="text1"/>
          <w:sz w:val="24"/>
          <w:lang w:val="sl-SI"/>
        </w:rPr>
        <w:t>informacije o tem, kako se s sredstvi EU financirajo kibernetskovarnostne veščine</w:t>
      </w:r>
      <w:r w:rsidRPr="00106810">
        <w:rPr>
          <w:rFonts w:ascii="Times New Roman" w:hAnsi="Times New Roman"/>
          <w:noProof/>
          <w:color w:val="000000" w:themeColor="text1"/>
          <w:sz w:val="24"/>
          <w:lang w:val="sl-SI"/>
        </w:rPr>
        <w:t xml:space="preserve">, ter ocenil, kako se s temi sredstvi podpira zmanjševanje vrzeli v teh veščinah. Ob upoštevanju teh zbranih informacij si bo Evropski kompetenčni center za kibernetsko varnost prizadeval zagotoviti boljše usmerjanje sredstev EU k ugotovljenim potrebam. Financiral bo ukrepe, s katerimi se bodo zapolnila najpomembnejše vrzelipri delovni sil na področju kibernetske varnosti, tudi tista, ki so povezana z izpolnjevanjem potreb politike na področju kibernetske varnosti. </w:t>
      </w:r>
    </w:p>
    <w:p w14:paraId="27F948CC" w14:textId="004835D3" w:rsidR="00831F29" w:rsidRPr="00106810" w:rsidRDefault="566E7AD8" w:rsidP="726DB5C3">
      <w:pPr>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 xml:space="preserve"> Zagotavljanje prepoznavnosti razpoložljivih sredstev ter partnerskih pobud za kibernetskovarnostne veščine</w:t>
      </w:r>
    </w:p>
    <w:p w14:paraId="216A7BD3" w14:textId="15F08C19" w:rsidR="00831F29" w:rsidRPr="00106810" w:rsidRDefault="00831F29"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b/>
          <w:bCs/>
          <w:noProof/>
          <w:color w:val="000000" w:themeColor="text1"/>
          <w:sz w:val="24"/>
          <w:lang w:val="sl-SI"/>
        </w:rPr>
        <w:t>Platforma za digitalne spretnosti in delovna mesta</w:t>
      </w:r>
      <w:r w:rsidRPr="00106810">
        <w:rPr>
          <w:rFonts w:ascii="Times New Roman" w:hAnsi="Times New Roman"/>
          <w:noProof/>
          <w:color w:val="000000" w:themeColor="text1"/>
          <w:sz w:val="24"/>
          <w:lang w:val="sl-SI"/>
        </w:rPr>
        <w:t xml:space="preserve"> bo kratkoročno postala enotna vstopna točka za deležnike, kjer bodo na voljo vse informacije o priložnostih za financiranje za kibernetskovarnostne veščine. </w:t>
      </w:r>
    </w:p>
    <w:p w14:paraId="2C42AAA8" w14:textId="37B4BB51" w:rsidR="003019D2" w:rsidRPr="00106810" w:rsidRDefault="566E7AD8"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EU vlaga v ljudi ter njihova znanja in spretnosti ter uporablja zlasti partnerstva z industrijo, da izvaja ukrepe za izpopolnjevanje in preusposabljanje, pri čemer izkorišča več instrumentov, opredeljenih v </w:t>
      </w:r>
      <w:r w:rsidRPr="00106810">
        <w:rPr>
          <w:rFonts w:ascii="Times New Roman" w:hAnsi="Times New Roman"/>
          <w:b/>
          <w:bCs/>
          <w:noProof/>
          <w:color w:val="000000" w:themeColor="text1"/>
          <w:sz w:val="24"/>
          <w:lang w:val="sl-SI"/>
        </w:rPr>
        <w:t>evropskem programu znanj in spretnosti</w:t>
      </w:r>
      <w:r w:rsidRPr="00106810">
        <w:rPr>
          <w:rFonts w:ascii="Times New Roman" w:eastAsia="Times New Roman" w:hAnsi="Times New Roman" w:cs="Times New Roman"/>
          <w:noProof/>
          <w:color w:val="000000" w:themeColor="text1"/>
          <w:sz w:val="24"/>
          <w:vertAlign w:val="superscript"/>
          <w:lang w:val="sl-SI"/>
        </w:rPr>
        <w:footnoteReference w:id="84"/>
      </w:r>
      <w:r w:rsidRPr="00106810">
        <w:rPr>
          <w:rFonts w:ascii="Times New Roman" w:hAnsi="Times New Roman"/>
          <w:noProof/>
          <w:color w:val="000000" w:themeColor="text1"/>
          <w:sz w:val="24"/>
          <w:lang w:val="sl-SI"/>
        </w:rPr>
        <w:t xml:space="preserve">, zlasti </w:t>
      </w:r>
      <w:r w:rsidRPr="00106810">
        <w:rPr>
          <w:rFonts w:ascii="Times New Roman" w:hAnsi="Times New Roman"/>
          <w:b/>
          <w:bCs/>
          <w:noProof/>
          <w:color w:val="000000" w:themeColor="text1"/>
          <w:sz w:val="24"/>
          <w:lang w:val="sl-SI"/>
        </w:rPr>
        <w:t>Pakt za spretnosti</w:t>
      </w:r>
      <w:r w:rsidRPr="00106810">
        <w:rPr>
          <w:rFonts w:ascii="Times New Roman" w:eastAsia="Times New Roman" w:hAnsi="Times New Roman" w:cs="Times New Roman"/>
          <w:noProof/>
          <w:color w:val="000000" w:themeColor="text1"/>
          <w:sz w:val="24"/>
          <w:vertAlign w:val="superscript"/>
          <w:lang w:val="sl-SI"/>
        </w:rPr>
        <w:footnoteReference w:id="85"/>
      </w:r>
      <w:r w:rsidRPr="00106810">
        <w:rPr>
          <w:rFonts w:ascii="Times New Roman" w:hAnsi="Times New Roman"/>
          <w:noProof/>
          <w:color w:val="000000" w:themeColor="text1"/>
          <w:sz w:val="24"/>
          <w:lang w:val="sl-SI"/>
        </w:rPr>
        <w:t xml:space="preserve"> ter </w:t>
      </w:r>
      <w:r w:rsidRPr="00106810">
        <w:rPr>
          <w:rFonts w:ascii="Times New Roman" w:hAnsi="Times New Roman"/>
          <w:b/>
          <w:bCs/>
          <w:noProof/>
          <w:color w:val="000000" w:themeColor="text1"/>
          <w:sz w:val="24"/>
          <w:lang w:val="sl-SI"/>
        </w:rPr>
        <w:t>akcijski načrt za digitalno izobraževanje</w:t>
      </w:r>
      <w:r w:rsidRPr="00106810">
        <w:rPr>
          <w:rStyle w:val="FootnoteReference"/>
          <w:rFonts w:ascii="Times New Roman" w:eastAsia="Times New Roman" w:hAnsi="Times New Roman" w:cs="Times New Roman"/>
          <w:noProof/>
          <w:color w:val="000000" w:themeColor="text1"/>
          <w:sz w:val="24"/>
          <w:lang w:val="sl-SI"/>
        </w:rPr>
        <w:footnoteReference w:id="86"/>
      </w:r>
      <w:r w:rsidRPr="00106810">
        <w:rPr>
          <w:rFonts w:ascii="Times New Roman" w:hAnsi="Times New Roman"/>
          <w:noProof/>
          <w:color w:val="000000" w:themeColor="text1"/>
          <w:sz w:val="24"/>
          <w:lang w:val="sl-SI"/>
        </w:rPr>
        <w:t xml:space="preserve">. S </w:t>
      </w:r>
      <w:r w:rsidRPr="00106810">
        <w:rPr>
          <w:rFonts w:ascii="Times New Roman" w:hAnsi="Times New Roman"/>
          <w:b/>
          <w:bCs/>
          <w:noProof/>
          <w:color w:val="000000" w:themeColor="text1"/>
          <w:sz w:val="24"/>
          <w:lang w:val="sl-SI"/>
        </w:rPr>
        <w:t>programom Digitalna Evropa</w:t>
      </w:r>
      <w:r w:rsidRPr="00106810">
        <w:rPr>
          <w:rFonts w:ascii="Times New Roman" w:hAnsi="Times New Roman"/>
          <w:noProof/>
          <w:color w:val="000000" w:themeColor="text1"/>
          <w:sz w:val="24"/>
          <w:lang w:val="sl-SI"/>
        </w:rPr>
        <w:t xml:space="preserve"> se financirajo priložnosti za kibernetskovarnostne veščine, zlasti s pobudami za večdržavne projekte ob jasnem dopolnjevanju s podporo iz programa Obzorje Evropa za raziskave in inovativne tehnološke rešitve na področju kibernetske varnosti. Iz</w:t>
      </w:r>
      <w:r w:rsidRPr="00106810">
        <w:rPr>
          <w:rFonts w:ascii="Times New Roman" w:hAnsi="Times New Roman"/>
          <w:b/>
          <w:bCs/>
          <w:noProof/>
          <w:color w:val="000000" w:themeColor="text1"/>
          <w:sz w:val="24"/>
          <w:lang w:val="sl-SI"/>
        </w:rPr>
        <w:t xml:space="preserve"> Evropskega obrambnega sklada</w:t>
      </w:r>
      <w:r w:rsidRPr="00106810">
        <w:rPr>
          <w:rStyle w:val="FootnoteReference"/>
          <w:rFonts w:ascii="Times New Roman" w:eastAsia="Times New Roman" w:hAnsi="Times New Roman" w:cs="Times New Roman"/>
          <w:noProof/>
          <w:color w:val="000000" w:themeColor="text1"/>
          <w:sz w:val="24"/>
          <w:lang w:val="sl-SI"/>
        </w:rPr>
        <w:footnoteReference w:id="87"/>
      </w:r>
      <w:r w:rsidRPr="00106810">
        <w:rPr>
          <w:rFonts w:ascii="Times New Roman" w:hAnsi="Times New Roman"/>
          <w:noProof/>
          <w:color w:val="000000" w:themeColor="text1"/>
          <w:sz w:val="24"/>
          <w:lang w:val="sl-SI"/>
        </w:rPr>
        <w:t xml:space="preserve"> se financirajo raziskave in tehnološki razvoj za izvajanje učinkovitih kibernetskih operacij, vključno z usposabljanji in vajami</w:t>
      </w:r>
      <w:r w:rsidRPr="00106810">
        <w:rPr>
          <w:rStyle w:val="FootnoteReference"/>
          <w:rFonts w:ascii="Times New Roman" w:eastAsia="Times New Roman" w:hAnsi="Times New Roman" w:cs="Times New Roman"/>
          <w:noProof/>
          <w:color w:val="000000" w:themeColor="text1"/>
          <w:sz w:val="24"/>
          <w:lang w:val="sl-SI"/>
        </w:rPr>
        <w:footnoteReference w:id="88"/>
      </w:r>
      <w:r w:rsidRPr="00106810">
        <w:rPr>
          <w:rFonts w:ascii="Times New Roman" w:hAnsi="Times New Roman"/>
          <w:noProof/>
          <w:color w:val="000000" w:themeColor="text1"/>
          <w:sz w:val="24"/>
          <w:lang w:val="sl-SI"/>
        </w:rPr>
        <w:t xml:space="preserve">. Take pobude se bodo še naprej podpirale s </w:t>
      </w:r>
      <w:r w:rsidRPr="00106810">
        <w:rPr>
          <w:rFonts w:ascii="Times New Roman" w:hAnsi="Times New Roman"/>
          <w:b/>
          <w:bCs/>
          <w:noProof/>
          <w:color w:val="000000" w:themeColor="text1"/>
          <w:sz w:val="24"/>
          <w:lang w:val="sl-SI"/>
        </w:rPr>
        <w:t>programom Erasmus+</w:t>
      </w:r>
      <w:r w:rsidRPr="00106810">
        <w:rPr>
          <w:rFonts w:ascii="Times New Roman" w:hAnsi="Times New Roman"/>
          <w:noProof/>
          <w:color w:val="000000" w:themeColor="text1"/>
          <w:sz w:val="24"/>
          <w:lang w:val="sl-SI"/>
        </w:rPr>
        <w:t>, tudi s kombiniranimi intenzivnimi programi in projekti sodelovanja.</w:t>
      </w:r>
    </w:p>
    <w:p w14:paraId="7024160E" w14:textId="24D5D46E" w:rsidR="00831F29" w:rsidRPr="00106810" w:rsidRDefault="566E7AD8" w:rsidP="00831F29">
      <w:pPr>
        <w:spacing w:before="120" w:after="120" w:line="240" w:lineRule="auto"/>
        <w:jc w:val="both"/>
        <w:rPr>
          <w:rFonts w:ascii="Times New Roman" w:eastAsia="Times New Roman" w:hAnsi="Times New Roman" w:cs="Times New Roman"/>
          <w:noProof/>
          <w:color w:val="000000" w:themeColor="text1"/>
          <w:sz w:val="24"/>
          <w:lang w:val="sl-SI"/>
        </w:rPr>
      </w:pPr>
      <w:bookmarkStart w:id="21" w:name="_Hlk131089360"/>
      <w:r w:rsidRPr="00106810">
        <w:rPr>
          <w:rFonts w:ascii="Times New Roman" w:hAnsi="Times New Roman"/>
          <w:noProof/>
          <w:color w:val="000000" w:themeColor="text1"/>
          <w:sz w:val="24"/>
          <w:lang w:val="sl-SI"/>
        </w:rPr>
        <w:t xml:space="preserve">Države članice se spodbuja k zagotovitvi sredstev EU, ki jih upravljajo neposredno, za podporo kibernetskovarnostnim veščinam in delovnim mestom. V zvezi s tem imajo skladi kohezijske politike, kot sta </w:t>
      </w:r>
      <w:r w:rsidRPr="00106810">
        <w:rPr>
          <w:rFonts w:ascii="Times New Roman" w:hAnsi="Times New Roman"/>
          <w:b/>
          <w:bCs/>
          <w:noProof/>
          <w:color w:val="000000" w:themeColor="text1"/>
          <w:sz w:val="24"/>
          <w:lang w:val="sl-SI"/>
        </w:rPr>
        <w:t>Evropski sklad za regionalni razvoj (ESRR)</w:t>
      </w:r>
      <w:r w:rsidRPr="00106810">
        <w:rPr>
          <w:rFonts w:ascii="Times New Roman" w:hAnsi="Times New Roman"/>
          <w:noProof/>
          <w:color w:val="000000" w:themeColor="text1"/>
          <w:sz w:val="24"/>
          <w:lang w:val="sl-SI"/>
        </w:rPr>
        <w:t xml:space="preserve"> in </w:t>
      </w:r>
      <w:r w:rsidRPr="00106810">
        <w:rPr>
          <w:rFonts w:ascii="Times New Roman" w:hAnsi="Times New Roman"/>
          <w:b/>
          <w:bCs/>
          <w:noProof/>
          <w:color w:val="000000" w:themeColor="text1"/>
          <w:sz w:val="24"/>
          <w:lang w:val="sl-SI"/>
        </w:rPr>
        <w:t>ESS+</w:t>
      </w:r>
      <w:r w:rsidRPr="00106810">
        <w:rPr>
          <w:rFonts w:ascii="Times New Roman" w:hAnsi="Times New Roman"/>
          <w:noProof/>
          <w:color w:val="000000" w:themeColor="text1"/>
          <w:sz w:val="24"/>
          <w:lang w:val="sl-SI"/>
        </w:rPr>
        <w:t>, velik potencial za sinergije</w:t>
      </w:r>
      <w:r w:rsidRPr="00106810">
        <w:rPr>
          <w:rStyle w:val="FootnoteReference"/>
          <w:rFonts w:ascii="Times New Roman" w:eastAsia="Times New Roman" w:hAnsi="Times New Roman" w:cs="Times New Roman"/>
          <w:noProof/>
          <w:color w:val="000000" w:themeColor="text1"/>
          <w:sz w:val="24"/>
          <w:lang w:val="sl-SI"/>
        </w:rPr>
        <w:footnoteReference w:id="89"/>
      </w:r>
      <w:r w:rsidRPr="00106810">
        <w:rPr>
          <w:rFonts w:ascii="Times New Roman" w:hAnsi="Times New Roman"/>
          <w:noProof/>
          <w:color w:val="000000" w:themeColor="text1"/>
          <w:sz w:val="24"/>
          <w:lang w:val="sl-SI"/>
        </w:rPr>
        <w:t xml:space="preserve">. Področja uporabe ukrepov v okviru </w:t>
      </w:r>
      <w:r w:rsidRPr="00106810">
        <w:rPr>
          <w:rFonts w:ascii="Times New Roman" w:hAnsi="Times New Roman"/>
          <w:b/>
          <w:bCs/>
          <w:noProof/>
          <w:color w:val="000000" w:themeColor="text1"/>
          <w:sz w:val="24"/>
          <w:lang w:val="sl-SI"/>
        </w:rPr>
        <w:t>mehanizma za okrevanje in odpornost</w:t>
      </w:r>
      <w:r w:rsidRPr="00106810">
        <w:rPr>
          <w:rStyle w:val="FootnoteReference"/>
          <w:rFonts w:ascii="Times New Roman" w:eastAsia="Times New Roman" w:hAnsi="Times New Roman" w:cs="Times New Roman"/>
          <w:noProof/>
          <w:color w:val="000000" w:themeColor="text1"/>
          <w:sz w:val="24"/>
          <w:lang w:val="sl-SI"/>
        </w:rPr>
        <w:footnoteReference w:id="90"/>
      </w:r>
      <w:r w:rsidRPr="00106810">
        <w:rPr>
          <w:rFonts w:ascii="Times New Roman" w:hAnsi="Times New Roman"/>
          <w:noProof/>
          <w:color w:val="000000" w:themeColor="text1"/>
          <w:sz w:val="24"/>
          <w:lang w:val="sl-SI"/>
        </w:rPr>
        <w:t xml:space="preserve"> ter </w:t>
      </w:r>
      <w:r w:rsidRPr="00106810">
        <w:rPr>
          <w:rFonts w:ascii="Times New Roman" w:hAnsi="Times New Roman"/>
          <w:b/>
          <w:bCs/>
          <w:noProof/>
          <w:color w:val="000000" w:themeColor="text1"/>
          <w:sz w:val="24"/>
          <w:lang w:val="sl-SI"/>
        </w:rPr>
        <w:t>programa InvestEU</w:t>
      </w:r>
      <w:r w:rsidRPr="00106810">
        <w:rPr>
          <w:rStyle w:val="FootnoteReference"/>
          <w:rFonts w:ascii="Times New Roman" w:eastAsia="Times New Roman" w:hAnsi="Times New Roman" w:cs="Times New Roman"/>
          <w:noProof/>
          <w:color w:val="000000" w:themeColor="text1"/>
          <w:sz w:val="24"/>
          <w:lang w:val="sl-SI"/>
        </w:rPr>
        <w:footnoteReference w:id="91"/>
      </w:r>
      <w:r w:rsidRPr="00106810">
        <w:rPr>
          <w:rFonts w:ascii="Times New Roman" w:hAnsi="Times New Roman"/>
          <w:noProof/>
          <w:color w:val="000000" w:themeColor="text1"/>
          <w:sz w:val="24"/>
          <w:lang w:val="sl-SI"/>
        </w:rPr>
        <w:t xml:space="preserve"> se med seboj prekrivajo na način, ki je ključen za izpolnjevanje ciljev akademije.</w:t>
      </w:r>
    </w:p>
    <w:p w14:paraId="7EC518C6" w14:textId="6F29FFB7" w:rsidR="566E7AD8" w:rsidRPr="00106810" w:rsidRDefault="566E7AD8" w:rsidP="726DB5C3">
      <w:pPr>
        <w:spacing w:before="120" w:after="120" w:line="240" w:lineRule="auto"/>
        <w:jc w:val="both"/>
        <w:rPr>
          <w:rFonts w:ascii="Times New Roman" w:eastAsia="Times New Roman" w:hAnsi="Times New Roman" w:cs="Times New Roman"/>
          <w:noProof/>
          <w:color w:val="000000" w:themeColor="text1"/>
          <w:sz w:val="24"/>
          <w:lang w:val="sl-SI"/>
        </w:rPr>
      </w:pPr>
    </w:p>
    <w:tbl>
      <w:tblPr>
        <w:tblStyle w:val="TableGrid1"/>
        <w:tblW w:w="0" w:type="auto"/>
        <w:tblLayout w:type="fixed"/>
        <w:tblLook w:val="06A0" w:firstRow="1" w:lastRow="0" w:firstColumn="1" w:lastColumn="0" w:noHBand="1" w:noVBand="1"/>
      </w:tblPr>
      <w:tblGrid>
        <w:gridCol w:w="9360"/>
      </w:tblGrid>
      <w:tr w:rsidR="00831F29" w:rsidRPr="00106810" w14:paraId="70F80677" w14:textId="77777777" w:rsidTr="726DB5C3">
        <w:trPr>
          <w:trHeight w:val="300"/>
        </w:trPr>
        <w:tc>
          <w:tcPr>
            <w:tcW w:w="9360" w:type="dxa"/>
          </w:tcPr>
          <w:bookmarkEnd w:id="21"/>
          <w:p w14:paraId="336EF845" w14:textId="77777777" w:rsidR="00831F29" w:rsidRPr="00106810" w:rsidRDefault="566E7AD8" w:rsidP="726DB5C3">
            <w:pPr>
              <w:spacing w:before="120" w:after="120"/>
              <w:jc w:val="both"/>
              <w:rPr>
                <w:rFonts w:ascii="Times New Roman" w:eastAsia="Times New Roman" w:hAnsi="Times New Roman" w:cs="Times New Roman"/>
                <w:b/>
                <w:noProof/>
                <w:color w:val="000000" w:themeColor="text1"/>
                <w:sz w:val="24"/>
                <w:u w:val="single"/>
                <w:lang w:val="sl-SI"/>
              </w:rPr>
            </w:pPr>
            <w:r w:rsidRPr="00106810">
              <w:rPr>
                <w:rFonts w:ascii="Times New Roman" w:hAnsi="Times New Roman"/>
                <w:b/>
                <w:noProof/>
                <w:color w:val="000000" w:themeColor="text1"/>
                <w:sz w:val="24"/>
                <w:u w:val="single"/>
                <w:lang w:val="sl-SI"/>
              </w:rPr>
              <w:t>Ukrepi v okviru akademije</w:t>
            </w:r>
          </w:p>
          <w:p w14:paraId="4337392C" w14:textId="43575D19" w:rsidR="00831F29" w:rsidRPr="00106810" w:rsidRDefault="00831F29">
            <w:pPr>
              <w:spacing w:before="120" w:after="120"/>
              <w:jc w:val="both"/>
              <w:rPr>
                <w:rFonts w:ascii="Times New Roman" w:eastAsia="Times New Roman" w:hAnsi="Times New Roman" w:cs="Times New Roman"/>
                <w:noProof/>
                <w:sz w:val="24"/>
                <w:lang w:val="sl-SI"/>
              </w:rPr>
            </w:pPr>
            <w:r w:rsidRPr="00106810">
              <w:rPr>
                <w:rFonts w:ascii="Times New Roman" w:hAnsi="Times New Roman"/>
                <w:b/>
                <w:noProof/>
                <w:color w:val="000000" w:themeColor="text1"/>
                <w:sz w:val="24"/>
                <w:lang w:val="sl-SI"/>
              </w:rPr>
              <w:t>Evropski kompetenčni center za kibernetsko varnost in agencija ENISA</w:t>
            </w:r>
          </w:p>
          <w:p w14:paraId="3899191D" w14:textId="3DC31654" w:rsidR="00831F29" w:rsidRPr="00106810" w:rsidRDefault="510466A6">
            <w:pPr>
              <w:numPr>
                <w:ilvl w:val="0"/>
                <w:numId w:val="26"/>
              </w:numPr>
              <w:spacing w:before="120" w:after="120"/>
              <w:contextualSpacing/>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Obstoječa sredstva EU za kibernetskovarnostne veščine </w:t>
            </w:r>
            <w:r w:rsidRPr="00106810">
              <w:rPr>
                <w:rFonts w:ascii="Times New Roman" w:hAnsi="Times New Roman"/>
                <w:b/>
                <w:bCs/>
                <w:noProof/>
                <w:sz w:val="24"/>
                <w:lang w:val="sl-SI"/>
              </w:rPr>
              <w:t>povezati</w:t>
            </w:r>
            <w:r w:rsidRPr="00106810">
              <w:rPr>
                <w:rFonts w:ascii="Times New Roman" w:hAnsi="Times New Roman"/>
                <w:noProof/>
                <w:sz w:val="24"/>
                <w:lang w:val="sl-SI"/>
              </w:rPr>
              <w:t xml:space="preserve"> s potrebami trga, oceniti </w:t>
            </w:r>
            <w:r w:rsidRPr="00106810">
              <w:rPr>
                <w:rFonts w:ascii="Times New Roman" w:hAnsi="Times New Roman"/>
                <w:b/>
                <w:bCs/>
                <w:noProof/>
                <w:sz w:val="24"/>
                <w:lang w:val="sl-SI"/>
              </w:rPr>
              <w:t>učinkovitost</w:t>
            </w:r>
            <w:r w:rsidRPr="00106810">
              <w:rPr>
                <w:rFonts w:ascii="Times New Roman" w:hAnsi="Times New Roman"/>
                <w:noProof/>
                <w:sz w:val="24"/>
                <w:lang w:val="sl-SI"/>
              </w:rPr>
              <w:t xml:space="preserve"> in opredeliti </w:t>
            </w:r>
            <w:r w:rsidRPr="00106810">
              <w:rPr>
                <w:rFonts w:ascii="Times New Roman" w:hAnsi="Times New Roman"/>
                <w:b/>
                <w:bCs/>
                <w:noProof/>
                <w:sz w:val="24"/>
                <w:lang w:val="sl-SI"/>
              </w:rPr>
              <w:t>prednostne naloge</w:t>
            </w:r>
            <w:r w:rsidRPr="00106810">
              <w:rPr>
                <w:rFonts w:ascii="Times New Roman" w:hAnsi="Times New Roman"/>
                <w:noProof/>
                <w:sz w:val="24"/>
                <w:lang w:val="sl-SI"/>
              </w:rPr>
              <w:t xml:space="preserve"> na področju financiranja do konca leta 2024.</w:t>
            </w:r>
          </w:p>
          <w:p w14:paraId="646535FD" w14:textId="77777777" w:rsidR="00831F29" w:rsidRPr="00106810" w:rsidRDefault="00831F29">
            <w:pPr>
              <w:spacing w:before="120" w:after="120"/>
              <w:contextualSpacing/>
              <w:jc w:val="both"/>
              <w:rPr>
                <w:rFonts w:ascii="Times New Roman" w:eastAsia="Times New Roman" w:hAnsi="Times New Roman" w:cs="Times New Roman"/>
                <w:noProof/>
                <w:sz w:val="24"/>
                <w:lang w:val="sl-SI"/>
              </w:rPr>
            </w:pPr>
          </w:p>
          <w:p w14:paraId="19D51D8E" w14:textId="77777777" w:rsidR="00831F29" w:rsidRPr="00106810" w:rsidRDefault="00831F29">
            <w:pPr>
              <w:spacing w:before="120" w:after="120"/>
              <w:contextualSpacing/>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Komisija</w:t>
            </w:r>
          </w:p>
          <w:p w14:paraId="1FDB809E" w14:textId="0B283251" w:rsidR="00831F29" w:rsidRPr="00106810" w:rsidRDefault="00831F29">
            <w:pPr>
              <w:numPr>
                <w:ilvl w:val="0"/>
                <w:numId w:val="26"/>
              </w:numPr>
              <w:spacing w:before="120" w:after="120"/>
              <w:contextualSpacing/>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Do konca leta 2023 na platformi za digitalne spretnosti in delovna mesta vzpostaviti </w:t>
            </w:r>
            <w:r w:rsidRPr="00106810">
              <w:rPr>
                <w:rFonts w:ascii="Times New Roman" w:hAnsi="Times New Roman"/>
                <w:b/>
                <w:bCs/>
                <w:noProof/>
                <w:sz w:val="24"/>
                <w:lang w:val="sl-SI"/>
              </w:rPr>
              <w:t>enotno vstopno točko</w:t>
            </w:r>
            <w:r w:rsidRPr="00106810">
              <w:rPr>
                <w:rFonts w:ascii="Times New Roman" w:hAnsi="Times New Roman"/>
                <w:noProof/>
                <w:sz w:val="24"/>
                <w:lang w:val="sl-SI"/>
              </w:rPr>
              <w:t xml:space="preserve"> za priložnosti za financiranje za kibernetskovarnostne veščine.</w:t>
            </w:r>
          </w:p>
          <w:p w14:paraId="42E1F16F" w14:textId="77777777" w:rsidR="00831F29" w:rsidRPr="00106810" w:rsidRDefault="00831F29">
            <w:pPr>
              <w:spacing w:before="120" w:after="120"/>
              <w:contextualSpacing/>
              <w:jc w:val="both"/>
              <w:rPr>
                <w:rFonts w:ascii="Times New Roman" w:eastAsia="Times New Roman" w:hAnsi="Times New Roman" w:cs="Times New Roman"/>
                <w:noProof/>
                <w:sz w:val="24"/>
                <w:lang w:val="sl-SI"/>
              </w:rPr>
            </w:pPr>
          </w:p>
        </w:tc>
      </w:tr>
    </w:tbl>
    <w:p w14:paraId="761CE695" w14:textId="77777777" w:rsidR="00831F29" w:rsidRPr="00106810" w:rsidRDefault="00831F29" w:rsidP="00831F29">
      <w:pPr>
        <w:spacing w:before="120" w:after="120" w:line="240" w:lineRule="auto"/>
        <w:jc w:val="both"/>
        <w:rPr>
          <w:rFonts w:ascii="Times New Roman" w:eastAsia="Times New Roman" w:hAnsi="Times New Roman" w:cs="Times New Roman"/>
          <w:noProof/>
          <w:color w:val="000000" w:themeColor="text1"/>
          <w:sz w:val="24"/>
          <w:lang w:val="sl-SI"/>
        </w:rPr>
      </w:pPr>
    </w:p>
    <w:p w14:paraId="4DC6DCF0" w14:textId="77777777" w:rsidR="00831F29" w:rsidRPr="00106810" w:rsidRDefault="00831F29" w:rsidP="00831F29">
      <w:pPr>
        <w:pStyle w:val="ListParagraph"/>
        <w:numPr>
          <w:ilvl w:val="0"/>
          <w:numId w:val="19"/>
        </w:numPr>
        <w:spacing w:before="120" w:after="120" w:line="240" w:lineRule="auto"/>
        <w:jc w:val="both"/>
        <w:rPr>
          <w:rFonts w:ascii="Times New Roman" w:eastAsia="Times New Roman" w:hAnsi="Times New Roman" w:cs="Times New Roman"/>
          <w:b/>
          <w:noProof/>
          <w:sz w:val="24"/>
          <w:lang w:val="sl-SI"/>
        </w:rPr>
      </w:pPr>
      <w:bookmarkStart w:id="22" w:name="_Hlk128041468"/>
      <w:r w:rsidRPr="00106810">
        <w:rPr>
          <w:rFonts w:ascii="Times New Roman" w:hAnsi="Times New Roman"/>
          <w:b/>
          <w:noProof/>
          <w:sz w:val="24"/>
          <w:lang w:val="sl-SI"/>
        </w:rPr>
        <w:t>Merjenje napredka: vgrajena odgovornost</w:t>
      </w:r>
    </w:p>
    <w:p w14:paraId="6116B1EF" w14:textId="18D17166" w:rsidR="00831F29" w:rsidRPr="00106810" w:rsidRDefault="00831F29" w:rsidP="00831F29">
      <w:pPr>
        <w:spacing w:before="120" w:after="120" w:line="240" w:lineRule="auto"/>
        <w:jc w:val="both"/>
        <w:rPr>
          <w:rFonts w:ascii="Times New Roman" w:eastAsia="Times New Roman" w:hAnsi="Times New Roman" w:cs="Times New Roman"/>
          <w:noProof/>
          <w:color w:val="000000" w:themeColor="text1"/>
          <w:sz w:val="24"/>
          <w:lang w:val="sl-SI"/>
        </w:rPr>
      </w:pPr>
      <w:r w:rsidRPr="00106810">
        <w:rPr>
          <w:rFonts w:ascii="Times New Roman" w:hAnsi="Times New Roman"/>
          <w:noProof/>
          <w:color w:val="000000" w:themeColor="text1"/>
          <w:sz w:val="24"/>
          <w:lang w:val="sl-SI"/>
        </w:rPr>
        <w:t xml:space="preserve">V okviru akademije bo razvita </w:t>
      </w:r>
      <w:r w:rsidRPr="00106810">
        <w:rPr>
          <w:rFonts w:ascii="Times New Roman" w:hAnsi="Times New Roman"/>
          <w:b/>
          <w:bCs/>
          <w:noProof/>
          <w:color w:val="000000" w:themeColor="text1"/>
          <w:sz w:val="24"/>
          <w:lang w:val="sl-SI"/>
        </w:rPr>
        <w:t>metodologija</w:t>
      </w:r>
      <w:r w:rsidRPr="00106810">
        <w:rPr>
          <w:rFonts w:ascii="Times New Roman" w:hAnsi="Times New Roman"/>
          <w:noProof/>
          <w:color w:val="000000" w:themeColor="text1"/>
          <w:sz w:val="24"/>
          <w:lang w:val="sl-SI"/>
        </w:rPr>
        <w:t xml:space="preserve">, s katero bo mogoče </w:t>
      </w:r>
      <w:r w:rsidRPr="00106810">
        <w:rPr>
          <w:rFonts w:ascii="Times New Roman" w:hAnsi="Times New Roman"/>
          <w:b/>
          <w:bCs/>
          <w:noProof/>
          <w:color w:val="000000" w:themeColor="text1"/>
          <w:sz w:val="24"/>
          <w:lang w:val="sl-SI"/>
        </w:rPr>
        <w:t>meriti napredek pri zapolnitvi vrzeli v kibernetskovarnostnih veščinah</w:t>
      </w:r>
      <w:r w:rsidRPr="00106810">
        <w:rPr>
          <w:rFonts w:ascii="Times New Roman" w:hAnsi="Times New Roman"/>
          <w:noProof/>
          <w:color w:val="000000" w:themeColor="text1"/>
          <w:sz w:val="24"/>
          <w:lang w:val="sl-SI"/>
        </w:rPr>
        <w:t xml:space="preserve">. </w:t>
      </w:r>
    </w:p>
    <w:p w14:paraId="3EB51A5B" w14:textId="77777777" w:rsidR="00831F29" w:rsidRPr="00106810"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Opredelitev kazalnikov kibernetske varnosti za spremljanje razvoja trga dela na področju kibernetske varnosti</w:t>
      </w:r>
    </w:p>
    <w:p w14:paraId="44C0EA8D" w14:textId="39EB362D"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V </w:t>
      </w:r>
      <w:r w:rsidRPr="00106810">
        <w:rPr>
          <w:rFonts w:ascii="Times New Roman" w:hAnsi="Times New Roman"/>
          <w:b/>
          <w:bCs/>
          <w:noProof/>
          <w:sz w:val="24"/>
          <w:lang w:val="sl-SI"/>
        </w:rPr>
        <w:t>indeksu digitalnega gospodarstva in družbe</w:t>
      </w:r>
      <w:r w:rsidRPr="00106810">
        <w:rPr>
          <w:rFonts w:ascii="Times New Roman" w:hAnsi="Times New Roman"/>
          <w:noProof/>
          <w:sz w:val="24"/>
          <w:lang w:val="sl-SI"/>
        </w:rPr>
        <w:t xml:space="preserve"> so povzeti kazalniki digitalne uspešnosti Evrope, z njim pa se spremlja napredek držav članic EU. Agencija ENISA bo v okviru akademije za kibernetske veščine ter v sodelovanju s Komisijo in skupino za sodelovanje na področju varnosti omrežij in informacij</w:t>
      </w:r>
      <w:r w:rsidRPr="00106810">
        <w:rPr>
          <w:rStyle w:val="FootnoteReference"/>
          <w:rFonts w:ascii="Times New Roman" w:hAnsi="Times New Roman" w:cs="Times New Roman"/>
          <w:noProof/>
          <w:color w:val="000000" w:themeColor="text1"/>
          <w:sz w:val="24"/>
          <w:lang w:val="sl-SI"/>
        </w:rPr>
        <w:footnoteReference w:id="92"/>
      </w:r>
      <w:r w:rsidRPr="00106810">
        <w:rPr>
          <w:rFonts w:ascii="Times New Roman" w:hAnsi="Times New Roman"/>
          <w:noProof/>
          <w:sz w:val="24"/>
          <w:lang w:val="sl-SI"/>
        </w:rPr>
        <w:t xml:space="preserve"> razvila </w:t>
      </w:r>
      <w:r w:rsidRPr="00106810">
        <w:rPr>
          <w:rFonts w:ascii="Times New Roman" w:hAnsi="Times New Roman"/>
          <w:b/>
          <w:bCs/>
          <w:noProof/>
          <w:sz w:val="24"/>
          <w:lang w:val="sl-SI"/>
        </w:rPr>
        <w:t>kazalnike</w:t>
      </w:r>
      <w:r w:rsidRPr="00106810">
        <w:rPr>
          <w:rFonts w:ascii="Times New Roman" w:hAnsi="Times New Roman"/>
          <w:noProof/>
          <w:sz w:val="24"/>
          <w:lang w:val="sl-SI"/>
        </w:rPr>
        <w:t>, povezane tudi s spolom, za spremljanje napredka v državah članicah EU pri povečanju števila strokovnjakov za kibernetsko varnost, pri tem pa se bo posvetovala tudi z ustreznimi akterji na trgu in nacionalnimi koordinacijskimi centri. Agencija ENISA se bo oprla na metodologijo indeksa digitalnega gospodarstva in družbe</w:t>
      </w:r>
      <w:r w:rsidRPr="00106810">
        <w:rPr>
          <w:rStyle w:val="FootnoteReference"/>
          <w:rFonts w:ascii="Times New Roman" w:hAnsi="Times New Roman" w:cs="Times New Roman"/>
          <w:noProof/>
          <w:color w:val="000000" w:themeColor="text1"/>
          <w:sz w:val="24"/>
          <w:lang w:val="sl-SI"/>
        </w:rPr>
        <w:footnoteReference w:id="93"/>
      </w:r>
      <w:r w:rsidRPr="00106810">
        <w:rPr>
          <w:rFonts w:ascii="Times New Roman" w:hAnsi="Times New Roman"/>
          <w:noProof/>
          <w:sz w:val="24"/>
          <w:lang w:val="sl-SI"/>
        </w:rPr>
        <w:t xml:space="preserve"> ter zagotovila, da bodo kazalniki v skladu z evropskimi digitalnimi cilji glede strokovnjakov na področju IKT in glede odprave razlike med deležem žensk in moških na področju IKT. Komisija si bo nato prizadevala za vključitev takih kazalnikov v indeks digitalnega gospodarstva in družbe, kar bo omogočilo letno spremljanje stanja kibernetskovarnostnih veščin in trga dela.</w:t>
      </w:r>
    </w:p>
    <w:p w14:paraId="37F306BA" w14:textId="77777777" w:rsidR="00831F29" w:rsidRPr="00106810" w:rsidRDefault="00831F29" w:rsidP="00831F29">
      <w:pPr>
        <w:pStyle w:val="ListParagraph"/>
        <w:numPr>
          <w:ilvl w:val="1"/>
          <w:numId w:val="19"/>
        </w:numPr>
        <w:spacing w:before="120" w:after="120" w:line="240" w:lineRule="auto"/>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 xml:space="preserve">Zbiranje podatkov in poročanje </w:t>
      </w:r>
    </w:p>
    <w:p w14:paraId="0155EFCE" w14:textId="5EF700A9" w:rsidR="00831F29" w:rsidRPr="00106810" w:rsidRDefault="566E7AD8" w:rsidP="00831F29">
      <w:pPr>
        <w:spacing w:before="120" w:after="120" w:line="240" w:lineRule="auto"/>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Agencija ENISA bo podatke o kazalnikih zbirala ob podpori projekta za podporo evropski skupnosti za kibernetsko varnost in nacionalnih koordinacijskih centrov. Na podlagi zbranih podatkov bo pripravila </w:t>
      </w:r>
      <w:r w:rsidRPr="00106810">
        <w:rPr>
          <w:rFonts w:ascii="Times New Roman" w:hAnsi="Times New Roman"/>
          <w:b/>
          <w:bCs/>
          <w:noProof/>
          <w:sz w:val="24"/>
          <w:lang w:val="sl-SI"/>
        </w:rPr>
        <w:t>letno poročilo</w:t>
      </w:r>
      <w:r w:rsidRPr="00106810">
        <w:rPr>
          <w:rFonts w:ascii="Times New Roman" w:hAnsi="Times New Roman"/>
          <w:noProof/>
          <w:sz w:val="24"/>
          <w:lang w:val="sl-SI"/>
        </w:rPr>
        <w:t>, ki bo vključeno v poročilo o stanju digitalnega desetletja</w:t>
      </w:r>
      <w:r w:rsidRPr="00106810">
        <w:rPr>
          <w:rStyle w:val="FootnoteReference"/>
          <w:rFonts w:ascii="Times New Roman" w:eastAsia="Times New Roman" w:hAnsi="Times New Roman" w:cs="Times New Roman"/>
          <w:noProof/>
          <w:sz w:val="24"/>
          <w:lang w:val="sl-SI"/>
        </w:rPr>
        <w:footnoteReference w:id="94"/>
      </w:r>
      <w:r w:rsidRPr="00106810">
        <w:rPr>
          <w:rFonts w:ascii="Times New Roman" w:hAnsi="Times New Roman"/>
          <w:noProof/>
          <w:sz w:val="24"/>
          <w:lang w:val="sl-SI"/>
        </w:rPr>
        <w:t xml:space="preserve">, to poročilo pa se bo nato skupaj z indeksom digitalnega gospodarstva in družbe upoštevalo pri analizi in priporočilih za posamezne države v okviru </w:t>
      </w:r>
      <w:r w:rsidRPr="00106810">
        <w:rPr>
          <w:rFonts w:ascii="Times New Roman" w:hAnsi="Times New Roman"/>
          <w:b/>
          <w:bCs/>
          <w:noProof/>
          <w:sz w:val="24"/>
          <w:lang w:val="sl-SI"/>
        </w:rPr>
        <w:t>evropskega semestra</w:t>
      </w:r>
      <w:r w:rsidRPr="00106810">
        <w:rPr>
          <w:rStyle w:val="FootnoteReference"/>
          <w:rFonts w:ascii="Times New Roman" w:eastAsia="Times New Roman" w:hAnsi="Times New Roman" w:cs="Times New Roman"/>
          <w:noProof/>
          <w:sz w:val="24"/>
          <w:lang w:val="sl-SI"/>
        </w:rPr>
        <w:footnoteReference w:id="95"/>
      </w:r>
      <w:r w:rsidRPr="00106810">
        <w:rPr>
          <w:rFonts w:ascii="Times New Roman" w:hAnsi="Times New Roman"/>
          <w:noProof/>
          <w:sz w:val="24"/>
          <w:lang w:val="sl-SI"/>
        </w:rPr>
        <w:t xml:space="preserve">. Poleg tega bodo kazalniki o kibernetskovarnostnih veščinah prispevali k </w:t>
      </w:r>
      <w:r w:rsidRPr="00106810">
        <w:rPr>
          <w:rFonts w:ascii="Times New Roman" w:hAnsi="Times New Roman"/>
          <w:b/>
          <w:bCs/>
          <w:noProof/>
          <w:sz w:val="24"/>
          <w:lang w:val="sl-SI"/>
        </w:rPr>
        <w:t>dvoletnemu poročilu</w:t>
      </w:r>
      <w:r w:rsidRPr="00106810">
        <w:rPr>
          <w:rFonts w:ascii="Times New Roman" w:hAnsi="Times New Roman"/>
          <w:noProof/>
          <w:sz w:val="24"/>
          <w:lang w:val="sl-SI"/>
        </w:rPr>
        <w:t xml:space="preserve"> agencije ENISA o stanju kibernetske varnosti v EU, ki je predvideno v direktivi NIS 2 ter zajema zmogljivosti, ozaveščenost in higieno na področju kibernetske varnosti po vsej EU. </w:t>
      </w:r>
    </w:p>
    <w:p w14:paraId="58DD6A55" w14:textId="0E885D5A" w:rsidR="00831F29" w:rsidRPr="00106810" w:rsidRDefault="00831F29" w:rsidP="00831F29">
      <w:pPr>
        <w:pStyle w:val="ListParagraph"/>
        <w:numPr>
          <w:ilvl w:val="1"/>
          <w:numId w:val="19"/>
        </w:numPr>
        <w:jc w:val="both"/>
        <w:rPr>
          <w:rFonts w:ascii="Times New Roman" w:eastAsia="Times New Roman" w:hAnsi="Times New Roman" w:cs="Times New Roman"/>
          <w:b/>
          <w:i/>
          <w:noProof/>
          <w:sz w:val="24"/>
          <w:lang w:val="sl-SI"/>
        </w:rPr>
      </w:pPr>
      <w:r w:rsidRPr="00106810">
        <w:rPr>
          <w:rFonts w:ascii="Times New Roman" w:hAnsi="Times New Roman"/>
          <w:b/>
          <w:i/>
          <w:noProof/>
          <w:sz w:val="24"/>
          <w:lang w:val="sl-SI"/>
        </w:rPr>
        <w:t>Priprava ključnih kazalnikov uspešnosti za kibernetsko varnost</w:t>
      </w:r>
    </w:p>
    <w:p w14:paraId="41451712" w14:textId="2B3FA0BA" w:rsidR="00831F29" w:rsidRPr="00106810" w:rsidRDefault="1F671DF3" w:rsidP="00831F29">
      <w:pPr>
        <w:spacing w:before="120" w:after="120" w:line="240" w:lineRule="auto"/>
        <w:jc w:val="both"/>
        <w:rPr>
          <w:rFonts w:ascii="Times New Roman" w:eastAsia="Calibri" w:hAnsi="Times New Roman" w:cs="Times New Roman"/>
          <w:noProof/>
          <w:sz w:val="24"/>
          <w:lang w:val="sl-SI"/>
        </w:rPr>
      </w:pPr>
      <w:r w:rsidRPr="00106810">
        <w:rPr>
          <w:rFonts w:ascii="Times New Roman" w:hAnsi="Times New Roman"/>
          <w:noProof/>
          <w:sz w:val="24"/>
          <w:lang w:val="sl-SI"/>
        </w:rPr>
        <w:t>Agencija ENISA bo v tesnem sodelovanju s Komisijo in nacionalnimi koordinacijskimi centri Komisiji predlagala ključne kazalnike uspešnosti za zapolnitev vrzeli na področju strokovnjakov za kibernetsko varnost v Evropi, pri čemer se bo oprla na metodologijo iz programa politike Digitalno desetletje do leta 2030 ter na izkušnje industrije.</w:t>
      </w:r>
      <w:r w:rsidRPr="00106810">
        <w:rPr>
          <w:rFonts w:ascii="Times New Roman" w:hAnsi="Times New Roman"/>
          <w:noProof/>
          <w:color w:val="000000" w:themeColor="text1"/>
          <w:sz w:val="24"/>
          <w:lang w:val="sl-SI"/>
        </w:rPr>
        <w:t xml:space="preserve"> Agencija ENISA bo ustrezno upoštevala ključne kazalnike uspešnosti, ki jih države članice uporabljajo za ocenjevanje svojih nacionalnih strategij za kibernetsko varnost</w:t>
      </w:r>
      <w:r w:rsidRPr="00106810">
        <w:rPr>
          <w:rStyle w:val="FootnoteReference"/>
          <w:rFonts w:ascii="Times New Roman" w:eastAsia="Times New Roman" w:hAnsi="Times New Roman" w:cs="Times New Roman"/>
          <w:noProof/>
          <w:color w:val="000000" w:themeColor="text1"/>
          <w:sz w:val="24"/>
          <w:lang w:val="sl-SI"/>
        </w:rPr>
        <w:footnoteReference w:id="96"/>
      </w:r>
      <w:r w:rsidRPr="00106810">
        <w:rPr>
          <w:rFonts w:ascii="Times New Roman" w:hAnsi="Times New Roman"/>
          <w:noProof/>
          <w:color w:val="000000" w:themeColor="text1"/>
          <w:sz w:val="24"/>
          <w:lang w:val="sl-SI"/>
        </w:rPr>
        <w:t>.</w:t>
      </w:r>
      <w:bookmarkStart w:id="23" w:name="_Hlk130817669"/>
    </w:p>
    <w:tbl>
      <w:tblPr>
        <w:tblStyle w:val="TableGrid"/>
        <w:tblW w:w="0" w:type="auto"/>
        <w:tblLayout w:type="fixed"/>
        <w:tblLook w:val="06A0" w:firstRow="1" w:lastRow="0" w:firstColumn="1" w:lastColumn="0" w:noHBand="1" w:noVBand="1"/>
      </w:tblPr>
      <w:tblGrid>
        <w:gridCol w:w="9360"/>
      </w:tblGrid>
      <w:tr w:rsidR="00831F29" w:rsidRPr="00106810" w14:paraId="6BB529D3" w14:textId="77777777" w:rsidTr="726DB5C3">
        <w:trPr>
          <w:trHeight w:val="300"/>
        </w:trPr>
        <w:tc>
          <w:tcPr>
            <w:tcW w:w="9360" w:type="dxa"/>
          </w:tcPr>
          <w:bookmarkEnd w:id="23"/>
          <w:p w14:paraId="1292EAD4" w14:textId="77777777" w:rsidR="00831F29" w:rsidRPr="00106810" w:rsidRDefault="566E7AD8" w:rsidP="726DB5C3">
            <w:pPr>
              <w:spacing w:before="120" w:after="120"/>
              <w:jc w:val="both"/>
              <w:rPr>
                <w:rFonts w:ascii="Times New Roman" w:eastAsia="Times New Roman" w:hAnsi="Times New Roman" w:cs="Times New Roman"/>
                <w:b/>
                <w:noProof/>
                <w:sz w:val="24"/>
                <w:u w:val="single"/>
                <w:lang w:val="sl-SI"/>
              </w:rPr>
            </w:pPr>
            <w:r w:rsidRPr="00106810">
              <w:rPr>
                <w:rFonts w:ascii="Times New Roman" w:hAnsi="Times New Roman"/>
                <w:b/>
                <w:noProof/>
                <w:sz w:val="24"/>
                <w:u w:val="single"/>
                <w:lang w:val="sl-SI"/>
              </w:rPr>
              <w:t>Ukrepi v okviru akademije</w:t>
            </w:r>
            <w:r w:rsidRPr="00106810">
              <w:rPr>
                <w:rFonts w:ascii="Times New Roman" w:hAnsi="Times New Roman"/>
                <w:b/>
                <w:noProof/>
                <w:sz w:val="24"/>
                <w:lang w:val="sl-SI"/>
              </w:rPr>
              <w:t xml:space="preserve"> </w:t>
            </w:r>
          </w:p>
          <w:p w14:paraId="29477FF6" w14:textId="77777777" w:rsidR="00831F29" w:rsidRPr="00106810" w:rsidRDefault="00831F29">
            <w:pPr>
              <w:spacing w:before="120" w:after="120"/>
              <w:jc w:val="both"/>
              <w:rPr>
                <w:rFonts w:ascii="Times New Roman" w:eastAsia="Times New Roman" w:hAnsi="Times New Roman" w:cs="Times New Roman"/>
                <w:noProof/>
                <w:sz w:val="24"/>
                <w:lang w:val="sl-SI"/>
              </w:rPr>
            </w:pPr>
            <w:r w:rsidRPr="00106810">
              <w:rPr>
                <w:rFonts w:ascii="Times New Roman" w:hAnsi="Times New Roman"/>
                <w:b/>
                <w:noProof/>
                <w:sz w:val="24"/>
                <w:lang w:val="sl-SI"/>
              </w:rPr>
              <w:t>Agencija ENISA</w:t>
            </w:r>
          </w:p>
          <w:p w14:paraId="3704DC01" w14:textId="5F150277" w:rsidR="00831F29" w:rsidRPr="00106810" w:rsidRDefault="00831F29">
            <w:pPr>
              <w:pStyle w:val="ListParagraph"/>
              <w:numPr>
                <w:ilvl w:val="0"/>
                <w:numId w:val="8"/>
              </w:numPr>
              <w:spacing w:before="120" w:after="120" w:line="259" w:lineRule="auto"/>
              <w:ind w:left="36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Do konca leta 2023 pripraviti </w:t>
            </w:r>
            <w:r w:rsidRPr="00106810">
              <w:rPr>
                <w:rFonts w:ascii="Times New Roman" w:hAnsi="Times New Roman"/>
                <w:b/>
                <w:bCs/>
                <w:noProof/>
                <w:sz w:val="24"/>
                <w:lang w:val="sl-SI"/>
              </w:rPr>
              <w:t>kazalnike in ključne kazalnike uspešnosti</w:t>
            </w:r>
            <w:r w:rsidRPr="00106810">
              <w:rPr>
                <w:rFonts w:ascii="Times New Roman" w:hAnsi="Times New Roman"/>
                <w:noProof/>
                <w:sz w:val="24"/>
                <w:lang w:val="sl-SI"/>
              </w:rPr>
              <w:t xml:space="preserve"> za kibernetskovarnostne veščine.</w:t>
            </w:r>
          </w:p>
          <w:p w14:paraId="5078F1D2" w14:textId="2B6126A0" w:rsidR="00831F29" w:rsidRPr="00106810" w:rsidRDefault="00831F29">
            <w:pPr>
              <w:pStyle w:val="ListParagraph"/>
              <w:numPr>
                <w:ilvl w:val="0"/>
                <w:numId w:val="8"/>
              </w:numPr>
              <w:spacing w:before="120" w:after="120" w:line="259" w:lineRule="auto"/>
              <w:ind w:left="360"/>
              <w:jc w:val="both"/>
              <w:rPr>
                <w:rFonts w:ascii="Times New Roman" w:eastAsia="Times New Roman" w:hAnsi="Times New Roman" w:cs="Times New Roman"/>
                <w:noProof/>
                <w:sz w:val="24"/>
                <w:lang w:val="sl-SI"/>
              </w:rPr>
            </w:pPr>
            <w:r w:rsidRPr="00106810">
              <w:rPr>
                <w:rFonts w:ascii="Times New Roman" w:hAnsi="Times New Roman"/>
                <w:b/>
                <w:bCs/>
                <w:noProof/>
                <w:sz w:val="24"/>
                <w:lang w:val="sl-SI"/>
              </w:rPr>
              <w:t>Zbirati podatke</w:t>
            </w:r>
            <w:r w:rsidRPr="00106810">
              <w:rPr>
                <w:rFonts w:ascii="Times New Roman" w:hAnsi="Times New Roman"/>
                <w:noProof/>
                <w:sz w:val="24"/>
                <w:lang w:val="sl-SI"/>
              </w:rPr>
              <w:t xml:space="preserve"> o kazalnikih in poročati o njih, pri čemer bo prvo zbiranje izvedeno do leta 2025.</w:t>
            </w:r>
          </w:p>
          <w:p w14:paraId="4AE1EEDD" w14:textId="77777777" w:rsidR="00831F29" w:rsidRPr="00106810" w:rsidRDefault="00831F29">
            <w:pPr>
              <w:spacing w:before="120" w:after="120"/>
              <w:jc w:val="both"/>
              <w:rPr>
                <w:rFonts w:ascii="Times New Roman" w:eastAsia="Times New Roman" w:hAnsi="Times New Roman" w:cs="Times New Roman"/>
                <w:b/>
                <w:noProof/>
                <w:sz w:val="24"/>
                <w:lang w:val="sl-SI"/>
              </w:rPr>
            </w:pPr>
            <w:r w:rsidRPr="00106810">
              <w:rPr>
                <w:rFonts w:ascii="Times New Roman" w:hAnsi="Times New Roman"/>
                <w:b/>
                <w:noProof/>
                <w:sz w:val="24"/>
                <w:lang w:val="sl-SI"/>
              </w:rPr>
              <w:t>Komisija</w:t>
            </w:r>
          </w:p>
          <w:p w14:paraId="7749F7D2" w14:textId="68285A41" w:rsidR="00831F29" w:rsidRPr="00106810" w:rsidRDefault="00831F29" w:rsidP="00C23C61">
            <w:pPr>
              <w:pStyle w:val="ListParagraph"/>
              <w:numPr>
                <w:ilvl w:val="0"/>
                <w:numId w:val="4"/>
              </w:numPr>
              <w:spacing w:before="120" w:after="120"/>
              <w:ind w:left="360"/>
              <w:jc w:val="both"/>
              <w:rPr>
                <w:rFonts w:ascii="Times New Roman" w:eastAsia="Times New Roman" w:hAnsi="Times New Roman" w:cs="Times New Roman"/>
                <w:noProof/>
                <w:sz w:val="24"/>
                <w:lang w:val="sl-SI"/>
              </w:rPr>
            </w:pPr>
            <w:r w:rsidRPr="00106810">
              <w:rPr>
                <w:rFonts w:ascii="Times New Roman" w:hAnsi="Times New Roman"/>
                <w:noProof/>
                <w:sz w:val="24"/>
                <w:lang w:val="sl-SI"/>
              </w:rPr>
              <w:t xml:space="preserve">Prizadevati si za vključitev </w:t>
            </w:r>
            <w:r w:rsidRPr="00106810">
              <w:rPr>
                <w:rFonts w:ascii="Times New Roman" w:hAnsi="Times New Roman"/>
                <w:b/>
                <w:bCs/>
                <w:noProof/>
                <w:sz w:val="24"/>
                <w:lang w:val="sl-SI"/>
              </w:rPr>
              <w:t>kazalnikov kibernetske varnosti</w:t>
            </w:r>
            <w:r w:rsidRPr="00106810">
              <w:rPr>
                <w:rFonts w:ascii="Times New Roman" w:hAnsi="Times New Roman"/>
                <w:noProof/>
                <w:sz w:val="24"/>
                <w:lang w:val="sl-SI"/>
              </w:rPr>
              <w:t xml:space="preserve"> </w:t>
            </w:r>
            <w:r w:rsidRPr="00106810">
              <w:rPr>
                <w:rFonts w:ascii="Times New Roman" w:hAnsi="Times New Roman"/>
                <w:b/>
                <w:bCs/>
                <w:noProof/>
                <w:sz w:val="24"/>
                <w:lang w:val="sl-SI"/>
              </w:rPr>
              <w:t>v indeks digitalnega gospodarstva in družbe</w:t>
            </w:r>
            <w:r w:rsidRPr="00106810">
              <w:rPr>
                <w:rFonts w:ascii="Times New Roman" w:hAnsi="Times New Roman"/>
                <w:noProof/>
                <w:sz w:val="24"/>
                <w:lang w:val="sl-SI"/>
              </w:rPr>
              <w:t xml:space="preserve"> ter v </w:t>
            </w:r>
            <w:r w:rsidRPr="00106810">
              <w:rPr>
                <w:rFonts w:ascii="Times New Roman" w:hAnsi="Times New Roman"/>
                <w:b/>
                <w:bCs/>
                <w:noProof/>
                <w:sz w:val="24"/>
                <w:lang w:val="sl-SI"/>
              </w:rPr>
              <w:t>poročilo o stanju digitalnega desetletja</w:t>
            </w:r>
            <w:r w:rsidRPr="00106810">
              <w:rPr>
                <w:rFonts w:ascii="Times New Roman" w:hAnsi="Times New Roman"/>
                <w:noProof/>
                <w:sz w:val="24"/>
                <w:lang w:val="sl-SI"/>
              </w:rPr>
              <w:t>.</w:t>
            </w:r>
          </w:p>
        </w:tc>
      </w:tr>
    </w:tbl>
    <w:p w14:paraId="20126B48" w14:textId="77777777" w:rsidR="00831F29" w:rsidRPr="00106810" w:rsidRDefault="00831F29" w:rsidP="00831F29">
      <w:pPr>
        <w:pStyle w:val="Heading1"/>
        <w:numPr>
          <w:ilvl w:val="0"/>
          <w:numId w:val="19"/>
        </w:numPr>
        <w:spacing w:before="120" w:line="240" w:lineRule="auto"/>
        <w:ind w:left="0" w:firstLine="0"/>
        <w:rPr>
          <w:rFonts w:eastAsia="Times New Roman" w:cs="Times New Roman"/>
          <w:b w:val="0"/>
          <w:noProof/>
          <w:sz w:val="24"/>
          <w:lang w:val="sl-SI"/>
        </w:rPr>
      </w:pPr>
      <w:r w:rsidRPr="00106810">
        <w:rPr>
          <w:noProof/>
          <w:sz w:val="24"/>
          <w:lang w:val="sl-SI"/>
        </w:rPr>
        <w:t xml:space="preserve">Sklep </w:t>
      </w:r>
    </w:p>
    <w:p w14:paraId="7DAA64B9" w14:textId="7D41D92A" w:rsidR="00831F29" w:rsidRPr="00106810" w:rsidRDefault="00831F29" w:rsidP="00831F29">
      <w:pPr>
        <w:spacing w:before="120" w:after="120" w:line="240" w:lineRule="auto"/>
        <w:jc w:val="both"/>
        <w:rPr>
          <w:rFonts w:ascii="Times New Roman" w:eastAsia="Times New Roman" w:hAnsi="Times New Roman" w:cs="Times New Roman"/>
          <w:noProof/>
          <w:color w:val="333333"/>
          <w:sz w:val="24"/>
          <w:lang w:val="sl-SI"/>
        </w:rPr>
      </w:pPr>
      <w:r w:rsidRPr="00106810">
        <w:rPr>
          <w:rFonts w:ascii="Times New Roman" w:hAnsi="Times New Roman"/>
          <w:noProof/>
          <w:color w:val="333333"/>
          <w:sz w:val="24"/>
          <w:lang w:val="sl-SI"/>
        </w:rPr>
        <w:t xml:space="preserve">V tem sporočilu so postavljeni temelji za prenovitev pristopa EU k izboljšanju kibernetskovarnostnih veščin za strokovnjake v EU. Cilj je zmanjšati vrzel v kibernetskovarnostnih veščinah in EU zagotoviti potrebno delovno silo, da se bo lahko odzivala na nenehno spreminjajočo se krajino groženj, izvajati politike EU, ki so namenjene zaščiti EU pred kibernetskimi napadi, pa tudi povečati poslovne priložnosti in konkurenčnost. </w:t>
      </w:r>
      <w:r w:rsidRPr="00106810">
        <w:rPr>
          <w:rFonts w:ascii="Times New Roman" w:hAnsi="Times New Roman"/>
          <w:noProof/>
          <w:color w:val="000000" w:themeColor="text1"/>
          <w:sz w:val="24"/>
          <w:lang w:val="sl-SI"/>
        </w:rPr>
        <w:t xml:space="preserve">Usposobljena delovna sila na področju kibernetske varnosti lahko koristi </w:t>
      </w:r>
      <w:r w:rsidRPr="00106810">
        <w:rPr>
          <w:rFonts w:ascii="Times New Roman" w:hAnsi="Times New Roman"/>
          <w:b/>
          <w:bCs/>
          <w:noProof/>
          <w:color w:val="000000" w:themeColor="text1"/>
          <w:sz w:val="24"/>
          <w:lang w:val="sl-SI"/>
        </w:rPr>
        <w:t>civilnim, obrambnim in diplomatskim skupnostim ter skupnostim na področju kazenskega pregona</w:t>
      </w:r>
      <w:r w:rsidRPr="00106810">
        <w:rPr>
          <w:rFonts w:ascii="Times New Roman" w:hAnsi="Times New Roman"/>
          <w:noProof/>
          <w:color w:val="000000" w:themeColor="text1"/>
          <w:sz w:val="24"/>
          <w:lang w:val="sl-SI"/>
        </w:rPr>
        <w:t>, saj olajšuje sinergije med njimi.</w:t>
      </w:r>
    </w:p>
    <w:p w14:paraId="0CE6F68F" w14:textId="38DE10D1" w:rsidR="00831F29" w:rsidRPr="00106810" w:rsidRDefault="00831F29" w:rsidP="00831F29">
      <w:pPr>
        <w:spacing w:before="120" w:after="120" w:line="240" w:lineRule="auto"/>
        <w:jc w:val="both"/>
        <w:rPr>
          <w:rFonts w:ascii="Times New Roman" w:eastAsia="Times New Roman" w:hAnsi="Times New Roman" w:cs="Times New Roman"/>
          <w:noProof/>
          <w:color w:val="333333"/>
          <w:sz w:val="24"/>
          <w:lang w:val="sl-SI"/>
        </w:rPr>
      </w:pPr>
      <w:r w:rsidRPr="00106810">
        <w:rPr>
          <w:rFonts w:ascii="Times New Roman" w:hAnsi="Times New Roman"/>
          <w:noProof/>
          <w:color w:val="333333"/>
          <w:sz w:val="24"/>
          <w:lang w:val="sl-SI"/>
        </w:rPr>
        <w:t xml:space="preserve">Komisija poziva države članice in vse deležnike, naj uresničijo ambicije akademije za kibernetske veščine. </w:t>
      </w:r>
      <w:bookmarkEnd w:id="22"/>
    </w:p>
    <w:p w14:paraId="138D8E6A" w14:textId="77777777" w:rsidR="00AD0FD5" w:rsidRPr="00831F29" w:rsidRDefault="00AD0FD5">
      <w:pPr>
        <w:rPr>
          <w:noProof/>
        </w:rPr>
      </w:pPr>
    </w:p>
    <w:sectPr w:rsidR="00AD0FD5" w:rsidRPr="00831F29" w:rsidSect="00692C8E">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09D2" w14:textId="77777777" w:rsidR="006A7003" w:rsidRDefault="006A7003" w:rsidP="00831F29">
      <w:pPr>
        <w:spacing w:after="0" w:line="240" w:lineRule="auto"/>
      </w:pPr>
      <w:r>
        <w:separator/>
      </w:r>
    </w:p>
  </w:endnote>
  <w:endnote w:type="continuationSeparator" w:id="0">
    <w:p w14:paraId="7999393A" w14:textId="77777777" w:rsidR="006A7003" w:rsidRDefault="006A7003" w:rsidP="00831F29">
      <w:pPr>
        <w:spacing w:after="0" w:line="240" w:lineRule="auto"/>
      </w:pPr>
      <w:r>
        <w:continuationSeparator/>
      </w:r>
    </w:p>
  </w:endnote>
  <w:endnote w:type="continuationNotice" w:id="1">
    <w:p w14:paraId="49BB3BF0" w14:textId="77777777" w:rsidR="006A7003" w:rsidRDefault="006A7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FAB2" w14:textId="7BC5418A" w:rsidR="00106810" w:rsidRPr="00FA68B8" w:rsidRDefault="00106810" w:rsidP="00FA6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9498" w14:textId="7D32BB49" w:rsidR="00106810" w:rsidRPr="00FA68B8" w:rsidRDefault="00FA68B8" w:rsidP="00FA68B8">
    <w:pPr>
      <w:pStyle w:val="FooterCoverPage"/>
      <w:rPr>
        <w:rFonts w:ascii="Arial" w:hAnsi="Arial" w:cs="Arial"/>
        <w:b/>
        <w:sz w:val="48"/>
      </w:rPr>
    </w:pPr>
    <w:r w:rsidRPr="00FA68B8">
      <w:rPr>
        <w:rFonts w:ascii="Arial" w:hAnsi="Arial" w:cs="Arial"/>
        <w:b/>
        <w:sz w:val="48"/>
      </w:rPr>
      <w:t>SL</w:t>
    </w:r>
    <w:r w:rsidRPr="00FA68B8">
      <w:rPr>
        <w:rFonts w:ascii="Arial" w:hAnsi="Arial" w:cs="Arial"/>
        <w:b/>
        <w:sz w:val="48"/>
      </w:rPr>
      <w:tab/>
    </w:r>
    <w:r w:rsidRPr="00FA68B8">
      <w:rPr>
        <w:rFonts w:ascii="Arial" w:hAnsi="Arial" w:cs="Arial"/>
        <w:b/>
        <w:sz w:val="48"/>
      </w:rPr>
      <w:tab/>
    </w:r>
    <w:r w:rsidRPr="00FA68B8">
      <w:tab/>
    </w:r>
    <w:r w:rsidRPr="00FA68B8">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F49" w14:textId="77777777" w:rsidR="00FA68B8" w:rsidRPr="00FA68B8" w:rsidRDefault="00FA68B8" w:rsidP="00FA68B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8240" w14:textId="77777777" w:rsidR="000F4999" w:rsidRDefault="000F49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58029384"/>
      <w:docPartObj>
        <w:docPartGallery w:val="Page Numbers (Bottom of Page)"/>
        <w:docPartUnique/>
      </w:docPartObj>
    </w:sdtPr>
    <w:sdtEndPr/>
    <w:sdtContent>
      <w:p w14:paraId="45C0F514" w14:textId="649F634E" w:rsidR="000F4999" w:rsidRPr="008A66C1" w:rsidRDefault="00F53AE7">
        <w:pPr>
          <w:pStyle w:val="Footer"/>
          <w:jc w:val="right"/>
          <w:rPr>
            <w:rFonts w:ascii="Times New Roman" w:hAnsi="Times New Roman" w:cs="Times New Roman"/>
          </w:rPr>
        </w:pPr>
        <w:r>
          <w:rPr>
            <w:rFonts w:ascii="Times New Roman" w:hAnsi="Times New Roman" w:cs="Times New Roman"/>
            <w:color w:val="2B579A"/>
            <w:shd w:val="clear" w:color="auto" w:fill="E6E6E6"/>
          </w:rPr>
          <w:fldChar w:fldCharType="begin"/>
        </w:r>
        <w:r>
          <w:rPr>
            <w:rFonts w:ascii="Times New Roman" w:hAnsi="Times New Roman" w:cs="Times New Roman"/>
          </w:rPr>
          <w:instrText xml:space="preserve"> PAGE   \* MERGEFORMAT </w:instrText>
        </w:r>
        <w:r>
          <w:rPr>
            <w:rFonts w:ascii="Times New Roman" w:hAnsi="Times New Roman" w:cs="Times New Roman"/>
            <w:color w:val="2B579A"/>
            <w:shd w:val="clear" w:color="auto" w:fill="E6E6E6"/>
          </w:rPr>
          <w:fldChar w:fldCharType="separate"/>
        </w:r>
        <w:r w:rsidR="00FA68B8">
          <w:rPr>
            <w:rFonts w:ascii="Times New Roman" w:hAnsi="Times New Roman" w:cs="Times New Roman"/>
            <w:noProof/>
          </w:rPr>
          <w:t>1</w:t>
        </w:r>
        <w:r>
          <w:rPr>
            <w:rFonts w:ascii="Times New Roman" w:hAnsi="Times New Roman" w:cs="Times New Roman"/>
            <w:color w:val="2B579A"/>
            <w:shd w:val="clear" w:color="auto" w:fill="E6E6E6"/>
          </w:rPr>
          <w:fldChar w:fldCharType="end"/>
        </w:r>
      </w:p>
    </w:sdtContent>
  </w:sdt>
  <w:p w14:paraId="1686C940" w14:textId="77777777" w:rsidR="000F4999" w:rsidRPr="008A66C1" w:rsidRDefault="000F4999">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F1B7" w14:textId="77777777" w:rsidR="000F4999" w:rsidRDefault="000F4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A6628" w14:textId="77777777" w:rsidR="006A7003" w:rsidRDefault="006A7003" w:rsidP="00831F29">
      <w:pPr>
        <w:spacing w:after="0" w:line="240" w:lineRule="auto"/>
      </w:pPr>
      <w:r>
        <w:separator/>
      </w:r>
    </w:p>
  </w:footnote>
  <w:footnote w:type="continuationSeparator" w:id="0">
    <w:p w14:paraId="13D4B21A" w14:textId="77777777" w:rsidR="006A7003" w:rsidRDefault="006A7003" w:rsidP="00831F29">
      <w:pPr>
        <w:spacing w:after="0" w:line="240" w:lineRule="auto"/>
      </w:pPr>
      <w:r>
        <w:continuationSeparator/>
      </w:r>
    </w:p>
  </w:footnote>
  <w:footnote w:type="continuationNotice" w:id="1">
    <w:p w14:paraId="4F0E7F73" w14:textId="77777777" w:rsidR="006A7003" w:rsidRDefault="006A7003">
      <w:pPr>
        <w:spacing w:after="0" w:line="240" w:lineRule="auto"/>
      </w:pPr>
    </w:p>
  </w:footnote>
  <w:footnote w:id="2">
    <w:p w14:paraId="42533E88" w14:textId="31621684" w:rsidR="007766BC" w:rsidRPr="006A5532" w:rsidRDefault="007766BC">
      <w:pPr>
        <w:pStyle w:val="FootnoteText"/>
        <w:rPr>
          <w:lang w:val="sl-SI"/>
        </w:rPr>
      </w:pPr>
      <w:r>
        <w:rPr>
          <w:rStyle w:val="FootnoteReference"/>
        </w:rPr>
        <w:footnoteRef/>
      </w:r>
      <w:r>
        <w:t xml:space="preserve"> </w:t>
      </w:r>
      <w:hyperlink r:id="rId1">
        <w:r w:rsidRPr="006A5532">
          <w:rPr>
            <w:rStyle w:val="Hyperlink"/>
            <w:lang w:val="sl-SI"/>
          </w:rPr>
          <w:t>ENISA Threat Landscape 2022 (Poročilo agencije ENISA o krajini groženj iz leta 2022) – ENISA (europa.eu)</w:t>
        </w:r>
      </w:hyperlink>
      <w:r w:rsidRPr="006A5532">
        <w:rPr>
          <w:lang w:val="sl-SI"/>
        </w:rPr>
        <w:t>.</w:t>
      </w:r>
    </w:p>
  </w:footnote>
  <w:footnote w:id="3">
    <w:p w14:paraId="3D397FF8" w14:textId="4FBBB50F" w:rsidR="00C52867" w:rsidRPr="006A5532" w:rsidRDefault="00C52867" w:rsidP="00C52867">
      <w:pPr>
        <w:pStyle w:val="FootnoteText"/>
        <w:rPr>
          <w:lang w:val="sl-SI"/>
        </w:rPr>
      </w:pPr>
      <w:r w:rsidRPr="006A5532">
        <w:rPr>
          <w:rStyle w:val="FootnoteReference"/>
          <w:lang w:val="sl-SI"/>
        </w:rPr>
        <w:footnoteRef/>
      </w:r>
      <w:r w:rsidRPr="006A5532">
        <w:rPr>
          <w:rStyle w:val="FootnoteReference"/>
          <w:lang w:val="sl-SI"/>
        </w:rPr>
        <w:t xml:space="preserve"> </w:t>
      </w:r>
      <w:hyperlink r:id="rId2" w:history="1">
        <w:hyperlink w:history="1">
          <w:r w:rsidRPr="006A5532">
            <w:rPr>
              <w:rStyle w:val="Hyperlink"/>
              <w:lang w:val="sl-SI"/>
            </w:rPr>
            <w:t>Europol, Internet Organised Crime Threat Assessment (Ocena ogroženosti zaradi internetnega organiziranega kriminala)</w:t>
          </w:r>
        </w:hyperlink>
      </w:hyperlink>
      <w:r w:rsidRPr="006A5532">
        <w:rPr>
          <w:rStyle w:val="Hyperlink"/>
          <w:lang w:val="sl-SI"/>
        </w:rPr>
        <w:t xml:space="preserve"> (IOCTA) 2021</w:t>
      </w:r>
      <w:r w:rsidRPr="006A5532">
        <w:rPr>
          <w:lang w:val="sl-SI"/>
        </w:rPr>
        <w:t>.</w:t>
      </w:r>
      <w:r w:rsidRPr="006A5532">
        <w:rPr>
          <w:rStyle w:val="Hyperlink"/>
          <w:lang w:val="sl-SI"/>
        </w:rPr>
        <w:t xml:space="preserve"> Taki akterji se opirajo na model izsiljevalskega programja kot storitve. Letni stroški podjetij so v letu 2022 presegli 18,4 milijarde EUR (</w:t>
      </w:r>
      <w:hyperlink r:id="rId3" w:history="1">
        <w:hyperlink w:history="1">
          <w:r w:rsidRPr="006A5532">
            <w:rPr>
              <w:rStyle w:val="Hyperlink"/>
              <w:lang w:val="sl-SI"/>
            </w:rPr>
            <w:t>Cybereason 2022 Report on the true cost or Ransomware</w:t>
          </w:r>
        </w:hyperlink>
      </w:hyperlink>
      <w:r w:rsidRPr="006A5532">
        <w:rPr>
          <w:rStyle w:val="Hyperlink"/>
          <w:lang w:val="sl-SI"/>
        </w:rPr>
        <w:t>) (poročilo podjetja Cybereason iz leta 2022 o dejanskih stroških zaradi izsiljevalskega programja)</w:t>
      </w:r>
      <w:r w:rsidRPr="006A5532">
        <w:rPr>
          <w:lang w:val="sl-SI"/>
        </w:rPr>
        <w:t>.</w:t>
      </w:r>
      <w:r w:rsidRPr="006A5532">
        <w:rPr>
          <w:rStyle w:val="Hyperlink"/>
          <w:lang w:val="sl-SI"/>
        </w:rPr>
        <w:t xml:space="preserve"> </w:t>
      </w:r>
    </w:p>
  </w:footnote>
  <w:footnote w:id="4">
    <w:p w14:paraId="38076AEC"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Glej na primer </w:t>
      </w:r>
      <w:hyperlink r:id="rId4" w:history="1">
        <w:r w:rsidRPr="006A5532">
          <w:rPr>
            <w:rStyle w:val="Hyperlink"/>
            <w:lang w:val="sl-SI"/>
          </w:rPr>
          <w:t>skupno publikacijo agencije ENISA in skupine CERT-EU, JP-23–01 – Sustained activity by specific threat actors (Trajna dejavnost določenih akterjev groženj), TLP:CLEAR, 15. februar 2023</w:t>
        </w:r>
      </w:hyperlink>
      <w:r w:rsidRPr="006A5532">
        <w:rPr>
          <w:lang w:val="sl-SI"/>
        </w:rPr>
        <w:t>.</w:t>
      </w:r>
    </w:p>
  </w:footnote>
  <w:footnote w:id="5">
    <w:p w14:paraId="0F9DBEE6" w14:textId="4305D763"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ENISA Threat Landscape 2022 (Poročilo agencije ENISA o krajini groženj iz leta 2022).</w:t>
      </w:r>
    </w:p>
  </w:footnote>
  <w:footnote w:id="6">
    <w:p w14:paraId="1967476D" w14:textId="21F86C7E" w:rsidR="00A2705D" w:rsidRPr="006A5532" w:rsidRDefault="00A2705D">
      <w:pPr>
        <w:pStyle w:val="FootnoteText"/>
        <w:rPr>
          <w:lang w:val="sl-SI"/>
        </w:rPr>
      </w:pPr>
      <w:r w:rsidRPr="006A5532">
        <w:rPr>
          <w:rStyle w:val="FootnoteReference"/>
          <w:lang w:val="sl-SI"/>
        </w:rPr>
        <w:footnoteRef/>
      </w:r>
      <w:r w:rsidRPr="006A5532">
        <w:rPr>
          <w:lang w:val="sl-SI"/>
        </w:rPr>
        <w:t xml:space="preserve"> V Nemčiji je bilo na primer 90 % goljufij z elektronsko pošto, prijavljenih v obdobju od 1. junija 2021 do 31. maja 2022, izvedenih v obliki ribarjenja za pridobitev finančnih informacij ali napada na družbo v finančnem sektorju, pri čemer je bilo vključenih več kot 20 000 okuženih naprav iz 125 držav; glej </w:t>
      </w:r>
      <w:hyperlink r:id="rId5" w:history="1">
        <w:r w:rsidRPr="006A5532">
          <w:rPr>
            <w:rStyle w:val="Hyperlink"/>
            <w:lang w:val="sl-SI"/>
          </w:rPr>
          <w:t>The State of IT Security in Germany in 2022 (Stanje varnosti IT v Nemčiji v letu 2022), Bundesamt für Sicherheit in der Informationstechnik (BSI), 1. januar 2023</w:t>
        </w:r>
      </w:hyperlink>
      <w:r w:rsidRPr="006A5532">
        <w:rPr>
          <w:lang w:val="sl-SI"/>
        </w:rPr>
        <w:t>.</w:t>
      </w:r>
    </w:p>
  </w:footnote>
  <w:footnote w:id="7">
    <w:p w14:paraId="083A0F8C" w14:textId="4E2B6DC6" w:rsidR="00AD6A6A" w:rsidRPr="006A5532" w:rsidRDefault="00AD6A6A">
      <w:pPr>
        <w:pStyle w:val="FootnoteText"/>
        <w:rPr>
          <w:lang w:val="sl-SI"/>
        </w:rPr>
      </w:pPr>
      <w:r w:rsidRPr="006A5532">
        <w:rPr>
          <w:rStyle w:val="FootnoteReference"/>
          <w:lang w:val="sl-SI"/>
        </w:rPr>
        <w:footnoteRef/>
      </w:r>
      <w:r w:rsidRPr="006A5532">
        <w:rPr>
          <w:lang w:val="sl-SI"/>
        </w:rPr>
        <w:t xml:space="preserve"> V Franciji so bili na primer napadi z izsiljevalskim programjem izvedeni na javne zdravstvene ustanove, kot je Centre Hospitalier Sud Francilien, med katerimi je bilo ogroženih 11 GB osebnih in zdravstvenih podatkov ter podatkov o osebju, ki jih je objavil akter groženj; glej </w:t>
      </w:r>
      <w:hyperlink r:id="rId6" w:history="1">
        <w:r w:rsidRPr="006A5532">
          <w:rPr>
            <w:rStyle w:val="Hyperlink"/>
            <w:lang w:val="sl-SI"/>
          </w:rPr>
          <w:t>Panorama de la Cybermenace 2022 (Pregled kibernetskih groženj v letu 2022), Agence nationale de la sécurité des systèmes d’information (ANSSI), januar 2023</w:t>
        </w:r>
      </w:hyperlink>
      <w:r w:rsidRPr="006A5532">
        <w:rPr>
          <w:lang w:val="sl-SI"/>
        </w:rPr>
        <w:t>.</w:t>
      </w:r>
    </w:p>
  </w:footnote>
  <w:footnote w:id="8">
    <w:p w14:paraId="73E12687" w14:textId="2E0AE445" w:rsidR="00831F29" w:rsidRDefault="00831F29" w:rsidP="00831F29">
      <w:pPr>
        <w:pStyle w:val="FootnoteText"/>
        <w:spacing w:after="0"/>
        <w:rPr>
          <w:sz w:val="20"/>
        </w:rPr>
      </w:pPr>
      <w:r w:rsidRPr="006A5532">
        <w:rPr>
          <w:rStyle w:val="FootnoteReference"/>
          <w:lang w:val="sl-SI"/>
        </w:rPr>
        <w:footnoteRef/>
      </w:r>
      <w:r w:rsidRPr="006A5532">
        <w:rPr>
          <w:rStyle w:val="FootnoteReference"/>
          <w:lang w:val="sl-SI"/>
        </w:rPr>
        <w:t xml:space="preserve"> </w:t>
      </w:r>
      <w:r w:rsidRPr="006A5532">
        <w:rPr>
          <w:rStyle w:val="Hyperlink"/>
          <w:sz w:val="20"/>
          <w:lang w:val="sl-SI"/>
        </w:rPr>
        <w:t xml:space="preserve">Glej tudi: </w:t>
      </w:r>
      <w:hyperlink r:id="rId7" w:history="1">
        <w:r w:rsidRPr="006A5532">
          <w:rPr>
            <w:rStyle w:val="Hyperlink"/>
            <w:lang w:val="sl-SI"/>
          </w:rPr>
          <w:t>CERT-EU – Russia’s war on Ukraine:</w:t>
        </w:r>
      </w:hyperlink>
      <w:hyperlink r:id="rId8" w:history="1">
        <w:r w:rsidRPr="006A5532">
          <w:rPr>
            <w:rStyle w:val="Hyperlink"/>
            <w:lang w:val="sl-SI"/>
          </w:rPr>
          <w:t>one year of cyber operations (CERT-EU – Ruska vojna v Ukrajini: eno leto kibernetskih operacij) (europa.eu)</w:t>
        </w:r>
      </w:hyperlink>
      <w:r w:rsidRPr="006A5532">
        <w:rPr>
          <w:lang w:val="sl-SI"/>
        </w:rPr>
        <w:t xml:space="preserve">; </w:t>
      </w:r>
      <w:hyperlink r:id="rId9" w:history="1">
        <w:r w:rsidRPr="006A5532">
          <w:rPr>
            <w:rStyle w:val="Hyperlink"/>
            <w:lang w:val="sl-SI"/>
          </w:rPr>
          <w:t>Ruske kibernetske operacije proti Ukrajini:</w:t>
        </w:r>
      </w:hyperlink>
      <w:hyperlink r:id="rId10" w:history="1">
        <w:r w:rsidRPr="006A5532">
          <w:rPr>
            <w:rStyle w:val="Hyperlink"/>
            <w:lang w:val="sl-SI"/>
          </w:rPr>
          <w:t>izjava visokega predstavnika v imenu Evropske unije, 10. maj 2022</w:t>
        </w:r>
      </w:hyperlink>
      <w:r w:rsidRPr="006A5532">
        <w:rPr>
          <w:lang w:val="sl-SI"/>
        </w:rPr>
        <w:t xml:space="preserve">; </w:t>
      </w:r>
      <w:hyperlink r:id="rId11" w:history="1">
        <w:r w:rsidRPr="006A5532">
          <w:rPr>
            <w:rStyle w:val="Hyperlink"/>
            <w:lang w:val="sl-SI"/>
          </w:rPr>
          <w:t>Izjava visokega predstavnika v imenu Evropske unije o zlonamernih kibernetskih dejavnostih, ki jih izvajajo hekerji in hekerske skupine v kontekstu ruske agresije v Ukrajini, 19. julij 2022</w:t>
        </w:r>
      </w:hyperlink>
      <w:r>
        <w:t>.</w:t>
      </w:r>
    </w:p>
  </w:footnote>
  <w:footnote w:id="9">
    <w:p w14:paraId="77684C9B" w14:textId="77777777" w:rsidR="00831F29" w:rsidRPr="006A5532" w:rsidRDefault="00831F29" w:rsidP="00831F29">
      <w:pPr>
        <w:pStyle w:val="FootnoteText"/>
        <w:rPr>
          <w:lang w:val="sl-SI"/>
        </w:rPr>
      </w:pPr>
      <w:r>
        <w:rPr>
          <w:rStyle w:val="FootnoteReference"/>
        </w:rPr>
        <w:footnoteRef/>
      </w:r>
      <w:r>
        <w:rPr>
          <w:rStyle w:val="FootnoteReference"/>
        </w:rPr>
        <w:t xml:space="preserve"> </w:t>
      </w:r>
      <w:hyperlink r:id="rId12" w:history="1">
        <w:r w:rsidRPr="006A5532">
          <w:rPr>
            <w:rStyle w:val="Hyperlink"/>
            <w:lang w:val="sl-SI"/>
          </w:rPr>
          <w:t>Skupno sporočilo Evropskemu parlamentu in Svetu, Strategija EU za kibernetsko varnost v digitalnem desetletju (JOIN(2020) 18 final)</w:t>
        </w:r>
      </w:hyperlink>
      <w:r w:rsidRPr="006A5532">
        <w:rPr>
          <w:lang w:val="sl-SI"/>
        </w:rPr>
        <w:t>.</w:t>
      </w:r>
    </w:p>
  </w:footnote>
  <w:footnote w:id="10">
    <w:p w14:paraId="774FC8F2"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w:t>
      </w:r>
      <w:hyperlink r:id="rId13" w:history="1">
        <w:r w:rsidRPr="006A5532">
          <w:rPr>
            <w:rStyle w:val="Hyperlink"/>
            <w:lang w:val="sl-SI"/>
          </w:rPr>
          <w:t>Direktiva (EU) 2022/2555 Evropskega parlamenta in Sveta z dne 14. decembra 2022 o ukrepih za visoko skupno raven kibernetske varnosti v Uniji, spremembi Uredbe (EU) št. 910/2014 in Direktive (EU) 2018/1972 ter razveljavitvi Direktive (EU) 2016/1148 (direktiva NIS 2)</w:t>
        </w:r>
      </w:hyperlink>
      <w:r w:rsidRPr="006A5532">
        <w:rPr>
          <w:lang w:val="sl-SI"/>
        </w:rPr>
        <w:t>.</w:t>
      </w:r>
    </w:p>
  </w:footnote>
  <w:footnote w:id="11">
    <w:p w14:paraId="4ADCE8D2" w14:textId="72315D8B"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Kot na primer v finančnem sektorju </w:t>
      </w:r>
      <w:hyperlink r:id="rId14">
        <w:r w:rsidRPr="006A5532">
          <w:rPr>
            <w:rStyle w:val="Hyperlink"/>
            <w:lang w:val="sl-SI"/>
          </w:rPr>
          <w:t>Uredba (EU) 2022/2554 Evropskega parlamenta in Sveta z dne 14. decembra 2022 o digitalni operativni odpornosti za finančni sektor in spremembi uredb (ES) št. 1060/2009, (EU) št. 648/2012, (EU) št. 600/2014, (EU) št. 909/2014 in (EU) 2016/1011</w:t>
        </w:r>
      </w:hyperlink>
      <w:r w:rsidRPr="006A5532">
        <w:rPr>
          <w:lang w:val="sl-SI"/>
        </w:rPr>
        <w:t xml:space="preserve"> (uredba o digitalni operativni odpornosti).</w:t>
      </w:r>
    </w:p>
  </w:footnote>
  <w:footnote w:id="12">
    <w:p w14:paraId="3EB408E9" w14:textId="77777777" w:rsidR="726DB5C3" w:rsidRPr="006A5532" w:rsidRDefault="726DB5C3" w:rsidP="726DB5C3">
      <w:pPr>
        <w:pStyle w:val="FootnoteText"/>
        <w:rPr>
          <w:lang w:val="sl-SI"/>
        </w:rPr>
      </w:pPr>
      <w:r w:rsidRPr="006A5532">
        <w:rPr>
          <w:rStyle w:val="FootnoteReference"/>
          <w:lang w:val="sl-SI"/>
        </w:rPr>
        <w:footnoteRef/>
      </w:r>
      <w:r w:rsidRPr="006A5532">
        <w:rPr>
          <w:lang w:val="sl-SI"/>
        </w:rPr>
        <w:t xml:space="preserve"> </w:t>
      </w:r>
      <w:hyperlink r:id="rId15">
        <w:r w:rsidRPr="006A5532">
          <w:rPr>
            <w:rStyle w:val="Hyperlink"/>
            <w:lang w:val="sl-SI"/>
          </w:rPr>
          <w:t>Skupno sporočilo Evropskemu parlamentu in Svetu, Politika EU za kibernetsko obrambo (JOIN(2022) 49 final)</w:t>
        </w:r>
      </w:hyperlink>
      <w:r w:rsidRPr="006A5532">
        <w:rPr>
          <w:lang w:val="sl-SI"/>
        </w:rPr>
        <w:t>.</w:t>
      </w:r>
    </w:p>
  </w:footnote>
  <w:footnote w:id="13">
    <w:p w14:paraId="17DC9257"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w:t>
      </w:r>
      <w:hyperlink r:id="rId16" w:history="1">
        <w:r w:rsidRPr="006A5532">
          <w:rPr>
            <w:rStyle w:val="Hyperlink"/>
            <w:lang w:val="sl-SI"/>
          </w:rPr>
          <w:t>Predlog uredbe Evropskega parlamenta in Sveta o horizontalnih zahtevah glede kibernetske varnosti za izdelke z digitalnimi elementi in spremembi Uredbe (EU) 2019/1020 (COM(2022) 454 final)</w:t>
        </w:r>
      </w:hyperlink>
      <w:r w:rsidRPr="006A5532">
        <w:rPr>
          <w:lang w:val="sl-SI"/>
        </w:rPr>
        <w:t>.</w:t>
      </w:r>
    </w:p>
  </w:footnote>
  <w:footnote w:id="14">
    <w:p w14:paraId="7EF2CA97" w14:textId="5224D4B2" w:rsidR="003F5BD5" w:rsidRPr="006A5532" w:rsidRDefault="003F5BD5" w:rsidP="003F5BD5">
      <w:pPr>
        <w:pStyle w:val="FootnoteText"/>
        <w:rPr>
          <w:lang w:val="sl-SI"/>
        </w:rPr>
      </w:pPr>
      <w:r w:rsidRPr="006A5532">
        <w:rPr>
          <w:rStyle w:val="FootnoteReference"/>
          <w:lang w:val="sl-SI"/>
        </w:rPr>
        <w:footnoteRef/>
      </w:r>
      <w:r w:rsidRPr="006A5532">
        <w:rPr>
          <w:lang w:val="sl-SI"/>
        </w:rPr>
        <w:t xml:space="preserve"> Pomembne pobude, s katerimi se obravnavajo splošna digitalna znanja in spretnosti prebivalstva, vključujejo naslednje: akcijski načrt za evropski steber socialnih pravic in digitalni kompas (s ciljem, da 80 % odraslih do leta 2030 pridobi osnovne digitalne spretnosti in znanja), akcijski načrt za digitalno izobraževanje 2021–2027, orodje evropski okvir digitalnih kompetenc ali predlog priporočila Sveta za izboljšanje zagotavljanja digitalnih spretnosti v izobraževanju in usposabljanju.</w:t>
      </w:r>
    </w:p>
  </w:footnote>
  <w:footnote w:id="15">
    <w:p w14:paraId="03E6C31D"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(ISC)² v </w:t>
      </w:r>
      <w:hyperlink r:id="rId17">
        <w:r w:rsidRPr="006A5532">
          <w:rPr>
            <w:rStyle w:val="Hyperlink"/>
            <w:lang w:val="sl-SI"/>
          </w:rPr>
          <w:t>Assessing Cyber Skills on the basis of the ECSF (Ocenjevanje kibernetskih veščin na podlagi evropskega okvira za kibernetskovarnostne veščine (ECSF)), spletni seminar agencije ENISA, 16. februar 2023</w:t>
        </w:r>
      </w:hyperlink>
      <w:r w:rsidRPr="006A5532">
        <w:rPr>
          <w:lang w:val="sl-SI"/>
        </w:rPr>
        <w:t>.</w:t>
      </w:r>
    </w:p>
  </w:footnote>
  <w:footnote w:id="16">
    <w:p w14:paraId="46D7E928" w14:textId="77777777" w:rsidR="00831F29" w:rsidRPr="006A5532" w:rsidRDefault="00831F29" w:rsidP="00831F29">
      <w:pPr>
        <w:pStyle w:val="FootnoteText"/>
        <w:rPr>
          <w:lang w:val="sl-SI"/>
        </w:rPr>
      </w:pPr>
      <w:r w:rsidRPr="006A5532">
        <w:rPr>
          <w:rStyle w:val="FootnoteReference"/>
          <w:lang w:val="sl-SI"/>
        </w:rPr>
        <w:footnoteRef/>
      </w:r>
      <w:r w:rsidRPr="006A5532">
        <w:rPr>
          <w:rStyle w:val="FootnoteReference"/>
          <w:lang w:val="sl-SI"/>
        </w:rPr>
        <w:t xml:space="preserve"> </w:t>
      </w:r>
      <w:r w:rsidRPr="006A5532">
        <w:rPr>
          <w:lang w:val="sl-SI"/>
        </w:rPr>
        <w:t xml:space="preserve">Po ocenah Evropske organizacije za kibernetsko varnost (ECSO), kot je navedeno v </w:t>
      </w:r>
      <w:hyperlink r:id="rId18">
        <w:r w:rsidRPr="006A5532">
          <w:rPr>
            <w:rStyle w:val="Hyperlink"/>
            <w:lang w:val="sl-SI"/>
          </w:rPr>
          <w:t>Skupnem sporočilu Evropskemu parlamentu in Svetu, Politika EU za kibernetsko obrambo (JOIN(2022) 49 final)</w:t>
        </w:r>
      </w:hyperlink>
      <w:r w:rsidRPr="006A5532">
        <w:rPr>
          <w:lang w:val="sl-SI"/>
        </w:rPr>
        <w:t xml:space="preserve">. </w:t>
      </w:r>
    </w:p>
  </w:footnote>
  <w:footnote w:id="17">
    <w:p w14:paraId="64187128" w14:textId="77777777" w:rsidR="00831F29" w:rsidRPr="006A5532" w:rsidRDefault="00831F29" w:rsidP="00831F29">
      <w:pPr>
        <w:pStyle w:val="FootnoteText"/>
        <w:rPr>
          <w:lang w:val="sl-SI"/>
        </w:rPr>
      </w:pPr>
      <w:r w:rsidRPr="006A5532">
        <w:rPr>
          <w:rStyle w:val="FootnoteReference"/>
          <w:rFonts w:eastAsiaTheme="minorEastAsia"/>
          <w:lang w:val="sl-SI"/>
        </w:rPr>
        <w:footnoteRef/>
      </w:r>
      <w:r w:rsidRPr="006A5532">
        <w:rPr>
          <w:rStyle w:val="FootnoteReference"/>
          <w:lang w:val="sl-SI"/>
        </w:rPr>
        <w:t xml:space="preserve"> </w:t>
      </w:r>
      <w:r w:rsidRPr="006A5532">
        <w:rPr>
          <w:lang w:val="sl-SI"/>
        </w:rPr>
        <w:t xml:space="preserve">(ISC)² v </w:t>
      </w:r>
      <w:hyperlink r:id="rId19">
        <w:r w:rsidRPr="006A5532">
          <w:rPr>
            <w:lang w:val="sl-SI"/>
          </w:rPr>
          <w:t>Assessing Cyber Skills on the basis of the ECSF (Ocenjevanje kibernetskih veščin na podlagi evropskega okvira za kibernetskovarnostne veščine (ECSF)), spletni seminar agencije ENISA, 16. februar 2023</w:t>
        </w:r>
      </w:hyperlink>
      <w:r w:rsidRPr="006A5532">
        <w:rPr>
          <w:lang w:val="sl-SI"/>
        </w:rPr>
        <w:t>.</w:t>
      </w:r>
    </w:p>
  </w:footnote>
  <w:footnote w:id="18">
    <w:p w14:paraId="18B9EC44" w14:textId="77777777" w:rsidR="00831F29" w:rsidRPr="006A5532" w:rsidRDefault="00831F29" w:rsidP="00831F29">
      <w:pPr>
        <w:pStyle w:val="FootnoteText"/>
        <w:rPr>
          <w:color w:val="000000" w:themeColor="text1"/>
          <w:lang w:val="sl-SI"/>
        </w:rPr>
      </w:pPr>
      <w:r w:rsidRPr="006A5532">
        <w:rPr>
          <w:rStyle w:val="FootnoteReference"/>
          <w:lang w:val="sl-SI"/>
        </w:rPr>
        <w:footnoteRef/>
      </w:r>
      <w:r w:rsidRPr="006A5532">
        <w:rPr>
          <w:color w:val="000000" w:themeColor="text1"/>
          <w:lang w:val="sl-SI"/>
        </w:rPr>
        <w:t xml:space="preserve"> </w:t>
      </w:r>
      <w:hyperlink r:id="rId20" w:anchor="/">
        <w:r w:rsidRPr="006A5532">
          <w:rPr>
            <w:rStyle w:val="Hyperlink"/>
            <w:lang w:val="sl-SI"/>
          </w:rPr>
          <w:t>Podatkovna zbirka o visokošolskem izobraževanju za kibernetsko varnost (CyberHEAD)</w:t>
        </w:r>
      </w:hyperlink>
      <w:r w:rsidRPr="006A5532">
        <w:rPr>
          <w:lang w:val="sl-SI"/>
        </w:rPr>
        <w:t>.</w:t>
      </w:r>
    </w:p>
  </w:footnote>
  <w:footnote w:id="19">
    <w:p w14:paraId="2FA9B349" w14:textId="77777777" w:rsidR="00831F29" w:rsidRPr="00157CD4" w:rsidRDefault="00831F29" w:rsidP="00831F29">
      <w:pPr>
        <w:pStyle w:val="FootnoteText"/>
        <w:rPr>
          <w:rStyle w:val="Hyperlink"/>
          <w:lang w:val="sl-SI"/>
        </w:rPr>
      </w:pPr>
      <w:r>
        <w:rPr>
          <w:rStyle w:val="FootnoteReference"/>
        </w:rPr>
        <w:footnoteRef/>
      </w:r>
      <w:r w:rsidRPr="00106810">
        <w:rPr>
          <w:rStyle w:val="FootnoteReference"/>
          <w:lang w:val="fr-FR"/>
        </w:rPr>
        <w:t xml:space="preserve"> </w:t>
      </w:r>
      <w:r w:rsidRPr="00157CD4">
        <w:rPr>
          <w:lang w:val="sl-SI"/>
        </w:rPr>
        <w:t xml:space="preserve">Le 19 % strokovnjakov na področju IKT v EU je žensk, glede na </w:t>
      </w:r>
      <w:hyperlink r:id="rId21" w:history="1">
        <w:hyperlink r:id="rId22" w:history="1">
          <w:r w:rsidRPr="00157CD4">
            <w:rPr>
              <w:rStyle w:val="Hyperlink"/>
              <w:lang w:val="sl-SI"/>
            </w:rPr>
            <w:t>indeks digitalnega gospodarstva in družbe (indeks DESI) za leto 2022 |</w:t>
          </w:r>
        </w:hyperlink>
      </w:hyperlink>
      <w:hyperlink r:id="rId23" w:history="1">
        <w:hyperlink r:id="rId24" w:history="1">
          <w:r w:rsidRPr="00157CD4">
            <w:rPr>
              <w:rStyle w:val="Hyperlink"/>
              <w:lang w:val="sl-SI"/>
            </w:rPr>
            <w:t xml:space="preserve"> Oblikovanje digitalne prihodnosti Evrope (europa.eu)</w:t>
          </w:r>
        </w:hyperlink>
      </w:hyperlink>
      <w:r w:rsidRPr="00157CD4">
        <w:rPr>
          <w:rStyle w:val="Hyperlink"/>
          <w:lang w:val="sl-SI"/>
        </w:rPr>
        <w:t xml:space="preserve">. </w:t>
      </w:r>
      <w:r w:rsidRPr="00157CD4">
        <w:rPr>
          <w:lang w:val="sl-SI"/>
        </w:rPr>
        <w:t>Podatki o številu ženske delovne sile Unije na področju kibernetske varnosti niso na voljo.</w:t>
      </w:r>
    </w:p>
  </w:footnote>
  <w:footnote w:id="20">
    <w:p w14:paraId="49B58DDB" w14:textId="5E11F734" w:rsidR="00BE6F70" w:rsidRPr="00157CD4" w:rsidRDefault="00BE6F70">
      <w:pPr>
        <w:pStyle w:val="FootnoteText"/>
        <w:rPr>
          <w:lang w:val="sl-SI"/>
        </w:rPr>
      </w:pPr>
      <w:r w:rsidRPr="00157CD4">
        <w:rPr>
          <w:rStyle w:val="FootnoteReference"/>
          <w:lang w:val="sl-SI"/>
        </w:rPr>
        <w:footnoteRef/>
      </w:r>
      <w:r w:rsidRPr="00157CD4">
        <w:rPr>
          <w:lang w:val="sl-SI"/>
        </w:rPr>
        <w:t xml:space="preserve"> </w:t>
      </w:r>
      <w:hyperlink r:id="rId25" w:history="1">
        <w:r w:rsidRPr="00157CD4">
          <w:rPr>
            <w:rStyle w:val="Hyperlink"/>
            <w:lang w:val="sl-SI"/>
          </w:rPr>
          <w:t>Sklep (EU) 2022/2481 Evropskega parlamenta in Sveta z dne 14. decembra 2022 o vzpostavitvi programa politike Digitalno desetletje do leta 2030</w:t>
        </w:r>
      </w:hyperlink>
      <w:r w:rsidRPr="00157CD4">
        <w:rPr>
          <w:lang w:val="sl-SI"/>
        </w:rPr>
        <w:t>, s katerim je vzpostavljen mehanizem spremljanja in sodelovanja za doseganje skupnih ciljev za digitalno preobrazbo Evrope, določenih v digitalnem kompasu do leta 2030, vključno s področjem znanj in spretnosti. </w:t>
      </w:r>
    </w:p>
  </w:footnote>
  <w:footnote w:id="21">
    <w:p w14:paraId="1C4FD568"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26">
        <w:r w:rsidRPr="00157CD4">
          <w:rPr>
            <w:rStyle w:val="Hyperlink"/>
            <w:lang w:val="sl-SI"/>
          </w:rPr>
          <w:t>S-RM Cyber Security Insights Report 2022</w:t>
        </w:r>
      </w:hyperlink>
      <w:r w:rsidRPr="00157CD4">
        <w:rPr>
          <w:lang w:val="sl-SI"/>
        </w:rPr>
        <w:t xml:space="preserve"> (Poročilo S-RM o uvidih na področju kibernetske varnosti za leto 2022).</w:t>
      </w:r>
    </w:p>
  </w:footnote>
  <w:footnote w:id="22">
    <w:p w14:paraId="408F3034" w14:textId="77777777" w:rsidR="00831F29" w:rsidRPr="00157CD4" w:rsidRDefault="00831F29" w:rsidP="00831F29">
      <w:pPr>
        <w:pStyle w:val="FootnoteText"/>
        <w:rPr>
          <w:lang w:val="sl-SI"/>
        </w:rPr>
      </w:pPr>
      <w:r w:rsidRPr="00157CD4">
        <w:rPr>
          <w:rStyle w:val="FootnoteReference"/>
          <w:lang w:val="sl-SI"/>
        </w:rPr>
        <w:footnoteRef/>
      </w:r>
      <w:r w:rsidRPr="00157CD4">
        <w:rPr>
          <w:rStyle w:val="FootnoteReference"/>
          <w:lang w:val="sl-SI"/>
        </w:rPr>
        <w:t xml:space="preserve"> </w:t>
      </w:r>
      <w:hyperlink r:id="rId27" w:history="1">
        <w:r w:rsidRPr="00157CD4">
          <w:rPr>
            <w:rStyle w:val="Hyperlink"/>
            <w:lang w:val="sl-SI"/>
          </w:rPr>
          <w:t>Cybersecurity Skills Development in the EU (Razvoj kibernetskovarnostnih veščin v EU), ENISA, december 2019</w:t>
        </w:r>
      </w:hyperlink>
      <w:r w:rsidRPr="00157CD4">
        <w:rPr>
          <w:lang w:val="sl-SI"/>
        </w:rPr>
        <w:t>.</w:t>
      </w:r>
    </w:p>
  </w:footnote>
  <w:footnote w:id="23">
    <w:p w14:paraId="50391D59" w14:textId="6A00816F"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28" w:history="1">
        <w:r w:rsidRPr="00157CD4">
          <w:rPr>
            <w:rStyle w:val="Hyperlink"/>
            <w:lang w:val="sl-SI"/>
          </w:rPr>
          <w:t>Opredelitev MSP (europa.eu)</w:t>
        </w:r>
      </w:hyperlink>
      <w:r w:rsidRPr="00157CD4">
        <w:rPr>
          <w:lang w:val="sl-SI"/>
        </w:rPr>
        <w:t>.</w:t>
      </w:r>
    </w:p>
  </w:footnote>
  <w:footnote w:id="24">
    <w:p w14:paraId="3A27ACBC" w14:textId="77777777" w:rsidR="00831F29" w:rsidRPr="000B6450" w:rsidRDefault="00831F29" w:rsidP="00831F29">
      <w:pPr>
        <w:pStyle w:val="FootnoteText"/>
      </w:pPr>
      <w:r w:rsidRPr="00157CD4">
        <w:rPr>
          <w:rStyle w:val="FootnoteReference"/>
          <w:lang w:val="sl-SI"/>
        </w:rPr>
        <w:footnoteRef/>
      </w:r>
      <w:r w:rsidRPr="00157CD4">
        <w:rPr>
          <w:lang w:val="sl-SI"/>
        </w:rPr>
        <w:t xml:space="preserve"> </w:t>
      </w:r>
      <w:hyperlink r:id="rId29" w:history="1">
        <w:r w:rsidRPr="00157CD4">
          <w:rPr>
            <w:rStyle w:val="Hyperlink"/>
            <w:lang w:val="sl-SI"/>
          </w:rPr>
          <w:t>ENISA Threat Landscape 2022 (Poročilo agencije ENISA o krajini groženj iz leta 2022) – ENISA (europa.eu)</w:t>
        </w:r>
      </w:hyperlink>
      <w:r>
        <w:t>.</w:t>
      </w:r>
    </w:p>
  </w:footnote>
  <w:footnote w:id="25">
    <w:p w14:paraId="69D39B24" w14:textId="77777777" w:rsidR="00831F29" w:rsidRPr="006A5532" w:rsidRDefault="00831F29" w:rsidP="00831F29">
      <w:pPr>
        <w:spacing w:after="0" w:line="240" w:lineRule="auto"/>
        <w:rPr>
          <w:rFonts w:ascii="Times New Roman" w:eastAsia="Times New Roman" w:hAnsi="Times New Roman" w:cs="Times New Roman"/>
          <w:sz w:val="18"/>
          <w:lang w:val="sl-SI"/>
        </w:rPr>
      </w:pPr>
      <w:r>
        <w:rPr>
          <w:rStyle w:val="FootnoteReference"/>
          <w:rFonts w:ascii="Times New Roman" w:hAnsi="Times New Roman" w:cs="Times New Roman"/>
          <w:sz w:val="18"/>
        </w:rPr>
        <w:footnoteRef/>
      </w:r>
      <w:r>
        <w:rPr>
          <w:rStyle w:val="FootnoteReference"/>
          <w:rFonts w:ascii="Times New Roman" w:hAnsi="Times New Roman"/>
          <w:sz w:val="18"/>
        </w:rPr>
        <w:t xml:space="preserve"> </w:t>
      </w:r>
      <w:hyperlink r:id="rId30" w:history="1">
        <w:r w:rsidRPr="006A5532">
          <w:rPr>
            <w:rStyle w:val="Hyperlink"/>
            <w:rFonts w:ascii="Times New Roman" w:hAnsi="Times New Roman"/>
            <w:sz w:val="18"/>
            <w:lang w:val="sl-SI"/>
          </w:rPr>
          <w:t>LinkedIn 2023 Most In-Demand Skills:</w:t>
        </w:r>
      </w:hyperlink>
      <w:hyperlink r:id="rId31" w:history="1">
        <w:r w:rsidRPr="006A5532">
          <w:rPr>
            <w:rStyle w:val="Hyperlink"/>
            <w:rFonts w:ascii="Times New Roman" w:hAnsi="Times New Roman"/>
            <w:i/>
            <w:iCs/>
            <w:sz w:val="18"/>
            <w:lang w:val="sl-SI"/>
          </w:rPr>
          <w:t xml:space="preserve"> </w:t>
        </w:r>
        <w:r w:rsidRPr="006A5532">
          <w:rPr>
            <w:rStyle w:val="Hyperlink"/>
            <w:rFonts w:ascii="Times New Roman" w:hAnsi="Times New Roman"/>
            <w:sz w:val="18"/>
            <w:lang w:val="sl-SI"/>
          </w:rPr>
          <w:t>Learn the Skills Companies Need Most (Najbolj iskane veščine po izboru portala LinkedIn v letu 2023: osvojite tiste, ki jih podjetja najbolj potrebujejo)</w:t>
        </w:r>
      </w:hyperlink>
      <w:r w:rsidRPr="006A5532">
        <w:rPr>
          <w:lang w:val="sl-SI"/>
        </w:rPr>
        <w:t>.</w:t>
      </w:r>
    </w:p>
  </w:footnote>
  <w:footnote w:id="26">
    <w:p w14:paraId="38816E21" w14:textId="08FE5CF6" w:rsidR="00C85562" w:rsidRPr="006A5532" w:rsidRDefault="00C85562" w:rsidP="00D27FA3">
      <w:pPr>
        <w:spacing w:after="0" w:line="240" w:lineRule="auto"/>
        <w:rPr>
          <w:rFonts w:ascii="Times New Roman" w:eastAsiaTheme="majorEastAsia" w:hAnsi="Times New Roman" w:cs="Times New Roman"/>
          <w:color w:val="0000FF"/>
          <w:sz w:val="18"/>
          <w:u w:val="single"/>
          <w:lang w:val="sl-SI"/>
        </w:rPr>
      </w:pPr>
      <w:r w:rsidRPr="006A5532">
        <w:rPr>
          <w:rStyle w:val="FootnoteReference"/>
          <w:rFonts w:ascii="Times New Roman" w:hAnsi="Times New Roman" w:cs="Times New Roman"/>
          <w:sz w:val="18"/>
          <w:lang w:val="sl-SI"/>
        </w:rPr>
        <w:footnoteRef/>
      </w:r>
      <w:r w:rsidRPr="006A5532">
        <w:rPr>
          <w:rFonts w:ascii="Times New Roman" w:hAnsi="Times New Roman"/>
          <w:lang w:val="sl-SI"/>
        </w:rPr>
        <w:t xml:space="preserve"> </w:t>
      </w:r>
      <w:r w:rsidRPr="006A5532">
        <w:rPr>
          <w:rStyle w:val="Hyperlink"/>
          <w:rFonts w:ascii="Times New Roman" w:hAnsi="Times New Roman"/>
          <w:sz w:val="18"/>
          <w:lang w:val="sl-SI"/>
        </w:rPr>
        <w:t>Infografika združenja ISACA o stanju kibernetske varnosti v letu 2022.</w:t>
      </w:r>
    </w:p>
  </w:footnote>
  <w:footnote w:id="27">
    <w:p w14:paraId="250C968C" w14:textId="095E8E86" w:rsidR="00C85562" w:rsidRPr="006A5532" w:rsidRDefault="00C85562">
      <w:pPr>
        <w:pStyle w:val="FootnoteText"/>
        <w:rPr>
          <w:lang w:val="sl-SI"/>
        </w:rPr>
      </w:pPr>
      <w:r w:rsidRPr="006A5532">
        <w:rPr>
          <w:rStyle w:val="FootnoteReference"/>
          <w:lang w:val="sl-SI"/>
        </w:rPr>
        <w:footnoteRef/>
      </w:r>
      <w:r w:rsidRPr="006A5532">
        <w:rPr>
          <w:lang w:val="sl-SI"/>
        </w:rPr>
        <w:t xml:space="preserve"> Kot je orodje CEDEFOP: </w:t>
      </w:r>
      <w:hyperlink r:id="rId32" w:history="1">
        <w:r w:rsidRPr="006A5532">
          <w:rPr>
            <w:rStyle w:val="Hyperlink"/>
            <w:lang w:val="sl-SI"/>
          </w:rPr>
          <w:t>Skills-OVATE |</w:t>
        </w:r>
      </w:hyperlink>
      <w:hyperlink r:id="rId33" w:history="1">
        <w:r w:rsidRPr="006A5532">
          <w:rPr>
            <w:rStyle w:val="Hyperlink"/>
            <w:lang w:val="sl-SI"/>
          </w:rPr>
          <w:t xml:space="preserve"> CEDEFOP (europa.eu)</w:t>
        </w:r>
      </w:hyperlink>
      <w:r w:rsidRPr="006A5532">
        <w:rPr>
          <w:lang w:val="sl-SI"/>
        </w:rPr>
        <w:t>.</w:t>
      </w:r>
    </w:p>
  </w:footnote>
  <w:footnote w:id="28">
    <w:p w14:paraId="395080FA" w14:textId="1DD2C6D0" w:rsidR="00C85562" w:rsidRPr="006A5532" w:rsidRDefault="00C85562" w:rsidP="00D27FA3">
      <w:pPr>
        <w:pStyle w:val="FootnoteText"/>
        <w:ind w:left="0" w:firstLine="0"/>
        <w:rPr>
          <w:lang w:val="sl-SI"/>
        </w:rPr>
      </w:pPr>
      <w:r w:rsidRPr="006A5532">
        <w:rPr>
          <w:rStyle w:val="FootnoteReference"/>
          <w:lang w:val="sl-SI"/>
        </w:rPr>
        <w:footnoteRef/>
      </w:r>
      <w:r w:rsidRPr="006A5532">
        <w:rPr>
          <w:lang w:val="sl-SI"/>
        </w:rPr>
        <w:t xml:space="preserve"> </w:t>
      </w:r>
      <w:hyperlink r:id="rId34" w:history="1">
        <w:r w:rsidRPr="006A5532">
          <w:rPr>
            <w:rStyle w:val="Hyperlink"/>
            <w:lang w:val="sl-SI"/>
          </w:rPr>
          <w:t>The Future of Jobs Report (Poročilo o prihodnosti zaposlitev), oktober 2020, Svetovni gospodarski forum</w:t>
        </w:r>
      </w:hyperlink>
      <w:r w:rsidRPr="006A5532">
        <w:rPr>
          <w:lang w:val="sl-SI"/>
        </w:rPr>
        <w:t>.</w:t>
      </w:r>
    </w:p>
  </w:footnote>
  <w:footnote w:id="29">
    <w:p w14:paraId="01D2979D" w14:textId="1F088D99"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w:t>
      </w:r>
      <w:hyperlink r:id="rId35">
        <w:r w:rsidRPr="006A5532">
          <w:rPr>
            <w:rStyle w:val="Hyperlink"/>
            <w:lang w:val="sl-SI"/>
          </w:rPr>
          <w:t xml:space="preserve">Zveza za kibernetskovarnostne veščine – Nova vizija za Evropo – Projekt REWIRE </w:t>
        </w:r>
      </w:hyperlink>
      <w:r w:rsidRPr="006A5532">
        <w:rPr>
          <w:lang w:val="sl-SI"/>
        </w:rPr>
        <w:t>(financiran iz programa Erasmus+); projekti za podporo kompetenčnemu centru za kibernetsko varnost (</w:t>
      </w:r>
      <w:hyperlink r:id="rId36">
        <w:r w:rsidRPr="006A5532">
          <w:rPr>
            <w:rStyle w:val="Hyperlink"/>
            <w:lang w:val="sl-SI"/>
          </w:rPr>
          <w:t>ECHO</w:t>
        </w:r>
      </w:hyperlink>
      <w:r w:rsidRPr="006A5532">
        <w:rPr>
          <w:lang w:val="sl-SI"/>
        </w:rPr>
        <w:t xml:space="preserve">, </w:t>
      </w:r>
      <w:hyperlink r:id="rId37">
        <w:r w:rsidRPr="006A5532">
          <w:rPr>
            <w:rStyle w:val="Hyperlink"/>
            <w:lang w:val="sl-SI"/>
          </w:rPr>
          <w:t>CONCORDIA</w:t>
        </w:r>
      </w:hyperlink>
      <w:r w:rsidRPr="006A5532">
        <w:rPr>
          <w:lang w:val="sl-SI"/>
        </w:rPr>
        <w:t xml:space="preserve">, </w:t>
      </w:r>
      <w:hyperlink r:id="rId38">
        <w:r w:rsidRPr="006A5532">
          <w:rPr>
            <w:rStyle w:val="Hyperlink"/>
            <w:lang w:val="sl-SI"/>
          </w:rPr>
          <w:t>CyberSec4Europe</w:t>
        </w:r>
      </w:hyperlink>
      <w:r w:rsidRPr="006A5532">
        <w:rPr>
          <w:lang w:val="sl-SI"/>
        </w:rPr>
        <w:t xml:space="preserve">, </w:t>
      </w:r>
      <w:hyperlink r:id="rId39">
        <w:r w:rsidRPr="006A5532">
          <w:rPr>
            <w:rStyle w:val="Hyperlink"/>
            <w:lang w:val="sl-SI"/>
          </w:rPr>
          <w:t>SPARTA</w:t>
        </w:r>
      </w:hyperlink>
      <w:r w:rsidRPr="006A5532">
        <w:rPr>
          <w:lang w:val="sl-SI"/>
        </w:rPr>
        <w:t xml:space="preserve"> (financirani iz programa Obzorje 2020) in </w:t>
      </w:r>
      <w:hyperlink r:id="rId40">
        <w:r w:rsidRPr="006A5532">
          <w:rPr>
            <w:rStyle w:val="Hyperlink"/>
            <w:lang w:val="sl-SI"/>
          </w:rPr>
          <w:t>projekt Cybersecpro</w:t>
        </w:r>
      </w:hyperlink>
      <w:r w:rsidRPr="006A5532">
        <w:rPr>
          <w:lang w:val="sl-SI"/>
        </w:rPr>
        <w:t xml:space="preserve"> (financiran iz programa za digitalno Evropo).</w:t>
      </w:r>
    </w:p>
  </w:footnote>
  <w:footnote w:id="30">
    <w:p w14:paraId="070F12BE"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Zlasti: </w:t>
      </w:r>
      <w:hyperlink r:id="rId41" w:history="1">
        <w:r w:rsidRPr="006A5532">
          <w:rPr>
            <w:rStyle w:val="Hyperlink"/>
            <w:lang w:val="sl-SI"/>
          </w:rPr>
          <w:t>evropski okvir za kibernetskovarnostne veščine (ECSF)</w:t>
        </w:r>
      </w:hyperlink>
      <w:r w:rsidRPr="006A5532">
        <w:rPr>
          <w:rStyle w:val="Hyperlink"/>
          <w:lang w:val="sl-SI"/>
        </w:rPr>
        <w:t xml:space="preserve">; </w:t>
      </w:r>
      <w:hyperlink r:id="rId42">
        <w:r w:rsidRPr="006A5532">
          <w:rPr>
            <w:rStyle w:val="Hyperlink"/>
            <w:lang w:val="sl-SI"/>
          </w:rPr>
          <w:t>CYBERHEAD – podatkovna zbirka o visokošolskem izobraževanju za kibernetsko varnost</w:t>
        </w:r>
      </w:hyperlink>
      <w:r w:rsidRPr="006A5532">
        <w:rPr>
          <w:lang w:val="sl-SI"/>
        </w:rPr>
        <w:t xml:space="preserve">; </w:t>
      </w:r>
      <w:hyperlink r:id="rId43" w:history="1">
        <w:r w:rsidRPr="006A5532">
          <w:rPr>
            <w:rStyle w:val="Hyperlink"/>
            <w:lang w:val="sl-SI"/>
          </w:rPr>
          <w:t>platforma za kibernetske vaje (CEP)</w:t>
        </w:r>
      </w:hyperlink>
      <w:r w:rsidRPr="006A5532">
        <w:rPr>
          <w:lang w:val="sl-SI"/>
        </w:rPr>
        <w:t xml:space="preserve">; </w:t>
      </w:r>
      <w:hyperlink r:id="rId44" w:history="1">
        <w:r w:rsidRPr="006A5532">
          <w:rPr>
            <w:rStyle w:val="Hyperlink"/>
            <w:lang w:val="sl-SI"/>
          </w:rPr>
          <w:t>evropski izziv na področju kibernetske varnosti</w:t>
        </w:r>
      </w:hyperlink>
      <w:r w:rsidRPr="006A5532">
        <w:rPr>
          <w:lang w:val="sl-SI"/>
        </w:rPr>
        <w:t xml:space="preserve">; </w:t>
      </w:r>
      <w:hyperlink r:id="rId45" w:history="1">
        <w:r w:rsidRPr="006A5532">
          <w:rPr>
            <w:rStyle w:val="Hyperlink"/>
            <w:lang w:val="sl-SI"/>
          </w:rPr>
          <w:t>evropski mesec kibernetske varnosti</w:t>
        </w:r>
      </w:hyperlink>
      <w:r w:rsidRPr="006A5532">
        <w:rPr>
          <w:lang w:val="sl-SI"/>
        </w:rPr>
        <w:t>.</w:t>
      </w:r>
    </w:p>
  </w:footnote>
  <w:footnote w:id="31">
    <w:p w14:paraId="684EB90C" w14:textId="77777777" w:rsidR="00831F29" w:rsidRPr="006A5532" w:rsidRDefault="00831F29" w:rsidP="00831F29">
      <w:pPr>
        <w:pStyle w:val="FootnoteText"/>
        <w:rPr>
          <w:lang w:val="sl-SI"/>
        </w:rPr>
      </w:pPr>
      <w:r w:rsidRPr="006A5532">
        <w:rPr>
          <w:rStyle w:val="FootnoteReference"/>
          <w:lang w:val="sl-SI"/>
        </w:rPr>
        <w:footnoteRef/>
      </w:r>
      <w:hyperlink r:id="rId46" w:history="1">
        <w:r w:rsidRPr="006A5532">
          <w:rPr>
            <w:rStyle w:val="Hyperlink"/>
            <w:lang w:val="sl-SI"/>
          </w:rPr>
          <w:t>Uredba (EU) 2021/887 Evropskega parlamenta in Sveta z dne 20. maja 2021 o vzpostavitvi Evropskega industrijskega, tehnološkega in raziskovalnega kompetenčnega centra za kibernetsko varnost ter Mreže nacionalnih koordinacijskih centrov</w:t>
        </w:r>
      </w:hyperlink>
      <w:r w:rsidRPr="006A5532">
        <w:rPr>
          <w:lang w:val="sl-SI"/>
        </w:rPr>
        <w:t>.</w:t>
      </w:r>
    </w:p>
  </w:footnote>
  <w:footnote w:id="32">
    <w:p w14:paraId="70FD74EC" w14:textId="77777777" w:rsidR="00F77CFB" w:rsidRPr="006A5532" w:rsidRDefault="00F77CFB" w:rsidP="00F77CFB">
      <w:pPr>
        <w:pStyle w:val="FootnoteText"/>
        <w:rPr>
          <w:lang w:val="sl-SI"/>
        </w:rPr>
      </w:pPr>
      <w:r w:rsidRPr="006A5532">
        <w:rPr>
          <w:rStyle w:val="FootnoteReference"/>
          <w:lang w:val="sl-SI"/>
        </w:rPr>
        <w:footnoteRef/>
      </w:r>
      <w:r w:rsidRPr="006A5532">
        <w:rPr>
          <w:lang w:val="sl-SI"/>
        </w:rPr>
        <w:t xml:space="preserve"> Zlasti prek </w:t>
      </w:r>
      <w:hyperlink r:id="rId47" w:history="1">
        <w:r w:rsidRPr="006A5532">
          <w:rPr>
            <w:rStyle w:val="Hyperlink"/>
            <w:lang w:val="sl-SI"/>
          </w:rPr>
          <w:t>platforme za kibernetsko izobraževanje, usposabljanje, ocenjevanje in kibernetske vaje</w:t>
        </w:r>
      </w:hyperlink>
      <w:r w:rsidRPr="006A5532">
        <w:rPr>
          <w:lang w:val="sl-SI"/>
        </w:rPr>
        <w:t>.</w:t>
      </w:r>
    </w:p>
  </w:footnote>
  <w:footnote w:id="33">
    <w:p w14:paraId="2AAA83F1" w14:textId="283DE771"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delovna skupina 5 za „izobraževanje, usposabljanje, ozaveščenost, kibernetsko varnost in človeške dejavnike“ Evropske organizacije za kibernetsko varnost (ECSO); organizacija </w:t>
      </w:r>
      <w:hyperlink r:id="rId48" w:history="1">
        <w:r w:rsidRPr="006A5532">
          <w:rPr>
            <w:rStyle w:val="Hyperlink"/>
            <w:lang w:val="sl-SI"/>
          </w:rPr>
          <w:t>DIGITALEUROPE</w:t>
        </w:r>
      </w:hyperlink>
      <w:r w:rsidRPr="006A5532">
        <w:rPr>
          <w:lang w:val="sl-SI"/>
        </w:rPr>
        <w:t xml:space="preserve">. </w:t>
      </w:r>
    </w:p>
  </w:footnote>
  <w:footnote w:id="34">
    <w:p w14:paraId="6A948E3D"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w:t>
      </w:r>
      <w:hyperlink r:id="rId49" w:history="1">
        <w:r w:rsidRPr="006A5532">
          <w:rPr>
            <w:rStyle w:val="Hyperlink"/>
            <w:lang w:val="sl-SI"/>
          </w:rPr>
          <w:t>SANS Institute</w:t>
        </w:r>
      </w:hyperlink>
      <w:r w:rsidRPr="006A5532">
        <w:rPr>
          <w:lang w:val="sl-SI"/>
        </w:rPr>
        <w:t>, (ISC)² in ISACA.</w:t>
      </w:r>
    </w:p>
  </w:footnote>
  <w:footnote w:id="35">
    <w:p w14:paraId="6021A442" w14:textId="32797C64"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v nacionalnih strategijah za izobraževanje ali kibernetsko varnost.</w:t>
      </w:r>
    </w:p>
  </w:footnote>
  <w:footnote w:id="36">
    <w:p w14:paraId="05A7599D"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w:t>
      </w:r>
      <w:hyperlink r:id="rId50" w:history="1">
        <w:r w:rsidRPr="006A5532">
          <w:rPr>
            <w:rStyle w:val="Hyperlink"/>
            <w:lang w:val="sl-SI"/>
          </w:rPr>
          <w:t>C-Academy</w:t>
        </w:r>
      </w:hyperlink>
      <w:r w:rsidRPr="006A5532">
        <w:rPr>
          <w:lang w:val="sl-SI"/>
        </w:rPr>
        <w:t xml:space="preserve"> na Portugalskem.</w:t>
      </w:r>
    </w:p>
  </w:footnote>
  <w:footnote w:id="37">
    <w:p w14:paraId="00258327"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w:t>
      </w:r>
      <w:hyperlink r:id="rId51" w:history="1">
        <w:r w:rsidRPr="006A5532">
          <w:rPr>
            <w:rStyle w:val="Hyperlink"/>
            <w:lang w:val="sl-SI"/>
          </w:rPr>
          <w:t>kibernetski kampus</w:t>
        </w:r>
      </w:hyperlink>
      <w:r w:rsidRPr="006A5532">
        <w:rPr>
          <w:lang w:val="sl-SI"/>
        </w:rPr>
        <w:t xml:space="preserve"> v Franciji.</w:t>
      </w:r>
    </w:p>
  </w:footnote>
  <w:footnote w:id="38">
    <w:p w14:paraId="24A7390A" w14:textId="5647B10A" w:rsidR="008C10E8" w:rsidRPr="006A5532" w:rsidRDefault="008C10E8">
      <w:pPr>
        <w:pStyle w:val="FootnoteText"/>
        <w:rPr>
          <w:lang w:val="sl-SI"/>
        </w:rPr>
      </w:pPr>
      <w:r>
        <w:rPr>
          <w:rStyle w:val="FootnoteReference"/>
        </w:rPr>
        <w:footnoteRef/>
      </w:r>
      <w:r w:rsidRPr="00106810">
        <w:rPr>
          <w:lang w:val="fr-FR"/>
        </w:rPr>
        <w:t xml:space="preserve"> Na primer </w:t>
      </w:r>
      <w:hyperlink r:id="rId52" w:history="1">
        <w:hyperlink w:history="1">
          <w:r w:rsidRPr="006A5532">
            <w:rPr>
              <w:lang w:val="sl-SI"/>
            </w:rPr>
            <w:t xml:space="preserve">litovski center odličnosti za usposabljanje, raziskave in izobraževanje na področju kibernetske kriminalitete v Litvi </w:t>
          </w:r>
        </w:hyperlink>
      </w:hyperlink>
      <w:r w:rsidRPr="006A5532">
        <w:rPr>
          <w:lang w:val="sl-SI"/>
        </w:rPr>
        <w:t xml:space="preserve"> (</w:t>
      </w:r>
      <w:hyperlink r:id="rId53" w:history="1">
        <w:r w:rsidRPr="006A5532">
          <w:rPr>
            <w:rStyle w:val="Hyperlink"/>
            <w:lang w:val="sl-SI"/>
          </w:rPr>
          <w:t>L3CE</w:t>
        </w:r>
      </w:hyperlink>
      <w:r w:rsidRPr="006A5532">
        <w:rPr>
          <w:lang w:val="sl-SI"/>
        </w:rPr>
        <w:t>).</w:t>
      </w:r>
    </w:p>
  </w:footnote>
  <w:footnote w:id="39">
    <w:p w14:paraId="3A251B9A"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Na primer </w:t>
      </w:r>
      <w:hyperlink r:id="rId54" w:history="1">
        <w:r w:rsidRPr="006A5532">
          <w:rPr>
            <w:rStyle w:val="Hyperlink"/>
            <w:lang w:val="sl-SI"/>
          </w:rPr>
          <w:t>Microsoftova pobuda za pridobivanje kibernetskovarnostnih veščin</w:t>
        </w:r>
      </w:hyperlink>
      <w:r w:rsidRPr="006A5532">
        <w:rPr>
          <w:lang w:val="sl-SI"/>
        </w:rPr>
        <w:t>.</w:t>
      </w:r>
    </w:p>
  </w:footnote>
  <w:footnote w:id="40">
    <w:p w14:paraId="1468881C" w14:textId="77777777" w:rsidR="726DB5C3" w:rsidRPr="006A5532" w:rsidRDefault="726DB5C3" w:rsidP="726DB5C3">
      <w:pPr>
        <w:pStyle w:val="FootnoteText"/>
        <w:rPr>
          <w:lang w:val="sl-SI"/>
        </w:rPr>
      </w:pPr>
      <w:r w:rsidRPr="006A5532">
        <w:rPr>
          <w:rStyle w:val="FootnoteReference"/>
          <w:lang w:val="sl-SI"/>
        </w:rPr>
        <w:footnoteRef/>
      </w:r>
      <w:r w:rsidRPr="006A5532">
        <w:rPr>
          <w:lang w:val="sl-SI"/>
        </w:rPr>
        <w:t xml:space="preserve"> </w:t>
      </w:r>
      <w:hyperlink r:id="rId55" w:anchor=":~:text=Under%20ISCO-08%2C%20Eurostat%20and%20the%20OECD%20define%20ICT,electronics%20mechanics%20and%20servicers%3B%20ICT%20installers%20and%20servicers.">
        <w:r w:rsidRPr="006A5532">
          <w:rPr>
            <w:rStyle w:val="Hyperlink"/>
            <w:sz w:val="20"/>
            <w:lang w:val="sl-SI"/>
          </w:rPr>
          <w:t>ICT specialists in employment - Statistics Explained (Zaposleni strokovnjaki za IKT – Vodnik po statističnih podatkih) (europa.eu)</w:t>
        </w:r>
      </w:hyperlink>
      <w:r w:rsidRPr="006A5532">
        <w:rPr>
          <w:lang w:val="sl-SI"/>
        </w:rPr>
        <w:t>.</w:t>
      </w:r>
    </w:p>
  </w:footnote>
  <w:footnote w:id="41">
    <w:p w14:paraId="1450A297" w14:textId="19BEE366" w:rsidR="004A7F06" w:rsidRPr="006A5532" w:rsidRDefault="004A7F06">
      <w:pPr>
        <w:pStyle w:val="FootnoteText"/>
        <w:rPr>
          <w:lang w:val="sl-SI"/>
        </w:rPr>
      </w:pPr>
      <w:r w:rsidRPr="006A5532">
        <w:rPr>
          <w:rStyle w:val="FootnoteReference"/>
          <w:lang w:val="sl-SI"/>
        </w:rPr>
        <w:footnoteRef/>
      </w:r>
      <w:r w:rsidRPr="006A5532">
        <w:rPr>
          <w:lang w:val="sl-SI"/>
        </w:rPr>
        <w:t xml:space="preserve"> Kot je orodje CEDEFOP: </w:t>
      </w:r>
      <w:hyperlink r:id="rId56" w:history="1">
        <w:r w:rsidRPr="006A5532">
          <w:rPr>
            <w:rStyle w:val="Hyperlink"/>
            <w:lang w:val="sl-SI"/>
          </w:rPr>
          <w:t>Skills-OVATE |</w:t>
        </w:r>
      </w:hyperlink>
      <w:hyperlink r:id="rId57" w:history="1">
        <w:r w:rsidRPr="006A5532">
          <w:rPr>
            <w:rStyle w:val="Hyperlink"/>
            <w:lang w:val="sl-SI"/>
          </w:rPr>
          <w:t xml:space="preserve"> CEDEFOP (europa.eu)</w:t>
        </w:r>
      </w:hyperlink>
      <w:r w:rsidRPr="006A5532">
        <w:rPr>
          <w:lang w:val="sl-SI"/>
        </w:rPr>
        <w:t>.</w:t>
      </w:r>
    </w:p>
  </w:footnote>
  <w:footnote w:id="42">
    <w:p w14:paraId="4C09893A"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w:t>
      </w:r>
      <w:hyperlink r:id="rId58" w:history="1">
        <w:r w:rsidRPr="006A5532">
          <w:rPr>
            <w:rStyle w:val="Hyperlink"/>
            <w:lang w:val="sl-SI"/>
          </w:rPr>
          <w:t>Pismo o nameri k stanju v Evropski uniji v letu 2022, naslovljeno na predsednico Roberto Metsola in predsednika vlade Petra Fialo</w:t>
        </w:r>
      </w:hyperlink>
      <w:r w:rsidRPr="006A5532">
        <w:rPr>
          <w:lang w:val="sl-SI"/>
        </w:rPr>
        <w:t>.</w:t>
      </w:r>
    </w:p>
  </w:footnote>
  <w:footnote w:id="43">
    <w:p w14:paraId="24E2469F"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w:t>
      </w:r>
      <w:hyperlink r:id="rId59" w:history="1">
        <w:r w:rsidRPr="006A5532">
          <w:rPr>
            <w:rStyle w:val="Hyperlink"/>
            <w:lang w:val="sl-SI"/>
          </w:rPr>
          <w:t>Skupno sporočilo Evropskemu parlamentu in Svetu, Politika EU za kibernetsko obrambo (JOIN(2022) 49 final)</w:t>
        </w:r>
      </w:hyperlink>
      <w:r w:rsidRPr="006A5532">
        <w:rPr>
          <w:lang w:val="sl-SI"/>
        </w:rPr>
        <w:t>.</w:t>
      </w:r>
    </w:p>
  </w:footnote>
  <w:footnote w:id="44">
    <w:p w14:paraId="17BBFF5B" w14:textId="45E08F5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Predloga za priporočila Sveta o </w:t>
      </w:r>
      <w:r w:rsidRPr="006A5532">
        <w:rPr>
          <w:rStyle w:val="normaltextrun"/>
          <w:bdr w:val="none" w:sz="0" w:space="0" w:color="auto" w:frame="1"/>
          <w:lang w:val="sl-SI"/>
        </w:rPr>
        <w:t>ključnih dejavnikih, ki omogočajo uspešno digitalno izobraževanje in usposabljanje, ter o izboljšanju zagotavljanja digitalnih spretnosti v izobraževanju in usposabljanju</w:t>
      </w:r>
      <w:r w:rsidRPr="006A5532">
        <w:rPr>
          <w:lang w:val="sl-SI"/>
        </w:rPr>
        <w:t>.</w:t>
      </w:r>
    </w:p>
  </w:footnote>
  <w:footnote w:id="45">
    <w:p w14:paraId="22400560"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w:t>
      </w:r>
      <w:hyperlink r:id="rId60" w:history="1">
        <w:r w:rsidRPr="006A5532">
          <w:rPr>
            <w:rStyle w:val="Hyperlink"/>
            <w:lang w:val="sl-SI"/>
          </w:rPr>
          <w:t>Uredba (EU) 2021/694 Evropskega parlamenta in Sveta z dne 29. aprila 2021 o vzpostavitvi programa Digitalna Evropa in razveljavitvi Sklepa (EU) 2015/2240</w:t>
        </w:r>
      </w:hyperlink>
      <w:r w:rsidRPr="006A5532">
        <w:rPr>
          <w:lang w:val="sl-SI"/>
        </w:rPr>
        <w:t>.</w:t>
      </w:r>
    </w:p>
  </w:footnote>
  <w:footnote w:id="46">
    <w:p w14:paraId="0D1AFA03" w14:textId="3F935D54" w:rsidR="00831F29" w:rsidRPr="006A5532" w:rsidRDefault="00831F29" w:rsidP="00831F29">
      <w:pPr>
        <w:pStyle w:val="FootnoteText"/>
        <w:rPr>
          <w:lang w:val="sl-SI"/>
        </w:rPr>
      </w:pPr>
      <w:r w:rsidRPr="006A5532">
        <w:rPr>
          <w:rStyle w:val="FootnoteReference"/>
          <w:lang w:val="sl-SI"/>
        </w:rPr>
        <w:footnoteRef/>
      </w:r>
      <w:r w:rsidRPr="006A5532">
        <w:rPr>
          <w:rStyle w:val="FootnoteReference"/>
          <w:lang w:val="sl-SI"/>
        </w:rPr>
        <w:t xml:space="preserve"> </w:t>
      </w:r>
      <w:r w:rsidRPr="006A5532">
        <w:rPr>
          <w:lang w:val="sl-SI"/>
        </w:rPr>
        <w:t xml:space="preserve">Konzorciji evropske digitalne strukture so bili vzpostavljeni v </w:t>
      </w:r>
      <w:hyperlink r:id="rId61">
        <w:r w:rsidRPr="006A5532">
          <w:rPr>
            <w:rStyle w:val="Hyperlink"/>
            <w:lang w:val="sl-SI"/>
          </w:rPr>
          <w:t>Sklepu (EU) 2022/2481 Evropskega parlamenta in Sveta z dne 14. decembra 2022 o vzpostavitvi programa politike Digitalno desetletje do leta 2030</w:t>
        </w:r>
      </w:hyperlink>
      <w:r w:rsidRPr="006A5532">
        <w:rPr>
          <w:lang w:val="sl-SI"/>
        </w:rPr>
        <w:t>, člen 13 in naslednji.</w:t>
      </w:r>
    </w:p>
  </w:footnote>
  <w:footnote w:id="47">
    <w:p w14:paraId="533616DC" w14:textId="236A542A" w:rsidR="00004AE8" w:rsidRPr="006A5532" w:rsidRDefault="00004AE8" w:rsidP="00004AE8">
      <w:pPr>
        <w:pStyle w:val="FootnoteText"/>
        <w:rPr>
          <w:lang w:val="sl-SI"/>
        </w:rPr>
      </w:pPr>
      <w:r w:rsidRPr="006A5532">
        <w:rPr>
          <w:rStyle w:val="FootnoteReference"/>
          <w:lang w:val="sl-SI"/>
        </w:rPr>
        <w:footnoteRef/>
      </w:r>
      <w:r w:rsidRPr="006A5532">
        <w:rPr>
          <w:lang w:val="sl-SI"/>
        </w:rPr>
        <w:t xml:space="preserve"> Prav tam, člen 12.</w:t>
      </w:r>
    </w:p>
  </w:footnote>
  <w:footnote w:id="48">
    <w:p w14:paraId="2111E00E"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 </w:t>
      </w:r>
      <w:hyperlink r:id="rId62">
        <w:r w:rsidRPr="006A5532">
          <w:rPr>
            <w:rStyle w:val="Hyperlink"/>
            <w:lang w:val="sl-SI"/>
          </w:rPr>
          <w:t>Domača stran |</w:t>
        </w:r>
      </w:hyperlink>
      <w:hyperlink r:id="rId63">
        <w:r w:rsidRPr="006A5532">
          <w:rPr>
            <w:rStyle w:val="Hyperlink"/>
            <w:lang w:val="sl-SI"/>
          </w:rPr>
          <w:t xml:space="preserve"> Platforma za digitalne spretnosti in delovna mesta (europa.eu)</w:t>
        </w:r>
      </w:hyperlink>
      <w:r w:rsidRPr="006A5532">
        <w:rPr>
          <w:lang w:val="sl-SI"/>
        </w:rPr>
        <w:t>.</w:t>
      </w:r>
    </w:p>
  </w:footnote>
  <w:footnote w:id="49">
    <w:p w14:paraId="46D352E9" w14:textId="11EB4AE7" w:rsidR="726DB5C3" w:rsidRPr="006A5532" w:rsidRDefault="726DB5C3" w:rsidP="00D27FA3">
      <w:pPr>
        <w:pStyle w:val="FootnoteText"/>
        <w:rPr>
          <w:lang w:val="sl-SI"/>
        </w:rPr>
      </w:pPr>
      <w:r w:rsidRPr="006A5532">
        <w:rPr>
          <w:rStyle w:val="FootnoteReference"/>
          <w:lang w:val="sl-SI"/>
        </w:rPr>
        <w:footnoteRef/>
      </w:r>
      <w:r w:rsidRPr="006A5532">
        <w:rPr>
          <w:rStyle w:val="FootnoteReference"/>
          <w:lang w:val="sl-SI"/>
        </w:rPr>
        <w:t xml:space="preserve"> </w:t>
      </w:r>
      <w:r w:rsidRPr="006A5532">
        <w:rPr>
          <w:lang w:val="sl-SI"/>
        </w:rPr>
        <w:t xml:space="preserve">Glej </w:t>
      </w:r>
      <w:hyperlink r:id="rId64" w:history="1">
        <w:r w:rsidRPr="006A5532">
          <w:rPr>
            <w:rStyle w:val="Hyperlink"/>
            <w:lang w:val="sl-SI"/>
          </w:rPr>
          <w:t>Evropski kompetenčni center za kibernetsko varnost in Mreža nacionalnih koordinacijskih centrov:</w:t>
        </w:r>
      </w:hyperlink>
      <w:hyperlink r:id="rId65" w:history="1">
        <w:r w:rsidRPr="006A5532">
          <w:rPr>
            <w:rStyle w:val="Hyperlink"/>
            <w:lang w:val="sl-SI"/>
          </w:rPr>
          <w:t xml:space="preserve"> nov projekt za podporo skupnosti za kibernetsko varnost, ki ga financira EU</w:t>
        </w:r>
      </w:hyperlink>
      <w:r w:rsidRPr="006A5532">
        <w:rPr>
          <w:rStyle w:val="Hyperlink"/>
          <w:lang w:val="sl-SI"/>
        </w:rPr>
        <w:t xml:space="preserve">. </w:t>
      </w:r>
      <w:r w:rsidRPr="006A5532">
        <w:rPr>
          <w:lang w:val="sl-SI"/>
        </w:rPr>
        <w:t>Evropska komisija je decembra 2022 podpisala pogodbo v višini 3 milijonov EUR za podporo skupnosti za kibernetsko varnost EU v okviru Evropskega kompetenčnega centra za kibernetsko varnost. Ta projekt bo prispeval k ciljem EU glede krepitve skupnosti in zmogljivosti v zvezi z raziskavami, inovacijami, uvajanjem ter industrijsko bazo na področju kibernetske varnosti.</w:t>
      </w:r>
    </w:p>
  </w:footnote>
  <w:footnote w:id="50">
    <w:p w14:paraId="3978ADC5" w14:textId="75DA375E" w:rsidR="00D25591" w:rsidRPr="006A5532" w:rsidRDefault="00D25591">
      <w:pPr>
        <w:pStyle w:val="FootnoteText"/>
        <w:rPr>
          <w:lang w:val="sl-SI"/>
        </w:rPr>
      </w:pPr>
      <w:r>
        <w:rPr>
          <w:rStyle w:val="FootnoteReference"/>
        </w:rPr>
        <w:footnoteRef/>
      </w:r>
      <w:r>
        <w:t xml:space="preserve"> „</w:t>
      </w:r>
      <w:r w:rsidRPr="006A5532">
        <w:rPr>
          <w:lang w:val="sl-SI"/>
        </w:rPr>
        <w:t>Agencija ENISA podpira krepitev zmogljivosti in pripravljenosti v vsej Uniji, tako da institucijam, organom, uradom in agencijam Unije, pa tudi državam članicam ter javnim in zasebnim deležnikom pomaga […] razvijati znanja in spretnosti na področju kibernetske varnosti.“ Člen 4(3) Akta o kibernetski varnosti.</w:t>
      </w:r>
    </w:p>
  </w:footnote>
  <w:footnote w:id="51">
    <w:p w14:paraId="3329C745" w14:textId="207A3454" w:rsidR="003267B4" w:rsidRPr="006A5532" w:rsidRDefault="003267B4">
      <w:pPr>
        <w:pStyle w:val="FootnoteText"/>
        <w:rPr>
          <w:lang w:val="sl-SI"/>
        </w:rPr>
      </w:pPr>
      <w:r w:rsidRPr="006A5532">
        <w:rPr>
          <w:rStyle w:val="FootnoteReference"/>
          <w:lang w:val="sl-SI"/>
        </w:rPr>
        <w:footnoteRef/>
      </w:r>
      <w:r w:rsidRPr="006A5532">
        <w:rPr>
          <w:lang w:val="sl-SI"/>
        </w:rPr>
        <w:t xml:space="preserve"> Člen 18 direktive NIS 2.</w:t>
      </w:r>
    </w:p>
  </w:footnote>
  <w:footnote w:id="52">
    <w:p w14:paraId="0F9A0989" w14:textId="77777777" w:rsidR="007D4CB4" w:rsidRPr="006A5532" w:rsidRDefault="007D4CB4" w:rsidP="007D4CB4">
      <w:pPr>
        <w:pStyle w:val="FootnoteText"/>
        <w:rPr>
          <w:lang w:val="sl-SI"/>
        </w:rPr>
      </w:pPr>
      <w:r w:rsidRPr="006A5532">
        <w:rPr>
          <w:rStyle w:val="FootnoteReference"/>
          <w:lang w:val="sl-SI"/>
        </w:rPr>
        <w:footnoteRef/>
      </w:r>
      <w:r w:rsidRPr="006A5532">
        <w:rPr>
          <w:lang w:val="sl-SI"/>
        </w:rPr>
        <w:t xml:space="preserve"> </w:t>
      </w:r>
      <w:hyperlink r:id="rId66">
        <w:r w:rsidRPr="006A5532">
          <w:rPr>
            <w:rStyle w:val="Hyperlink"/>
            <w:lang w:val="sl-SI"/>
          </w:rPr>
          <w:t>Direktiva (EU) 2022/2555 Evropskega parlamenta in Sveta z dne 14. decembra 2022 o ukrepih za visoko skupno raven kibernetske varnosti v Uniji, spremembi Uredbe (EU) št. 910/2014 in Direktive (EU) 2018/1972 ter razveljavitvi Direktive (EU) 2016/1148 (direktiva NIS 2)</w:t>
        </w:r>
      </w:hyperlink>
      <w:r w:rsidRPr="006A5532">
        <w:rPr>
          <w:lang w:val="sl-SI"/>
        </w:rPr>
        <w:t>.</w:t>
      </w:r>
    </w:p>
  </w:footnote>
  <w:footnote w:id="53">
    <w:p w14:paraId="65CFB7C2" w14:textId="0AA54BE6" w:rsidR="00831F29" w:rsidRPr="006A5532" w:rsidRDefault="00831F29" w:rsidP="00D27FA3">
      <w:pPr>
        <w:pStyle w:val="FootnoteText"/>
        <w:rPr>
          <w:lang w:val="sl-SI"/>
        </w:rPr>
      </w:pPr>
      <w:r w:rsidRPr="006A5532">
        <w:rPr>
          <w:rStyle w:val="FootnoteReference"/>
          <w:lang w:val="sl-SI"/>
        </w:rPr>
        <w:footnoteRef/>
      </w:r>
      <w:r w:rsidRPr="006A5532">
        <w:rPr>
          <w:lang w:val="sl-SI"/>
        </w:rPr>
        <w:t xml:space="preserve"> </w:t>
      </w:r>
      <w:hyperlink r:id="rId67">
        <w:r w:rsidRPr="006A5532">
          <w:rPr>
            <w:rStyle w:val="Hyperlink"/>
            <w:lang w:val="sl-SI"/>
          </w:rPr>
          <w:t>Evropski okvir za kibernetskovarnostne veščine (ECSF) – ENISA (europa.eu)</w:t>
        </w:r>
      </w:hyperlink>
      <w:r w:rsidRPr="006A5532">
        <w:rPr>
          <w:lang w:val="sl-SI"/>
        </w:rPr>
        <w:t>. Evropski okvir za kibernetskovarnostne veščine podpira opredelitev in opis nalog, kompetenc, veščin in znanja, povezanih z vlogami evropskih strokovnjakov za kibernetsko varnost. V njem so vse vloge, povezane s kibernetsko varnostjo, povzete v profile, ki so posamično razčlenjeni na podrobnosti o ustreznih odgovornostih, veščinah, sinergijah in soodvisnostih.</w:t>
      </w:r>
    </w:p>
  </w:footnote>
  <w:footnote w:id="54">
    <w:p w14:paraId="4CB01ADE" w14:textId="233ED78A" w:rsidR="00AB20D0" w:rsidRPr="006A5532" w:rsidRDefault="00AB20D0">
      <w:pPr>
        <w:pStyle w:val="FootnoteText"/>
        <w:rPr>
          <w:lang w:val="sl-SI"/>
        </w:rPr>
      </w:pPr>
      <w:r w:rsidRPr="006A5532">
        <w:rPr>
          <w:rStyle w:val="FootnoteReference"/>
          <w:lang w:val="sl-SI"/>
        </w:rPr>
        <w:footnoteRef/>
      </w:r>
      <w:r w:rsidRPr="006A5532">
        <w:rPr>
          <w:lang w:val="sl-SI"/>
        </w:rPr>
        <w:t xml:space="preserve"> </w:t>
      </w:r>
      <w:hyperlink r:id="rId68" w:history="1">
        <w:r w:rsidRPr="006A5532">
          <w:rPr>
            <w:rStyle w:val="Hyperlink"/>
            <w:lang w:val="sl-SI"/>
          </w:rPr>
          <w:t>Evropski okvir za e-usposobljenost (e-CF) |</w:t>
        </w:r>
      </w:hyperlink>
      <w:hyperlink r:id="rId69" w:history="1">
        <w:r w:rsidRPr="006A5532">
          <w:rPr>
            <w:rStyle w:val="Hyperlink"/>
            <w:lang w:val="sl-SI"/>
          </w:rPr>
          <w:t xml:space="preserve"> Esco (europa.eu)</w:t>
        </w:r>
      </w:hyperlink>
      <w:r w:rsidRPr="006A5532">
        <w:rPr>
          <w:lang w:val="sl-SI"/>
        </w:rPr>
        <w:t xml:space="preserve">. Evropski okvir za e-usposobljenost zagotavlja dosledne povezave v okviru kvalifikacij na področju IKT in drugih okvirov, pomembnih za sektor, med katere sodi </w:t>
      </w:r>
      <w:hyperlink r:id="rId70" w:history="1">
        <w:r w:rsidRPr="006A5532">
          <w:rPr>
            <w:rStyle w:val="Hyperlink"/>
            <w:lang w:val="sl-SI"/>
          </w:rPr>
          <w:t>okvir digitalnih kompetenc za državljane</w:t>
        </w:r>
      </w:hyperlink>
      <w:r w:rsidRPr="006A5532">
        <w:rPr>
          <w:lang w:val="sl-SI"/>
        </w:rPr>
        <w:t>.</w:t>
      </w:r>
    </w:p>
  </w:footnote>
  <w:footnote w:id="55">
    <w:p w14:paraId="67397AB6" w14:textId="6464892E" w:rsidR="00AB20D0" w:rsidRPr="006A5532" w:rsidRDefault="00AB20D0">
      <w:pPr>
        <w:pStyle w:val="FootnoteText"/>
        <w:rPr>
          <w:lang w:val="sl-SI"/>
        </w:rPr>
      </w:pPr>
      <w:r w:rsidRPr="006A5532">
        <w:rPr>
          <w:rStyle w:val="FootnoteReference"/>
          <w:lang w:val="sl-SI"/>
        </w:rPr>
        <w:footnoteRef/>
      </w:r>
      <w:r w:rsidRPr="006A5532">
        <w:rPr>
          <w:lang w:val="sl-SI"/>
        </w:rPr>
        <w:t xml:space="preserve"> V zvezi s tem glej </w:t>
      </w:r>
      <w:hyperlink r:id="rId71" w:history="1">
        <w:r w:rsidRPr="006A5532">
          <w:rPr>
            <w:rStyle w:val="Hyperlink"/>
            <w:lang w:val="sl-SI"/>
          </w:rPr>
          <w:t>uporabniški priročnik – evropski okvir za kibernetskovarnostne veščine – september 2022</w:t>
        </w:r>
      </w:hyperlink>
      <w:r w:rsidRPr="006A5532">
        <w:rPr>
          <w:lang w:val="sl-SI"/>
        </w:rPr>
        <w:t>.</w:t>
      </w:r>
    </w:p>
  </w:footnote>
  <w:footnote w:id="56">
    <w:p w14:paraId="38AD3F14" w14:textId="3F8E1B7E" w:rsidR="00B41C6C" w:rsidRPr="006A5532" w:rsidRDefault="00B41C6C">
      <w:pPr>
        <w:pStyle w:val="FootnoteText"/>
        <w:rPr>
          <w:lang w:val="sl-SI"/>
        </w:rPr>
      </w:pPr>
      <w:r w:rsidRPr="006A5532">
        <w:rPr>
          <w:rStyle w:val="FootnoteReference"/>
          <w:lang w:val="sl-SI"/>
        </w:rPr>
        <w:footnoteRef/>
      </w:r>
      <w:r w:rsidRPr="006A5532">
        <w:rPr>
          <w:lang w:val="sl-SI"/>
        </w:rPr>
        <w:t xml:space="preserve"> Glej na primer orodje </w:t>
      </w:r>
      <w:hyperlink r:id="rId72" w:history="1">
        <w:r w:rsidRPr="006A5532">
          <w:rPr>
            <w:rStyle w:val="Hyperlink"/>
            <w:lang w:val="sl-SI"/>
          </w:rPr>
          <w:t>Skills-OVATE</w:t>
        </w:r>
      </w:hyperlink>
      <w:r w:rsidRPr="006A5532">
        <w:rPr>
          <w:lang w:val="sl-SI"/>
        </w:rPr>
        <w:t>, ki ga je razvil Cedefop.</w:t>
      </w:r>
    </w:p>
  </w:footnote>
  <w:footnote w:id="57">
    <w:p w14:paraId="2CBFBF13" w14:textId="0602A22E" w:rsidR="001F6967" w:rsidRPr="006A5532" w:rsidRDefault="001F6967">
      <w:pPr>
        <w:pStyle w:val="FootnoteText"/>
        <w:rPr>
          <w:lang w:val="sl-SI"/>
        </w:rPr>
      </w:pPr>
      <w:r>
        <w:rPr>
          <w:rStyle w:val="FootnoteReference"/>
        </w:rPr>
        <w:footnoteRef/>
      </w:r>
      <w:r>
        <w:t xml:space="preserve"> </w:t>
      </w:r>
      <w:r w:rsidRPr="006A5532">
        <w:rPr>
          <w:lang w:val="sl-SI"/>
        </w:rPr>
        <w:t>Agencija bo še naprej uporabljala rezultate iz drugih projektov, ki jih financira EU (</w:t>
      </w:r>
      <w:hyperlink r:id="rId73" w:history="1">
        <w:r w:rsidRPr="006A5532">
          <w:rPr>
            <w:rStyle w:val="Hyperlink"/>
            <w:lang w:val="sl-SI"/>
          </w:rPr>
          <w:t>REWIRE</w:t>
        </w:r>
      </w:hyperlink>
      <w:r w:rsidRPr="006A5532">
        <w:rPr>
          <w:lang w:val="sl-SI"/>
        </w:rPr>
        <w:t xml:space="preserve">, </w:t>
      </w:r>
      <w:hyperlink r:id="rId74" w:history="1">
        <w:r w:rsidRPr="006A5532">
          <w:rPr>
            <w:rStyle w:val="Hyperlink"/>
            <w:shd w:val="clear" w:color="auto" w:fill="E6E6E6"/>
            <w:lang w:val="sl-SI"/>
          </w:rPr>
          <w:t>Data Space For Skills (DS4S)</w:t>
        </w:r>
      </w:hyperlink>
      <w:r w:rsidRPr="006A5532">
        <w:rPr>
          <w:rStyle w:val="Hyperlink"/>
          <w:lang w:val="sl-SI"/>
        </w:rPr>
        <w:t>, CyberSecPro, Concordia</w:t>
      </w:r>
      <w:r w:rsidRPr="006A5532">
        <w:rPr>
          <w:lang w:val="sl-SI"/>
        </w:rPr>
        <w:t>), in metodologije, ki izhajajo iz podobnih pobud (npr. „Building a Skilled Cyber Security Workforce in Five Countries: Insights from Australia, Canada, New Zealand, United Kingdom and United States“ (Ustvarjanje usposobljene delovne sile na področju kibernetske varnosti v petih državah: spoznanja iz Avstralije, Kanade, Nove Zelandije, Združenega kraljestva in Združenih držav Amerike), poročilo OECD, objavljeno 21. marca 2023), da bi v prihodnosti zagotovila posodobljeno vizijo potreb v okolju, v katerem se povpraševanje nenehno spreminja.</w:t>
      </w:r>
      <w:r w:rsidRPr="006A5532">
        <w:rPr>
          <w:sz w:val="24"/>
          <w:highlight w:val="yellow"/>
          <w:lang w:val="sl-SI"/>
        </w:rPr>
        <w:t xml:space="preserve"> </w:t>
      </w:r>
    </w:p>
  </w:footnote>
  <w:footnote w:id="58">
    <w:p w14:paraId="5DE311F1" w14:textId="00D3204C" w:rsidR="00545E68" w:rsidRPr="006A5532" w:rsidRDefault="00545E68">
      <w:pPr>
        <w:pStyle w:val="FootnoteText"/>
        <w:rPr>
          <w:lang w:val="sl-SI"/>
        </w:rPr>
      </w:pPr>
      <w:r w:rsidRPr="006A5532">
        <w:rPr>
          <w:rStyle w:val="FootnoteReference"/>
          <w:lang w:val="sl-SI"/>
        </w:rPr>
        <w:footnoteRef/>
      </w:r>
      <w:r w:rsidRPr="006A5532">
        <w:rPr>
          <w:lang w:val="sl-SI"/>
        </w:rPr>
        <w:t xml:space="preserve"> </w:t>
      </w:r>
      <w:r w:rsidRPr="006A5532">
        <w:rPr>
          <w:rStyle w:val="Hyperlink"/>
          <w:lang w:val="sl-SI"/>
        </w:rPr>
        <w:t xml:space="preserve">CEPOL, </w:t>
      </w:r>
      <w:hyperlink r:id="rId75" w:history="1">
        <w:r w:rsidRPr="006A5532">
          <w:rPr>
            <w:rStyle w:val="Hyperlink"/>
            <w:lang w:val="sl-SI"/>
          </w:rPr>
          <w:t>Ocena potreb po operativnem usposabljanju</w:t>
        </w:r>
      </w:hyperlink>
      <w:r w:rsidRPr="006A5532">
        <w:rPr>
          <w:rStyle w:val="Hyperlink"/>
          <w:lang w:val="sl-SI"/>
        </w:rPr>
        <w:t xml:space="preserve"> (OTNA)</w:t>
      </w:r>
      <w:r w:rsidRPr="006A5532">
        <w:rPr>
          <w:lang w:val="sl-SI"/>
        </w:rPr>
        <w:t>.</w:t>
      </w:r>
    </w:p>
  </w:footnote>
  <w:footnote w:id="59">
    <w:p w14:paraId="5D56E2C9" w14:textId="77777777" w:rsidR="00831F29" w:rsidRPr="006A5532" w:rsidRDefault="00831F29" w:rsidP="00831F29">
      <w:pPr>
        <w:pStyle w:val="FootnoteText"/>
        <w:rPr>
          <w:lang w:val="sl-SI"/>
        </w:rPr>
      </w:pPr>
      <w:r w:rsidRPr="006A5532">
        <w:rPr>
          <w:rStyle w:val="FootnoteReference"/>
          <w:lang w:val="sl-SI"/>
        </w:rPr>
        <w:footnoteRef/>
      </w:r>
      <w:r w:rsidRPr="006A5532">
        <w:rPr>
          <w:lang w:val="sl-SI"/>
        </w:rPr>
        <w:t xml:space="preserve">V zvezi s tem glej </w:t>
      </w:r>
      <w:hyperlink r:id="rId76" w:history="1">
        <w:r w:rsidRPr="006A5532">
          <w:rPr>
            <w:rStyle w:val="Hyperlink"/>
            <w:lang w:val="sl-SI"/>
          </w:rPr>
          <w:t>Skupno sporočilo Evropskemu parlamentu in Svetu, Politika EU za kibernetsko obrambo (JOIN(2022) 49 final)</w:t>
        </w:r>
      </w:hyperlink>
      <w:r w:rsidRPr="006A5532">
        <w:rPr>
          <w:lang w:val="sl-SI"/>
        </w:rPr>
        <w:t>.</w:t>
      </w:r>
    </w:p>
  </w:footnote>
  <w:footnote w:id="60">
    <w:p w14:paraId="49DA8FA4" w14:textId="71EFA88E" w:rsidR="00545E68" w:rsidRPr="006A5532" w:rsidRDefault="00545E68">
      <w:pPr>
        <w:pStyle w:val="FootnoteText"/>
        <w:rPr>
          <w:lang w:val="sl-SI"/>
        </w:rPr>
      </w:pPr>
      <w:r w:rsidRPr="006A5532">
        <w:rPr>
          <w:rStyle w:val="FootnoteReference"/>
          <w:lang w:val="sl-SI"/>
        </w:rPr>
        <w:footnoteRef/>
      </w:r>
      <w:r w:rsidRPr="006A5532">
        <w:rPr>
          <w:lang w:val="sl-SI"/>
        </w:rPr>
        <w:t xml:space="preserve"> Glede tega bo pozornost namenjena delu v zvezi z okvirom kompetenc na področju usposabljanja o kibernetski kriminaliteti, ki je trenutno v pripravi.</w:t>
      </w:r>
    </w:p>
  </w:footnote>
  <w:footnote w:id="61">
    <w:p w14:paraId="79B54288" w14:textId="577417D1" w:rsidR="00D85FCC" w:rsidRPr="006A5532" w:rsidRDefault="00D85FCC" w:rsidP="00D85FCC">
      <w:pPr>
        <w:pStyle w:val="FootnoteText"/>
        <w:rPr>
          <w:lang w:val="sl-SI"/>
        </w:rPr>
      </w:pPr>
      <w:r w:rsidRPr="006A5532">
        <w:rPr>
          <w:rStyle w:val="FootnoteReference"/>
          <w:lang w:val="sl-SI"/>
        </w:rPr>
        <w:footnoteRef/>
      </w:r>
      <w:r w:rsidRPr="006A5532">
        <w:rPr>
          <w:lang w:val="sl-SI"/>
        </w:rPr>
        <w:t xml:space="preserve"> Kot so evropska klasifikacija spretnosti, kompetenc, kvalifikacij in poklicev (</w:t>
      </w:r>
      <w:hyperlink r:id="rId77" w:history="1">
        <w:r w:rsidRPr="006A5532">
          <w:rPr>
            <w:rStyle w:val="Hyperlink"/>
            <w:lang w:val="sl-SI"/>
          </w:rPr>
          <w:t>ESCO</w:t>
        </w:r>
      </w:hyperlink>
      <w:r w:rsidRPr="006A5532">
        <w:rPr>
          <w:lang w:val="sl-SI"/>
        </w:rPr>
        <w:t xml:space="preserve">), </w:t>
      </w:r>
      <w:hyperlink r:id="rId78" w:history="1">
        <w:r w:rsidRPr="006A5532">
          <w:rPr>
            <w:rStyle w:val="Hyperlink"/>
            <w:lang w:val="sl-SI"/>
          </w:rPr>
          <w:t>Europass</w:t>
        </w:r>
      </w:hyperlink>
      <w:r w:rsidRPr="006A5532">
        <w:rPr>
          <w:lang w:val="sl-SI"/>
        </w:rPr>
        <w:t xml:space="preserve"> ter mreža evropskih služb za zaposlovanje (</w:t>
      </w:r>
      <w:hyperlink r:id="rId79" w:history="1">
        <w:r w:rsidRPr="006A5532">
          <w:rPr>
            <w:rStyle w:val="Hyperlink"/>
            <w:lang w:val="sl-SI"/>
          </w:rPr>
          <w:t>EURES</w:t>
        </w:r>
      </w:hyperlink>
      <w:r w:rsidRPr="006A5532">
        <w:rPr>
          <w:lang w:val="sl-SI"/>
        </w:rPr>
        <w:t xml:space="preserve">). </w:t>
      </w:r>
    </w:p>
  </w:footnote>
  <w:footnote w:id="62">
    <w:p w14:paraId="69471208" w14:textId="77777777" w:rsidR="00831F29" w:rsidRPr="006A5532" w:rsidRDefault="00831F29" w:rsidP="00831F29">
      <w:pPr>
        <w:pStyle w:val="FootnoteText"/>
        <w:rPr>
          <w:rStyle w:val="Hyperlink"/>
          <w:rFonts w:eastAsiaTheme="majorEastAsia"/>
          <w:lang w:val="sl-SI"/>
        </w:rPr>
      </w:pPr>
      <w:r w:rsidRPr="006A5532">
        <w:rPr>
          <w:rStyle w:val="FootnoteReference"/>
          <w:lang w:val="sl-SI"/>
        </w:rPr>
        <w:footnoteRef/>
      </w:r>
      <w:r w:rsidRPr="006A5532">
        <w:rPr>
          <w:lang w:val="sl-SI"/>
        </w:rPr>
        <w:t xml:space="preserve"> </w:t>
      </w:r>
      <w:hyperlink r:id="rId80">
        <w:r w:rsidRPr="006A5532">
          <w:rPr>
            <w:rStyle w:val="Hyperlink"/>
            <w:lang w:val="sl-SI"/>
          </w:rPr>
          <w:t>CyberSecPro</w:t>
        </w:r>
      </w:hyperlink>
      <w:r w:rsidRPr="006A5532">
        <w:rPr>
          <w:rStyle w:val="Hyperlink"/>
          <w:lang w:val="sl-SI"/>
        </w:rPr>
        <w:t xml:space="preserve"> </w:t>
      </w:r>
      <w:r w:rsidRPr="006A5532">
        <w:rPr>
          <w:lang w:val="sl-SI"/>
        </w:rPr>
        <w:t>V okviru projekta se bodo na primer analizirali programi, tečaji in poletne šole za kibernetsko varnost, ki so na voljo na univerzah, ter uporabljene preglednice ocenjevanja evropskega sistema prenašanja in zbiranja kreditnih točk (ECTS), zagotovilo se bo sodelovanje ciljnega števila več kot 530 pripravnikov v triletnem obdobju ter usposabljale se bodo zunanje osebe iz različnih panog in sektorjev.</w:t>
      </w:r>
    </w:p>
  </w:footnote>
  <w:footnote w:id="63">
    <w:p w14:paraId="668BB504" w14:textId="77777777" w:rsidR="00831F29" w:rsidRPr="00676C95" w:rsidRDefault="00831F29" w:rsidP="00831F29">
      <w:pPr>
        <w:pStyle w:val="FootnoteText"/>
      </w:pPr>
      <w:r>
        <w:rPr>
          <w:rStyle w:val="FootnoteReference"/>
        </w:rPr>
        <w:footnoteRef/>
      </w:r>
      <w:r>
        <w:t xml:space="preserve"> Kombinirani intenzivni programi združujejo poučevanje na daljavo s kratkim obdobjem fizične mobilnosti.</w:t>
      </w:r>
    </w:p>
  </w:footnote>
  <w:footnote w:id="64">
    <w:p w14:paraId="1AE0EBB2" w14:textId="1A3B7B29" w:rsidR="004A1333" w:rsidRPr="00895EA5" w:rsidRDefault="004A1333">
      <w:pPr>
        <w:pStyle w:val="FootnoteText"/>
      </w:pPr>
      <w:r>
        <w:rPr>
          <w:rStyle w:val="FootnoteReference"/>
        </w:rPr>
        <w:footnoteRef/>
      </w:r>
      <w:r>
        <w:tab/>
      </w:r>
      <w:hyperlink r:id="rId81" w:history="1">
        <w:r>
          <w:rPr>
            <w:rStyle w:val="Hyperlink"/>
          </w:rPr>
          <w:t>Pobuda Evropske univerze |</w:t>
        </w:r>
      </w:hyperlink>
      <w:hyperlink r:id="rId82" w:history="1">
        <w:r>
          <w:rPr>
            <w:rStyle w:val="Hyperlink"/>
          </w:rPr>
          <w:t>Evropski izobraževalni prostor (europa.eu)</w:t>
        </w:r>
      </w:hyperlink>
      <w:r>
        <w:t>.</w:t>
      </w:r>
    </w:p>
  </w:footnote>
  <w:footnote w:id="65">
    <w:p w14:paraId="0B6B3254" w14:textId="2F126600" w:rsidR="00634285" w:rsidRPr="00106810" w:rsidRDefault="00634285">
      <w:pPr>
        <w:pStyle w:val="FootnoteText"/>
        <w:rPr>
          <w:lang w:val="fr-FR"/>
        </w:rPr>
      </w:pPr>
      <w:r>
        <w:rPr>
          <w:rStyle w:val="FootnoteReference"/>
        </w:rPr>
        <w:footnoteRef/>
      </w:r>
      <w:r w:rsidRPr="00106810">
        <w:rPr>
          <w:lang w:val="fr-FR"/>
        </w:rPr>
        <w:t xml:space="preserve"> </w:t>
      </w:r>
      <w:hyperlink r:id="rId83" w:history="1">
        <w:r w:rsidRPr="00106810">
          <w:rPr>
            <w:rStyle w:val="Hyperlink"/>
            <w:lang w:val="fr-FR"/>
          </w:rPr>
          <w:t>Centri poklicne odličnosti |</w:t>
        </w:r>
      </w:hyperlink>
      <w:hyperlink r:id="rId84" w:history="1">
        <w:r w:rsidRPr="00106810">
          <w:rPr>
            <w:rStyle w:val="Hyperlink"/>
            <w:lang w:val="fr-FR"/>
          </w:rPr>
          <w:t xml:space="preserve"> Erasmus+ (europa.eu)</w:t>
        </w:r>
      </w:hyperlink>
      <w:r w:rsidRPr="00106810">
        <w:rPr>
          <w:lang w:val="fr-FR"/>
        </w:rPr>
        <w:t>.</w:t>
      </w:r>
    </w:p>
  </w:footnote>
  <w:footnote w:id="66">
    <w:p w14:paraId="0701ACEC" w14:textId="68266373" w:rsidR="00D90E6B" w:rsidRPr="00106810" w:rsidRDefault="00D90E6B">
      <w:pPr>
        <w:pStyle w:val="FootnoteText"/>
        <w:rPr>
          <w:lang w:val="fr-FR"/>
        </w:rPr>
      </w:pPr>
      <w:r>
        <w:rPr>
          <w:rStyle w:val="FootnoteReference"/>
        </w:rPr>
        <w:footnoteRef/>
      </w:r>
      <w:r w:rsidRPr="00106810">
        <w:rPr>
          <w:lang w:val="fr-FR"/>
        </w:rPr>
        <w:t xml:space="preserve"> V skladu s </w:t>
      </w:r>
      <w:hyperlink r:id="rId85" w:history="1">
        <w:r w:rsidRPr="00106810">
          <w:rPr>
            <w:rStyle w:val="Hyperlink"/>
            <w:lang w:val="fr-FR"/>
          </w:rPr>
          <w:t>Priporočilom Sveta z dne 16. junija 2022 o individualnih učnih računih</w:t>
        </w:r>
      </w:hyperlink>
      <w:r w:rsidRPr="00106810">
        <w:rPr>
          <w:lang w:val="fr-FR"/>
        </w:rPr>
        <w:t>.</w:t>
      </w:r>
    </w:p>
  </w:footnote>
  <w:footnote w:id="67">
    <w:p w14:paraId="225907AB" w14:textId="77777777" w:rsidR="00831F29" w:rsidRPr="00106810" w:rsidRDefault="00831F29" w:rsidP="00831F29">
      <w:pPr>
        <w:pStyle w:val="FootnoteText"/>
        <w:rPr>
          <w:lang w:val="fr-FR"/>
        </w:rPr>
      </w:pPr>
      <w:r>
        <w:rPr>
          <w:rStyle w:val="FootnoteReference"/>
        </w:rPr>
        <w:footnoteRef/>
      </w:r>
      <w:r w:rsidRPr="00106810">
        <w:rPr>
          <w:lang w:val="fr-FR"/>
        </w:rPr>
        <w:t xml:space="preserve"> </w:t>
      </w:r>
      <w:hyperlink r:id="rId86">
        <w:r w:rsidRPr="00106810">
          <w:rPr>
            <w:rStyle w:val="Hyperlink"/>
            <w:lang w:val="fr-FR"/>
          </w:rPr>
          <w:t>Tečaji usposabljanja – ENISA (europa.eu)</w:t>
        </w:r>
      </w:hyperlink>
      <w:r w:rsidRPr="00106810">
        <w:rPr>
          <w:lang w:val="fr-FR"/>
        </w:rPr>
        <w:t>.</w:t>
      </w:r>
    </w:p>
  </w:footnote>
  <w:footnote w:id="68">
    <w:p w14:paraId="4C87F73F" w14:textId="77777777" w:rsidR="00831F29" w:rsidRPr="00106810" w:rsidRDefault="00831F29" w:rsidP="00831F29">
      <w:pPr>
        <w:pStyle w:val="FootnoteText"/>
        <w:rPr>
          <w:lang w:val="fr-FR"/>
        </w:rPr>
      </w:pPr>
      <w:r>
        <w:rPr>
          <w:rStyle w:val="FootnoteReference"/>
        </w:rPr>
        <w:footnoteRef/>
      </w:r>
      <w:r w:rsidRPr="00106810">
        <w:rPr>
          <w:lang w:val="fr-FR"/>
        </w:rPr>
        <w:t xml:space="preserve"> </w:t>
      </w:r>
      <w:hyperlink r:id="rId87">
        <w:r w:rsidRPr="00106810">
          <w:rPr>
            <w:rStyle w:val="Hyperlink"/>
            <w:lang w:val="fr-FR"/>
          </w:rPr>
          <w:t>Program usposabljanja izvajalcev usposabljanja – ENISA (europa.eu)</w:t>
        </w:r>
      </w:hyperlink>
      <w:r w:rsidRPr="00106810">
        <w:rPr>
          <w:lang w:val="fr-FR"/>
        </w:rPr>
        <w:t>.</w:t>
      </w:r>
    </w:p>
  </w:footnote>
  <w:footnote w:id="69">
    <w:p w14:paraId="17251AB5" w14:textId="1BC2A437" w:rsidR="00831F29" w:rsidRPr="00157CD4" w:rsidRDefault="00831F29" w:rsidP="00D267A4">
      <w:pPr>
        <w:pStyle w:val="FootnoteText"/>
        <w:rPr>
          <w:lang w:val="sl-SI"/>
        </w:rPr>
      </w:pPr>
      <w:r>
        <w:rPr>
          <w:rStyle w:val="FootnoteReference"/>
        </w:rPr>
        <w:footnoteRef/>
      </w:r>
      <w:r w:rsidRPr="00106810">
        <w:rPr>
          <w:rStyle w:val="FootnoteReference"/>
          <w:lang w:val="fr-FR"/>
        </w:rPr>
        <w:t xml:space="preserve"> </w:t>
      </w:r>
      <w:r w:rsidRPr="00157CD4">
        <w:rPr>
          <w:lang w:val="sl-SI"/>
        </w:rPr>
        <w:t xml:space="preserve">V skladu s členom 20(4) </w:t>
      </w:r>
      <w:hyperlink r:id="rId88" w:history="1">
        <w:r w:rsidRPr="00157CD4">
          <w:rPr>
            <w:rStyle w:val="Hyperlink"/>
            <w:lang w:val="sl-SI"/>
          </w:rPr>
          <w:t>Sklepa Sveta (SZVP) 2020/1515 z dne 19. oktobra 2020 o ustanovitvi Evropske akademije za varnost in</w:t>
        </w:r>
        <w:hyperlink w:history="1">
          <w:r w:rsidRPr="00157CD4">
            <w:rPr>
              <w:rStyle w:val="Hyperlink"/>
              <w:lang w:val="sl-SI"/>
            </w:rPr>
            <w:t>obrambo ter razveljavitvi Sklepa (SZVP) 2016/2382</w:t>
          </w:r>
        </w:hyperlink>
      </w:hyperlink>
      <w:r w:rsidRPr="00157CD4">
        <w:rPr>
          <w:lang w:val="sl-SI"/>
        </w:rPr>
        <w:t>.</w:t>
      </w:r>
    </w:p>
  </w:footnote>
  <w:footnote w:id="70">
    <w:p w14:paraId="4CFAE7F4" w14:textId="128DE67C" w:rsidR="00C57598" w:rsidRPr="00157CD4" w:rsidRDefault="00C57598" w:rsidP="00C57598">
      <w:pPr>
        <w:pStyle w:val="FootnoteText"/>
        <w:rPr>
          <w:lang w:val="sl-SI"/>
        </w:rPr>
      </w:pPr>
      <w:r w:rsidRPr="00157CD4">
        <w:rPr>
          <w:rStyle w:val="FootnoteReference"/>
          <w:lang w:val="sl-SI"/>
        </w:rPr>
        <w:footnoteRef/>
      </w:r>
      <w:r w:rsidRPr="00157CD4">
        <w:rPr>
          <w:lang w:val="sl-SI"/>
        </w:rPr>
        <w:t xml:space="preserve"> Akademija za kibernetsko kriminaliteto agencije CEPOL je bila ustanovljena leta 2019, da bi se zagotovila najsodobnejša platforma za izboljšanje znanja o kibernetski kriminaliteti in kibernetskih zmogljivosti v Evropi.</w:t>
      </w:r>
    </w:p>
  </w:footnote>
  <w:footnote w:id="71">
    <w:p w14:paraId="42256102" w14:textId="3E115F4E"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Na primer </w:t>
      </w:r>
      <w:hyperlink r:id="rId89" w:history="1">
        <w:r w:rsidRPr="00157CD4">
          <w:rPr>
            <w:rStyle w:val="Hyperlink"/>
            <w:lang w:val="sl-SI"/>
          </w:rPr>
          <w:t>W4C Academy – Women4Cyber</w:t>
        </w:r>
      </w:hyperlink>
      <w:r w:rsidRPr="00157CD4">
        <w:rPr>
          <w:lang w:val="sl-SI"/>
        </w:rPr>
        <w:t xml:space="preserve"> ali </w:t>
      </w:r>
      <w:hyperlink r:id="rId90" w:anchor=":~:text=Now%2C%20the%20Global%20Cybercrime%20Certification%20Project%20funded%20by,of%20their%20jurisdiction%20as%20well%20as%20international%20investigations." w:history="1">
        <w:r w:rsidRPr="00157CD4">
          <w:rPr>
            <w:rStyle w:val="Hyperlink"/>
            <w:lang w:val="sl-SI"/>
          </w:rPr>
          <w:t>projekt Global Cybercrime Certification</w:t>
        </w:r>
      </w:hyperlink>
      <w:r w:rsidRPr="00157CD4">
        <w:rPr>
          <w:lang w:val="sl-SI"/>
        </w:rPr>
        <w:t xml:space="preserve"> za organe kazenskega pregona in pravosodne organe.</w:t>
      </w:r>
    </w:p>
  </w:footnote>
  <w:footnote w:id="72">
    <w:p w14:paraId="2F0760DF" w14:textId="7AC6E23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„1. Nacionalni koordinacijski centri imajo naslednje naloge: […] (g) brez poseganja v pristojnosti držav članic za izobraževanje in ob upoštevanju ustreznih nalog agencije ENISA, sodelovanje z nacionalnimi organi v zvezi z morebitnim prispevkom k promoviranju in razširjanju izobraževalnih programov na področju kibernetske varnosti“,</w:t>
      </w:r>
      <w:r w:rsidRPr="00106810">
        <w:rPr>
          <w:lang w:val="fr-FR"/>
        </w:rPr>
        <w:t xml:space="preserve"> </w:t>
      </w:r>
      <w:r w:rsidRPr="00157CD4">
        <w:rPr>
          <w:lang w:val="sl-SI"/>
        </w:rPr>
        <w:t>člen 7(1), točka (g), uredbe o Evropskem kompetenčnem centru za kibernetsko varnost. Glej tudi s tem povezano uvodno izjavo 28.</w:t>
      </w:r>
    </w:p>
  </w:footnote>
  <w:footnote w:id="73">
    <w:p w14:paraId="03D739F6" w14:textId="5F222BB1" w:rsidR="00D05BC5" w:rsidRPr="00157CD4" w:rsidRDefault="00D05BC5">
      <w:pPr>
        <w:pStyle w:val="FootnoteText"/>
        <w:rPr>
          <w:lang w:val="sl-SI"/>
        </w:rPr>
      </w:pPr>
      <w:r w:rsidRPr="00157CD4">
        <w:rPr>
          <w:rStyle w:val="FootnoteReference"/>
          <w:lang w:val="sl-SI"/>
        </w:rPr>
        <w:footnoteRef/>
      </w:r>
      <w:r w:rsidRPr="00157CD4">
        <w:rPr>
          <w:lang w:val="sl-SI"/>
        </w:rPr>
        <w:t xml:space="preserve"> </w:t>
      </w:r>
      <w:hyperlink r:id="rId91" w:history="1">
        <w:r w:rsidRPr="00157CD4">
          <w:rPr>
            <w:rStyle w:val="Hyperlink"/>
            <w:lang w:val="sl-SI"/>
          </w:rPr>
          <w:t>Uredba (EU) 2019/881 Evropskega parlamenta in Sveta z dne 17. aprila 2019 o Agenciji Evropske unije za kibernetsko varnost (ENISA) in o certificiranju informacijske in komunikacijske tehnologije na področju kibernetske varnosti ter razveljavitvi Uredbe (EU) št. 526/2013 (Akt o kibernetski varnosti)</w:t>
        </w:r>
      </w:hyperlink>
      <w:r w:rsidRPr="00157CD4">
        <w:rPr>
          <w:lang w:val="sl-SI"/>
        </w:rPr>
        <w:t xml:space="preserve">. </w:t>
      </w:r>
    </w:p>
  </w:footnote>
  <w:footnote w:id="74">
    <w:p w14:paraId="491C0801" w14:textId="0D199B5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Na primer evidenca ali potrdila o učnih rezultatih, ki jih osebe pridobijo po manjših usposabljanjih.</w:t>
      </w:r>
    </w:p>
  </w:footnote>
  <w:footnote w:id="75">
    <w:p w14:paraId="536BE2A8"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92" w:history="1">
        <w:r w:rsidRPr="00157CD4">
          <w:rPr>
            <w:rStyle w:val="Hyperlink"/>
            <w:lang w:val="sl-SI"/>
          </w:rPr>
          <w:t>Priporočilo Sveta o evropskem pristopu k mikrodokazilom za vseživljenjsko učenje in zaposljivost</w:t>
        </w:r>
      </w:hyperlink>
      <w:r w:rsidRPr="00157CD4">
        <w:rPr>
          <w:lang w:val="sl-SI"/>
        </w:rPr>
        <w:t>.</w:t>
      </w:r>
    </w:p>
  </w:footnote>
  <w:footnote w:id="76">
    <w:p w14:paraId="6CE32E21"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93" w:history="1">
        <w:r w:rsidRPr="00157CD4">
          <w:rPr>
            <w:rStyle w:val="Hyperlink"/>
            <w:lang w:val="sl-SI"/>
          </w:rPr>
          <w:t>Priporočilo Sveta z dne 22. maja 2017 o evropskem ogrodju kvalifikacij za vseživljenjsko učenje in razveljavitvi Priporočila Evropskega parlamenta in Sveta z dne 23. aprila 2008 o uvedbi evropskega ogrodja kvalifikacij za vseživljenjsko učenje</w:t>
        </w:r>
      </w:hyperlink>
      <w:r w:rsidRPr="00157CD4">
        <w:rPr>
          <w:lang w:val="sl-SI"/>
        </w:rPr>
        <w:t>.</w:t>
      </w:r>
    </w:p>
  </w:footnote>
  <w:footnote w:id="77">
    <w:p w14:paraId="626DA5CB"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94" w:history="1">
        <w:r w:rsidRPr="00157CD4">
          <w:rPr>
            <w:rStyle w:val="Hyperlink"/>
            <w:lang w:val="sl-SI"/>
          </w:rPr>
          <w:t>Predlog uredbe Evropskega parlamenta in Sveta o spremembi Uredbe (EU) št. 910/2014 v zvezi z vzpostavitvijo okvira za evropsko digitalno identiteto</w:t>
        </w:r>
      </w:hyperlink>
      <w:r w:rsidRPr="00157CD4">
        <w:rPr>
          <w:lang w:val="sl-SI"/>
        </w:rPr>
        <w:t>.</w:t>
      </w:r>
    </w:p>
  </w:footnote>
  <w:footnote w:id="78">
    <w:p w14:paraId="319DF37A" w14:textId="77777777" w:rsidR="00C241B8" w:rsidRPr="00157CD4" w:rsidRDefault="00C241B8" w:rsidP="00C241B8">
      <w:pPr>
        <w:pStyle w:val="FootnoteText"/>
        <w:rPr>
          <w:lang w:val="sl-SI"/>
        </w:rPr>
      </w:pPr>
      <w:r>
        <w:rPr>
          <w:rStyle w:val="FootnoteReference"/>
        </w:rPr>
        <w:footnoteRef/>
      </w:r>
      <w:r w:rsidRPr="00106810">
        <w:rPr>
          <w:lang w:val="fr-FR"/>
        </w:rPr>
        <w:t xml:space="preserve"> </w:t>
      </w:r>
      <w:hyperlink r:id="rId95">
        <w:r w:rsidRPr="00157CD4">
          <w:rPr>
            <w:rStyle w:val="Hyperlink"/>
            <w:lang w:val="sl-SI"/>
          </w:rPr>
          <w:t>Ustanovitev novih evropskih partnerstev za uresničitev ambicij EU v okviru digitalnega desetletja |</w:t>
        </w:r>
      </w:hyperlink>
      <w:hyperlink r:id="rId96">
        <w:r w:rsidRPr="00157CD4">
          <w:rPr>
            <w:rStyle w:val="Hyperlink"/>
            <w:lang w:val="sl-SI"/>
          </w:rPr>
          <w:t xml:space="preserve"> Oblikovanje digitalne prihodnosti Evrope (europa.eu)</w:t>
        </w:r>
      </w:hyperlink>
      <w:r w:rsidRPr="00157CD4">
        <w:rPr>
          <w:rStyle w:val="Hyperlink"/>
          <w:lang w:val="sl-SI"/>
        </w:rPr>
        <w:t xml:space="preserve">, </w:t>
      </w:r>
      <w:r w:rsidRPr="00157CD4">
        <w:rPr>
          <w:lang w:val="sl-SI"/>
        </w:rPr>
        <w:t>ki so nastala v okviru Pakta za spretnosti za odpravo pomanjkanja informacijske in komunikacijske tehnologije (IKT).</w:t>
      </w:r>
    </w:p>
  </w:footnote>
  <w:footnote w:id="79">
    <w:p w14:paraId="7CB689E9" w14:textId="77777777" w:rsidR="00002DAA" w:rsidRPr="00157CD4" w:rsidRDefault="00002DAA" w:rsidP="00002DAA">
      <w:pPr>
        <w:pStyle w:val="FootnoteText"/>
        <w:rPr>
          <w:lang w:val="sl-SI"/>
        </w:rPr>
      </w:pPr>
      <w:r w:rsidRPr="00157CD4">
        <w:rPr>
          <w:rStyle w:val="FootnoteReference"/>
          <w:lang w:val="sl-SI"/>
        </w:rPr>
        <w:footnoteRef/>
      </w:r>
      <w:r w:rsidRPr="00157CD4">
        <w:rPr>
          <w:lang w:val="sl-SI"/>
        </w:rPr>
        <w:t xml:space="preserve"> </w:t>
      </w:r>
      <w:hyperlink r:id="rId97" w:history="1">
        <w:r w:rsidRPr="00157CD4">
          <w:rPr>
            <w:rStyle w:val="Hyperlink"/>
            <w:lang w:val="sl-SI"/>
          </w:rPr>
          <w:t>Države EU se zavezujejo h krepitvi udeležbe žensk na digitalnem področju |</w:t>
        </w:r>
      </w:hyperlink>
      <w:hyperlink r:id="rId98" w:history="1">
        <w:r w:rsidRPr="00157CD4">
          <w:rPr>
            <w:rStyle w:val="Hyperlink"/>
            <w:lang w:val="sl-SI"/>
          </w:rPr>
          <w:t xml:space="preserve"> Oblikovanje digitalne prihodnosti Evrope (europa.eu)</w:t>
        </w:r>
      </w:hyperlink>
      <w:r w:rsidRPr="00157CD4">
        <w:rPr>
          <w:lang w:val="sl-SI"/>
        </w:rPr>
        <w:t>.</w:t>
      </w:r>
    </w:p>
  </w:footnote>
  <w:footnote w:id="80">
    <w:p w14:paraId="0995A19A" w14:textId="0766047F" w:rsidR="009750A0" w:rsidRPr="00106810" w:rsidRDefault="009750A0">
      <w:pPr>
        <w:pStyle w:val="FootnoteText"/>
        <w:rPr>
          <w:lang w:val="fr-FR"/>
        </w:rPr>
      </w:pPr>
      <w:r>
        <w:rPr>
          <w:rStyle w:val="FootnoteReference"/>
        </w:rPr>
        <w:footnoteRef/>
      </w:r>
      <w:r w:rsidRPr="00106810">
        <w:rPr>
          <w:lang w:val="fr-FR"/>
        </w:rPr>
        <w:t xml:space="preserve"> </w:t>
      </w:r>
      <w:hyperlink r:id="rId99" w:history="1">
        <w:r w:rsidRPr="00106810">
          <w:rPr>
            <w:rStyle w:val="Hyperlink"/>
            <w:lang w:val="fr-FR"/>
          </w:rPr>
          <w:t>Uredba (EU) 2021/1057 Evropskega parlamenta in Sveta z dne 24. junija 2021 o vzpostavitvi Evropskega socialnega sklada plus (ESS+) in razveljavitvi Uredbe (EU) št. 1296/2013</w:t>
        </w:r>
      </w:hyperlink>
      <w:r w:rsidRPr="00106810">
        <w:rPr>
          <w:lang w:val="fr-FR"/>
        </w:rPr>
        <w:t>, člen 4(1), točka (c).</w:t>
      </w:r>
    </w:p>
  </w:footnote>
  <w:footnote w:id="81">
    <w:p w14:paraId="5ED72FF5" w14:textId="7E1A45D0" w:rsidR="00831F29" w:rsidRPr="000B6450" w:rsidRDefault="00831F29" w:rsidP="00831F29">
      <w:pPr>
        <w:pStyle w:val="FootnoteText"/>
      </w:pPr>
      <w:r>
        <w:rPr>
          <w:rStyle w:val="FootnoteReference"/>
        </w:rPr>
        <w:footnoteRef/>
      </w:r>
      <w:r>
        <w:rPr>
          <w:rStyle w:val="FootnoteReference"/>
        </w:rPr>
        <w:t xml:space="preserve"> </w:t>
      </w:r>
      <w:r>
        <w:t>Direktiva NIS 2, člen 7(2), točka (f).</w:t>
      </w:r>
    </w:p>
  </w:footnote>
  <w:footnote w:id="82">
    <w:p w14:paraId="0057BA1A" w14:textId="6D9F5EB0" w:rsidR="00831F29" w:rsidRPr="000B6450" w:rsidRDefault="00831F29" w:rsidP="00831F29">
      <w:pPr>
        <w:pStyle w:val="FootnoteText"/>
      </w:pPr>
      <w:r>
        <w:rPr>
          <w:rStyle w:val="FootnoteReference"/>
        </w:rPr>
        <w:footnoteRef/>
      </w:r>
      <w:hyperlink r:id="rId100" w:history="1">
        <w:r>
          <w:rPr>
            <w:rStyle w:val="Hyperlink"/>
          </w:rPr>
          <w:t xml:space="preserve"> Report – Cyber Conscription:</w:t>
        </w:r>
      </w:hyperlink>
      <w:hyperlink r:id="rId101" w:history="1">
        <w:r>
          <w:rPr>
            <w:rStyle w:val="Hyperlink"/>
            <w:i/>
            <w:iCs/>
          </w:rPr>
          <w:t xml:space="preserve"> </w:t>
        </w:r>
        <w:r>
          <w:rPr>
            <w:rStyle w:val="Hyperlink"/>
          </w:rPr>
          <w:t>Experience and Best Practice from Selected Countries (Vpoklic na kibernetskem področju: izkušnje in dobra praksa izbranih držav), Martin Hurt in Tiia Sõmer, International Centre for Defence and Security, februar 2021</w:t>
        </w:r>
      </w:hyperlink>
      <w:r>
        <w:t>.</w:t>
      </w:r>
    </w:p>
  </w:footnote>
  <w:footnote w:id="83">
    <w:p w14:paraId="1EB09013" w14:textId="61A1CE1F" w:rsidR="00D92A73" w:rsidRPr="00157CD4" w:rsidRDefault="00D92A73">
      <w:pPr>
        <w:pStyle w:val="FootnoteText"/>
        <w:rPr>
          <w:lang w:val="sl-SI"/>
        </w:rPr>
      </w:pPr>
      <w:r>
        <w:rPr>
          <w:rStyle w:val="FootnoteReference"/>
        </w:rPr>
        <w:footnoteRef/>
      </w:r>
      <w:r w:rsidRPr="00106810">
        <w:rPr>
          <w:lang w:val="fr-FR"/>
        </w:rPr>
        <w:t xml:space="preserve"> </w:t>
      </w:r>
      <w:hyperlink r:id="rId102" w:history="1">
        <w:r w:rsidRPr="00157CD4">
          <w:rPr>
            <w:rStyle w:val="Hyperlink"/>
            <w:lang w:val="sl-SI"/>
          </w:rPr>
          <w:t>Priložnosti za financiranje (europa.eu)</w:t>
        </w:r>
      </w:hyperlink>
      <w:r w:rsidRPr="00157CD4">
        <w:rPr>
          <w:lang w:val="sl-SI"/>
        </w:rPr>
        <w:t>. Podporne storitve v okviru Pakta za spretnosti zagotavljajo enotno vstopno točko za informacije o financiranju za veščine, tudi za digitalni ekosistem. Podporne storitve Pakta za spretnosti zagotavljajo splošne informacije o instrumentih financiranja, ki niso posebej namenjeni kibernetskovarnostnim veščinam, vendar pa bilo treba v okviru akademije upoštevati delo, ki se izvaja v okviru teh instrumentov, da bi se izognili podvajanju.</w:t>
      </w:r>
    </w:p>
  </w:footnote>
  <w:footnote w:id="84">
    <w:p w14:paraId="347382FF"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103">
        <w:r w:rsidRPr="00157CD4">
          <w:rPr>
            <w:rStyle w:val="Hyperlink"/>
            <w:lang w:val="sl-SI"/>
          </w:rPr>
          <w:t>Program znanj in spretnosti za Evropo – Zaposlovanje, socialne zadeve in vključevanje – Evropska komisija (europa.eu)</w:t>
        </w:r>
      </w:hyperlink>
      <w:r w:rsidRPr="00157CD4">
        <w:rPr>
          <w:lang w:val="sl-SI"/>
        </w:rPr>
        <w:t>.</w:t>
      </w:r>
    </w:p>
  </w:footnote>
  <w:footnote w:id="85">
    <w:p w14:paraId="4E75496D"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104">
        <w:r w:rsidRPr="00157CD4">
          <w:rPr>
            <w:rStyle w:val="Hyperlink"/>
            <w:lang w:val="sl-SI"/>
          </w:rPr>
          <w:t>Instrumenti financiranja EU za strokovno izpopolnjevanje in prekvalifikacijo – Zaposlovanje, socialne zadeve in vključevanje – Evropska komisija (europa.eu)</w:t>
        </w:r>
      </w:hyperlink>
      <w:r w:rsidRPr="00157CD4">
        <w:rPr>
          <w:lang w:val="sl-SI"/>
        </w:rPr>
        <w:t>.</w:t>
      </w:r>
    </w:p>
  </w:footnote>
  <w:footnote w:id="86">
    <w:p w14:paraId="37C5DB2B" w14:textId="1495D78D" w:rsidR="00BC4ED3" w:rsidRPr="00157CD4" w:rsidRDefault="00BC4ED3">
      <w:pPr>
        <w:pStyle w:val="FootnoteText"/>
        <w:rPr>
          <w:lang w:val="sl-SI"/>
        </w:rPr>
      </w:pPr>
      <w:r w:rsidRPr="00157CD4">
        <w:rPr>
          <w:rStyle w:val="FootnoteReference"/>
          <w:lang w:val="sl-SI"/>
        </w:rPr>
        <w:footnoteRef/>
      </w:r>
      <w:hyperlink r:id="rId105" w:anchor=":~:text=The%20Digital%20Education%20Action%20Plan%20%282021-2027%29%20is%20a,systems%20of%20Member%20States%20to%20the%20digital%20age." w:history="1">
        <w:r w:rsidRPr="00157CD4">
          <w:rPr>
            <w:rStyle w:val="Hyperlink"/>
            <w:lang w:val="sl-SI"/>
          </w:rPr>
          <w:t xml:space="preserve"> Akcijski načrt za digitalno izobraževanje 2021–2027</w:t>
        </w:r>
      </w:hyperlink>
      <w:r w:rsidRPr="00157CD4">
        <w:rPr>
          <w:lang w:val="sl-SI"/>
        </w:rPr>
        <w:t>.</w:t>
      </w:r>
    </w:p>
  </w:footnote>
  <w:footnote w:id="87">
    <w:p w14:paraId="048EBDCF" w14:textId="77777777"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w:t>
      </w:r>
      <w:hyperlink r:id="rId106" w:history="1">
        <w:r w:rsidRPr="00157CD4">
          <w:rPr>
            <w:rStyle w:val="Hyperlink"/>
            <w:lang w:val="sl-SI"/>
          </w:rPr>
          <w:t>Uredba (EU) 2021/697 Evropskega parlamenta in Sveta z dne 29. aprila 2021 o vzpostavitvi Evropskega obrambnega sklada ter razveljavitvi Uredbe (EU) 2018/1092</w:t>
        </w:r>
      </w:hyperlink>
      <w:r w:rsidRPr="00157CD4">
        <w:rPr>
          <w:lang w:val="sl-SI"/>
        </w:rPr>
        <w:t>.</w:t>
      </w:r>
    </w:p>
  </w:footnote>
  <w:footnote w:id="88">
    <w:p w14:paraId="3B37BAE3" w14:textId="3581BC65" w:rsidR="004F385B" w:rsidRPr="00157CD4" w:rsidRDefault="004F385B">
      <w:pPr>
        <w:pStyle w:val="FootnoteText"/>
        <w:rPr>
          <w:lang w:val="sl-SI"/>
        </w:rPr>
      </w:pPr>
      <w:r w:rsidRPr="00157CD4">
        <w:rPr>
          <w:rStyle w:val="FootnoteReference"/>
          <w:lang w:val="sl-SI"/>
        </w:rPr>
        <w:footnoteRef/>
      </w:r>
      <w:r w:rsidRPr="00157CD4">
        <w:rPr>
          <w:lang w:val="sl-SI"/>
        </w:rPr>
        <w:t xml:space="preserve"> Države članice so zavezane k skupnim usposabljanjem in vajam, na primer tako, da vzpostavijo projekte kibernetskega usposabljanja in vaj v okviru stalnega strukturnega sodelovanja (PESCO), kot sta </w:t>
      </w:r>
      <w:hyperlink r:id="rId107" w:history="1">
        <w:hyperlink w:history="1">
          <w:r w:rsidRPr="00157CD4">
            <w:rPr>
              <w:rStyle w:val="Hyperlink"/>
              <w:lang w:val="sl-SI"/>
            </w:rPr>
            <w:t>akademsko in inovacijsko vozlišče EU za kibernetsko varnost (EU CAIH)</w:t>
          </w:r>
        </w:hyperlink>
      </w:hyperlink>
      <w:r w:rsidRPr="00157CD4">
        <w:rPr>
          <w:rStyle w:val="Hyperlink"/>
          <w:lang w:val="sl-SI"/>
        </w:rPr>
        <w:t xml:space="preserve"> </w:t>
      </w:r>
      <w:r w:rsidRPr="00157CD4">
        <w:rPr>
          <w:lang w:val="sl-SI"/>
        </w:rPr>
        <w:t xml:space="preserve">ter </w:t>
      </w:r>
      <w:hyperlink r:id="rId108" w:history="1">
        <w:r w:rsidRPr="00157CD4">
          <w:rPr>
            <w:rStyle w:val="Hyperlink"/>
            <w:lang w:val="sl-SI"/>
          </w:rPr>
          <w:t>Zveza virtualnih poligonov za kibernetsko varnost</w:t>
        </w:r>
      </w:hyperlink>
      <w:r w:rsidRPr="00157CD4">
        <w:rPr>
          <w:lang w:val="sl-SI"/>
        </w:rPr>
        <w:t>, ter v njih sodelujejo.</w:t>
      </w:r>
    </w:p>
  </w:footnote>
  <w:footnote w:id="89">
    <w:p w14:paraId="5948BC41" w14:textId="265022E0" w:rsidR="004F385B" w:rsidRPr="00157CD4" w:rsidRDefault="004F385B">
      <w:pPr>
        <w:pStyle w:val="FootnoteText"/>
        <w:rPr>
          <w:lang w:val="sl-SI"/>
        </w:rPr>
      </w:pPr>
      <w:r>
        <w:rPr>
          <w:rStyle w:val="FootnoteReference"/>
        </w:rPr>
        <w:footnoteRef/>
      </w:r>
      <w:r>
        <w:t xml:space="preserve"> </w:t>
      </w:r>
      <w:r w:rsidRPr="00157CD4">
        <w:rPr>
          <w:lang w:val="sl-SI"/>
        </w:rPr>
        <w:t>Člen 3(1) Uredbe (EU) 2021/1058 in člen 4(1), točka (g), Uredbe (EU) 2021/1057.</w:t>
      </w:r>
    </w:p>
  </w:footnote>
  <w:footnote w:id="90">
    <w:p w14:paraId="73144E31" w14:textId="298C2E6A"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V estonskem načrtu za okrevanje in odpornost je na primer predvidena naložba (10 milijonov EUR) v digitalne spretnosti, ki bo vključevala revizijo usposabljanj, ki so na voljo strokovnjakom na področju IKT, ter s katero se bosta financirala izpopolnjevanje in preusposabljanje za kibernetsko varnost za strokovnjake na področju IKT ter ki bo prispevala k razvoju pilotnega programa za preoblikovanje ogrodja kvalifikacij za strokovnjake na področju IKT.</w:t>
      </w:r>
    </w:p>
  </w:footnote>
  <w:footnote w:id="91">
    <w:p w14:paraId="6D089D24" w14:textId="66E01905"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Deležniki (npr. ponudniki usposabljanja in družbe, ki želijo zasnovati ali izboljšati svoje dejavnosti usposabljanja na področju kibernetske varnosti) lahko obiščejo </w:t>
      </w:r>
      <w:hyperlink r:id="rId109" w:history="1">
        <w:r w:rsidRPr="00157CD4">
          <w:rPr>
            <w:rStyle w:val="Hyperlink"/>
            <w:lang w:val="sl-SI"/>
          </w:rPr>
          <w:t>portal InvestEU</w:t>
        </w:r>
      </w:hyperlink>
      <w:r w:rsidRPr="00157CD4">
        <w:rPr>
          <w:lang w:val="sl-SI"/>
        </w:rPr>
        <w:t xml:space="preserve"> ter se obrnejo na </w:t>
      </w:r>
      <w:hyperlink r:id="rId110" w:history="1">
        <w:r w:rsidRPr="00157CD4">
          <w:rPr>
            <w:rStyle w:val="Hyperlink"/>
            <w:lang w:val="sl-SI"/>
          </w:rPr>
          <w:t>svetovalno vozlišče InvestEU</w:t>
        </w:r>
      </w:hyperlink>
      <w:r w:rsidRPr="00157CD4">
        <w:rPr>
          <w:lang w:val="sl-SI"/>
        </w:rPr>
        <w:t>, ki razvijalcem projektov in subjektom zagotavlja tehnično podporo in pomoč, vključno s krepitvijo zmogljivosti.</w:t>
      </w:r>
    </w:p>
  </w:footnote>
  <w:footnote w:id="92">
    <w:p w14:paraId="7E816B48" w14:textId="5B26C5B9" w:rsidR="00831F29" w:rsidRPr="00157CD4" w:rsidRDefault="00831F29" w:rsidP="00831F29">
      <w:pPr>
        <w:pStyle w:val="FootnoteText"/>
        <w:rPr>
          <w:lang w:val="sl-SI"/>
        </w:rPr>
      </w:pPr>
      <w:r w:rsidRPr="00157CD4">
        <w:rPr>
          <w:rStyle w:val="FootnoteReference"/>
          <w:lang w:val="sl-SI"/>
        </w:rPr>
        <w:footnoteRef/>
      </w:r>
      <w:r w:rsidRPr="00157CD4">
        <w:rPr>
          <w:rStyle w:val="FootnoteReference"/>
          <w:lang w:val="sl-SI"/>
        </w:rPr>
        <w:t xml:space="preserve"> </w:t>
      </w:r>
      <w:r w:rsidRPr="00157CD4">
        <w:rPr>
          <w:lang w:val="sl-SI"/>
        </w:rPr>
        <w:t>Na podlagi in ob dopolnjevanju metodologije, ki jo bo agencija ENISA razvila za namene svojega dvoletnega poročila o stanju kibernetske varnosti v Uniji v skladu s členom 18(3) direktive NIS 2.</w:t>
      </w:r>
    </w:p>
  </w:footnote>
  <w:footnote w:id="93">
    <w:p w14:paraId="45FD9713" w14:textId="77777777" w:rsidR="00831F29" w:rsidRPr="000B6450" w:rsidRDefault="00831F29" w:rsidP="00831F29">
      <w:pPr>
        <w:pStyle w:val="FootnoteText"/>
      </w:pPr>
      <w:r w:rsidRPr="00157CD4">
        <w:rPr>
          <w:rStyle w:val="FootnoteReference"/>
          <w:lang w:val="sl-SI"/>
        </w:rPr>
        <w:footnoteRef/>
      </w:r>
      <w:r w:rsidRPr="00157CD4">
        <w:rPr>
          <w:rStyle w:val="FootnoteReference"/>
          <w:lang w:val="sl-SI"/>
        </w:rPr>
        <w:t xml:space="preserve"> </w:t>
      </w:r>
      <w:r w:rsidRPr="00157CD4">
        <w:rPr>
          <w:lang w:val="sl-SI"/>
        </w:rPr>
        <w:t xml:space="preserve">Glej metodološko opombo indeksa digitalnega gospodarstva in družbe za leto 2022, ki je na voljo na spletni strani </w:t>
      </w:r>
      <w:hyperlink r:id="rId111" w:history="1">
        <w:r w:rsidRPr="00157CD4">
          <w:rPr>
            <w:rStyle w:val="Hyperlink"/>
            <w:lang w:val="sl-SI"/>
          </w:rPr>
          <w:t>Indeks digitalnega gospodarstva in družbe |</w:t>
        </w:r>
      </w:hyperlink>
      <w:hyperlink r:id="rId112" w:history="1">
        <w:r w:rsidRPr="00157CD4">
          <w:rPr>
            <w:rStyle w:val="Hyperlink"/>
            <w:lang w:val="sl-SI"/>
          </w:rPr>
          <w:t xml:space="preserve"> Oblikovanje digitalne prihodnosti Evrope (europa.eu)</w:t>
        </w:r>
      </w:hyperlink>
      <w:r>
        <w:t>.</w:t>
      </w:r>
    </w:p>
  </w:footnote>
  <w:footnote w:id="94">
    <w:p w14:paraId="2C999FBA" w14:textId="77777777" w:rsidR="00831F29" w:rsidRPr="00157CD4" w:rsidRDefault="00831F29" w:rsidP="00831F29">
      <w:pPr>
        <w:pStyle w:val="FootnoteText"/>
        <w:rPr>
          <w:lang w:val="sl-SI"/>
        </w:rPr>
      </w:pPr>
      <w:r>
        <w:rPr>
          <w:rStyle w:val="FootnoteReference"/>
        </w:rPr>
        <w:footnoteRef/>
      </w:r>
      <w:r>
        <w:rPr>
          <w:rStyle w:val="FootnoteReference"/>
        </w:rPr>
        <w:t xml:space="preserve"> </w:t>
      </w:r>
      <w:hyperlink r:id="rId113" w:tgtFrame="_blank" w:history="1">
        <w:r w:rsidRPr="00157CD4">
          <w:rPr>
            <w:rStyle w:val="normaltextrun"/>
            <w:color w:val="0000FF"/>
            <w:u w:val="single"/>
            <w:shd w:val="clear" w:color="auto" w:fill="FFFFFF"/>
            <w:lang w:val="sl-SI"/>
          </w:rPr>
          <w:t>Sklep (EU) 2022/2481 Evropskega parlamenta in Sveta z dne 14. decembra 2022 o vzpostavitvi programa politike Digitalno desetletje do leta 2030</w:t>
        </w:r>
      </w:hyperlink>
      <w:r w:rsidRPr="00157CD4">
        <w:rPr>
          <w:lang w:val="sl-SI"/>
        </w:rPr>
        <w:t>.</w:t>
      </w:r>
    </w:p>
  </w:footnote>
  <w:footnote w:id="95">
    <w:p w14:paraId="1C9164A9" w14:textId="01DD6BFB"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Prav tam, uvodna izjava 25.</w:t>
      </w:r>
    </w:p>
  </w:footnote>
  <w:footnote w:id="96">
    <w:p w14:paraId="6F42615F" w14:textId="26843D00" w:rsidR="00831F29" w:rsidRPr="00157CD4" w:rsidRDefault="00831F29" w:rsidP="00831F29">
      <w:pPr>
        <w:pStyle w:val="FootnoteText"/>
        <w:rPr>
          <w:lang w:val="sl-SI"/>
        </w:rPr>
      </w:pPr>
      <w:r w:rsidRPr="00157CD4">
        <w:rPr>
          <w:rStyle w:val="FootnoteReference"/>
          <w:lang w:val="sl-SI"/>
        </w:rPr>
        <w:footnoteRef/>
      </w:r>
      <w:r w:rsidRPr="00157CD4">
        <w:rPr>
          <w:lang w:val="sl-SI"/>
        </w:rPr>
        <w:t xml:space="preserve"> Direktiva NIS 2, člen 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20D91" w14:textId="77777777" w:rsidR="00FA68B8" w:rsidRPr="00FA68B8" w:rsidRDefault="00FA68B8" w:rsidP="00FA6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490F" w14:textId="77777777" w:rsidR="00FA68B8" w:rsidRPr="00FA68B8" w:rsidRDefault="00FA68B8" w:rsidP="00FA68B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0E30" w14:textId="77777777" w:rsidR="00FA68B8" w:rsidRPr="00FA68B8" w:rsidRDefault="00FA68B8" w:rsidP="00FA68B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2BF5" w14:textId="77777777" w:rsidR="000F4999" w:rsidRDefault="000F49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4738" w14:textId="77777777" w:rsidR="000F4999" w:rsidRDefault="000F49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A9AC" w14:textId="77777777" w:rsidR="000F4999" w:rsidRDefault="000F4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BBBA"/>
    <w:multiLevelType w:val="hybridMultilevel"/>
    <w:tmpl w:val="11DA43CC"/>
    <w:lvl w:ilvl="0" w:tplc="664AB30C">
      <w:start w:val="1"/>
      <w:numFmt w:val="bullet"/>
      <w:lvlText w:val="·"/>
      <w:lvlJc w:val="left"/>
      <w:pPr>
        <w:ind w:left="720" w:hanging="360"/>
      </w:pPr>
      <w:rPr>
        <w:rFonts w:ascii="Symbol" w:hAnsi="Symbol" w:hint="default"/>
      </w:rPr>
    </w:lvl>
    <w:lvl w:ilvl="1" w:tplc="4E9C4414">
      <w:start w:val="1"/>
      <w:numFmt w:val="bullet"/>
      <w:lvlText w:val="o"/>
      <w:lvlJc w:val="left"/>
      <w:pPr>
        <w:ind w:left="1440" w:hanging="360"/>
      </w:pPr>
      <w:rPr>
        <w:rFonts w:ascii="Courier New" w:hAnsi="Courier New" w:hint="default"/>
      </w:rPr>
    </w:lvl>
    <w:lvl w:ilvl="2" w:tplc="3542B3E8">
      <w:start w:val="1"/>
      <w:numFmt w:val="bullet"/>
      <w:lvlText w:val=""/>
      <w:lvlJc w:val="left"/>
      <w:pPr>
        <w:ind w:left="2160" w:hanging="360"/>
      </w:pPr>
      <w:rPr>
        <w:rFonts w:ascii="Wingdings" w:hAnsi="Wingdings" w:hint="default"/>
      </w:rPr>
    </w:lvl>
    <w:lvl w:ilvl="3" w:tplc="5B38F816">
      <w:start w:val="1"/>
      <w:numFmt w:val="bullet"/>
      <w:lvlText w:val=""/>
      <w:lvlJc w:val="left"/>
      <w:pPr>
        <w:ind w:left="2880" w:hanging="360"/>
      </w:pPr>
      <w:rPr>
        <w:rFonts w:ascii="Symbol" w:hAnsi="Symbol" w:hint="default"/>
      </w:rPr>
    </w:lvl>
    <w:lvl w:ilvl="4" w:tplc="F9E0A338">
      <w:start w:val="1"/>
      <w:numFmt w:val="bullet"/>
      <w:lvlText w:val="o"/>
      <w:lvlJc w:val="left"/>
      <w:pPr>
        <w:ind w:left="3600" w:hanging="360"/>
      </w:pPr>
      <w:rPr>
        <w:rFonts w:ascii="Courier New" w:hAnsi="Courier New" w:hint="default"/>
      </w:rPr>
    </w:lvl>
    <w:lvl w:ilvl="5" w:tplc="1C2AEFEE">
      <w:start w:val="1"/>
      <w:numFmt w:val="bullet"/>
      <w:lvlText w:val=""/>
      <w:lvlJc w:val="left"/>
      <w:pPr>
        <w:ind w:left="4320" w:hanging="360"/>
      </w:pPr>
      <w:rPr>
        <w:rFonts w:ascii="Wingdings" w:hAnsi="Wingdings" w:hint="default"/>
      </w:rPr>
    </w:lvl>
    <w:lvl w:ilvl="6" w:tplc="35AC9258">
      <w:start w:val="1"/>
      <w:numFmt w:val="bullet"/>
      <w:lvlText w:val=""/>
      <w:lvlJc w:val="left"/>
      <w:pPr>
        <w:ind w:left="5040" w:hanging="360"/>
      </w:pPr>
      <w:rPr>
        <w:rFonts w:ascii="Symbol" w:hAnsi="Symbol" w:hint="default"/>
      </w:rPr>
    </w:lvl>
    <w:lvl w:ilvl="7" w:tplc="A81A85AC">
      <w:start w:val="1"/>
      <w:numFmt w:val="bullet"/>
      <w:lvlText w:val="o"/>
      <w:lvlJc w:val="left"/>
      <w:pPr>
        <w:ind w:left="5760" w:hanging="360"/>
      </w:pPr>
      <w:rPr>
        <w:rFonts w:ascii="Courier New" w:hAnsi="Courier New" w:hint="default"/>
      </w:rPr>
    </w:lvl>
    <w:lvl w:ilvl="8" w:tplc="BC34C984">
      <w:start w:val="1"/>
      <w:numFmt w:val="bullet"/>
      <w:lvlText w:val=""/>
      <w:lvlJc w:val="left"/>
      <w:pPr>
        <w:ind w:left="6480" w:hanging="360"/>
      </w:pPr>
      <w:rPr>
        <w:rFonts w:ascii="Wingdings" w:hAnsi="Wingdings" w:hint="default"/>
      </w:rPr>
    </w:lvl>
  </w:abstractNum>
  <w:abstractNum w:abstractNumId="1" w15:restartNumberingAfterBreak="0">
    <w:nsid w:val="069B0ADD"/>
    <w:multiLevelType w:val="hybridMultilevel"/>
    <w:tmpl w:val="E112FD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B82F1F"/>
    <w:multiLevelType w:val="multilevel"/>
    <w:tmpl w:val="F964F776"/>
    <w:lvl w:ilvl="0">
      <w:start w:val="1"/>
      <w:numFmt w:val="decimal"/>
      <w:lvlText w:val="%1."/>
      <w:lvlJc w:val="left"/>
      <w:pPr>
        <w:ind w:left="360" w:hanging="360"/>
      </w:pPr>
    </w:lvl>
    <w:lvl w:ilvl="1">
      <w:start w:val="1"/>
      <w:numFmt w:val="decimal"/>
      <w:lvlText w:val="%1.%2."/>
      <w:lvlJc w:val="left"/>
      <w:pPr>
        <w:ind w:left="1080" w:hanging="360"/>
      </w:pPr>
      <w:rPr>
        <w:i/>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0E44D932"/>
    <w:multiLevelType w:val="hybridMultilevel"/>
    <w:tmpl w:val="42F29F02"/>
    <w:lvl w:ilvl="0" w:tplc="FFFFFFFF">
      <w:start w:val="1"/>
      <w:numFmt w:val="bullet"/>
      <w:lvlText w:val=""/>
      <w:lvlJc w:val="left"/>
      <w:pPr>
        <w:ind w:left="360" w:hanging="360"/>
      </w:pPr>
      <w:rPr>
        <w:rFonts w:ascii="Symbol" w:hAnsi="Symbol" w:hint="default"/>
      </w:rPr>
    </w:lvl>
    <w:lvl w:ilvl="1" w:tplc="C9BA5DCE">
      <w:start w:val="1"/>
      <w:numFmt w:val="bullet"/>
      <w:lvlText w:val="o"/>
      <w:lvlJc w:val="left"/>
      <w:pPr>
        <w:ind w:left="1080" w:hanging="360"/>
      </w:pPr>
      <w:rPr>
        <w:rFonts w:ascii="Courier New" w:hAnsi="Courier New" w:hint="default"/>
      </w:rPr>
    </w:lvl>
    <w:lvl w:ilvl="2" w:tplc="2C9268C4">
      <w:start w:val="1"/>
      <w:numFmt w:val="bullet"/>
      <w:lvlText w:val=""/>
      <w:lvlJc w:val="left"/>
      <w:pPr>
        <w:ind w:left="1800" w:hanging="360"/>
      </w:pPr>
      <w:rPr>
        <w:rFonts w:ascii="Wingdings" w:hAnsi="Wingdings" w:hint="default"/>
      </w:rPr>
    </w:lvl>
    <w:lvl w:ilvl="3" w:tplc="A3C8E1EE">
      <w:start w:val="1"/>
      <w:numFmt w:val="bullet"/>
      <w:lvlText w:val=""/>
      <w:lvlJc w:val="left"/>
      <w:pPr>
        <w:ind w:left="2520" w:hanging="360"/>
      </w:pPr>
      <w:rPr>
        <w:rFonts w:ascii="Symbol" w:hAnsi="Symbol" w:hint="default"/>
      </w:rPr>
    </w:lvl>
    <w:lvl w:ilvl="4" w:tplc="231A16C4">
      <w:start w:val="1"/>
      <w:numFmt w:val="bullet"/>
      <w:lvlText w:val="o"/>
      <w:lvlJc w:val="left"/>
      <w:pPr>
        <w:ind w:left="3240" w:hanging="360"/>
      </w:pPr>
      <w:rPr>
        <w:rFonts w:ascii="Courier New" w:hAnsi="Courier New" w:hint="default"/>
      </w:rPr>
    </w:lvl>
    <w:lvl w:ilvl="5" w:tplc="BAD4F358">
      <w:start w:val="1"/>
      <w:numFmt w:val="bullet"/>
      <w:lvlText w:val=""/>
      <w:lvlJc w:val="left"/>
      <w:pPr>
        <w:ind w:left="3960" w:hanging="360"/>
      </w:pPr>
      <w:rPr>
        <w:rFonts w:ascii="Wingdings" w:hAnsi="Wingdings" w:hint="default"/>
      </w:rPr>
    </w:lvl>
    <w:lvl w:ilvl="6" w:tplc="03984F36">
      <w:start w:val="1"/>
      <w:numFmt w:val="bullet"/>
      <w:lvlText w:val=""/>
      <w:lvlJc w:val="left"/>
      <w:pPr>
        <w:ind w:left="4680" w:hanging="360"/>
      </w:pPr>
      <w:rPr>
        <w:rFonts w:ascii="Symbol" w:hAnsi="Symbol" w:hint="default"/>
      </w:rPr>
    </w:lvl>
    <w:lvl w:ilvl="7" w:tplc="61C0A282">
      <w:start w:val="1"/>
      <w:numFmt w:val="bullet"/>
      <w:lvlText w:val="o"/>
      <w:lvlJc w:val="left"/>
      <w:pPr>
        <w:ind w:left="5400" w:hanging="360"/>
      </w:pPr>
      <w:rPr>
        <w:rFonts w:ascii="Courier New" w:hAnsi="Courier New" w:hint="default"/>
      </w:rPr>
    </w:lvl>
    <w:lvl w:ilvl="8" w:tplc="053C226C">
      <w:start w:val="1"/>
      <w:numFmt w:val="bullet"/>
      <w:lvlText w:val=""/>
      <w:lvlJc w:val="left"/>
      <w:pPr>
        <w:ind w:left="6120" w:hanging="360"/>
      </w:pPr>
      <w:rPr>
        <w:rFonts w:ascii="Wingdings" w:hAnsi="Wingdings" w:hint="default"/>
      </w:rPr>
    </w:lvl>
  </w:abstractNum>
  <w:abstractNum w:abstractNumId="4" w15:restartNumberingAfterBreak="0">
    <w:nsid w:val="0F3B35DB"/>
    <w:multiLevelType w:val="hybridMultilevel"/>
    <w:tmpl w:val="FFFFFFFF"/>
    <w:lvl w:ilvl="0" w:tplc="1D940620">
      <w:start w:val="1"/>
      <w:numFmt w:val="bullet"/>
      <w:lvlText w:val="·"/>
      <w:lvlJc w:val="left"/>
      <w:pPr>
        <w:ind w:left="360" w:hanging="360"/>
      </w:pPr>
      <w:rPr>
        <w:rFonts w:ascii="Symbol" w:hAnsi="Symbol" w:hint="default"/>
      </w:rPr>
    </w:lvl>
    <w:lvl w:ilvl="1" w:tplc="72A24426">
      <w:start w:val="1"/>
      <w:numFmt w:val="bullet"/>
      <w:lvlText w:val="o"/>
      <w:lvlJc w:val="left"/>
      <w:pPr>
        <w:ind w:left="1080" w:hanging="360"/>
      </w:pPr>
      <w:rPr>
        <w:rFonts w:ascii="Courier New" w:hAnsi="Courier New" w:hint="default"/>
      </w:rPr>
    </w:lvl>
    <w:lvl w:ilvl="2" w:tplc="E61EC070">
      <w:start w:val="1"/>
      <w:numFmt w:val="bullet"/>
      <w:lvlText w:val=""/>
      <w:lvlJc w:val="left"/>
      <w:pPr>
        <w:ind w:left="1800" w:hanging="360"/>
      </w:pPr>
      <w:rPr>
        <w:rFonts w:ascii="Wingdings" w:hAnsi="Wingdings" w:hint="default"/>
      </w:rPr>
    </w:lvl>
    <w:lvl w:ilvl="3" w:tplc="FD0A1252">
      <w:start w:val="1"/>
      <w:numFmt w:val="bullet"/>
      <w:lvlText w:val=""/>
      <w:lvlJc w:val="left"/>
      <w:pPr>
        <w:ind w:left="2520" w:hanging="360"/>
      </w:pPr>
      <w:rPr>
        <w:rFonts w:ascii="Symbol" w:hAnsi="Symbol" w:hint="default"/>
      </w:rPr>
    </w:lvl>
    <w:lvl w:ilvl="4" w:tplc="1F86BFB8">
      <w:start w:val="1"/>
      <w:numFmt w:val="bullet"/>
      <w:lvlText w:val="o"/>
      <w:lvlJc w:val="left"/>
      <w:pPr>
        <w:ind w:left="3240" w:hanging="360"/>
      </w:pPr>
      <w:rPr>
        <w:rFonts w:ascii="Courier New" w:hAnsi="Courier New" w:hint="default"/>
      </w:rPr>
    </w:lvl>
    <w:lvl w:ilvl="5" w:tplc="AF002748">
      <w:start w:val="1"/>
      <w:numFmt w:val="bullet"/>
      <w:lvlText w:val=""/>
      <w:lvlJc w:val="left"/>
      <w:pPr>
        <w:ind w:left="3960" w:hanging="360"/>
      </w:pPr>
      <w:rPr>
        <w:rFonts w:ascii="Wingdings" w:hAnsi="Wingdings" w:hint="default"/>
      </w:rPr>
    </w:lvl>
    <w:lvl w:ilvl="6" w:tplc="38846E4C">
      <w:start w:val="1"/>
      <w:numFmt w:val="bullet"/>
      <w:lvlText w:val=""/>
      <w:lvlJc w:val="left"/>
      <w:pPr>
        <w:ind w:left="4680" w:hanging="360"/>
      </w:pPr>
      <w:rPr>
        <w:rFonts w:ascii="Symbol" w:hAnsi="Symbol" w:hint="default"/>
      </w:rPr>
    </w:lvl>
    <w:lvl w:ilvl="7" w:tplc="E084DD22">
      <w:start w:val="1"/>
      <w:numFmt w:val="bullet"/>
      <w:lvlText w:val="o"/>
      <w:lvlJc w:val="left"/>
      <w:pPr>
        <w:ind w:left="5400" w:hanging="360"/>
      </w:pPr>
      <w:rPr>
        <w:rFonts w:ascii="Courier New" w:hAnsi="Courier New" w:hint="default"/>
      </w:rPr>
    </w:lvl>
    <w:lvl w:ilvl="8" w:tplc="0D2EEACC">
      <w:start w:val="1"/>
      <w:numFmt w:val="bullet"/>
      <w:lvlText w:val=""/>
      <w:lvlJc w:val="left"/>
      <w:pPr>
        <w:ind w:left="6120" w:hanging="360"/>
      </w:pPr>
      <w:rPr>
        <w:rFonts w:ascii="Wingdings" w:hAnsi="Wingdings" w:hint="default"/>
      </w:rPr>
    </w:lvl>
  </w:abstractNum>
  <w:abstractNum w:abstractNumId="5" w15:restartNumberingAfterBreak="0">
    <w:nsid w:val="116EC8E3"/>
    <w:multiLevelType w:val="hybridMultilevel"/>
    <w:tmpl w:val="FFFFFFFF"/>
    <w:lvl w:ilvl="0" w:tplc="2EEA20B2">
      <w:start w:val="1"/>
      <w:numFmt w:val="bullet"/>
      <w:lvlText w:val=""/>
      <w:lvlJc w:val="left"/>
      <w:pPr>
        <w:ind w:left="720" w:hanging="360"/>
      </w:pPr>
      <w:rPr>
        <w:rFonts w:ascii="Symbol" w:hAnsi="Symbol" w:hint="default"/>
      </w:rPr>
    </w:lvl>
    <w:lvl w:ilvl="1" w:tplc="9AF897FA">
      <w:start w:val="1"/>
      <w:numFmt w:val="bullet"/>
      <w:lvlText w:val="o"/>
      <w:lvlJc w:val="left"/>
      <w:pPr>
        <w:ind w:left="1440" w:hanging="360"/>
      </w:pPr>
      <w:rPr>
        <w:rFonts w:ascii="Courier New" w:hAnsi="Courier New" w:hint="default"/>
      </w:rPr>
    </w:lvl>
    <w:lvl w:ilvl="2" w:tplc="EA764B28">
      <w:start w:val="1"/>
      <w:numFmt w:val="bullet"/>
      <w:lvlText w:val=""/>
      <w:lvlJc w:val="left"/>
      <w:pPr>
        <w:ind w:left="2160" w:hanging="360"/>
      </w:pPr>
      <w:rPr>
        <w:rFonts w:ascii="Wingdings" w:hAnsi="Wingdings" w:hint="default"/>
      </w:rPr>
    </w:lvl>
    <w:lvl w:ilvl="3" w:tplc="9A62172E">
      <w:start w:val="1"/>
      <w:numFmt w:val="bullet"/>
      <w:lvlText w:val=""/>
      <w:lvlJc w:val="left"/>
      <w:pPr>
        <w:ind w:left="2880" w:hanging="360"/>
      </w:pPr>
      <w:rPr>
        <w:rFonts w:ascii="Symbol" w:hAnsi="Symbol" w:hint="default"/>
      </w:rPr>
    </w:lvl>
    <w:lvl w:ilvl="4" w:tplc="C2608A28">
      <w:start w:val="1"/>
      <w:numFmt w:val="bullet"/>
      <w:lvlText w:val="o"/>
      <w:lvlJc w:val="left"/>
      <w:pPr>
        <w:ind w:left="3600" w:hanging="360"/>
      </w:pPr>
      <w:rPr>
        <w:rFonts w:ascii="Courier New" w:hAnsi="Courier New" w:hint="default"/>
      </w:rPr>
    </w:lvl>
    <w:lvl w:ilvl="5" w:tplc="8A9E7954">
      <w:start w:val="1"/>
      <w:numFmt w:val="bullet"/>
      <w:lvlText w:val=""/>
      <w:lvlJc w:val="left"/>
      <w:pPr>
        <w:ind w:left="4320" w:hanging="360"/>
      </w:pPr>
      <w:rPr>
        <w:rFonts w:ascii="Wingdings" w:hAnsi="Wingdings" w:hint="default"/>
      </w:rPr>
    </w:lvl>
    <w:lvl w:ilvl="6" w:tplc="E6C6C03A">
      <w:start w:val="1"/>
      <w:numFmt w:val="bullet"/>
      <w:lvlText w:val=""/>
      <w:lvlJc w:val="left"/>
      <w:pPr>
        <w:ind w:left="5040" w:hanging="360"/>
      </w:pPr>
      <w:rPr>
        <w:rFonts w:ascii="Symbol" w:hAnsi="Symbol" w:hint="default"/>
      </w:rPr>
    </w:lvl>
    <w:lvl w:ilvl="7" w:tplc="F1F84A52">
      <w:start w:val="1"/>
      <w:numFmt w:val="bullet"/>
      <w:lvlText w:val="o"/>
      <w:lvlJc w:val="left"/>
      <w:pPr>
        <w:ind w:left="5760" w:hanging="360"/>
      </w:pPr>
      <w:rPr>
        <w:rFonts w:ascii="Courier New" w:hAnsi="Courier New" w:hint="default"/>
      </w:rPr>
    </w:lvl>
    <w:lvl w:ilvl="8" w:tplc="7BE0D968">
      <w:start w:val="1"/>
      <w:numFmt w:val="bullet"/>
      <w:lvlText w:val=""/>
      <w:lvlJc w:val="left"/>
      <w:pPr>
        <w:ind w:left="6480" w:hanging="360"/>
      </w:pPr>
      <w:rPr>
        <w:rFonts w:ascii="Wingdings" w:hAnsi="Wingdings" w:hint="default"/>
      </w:rPr>
    </w:lvl>
  </w:abstractNum>
  <w:abstractNum w:abstractNumId="6" w15:restartNumberingAfterBreak="0">
    <w:nsid w:val="12C8B5B0"/>
    <w:multiLevelType w:val="hybridMultilevel"/>
    <w:tmpl w:val="EFF40C40"/>
    <w:lvl w:ilvl="0" w:tplc="5526E2F8">
      <w:start w:val="1"/>
      <w:numFmt w:val="bullet"/>
      <w:lvlText w:val="·"/>
      <w:lvlJc w:val="left"/>
      <w:pPr>
        <w:ind w:left="720" w:hanging="360"/>
      </w:pPr>
      <w:rPr>
        <w:rFonts w:ascii="Symbol" w:hAnsi="Symbol" w:hint="default"/>
      </w:rPr>
    </w:lvl>
    <w:lvl w:ilvl="1" w:tplc="F4B08B80">
      <w:start w:val="1"/>
      <w:numFmt w:val="bullet"/>
      <w:lvlText w:val="o"/>
      <w:lvlJc w:val="left"/>
      <w:pPr>
        <w:ind w:left="1440" w:hanging="360"/>
      </w:pPr>
      <w:rPr>
        <w:rFonts w:ascii="Courier New" w:hAnsi="Courier New" w:hint="default"/>
      </w:rPr>
    </w:lvl>
    <w:lvl w:ilvl="2" w:tplc="3BD48ABC">
      <w:start w:val="1"/>
      <w:numFmt w:val="bullet"/>
      <w:lvlText w:val=""/>
      <w:lvlJc w:val="left"/>
      <w:pPr>
        <w:ind w:left="2160" w:hanging="360"/>
      </w:pPr>
      <w:rPr>
        <w:rFonts w:ascii="Wingdings" w:hAnsi="Wingdings" w:hint="default"/>
      </w:rPr>
    </w:lvl>
    <w:lvl w:ilvl="3" w:tplc="F4B21AEA">
      <w:start w:val="1"/>
      <w:numFmt w:val="bullet"/>
      <w:lvlText w:val=""/>
      <w:lvlJc w:val="left"/>
      <w:pPr>
        <w:ind w:left="2880" w:hanging="360"/>
      </w:pPr>
      <w:rPr>
        <w:rFonts w:ascii="Symbol" w:hAnsi="Symbol" w:hint="default"/>
      </w:rPr>
    </w:lvl>
    <w:lvl w:ilvl="4" w:tplc="F8465330">
      <w:start w:val="1"/>
      <w:numFmt w:val="bullet"/>
      <w:lvlText w:val="o"/>
      <w:lvlJc w:val="left"/>
      <w:pPr>
        <w:ind w:left="3600" w:hanging="360"/>
      </w:pPr>
      <w:rPr>
        <w:rFonts w:ascii="Courier New" w:hAnsi="Courier New" w:hint="default"/>
      </w:rPr>
    </w:lvl>
    <w:lvl w:ilvl="5" w:tplc="AC62A58C">
      <w:start w:val="1"/>
      <w:numFmt w:val="bullet"/>
      <w:lvlText w:val=""/>
      <w:lvlJc w:val="left"/>
      <w:pPr>
        <w:ind w:left="4320" w:hanging="360"/>
      </w:pPr>
      <w:rPr>
        <w:rFonts w:ascii="Wingdings" w:hAnsi="Wingdings" w:hint="default"/>
      </w:rPr>
    </w:lvl>
    <w:lvl w:ilvl="6" w:tplc="5E242808">
      <w:start w:val="1"/>
      <w:numFmt w:val="bullet"/>
      <w:lvlText w:val=""/>
      <w:lvlJc w:val="left"/>
      <w:pPr>
        <w:ind w:left="5040" w:hanging="360"/>
      </w:pPr>
      <w:rPr>
        <w:rFonts w:ascii="Symbol" w:hAnsi="Symbol" w:hint="default"/>
      </w:rPr>
    </w:lvl>
    <w:lvl w:ilvl="7" w:tplc="274294CA">
      <w:start w:val="1"/>
      <w:numFmt w:val="bullet"/>
      <w:lvlText w:val="o"/>
      <w:lvlJc w:val="left"/>
      <w:pPr>
        <w:ind w:left="5760" w:hanging="360"/>
      </w:pPr>
      <w:rPr>
        <w:rFonts w:ascii="Courier New" w:hAnsi="Courier New" w:hint="default"/>
      </w:rPr>
    </w:lvl>
    <w:lvl w:ilvl="8" w:tplc="8CD40A58">
      <w:start w:val="1"/>
      <w:numFmt w:val="bullet"/>
      <w:lvlText w:val=""/>
      <w:lvlJc w:val="left"/>
      <w:pPr>
        <w:ind w:left="6480" w:hanging="360"/>
      </w:pPr>
      <w:rPr>
        <w:rFonts w:ascii="Wingdings" w:hAnsi="Wingdings" w:hint="default"/>
      </w:rPr>
    </w:lvl>
  </w:abstractNum>
  <w:abstractNum w:abstractNumId="7" w15:restartNumberingAfterBreak="0">
    <w:nsid w:val="13E0CBCD"/>
    <w:multiLevelType w:val="hybridMultilevel"/>
    <w:tmpl w:val="7E5295C0"/>
    <w:lvl w:ilvl="0" w:tplc="8BB07494">
      <w:start w:val="1"/>
      <w:numFmt w:val="bullet"/>
      <w:lvlText w:val="·"/>
      <w:lvlJc w:val="left"/>
      <w:pPr>
        <w:ind w:left="720" w:hanging="360"/>
      </w:pPr>
      <w:rPr>
        <w:rFonts w:ascii="Symbol" w:hAnsi="Symbol" w:hint="default"/>
      </w:rPr>
    </w:lvl>
    <w:lvl w:ilvl="1" w:tplc="B9324D7C">
      <w:start w:val="1"/>
      <w:numFmt w:val="bullet"/>
      <w:lvlText w:val="o"/>
      <w:lvlJc w:val="left"/>
      <w:pPr>
        <w:ind w:left="1440" w:hanging="360"/>
      </w:pPr>
      <w:rPr>
        <w:rFonts w:ascii="Courier New" w:hAnsi="Courier New" w:hint="default"/>
      </w:rPr>
    </w:lvl>
    <w:lvl w:ilvl="2" w:tplc="149E4CB0">
      <w:start w:val="1"/>
      <w:numFmt w:val="bullet"/>
      <w:lvlText w:val=""/>
      <w:lvlJc w:val="left"/>
      <w:pPr>
        <w:ind w:left="2160" w:hanging="360"/>
      </w:pPr>
      <w:rPr>
        <w:rFonts w:ascii="Wingdings" w:hAnsi="Wingdings" w:hint="default"/>
      </w:rPr>
    </w:lvl>
    <w:lvl w:ilvl="3" w:tplc="50B0DAA2">
      <w:start w:val="1"/>
      <w:numFmt w:val="bullet"/>
      <w:lvlText w:val=""/>
      <w:lvlJc w:val="left"/>
      <w:pPr>
        <w:ind w:left="2880" w:hanging="360"/>
      </w:pPr>
      <w:rPr>
        <w:rFonts w:ascii="Symbol" w:hAnsi="Symbol" w:hint="default"/>
      </w:rPr>
    </w:lvl>
    <w:lvl w:ilvl="4" w:tplc="201C4E9C">
      <w:start w:val="1"/>
      <w:numFmt w:val="bullet"/>
      <w:lvlText w:val="o"/>
      <w:lvlJc w:val="left"/>
      <w:pPr>
        <w:ind w:left="3600" w:hanging="360"/>
      </w:pPr>
      <w:rPr>
        <w:rFonts w:ascii="Courier New" w:hAnsi="Courier New" w:hint="default"/>
      </w:rPr>
    </w:lvl>
    <w:lvl w:ilvl="5" w:tplc="19FE7EA4">
      <w:start w:val="1"/>
      <w:numFmt w:val="bullet"/>
      <w:lvlText w:val=""/>
      <w:lvlJc w:val="left"/>
      <w:pPr>
        <w:ind w:left="4320" w:hanging="360"/>
      </w:pPr>
      <w:rPr>
        <w:rFonts w:ascii="Wingdings" w:hAnsi="Wingdings" w:hint="default"/>
      </w:rPr>
    </w:lvl>
    <w:lvl w:ilvl="6" w:tplc="F9D0633C">
      <w:start w:val="1"/>
      <w:numFmt w:val="bullet"/>
      <w:lvlText w:val=""/>
      <w:lvlJc w:val="left"/>
      <w:pPr>
        <w:ind w:left="5040" w:hanging="360"/>
      </w:pPr>
      <w:rPr>
        <w:rFonts w:ascii="Symbol" w:hAnsi="Symbol" w:hint="default"/>
      </w:rPr>
    </w:lvl>
    <w:lvl w:ilvl="7" w:tplc="855CAFFC">
      <w:start w:val="1"/>
      <w:numFmt w:val="bullet"/>
      <w:lvlText w:val="o"/>
      <w:lvlJc w:val="left"/>
      <w:pPr>
        <w:ind w:left="5760" w:hanging="360"/>
      </w:pPr>
      <w:rPr>
        <w:rFonts w:ascii="Courier New" w:hAnsi="Courier New" w:hint="default"/>
      </w:rPr>
    </w:lvl>
    <w:lvl w:ilvl="8" w:tplc="E6108CD8">
      <w:start w:val="1"/>
      <w:numFmt w:val="bullet"/>
      <w:lvlText w:val=""/>
      <w:lvlJc w:val="left"/>
      <w:pPr>
        <w:ind w:left="6480" w:hanging="360"/>
      </w:pPr>
      <w:rPr>
        <w:rFonts w:ascii="Wingdings" w:hAnsi="Wingdings" w:hint="default"/>
      </w:rPr>
    </w:lvl>
  </w:abstractNum>
  <w:abstractNum w:abstractNumId="8" w15:restartNumberingAfterBreak="0">
    <w:nsid w:val="17134701"/>
    <w:multiLevelType w:val="hybridMultilevel"/>
    <w:tmpl w:val="C498A8F6"/>
    <w:lvl w:ilvl="0" w:tplc="8688B3C0">
      <w:start w:val="1"/>
      <w:numFmt w:val="bullet"/>
      <w:lvlText w:val="·"/>
      <w:lvlJc w:val="left"/>
      <w:pPr>
        <w:ind w:left="720" w:hanging="360"/>
      </w:pPr>
      <w:rPr>
        <w:rFonts w:ascii="Symbol" w:hAnsi="Symbol" w:hint="default"/>
      </w:rPr>
    </w:lvl>
    <w:lvl w:ilvl="1" w:tplc="69E26B14">
      <w:start w:val="1"/>
      <w:numFmt w:val="bullet"/>
      <w:lvlText w:val="o"/>
      <w:lvlJc w:val="left"/>
      <w:pPr>
        <w:ind w:left="1440" w:hanging="360"/>
      </w:pPr>
      <w:rPr>
        <w:rFonts w:ascii="Courier New" w:hAnsi="Courier New" w:hint="default"/>
      </w:rPr>
    </w:lvl>
    <w:lvl w:ilvl="2" w:tplc="660AF552">
      <w:start w:val="1"/>
      <w:numFmt w:val="bullet"/>
      <w:lvlText w:val=""/>
      <w:lvlJc w:val="left"/>
      <w:pPr>
        <w:ind w:left="2160" w:hanging="360"/>
      </w:pPr>
      <w:rPr>
        <w:rFonts w:ascii="Wingdings" w:hAnsi="Wingdings" w:hint="default"/>
      </w:rPr>
    </w:lvl>
    <w:lvl w:ilvl="3" w:tplc="02B8905E">
      <w:start w:val="1"/>
      <w:numFmt w:val="bullet"/>
      <w:lvlText w:val=""/>
      <w:lvlJc w:val="left"/>
      <w:pPr>
        <w:ind w:left="2880" w:hanging="360"/>
      </w:pPr>
      <w:rPr>
        <w:rFonts w:ascii="Symbol" w:hAnsi="Symbol" w:hint="default"/>
      </w:rPr>
    </w:lvl>
    <w:lvl w:ilvl="4" w:tplc="F9EA1BB0">
      <w:start w:val="1"/>
      <w:numFmt w:val="bullet"/>
      <w:lvlText w:val="o"/>
      <w:lvlJc w:val="left"/>
      <w:pPr>
        <w:ind w:left="3600" w:hanging="360"/>
      </w:pPr>
      <w:rPr>
        <w:rFonts w:ascii="Courier New" w:hAnsi="Courier New" w:hint="default"/>
      </w:rPr>
    </w:lvl>
    <w:lvl w:ilvl="5" w:tplc="7270BDF6">
      <w:start w:val="1"/>
      <w:numFmt w:val="bullet"/>
      <w:lvlText w:val=""/>
      <w:lvlJc w:val="left"/>
      <w:pPr>
        <w:ind w:left="4320" w:hanging="360"/>
      </w:pPr>
      <w:rPr>
        <w:rFonts w:ascii="Wingdings" w:hAnsi="Wingdings" w:hint="default"/>
      </w:rPr>
    </w:lvl>
    <w:lvl w:ilvl="6" w:tplc="11FEC114">
      <w:start w:val="1"/>
      <w:numFmt w:val="bullet"/>
      <w:lvlText w:val=""/>
      <w:lvlJc w:val="left"/>
      <w:pPr>
        <w:ind w:left="5040" w:hanging="360"/>
      </w:pPr>
      <w:rPr>
        <w:rFonts w:ascii="Symbol" w:hAnsi="Symbol" w:hint="default"/>
      </w:rPr>
    </w:lvl>
    <w:lvl w:ilvl="7" w:tplc="D07EED00">
      <w:start w:val="1"/>
      <w:numFmt w:val="bullet"/>
      <w:lvlText w:val="o"/>
      <w:lvlJc w:val="left"/>
      <w:pPr>
        <w:ind w:left="5760" w:hanging="360"/>
      </w:pPr>
      <w:rPr>
        <w:rFonts w:ascii="Courier New" w:hAnsi="Courier New" w:hint="default"/>
      </w:rPr>
    </w:lvl>
    <w:lvl w:ilvl="8" w:tplc="C908B228">
      <w:start w:val="1"/>
      <w:numFmt w:val="bullet"/>
      <w:lvlText w:val=""/>
      <w:lvlJc w:val="left"/>
      <w:pPr>
        <w:ind w:left="6480" w:hanging="360"/>
      </w:pPr>
      <w:rPr>
        <w:rFonts w:ascii="Wingdings" w:hAnsi="Wingdings" w:hint="default"/>
      </w:rPr>
    </w:lvl>
  </w:abstractNum>
  <w:abstractNum w:abstractNumId="9" w15:restartNumberingAfterBreak="0">
    <w:nsid w:val="18A80DA4"/>
    <w:multiLevelType w:val="hybridMultilevel"/>
    <w:tmpl w:val="F13E7F9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BBA439"/>
    <w:multiLevelType w:val="hybridMultilevel"/>
    <w:tmpl w:val="D444BF0C"/>
    <w:lvl w:ilvl="0" w:tplc="9EE099EE">
      <w:start w:val="1"/>
      <w:numFmt w:val="bullet"/>
      <w:lvlText w:val=""/>
      <w:lvlJc w:val="left"/>
      <w:pPr>
        <w:ind w:left="360" w:hanging="360"/>
      </w:pPr>
      <w:rPr>
        <w:rFonts w:ascii="Symbol" w:hAnsi="Symbol" w:hint="default"/>
      </w:rPr>
    </w:lvl>
    <w:lvl w:ilvl="1" w:tplc="BF187A10">
      <w:start w:val="1"/>
      <w:numFmt w:val="bullet"/>
      <w:lvlText w:val="o"/>
      <w:lvlJc w:val="left"/>
      <w:pPr>
        <w:ind w:left="1080" w:hanging="360"/>
      </w:pPr>
      <w:rPr>
        <w:rFonts w:ascii="Courier New" w:hAnsi="Courier New" w:hint="default"/>
      </w:rPr>
    </w:lvl>
    <w:lvl w:ilvl="2" w:tplc="2AE2A00C">
      <w:start w:val="1"/>
      <w:numFmt w:val="bullet"/>
      <w:lvlText w:val=""/>
      <w:lvlJc w:val="left"/>
      <w:pPr>
        <w:ind w:left="1800" w:hanging="360"/>
      </w:pPr>
      <w:rPr>
        <w:rFonts w:ascii="Wingdings" w:hAnsi="Wingdings" w:hint="default"/>
      </w:rPr>
    </w:lvl>
    <w:lvl w:ilvl="3" w:tplc="68364A58">
      <w:start w:val="1"/>
      <w:numFmt w:val="bullet"/>
      <w:lvlText w:val=""/>
      <w:lvlJc w:val="left"/>
      <w:pPr>
        <w:ind w:left="2520" w:hanging="360"/>
      </w:pPr>
      <w:rPr>
        <w:rFonts w:ascii="Symbol" w:hAnsi="Symbol" w:hint="default"/>
      </w:rPr>
    </w:lvl>
    <w:lvl w:ilvl="4" w:tplc="9DD2FAD8">
      <w:start w:val="1"/>
      <w:numFmt w:val="bullet"/>
      <w:lvlText w:val="o"/>
      <w:lvlJc w:val="left"/>
      <w:pPr>
        <w:ind w:left="3240" w:hanging="360"/>
      </w:pPr>
      <w:rPr>
        <w:rFonts w:ascii="Courier New" w:hAnsi="Courier New" w:hint="default"/>
      </w:rPr>
    </w:lvl>
    <w:lvl w:ilvl="5" w:tplc="E8A82D00">
      <w:start w:val="1"/>
      <w:numFmt w:val="bullet"/>
      <w:lvlText w:val=""/>
      <w:lvlJc w:val="left"/>
      <w:pPr>
        <w:ind w:left="3960" w:hanging="360"/>
      </w:pPr>
      <w:rPr>
        <w:rFonts w:ascii="Wingdings" w:hAnsi="Wingdings" w:hint="default"/>
      </w:rPr>
    </w:lvl>
    <w:lvl w:ilvl="6" w:tplc="DD3860EC">
      <w:start w:val="1"/>
      <w:numFmt w:val="bullet"/>
      <w:lvlText w:val=""/>
      <w:lvlJc w:val="left"/>
      <w:pPr>
        <w:ind w:left="4680" w:hanging="360"/>
      </w:pPr>
      <w:rPr>
        <w:rFonts w:ascii="Symbol" w:hAnsi="Symbol" w:hint="default"/>
      </w:rPr>
    </w:lvl>
    <w:lvl w:ilvl="7" w:tplc="C560ABE0">
      <w:start w:val="1"/>
      <w:numFmt w:val="bullet"/>
      <w:lvlText w:val="o"/>
      <w:lvlJc w:val="left"/>
      <w:pPr>
        <w:ind w:left="5400" w:hanging="360"/>
      </w:pPr>
      <w:rPr>
        <w:rFonts w:ascii="Courier New" w:hAnsi="Courier New" w:hint="default"/>
      </w:rPr>
    </w:lvl>
    <w:lvl w:ilvl="8" w:tplc="57D4C15E">
      <w:start w:val="1"/>
      <w:numFmt w:val="bullet"/>
      <w:lvlText w:val=""/>
      <w:lvlJc w:val="left"/>
      <w:pPr>
        <w:ind w:left="6120" w:hanging="360"/>
      </w:pPr>
      <w:rPr>
        <w:rFonts w:ascii="Wingdings" w:hAnsi="Wingdings" w:hint="default"/>
      </w:rPr>
    </w:lvl>
  </w:abstractNum>
  <w:abstractNum w:abstractNumId="11" w15:restartNumberingAfterBreak="0">
    <w:nsid w:val="1EB7006A"/>
    <w:multiLevelType w:val="hybridMultilevel"/>
    <w:tmpl w:val="25D0247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2E089F"/>
    <w:multiLevelType w:val="hybridMultilevel"/>
    <w:tmpl w:val="14C2CA54"/>
    <w:lvl w:ilvl="0" w:tplc="89C6F736">
      <w:start w:val="1"/>
      <w:numFmt w:val="bullet"/>
      <w:lvlText w:val="·"/>
      <w:lvlJc w:val="left"/>
      <w:pPr>
        <w:ind w:left="720" w:hanging="360"/>
      </w:pPr>
      <w:rPr>
        <w:rFonts w:ascii="Symbol" w:hAnsi="Symbol" w:hint="default"/>
      </w:rPr>
    </w:lvl>
    <w:lvl w:ilvl="1" w:tplc="6A34D200">
      <w:start w:val="1"/>
      <w:numFmt w:val="bullet"/>
      <w:lvlText w:val="o"/>
      <w:lvlJc w:val="left"/>
      <w:pPr>
        <w:ind w:left="1440" w:hanging="360"/>
      </w:pPr>
      <w:rPr>
        <w:rFonts w:ascii="Courier New" w:hAnsi="Courier New" w:hint="default"/>
      </w:rPr>
    </w:lvl>
    <w:lvl w:ilvl="2" w:tplc="CC2AE340">
      <w:start w:val="1"/>
      <w:numFmt w:val="bullet"/>
      <w:lvlText w:val=""/>
      <w:lvlJc w:val="left"/>
      <w:pPr>
        <w:ind w:left="2160" w:hanging="360"/>
      </w:pPr>
      <w:rPr>
        <w:rFonts w:ascii="Wingdings" w:hAnsi="Wingdings" w:hint="default"/>
      </w:rPr>
    </w:lvl>
    <w:lvl w:ilvl="3" w:tplc="ADD8CC5A">
      <w:start w:val="1"/>
      <w:numFmt w:val="bullet"/>
      <w:lvlText w:val=""/>
      <w:lvlJc w:val="left"/>
      <w:pPr>
        <w:ind w:left="2880" w:hanging="360"/>
      </w:pPr>
      <w:rPr>
        <w:rFonts w:ascii="Symbol" w:hAnsi="Symbol" w:hint="default"/>
      </w:rPr>
    </w:lvl>
    <w:lvl w:ilvl="4" w:tplc="545A505C">
      <w:start w:val="1"/>
      <w:numFmt w:val="bullet"/>
      <w:lvlText w:val="o"/>
      <w:lvlJc w:val="left"/>
      <w:pPr>
        <w:ind w:left="3600" w:hanging="360"/>
      </w:pPr>
      <w:rPr>
        <w:rFonts w:ascii="Courier New" w:hAnsi="Courier New" w:hint="default"/>
      </w:rPr>
    </w:lvl>
    <w:lvl w:ilvl="5" w:tplc="712AEB26">
      <w:start w:val="1"/>
      <w:numFmt w:val="bullet"/>
      <w:lvlText w:val=""/>
      <w:lvlJc w:val="left"/>
      <w:pPr>
        <w:ind w:left="4320" w:hanging="360"/>
      </w:pPr>
      <w:rPr>
        <w:rFonts w:ascii="Wingdings" w:hAnsi="Wingdings" w:hint="default"/>
      </w:rPr>
    </w:lvl>
    <w:lvl w:ilvl="6" w:tplc="D980B99E">
      <w:start w:val="1"/>
      <w:numFmt w:val="bullet"/>
      <w:lvlText w:val=""/>
      <w:lvlJc w:val="left"/>
      <w:pPr>
        <w:ind w:left="5040" w:hanging="360"/>
      </w:pPr>
      <w:rPr>
        <w:rFonts w:ascii="Symbol" w:hAnsi="Symbol" w:hint="default"/>
      </w:rPr>
    </w:lvl>
    <w:lvl w:ilvl="7" w:tplc="548849CC">
      <w:start w:val="1"/>
      <w:numFmt w:val="bullet"/>
      <w:lvlText w:val="o"/>
      <w:lvlJc w:val="left"/>
      <w:pPr>
        <w:ind w:left="5760" w:hanging="360"/>
      </w:pPr>
      <w:rPr>
        <w:rFonts w:ascii="Courier New" w:hAnsi="Courier New" w:hint="default"/>
      </w:rPr>
    </w:lvl>
    <w:lvl w:ilvl="8" w:tplc="9BBAAD7E">
      <w:start w:val="1"/>
      <w:numFmt w:val="bullet"/>
      <w:lvlText w:val=""/>
      <w:lvlJc w:val="left"/>
      <w:pPr>
        <w:ind w:left="6480" w:hanging="360"/>
      </w:pPr>
      <w:rPr>
        <w:rFonts w:ascii="Wingdings" w:hAnsi="Wingdings" w:hint="default"/>
      </w:rPr>
    </w:lvl>
  </w:abstractNum>
  <w:abstractNum w:abstractNumId="13" w15:restartNumberingAfterBreak="0">
    <w:nsid w:val="217BBFD8"/>
    <w:multiLevelType w:val="hybridMultilevel"/>
    <w:tmpl w:val="272C0FB8"/>
    <w:lvl w:ilvl="0" w:tplc="67E8B9FE">
      <w:numFmt w:val="none"/>
      <w:lvlText w:val=""/>
      <w:lvlJc w:val="left"/>
      <w:pPr>
        <w:tabs>
          <w:tab w:val="num" w:pos="360"/>
        </w:tabs>
      </w:pPr>
    </w:lvl>
    <w:lvl w:ilvl="1" w:tplc="CF7A080C">
      <w:start w:val="1"/>
      <w:numFmt w:val="lowerLetter"/>
      <w:lvlText w:val="%2."/>
      <w:lvlJc w:val="left"/>
      <w:pPr>
        <w:ind w:left="1800" w:hanging="360"/>
      </w:pPr>
    </w:lvl>
    <w:lvl w:ilvl="2" w:tplc="F4FCF704">
      <w:start w:val="1"/>
      <w:numFmt w:val="lowerRoman"/>
      <w:lvlText w:val="%3."/>
      <w:lvlJc w:val="right"/>
      <w:pPr>
        <w:ind w:left="2520" w:hanging="180"/>
      </w:pPr>
    </w:lvl>
    <w:lvl w:ilvl="3" w:tplc="F8C43B16">
      <w:start w:val="1"/>
      <w:numFmt w:val="decimal"/>
      <w:lvlText w:val="%4."/>
      <w:lvlJc w:val="left"/>
      <w:pPr>
        <w:ind w:left="3240" w:hanging="360"/>
      </w:pPr>
    </w:lvl>
    <w:lvl w:ilvl="4" w:tplc="08B44EA6">
      <w:start w:val="1"/>
      <w:numFmt w:val="lowerLetter"/>
      <w:lvlText w:val="%5."/>
      <w:lvlJc w:val="left"/>
      <w:pPr>
        <w:ind w:left="3960" w:hanging="360"/>
      </w:pPr>
    </w:lvl>
    <w:lvl w:ilvl="5" w:tplc="B288BECE">
      <w:start w:val="1"/>
      <w:numFmt w:val="lowerRoman"/>
      <w:lvlText w:val="%6."/>
      <w:lvlJc w:val="right"/>
      <w:pPr>
        <w:ind w:left="4680" w:hanging="180"/>
      </w:pPr>
    </w:lvl>
    <w:lvl w:ilvl="6" w:tplc="8ECA7A7C">
      <w:start w:val="1"/>
      <w:numFmt w:val="decimal"/>
      <w:lvlText w:val="%7."/>
      <w:lvlJc w:val="left"/>
      <w:pPr>
        <w:ind w:left="5400" w:hanging="360"/>
      </w:pPr>
    </w:lvl>
    <w:lvl w:ilvl="7" w:tplc="8DA0CF4C">
      <w:start w:val="1"/>
      <w:numFmt w:val="lowerLetter"/>
      <w:lvlText w:val="%8."/>
      <w:lvlJc w:val="left"/>
      <w:pPr>
        <w:ind w:left="6120" w:hanging="360"/>
      </w:pPr>
    </w:lvl>
    <w:lvl w:ilvl="8" w:tplc="12B035E4">
      <w:start w:val="1"/>
      <w:numFmt w:val="lowerRoman"/>
      <w:lvlText w:val="%9."/>
      <w:lvlJc w:val="right"/>
      <w:pPr>
        <w:ind w:left="6840" w:hanging="180"/>
      </w:pPr>
    </w:lvl>
  </w:abstractNum>
  <w:abstractNum w:abstractNumId="14" w15:restartNumberingAfterBreak="0">
    <w:nsid w:val="2603D7D4"/>
    <w:multiLevelType w:val="hybridMultilevel"/>
    <w:tmpl w:val="546AD560"/>
    <w:lvl w:ilvl="0" w:tplc="7F7C59BE">
      <w:start w:val="1"/>
      <w:numFmt w:val="decimal"/>
      <w:lvlText w:val="%1."/>
      <w:lvlJc w:val="left"/>
      <w:pPr>
        <w:ind w:left="720" w:hanging="360"/>
      </w:pPr>
    </w:lvl>
    <w:lvl w:ilvl="1" w:tplc="36A49CEA">
      <w:start w:val="1"/>
      <w:numFmt w:val="lowerLetter"/>
      <w:lvlText w:val="%2."/>
      <w:lvlJc w:val="left"/>
      <w:pPr>
        <w:ind w:left="1440" w:hanging="360"/>
      </w:pPr>
    </w:lvl>
    <w:lvl w:ilvl="2" w:tplc="369677DA">
      <w:start w:val="1"/>
      <w:numFmt w:val="lowerRoman"/>
      <w:lvlText w:val="%3."/>
      <w:lvlJc w:val="right"/>
      <w:pPr>
        <w:ind w:left="2160" w:hanging="180"/>
      </w:pPr>
    </w:lvl>
    <w:lvl w:ilvl="3" w:tplc="56D8F448">
      <w:start w:val="1"/>
      <w:numFmt w:val="decimal"/>
      <w:lvlText w:val="%4."/>
      <w:lvlJc w:val="left"/>
      <w:pPr>
        <w:ind w:left="2880" w:hanging="360"/>
      </w:pPr>
    </w:lvl>
    <w:lvl w:ilvl="4" w:tplc="16FE568E">
      <w:start w:val="1"/>
      <w:numFmt w:val="lowerLetter"/>
      <w:lvlText w:val="%5."/>
      <w:lvlJc w:val="left"/>
      <w:pPr>
        <w:ind w:left="3600" w:hanging="360"/>
      </w:pPr>
    </w:lvl>
    <w:lvl w:ilvl="5" w:tplc="1A9402E8">
      <w:start w:val="1"/>
      <w:numFmt w:val="lowerRoman"/>
      <w:lvlText w:val="%6."/>
      <w:lvlJc w:val="right"/>
      <w:pPr>
        <w:ind w:left="4320" w:hanging="180"/>
      </w:pPr>
    </w:lvl>
    <w:lvl w:ilvl="6" w:tplc="F0A45176">
      <w:start w:val="1"/>
      <w:numFmt w:val="decimal"/>
      <w:lvlText w:val="%7."/>
      <w:lvlJc w:val="left"/>
      <w:pPr>
        <w:ind w:left="5040" w:hanging="360"/>
      </w:pPr>
    </w:lvl>
    <w:lvl w:ilvl="7" w:tplc="97E0E004">
      <w:start w:val="1"/>
      <w:numFmt w:val="lowerLetter"/>
      <w:lvlText w:val="%8."/>
      <w:lvlJc w:val="left"/>
      <w:pPr>
        <w:ind w:left="5760" w:hanging="360"/>
      </w:pPr>
    </w:lvl>
    <w:lvl w:ilvl="8" w:tplc="912A5E74">
      <w:start w:val="1"/>
      <w:numFmt w:val="lowerRoman"/>
      <w:lvlText w:val="%9."/>
      <w:lvlJc w:val="right"/>
      <w:pPr>
        <w:ind w:left="6480" w:hanging="180"/>
      </w:pPr>
    </w:lvl>
  </w:abstractNum>
  <w:abstractNum w:abstractNumId="15" w15:restartNumberingAfterBreak="0">
    <w:nsid w:val="29F25DAA"/>
    <w:multiLevelType w:val="hybridMultilevel"/>
    <w:tmpl w:val="630E70EE"/>
    <w:lvl w:ilvl="0" w:tplc="090C57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BC225E"/>
    <w:multiLevelType w:val="multilevel"/>
    <w:tmpl w:val="F964F776"/>
    <w:lvl w:ilvl="0">
      <w:start w:val="1"/>
      <w:numFmt w:val="decimal"/>
      <w:lvlText w:val="%1."/>
      <w:lvlJc w:val="left"/>
      <w:pPr>
        <w:ind w:left="360" w:hanging="360"/>
      </w:pPr>
    </w:lvl>
    <w:lvl w:ilvl="1">
      <w:start w:val="1"/>
      <w:numFmt w:val="decimal"/>
      <w:lvlText w:val="%1.%2."/>
      <w:lvlJc w:val="left"/>
      <w:pPr>
        <w:ind w:left="1080" w:hanging="360"/>
      </w:pPr>
      <w:rPr>
        <w:i/>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15:restartNumberingAfterBreak="0">
    <w:nsid w:val="2ED7E074"/>
    <w:multiLevelType w:val="hybridMultilevel"/>
    <w:tmpl w:val="D26621E0"/>
    <w:lvl w:ilvl="0" w:tplc="ED9C1BEA">
      <w:start w:val="1"/>
      <w:numFmt w:val="bullet"/>
      <w:lvlText w:val=""/>
      <w:lvlJc w:val="left"/>
      <w:pPr>
        <w:ind w:left="720" w:hanging="360"/>
      </w:pPr>
      <w:rPr>
        <w:rFonts w:ascii="Symbol" w:hAnsi="Symbol" w:hint="default"/>
      </w:rPr>
    </w:lvl>
    <w:lvl w:ilvl="1" w:tplc="67CC53AA">
      <w:start w:val="1"/>
      <w:numFmt w:val="bullet"/>
      <w:lvlText w:val="o"/>
      <w:lvlJc w:val="left"/>
      <w:pPr>
        <w:ind w:left="1440" w:hanging="360"/>
      </w:pPr>
      <w:rPr>
        <w:rFonts w:ascii="Courier New" w:hAnsi="Courier New" w:hint="default"/>
      </w:rPr>
    </w:lvl>
    <w:lvl w:ilvl="2" w:tplc="1A0A7000">
      <w:start w:val="1"/>
      <w:numFmt w:val="bullet"/>
      <w:lvlText w:val=""/>
      <w:lvlJc w:val="left"/>
      <w:pPr>
        <w:ind w:left="2160" w:hanging="360"/>
      </w:pPr>
      <w:rPr>
        <w:rFonts w:ascii="Wingdings" w:hAnsi="Wingdings" w:hint="default"/>
      </w:rPr>
    </w:lvl>
    <w:lvl w:ilvl="3" w:tplc="2B68B574">
      <w:start w:val="1"/>
      <w:numFmt w:val="bullet"/>
      <w:lvlText w:val=""/>
      <w:lvlJc w:val="left"/>
      <w:pPr>
        <w:ind w:left="2880" w:hanging="360"/>
      </w:pPr>
      <w:rPr>
        <w:rFonts w:ascii="Symbol" w:hAnsi="Symbol" w:hint="default"/>
      </w:rPr>
    </w:lvl>
    <w:lvl w:ilvl="4" w:tplc="AFFE3272">
      <w:start w:val="1"/>
      <w:numFmt w:val="bullet"/>
      <w:lvlText w:val="o"/>
      <w:lvlJc w:val="left"/>
      <w:pPr>
        <w:ind w:left="3600" w:hanging="360"/>
      </w:pPr>
      <w:rPr>
        <w:rFonts w:ascii="Courier New" w:hAnsi="Courier New" w:hint="default"/>
      </w:rPr>
    </w:lvl>
    <w:lvl w:ilvl="5" w:tplc="94C0F682">
      <w:start w:val="1"/>
      <w:numFmt w:val="bullet"/>
      <w:lvlText w:val=""/>
      <w:lvlJc w:val="left"/>
      <w:pPr>
        <w:ind w:left="4320" w:hanging="360"/>
      </w:pPr>
      <w:rPr>
        <w:rFonts w:ascii="Wingdings" w:hAnsi="Wingdings" w:hint="default"/>
      </w:rPr>
    </w:lvl>
    <w:lvl w:ilvl="6" w:tplc="9D8ED17E">
      <w:start w:val="1"/>
      <w:numFmt w:val="bullet"/>
      <w:lvlText w:val=""/>
      <w:lvlJc w:val="left"/>
      <w:pPr>
        <w:ind w:left="5040" w:hanging="360"/>
      </w:pPr>
      <w:rPr>
        <w:rFonts w:ascii="Symbol" w:hAnsi="Symbol" w:hint="default"/>
      </w:rPr>
    </w:lvl>
    <w:lvl w:ilvl="7" w:tplc="4CA6F314">
      <w:start w:val="1"/>
      <w:numFmt w:val="bullet"/>
      <w:lvlText w:val="o"/>
      <w:lvlJc w:val="left"/>
      <w:pPr>
        <w:ind w:left="5760" w:hanging="360"/>
      </w:pPr>
      <w:rPr>
        <w:rFonts w:ascii="Courier New" w:hAnsi="Courier New" w:hint="default"/>
      </w:rPr>
    </w:lvl>
    <w:lvl w:ilvl="8" w:tplc="E12AB5BC">
      <w:start w:val="1"/>
      <w:numFmt w:val="bullet"/>
      <w:lvlText w:val=""/>
      <w:lvlJc w:val="left"/>
      <w:pPr>
        <w:ind w:left="6480" w:hanging="360"/>
      </w:pPr>
      <w:rPr>
        <w:rFonts w:ascii="Wingdings" w:hAnsi="Wingdings" w:hint="default"/>
      </w:rPr>
    </w:lvl>
  </w:abstractNum>
  <w:abstractNum w:abstractNumId="19" w15:restartNumberingAfterBreak="0">
    <w:nsid w:val="2F0463B5"/>
    <w:multiLevelType w:val="hybridMultilevel"/>
    <w:tmpl w:val="D180D362"/>
    <w:lvl w:ilvl="0" w:tplc="036CA90E">
      <w:start w:val="1"/>
      <w:numFmt w:val="bullet"/>
      <w:lvlText w:val="·"/>
      <w:lvlJc w:val="left"/>
      <w:pPr>
        <w:ind w:left="720" w:hanging="360"/>
      </w:pPr>
      <w:rPr>
        <w:rFonts w:ascii="Symbol" w:hAnsi="Symbol" w:hint="default"/>
      </w:rPr>
    </w:lvl>
    <w:lvl w:ilvl="1" w:tplc="1E364754">
      <w:start w:val="1"/>
      <w:numFmt w:val="bullet"/>
      <w:lvlText w:val="o"/>
      <w:lvlJc w:val="left"/>
      <w:pPr>
        <w:ind w:left="1440" w:hanging="360"/>
      </w:pPr>
      <w:rPr>
        <w:rFonts w:ascii="Courier New" w:hAnsi="Courier New" w:hint="default"/>
      </w:rPr>
    </w:lvl>
    <w:lvl w:ilvl="2" w:tplc="C0343058">
      <w:start w:val="1"/>
      <w:numFmt w:val="bullet"/>
      <w:lvlText w:val=""/>
      <w:lvlJc w:val="left"/>
      <w:pPr>
        <w:ind w:left="2160" w:hanging="360"/>
      </w:pPr>
      <w:rPr>
        <w:rFonts w:ascii="Wingdings" w:hAnsi="Wingdings" w:hint="default"/>
      </w:rPr>
    </w:lvl>
    <w:lvl w:ilvl="3" w:tplc="3126EAD0">
      <w:start w:val="1"/>
      <w:numFmt w:val="bullet"/>
      <w:lvlText w:val=""/>
      <w:lvlJc w:val="left"/>
      <w:pPr>
        <w:ind w:left="2880" w:hanging="360"/>
      </w:pPr>
      <w:rPr>
        <w:rFonts w:ascii="Symbol" w:hAnsi="Symbol" w:hint="default"/>
      </w:rPr>
    </w:lvl>
    <w:lvl w:ilvl="4" w:tplc="B9B83C08">
      <w:start w:val="1"/>
      <w:numFmt w:val="bullet"/>
      <w:lvlText w:val="o"/>
      <w:lvlJc w:val="left"/>
      <w:pPr>
        <w:ind w:left="3600" w:hanging="360"/>
      </w:pPr>
      <w:rPr>
        <w:rFonts w:ascii="Courier New" w:hAnsi="Courier New" w:hint="default"/>
      </w:rPr>
    </w:lvl>
    <w:lvl w:ilvl="5" w:tplc="5B9E531E">
      <w:start w:val="1"/>
      <w:numFmt w:val="bullet"/>
      <w:lvlText w:val=""/>
      <w:lvlJc w:val="left"/>
      <w:pPr>
        <w:ind w:left="4320" w:hanging="360"/>
      </w:pPr>
      <w:rPr>
        <w:rFonts w:ascii="Wingdings" w:hAnsi="Wingdings" w:hint="default"/>
      </w:rPr>
    </w:lvl>
    <w:lvl w:ilvl="6" w:tplc="37B6BD76">
      <w:start w:val="1"/>
      <w:numFmt w:val="bullet"/>
      <w:lvlText w:val=""/>
      <w:lvlJc w:val="left"/>
      <w:pPr>
        <w:ind w:left="5040" w:hanging="360"/>
      </w:pPr>
      <w:rPr>
        <w:rFonts w:ascii="Symbol" w:hAnsi="Symbol" w:hint="default"/>
      </w:rPr>
    </w:lvl>
    <w:lvl w:ilvl="7" w:tplc="D6BEBDD0">
      <w:start w:val="1"/>
      <w:numFmt w:val="bullet"/>
      <w:lvlText w:val="o"/>
      <w:lvlJc w:val="left"/>
      <w:pPr>
        <w:ind w:left="5760" w:hanging="360"/>
      </w:pPr>
      <w:rPr>
        <w:rFonts w:ascii="Courier New" w:hAnsi="Courier New" w:hint="default"/>
      </w:rPr>
    </w:lvl>
    <w:lvl w:ilvl="8" w:tplc="6C94CC6C">
      <w:start w:val="1"/>
      <w:numFmt w:val="bullet"/>
      <w:lvlText w:val=""/>
      <w:lvlJc w:val="left"/>
      <w:pPr>
        <w:ind w:left="6480" w:hanging="360"/>
      </w:pPr>
      <w:rPr>
        <w:rFonts w:ascii="Wingdings" w:hAnsi="Wingdings" w:hint="default"/>
      </w:rPr>
    </w:lvl>
  </w:abstractNum>
  <w:abstractNum w:abstractNumId="20" w15:restartNumberingAfterBreak="0">
    <w:nsid w:val="30B06676"/>
    <w:multiLevelType w:val="multilevel"/>
    <w:tmpl w:val="0178A4A0"/>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1" w15:restartNumberingAfterBreak="0">
    <w:nsid w:val="32715690"/>
    <w:multiLevelType w:val="hybridMultilevel"/>
    <w:tmpl w:val="582CF6E0"/>
    <w:lvl w:ilvl="0" w:tplc="25EE80C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24B3F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0A304"/>
    <w:multiLevelType w:val="hybridMultilevel"/>
    <w:tmpl w:val="BA38651A"/>
    <w:lvl w:ilvl="0" w:tplc="F07E92C0">
      <w:start w:val="1"/>
      <w:numFmt w:val="bullet"/>
      <w:lvlText w:val=""/>
      <w:lvlJc w:val="left"/>
      <w:pPr>
        <w:ind w:left="720" w:hanging="360"/>
      </w:pPr>
      <w:rPr>
        <w:rFonts w:ascii="Symbol" w:hAnsi="Symbol" w:hint="default"/>
      </w:rPr>
    </w:lvl>
    <w:lvl w:ilvl="1" w:tplc="48E6257A">
      <w:start w:val="1"/>
      <w:numFmt w:val="bullet"/>
      <w:lvlText w:val="o"/>
      <w:lvlJc w:val="left"/>
      <w:pPr>
        <w:ind w:left="1440" w:hanging="360"/>
      </w:pPr>
      <w:rPr>
        <w:rFonts w:ascii="Courier New" w:hAnsi="Courier New" w:hint="default"/>
      </w:rPr>
    </w:lvl>
    <w:lvl w:ilvl="2" w:tplc="08642864">
      <w:start w:val="1"/>
      <w:numFmt w:val="bullet"/>
      <w:lvlText w:val=""/>
      <w:lvlJc w:val="left"/>
      <w:pPr>
        <w:ind w:left="2160" w:hanging="360"/>
      </w:pPr>
      <w:rPr>
        <w:rFonts w:ascii="Wingdings" w:hAnsi="Wingdings" w:hint="default"/>
      </w:rPr>
    </w:lvl>
    <w:lvl w:ilvl="3" w:tplc="F552E556">
      <w:start w:val="1"/>
      <w:numFmt w:val="bullet"/>
      <w:lvlText w:val=""/>
      <w:lvlJc w:val="left"/>
      <w:pPr>
        <w:ind w:left="2880" w:hanging="360"/>
      </w:pPr>
      <w:rPr>
        <w:rFonts w:ascii="Symbol" w:hAnsi="Symbol" w:hint="default"/>
      </w:rPr>
    </w:lvl>
    <w:lvl w:ilvl="4" w:tplc="AE1C078E">
      <w:start w:val="1"/>
      <w:numFmt w:val="bullet"/>
      <w:lvlText w:val="o"/>
      <w:lvlJc w:val="left"/>
      <w:pPr>
        <w:ind w:left="3600" w:hanging="360"/>
      </w:pPr>
      <w:rPr>
        <w:rFonts w:ascii="Courier New" w:hAnsi="Courier New" w:hint="default"/>
      </w:rPr>
    </w:lvl>
    <w:lvl w:ilvl="5" w:tplc="1E843920">
      <w:start w:val="1"/>
      <w:numFmt w:val="bullet"/>
      <w:lvlText w:val=""/>
      <w:lvlJc w:val="left"/>
      <w:pPr>
        <w:ind w:left="4320" w:hanging="360"/>
      </w:pPr>
      <w:rPr>
        <w:rFonts w:ascii="Wingdings" w:hAnsi="Wingdings" w:hint="default"/>
      </w:rPr>
    </w:lvl>
    <w:lvl w:ilvl="6" w:tplc="D4E2A3EE">
      <w:start w:val="1"/>
      <w:numFmt w:val="bullet"/>
      <w:lvlText w:val=""/>
      <w:lvlJc w:val="left"/>
      <w:pPr>
        <w:ind w:left="5040" w:hanging="360"/>
      </w:pPr>
      <w:rPr>
        <w:rFonts w:ascii="Symbol" w:hAnsi="Symbol" w:hint="default"/>
      </w:rPr>
    </w:lvl>
    <w:lvl w:ilvl="7" w:tplc="647C4226">
      <w:start w:val="1"/>
      <w:numFmt w:val="bullet"/>
      <w:lvlText w:val="o"/>
      <w:lvlJc w:val="left"/>
      <w:pPr>
        <w:ind w:left="5760" w:hanging="360"/>
      </w:pPr>
      <w:rPr>
        <w:rFonts w:ascii="Courier New" w:hAnsi="Courier New" w:hint="default"/>
      </w:rPr>
    </w:lvl>
    <w:lvl w:ilvl="8" w:tplc="F8F695BA">
      <w:start w:val="1"/>
      <w:numFmt w:val="bullet"/>
      <w:lvlText w:val=""/>
      <w:lvlJc w:val="left"/>
      <w:pPr>
        <w:ind w:left="6480" w:hanging="360"/>
      </w:pPr>
      <w:rPr>
        <w:rFonts w:ascii="Wingdings" w:hAnsi="Wingdings" w:hint="default"/>
      </w:rPr>
    </w:lvl>
  </w:abstractNum>
  <w:abstractNum w:abstractNumId="24" w15:restartNumberingAfterBreak="0">
    <w:nsid w:val="4656FC4F"/>
    <w:multiLevelType w:val="hybridMultilevel"/>
    <w:tmpl w:val="67F47BD6"/>
    <w:lvl w:ilvl="0" w:tplc="427E6412">
      <w:start w:val="1"/>
      <w:numFmt w:val="bullet"/>
      <w:lvlText w:val=""/>
      <w:lvlJc w:val="left"/>
      <w:pPr>
        <w:ind w:left="360" w:hanging="360"/>
      </w:pPr>
      <w:rPr>
        <w:rFonts w:ascii="Symbol" w:hAnsi="Symbol" w:hint="default"/>
      </w:rPr>
    </w:lvl>
    <w:lvl w:ilvl="1" w:tplc="8F32E552">
      <w:start w:val="1"/>
      <w:numFmt w:val="bullet"/>
      <w:lvlText w:val="o"/>
      <w:lvlJc w:val="left"/>
      <w:pPr>
        <w:ind w:left="1080" w:hanging="360"/>
      </w:pPr>
      <w:rPr>
        <w:rFonts w:ascii="Courier New" w:hAnsi="Courier New" w:hint="default"/>
      </w:rPr>
    </w:lvl>
    <w:lvl w:ilvl="2" w:tplc="23EA2036">
      <w:start w:val="1"/>
      <w:numFmt w:val="bullet"/>
      <w:lvlText w:val=""/>
      <w:lvlJc w:val="left"/>
      <w:pPr>
        <w:ind w:left="1800" w:hanging="360"/>
      </w:pPr>
      <w:rPr>
        <w:rFonts w:ascii="Wingdings" w:hAnsi="Wingdings" w:hint="default"/>
      </w:rPr>
    </w:lvl>
    <w:lvl w:ilvl="3" w:tplc="1EFC2F0C">
      <w:start w:val="1"/>
      <w:numFmt w:val="bullet"/>
      <w:lvlText w:val=""/>
      <w:lvlJc w:val="left"/>
      <w:pPr>
        <w:ind w:left="2520" w:hanging="360"/>
      </w:pPr>
      <w:rPr>
        <w:rFonts w:ascii="Symbol" w:hAnsi="Symbol" w:hint="default"/>
      </w:rPr>
    </w:lvl>
    <w:lvl w:ilvl="4" w:tplc="54C47166">
      <w:start w:val="1"/>
      <w:numFmt w:val="bullet"/>
      <w:lvlText w:val="o"/>
      <w:lvlJc w:val="left"/>
      <w:pPr>
        <w:ind w:left="3240" w:hanging="360"/>
      </w:pPr>
      <w:rPr>
        <w:rFonts w:ascii="Courier New" w:hAnsi="Courier New" w:hint="default"/>
      </w:rPr>
    </w:lvl>
    <w:lvl w:ilvl="5" w:tplc="C6ECCC10">
      <w:start w:val="1"/>
      <w:numFmt w:val="bullet"/>
      <w:lvlText w:val=""/>
      <w:lvlJc w:val="left"/>
      <w:pPr>
        <w:ind w:left="3960" w:hanging="360"/>
      </w:pPr>
      <w:rPr>
        <w:rFonts w:ascii="Wingdings" w:hAnsi="Wingdings" w:hint="default"/>
      </w:rPr>
    </w:lvl>
    <w:lvl w:ilvl="6" w:tplc="350ED2A2">
      <w:start w:val="1"/>
      <w:numFmt w:val="bullet"/>
      <w:lvlText w:val=""/>
      <w:lvlJc w:val="left"/>
      <w:pPr>
        <w:ind w:left="4680" w:hanging="360"/>
      </w:pPr>
      <w:rPr>
        <w:rFonts w:ascii="Symbol" w:hAnsi="Symbol" w:hint="default"/>
      </w:rPr>
    </w:lvl>
    <w:lvl w:ilvl="7" w:tplc="3A08C2A6">
      <w:start w:val="1"/>
      <w:numFmt w:val="bullet"/>
      <w:lvlText w:val="o"/>
      <w:lvlJc w:val="left"/>
      <w:pPr>
        <w:ind w:left="5400" w:hanging="360"/>
      </w:pPr>
      <w:rPr>
        <w:rFonts w:ascii="Courier New" w:hAnsi="Courier New" w:hint="default"/>
      </w:rPr>
    </w:lvl>
    <w:lvl w:ilvl="8" w:tplc="EDA0B3C2">
      <w:start w:val="1"/>
      <w:numFmt w:val="bullet"/>
      <w:lvlText w:val=""/>
      <w:lvlJc w:val="left"/>
      <w:pPr>
        <w:ind w:left="6120" w:hanging="360"/>
      </w:pPr>
      <w:rPr>
        <w:rFonts w:ascii="Wingdings" w:hAnsi="Wingdings" w:hint="default"/>
      </w:rPr>
    </w:lvl>
  </w:abstractNum>
  <w:abstractNum w:abstractNumId="25" w15:restartNumberingAfterBreak="0">
    <w:nsid w:val="4A2BEF8D"/>
    <w:multiLevelType w:val="hybridMultilevel"/>
    <w:tmpl w:val="F3B6553A"/>
    <w:lvl w:ilvl="0" w:tplc="E3606FD2">
      <w:start w:val="1"/>
      <w:numFmt w:val="bullet"/>
      <w:lvlText w:val=""/>
      <w:lvlJc w:val="left"/>
      <w:pPr>
        <w:ind w:left="360" w:hanging="360"/>
      </w:pPr>
      <w:rPr>
        <w:rFonts w:ascii="Symbol" w:hAnsi="Symbol" w:hint="default"/>
      </w:rPr>
    </w:lvl>
    <w:lvl w:ilvl="1" w:tplc="5142A828">
      <w:start w:val="1"/>
      <w:numFmt w:val="bullet"/>
      <w:lvlText w:val="o"/>
      <w:lvlJc w:val="left"/>
      <w:pPr>
        <w:ind w:left="1080" w:hanging="360"/>
      </w:pPr>
      <w:rPr>
        <w:rFonts w:ascii="Courier New" w:hAnsi="Courier New" w:hint="default"/>
      </w:rPr>
    </w:lvl>
    <w:lvl w:ilvl="2" w:tplc="8AC63346">
      <w:start w:val="1"/>
      <w:numFmt w:val="bullet"/>
      <w:lvlText w:val=""/>
      <w:lvlJc w:val="left"/>
      <w:pPr>
        <w:ind w:left="1800" w:hanging="360"/>
      </w:pPr>
      <w:rPr>
        <w:rFonts w:ascii="Wingdings" w:hAnsi="Wingdings" w:hint="default"/>
      </w:rPr>
    </w:lvl>
    <w:lvl w:ilvl="3" w:tplc="7F2EA55C">
      <w:start w:val="1"/>
      <w:numFmt w:val="bullet"/>
      <w:lvlText w:val=""/>
      <w:lvlJc w:val="left"/>
      <w:pPr>
        <w:ind w:left="2520" w:hanging="360"/>
      </w:pPr>
      <w:rPr>
        <w:rFonts w:ascii="Symbol" w:hAnsi="Symbol" w:hint="default"/>
      </w:rPr>
    </w:lvl>
    <w:lvl w:ilvl="4" w:tplc="60BA388E">
      <w:start w:val="1"/>
      <w:numFmt w:val="bullet"/>
      <w:lvlText w:val="o"/>
      <w:lvlJc w:val="left"/>
      <w:pPr>
        <w:ind w:left="3240" w:hanging="360"/>
      </w:pPr>
      <w:rPr>
        <w:rFonts w:ascii="Courier New" w:hAnsi="Courier New" w:hint="default"/>
      </w:rPr>
    </w:lvl>
    <w:lvl w:ilvl="5" w:tplc="04C2CA9E">
      <w:start w:val="1"/>
      <w:numFmt w:val="bullet"/>
      <w:lvlText w:val=""/>
      <w:lvlJc w:val="left"/>
      <w:pPr>
        <w:ind w:left="3960" w:hanging="360"/>
      </w:pPr>
      <w:rPr>
        <w:rFonts w:ascii="Wingdings" w:hAnsi="Wingdings" w:hint="default"/>
      </w:rPr>
    </w:lvl>
    <w:lvl w:ilvl="6" w:tplc="9FA653DE">
      <w:start w:val="1"/>
      <w:numFmt w:val="bullet"/>
      <w:lvlText w:val=""/>
      <w:lvlJc w:val="left"/>
      <w:pPr>
        <w:ind w:left="4680" w:hanging="360"/>
      </w:pPr>
      <w:rPr>
        <w:rFonts w:ascii="Symbol" w:hAnsi="Symbol" w:hint="default"/>
      </w:rPr>
    </w:lvl>
    <w:lvl w:ilvl="7" w:tplc="C358809E">
      <w:start w:val="1"/>
      <w:numFmt w:val="bullet"/>
      <w:lvlText w:val="o"/>
      <w:lvlJc w:val="left"/>
      <w:pPr>
        <w:ind w:left="5400" w:hanging="360"/>
      </w:pPr>
      <w:rPr>
        <w:rFonts w:ascii="Courier New" w:hAnsi="Courier New" w:hint="default"/>
      </w:rPr>
    </w:lvl>
    <w:lvl w:ilvl="8" w:tplc="AB7E7350">
      <w:start w:val="1"/>
      <w:numFmt w:val="bullet"/>
      <w:lvlText w:val=""/>
      <w:lvlJc w:val="left"/>
      <w:pPr>
        <w:ind w:left="6120" w:hanging="360"/>
      </w:pPr>
      <w:rPr>
        <w:rFonts w:ascii="Wingdings" w:hAnsi="Wingdings" w:hint="default"/>
      </w:rPr>
    </w:lvl>
  </w:abstractNum>
  <w:abstractNum w:abstractNumId="26" w15:restartNumberingAfterBreak="0">
    <w:nsid w:val="4FF23412"/>
    <w:multiLevelType w:val="hybridMultilevel"/>
    <w:tmpl w:val="89DAFCA6"/>
    <w:lvl w:ilvl="0" w:tplc="F48C1EE6">
      <w:start w:val="1"/>
      <w:numFmt w:val="upperRoman"/>
      <w:lvlText w:val="%1."/>
      <w:lvlJc w:val="left"/>
      <w:pPr>
        <w:ind w:left="720" w:hanging="360"/>
      </w:pPr>
    </w:lvl>
    <w:lvl w:ilvl="1" w:tplc="C08AF388">
      <w:start w:val="1"/>
      <w:numFmt w:val="lowerLetter"/>
      <w:lvlText w:val="%2."/>
      <w:lvlJc w:val="left"/>
      <w:pPr>
        <w:ind w:left="1440" w:hanging="360"/>
      </w:pPr>
    </w:lvl>
    <w:lvl w:ilvl="2" w:tplc="63AC4B06">
      <w:start w:val="1"/>
      <w:numFmt w:val="lowerRoman"/>
      <w:lvlText w:val="%3."/>
      <w:lvlJc w:val="right"/>
      <w:pPr>
        <w:ind w:left="2160" w:hanging="180"/>
      </w:pPr>
    </w:lvl>
    <w:lvl w:ilvl="3" w:tplc="85EE965A">
      <w:start w:val="1"/>
      <w:numFmt w:val="decimal"/>
      <w:lvlText w:val="%4."/>
      <w:lvlJc w:val="left"/>
      <w:pPr>
        <w:ind w:left="2880" w:hanging="360"/>
      </w:pPr>
    </w:lvl>
    <w:lvl w:ilvl="4" w:tplc="6B42446C">
      <w:start w:val="1"/>
      <w:numFmt w:val="lowerLetter"/>
      <w:lvlText w:val="%5."/>
      <w:lvlJc w:val="left"/>
      <w:pPr>
        <w:ind w:left="3600" w:hanging="360"/>
      </w:pPr>
    </w:lvl>
    <w:lvl w:ilvl="5" w:tplc="4CBC2184">
      <w:start w:val="1"/>
      <w:numFmt w:val="lowerRoman"/>
      <w:lvlText w:val="%6."/>
      <w:lvlJc w:val="right"/>
      <w:pPr>
        <w:ind w:left="4320" w:hanging="180"/>
      </w:pPr>
    </w:lvl>
    <w:lvl w:ilvl="6" w:tplc="2AFA105C">
      <w:start w:val="1"/>
      <w:numFmt w:val="decimal"/>
      <w:lvlText w:val="%7."/>
      <w:lvlJc w:val="left"/>
      <w:pPr>
        <w:ind w:left="5040" w:hanging="360"/>
      </w:pPr>
    </w:lvl>
    <w:lvl w:ilvl="7" w:tplc="F45E652A">
      <w:start w:val="1"/>
      <w:numFmt w:val="lowerLetter"/>
      <w:lvlText w:val="%8."/>
      <w:lvlJc w:val="left"/>
      <w:pPr>
        <w:ind w:left="5760" w:hanging="360"/>
      </w:pPr>
    </w:lvl>
    <w:lvl w:ilvl="8" w:tplc="70CA99DC">
      <w:start w:val="1"/>
      <w:numFmt w:val="lowerRoman"/>
      <w:lvlText w:val="%9."/>
      <w:lvlJc w:val="right"/>
      <w:pPr>
        <w:ind w:left="6480" w:hanging="180"/>
      </w:pPr>
    </w:lvl>
  </w:abstractNum>
  <w:abstractNum w:abstractNumId="27" w15:restartNumberingAfterBreak="0">
    <w:nsid w:val="531000DA"/>
    <w:multiLevelType w:val="hybridMultilevel"/>
    <w:tmpl w:val="60F8855A"/>
    <w:lvl w:ilvl="0" w:tplc="64EC4AFC">
      <w:start w:val="1"/>
      <w:numFmt w:val="bullet"/>
      <w:lvlText w:val="·"/>
      <w:lvlJc w:val="left"/>
      <w:pPr>
        <w:ind w:left="720" w:hanging="360"/>
      </w:pPr>
      <w:rPr>
        <w:rFonts w:ascii="Symbol" w:hAnsi="Symbol" w:hint="default"/>
      </w:rPr>
    </w:lvl>
    <w:lvl w:ilvl="1" w:tplc="F352418A">
      <w:start w:val="1"/>
      <w:numFmt w:val="bullet"/>
      <w:lvlText w:val="o"/>
      <w:lvlJc w:val="left"/>
      <w:pPr>
        <w:ind w:left="1440" w:hanging="360"/>
      </w:pPr>
      <w:rPr>
        <w:rFonts w:ascii="Courier New" w:hAnsi="Courier New" w:hint="default"/>
      </w:rPr>
    </w:lvl>
    <w:lvl w:ilvl="2" w:tplc="9B28F706">
      <w:start w:val="1"/>
      <w:numFmt w:val="bullet"/>
      <w:lvlText w:val=""/>
      <w:lvlJc w:val="left"/>
      <w:pPr>
        <w:ind w:left="2160" w:hanging="360"/>
      </w:pPr>
      <w:rPr>
        <w:rFonts w:ascii="Wingdings" w:hAnsi="Wingdings" w:hint="default"/>
      </w:rPr>
    </w:lvl>
    <w:lvl w:ilvl="3" w:tplc="30A0B57C">
      <w:start w:val="1"/>
      <w:numFmt w:val="bullet"/>
      <w:lvlText w:val=""/>
      <w:lvlJc w:val="left"/>
      <w:pPr>
        <w:ind w:left="2880" w:hanging="360"/>
      </w:pPr>
      <w:rPr>
        <w:rFonts w:ascii="Symbol" w:hAnsi="Symbol" w:hint="default"/>
      </w:rPr>
    </w:lvl>
    <w:lvl w:ilvl="4" w:tplc="F7BC6AD4">
      <w:start w:val="1"/>
      <w:numFmt w:val="bullet"/>
      <w:lvlText w:val="o"/>
      <w:lvlJc w:val="left"/>
      <w:pPr>
        <w:ind w:left="3600" w:hanging="360"/>
      </w:pPr>
      <w:rPr>
        <w:rFonts w:ascii="Courier New" w:hAnsi="Courier New" w:hint="default"/>
      </w:rPr>
    </w:lvl>
    <w:lvl w:ilvl="5" w:tplc="CEC6263E">
      <w:start w:val="1"/>
      <w:numFmt w:val="bullet"/>
      <w:lvlText w:val=""/>
      <w:lvlJc w:val="left"/>
      <w:pPr>
        <w:ind w:left="4320" w:hanging="360"/>
      </w:pPr>
      <w:rPr>
        <w:rFonts w:ascii="Wingdings" w:hAnsi="Wingdings" w:hint="default"/>
      </w:rPr>
    </w:lvl>
    <w:lvl w:ilvl="6" w:tplc="77521770">
      <w:start w:val="1"/>
      <w:numFmt w:val="bullet"/>
      <w:lvlText w:val=""/>
      <w:lvlJc w:val="left"/>
      <w:pPr>
        <w:ind w:left="5040" w:hanging="360"/>
      </w:pPr>
      <w:rPr>
        <w:rFonts w:ascii="Symbol" w:hAnsi="Symbol" w:hint="default"/>
      </w:rPr>
    </w:lvl>
    <w:lvl w:ilvl="7" w:tplc="ABF8F228">
      <w:start w:val="1"/>
      <w:numFmt w:val="bullet"/>
      <w:lvlText w:val="o"/>
      <w:lvlJc w:val="left"/>
      <w:pPr>
        <w:ind w:left="5760" w:hanging="360"/>
      </w:pPr>
      <w:rPr>
        <w:rFonts w:ascii="Courier New" w:hAnsi="Courier New" w:hint="default"/>
      </w:rPr>
    </w:lvl>
    <w:lvl w:ilvl="8" w:tplc="80FA79FA">
      <w:start w:val="1"/>
      <w:numFmt w:val="bullet"/>
      <w:lvlText w:val=""/>
      <w:lvlJc w:val="left"/>
      <w:pPr>
        <w:ind w:left="6480" w:hanging="360"/>
      </w:pPr>
      <w:rPr>
        <w:rFonts w:ascii="Wingdings" w:hAnsi="Wingdings" w:hint="default"/>
      </w:rPr>
    </w:lvl>
  </w:abstractNum>
  <w:abstractNum w:abstractNumId="28" w15:restartNumberingAfterBreak="0">
    <w:nsid w:val="54C727F9"/>
    <w:multiLevelType w:val="hybridMultilevel"/>
    <w:tmpl w:val="91AE6182"/>
    <w:lvl w:ilvl="0" w:tplc="1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827847E"/>
    <w:multiLevelType w:val="hybridMultilevel"/>
    <w:tmpl w:val="FB00D388"/>
    <w:lvl w:ilvl="0" w:tplc="C8B2D286">
      <w:start w:val="1"/>
      <w:numFmt w:val="decimal"/>
      <w:lvlText w:val="%1."/>
      <w:lvlJc w:val="left"/>
      <w:pPr>
        <w:ind w:left="720" w:hanging="360"/>
      </w:pPr>
    </w:lvl>
    <w:lvl w:ilvl="1" w:tplc="E8A824A6">
      <w:start w:val="1"/>
      <w:numFmt w:val="lowerLetter"/>
      <w:lvlText w:val="%2."/>
      <w:lvlJc w:val="left"/>
      <w:pPr>
        <w:ind w:left="1440" w:hanging="360"/>
      </w:pPr>
    </w:lvl>
    <w:lvl w:ilvl="2" w:tplc="6B1ED91C">
      <w:start w:val="1"/>
      <w:numFmt w:val="lowerRoman"/>
      <w:lvlText w:val="%3."/>
      <w:lvlJc w:val="right"/>
      <w:pPr>
        <w:ind w:left="2160" w:hanging="180"/>
      </w:pPr>
    </w:lvl>
    <w:lvl w:ilvl="3" w:tplc="BB008560">
      <w:start w:val="1"/>
      <w:numFmt w:val="decimal"/>
      <w:lvlText w:val="%4."/>
      <w:lvlJc w:val="left"/>
      <w:pPr>
        <w:ind w:left="2880" w:hanging="360"/>
      </w:pPr>
    </w:lvl>
    <w:lvl w:ilvl="4" w:tplc="23E0D466">
      <w:start w:val="1"/>
      <w:numFmt w:val="lowerLetter"/>
      <w:lvlText w:val="%5."/>
      <w:lvlJc w:val="left"/>
      <w:pPr>
        <w:ind w:left="3600" w:hanging="360"/>
      </w:pPr>
    </w:lvl>
    <w:lvl w:ilvl="5" w:tplc="DF7E6A98">
      <w:start w:val="1"/>
      <w:numFmt w:val="lowerRoman"/>
      <w:lvlText w:val="%6."/>
      <w:lvlJc w:val="right"/>
      <w:pPr>
        <w:ind w:left="4320" w:hanging="180"/>
      </w:pPr>
    </w:lvl>
    <w:lvl w:ilvl="6" w:tplc="C4CECEB6">
      <w:start w:val="1"/>
      <w:numFmt w:val="decimal"/>
      <w:lvlText w:val="%7."/>
      <w:lvlJc w:val="left"/>
      <w:pPr>
        <w:ind w:left="5040" w:hanging="360"/>
      </w:pPr>
    </w:lvl>
    <w:lvl w:ilvl="7" w:tplc="9384A282">
      <w:start w:val="1"/>
      <w:numFmt w:val="lowerLetter"/>
      <w:lvlText w:val="%8."/>
      <w:lvlJc w:val="left"/>
      <w:pPr>
        <w:ind w:left="5760" w:hanging="360"/>
      </w:pPr>
    </w:lvl>
    <w:lvl w:ilvl="8" w:tplc="F3C685C8">
      <w:start w:val="1"/>
      <w:numFmt w:val="lowerRoman"/>
      <w:lvlText w:val="%9."/>
      <w:lvlJc w:val="right"/>
      <w:pPr>
        <w:ind w:left="6480" w:hanging="180"/>
      </w:pPr>
    </w:lvl>
  </w:abstractNum>
  <w:abstractNum w:abstractNumId="30" w15:restartNumberingAfterBreak="0">
    <w:nsid w:val="5A652A12"/>
    <w:multiLevelType w:val="multilevel"/>
    <w:tmpl w:val="F964F776"/>
    <w:lvl w:ilvl="0">
      <w:start w:val="1"/>
      <w:numFmt w:val="decimal"/>
      <w:lvlText w:val="%1."/>
      <w:lvlJc w:val="left"/>
      <w:pPr>
        <w:ind w:left="360" w:hanging="360"/>
      </w:pPr>
    </w:lvl>
    <w:lvl w:ilvl="1">
      <w:start w:val="1"/>
      <w:numFmt w:val="decimal"/>
      <w:lvlText w:val="%1.%2."/>
      <w:lvlJc w:val="left"/>
      <w:pPr>
        <w:ind w:left="1080" w:hanging="360"/>
      </w:pPr>
      <w:rPr>
        <w:i/>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1" w15:restartNumberingAfterBreak="0">
    <w:nsid w:val="5B2D0893"/>
    <w:multiLevelType w:val="hybridMultilevel"/>
    <w:tmpl w:val="573AD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EF3AA3A"/>
    <w:multiLevelType w:val="hybridMultilevel"/>
    <w:tmpl w:val="D4B018E4"/>
    <w:lvl w:ilvl="0" w:tplc="25A8EE42">
      <w:numFmt w:val="none"/>
      <w:lvlText w:val=""/>
      <w:lvlJc w:val="left"/>
      <w:pPr>
        <w:tabs>
          <w:tab w:val="num" w:pos="360"/>
        </w:tabs>
      </w:pPr>
    </w:lvl>
    <w:lvl w:ilvl="1" w:tplc="DD14C396">
      <w:start w:val="1"/>
      <w:numFmt w:val="lowerLetter"/>
      <w:lvlText w:val="%2."/>
      <w:lvlJc w:val="left"/>
      <w:pPr>
        <w:ind w:left="1440" w:hanging="360"/>
      </w:pPr>
    </w:lvl>
    <w:lvl w:ilvl="2" w:tplc="D5E8AA9E">
      <w:start w:val="1"/>
      <w:numFmt w:val="lowerRoman"/>
      <w:lvlText w:val="%3."/>
      <w:lvlJc w:val="right"/>
      <w:pPr>
        <w:ind w:left="2160" w:hanging="180"/>
      </w:pPr>
    </w:lvl>
    <w:lvl w:ilvl="3" w:tplc="14FEBEFC">
      <w:start w:val="1"/>
      <w:numFmt w:val="decimal"/>
      <w:lvlText w:val="%4."/>
      <w:lvlJc w:val="left"/>
      <w:pPr>
        <w:ind w:left="2880" w:hanging="360"/>
      </w:pPr>
    </w:lvl>
    <w:lvl w:ilvl="4" w:tplc="5F8E3888">
      <w:start w:val="1"/>
      <w:numFmt w:val="lowerLetter"/>
      <w:lvlText w:val="%5."/>
      <w:lvlJc w:val="left"/>
      <w:pPr>
        <w:ind w:left="3600" w:hanging="360"/>
      </w:pPr>
    </w:lvl>
    <w:lvl w:ilvl="5" w:tplc="059C93F8">
      <w:start w:val="1"/>
      <w:numFmt w:val="lowerRoman"/>
      <w:lvlText w:val="%6."/>
      <w:lvlJc w:val="right"/>
      <w:pPr>
        <w:ind w:left="4320" w:hanging="180"/>
      </w:pPr>
    </w:lvl>
    <w:lvl w:ilvl="6" w:tplc="02DE7CDC">
      <w:start w:val="1"/>
      <w:numFmt w:val="decimal"/>
      <w:lvlText w:val="%7."/>
      <w:lvlJc w:val="left"/>
      <w:pPr>
        <w:ind w:left="5040" w:hanging="360"/>
      </w:pPr>
    </w:lvl>
    <w:lvl w:ilvl="7" w:tplc="6E10B8AE">
      <w:start w:val="1"/>
      <w:numFmt w:val="lowerLetter"/>
      <w:lvlText w:val="%8."/>
      <w:lvlJc w:val="left"/>
      <w:pPr>
        <w:ind w:left="5760" w:hanging="360"/>
      </w:pPr>
    </w:lvl>
    <w:lvl w:ilvl="8" w:tplc="98A8F474">
      <w:start w:val="1"/>
      <w:numFmt w:val="lowerRoman"/>
      <w:lvlText w:val="%9."/>
      <w:lvlJc w:val="right"/>
      <w:pPr>
        <w:ind w:left="6480" w:hanging="180"/>
      </w:pPr>
    </w:lvl>
  </w:abstractNum>
  <w:abstractNum w:abstractNumId="33" w15:restartNumberingAfterBreak="0">
    <w:nsid w:val="5F35E255"/>
    <w:multiLevelType w:val="hybridMultilevel"/>
    <w:tmpl w:val="FFFFFFFF"/>
    <w:lvl w:ilvl="0" w:tplc="7200F6B8">
      <w:start w:val="1"/>
      <w:numFmt w:val="bullet"/>
      <w:lvlText w:val=""/>
      <w:lvlJc w:val="left"/>
      <w:pPr>
        <w:ind w:left="720" w:hanging="360"/>
      </w:pPr>
      <w:rPr>
        <w:rFonts w:ascii="Symbol" w:hAnsi="Symbol" w:hint="default"/>
      </w:rPr>
    </w:lvl>
    <w:lvl w:ilvl="1" w:tplc="7F647CCA">
      <w:start w:val="1"/>
      <w:numFmt w:val="bullet"/>
      <w:lvlText w:val="o"/>
      <w:lvlJc w:val="left"/>
      <w:pPr>
        <w:ind w:left="1440" w:hanging="360"/>
      </w:pPr>
      <w:rPr>
        <w:rFonts w:ascii="Courier New" w:hAnsi="Courier New" w:hint="default"/>
      </w:rPr>
    </w:lvl>
    <w:lvl w:ilvl="2" w:tplc="EFD090D6">
      <w:start w:val="1"/>
      <w:numFmt w:val="bullet"/>
      <w:lvlText w:val=""/>
      <w:lvlJc w:val="left"/>
      <w:pPr>
        <w:ind w:left="2160" w:hanging="360"/>
      </w:pPr>
      <w:rPr>
        <w:rFonts w:ascii="Wingdings" w:hAnsi="Wingdings" w:hint="default"/>
      </w:rPr>
    </w:lvl>
    <w:lvl w:ilvl="3" w:tplc="CF4C3232">
      <w:start w:val="1"/>
      <w:numFmt w:val="bullet"/>
      <w:lvlText w:val=""/>
      <w:lvlJc w:val="left"/>
      <w:pPr>
        <w:ind w:left="2880" w:hanging="360"/>
      </w:pPr>
      <w:rPr>
        <w:rFonts w:ascii="Symbol" w:hAnsi="Symbol" w:hint="default"/>
      </w:rPr>
    </w:lvl>
    <w:lvl w:ilvl="4" w:tplc="284E9FC6">
      <w:start w:val="1"/>
      <w:numFmt w:val="bullet"/>
      <w:lvlText w:val="o"/>
      <w:lvlJc w:val="left"/>
      <w:pPr>
        <w:ind w:left="3600" w:hanging="360"/>
      </w:pPr>
      <w:rPr>
        <w:rFonts w:ascii="Courier New" w:hAnsi="Courier New" w:hint="default"/>
      </w:rPr>
    </w:lvl>
    <w:lvl w:ilvl="5" w:tplc="DE343068">
      <w:start w:val="1"/>
      <w:numFmt w:val="bullet"/>
      <w:lvlText w:val=""/>
      <w:lvlJc w:val="left"/>
      <w:pPr>
        <w:ind w:left="4320" w:hanging="360"/>
      </w:pPr>
      <w:rPr>
        <w:rFonts w:ascii="Wingdings" w:hAnsi="Wingdings" w:hint="default"/>
      </w:rPr>
    </w:lvl>
    <w:lvl w:ilvl="6" w:tplc="83D4F8BC">
      <w:start w:val="1"/>
      <w:numFmt w:val="bullet"/>
      <w:lvlText w:val=""/>
      <w:lvlJc w:val="left"/>
      <w:pPr>
        <w:ind w:left="5040" w:hanging="360"/>
      </w:pPr>
      <w:rPr>
        <w:rFonts w:ascii="Symbol" w:hAnsi="Symbol" w:hint="default"/>
      </w:rPr>
    </w:lvl>
    <w:lvl w:ilvl="7" w:tplc="F62C9F8A">
      <w:start w:val="1"/>
      <w:numFmt w:val="bullet"/>
      <w:lvlText w:val="o"/>
      <w:lvlJc w:val="left"/>
      <w:pPr>
        <w:ind w:left="5760" w:hanging="360"/>
      </w:pPr>
      <w:rPr>
        <w:rFonts w:ascii="Courier New" w:hAnsi="Courier New" w:hint="default"/>
      </w:rPr>
    </w:lvl>
    <w:lvl w:ilvl="8" w:tplc="E64CA906">
      <w:start w:val="1"/>
      <w:numFmt w:val="bullet"/>
      <w:lvlText w:val=""/>
      <w:lvlJc w:val="left"/>
      <w:pPr>
        <w:ind w:left="6480" w:hanging="360"/>
      </w:pPr>
      <w:rPr>
        <w:rFonts w:ascii="Wingdings" w:hAnsi="Wingdings" w:hint="default"/>
      </w:rPr>
    </w:lvl>
  </w:abstractNum>
  <w:abstractNum w:abstractNumId="34" w15:restartNumberingAfterBreak="0">
    <w:nsid w:val="61E315E1"/>
    <w:multiLevelType w:val="hybridMultilevel"/>
    <w:tmpl w:val="99A4A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B03745"/>
    <w:multiLevelType w:val="multilevel"/>
    <w:tmpl w:val="77E0293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646A0A84"/>
    <w:multiLevelType w:val="hybridMultilevel"/>
    <w:tmpl w:val="BA52921A"/>
    <w:lvl w:ilvl="0" w:tplc="9C3C1A1C">
      <w:start w:val="1"/>
      <w:numFmt w:val="bullet"/>
      <w:lvlText w:val=""/>
      <w:lvlJc w:val="left"/>
      <w:pPr>
        <w:ind w:left="360" w:hanging="360"/>
      </w:pPr>
      <w:rPr>
        <w:rFonts w:ascii="Symbol" w:hAnsi="Symbol" w:hint="default"/>
      </w:rPr>
    </w:lvl>
    <w:lvl w:ilvl="1" w:tplc="EC1A59A0">
      <w:start w:val="1"/>
      <w:numFmt w:val="bullet"/>
      <w:lvlText w:val="o"/>
      <w:lvlJc w:val="left"/>
      <w:pPr>
        <w:ind w:left="1080" w:hanging="360"/>
      </w:pPr>
      <w:rPr>
        <w:rFonts w:ascii="Courier New" w:hAnsi="Courier New" w:hint="default"/>
      </w:rPr>
    </w:lvl>
    <w:lvl w:ilvl="2" w:tplc="CF466CD4">
      <w:start w:val="1"/>
      <w:numFmt w:val="bullet"/>
      <w:lvlText w:val=""/>
      <w:lvlJc w:val="left"/>
      <w:pPr>
        <w:ind w:left="1800" w:hanging="360"/>
      </w:pPr>
      <w:rPr>
        <w:rFonts w:ascii="Wingdings" w:hAnsi="Wingdings" w:hint="default"/>
      </w:rPr>
    </w:lvl>
    <w:lvl w:ilvl="3" w:tplc="8C2027D6">
      <w:start w:val="1"/>
      <w:numFmt w:val="bullet"/>
      <w:lvlText w:val=""/>
      <w:lvlJc w:val="left"/>
      <w:pPr>
        <w:ind w:left="2520" w:hanging="360"/>
      </w:pPr>
      <w:rPr>
        <w:rFonts w:ascii="Symbol" w:hAnsi="Symbol" w:hint="default"/>
      </w:rPr>
    </w:lvl>
    <w:lvl w:ilvl="4" w:tplc="A3FCAAAE">
      <w:start w:val="1"/>
      <w:numFmt w:val="bullet"/>
      <w:lvlText w:val="o"/>
      <w:lvlJc w:val="left"/>
      <w:pPr>
        <w:ind w:left="3240" w:hanging="360"/>
      </w:pPr>
      <w:rPr>
        <w:rFonts w:ascii="Courier New" w:hAnsi="Courier New" w:hint="default"/>
      </w:rPr>
    </w:lvl>
    <w:lvl w:ilvl="5" w:tplc="736C6D76">
      <w:start w:val="1"/>
      <w:numFmt w:val="bullet"/>
      <w:lvlText w:val=""/>
      <w:lvlJc w:val="left"/>
      <w:pPr>
        <w:ind w:left="3960" w:hanging="360"/>
      </w:pPr>
      <w:rPr>
        <w:rFonts w:ascii="Wingdings" w:hAnsi="Wingdings" w:hint="default"/>
      </w:rPr>
    </w:lvl>
    <w:lvl w:ilvl="6" w:tplc="E07A6E40">
      <w:start w:val="1"/>
      <w:numFmt w:val="bullet"/>
      <w:lvlText w:val=""/>
      <w:lvlJc w:val="left"/>
      <w:pPr>
        <w:ind w:left="4680" w:hanging="360"/>
      </w:pPr>
      <w:rPr>
        <w:rFonts w:ascii="Symbol" w:hAnsi="Symbol" w:hint="default"/>
      </w:rPr>
    </w:lvl>
    <w:lvl w:ilvl="7" w:tplc="00E83636">
      <w:start w:val="1"/>
      <w:numFmt w:val="bullet"/>
      <w:lvlText w:val="o"/>
      <w:lvlJc w:val="left"/>
      <w:pPr>
        <w:ind w:left="5400" w:hanging="360"/>
      </w:pPr>
      <w:rPr>
        <w:rFonts w:ascii="Courier New" w:hAnsi="Courier New" w:hint="default"/>
      </w:rPr>
    </w:lvl>
    <w:lvl w:ilvl="8" w:tplc="43EE6428">
      <w:start w:val="1"/>
      <w:numFmt w:val="bullet"/>
      <w:lvlText w:val=""/>
      <w:lvlJc w:val="left"/>
      <w:pPr>
        <w:ind w:left="6120" w:hanging="360"/>
      </w:pPr>
      <w:rPr>
        <w:rFonts w:ascii="Wingdings" w:hAnsi="Wingdings" w:hint="default"/>
      </w:rPr>
    </w:lvl>
  </w:abstractNum>
  <w:abstractNum w:abstractNumId="37" w15:restartNumberingAfterBreak="0">
    <w:nsid w:val="650CEBD8"/>
    <w:multiLevelType w:val="hybridMultilevel"/>
    <w:tmpl w:val="FFFFFFFF"/>
    <w:lvl w:ilvl="0" w:tplc="7D721344">
      <w:start w:val="1"/>
      <w:numFmt w:val="decimal"/>
      <w:lvlText w:val="%1."/>
      <w:lvlJc w:val="left"/>
      <w:pPr>
        <w:ind w:left="720" w:hanging="360"/>
      </w:pPr>
    </w:lvl>
    <w:lvl w:ilvl="1" w:tplc="7B946640">
      <w:start w:val="1"/>
      <w:numFmt w:val="lowerLetter"/>
      <w:lvlText w:val="%2."/>
      <w:lvlJc w:val="left"/>
      <w:pPr>
        <w:ind w:left="1440" w:hanging="360"/>
      </w:pPr>
    </w:lvl>
    <w:lvl w:ilvl="2" w:tplc="0BBA1C78">
      <w:start w:val="1"/>
      <w:numFmt w:val="lowerRoman"/>
      <w:lvlText w:val="%3."/>
      <w:lvlJc w:val="right"/>
      <w:pPr>
        <w:ind w:left="2160" w:hanging="180"/>
      </w:pPr>
    </w:lvl>
    <w:lvl w:ilvl="3" w:tplc="7694AC18">
      <w:start w:val="1"/>
      <w:numFmt w:val="decimal"/>
      <w:lvlText w:val="%4."/>
      <w:lvlJc w:val="left"/>
      <w:pPr>
        <w:ind w:left="2880" w:hanging="360"/>
      </w:pPr>
    </w:lvl>
    <w:lvl w:ilvl="4" w:tplc="92043B96">
      <w:start w:val="1"/>
      <w:numFmt w:val="lowerLetter"/>
      <w:lvlText w:val="%5."/>
      <w:lvlJc w:val="left"/>
      <w:pPr>
        <w:ind w:left="3600" w:hanging="360"/>
      </w:pPr>
    </w:lvl>
    <w:lvl w:ilvl="5" w:tplc="78C0EF5E">
      <w:start w:val="1"/>
      <w:numFmt w:val="lowerRoman"/>
      <w:lvlText w:val="%6."/>
      <w:lvlJc w:val="right"/>
      <w:pPr>
        <w:ind w:left="4320" w:hanging="180"/>
      </w:pPr>
    </w:lvl>
    <w:lvl w:ilvl="6" w:tplc="6BA045BE">
      <w:start w:val="1"/>
      <w:numFmt w:val="decimal"/>
      <w:lvlText w:val="%7."/>
      <w:lvlJc w:val="left"/>
      <w:pPr>
        <w:ind w:left="5040" w:hanging="360"/>
      </w:pPr>
    </w:lvl>
    <w:lvl w:ilvl="7" w:tplc="D7A22502">
      <w:start w:val="1"/>
      <w:numFmt w:val="lowerLetter"/>
      <w:lvlText w:val="%8."/>
      <w:lvlJc w:val="left"/>
      <w:pPr>
        <w:ind w:left="5760" w:hanging="360"/>
      </w:pPr>
    </w:lvl>
    <w:lvl w:ilvl="8" w:tplc="0A7227BC">
      <w:start w:val="1"/>
      <w:numFmt w:val="lowerRoman"/>
      <w:lvlText w:val="%9."/>
      <w:lvlJc w:val="right"/>
      <w:pPr>
        <w:ind w:left="6480" w:hanging="180"/>
      </w:pPr>
    </w:lvl>
  </w:abstractNum>
  <w:abstractNum w:abstractNumId="38" w15:restartNumberingAfterBreak="0">
    <w:nsid w:val="67E2F0CE"/>
    <w:multiLevelType w:val="hybridMultilevel"/>
    <w:tmpl w:val="C6EA9B7E"/>
    <w:lvl w:ilvl="0" w:tplc="D6123218">
      <w:start w:val="1"/>
      <w:numFmt w:val="bullet"/>
      <w:lvlText w:val="·"/>
      <w:lvlJc w:val="left"/>
      <w:pPr>
        <w:ind w:left="720" w:hanging="360"/>
      </w:pPr>
      <w:rPr>
        <w:rFonts w:ascii="Symbol" w:hAnsi="Symbol" w:hint="default"/>
      </w:rPr>
    </w:lvl>
    <w:lvl w:ilvl="1" w:tplc="16505C04">
      <w:start w:val="1"/>
      <w:numFmt w:val="bullet"/>
      <w:lvlText w:val="o"/>
      <w:lvlJc w:val="left"/>
      <w:pPr>
        <w:ind w:left="1440" w:hanging="360"/>
      </w:pPr>
      <w:rPr>
        <w:rFonts w:ascii="Courier New" w:hAnsi="Courier New" w:hint="default"/>
      </w:rPr>
    </w:lvl>
    <w:lvl w:ilvl="2" w:tplc="632E4C48">
      <w:start w:val="1"/>
      <w:numFmt w:val="bullet"/>
      <w:lvlText w:val=""/>
      <w:lvlJc w:val="left"/>
      <w:pPr>
        <w:ind w:left="2160" w:hanging="360"/>
      </w:pPr>
      <w:rPr>
        <w:rFonts w:ascii="Wingdings" w:hAnsi="Wingdings" w:hint="default"/>
      </w:rPr>
    </w:lvl>
    <w:lvl w:ilvl="3" w:tplc="B336D130">
      <w:start w:val="1"/>
      <w:numFmt w:val="bullet"/>
      <w:lvlText w:val=""/>
      <w:lvlJc w:val="left"/>
      <w:pPr>
        <w:ind w:left="2880" w:hanging="360"/>
      </w:pPr>
      <w:rPr>
        <w:rFonts w:ascii="Symbol" w:hAnsi="Symbol" w:hint="default"/>
      </w:rPr>
    </w:lvl>
    <w:lvl w:ilvl="4" w:tplc="94DE9D5C">
      <w:start w:val="1"/>
      <w:numFmt w:val="bullet"/>
      <w:lvlText w:val="o"/>
      <w:lvlJc w:val="left"/>
      <w:pPr>
        <w:ind w:left="3600" w:hanging="360"/>
      </w:pPr>
      <w:rPr>
        <w:rFonts w:ascii="Courier New" w:hAnsi="Courier New" w:hint="default"/>
      </w:rPr>
    </w:lvl>
    <w:lvl w:ilvl="5" w:tplc="7316857E">
      <w:start w:val="1"/>
      <w:numFmt w:val="bullet"/>
      <w:lvlText w:val=""/>
      <w:lvlJc w:val="left"/>
      <w:pPr>
        <w:ind w:left="4320" w:hanging="360"/>
      </w:pPr>
      <w:rPr>
        <w:rFonts w:ascii="Wingdings" w:hAnsi="Wingdings" w:hint="default"/>
      </w:rPr>
    </w:lvl>
    <w:lvl w:ilvl="6" w:tplc="C33EA708">
      <w:start w:val="1"/>
      <w:numFmt w:val="bullet"/>
      <w:lvlText w:val=""/>
      <w:lvlJc w:val="left"/>
      <w:pPr>
        <w:ind w:left="5040" w:hanging="360"/>
      </w:pPr>
      <w:rPr>
        <w:rFonts w:ascii="Symbol" w:hAnsi="Symbol" w:hint="default"/>
      </w:rPr>
    </w:lvl>
    <w:lvl w:ilvl="7" w:tplc="863640F2">
      <w:start w:val="1"/>
      <w:numFmt w:val="bullet"/>
      <w:lvlText w:val="o"/>
      <w:lvlJc w:val="left"/>
      <w:pPr>
        <w:ind w:left="5760" w:hanging="360"/>
      </w:pPr>
      <w:rPr>
        <w:rFonts w:ascii="Courier New" w:hAnsi="Courier New" w:hint="default"/>
      </w:rPr>
    </w:lvl>
    <w:lvl w:ilvl="8" w:tplc="DCFE9E46">
      <w:start w:val="1"/>
      <w:numFmt w:val="bullet"/>
      <w:lvlText w:val=""/>
      <w:lvlJc w:val="left"/>
      <w:pPr>
        <w:ind w:left="6480" w:hanging="360"/>
      </w:pPr>
      <w:rPr>
        <w:rFonts w:ascii="Wingdings" w:hAnsi="Wingdings" w:hint="default"/>
      </w:rPr>
    </w:lvl>
  </w:abstractNum>
  <w:abstractNum w:abstractNumId="39" w15:restartNumberingAfterBreak="0">
    <w:nsid w:val="6B7E732C"/>
    <w:multiLevelType w:val="hybridMultilevel"/>
    <w:tmpl w:val="F572CBCA"/>
    <w:lvl w:ilvl="0" w:tplc="C40EE91C">
      <w:start w:val="1"/>
      <w:numFmt w:val="bullet"/>
      <w:lvlText w:val=""/>
      <w:lvlJc w:val="left"/>
      <w:pPr>
        <w:ind w:left="360" w:hanging="360"/>
      </w:pPr>
      <w:rPr>
        <w:rFonts w:ascii="Symbol" w:hAnsi="Symbol" w:hint="default"/>
      </w:rPr>
    </w:lvl>
    <w:lvl w:ilvl="1" w:tplc="94F058F0">
      <w:start w:val="1"/>
      <w:numFmt w:val="bullet"/>
      <w:lvlText w:val="o"/>
      <w:lvlJc w:val="left"/>
      <w:pPr>
        <w:ind w:left="1080" w:hanging="360"/>
      </w:pPr>
      <w:rPr>
        <w:rFonts w:ascii="Courier New" w:hAnsi="Courier New" w:hint="default"/>
      </w:rPr>
    </w:lvl>
    <w:lvl w:ilvl="2" w:tplc="5512F09C">
      <w:start w:val="1"/>
      <w:numFmt w:val="bullet"/>
      <w:lvlText w:val=""/>
      <w:lvlJc w:val="left"/>
      <w:pPr>
        <w:ind w:left="1800" w:hanging="360"/>
      </w:pPr>
      <w:rPr>
        <w:rFonts w:ascii="Wingdings" w:hAnsi="Wingdings" w:hint="default"/>
      </w:rPr>
    </w:lvl>
    <w:lvl w:ilvl="3" w:tplc="5A5CDA0A">
      <w:start w:val="1"/>
      <w:numFmt w:val="bullet"/>
      <w:lvlText w:val=""/>
      <w:lvlJc w:val="left"/>
      <w:pPr>
        <w:ind w:left="2520" w:hanging="360"/>
      </w:pPr>
      <w:rPr>
        <w:rFonts w:ascii="Symbol" w:hAnsi="Symbol" w:hint="default"/>
      </w:rPr>
    </w:lvl>
    <w:lvl w:ilvl="4" w:tplc="383E153C">
      <w:start w:val="1"/>
      <w:numFmt w:val="bullet"/>
      <w:lvlText w:val="o"/>
      <w:lvlJc w:val="left"/>
      <w:pPr>
        <w:ind w:left="3240" w:hanging="360"/>
      </w:pPr>
      <w:rPr>
        <w:rFonts w:ascii="Courier New" w:hAnsi="Courier New" w:hint="default"/>
      </w:rPr>
    </w:lvl>
    <w:lvl w:ilvl="5" w:tplc="FABC8058">
      <w:start w:val="1"/>
      <w:numFmt w:val="bullet"/>
      <w:lvlText w:val=""/>
      <w:lvlJc w:val="left"/>
      <w:pPr>
        <w:ind w:left="3960" w:hanging="360"/>
      </w:pPr>
      <w:rPr>
        <w:rFonts w:ascii="Wingdings" w:hAnsi="Wingdings" w:hint="default"/>
      </w:rPr>
    </w:lvl>
    <w:lvl w:ilvl="6" w:tplc="3566F42C">
      <w:start w:val="1"/>
      <w:numFmt w:val="bullet"/>
      <w:lvlText w:val=""/>
      <w:lvlJc w:val="left"/>
      <w:pPr>
        <w:ind w:left="4680" w:hanging="360"/>
      </w:pPr>
      <w:rPr>
        <w:rFonts w:ascii="Symbol" w:hAnsi="Symbol" w:hint="default"/>
      </w:rPr>
    </w:lvl>
    <w:lvl w:ilvl="7" w:tplc="E04206AA">
      <w:start w:val="1"/>
      <w:numFmt w:val="bullet"/>
      <w:lvlText w:val="o"/>
      <w:lvlJc w:val="left"/>
      <w:pPr>
        <w:ind w:left="5400" w:hanging="360"/>
      </w:pPr>
      <w:rPr>
        <w:rFonts w:ascii="Courier New" w:hAnsi="Courier New" w:hint="default"/>
      </w:rPr>
    </w:lvl>
    <w:lvl w:ilvl="8" w:tplc="27DC8BDC">
      <w:start w:val="1"/>
      <w:numFmt w:val="bullet"/>
      <w:lvlText w:val=""/>
      <w:lvlJc w:val="left"/>
      <w:pPr>
        <w:ind w:left="6120" w:hanging="360"/>
      </w:pPr>
      <w:rPr>
        <w:rFonts w:ascii="Wingdings" w:hAnsi="Wingdings" w:hint="default"/>
      </w:rPr>
    </w:lvl>
  </w:abstractNum>
  <w:abstractNum w:abstractNumId="40" w15:restartNumberingAfterBreak="0">
    <w:nsid w:val="6D0703F7"/>
    <w:multiLevelType w:val="hybridMultilevel"/>
    <w:tmpl w:val="99667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D1E6E4C"/>
    <w:multiLevelType w:val="multilevel"/>
    <w:tmpl w:val="340037B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73C09B78"/>
    <w:multiLevelType w:val="hybridMultilevel"/>
    <w:tmpl w:val="52805636"/>
    <w:lvl w:ilvl="0" w:tplc="A8DC7252">
      <w:start w:val="1"/>
      <w:numFmt w:val="bullet"/>
      <w:lvlText w:val="·"/>
      <w:lvlJc w:val="left"/>
      <w:pPr>
        <w:ind w:left="720" w:hanging="360"/>
      </w:pPr>
      <w:rPr>
        <w:rFonts w:ascii="Symbol" w:hAnsi="Symbol" w:hint="default"/>
      </w:rPr>
    </w:lvl>
    <w:lvl w:ilvl="1" w:tplc="39F85E6C">
      <w:start w:val="1"/>
      <w:numFmt w:val="bullet"/>
      <w:lvlText w:val="o"/>
      <w:lvlJc w:val="left"/>
      <w:pPr>
        <w:ind w:left="1440" w:hanging="360"/>
      </w:pPr>
      <w:rPr>
        <w:rFonts w:ascii="Courier New" w:hAnsi="Courier New" w:hint="default"/>
      </w:rPr>
    </w:lvl>
    <w:lvl w:ilvl="2" w:tplc="D916B5CE">
      <w:start w:val="1"/>
      <w:numFmt w:val="bullet"/>
      <w:lvlText w:val=""/>
      <w:lvlJc w:val="left"/>
      <w:pPr>
        <w:ind w:left="2160" w:hanging="360"/>
      </w:pPr>
      <w:rPr>
        <w:rFonts w:ascii="Wingdings" w:hAnsi="Wingdings" w:hint="default"/>
      </w:rPr>
    </w:lvl>
    <w:lvl w:ilvl="3" w:tplc="52BE9ACE">
      <w:start w:val="1"/>
      <w:numFmt w:val="bullet"/>
      <w:lvlText w:val=""/>
      <w:lvlJc w:val="left"/>
      <w:pPr>
        <w:ind w:left="2880" w:hanging="360"/>
      </w:pPr>
      <w:rPr>
        <w:rFonts w:ascii="Symbol" w:hAnsi="Symbol" w:hint="default"/>
      </w:rPr>
    </w:lvl>
    <w:lvl w:ilvl="4" w:tplc="59CAFF24">
      <w:start w:val="1"/>
      <w:numFmt w:val="bullet"/>
      <w:lvlText w:val="o"/>
      <w:lvlJc w:val="left"/>
      <w:pPr>
        <w:ind w:left="3600" w:hanging="360"/>
      </w:pPr>
      <w:rPr>
        <w:rFonts w:ascii="Courier New" w:hAnsi="Courier New" w:hint="default"/>
      </w:rPr>
    </w:lvl>
    <w:lvl w:ilvl="5" w:tplc="95160DA2">
      <w:start w:val="1"/>
      <w:numFmt w:val="bullet"/>
      <w:lvlText w:val=""/>
      <w:lvlJc w:val="left"/>
      <w:pPr>
        <w:ind w:left="4320" w:hanging="360"/>
      </w:pPr>
      <w:rPr>
        <w:rFonts w:ascii="Wingdings" w:hAnsi="Wingdings" w:hint="default"/>
      </w:rPr>
    </w:lvl>
    <w:lvl w:ilvl="6" w:tplc="6F1282F8">
      <w:start w:val="1"/>
      <w:numFmt w:val="bullet"/>
      <w:lvlText w:val=""/>
      <w:lvlJc w:val="left"/>
      <w:pPr>
        <w:ind w:left="5040" w:hanging="360"/>
      </w:pPr>
      <w:rPr>
        <w:rFonts w:ascii="Symbol" w:hAnsi="Symbol" w:hint="default"/>
      </w:rPr>
    </w:lvl>
    <w:lvl w:ilvl="7" w:tplc="DDD01E14">
      <w:start w:val="1"/>
      <w:numFmt w:val="bullet"/>
      <w:lvlText w:val="o"/>
      <w:lvlJc w:val="left"/>
      <w:pPr>
        <w:ind w:left="5760" w:hanging="360"/>
      </w:pPr>
      <w:rPr>
        <w:rFonts w:ascii="Courier New" w:hAnsi="Courier New" w:hint="default"/>
      </w:rPr>
    </w:lvl>
    <w:lvl w:ilvl="8" w:tplc="609217F0">
      <w:start w:val="1"/>
      <w:numFmt w:val="bullet"/>
      <w:lvlText w:val=""/>
      <w:lvlJc w:val="left"/>
      <w:pPr>
        <w:ind w:left="6480" w:hanging="360"/>
      </w:pPr>
      <w:rPr>
        <w:rFonts w:ascii="Wingdings" w:hAnsi="Wingdings" w:hint="default"/>
      </w:rPr>
    </w:lvl>
  </w:abstractNum>
  <w:abstractNum w:abstractNumId="43" w15:restartNumberingAfterBreak="0">
    <w:nsid w:val="7E0978B6"/>
    <w:multiLevelType w:val="hybridMultilevel"/>
    <w:tmpl w:val="666230DC"/>
    <w:lvl w:ilvl="0" w:tplc="F11C4418">
      <w:start w:val="1"/>
      <w:numFmt w:val="bullet"/>
      <w:lvlText w:val="·"/>
      <w:lvlJc w:val="left"/>
      <w:pPr>
        <w:ind w:left="720" w:hanging="360"/>
      </w:pPr>
      <w:rPr>
        <w:rFonts w:ascii="Symbol" w:hAnsi="Symbol" w:hint="default"/>
      </w:rPr>
    </w:lvl>
    <w:lvl w:ilvl="1" w:tplc="9FEE17EC">
      <w:start w:val="1"/>
      <w:numFmt w:val="bullet"/>
      <w:lvlText w:val="o"/>
      <w:lvlJc w:val="left"/>
      <w:pPr>
        <w:ind w:left="1440" w:hanging="360"/>
      </w:pPr>
      <w:rPr>
        <w:rFonts w:ascii="Courier New" w:hAnsi="Courier New" w:hint="default"/>
      </w:rPr>
    </w:lvl>
    <w:lvl w:ilvl="2" w:tplc="36B2B266">
      <w:start w:val="1"/>
      <w:numFmt w:val="bullet"/>
      <w:lvlText w:val=""/>
      <w:lvlJc w:val="left"/>
      <w:pPr>
        <w:ind w:left="2160" w:hanging="360"/>
      </w:pPr>
      <w:rPr>
        <w:rFonts w:ascii="Wingdings" w:hAnsi="Wingdings" w:hint="default"/>
      </w:rPr>
    </w:lvl>
    <w:lvl w:ilvl="3" w:tplc="9F6694FA">
      <w:start w:val="1"/>
      <w:numFmt w:val="bullet"/>
      <w:lvlText w:val=""/>
      <w:lvlJc w:val="left"/>
      <w:pPr>
        <w:ind w:left="2880" w:hanging="360"/>
      </w:pPr>
      <w:rPr>
        <w:rFonts w:ascii="Symbol" w:hAnsi="Symbol" w:hint="default"/>
      </w:rPr>
    </w:lvl>
    <w:lvl w:ilvl="4" w:tplc="D576A202">
      <w:start w:val="1"/>
      <w:numFmt w:val="bullet"/>
      <w:lvlText w:val="o"/>
      <w:lvlJc w:val="left"/>
      <w:pPr>
        <w:ind w:left="3600" w:hanging="360"/>
      </w:pPr>
      <w:rPr>
        <w:rFonts w:ascii="Courier New" w:hAnsi="Courier New" w:hint="default"/>
      </w:rPr>
    </w:lvl>
    <w:lvl w:ilvl="5" w:tplc="A65EDDF6">
      <w:start w:val="1"/>
      <w:numFmt w:val="bullet"/>
      <w:lvlText w:val=""/>
      <w:lvlJc w:val="left"/>
      <w:pPr>
        <w:ind w:left="4320" w:hanging="360"/>
      </w:pPr>
      <w:rPr>
        <w:rFonts w:ascii="Wingdings" w:hAnsi="Wingdings" w:hint="default"/>
      </w:rPr>
    </w:lvl>
    <w:lvl w:ilvl="6" w:tplc="BFDE1B28">
      <w:start w:val="1"/>
      <w:numFmt w:val="bullet"/>
      <w:lvlText w:val=""/>
      <w:lvlJc w:val="left"/>
      <w:pPr>
        <w:ind w:left="5040" w:hanging="360"/>
      </w:pPr>
      <w:rPr>
        <w:rFonts w:ascii="Symbol" w:hAnsi="Symbol" w:hint="default"/>
      </w:rPr>
    </w:lvl>
    <w:lvl w:ilvl="7" w:tplc="0EA2A95E">
      <w:start w:val="1"/>
      <w:numFmt w:val="bullet"/>
      <w:lvlText w:val="o"/>
      <w:lvlJc w:val="left"/>
      <w:pPr>
        <w:ind w:left="5760" w:hanging="360"/>
      </w:pPr>
      <w:rPr>
        <w:rFonts w:ascii="Courier New" w:hAnsi="Courier New" w:hint="default"/>
      </w:rPr>
    </w:lvl>
    <w:lvl w:ilvl="8" w:tplc="ED405068">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7"/>
  </w:num>
  <w:num w:numId="4">
    <w:abstractNumId w:val="5"/>
  </w:num>
  <w:num w:numId="5">
    <w:abstractNumId w:val="13"/>
  </w:num>
  <w:num w:numId="6">
    <w:abstractNumId w:val="35"/>
  </w:num>
  <w:num w:numId="7">
    <w:abstractNumId w:val="32"/>
  </w:num>
  <w:num w:numId="8">
    <w:abstractNumId w:val="18"/>
  </w:num>
  <w:num w:numId="9">
    <w:abstractNumId w:val="27"/>
  </w:num>
  <w:num w:numId="10">
    <w:abstractNumId w:val="8"/>
  </w:num>
  <w:num w:numId="11">
    <w:abstractNumId w:val="0"/>
  </w:num>
  <w:num w:numId="12">
    <w:abstractNumId w:val="7"/>
  </w:num>
  <w:num w:numId="13">
    <w:abstractNumId w:val="12"/>
  </w:num>
  <w:num w:numId="14">
    <w:abstractNumId w:val="38"/>
  </w:num>
  <w:num w:numId="15">
    <w:abstractNumId w:val="19"/>
  </w:num>
  <w:num w:numId="16">
    <w:abstractNumId w:val="6"/>
  </w:num>
  <w:num w:numId="17">
    <w:abstractNumId w:val="43"/>
  </w:num>
  <w:num w:numId="18">
    <w:abstractNumId w:val="42"/>
  </w:num>
  <w:num w:numId="19">
    <w:abstractNumId w:val="20"/>
  </w:num>
  <w:num w:numId="20">
    <w:abstractNumId w:val="23"/>
  </w:num>
  <w:num w:numId="21">
    <w:abstractNumId w:val="29"/>
  </w:num>
  <w:num w:numId="22">
    <w:abstractNumId w:val="26"/>
  </w:num>
  <w:num w:numId="23">
    <w:abstractNumId w:val="3"/>
  </w:num>
  <w:num w:numId="24">
    <w:abstractNumId w:val="36"/>
  </w:num>
  <w:num w:numId="25">
    <w:abstractNumId w:val="25"/>
  </w:num>
  <w:num w:numId="26">
    <w:abstractNumId w:val="10"/>
  </w:num>
  <w:num w:numId="27">
    <w:abstractNumId w:val="39"/>
  </w:num>
  <w:num w:numId="28">
    <w:abstractNumId w:val="24"/>
  </w:num>
  <w:num w:numId="29">
    <w:abstractNumId w:val="40"/>
  </w:num>
  <w:num w:numId="30">
    <w:abstractNumId w:val="28"/>
  </w:num>
  <w:num w:numId="31">
    <w:abstractNumId w:val="2"/>
  </w:num>
  <w:num w:numId="32">
    <w:abstractNumId w:val="4"/>
  </w:num>
  <w:num w:numId="33">
    <w:abstractNumId w:val="11"/>
  </w:num>
  <w:num w:numId="34">
    <w:abstractNumId w:val="17"/>
  </w:num>
  <w:num w:numId="35">
    <w:abstractNumId w:val="30"/>
  </w:num>
  <w:num w:numId="36">
    <w:abstractNumId w:val="41"/>
  </w:num>
  <w:num w:numId="37">
    <w:abstractNumId w:val="22"/>
  </w:num>
  <w:num w:numId="38">
    <w:abstractNumId w:val="15"/>
  </w:num>
  <w:num w:numId="39">
    <w:abstractNumId w:val="31"/>
  </w:num>
  <w:num w:numId="40">
    <w:abstractNumId w:val="9"/>
  </w:num>
  <w:num w:numId="41">
    <w:abstractNumId w:val="16"/>
  </w:num>
  <w:num w:numId="42">
    <w:abstractNumId w:val="1"/>
  </w:num>
  <w:num w:numId="43">
    <w:abstractNumId w:val="34"/>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0" w:nlCheck="1" w:checkStyle="0"/>
  <w:revisionView w:markup="0"/>
  <w:defaultTabStop w:val="720"/>
  <w:characterSpacingControl w:val="doNotCompress"/>
  <w:hdrShapeDefaults>
    <o:shapedefaults v:ext="edit" spidmax="2051"/>
  </w:hdrShapeDefaults>
  <w:footnotePr>
    <w:numStart w:val="25"/>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8D5B4A1A-7756-4AF0-A9DB-1090D72ACA19"/>
    <w:docVar w:name="LW_COVERPAGE_TYPE" w:val="1"/>
    <w:docVar w:name="LW_CROSSREFERENCE" w:val="&lt;UNUSED&gt;"/>
    <w:docVar w:name="LW_DocType" w:val="NORMAL"/>
    <w:docVar w:name="LW_EMISSION" w:val="18.4.2023"/>
    <w:docVar w:name="LW_EMISSION_ISODATE" w:val="2023-04-18"/>
    <w:docVar w:name="LW_EMISSION_LOCATION" w:val="STR"/>
    <w:docVar w:name="LW_EMISSION_PREFIX" w:val="Strasbourg, "/>
    <w:docVar w:name="LW_EMISSION_SUFFIX" w:val=" "/>
    <w:docVar w:name="LW_ID_DOCTYPE_NONLW" w:val="CP-012"/>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3)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 Zapolnitev vrzeli na področju strokovnjakov za kibernetsko varnost za povečanje konkurenčnosti, rasti in odpornosti EU &lt;/FMT&gt;&lt;FMT:Font=Calibri&gt; &lt;/FMT&gt;_x000b_&lt;FMT:Bold&gt;(„akademija za kibernetske veščine“)&lt;/FMT&gt;_x000b_"/>
    <w:docVar w:name="LW_TYPE.DOC.CP" w:val="SPOROČILO KOMISIJE EVROPSKEMU PARLAMENTU IN SVETU"/>
    <w:docVar w:name="LW_TYPE.DOC.CP.USERTEXT" w:val="&lt;EMPTY&gt;"/>
    <w:docVar w:name="LwApiVersions" w:val="LW4CoDe 1.23.2.0; LW 8.0, Build 20211117"/>
  </w:docVars>
  <w:rsids>
    <w:rsidRoot w:val="00831F29"/>
    <w:rsid w:val="00002DAA"/>
    <w:rsid w:val="00004AE8"/>
    <w:rsid w:val="00006146"/>
    <w:rsid w:val="00012405"/>
    <w:rsid w:val="00020ED4"/>
    <w:rsid w:val="00022522"/>
    <w:rsid w:val="0003566A"/>
    <w:rsid w:val="00047918"/>
    <w:rsid w:val="0005201E"/>
    <w:rsid w:val="00055358"/>
    <w:rsid w:val="00063C91"/>
    <w:rsid w:val="00064B55"/>
    <w:rsid w:val="0006721A"/>
    <w:rsid w:val="00072690"/>
    <w:rsid w:val="00083024"/>
    <w:rsid w:val="0009161B"/>
    <w:rsid w:val="000B243C"/>
    <w:rsid w:val="000C4E88"/>
    <w:rsid w:val="000C5826"/>
    <w:rsid w:val="000C7B50"/>
    <w:rsid w:val="000E2A94"/>
    <w:rsid w:val="000F4999"/>
    <w:rsid w:val="00106810"/>
    <w:rsid w:val="0011393B"/>
    <w:rsid w:val="00121B07"/>
    <w:rsid w:val="00124840"/>
    <w:rsid w:val="00157CD4"/>
    <w:rsid w:val="001656AF"/>
    <w:rsid w:val="00166040"/>
    <w:rsid w:val="00166434"/>
    <w:rsid w:val="00166550"/>
    <w:rsid w:val="0019638C"/>
    <w:rsid w:val="001A04AB"/>
    <w:rsid w:val="001B21F0"/>
    <w:rsid w:val="001B27C6"/>
    <w:rsid w:val="001C01FA"/>
    <w:rsid w:val="001D280C"/>
    <w:rsid w:val="001E409C"/>
    <w:rsid w:val="001F6967"/>
    <w:rsid w:val="002049C4"/>
    <w:rsid w:val="002239F1"/>
    <w:rsid w:val="00226A47"/>
    <w:rsid w:val="00227008"/>
    <w:rsid w:val="00241267"/>
    <w:rsid w:val="00246E73"/>
    <w:rsid w:val="002472FD"/>
    <w:rsid w:val="002525C0"/>
    <w:rsid w:val="002572A5"/>
    <w:rsid w:val="00261450"/>
    <w:rsid w:val="00277031"/>
    <w:rsid w:val="00283291"/>
    <w:rsid w:val="00284B87"/>
    <w:rsid w:val="00293CE5"/>
    <w:rsid w:val="0029453C"/>
    <w:rsid w:val="00295593"/>
    <w:rsid w:val="002A0CF2"/>
    <w:rsid w:val="002A28FE"/>
    <w:rsid w:val="002A31D7"/>
    <w:rsid w:val="002A4940"/>
    <w:rsid w:val="002C6DD7"/>
    <w:rsid w:val="002D188B"/>
    <w:rsid w:val="002D733F"/>
    <w:rsid w:val="002E1F13"/>
    <w:rsid w:val="002F00F8"/>
    <w:rsid w:val="002F2846"/>
    <w:rsid w:val="002F51AA"/>
    <w:rsid w:val="002F743F"/>
    <w:rsid w:val="003019D2"/>
    <w:rsid w:val="003131FF"/>
    <w:rsid w:val="00313C26"/>
    <w:rsid w:val="003267B4"/>
    <w:rsid w:val="00336345"/>
    <w:rsid w:val="00355084"/>
    <w:rsid w:val="00380AF0"/>
    <w:rsid w:val="003876D3"/>
    <w:rsid w:val="00393214"/>
    <w:rsid w:val="003B31A4"/>
    <w:rsid w:val="003D3603"/>
    <w:rsid w:val="003D5884"/>
    <w:rsid w:val="003F5BD5"/>
    <w:rsid w:val="003F7974"/>
    <w:rsid w:val="00410A5E"/>
    <w:rsid w:val="00412FDD"/>
    <w:rsid w:val="00423E0E"/>
    <w:rsid w:val="0042643E"/>
    <w:rsid w:val="0043197C"/>
    <w:rsid w:val="00440FBF"/>
    <w:rsid w:val="00442C94"/>
    <w:rsid w:val="0044320E"/>
    <w:rsid w:val="0044379D"/>
    <w:rsid w:val="00447F62"/>
    <w:rsid w:val="0045577B"/>
    <w:rsid w:val="00465365"/>
    <w:rsid w:val="00466A7C"/>
    <w:rsid w:val="00466A97"/>
    <w:rsid w:val="00471CBE"/>
    <w:rsid w:val="004742C8"/>
    <w:rsid w:val="00481FEE"/>
    <w:rsid w:val="00483B6B"/>
    <w:rsid w:val="00491438"/>
    <w:rsid w:val="004A1333"/>
    <w:rsid w:val="004A7F06"/>
    <w:rsid w:val="004C3D0A"/>
    <w:rsid w:val="004D5820"/>
    <w:rsid w:val="004E50EB"/>
    <w:rsid w:val="004F385B"/>
    <w:rsid w:val="00512678"/>
    <w:rsid w:val="005169E7"/>
    <w:rsid w:val="00521C0D"/>
    <w:rsid w:val="00540889"/>
    <w:rsid w:val="0054418F"/>
    <w:rsid w:val="00545E68"/>
    <w:rsid w:val="00560FE0"/>
    <w:rsid w:val="00566F7F"/>
    <w:rsid w:val="00591924"/>
    <w:rsid w:val="00591C40"/>
    <w:rsid w:val="00596D0C"/>
    <w:rsid w:val="005B1A90"/>
    <w:rsid w:val="005B623E"/>
    <w:rsid w:val="005C3786"/>
    <w:rsid w:val="005D4A3F"/>
    <w:rsid w:val="005D5356"/>
    <w:rsid w:val="005E23FF"/>
    <w:rsid w:val="005E4AD4"/>
    <w:rsid w:val="005E5FBE"/>
    <w:rsid w:val="00606DDA"/>
    <w:rsid w:val="006106B0"/>
    <w:rsid w:val="00615156"/>
    <w:rsid w:val="00621275"/>
    <w:rsid w:val="00623EC7"/>
    <w:rsid w:val="00624629"/>
    <w:rsid w:val="006319C8"/>
    <w:rsid w:val="00634285"/>
    <w:rsid w:val="00634987"/>
    <w:rsid w:val="00642958"/>
    <w:rsid w:val="00642BC6"/>
    <w:rsid w:val="00654309"/>
    <w:rsid w:val="00674BF2"/>
    <w:rsid w:val="006817C8"/>
    <w:rsid w:val="00692C8E"/>
    <w:rsid w:val="00695ECD"/>
    <w:rsid w:val="006A4250"/>
    <w:rsid w:val="006A5532"/>
    <w:rsid w:val="006A7003"/>
    <w:rsid w:val="006A779C"/>
    <w:rsid w:val="006B597F"/>
    <w:rsid w:val="006C7255"/>
    <w:rsid w:val="006D4DC6"/>
    <w:rsid w:val="006D5540"/>
    <w:rsid w:val="006E0085"/>
    <w:rsid w:val="00701693"/>
    <w:rsid w:val="00706E69"/>
    <w:rsid w:val="007113A1"/>
    <w:rsid w:val="00720C12"/>
    <w:rsid w:val="007417CD"/>
    <w:rsid w:val="007427C2"/>
    <w:rsid w:val="00746738"/>
    <w:rsid w:val="00761952"/>
    <w:rsid w:val="00765BCC"/>
    <w:rsid w:val="007766BC"/>
    <w:rsid w:val="00776A37"/>
    <w:rsid w:val="00791BEF"/>
    <w:rsid w:val="00796492"/>
    <w:rsid w:val="007A4076"/>
    <w:rsid w:val="007C4677"/>
    <w:rsid w:val="007D4CB4"/>
    <w:rsid w:val="007E15CF"/>
    <w:rsid w:val="007E6D56"/>
    <w:rsid w:val="007F7D26"/>
    <w:rsid w:val="00804D45"/>
    <w:rsid w:val="00821AA8"/>
    <w:rsid w:val="00831F29"/>
    <w:rsid w:val="00856D0E"/>
    <w:rsid w:val="00860302"/>
    <w:rsid w:val="00864F71"/>
    <w:rsid w:val="00873140"/>
    <w:rsid w:val="008742A7"/>
    <w:rsid w:val="008743F5"/>
    <w:rsid w:val="00877039"/>
    <w:rsid w:val="00895EA5"/>
    <w:rsid w:val="008A08E2"/>
    <w:rsid w:val="008C10E8"/>
    <w:rsid w:val="008D0063"/>
    <w:rsid w:val="00904CCD"/>
    <w:rsid w:val="00911A6E"/>
    <w:rsid w:val="00913FD6"/>
    <w:rsid w:val="009365D3"/>
    <w:rsid w:val="00962010"/>
    <w:rsid w:val="00962BB7"/>
    <w:rsid w:val="00963A5E"/>
    <w:rsid w:val="00965C60"/>
    <w:rsid w:val="0097277E"/>
    <w:rsid w:val="0097307B"/>
    <w:rsid w:val="009750A0"/>
    <w:rsid w:val="00982C7F"/>
    <w:rsid w:val="0098321A"/>
    <w:rsid w:val="00984162"/>
    <w:rsid w:val="009B036C"/>
    <w:rsid w:val="009B4F5D"/>
    <w:rsid w:val="009B4FDA"/>
    <w:rsid w:val="009D2430"/>
    <w:rsid w:val="009D4EC0"/>
    <w:rsid w:val="009E03FD"/>
    <w:rsid w:val="009E0FBC"/>
    <w:rsid w:val="009E40BC"/>
    <w:rsid w:val="009E50D3"/>
    <w:rsid w:val="009E54C5"/>
    <w:rsid w:val="009E7E04"/>
    <w:rsid w:val="009F5ABF"/>
    <w:rsid w:val="009F63F3"/>
    <w:rsid w:val="00A10200"/>
    <w:rsid w:val="00A143DB"/>
    <w:rsid w:val="00A167CD"/>
    <w:rsid w:val="00A20ACA"/>
    <w:rsid w:val="00A23998"/>
    <w:rsid w:val="00A23EC9"/>
    <w:rsid w:val="00A2705D"/>
    <w:rsid w:val="00A35F0F"/>
    <w:rsid w:val="00A61B43"/>
    <w:rsid w:val="00A67960"/>
    <w:rsid w:val="00A752D8"/>
    <w:rsid w:val="00AB20D0"/>
    <w:rsid w:val="00AB625F"/>
    <w:rsid w:val="00AC2E01"/>
    <w:rsid w:val="00AC6CE0"/>
    <w:rsid w:val="00AD0FD5"/>
    <w:rsid w:val="00AD183A"/>
    <w:rsid w:val="00AD1AF6"/>
    <w:rsid w:val="00AD4A61"/>
    <w:rsid w:val="00AD6A6A"/>
    <w:rsid w:val="00AE1007"/>
    <w:rsid w:val="00AE28A4"/>
    <w:rsid w:val="00AE4A30"/>
    <w:rsid w:val="00AF00D6"/>
    <w:rsid w:val="00AF0F75"/>
    <w:rsid w:val="00B04E68"/>
    <w:rsid w:val="00B13BEB"/>
    <w:rsid w:val="00B41C6C"/>
    <w:rsid w:val="00B426EE"/>
    <w:rsid w:val="00B52C3F"/>
    <w:rsid w:val="00B54837"/>
    <w:rsid w:val="00B57C35"/>
    <w:rsid w:val="00B71503"/>
    <w:rsid w:val="00B803F3"/>
    <w:rsid w:val="00B82BD8"/>
    <w:rsid w:val="00B84A66"/>
    <w:rsid w:val="00BB2AF5"/>
    <w:rsid w:val="00BC4ED3"/>
    <w:rsid w:val="00BC51EF"/>
    <w:rsid w:val="00BE1508"/>
    <w:rsid w:val="00BE6F70"/>
    <w:rsid w:val="00BF3C60"/>
    <w:rsid w:val="00BF744F"/>
    <w:rsid w:val="00C06DCB"/>
    <w:rsid w:val="00C11AD6"/>
    <w:rsid w:val="00C12359"/>
    <w:rsid w:val="00C13B8B"/>
    <w:rsid w:val="00C1463C"/>
    <w:rsid w:val="00C23C61"/>
    <w:rsid w:val="00C24023"/>
    <w:rsid w:val="00C241B8"/>
    <w:rsid w:val="00C248B0"/>
    <w:rsid w:val="00C2655B"/>
    <w:rsid w:val="00C33F03"/>
    <w:rsid w:val="00C34CE6"/>
    <w:rsid w:val="00C3524A"/>
    <w:rsid w:val="00C375AC"/>
    <w:rsid w:val="00C40F57"/>
    <w:rsid w:val="00C41D52"/>
    <w:rsid w:val="00C511D1"/>
    <w:rsid w:val="00C52867"/>
    <w:rsid w:val="00C57598"/>
    <w:rsid w:val="00C62E9C"/>
    <w:rsid w:val="00C6323F"/>
    <w:rsid w:val="00C85562"/>
    <w:rsid w:val="00C93729"/>
    <w:rsid w:val="00C96D38"/>
    <w:rsid w:val="00CB54C7"/>
    <w:rsid w:val="00CB653A"/>
    <w:rsid w:val="00CC13F9"/>
    <w:rsid w:val="00CC6ACC"/>
    <w:rsid w:val="00CC6CED"/>
    <w:rsid w:val="00CD0937"/>
    <w:rsid w:val="00CF5224"/>
    <w:rsid w:val="00CF612A"/>
    <w:rsid w:val="00D04546"/>
    <w:rsid w:val="00D05BC5"/>
    <w:rsid w:val="00D22A7E"/>
    <w:rsid w:val="00D25591"/>
    <w:rsid w:val="00D267A4"/>
    <w:rsid w:val="00D27FA3"/>
    <w:rsid w:val="00D348EC"/>
    <w:rsid w:val="00D4657F"/>
    <w:rsid w:val="00D470D5"/>
    <w:rsid w:val="00D526AF"/>
    <w:rsid w:val="00D629F4"/>
    <w:rsid w:val="00D639D6"/>
    <w:rsid w:val="00D641F3"/>
    <w:rsid w:val="00D801A3"/>
    <w:rsid w:val="00D819D7"/>
    <w:rsid w:val="00D85FCC"/>
    <w:rsid w:val="00D90E6B"/>
    <w:rsid w:val="00D92A73"/>
    <w:rsid w:val="00DC1956"/>
    <w:rsid w:val="00DC2F33"/>
    <w:rsid w:val="00DC3D10"/>
    <w:rsid w:val="00DC77E9"/>
    <w:rsid w:val="00DE18EB"/>
    <w:rsid w:val="00DE4A97"/>
    <w:rsid w:val="00DE710E"/>
    <w:rsid w:val="00DF033D"/>
    <w:rsid w:val="00DF134D"/>
    <w:rsid w:val="00DF3A16"/>
    <w:rsid w:val="00DF3FEB"/>
    <w:rsid w:val="00E10F97"/>
    <w:rsid w:val="00E145FB"/>
    <w:rsid w:val="00E171E2"/>
    <w:rsid w:val="00E211BA"/>
    <w:rsid w:val="00E211F0"/>
    <w:rsid w:val="00E34098"/>
    <w:rsid w:val="00E52E2E"/>
    <w:rsid w:val="00E56E63"/>
    <w:rsid w:val="00E62D89"/>
    <w:rsid w:val="00E72F18"/>
    <w:rsid w:val="00E740E6"/>
    <w:rsid w:val="00E76112"/>
    <w:rsid w:val="00E7701D"/>
    <w:rsid w:val="00E81E26"/>
    <w:rsid w:val="00E90003"/>
    <w:rsid w:val="00E97DFA"/>
    <w:rsid w:val="00EB1870"/>
    <w:rsid w:val="00EB2E97"/>
    <w:rsid w:val="00EC4950"/>
    <w:rsid w:val="00ED169B"/>
    <w:rsid w:val="00EF6AFA"/>
    <w:rsid w:val="00F14BB5"/>
    <w:rsid w:val="00F20930"/>
    <w:rsid w:val="00F20F86"/>
    <w:rsid w:val="00F340C6"/>
    <w:rsid w:val="00F4210F"/>
    <w:rsid w:val="00F455B6"/>
    <w:rsid w:val="00F53AE7"/>
    <w:rsid w:val="00F62D28"/>
    <w:rsid w:val="00F64AFA"/>
    <w:rsid w:val="00F77CFB"/>
    <w:rsid w:val="00F81300"/>
    <w:rsid w:val="00F83079"/>
    <w:rsid w:val="00F86EC4"/>
    <w:rsid w:val="00F963C7"/>
    <w:rsid w:val="00FA3359"/>
    <w:rsid w:val="00FA68B8"/>
    <w:rsid w:val="00FB282F"/>
    <w:rsid w:val="00FB34F4"/>
    <w:rsid w:val="00FB5CDB"/>
    <w:rsid w:val="00FC4FE8"/>
    <w:rsid w:val="00FE52B9"/>
    <w:rsid w:val="00FE7F4C"/>
    <w:rsid w:val="011EEA71"/>
    <w:rsid w:val="01265136"/>
    <w:rsid w:val="018D7A91"/>
    <w:rsid w:val="01AF8DE6"/>
    <w:rsid w:val="01B8AFC0"/>
    <w:rsid w:val="01C9E905"/>
    <w:rsid w:val="01FC6ECC"/>
    <w:rsid w:val="02350021"/>
    <w:rsid w:val="027CA6D6"/>
    <w:rsid w:val="02BABAD2"/>
    <w:rsid w:val="02BBE86A"/>
    <w:rsid w:val="02DAB73B"/>
    <w:rsid w:val="02FDB50A"/>
    <w:rsid w:val="03068C48"/>
    <w:rsid w:val="0323C5E4"/>
    <w:rsid w:val="034FAE0B"/>
    <w:rsid w:val="0382F9E9"/>
    <w:rsid w:val="038DAB82"/>
    <w:rsid w:val="03A2B7F0"/>
    <w:rsid w:val="03A90B41"/>
    <w:rsid w:val="03E609DC"/>
    <w:rsid w:val="03EBAE6C"/>
    <w:rsid w:val="03FCFFB4"/>
    <w:rsid w:val="04018B82"/>
    <w:rsid w:val="04BED32C"/>
    <w:rsid w:val="04D01220"/>
    <w:rsid w:val="05506F66"/>
    <w:rsid w:val="056AA9D8"/>
    <w:rsid w:val="058B5A19"/>
    <w:rsid w:val="05F1CB1A"/>
    <w:rsid w:val="06E43E81"/>
    <w:rsid w:val="06F055B9"/>
    <w:rsid w:val="07A3B4AF"/>
    <w:rsid w:val="07B8DF65"/>
    <w:rsid w:val="07DD4B91"/>
    <w:rsid w:val="07FA79A9"/>
    <w:rsid w:val="08310107"/>
    <w:rsid w:val="0874D75E"/>
    <w:rsid w:val="08D84196"/>
    <w:rsid w:val="09042830"/>
    <w:rsid w:val="094E3E8B"/>
    <w:rsid w:val="09791BF2"/>
    <w:rsid w:val="09A5332D"/>
    <w:rsid w:val="09B671F7"/>
    <w:rsid w:val="09C09CAE"/>
    <w:rsid w:val="09DE21EE"/>
    <w:rsid w:val="0A0BE167"/>
    <w:rsid w:val="0A5CC478"/>
    <w:rsid w:val="0A6FC275"/>
    <w:rsid w:val="0A737C1C"/>
    <w:rsid w:val="0A9E6B75"/>
    <w:rsid w:val="0ACE5D62"/>
    <w:rsid w:val="0AD8FE81"/>
    <w:rsid w:val="0AE0C55F"/>
    <w:rsid w:val="0AFF6737"/>
    <w:rsid w:val="0B54EC9E"/>
    <w:rsid w:val="0BA567E3"/>
    <w:rsid w:val="0BF529F3"/>
    <w:rsid w:val="0BFC45A5"/>
    <w:rsid w:val="0C36C62C"/>
    <w:rsid w:val="0C3A3BD6"/>
    <w:rsid w:val="0CA7BE7E"/>
    <w:rsid w:val="0CE6ED08"/>
    <w:rsid w:val="0D33B5AD"/>
    <w:rsid w:val="0D60CE19"/>
    <w:rsid w:val="0D812868"/>
    <w:rsid w:val="0D82D3E6"/>
    <w:rsid w:val="0D8D8DEC"/>
    <w:rsid w:val="0D91C148"/>
    <w:rsid w:val="0DB10786"/>
    <w:rsid w:val="0DD4C560"/>
    <w:rsid w:val="0DDF9C65"/>
    <w:rsid w:val="0E0029C8"/>
    <w:rsid w:val="0E12858F"/>
    <w:rsid w:val="0E162F8B"/>
    <w:rsid w:val="0E2A2A14"/>
    <w:rsid w:val="0E4C8D15"/>
    <w:rsid w:val="0E7EE29A"/>
    <w:rsid w:val="0ECF860E"/>
    <w:rsid w:val="0F295E4D"/>
    <w:rsid w:val="0F5505A1"/>
    <w:rsid w:val="0F597865"/>
    <w:rsid w:val="0FA2F530"/>
    <w:rsid w:val="0FEA092B"/>
    <w:rsid w:val="100D6379"/>
    <w:rsid w:val="106B566F"/>
    <w:rsid w:val="108274D5"/>
    <w:rsid w:val="10F0D602"/>
    <w:rsid w:val="1105D699"/>
    <w:rsid w:val="11302B0E"/>
    <w:rsid w:val="11397D46"/>
    <w:rsid w:val="113E9BF2"/>
    <w:rsid w:val="1151B302"/>
    <w:rsid w:val="1203E2FC"/>
    <w:rsid w:val="124734E8"/>
    <w:rsid w:val="1281D013"/>
    <w:rsid w:val="12A20A2A"/>
    <w:rsid w:val="12A28884"/>
    <w:rsid w:val="12A79FC0"/>
    <w:rsid w:val="12A7F609"/>
    <w:rsid w:val="12A83683"/>
    <w:rsid w:val="12C6EE40"/>
    <w:rsid w:val="13166116"/>
    <w:rsid w:val="136DBF5B"/>
    <w:rsid w:val="13BED4C6"/>
    <w:rsid w:val="13C68890"/>
    <w:rsid w:val="1443C66A"/>
    <w:rsid w:val="146BA22C"/>
    <w:rsid w:val="146DC349"/>
    <w:rsid w:val="1488871E"/>
    <w:rsid w:val="14EB927D"/>
    <w:rsid w:val="15111AB1"/>
    <w:rsid w:val="15463D2E"/>
    <w:rsid w:val="154E940E"/>
    <w:rsid w:val="15D52FFB"/>
    <w:rsid w:val="1633B678"/>
    <w:rsid w:val="1681A8BE"/>
    <w:rsid w:val="168FD239"/>
    <w:rsid w:val="16A2B68C"/>
    <w:rsid w:val="16B247A1"/>
    <w:rsid w:val="172B4860"/>
    <w:rsid w:val="17963168"/>
    <w:rsid w:val="17994BCA"/>
    <w:rsid w:val="17CF86D9"/>
    <w:rsid w:val="17F8E975"/>
    <w:rsid w:val="180450C2"/>
    <w:rsid w:val="181DAB97"/>
    <w:rsid w:val="184F4628"/>
    <w:rsid w:val="189F5D2D"/>
    <w:rsid w:val="18B74B78"/>
    <w:rsid w:val="18CABBCB"/>
    <w:rsid w:val="18DD9586"/>
    <w:rsid w:val="18F567B1"/>
    <w:rsid w:val="1913DD8E"/>
    <w:rsid w:val="192DB1C4"/>
    <w:rsid w:val="19362FC4"/>
    <w:rsid w:val="1972602C"/>
    <w:rsid w:val="197E9169"/>
    <w:rsid w:val="199190C9"/>
    <w:rsid w:val="19B118B8"/>
    <w:rsid w:val="19DD00DF"/>
    <w:rsid w:val="1A41F702"/>
    <w:rsid w:val="1A4FC169"/>
    <w:rsid w:val="1A91BBA8"/>
    <w:rsid w:val="1AABB2DB"/>
    <w:rsid w:val="1AD20025"/>
    <w:rsid w:val="1ADFD151"/>
    <w:rsid w:val="1B7A4BC0"/>
    <w:rsid w:val="1BCD22C3"/>
    <w:rsid w:val="1BDDC763"/>
    <w:rsid w:val="1C4F4102"/>
    <w:rsid w:val="1C7C1DF0"/>
    <w:rsid w:val="1C901278"/>
    <w:rsid w:val="1CB0A5AF"/>
    <w:rsid w:val="1CB8FFA6"/>
    <w:rsid w:val="1CE881EA"/>
    <w:rsid w:val="1CFF13BD"/>
    <w:rsid w:val="1D05452D"/>
    <w:rsid w:val="1D582C37"/>
    <w:rsid w:val="1D7B08AB"/>
    <w:rsid w:val="1D80BABB"/>
    <w:rsid w:val="1DAB8485"/>
    <w:rsid w:val="1E01A90F"/>
    <w:rsid w:val="1E0D9D3C"/>
    <w:rsid w:val="1E345B7D"/>
    <w:rsid w:val="1E3CAAE6"/>
    <w:rsid w:val="1E69C34F"/>
    <w:rsid w:val="1E6C9028"/>
    <w:rsid w:val="1E6D991D"/>
    <w:rsid w:val="1EE3C1BA"/>
    <w:rsid w:val="1F00C838"/>
    <w:rsid w:val="1F671DF3"/>
    <w:rsid w:val="20066EC6"/>
    <w:rsid w:val="2008258D"/>
    <w:rsid w:val="2036A5DB"/>
    <w:rsid w:val="2051D10E"/>
    <w:rsid w:val="2061AE30"/>
    <w:rsid w:val="207942F6"/>
    <w:rsid w:val="207A73EF"/>
    <w:rsid w:val="208967BF"/>
    <w:rsid w:val="209AAD59"/>
    <w:rsid w:val="20AF6786"/>
    <w:rsid w:val="20CA3A66"/>
    <w:rsid w:val="20D064D5"/>
    <w:rsid w:val="20D2C9FC"/>
    <w:rsid w:val="20D86C8F"/>
    <w:rsid w:val="20DF01FF"/>
    <w:rsid w:val="20F646BE"/>
    <w:rsid w:val="2128E6A5"/>
    <w:rsid w:val="21ACDFC7"/>
    <w:rsid w:val="21B91C09"/>
    <w:rsid w:val="21FB36C3"/>
    <w:rsid w:val="22151357"/>
    <w:rsid w:val="221D76F0"/>
    <w:rsid w:val="2235049C"/>
    <w:rsid w:val="22660AC7"/>
    <w:rsid w:val="22867724"/>
    <w:rsid w:val="22C21FC7"/>
    <w:rsid w:val="22D59849"/>
    <w:rsid w:val="22E6381D"/>
    <w:rsid w:val="230EC7E2"/>
    <w:rsid w:val="23110D8D"/>
    <w:rsid w:val="235C6DAD"/>
    <w:rsid w:val="237450F9"/>
    <w:rsid w:val="237FB756"/>
    <w:rsid w:val="23D0D4FD"/>
    <w:rsid w:val="24012A3B"/>
    <w:rsid w:val="24615E82"/>
    <w:rsid w:val="24630F09"/>
    <w:rsid w:val="24747D3C"/>
    <w:rsid w:val="2478E26B"/>
    <w:rsid w:val="2479E922"/>
    <w:rsid w:val="24A6EE1A"/>
    <w:rsid w:val="24BD09A8"/>
    <w:rsid w:val="24D29D3B"/>
    <w:rsid w:val="24E1284C"/>
    <w:rsid w:val="24E2D3CA"/>
    <w:rsid w:val="2511B45A"/>
    <w:rsid w:val="2525A183"/>
    <w:rsid w:val="25363330"/>
    <w:rsid w:val="254D0B17"/>
    <w:rsid w:val="258B1316"/>
    <w:rsid w:val="25A6CB5F"/>
    <w:rsid w:val="25D7AD6B"/>
    <w:rsid w:val="25F39297"/>
    <w:rsid w:val="262F7165"/>
    <w:rsid w:val="26324616"/>
    <w:rsid w:val="268C5040"/>
    <w:rsid w:val="26AFAF30"/>
    <w:rsid w:val="26E8DB78"/>
    <w:rsid w:val="26ECD6F0"/>
    <w:rsid w:val="276473DF"/>
    <w:rsid w:val="2783648C"/>
    <w:rsid w:val="27B67939"/>
    <w:rsid w:val="27CF57B8"/>
    <w:rsid w:val="27FA4A11"/>
    <w:rsid w:val="2818C90E"/>
    <w:rsid w:val="28311F6C"/>
    <w:rsid w:val="283852D6"/>
    <w:rsid w:val="287147E3"/>
    <w:rsid w:val="289479A4"/>
    <w:rsid w:val="28DF3E71"/>
    <w:rsid w:val="29149BAD"/>
    <w:rsid w:val="292747C5"/>
    <w:rsid w:val="2951ABEA"/>
    <w:rsid w:val="296EDAEE"/>
    <w:rsid w:val="2988034B"/>
    <w:rsid w:val="29B644ED"/>
    <w:rsid w:val="2A079FA4"/>
    <w:rsid w:val="2A0D482A"/>
    <w:rsid w:val="2A2A0A56"/>
    <w:rsid w:val="2AA4185B"/>
    <w:rsid w:val="2AAA07E0"/>
    <w:rsid w:val="2AC703BA"/>
    <w:rsid w:val="2AD14B14"/>
    <w:rsid w:val="2AFE618C"/>
    <w:rsid w:val="2B02F715"/>
    <w:rsid w:val="2B0AAB4F"/>
    <w:rsid w:val="2B1140E6"/>
    <w:rsid w:val="2B5A02D4"/>
    <w:rsid w:val="2B7072E9"/>
    <w:rsid w:val="2B938B5C"/>
    <w:rsid w:val="2BE7D59B"/>
    <w:rsid w:val="2BF680BC"/>
    <w:rsid w:val="2C206DDD"/>
    <w:rsid w:val="2C31B2FD"/>
    <w:rsid w:val="2C907F40"/>
    <w:rsid w:val="2CBD49BD"/>
    <w:rsid w:val="2D595684"/>
    <w:rsid w:val="2D639352"/>
    <w:rsid w:val="2D6777D6"/>
    <w:rsid w:val="2D78BDFA"/>
    <w:rsid w:val="2DA9ABD4"/>
    <w:rsid w:val="2E0C2AAB"/>
    <w:rsid w:val="2E2DF95A"/>
    <w:rsid w:val="2E6F2D47"/>
    <w:rsid w:val="2E709585"/>
    <w:rsid w:val="2E97A2D7"/>
    <w:rsid w:val="2EDB6710"/>
    <w:rsid w:val="2EE8734F"/>
    <w:rsid w:val="2EF3ED5D"/>
    <w:rsid w:val="2F8265FB"/>
    <w:rsid w:val="2F972EFB"/>
    <w:rsid w:val="2FBFA840"/>
    <w:rsid w:val="302D73F7"/>
    <w:rsid w:val="30367E06"/>
    <w:rsid w:val="30C54671"/>
    <w:rsid w:val="310E48D7"/>
    <w:rsid w:val="31651ED4"/>
    <w:rsid w:val="3179F842"/>
    <w:rsid w:val="31DD8603"/>
    <w:rsid w:val="3209E624"/>
    <w:rsid w:val="320C6373"/>
    <w:rsid w:val="326116D2"/>
    <w:rsid w:val="330BBA8F"/>
    <w:rsid w:val="33396AAE"/>
    <w:rsid w:val="3345F0F5"/>
    <w:rsid w:val="33477EB3"/>
    <w:rsid w:val="34B9A5D7"/>
    <w:rsid w:val="350ED53C"/>
    <w:rsid w:val="3571B8FD"/>
    <w:rsid w:val="3578CD39"/>
    <w:rsid w:val="357DDF88"/>
    <w:rsid w:val="35C9C333"/>
    <w:rsid w:val="3611B109"/>
    <w:rsid w:val="367D8B07"/>
    <w:rsid w:val="369B71F7"/>
    <w:rsid w:val="36C144CC"/>
    <w:rsid w:val="371D0180"/>
    <w:rsid w:val="37620D41"/>
    <w:rsid w:val="379C4231"/>
    <w:rsid w:val="3839A682"/>
    <w:rsid w:val="38435512"/>
    <w:rsid w:val="384B0169"/>
    <w:rsid w:val="38AAC844"/>
    <w:rsid w:val="38D29EC6"/>
    <w:rsid w:val="38D761A4"/>
    <w:rsid w:val="38DEEFC8"/>
    <w:rsid w:val="38F5546B"/>
    <w:rsid w:val="3930DDA8"/>
    <w:rsid w:val="399DCA2E"/>
    <w:rsid w:val="39DF1043"/>
    <w:rsid w:val="39F558BE"/>
    <w:rsid w:val="3A0FA0E6"/>
    <w:rsid w:val="3A26D451"/>
    <w:rsid w:val="3A291BAA"/>
    <w:rsid w:val="3A2B597A"/>
    <w:rsid w:val="3A3D11EE"/>
    <w:rsid w:val="3A4922C1"/>
    <w:rsid w:val="3A52D8D0"/>
    <w:rsid w:val="3A69E878"/>
    <w:rsid w:val="3A840BF9"/>
    <w:rsid w:val="3B0C1B2E"/>
    <w:rsid w:val="3B1E8D02"/>
    <w:rsid w:val="3B3AAF12"/>
    <w:rsid w:val="3B62206F"/>
    <w:rsid w:val="3C06F935"/>
    <w:rsid w:val="3C0C92D4"/>
    <w:rsid w:val="3C51021F"/>
    <w:rsid w:val="3C5914F1"/>
    <w:rsid w:val="3C5EE5D0"/>
    <w:rsid w:val="3C80E56B"/>
    <w:rsid w:val="3C867E14"/>
    <w:rsid w:val="3CA1F49A"/>
    <w:rsid w:val="3CAF1C2F"/>
    <w:rsid w:val="3CCC92DA"/>
    <w:rsid w:val="3CD67F73"/>
    <w:rsid w:val="3CEE281A"/>
    <w:rsid w:val="3D0BF6FF"/>
    <w:rsid w:val="3D2CF980"/>
    <w:rsid w:val="3D3A2A9F"/>
    <w:rsid w:val="3D62FA3C"/>
    <w:rsid w:val="3D84C1B0"/>
    <w:rsid w:val="3DB0626D"/>
    <w:rsid w:val="3DE8BC4B"/>
    <w:rsid w:val="3E79672A"/>
    <w:rsid w:val="3E98B73F"/>
    <w:rsid w:val="3ED5FB00"/>
    <w:rsid w:val="3EF97860"/>
    <w:rsid w:val="3F108311"/>
    <w:rsid w:val="3F1FB750"/>
    <w:rsid w:val="3F44AFAA"/>
    <w:rsid w:val="3F481413"/>
    <w:rsid w:val="3FA95500"/>
    <w:rsid w:val="3FA9B3CE"/>
    <w:rsid w:val="3FB4268F"/>
    <w:rsid w:val="3FBEA023"/>
    <w:rsid w:val="3FEAF669"/>
    <w:rsid w:val="403D80A1"/>
    <w:rsid w:val="4040A524"/>
    <w:rsid w:val="404F7524"/>
    <w:rsid w:val="405015E5"/>
    <w:rsid w:val="40869CB0"/>
    <w:rsid w:val="409A9AFE"/>
    <w:rsid w:val="40CEDAD2"/>
    <w:rsid w:val="4111B5CB"/>
    <w:rsid w:val="41433166"/>
    <w:rsid w:val="41730D50"/>
    <w:rsid w:val="41807C1E"/>
    <w:rsid w:val="41958033"/>
    <w:rsid w:val="41C88BF3"/>
    <w:rsid w:val="41C986C3"/>
    <w:rsid w:val="4202D8AC"/>
    <w:rsid w:val="422B56AB"/>
    <w:rsid w:val="424823D3"/>
    <w:rsid w:val="4275AAB2"/>
    <w:rsid w:val="42900F1F"/>
    <w:rsid w:val="42D63CE4"/>
    <w:rsid w:val="42DC6B17"/>
    <w:rsid w:val="42EDBAEB"/>
    <w:rsid w:val="4312F1ED"/>
    <w:rsid w:val="432164BD"/>
    <w:rsid w:val="432504C7"/>
    <w:rsid w:val="43256AC5"/>
    <w:rsid w:val="43A9753B"/>
    <w:rsid w:val="43C2DF4C"/>
    <w:rsid w:val="43C7DCAF"/>
    <w:rsid w:val="43F75A60"/>
    <w:rsid w:val="444C3A15"/>
    <w:rsid w:val="445BD25A"/>
    <w:rsid w:val="449ABC4E"/>
    <w:rsid w:val="44EED066"/>
    <w:rsid w:val="4522E647"/>
    <w:rsid w:val="453E58BD"/>
    <w:rsid w:val="4676A369"/>
    <w:rsid w:val="468AA0C7"/>
    <w:rsid w:val="46D01242"/>
    <w:rsid w:val="46D2C88E"/>
    <w:rsid w:val="471B8AA4"/>
    <w:rsid w:val="47484928"/>
    <w:rsid w:val="475CB515"/>
    <w:rsid w:val="476FADBB"/>
    <w:rsid w:val="47A33520"/>
    <w:rsid w:val="47B0FB7A"/>
    <w:rsid w:val="47B3F9B9"/>
    <w:rsid w:val="47F0F72A"/>
    <w:rsid w:val="48137B7C"/>
    <w:rsid w:val="48294B1D"/>
    <w:rsid w:val="486288BD"/>
    <w:rsid w:val="48829171"/>
    <w:rsid w:val="48C05994"/>
    <w:rsid w:val="48FE5F62"/>
    <w:rsid w:val="490B7E1C"/>
    <w:rsid w:val="492033B5"/>
    <w:rsid w:val="4977C940"/>
    <w:rsid w:val="497EEF9D"/>
    <w:rsid w:val="498EB0F8"/>
    <w:rsid w:val="49D343C9"/>
    <w:rsid w:val="4A234324"/>
    <w:rsid w:val="4A6127E9"/>
    <w:rsid w:val="4A67304B"/>
    <w:rsid w:val="4A6E5DE3"/>
    <w:rsid w:val="4A74A3EE"/>
    <w:rsid w:val="4A75BD18"/>
    <w:rsid w:val="4AD49D21"/>
    <w:rsid w:val="4AF54A60"/>
    <w:rsid w:val="4BD0CBE5"/>
    <w:rsid w:val="4BDE0A48"/>
    <w:rsid w:val="4C103CF3"/>
    <w:rsid w:val="4C13004D"/>
    <w:rsid w:val="4C654950"/>
    <w:rsid w:val="4C6D0AA8"/>
    <w:rsid w:val="4D0100C9"/>
    <w:rsid w:val="4D244C53"/>
    <w:rsid w:val="4DB3FC60"/>
    <w:rsid w:val="4E0C25B1"/>
    <w:rsid w:val="4E42A789"/>
    <w:rsid w:val="4E7BA4C7"/>
    <w:rsid w:val="4EE31336"/>
    <w:rsid w:val="4F42AD6A"/>
    <w:rsid w:val="4F7D0562"/>
    <w:rsid w:val="501D1354"/>
    <w:rsid w:val="50F48D4C"/>
    <w:rsid w:val="510466A6"/>
    <w:rsid w:val="51115ECD"/>
    <w:rsid w:val="51345621"/>
    <w:rsid w:val="517D778B"/>
    <w:rsid w:val="5198C747"/>
    <w:rsid w:val="5231FBB1"/>
    <w:rsid w:val="524B42E0"/>
    <w:rsid w:val="525E8F6C"/>
    <w:rsid w:val="52AB20C1"/>
    <w:rsid w:val="52AE20B5"/>
    <w:rsid w:val="52C6EC5E"/>
    <w:rsid w:val="52D80C39"/>
    <w:rsid w:val="52FE5A22"/>
    <w:rsid w:val="5301A475"/>
    <w:rsid w:val="5313EE81"/>
    <w:rsid w:val="53340232"/>
    <w:rsid w:val="5356767C"/>
    <w:rsid w:val="53623DFB"/>
    <w:rsid w:val="53937E66"/>
    <w:rsid w:val="53ABD9DD"/>
    <w:rsid w:val="53BA4C54"/>
    <w:rsid w:val="53D883F1"/>
    <w:rsid w:val="5473DC9A"/>
    <w:rsid w:val="5477D446"/>
    <w:rsid w:val="548299D0"/>
    <w:rsid w:val="54C2FA20"/>
    <w:rsid w:val="5501891E"/>
    <w:rsid w:val="55174B4F"/>
    <w:rsid w:val="554E0EBE"/>
    <w:rsid w:val="555FB9D6"/>
    <w:rsid w:val="556848CD"/>
    <w:rsid w:val="557E4B4B"/>
    <w:rsid w:val="557F4105"/>
    <w:rsid w:val="55E5C131"/>
    <w:rsid w:val="560B105F"/>
    <w:rsid w:val="56518664"/>
    <w:rsid w:val="566E7AD8"/>
    <w:rsid w:val="566F3CEB"/>
    <w:rsid w:val="56989E74"/>
    <w:rsid w:val="576C3E06"/>
    <w:rsid w:val="578DB646"/>
    <w:rsid w:val="58448278"/>
    <w:rsid w:val="5847544A"/>
    <w:rsid w:val="5889F3F3"/>
    <w:rsid w:val="590710F9"/>
    <w:rsid w:val="5919F268"/>
    <w:rsid w:val="593F6806"/>
    <w:rsid w:val="598AC9F7"/>
    <w:rsid w:val="598C395D"/>
    <w:rsid w:val="5990478F"/>
    <w:rsid w:val="59EA908B"/>
    <w:rsid w:val="5A730F8B"/>
    <w:rsid w:val="5A8164A1"/>
    <w:rsid w:val="5A82970F"/>
    <w:rsid w:val="5A93CE68"/>
    <w:rsid w:val="5B273594"/>
    <w:rsid w:val="5BC656F0"/>
    <w:rsid w:val="5C235506"/>
    <w:rsid w:val="5C541174"/>
    <w:rsid w:val="5CC817B8"/>
    <w:rsid w:val="5CC81934"/>
    <w:rsid w:val="5CF09AEF"/>
    <w:rsid w:val="5D2F80A5"/>
    <w:rsid w:val="5D397F49"/>
    <w:rsid w:val="5D4D7CA7"/>
    <w:rsid w:val="5D4FBE0C"/>
    <w:rsid w:val="5DB60E35"/>
    <w:rsid w:val="5DCA1F77"/>
    <w:rsid w:val="5E09580C"/>
    <w:rsid w:val="5E1008D3"/>
    <w:rsid w:val="5E7B94DA"/>
    <w:rsid w:val="5E838260"/>
    <w:rsid w:val="5F04E4DC"/>
    <w:rsid w:val="5F6DC899"/>
    <w:rsid w:val="5F6F57CD"/>
    <w:rsid w:val="5F85D8FA"/>
    <w:rsid w:val="5FBF8503"/>
    <w:rsid w:val="604AFA5B"/>
    <w:rsid w:val="60773F5C"/>
    <w:rsid w:val="609365BD"/>
    <w:rsid w:val="60A6BB81"/>
    <w:rsid w:val="60D05F4A"/>
    <w:rsid w:val="60FE4A01"/>
    <w:rsid w:val="611A755F"/>
    <w:rsid w:val="61538817"/>
    <w:rsid w:val="619191D4"/>
    <w:rsid w:val="61C0CF12"/>
    <w:rsid w:val="623B2945"/>
    <w:rsid w:val="624C6659"/>
    <w:rsid w:val="6258CC7C"/>
    <w:rsid w:val="626A6966"/>
    <w:rsid w:val="62774419"/>
    <w:rsid w:val="62CDE22D"/>
    <w:rsid w:val="62D068ED"/>
    <w:rsid w:val="62E11FA9"/>
    <w:rsid w:val="62EF5878"/>
    <w:rsid w:val="63C9EEF1"/>
    <w:rsid w:val="63D1E250"/>
    <w:rsid w:val="63E11E59"/>
    <w:rsid w:val="64E2F768"/>
    <w:rsid w:val="64F6AFF6"/>
    <w:rsid w:val="6565BF52"/>
    <w:rsid w:val="659FD45E"/>
    <w:rsid w:val="665FEBB2"/>
    <w:rsid w:val="6670F5A6"/>
    <w:rsid w:val="66DAEF9E"/>
    <w:rsid w:val="66DCA9C0"/>
    <w:rsid w:val="66F885A4"/>
    <w:rsid w:val="671D14F5"/>
    <w:rsid w:val="6752DA8C"/>
    <w:rsid w:val="675A06F6"/>
    <w:rsid w:val="67A3DA10"/>
    <w:rsid w:val="67F3F9DA"/>
    <w:rsid w:val="67FBE8BD"/>
    <w:rsid w:val="682E6DA8"/>
    <w:rsid w:val="682F455A"/>
    <w:rsid w:val="686D0893"/>
    <w:rsid w:val="686EEBA1"/>
    <w:rsid w:val="688A870E"/>
    <w:rsid w:val="68B80D64"/>
    <w:rsid w:val="68B8172C"/>
    <w:rsid w:val="68BD581A"/>
    <w:rsid w:val="6922C503"/>
    <w:rsid w:val="6939610A"/>
    <w:rsid w:val="695F37EF"/>
    <w:rsid w:val="696F261B"/>
    <w:rsid w:val="697E7BD7"/>
    <w:rsid w:val="698457E8"/>
    <w:rsid w:val="69A2E102"/>
    <w:rsid w:val="6B0027BC"/>
    <w:rsid w:val="6BA8FF73"/>
    <w:rsid w:val="6BCCF95C"/>
    <w:rsid w:val="6BF54974"/>
    <w:rsid w:val="6C83ABD6"/>
    <w:rsid w:val="6D01A621"/>
    <w:rsid w:val="6D44CFD4"/>
    <w:rsid w:val="6D670D67"/>
    <w:rsid w:val="6D83D94A"/>
    <w:rsid w:val="6D97C2F6"/>
    <w:rsid w:val="6DA07B15"/>
    <w:rsid w:val="6DDADBB1"/>
    <w:rsid w:val="6E1D972E"/>
    <w:rsid w:val="6E253A0E"/>
    <w:rsid w:val="6E842D62"/>
    <w:rsid w:val="6E99A62A"/>
    <w:rsid w:val="6EAFFA38"/>
    <w:rsid w:val="6F665E63"/>
    <w:rsid w:val="6F850528"/>
    <w:rsid w:val="6FADC666"/>
    <w:rsid w:val="6FFDED6F"/>
    <w:rsid w:val="700583F7"/>
    <w:rsid w:val="701C4E2E"/>
    <w:rsid w:val="702B1C22"/>
    <w:rsid w:val="7063A2E7"/>
    <w:rsid w:val="706D2A39"/>
    <w:rsid w:val="70C066A7"/>
    <w:rsid w:val="7120D589"/>
    <w:rsid w:val="71280580"/>
    <w:rsid w:val="71998F0B"/>
    <w:rsid w:val="71DDD1DC"/>
    <w:rsid w:val="71E16485"/>
    <w:rsid w:val="71E927DC"/>
    <w:rsid w:val="721840F7"/>
    <w:rsid w:val="721E2B27"/>
    <w:rsid w:val="726DB5C3"/>
    <w:rsid w:val="72BCA5EA"/>
    <w:rsid w:val="72D90FF2"/>
    <w:rsid w:val="73076C29"/>
    <w:rsid w:val="730F7A5C"/>
    <w:rsid w:val="73219499"/>
    <w:rsid w:val="7336B9B7"/>
    <w:rsid w:val="733D24B9"/>
    <w:rsid w:val="734BF718"/>
    <w:rsid w:val="7354D62A"/>
    <w:rsid w:val="73D70D6B"/>
    <w:rsid w:val="740401DB"/>
    <w:rsid w:val="7428179C"/>
    <w:rsid w:val="74471827"/>
    <w:rsid w:val="74721462"/>
    <w:rsid w:val="747DA268"/>
    <w:rsid w:val="74BBBEA1"/>
    <w:rsid w:val="750AC216"/>
    <w:rsid w:val="75F328EB"/>
    <w:rsid w:val="76C21E38"/>
    <w:rsid w:val="77260746"/>
    <w:rsid w:val="7726B867"/>
    <w:rsid w:val="772C20CC"/>
    <w:rsid w:val="7764D09C"/>
    <w:rsid w:val="7766C1CF"/>
    <w:rsid w:val="77D579D3"/>
    <w:rsid w:val="77EF4345"/>
    <w:rsid w:val="783021C5"/>
    <w:rsid w:val="78497CAD"/>
    <w:rsid w:val="789E4AA3"/>
    <w:rsid w:val="78EEEB54"/>
    <w:rsid w:val="78FABE76"/>
    <w:rsid w:val="79439894"/>
    <w:rsid w:val="794608F7"/>
    <w:rsid w:val="7991B11D"/>
    <w:rsid w:val="79E54D0E"/>
    <w:rsid w:val="79EDF9AA"/>
    <w:rsid w:val="7A1CEB44"/>
    <w:rsid w:val="7A34BBC5"/>
    <w:rsid w:val="7A757AEA"/>
    <w:rsid w:val="7A80CED7"/>
    <w:rsid w:val="7AADAE8B"/>
    <w:rsid w:val="7AC41589"/>
    <w:rsid w:val="7ADA1162"/>
    <w:rsid w:val="7AE73503"/>
    <w:rsid w:val="7B15D0B4"/>
    <w:rsid w:val="7B67FFF0"/>
    <w:rsid w:val="7B6A6405"/>
    <w:rsid w:val="7B70E94F"/>
    <w:rsid w:val="7B77B47F"/>
    <w:rsid w:val="7B7B0918"/>
    <w:rsid w:val="7B98A5A7"/>
    <w:rsid w:val="7BB8BBA5"/>
    <w:rsid w:val="7BC746B6"/>
    <w:rsid w:val="7C21F856"/>
    <w:rsid w:val="7C332981"/>
    <w:rsid w:val="7C584401"/>
    <w:rsid w:val="7C830564"/>
    <w:rsid w:val="7CF0243F"/>
    <w:rsid w:val="7D0EE4BF"/>
    <w:rsid w:val="7D1572D8"/>
    <w:rsid w:val="7D1CEDD0"/>
    <w:rsid w:val="7D3680F3"/>
    <w:rsid w:val="7D76C857"/>
    <w:rsid w:val="7DC49E89"/>
    <w:rsid w:val="7DCEF9E2"/>
    <w:rsid w:val="7DD41220"/>
    <w:rsid w:val="7DE52600"/>
    <w:rsid w:val="7E5EE9B6"/>
    <w:rsid w:val="7EB8BE31"/>
    <w:rsid w:val="7EE1823B"/>
    <w:rsid w:val="7EEFF612"/>
    <w:rsid w:val="7F2C081B"/>
    <w:rsid w:val="7F6FE281"/>
    <w:rsid w:val="7F80BF4E"/>
    <w:rsid w:val="7FFAB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0E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29"/>
  </w:style>
  <w:style w:type="paragraph" w:styleId="Heading1">
    <w:name w:val="heading 1"/>
    <w:basedOn w:val="Normal"/>
    <w:next w:val="Normal"/>
    <w:link w:val="Heading1Char"/>
    <w:uiPriority w:val="9"/>
    <w:qFormat/>
    <w:rsid w:val="00831F29"/>
    <w:pPr>
      <w:keepNext/>
      <w:keepLines/>
      <w:spacing w:before="360" w:after="120"/>
      <w:outlineLvl w:val="0"/>
    </w:pPr>
    <w:rPr>
      <w:rFonts w:ascii="Times New Roman" w:eastAsiaTheme="majorEastAsia" w:hAnsi="Times New Roman" w:cstheme="majorBidi"/>
      <w:b/>
    </w:rPr>
  </w:style>
  <w:style w:type="paragraph" w:styleId="Heading2">
    <w:name w:val="heading 2"/>
    <w:basedOn w:val="Normal"/>
    <w:next w:val="Normal"/>
    <w:link w:val="Heading2Char"/>
    <w:uiPriority w:val="9"/>
    <w:unhideWhenUsed/>
    <w:qFormat/>
    <w:rsid w:val="00831F29"/>
    <w:pPr>
      <w:keepNext/>
      <w:keepLines/>
      <w:spacing w:before="160" w:after="120"/>
      <w:ind w:left="720"/>
      <w:outlineLvl w:val="1"/>
    </w:pPr>
    <w:rPr>
      <w:rFonts w:ascii="Times New Roman" w:eastAsiaTheme="majorEastAsia" w:hAnsi="Times New Roman" w:cstheme="majorBid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F29"/>
    <w:rPr>
      <w:rFonts w:ascii="Times New Roman" w:eastAsiaTheme="majorEastAsia" w:hAnsi="Times New Roman" w:cstheme="majorBidi"/>
      <w:b/>
    </w:rPr>
  </w:style>
  <w:style w:type="character" w:customStyle="1" w:styleId="Heading2Char">
    <w:name w:val="Heading 2 Char"/>
    <w:basedOn w:val="DefaultParagraphFont"/>
    <w:link w:val="Heading2"/>
    <w:uiPriority w:val="9"/>
    <w:rsid w:val="00831F29"/>
    <w:rPr>
      <w:rFonts w:ascii="Times New Roman" w:eastAsiaTheme="majorEastAsia" w:hAnsi="Times New Roman" w:cstheme="majorBidi"/>
      <w:b/>
      <w:i/>
    </w:rPr>
  </w:style>
  <w:style w:type="character" w:customStyle="1" w:styleId="Marker">
    <w:name w:val="Marker"/>
    <w:basedOn w:val="DefaultParagraphFont"/>
    <w:rsid w:val="00831F29"/>
    <w:rPr>
      <w:color w:val="0000FF"/>
      <w:shd w:val="clear" w:color="auto" w:fill="auto"/>
    </w:rPr>
  </w:style>
  <w:style w:type="paragraph" w:styleId="Header">
    <w:name w:val="header"/>
    <w:basedOn w:val="Normal"/>
    <w:link w:val="HeaderChar"/>
    <w:uiPriority w:val="99"/>
    <w:unhideWhenUsed/>
    <w:rsid w:val="0083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29"/>
  </w:style>
  <w:style w:type="paragraph" w:styleId="Footer">
    <w:name w:val="footer"/>
    <w:basedOn w:val="Normal"/>
    <w:link w:val="FooterChar"/>
    <w:uiPriority w:val="99"/>
    <w:unhideWhenUsed/>
    <w:rsid w:val="0083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F29"/>
  </w:style>
  <w:style w:type="paragraph" w:customStyle="1" w:styleId="Pagedecouverture">
    <w:name w:val="Page de couverture"/>
    <w:basedOn w:val="Normal"/>
    <w:next w:val="Normal"/>
    <w:rsid w:val="00831F2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31F2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31F29"/>
    <w:rPr>
      <w:rFonts w:ascii="Times New Roman" w:hAnsi="Times New Roman" w:cs="Times New Roman"/>
      <w:sz w:val="24"/>
    </w:rPr>
  </w:style>
  <w:style w:type="paragraph" w:customStyle="1" w:styleId="FooterSensitivity">
    <w:name w:val="Footer Sensitivity"/>
    <w:basedOn w:val="Normal"/>
    <w:link w:val="FooterSensitivityChar"/>
    <w:rsid w:val="00831F2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31F29"/>
    <w:rPr>
      <w:rFonts w:ascii="Times New Roman" w:hAnsi="Times New Roman" w:cs="Times New Roman"/>
      <w:b/>
      <w:sz w:val="32"/>
    </w:rPr>
  </w:style>
  <w:style w:type="paragraph" w:customStyle="1" w:styleId="HeaderCoverPage">
    <w:name w:val="Header Cover Page"/>
    <w:basedOn w:val="Normal"/>
    <w:link w:val="HeaderCoverPageChar"/>
    <w:rsid w:val="00831F2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31F29"/>
    <w:rPr>
      <w:rFonts w:ascii="Times New Roman" w:hAnsi="Times New Roman" w:cs="Times New Roman"/>
      <w:sz w:val="24"/>
    </w:rPr>
  </w:style>
  <w:style w:type="paragraph" w:customStyle="1" w:styleId="HeaderSensitivity">
    <w:name w:val="Header Sensitivity"/>
    <w:basedOn w:val="Normal"/>
    <w:link w:val="HeaderSensitivityChar"/>
    <w:rsid w:val="00831F2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31F29"/>
    <w:rPr>
      <w:rFonts w:ascii="Times New Roman" w:hAnsi="Times New Roman" w:cs="Times New Roman"/>
      <w:b/>
      <w:sz w:val="32"/>
    </w:rPr>
  </w:style>
  <w:style w:type="paragraph" w:customStyle="1" w:styleId="HeaderSensitivityRight">
    <w:name w:val="Header Sensitivity Right"/>
    <w:basedOn w:val="Normal"/>
    <w:link w:val="HeaderSensitivityRightChar"/>
    <w:rsid w:val="00831F2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31F29"/>
    <w:rPr>
      <w:rFonts w:ascii="Times New Roman" w:hAnsi="Times New Roman" w:cs="Times New Roman"/>
      <w:sz w:val="28"/>
    </w:rPr>
  </w:style>
  <w:style w:type="paragraph" w:styleId="ListParagraph">
    <w:name w:val="List Paragraph"/>
    <w:basedOn w:val="Normal"/>
    <w:link w:val="ListParagraphChar"/>
    <w:uiPriority w:val="34"/>
    <w:qFormat/>
    <w:rsid w:val="00831F29"/>
    <w:pPr>
      <w:ind w:left="720"/>
      <w:contextualSpacing/>
    </w:pPr>
  </w:style>
  <w:style w:type="paragraph" w:styleId="CommentText">
    <w:name w:val="annotation text"/>
    <w:basedOn w:val="Normal"/>
    <w:link w:val="CommentTextChar"/>
    <w:uiPriority w:val="99"/>
    <w:unhideWhenUsed/>
    <w:rsid w:val="00831F29"/>
    <w:pPr>
      <w:spacing w:line="240" w:lineRule="auto"/>
    </w:pPr>
    <w:rPr>
      <w:sz w:val="20"/>
    </w:rPr>
  </w:style>
  <w:style w:type="character" w:customStyle="1" w:styleId="CommentTextChar">
    <w:name w:val="Comment Text Char"/>
    <w:basedOn w:val="DefaultParagraphFont"/>
    <w:link w:val="CommentText"/>
    <w:uiPriority w:val="99"/>
    <w:rsid w:val="00831F29"/>
    <w:rPr>
      <w:sz w:val="20"/>
    </w:rPr>
  </w:style>
  <w:style w:type="character" w:styleId="CommentReference">
    <w:name w:val="annotation reference"/>
    <w:basedOn w:val="DefaultParagraphFont"/>
    <w:uiPriority w:val="99"/>
    <w:semiHidden/>
    <w:unhideWhenUsed/>
    <w:rsid w:val="00831F29"/>
    <w:rPr>
      <w:sz w:val="16"/>
    </w:rPr>
  </w:style>
  <w:style w:type="character" w:customStyle="1" w:styleId="normaltextrun">
    <w:name w:val="normaltextrun"/>
    <w:basedOn w:val="DefaultParagraphFont"/>
    <w:rsid w:val="00831F29"/>
  </w:style>
  <w:style w:type="character" w:customStyle="1" w:styleId="ListParagraphChar">
    <w:name w:val="List Paragraph Char"/>
    <w:link w:val="ListParagraph"/>
    <w:uiPriority w:val="34"/>
    <w:qFormat/>
    <w:rsid w:val="00831F29"/>
  </w:style>
  <w:style w:type="character" w:styleId="Hyperlink">
    <w:name w:val="Hyperlink"/>
    <w:basedOn w:val="DefaultParagraphFont"/>
    <w:uiPriority w:val="99"/>
    <w:unhideWhenUsed/>
    <w:rsid w:val="00831F29"/>
    <w:rPr>
      <w:color w:val="0000FF"/>
      <w:u w:val="single"/>
    </w:rPr>
  </w:style>
  <w:style w:type="character" w:customStyle="1" w:styleId="eop">
    <w:name w:val="eop"/>
    <w:basedOn w:val="DefaultParagraphFont"/>
    <w:rsid w:val="00831F29"/>
  </w:style>
  <w:style w:type="paragraph" w:styleId="FootnoteText">
    <w:name w:val="footnote text"/>
    <w:basedOn w:val="Normal"/>
    <w:link w:val="FootnoteTextChar"/>
    <w:qFormat/>
    <w:rsid w:val="00831F29"/>
    <w:pPr>
      <w:tabs>
        <w:tab w:val="left" w:pos="227"/>
      </w:tabs>
      <w:spacing w:after="60" w:line="240" w:lineRule="auto"/>
      <w:ind w:left="227" w:hanging="227"/>
      <w:jc w:val="both"/>
    </w:pPr>
    <w:rPr>
      <w:rFonts w:ascii="Times New Roman" w:eastAsia="Times New Roman" w:hAnsi="Times New Roman" w:cs="Times New Roman"/>
      <w:sz w:val="18"/>
    </w:rPr>
  </w:style>
  <w:style w:type="character" w:customStyle="1" w:styleId="FootnoteTextChar">
    <w:name w:val="Footnote Text Char"/>
    <w:basedOn w:val="DefaultParagraphFont"/>
    <w:link w:val="FootnoteText"/>
    <w:qFormat/>
    <w:rsid w:val="00831F29"/>
    <w:rPr>
      <w:rFonts w:ascii="Times New Roman" w:eastAsia="Times New Roman" w:hAnsi="Times New Roman" w:cs="Times New Roman"/>
      <w:sz w:val="18"/>
    </w:rPr>
  </w:style>
  <w:style w:type="character" w:styleId="FootnoteReference">
    <w:name w:val="footnote reference"/>
    <w:basedOn w:val="DefaultParagraphFont"/>
    <w:link w:val="FootnotesymbolCarZchn"/>
    <w:unhideWhenUsed/>
    <w:qFormat/>
    <w:rsid w:val="00831F29"/>
    <w:rPr>
      <w:vertAlign w:val="superscript"/>
    </w:rPr>
  </w:style>
  <w:style w:type="paragraph" w:customStyle="1" w:styleId="FootnotesymbolCarZchn">
    <w:name w:val="Footnote symbol Car Zchn"/>
    <w:basedOn w:val="Normal"/>
    <w:link w:val="FootnoteReference"/>
    <w:qFormat/>
    <w:rsid w:val="00831F29"/>
    <w:pPr>
      <w:spacing w:line="240" w:lineRule="exact"/>
      <w:jc w:val="both"/>
    </w:pPr>
    <w:rPr>
      <w:vertAlign w:val="superscript"/>
    </w:rPr>
  </w:style>
  <w:style w:type="table" w:styleId="TableGrid">
    <w:name w:val="Table Grid"/>
    <w:basedOn w:val="TableNormal"/>
    <w:uiPriority w:val="59"/>
    <w:rsid w:val="0083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31F29"/>
    <w:pPr>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1">
    <w:name w:val="Unresolved Mention1"/>
    <w:basedOn w:val="DefaultParagraphFont"/>
    <w:uiPriority w:val="99"/>
    <w:semiHidden/>
    <w:unhideWhenUsed/>
    <w:rsid w:val="00831F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1F29"/>
    <w:rPr>
      <w:b/>
    </w:rPr>
  </w:style>
  <w:style w:type="character" w:customStyle="1" w:styleId="CommentSubjectChar">
    <w:name w:val="Comment Subject Char"/>
    <w:basedOn w:val="CommentTextChar"/>
    <w:link w:val="CommentSubject"/>
    <w:uiPriority w:val="99"/>
    <w:semiHidden/>
    <w:rsid w:val="00831F29"/>
    <w:rPr>
      <w:b/>
      <w:sz w:val="20"/>
    </w:rPr>
  </w:style>
  <w:style w:type="character" w:styleId="FollowedHyperlink">
    <w:name w:val="FollowedHyperlink"/>
    <w:basedOn w:val="DefaultParagraphFont"/>
    <w:uiPriority w:val="99"/>
    <w:semiHidden/>
    <w:unhideWhenUsed/>
    <w:rsid w:val="00831F29"/>
    <w:rPr>
      <w:color w:val="954F72" w:themeColor="followedHyperlink"/>
      <w:u w:val="single"/>
    </w:rPr>
  </w:style>
  <w:style w:type="paragraph" w:styleId="Revision">
    <w:name w:val="Revision"/>
    <w:hidden/>
    <w:uiPriority w:val="99"/>
    <w:semiHidden/>
    <w:rsid w:val="00831F29"/>
    <w:pPr>
      <w:spacing w:after="0" w:line="240" w:lineRule="auto"/>
    </w:pPr>
  </w:style>
  <w:style w:type="table" w:customStyle="1" w:styleId="TableGrid1">
    <w:name w:val="Table Grid1"/>
    <w:basedOn w:val="TableNormal"/>
    <w:next w:val="TableGrid"/>
    <w:uiPriority w:val="59"/>
    <w:rsid w:val="00831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1F29"/>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31F29"/>
    <w:rPr>
      <w:rFonts w:ascii="Segoe UI" w:hAnsi="Segoe UI" w:cs="Segoe UI"/>
      <w:sz w:val="18"/>
    </w:rPr>
  </w:style>
  <w:style w:type="character" w:customStyle="1" w:styleId="UnresolvedMention2">
    <w:name w:val="Unresolved Mention2"/>
    <w:basedOn w:val="DefaultParagraphFont"/>
    <w:uiPriority w:val="99"/>
    <w:semiHidden/>
    <w:unhideWhenUsed/>
    <w:rsid w:val="00831F29"/>
    <w:rPr>
      <w:color w:val="605E5C"/>
      <w:shd w:val="clear" w:color="auto" w:fill="E1DFDD"/>
    </w:rPr>
  </w:style>
  <w:style w:type="character" w:customStyle="1" w:styleId="UnresolvedMention3">
    <w:name w:val="Unresolved Mention3"/>
    <w:basedOn w:val="DefaultParagraphFont"/>
    <w:uiPriority w:val="99"/>
    <w:semiHidden/>
    <w:unhideWhenUsed/>
    <w:rsid w:val="00831F29"/>
    <w:rPr>
      <w:color w:val="605E5C"/>
      <w:shd w:val="clear" w:color="auto" w:fill="E1DFDD"/>
    </w:rPr>
  </w:style>
  <w:style w:type="character" w:customStyle="1" w:styleId="findhit">
    <w:name w:val="findhit"/>
    <w:basedOn w:val="DefaultParagraphFont"/>
    <w:rsid w:val="00831F29"/>
  </w:style>
  <w:style w:type="character" w:customStyle="1" w:styleId="UnresolvedMention4">
    <w:name w:val="Unresolved Mention4"/>
    <w:basedOn w:val="DefaultParagraphFont"/>
    <w:uiPriority w:val="99"/>
    <w:semiHidden/>
    <w:unhideWhenUsed/>
    <w:rsid w:val="00831F29"/>
    <w:rPr>
      <w:color w:val="605E5C"/>
      <w:shd w:val="clear" w:color="auto" w:fill="E1DFDD"/>
    </w:rPr>
  </w:style>
  <w:style w:type="character" w:customStyle="1" w:styleId="UnresolvedMention5">
    <w:name w:val="Unresolved Mention5"/>
    <w:basedOn w:val="DefaultParagraphFont"/>
    <w:uiPriority w:val="99"/>
    <w:semiHidden/>
    <w:unhideWhenUsed/>
    <w:rsid w:val="00831F29"/>
    <w:rPr>
      <w:color w:val="605E5C"/>
      <w:shd w:val="clear" w:color="auto" w:fill="E1DFDD"/>
    </w:rPr>
  </w:style>
  <w:style w:type="paragraph" w:styleId="PlainText">
    <w:name w:val="Plain Text"/>
    <w:basedOn w:val="Normal"/>
    <w:link w:val="PlainTextChar"/>
    <w:uiPriority w:val="99"/>
    <w:semiHidden/>
    <w:unhideWhenUsed/>
    <w:rsid w:val="00831F2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831F29"/>
    <w:rPr>
      <w:rFonts w:ascii="Calibri" w:hAnsi="Calibri"/>
    </w:rPr>
  </w:style>
  <w:style w:type="character" w:customStyle="1" w:styleId="Mention1">
    <w:name w:val="Mention1"/>
    <w:basedOn w:val="DefaultParagraphFont"/>
    <w:uiPriority w:val="99"/>
    <w:unhideWhenUsed/>
    <w:rsid w:val="00831F29"/>
    <w:rPr>
      <w:color w:val="2B579A"/>
      <w:shd w:val="clear" w:color="auto" w:fill="E6E6E6"/>
    </w:rPr>
  </w:style>
  <w:style w:type="paragraph" w:styleId="NoSpacing">
    <w:name w:val="No Spacing"/>
    <w:uiPriority w:val="1"/>
    <w:qFormat/>
    <w:rsid w:val="00831F29"/>
    <w:pPr>
      <w:spacing w:after="0" w:line="240" w:lineRule="auto"/>
    </w:pPr>
  </w:style>
  <w:style w:type="character" w:customStyle="1" w:styleId="UnresolvedMention6">
    <w:name w:val="Unresolved Mention6"/>
    <w:basedOn w:val="DefaultParagraphFont"/>
    <w:uiPriority w:val="99"/>
    <w:semiHidden/>
    <w:unhideWhenUsed/>
    <w:rsid w:val="00831F29"/>
    <w:rPr>
      <w:color w:val="605E5C"/>
      <w:shd w:val="clear" w:color="auto" w:fill="E1DFDD"/>
    </w:rPr>
  </w:style>
  <w:style w:type="paragraph" w:customStyle="1" w:styleId="LegalNumPar">
    <w:name w:val="LegalNumPar"/>
    <w:basedOn w:val="Normal"/>
    <w:rsid w:val="00831F29"/>
    <w:pPr>
      <w:numPr>
        <w:numId w:val="41"/>
      </w:numPr>
      <w:spacing w:line="360" w:lineRule="auto"/>
    </w:pPr>
    <w:rPr>
      <w:sz w:val="24"/>
    </w:rPr>
  </w:style>
  <w:style w:type="paragraph" w:customStyle="1" w:styleId="LegalNumPar2">
    <w:name w:val="LegalNumPar2"/>
    <w:basedOn w:val="Normal"/>
    <w:rsid w:val="00831F29"/>
    <w:pPr>
      <w:numPr>
        <w:ilvl w:val="1"/>
        <w:numId w:val="41"/>
      </w:numPr>
      <w:spacing w:line="360" w:lineRule="auto"/>
    </w:pPr>
    <w:rPr>
      <w:sz w:val="24"/>
    </w:rPr>
  </w:style>
  <w:style w:type="paragraph" w:customStyle="1" w:styleId="LegalNumPar3">
    <w:name w:val="LegalNumPar3"/>
    <w:basedOn w:val="Normal"/>
    <w:rsid w:val="00831F29"/>
    <w:pPr>
      <w:numPr>
        <w:ilvl w:val="2"/>
        <w:numId w:val="41"/>
      </w:numPr>
      <w:spacing w:line="360" w:lineRule="auto"/>
    </w:pPr>
    <w:rPr>
      <w:sz w:val="24"/>
    </w:rPr>
  </w:style>
  <w:style w:type="character" w:customStyle="1" w:styleId="UnresolvedMention7">
    <w:name w:val="Unresolved Mention7"/>
    <w:basedOn w:val="DefaultParagraphFont"/>
    <w:uiPriority w:val="99"/>
    <w:semiHidden/>
    <w:unhideWhenUsed/>
    <w:rsid w:val="00AD6A6A"/>
    <w:rPr>
      <w:color w:val="605E5C"/>
      <w:shd w:val="clear" w:color="auto" w:fill="E1DFDD"/>
    </w:rPr>
  </w:style>
  <w:style w:type="character" w:customStyle="1" w:styleId="UnresolvedMention8">
    <w:name w:val="Unresolved Mention8"/>
    <w:basedOn w:val="DefaultParagraphFont"/>
    <w:uiPriority w:val="99"/>
    <w:semiHidden/>
    <w:unhideWhenUsed/>
    <w:rsid w:val="002D733F"/>
    <w:rPr>
      <w:color w:val="605E5C"/>
      <w:shd w:val="clear" w:color="auto" w:fill="E1DFDD"/>
    </w:rPr>
  </w:style>
  <w:style w:type="character" w:customStyle="1" w:styleId="UnresolvedMention9">
    <w:name w:val="Unresolved Mention9"/>
    <w:basedOn w:val="DefaultParagraphFont"/>
    <w:uiPriority w:val="99"/>
    <w:semiHidden/>
    <w:unhideWhenUsed/>
    <w:rsid w:val="00E34098"/>
    <w:rPr>
      <w:color w:val="605E5C"/>
      <w:shd w:val="clear" w:color="auto" w:fill="E1DFDD"/>
    </w:rPr>
  </w:style>
  <w:style w:type="paragraph" w:styleId="EndnoteText">
    <w:name w:val="endnote text"/>
    <w:basedOn w:val="Normal"/>
    <w:link w:val="EndnoteTextChar"/>
    <w:uiPriority w:val="99"/>
    <w:semiHidden/>
    <w:unhideWhenUsed/>
    <w:rsid w:val="001E409C"/>
    <w:pPr>
      <w:spacing w:after="0" w:line="240" w:lineRule="auto"/>
    </w:pPr>
    <w:rPr>
      <w:sz w:val="20"/>
    </w:rPr>
  </w:style>
  <w:style w:type="character" w:customStyle="1" w:styleId="EndnoteTextChar">
    <w:name w:val="Endnote Text Char"/>
    <w:basedOn w:val="DefaultParagraphFont"/>
    <w:link w:val="EndnoteText"/>
    <w:uiPriority w:val="99"/>
    <w:semiHidden/>
    <w:rsid w:val="001E409C"/>
    <w:rPr>
      <w:sz w:val="20"/>
    </w:rPr>
  </w:style>
  <w:style w:type="character" w:styleId="EndnoteReference">
    <w:name w:val="endnote reference"/>
    <w:basedOn w:val="DefaultParagraphFont"/>
    <w:uiPriority w:val="99"/>
    <w:semiHidden/>
    <w:unhideWhenUsed/>
    <w:rsid w:val="001E409C"/>
    <w:rPr>
      <w:vertAlign w:val="superscript"/>
    </w:rPr>
  </w:style>
  <w:style w:type="character" w:customStyle="1" w:styleId="UnresolvedMention10">
    <w:name w:val="Unresolved Mention10"/>
    <w:basedOn w:val="DefaultParagraphFont"/>
    <w:uiPriority w:val="99"/>
    <w:semiHidden/>
    <w:unhideWhenUsed/>
    <w:rsid w:val="00E76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9649">
      <w:bodyDiv w:val="1"/>
      <w:marLeft w:val="0"/>
      <w:marRight w:val="0"/>
      <w:marTop w:val="0"/>
      <w:marBottom w:val="0"/>
      <w:divBdr>
        <w:top w:val="none" w:sz="0" w:space="0" w:color="auto"/>
        <w:left w:val="none" w:sz="0" w:space="0" w:color="auto"/>
        <w:bottom w:val="none" w:sz="0" w:space="0" w:color="auto"/>
        <w:right w:val="none" w:sz="0" w:space="0" w:color="auto"/>
      </w:divBdr>
    </w:div>
    <w:div w:id="878128551">
      <w:bodyDiv w:val="1"/>
      <w:marLeft w:val="0"/>
      <w:marRight w:val="0"/>
      <w:marTop w:val="0"/>
      <w:marBottom w:val="0"/>
      <w:divBdr>
        <w:top w:val="none" w:sz="0" w:space="0" w:color="auto"/>
        <w:left w:val="none" w:sz="0" w:space="0" w:color="auto"/>
        <w:bottom w:val="none" w:sz="0" w:space="0" w:color="auto"/>
        <w:right w:val="none" w:sz="0" w:space="0" w:color="auto"/>
      </w:divBdr>
    </w:div>
    <w:div w:id="895354802">
      <w:bodyDiv w:val="1"/>
      <w:marLeft w:val="0"/>
      <w:marRight w:val="0"/>
      <w:marTop w:val="0"/>
      <w:marBottom w:val="0"/>
      <w:divBdr>
        <w:top w:val="none" w:sz="0" w:space="0" w:color="auto"/>
        <w:left w:val="none" w:sz="0" w:space="0" w:color="auto"/>
        <w:bottom w:val="none" w:sz="0" w:space="0" w:color="auto"/>
        <w:right w:val="none" w:sz="0" w:space="0" w:color="auto"/>
      </w:divBdr>
    </w:div>
    <w:div w:id="1064330996">
      <w:bodyDiv w:val="1"/>
      <w:marLeft w:val="0"/>
      <w:marRight w:val="0"/>
      <w:marTop w:val="0"/>
      <w:marBottom w:val="0"/>
      <w:divBdr>
        <w:top w:val="none" w:sz="0" w:space="0" w:color="auto"/>
        <w:left w:val="none" w:sz="0" w:space="0" w:color="auto"/>
        <w:bottom w:val="none" w:sz="0" w:space="0" w:color="auto"/>
        <w:right w:val="none" w:sz="0" w:space="0" w:color="auto"/>
      </w:divBdr>
    </w:div>
    <w:div w:id="1163551126">
      <w:bodyDiv w:val="1"/>
      <w:marLeft w:val="0"/>
      <w:marRight w:val="0"/>
      <w:marTop w:val="0"/>
      <w:marBottom w:val="0"/>
      <w:divBdr>
        <w:top w:val="none" w:sz="0" w:space="0" w:color="auto"/>
        <w:left w:val="none" w:sz="0" w:space="0" w:color="auto"/>
        <w:bottom w:val="none" w:sz="0" w:space="0" w:color="auto"/>
        <w:right w:val="none" w:sz="0" w:space="0" w:color="auto"/>
      </w:divBdr>
    </w:div>
    <w:div w:id="1175343567">
      <w:bodyDiv w:val="1"/>
      <w:marLeft w:val="0"/>
      <w:marRight w:val="0"/>
      <w:marTop w:val="0"/>
      <w:marBottom w:val="0"/>
      <w:divBdr>
        <w:top w:val="none" w:sz="0" w:space="0" w:color="auto"/>
        <w:left w:val="none" w:sz="0" w:space="0" w:color="auto"/>
        <w:bottom w:val="none" w:sz="0" w:space="0" w:color="auto"/>
        <w:right w:val="none" w:sz="0" w:space="0" w:color="auto"/>
      </w:divBdr>
    </w:div>
    <w:div w:id="1330672355">
      <w:bodyDiv w:val="1"/>
      <w:marLeft w:val="0"/>
      <w:marRight w:val="0"/>
      <w:marTop w:val="0"/>
      <w:marBottom w:val="0"/>
      <w:divBdr>
        <w:top w:val="none" w:sz="0" w:space="0" w:color="auto"/>
        <w:left w:val="none" w:sz="0" w:space="0" w:color="auto"/>
        <w:bottom w:val="none" w:sz="0" w:space="0" w:color="auto"/>
        <w:right w:val="none" w:sz="0" w:space="0" w:color="auto"/>
      </w:divBdr>
    </w:div>
    <w:div w:id="1436487101">
      <w:bodyDiv w:val="1"/>
      <w:marLeft w:val="0"/>
      <w:marRight w:val="0"/>
      <w:marTop w:val="0"/>
      <w:marBottom w:val="0"/>
      <w:divBdr>
        <w:top w:val="none" w:sz="0" w:space="0" w:color="auto"/>
        <w:left w:val="none" w:sz="0" w:space="0" w:color="auto"/>
        <w:bottom w:val="none" w:sz="0" w:space="0" w:color="auto"/>
        <w:right w:val="none" w:sz="0" w:space="0" w:color="auto"/>
      </w:divBdr>
    </w:div>
    <w:div w:id="1770925193">
      <w:bodyDiv w:val="1"/>
      <w:marLeft w:val="0"/>
      <w:marRight w:val="0"/>
      <w:marTop w:val="0"/>
      <w:marBottom w:val="0"/>
      <w:divBdr>
        <w:top w:val="none" w:sz="0" w:space="0" w:color="auto"/>
        <w:left w:val="none" w:sz="0" w:space="0" w:color="auto"/>
        <w:bottom w:val="none" w:sz="0" w:space="0" w:color="auto"/>
        <w:right w:val="none" w:sz="0" w:space="0" w:color="auto"/>
      </w:divBdr>
    </w:div>
    <w:div w:id="208155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s-rminform.com/cyber-security-insights-report/" TargetMode="External"/><Relationship Id="rId21" Type="http://schemas.openxmlformats.org/officeDocument/2006/relationships/hyperlink" Target="https://digital-strategy.ec.europa.eu/en/library/digital-economy-and-society-index-desi-2022" TargetMode="External"/><Relationship Id="rId42" Type="http://schemas.openxmlformats.org/officeDocument/2006/relationships/hyperlink" Target="https://www.enisa.europa.eu/topics/cybersecurity-education/education-map" TargetMode="External"/><Relationship Id="rId47" Type="http://schemas.openxmlformats.org/officeDocument/2006/relationships/hyperlink" Target="https://www.eda.europa.eu/info-hub/press-centre/latest-news/2018/11/20/cyber-education-training-exercise-and-evaluation-%28etee%29-platform-launched" TargetMode="External"/><Relationship Id="rId63" Type="http://schemas.openxmlformats.org/officeDocument/2006/relationships/hyperlink" Target="https://digital-skills-jobs.europa.eu/en" TargetMode="External"/><Relationship Id="rId68" Type="http://schemas.openxmlformats.org/officeDocument/2006/relationships/hyperlink" Target="https://esco.ec.europa.eu/en/about-esco/escopedia/escopedia/european-e-competence-framework-e-cf" TargetMode="External"/><Relationship Id="rId84" Type="http://schemas.openxmlformats.org/officeDocument/2006/relationships/hyperlink" Target="https://erasmus-plus.ec.europa.eu/sl/programme-guide/part-b/key-action-2/centres-vocational-excellence" TargetMode="External"/><Relationship Id="rId89" Type="http://schemas.openxmlformats.org/officeDocument/2006/relationships/hyperlink" Target="https://women4cyber.eu/w4c-academy/" TargetMode="External"/><Relationship Id="rId112" Type="http://schemas.openxmlformats.org/officeDocument/2006/relationships/hyperlink" Target="https://digital-strategy.ec.europa.eu/en/policies/desi" TargetMode="External"/><Relationship Id="rId2" Type="http://schemas.openxmlformats.org/officeDocument/2006/relationships/hyperlink" Target="https://www.europol.europa.eu/publications-events/main-reports/internet-organised-crime-threat-assessment-iocta-2021" TargetMode="External"/><Relationship Id="rId16" Type="http://schemas.openxmlformats.org/officeDocument/2006/relationships/hyperlink" Target="https://eur-lex.europa.eu/legal-content/SL/TXT/?uri=CELEX:52022PC0454" TargetMode="External"/><Relationship Id="rId29" Type="http://schemas.openxmlformats.org/officeDocument/2006/relationships/hyperlink" Target="https://www.enisa.europa.eu/publications/enisa-threat-landscape-2022" TargetMode="External"/><Relationship Id="rId107" Type="http://schemas.openxmlformats.org/officeDocument/2006/relationships/hyperlink" Target="https://www.pesco.europa.eu/project/eu-cyber-academia-and-innovation-hub-eu-caih/" TargetMode="External"/><Relationship Id="rId11" Type="http://schemas.openxmlformats.org/officeDocument/2006/relationships/hyperlink" Target="https://www.consilium.europa.eu/sl/press/press-releases/2022/07/19/declaration-by-the-high-representative-on-behalf-of-the-european-union-on-malicious-cyber-activities-conducted-by-hackers-and-hacker-groups-in-the-context-of-russia-s-aggression-against-ukraine/" TargetMode="External"/><Relationship Id="rId24" Type="http://schemas.openxmlformats.org/officeDocument/2006/relationships/hyperlink" Target="https://digital-strategy.ec.europa.eu/en/library/digital-economy-and-society-index-desi-2022" TargetMode="External"/><Relationship Id="rId32" Type="http://schemas.openxmlformats.org/officeDocument/2006/relationships/hyperlink" Target="https://www.cedefop.europa.eu/en/tools/skills-online-vacancies" TargetMode="External"/><Relationship Id="rId37" Type="http://schemas.openxmlformats.org/officeDocument/2006/relationships/hyperlink" Target="https://www.concordia-h2020.eu/" TargetMode="External"/><Relationship Id="rId40" Type="http://schemas.openxmlformats.org/officeDocument/2006/relationships/hyperlink" Target="https://cybersecpro-project.eu/" TargetMode="External"/><Relationship Id="rId45" Type="http://schemas.openxmlformats.org/officeDocument/2006/relationships/hyperlink" Target="https://cybersecuritymonth.eu/" TargetMode="External"/><Relationship Id="rId53" Type="http://schemas.openxmlformats.org/officeDocument/2006/relationships/hyperlink" Target="https://www.l3ce.eu/en/about-l3ce/" TargetMode="External"/><Relationship Id="rId58" Type="http://schemas.openxmlformats.org/officeDocument/2006/relationships/hyperlink" Target="file:///C:/Users/bacigba/Downloads/SOTEU_2022_Letter_of_Intent_EN_0.pdf" TargetMode="External"/><Relationship Id="rId66" Type="http://schemas.openxmlformats.org/officeDocument/2006/relationships/hyperlink" Target="https://eur-lex.europa.eu/legal-content/SL/TXT/?uri=CELEX%3A32022L2555" TargetMode="External"/><Relationship Id="rId74" Type="http://schemas.openxmlformats.org/officeDocument/2006/relationships/hyperlink" Target="https://www.skillsdataspace.eu/ds4skills-developed-a-methodology-for-categorisation-and-assessment-of-existing-initiatives-in-skills-and-educational-data/" TargetMode="External"/><Relationship Id="rId79" Type="http://schemas.openxmlformats.org/officeDocument/2006/relationships/hyperlink" Target="https://eures.ec.europa.eu/index_sl" TargetMode="External"/><Relationship Id="rId87" Type="http://schemas.openxmlformats.org/officeDocument/2006/relationships/hyperlink" Target="https://www.enisa.europa.eu/topics/training-and-exercises/trainings-for-cybersecurity-specialists/train-the-trainer-programme" TargetMode="External"/><Relationship Id="rId102" Type="http://schemas.openxmlformats.org/officeDocument/2006/relationships/hyperlink" Target="https://pact-for-skills.ec.europa.eu/stakeholders-and-business/funding-opportunities_sl" TargetMode="External"/><Relationship Id="rId110" Type="http://schemas.openxmlformats.org/officeDocument/2006/relationships/hyperlink" Target="https://investeu.europa.eu/what-investeu-programme/investeu-advisory-hub_en" TargetMode="External"/><Relationship Id="rId5" Type="http://schemas.openxmlformats.org/officeDocument/2006/relationships/hyperlink" Target="https://www.bsi.bund.de/SharedDocs/Downloads/EN/BSI/Publications/Securitysituation/IT-Security-Situation-in-Germany-2022.pdf?__blob=publicationFile&amp;v=8" TargetMode="External"/><Relationship Id="rId61" Type="http://schemas.openxmlformats.org/officeDocument/2006/relationships/hyperlink" Target="https://eur-lex.europa.eu/eli/dec/2022/2481/oj?locale=sl" TargetMode="External"/><Relationship Id="rId82" Type="http://schemas.openxmlformats.org/officeDocument/2006/relationships/hyperlink" Target="https://education.ec.europa.eu/sl/education-levels/higher-education/european-universities-initiative" TargetMode="External"/><Relationship Id="rId90" Type="http://schemas.openxmlformats.org/officeDocument/2006/relationships/hyperlink" Target="https://www.ecteg.eu/running/gcc/" TargetMode="External"/><Relationship Id="rId95" Type="http://schemas.openxmlformats.org/officeDocument/2006/relationships/hyperlink" Target="https://digital-strategy.ec.europa.eu/en/news/new-european-partnerships-launched-deliver-eus-ambitions-digital-decade" TargetMode="External"/><Relationship Id="rId19" Type="http://schemas.openxmlformats.org/officeDocument/2006/relationships/hyperlink" Target="https://www.youtube.com/watch?v=wP32kU7PEXU" TargetMode="External"/><Relationship Id="rId14" Type="http://schemas.openxmlformats.org/officeDocument/2006/relationships/hyperlink" Target="https://eur-lex.europa.eu/legal-content/sl/TXT/?uri=CELEX:32022R2554" TargetMode="External"/><Relationship Id="rId22" Type="http://schemas.openxmlformats.org/officeDocument/2006/relationships/hyperlink" Target="https://digital-strategy.ec.europa.eu/en/library/digital-economy-and-society-index-desi-2022" TargetMode="External"/><Relationship Id="rId27" Type="http://schemas.openxmlformats.org/officeDocument/2006/relationships/hyperlink" Target="https://www.enisa.europa.eu/publications/the-status-of-cyber-security-education-in-the-european-union" TargetMode="External"/><Relationship Id="rId30" Type="http://schemas.openxmlformats.org/officeDocument/2006/relationships/hyperlink" Target="https://www.linkedin.com/business/learning/blog/top-skills-and-courses/most-in-demand-skills" TargetMode="External"/><Relationship Id="rId35" Type="http://schemas.openxmlformats.org/officeDocument/2006/relationships/hyperlink" Target="https://rewireproject.eu/" TargetMode="External"/><Relationship Id="rId43" Type="http://schemas.openxmlformats.org/officeDocument/2006/relationships/hyperlink" Target="https://www.cyberskills.eu/" TargetMode="External"/><Relationship Id="rId48" Type="http://schemas.openxmlformats.org/officeDocument/2006/relationships/hyperlink" Target="https://www.digitaleurope.org/policies/digital-skills/" TargetMode="External"/><Relationship Id="rId56" Type="http://schemas.openxmlformats.org/officeDocument/2006/relationships/hyperlink" Target="https://www.cedefop.europa.eu/en/tools/skills-online-vacancies" TargetMode="External"/><Relationship Id="rId64" Type="http://schemas.openxmlformats.org/officeDocument/2006/relationships/hyperlink" Target="https://cybersecurity-centre.europa.eu/news/european-cybersecurity-competence-centre-and-network-new-eu-funded-project-support-cyber-community-2022-12-20_en" TargetMode="External"/><Relationship Id="rId69" Type="http://schemas.openxmlformats.org/officeDocument/2006/relationships/hyperlink" Target="https://esco.ec.europa.eu/en/about-esco/escopedia/escopedia/european-e-competence-framework-e-cf" TargetMode="External"/><Relationship Id="rId77" Type="http://schemas.openxmlformats.org/officeDocument/2006/relationships/hyperlink" Target="https://esco.ec.europa.eu/sl" TargetMode="External"/><Relationship Id="rId100" Type="http://schemas.openxmlformats.org/officeDocument/2006/relationships/hyperlink" Target="https://icds.ee/wp-content/uploads/2021/02/ICDS_Report_Cyber_Conscription_Hurt_Somer_February_2021.pdf" TargetMode="External"/><Relationship Id="rId105" Type="http://schemas.openxmlformats.org/officeDocument/2006/relationships/hyperlink" Target="https://education.ec.europa.eu/sl/focus-topics/digital-education/action-plan" TargetMode="External"/><Relationship Id="rId113" Type="http://schemas.openxmlformats.org/officeDocument/2006/relationships/hyperlink" Target="https://eur-lex.europa.eu/eli/dec/2022/2481/oj?locale=sl" TargetMode="External"/><Relationship Id="rId8" Type="http://schemas.openxmlformats.org/officeDocument/2006/relationships/hyperlink" Target="https://cert.europa.eu/blog/1yua-cyberops" TargetMode="External"/><Relationship Id="rId51" Type="http://schemas.openxmlformats.org/officeDocument/2006/relationships/hyperlink" Target="https://campuscyber.fr/" TargetMode="External"/><Relationship Id="rId72" Type="http://schemas.openxmlformats.org/officeDocument/2006/relationships/hyperlink" Target="https://www.cedefop.europa.eu/en/tools/skills-online-vacancies" TargetMode="External"/><Relationship Id="rId80" Type="http://schemas.openxmlformats.org/officeDocument/2006/relationships/hyperlink" Target="https://ec.europa.eu/info/funding-tenders/opportunities/portal/screen/how-to-participate/org-details/999999999/project/101083594/program/43152860/details" TargetMode="External"/><Relationship Id="rId85" Type="http://schemas.openxmlformats.org/officeDocument/2006/relationships/hyperlink" Target="https://eur-lex.europa.eu/legal-content/sl/TXT/?uri=CELEX%3A32022H0627%2803%29" TargetMode="External"/><Relationship Id="rId93" Type="http://schemas.openxmlformats.org/officeDocument/2006/relationships/hyperlink" Target="https://eur-lex.europa.eu/legal-content/SL/TXT/?uri=CELEX:32017H0615(01)" TargetMode="External"/><Relationship Id="rId98" Type="http://schemas.openxmlformats.org/officeDocument/2006/relationships/hyperlink" Target="https://digital-strategy.ec.europa.eu/en/news/eu-countries-commit-boost-participation-women-digital" TargetMode="External"/><Relationship Id="rId3" Type="http://schemas.openxmlformats.org/officeDocument/2006/relationships/hyperlink" Target="https://www.cybereason.com/ransomware-the-true-cost-to-business-2022" TargetMode="External"/><Relationship Id="rId12" Type="http://schemas.openxmlformats.org/officeDocument/2006/relationships/hyperlink" Target="https://eur-lex.europa.eu/legal-content/SL/ALL/?uri=JOIN:2020:18:FIN" TargetMode="External"/><Relationship Id="rId17" Type="http://schemas.openxmlformats.org/officeDocument/2006/relationships/hyperlink" Target="https://www.youtube.com/watch?v=wP32kU7PEXU" TargetMode="External"/><Relationship Id="rId25" Type="http://schemas.openxmlformats.org/officeDocument/2006/relationships/hyperlink" Target="https://eur-lex.europa.eu/eli/dec/2022/2481/oj?locale=sl" TargetMode="External"/><Relationship Id="rId33" Type="http://schemas.openxmlformats.org/officeDocument/2006/relationships/hyperlink" Target="https://www.cedefop.europa.eu/en/tools/skills-online-vacancies" TargetMode="External"/><Relationship Id="rId38" Type="http://schemas.openxmlformats.org/officeDocument/2006/relationships/hyperlink" Target="https://cybersec4europe.eu/" TargetMode="External"/><Relationship Id="rId46" Type="http://schemas.openxmlformats.org/officeDocument/2006/relationships/hyperlink" Target="https://eur-lex.europa.eu/legal-content/SL/TXT/?uri=celex%3A32021R0887" TargetMode="External"/><Relationship Id="rId59" Type="http://schemas.openxmlformats.org/officeDocument/2006/relationships/hyperlink" Target="https://eur-lex.europa.eu/legal-content/sl/TXT/HTML/?uri=CELEX:52022JC0049" TargetMode="External"/><Relationship Id="rId67" Type="http://schemas.openxmlformats.org/officeDocument/2006/relationships/hyperlink" Target="https://www.enisa.europa.eu/topics/education/european-cybersecurity-skills-framework" TargetMode="External"/><Relationship Id="rId103" Type="http://schemas.openxmlformats.org/officeDocument/2006/relationships/hyperlink" Target="https://ec.europa.eu/social/main.jsp?catId=1223&amp;langId=sl" TargetMode="External"/><Relationship Id="rId108" Type="http://schemas.openxmlformats.org/officeDocument/2006/relationships/hyperlink" Target="https://www.pesco.europa.eu/project/cyber-ranges-federations-crf/" TargetMode="External"/><Relationship Id="rId20" Type="http://schemas.openxmlformats.org/officeDocument/2006/relationships/hyperlink" Target="https://www.enisa.europa.eu/topics/education/cyberhead" TargetMode="External"/><Relationship Id="rId41" Type="http://schemas.openxmlformats.org/officeDocument/2006/relationships/hyperlink" Target="https://www.enisa.europa.eu/news/developing-a-strong-cybersecurity-workforce-introducing-the-european-cybersecurity-skills-framework" TargetMode="External"/><Relationship Id="rId54" Type="http://schemas.openxmlformats.org/officeDocument/2006/relationships/hyperlink" Target="https://blogs.microsoft.com/eupolicy/2022/03/23/the-urgency-of-tackling-europes-cybersecurity-skills-shortage/" TargetMode="External"/><Relationship Id="rId62" Type="http://schemas.openxmlformats.org/officeDocument/2006/relationships/hyperlink" Target="https://digital-skills-jobs.europa.eu/en" TargetMode="External"/><Relationship Id="rId70" Type="http://schemas.openxmlformats.org/officeDocument/2006/relationships/hyperlink" Target="https://joint-research-centre.ec.europa.eu/digcomp_en" TargetMode="External"/><Relationship Id="rId75" Type="http://schemas.openxmlformats.org/officeDocument/2006/relationships/hyperlink" Target="https://www.cepol.europa.eu/training-education/training-needs-analysis/training-needs-analyses" TargetMode="External"/><Relationship Id="rId83" Type="http://schemas.openxmlformats.org/officeDocument/2006/relationships/hyperlink" Target="https://erasmus-plus.ec.europa.eu/sl/programme-guide/part-b/key-action-2/centres-vocational-excellence" TargetMode="External"/><Relationship Id="rId88" Type="http://schemas.openxmlformats.org/officeDocument/2006/relationships/hyperlink" Target="https://eur-lex.europa.eu/legal-content/EN/TXT/?uri=CELEX:32020D1515" TargetMode="External"/><Relationship Id="rId91" Type="http://schemas.openxmlformats.org/officeDocument/2006/relationships/hyperlink" Target="https://eur-lex.europa.eu/eli/reg/2019/881/oj" TargetMode="External"/><Relationship Id="rId96" Type="http://schemas.openxmlformats.org/officeDocument/2006/relationships/hyperlink" Target="https://digital-strategy.ec.europa.eu/en/news/new-european-partnerships-launched-deliver-eus-ambitions-digital-decade" TargetMode="External"/><Relationship Id="rId111" Type="http://schemas.openxmlformats.org/officeDocument/2006/relationships/hyperlink" Target="https://digital-strategy.ec.europa.eu/en/policies/desi" TargetMode="External"/><Relationship Id="rId1" Type="http://schemas.openxmlformats.org/officeDocument/2006/relationships/hyperlink" Target="https://www.enisa.europa.eu/publications/enisa-threat-landscape-2022" TargetMode="External"/><Relationship Id="rId6" Type="http://schemas.openxmlformats.org/officeDocument/2006/relationships/hyperlink" Target="https://www.cert.ssi.gouv.fr/uploads/CERTFR-2023-CTI-001.pdf" TargetMode="External"/><Relationship Id="rId15" Type="http://schemas.openxmlformats.org/officeDocument/2006/relationships/hyperlink" Target="https://eur-lex.europa.eu/legal-content/sl/TXT/HTML/?uri=CELEX:52022JC0049" TargetMode="External"/><Relationship Id="rId23" Type="http://schemas.openxmlformats.org/officeDocument/2006/relationships/hyperlink" Target="https://digital-strategy.ec.europa.eu/en/library/digital-economy-and-society-index-desi-2022" TargetMode="External"/><Relationship Id="rId28" Type="http://schemas.openxmlformats.org/officeDocument/2006/relationships/hyperlink" Target="https://single-market-economy.ec.europa.eu/smes/sme-definition_en" TargetMode="External"/><Relationship Id="rId36" Type="http://schemas.openxmlformats.org/officeDocument/2006/relationships/hyperlink" Target="https://cordis.europa.eu/project/rcn/221273/factsheet/en" TargetMode="External"/><Relationship Id="rId49" Type="http://schemas.openxmlformats.org/officeDocument/2006/relationships/hyperlink" Target="https://www.sans.org/cyber-security-skills-roadmap/" TargetMode="External"/><Relationship Id="rId57" Type="http://schemas.openxmlformats.org/officeDocument/2006/relationships/hyperlink" Target="https://www.cedefop.europa.eu/en/tools/skills-online-vacancies" TargetMode="External"/><Relationship Id="rId106" Type="http://schemas.openxmlformats.org/officeDocument/2006/relationships/hyperlink" Target="https://eur-lex.europa.eu/eli/reg/2021/697/oj" TargetMode="External"/><Relationship Id="rId10" Type="http://schemas.openxmlformats.org/officeDocument/2006/relationships/hyperlink" Target="https://www.consilium.europa.eu/sl/press/press-releases/2022/05/10/russian-cyber-operations-against-ukraine-declaration-by-the-high-representative-on-behalf-of-the-european-union/" TargetMode="External"/><Relationship Id="rId31" Type="http://schemas.openxmlformats.org/officeDocument/2006/relationships/hyperlink" Target="https://www.linkedin.com/business/learning/blog/top-skills-and-courses/most-in-demand-skills" TargetMode="External"/><Relationship Id="rId44" Type="http://schemas.openxmlformats.org/officeDocument/2006/relationships/hyperlink" Target="https://ecsc.eu/about" TargetMode="External"/><Relationship Id="rId52" Type="http://schemas.openxmlformats.org/officeDocument/2006/relationships/hyperlink" Target="https://www.l3ce.eu/en/about-l3ce/" TargetMode="External"/><Relationship Id="rId60" Type="http://schemas.openxmlformats.org/officeDocument/2006/relationships/hyperlink" Target="https://eur-lex.europa.eu/eli/reg/2021/694" TargetMode="External"/><Relationship Id="rId65" Type="http://schemas.openxmlformats.org/officeDocument/2006/relationships/hyperlink" Target="https://cybersecurity-centre.europa.eu/news/european-cybersecurity-competence-centre-and-network-new-eu-funded-project-support-cyber-community-2022-12-20_en" TargetMode="External"/><Relationship Id="rId73" Type="http://schemas.openxmlformats.org/officeDocument/2006/relationships/hyperlink" Target="https://rewireproject.eu/wp-content/uploads/2022/04/R2.2.2-Cybersecurity-Skills-Needs-Analysis_FINAL_v1.1.pdf" TargetMode="External"/><Relationship Id="rId78" Type="http://schemas.openxmlformats.org/officeDocument/2006/relationships/hyperlink" Target="https://europa.eu/europass/sl" TargetMode="External"/><Relationship Id="rId81" Type="http://schemas.openxmlformats.org/officeDocument/2006/relationships/hyperlink" Target="https://education.ec.europa.eu/sl/education-levels/higher-education/european-universities-initiative" TargetMode="External"/><Relationship Id="rId86" Type="http://schemas.openxmlformats.org/officeDocument/2006/relationships/hyperlink" Target="https://www.enisa.europa.eu/topics/training-and-exercises/trainings-for-cybersecurity-specialists/training-courses" TargetMode="External"/><Relationship Id="rId94" Type="http://schemas.openxmlformats.org/officeDocument/2006/relationships/hyperlink" Target="https://eur-lex.europa.eu/legal-content/SL/TXT/?uri=COM%3A2021%3A281%3AFIN" TargetMode="External"/><Relationship Id="rId99" Type="http://schemas.openxmlformats.org/officeDocument/2006/relationships/hyperlink" Target="https://eur-lex.europa.eu/legal-content/SL/TXT/?uri=CELEX%3A32021R1057" TargetMode="External"/><Relationship Id="rId101" Type="http://schemas.openxmlformats.org/officeDocument/2006/relationships/hyperlink" Target="https://icds.ee/wp-content/uploads/2021/02/ICDS_Report_Cyber_Conscription_Hurt_Somer_February_2021.pdf" TargetMode="External"/><Relationship Id="rId4" Type="http://schemas.openxmlformats.org/officeDocument/2006/relationships/hyperlink" Target="https://www.enisa.europa.eu/publications/sustained-activity-by-specific-threat-actors-joint-publication" TargetMode="External"/><Relationship Id="rId9" Type="http://schemas.openxmlformats.org/officeDocument/2006/relationships/hyperlink" Target="https://www.consilium.europa.eu/sl/press/press-releases/2022/05/10/russian-cyber-operations-against-ukraine-declaration-by-the-high-representative-on-behalf-of-the-european-union/" TargetMode="External"/><Relationship Id="rId13" Type="http://schemas.openxmlformats.org/officeDocument/2006/relationships/hyperlink" Target="file:///C:/Users/diehlan/Downloads/EUR-Lex%20-%2032022L2555%20-%20EN%20-%20EUR-Lex%20(europa.eu)" TargetMode="External"/><Relationship Id="rId18" Type="http://schemas.openxmlformats.org/officeDocument/2006/relationships/hyperlink" Target="https://eur-lex.europa.eu/legal-content/sl/TXT/HTML/?uri=CELEX:52022JC0049" TargetMode="External"/><Relationship Id="rId39" Type="http://schemas.openxmlformats.org/officeDocument/2006/relationships/hyperlink" Target="https://www.sparta.eu/" TargetMode="External"/><Relationship Id="rId109" Type="http://schemas.openxmlformats.org/officeDocument/2006/relationships/hyperlink" Target="https://ec.europa.eu/investeuportal/desktop/sl/index.html" TargetMode="External"/><Relationship Id="rId34" Type="http://schemas.openxmlformats.org/officeDocument/2006/relationships/hyperlink" Target="https://www3.weforum.org/docs/WEF_Future_of_Jobs_2020.pdf" TargetMode="External"/><Relationship Id="rId50" Type="http://schemas.openxmlformats.org/officeDocument/2006/relationships/hyperlink" Target="https://www.cncs.gov.pt/en/c-academy/" TargetMode="External"/><Relationship Id="rId55" Type="http://schemas.openxmlformats.org/officeDocument/2006/relationships/hyperlink" Target="https://ec.europa.eu/eurostat/statistics-explained/index.php?title=ICT_specialists_in_employment" TargetMode="External"/><Relationship Id="rId76" Type="http://schemas.openxmlformats.org/officeDocument/2006/relationships/hyperlink" Target="https://eur-lex.europa.eu/legal-content/sl/TXT/HTML/?uri=CELEX:52022JC0049" TargetMode="External"/><Relationship Id="rId97" Type="http://schemas.openxmlformats.org/officeDocument/2006/relationships/hyperlink" Target="https://digital-strategy.ec.europa.eu/en/news/eu-countries-commit-boost-participation-women-digital" TargetMode="External"/><Relationship Id="rId104" Type="http://schemas.openxmlformats.org/officeDocument/2006/relationships/hyperlink" Target="https://ec.europa.eu/social/main.jsp?catId=1530&amp;langId=sl" TargetMode="External"/><Relationship Id="rId7" Type="http://schemas.openxmlformats.org/officeDocument/2006/relationships/hyperlink" Target="https://cert.europa.eu/blog/1yua-cyberops" TargetMode="External"/><Relationship Id="rId71" Type="http://schemas.openxmlformats.org/officeDocument/2006/relationships/hyperlink" Target="https://www.enisa.europa.eu/publications/european-cybersecurity-skills-framework-ecsf" TargetMode="External"/><Relationship Id="rId92" Type="http://schemas.openxmlformats.org/officeDocument/2006/relationships/hyperlink" Target="https://data.consilium.europa.eu/doc/document/ST-9237-2022-INIT/s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9233-04DC-4D31-90AB-7318E5F0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5704</Words>
  <Characters>35708</Characters>
  <Application>Microsoft Office Word</Application>
  <DocSecurity>0</DocSecurity>
  <Lines>541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2023-05-12T09:51:00Z</dcterms:created>
  <dcterms:modified xsi:type="dcterms:W3CDTF">2023-05-17T14:20:00Z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2023-04-03T17:06:36Z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2ad8666f-ae33-4219-9951-e50cfd8d4c1d</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