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4D2B" w14:textId="2FA341E1" w:rsidR="00CA0B25" w:rsidRDefault="00DB31DA" w:rsidP="00DB31DA">
      <w:pPr>
        <w:pStyle w:val="Pagedecouverture"/>
        <w:rPr>
          <w:noProof/>
        </w:rPr>
      </w:pPr>
      <w:r>
        <w:rPr>
          <w:noProof/>
        </w:rPr>
        <w:pict w14:anchorId="446C7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76ECAAF1-101E-415B-BA68-F101DD3C2089" style="width:455.25pt;height:355.5pt">
            <v:imagedata r:id="rId11" o:title=""/>
          </v:shape>
        </w:pict>
      </w:r>
    </w:p>
    <w:p w14:paraId="59A44E59" w14:textId="77777777" w:rsidR="007A35D4" w:rsidRDefault="007A35D4" w:rsidP="007A35D4">
      <w:pPr>
        <w:rPr>
          <w:noProof/>
        </w:rPr>
        <w:sectPr w:rsidR="007A35D4" w:rsidSect="00DB31DA">
          <w:footerReference w:type="default" r:id="rId12"/>
          <w:pgSz w:w="11907" w:h="16839"/>
          <w:pgMar w:top="1134" w:right="1417" w:bottom="1134" w:left="1417" w:header="709" w:footer="709" w:gutter="0"/>
          <w:pgNumType w:start="0"/>
          <w:cols w:space="720"/>
          <w:docGrid w:linePitch="360"/>
        </w:sectPr>
      </w:pPr>
    </w:p>
    <w:p w14:paraId="0F5EA379" w14:textId="7F7ACDCB" w:rsidR="007A35D4" w:rsidRDefault="00C87318" w:rsidP="00C87318">
      <w:pPr>
        <w:pStyle w:val="Statut"/>
        <w:rPr>
          <w:noProof/>
        </w:rPr>
      </w:pPr>
      <w:bookmarkStart w:id="0" w:name="_GoBack"/>
      <w:bookmarkEnd w:id="0"/>
      <w:r w:rsidRPr="00C87318">
        <w:rPr>
          <w:noProof/>
        </w:rPr>
        <w:lastRenderedPageBreak/>
        <w:t>Recommendation for a</w:t>
      </w:r>
    </w:p>
    <w:p w14:paraId="3CB20517" w14:textId="1C4FB926" w:rsidR="00CA0B25" w:rsidRDefault="00C87318" w:rsidP="00C87318">
      <w:pPr>
        <w:pStyle w:val="Typedudocument"/>
        <w:rPr>
          <w:noProof/>
        </w:rPr>
      </w:pPr>
      <w:r w:rsidRPr="00C87318">
        <w:rPr>
          <w:noProof/>
        </w:rPr>
        <w:t>COUNCIL RECOMMENDATION</w:t>
      </w:r>
    </w:p>
    <w:p w14:paraId="147A1CAC" w14:textId="308E0A82" w:rsidR="007A35D4" w:rsidRDefault="00C87318" w:rsidP="00C87318">
      <w:pPr>
        <w:pStyle w:val="Titreobjet"/>
        <w:rPr>
          <w:noProof/>
          <w:lang w:val="en-IE"/>
        </w:rPr>
      </w:pPr>
      <w:r w:rsidRPr="00C87318">
        <w:rPr>
          <w:noProof/>
        </w:rPr>
        <w:t>on the 2023 National Reform Programme of Greece and delivering a Council opinion on the 2023 Stability Programme of Greece</w:t>
      </w:r>
    </w:p>
    <w:p w14:paraId="2BAAB9BE" w14:textId="77777777" w:rsidR="00CA0B25" w:rsidRDefault="00CA0B25" w:rsidP="005131C7">
      <w:pPr>
        <w:pStyle w:val="Institutionquiagit"/>
        <w:rPr>
          <w:noProof/>
        </w:rPr>
      </w:pPr>
      <w:r w:rsidRPr="00B01351">
        <w:rPr>
          <w:noProof/>
        </w:rPr>
        <w:t>THE COUNCIL OF THE EUROPEAN UNION,</w:t>
      </w:r>
    </w:p>
    <w:p w14:paraId="4FA47DE5" w14:textId="77777777" w:rsidR="00373387" w:rsidRPr="007A6CA4" w:rsidRDefault="00373387" w:rsidP="00373387">
      <w:pPr>
        <w:rPr>
          <w:noProof/>
          <w:lang w:val="en-IE"/>
        </w:rPr>
      </w:pPr>
      <w:r w:rsidRPr="007A6CA4">
        <w:rPr>
          <w:noProof/>
          <w:lang w:val="en-IE"/>
        </w:rPr>
        <w:t>Having regard to the Treaty on the Functioning of the European Union, and in particular Articles 121(2) and 148(4) thereof,</w:t>
      </w:r>
    </w:p>
    <w:p w14:paraId="747EAC28" w14:textId="77777777" w:rsidR="00373387" w:rsidRPr="007A6CA4" w:rsidRDefault="00373387" w:rsidP="00373387">
      <w:pPr>
        <w:rPr>
          <w:noProof/>
          <w:lang w:val="en-IE"/>
        </w:rPr>
      </w:pPr>
      <w:r w:rsidRPr="007A6CA4">
        <w:rPr>
          <w:noProof/>
          <w:lang w:val="en-IE"/>
        </w:rPr>
        <w:t xml:space="preserve">Having regard to Council Regulation (EC) </w:t>
      </w:r>
      <w:r w:rsidR="0058661E">
        <w:rPr>
          <w:noProof/>
          <w:lang w:val="en-IE"/>
        </w:rPr>
        <w:t>No</w:t>
      </w:r>
      <w:r w:rsidR="0058661E" w:rsidRPr="007A6CA4">
        <w:rPr>
          <w:noProof/>
          <w:lang w:val="en-IE"/>
        </w:rPr>
        <w:t xml:space="preserve"> </w:t>
      </w:r>
      <w:r w:rsidRPr="007A6CA4">
        <w:rPr>
          <w:noProof/>
          <w:lang w:val="en-IE"/>
        </w:rPr>
        <w:t>1466/97 of 7 July 1997 on the strengthening of the surveillance of budgetary positions and the surveillance and coordination of economic policies</w:t>
      </w:r>
      <w:r w:rsidRPr="00495DEB">
        <w:rPr>
          <w:rStyle w:val="FootnoteReference"/>
          <w:noProof/>
        </w:rPr>
        <w:footnoteReference w:id="2"/>
      </w:r>
      <w:r w:rsidRPr="007A6CA4">
        <w:rPr>
          <w:noProof/>
          <w:lang w:val="en-IE"/>
        </w:rPr>
        <w:t>, and in particular</w:t>
      </w:r>
      <w:r w:rsidR="004D53F5">
        <w:rPr>
          <w:noProof/>
          <w:lang w:val="en-IE"/>
        </w:rPr>
        <w:t xml:space="preserve"> </w:t>
      </w:r>
      <w:r w:rsidR="004D53F5" w:rsidRPr="0049593D">
        <w:rPr>
          <w:noProof/>
          <w:lang w:val="en-IE"/>
        </w:rPr>
        <w:t>Article 5(2</w:t>
      </w:r>
      <w:r w:rsidR="004D53F5" w:rsidRPr="00BD1490">
        <w:rPr>
          <w:noProof/>
          <w:lang w:val="en-IE"/>
        </w:rPr>
        <w:t>)</w:t>
      </w:r>
      <w:r w:rsidR="004D53F5">
        <w:rPr>
          <w:noProof/>
        </w:rPr>
        <w:t xml:space="preserve"> </w:t>
      </w:r>
      <w:r w:rsidR="004D53F5" w:rsidRPr="007A6CA4">
        <w:rPr>
          <w:noProof/>
          <w:lang w:val="en-IE"/>
        </w:rPr>
        <w:t>thereof</w:t>
      </w:r>
      <w:r w:rsidRPr="007A6CA4">
        <w:rPr>
          <w:noProof/>
          <w:lang w:val="en-IE"/>
        </w:rPr>
        <w:t>,</w:t>
      </w:r>
    </w:p>
    <w:p w14:paraId="3A9F5EF0" w14:textId="77777777" w:rsidR="00373387" w:rsidRPr="007A6CA4" w:rsidRDefault="00373387" w:rsidP="00373387">
      <w:pPr>
        <w:rPr>
          <w:noProof/>
          <w:lang w:val="en-IE"/>
        </w:rPr>
      </w:pPr>
      <w:r w:rsidRPr="007A6CA4">
        <w:rPr>
          <w:noProof/>
          <w:lang w:val="en-IE"/>
        </w:rPr>
        <w:t xml:space="preserve">Having regard to Regulation (EU) </w:t>
      </w:r>
      <w:r w:rsidR="0058661E">
        <w:rPr>
          <w:noProof/>
          <w:lang w:val="en-IE"/>
        </w:rPr>
        <w:t>No</w:t>
      </w:r>
      <w:r w:rsidR="0058661E" w:rsidRPr="007A6CA4">
        <w:rPr>
          <w:noProof/>
          <w:lang w:val="en-IE"/>
        </w:rPr>
        <w:t xml:space="preserve"> </w:t>
      </w:r>
      <w:r w:rsidRPr="007A6CA4">
        <w:rPr>
          <w:noProof/>
          <w:lang w:val="en-IE"/>
        </w:rPr>
        <w:t>1176/2011 of the European Parliament and of the Council of 16 November 2011 on the prevention and correction of macroeconomic imbalances</w:t>
      </w:r>
      <w:r w:rsidRPr="00495DEB">
        <w:rPr>
          <w:rStyle w:val="FootnoteReference"/>
          <w:noProof/>
        </w:rPr>
        <w:footnoteReference w:id="3"/>
      </w:r>
      <w:r w:rsidRPr="007A6CA4">
        <w:rPr>
          <w:noProof/>
          <w:lang w:val="en-IE"/>
        </w:rPr>
        <w:t xml:space="preserve">, </w:t>
      </w:r>
      <w:r w:rsidR="76939285" w:rsidRPr="007A6CA4">
        <w:rPr>
          <w:noProof/>
          <w:lang w:val="en-IE"/>
        </w:rPr>
        <w:t xml:space="preserve">and in particular </w:t>
      </w:r>
      <w:r w:rsidR="42A1436A" w:rsidRPr="00F73182">
        <w:rPr>
          <w:noProof/>
          <w:lang w:val="en-IE"/>
        </w:rPr>
        <w:t>Article 6(1) thereof,</w:t>
      </w:r>
    </w:p>
    <w:p w14:paraId="0F09DFF4" w14:textId="77777777" w:rsidR="00373387" w:rsidRPr="007A6CA4" w:rsidRDefault="00373387" w:rsidP="00373387">
      <w:pPr>
        <w:rPr>
          <w:noProof/>
          <w:lang w:val="en-IE"/>
        </w:rPr>
      </w:pPr>
      <w:r w:rsidRPr="007A6CA4">
        <w:rPr>
          <w:noProof/>
          <w:lang w:val="en-IE"/>
        </w:rPr>
        <w:t>Having regard to the recommendation of the European Commission,</w:t>
      </w:r>
    </w:p>
    <w:p w14:paraId="08E1410D" w14:textId="77777777" w:rsidR="00373387" w:rsidRPr="007A6CA4" w:rsidRDefault="00373387" w:rsidP="00373387">
      <w:pPr>
        <w:rPr>
          <w:noProof/>
          <w:lang w:val="en-IE"/>
        </w:rPr>
      </w:pPr>
      <w:r w:rsidRPr="007A6CA4">
        <w:rPr>
          <w:noProof/>
          <w:lang w:val="en-IE"/>
        </w:rPr>
        <w:t>Having regard to the resolutions of the European Parliament,</w:t>
      </w:r>
    </w:p>
    <w:p w14:paraId="4489460C" w14:textId="77777777" w:rsidR="00373387" w:rsidRPr="007A6CA4" w:rsidRDefault="00373387" w:rsidP="00373387">
      <w:pPr>
        <w:outlineLvl w:val="0"/>
        <w:rPr>
          <w:noProof/>
          <w:lang w:val="en-IE"/>
        </w:rPr>
      </w:pPr>
      <w:r w:rsidRPr="007A6CA4">
        <w:rPr>
          <w:noProof/>
          <w:lang w:val="en-IE"/>
        </w:rPr>
        <w:t>Having regard to the conclusions of the European Council,</w:t>
      </w:r>
    </w:p>
    <w:p w14:paraId="61510848" w14:textId="77777777" w:rsidR="00373387" w:rsidRPr="007A6CA4" w:rsidRDefault="00373387" w:rsidP="00373387">
      <w:pPr>
        <w:rPr>
          <w:noProof/>
          <w:lang w:val="en-IE"/>
        </w:rPr>
      </w:pPr>
      <w:r w:rsidRPr="007A6CA4">
        <w:rPr>
          <w:noProof/>
          <w:lang w:val="en-IE"/>
        </w:rPr>
        <w:t>Having regard to the opinion of the Employment Committee,</w:t>
      </w:r>
    </w:p>
    <w:p w14:paraId="7CB7AEC2" w14:textId="77777777" w:rsidR="00373387" w:rsidRPr="007A6CA4" w:rsidRDefault="00373387" w:rsidP="00373387">
      <w:pPr>
        <w:rPr>
          <w:noProof/>
          <w:lang w:val="en-IE"/>
        </w:rPr>
      </w:pPr>
      <w:r w:rsidRPr="007A6CA4">
        <w:rPr>
          <w:noProof/>
          <w:lang w:val="en-IE"/>
        </w:rPr>
        <w:t>Having regard to the opinion of the Economic and Financial Committee,</w:t>
      </w:r>
    </w:p>
    <w:p w14:paraId="2DB84B4E" w14:textId="77777777" w:rsidR="00373387" w:rsidRPr="007A6CA4" w:rsidRDefault="00373387" w:rsidP="00373387">
      <w:pPr>
        <w:rPr>
          <w:noProof/>
          <w:lang w:val="en-IE"/>
        </w:rPr>
      </w:pPr>
      <w:r w:rsidRPr="007A6CA4">
        <w:rPr>
          <w:noProof/>
          <w:lang w:val="en-IE"/>
        </w:rPr>
        <w:t>Having regard to the opinion of the Social Protection Committee,</w:t>
      </w:r>
    </w:p>
    <w:p w14:paraId="122DA882" w14:textId="77777777" w:rsidR="00006579" w:rsidRPr="001F326C" w:rsidRDefault="00373387" w:rsidP="00373387">
      <w:pPr>
        <w:rPr>
          <w:noProof/>
          <w:lang w:val="en-IE"/>
        </w:rPr>
      </w:pPr>
      <w:r w:rsidRPr="007A6CA4">
        <w:rPr>
          <w:noProof/>
          <w:lang w:val="en-IE"/>
        </w:rPr>
        <w:t>Having regard to the opinion of the Economic Policy Committee,</w:t>
      </w:r>
    </w:p>
    <w:p w14:paraId="7CA64D67" w14:textId="77777777" w:rsidR="00793D7F" w:rsidRPr="007A6CA4" w:rsidRDefault="00793D7F" w:rsidP="00793D7F">
      <w:pPr>
        <w:rPr>
          <w:noProof/>
          <w:lang w:val="en-IE"/>
        </w:rPr>
      </w:pPr>
      <w:r w:rsidRPr="007A6CA4">
        <w:rPr>
          <w:noProof/>
          <w:lang w:val="en-IE"/>
        </w:rPr>
        <w:t>Whereas:</w:t>
      </w:r>
    </w:p>
    <w:p w14:paraId="12F461E1" w14:textId="343DCD3E" w:rsidR="00373387" w:rsidRDefault="00AB4D48" w:rsidP="00AB4D48">
      <w:pPr>
        <w:pStyle w:val="ManualConsidrant"/>
        <w:rPr>
          <w:noProof/>
          <w:lang w:val="en-IE"/>
        </w:rPr>
      </w:pPr>
      <w:r w:rsidRPr="00AB4D48">
        <w:t>(1)</w:t>
      </w:r>
      <w:r w:rsidRPr="00AB4D48">
        <w:tab/>
      </w:r>
      <w:r w:rsidR="00373387" w:rsidRPr="00416640">
        <w:rPr>
          <w:noProof/>
          <w:lang w:val="en-IE"/>
        </w:rPr>
        <w:t>Regulation (EU) 2021/241 of the European</w:t>
      </w:r>
      <w:r w:rsidR="00373387">
        <w:rPr>
          <w:noProof/>
          <w:lang w:val="en-IE"/>
        </w:rPr>
        <w:t xml:space="preserve"> Parliament and of the Council</w:t>
      </w:r>
      <w:r w:rsidR="00373387" w:rsidRPr="23E6F91E">
        <w:rPr>
          <w:rStyle w:val="FootnoteReference"/>
          <w:noProof/>
          <w:lang w:val="en-IE"/>
        </w:rPr>
        <w:footnoteReference w:id="4"/>
      </w:r>
      <w:r w:rsidR="00373387">
        <w:rPr>
          <w:noProof/>
          <w:lang w:val="en-IE"/>
        </w:rPr>
        <w:t xml:space="preserve">, </w:t>
      </w:r>
      <w:r w:rsidR="00373387" w:rsidRPr="00416640">
        <w:rPr>
          <w:noProof/>
          <w:lang w:val="en-IE"/>
        </w:rPr>
        <w:t>which established the Recovery and Resilience Facility, entered into force on 19 February 2021. The Recovery and Resilience Facility provide</w:t>
      </w:r>
      <w:r w:rsidR="00373387">
        <w:rPr>
          <w:noProof/>
          <w:lang w:val="en-IE"/>
        </w:rPr>
        <w:t>s</w:t>
      </w:r>
      <w:r w:rsidR="00373387" w:rsidRPr="00416640">
        <w:rPr>
          <w:noProof/>
          <w:lang w:val="en-IE"/>
        </w:rPr>
        <w:t xml:space="preserve"> financial support </w:t>
      </w:r>
      <w:r w:rsidR="2C899BC7" w:rsidRPr="00416640">
        <w:rPr>
          <w:noProof/>
          <w:lang w:val="en-IE"/>
        </w:rPr>
        <w:t xml:space="preserve">to the Member States </w:t>
      </w:r>
      <w:r w:rsidR="00373387" w:rsidRPr="00416640">
        <w:rPr>
          <w:noProof/>
          <w:lang w:val="en-IE"/>
        </w:rPr>
        <w:t>for the implementation of reforms and investment</w:t>
      </w:r>
      <w:r w:rsidR="00227DC7">
        <w:rPr>
          <w:noProof/>
          <w:lang w:val="en-IE"/>
        </w:rPr>
        <w:t>s</w:t>
      </w:r>
      <w:r w:rsidR="00373387" w:rsidRPr="00416640">
        <w:rPr>
          <w:noProof/>
          <w:lang w:val="en-IE"/>
        </w:rPr>
        <w:t xml:space="preserve">, entailing a fiscal impulse financed by the </w:t>
      </w:r>
      <w:r w:rsidR="00227DC7">
        <w:rPr>
          <w:noProof/>
          <w:lang w:val="en-IE"/>
        </w:rPr>
        <w:t>EU</w:t>
      </w:r>
      <w:r w:rsidR="00373387" w:rsidRPr="00416640">
        <w:rPr>
          <w:noProof/>
          <w:lang w:val="en-IE"/>
        </w:rPr>
        <w:t>.</w:t>
      </w:r>
      <w:r w:rsidR="00A1101A">
        <w:rPr>
          <w:noProof/>
          <w:lang w:val="en-IE"/>
        </w:rPr>
        <w:t xml:space="preserve"> In </w:t>
      </w:r>
      <w:r w:rsidR="7BC64BDC" w:rsidRPr="3FB3A143">
        <w:rPr>
          <w:noProof/>
          <w:lang w:val="en-IE"/>
        </w:rPr>
        <w:t>line with the European Semester priorities, i</w:t>
      </w:r>
      <w:r w:rsidR="00373387" w:rsidRPr="00416640">
        <w:rPr>
          <w:noProof/>
          <w:lang w:val="en-IE"/>
        </w:rPr>
        <w:t>t contribute</w:t>
      </w:r>
      <w:r w:rsidR="00373387">
        <w:rPr>
          <w:noProof/>
          <w:lang w:val="en-IE"/>
        </w:rPr>
        <w:t>s</w:t>
      </w:r>
      <w:r w:rsidR="00373387" w:rsidRPr="00416640">
        <w:rPr>
          <w:noProof/>
          <w:lang w:val="en-IE"/>
        </w:rPr>
        <w:t xml:space="preserve"> to the economic </w:t>
      </w:r>
      <w:r w:rsidR="00F917D5">
        <w:rPr>
          <w:noProof/>
          <w:lang w:val="en-IE"/>
        </w:rPr>
        <w:t xml:space="preserve">and social </w:t>
      </w:r>
      <w:r w:rsidR="00373387" w:rsidRPr="00416640">
        <w:rPr>
          <w:noProof/>
          <w:lang w:val="en-IE"/>
        </w:rPr>
        <w:t>recovery and to the implementation of sustainable reforms and investment</w:t>
      </w:r>
      <w:r w:rsidR="00532405">
        <w:rPr>
          <w:noProof/>
          <w:lang w:val="en-IE"/>
        </w:rPr>
        <w:t>s</w:t>
      </w:r>
      <w:r w:rsidR="00373387" w:rsidRPr="00416640">
        <w:rPr>
          <w:noProof/>
          <w:lang w:val="en-IE"/>
        </w:rPr>
        <w:t>, in particular to promote the green and digital transition</w:t>
      </w:r>
      <w:r w:rsidR="0045561B">
        <w:rPr>
          <w:noProof/>
          <w:lang w:val="en-IE"/>
        </w:rPr>
        <w:t xml:space="preserve"> and</w:t>
      </w:r>
      <w:r w:rsidR="00373387" w:rsidRPr="00416640">
        <w:rPr>
          <w:noProof/>
          <w:lang w:val="en-IE"/>
        </w:rPr>
        <w:t xml:space="preserve"> </w:t>
      </w:r>
      <w:r w:rsidR="00227DC7">
        <w:rPr>
          <w:noProof/>
          <w:lang w:val="en-IE"/>
        </w:rPr>
        <w:t xml:space="preserve">make </w:t>
      </w:r>
      <w:r w:rsidR="00373387" w:rsidRPr="00416640">
        <w:rPr>
          <w:noProof/>
          <w:lang w:val="en-IE"/>
        </w:rPr>
        <w:t>the Member States’ economies</w:t>
      </w:r>
      <w:r w:rsidR="00227DC7">
        <w:rPr>
          <w:noProof/>
          <w:lang w:val="en-IE"/>
        </w:rPr>
        <w:t xml:space="preserve"> more resilient</w:t>
      </w:r>
      <w:r w:rsidR="00373387" w:rsidRPr="00416640">
        <w:rPr>
          <w:noProof/>
          <w:lang w:val="en-IE"/>
        </w:rPr>
        <w:t xml:space="preserve">. It also </w:t>
      </w:r>
      <w:r w:rsidR="00373387">
        <w:rPr>
          <w:noProof/>
          <w:lang w:val="en-IE"/>
        </w:rPr>
        <w:t>helps</w:t>
      </w:r>
      <w:r w:rsidR="00373387" w:rsidRPr="00416640">
        <w:rPr>
          <w:noProof/>
          <w:lang w:val="en-IE"/>
        </w:rPr>
        <w:t xml:space="preserve"> strengthen public finances and </w:t>
      </w:r>
      <w:r w:rsidR="00373387">
        <w:rPr>
          <w:noProof/>
          <w:lang w:val="en-IE"/>
        </w:rPr>
        <w:t>boost</w:t>
      </w:r>
      <w:r w:rsidR="00373387" w:rsidRPr="00416640">
        <w:rPr>
          <w:noProof/>
          <w:lang w:val="en-IE"/>
        </w:rPr>
        <w:t xml:space="preserve"> growth and job creation in the medium and long term</w:t>
      </w:r>
      <w:r w:rsidR="00154D5D">
        <w:rPr>
          <w:noProof/>
          <w:lang w:val="en-IE"/>
        </w:rPr>
        <w:t xml:space="preserve">, </w:t>
      </w:r>
      <w:r w:rsidR="00227DC7">
        <w:rPr>
          <w:noProof/>
          <w:lang w:val="en-IE"/>
        </w:rPr>
        <w:t>improve</w:t>
      </w:r>
      <w:r w:rsidR="001B4186">
        <w:rPr>
          <w:noProof/>
          <w:lang w:val="en-IE"/>
        </w:rPr>
        <w:t xml:space="preserve"> territorial cohesion within the EU</w:t>
      </w:r>
      <w:r w:rsidR="00620E03">
        <w:rPr>
          <w:noProof/>
          <w:lang w:val="en-IE"/>
        </w:rPr>
        <w:t xml:space="preserve"> and support </w:t>
      </w:r>
      <w:r w:rsidR="00154D5D">
        <w:rPr>
          <w:noProof/>
          <w:lang w:val="en-IE"/>
        </w:rPr>
        <w:t>the continued implementation of the European Pillar of Social Rights</w:t>
      </w:r>
      <w:r w:rsidR="00373387" w:rsidRPr="00416640">
        <w:rPr>
          <w:noProof/>
          <w:lang w:val="en-IE"/>
        </w:rPr>
        <w:t>.</w:t>
      </w:r>
      <w:r w:rsidR="00373387">
        <w:rPr>
          <w:noProof/>
          <w:lang w:val="en-IE"/>
        </w:rPr>
        <w:t xml:space="preserve"> </w:t>
      </w:r>
      <w:r w:rsidR="00373387" w:rsidRPr="008D7D99">
        <w:rPr>
          <w:noProof/>
          <w:lang w:val="en-IE"/>
        </w:rPr>
        <w:t xml:space="preserve">The maximum financial contribution per Member State under the Recovery and Resilience Facility was updated on </w:t>
      </w:r>
      <w:r w:rsidR="46B27047" w:rsidRPr="3FB3A143">
        <w:rPr>
          <w:noProof/>
          <w:lang w:val="en-IE"/>
        </w:rPr>
        <w:t>30</w:t>
      </w:r>
      <w:r w:rsidR="005B4EBD">
        <w:rPr>
          <w:noProof/>
          <w:lang w:val="en-IE"/>
        </w:rPr>
        <w:t xml:space="preserve"> </w:t>
      </w:r>
      <w:r w:rsidR="00373387" w:rsidRPr="008D7D99">
        <w:rPr>
          <w:noProof/>
          <w:lang w:val="en-IE"/>
        </w:rPr>
        <w:t xml:space="preserve">June 2022 in </w:t>
      </w:r>
      <w:r w:rsidR="00A1101A">
        <w:rPr>
          <w:noProof/>
          <w:lang w:val="en-IE"/>
        </w:rPr>
        <w:t>accordance</w:t>
      </w:r>
      <w:r w:rsidR="00A1101A" w:rsidRPr="008D7D99">
        <w:rPr>
          <w:noProof/>
          <w:lang w:val="en-IE"/>
        </w:rPr>
        <w:t xml:space="preserve"> </w:t>
      </w:r>
      <w:r w:rsidR="00373387" w:rsidRPr="008D7D99">
        <w:rPr>
          <w:noProof/>
          <w:lang w:val="en-IE"/>
        </w:rPr>
        <w:t>with Article 11(2) of Regulation (EU) 2021/241.</w:t>
      </w:r>
      <w:r w:rsidR="00373387">
        <w:rPr>
          <w:noProof/>
          <w:lang w:val="en-IE"/>
        </w:rPr>
        <w:t xml:space="preserve"> </w:t>
      </w:r>
    </w:p>
    <w:p w14:paraId="445BB926" w14:textId="2DB2824F" w:rsidR="00373387" w:rsidRPr="00C4221A" w:rsidRDefault="00AB4D48" w:rsidP="00AB4D48">
      <w:pPr>
        <w:pStyle w:val="ManualConsidrant"/>
        <w:rPr>
          <w:noProof/>
          <w:lang w:val="en-IE"/>
        </w:rPr>
      </w:pPr>
      <w:r w:rsidRPr="00AB4D48">
        <w:t>(2)</w:t>
      </w:r>
      <w:r w:rsidRPr="00AB4D48">
        <w:tab/>
      </w:r>
      <w:r w:rsidR="00373387" w:rsidRPr="074543A8">
        <w:rPr>
          <w:noProof/>
          <w:lang w:val="en-IE"/>
        </w:rPr>
        <w:t>On 2</w:t>
      </w:r>
      <w:r w:rsidR="001836CA" w:rsidRPr="074543A8">
        <w:rPr>
          <w:noProof/>
          <w:lang w:val="en-IE"/>
        </w:rPr>
        <w:t>2</w:t>
      </w:r>
      <w:r w:rsidR="00373387" w:rsidRPr="074543A8">
        <w:rPr>
          <w:noProof/>
          <w:lang w:val="en-IE"/>
        </w:rPr>
        <w:t xml:space="preserve"> November 202</w:t>
      </w:r>
      <w:r w:rsidR="001836CA" w:rsidRPr="074543A8">
        <w:rPr>
          <w:noProof/>
          <w:lang w:val="en-IE"/>
        </w:rPr>
        <w:t>2</w:t>
      </w:r>
      <w:r w:rsidR="00373387" w:rsidRPr="074543A8">
        <w:rPr>
          <w:noProof/>
          <w:lang w:val="en-IE"/>
        </w:rPr>
        <w:t xml:space="preserve">, the Commission adopted the </w:t>
      </w:r>
      <w:r w:rsidR="00227DC7">
        <w:rPr>
          <w:noProof/>
          <w:lang w:val="en-IE"/>
        </w:rPr>
        <w:t xml:space="preserve">2023 </w:t>
      </w:r>
      <w:r w:rsidR="00373387" w:rsidRPr="074543A8">
        <w:rPr>
          <w:noProof/>
          <w:lang w:val="en-IE"/>
        </w:rPr>
        <w:t>Annual Sustainable Growth Survey</w:t>
      </w:r>
      <w:r w:rsidR="00373387" w:rsidRPr="6A50C796">
        <w:rPr>
          <w:rStyle w:val="FootnoteReference"/>
          <w:noProof/>
          <w:lang w:val="en-IE"/>
        </w:rPr>
        <w:footnoteReference w:id="5"/>
      </w:r>
      <w:r w:rsidR="00227DC7">
        <w:rPr>
          <w:noProof/>
          <w:lang w:val="en-IE"/>
        </w:rPr>
        <w:t>,</w:t>
      </w:r>
      <w:r w:rsidR="00373387" w:rsidRPr="074543A8">
        <w:rPr>
          <w:noProof/>
          <w:lang w:val="en-IE"/>
        </w:rPr>
        <w:t xml:space="preserve"> marking the start of the 202</w:t>
      </w:r>
      <w:r w:rsidR="001836CA" w:rsidRPr="074543A8">
        <w:rPr>
          <w:noProof/>
          <w:lang w:val="en-IE"/>
        </w:rPr>
        <w:t>3</w:t>
      </w:r>
      <w:r w:rsidR="41CA904E" w:rsidRPr="074543A8">
        <w:rPr>
          <w:noProof/>
          <w:lang w:val="en-IE"/>
        </w:rPr>
        <w:t xml:space="preserve"> </w:t>
      </w:r>
      <w:r w:rsidR="00373387" w:rsidRPr="074543A8">
        <w:rPr>
          <w:noProof/>
          <w:lang w:val="en-IE"/>
        </w:rPr>
        <w:t xml:space="preserve">European Semester for economic policy coordination. The European Council endorsed the priorities of the </w:t>
      </w:r>
      <w:r w:rsidR="00227DC7">
        <w:rPr>
          <w:noProof/>
          <w:lang w:val="en-IE"/>
        </w:rPr>
        <w:t>s</w:t>
      </w:r>
      <w:r w:rsidR="00373387" w:rsidRPr="074543A8">
        <w:rPr>
          <w:noProof/>
          <w:lang w:val="en-IE"/>
        </w:rPr>
        <w:t xml:space="preserve">urvey </w:t>
      </w:r>
      <w:r w:rsidR="008572E0" w:rsidRPr="247E20DB">
        <w:rPr>
          <w:noProof/>
          <w:lang w:val="en-IE"/>
        </w:rPr>
        <w:t xml:space="preserve">around the four </w:t>
      </w:r>
      <w:r w:rsidR="007656A1" w:rsidRPr="247E20DB">
        <w:rPr>
          <w:noProof/>
          <w:lang w:val="en-IE"/>
        </w:rPr>
        <w:t>dimensions</w:t>
      </w:r>
      <w:r w:rsidR="008572E0" w:rsidRPr="247E20DB">
        <w:rPr>
          <w:noProof/>
          <w:lang w:val="en-IE"/>
        </w:rPr>
        <w:t xml:space="preserve"> of competitive sustainability </w:t>
      </w:r>
      <w:r w:rsidR="00373387" w:rsidRPr="074543A8">
        <w:rPr>
          <w:noProof/>
          <w:lang w:val="en-IE"/>
        </w:rPr>
        <w:t xml:space="preserve">on </w:t>
      </w:r>
      <w:r w:rsidR="00230CDA">
        <w:rPr>
          <w:noProof/>
          <w:lang w:val="en-IE"/>
        </w:rPr>
        <w:t>23</w:t>
      </w:r>
      <w:r w:rsidR="00373387" w:rsidRPr="074543A8">
        <w:rPr>
          <w:noProof/>
          <w:lang w:val="en-IE"/>
        </w:rPr>
        <w:t xml:space="preserve"> March 202</w:t>
      </w:r>
      <w:r w:rsidR="001836CA" w:rsidRPr="074543A8">
        <w:rPr>
          <w:noProof/>
          <w:lang w:val="en-IE"/>
        </w:rPr>
        <w:t>3</w:t>
      </w:r>
      <w:r w:rsidR="00373387" w:rsidRPr="074543A8">
        <w:rPr>
          <w:noProof/>
          <w:lang w:val="en-IE"/>
        </w:rPr>
        <w:t>. On 2</w:t>
      </w:r>
      <w:r w:rsidR="001836CA" w:rsidRPr="074543A8">
        <w:rPr>
          <w:noProof/>
          <w:lang w:val="en-IE"/>
        </w:rPr>
        <w:t>2</w:t>
      </w:r>
      <w:r w:rsidR="00373387" w:rsidRPr="074543A8">
        <w:rPr>
          <w:noProof/>
          <w:lang w:val="en-IE"/>
        </w:rPr>
        <w:t xml:space="preserve"> November 202</w:t>
      </w:r>
      <w:r w:rsidR="001836CA" w:rsidRPr="074543A8">
        <w:rPr>
          <w:noProof/>
          <w:lang w:val="en-IE"/>
        </w:rPr>
        <w:t>2</w:t>
      </w:r>
      <w:r w:rsidR="00373387" w:rsidRPr="074543A8">
        <w:rPr>
          <w:noProof/>
          <w:lang w:val="en-IE"/>
        </w:rPr>
        <w:t xml:space="preserve">, on the basis of Regulation (EU) </w:t>
      </w:r>
      <w:r w:rsidR="0058661E">
        <w:rPr>
          <w:noProof/>
          <w:lang w:val="en-IE"/>
        </w:rPr>
        <w:t>No</w:t>
      </w:r>
      <w:r w:rsidR="0058661E" w:rsidRPr="074543A8">
        <w:rPr>
          <w:noProof/>
          <w:lang w:val="en-IE"/>
        </w:rPr>
        <w:t xml:space="preserve"> </w:t>
      </w:r>
      <w:r w:rsidR="00373387" w:rsidRPr="074543A8">
        <w:rPr>
          <w:noProof/>
          <w:lang w:val="en-IE"/>
        </w:rPr>
        <w:t>1176/2011, the Commission also adopted the</w:t>
      </w:r>
      <w:r w:rsidR="00227DC7">
        <w:rPr>
          <w:noProof/>
          <w:lang w:val="en-IE"/>
        </w:rPr>
        <w:t xml:space="preserve"> 2023</w:t>
      </w:r>
      <w:r w:rsidR="00373387" w:rsidRPr="074543A8">
        <w:rPr>
          <w:noProof/>
          <w:lang w:val="en-IE"/>
        </w:rPr>
        <w:t xml:space="preserve"> Alert Mechanism Report, in which it </w:t>
      </w:r>
      <w:r w:rsidR="00E34B5B" w:rsidRPr="0049593D">
        <w:rPr>
          <w:noProof/>
          <w:lang w:val="en-IE"/>
        </w:rPr>
        <w:t>identified</w:t>
      </w:r>
      <w:r w:rsidR="00E34B5B" w:rsidRPr="074543A8">
        <w:rPr>
          <w:noProof/>
          <w:lang w:val="en-IE"/>
        </w:rPr>
        <w:t xml:space="preserve"> </w:t>
      </w:r>
      <w:r w:rsidR="00BD1490">
        <w:rPr>
          <w:noProof/>
          <w:lang w:val="en-IE"/>
        </w:rPr>
        <w:t>Greece</w:t>
      </w:r>
      <w:r w:rsidR="00E34B5B" w:rsidRPr="074543A8">
        <w:rPr>
          <w:noProof/>
          <w:lang w:val="en-IE"/>
        </w:rPr>
        <w:t xml:space="preserve"> </w:t>
      </w:r>
      <w:r w:rsidR="00373387" w:rsidRPr="074543A8">
        <w:rPr>
          <w:noProof/>
          <w:lang w:val="en-IE"/>
        </w:rPr>
        <w:t>as one of the Member States</w:t>
      </w:r>
      <w:r w:rsidR="00227DC7">
        <w:rPr>
          <w:noProof/>
          <w:lang w:val="en-IE"/>
        </w:rPr>
        <w:t xml:space="preserve"> that</w:t>
      </w:r>
      <w:r w:rsidR="1049C226" w:rsidRPr="074543A8">
        <w:rPr>
          <w:noProof/>
          <w:lang w:val="en-IE"/>
        </w:rPr>
        <w:t xml:space="preserve"> may be affected or may be at risk of being affected by imbalances, and </w:t>
      </w:r>
      <w:r w:rsidR="00373387" w:rsidRPr="074543A8">
        <w:rPr>
          <w:noProof/>
          <w:lang w:val="en-IE"/>
        </w:rPr>
        <w:t>for which an in-depth review would be needed. On the same date</w:t>
      </w:r>
      <w:r w:rsidR="00132301">
        <w:rPr>
          <w:noProof/>
          <w:lang w:val="en-IE"/>
        </w:rPr>
        <w:t>,</w:t>
      </w:r>
      <w:r w:rsidR="00355889" w:rsidRPr="074543A8">
        <w:rPr>
          <w:noProof/>
          <w:lang w:val="en-IE"/>
        </w:rPr>
        <w:t xml:space="preserve"> </w:t>
      </w:r>
      <w:r w:rsidR="5FBE63BA" w:rsidRPr="074543A8">
        <w:rPr>
          <w:noProof/>
          <w:lang w:val="en-IE"/>
        </w:rPr>
        <w:t xml:space="preserve">the Commission also adopted </w:t>
      </w:r>
      <w:r w:rsidR="00355889" w:rsidRPr="074543A8">
        <w:rPr>
          <w:noProof/>
          <w:lang w:val="en-IE"/>
        </w:rPr>
        <w:t xml:space="preserve">an opinion on </w:t>
      </w:r>
      <w:r w:rsidR="001957FA">
        <w:rPr>
          <w:noProof/>
          <w:lang w:val="en-IE"/>
        </w:rPr>
        <w:t>Greece’s</w:t>
      </w:r>
      <w:r w:rsidR="001957FA" w:rsidRPr="074543A8">
        <w:rPr>
          <w:noProof/>
          <w:lang w:val="en-IE"/>
        </w:rPr>
        <w:t xml:space="preserve"> </w:t>
      </w:r>
      <w:r w:rsidR="00355889" w:rsidRPr="074543A8">
        <w:rPr>
          <w:noProof/>
          <w:lang w:val="en-IE"/>
        </w:rPr>
        <w:t xml:space="preserve">2023 </w:t>
      </w:r>
      <w:r w:rsidR="00132301">
        <w:rPr>
          <w:noProof/>
          <w:lang w:val="en-IE"/>
        </w:rPr>
        <w:t>d</w:t>
      </w:r>
      <w:r w:rsidR="00355889" w:rsidRPr="074543A8">
        <w:rPr>
          <w:noProof/>
          <w:lang w:val="en-IE"/>
        </w:rPr>
        <w:t xml:space="preserve">raft </w:t>
      </w:r>
      <w:r w:rsidR="00132301">
        <w:rPr>
          <w:noProof/>
          <w:lang w:val="en-IE"/>
        </w:rPr>
        <w:t>b</w:t>
      </w:r>
      <w:r w:rsidR="00355889" w:rsidRPr="074543A8">
        <w:rPr>
          <w:noProof/>
          <w:lang w:val="en-IE"/>
        </w:rPr>
        <w:t xml:space="preserve">udgetary </w:t>
      </w:r>
      <w:r w:rsidR="00132301">
        <w:rPr>
          <w:noProof/>
          <w:lang w:val="en-IE"/>
        </w:rPr>
        <w:t>p</w:t>
      </w:r>
      <w:r w:rsidR="00355889" w:rsidRPr="074543A8">
        <w:rPr>
          <w:noProof/>
          <w:lang w:val="en-IE"/>
        </w:rPr>
        <w:t>lan</w:t>
      </w:r>
      <w:r w:rsidR="7910C328" w:rsidRPr="0049593D">
        <w:rPr>
          <w:noProof/>
          <w:lang w:val="en-IE"/>
        </w:rPr>
        <w:t>.</w:t>
      </w:r>
      <w:r w:rsidR="7910C328" w:rsidRPr="074543A8">
        <w:rPr>
          <w:noProof/>
          <w:lang w:val="en-IE"/>
        </w:rPr>
        <w:t xml:space="preserve"> T</w:t>
      </w:r>
      <w:r w:rsidR="00373387" w:rsidRPr="074543A8">
        <w:rPr>
          <w:noProof/>
          <w:lang w:val="en-IE"/>
        </w:rPr>
        <w:t xml:space="preserve">he Commission also adopted a recommendation for a Council recommendation on the economic policy of the euro area, which </w:t>
      </w:r>
      <w:r w:rsidR="00132301">
        <w:rPr>
          <w:noProof/>
          <w:lang w:val="en-IE"/>
        </w:rPr>
        <w:t>the Council</w:t>
      </w:r>
      <w:r w:rsidR="00373387" w:rsidRPr="074543A8">
        <w:rPr>
          <w:noProof/>
          <w:lang w:val="en-IE"/>
        </w:rPr>
        <w:t xml:space="preserve"> adopted on </w:t>
      </w:r>
      <w:r w:rsidR="002E52B5">
        <w:rPr>
          <w:noProof/>
          <w:lang w:val="en-IE"/>
        </w:rPr>
        <w:t>1</w:t>
      </w:r>
      <w:r w:rsidR="00D73B95">
        <w:rPr>
          <w:noProof/>
          <w:lang w:val="en-IE"/>
        </w:rPr>
        <w:t>6</w:t>
      </w:r>
      <w:r w:rsidR="002E52B5">
        <w:rPr>
          <w:noProof/>
          <w:lang w:val="en-IE"/>
        </w:rPr>
        <w:t xml:space="preserve"> </w:t>
      </w:r>
      <w:r w:rsidR="00D73B95">
        <w:rPr>
          <w:noProof/>
          <w:lang w:val="en-IE"/>
        </w:rPr>
        <w:t>May</w:t>
      </w:r>
      <w:r w:rsidR="00373387" w:rsidRPr="074543A8">
        <w:rPr>
          <w:noProof/>
          <w:lang w:val="en-IE"/>
        </w:rPr>
        <w:t xml:space="preserve"> 202</w:t>
      </w:r>
      <w:r w:rsidR="002E52B5">
        <w:rPr>
          <w:noProof/>
          <w:lang w:val="en-IE"/>
        </w:rPr>
        <w:t>3</w:t>
      </w:r>
      <w:r w:rsidR="00373387" w:rsidRPr="074543A8">
        <w:rPr>
          <w:noProof/>
          <w:lang w:val="en-IE"/>
        </w:rPr>
        <w:t>, as well as the proposal for the 202</w:t>
      </w:r>
      <w:r w:rsidR="005F2FE7" w:rsidRPr="074543A8">
        <w:rPr>
          <w:noProof/>
          <w:lang w:val="en-IE"/>
        </w:rPr>
        <w:t>3</w:t>
      </w:r>
      <w:r w:rsidR="00373387" w:rsidRPr="074543A8">
        <w:rPr>
          <w:noProof/>
          <w:lang w:val="en-IE"/>
        </w:rPr>
        <w:t xml:space="preserve"> Joint Employment Report analysing the implementation of the Employment Guidelines and the principles of the European Pillar of Social Rights, which </w:t>
      </w:r>
      <w:r w:rsidR="004F4840">
        <w:rPr>
          <w:noProof/>
          <w:lang w:val="en-IE"/>
        </w:rPr>
        <w:t>the Council a</w:t>
      </w:r>
      <w:r w:rsidR="00373387" w:rsidRPr="074543A8">
        <w:rPr>
          <w:noProof/>
          <w:lang w:val="en-IE"/>
        </w:rPr>
        <w:t xml:space="preserve">dopted on </w:t>
      </w:r>
      <w:r w:rsidR="005A2432">
        <w:rPr>
          <w:noProof/>
          <w:lang w:val="en-IE"/>
        </w:rPr>
        <w:t xml:space="preserve">13 </w:t>
      </w:r>
      <w:r w:rsidR="00373387" w:rsidRPr="074543A8">
        <w:rPr>
          <w:noProof/>
          <w:lang w:val="en-IE"/>
        </w:rPr>
        <w:t>March 202</w:t>
      </w:r>
      <w:r w:rsidR="005A2432">
        <w:rPr>
          <w:noProof/>
          <w:lang w:val="en-IE"/>
        </w:rPr>
        <w:t>3</w:t>
      </w:r>
      <w:r w:rsidR="00373387" w:rsidRPr="074543A8">
        <w:rPr>
          <w:noProof/>
          <w:lang w:val="en-IE"/>
        </w:rPr>
        <w:t xml:space="preserve">. </w:t>
      </w:r>
    </w:p>
    <w:p w14:paraId="0DDABA6E" w14:textId="183E6B99" w:rsidR="00511F24" w:rsidRDefault="00AB4D48" w:rsidP="00AB4D48">
      <w:pPr>
        <w:pStyle w:val="ManualConsidrant"/>
        <w:rPr>
          <w:noProof/>
          <w:lang w:val="en-IE"/>
        </w:rPr>
      </w:pPr>
      <w:r w:rsidRPr="00AB4D48">
        <w:t>(3)</w:t>
      </w:r>
      <w:r w:rsidRPr="00AB4D48">
        <w:tab/>
      </w:r>
      <w:r w:rsidR="00863B65">
        <w:rPr>
          <w:noProof/>
          <w:lang w:val="en-IE"/>
        </w:rPr>
        <w:t xml:space="preserve">While the </w:t>
      </w:r>
      <w:r w:rsidR="009D1AE5">
        <w:rPr>
          <w:noProof/>
          <w:lang w:val="en-IE"/>
        </w:rPr>
        <w:t>EU</w:t>
      </w:r>
      <w:r w:rsidR="00863B65" w:rsidRPr="339E3544">
        <w:rPr>
          <w:noProof/>
          <w:lang w:val="en-IE"/>
        </w:rPr>
        <w:t xml:space="preserve"> economies</w:t>
      </w:r>
      <w:r w:rsidR="00863B65">
        <w:rPr>
          <w:noProof/>
          <w:lang w:val="en-IE"/>
        </w:rPr>
        <w:t xml:space="preserve"> are showing remarkable resilience, t</w:t>
      </w:r>
      <w:r w:rsidR="27BBA004" w:rsidRPr="4B713D4B">
        <w:rPr>
          <w:noProof/>
          <w:lang w:val="en-IE"/>
        </w:rPr>
        <w:t xml:space="preserve">he </w:t>
      </w:r>
      <w:r w:rsidR="00373387" w:rsidRPr="4B713D4B">
        <w:rPr>
          <w:noProof/>
          <w:lang w:val="en-IE"/>
        </w:rPr>
        <w:t xml:space="preserve">geopolitical </w:t>
      </w:r>
      <w:r w:rsidR="27BBA004" w:rsidRPr="4B713D4B">
        <w:rPr>
          <w:noProof/>
          <w:lang w:val="en-IE"/>
        </w:rPr>
        <w:t xml:space="preserve">context continues to </w:t>
      </w:r>
      <w:r w:rsidR="00863B65">
        <w:rPr>
          <w:noProof/>
          <w:lang w:val="en-IE"/>
        </w:rPr>
        <w:t xml:space="preserve">have a </w:t>
      </w:r>
      <w:r w:rsidR="27BBA004" w:rsidRPr="4B713D4B">
        <w:rPr>
          <w:noProof/>
          <w:lang w:val="en-IE"/>
        </w:rPr>
        <w:t>negative</w:t>
      </w:r>
      <w:r w:rsidR="00863B65">
        <w:rPr>
          <w:noProof/>
          <w:lang w:val="en-IE"/>
        </w:rPr>
        <w:t xml:space="preserve"> impact</w:t>
      </w:r>
      <w:r w:rsidR="27BBA004" w:rsidRPr="4B713D4B">
        <w:rPr>
          <w:noProof/>
          <w:lang w:val="en-IE"/>
        </w:rPr>
        <w:t>.</w:t>
      </w:r>
      <w:r w:rsidR="00DA53AD">
        <w:rPr>
          <w:noProof/>
          <w:lang w:val="en-IE"/>
        </w:rPr>
        <w:t xml:space="preserve"> </w:t>
      </w:r>
      <w:r w:rsidR="003028F9">
        <w:rPr>
          <w:noProof/>
          <w:lang w:val="en-IE"/>
        </w:rPr>
        <w:t xml:space="preserve">As the EU </w:t>
      </w:r>
      <w:r w:rsidR="27BBA004" w:rsidRPr="4B713D4B">
        <w:rPr>
          <w:noProof/>
          <w:lang w:val="en-IE"/>
        </w:rPr>
        <w:t>stand</w:t>
      </w:r>
      <w:r w:rsidR="003028F9">
        <w:rPr>
          <w:noProof/>
          <w:lang w:val="en-IE"/>
        </w:rPr>
        <w:t>s</w:t>
      </w:r>
      <w:r w:rsidR="27BBA004" w:rsidRPr="4B713D4B">
        <w:rPr>
          <w:noProof/>
          <w:lang w:val="en-IE"/>
        </w:rPr>
        <w:t xml:space="preserve"> </w:t>
      </w:r>
      <w:r w:rsidR="009D1AE5">
        <w:rPr>
          <w:noProof/>
          <w:lang w:val="en-IE"/>
        </w:rPr>
        <w:t xml:space="preserve">firmly </w:t>
      </w:r>
      <w:r w:rsidR="27BBA004" w:rsidRPr="4B713D4B">
        <w:rPr>
          <w:noProof/>
          <w:lang w:val="en-IE"/>
        </w:rPr>
        <w:t xml:space="preserve">with Ukraine, </w:t>
      </w:r>
      <w:r w:rsidR="4B26BD83" w:rsidRPr="4B713D4B">
        <w:rPr>
          <w:noProof/>
          <w:lang w:val="en-IE"/>
        </w:rPr>
        <w:t xml:space="preserve">the </w:t>
      </w:r>
      <w:r w:rsidR="27BBA004" w:rsidRPr="4B713D4B">
        <w:rPr>
          <w:noProof/>
          <w:lang w:val="en-IE"/>
        </w:rPr>
        <w:t xml:space="preserve">EU </w:t>
      </w:r>
      <w:r w:rsidR="5675E6BC" w:rsidRPr="4B713D4B">
        <w:rPr>
          <w:noProof/>
          <w:lang w:val="en-IE"/>
        </w:rPr>
        <w:t xml:space="preserve">economic </w:t>
      </w:r>
      <w:r w:rsidR="29CFA14C" w:rsidRPr="4B713D4B">
        <w:rPr>
          <w:noProof/>
          <w:lang w:val="en-IE"/>
        </w:rPr>
        <w:t xml:space="preserve">and social </w:t>
      </w:r>
      <w:r w:rsidR="5675E6BC" w:rsidRPr="4B713D4B">
        <w:rPr>
          <w:noProof/>
          <w:lang w:val="en-IE"/>
        </w:rPr>
        <w:t xml:space="preserve">policy agenda </w:t>
      </w:r>
      <w:r w:rsidR="7B7E80B7" w:rsidRPr="4B713D4B">
        <w:rPr>
          <w:noProof/>
          <w:lang w:val="en-IE"/>
        </w:rPr>
        <w:t xml:space="preserve">is </w:t>
      </w:r>
      <w:r w:rsidR="4B26BD83" w:rsidRPr="4B713D4B">
        <w:rPr>
          <w:noProof/>
          <w:lang w:val="en-IE"/>
        </w:rPr>
        <w:t xml:space="preserve">focused on </w:t>
      </w:r>
      <w:r w:rsidR="009D1AE5">
        <w:rPr>
          <w:noProof/>
          <w:lang w:val="en-IE"/>
        </w:rPr>
        <w:t>reducin</w:t>
      </w:r>
      <w:r w:rsidR="007D2DAA">
        <w:rPr>
          <w:noProof/>
          <w:lang w:val="en-IE"/>
        </w:rPr>
        <w:t>g</w:t>
      </w:r>
      <w:r w:rsidR="5675E6BC" w:rsidRPr="4B713D4B">
        <w:rPr>
          <w:noProof/>
          <w:lang w:val="en-IE"/>
        </w:rPr>
        <w:t xml:space="preserve"> the negative impact of energy shocks </w:t>
      </w:r>
      <w:r w:rsidR="007D2DAA">
        <w:rPr>
          <w:noProof/>
          <w:lang w:val="en-IE"/>
        </w:rPr>
        <w:t xml:space="preserve">on </w:t>
      </w:r>
      <w:r w:rsidR="7F34D17E" w:rsidRPr="4B713D4B">
        <w:rPr>
          <w:noProof/>
          <w:lang w:val="en-IE"/>
        </w:rPr>
        <w:t>both vulnerable households and companies</w:t>
      </w:r>
      <w:r w:rsidR="007D2DAA">
        <w:rPr>
          <w:noProof/>
          <w:lang w:val="en-IE"/>
        </w:rPr>
        <w:t xml:space="preserve"> in the short term</w:t>
      </w:r>
      <w:r w:rsidR="7F34D17E" w:rsidRPr="4B713D4B">
        <w:rPr>
          <w:noProof/>
          <w:lang w:val="en-IE"/>
        </w:rPr>
        <w:t xml:space="preserve">, and </w:t>
      </w:r>
      <w:r w:rsidR="3A2F5784" w:rsidRPr="4B713D4B">
        <w:rPr>
          <w:noProof/>
          <w:lang w:val="en-IE"/>
        </w:rPr>
        <w:t xml:space="preserve">on </w:t>
      </w:r>
      <w:r w:rsidR="5675E6BC" w:rsidRPr="4B713D4B">
        <w:rPr>
          <w:noProof/>
          <w:lang w:val="en-IE"/>
        </w:rPr>
        <w:t>keep</w:t>
      </w:r>
      <w:r w:rsidR="4B26BD83" w:rsidRPr="4B713D4B">
        <w:rPr>
          <w:noProof/>
          <w:lang w:val="en-IE"/>
        </w:rPr>
        <w:t>ing</w:t>
      </w:r>
      <w:r w:rsidR="5675E6BC" w:rsidRPr="4B713D4B">
        <w:rPr>
          <w:noProof/>
          <w:lang w:val="en-IE"/>
        </w:rPr>
        <w:t xml:space="preserve"> up efforts to </w:t>
      </w:r>
      <w:r w:rsidR="474F702F" w:rsidRPr="4B713D4B">
        <w:rPr>
          <w:noProof/>
          <w:lang w:val="en-IE"/>
        </w:rPr>
        <w:t xml:space="preserve">deliver on </w:t>
      </w:r>
      <w:r w:rsidR="21A7C076" w:rsidRPr="4B713D4B">
        <w:rPr>
          <w:noProof/>
          <w:lang w:val="en-IE"/>
        </w:rPr>
        <w:t>the green and digital</w:t>
      </w:r>
      <w:r w:rsidR="462A91FF" w:rsidRPr="4B713D4B">
        <w:rPr>
          <w:noProof/>
          <w:lang w:val="en-IE"/>
        </w:rPr>
        <w:t xml:space="preserve"> transition, </w:t>
      </w:r>
      <w:r w:rsidR="5675E6BC" w:rsidRPr="4B713D4B">
        <w:rPr>
          <w:noProof/>
          <w:lang w:val="en-IE"/>
        </w:rPr>
        <w:t>support sustainable and inclusive growth</w:t>
      </w:r>
      <w:r w:rsidR="307DDDDE" w:rsidRPr="4B713D4B">
        <w:rPr>
          <w:noProof/>
          <w:lang w:val="en-IE"/>
        </w:rPr>
        <w:t>, safeguard macroeconomic stability</w:t>
      </w:r>
      <w:r w:rsidR="5675E6BC" w:rsidRPr="4B713D4B">
        <w:rPr>
          <w:noProof/>
          <w:lang w:val="en-IE"/>
        </w:rPr>
        <w:t xml:space="preserve"> and increase resilience in the medium term. </w:t>
      </w:r>
      <w:r w:rsidR="1E8ABDA2" w:rsidRPr="4B713D4B">
        <w:rPr>
          <w:noProof/>
          <w:lang w:val="en-IE"/>
        </w:rPr>
        <w:t>It also focuses</w:t>
      </w:r>
      <w:r w:rsidR="33A41001" w:rsidRPr="4B713D4B">
        <w:rPr>
          <w:noProof/>
          <w:lang w:val="en-IE"/>
        </w:rPr>
        <w:t xml:space="preserve"> </w:t>
      </w:r>
      <w:r w:rsidR="007D2DAA">
        <w:rPr>
          <w:noProof/>
          <w:lang w:val="en-IE"/>
        </w:rPr>
        <w:t>heavily</w:t>
      </w:r>
      <w:r w:rsidR="1E8ABDA2" w:rsidRPr="4B713D4B">
        <w:rPr>
          <w:noProof/>
          <w:lang w:val="en-IE"/>
        </w:rPr>
        <w:t xml:space="preserve"> on </w:t>
      </w:r>
      <w:r w:rsidR="53DA1845" w:rsidRPr="4B713D4B">
        <w:rPr>
          <w:noProof/>
          <w:lang w:val="en-IE"/>
        </w:rPr>
        <w:t xml:space="preserve">increasing </w:t>
      </w:r>
      <w:r w:rsidR="6D66747E" w:rsidRPr="4B713D4B">
        <w:rPr>
          <w:noProof/>
          <w:lang w:val="en-IE"/>
        </w:rPr>
        <w:t xml:space="preserve">the EU’s </w:t>
      </w:r>
      <w:r w:rsidR="53DA1845" w:rsidRPr="4B713D4B">
        <w:rPr>
          <w:noProof/>
          <w:lang w:val="en-IE"/>
        </w:rPr>
        <w:t>competitiveness and productivity.</w:t>
      </w:r>
    </w:p>
    <w:p w14:paraId="1B2EB65A" w14:textId="60AAEC77" w:rsidR="00230E3F" w:rsidRPr="00E01668" w:rsidRDefault="00AB4D48" w:rsidP="00AB4D48">
      <w:pPr>
        <w:pStyle w:val="ManualConsidrant"/>
        <w:rPr>
          <w:noProof/>
          <w:lang w:val="en-IE"/>
        </w:rPr>
      </w:pPr>
      <w:r w:rsidRPr="00AB4D48">
        <w:t>(4)</w:t>
      </w:r>
      <w:r w:rsidRPr="00AB4D48">
        <w:tab/>
      </w:r>
      <w:r w:rsidR="00AC3C8B">
        <w:rPr>
          <w:noProof/>
        </w:rPr>
        <w:t xml:space="preserve">On 1 February 2023, the Commission issued </w:t>
      </w:r>
      <w:r w:rsidR="007D2DAA">
        <w:rPr>
          <w:noProof/>
        </w:rPr>
        <w:t>the</w:t>
      </w:r>
      <w:r w:rsidR="00AC3C8B">
        <w:rPr>
          <w:noProof/>
        </w:rPr>
        <w:t xml:space="preserve"> Communication </w:t>
      </w:r>
      <w:r w:rsidR="00AC3C8B" w:rsidRPr="005B448E">
        <w:rPr>
          <w:i/>
          <w:iCs/>
          <w:noProof/>
        </w:rPr>
        <w:t>A Green Deal Industrial Plan for the Net-Zero Age</w:t>
      </w:r>
      <w:r w:rsidR="00AC3C8B">
        <w:rPr>
          <w:rStyle w:val="FootnoteReference"/>
          <w:noProof/>
        </w:rPr>
        <w:footnoteReference w:id="6"/>
      </w:r>
      <w:r w:rsidR="00F058F7">
        <w:rPr>
          <w:noProof/>
        </w:rPr>
        <w:t xml:space="preserve"> t</w:t>
      </w:r>
      <w:r w:rsidR="00F058F7" w:rsidRPr="00F058F7">
        <w:rPr>
          <w:noProof/>
        </w:rPr>
        <w:t xml:space="preserve">o </w:t>
      </w:r>
      <w:r w:rsidR="007D2DAA">
        <w:rPr>
          <w:noProof/>
        </w:rPr>
        <w:t>boost</w:t>
      </w:r>
      <w:r w:rsidR="00F058F7" w:rsidRPr="00F058F7">
        <w:rPr>
          <w:noProof/>
        </w:rPr>
        <w:t xml:space="preserve"> the competitiveness of </w:t>
      </w:r>
      <w:r w:rsidR="007D2DAA">
        <w:rPr>
          <w:noProof/>
        </w:rPr>
        <w:t xml:space="preserve">the </w:t>
      </w:r>
      <w:r w:rsidR="00DB1C94">
        <w:rPr>
          <w:noProof/>
        </w:rPr>
        <w:t>EU</w:t>
      </w:r>
      <w:r w:rsidR="007D2DAA">
        <w:rPr>
          <w:noProof/>
        </w:rPr>
        <w:t>’</w:t>
      </w:r>
      <w:r w:rsidR="00DB1C94" w:rsidRPr="00F058F7">
        <w:rPr>
          <w:noProof/>
        </w:rPr>
        <w:t>s</w:t>
      </w:r>
      <w:r w:rsidR="00F058F7" w:rsidRPr="00F058F7">
        <w:rPr>
          <w:noProof/>
        </w:rPr>
        <w:t xml:space="preserve"> net-zero industry and support the fast transition to climate neutrality</w:t>
      </w:r>
      <w:r w:rsidR="00AC3C8B">
        <w:rPr>
          <w:noProof/>
        </w:rPr>
        <w:t>.</w:t>
      </w:r>
      <w:r w:rsidR="005D7AE0">
        <w:rPr>
          <w:noProof/>
        </w:rPr>
        <w:t xml:space="preserve"> </w:t>
      </w:r>
      <w:r w:rsidR="00805DAF">
        <w:rPr>
          <w:noProof/>
        </w:rPr>
        <w:t>The plan complements ongoing efforts under the European Green Deal and REPowerEU</w:t>
      </w:r>
      <w:r w:rsidR="00574778">
        <w:rPr>
          <w:noProof/>
        </w:rPr>
        <w:t>. It</w:t>
      </w:r>
      <w:r w:rsidR="00805DAF">
        <w:rPr>
          <w:noProof/>
        </w:rPr>
        <w:t xml:space="preserve"> aims to provide a more supportive environment for scaling up the EU’s manufacturing capacity for the net-zero technologies and products required to meet the EU’s ambitious climate targets, as well as ensuring access to relevant critical raw materials, including by diversifying sourcing, properly exploiting geological resources in Member States and maximising the recycling of raw materials.</w:t>
      </w:r>
      <w:r w:rsidR="00052B5E">
        <w:rPr>
          <w:noProof/>
        </w:rPr>
        <w:t xml:space="preserve"> </w:t>
      </w:r>
      <w:r w:rsidR="00301CE4">
        <w:rPr>
          <w:noProof/>
        </w:rPr>
        <w:t>The plan</w:t>
      </w:r>
      <w:r w:rsidR="00805DAF">
        <w:rPr>
          <w:noProof/>
        </w:rPr>
        <w:t xml:space="preserve"> is based on four pillars: a predictable and simplified regulatory environment, speeding up access to finance, enhancing skills, and open trade for resilient supply chains. </w:t>
      </w:r>
      <w:r w:rsidR="0072330D">
        <w:rPr>
          <w:noProof/>
        </w:rPr>
        <w:t>On 16 March 2023, the Commission</w:t>
      </w:r>
      <w:r w:rsidR="007E1EBA">
        <w:rPr>
          <w:noProof/>
        </w:rPr>
        <w:t xml:space="preserve"> also</w:t>
      </w:r>
      <w:r w:rsidR="0072330D">
        <w:rPr>
          <w:noProof/>
        </w:rPr>
        <w:t xml:space="preserve"> issued </w:t>
      </w:r>
      <w:r w:rsidR="008A4963">
        <w:rPr>
          <w:noProof/>
        </w:rPr>
        <w:t>the</w:t>
      </w:r>
      <w:r w:rsidR="0072330D">
        <w:rPr>
          <w:noProof/>
        </w:rPr>
        <w:t xml:space="preserve"> Communication </w:t>
      </w:r>
      <w:r w:rsidR="0072330D" w:rsidRPr="005B448E">
        <w:rPr>
          <w:i/>
          <w:iCs/>
          <w:noProof/>
        </w:rPr>
        <w:t>Long-term competitiveness of the EU: looking beyond 2030</w:t>
      </w:r>
      <w:r w:rsidR="000905D8">
        <w:rPr>
          <w:rStyle w:val="FootnoteReference"/>
          <w:noProof/>
        </w:rPr>
        <w:footnoteReference w:id="7"/>
      </w:r>
      <w:r w:rsidR="00E12B97">
        <w:rPr>
          <w:noProof/>
        </w:rPr>
        <w:t>,</w:t>
      </w:r>
      <w:r w:rsidR="00E06F6E">
        <w:rPr>
          <w:noProof/>
        </w:rPr>
        <w:t xml:space="preserve"> </w:t>
      </w:r>
      <w:r w:rsidR="00E01668">
        <w:rPr>
          <w:noProof/>
        </w:rPr>
        <w:t xml:space="preserve">structured along nine mutually reinforcing drivers </w:t>
      </w:r>
      <w:r w:rsidR="008A4963">
        <w:rPr>
          <w:noProof/>
        </w:rPr>
        <w:t>with</w:t>
      </w:r>
      <w:r w:rsidR="00E01668">
        <w:rPr>
          <w:noProof/>
        </w:rPr>
        <w:t xml:space="preserve"> </w:t>
      </w:r>
      <w:r w:rsidR="00EB42CA">
        <w:rPr>
          <w:noProof/>
        </w:rPr>
        <w:t>the objective to work</w:t>
      </w:r>
      <w:r w:rsidR="00E01668">
        <w:rPr>
          <w:noProof/>
        </w:rPr>
        <w:t xml:space="preserve"> towards a growth enhancing regulatory framework</w:t>
      </w:r>
      <w:r w:rsidR="0072330D">
        <w:rPr>
          <w:noProof/>
        </w:rPr>
        <w:t xml:space="preserve">. </w:t>
      </w:r>
      <w:r w:rsidR="008A4963">
        <w:rPr>
          <w:noProof/>
        </w:rPr>
        <w:t xml:space="preserve">It </w:t>
      </w:r>
      <w:r w:rsidR="001016AD">
        <w:rPr>
          <w:noProof/>
        </w:rPr>
        <w:t>sets</w:t>
      </w:r>
      <w:r w:rsidR="00EB42CA">
        <w:rPr>
          <w:noProof/>
        </w:rPr>
        <w:t xml:space="preserve"> policy priorities aimed</w:t>
      </w:r>
      <w:r w:rsidR="00DF5D04">
        <w:rPr>
          <w:noProof/>
        </w:rPr>
        <w:t xml:space="preserve"> at</w:t>
      </w:r>
      <w:r w:rsidR="00EB42CA">
        <w:rPr>
          <w:noProof/>
        </w:rPr>
        <w:t xml:space="preserve"> actively ensuring structural improvements, well focused investment</w:t>
      </w:r>
      <w:r w:rsidR="008E2835">
        <w:rPr>
          <w:noProof/>
        </w:rPr>
        <w:t>s</w:t>
      </w:r>
      <w:r w:rsidR="00EB42CA">
        <w:rPr>
          <w:noProof/>
        </w:rPr>
        <w:t xml:space="preserve"> and regulatory measures for the </w:t>
      </w:r>
      <w:r w:rsidR="001016AD">
        <w:rPr>
          <w:noProof/>
        </w:rPr>
        <w:t>long</w:t>
      </w:r>
      <w:r w:rsidR="00062812">
        <w:rPr>
          <w:noProof/>
        </w:rPr>
        <w:t>-</w:t>
      </w:r>
      <w:r w:rsidR="001016AD">
        <w:rPr>
          <w:noProof/>
        </w:rPr>
        <w:t xml:space="preserve">term competitiveness of the </w:t>
      </w:r>
      <w:r w:rsidR="00EB42CA">
        <w:rPr>
          <w:noProof/>
        </w:rPr>
        <w:t xml:space="preserve">EU and its Member States. </w:t>
      </w:r>
      <w:r w:rsidR="00E856FA">
        <w:rPr>
          <w:noProof/>
        </w:rPr>
        <w:t xml:space="preserve">The recommendations below </w:t>
      </w:r>
      <w:r w:rsidR="00682D74">
        <w:rPr>
          <w:noProof/>
        </w:rPr>
        <w:t xml:space="preserve">help </w:t>
      </w:r>
      <w:r w:rsidR="00E856FA">
        <w:rPr>
          <w:noProof/>
        </w:rPr>
        <w:t>address those priorities.</w:t>
      </w:r>
    </w:p>
    <w:p w14:paraId="6A164A7F" w14:textId="43FD1F6A" w:rsidR="00373387" w:rsidRDefault="00AB4D48" w:rsidP="00AB4D48">
      <w:pPr>
        <w:pStyle w:val="ManualConsidrant"/>
        <w:rPr>
          <w:rFonts w:eastAsia="Times New Roman"/>
          <w:noProof/>
          <w:lang w:val="en-IE"/>
        </w:rPr>
      </w:pPr>
      <w:r w:rsidRPr="00AB4D48">
        <w:t>(5)</w:t>
      </w:r>
      <w:r w:rsidRPr="00AB4D48">
        <w:tab/>
      </w:r>
      <w:r w:rsidR="060FF3EC" w:rsidRPr="4B713D4B">
        <w:rPr>
          <w:noProof/>
          <w:lang w:val="en-IE"/>
        </w:rPr>
        <w:t>I</w:t>
      </w:r>
      <w:r w:rsidR="304AAE56" w:rsidRPr="4B713D4B">
        <w:rPr>
          <w:noProof/>
          <w:lang w:val="en-IE"/>
        </w:rPr>
        <w:t>n 2023, t</w:t>
      </w:r>
      <w:r w:rsidR="00373387" w:rsidRPr="4B713D4B">
        <w:rPr>
          <w:noProof/>
          <w:lang w:val="en-IE"/>
        </w:rPr>
        <w:t xml:space="preserve">he European Semester </w:t>
      </w:r>
      <w:r w:rsidR="5E302B99" w:rsidRPr="4B713D4B">
        <w:rPr>
          <w:noProof/>
          <w:lang w:val="en-IE"/>
        </w:rPr>
        <w:t xml:space="preserve">for economic policy coordination </w:t>
      </w:r>
      <w:r w:rsidR="4FB7E50F" w:rsidRPr="4B713D4B">
        <w:rPr>
          <w:noProof/>
          <w:lang w:val="en-IE"/>
        </w:rPr>
        <w:t>continues to</w:t>
      </w:r>
      <w:r w:rsidR="092D120E" w:rsidRPr="4B713D4B">
        <w:rPr>
          <w:noProof/>
          <w:lang w:val="en-IE"/>
        </w:rPr>
        <w:t xml:space="preserve"> </w:t>
      </w:r>
      <w:r w:rsidR="06837F9A" w:rsidRPr="4B713D4B">
        <w:rPr>
          <w:noProof/>
          <w:lang w:val="en-IE"/>
        </w:rPr>
        <w:t>evolve</w:t>
      </w:r>
      <w:r w:rsidR="00373387" w:rsidRPr="4B713D4B">
        <w:rPr>
          <w:noProof/>
          <w:lang w:val="en-IE"/>
        </w:rPr>
        <w:t xml:space="preserve"> in line with the implementation of the Recovery and Resilience Facility. </w:t>
      </w:r>
      <w:r w:rsidR="00682D74">
        <w:rPr>
          <w:noProof/>
          <w:lang w:val="en-IE"/>
        </w:rPr>
        <w:t>F</w:t>
      </w:r>
      <w:r w:rsidR="2921BE42" w:rsidRPr="4B713D4B">
        <w:rPr>
          <w:noProof/>
          <w:lang w:val="en-IE"/>
        </w:rPr>
        <w:t>ull</w:t>
      </w:r>
      <w:r w:rsidR="00682D74">
        <w:rPr>
          <w:noProof/>
          <w:lang w:val="en-IE"/>
        </w:rPr>
        <w:t>y</w:t>
      </w:r>
      <w:r w:rsidR="00373387" w:rsidRPr="4B713D4B">
        <w:rPr>
          <w:noProof/>
          <w:lang w:val="en-IE"/>
        </w:rPr>
        <w:t xml:space="preserve"> implement</w:t>
      </w:r>
      <w:r w:rsidR="00682D74">
        <w:rPr>
          <w:noProof/>
          <w:lang w:val="en-IE"/>
        </w:rPr>
        <w:t>ing</w:t>
      </w:r>
      <w:r w:rsidR="00373387" w:rsidRPr="4B713D4B">
        <w:rPr>
          <w:noProof/>
          <w:lang w:val="en-IE"/>
        </w:rPr>
        <w:t xml:space="preserve"> the recovery and resilience plans </w:t>
      </w:r>
      <w:r w:rsidR="092D120E" w:rsidRPr="4B713D4B">
        <w:rPr>
          <w:noProof/>
          <w:lang w:val="en-IE"/>
        </w:rPr>
        <w:t>remains</w:t>
      </w:r>
      <w:r w:rsidR="00373387" w:rsidRPr="4B713D4B">
        <w:rPr>
          <w:noProof/>
          <w:lang w:val="en-IE"/>
        </w:rPr>
        <w:t xml:space="preserve"> essential for deliver</w:t>
      </w:r>
      <w:r w:rsidR="00682D74">
        <w:rPr>
          <w:noProof/>
          <w:lang w:val="en-IE"/>
        </w:rPr>
        <w:t>ing</w:t>
      </w:r>
      <w:r w:rsidR="00373387" w:rsidRPr="4B713D4B">
        <w:rPr>
          <w:noProof/>
          <w:lang w:val="en-IE"/>
        </w:rPr>
        <w:t xml:space="preserve"> the policy </w:t>
      </w:r>
      <w:r w:rsidR="1F0F151A" w:rsidRPr="4B713D4B">
        <w:rPr>
          <w:noProof/>
          <w:lang w:val="en-IE"/>
        </w:rPr>
        <w:t>priorities</w:t>
      </w:r>
      <w:r w:rsidR="00373387" w:rsidRPr="4B713D4B">
        <w:rPr>
          <w:noProof/>
          <w:lang w:val="en-IE"/>
        </w:rPr>
        <w:t xml:space="preserve"> under the European Semester, as the plans address </w:t>
      </w:r>
      <w:r w:rsidR="6B0FBCC5" w:rsidRPr="4B713D4B">
        <w:rPr>
          <w:noProof/>
          <w:lang w:val="en-IE"/>
        </w:rPr>
        <w:t xml:space="preserve">all or </w:t>
      </w:r>
      <w:r w:rsidR="00373387" w:rsidRPr="4B713D4B">
        <w:rPr>
          <w:noProof/>
          <w:lang w:val="en-IE"/>
        </w:rPr>
        <w:t xml:space="preserve">a significant subset of the relevant country-specific recommendations </w:t>
      </w:r>
      <w:r w:rsidR="00373387" w:rsidRPr="4B713D4B">
        <w:rPr>
          <w:rFonts w:eastAsia="Times New Roman"/>
          <w:noProof/>
          <w:lang w:val="en-IE"/>
        </w:rPr>
        <w:t xml:space="preserve">issued in </w:t>
      </w:r>
      <w:r w:rsidR="00126343" w:rsidRPr="4B713D4B">
        <w:rPr>
          <w:rFonts w:eastAsia="Times New Roman"/>
          <w:noProof/>
          <w:lang w:val="en-IE"/>
        </w:rPr>
        <w:t>recent years</w:t>
      </w:r>
      <w:r w:rsidR="00373387" w:rsidRPr="4B713D4B">
        <w:rPr>
          <w:rFonts w:eastAsia="Times New Roman"/>
          <w:noProof/>
          <w:lang w:val="en-IE"/>
        </w:rPr>
        <w:t>. The 2019</w:t>
      </w:r>
      <w:r w:rsidR="3D9CEF11" w:rsidRPr="4B713D4B">
        <w:rPr>
          <w:rFonts w:eastAsia="Times New Roman"/>
          <w:noProof/>
          <w:lang w:val="en-IE"/>
        </w:rPr>
        <w:t>,</w:t>
      </w:r>
      <w:r w:rsidR="00373387" w:rsidRPr="4B713D4B">
        <w:rPr>
          <w:rFonts w:eastAsia="Times New Roman"/>
          <w:noProof/>
          <w:lang w:val="en-IE"/>
        </w:rPr>
        <w:t xml:space="preserve"> 2020</w:t>
      </w:r>
      <w:r w:rsidR="3D9CEF11" w:rsidRPr="4B713D4B">
        <w:rPr>
          <w:rFonts w:eastAsia="Times New Roman"/>
          <w:noProof/>
          <w:lang w:val="en-IE"/>
        </w:rPr>
        <w:t xml:space="preserve"> and 2022</w:t>
      </w:r>
      <w:r w:rsidR="00373387" w:rsidRPr="4B713D4B">
        <w:rPr>
          <w:rFonts w:eastAsia="Times New Roman"/>
          <w:noProof/>
          <w:lang w:val="en-IE"/>
        </w:rPr>
        <w:t xml:space="preserve"> country-specific </w:t>
      </w:r>
      <w:r w:rsidR="00373387" w:rsidRPr="4B713D4B">
        <w:rPr>
          <w:noProof/>
          <w:lang w:val="en-IE"/>
        </w:rPr>
        <w:t xml:space="preserve">recommendations remain equally relevant also for </w:t>
      </w:r>
      <w:r w:rsidR="00373387" w:rsidRPr="4B713D4B">
        <w:rPr>
          <w:rFonts w:eastAsia="Times New Roman"/>
          <w:noProof/>
          <w:lang w:val="en-IE"/>
        </w:rPr>
        <w:t xml:space="preserve">recovery and resilience plans revised, updated or amended in accordance with Articles 14, 18 and 21 of </w:t>
      </w:r>
      <w:r w:rsidR="00373387" w:rsidRPr="4B713D4B">
        <w:rPr>
          <w:noProof/>
          <w:lang w:val="en-IE"/>
        </w:rPr>
        <w:t>Regulation (EU) 2021/241</w:t>
      </w:r>
      <w:r w:rsidR="00373387" w:rsidRPr="4B713D4B">
        <w:rPr>
          <w:rFonts w:eastAsia="Times New Roman"/>
          <w:noProof/>
          <w:lang w:val="en-IE"/>
        </w:rPr>
        <w:t xml:space="preserve">. </w:t>
      </w:r>
    </w:p>
    <w:p w14:paraId="7434E5FE" w14:textId="7E740552" w:rsidR="00DE357C" w:rsidRPr="00DB7D6E" w:rsidRDefault="00AB4D48" w:rsidP="00AB4D48">
      <w:pPr>
        <w:pStyle w:val="ManualConsidrant"/>
        <w:rPr>
          <w:noProof/>
        </w:rPr>
      </w:pPr>
      <w:r w:rsidRPr="00AB4D48">
        <w:t>(6)</w:t>
      </w:r>
      <w:r w:rsidRPr="00AB4D48">
        <w:tab/>
      </w:r>
      <w:r w:rsidR="00DB7D6E" w:rsidRPr="000C217C">
        <w:rPr>
          <w:noProof/>
          <w:lang w:val="en-IE"/>
        </w:rPr>
        <w:t>The REPowerEU Regulation</w:t>
      </w:r>
      <w:r w:rsidR="00DB7D6E" w:rsidRPr="26942E1F">
        <w:rPr>
          <w:rStyle w:val="FootnoteReference"/>
          <w:noProof/>
          <w:lang w:val="en-IE"/>
        </w:rPr>
        <w:footnoteReference w:id="8"/>
      </w:r>
      <w:r w:rsidR="00DB7D6E" w:rsidRPr="000C217C">
        <w:rPr>
          <w:noProof/>
          <w:lang w:val="en-IE"/>
        </w:rPr>
        <w:t xml:space="preserve"> adopted on 27 February 2023 aims to rapidly phase out the</w:t>
      </w:r>
      <w:r w:rsidR="00682D74">
        <w:rPr>
          <w:noProof/>
          <w:lang w:val="en-IE"/>
        </w:rPr>
        <w:t xml:space="preserve"> EU</w:t>
      </w:r>
      <w:r w:rsidR="00DB7D6E" w:rsidRPr="000C217C">
        <w:rPr>
          <w:noProof/>
          <w:lang w:val="en-IE"/>
        </w:rPr>
        <w:t>’s dependenc</w:t>
      </w:r>
      <w:r w:rsidR="00682D74">
        <w:rPr>
          <w:noProof/>
          <w:lang w:val="en-IE"/>
        </w:rPr>
        <w:t>e</w:t>
      </w:r>
      <w:r w:rsidR="00DB7D6E" w:rsidRPr="000C217C">
        <w:rPr>
          <w:noProof/>
          <w:lang w:val="en-IE"/>
        </w:rPr>
        <w:t xml:space="preserve"> on Russian fossil fuel imports</w:t>
      </w:r>
      <w:r w:rsidR="00682D74">
        <w:rPr>
          <w:noProof/>
          <w:lang w:val="en-IE"/>
        </w:rPr>
        <w:t>. This will</w:t>
      </w:r>
      <w:r w:rsidR="00DB7D6E" w:rsidRPr="000C217C">
        <w:rPr>
          <w:noProof/>
          <w:lang w:val="en-IE"/>
        </w:rPr>
        <w:t xml:space="preserve"> contribut</w:t>
      </w:r>
      <w:r w:rsidR="00682D74">
        <w:rPr>
          <w:noProof/>
          <w:lang w:val="en-IE"/>
        </w:rPr>
        <w:t>e</w:t>
      </w:r>
      <w:r w:rsidR="00DB7D6E" w:rsidRPr="000C217C">
        <w:rPr>
          <w:noProof/>
          <w:lang w:val="en-IE"/>
        </w:rPr>
        <w:t xml:space="preserve"> toward</w:t>
      </w:r>
      <w:r w:rsidR="00682D74">
        <w:rPr>
          <w:noProof/>
          <w:lang w:val="en-IE"/>
        </w:rPr>
        <w:t>s</w:t>
      </w:r>
      <w:r w:rsidR="00DB7D6E" w:rsidRPr="000C217C">
        <w:rPr>
          <w:noProof/>
          <w:lang w:val="en-IE"/>
        </w:rPr>
        <w:t xml:space="preserve"> energy security and the diversification of the </w:t>
      </w:r>
      <w:r w:rsidR="00682D74">
        <w:rPr>
          <w:noProof/>
          <w:lang w:val="en-IE"/>
        </w:rPr>
        <w:t>EU</w:t>
      </w:r>
      <w:r w:rsidR="00DB7D6E" w:rsidRPr="000C217C">
        <w:rPr>
          <w:noProof/>
          <w:lang w:val="en-IE"/>
        </w:rPr>
        <w:t xml:space="preserve">’s energy supply, while increasing the uptake of renewables, energy storage capacities and energy efficiency. </w:t>
      </w:r>
      <w:r w:rsidR="005D5D58" w:rsidRPr="000C217C">
        <w:rPr>
          <w:noProof/>
          <w:lang w:val="en-IE"/>
        </w:rPr>
        <w:t xml:space="preserve">The Regulation enables Member States to add a new REPowerEU chapter to their national recovery and resilience plans in order to finance key </w:t>
      </w:r>
      <w:r w:rsidR="00160B7A" w:rsidRPr="000C217C">
        <w:rPr>
          <w:noProof/>
          <w:lang w:val="en-IE"/>
        </w:rPr>
        <w:t xml:space="preserve">reforms and </w:t>
      </w:r>
      <w:r w:rsidR="005D5D58" w:rsidRPr="000C217C">
        <w:rPr>
          <w:noProof/>
          <w:lang w:val="en-IE"/>
        </w:rPr>
        <w:t>investments that will help achieve the REPowerEU objectives</w:t>
      </w:r>
      <w:r w:rsidR="00F75CB6" w:rsidRPr="000C217C">
        <w:rPr>
          <w:noProof/>
          <w:lang w:val="en-IE"/>
        </w:rPr>
        <w:t>. They will also</w:t>
      </w:r>
      <w:r w:rsidR="00CE34DC" w:rsidRPr="000C217C">
        <w:rPr>
          <w:noProof/>
          <w:lang w:val="en-IE"/>
        </w:rPr>
        <w:t xml:space="preserve"> </w:t>
      </w:r>
      <w:r w:rsidR="00682D74">
        <w:rPr>
          <w:noProof/>
          <w:lang w:val="en-IE"/>
        </w:rPr>
        <w:t xml:space="preserve">help boost </w:t>
      </w:r>
      <w:r w:rsidR="00CE34DC">
        <w:rPr>
          <w:noProof/>
        </w:rPr>
        <w:t xml:space="preserve">the competitiveness of </w:t>
      </w:r>
      <w:r w:rsidR="00682D74">
        <w:rPr>
          <w:noProof/>
        </w:rPr>
        <w:t xml:space="preserve">the </w:t>
      </w:r>
      <w:r w:rsidR="00745067">
        <w:rPr>
          <w:noProof/>
        </w:rPr>
        <w:t>EU</w:t>
      </w:r>
      <w:r w:rsidR="00682D74" w:rsidRPr="000C217C">
        <w:rPr>
          <w:noProof/>
          <w:lang w:val="en-IE"/>
        </w:rPr>
        <w:t>’</w:t>
      </w:r>
      <w:r w:rsidR="00745067">
        <w:rPr>
          <w:noProof/>
        </w:rPr>
        <w:t xml:space="preserve">s </w:t>
      </w:r>
      <w:r w:rsidR="00CE34DC">
        <w:rPr>
          <w:noProof/>
        </w:rPr>
        <w:t xml:space="preserve">net-zero industry as </w:t>
      </w:r>
      <w:r w:rsidR="004F1480">
        <w:rPr>
          <w:noProof/>
        </w:rPr>
        <w:t>outlined</w:t>
      </w:r>
      <w:r w:rsidR="00CE34DC">
        <w:rPr>
          <w:noProof/>
        </w:rPr>
        <w:t xml:space="preserve"> in the Green Deal Industrial Plan for the Net-Zero Age</w:t>
      </w:r>
      <w:r w:rsidR="00DE357C">
        <w:rPr>
          <w:noProof/>
        </w:rPr>
        <w:t xml:space="preserve"> </w:t>
      </w:r>
      <w:r w:rsidR="00263BD5" w:rsidRPr="000C217C">
        <w:rPr>
          <w:noProof/>
          <w:lang w:val="en-IE"/>
        </w:rPr>
        <w:t xml:space="preserve">and </w:t>
      </w:r>
      <w:r w:rsidR="00094C60" w:rsidRPr="000C217C">
        <w:rPr>
          <w:noProof/>
          <w:lang w:val="en-IE"/>
        </w:rPr>
        <w:t xml:space="preserve">address </w:t>
      </w:r>
      <w:r w:rsidR="00CE2398" w:rsidRPr="000C217C">
        <w:rPr>
          <w:noProof/>
          <w:lang w:val="en-IE"/>
        </w:rPr>
        <w:t xml:space="preserve">the </w:t>
      </w:r>
      <w:r w:rsidR="00094C60" w:rsidRPr="000C217C">
        <w:rPr>
          <w:noProof/>
          <w:lang w:val="en-IE"/>
        </w:rPr>
        <w:t>energy-rel</w:t>
      </w:r>
      <w:r w:rsidR="205BACCF" w:rsidRPr="000C217C">
        <w:rPr>
          <w:noProof/>
          <w:lang w:val="en-IE"/>
        </w:rPr>
        <w:t>ated</w:t>
      </w:r>
      <w:r w:rsidR="00094C60" w:rsidRPr="000C217C">
        <w:rPr>
          <w:noProof/>
          <w:lang w:val="en-IE"/>
        </w:rPr>
        <w:t xml:space="preserve"> country-specific recommendations issued to </w:t>
      </w:r>
      <w:r w:rsidR="00D51ADC" w:rsidRPr="000C217C">
        <w:rPr>
          <w:noProof/>
          <w:lang w:val="en-IE"/>
        </w:rPr>
        <w:t xml:space="preserve">the </w:t>
      </w:r>
      <w:r w:rsidR="00094C60" w:rsidRPr="00F300CC">
        <w:rPr>
          <w:noProof/>
          <w:lang w:val="en-IE"/>
        </w:rPr>
        <w:t xml:space="preserve">Member States in 2022 </w:t>
      </w:r>
      <w:r w:rsidR="001F5BF5" w:rsidRPr="00F300CC">
        <w:rPr>
          <w:noProof/>
          <w:lang w:val="en-IE"/>
        </w:rPr>
        <w:t>and</w:t>
      </w:r>
      <w:r w:rsidR="00D51ADC" w:rsidRPr="00F300CC">
        <w:rPr>
          <w:noProof/>
          <w:lang w:val="en-IE"/>
        </w:rPr>
        <w:t>,</w:t>
      </w:r>
      <w:r w:rsidR="001F5BF5" w:rsidRPr="00F300CC">
        <w:rPr>
          <w:noProof/>
          <w:lang w:val="en-IE"/>
        </w:rPr>
        <w:t xml:space="preserve"> where applicable</w:t>
      </w:r>
      <w:r w:rsidR="00D51ADC" w:rsidRPr="003B1328">
        <w:rPr>
          <w:noProof/>
          <w:lang w:val="en-IE"/>
        </w:rPr>
        <w:t>,</w:t>
      </w:r>
      <w:r w:rsidR="001F5BF5" w:rsidRPr="003B1328">
        <w:rPr>
          <w:noProof/>
          <w:lang w:val="en-IE"/>
        </w:rPr>
        <w:t xml:space="preserve"> in 2023</w:t>
      </w:r>
      <w:r w:rsidR="00094C60" w:rsidRPr="003B1328">
        <w:rPr>
          <w:noProof/>
          <w:lang w:val="en-IE"/>
        </w:rPr>
        <w:t xml:space="preserve">. </w:t>
      </w:r>
      <w:r w:rsidR="00211078" w:rsidRPr="003B1328">
        <w:rPr>
          <w:noProof/>
          <w:lang w:val="en-IE"/>
        </w:rPr>
        <w:t>T</w:t>
      </w:r>
      <w:r w:rsidR="00094C60" w:rsidRPr="003B1328">
        <w:rPr>
          <w:noProof/>
          <w:lang w:val="en-IE"/>
        </w:rPr>
        <w:t xml:space="preserve">he REPowerEU Regulation </w:t>
      </w:r>
      <w:r w:rsidR="00DB7D6E" w:rsidRPr="003B1328">
        <w:rPr>
          <w:noProof/>
          <w:lang w:val="en-IE"/>
        </w:rPr>
        <w:t xml:space="preserve">introduces a new category of non-repayable financial support, made available </w:t>
      </w:r>
      <w:r w:rsidR="000B5343">
        <w:rPr>
          <w:noProof/>
          <w:lang w:val="en-IE"/>
        </w:rPr>
        <w:t>to</w:t>
      </w:r>
      <w:r w:rsidR="00DB7D6E" w:rsidRPr="003B1328">
        <w:rPr>
          <w:noProof/>
          <w:lang w:val="en-IE"/>
        </w:rPr>
        <w:t xml:space="preserve"> Member States to finance new energy-related reforms and investments under the</w:t>
      </w:r>
      <w:r w:rsidR="000B5343">
        <w:rPr>
          <w:noProof/>
          <w:lang w:val="en-IE"/>
        </w:rPr>
        <w:t>ir</w:t>
      </w:r>
      <w:r w:rsidR="00DB7D6E" w:rsidRPr="003B1328">
        <w:rPr>
          <w:noProof/>
          <w:lang w:val="en-IE"/>
        </w:rPr>
        <w:t xml:space="preserve"> </w:t>
      </w:r>
      <w:r w:rsidR="00362443" w:rsidRPr="003B1328">
        <w:rPr>
          <w:noProof/>
          <w:lang w:val="en-IE"/>
        </w:rPr>
        <w:t>r</w:t>
      </w:r>
      <w:r w:rsidR="00DB7D6E" w:rsidRPr="005E6971">
        <w:rPr>
          <w:noProof/>
          <w:lang w:val="en-IE"/>
        </w:rPr>
        <w:t xml:space="preserve">ecovery and </w:t>
      </w:r>
      <w:r w:rsidR="00362443" w:rsidRPr="005E6971">
        <w:rPr>
          <w:noProof/>
          <w:lang w:val="en-IE"/>
        </w:rPr>
        <w:t>r</w:t>
      </w:r>
      <w:r w:rsidR="00DB7D6E" w:rsidRPr="005E6971">
        <w:rPr>
          <w:noProof/>
          <w:lang w:val="en-IE"/>
        </w:rPr>
        <w:t xml:space="preserve">esilience </w:t>
      </w:r>
      <w:r w:rsidR="00362443" w:rsidRPr="005E6971">
        <w:rPr>
          <w:noProof/>
          <w:lang w:val="en-IE"/>
        </w:rPr>
        <w:t>p</w:t>
      </w:r>
      <w:r w:rsidR="00DB7D6E" w:rsidRPr="005E6971">
        <w:rPr>
          <w:noProof/>
          <w:lang w:val="en-IE"/>
        </w:rPr>
        <w:t xml:space="preserve">lans. </w:t>
      </w:r>
    </w:p>
    <w:p w14:paraId="2C6824C8" w14:textId="31C8C681" w:rsidR="00AC7B5C" w:rsidRPr="00902612" w:rsidRDefault="00AB4D48" w:rsidP="00AB4D48">
      <w:pPr>
        <w:pStyle w:val="ManualConsidrant"/>
        <w:rPr>
          <w:noProof/>
        </w:rPr>
      </w:pPr>
      <w:r w:rsidRPr="00AB4D48">
        <w:t>(7)</w:t>
      </w:r>
      <w:r w:rsidRPr="00AB4D48">
        <w:tab/>
      </w:r>
      <w:r w:rsidR="1C8897F6" w:rsidRPr="00F01E80">
        <w:rPr>
          <w:noProof/>
          <w:lang w:eastAsia="ja-JP"/>
        </w:rPr>
        <w:t xml:space="preserve">On </w:t>
      </w:r>
      <w:r w:rsidR="20742D9B" w:rsidRPr="00F01E80">
        <w:rPr>
          <w:noProof/>
          <w:lang w:eastAsia="ja-JP"/>
        </w:rPr>
        <w:t xml:space="preserve">8 </w:t>
      </w:r>
      <w:r w:rsidR="1C8897F6" w:rsidRPr="00F01E80">
        <w:rPr>
          <w:noProof/>
          <w:lang w:eastAsia="ja-JP"/>
        </w:rPr>
        <w:t>M</w:t>
      </w:r>
      <w:r w:rsidR="1C8897F6" w:rsidRPr="00902612">
        <w:rPr>
          <w:noProof/>
          <w:lang w:eastAsia="ja-JP"/>
        </w:rPr>
        <w:t>arch 2023,</w:t>
      </w:r>
      <w:r w:rsidR="005F2FC4">
        <w:rPr>
          <w:noProof/>
          <w:lang w:eastAsia="ja-JP"/>
        </w:rPr>
        <w:t xml:space="preserve"> </w:t>
      </w:r>
      <w:r w:rsidR="006F032B" w:rsidRPr="00902612">
        <w:rPr>
          <w:noProof/>
          <w:lang w:eastAsia="ja-JP"/>
        </w:rPr>
        <w:t xml:space="preserve">the Commission adopted a </w:t>
      </w:r>
      <w:r w:rsidR="000B5343">
        <w:rPr>
          <w:noProof/>
          <w:lang w:eastAsia="ja-JP"/>
        </w:rPr>
        <w:t>c</w:t>
      </w:r>
      <w:r w:rsidR="006F032B" w:rsidRPr="00902612">
        <w:rPr>
          <w:noProof/>
          <w:lang w:eastAsia="ja-JP"/>
        </w:rPr>
        <w:t xml:space="preserve">ommunication providing </w:t>
      </w:r>
      <w:r w:rsidR="000B5343">
        <w:rPr>
          <w:noProof/>
          <w:lang w:eastAsia="ja-JP"/>
        </w:rPr>
        <w:t xml:space="preserve">fiscal policy </w:t>
      </w:r>
      <w:r w:rsidR="006F032B" w:rsidRPr="00902612">
        <w:rPr>
          <w:noProof/>
          <w:lang w:eastAsia="ja-JP"/>
        </w:rPr>
        <w:t xml:space="preserve">guidance </w:t>
      </w:r>
      <w:r w:rsidR="00687947">
        <w:rPr>
          <w:noProof/>
          <w:lang w:eastAsia="ja-JP"/>
        </w:rPr>
        <w:t xml:space="preserve">for </w:t>
      </w:r>
      <w:r w:rsidR="006F032B" w:rsidRPr="00902612">
        <w:rPr>
          <w:noProof/>
          <w:lang w:eastAsia="ja-JP"/>
        </w:rPr>
        <w:t>20</w:t>
      </w:r>
      <w:r w:rsidR="006F032B">
        <w:rPr>
          <w:noProof/>
          <w:lang w:eastAsia="ja-JP"/>
        </w:rPr>
        <w:t>24</w:t>
      </w:r>
      <w:r w:rsidR="000B5343">
        <w:rPr>
          <w:noProof/>
          <w:lang w:eastAsia="ja-JP"/>
        </w:rPr>
        <w:t>. It</w:t>
      </w:r>
      <w:r w:rsidR="006F032B" w:rsidRPr="00902612">
        <w:rPr>
          <w:noProof/>
          <w:lang w:eastAsia="ja-JP"/>
        </w:rPr>
        <w:t xml:space="preserve"> aim</w:t>
      </w:r>
      <w:r w:rsidR="000B5343">
        <w:rPr>
          <w:noProof/>
          <w:lang w:eastAsia="ja-JP"/>
        </w:rPr>
        <w:t>s</w:t>
      </w:r>
      <w:r w:rsidR="006F032B" w:rsidRPr="00902612">
        <w:rPr>
          <w:noProof/>
          <w:lang w:eastAsia="ja-JP"/>
        </w:rPr>
        <w:t xml:space="preserve"> </w:t>
      </w:r>
      <w:r w:rsidR="000B5343">
        <w:rPr>
          <w:noProof/>
          <w:lang w:eastAsia="ja-JP"/>
        </w:rPr>
        <w:t>to</w:t>
      </w:r>
      <w:r w:rsidR="006F032B" w:rsidRPr="00902612">
        <w:rPr>
          <w:noProof/>
          <w:lang w:eastAsia="ja-JP"/>
        </w:rPr>
        <w:t xml:space="preserve"> support the preparation of Member States’ </w:t>
      </w:r>
      <w:r w:rsidR="000B5343">
        <w:rPr>
          <w:noProof/>
          <w:lang w:eastAsia="ja-JP"/>
        </w:rPr>
        <w:t>s</w:t>
      </w:r>
      <w:r w:rsidR="006F032B" w:rsidRPr="00902612">
        <w:rPr>
          <w:noProof/>
          <w:lang w:eastAsia="ja-JP"/>
        </w:rPr>
        <w:t xml:space="preserve">tability and </w:t>
      </w:r>
      <w:r w:rsidR="000B5343">
        <w:rPr>
          <w:noProof/>
          <w:lang w:eastAsia="ja-JP"/>
        </w:rPr>
        <w:t>c</w:t>
      </w:r>
      <w:r w:rsidR="006F032B" w:rsidRPr="00902612">
        <w:rPr>
          <w:noProof/>
          <w:lang w:eastAsia="ja-JP"/>
        </w:rPr>
        <w:t xml:space="preserve">onvergence </w:t>
      </w:r>
      <w:r w:rsidR="000B5343">
        <w:rPr>
          <w:noProof/>
          <w:lang w:eastAsia="ja-JP"/>
        </w:rPr>
        <w:t>p</w:t>
      </w:r>
      <w:r w:rsidR="006F032B" w:rsidRPr="00902612">
        <w:rPr>
          <w:noProof/>
          <w:lang w:eastAsia="ja-JP"/>
        </w:rPr>
        <w:t>rogrammes and thereby strengthen policy coordination</w:t>
      </w:r>
      <w:r w:rsidR="006F032B" w:rsidRPr="00902612">
        <w:rPr>
          <w:rStyle w:val="FootnoteReference"/>
          <w:noProof/>
        </w:rPr>
        <w:footnoteReference w:id="9"/>
      </w:r>
      <w:r w:rsidR="006F032B" w:rsidRPr="00902612">
        <w:rPr>
          <w:noProof/>
          <w:lang w:eastAsia="ja-JP"/>
        </w:rPr>
        <w:t xml:space="preserve">. </w:t>
      </w:r>
      <w:r w:rsidR="006F032B">
        <w:rPr>
          <w:noProof/>
          <w:lang w:eastAsia="ja-JP"/>
        </w:rPr>
        <w:t xml:space="preserve">The Commission recalled that the general escape clause of the Stability and Growth Pact will be deactivated at the end of 2023. </w:t>
      </w:r>
      <w:r w:rsidR="000B5343">
        <w:rPr>
          <w:noProof/>
          <w:lang w:eastAsia="ja-JP"/>
        </w:rPr>
        <w:t>It</w:t>
      </w:r>
      <w:r w:rsidR="006F032B" w:rsidRPr="339E3544">
        <w:rPr>
          <w:noProof/>
          <w:lang w:eastAsia="ja-JP"/>
        </w:rPr>
        <w:t xml:space="preserve"> called for fiscal policies in 2023-</w:t>
      </w:r>
      <w:r w:rsidR="003B1328">
        <w:rPr>
          <w:noProof/>
          <w:lang w:eastAsia="ja-JP"/>
        </w:rPr>
        <w:t>20</w:t>
      </w:r>
      <w:r w:rsidR="006F032B" w:rsidRPr="339E3544">
        <w:rPr>
          <w:noProof/>
          <w:lang w:eastAsia="ja-JP"/>
        </w:rPr>
        <w:t>24 that ensure medium-term debt sustainability as well as rais</w:t>
      </w:r>
      <w:r w:rsidR="00480E3F">
        <w:rPr>
          <w:noProof/>
          <w:lang w:eastAsia="ja-JP"/>
        </w:rPr>
        <w:t>e</w:t>
      </w:r>
      <w:r w:rsidR="006F032B" w:rsidRPr="339E3544">
        <w:rPr>
          <w:noProof/>
          <w:lang w:eastAsia="ja-JP"/>
        </w:rPr>
        <w:t xml:space="preserve"> potential growth in a sustainable manner. Member States were invited to set out in their </w:t>
      </w:r>
      <w:r w:rsidR="006F032B">
        <w:rPr>
          <w:noProof/>
          <w:lang w:eastAsia="ja-JP"/>
        </w:rPr>
        <w:t xml:space="preserve">2023 </w:t>
      </w:r>
      <w:r w:rsidR="000B5343">
        <w:rPr>
          <w:noProof/>
          <w:lang w:eastAsia="ja-JP"/>
        </w:rPr>
        <w:t>s</w:t>
      </w:r>
      <w:r w:rsidR="006F032B" w:rsidRPr="339E3544">
        <w:rPr>
          <w:noProof/>
          <w:lang w:eastAsia="ja-JP"/>
        </w:rPr>
        <w:t xml:space="preserve">tability and </w:t>
      </w:r>
      <w:r w:rsidR="000B5343">
        <w:rPr>
          <w:noProof/>
          <w:lang w:eastAsia="ja-JP"/>
        </w:rPr>
        <w:t>c</w:t>
      </w:r>
      <w:r w:rsidR="006F032B" w:rsidRPr="339E3544">
        <w:rPr>
          <w:noProof/>
          <w:lang w:eastAsia="ja-JP"/>
        </w:rPr>
        <w:t xml:space="preserve">onvergence </w:t>
      </w:r>
      <w:r w:rsidR="000B5343">
        <w:rPr>
          <w:noProof/>
          <w:lang w:eastAsia="ja-JP"/>
        </w:rPr>
        <w:t>p</w:t>
      </w:r>
      <w:r w:rsidR="006F032B" w:rsidRPr="339E3544">
        <w:rPr>
          <w:noProof/>
          <w:lang w:eastAsia="ja-JP"/>
        </w:rPr>
        <w:t>rogrammes</w:t>
      </w:r>
      <w:r w:rsidR="006F032B">
        <w:rPr>
          <w:noProof/>
          <w:lang w:eastAsia="ja-JP"/>
        </w:rPr>
        <w:t xml:space="preserve"> </w:t>
      </w:r>
      <w:r w:rsidR="006F032B" w:rsidRPr="339E3544">
        <w:rPr>
          <w:noProof/>
          <w:lang w:eastAsia="ja-JP"/>
        </w:rPr>
        <w:t xml:space="preserve">how their fiscal plans </w:t>
      </w:r>
      <w:r w:rsidR="005E6971">
        <w:rPr>
          <w:noProof/>
          <w:lang w:eastAsia="ja-JP"/>
        </w:rPr>
        <w:t>will</w:t>
      </w:r>
      <w:r w:rsidR="005E6971" w:rsidRPr="339E3544">
        <w:rPr>
          <w:noProof/>
          <w:lang w:eastAsia="ja-JP"/>
        </w:rPr>
        <w:t xml:space="preserve"> </w:t>
      </w:r>
      <w:r w:rsidR="006F032B" w:rsidRPr="339E3544">
        <w:rPr>
          <w:noProof/>
          <w:lang w:eastAsia="ja-JP"/>
        </w:rPr>
        <w:t xml:space="preserve">ensure </w:t>
      </w:r>
      <w:r w:rsidR="000B5343">
        <w:rPr>
          <w:noProof/>
          <w:lang w:eastAsia="ja-JP"/>
        </w:rPr>
        <w:t xml:space="preserve">that </w:t>
      </w:r>
      <w:r w:rsidR="006F032B" w:rsidRPr="339E3544">
        <w:rPr>
          <w:noProof/>
          <w:lang w:eastAsia="ja-JP"/>
        </w:rPr>
        <w:t xml:space="preserve">the 3% of GDP deficit reference value </w:t>
      </w:r>
      <w:r w:rsidR="000B5343">
        <w:rPr>
          <w:noProof/>
          <w:lang w:eastAsia="ja-JP"/>
        </w:rPr>
        <w:t xml:space="preserve">is adhered to </w:t>
      </w:r>
      <w:r w:rsidR="006F032B" w:rsidRPr="339E3544">
        <w:rPr>
          <w:noProof/>
          <w:lang w:eastAsia="ja-JP"/>
        </w:rPr>
        <w:t xml:space="preserve">as well as plausible and continuous debt reduction, or for debt to be kept at prudent levels in the medium term. </w:t>
      </w:r>
      <w:r w:rsidR="005E6971">
        <w:rPr>
          <w:noProof/>
          <w:lang w:eastAsia="ja-JP"/>
        </w:rPr>
        <w:t>The Commission</w:t>
      </w:r>
      <w:r w:rsidR="005E6971" w:rsidRPr="339E3544">
        <w:rPr>
          <w:noProof/>
          <w:lang w:eastAsia="ja-JP"/>
        </w:rPr>
        <w:t xml:space="preserve"> </w:t>
      </w:r>
      <w:r w:rsidR="006F032B" w:rsidRPr="339E3544">
        <w:rPr>
          <w:noProof/>
          <w:lang w:eastAsia="ja-JP"/>
        </w:rPr>
        <w:t>invited Member States to phase out national fiscal measures introduced to protect households and firms from the energy price shock</w:t>
      </w:r>
      <w:r w:rsidR="006F032B">
        <w:rPr>
          <w:noProof/>
          <w:lang w:eastAsia="ja-JP"/>
        </w:rPr>
        <w:t xml:space="preserve">, starting with the least targeted ones. </w:t>
      </w:r>
      <w:r w:rsidR="000B5343">
        <w:rPr>
          <w:noProof/>
          <w:lang w:eastAsia="ja-JP"/>
        </w:rPr>
        <w:t xml:space="preserve">It indicated </w:t>
      </w:r>
      <w:r w:rsidR="00FB2149">
        <w:rPr>
          <w:noProof/>
        </w:rPr>
        <w:t xml:space="preserve">that, </w:t>
      </w:r>
      <w:r w:rsidR="006F032B" w:rsidRPr="339E3544">
        <w:rPr>
          <w:noProof/>
          <w:lang w:eastAsia="ja-JP"/>
        </w:rPr>
        <w:t xml:space="preserve">if support measures </w:t>
      </w:r>
      <w:r w:rsidR="000B5343">
        <w:rPr>
          <w:noProof/>
          <w:lang w:eastAsia="ja-JP"/>
        </w:rPr>
        <w:t xml:space="preserve">needed to be extended </w:t>
      </w:r>
      <w:r w:rsidR="006F032B" w:rsidRPr="339E3544">
        <w:rPr>
          <w:noProof/>
          <w:lang w:eastAsia="ja-JP"/>
        </w:rPr>
        <w:t xml:space="preserve">because of renewed energy </w:t>
      </w:r>
      <w:r w:rsidR="006A6D76">
        <w:rPr>
          <w:noProof/>
          <w:lang w:eastAsia="ja-JP"/>
        </w:rPr>
        <w:t xml:space="preserve">price </w:t>
      </w:r>
      <w:r w:rsidR="006F032B" w:rsidRPr="339E3544">
        <w:rPr>
          <w:noProof/>
          <w:lang w:eastAsia="ja-JP"/>
        </w:rPr>
        <w:t xml:space="preserve">pressures, </w:t>
      </w:r>
      <w:r w:rsidR="006F032B">
        <w:rPr>
          <w:noProof/>
          <w:lang w:eastAsia="ja-JP"/>
        </w:rPr>
        <w:t>Member States should</w:t>
      </w:r>
      <w:r w:rsidR="006F032B" w:rsidRPr="339E3544">
        <w:rPr>
          <w:noProof/>
          <w:lang w:eastAsia="ja-JP"/>
        </w:rPr>
        <w:t xml:space="preserve"> target such measures </w:t>
      </w:r>
      <w:r w:rsidR="006F032B">
        <w:rPr>
          <w:noProof/>
          <w:lang w:eastAsia="ja-JP"/>
        </w:rPr>
        <w:t xml:space="preserve">much better than in the past </w:t>
      </w:r>
      <w:r w:rsidR="006F032B" w:rsidRPr="339E3544">
        <w:rPr>
          <w:noProof/>
          <w:lang w:eastAsia="ja-JP"/>
        </w:rPr>
        <w:t>to</w:t>
      </w:r>
      <w:r w:rsidR="000B5343">
        <w:rPr>
          <w:noProof/>
          <w:lang w:eastAsia="ja-JP"/>
        </w:rPr>
        <w:t>wards</w:t>
      </w:r>
      <w:r w:rsidR="006F032B" w:rsidRPr="339E3544">
        <w:rPr>
          <w:noProof/>
          <w:lang w:eastAsia="ja-JP"/>
        </w:rPr>
        <w:t xml:space="preserve"> vulnerable households and firms. </w:t>
      </w:r>
      <w:r w:rsidR="006F032B" w:rsidRPr="00902612">
        <w:rPr>
          <w:noProof/>
          <w:lang w:eastAsia="ja-JP"/>
        </w:rPr>
        <w:t xml:space="preserve">The Commission </w:t>
      </w:r>
      <w:r w:rsidR="00FB2149">
        <w:rPr>
          <w:noProof/>
          <w:lang w:eastAsia="ja-JP"/>
        </w:rPr>
        <w:t xml:space="preserve">proposed </w:t>
      </w:r>
      <w:r w:rsidR="006F032B" w:rsidRPr="00902612">
        <w:rPr>
          <w:noProof/>
          <w:lang w:eastAsia="ja-JP"/>
        </w:rPr>
        <w:t xml:space="preserve">that </w:t>
      </w:r>
      <w:r w:rsidR="006F032B" w:rsidRPr="6A50C796">
        <w:rPr>
          <w:noProof/>
        </w:rPr>
        <w:t xml:space="preserve">the fiscal recommendations would be </w:t>
      </w:r>
      <w:r w:rsidR="00104902">
        <w:rPr>
          <w:noProof/>
        </w:rPr>
        <w:t>quantified and differentiated</w:t>
      </w:r>
      <w:r w:rsidR="00104902" w:rsidRPr="6A50C796">
        <w:rPr>
          <w:noProof/>
        </w:rPr>
        <w:t xml:space="preserve"> </w:t>
      </w:r>
      <w:r w:rsidR="009F107B">
        <w:rPr>
          <w:noProof/>
        </w:rPr>
        <w:t xml:space="preserve">and be </w:t>
      </w:r>
      <w:r w:rsidR="006F032B" w:rsidRPr="6A50C796">
        <w:rPr>
          <w:noProof/>
        </w:rPr>
        <w:t>formulated on the basis of net primary expenditure</w:t>
      </w:r>
      <w:r w:rsidR="000B5343">
        <w:rPr>
          <w:noProof/>
        </w:rPr>
        <w:t>,</w:t>
      </w:r>
      <w:r w:rsidR="006F032B" w:rsidRPr="6A50C796">
        <w:rPr>
          <w:noProof/>
        </w:rPr>
        <w:t xml:space="preserve"> as proposed in </w:t>
      </w:r>
      <w:r w:rsidR="000B5343">
        <w:rPr>
          <w:noProof/>
        </w:rPr>
        <w:t>its</w:t>
      </w:r>
      <w:r w:rsidR="006F032B" w:rsidRPr="6A50C796">
        <w:rPr>
          <w:noProof/>
        </w:rPr>
        <w:t xml:space="preserve"> </w:t>
      </w:r>
      <w:r w:rsidR="006F032B" w:rsidRPr="00EC732E">
        <w:rPr>
          <w:noProof/>
        </w:rPr>
        <w:t>Communication on orientations for a reform of the EU economic governance framework</w:t>
      </w:r>
      <w:r w:rsidR="006F032B">
        <w:rPr>
          <w:rStyle w:val="FootnoteReference"/>
          <w:noProof/>
        </w:rPr>
        <w:footnoteReference w:id="10"/>
      </w:r>
      <w:r w:rsidR="000B5343">
        <w:rPr>
          <w:noProof/>
        </w:rPr>
        <w:t>.</w:t>
      </w:r>
      <w:r w:rsidR="006F032B" w:rsidRPr="6A50C796">
        <w:rPr>
          <w:noProof/>
        </w:rPr>
        <w:t xml:space="preserve"> </w:t>
      </w:r>
      <w:r w:rsidR="000B5343">
        <w:rPr>
          <w:noProof/>
        </w:rPr>
        <w:t xml:space="preserve">It </w:t>
      </w:r>
      <w:r w:rsidR="00FB2149">
        <w:rPr>
          <w:noProof/>
        </w:rPr>
        <w:t>recommended that a</w:t>
      </w:r>
      <w:r w:rsidR="006F032B" w:rsidRPr="6A50C796">
        <w:rPr>
          <w:noProof/>
        </w:rPr>
        <w:t>ll Member States should continue to protect nationally financed investment and ensure the effective use of the R</w:t>
      </w:r>
      <w:r w:rsidR="000B5343">
        <w:rPr>
          <w:noProof/>
        </w:rPr>
        <w:t xml:space="preserve">ecovery and </w:t>
      </w:r>
      <w:r w:rsidR="006F032B" w:rsidRPr="6A50C796">
        <w:rPr>
          <w:noProof/>
        </w:rPr>
        <w:t>R</w:t>
      </w:r>
      <w:r w:rsidR="000B5343">
        <w:rPr>
          <w:noProof/>
        </w:rPr>
        <w:t xml:space="preserve">esilience </w:t>
      </w:r>
      <w:r w:rsidR="006F032B" w:rsidRPr="6A50C796">
        <w:rPr>
          <w:noProof/>
        </w:rPr>
        <w:t>F</w:t>
      </w:r>
      <w:r w:rsidR="000B5343">
        <w:rPr>
          <w:noProof/>
        </w:rPr>
        <w:t>acility</w:t>
      </w:r>
      <w:r w:rsidR="006F032B" w:rsidRPr="6A50C796">
        <w:rPr>
          <w:noProof/>
        </w:rPr>
        <w:t xml:space="preserve"> and other EU funds, in particular in light of the green and digital transition and resilience objectives</w:t>
      </w:r>
      <w:r w:rsidR="006F032B">
        <w:rPr>
          <w:noProof/>
        </w:rPr>
        <w:t>. The Commission</w:t>
      </w:r>
      <w:r w:rsidR="00FB2149">
        <w:rPr>
          <w:noProof/>
        </w:rPr>
        <w:t xml:space="preserve"> </w:t>
      </w:r>
      <w:r w:rsidR="0059242D">
        <w:rPr>
          <w:noProof/>
        </w:rPr>
        <w:t xml:space="preserve">indicated </w:t>
      </w:r>
      <w:r w:rsidR="00FB2149">
        <w:rPr>
          <w:noProof/>
        </w:rPr>
        <w:t xml:space="preserve">that it </w:t>
      </w:r>
      <w:r w:rsidR="006F032B">
        <w:rPr>
          <w:noProof/>
        </w:rPr>
        <w:t xml:space="preserve">will propose to the Council to open deficit-based </w:t>
      </w:r>
      <w:r w:rsidR="0059242D">
        <w:rPr>
          <w:noProof/>
        </w:rPr>
        <w:t>e</w:t>
      </w:r>
      <w:r w:rsidR="006F032B">
        <w:rPr>
          <w:noProof/>
        </w:rPr>
        <w:t xml:space="preserve">xcessive </w:t>
      </w:r>
      <w:r w:rsidR="0059242D">
        <w:rPr>
          <w:noProof/>
        </w:rPr>
        <w:t>d</w:t>
      </w:r>
      <w:r w:rsidR="006F032B">
        <w:rPr>
          <w:noProof/>
        </w:rPr>
        <w:t xml:space="preserve">eficit </w:t>
      </w:r>
      <w:r w:rsidR="0059242D">
        <w:rPr>
          <w:noProof/>
        </w:rPr>
        <w:t>p</w:t>
      </w:r>
      <w:r w:rsidR="006F032B">
        <w:rPr>
          <w:noProof/>
        </w:rPr>
        <w:t>rocedures in spring 2024 on the basis of the outturn data for 2023, in line with existing legal provisions.</w:t>
      </w:r>
    </w:p>
    <w:p w14:paraId="3257C886" w14:textId="3A503332" w:rsidR="00AC7B5C" w:rsidRPr="00902612" w:rsidRDefault="00AB4D48" w:rsidP="00AB4D48">
      <w:pPr>
        <w:pStyle w:val="ManualConsidrant"/>
        <w:rPr>
          <w:noProof/>
          <w:lang w:eastAsia="ja-JP"/>
        </w:rPr>
      </w:pPr>
      <w:r w:rsidRPr="00AB4D48">
        <w:t>(8)</w:t>
      </w:r>
      <w:r w:rsidRPr="00AB4D48">
        <w:tab/>
      </w:r>
      <w:r w:rsidR="00647931" w:rsidRPr="007A48F6">
        <w:rPr>
          <w:noProof/>
          <w:lang w:eastAsia="ja-JP"/>
        </w:rPr>
        <w:t>On 26 April 2023, the Commission presented legislative proposals to implement a comprehensive reform of the EU</w:t>
      </w:r>
      <w:r w:rsidR="00853E64" w:rsidRPr="4670383A">
        <w:rPr>
          <w:noProof/>
          <w:lang w:val="en-IE"/>
        </w:rPr>
        <w:t>’</w:t>
      </w:r>
      <w:r w:rsidR="00647931" w:rsidRPr="007A48F6">
        <w:rPr>
          <w:noProof/>
          <w:lang w:eastAsia="ja-JP"/>
        </w:rPr>
        <w:t>s economic governance rules. The central objective of the proposals is to strengthen public debt sustainability and promote sustainable and inclusive growth in all Member States through reforms and investment</w:t>
      </w:r>
      <w:r w:rsidR="00853E64">
        <w:rPr>
          <w:noProof/>
          <w:lang w:eastAsia="ja-JP"/>
        </w:rPr>
        <w:t>s</w:t>
      </w:r>
      <w:r w:rsidR="00647931" w:rsidRPr="007A48F6">
        <w:rPr>
          <w:noProof/>
          <w:lang w:eastAsia="ja-JP"/>
        </w:rPr>
        <w:t>. The proposals aim at providing Member States with more control over the design of their medium-term plans, while putting in place a more stringent enforcement regime to ensure that Member States deliver on the commitments undertake</w:t>
      </w:r>
      <w:r w:rsidR="00853E64">
        <w:rPr>
          <w:noProof/>
          <w:lang w:eastAsia="ja-JP"/>
        </w:rPr>
        <w:t>n</w:t>
      </w:r>
      <w:r w:rsidR="00647931" w:rsidRPr="007A48F6">
        <w:rPr>
          <w:noProof/>
          <w:lang w:eastAsia="ja-JP"/>
        </w:rPr>
        <w:t xml:space="preserve"> in their medium-term fiscal-structural plans. The objective is to conclude </w:t>
      </w:r>
      <w:r w:rsidR="00853E64" w:rsidRPr="007A48F6">
        <w:rPr>
          <w:noProof/>
          <w:lang w:eastAsia="ja-JP"/>
        </w:rPr>
        <w:t xml:space="preserve">the legislative work </w:t>
      </w:r>
      <w:r w:rsidR="00647931" w:rsidRPr="007A48F6">
        <w:rPr>
          <w:noProof/>
          <w:lang w:eastAsia="ja-JP"/>
        </w:rPr>
        <w:t>in 2023.</w:t>
      </w:r>
      <w:r w:rsidR="0011339F" w:rsidRPr="007A48F6">
        <w:rPr>
          <w:noProof/>
          <w:lang w:eastAsia="ja-JP"/>
        </w:rPr>
        <w:t xml:space="preserve"> </w:t>
      </w:r>
    </w:p>
    <w:p w14:paraId="6CB49B89" w14:textId="27DBE796" w:rsidR="00373387" w:rsidRPr="00016E7F" w:rsidRDefault="00AB4D48" w:rsidP="00AB4D48">
      <w:pPr>
        <w:pStyle w:val="ManualConsidrant"/>
        <w:rPr>
          <w:noProof/>
        </w:rPr>
      </w:pPr>
      <w:r w:rsidRPr="00AB4D48">
        <w:t>(9)</w:t>
      </w:r>
      <w:r w:rsidRPr="00AB4D48">
        <w:tab/>
      </w:r>
      <w:r w:rsidR="00C849D3" w:rsidRPr="4670383A">
        <w:rPr>
          <w:noProof/>
        </w:rPr>
        <w:t>On</w:t>
      </w:r>
      <w:r w:rsidR="00B71A69">
        <w:rPr>
          <w:noProof/>
        </w:rPr>
        <w:t xml:space="preserve"> </w:t>
      </w:r>
      <w:r w:rsidR="00B71A69" w:rsidRPr="00B71A69">
        <w:rPr>
          <w:noProof/>
        </w:rPr>
        <w:t>30 April 202</w:t>
      </w:r>
      <w:r w:rsidR="000F426F">
        <w:rPr>
          <w:noProof/>
        </w:rPr>
        <w:t>1</w:t>
      </w:r>
      <w:r w:rsidR="00B71A69" w:rsidRPr="00B71A69">
        <w:rPr>
          <w:noProof/>
        </w:rPr>
        <w:t>,</w:t>
      </w:r>
      <w:r w:rsidR="00B71A69">
        <w:rPr>
          <w:noProof/>
        </w:rPr>
        <w:t xml:space="preserve"> </w:t>
      </w:r>
      <w:r w:rsidR="00BD1490">
        <w:rPr>
          <w:noProof/>
        </w:rPr>
        <w:t>Greece</w:t>
      </w:r>
      <w:r w:rsidR="00C849D3" w:rsidRPr="4670383A">
        <w:rPr>
          <w:noProof/>
        </w:rPr>
        <w:t xml:space="preserve"> submitted </w:t>
      </w:r>
      <w:r w:rsidR="00373387" w:rsidRPr="4670383A">
        <w:rPr>
          <w:noProof/>
        </w:rPr>
        <w:t xml:space="preserve">its national recovery and resilience plan to the Commission, in accordance with Article 18(1) of Regulation (EU) 2021/241. Pursuant to Article 19 of Regulation (EU) 2021/241, the Commission assessed the relevance, effectiveness, efficiency and coherence of the recovery and resilience plan, in accordance with the assessment guidelines of Annex V to that Regulation. On </w:t>
      </w:r>
      <w:r w:rsidR="00BD1490">
        <w:rPr>
          <w:noProof/>
        </w:rPr>
        <w:t>13 July 2021</w:t>
      </w:r>
      <w:r w:rsidR="00C849D3">
        <w:rPr>
          <w:noProof/>
          <w:szCs w:val="24"/>
        </w:rPr>
        <w:t>,</w:t>
      </w:r>
      <w:r w:rsidR="00373387" w:rsidRPr="4670383A">
        <w:rPr>
          <w:noProof/>
        </w:rPr>
        <w:t xml:space="preserve"> the Council adopted its Decision on the approval of the assessment of the recovery and resilience plan for </w:t>
      </w:r>
      <w:r w:rsidR="00BD1490">
        <w:rPr>
          <w:noProof/>
        </w:rPr>
        <w:t>Greece</w:t>
      </w:r>
      <w:r w:rsidR="00373387" w:rsidRPr="4670383A">
        <w:rPr>
          <w:rStyle w:val="FootnoteReference"/>
          <w:noProof/>
        </w:rPr>
        <w:footnoteReference w:id="11"/>
      </w:r>
      <w:r w:rsidR="00373387">
        <w:rPr>
          <w:noProof/>
          <w:szCs w:val="24"/>
        </w:rPr>
        <w:t xml:space="preserve">. </w:t>
      </w:r>
      <w:r w:rsidR="00373387" w:rsidRPr="4670383A">
        <w:rPr>
          <w:noProof/>
        </w:rPr>
        <w:t>The release of instalments is conditional on a decision by the Commission, taken in accordance with Article 24(5) of Regula</w:t>
      </w:r>
      <w:r w:rsidR="00563117" w:rsidRPr="4670383A">
        <w:rPr>
          <w:noProof/>
        </w:rPr>
        <w:t xml:space="preserve">tion (EU) 2021/241, </w:t>
      </w:r>
      <w:r w:rsidR="00373387" w:rsidRPr="4670383A">
        <w:rPr>
          <w:noProof/>
        </w:rPr>
        <w:t xml:space="preserve">that </w:t>
      </w:r>
      <w:r w:rsidR="002307A9">
        <w:rPr>
          <w:noProof/>
        </w:rPr>
        <w:t>Greece</w:t>
      </w:r>
      <w:r w:rsidR="00C849D3">
        <w:rPr>
          <w:noProof/>
          <w:szCs w:val="24"/>
        </w:rPr>
        <w:t xml:space="preserve"> </w:t>
      </w:r>
      <w:r w:rsidR="00373387" w:rsidRPr="4670383A">
        <w:rPr>
          <w:noProof/>
        </w:rPr>
        <w:t xml:space="preserve">has satisfactorily </w:t>
      </w:r>
      <w:r w:rsidR="000F426F">
        <w:rPr>
          <w:noProof/>
        </w:rPr>
        <w:t>reached</w:t>
      </w:r>
      <w:r w:rsidR="00373387" w:rsidRPr="4670383A">
        <w:rPr>
          <w:noProof/>
        </w:rPr>
        <w:t xml:space="preserve"> the relevant milestones and targets set out in the Council Implementing Decision</w:t>
      </w:r>
      <w:r w:rsidR="00373387" w:rsidRPr="00245B89">
        <w:rPr>
          <w:noProof/>
          <w:szCs w:val="24"/>
        </w:rPr>
        <w:t>.</w:t>
      </w:r>
      <w:r w:rsidR="00373387" w:rsidRPr="4670383A">
        <w:rPr>
          <w:noProof/>
        </w:rPr>
        <w:t xml:space="preserve"> Satisfactory fulfilment presupposes that the achievement of preceding milestones and targets has not been reversed.</w:t>
      </w:r>
    </w:p>
    <w:p w14:paraId="67BFD552" w14:textId="3B362951" w:rsidR="00373387" w:rsidRPr="007A6CA4" w:rsidRDefault="00AB4D48" w:rsidP="00AB4D48">
      <w:pPr>
        <w:pStyle w:val="ManualConsidrant"/>
        <w:rPr>
          <w:noProof/>
          <w:lang w:val="en-IE"/>
        </w:rPr>
      </w:pPr>
      <w:r w:rsidRPr="00AB4D48">
        <w:t>(10)</w:t>
      </w:r>
      <w:r w:rsidRPr="00AB4D48">
        <w:tab/>
      </w:r>
      <w:r w:rsidR="00563117" w:rsidRPr="4B713D4B">
        <w:rPr>
          <w:noProof/>
          <w:lang w:val="en-IE"/>
        </w:rPr>
        <w:t xml:space="preserve">On </w:t>
      </w:r>
      <w:r w:rsidR="00636E47">
        <w:rPr>
          <w:noProof/>
          <w:lang w:val="en-IE"/>
        </w:rPr>
        <w:t>2 May</w:t>
      </w:r>
      <w:r w:rsidR="00636E47" w:rsidRPr="4B713D4B">
        <w:rPr>
          <w:noProof/>
          <w:lang w:val="en-IE"/>
        </w:rPr>
        <w:t xml:space="preserve"> </w:t>
      </w:r>
      <w:r w:rsidR="00563117" w:rsidRPr="4B713D4B">
        <w:rPr>
          <w:noProof/>
          <w:lang w:val="en-IE"/>
        </w:rPr>
        <w:t>202</w:t>
      </w:r>
      <w:r w:rsidR="00FC11D9" w:rsidRPr="4B713D4B">
        <w:rPr>
          <w:noProof/>
          <w:lang w:val="en-IE"/>
        </w:rPr>
        <w:t>3</w:t>
      </w:r>
      <w:r w:rsidR="00563117" w:rsidRPr="4B713D4B">
        <w:rPr>
          <w:noProof/>
          <w:lang w:val="en-IE"/>
        </w:rPr>
        <w:t xml:space="preserve">, </w:t>
      </w:r>
      <w:r w:rsidR="002307A9">
        <w:rPr>
          <w:noProof/>
          <w:lang w:val="en-IE"/>
        </w:rPr>
        <w:t>Greece</w:t>
      </w:r>
      <w:r w:rsidR="00563117" w:rsidRPr="4B713D4B">
        <w:rPr>
          <w:noProof/>
          <w:lang w:val="en-IE"/>
        </w:rPr>
        <w:t xml:space="preserve"> </w:t>
      </w:r>
      <w:r w:rsidR="00373387" w:rsidRPr="4B713D4B">
        <w:rPr>
          <w:noProof/>
          <w:lang w:val="en-IE"/>
        </w:rPr>
        <w:t xml:space="preserve">submitted its </w:t>
      </w:r>
      <w:r w:rsidR="00947102" w:rsidRPr="4B713D4B">
        <w:rPr>
          <w:noProof/>
          <w:lang w:val="en-IE"/>
        </w:rPr>
        <w:t xml:space="preserve">2023 </w:t>
      </w:r>
      <w:r w:rsidR="00373387" w:rsidRPr="4B713D4B">
        <w:rPr>
          <w:noProof/>
          <w:lang w:val="en-IE"/>
        </w:rPr>
        <w:t xml:space="preserve">National Reform Programme and, on </w:t>
      </w:r>
      <w:r w:rsidR="00F42DFC">
        <w:rPr>
          <w:noProof/>
          <w:lang w:val="en-IE"/>
        </w:rPr>
        <w:t>29</w:t>
      </w:r>
      <w:r w:rsidR="00F42DFC" w:rsidRPr="4B713D4B">
        <w:rPr>
          <w:noProof/>
          <w:lang w:val="en-IE"/>
        </w:rPr>
        <w:t xml:space="preserve"> </w:t>
      </w:r>
      <w:r w:rsidR="00373387" w:rsidRPr="4B713D4B">
        <w:rPr>
          <w:noProof/>
          <w:lang w:val="en-IE"/>
        </w:rPr>
        <w:t>April 202</w:t>
      </w:r>
      <w:r w:rsidR="00FC11D9" w:rsidRPr="4B713D4B">
        <w:rPr>
          <w:noProof/>
          <w:lang w:val="en-IE"/>
        </w:rPr>
        <w:t>3</w:t>
      </w:r>
      <w:r w:rsidR="00373387" w:rsidRPr="4B713D4B">
        <w:rPr>
          <w:noProof/>
          <w:lang w:val="en-IE"/>
        </w:rPr>
        <w:t xml:space="preserve">, </w:t>
      </w:r>
      <w:r w:rsidR="00FB4BC7" w:rsidRPr="339E3544">
        <w:rPr>
          <w:noProof/>
          <w:lang w:val="en-IE"/>
        </w:rPr>
        <w:t xml:space="preserve">its 2023 </w:t>
      </w:r>
      <w:r w:rsidR="00FB4BC7" w:rsidRPr="00812DD1">
        <w:rPr>
          <w:noProof/>
          <w:lang w:val="en-IE"/>
        </w:rPr>
        <w:t>Stability</w:t>
      </w:r>
      <w:r w:rsidR="00FB4BC7" w:rsidRPr="007D0D11">
        <w:rPr>
          <w:noProof/>
          <w:lang w:val="en-IE"/>
        </w:rPr>
        <w:t xml:space="preserve"> Programme, </w:t>
      </w:r>
      <w:r w:rsidR="00FB4BC7" w:rsidRPr="007D0D11">
        <w:rPr>
          <w:noProof/>
        </w:rPr>
        <w:t xml:space="preserve">in line with Article 4(1) </w:t>
      </w:r>
      <w:r w:rsidR="00943182" w:rsidRPr="007D0D11">
        <w:rPr>
          <w:noProof/>
        </w:rPr>
        <w:t xml:space="preserve">of Regulation (EC) </w:t>
      </w:r>
      <w:r w:rsidR="0058661E">
        <w:rPr>
          <w:noProof/>
          <w:lang w:val="en-IE"/>
        </w:rPr>
        <w:t>No</w:t>
      </w:r>
      <w:r w:rsidR="0058661E" w:rsidRPr="007D0D11">
        <w:rPr>
          <w:noProof/>
        </w:rPr>
        <w:t xml:space="preserve"> </w:t>
      </w:r>
      <w:r w:rsidR="00943182" w:rsidRPr="007D0D11">
        <w:rPr>
          <w:noProof/>
        </w:rPr>
        <w:t>1466/97</w:t>
      </w:r>
      <w:r w:rsidR="00373387" w:rsidRPr="007D0D11">
        <w:rPr>
          <w:noProof/>
          <w:lang w:val="en-IE"/>
        </w:rPr>
        <w:t>. To take acc</w:t>
      </w:r>
      <w:r w:rsidR="00373387" w:rsidRPr="4B713D4B">
        <w:rPr>
          <w:noProof/>
          <w:lang w:val="en-IE"/>
        </w:rPr>
        <w:t>ount of their interlinkages, the two programmes have been assessed together. In accordance with Article 27 of</w:t>
      </w:r>
      <w:r w:rsidR="00373387" w:rsidRPr="4B713D4B">
        <w:rPr>
          <w:rFonts w:eastAsia="Times New Roman"/>
          <w:noProof/>
          <w:color w:val="000000" w:themeColor="text1"/>
          <w:lang w:val="en-IE"/>
        </w:rPr>
        <w:t xml:space="preserve"> Regulation (EU) 2021/241,</w:t>
      </w:r>
      <w:r w:rsidR="00373387" w:rsidRPr="4B713D4B">
        <w:rPr>
          <w:rFonts w:eastAsia="Times New Roman"/>
          <w:noProof/>
          <w:lang w:val="en-IE"/>
        </w:rPr>
        <w:t xml:space="preserve"> the </w:t>
      </w:r>
      <w:r w:rsidR="00FC11D9" w:rsidRPr="4B713D4B">
        <w:rPr>
          <w:rFonts w:eastAsia="Times New Roman"/>
          <w:noProof/>
          <w:lang w:val="en-IE"/>
        </w:rPr>
        <w:t>2023</w:t>
      </w:r>
      <w:r w:rsidR="00373387" w:rsidRPr="4B713D4B">
        <w:rPr>
          <w:rFonts w:eastAsia="Times New Roman"/>
          <w:noProof/>
          <w:lang w:val="en-IE"/>
        </w:rPr>
        <w:t xml:space="preserve"> National Reform Programme also reflects </w:t>
      </w:r>
      <w:r w:rsidR="002307A9">
        <w:rPr>
          <w:noProof/>
          <w:lang w:val="en-IE"/>
        </w:rPr>
        <w:t>Greece</w:t>
      </w:r>
      <w:r w:rsidR="006A5096" w:rsidRPr="4B713D4B">
        <w:rPr>
          <w:noProof/>
          <w:lang w:val="en-IE"/>
        </w:rPr>
        <w:t>’s</w:t>
      </w:r>
      <w:r w:rsidR="00373387" w:rsidRPr="4B713D4B">
        <w:rPr>
          <w:noProof/>
          <w:lang w:val="en-IE"/>
        </w:rPr>
        <w:t xml:space="preserve"> biannual reporting </w:t>
      </w:r>
      <w:r w:rsidR="00373387" w:rsidRPr="4B713D4B">
        <w:rPr>
          <w:rFonts w:eastAsia="Times New Roman"/>
          <w:noProof/>
          <w:lang w:val="en-IE"/>
        </w:rPr>
        <w:t>on the progress made in achieving its recovery and resilience plan.</w:t>
      </w:r>
      <w:r w:rsidR="00373387" w:rsidRPr="4B713D4B">
        <w:rPr>
          <w:noProof/>
          <w:lang w:val="en-IE"/>
        </w:rPr>
        <w:t xml:space="preserve"> </w:t>
      </w:r>
    </w:p>
    <w:p w14:paraId="4567A30D" w14:textId="12DCC9CB" w:rsidR="00373387" w:rsidRPr="007A6CA4" w:rsidRDefault="00AB4D48" w:rsidP="00AB4D48">
      <w:pPr>
        <w:pStyle w:val="ManualConsidrant"/>
        <w:rPr>
          <w:noProof/>
          <w:lang w:val="en-IE"/>
        </w:rPr>
      </w:pPr>
      <w:r w:rsidRPr="00AB4D48">
        <w:t>(11)</w:t>
      </w:r>
      <w:r w:rsidRPr="00AB4D48">
        <w:tab/>
      </w:r>
      <w:r w:rsidR="00373387" w:rsidRPr="4670383A">
        <w:rPr>
          <w:noProof/>
          <w:lang w:val="en-IE"/>
        </w:rPr>
        <w:t>The Commission published the 202</w:t>
      </w:r>
      <w:r w:rsidR="3860AC02" w:rsidRPr="4670383A">
        <w:rPr>
          <w:noProof/>
          <w:lang w:val="en-IE"/>
        </w:rPr>
        <w:t>3</w:t>
      </w:r>
      <w:r w:rsidR="00373387" w:rsidRPr="4670383A">
        <w:rPr>
          <w:noProof/>
          <w:lang w:val="en-IE"/>
        </w:rPr>
        <w:t xml:space="preserve"> country report for </w:t>
      </w:r>
      <w:r w:rsidR="00B54EFC">
        <w:rPr>
          <w:noProof/>
          <w:lang w:val="en-IE"/>
        </w:rPr>
        <w:t>Greece</w:t>
      </w:r>
      <w:r w:rsidR="00373387" w:rsidRPr="00495DEB">
        <w:rPr>
          <w:rStyle w:val="FootnoteReference"/>
          <w:noProof/>
        </w:rPr>
        <w:footnoteReference w:id="12"/>
      </w:r>
      <w:r w:rsidR="00373387" w:rsidRPr="4670383A">
        <w:rPr>
          <w:noProof/>
          <w:lang w:val="en-IE"/>
        </w:rPr>
        <w:t xml:space="preserve"> on </w:t>
      </w:r>
      <w:r w:rsidR="008A4008">
        <w:rPr>
          <w:noProof/>
          <w:lang w:val="en-IE"/>
        </w:rPr>
        <w:t>24</w:t>
      </w:r>
      <w:r w:rsidR="00373387" w:rsidRPr="4670383A">
        <w:rPr>
          <w:noProof/>
          <w:lang w:val="en-IE"/>
        </w:rPr>
        <w:t xml:space="preserve"> </w:t>
      </w:r>
      <w:r w:rsidR="716011E8" w:rsidRPr="4670383A">
        <w:rPr>
          <w:noProof/>
          <w:lang w:val="en-IE"/>
        </w:rPr>
        <w:t>May 2023</w:t>
      </w:r>
      <w:r w:rsidR="00373387" w:rsidRPr="4670383A">
        <w:rPr>
          <w:noProof/>
          <w:lang w:val="en-IE"/>
        </w:rPr>
        <w:t xml:space="preserve">. It </w:t>
      </w:r>
      <w:r w:rsidR="6CFF96C3" w:rsidRPr="4670383A">
        <w:rPr>
          <w:noProof/>
          <w:lang w:val="en-IE"/>
        </w:rPr>
        <w:t xml:space="preserve">assessed </w:t>
      </w:r>
      <w:r w:rsidR="00B54EFC">
        <w:rPr>
          <w:noProof/>
          <w:lang w:val="en-IE"/>
        </w:rPr>
        <w:t>Greece</w:t>
      </w:r>
      <w:bookmarkStart w:id="1" w:name="_Hlk134438216"/>
      <w:r w:rsidR="6CFF96C3" w:rsidRPr="4670383A">
        <w:rPr>
          <w:noProof/>
          <w:lang w:val="en-IE"/>
        </w:rPr>
        <w:t>’</w:t>
      </w:r>
      <w:bookmarkEnd w:id="1"/>
      <w:r w:rsidR="6CFF96C3" w:rsidRPr="4670383A">
        <w:rPr>
          <w:noProof/>
          <w:lang w:val="en-IE"/>
        </w:rPr>
        <w:t xml:space="preserve">s progress in addressing the relevant country-specific recommendations adopted by the Council </w:t>
      </w:r>
      <w:r w:rsidR="6ED04E35">
        <w:rPr>
          <w:noProof/>
          <w:lang w:val="en-IE"/>
        </w:rPr>
        <w:t>between</w:t>
      </w:r>
      <w:r w:rsidR="6CFF96C3" w:rsidRPr="4670383A">
        <w:rPr>
          <w:noProof/>
          <w:lang w:val="en-IE"/>
        </w:rPr>
        <w:t xml:space="preserve"> 2019</w:t>
      </w:r>
      <w:r w:rsidR="2C57B73B">
        <w:rPr>
          <w:noProof/>
          <w:lang w:val="en-IE"/>
        </w:rPr>
        <w:t xml:space="preserve"> </w:t>
      </w:r>
      <w:r w:rsidR="6CFF96C3" w:rsidRPr="4670383A">
        <w:rPr>
          <w:noProof/>
          <w:lang w:val="en-IE"/>
        </w:rPr>
        <w:t xml:space="preserve">and </w:t>
      </w:r>
      <w:r w:rsidR="3860AC02" w:rsidRPr="4670383A">
        <w:rPr>
          <w:noProof/>
          <w:lang w:val="en-IE"/>
        </w:rPr>
        <w:t>2022</w:t>
      </w:r>
      <w:r w:rsidR="000F426F">
        <w:rPr>
          <w:noProof/>
          <w:lang w:val="en-IE"/>
        </w:rPr>
        <w:t>,</w:t>
      </w:r>
      <w:r w:rsidR="6CFF96C3" w:rsidRPr="4670383A">
        <w:rPr>
          <w:noProof/>
          <w:lang w:val="en-IE"/>
        </w:rPr>
        <w:t xml:space="preserve"> and </w:t>
      </w:r>
      <w:r w:rsidR="00373387" w:rsidRPr="4670383A">
        <w:rPr>
          <w:noProof/>
          <w:lang w:val="en-IE"/>
        </w:rPr>
        <w:t xml:space="preserve">took stock of </w:t>
      </w:r>
      <w:r w:rsidR="00B54EFC">
        <w:rPr>
          <w:noProof/>
          <w:lang w:val="en-IE"/>
        </w:rPr>
        <w:t>Greece</w:t>
      </w:r>
      <w:r w:rsidR="2C57B73B" w:rsidRPr="4670383A">
        <w:rPr>
          <w:noProof/>
          <w:lang w:val="en-IE"/>
        </w:rPr>
        <w:t xml:space="preserve">’s </w:t>
      </w:r>
      <w:r w:rsidR="00373387" w:rsidRPr="4670383A">
        <w:rPr>
          <w:noProof/>
          <w:lang w:val="en-IE"/>
        </w:rPr>
        <w:t xml:space="preserve">implementation of the recovery and resilience plan. Based on this analysis, the country report identified gaps with respect to those challenges that are not addressed or only partially addressed by the recovery and resilience plan, as well as new and emerging challenges. It also assessed </w:t>
      </w:r>
      <w:r w:rsidR="00B54EFC">
        <w:rPr>
          <w:noProof/>
          <w:lang w:val="en-IE"/>
        </w:rPr>
        <w:t>Greece</w:t>
      </w:r>
      <w:r w:rsidR="00373387" w:rsidRPr="4670383A">
        <w:rPr>
          <w:noProof/>
          <w:lang w:val="en-IE"/>
        </w:rPr>
        <w:t xml:space="preserve">’s progress on implementing the European Pillar of Social Rights and on achieving the EU headline targets on employment, skills and poverty reduction, as well as progress in achieving the UN’s Sustainable Development Goals. </w:t>
      </w:r>
    </w:p>
    <w:p w14:paraId="33E6F1A8" w14:textId="29B7FFCB" w:rsidR="00F22E87" w:rsidRPr="006D367C" w:rsidRDefault="00AB4D48" w:rsidP="00AB4D48">
      <w:pPr>
        <w:pStyle w:val="ManualConsidrant"/>
        <w:rPr>
          <w:rFonts w:eastAsia="Times New Roman"/>
          <w:noProof/>
          <w:szCs w:val="24"/>
          <w:lang w:val="en-IE"/>
        </w:rPr>
      </w:pPr>
      <w:r w:rsidRPr="00AB4D48">
        <w:t>(12)</w:t>
      </w:r>
      <w:r w:rsidRPr="00AB4D48">
        <w:tab/>
      </w:r>
      <w:r w:rsidR="00373387">
        <w:rPr>
          <w:noProof/>
          <w:lang w:val="en-IE"/>
        </w:rPr>
        <w:t>The Commission carried out a</w:t>
      </w:r>
      <w:r w:rsidR="00373387" w:rsidRPr="007A6CA4">
        <w:rPr>
          <w:noProof/>
          <w:lang w:val="en-IE"/>
        </w:rPr>
        <w:t xml:space="preserve">n in-depth review under Article 5 of Regulation (EU) </w:t>
      </w:r>
      <w:r w:rsidR="0058661E">
        <w:rPr>
          <w:noProof/>
          <w:lang w:val="en-IE"/>
        </w:rPr>
        <w:t>No</w:t>
      </w:r>
      <w:r w:rsidR="0058661E" w:rsidRPr="007A6CA4">
        <w:rPr>
          <w:noProof/>
          <w:lang w:val="en-IE"/>
        </w:rPr>
        <w:t xml:space="preserve"> </w:t>
      </w:r>
      <w:r w:rsidR="00373387" w:rsidRPr="007A6CA4">
        <w:rPr>
          <w:noProof/>
          <w:lang w:val="en-IE"/>
        </w:rPr>
        <w:t xml:space="preserve">1176/2011 for </w:t>
      </w:r>
      <w:r w:rsidR="00B54EFC">
        <w:rPr>
          <w:noProof/>
        </w:rPr>
        <w:t>Greece</w:t>
      </w:r>
      <w:r w:rsidR="00157C25">
        <w:rPr>
          <w:noProof/>
        </w:rPr>
        <w:t xml:space="preserve"> </w:t>
      </w:r>
      <w:r w:rsidR="00373387" w:rsidRPr="007A6CA4">
        <w:rPr>
          <w:noProof/>
          <w:lang w:val="en-IE"/>
        </w:rPr>
        <w:t xml:space="preserve">and </w:t>
      </w:r>
      <w:r w:rsidR="00373387">
        <w:rPr>
          <w:noProof/>
          <w:lang w:val="en-IE"/>
        </w:rPr>
        <w:t xml:space="preserve">published </w:t>
      </w:r>
      <w:r w:rsidR="00373387" w:rsidRPr="007A6CA4">
        <w:rPr>
          <w:noProof/>
          <w:lang w:val="en-IE"/>
        </w:rPr>
        <w:t>its r</w:t>
      </w:r>
      <w:r w:rsidR="00373387">
        <w:rPr>
          <w:noProof/>
          <w:lang w:val="en-IE"/>
        </w:rPr>
        <w:t xml:space="preserve">esults on </w:t>
      </w:r>
      <w:r w:rsidR="00441C39">
        <w:rPr>
          <w:noProof/>
        </w:rPr>
        <w:t>24</w:t>
      </w:r>
      <w:r w:rsidR="00096500">
        <w:rPr>
          <w:noProof/>
        </w:rPr>
        <w:t xml:space="preserve"> May 2023</w:t>
      </w:r>
      <w:r w:rsidR="00373387" w:rsidRPr="00495DEB">
        <w:rPr>
          <w:rStyle w:val="FootnoteReference"/>
          <w:noProof/>
        </w:rPr>
        <w:footnoteReference w:id="13"/>
      </w:r>
      <w:r w:rsidR="00373387" w:rsidRPr="002053F6">
        <w:rPr>
          <w:noProof/>
          <w:lang w:val="en-IE"/>
        </w:rPr>
        <w:t>.</w:t>
      </w:r>
      <w:r w:rsidR="00373387" w:rsidRPr="007A6CA4">
        <w:rPr>
          <w:noProof/>
          <w:lang w:val="en-IE"/>
        </w:rPr>
        <w:t xml:space="preserve"> </w:t>
      </w:r>
      <w:r w:rsidR="000F426F">
        <w:rPr>
          <w:noProof/>
          <w:lang w:val="en-IE"/>
        </w:rPr>
        <w:t xml:space="preserve">It </w:t>
      </w:r>
      <w:r w:rsidR="00373387" w:rsidRPr="007A6CA4">
        <w:rPr>
          <w:noProof/>
          <w:lang w:val="en-IE"/>
        </w:rPr>
        <w:t>conclude</w:t>
      </w:r>
      <w:r w:rsidR="00373387">
        <w:rPr>
          <w:noProof/>
          <w:lang w:val="en-IE"/>
        </w:rPr>
        <w:t>d</w:t>
      </w:r>
      <w:r w:rsidR="00373387" w:rsidRPr="007A6CA4">
        <w:rPr>
          <w:noProof/>
          <w:lang w:val="en-IE"/>
        </w:rPr>
        <w:t xml:space="preserve"> that </w:t>
      </w:r>
      <w:r w:rsidR="00B54EFC">
        <w:rPr>
          <w:noProof/>
          <w:lang w:val="en-IE"/>
        </w:rPr>
        <w:t>Greece</w:t>
      </w:r>
      <w:r w:rsidR="00F22E87" w:rsidRPr="4670383A">
        <w:rPr>
          <w:noProof/>
          <w:lang w:val="en-IE"/>
        </w:rPr>
        <w:t xml:space="preserve"> </w:t>
      </w:r>
      <w:r w:rsidR="00373387" w:rsidRPr="007A6CA4">
        <w:rPr>
          <w:noProof/>
          <w:lang w:val="en-IE"/>
        </w:rPr>
        <w:t xml:space="preserve">is </w:t>
      </w:r>
      <w:r w:rsidR="006D367C" w:rsidRPr="002979F1">
        <w:rPr>
          <w:noProof/>
        </w:rPr>
        <w:t>experiencing excessive macr</w:t>
      </w:r>
      <w:r w:rsidR="00441C39" w:rsidRPr="002979F1">
        <w:rPr>
          <w:noProof/>
        </w:rPr>
        <w:t>oeconomic imbalances</w:t>
      </w:r>
      <w:r w:rsidR="00373387" w:rsidRPr="007A6CA4">
        <w:rPr>
          <w:noProof/>
          <w:lang w:val="en-IE"/>
        </w:rPr>
        <w:t xml:space="preserve">. </w:t>
      </w:r>
      <w:r w:rsidR="00871072" w:rsidRPr="006D367C">
        <w:rPr>
          <w:noProof/>
          <w:lang w:val="en-IE"/>
        </w:rPr>
        <w:t xml:space="preserve">In particular, </w:t>
      </w:r>
      <w:r w:rsidR="008C6D54">
        <w:rPr>
          <w:noProof/>
          <w:lang w:val="en-IE"/>
        </w:rPr>
        <w:t xml:space="preserve">vulnerabilities </w:t>
      </w:r>
      <w:r w:rsidR="008C6D54" w:rsidRPr="008C6D54">
        <w:rPr>
          <w:noProof/>
          <w:lang w:val="en-IE"/>
        </w:rPr>
        <w:t>relating to high government debt and a high stock of non-performing loans in the context of high unemployment have been receding, but its external position has deteriorated. A key concern is that the current account deficit markedly widened in 2022, despite the recovery in tourism revenue. Even though it is forecast to narrow somewhat this year and next, the external deficit is set to stay well above the level that is required to ensure a lasting improvement in the net international investment position. While the government debt-to-GDP ratio remains the highest in the EU, it improved markedly in 2022, largely thanks to strong nominal GDP growth, and it is expected to recede further in 2023 and 2024. Non-performing loans recorded a sharp fall last year building on large reductions in earlier years, yet remain high and continue to weigh on banks’ profitability and lending capacity, which in turn impinges on the capital deepening and on the productivity growth of the economy. The policy response has contributed to the unwinding of imbalances and the implementation of the RRP represents a major opportunity to tackle remaining structural weaknesses. Yet more efforts are needed, in particular to ensure that external balances are put on a firmly improving path, and that non-performing loans decline further including through increasing the effectiveness of debt enforcement and improving the secondary non-performing loans market.</w:t>
      </w:r>
      <w:r w:rsidR="008C6D54" w:rsidRPr="007A35D4" w:rsidDel="001749C8">
        <w:rPr>
          <w:noProof/>
          <w:lang w:val="en-IE"/>
        </w:rPr>
        <w:t xml:space="preserve"> </w:t>
      </w:r>
    </w:p>
    <w:p w14:paraId="3DD17BE5" w14:textId="4588BC98" w:rsidR="00CD5695" w:rsidRPr="005D2EA9" w:rsidRDefault="00AB4D48" w:rsidP="00AB4D48">
      <w:pPr>
        <w:pStyle w:val="ManualConsidrant"/>
        <w:rPr>
          <w:noProof/>
          <w:lang w:eastAsia="ja-JP"/>
        </w:rPr>
      </w:pPr>
      <w:r w:rsidRPr="00AB4D48">
        <w:t>(13)</w:t>
      </w:r>
      <w:r w:rsidRPr="00AB4D48">
        <w:tab/>
      </w:r>
      <w:r w:rsidR="00CD5695" w:rsidRPr="005D2EA9">
        <w:rPr>
          <w:noProof/>
          <w:lang w:eastAsia="ja-JP"/>
        </w:rPr>
        <w:t xml:space="preserve">Based on data </w:t>
      </w:r>
      <w:r w:rsidR="00CD5695" w:rsidRPr="005D2EA9">
        <w:rPr>
          <w:noProof/>
          <w:lang w:eastAsia="fr-BE"/>
        </w:rPr>
        <w:t>validated</w:t>
      </w:r>
      <w:r w:rsidR="00CD5695" w:rsidRPr="005D2EA9">
        <w:rPr>
          <w:noProof/>
          <w:lang w:eastAsia="ja-JP"/>
        </w:rPr>
        <w:t xml:space="preserve"> by Eurostat,</w:t>
      </w:r>
      <w:r w:rsidR="00CD5695" w:rsidRPr="007A068C">
        <w:rPr>
          <w:rStyle w:val="FootnoteReference"/>
          <w:noProof/>
        </w:rPr>
        <w:footnoteReference w:id="14"/>
      </w:r>
      <w:r w:rsidR="00CD5695" w:rsidRPr="005D2EA9">
        <w:rPr>
          <w:noProof/>
          <w:lang w:eastAsia="ja-JP"/>
        </w:rPr>
        <w:t xml:space="preserve"> Greece’s general government deficit decreased from 7.1% of GDP in 2021 to 2.3% in 2022, while general government debt fell from 194.6% of GDP at the end of 2021 to 171.3% at the end of</w:t>
      </w:r>
      <w:r w:rsidR="00CD5695" w:rsidRPr="005D2EA9" w:rsidDel="00C338CF">
        <w:rPr>
          <w:noProof/>
          <w:lang w:eastAsia="ja-JP"/>
        </w:rPr>
        <w:t xml:space="preserve"> </w:t>
      </w:r>
      <w:r w:rsidR="00CD5695" w:rsidRPr="005D2EA9">
        <w:rPr>
          <w:noProof/>
          <w:lang w:eastAsia="ja-JP"/>
        </w:rPr>
        <w:t>2022.</w:t>
      </w:r>
    </w:p>
    <w:p w14:paraId="288ACD12" w14:textId="49C27ED6" w:rsidR="00CD5695" w:rsidRPr="005D2EA9" w:rsidRDefault="00AB4D48" w:rsidP="00AB4D48">
      <w:pPr>
        <w:pStyle w:val="ManualConsidrant"/>
        <w:rPr>
          <w:noProof/>
          <w:lang w:eastAsia="ja-JP"/>
        </w:rPr>
      </w:pPr>
      <w:r w:rsidRPr="00AB4D48">
        <w:t>(14)</w:t>
      </w:r>
      <w:r w:rsidRPr="00AB4D48">
        <w:tab/>
      </w:r>
      <w:r w:rsidR="00CD5695" w:rsidRPr="005D2EA9">
        <w:rPr>
          <w:noProof/>
          <w:lang w:eastAsia="ja-JP"/>
        </w:rPr>
        <w:t xml:space="preserve">The general government balance has been impacted by the </w:t>
      </w:r>
      <w:r w:rsidR="00CD5695">
        <w:rPr>
          <w:noProof/>
          <w:lang w:eastAsia="ja-JP"/>
        </w:rPr>
        <w:t xml:space="preserve">fiscal policy </w:t>
      </w:r>
      <w:r w:rsidR="00CD5695" w:rsidRPr="005D2EA9">
        <w:rPr>
          <w:noProof/>
          <w:lang w:eastAsia="ja-JP"/>
        </w:rPr>
        <w:t>measures adopted to mitigate the economic and social impact of the increase in energy prices. In 2022, such expenditure-increasing measures included electricity subsidies to households and businesses, increased social benefits to vulnerable households. The cost of these measures was partly offset by new taxes on windfall profits of energy producers and suppliers, namely the price cap on electricity producers and the extraordinary levy on electricity producers for the period October 2021 to June 2022. The Commission estimates the net budgetary cost of these measures at 2.5% of GDP in 2022.</w:t>
      </w:r>
      <w:r w:rsidR="00CD5695">
        <w:rPr>
          <w:noProof/>
          <w:lang w:eastAsia="ja-JP"/>
        </w:rPr>
        <w:t xml:space="preserve"> </w:t>
      </w:r>
      <w:r w:rsidR="00CD5695" w:rsidRPr="00CA7ABD">
        <w:rPr>
          <w:noProof/>
          <w:lang w:eastAsia="ja-JP"/>
        </w:rPr>
        <w:t>At the same time, the estimated cost of COVID-19 temporary emergency measures dropped to 1.5% of GDP in 2022, from 6.5% in 2021.</w:t>
      </w:r>
    </w:p>
    <w:p w14:paraId="6FE9ECF3" w14:textId="5E56FA05" w:rsidR="00CD5695" w:rsidRPr="005D2EA9" w:rsidRDefault="00AB4D48" w:rsidP="00AB4D48">
      <w:pPr>
        <w:pStyle w:val="ManualConsidrant"/>
        <w:rPr>
          <w:noProof/>
          <w:lang w:eastAsia="ja-JP"/>
        </w:rPr>
      </w:pPr>
      <w:r w:rsidRPr="00AB4D48">
        <w:t>(15)</w:t>
      </w:r>
      <w:r w:rsidRPr="00AB4D48">
        <w:tab/>
      </w:r>
      <w:r w:rsidR="00CD5695" w:rsidRPr="005D2EA9">
        <w:rPr>
          <w:noProof/>
        </w:rPr>
        <w:t>On 18 June 2021, the Council recommended that in 2022 Greece</w:t>
      </w:r>
      <w:r w:rsidR="00CD5695" w:rsidRPr="007A068C">
        <w:rPr>
          <w:rStyle w:val="FootnoteReference"/>
          <w:noProof/>
        </w:rPr>
        <w:footnoteReference w:id="15"/>
      </w:r>
      <w:r w:rsidR="00CD5695" w:rsidRPr="005D2EA9">
        <w:rPr>
          <w:noProof/>
          <w:lang w:eastAsia="fr-BE"/>
        </w:rPr>
        <w:t xml:space="preserve"> use the Recovery and Resilience Facility to finance additional investment in support of the recovery, while pursuing a prudent fiscal policy. Moreover, </w:t>
      </w:r>
      <w:r w:rsidR="00CD5695">
        <w:rPr>
          <w:noProof/>
          <w:lang w:eastAsia="fr-BE"/>
        </w:rPr>
        <w:t>Greece</w:t>
      </w:r>
      <w:r w:rsidR="00CD5695" w:rsidRPr="005D2EA9">
        <w:rPr>
          <w:noProof/>
          <w:lang w:eastAsia="fr-BE"/>
        </w:rPr>
        <w:t xml:space="preserve"> should preserve nationally financed investment.</w:t>
      </w:r>
    </w:p>
    <w:p w14:paraId="7C341611" w14:textId="729F24E2" w:rsidR="00CD5695" w:rsidRPr="005D2EA9" w:rsidRDefault="00AB4D48" w:rsidP="00AB4D48">
      <w:pPr>
        <w:pStyle w:val="ManualConsidrant"/>
        <w:rPr>
          <w:noProof/>
          <w:lang w:eastAsia="ja-JP"/>
        </w:rPr>
      </w:pPr>
      <w:r w:rsidRPr="00AB4D48">
        <w:t>(16)</w:t>
      </w:r>
      <w:r w:rsidRPr="00AB4D48">
        <w:tab/>
      </w:r>
      <w:r w:rsidR="00CD5695" w:rsidRPr="005D2EA9">
        <w:rPr>
          <w:rFonts w:eastAsia="Calibri"/>
          <w:noProof/>
        </w:rPr>
        <w:t xml:space="preserve">According to the Commission estimates, </w:t>
      </w:r>
      <w:r w:rsidR="00CD5695" w:rsidRPr="005D2EA9">
        <w:rPr>
          <w:noProof/>
        </w:rPr>
        <w:t>the</w:t>
      </w:r>
      <w:r w:rsidR="00CD5695" w:rsidRPr="005D2EA9">
        <w:rPr>
          <w:noProof/>
          <w:lang w:eastAsia="ja-JP"/>
        </w:rPr>
        <w:t xml:space="preserve"> fiscal stance</w:t>
      </w:r>
      <w:r w:rsidR="00CD5695" w:rsidRPr="005D2EA9">
        <w:rPr>
          <w:rStyle w:val="FootnoteReference"/>
          <w:noProof/>
          <w:szCs w:val="24"/>
          <w:lang w:eastAsia="ja-JP"/>
        </w:rPr>
        <w:footnoteReference w:id="16"/>
      </w:r>
      <w:r w:rsidR="00CD5695" w:rsidRPr="005D2EA9">
        <w:rPr>
          <w:noProof/>
          <w:lang w:eastAsia="ja-JP"/>
        </w:rPr>
        <w:t xml:space="preserve"> in 2022 was</w:t>
      </w:r>
      <w:r w:rsidR="00CD5695" w:rsidRPr="005D2EA9">
        <w:rPr>
          <w:noProof/>
          <w:lang w:eastAsia="fr-BE"/>
        </w:rPr>
        <w:t xml:space="preserve"> supportive, </w:t>
      </w:r>
      <w:r w:rsidR="00CD5695" w:rsidRPr="005D2EA9">
        <w:rPr>
          <w:noProof/>
          <w:lang w:eastAsia="ja-JP"/>
        </w:rPr>
        <w:t xml:space="preserve">at – 1.0% of GDP. As recommended by the Council, Greece continued to support the recovery with investments </w:t>
      </w:r>
      <w:r w:rsidR="00CD5695">
        <w:rPr>
          <w:noProof/>
          <w:lang w:eastAsia="ja-JP"/>
        </w:rPr>
        <w:t xml:space="preserve">to be </w:t>
      </w:r>
      <w:r w:rsidR="00CD5695" w:rsidRPr="005D2EA9">
        <w:rPr>
          <w:noProof/>
          <w:lang w:eastAsia="ja-JP"/>
        </w:rPr>
        <w:t>financed by the Recovery and Resilience Facility. E</w:t>
      </w:r>
      <w:r w:rsidR="00CD5695" w:rsidRPr="005D2EA9" w:rsidDel="00501737">
        <w:rPr>
          <w:rFonts w:eastAsia="Times New Roman"/>
          <w:noProof/>
          <w:lang w:eastAsia="en-GB"/>
        </w:rPr>
        <w:t xml:space="preserve">xpenditure financed by Recovery and Resilience Facility grants </w:t>
      </w:r>
      <w:r w:rsidR="00CD5695" w:rsidRPr="005D2EA9">
        <w:rPr>
          <w:rFonts w:eastAsia="Times New Roman"/>
          <w:noProof/>
          <w:lang w:eastAsia="en-GB"/>
        </w:rPr>
        <w:t>and other EU funds amounted to 2.</w:t>
      </w:r>
      <w:r w:rsidR="00CD5695">
        <w:rPr>
          <w:rFonts w:eastAsia="Times New Roman"/>
          <w:noProof/>
          <w:lang w:eastAsia="en-GB"/>
        </w:rPr>
        <w:t>1</w:t>
      </w:r>
      <w:r w:rsidR="00CD5695" w:rsidRPr="005D2EA9">
        <w:rPr>
          <w:rFonts w:eastAsia="Times New Roman"/>
          <w:noProof/>
          <w:lang w:eastAsia="en-GB"/>
        </w:rPr>
        <w:t>%</w:t>
      </w:r>
      <w:r w:rsidR="00CD5695" w:rsidRPr="005D2EA9" w:rsidDel="00501737">
        <w:rPr>
          <w:rFonts w:eastAsia="Times New Roman"/>
          <w:noProof/>
          <w:lang w:eastAsia="en-GB"/>
        </w:rPr>
        <w:t xml:space="preserve"> of GDP</w:t>
      </w:r>
      <w:r w:rsidR="00CD5695" w:rsidRPr="005D2EA9">
        <w:rPr>
          <w:rFonts w:eastAsia="Times New Roman"/>
          <w:noProof/>
          <w:lang w:eastAsia="en-GB"/>
        </w:rPr>
        <w:t xml:space="preserve"> in 2022 (2.</w:t>
      </w:r>
      <w:r w:rsidR="00CD5695">
        <w:rPr>
          <w:rFonts w:eastAsia="Times New Roman"/>
          <w:noProof/>
          <w:lang w:eastAsia="en-GB"/>
        </w:rPr>
        <w:t>6</w:t>
      </w:r>
      <w:r w:rsidR="00CD5695" w:rsidRPr="005D2EA9">
        <w:rPr>
          <w:rFonts w:eastAsia="Times New Roman"/>
          <w:noProof/>
          <w:lang w:eastAsia="en-GB"/>
        </w:rPr>
        <w:t>% of GDP in 2021)</w:t>
      </w:r>
      <w:r w:rsidR="00CD5695" w:rsidRPr="005D2EA9" w:rsidDel="00501737">
        <w:rPr>
          <w:rFonts w:eastAsia="Times New Roman"/>
          <w:noProof/>
          <w:lang w:eastAsia="en-GB"/>
        </w:rPr>
        <w:t>.</w:t>
      </w:r>
      <w:r w:rsidR="00CD5695" w:rsidRPr="005D2EA9">
        <w:rPr>
          <w:noProof/>
          <w:lang w:eastAsia="ja-JP"/>
        </w:rPr>
        <w:t xml:space="preserve"> The decrease in expenditures financed by </w:t>
      </w:r>
      <w:r w:rsidR="00CD5695" w:rsidRPr="005D2EA9" w:rsidDel="00501737">
        <w:rPr>
          <w:rFonts w:eastAsia="Times New Roman"/>
          <w:noProof/>
          <w:lang w:eastAsia="en-GB"/>
        </w:rPr>
        <w:t xml:space="preserve">Recovery and Resilience Facility grants </w:t>
      </w:r>
      <w:r w:rsidR="00CD5695" w:rsidRPr="005D2EA9">
        <w:rPr>
          <w:rFonts w:eastAsia="Times New Roman"/>
          <w:noProof/>
          <w:lang w:eastAsia="en-GB"/>
        </w:rPr>
        <w:t xml:space="preserve">and other EU funds </w:t>
      </w:r>
      <w:r w:rsidR="00CD5695" w:rsidRPr="005D2EA9">
        <w:rPr>
          <w:noProof/>
          <w:lang w:eastAsia="ja-JP"/>
        </w:rPr>
        <w:t>in 2022 was due to the phasing out of the previous programming period while investment expenditure in the new programming period ha</w:t>
      </w:r>
      <w:r w:rsidR="00CD5695">
        <w:rPr>
          <w:noProof/>
          <w:lang w:eastAsia="ja-JP"/>
        </w:rPr>
        <w:t>s</w:t>
      </w:r>
      <w:r w:rsidR="00CD5695" w:rsidRPr="005D2EA9">
        <w:rPr>
          <w:noProof/>
          <w:lang w:eastAsia="ja-JP"/>
        </w:rPr>
        <w:t xml:space="preserve"> not yet picked up. </w:t>
      </w:r>
      <w:r w:rsidR="00CD5695" w:rsidRPr="005D2EA9">
        <w:rPr>
          <w:noProof/>
          <w:lang w:eastAsia="en-GB"/>
        </w:rPr>
        <w:t>Nationally financed investment</w:t>
      </w:r>
      <w:r w:rsidR="00CD5695" w:rsidRPr="005D2EA9">
        <w:rPr>
          <w:noProof/>
          <w:lang w:eastAsia="ja-JP"/>
        </w:rPr>
        <w:t xml:space="preserve"> </w:t>
      </w:r>
      <w:r w:rsidR="00CD5695" w:rsidRPr="005D2EA9">
        <w:rPr>
          <w:noProof/>
          <w:lang w:eastAsia="en-GB"/>
        </w:rPr>
        <w:t xml:space="preserve">provided an expansionary contribution of </w:t>
      </w:r>
      <w:r w:rsidR="00CD5695">
        <w:rPr>
          <w:noProof/>
          <w:lang w:eastAsia="en-GB"/>
        </w:rPr>
        <w:t>0.6</w:t>
      </w:r>
      <w:r w:rsidR="00CD5695" w:rsidRPr="005D2EA9">
        <w:rPr>
          <w:noProof/>
          <w:lang w:eastAsia="en-GB"/>
        </w:rPr>
        <w:t xml:space="preserve"> percentage points to the fiscal stance.</w:t>
      </w:r>
      <w:r w:rsidR="00CD5695" w:rsidRPr="007A068C">
        <w:rPr>
          <w:rStyle w:val="FootnoteReference"/>
          <w:noProof/>
        </w:rPr>
        <w:footnoteReference w:id="17"/>
      </w:r>
      <w:r w:rsidR="00CD5695" w:rsidRPr="005D2EA9">
        <w:rPr>
          <w:noProof/>
          <w:lang w:eastAsia="en-GB"/>
        </w:rPr>
        <w:t xml:space="preserve"> </w:t>
      </w:r>
      <w:r w:rsidR="00CD5695" w:rsidRPr="005D2EA9">
        <w:rPr>
          <w:noProof/>
        </w:rPr>
        <w:t>Greece therefore preserved nationally financed investment, as recommended by the Council.</w:t>
      </w:r>
      <w:r w:rsidR="00CD5695" w:rsidRPr="005D2EA9">
        <w:rPr>
          <w:noProof/>
          <w:lang w:eastAsia="en-GB"/>
        </w:rPr>
        <w:t xml:space="preserve"> At the same time, the growth in nationally financed primary current expenditure (net of new revenue measures) provided an expansionary contribution of </w:t>
      </w:r>
      <w:r w:rsidR="00CD5695">
        <w:rPr>
          <w:noProof/>
          <w:lang w:eastAsia="en-GB"/>
        </w:rPr>
        <w:t>0.6</w:t>
      </w:r>
      <w:r w:rsidR="00CD5695" w:rsidRPr="005D2EA9">
        <w:rPr>
          <w:noProof/>
          <w:lang w:eastAsia="en-GB"/>
        </w:rPr>
        <w:t xml:space="preserve"> percentage points to the fiscal stance. This significant expansionary contribution</w:t>
      </w:r>
      <w:r w:rsidR="00CD5695" w:rsidRPr="005D2EA9">
        <w:rPr>
          <w:i/>
          <w:iCs/>
          <w:noProof/>
          <w:color w:val="FF0000"/>
          <w:lang w:eastAsia="fr-FR"/>
        </w:rPr>
        <w:t xml:space="preserve"> </w:t>
      </w:r>
      <w:r w:rsidR="00CD5695" w:rsidRPr="005D2EA9">
        <w:rPr>
          <w:noProof/>
          <w:lang w:eastAsia="en-GB"/>
        </w:rPr>
        <w:t xml:space="preserve">included the additional impact of </w:t>
      </w:r>
      <w:r w:rsidR="00CD5695">
        <w:rPr>
          <w:noProof/>
          <w:lang w:eastAsia="en-GB"/>
        </w:rPr>
        <w:t xml:space="preserve">fiscal policy </w:t>
      </w:r>
      <w:r w:rsidR="00CD5695" w:rsidRPr="005D2EA9">
        <w:rPr>
          <w:noProof/>
          <w:lang w:eastAsia="en-GB"/>
        </w:rPr>
        <w:t>measures to mitigate the economic and social impact of the increase in energy prices (additional net budgetary cost of 2% of GDP).</w:t>
      </w:r>
      <w:r w:rsidR="00CD5695">
        <w:rPr>
          <w:noProof/>
          <w:lang w:eastAsia="en-GB"/>
        </w:rPr>
        <w:t xml:space="preserve"> </w:t>
      </w:r>
      <w:r w:rsidR="00CD5695" w:rsidRPr="00CA7ABD">
        <w:rPr>
          <w:noProof/>
          <w:lang w:eastAsia="en-GB"/>
        </w:rPr>
        <w:t>Greece therefore sufficiently limited the growth in nationally financed current expenditure.</w:t>
      </w:r>
    </w:p>
    <w:p w14:paraId="753F8AAD" w14:textId="1212B464" w:rsidR="00CD5695" w:rsidRPr="005D2EA9" w:rsidRDefault="00AB4D48" w:rsidP="00AB4D48">
      <w:pPr>
        <w:pStyle w:val="ManualConsidrant"/>
        <w:rPr>
          <w:noProof/>
          <w:lang w:eastAsia="ja-JP"/>
        </w:rPr>
      </w:pPr>
      <w:r w:rsidRPr="00AB4D48">
        <w:t>(17)</w:t>
      </w:r>
      <w:r w:rsidRPr="00AB4D48">
        <w:tab/>
      </w:r>
      <w:r w:rsidR="00CD5695" w:rsidRPr="005D2EA9">
        <w:rPr>
          <w:noProof/>
          <w:lang w:eastAsia="en-GB"/>
        </w:rPr>
        <w:t xml:space="preserve">The macroeconomic scenario underpinning the budgetary projections in the Stability Programme is realistic in 2023 and </w:t>
      </w:r>
      <w:r w:rsidR="00CD5695">
        <w:rPr>
          <w:noProof/>
          <w:lang w:eastAsia="en-GB"/>
        </w:rPr>
        <w:t>optimistic</w:t>
      </w:r>
      <w:r w:rsidR="00CD5695" w:rsidRPr="005D2EA9">
        <w:rPr>
          <w:noProof/>
          <w:lang w:eastAsia="en-GB"/>
        </w:rPr>
        <w:t xml:space="preserve"> thereafter. The government projects real GDP to grow by </w:t>
      </w:r>
      <w:r w:rsidR="00CD5695">
        <w:rPr>
          <w:noProof/>
          <w:lang w:eastAsia="en-GB"/>
        </w:rPr>
        <w:t>2</w:t>
      </w:r>
      <w:r w:rsidR="00CD5695" w:rsidRPr="005D2EA9">
        <w:rPr>
          <w:noProof/>
          <w:lang w:eastAsia="en-GB"/>
        </w:rPr>
        <w:t>.</w:t>
      </w:r>
      <w:r w:rsidR="00CD5695">
        <w:rPr>
          <w:noProof/>
          <w:lang w:eastAsia="en-GB"/>
        </w:rPr>
        <w:t>3</w:t>
      </w:r>
      <w:r w:rsidR="00CD5695" w:rsidRPr="005D2EA9">
        <w:rPr>
          <w:noProof/>
          <w:lang w:eastAsia="en-GB"/>
        </w:rPr>
        <w:t xml:space="preserve">% in 2023 and </w:t>
      </w:r>
      <w:r w:rsidR="00CD5695">
        <w:rPr>
          <w:noProof/>
          <w:lang w:eastAsia="en-GB"/>
        </w:rPr>
        <w:t>3</w:t>
      </w:r>
      <w:r w:rsidR="00CD5695" w:rsidRPr="005D2EA9">
        <w:rPr>
          <w:noProof/>
          <w:lang w:eastAsia="en-GB"/>
        </w:rPr>
        <w:t>% in 2024. By comparison, the Commission 2023 spring forecast projects a higher real GDP growth of 2.4% in 202</w:t>
      </w:r>
      <w:r w:rsidR="00CD5695">
        <w:rPr>
          <w:noProof/>
          <w:lang w:eastAsia="en-GB"/>
        </w:rPr>
        <w:t>3</w:t>
      </w:r>
      <w:r w:rsidR="00CD5695" w:rsidRPr="005D2EA9">
        <w:rPr>
          <w:noProof/>
          <w:lang w:eastAsia="en-GB"/>
        </w:rPr>
        <w:t xml:space="preserve"> and </w:t>
      </w:r>
      <w:r w:rsidR="00CD5695">
        <w:rPr>
          <w:noProof/>
          <w:lang w:eastAsia="en-GB"/>
        </w:rPr>
        <w:t xml:space="preserve">a lower </w:t>
      </w:r>
      <w:r w:rsidR="00CD5695" w:rsidRPr="005D2EA9">
        <w:rPr>
          <w:noProof/>
          <w:lang w:eastAsia="en-GB"/>
        </w:rPr>
        <w:t>1.</w:t>
      </w:r>
      <w:r w:rsidR="00CD5695">
        <w:rPr>
          <w:noProof/>
          <w:lang w:eastAsia="en-GB"/>
        </w:rPr>
        <w:t>9</w:t>
      </w:r>
      <w:r w:rsidR="00CD5695" w:rsidRPr="005D2EA9">
        <w:rPr>
          <w:noProof/>
          <w:lang w:eastAsia="en-GB"/>
        </w:rPr>
        <w:t xml:space="preserve">% in 2024, mainly due to </w:t>
      </w:r>
      <w:r w:rsidR="00CD5695">
        <w:rPr>
          <w:noProof/>
          <w:lang w:eastAsia="en-GB"/>
        </w:rPr>
        <w:t>differences in the assumptions on investment activity and contributions from the external sector. The 2023 Stability Programme forecasts higher contributions from gross fixed capital formation, especially in 2024, and the Commission expects goods’ imports to remain more elevated than in the authorities’ projections</w:t>
      </w:r>
      <w:r w:rsidR="00CD5695" w:rsidDel="00F549EF">
        <w:rPr>
          <w:noProof/>
          <w:lang w:eastAsia="en-GB"/>
        </w:rPr>
        <w:t xml:space="preserve"> </w:t>
      </w:r>
      <w:r w:rsidR="00CD5695" w:rsidRPr="005D2EA9">
        <w:rPr>
          <w:noProof/>
          <w:lang w:eastAsia="en-GB"/>
        </w:rPr>
        <w:t>.</w:t>
      </w:r>
    </w:p>
    <w:p w14:paraId="21B7FC78" w14:textId="73334CB5" w:rsidR="00CD5695" w:rsidRPr="005D2EA9" w:rsidRDefault="00AB4D48" w:rsidP="00AB4D48">
      <w:pPr>
        <w:pStyle w:val="ManualConsidrant"/>
        <w:rPr>
          <w:noProof/>
          <w:lang w:eastAsia="ja-JP"/>
        </w:rPr>
      </w:pPr>
      <w:r w:rsidRPr="00AB4D48">
        <w:t>(18)</w:t>
      </w:r>
      <w:r w:rsidRPr="00AB4D48">
        <w:tab/>
      </w:r>
      <w:r w:rsidR="00CD5695" w:rsidRPr="005D2EA9">
        <w:rPr>
          <w:noProof/>
          <w:lang w:eastAsia="en-GB"/>
        </w:rPr>
        <w:t xml:space="preserve">In its 2023 Stability Programme, the government expects that the general government deficit </w:t>
      </w:r>
      <w:r w:rsidR="00CD5695" w:rsidRPr="00B16961">
        <w:rPr>
          <w:noProof/>
          <w:lang w:eastAsia="en-GB"/>
        </w:rPr>
        <w:t>ratio</w:t>
      </w:r>
      <w:r w:rsidR="00CD5695">
        <w:rPr>
          <w:noProof/>
          <w:lang w:eastAsia="en-GB"/>
        </w:rPr>
        <w:t xml:space="preserve"> </w:t>
      </w:r>
      <w:r w:rsidR="00CD5695" w:rsidRPr="005D2EA9">
        <w:rPr>
          <w:noProof/>
          <w:lang w:eastAsia="en-GB"/>
        </w:rPr>
        <w:t xml:space="preserve">will decrease to </w:t>
      </w:r>
      <w:r w:rsidR="00CD5695">
        <w:rPr>
          <w:noProof/>
          <w:lang w:eastAsia="en-GB"/>
        </w:rPr>
        <w:t>1.8</w:t>
      </w:r>
      <w:r w:rsidR="00CD5695" w:rsidRPr="005D2EA9">
        <w:rPr>
          <w:noProof/>
          <w:lang w:eastAsia="en-GB"/>
        </w:rPr>
        <w:t>% of GDP in 2023. The decrease in 2023 mainly reflects the phasing out of the pandemic-related fiscal measures and the reduction of the cost of the energy-related measures</w:t>
      </w:r>
      <w:r w:rsidR="00CD5695">
        <w:rPr>
          <w:noProof/>
          <w:lang w:eastAsia="en-GB"/>
        </w:rPr>
        <w:t xml:space="preserve"> as well as the increasing revenues due to economic growth</w:t>
      </w:r>
      <w:r w:rsidR="00CD5695" w:rsidRPr="005D2EA9">
        <w:rPr>
          <w:noProof/>
          <w:lang w:eastAsia="en-GB"/>
        </w:rPr>
        <w:t>.</w:t>
      </w:r>
      <w:r w:rsidR="00CD5695" w:rsidRPr="005D2EA9">
        <w:rPr>
          <w:noProof/>
          <w:lang w:eastAsia="ja-JP"/>
        </w:rPr>
        <w:t xml:space="preserve"> </w:t>
      </w:r>
      <w:r w:rsidR="00CD5695" w:rsidRPr="005D2EA9">
        <w:rPr>
          <w:noProof/>
          <w:lang w:eastAsia="en-GB"/>
        </w:rPr>
        <w:t xml:space="preserve">According to the Programme, the general government debt-to-GDP ratio is expected to decrease from 171.3% at the end of 2022 </w:t>
      </w:r>
      <w:r w:rsidR="00CD5695" w:rsidRPr="005D2EA9">
        <w:rPr>
          <w:noProof/>
          <w:lang w:eastAsia="ja-JP"/>
        </w:rPr>
        <w:t xml:space="preserve">to </w:t>
      </w:r>
      <w:r w:rsidR="00CD5695">
        <w:rPr>
          <w:noProof/>
          <w:lang w:eastAsia="ja-JP"/>
        </w:rPr>
        <w:t>162.6</w:t>
      </w:r>
      <w:r w:rsidR="00CD5695" w:rsidRPr="005D2EA9">
        <w:rPr>
          <w:noProof/>
          <w:lang w:eastAsia="ja-JP"/>
        </w:rPr>
        <w:t>% at the end of 2023.</w:t>
      </w:r>
      <w:r w:rsidR="00CD5695" w:rsidRPr="005D2EA9">
        <w:rPr>
          <w:noProof/>
          <w:lang w:eastAsia="en-GB"/>
        </w:rPr>
        <w:t xml:space="preserve"> The Commission 2023 spring forecast projects a government deficit of 1.</w:t>
      </w:r>
      <w:r w:rsidR="00CD5695">
        <w:rPr>
          <w:noProof/>
          <w:lang w:eastAsia="en-GB"/>
        </w:rPr>
        <w:t>3</w:t>
      </w:r>
      <w:r w:rsidR="00CD5695" w:rsidRPr="005D2EA9">
        <w:rPr>
          <w:noProof/>
          <w:lang w:eastAsia="en-GB"/>
        </w:rPr>
        <w:t xml:space="preserve">% of GDP for 2023. This is lower than the deficit projected in the Stability Programme, mainly due to </w:t>
      </w:r>
      <w:r w:rsidR="00CD5695">
        <w:rPr>
          <w:noProof/>
          <w:lang w:eastAsia="en-GB"/>
        </w:rPr>
        <w:t>more favourable evolution of tax bases driven by the macroeconomic assumptions, including the composition of growth and lower expenditures of the social budget in line with the systematic underspending observed in the past years</w:t>
      </w:r>
      <w:r w:rsidR="00CD5695" w:rsidRPr="005D2EA9">
        <w:rPr>
          <w:noProof/>
          <w:lang w:eastAsia="en-GB"/>
        </w:rPr>
        <w:t xml:space="preserve">. The Commission 2023 spring forecast projects a lower general government debt-to-GDP ratio, of </w:t>
      </w:r>
      <w:r w:rsidR="00CD5695">
        <w:rPr>
          <w:noProof/>
          <w:lang w:eastAsia="en-GB"/>
        </w:rPr>
        <w:t>160.2</w:t>
      </w:r>
      <w:r w:rsidR="00CD5695" w:rsidRPr="005D2EA9">
        <w:rPr>
          <w:noProof/>
          <w:lang w:eastAsia="en-GB"/>
        </w:rPr>
        <w:t xml:space="preserve">% at the end of 2023. The difference is </w:t>
      </w:r>
      <w:r w:rsidR="00CD5695">
        <w:rPr>
          <w:noProof/>
          <w:lang w:eastAsia="en-GB"/>
        </w:rPr>
        <w:t xml:space="preserve">mainly </w:t>
      </w:r>
      <w:r w:rsidR="00CD5695" w:rsidRPr="005D2EA9">
        <w:rPr>
          <w:noProof/>
          <w:lang w:eastAsia="en-GB"/>
        </w:rPr>
        <w:t xml:space="preserve">due to </w:t>
      </w:r>
      <w:r w:rsidR="00CD5695">
        <w:rPr>
          <w:noProof/>
          <w:lang w:eastAsia="en-GB"/>
        </w:rPr>
        <w:t>the higher nominal GDP growth, and to a smaller extent, the lower general government deficit forecast by the Commission.</w:t>
      </w:r>
    </w:p>
    <w:p w14:paraId="2A5D578B" w14:textId="6A44F9E2" w:rsidR="00CD5695" w:rsidRPr="005D2EA9" w:rsidRDefault="00AB4D48" w:rsidP="00AB4D48">
      <w:pPr>
        <w:pStyle w:val="ManualConsidrant"/>
        <w:rPr>
          <w:noProof/>
          <w:lang w:eastAsia="ja-JP"/>
        </w:rPr>
      </w:pPr>
      <w:r w:rsidRPr="00AB4D48">
        <w:t>(19)</w:t>
      </w:r>
      <w:r w:rsidRPr="00AB4D48">
        <w:tab/>
      </w:r>
      <w:r w:rsidR="00CD5695" w:rsidRPr="005D2EA9">
        <w:rPr>
          <w:noProof/>
          <w:lang w:eastAsia="ja-JP"/>
        </w:rPr>
        <w:t xml:space="preserve">The government balance in 2023 is expected to continue to be impacted by the </w:t>
      </w:r>
      <w:r w:rsidR="00CD5695">
        <w:rPr>
          <w:noProof/>
          <w:lang w:eastAsia="ja-JP"/>
        </w:rPr>
        <w:t xml:space="preserve">fiscal </w:t>
      </w:r>
      <w:r w:rsidR="00CD5695" w:rsidRPr="005D2EA9">
        <w:rPr>
          <w:noProof/>
          <w:lang w:eastAsia="ja-JP"/>
        </w:rPr>
        <w:t>measures adopted to mitigate the economic and social impact of the increase in energy prices. They consist of measures extended from 2022 (in particular: the electricity subsidies to households and businesses). The cost of these measures continues to be partly offset by taxes on windfall profits of energy suppliers, namely the price cap on electricity producers and the solidarity contribution from refineries. Taking these revenues into account, the net budgetary cost of the support measures is projected in the Commission 2023 spring forecast at 0.2% of GDP in 2023</w:t>
      </w:r>
      <w:r w:rsidR="00CD5695" w:rsidRPr="005D2EA9">
        <w:rPr>
          <w:rStyle w:val="FootnoteReference"/>
          <w:noProof/>
          <w:szCs w:val="24"/>
          <w:lang w:eastAsia="ja-JP"/>
        </w:rPr>
        <w:footnoteReference w:id="18"/>
      </w:r>
      <w:r w:rsidR="00CD5695" w:rsidRPr="005D2EA9">
        <w:rPr>
          <w:noProof/>
          <w:lang w:eastAsia="ja-JP"/>
        </w:rPr>
        <w:t>. Most measures in 2023 do not appear to be targeted to the most vulnerable households or firms, and do not fully preserve the price signal to reduce energy demand and increase energy efficiency. As a result, the amount of targeted support measures, to be taken into account in the assessment of compliance with the recommendation for 2023, is estimated in the Commission 2023 spring forecast at 0.</w:t>
      </w:r>
      <w:r w:rsidR="00CD5695">
        <w:rPr>
          <w:noProof/>
          <w:lang w:eastAsia="ja-JP"/>
        </w:rPr>
        <w:t>1</w:t>
      </w:r>
      <w:r w:rsidR="00CD5695" w:rsidRPr="005D2EA9">
        <w:rPr>
          <w:noProof/>
          <w:lang w:eastAsia="ja-JP"/>
        </w:rPr>
        <w:t>% of GDP in 2023 (compared to 0.</w:t>
      </w:r>
      <w:r w:rsidR="00CD5695">
        <w:rPr>
          <w:noProof/>
          <w:lang w:eastAsia="ja-JP"/>
        </w:rPr>
        <w:t>5</w:t>
      </w:r>
      <w:r w:rsidR="00CD5695" w:rsidRPr="005D2EA9">
        <w:rPr>
          <w:noProof/>
          <w:lang w:eastAsia="ja-JP"/>
        </w:rPr>
        <w:t>% of GDP in 2022).</w:t>
      </w:r>
      <w:r w:rsidR="00CD5695">
        <w:rPr>
          <w:noProof/>
          <w:lang w:eastAsia="ja-JP"/>
        </w:rPr>
        <w:t xml:space="preserve"> </w:t>
      </w:r>
      <w:r w:rsidR="00CD5695" w:rsidRPr="00236129">
        <w:rPr>
          <w:noProof/>
          <w:lang w:eastAsia="ja-JP"/>
        </w:rPr>
        <w:t xml:space="preserve">Finally, the 2023 government balance is expected to benefit from the phasing out of COVID-19 temporary emergency measures of </w:t>
      </w:r>
      <w:r w:rsidR="00CD5695">
        <w:rPr>
          <w:noProof/>
          <w:lang w:eastAsia="ja-JP"/>
        </w:rPr>
        <w:t>1.5</w:t>
      </w:r>
      <w:r w:rsidR="00CD5695" w:rsidRPr="00236129">
        <w:rPr>
          <w:noProof/>
          <w:lang w:eastAsia="ja-JP"/>
        </w:rPr>
        <w:t>% of GDP.</w:t>
      </w:r>
    </w:p>
    <w:p w14:paraId="59F44211" w14:textId="6F09E938" w:rsidR="00CD5695" w:rsidRPr="005D2EA9" w:rsidRDefault="00AB4D48" w:rsidP="00AB4D48">
      <w:pPr>
        <w:pStyle w:val="ManualConsidrant"/>
        <w:rPr>
          <w:noProof/>
          <w:lang w:eastAsia="ja-JP"/>
        </w:rPr>
      </w:pPr>
      <w:r w:rsidRPr="00AB4D48">
        <w:t>(20)</w:t>
      </w:r>
      <w:r w:rsidRPr="00AB4D48">
        <w:tab/>
      </w:r>
      <w:r w:rsidR="00CD5695" w:rsidRPr="005D2EA9">
        <w:rPr>
          <w:noProof/>
        </w:rPr>
        <w:t>On 12 July 2022, the Council recommended</w:t>
      </w:r>
      <w:r w:rsidR="00CD5695" w:rsidRPr="005D2EA9">
        <w:rPr>
          <w:rStyle w:val="FootnoteReference"/>
          <w:noProof/>
          <w:szCs w:val="24"/>
        </w:rPr>
        <w:footnoteReference w:id="19"/>
      </w:r>
      <w:r w:rsidR="00CD5695" w:rsidRPr="005D2EA9">
        <w:rPr>
          <w:noProof/>
        </w:rPr>
        <w:t xml:space="preserve"> that Greece ensure in 2023 a prudent fiscal policy, in particular by limiting the growth of nationally financed primary current expenditure below medium-term potential output growth</w:t>
      </w:r>
      <w:r w:rsidR="00CD5695" w:rsidRPr="005D2EA9">
        <w:rPr>
          <w:rStyle w:val="FootnoteReference"/>
          <w:noProof/>
          <w:szCs w:val="24"/>
        </w:rPr>
        <w:footnoteReference w:id="20"/>
      </w:r>
      <w:r w:rsidR="00CD5695" w:rsidRPr="005D2EA9">
        <w:rPr>
          <w:noProof/>
        </w:rPr>
        <w:t>, taking into account continued temporary and targeted support to households and firms most vulnerable to energy price hikes and to people fleeing Ukraine. At the same time, Greece should stand ready to adjust current spending to the evolving situation. Greece was also recommended to expand public investment for the green and digital transitions, and for energy security taking into account the REPowerEU initiative, including by making use of the Recovery and Resilience Facility and other Union funds.</w:t>
      </w:r>
    </w:p>
    <w:p w14:paraId="0A976676" w14:textId="6C563F04" w:rsidR="00CD5695" w:rsidRPr="005D2EA9" w:rsidRDefault="00AB4D48" w:rsidP="00AB4D48">
      <w:pPr>
        <w:pStyle w:val="ManualConsidrant"/>
        <w:rPr>
          <w:noProof/>
          <w:lang w:eastAsia="ja-JP"/>
        </w:rPr>
      </w:pPr>
      <w:r w:rsidRPr="00AB4D48">
        <w:t>(21)</w:t>
      </w:r>
      <w:r w:rsidRPr="00AB4D48">
        <w:tab/>
      </w:r>
      <w:r w:rsidR="00CD5695" w:rsidRPr="005D2EA9">
        <w:rPr>
          <w:noProof/>
        </w:rPr>
        <w:t xml:space="preserve">In 2023, the fiscal stance is projected in the Commission 2023 spring forecast to be </w:t>
      </w:r>
      <w:r w:rsidR="00CD5695">
        <w:rPr>
          <w:noProof/>
        </w:rPr>
        <w:t>broadly neutral</w:t>
      </w:r>
      <w:r w:rsidR="00CD5695" w:rsidRPr="005D2EA9">
        <w:rPr>
          <w:noProof/>
        </w:rPr>
        <w:t xml:space="preserve"> (</w:t>
      </w:r>
      <w:r w:rsidR="00CD5695" w:rsidRPr="005D2EA9">
        <w:rPr>
          <w:noProof/>
        </w:rPr>
        <w:noBreakHyphen/>
        <w:t> </w:t>
      </w:r>
      <w:r w:rsidR="00CD5695">
        <w:rPr>
          <w:noProof/>
        </w:rPr>
        <w:t>0.2</w:t>
      </w:r>
      <w:r w:rsidR="00CD5695" w:rsidRPr="005D2EA9">
        <w:rPr>
          <w:noProof/>
        </w:rPr>
        <w:t>% of GDP), in a context of high inflation. This follows an expansionary fiscal stance in 2022 (</w:t>
      </w:r>
      <w:r w:rsidR="00CD5695" w:rsidRPr="005D2EA9">
        <w:rPr>
          <w:noProof/>
        </w:rPr>
        <w:noBreakHyphen/>
        <w:t xml:space="preserve"> 1.0% of GDP). </w:t>
      </w:r>
      <w:r w:rsidR="00CD5695" w:rsidRPr="005D2EA9">
        <w:rPr>
          <w:noProof/>
          <w:lang w:eastAsia="en-GB"/>
        </w:rPr>
        <w:t xml:space="preserve">The growth in nationally financed primary current expenditure (net of discretionary revenue measures) in 2023 is projected to provide a contractionary contribution of </w:t>
      </w:r>
      <w:r w:rsidR="00CD5695">
        <w:rPr>
          <w:noProof/>
          <w:lang w:eastAsia="en-GB"/>
        </w:rPr>
        <w:t>0.3</w:t>
      </w:r>
      <w:r w:rsidR="00CD5695" w:rsidRPr="005D2EA9">
        <w:rPr>
          <w:noProof/>
          <w:lang w:eastAsia="en-GB"/>
        </w:rPr>
        <w:t xml:space="preserve"> % of GDP to the fiscal stance.</w:t>
      </w:r>
      <w:r w:rsidR="00CD5695" w:rsidRPr="005D2EA9">
        <w:rPr>
          <w:rFonts w:eastAsia="Calibri"/>
          <w:noProof/>
          <w:lang w:eastAsia="en-GB"/>
        </w:rPr>
        <w:t xml:space="preserve"> </w:t>
      </w:r>
      <w:r w:rsidR="00CD5695">
        <w:rPr>
          <w:rFonts w:eastAsia="Calibri"/>
          <w:noProof/>
          <w:lang w:eastAsia="en-GB"/>
        </w:rPr>
        <w:t>Therefore</w:t>
      </w:r>
      <w:r w:rsidR="00CD5695" w:rsidRPr="005D2EA9">
        <w:rPr>
          <w:rFonts w:eastAsia="Calibri"/>
          <w:noProof/>
          <w:lang w:eastAsia="en-GB"/>
        </w:rPr>
        <w:t xml:space="preserve">, the projected growth of nationally financed primary current expenditure is in line with the recommendation of the Council. </w:t>
      </w:r>
      <w:r w:rsidR="00141ECB">
        <w:rPr>
          <w:rFonts w:eastAsia="Calibri"/>
          <w:noProof/>
          <w:lang w:eastAsia="en-GB"/>
        </w:rPr>
        <w:t>T</w:t>
      </w:r>
      <w:r w:rsidR="00CD5695" w:rsidRPr="001645D9">
        <w:rPr>
          <w:rFonts w:eastAsia="Calibri"/>
          <w:noProof/>
          <w:lang w:eastAsia="en-GB"/>
        </w:rPr>
        <w:t>he projected contractionary contribution of nationally financed primary current expenditure is due</w:t>
      </w:r>
      <w:r w:rsidR="00CD5695">
        <w:rPr>
          <w:rFonts w:eastAsia="Calibri"/>
          <w:noProof/>
          <w:lang w:eastAsia="en-GB"/>
        </w:rPr>
        <w:t>, in substance,</w:t>
      </w:r>
      <w:r w:rsidR="00CD5695" w:rsidRPr="001645D9">
        <w:rPr>
          <w:rFonts w:eastAsia="Calibri"/>
          <w:noProof/>
          <w:lang w:eastAsia="en-GB"/>
        </w:rPr>
        <w:t xml:space="preserve"> to the reduced costs of the </w:t>
      </w:r>
      <w:r w:rsidR="00CD5695">
        <w:rPr>
          <w:rFonts w:eastAsia="Calibri"/>
          <w:noProof/>
          <w:lang w:eastAsia="en-GB"/>
        </w:rPr>
        <w:t xml:space="preserve">(targeted and untargeted) </w:t>
      </w:r>
      <w:r w:rsidR="00CD5695" w:rsidRPr="001645D9">
        <w:rPr>
          <w:rFonts w:eastAsia="Calibri"/>
          <w:noProof/>
          <w:lang w:eastAsia="en-GB"/>
        </w:rPr>
        <w:t>support measures to households and firms</w:t>
      </w:r>
      <w:r w:rsidR="00CD5695">
        <w:rPr>
          <w:rFonts w:eastAsia="Calibri"/>
          <w:noProof/>
          <w:lang w:eastAsia="en-GB"/>
        </w:rPr>
        <w:t xml:space="preserve"> in response to energy price hikes (by 2.3% of GDP)</w:t>
      </w:r>
      <w:r w:rsidR="00CD5695" w:rsidRPr="001645D9">
        <w:rPr>
          <w:rFonts w:eastAsia="Calibri"/>
          <w:noProof/>
          <w:lang w:eastAsia="en-GB"/>
        </w:rPr>
        <w:t>.</w:t>
      </w:r>
      <w:r w:rsidR="00CD5695">
        <w:rPr>
          <w:rFonts w:eastAsia="Calibri"/>
          <w:noProof/>
          <w:lang w:eastAsia="en-GB"/>
        </w:rPr>
        <w:t xml:space="preserve"> The increase in social spending is the main driver of growth in nationally financed primary current expenditure (net of new revenue measures).</w:t>
      </w:r>
      <w:r w:rsidR="00CD5695" w:rsidRPr="001B69E4">
        <w:rPr>
          <w:noProof/>
          <w:lang w:eastAsia="ja-JP"/>
        </w:rPr>
        <w:t xml:space="preserve"> </w:t>
      </w:r>
      <w:r w:rsidR="00CD5695" w:rsidRPr="00266AC6">
        <w:rPr>
          <w:rFonts w:eastAsia="Calibri"/>
          <w:noProof/>
          <w:lang w:eastAsia="en-GB"/>
        </w:rPr>
        <w:t>Expenditure financed by Recovery and Resilience Facility grants and other EU funds amounted to 2.5% of GDP in 2023, while nationally financed investment provided a neutral contribution to the fiscal stance of 0.0</w:t>
      </w:r>
      <w:r w:rsidR="00CD5695">
        <w:rPr>
          <w:rFonts w:eastAsia="Calibri"/>
          <w:noProof/>
          <w:lang w:eastAsia="en-GB"/>
        </w:rPr>
        <w:t> </w:t>
      </w:r>
      <w:r w:rsidR="00CD5695" w:rsidRPr="00266AC6">
        <w:rPr>
          <w:rFonts w:eastAsia="Calibri"/>
          <w:noProof/>
          <w:lang w:eastAsia="en-GB"/>
        </w:rPr>
        <w:t>percentage point</w:t>
      </w:r>
      <w:r w:rsidR="00CD5695" w:rsidRPr="007A068C">
        <w:rPr>
          <w:rStyle w:val="FootnoteReference"/>
          <w:noProof/>
        </w:rPr>
        <w:footnoteReference w:id="21"/>
      </w:r>
      <w:r w:rsidR="00CD5695" w:rsidRPr="00266AC6">
        <w:rPr>
          <w:rFonts w:eastAsia="Calibri"/>
          <w:noProof/>
          <w:lang w:eastAsia="en-GB"/>
        </w:rPr>
        <w:t xml:space="preserve">. Therefore, </w:t>
      </w:r>
      <w:r w:rsidR="00CD5695" w:rsidRPr="005D2EA9">
        <w:rPr>
          <w:rFonts w:eastAsia="Calibri"/>
          <w:noProof/>
          <w:lang w:eastAsia="en-GB"/>
        </w:rPr>
        <w:t>Greece plans to finance additional investment through the Recovery and Resilience Facility and other EU funds, and it is projected to preserve nationally</w:t>
      </w:r>
      <w:r w:rsidR="00CD5695">
        <w:rPr>
          <w:rFonts w:eastAsia="Calibri"/>
          <w:noProof/>
          <w:lang w:eastAsia="en-GB"/>
        </w:rPr>
        <w:t xml:space="preserve"> </w:t>
      </w:r>
      <w:r w:rsidR="00CD5695" w:rsidRPr="005D2EA9">
        <w:rPr>
          <w:rFonts w:eastAsia="Calibri"/>
          <w:noProof/>
          <w:lang w:eastAsia="en-GB"/>
        </w:rPr>
        <w:t xml:space="preserve">financed investment. </w:t>
      </w:r>
      <w:bookmarkStart w:id="2" w:name="_Hlk135059886"/>
      <w:r w:rsidR="00CD5695" w:rsidRPr="005D2EA9">
        <w:rPr>
          <w:rFonts w:eastAsia="Calibri"/>
          <w:noProof/>
          <w:lang w:eastAsia="en-GB"/>
        </w:rPr>
        <w:t>It plans to finance public investment for the green and digital transitions, and for energy security</w:t>
      </w:r>
      <w:r w:rsidR="00CD5695">
        <w:rPr>
          <w:rFonts w:eastAsia="Calibri"/>
          <w:noProof/>
          <w:lang w:eastAsia="en-GB"/>
        </w:rPr>
        <w:t xml:space="preserve">, such as the </w:t>
      </w:r>
      <w:r w:rsidR="00CD5695" w:rsidRPr="0014605B">
        <w:rPr>
          <w:rFonts w:eastAsia="Calibri"/>
          <w:noProof/>
          <w:lang w:eastAsia="en-GB"/>
        </w:rPr>
        <w:t>installation of 8</w:t>
      </w:r>
      <w:r w:rsidR="00CD5695">
        <w:rPr>
          <w:rFonts w:eastAsia="Calibri"/>
          <w:noProof/>
          <w:lang w:eastAsia="en-GB"/>
        </w:rPr>
        <w:t> </w:t>
      </w:r>
      <w:r w:rsidR="00CD5695" w:rsidRPr="0014605B">
        <w:rPr>
          <w:rFonts w:eastAsia="Calibri"/>
          <w:noProof/>
          <w:lang w:eastAsia="en-GB"/>
        </w:rPr>
        <w:t>000 publicly accessible charge points for electric vehicles in key urban and suburban locations</w:t>
      </w:r>
      <w:r w:rsidR="00CD5695">
        <w:rPr>
          <w:rFonts w:eastAsia="Calibri"/>
          <w:noProof/>
          <w:lang w:eastAsia="en-GB"/>
        </w:rPr>
        <w:t>, digitalisation of public administration, and improving the electricity interconnection of islands.</w:t>
      </w:r>
    </w:p>
    <w:bookmarkEnd w:id="2"/>
    <w:p w14:paraId="6D428000" w14:textId="65FB14B5" w:rsidR="00CD5695" w:rsidRPr="005D2EA9" w:rsidRDefault="00AB4D48" w:rsidP="00AB4D48">
      <w:pPr>
        <w:pStyle w:val="ManualConsidrant"/>
        <w:rPr>
          <w:rFonts w:eastAsia="Calibri"/>
          <w:noProof/>
        </w:rPr>
      </w:pPr>
      <w:r w:rsidRPr="00AB4D48">
        <w:t>(22)</w:t>
      </w:r>
      <w:r w:rsidRPr="00AB4D48">
        <w:tab/>
      </w:r>
      <w:r w:rsidR="00CD5695" w:rsidRPr="005D2EA9">
        <w:rPr>
          <w:rFonts w:eastAsia="Calibri"/>
          <w:noProof/>
        </w:rPr>
        <w:t xml:space="preserve">According to the Stability Programme the general </w:t>
      </w:r>
      <w:r w:rsidR="00CD5695" w:rsidRPr="005D2EA9">
        <w:rPr>
          <w:noProof/>
          <w:lang w:eastAsia="ja-JP"/>
        </w:rPr>
        <w:t>government</w:t>
      </w:r>
      <w:r w:rsidR="00CD5695" w:rsidRPr="005D2EA9">
        <w:rPr>
          <w:rFonts w:eastAsia="Calibri"/>
          <w:noProof/>
        </w:rPr>
        <w:t xml:space="preserve"> deficit is expected to decline to </w:t>
      </w:r>
      <w:r w:rsidR="00CD5695">
        <w:rPr>
          <w:rFonts w:eastAsia="Calibri"/>
          <w:noProof/>
        </w:rPr>
        <w:t>0.8</w:t>
      </w:r>
      <w:r w:rsidR="00CD5695" w:rsidRPr="005D2EA9">
        <w:rPr>
          <w:rFonts w:eastAsia="Calibri"/>
          <w:noProof/>
        </w:rPr>
        <w:t xml:space="preserve">% of GDP in 2024. </w:t>
      </w:r>
      <w:r w:rsidR="00CD5695" w:rsidRPr="005D2EA9">
        <w:rPr>
          <w:rFonts w:eastAsia="Times New Roman"/>
          <w:noProof/>
          <w:color w:val="000000" w:themeColor="text1"/>
          <w:lang w:eastAsia="en-GB"/>
        </w:rPr>
        <w:t xml:space="preserve">The decrease in 2024 mainly reflects </w:t>
      </w:r>
      <w:r w:rsidR="00CD5695">
        <w:rPr>
          <w:bCs/>
          <w:noProof/>
          <w:color w:val="000000"/>
        </w:rPr>
        <w:t>the phasing out of the remaining energy and other measures and the increase of revenues on the back of the solid economic growth.</w:t>
      </w:r>
      <w:r w:rsidR="00CD5695" w:rsidRPr="00B02F03">
        <w:rPr>
          <w:bCs/>
          <w:noProof/>
          <w:color w:val="000000"/>
        </w:rPr>
        <w:t xml:space="preserve"> </w:t>
      </w:r>
      <w:r w:rsidR="00CD5695" w:rsidRPr="005D2EA9">
        <w:rPr>
          <w:rFonts w:eastAsia="Times New Roman"/>
          <w:noProof/>
          <w:color w:val="000000" w:themeColor="text1"/>
          <w:lang w:eastAsia="en-GB"/>
        </w:rPr>
        <w:t xml:space="preserve">The programme expects the general government debt-to-GDP ratio to decrease </w:t>
      </w:r>
      <w:r w:rsidR="00CD5695" w:rsidRPr="005D2EA9">
        <w:rPr>
          <w:noProof/>
          <w:lang w:eastAsia="ja-JP"/>
        </w:rPr>
        <w:t xml:space="preserve">to </w:t>
      </w:r>
      <w:r w:rsidR="00CD5695">
        <w:rPr>
          <w:noProof/>
          <w:lang w:eastAsia="ja-JP"/>
        </w:rPr>
        <w:t>150.8</w:t>
      </w:r>
      <w:r w:rsidR="00CD5695" w:rsidRPr="005D2EA9">
        <w:rPr>
          <w:noProof/>
          <w:lang w:eastAsia="ja-JP"/>
        </w:rPr>
        <w:t>% at the end of 2024.</w:t>
      </w:r>
      <w:r w:rsidR="00CD5695" w:rsidRPr="005D2EA9">
        <w:rPr>
          <w:rFonts w:eastAsia="Times New Roman"/>
          <w:noProof/>
          <w:color w:val="000000" w:themeColor="text1"/>
          <w:lang w:eastAsia="en-GB"/>
        </w:rPr>
        <w:t xml:space="preserve"> Based on policy measures known at the cut-off date of the forecast, the Commission 2023 spring forecast projects a government deficit of 0.6% of GDP in 2024. This is lower than the deficit projected in the programme, mainly due to </w:t>
      </w:r>
      <w:r w:rsidR="00CD5695" w:rsidRPr="006C42CB">
        <w:rPr>
          <w:rFonts w:eastAsia="Times New Roman"/>
          <w:noProof/>
          <w:color w:val="000000" w:themeColor="text1"/>
          <w:lang w:eastAsia="en-GB"/>
        </w:rPr>
        <w:t>the assumptions on the execution of the social budget</w:t>
      </w:r>
      <w:r w:rsidR="00CD5695">
        <w:rPr>
          <w:rFonts w:eastAsia="Times New Roman"/>
          <w:noProof/>
          <w:color w:val="000000" w:themeColor="text1"/>
          <w:lang w:eastAsia="en-GB"/>
        </w:rPr>
        <w:t>, most notably lower spending on social benefits and on pensions</w:t>
      </w:r>
      <w:r w:rsidR="00CD5695" w:rsidRPr="005D2EA9">
        <w:rPr>
          <w:rFonts w:eastAsia="Times New Roman"/>
          <w:noProof/>
          <w:color w:val="000000" w:themeColor="text1"/>
          <w:lang w:eastAsia="en-GB"/>
        </w:rPr>
        <w:t>. The Commission 2023 spring forecast projects a higher general government debt-to-GDP ratio, of</w:t>
      </w:r>
      <w:r w:rsidR="00CD5695">
        <w:rPr>
          <w:rFonts w:eastAsia="Times New Roman"/>
          <w:noProof/>
          <w:color w:val="000000" w:themeColor="text1"/>
          <w:lang w:eastAsia="en-GB"/>
        </w:rPr>
        <w:t xml:space="preserve"> 154.5</w:t>
      </w:r>
      <w:r w:rsidR="00CD5695" w:rsidRPr="005D2EA9">
        <w:rPr>
          <w:rFonts w:eastAsia="Times New Roman"/>
          <w:noProof/>
          <w:color w:val="000000" w:themeColor="text1"/>
          <w:lang w:eastAsia="en-GB"/>
        </w:rPr>
        <w:t xml:space="preserve">% at the end of 2024. </w:t>
      </w:r>
    </w:p>
    <w:p w14:paraId="2B35769D" w14:textId="2AE673F4" w:rsidR="00CD5695" w:rsidRPr="005D2EA9" w:rsidRDefault="00AB4D48" w:rsidP="00AB4D48">
      <w:pPr>
        <w:pStyle w:val="ManualConsidrant"/>
        <w:rPr>
          <w:rFonts w:eastAsia="Calibri"/>
          <w:noProof/>
        </w:rPr>
      </w:pPr>
      <w:r w:rsidRPr="00AB4D48">
        <w:t>(23)</w:t>
      </w:r>
      <w:r w:rsidRPr="00AB4D48">
        <w:tab/>
      </w:r>
      <w:r w:rsidR="00CD5695" w:rsidRPr="005D2EA9">
        <w:rPr>
          <w:noProof/>
          <w:lang w:eastAsia="ja-JP"/>
        </w:rPr>
        <w:t>The Stability Programme envisages the phasing out of all of the energy support measures in 2024. The Commission also assumes full phasing out of energy support measures in 2024. Th</w:t>
      </w:r>
      <w:r w:rsidR="00CD5695">
        <w:rPr>
          <w:noProof/>
          <w:lang w:eastAsia="ja-JP"/>
        </w:rPr>
        <w:t>is hinges upon the assumption of no renewed energy price increases</w:t>
      </w:r>
      <w:r w:rsidR="00CD5695" w:rsidRPr="005D2EA9">
        <w:rPr>
          <w:noProof/>
          <w:lang w:eastAsia="ja-JP"/>
        </w:rPr>
        <w:t>.</w:t>
      </w:r>
    </w:p>
    <w:p w14:paraId="3D142D31" w14:textId="7690C51A" w:rsidR="00CD5695" w:rsidRPr="00F30589" w:rsidRDefault="00AB4D48" w:rsidP="00AB4D48">
      <w:pPr>
        <w:pStyle w:val="ManualConsidrant"/>
        <w:rPr>
          <w:rFonts w:eastAsia="Calibri"/>
          <w:noProof/>
        </w:rPr>
      </w:pPr>
      <w:r w:rsidRPr="00AB4D48">
        <w:t>(24)</w:t>
      </w:r>
      <w:r w:rsidRPr="00AB4D48">
        <w:tab/>
      </w:r>
      <w:r w:rsidR="00CD5695">
        <w:rPr>
          <w:rFonts w:eastAsia="Times New Roman"/>
          <w:noProof/>
          <w:lang w:eastAsia="en-GB"/>
        </w:rPr>
        <w:t xml:space="preserve"> </w:t>
      </w:r>
      <w:r w:rsidR="00CD5695" w:rsidRPr="00B64111">
        <w:rPr>
          <w:noProof/>
        </w:rPr>
        <w:t>Council Regulation (EC) No 1466/97 calls for an annual improvement in the structural budget balance toward the medium-term objective by 0.5% of GDP as a benchmark.</w:t>
      </w:r>
      <w:r w:rsidR="00CD5695" w:rsidRPr="00B64111">
        <w:rPr>
          <w:rStyle w:val="FootnoteReference"/>
          <w:noProof/>
          <w:szCs w:val="24"/>
        </w:rPr>
        <w:footnoteReference w:id="22"/>
      </w:r>
      <w:r w:rsidR="00CD5695">
        <w:rPr>
          <w:noProof/>
        </w:rPr>
        <w:t xml:space="preserve"> </w:t>
      </w:r>
      <w:r w:rsidR="00CD5695" w:rsidRPr="007616D5">
        <w:rPr>
          <w:noProof/>
        </w:rPr>
        <w:t xml:space="preserve">Taking into account </w:t>
      </w:r>
      <w:r w:rsidR="00CD5695">
        <w:rPr>
          <w:noProof/>
        </w:rPr>
        <w:t>fiscal sustainability considerations,</w:t>
      </w:r>
      <w:r w:rsidR="00CD5695" w:rsidRPr="00B64111">
        <w:rPr>
          <w:rStyle w:val="FootnoteReference"/>
          <w:noProof/>
          <w:szCs w:val="24"/>
        </w:rPr>
        <w:footnoteReference w:id="23"/>
      </w:r>
      <w:r w:rsidR="00CD5695">
        <w:rPr>
          <w:noProof/>
        </w:rPr>
        <w:t xml:space="preserve"> </w:t>
      </w:r>
      <w:r w:rsidR="00CD5695" w:rsidRPr="00B64111">
        <w:rPr>
          <w:noProof/>
        </w:rPr>
        <w:t>an</w:t>
      </w:r>
      <w:r w:rsidR="00CD5695">
        <w:rPr>
          <w:noProof/>
        </w:rPr>
        <w:t xml:space="preserve"> </w:t>
      </w:r>
      <w:r w:rsidR="00CD5695" w:rsidRPr="007616D5">
        <w:rPr>
          <w:noProof/>
        </w:rPr>
        <w:t xml:space="preserve">improvement in the structural balance of </w:t>
      </w:r>
      <w:r w:rsidR="00CD5695">
        <w:rPr>
          <w:noProof/>
        </w:rPr>
        <w:t xml:space="preserve">at least </w:t>
      </w:r>
      <w:r w:rsidR="00CD5695" w:rsidRPr="007616D5">
        <w:rPr>
          <w:noProof/>
        </w:rPr>
        <w:t xml:space="preserve">0.3% of GDP for 2024 </w:t>
      </w:r>
      <w:r w:rsidR="00CD5695">
        <w:rPr>
          <w:noProof/>
        </w:rPr>
        <w:t xml:space="preserve">would be </w:t>
      </w:r>
      <w:r w:rsidR="00CD5695" w:rsidRPr="007616D5">
        <w:rPr>
          <w:noProof/>
        </w:rPr>
        <w:t>appropriate.</w:t>
      </w:r>
      <w:r w:rsidR="00CD5695" w:rsidRPr="007616D5">
        <w:rPr>
          <w:rFonts w:eastAsia="Calibri"/>
          <w:noProof/>
        </w:rPr>
        <w:t xml:space="preserve"> </w:t>
      </w:r>
      <w:r w:rsidR="00CD5695">
        <w:rPr>
          <w:rFonts w:eastAsia="Calibri"/>
          <w:noProof/>
        </w:rPr>
        <w:t xml:space="preserve">To ensure such an improvement, </w:t>
      </w:r>
      <w:r w:rsidR="00CD5695" w:rsidRPr="007616D5">
        <w:rPr>
          <w:noProof/>
        </w:rPr>
        <w:t>the growth in net nationally</w:t>
      </w:r>
      <w:r w:rsidR="00CD5695">
        <w:rPr>
          <w:noProof/>
        </w:rPr>
        <w:t xml:space="preserve"> </w:t>
      </w:r>
      <w:r w:rsidR="00CD5695" w:rsidRPr="007616D5">
        <w:rPr>
          <w:noProof/>
        </w:rPr>
        <w:t>financed primary expenditure</w:t>
      </w:r>
      <w:r w:rsidR="00CD5695" w:rsidRPr="007616D5">
        <w:rPr>
          <w:rStyle w:val="FootnoteReference"/>
          <w:noProof/>
          <w:szCs w:val="24"/>
        </w:rPr>
        <w:footnoteReference w:id="24"/>
      </w:r>
      <w:r w:rsidR="00CD5695" w:rsidRPr="007616D5">
        <w:rPr>
          <w:noProof/>
        </w:rPr>
        <w:t xml:space="preserve"> in 2024 should not exceed 2.</w:t>
      </w:r>
      <w:r w:rsidR="00CD5695">
        <w:rPr>
          <w:noProof/>
        </w:rPr>
        <w:t>6</w:t>
      </w:r>
      <w:r w:rsidR="00CD5695" w:rsidRPr="007616D5">
        <w:rPr>
          <w:noProof/>
        </w:rPr>
        <w:t>%, as reflected in th</w:t>
      </w:r>
      <w:r w:rsidR="00CD5695">
        <w:rPr>
          <w:noProof/>
        </w:rPr>
        <w:t>is</w:t>
      </w:r>
      <w:r w:rsidR="00CD5695" w:rsidRPr="007616D5">
        <w:rPr>
          <w:noProof/>
        </w:rPr>
        <w:t xml:space="preserve"> recommendation. </w:t>
      </w:r>
      <w:r w:rsidR="00CD5695">
        <w:rPr>
          <w:noProof/>
        </w:rPr>
        <w:t xml:space="preserve">This will also </w:t>
      </w:r>
      <w:r w:rsidR="00CD5695" w:rsidRPr="00E02BEE">
        <w:rPr>
          <w:noProof/>
        </w:rPr>
        <w:t xml:space="preserve">contribute </w:t>
      </w:r>
      <w:r w:rsidR="00CD5695">
        <w:rPr>
          <w:noProof/>
        </w:rPr>
        <w:t xml:space="preserve">to </w:t>
      </w:r>
      <w:r w:rsidR="00CD5695" w:rsidRPr="00B64111">
        <w:rPr>
          <w:noProof/>
        </w:rPr>
        <w:t>strengthen</w:t>
      </w:r>
      <w:r w:rsidR="00CD5695">
        <w:rPr>
          <w:noProof/>
        </w:rPr>
        <w:t>ing</w:t>
      </w:r>
      <w:r w:rsidR="00CD5695" w:rsidRPr="00B64111">
        <w:rPr>
          <w:noProof/>
        </w:rPr>
        <w:t xml:space="preserve"> the external position</w:t>
      </w:r>
      <w:r w:rsidR="00CD5695">
        <w:rPr>
          <w:noProof/>
        </w:rPr>
        <w:t xml:space="preserve">. </w:t>
      </w:r>
      <w:r w:rsidR="00CD5695" w:rsidRPr="00F30589">
        <w:rPr>
          <w:noProof/>
        </w:rPr>
        <w:t xml:space="preserve">At the same time, the remaining energy support measures (currently estimated by the Commission at 0.2% of GDP in 2023) should be phased out, contingent on energy market developments and starting from the least targeted ones, and the related savings </w:t>
      </w:r>
      <w:r w:rsidR="00CD5695" w:rsidRPr="00F30589">
        <w:rPr>
          <w:rFonts w:eastAsia="Calibri"/>
          <w:noProof/>
        </w:rPr>
        <w:t xml:space="preserve">should be used to reduce the government deficit. </w:t>
      </w:r>
    </w:p>
    <w:p w14:paraId="4A168791" w14:textId="51139039" w:rsidR="00CD5695" w:rsidRPr="007616D5" w:rsidRDefault="00AB4D48" w:rsidP="00AB4D48">
      <w:pPr>
        <w:pStyle w:val="ManualConsidrant"/>
        <w:rPr>
          <w:noProof/>
        </w:rPr>
      </w:pPr>
      <w:r w:rsidRPr="00AB4D48">
        <w:t>(25)</w:t>
      </w:r>
      <w:r w:rsidRPr="00AB4D48">
        <w:tab/>
      </w:r>
      <w:r w:rsidR="00CD5695" w:rsidRPr="007616D5">
        <w:rPr>
          <w:noProof/>
        </w:rPr>
        <w:t xml:space="preserve">Assuming unchanged policies, the Commission 2023 spring forecast projects net nationally financed primary expenditure to </w:t>
      </w:r>
      <w:r w:rsidR="00CD5695">
        <w:rPr>
          <w:noProof/>
        </w:rPr>
        <w:t>grow</w:t>
      </w:r>
      <w:r w:rsidR="00CD5695" w:rsidRPr="007616D5">
        <w:rPr>
          <w:noProof/>
        </w:rPr>
        <w:t xml:space="preserve"> at </w:t>
      </w:r>
      <w:r w:rsidR="00CD5695">
        <w:rPr>
          <w:noProof/>
        </w:rPr>
        <w:t>0.7</w:t>
      </w:r>
      <w:r w:rsidR="00CD5695" w:rsidRPr="007616D5">
        <w:rPr>
          <w:noProof/>
        </w:rPr>
        <w:t xml:space="preserve">% in 2024, which is </w:t>
      </w:r>
      <w:r w:rsidR="00CD5695" w:rsidRPr="00D23AF1">
        <w:rPr>
          <w:noProof/>
        </w:rPr>
        <w:t>below</w:t>
      </w:r>
      <w:r w:rsidR="00CD5695" w:rsidRPr="007616D5">
        <w:rPr>
          <w:noProof/>
        </w:rPr>
        <w:t xml:space="preserve"> the recommended growth rate. </w:t>
      </w:r>
      <w:r w:rsidR="00CD5695" w:rsidRPr="00C31AC2">
        <w:rPr>
          <w:noProof/>
        </w:rPr>
        <w:t>The adjustment projected in the Commission forecast is more than the savings from the full phasing out of energy support measures</w:t>
      </w:r>
    </w:p>
    <w:p w14:paraId="5D5BAC8D" w14:textId="6611B9D8" w:rsidR="00CD5695" w:rsidRPr="005D2EA9" w:rsidRDefault="00AB4D48" w:rsidP="00AB4D48">
      <w:pPr>
        <w:pStyle w:val="ManualConsidrant"/>
        <w:rPr>
          <w:noProof/>
          <w:lang w:eastAsia="ja-JP"/>
        </w:rPr>
      </w:pPr>
      <w:r w:rsidRPr="00AB4D48">
        <w:t>(26)</w:t>
      </w:r>
      <w:r w:rsidRPr="00AB4D48">
        <w:tab/>
      </w:r>
      <w:r w:rsidR="00CD5695" w:rsidRPr="005D2EA9">
        <w:rPr>
          <w:noProof/>
        </w:rPr>
        <w:t xml:space="preserve">According to the programme, government investment is expected to increase from </w:t>
      </w:r>
      <w:r w:rsidR="00CD5695">
        <w:rPr>
          <w:noProof/>
        </w:rPr>
        <w:t>4.8</w:t>
      </w:r>
      <w:r w:rsidR="00CD5695" w:rsidRPr="005D2EA9">
        <w:rPr>
          <w:noProof/>
        </w:rPr>
        <w:t xml:space="preserve">% of GDP in 2023 to </w:t>
      </w:r>
      <w:r w:rsidR="00CD5695">
        <w:rPr>
          <w:noProof/>
        </w:rPr>
        <w:t>5.4</w:t>
      </w:r>
      <w:r w:rsidR="00CD5695" w:rsidRPr="005D2EA9">
        <w:rPr>
          <w:noProof/>
        </w:rPr>
        <w:t xml:space="preserve">% of GDP in 2024. The higher investment reflects </w:t>
      </w:r>
      <w:r w:rsidR="00CD5695">
        <w:rPr>
          <w:noProof/>
        </w:rPr>
        <w:t xml:space="preserve">slightly </w:t>
      </w:r>
      <w:r w:rsidR="00CD5695" w:rsidRPr="005D2EA9">
        <w:rPr>
          <w:noProof/>
        </w:rPr>
        <w:t xml:space="preserve">lower nationally financed investment and </w:t>
      </w:r>
      <w:r w:rsidR="00CD5695">
        <w:rPr>
          <w:noProof/>
        </w:rPr>
        <w:t xml:space="preserve">higher </w:t>
      </w:r>
      <w:r w:rsidR="00CD5695" w:rsidRPr="005D2EA9">
        <w:rPr>
          <w:noProof/>
        </w:rPr>
        <w:t xml:space="preserve">investment financed by the EU, namely through the Recovery and Resilience Facility. The programme refers to reforms and investments, that are expected to contribute to fiscal sustainability and sustainable and inclusive growth. These include </w:t>
      </w:r>
      <w:r w:rsidR="00CD5695">
        <w:rPr>
          <w:noProof/>
        </w:rPr>
        <w:t>high-value added investments and structural reforms towards the green, digital and energy transitions</w:t>
      </w:r>
      <w:r w:rsidR="00CD5695" w:rsidRPr="005D2EA9">
        <w:rPr>
          <w:noProof/>
        </w:rPr>
        <w:t>, which are also part of the Recovery and Resilience Plan</w:t>
      </w:r>
      <w:r w:rsidR="00CD5695">
        <w:rPr>
          <w:noProof/>
        </w:rPr>
        <w:t>.</w:t>
      </w:r>
    </w:p>
    <w:p w14:paraId="20F78620" w14:textId="302066BA" w:rsidR="00CD5695" w:rsidRPr="007616D5" w:rsidRDefault="00AB4D48" w:rsidP="00AB4D48">
      <w:pPr>
        <w:pStyle w:val="ManualConsidrant"/>
        <w:rPr>
          <w:noProof/>
          <w:lang w:eastAsia="en-GB"/>
        </w:rPr>
      </w:pPr>
      <w:r w:rsidRPr="00AB4D48">
        <w:t>(27)</w:t>
      </w:r>
      <w:r w:rsidRPr="00AB4D48">
        <w:tab/>
      </w:r>
      <w:r w:rsidR="00CD5695" w:rsidRPr="007616D5">
        <w:rPr>
          <w:noProof/>
          <w:lang w:eastAsia="en-GB"/>
        </w:rPr>
        <w:t xml:space="preserve">The Stability Programme outlines a medium-term fiscal path until 2026. According to the programme, the general government deficit is expected to decline to 0.5% of GDP in 2025 and to 0.1% by 2026. The general government deficit is therefore planned to remain below 3% of GDP over the programme horizon. According to the </w:t>
      </w:r>
      <w:r w:rsidR="00CD5695" w:rsidRPr="007616D5">
        <w:rPr>
          <w:rFonts w:eastAsia="Calibri"/>
          <w:noProof/>
        </w:rPr>
        <w:t>programme</w:t>
      </w:r>
      <w:r w:rsidR="00CD5695" w:rsidRPr="007616D5">
        <w:rPr>
          <w:noProof/>
          <w:lang w:eastAsia="en-GB"/>
        </w:rPr>
        <w:t xml:space="preserve">, the general government debt-to-GDP ratio is expected to decrease from 150.8% at the end of 2024 </w:t>
      </w:r>
      <w:r w:rsidR="00CD5695" w:rsidRPr="007616D5">
        <w:rPr>
          <w:noProof/>
          <w:lang w:eastAsia="ja-JP"/>
        </w:rPr>
        <w:t>to 135.2% by the end of 2026.</w:t>
      </w:r>
    </w:p>
    <w:p w14:paraId="52E1387D" w14:textId="150D0909" w:rsidR="00777342" w:rsidRDefault="00AB4D48" w:rsidP="00AB4D48">
      <w:pPr>
        <w:pStyle w:val="ManualConsidrant"/>
        <w:rPr>
          <w:noProof/>
          <w:lang w:val="en-IE"/>
        </w:rPr>
      </w:pPr>
      <w:r w:rsidRPr="00AB4D48">
        <w:t>(28)</w:t>
      </w:r>
      <w:r w:rsidRPr="00AB4D48">
        <w:tab/>
      </w:r>
      <w:r w:rsidR="00964D92" w:rsidRPr="00964D92">
        <w:rPr>
          <w:noProof/>
          <w:lang w:val="en-IE"/>
        </w:rPr>
        <w:t xml:space="preserve">Building on </w:t>
      </w:r>
      <w:r w:rsidR="00976DD7">
        <w:rPr>
          <w:noProof/>
          <w:lang w:val="en-IE"/>
        </w:rPr>
        <w:t xml:space="preserve">best practices and </w:t>
      </w:r>
      <w:r w:rsidR="00964D92" w:rsidRPr="00964D92">
        <w:rPr>
          <w:noProof/>
          <w:lang w:val="en-IE"/>
        </w:rPr>
        <w:t>reforms undertaken as part of the recovery and resilience plan,</w:t>
      </w:r>
      <w:r w:rsidR="00964D92">
        <w:rPr>
          <w:noProof/>
          <w:lang w:val="en-IE"/>
        </w:rPr>
        <w:t xml:space="preserve"> </w:t>
      </w:r>
      <w:r w:rsidR="005F6F3E" w:rsidRPr="005B448E">
        <w:rPr>
          <w:noProof/>
        </w:rPr>
        <w:t xml:space="preserve">modifications </w:t>
      </w:r>
      <w:r w:rsidR="00FE2D45">
        <w:rPr>
          <w:noProof/>
        </w:rPr>
        <w:t>to</w:t>
      </w:r>
      <w:r w:rsidR="00FE2D45" w:rsidRPr="005B448E">
        <w:rPr>
          <w:noProof/>
        </w:rPr>
        <w:t xml:space="preserve"> </w:t>
      </w:r>
      <w:r w:rsidR="005F6F3E" w:rsidRPr="005B448E">
        <w:rPr>
          <w:noProof/>
        </w:rPr>
        <w:t xml:space="preserve">Greece’s tax policy framework could help address the investment gap. More specifically, </w:t>
      </w:r>
      <w:r w:rsidR="007A0F25" w:rsidRPr="005B448E">
        <w:rPr>
          <w:noProof/>
        </w:rPr>
        <w:t xml:space="preserve">the introduction of an advance tax ruling system could strengthen legal certainty for investors and </w:t>
      </w:r>
      <w:r w:rsidR="002A5B99">
        <w:rPr>
          <w:noProof/>
        </w:rPr>
        <w:t>increase</w:t>
      </w:r>
      <w:r w:rsidR="002A5B99" w:rsidRPr="005B448E">
        <w:rPr>
          <w:noProof/>
        </w:rPr>
        <w:t xml:space="preserve"> </w:t>
      </w:r>
      <w:r w:rsidR="007A0F25" w:rsidRPr="005B448E">
        <w:rPr>
          <w:noProof/>
        </w:rPr>
        <w:t>ongoing efforts to simplify the tax system</w:t>
      </w:r>
      <w:r w:rsidR="00FF37BF">
        <w:rPr>
          <w:noProof/>
        </w:rPr>
        <w:t>. A</w:t>
      </w:r>
      <w:r w:rsidR="00964D92">
        <w:rPr>
          <w:noProof/>
          <w:lang w:val="en-IE"/>
        </w:rPr>
        <w:t xml:space="preserve"> review of </w:t>
      </w:r>
      <w:r w:rsidR="00964D92" w:rsidRPr="007D0D11">
        <w:rPr>
          <w:noProof/>
          <w:lang w:val="en-IE"/>
        </w:rPr>
        <w:t xml:space="preserve">the tax system </w:t>
      </w:r>
      <w:r w:rsidR="000F2778" w:rsidRPr="007D0D11">
        <w:rPr>
          <w:noProof/>
          <w:lang w:val="en-IE"/>
        </w:rPr>
        <w:t>c</w:t>
      </w:r>
      <w:r w:rsidR="00964D92" w:rsidRPr="007D0D11">
        <w:rPr>
          <w:noProof/>
          <w:lang w:val="en-IE"/>
        </w:rPr>
        <w:t xml:space="preserve">ould </w:t>
      </w:r>
      <w:r w:rsidR="00FF37BF">
        <w:rPr>
          <w:noProof/>
          <w:lang w:val="en-IE"/>
        </w:rPr>
        <w:t>also help</w:t>
      </w:r>
      <w:r w:rsidR="00240164" w:rsidRPr="007D0D11">
        <w:rPr>
          <w:noProof/>
          <w:lang w:val="en-IE"/>
        </w:rPr>
        <w:t xml:space="preserve"> enlarg</w:t>
      </w:r>
      <w:r w:rsidR="00FF37BF">
        <w:rPr>
          <w:noProof/>
          <w:lang w:val="en-IE"/>
        </w:rPr>
        <w:t>e</w:t>
      </w:r>
      <w:r w:rsidR="00240164" w:rsidRPr="007D0D11">
        <w:rPr>
          <w:noProof/>
          <w:lang w:val="en-IE"/>
        </w:rPr>
        <w:t xml:space="preserve"> the tax base </w:t>
      </w:r>
      <w:r w:rsidR="00F9500F" w:rsidRPr="007D0D11">
        <w:rPr>
          <w:noProof/>
          <w:lang w:val="en-IE"/>
        </w:rPr>
        <w:t>as regards the self-employed</w:t>
      </w:r>
      <w:r w:rsidR="005F6F3E">
        <w:rPr>
          <w:noProof/>
          <w:lang w:val="en-IE"/>
        </w:rPr>
        <w:t xml:space="preserve"> </w:t>
      </w:r>
      <w:r w:rsidR="005F6F3E" w:rsidRPr="005B448E">
        <w:rPr>
          <w:noProof/>
        </w:rPr>
        <w:t>and support investment</w:t>
      </w:r>
      <w:r w:rsidR="00F9500F" w:rsidRPr="007D0D11">
        <w:rPr>
          <w:noProof/>
          <w:lang w:val="en-IE"/>
        </w:rPr>
        <w:t xml:space="preserve">. </w:t>
      </w:r>
      <w:r w:rsidR="0060377B" w:rsidRPr="007D0D11">
        <w:rPr>
          <w:noProof/>
          <w:lang w:val="en-IE"/>
        </w:rPr>
        <w:t>T</w:t>
      </w:r>
      <w:r w:rsidR="00240164" w:rsidRPr="007D0D11">
        <w:rPr>
          <w:noProof/>
          <w:lang w:val="en-IE"/>
        </w:rPr>
        <w:t xml:space="preserve">ax compliance </w:t>
      </w:r>
      <w:r w:rsidR="0060377B" w:rsidRPr="007D0D11">
        <w:rPr>
          <w:noProof/>
          <w:lang w:val="en-IE"/>
        </w:rPr>
        <w:t xml:space="preserve">could be improved </w:t>
      </w:r>
      <w:r w:rsidR="00F9500F" w:rsidRPr="007D0D11">
        <w:rPr>
          <w:noProof/>
          <w:lang w:val="en-IE"/>
        </w:rPr>
        <w:t>by extending the application of electronic payments and</w:t>
      </w:r>
      <w:r w:rsidR="00F9500F" w:rsidRPr="00F9500F">
        <w:rPr>
          <w:noProof/>
          <w:lang w:val="en-IE"/>
        </w:rPr>
        <w:t xml:space="preserve"> making increased use of </w:t>
      </w:r>
      <w:r w:rsidR="00F9500F">
        <w:rPr>
          <w:noProof/>
          <w:lang w:val="en-IE"/>
        </w:rPr>
        <w:t xml:space="preserve">the information </w:t>
      </w:r>
      <w:r w:rsidR="002A5B99">
        <w:rPr>
          <w:noProof/>
          <w:lang w:val="en-IE"/>
        </w:rPr>
        <w:t xml:space="preserve">that </w:t>
      </w:r>
      <w:r w:rsidR="00F9500F">
        <w:rPr>
          <w:noProof/>
          <w:lang w:val="en-IE"/>
        </w:rPr>
        <w:t>originat</w:t>
      </w:r>
      <w:r w:rsidR="002A5B99">
        <w:rPr>
          <w:noProof/>
          <w:lang w:val="en-IE"/>
        </w:rPr>
        <w:t>es</w:t>
      </w:r>
      <w:r w:rsidR="00F9500F">
        <w:rPr>
          <w:noProof/>
          <w:lang w:val="en-IE"/>
        </w:rPr>
        <w:t xml:space="preserve"> from electronic payments</w:t>
      </w:r>
      <w:r w:rsidR="005346AD">
        <w:rPr>
          <w:noProof/>
          <w:lang w:val="en-IE"/>
        </w:rPr>
        <w:t>,</w:t>
      </w:r>
      <w:r w:rsidR="00F9500F">
        <w:rPr>
          <w:noProof/>
          <w:lang w:val="en-IE"/>
        </w:rPr>
        <w:t xml:space="preserve"> </w:t>
      </w:r>
      <w:r w:rsidR="00240164">
        <w:rPr>
          <w:noProof/>
          <w:lang w:val="en-IE"/>
        </w:rPr>
        <w:t xml:space="preserve">considering </w:t>
      </w:r>
      <w:r w:rsidR="00F9500F">
        <w:rPr>
          <w:noProof/>
          <w:lang w:val="en-IE"/>
        </w:rPr>
        <w:t>in particular recent evidence of</w:t>
      </w:r>
      <w:r w:rsidR="00D125B1" w:rsidRPr="00D125B1">
        <w:rPr>
          <w:noProof/>
          <w:lang w:val="en-IE"/>
        </w:rPr>
        <w:t xml:space="preserve"> </w:t>
      </w:r>
      <w:r w:rsidR="0085449D">
        <w:rPr>
          <w:noProof/>
          <w:lang w:val="en-IE"/>
        </w:rPr>
        <w:t xml:space="preserve">a </w:t>
      </w:r>
      <w:r w:rsidR="00D125B1" w:rsidRPr="00D125B1">
        <w:rPr>
          <w:noProof/>
          <w:lang w:val="en-IE"/>
        </w:rPr>
        <w:t>growing disparity between declared</w:t>
      </w:r>
      <w:r w:rsidR="00F9500F">
        <w:rPr>
          <w:noProof/>
          <w:lang w:val="en-IE"/>
        </w:rPr>
        <w:t xml:space="preserve"> low</w:t>
      </w:r>
      <w:r w:rsidR="00D125B1" w:rsidRPr="00D125B1">
        <w:rPr>
          <w:noProof/>
          <w:lang w:val="en-IE"/>
        </w:rPr>
        <w:t xml:space="preserve"> incomes and </w:t>
      </w:r>
      <w:r w:rsidR="005346AD">
        <w:rPr>
          <w:noProof/>
          <w:lang w:val="en-IE"/>
        </w:rPr>
        <w:t xml:space="preserve">the </w:t>
      </w:r>
      <w:r w:rsidR="00D125B1" w:rsidRPr="00D125B1">
        <w:rPr>
          <w:noProof/>
          <w:lang w:val="en-IE"/>
        </w:rPr>
        <w:t>apparently rapidly rising turnover</w:t>
      </w:r>
      <w:r w:rsidR="005346AD" w:rsidRPr="005346AD">
        <w:rPr>
          <w:noProof/>
          <w:lang w:val="en-IE"/>
        </w:rPr>
        <w:t xml:space="preserve"> </w:t>
      </w:r>
      <w:r w:rsidR="005346AD">
        <w:rPr>
          <w:noProof/>
          <w:lang w:val="en-IE"/>
        </w:rPr>
        <w:t>of the self-employed</w:t>
      </w:r>
      <w:r w:rsidR="00025C48">
        <w:rPr>
          <w:noProof/>
          <w:lang w:val="en-IE"/>
        </w:rPr>
        <w:t xml:space="preserve">. </w:t>
      </w:r>
      <w:r w:rsidR="00025C48">
        <w:rPr>
          <w:noProof/>
        </w:rPr>
        <w:t xml:space="preserve">In particular, by </w:t>
      </w:r>
      <w:r w:rsidR="00025C48" w:rsidRPr="00025C48">
        <w:rPr>
          <w:noProof/>
          <w:lang w:val="en-IE"/>
        </w:rPr>
        <w:t xml:space="preserve">making better use of </w:t>
      </w:r>
      <w:r w:rsidR="00025C48">
        <w:rPr>
          <w:noProof/>
          <w:lang w:val="en-IE"/>
        </w:rPr>
        <w:t xml:space="preserve">the </w:t>
      </w:r>
      <w:r w:rsidR="00025C48" w:rsidRPr="00025C48">
        <w:rPr>
          <w:noProof/>
          <w:lang w:val="en-IE"/>
        </w:rPr>
        <w:t>information that originates from electronic payments for targeted professions</w:t>
      </w:r>
      <w:r w:rsidR="00025C48">
        <w:rPr>
          <w:noProof/>
          <w:lang w:val="en-IE"/>
        </w:rPr>
        <w:t>.</w:t>
      </w:r>
      <w:r w:rsidR="00025C48" w:rsidRPr="00025C48">
        <w:rPr>
          <w:noProof/>
          <w:lang w:val="en-IE"/>
        </w:rPr>
        <w:t xml:space="preserve"> </w:t>
      </w:r>
      <w:r w:rsidR="00610CD4">
        <w:rPr>
          <w:noProof/>
          <w:lang w:val="en-IE"/>
        </w:rPr>
        <w:t xml:space="preserve">The ongoing digital transformation of the </w:t>
      </w:r>
      <w:r w:rsidR="00610CD4" w:rsidRPr="00610CD4">
        <w:rPr>
          <w:noProof/>
          <w:lang w:val="en-IE"/>
        </w:rPr>
        <w:t xml:space="preserve">Independent Authority for Public Revenue </w:t>
      </w:r>
      <w:r w:rsidR="00610CD4">
        <w:rPr>
          <w:noProof/>
          <w:lang w:val="en-IE"/>
        </w:rPr>
        <w:t xml:space="preserve">is expected to contribute </w:t>
      </w:r>
      <w:r w:rsidR="00A35279">
        <w:rPr>
          <w:noProof/>
          <w:lang w:val="en-IE"/>
        </w:rPr>
        <w:t xml:space="preserve">among other things </w:t>
      </w:r>
      <w:r w:rsidR="00332ED4">
        <w:rPr>
          <w:noProof/>
          <w:lang w:val="en-IE"/>
        </w:rPr>
        <w:t>to</w:t>
      </w:r>
      <w:r w:rsidR="00610CD4">
        <w:rPr>
          <w:noProof/>
          <w:lang w:val="en-IE"/>
        </w:rPr>
        <w:t xml:space="preserve"> this</w:t>
      </w:r>
      <w:r w:rsidR="00EB1087">
        <w:rPr>
          <w:noProof/>
          <w:lang w:val="en-IE"/>
        </w:rPr>
        <w:t xml:space="preserve"> objective</w:t>
      </w:r>
      <w:r w:rsidR="00610CD4">
        <w:rPr>
          <w:noProof/>
          <w:lang w:val="en-IE"/>
        </w:rPr>
        <w:t xml:space="preserve">. However, it is essential that </w:t>
      </w:r>
      <w:r w:rsidR="001D50D9">
        <w:rPr>
          <w:noProof/>
          <w:lang w:val="en-IE"/>
        </w:rPr>
        <w:t xml:space="preserve">the </w:t>
      </w:r>
      <w:r w:rsidR="00A35279">
        <w:rPr>
          <w:noProof/>
          <w:lang w:val="en-IE"/>
        </w:rPr>
        <w:t>a</w:t>
      </w:r>
      <w:r w:rsidR="001D50D9">
        <w:rPr>
          <w:noProof/>
          <w:lang w:val="en-IE"/>
        </w:rPr>
        <w:t>uthority</w:t>
      </w:r>
      <w:r w:rsidR="00610CD4">
        <w:rPr>
          <w:noProof/>
          <w:lang w:val="en-IE"/>
        </w:rPr>
        <w:t xml:space="preserve">’s </w:t>
      </w:r>
      <w:r w:rsidR="00610CD4" w:rsidRPr="00610CD4">
        <w:rPr>
          <w:noProof/>
          <w:lang w:val="en-IE"/>
        </w:rPr>
        <w:t xml:space="preserve">autonomy to manage and develop its </w:t>
      </w:r>
      <w:r w:rsidR="00FF5DB4">
        <w:rPr>
          <w:noProof/>
          <w:lang w:val="en-IE"/>
        </w:rPr>
        <w:t>HR</w:t>
      </w:r>
      <w:r w:rsidR="00610CD4" w:rsidRPr="00610CD4">
        <w:rPr>
          <w:noProof/>
          <w:lang w:val="en-IE"/>
        </w:rPr>
        <w:t xml:space="preserve"> and IT infrastructure</w:t>
      </w:r>
      <w:r w:rsidR="00610CD4">
        <w:rPr>
          <w:noProof/>
          <w:lang w:val="en-IE"/>
        </w:rPr>
        <w:t xml:space="preserve"> is further </w:t>
      </w:r>
      <w:r w:rsidR="006E1557">
        <w:rPr>
          <w:noProof/>
          <w:lang w:val="en-IE"/>
        </w:rPr>
        <w:t xml:space="preserve">increased </w:t>
      </w:r>
      <w:r w:rsidR="00F9500F" w:rsidRPr="00F9500F">
        <w:rPr>
          <w:noProof/>
          <w:lang w:val="en-IE"/>
        </w:rPr>
        <w:t>given the ongoing challenges to tax systems worldwide</w:t>
      </w:r>
      <w:r w:rsidR="00610CD4">
        <w:rPr>
          <w:noProof/>
          <w:lang w:val="en-IE"/>
        </w:rPr>
        <w:t>.</w:t>
      </w:r>
      <w:r w:rsidR="00533D4C">
        <w:rPr>
          <w:noProof/>
          <w:lang w:val="en-IE"/>
        </w:rPr>
        <w:t xml:space="preserve"> </w:t>
      </w:r>
    </w:p>
    <w:p w14:paraId="2540FC76" w14:textId="36B69208" w:rsidR="00777342" w:rsidRPr="00853E64" w:rsidRDefault="00AB4D48" w:rsidP="00AB4D48">
      <w:pPr>
        <w:pStyle w:val="ManualConsidrant"/>
        <w:rPr>
          <w:noProof/>
          <w:lang w:val="en-IE"/>
        </w:rPr>
      </w:pPr>
      <w:r w:rsidRPr="00AB4D48">
        <w:t>(29)</w:t>
      </w:r>
      <w:r w:rsidRPr="00AB4D48">
        <w:tab/>
      </w:r>
      <w:r w:rsidR="00533D4C" w:rsidRPr="00533D4C">
        <w:rPr>
          <w:noProof/>
          <w:lang w:val="en-IE"/>
        </w:rPr>
        <w:t xml:space="preserve">Greece </w:t>
      </w:r>
      <w:r w:rsidR="001D50D9">
        <w:rPr>
          <w:noProof/>
          <w:lang w:val="en-IE"/>
        </w:rPr>
        <w:t>has</w:t>
      </w:r>
      <w:r w:rsidR="00533D4C" w:rsidRPr="00533D4C">
        <w:rPr>
          <w:noProof/>
          <w:lang w:val="en-IE"/>
        </w:rPr>
        <w:t xml:space="preserve"> continu</w:t>
      </w:r>
      <w:r w:rsidR="001D50D9">
        <w:rPr>
          <w:noProof/>
          <w:lang w:val="en-IE"/>
        </w:rPr>
        <w:t>ed</w:t>
      </w:r>
      <w:r w:rsidR="00533D4C" w:rsidRPr="00533D4C">
        <w:rPr>
          <w:noProof/>
          <w:lang w:val="en-IE"/>
        </w:rPr>
        <w:t xml:space="preserve"> to take steps to modernise its public administration, but its overall performance remains low</w:t>
      </w:r>
      <w:r w:rsidR="003B64A7">
        <w:rPr>
          <w:noProof/>
          <w:lang w:val="en-IE"/>
        </w:rPr>
        <w:t xml:space="preserve">. Following a significant adjustment after 2010, </w:t>
      </w:r>
      <w:r w:rsidR="00436A5D">
        <w:rPr>
          <w:noProof/>
          <w:lang w:val="en-IE"/>
        </w:rPr>
        <w:t>the size and cost of public administration has been broadly aligned with the EU average</w:t>
      </w:r>
      <w:r w:rsidR="006E1557">
        <w:rPr>
          <w:noProof/>
          <w:lang w:val="en-IE"/>
        </w:rPr>
        <w:t>.</w:t>
      </w:r>
      <w:r w:rsidR="00010E8F">
        <w:rPr>
          <w:noProof/>
          <w:lang w:val="en-IE"/>
        </w:rPr>
        <w:t xml:space="preserve"> </w:t>
      </w:r>
      <w:r w:rsidR="003B64A7">
        <w:rPr>
          <w:noProof/>
          <w:lang w:val="en-IE"/>
        </w:rPr>
        <w:t>Greece’s</w:t>
      </w:r>
      <w:r w:rsidR="003B64A7" w:rsidRPr="00533D4C">
        <w:rPr>
          <w:noProof/>
          <w:lang w:val="en-IE"/>
        </w:rPr>
        <w:t xml:space="preserve"> wage bill remained stable in 2022 at 10.8% of GDP</w:t>
      </w:r>
      <w:r w:rsidR="003B64A7">
        <w:rPr>
          <w:noProof/>
          <w:lang w:val="en-IE"/>
        </w:rPr>
        <w:t xml:space="preserve">, slightly above the </w:t>
      </w:r>
      <w:r w:rsidR="003B64A7" w:rsidRPr="00533D4C">
        <w:rPr>
          <w:noProof/>
          <w:lang w:val="en-IE"/>
        </w:rPr>
        <w:t>EU average (10.2% of GDP)</w:t>
      </w:r>
      <w:r w:rsidR="003B64A7">
        <w:rPr>
          <w:noProof/>
          <w:lang w:val="en-IE"/>
        </w:rPr>
        <w:t xml:space="preserve">. </w:t>
      </w:r>
      <w:r w:rsidR="00BE05F2">
        <w:rPr>
          <w:noProof/>
          <w:lang w:val="en-IE"/>
        </w:rPr>
        <w:t xml:space="preserve">Ensuring continued application of the unified wage grid, while maintaining </w:t>
      </w:r>
      <w:r w:rsidR="00B51D22">
        <w:rPr>
          <w:noProof/>
          <w:lang w:val="en-IE"/>
        </w:rPr>
        <w:t xml:space="preserve">current </w:t>
      </w:r>
      <w:r w:rsidR="00BE05F2">
        <w:rPr>
          <w:noProof/>
          <w:lang w:val="en-IE"/>
        </w:rPr>
        <w:t>staff</w:t>
      </w:r>
      <w:r w:rsidR="00B51D22">
        <w:rPr>
          <w:noProof/>
          <w:lang w:val="en-IE"/>
        </w:rPr>
        <w:t>ing</w:t>
      </w:r>
      <w:r w:rsidR="00BE05F2">
        <w:rPr>
          <w:noProof/>
          <w:lang w:val="en-IE"/>
        </w:rPr>
        <w:t xml:space="preserve"> level</w:t>
      </w:r>
      <w:r w:rsidR="00B51D22">
        <w:rPr>
          <w:noProof/>
          <w:lang w:val="en-IE"/>
        </w:rPr>
        <w:t>s</w:t>
      </w:r>
      <w:r w:rsidR="00BE05F2">
        <w:rPr>
          <w:noProof/>
          <w:lang w:val="en-IE"/>
        </w:rPr>
        <w:t xml:space="preserve"> through the continued application of the </w:t>
      </w:r>
      <w:r w:rsidR="00FF5DB4">
        <w:rPr>
          <w:noProof/>
          <w:lang w:val="en-IE"/>
        </w:rPr>
        <w:t>‘</w:t>
      </w:r>
      <w:r w:rsidR="00BE05F2" w:rsidRPr="00D4052E">
        <w:rPr>
          <w:noProof/>
          <w:lang w:val="en-IE"/>
        </w:rPr>
        <w:t>one-in-one-out</w:t>
      </w:r>
      <w:r w:rsidR="00FF5DB4">
        <w:rPr>
          <w:noProof/>
          <w:lang w:val="en-IE"/>
        </w:rPr>
        <w:t>’</w:t>
      </w:r>
      <w:r w:rsidR="00BE05F2" w:rsidRPr="00D4052E">
        <w:rPr>
          <w:noProof/>
          <w:lang w:val="en-IE"/>
        </w:rPr>
        <w:t xml:space="preserve"> hiring rule for permanent staff</w:t>
      </w:r>
      <w:r w:rsidR="00BE05F2">
        <w:rPr>
          <w:noProof/>
          <w:lang w:val="en-IE"/>
        </w:rPr>
        <w:t xml:space="preserve"> and of the </w:t>
      </w:r>
      <w:r w:rsidR="00BE05F2" w:rsidRPr="00D4052E">
        <w:rPr>
          <w:noProof/>
          <w:lang w:val="en-IE"/>
        </w:rPr>
        <w:t xml:space="preserve">ceiling for temporary staff that </w:t>
      </w:r>
      <w:r w:rsidR="00BE05F2">
        <w:rPr>
          <w:noProof/>
          <w:lang w:val="en-IE"/>
        </w:rPr>
        <w:t xml:space="preserve">was introduced in 2022, will be key </w:t>
      </w:r>
      <w:r w:rsidR="006E1557">
        <w:rPr>
          <w:noProof/>
          <w:lang w:val="en-IE"/>
        </w:rPr>
        <w:t xml:space="preserve">to </w:t>
      </w:r>
      <w:r w:rsidR="00AB513D">
        <w:rPr>
          <w:noProof/>
          <w:lang w:val="en-IE"/>
        </w:rPr>
        <w:t xml:space="preserve">safeguarding </w:t>
      </w:r>
      <w:r w:rsidR="00172AD3">
        <w:rPr>
          <w:noProof/>
          <w:lang w:val="en-IE"/>
        </w:rPr>
        <w:t>these gains</w:t>
      </w:r>
      <w:r w:rsidR="00BE05F2">
        <w:rPr>
          <w:noProof/>
          <w:lang w:val="en-IE"/>
        </w:rPr>
        <w:t xml:space="preserve">. </w:t>
      </w:r>
      <w:r w:rsidR="00533D4C" w:rsidRPr="00533D4C">
        <w:rPr>
          <w:noProof/>
          <w:lang w:val="en-IE"/>
        </w:rPr>
        <w:t>The recovery and resilience plan contains measures to improve the effectiveness of public administration, with a particular focus on improving its digital services.</w:t>
      </w:r>
      <w:r w:rsidR="00533D4C">
        <w:rPr>
          <w:noProof/>
          <w:lang w:val="en-IE"/>
        </w:rPr>
        <w:t xml:space="preserve"> </w:t>
      </w:r>
      <w:r w:rsidR="00AE452C">
        <w:rPr>
          <w:noProof/>
          <w:lang w:val="en-IE"/>
        </w:rPr>
        <w:t xml:space="preserve">At the same time, </w:t>
      </w:r>
      <w:r w:rsidR="00AE452C" w:rsidRPr="00533D4C">
        <w:rPr>
          <w:noProof/>
          <w:lang w:val="en-IE"/>
        </w:rPr>
        <w:t>attracting and maintaining high-calibre staff</w:t>
      </w:r>
      <w:r w:rsidR="00691227">
        <w:rPr>
          <w:noProof/>
          <w:lang w:val="en-IE"/>
        </w:rPr>
        <w:t xml:space="preserve"> remains a challenge</w:t>
      </w:r>
      <w:r w:rsidR="007A3A70">
        <w:rPr>
          <w:noProof/>
          <w:lang w:val="en-IE"/>
        </w:rPr>
        <w:t>. This</w:t>
      </w:r>
      <w:r w:rsidR="00A9008F">
        <w:rPr>
          <w:noProof/>
          <w:lang w:val="en-IE"/>
        </w:rPr>
        <w:t xml:space="preserve"> could be addre</w:t>
      </w:r>
      <w:r w:rsidR="00D70F6C">
        <w:rPr>
          <w:noProof/>
          <w:lang w:val="en-IE"/>
        </w:rPr>
        <w:t>ssed in a structural manner through special</w:t>
      </w:r>
      <w:r w:rsidR="000512B1">
        <w:rPr>
          <w:noProof/>
          <w:lang w:val="en-IE"/>
        </w:rPr>
        <w:t>/supplementary</w:t>
      </w:r>
      <w:r w:rsidR="00D70F6C">
        <w:rPr>
          <w:noProof/>
          <w:lang w:val="en-IE"/>
        </w:rPr>
        <w:t xml:space="preserve"> wage grids</w:t>
      </w:r>
      <w:r w:rsidR="000512B1">
        <w:rPr>
          <w:noProof/>
          <w:lang w:val="en-IE"/>
        </w:rPr>
        <w:t xml:space="preserve"> for specific functions and/or </w:t>
      </w:r>
      <w:r w:rsidR="007B354A">
        <w:rPr>
          <w:noProof/>
          <w:lang w:val="en-IE"/>
        </w:rPr>
        <w:t xml:space="preserve">bodies </w:t>
      </w:r>
      <w:r w:rsidR="000512B1">
        <w:rPr>
          <w:noProof/>
          <w:lang w:val="en-IE"/>
        </w:rPr>
        <w:t>as well as a well-defined system of allowances</w:t>
      </w:r>
      <w:r w:rsidR="00D10B2F">
        <w:rPr>
          <w:noProof/>
          <w:lang w:val="en-IE"/>
        </w:rPr>
        <w:t xml:space="preserve"> </w:t>
      </w:r>
      <w:r w:rsidR="007A3A70">
        <w:rPr>
          <w:noProof/>
          <w:lang w:val="en-IE"/>
        </w:rPr>
        <w:t xml:space="preserve">introduced as </w:t>
      </w:r>
      <w:r w:rsidR="007650C1">
        <w:rPr>
          <w:noProof/>
          <w:lang w:val="en-IE"/>
        </w:rPr>
        <w:t xml:space="preserve">an </w:t>
      </w:r>
      <w:r w:rsidR="007A3A70">
        <w:rPr>
          <w:noProof/>
          <w:lang w:val="en-IE"/>
        </w:rPr>
        <w:t xml:space="preserve">integral part of the new </w:t>
      </w:r>
      <w:r w:rsidR="00FF5DB4">
        <w:rPr>
          <w:noProof/>
          <w:lang w:val="en-IE"/>
        </w:rPr>
        <w:t>HR</w:t>
      </w:r>
      <w:r w:rsidR="007A3A70">
        <w:rPr>
          <w:noProof/>
          <w:lang w:val="en-IE"/>
        </w:rPr>
        <w:t xml:space="preserve"> management system</w:t>
      </w:r>
      <w:r w:rsidR="00342DB2">
        <w:rPr>
          <w:noProof/>
          <w:lang w:val="en-IE"/>
        </w:rPr>
        <w:t>, while</w:t>
      </w:r>
      <w:r w:rsidR="004C2A19">
        <w:rPr>
          <w:noProof/>
          <w:lang w:val="en-IE"/>
        </w:rPr>
        <w:t xml:space="preserve"> safeguarding the integrity of the unified wage grid</w:t>
      </w:r>
      <w:r w:rsidR="00AB7B83">
        <w:rPr>
          <w:noProof/>
          <w:lang w:val="en-IE"/>
        </w:rPr>
        <w:t xml:space="preserve"> and the overall size of the wage bill</w:t>
      </w:r>
      <w:r w:rsidR="00AE452C" w:rsidRPr="00533D4C">
        <w:rPr>
          <w:noProof/>
          <w:lang w:val="en-IE"/>
        </w:rPr>
        <w:t>.</w:t>
      </w:r>
      <w:r w:rsidR="00AE452C">
        <w:rPr>
          <w:noProof/>
          <w:lang w:val="en-IE"/>
        </w:rPr>
        <w:t xml:space="preserve"> </w:t>
      </w:r>
    </w:p>
    <w:p w14:paraId="492207AB" w14:textId="643BD8D9" w:rsidR="002B0305" w:rsidRDefault="00AB4D48" w:rsidP="00AB4D48">
      <w:pPr>
        <w:pStyle w:val="ManualConsidrant"/>
        <w:rPr>
          <w:noProof/>
        </w:rPr>
      </w:pPr>
      <w:r w:rsidRPr="00AB4D48">
        <w:t>(30)</w:t>
      </w:r>
      <w:r w:rsidRPr="00AB4D48">
        <w:tab/>
      </w:r>
      <w:r w:rsidR="00373387">
        <w:rPr>
          <w:noProof/>
        </w:rPr>
        <w:t>In accordance with Article 19(3), point (b) and Annex V, criterion 2.2</w:t>
      </w:r>
      <w:r w:rsidR="5E4D5B2F">
        <w:rPr>
          <w:noProof/>
        </w:rPr>
        <w:t xml:space="preserve"> of</w:t>
      </w:r>
      <w:r w:rsidR="0000740E">
        <w:rPr>
          <w:noProof/>
        </w:rPr>
        <w:t xml:space="preserve"> </w:t>
      </w:r>
      <w:r w:rsidR="00373387">
        <w:rPr>
          <w:noProof/>
        </w:rPr>
        <w:t>Regulation (EU) 2021/241, the recovery and resilience plan includes an extensive set of mutually reinforcing reforms and investments to be implemented by 2026.</w:t>
      </w:r>
      <w:r w:rsidR="006F032B">
        <w:rPr>
          <w:noProof/>
        </w:rPr>
        <w:t xml:space="preserve"> </w:t>
      </w:r>
      <w:bookmarkStart w:id="4" w:name="_Hlk134441572"/>
      <w:r w:rsidR="002E6E8F" w:rsidRPr="002E6E8F">
        <w:rPr>
          <w:noProof/>
        </w:rPr>
        <w:t xml:space="preserve">The implementation of </w:t>
      </w:r>
      <w:r w:rsidR="002E6E8F">
        <w:rPr>
          <w:noProof/>
        </w:rPr>
        <w:t>Greece</w:t>
      </w:r>
      <w:r w:rsidR="002E6E8F" w:rsidRPr="002E6E8F">
        <w:rPr>
          <w:noProof/>
        </w:rPr>
        <w:t>’s recovery and resilience plan has so far been well underway.</w:t>
      </w:r>
      <w:r w:rsidR="002A0B6A" w:rsidRPr="002A0B6A">
        <w:rPr>
          <w:noProof/>
        </w:rPr>
        <w:t xml:space="preserve"> Going forward, it will be important to maintain the implementation momentum.</w:t>
      </w:r>
      <w:r w:rsidR="002E6E8F" w:rsidRPr="002E6E8F">
        <w:rPr>
          <w:noProof/>
        </w:rPr>
        <w:t xml:space="preserve"> </w:t>
      </w:r>
      <w:r w:rsidR="002E6E8F">
        <w:rPr>
          <w:noProof/>
        </w:rPr>
        <w:t>Greece</w:t>
      </w:r>
      <w:r w:rsidR="002E6E8F" w:rsidRPr="002E6E8F">
        <w:rPr>
          <w:noProof/>
        </w:rPr>
        <w:t xml:space="preserve"> submitted </w:t>
      </w:r>
      <w:r w:rsidR="002E6E8F" w:rsidRPr="00BA7BC0">
        <w:rPr>
          <w:noProof/>
        </w:rPr>
        <w:t>three</w:t>
      </w:r>
      <w:r w:rsidR="002E6E8F" w:rsidRPr="002E6E8F">
        <w:rPr>
          <w:noProof/>
        </w:rPr>
        <w:t xml:space="preserve"> payment requests</w:t>
      </w:r>
      <w:r w:rsidR="003477AD">
        <w:rPr>
          <w:rStyle w:val="FootnoteReference"/>
          <w:noProof/>
        </w:rPr>
        <w:footnoteReference w:id="25"/>
      </w:r>
      <w:r w:rsidR="00E16A1F">
        <w:rPr>
          <w:noProof/>
        </w:rPr>
        <w:t xml:space="preserve"> </w:t>
      </w:r>
      <w:r w:rsidR="00A616FE">
        <w:rPr>
          <w:noProof/>
        </w:rPr>
        <w:t>for</w:t>
      </w:r>
      <w:r w:rsidR="00E16A1F">
        <w:rPr>
          <w:noProof/>
        </w:rPr>
        <w:t xml:space="preserve"> </w:t>
      </w:r>
      <w:r w:rsidR="00A616FE">
        <w:rPr>
          <w:noProof/>
        </w:rPr>
        <w:t>non-repayable financial support</w:t>
      </w:r>
      <w:r w:rsidR="00E16A1F">
        <w:rPr>
          <w:noProof/>
        </w:rPr>
        <w:t xml:space="preserve"> and two payment requests </w:t>
      </w:r>
      <w:r w:rsidR="00A616FE">
        <w:rPr>
          <w:noProof/>
        </w:rPr>
        <w:t>for</w:t>
      </w:r>
      <w:r w:rsidR="00E16A1F">
        <w:rPr>
          <w:noProof/>
        </w:rPr>
        <w:t xml:space="preserve"> loan</w:t>
      </w:r>
      <w:r w:rsidR="00A616FE">
        <w:rPr>
          <w:noProof/>
        </w:rPr>
        <w:t xml:space="preserve"> support</w:t>
      </w:r>
      <w:r w:rsidR="002E6E8F" w:rsidRPr="002E6E8F">
        <w:rPr>
          <w:noProof/>
        </w:rPr>
        <w:t xml:space="preserve">, corresponding to </w:t>
      </w:r>
      <w:r w:rsidR="00E31445" w:rsidRPr="002115A6">
        <w:rPr>
          <w:noProof/>
        </w:rPr>
        <w:t>85</w:t>
      </w:r>
      <w:r w:rsidR="002E6E8F" w:rsidRPr="002E6E8F">
        <w:rPr>
          <w:noProof/>
        </w:rPr>
        <w:t xml:space="preserve"> milestones and targets in the plan</w:t>
      </w:r>
      <w:r w:rsidR="003F5B5A">
        <w:rPr>
          <w:noProof/>
        </w:rPr>
        <w:t>. To date</w:t>
      </w:r>
      <w:r w:rsidR="00E31445">
        <w:rPr>
          <w:noProof/>
        </w:rPr>
        <w:t xml:space="preserve">, Greece has received </w:t>
      </w:r>
      <w:r w:rsidR="002E6E8F" w:rsidRPr="002E6E8F">
        <w:rPr>
          <w:noProof/>
        </w:rPr>
        <w:t xml:space="preserve">an overall disbursement of EUR </w:t>
      </w:r>
      <w:r w:rsidR="002B51BA">
        <w:rPr>
          <w:noProof/>
        </w:rPr>
        <w:t>7</w:t>
      </w:r>
      <w:r w:rsidR="003477AD" w:rsidRPr="00C53427">
        <w:rPr>
          <w:noProof/>
        </w:rPr>
        <w:t> </w:t>
      </w:r>
      <w:r w:rsidR="002B51BA">
        <w:rPr>
          <w:noProof/>
        </w:rPr>
        <w:t>126</w:t>
      </w:r>
      <w:r w:rsidR="003477AD" w:rsidRPr="002B51BA">
        <w:rPr>
          <w:noProof/>
        </w:rPr>
        <w:t xml:space="preserve"> m</w:t>
      </w:r>
      <w:r w:rsidR="00E31445" w:rsidRPr="002B51BA">
        <w:rPr>
          <w:noProof/>
        </w:rPr>
        <w:t>illion</w:t>
      </w:r>
      <w:r w:rsidR="003477AD">
        <w:rPr>
          <w:rStyle w:val="FootnoteReference"/>
          <w:noProof/>
        </w:rPr>
        <w:footnoteReference w:id="26"/>
      </w:r>
      <w:r w:rsidR="002E6E8F" w:rsidRPr="002E6E8F">
        <w:rPr>
          <w:noProof/>
        </w:rPr>
        <w:t xml:space="preserve">. </w:t>
      </w:r>
      <w:r w:rsidR="00265728">
        <w:rPr>
          <w:noProof/>
        </w:rPr>
        <w:t xml:space="preserve">In accordance with </w:t>
      </w:r>
      <w:r w:rsidR="00265728" w:rsidRPr="00265728">
        <w:rPr>
          <w:noProof/>
        </w:rPr>
        <w:t>Article 14(6)</w:t>
      </w:r>
      <w:r w:rsidR="00265728">
        <w:rPr>
          <w:noProof/>
        </w:rPr>
        <w:t xml:space="preserve"> of </w:t>
      </w:r>
      <w:r w:rsidR="00265728" w:rsidRPr="00265728">
        <w:rPr>
          <w:noProof/>
        </w:rPr>
        <w:t xml:space="preserve">Regulation (EU) 2021/241, </w:t>
      </w:r>
      <w:r w:rsidR="00265728">
        <w:rPr>
          <w:noProof/>
        </w:rPr>
        <w:t>on 29 March 2023</w:t>
      </w:r>
      <w:r w:rsidR="00CC7BB6">
        <w:rPr>
          <w:noProof/>
        </w:rPr>
        <w:t>,</w:t>
      </w:r>
      <w:r w:rsidR="00265728">
        <w:rPr>
          <w:noProof/>
        </w:rPr>
        <w:t xml:space="preserve"> Greece expressed its intention to request EUR 5</w:t>
      </w:r>
      <w:r w:rsidR="00D35C29">
        <w:rPr>
          <w:noProof/>
        </w:rPr>
        <w:t> 000 m</w:t>
      </w:r>
      <w:r w:rsidR="00265728">
        <w:rPr>
          <w:noProof/>
        </w:rPr>
        <w:t>illion of additional loan</w:t>
      </w:r>
      <w:r w:rsidR="00EA4BFC">
        <w:rPr>
          <w:noProof/>
        </w:rPr>
        <w:t xml:space="preserve"> </w:t>
      </w:r>
      <w:r w:rsidR="00265728">
        <w:rPr>
          <w:noProof/>
        </w:rPr>
        <w:t>s</w:t>
      </w:r>
      <w:r w:rsidR="00EA4BFC">
        <w:rPr>
          <w:noProof/>
        </w:rPr>
        <w:t>upport</w:t>
      </w:r>
      <w:r w:rsidR="00265728">
        <w:rPr>
          <w:noProof/>
        </w:rPr>
        <w:t xml:space="preserve"> under the Recover</w:t>
      </w:r>
      <w:r w:rsidR="00A55499">
        <w:rPr>
          <w:noProof/>
        </w:rPr>
        <w:t>y</w:t>
      </w:r>
      <w:r w:rsidR="00265728">
        <w:rPr>
          <w:noProof/>
        </w:rPr>
        <w:t xml:space="preserve"> and Resilience Facility. </w:t>
      </w:r>
      <w:r w:rsidR="002E6E8F">
        <w:rPr>
          <w:noProof/>
        </w:rPr>
        <w:t>Greece has</w:t>
      </w:r>
      <w:r w:rsidR="00424F8A">
        <w:rPr>
          <w:noProof/>
        </w:rPr>
        <w:t xml:space="preserve"> made a solid start </w:t>
      </w:r>
      <w:r w:rsidR="00C44555">
        <w:rPr>
          <w:noProof/>
        </w:rPr>
        <w:t>to</w:t>
      </w:r>
      <w:r w:rsidR="00424F8A">
        <w:rPr>
          <w:noProof/>
        </w:rPr>
        <w:t xml:space="preserve"> implementing its plan and has established a management and control system to monitor and coordinate the timely completion of the reforms and investments. </w:t>
      </w:r>
      <w:r w:rsidR="00623475">
        <w:rPr>
          <w:noProof/>
        </w:rPr>
        <w:t xml:space="preserve">Going forward it will be important to maintain and enhance these efforts considering the significant number of reforms and investments that </w:t>
      </w:r>
      <w:r w:rsidR="00C44555">
        <w:rPr>
          <w:noProof/>
        </w:rPr>
        <w:t>are planned to</w:t>
      </w:r>
      <w:r w:rsidR="00623475">
        <w:rPr>
          <w:noProof/>
        </w:rPr>
        <w:t xml:space="preserve"> be implemented</w:t>
      </w:r>
      <w:r w:rsidR="00952F4C">
        <w:rPr>
          <w:noProof/>
        </w:rPr>
        <w:t xml:space="preserve">, in particular as </w:t>
      </w:r>
      <w:r w:rsidR="00B07CC1">
        <w:rPr>
          <w:noProof/>
        </w:rPr>
        <w:t xml:space="preserve">the completion of </w:t>
      </w:r>
      <w:r w:rsidR="00952F4C">
        <w:rPr>
          <w:noProof/>
        </w:rPr>
        <w:t xml:space="preserve">a number </w:t>
      </w:r>
      <w:r w:rsidR="00623475">
        <w:rPr>
          <w:noProof/>
        </w:rPr>
        <w:t xml:space="preserve">of these will require timely </w:t>
      </w:r>
      <w:r w:rsidR="00B07CC1">
        <w:rPr>
          <w:noProof/>
        </w:rPr>
        <w:t>progress with</w:t>
      </w:r>
      <w:r w:rsidR="00623475">
        <w:rPr>
          <w:noProof/>
        </w:rPr>
        <w:t xml:space="preserve"> </w:t>
      </w:r>
      <w:r w:rsidR="00C44555">
        <w:rPr>
          <w:noProof/>
        </w:rPr>
        <w:t xml:space="preserve">various preparatory steps, including </w:t>
      </w:r>
      <w:r w:rsidR="00623475">
        <w:rPr>
          <w:noProof/>
        </w:rPr>
        <w:t xml:space="preserve">public procurement procedures. </w:t>
      </w:r>
      <w:r w:rsidR="00952F4C" w:rsidRPr="0002609E">
        <w:rPr>
          <w:noProof/>
        </w:rPr>
        <w:t xml:space="preserve">The continued implementation of the plan </w:t>
      </w:r>
      <w:r w:rsidR="00C44555" w:rsidRPr="0002609E">
        <w:rPr>
          <w:noProof/>
        </w:rPr>
        <w:t>hinges</w:t>
      </w:r>
      <w:r w:rsidR="00952F4C" w:rsidRPr="0002609E">
        <w:rPr>
          <w:noProof/>
        </w:rPr>
        <w:t xml:space="preserve"> on the administrative and implementation capacity of the assigned implementing bodies</w:t>
      </w:r>
      <w:r w:rsidR="00BB5718" w:rsidRPr="0002609E">
        <w:rPr>
          <w:noProof/>
        </w:rPr>
        <w:t xml:space="preserve">, including </w:t>
      </w:r>
      <w:r w:rsidR="00952F4C" w:rsidRPr="0002609E">
        <w:rPr>
          <w:noProof/>
        </w:rPr>
        <w:t>the regional and local administration</w:t>
      </w:r>
      <w:r w:rsidR="003E3051" w:rsidRPr="0074143B">
        <w:rPr>
          <w:noProof/>
        </w:rPr>
        <w:t>.</w:t>
      </w:r>
      <w:r w:rsidR="003E3051">
        <w:rPr>
          <w:noProof/>
        </w:rPr>
        <w:t xml:space="preserve"> </w:t>
      </w:r>
      <w:r w:rsidR="3F48842C">
        <w:rPr>
          <w:noProof/>
        </w:rPr>
        <w:t>The</w:t>
      </w:r>
      <w:r w:rsidR="61CA9ED4">
        <w:rPr>
          <w:noProof/>
        </w:rPr>
        <w:t xml:space="preserve"> swift</w:t>
      </w:r>
      <w:r w:rsidR="3F48842C">
        <w:rPr>
          <w:noProof/>
        </w:rPr>
        <w:t xml:space="preserve"> inclusion of the new REPowerEU chapter in the recovery and resilience plan </w:t>
      </w:r>
      <w:r w:rsidR="4BE50CD6">
        <w:rPr>
          <w:noProof/>
        </w:rPr>
        <w:t xml:space="preserve">will allow </w:t>
      </w:r>
      <w:r w:rsidR="5DA68CE5">
        <w:rPr>
          <w:noProof/>
        </w:rPr>
        <w:t>additional reforms and investments</w:t>
      </w:r>
      <w:r w:rsidR="000105B5">
        <w:rPr>
          <w:noProof/>
        </w:rPr>
        <w:t xml:space="preserve"> to be financed</w:t>
      </w:r>
      <w:r w:rsidR="5DA68CE5">
        <w:rPr>
          <w:noProof/>
        </w:rPr>
        <w:t xml:space="preserve"> in support of </w:t>
      </w:r>
      <w:r w:rsidR="00F3744B">
        <w:rPr>
          <w:noProof/>
        </w:rPr>
        <w:t>Greece</w:t>
      </w:r>
      <w:r w:rsidR="5DA68CE5">
        <w:rPr>
          <w:noProof/>
        </w:rPr>
        <w:t>’s strategic objectives in the field of energy and the green transition.</w:t>
      </w:r>
      <w:r w:rsidR="4BE50CD6">
        <w:rPr>
          <w:noProof/>
        </w:rPr>
        <w:t xml:space="preserve"> </w:t>
      </w:r>
      <w:r w:rsidR="00373387">
        <w:rPr>
          <w:noProof/>
        </w:rPr>
        <w:t xml:space="preserve">The systematic </w:t>
      </w:r>
      <w:r w:rsidR="00950D2F">
        <w:rPr>
          <w:noProof/>
          <w:lang w:val="en-IE"/>
        </w:rPr>
        <w:t xml:space="preserve">and effective </w:t>
      </w:r>
      <w:r w:rsidR="00373387">
        <w:rPr>
          <w:noProof/>
        </w:rPr>
        <w:t xml:space="preserve">involvement of </w:t>
      </w:r>
      <w:r w:rsidR="00924432">
        <w:rPr>
          <w:noProof/>
        </w:rPr>
        <w:t xml:space="preserve">local and regional authorities, </w:t>
      </w:r>
      <w:r w:rsidR="00373387">
        <w:rPr>
          <w:noProof/>
        </w:rPr>
        <w:t>social partners and other relevant stakeholders remains important for the successful implementation of the recovery and resilience plan, as well as other economic and employment policies going beyond the plan, to ensure broad ownership of the overall policy agenda.</w:t>
      </w:r>
      <w:r w:rsidR="00690A6B">
        <w:rPr>
          <w:noProof/>
        </w:rPr>
        <w:t xml:space="preserve"> </w:t>
      </w:r>
    </w:p>
    <w:bookmarkEnd w:id="4"/>
    <w:p w14:paraId="398D0BEE" w14:textId="5B764B83" w:rsidR="00511F24" w:rsidRPr="007D0D11" w:rsidRDefault="00AB4D48" w:rsidP="00AB4D48">
      <w:pPr>
        <w:pStyle w:val="ManualConsidrant"/>
        <w:rPr>
          <w:rFonts w:eastAsia="Times New Roman"/>
          <w:noProof/>
        </w:rPr>
      </w:pPr>
      <w:r w:rsidRPr="00AB4D48">
        <w:t>(31)</w:t>
      </w:r>
      <w:r w:rsidRPr="00AB4D48">
        <w:tab/>
      </w:r>
      <w:r w:rsidR="007D0D11">
        <w:rPr>
          <w:noProof/>
        </w:rPr>
        <w:t>The C</w:t>
      </w:r>
      <w:r w:rsidR="00B7712A">
        <w:rPr>
          <w:noProof/>
        </w:rPr>
        <w:t xml:space="preserve">ommission approved </w:t>
      </w:r>
      <w:r w:rsidR="00B7712A" w:rsidRPr="00151DEE">
        <w:rPr>
          <w:noProof/>
        </w:rPr>
        <w:t>all</w:t>
      </w:r>
      <w:r w:rsidR="00B7712A">
        <w:rPr>
          <w:noProof/>
        </w:rPr>
        <w:t xml:space="preserve"> </w:t>
      </w:r>
      <w:r w:rsidR="00654FC6">
        <w:rPr>
          <w:noProof/>
        </w:rPr>
        <w:t>of Greece’s</w:t>
      </w:r>
      <w:r w:rsidR="00B7712A">
        <w:rPr>
          <w:noProof/>
        </w:rPr>
        <w:t xml:space="preserve"> cohesion policy programming documents in 2022</w:t>
      </w:r>
      <w:r w:rsidR="00B7712A" w:rsidRPr="00151DEE">
        <w:rPr>
          <w:noProof/>
        </w:rPr>
        <w:t>.</w:t>
      </w:r>
      <w:r w:rsidR="00B7712A">
        <w:rPr>
          <w:noProof/>
        </w:rPr>
        <w:t xml:space="preserve"> Proceeding with the swift implementation of the cohesion policy programmes in complementarity and synergy with the </w:t>
      </w:r>
      <w:r w:rsidR="00BD104A">
        <w:rPr>
          <w:noProof/>
        </w:rPr>
        <w:t>r</w:t>
      </w:r>
      <w:r w:rsidR="00B7712A">
        <w:rPr>
          <w:noProof/>
        </w:rPr>
        <w:t xml:space="preserve">ecovery and </w:t>
      </w:r>
      <w:r w:rsidR="00BD104A">
        <w:rPr>
          <w:noProof/>
        </w:rPr>
        <w:t>r</w:t>
      </w:r>
      <w:r w:rsidR="00B7712A">
        <w:rPr>
          <w:noProof/>
        </w:rPr>
        <w:t xml:space="preserve">esilience </w:t>
      </w:r>
      <w:r w:rsidR="00BD104A">
        <w:rPr>
          <w:noProof/>
        </w:rPr>
        <w:t>p</w:t>
      </w:r>
      <w:r w:rsidR="00B7712A">
        <w:rPr>
          <w:noProof/>
        </w:rPr>
        <w:t>lan, including the REPowerEU chapter,</w:t>
      </w:r>
      <w:r w:rsidR="00F57166">
        <w:rPr>
          <w:noProof/>
        </w:rPr>
        <w:t xml:space="preserve"> is key to achiev</w:t>
      </w:r>
      <w:r w:rsidR="000105B5">
        <w:rPr>
          <w:noProof/>
        </w:rPr>
        <w:t>ing</w:t>
      </w:r>
      <w:r w:rsidR="00F57166">
        <w:rPr>
          <w:noProof/>
        </w:rPr>
        <w:t xml:space="preserve"> the green and digital transition, increas</w:t>
      </w:r>
      <w:r w:rsidR="000105B5">
        <w:rPr>
          <w:noProof/>
        </w:rPr>
        <w:t>ing</w:t>
      </w:r>
      <w:r w:rsidR="00F57166">
        <w:rPr>
          <w:noProof/>
        </w:rPr>
        <w:t xml:space="preserve"> economic and social resilience as well as </w:t>
      </w:r>
      <w:r w:rsidR="000105B5">
        <w:rPr>
          <w:noProof/>
        </w:rPr>
        <w:t xml:space="preserve">achieving </w:t>
      </w:r>
      <w:r w:rsidR="00F57166">
        <w:rPr>
          <w:noProof/>
        </w:rPr>
        <w:t xml:space="preserve">balanced territorial development in </w:t>
      </w:r>
      <w:r w:rsidR="00F3744B" w:rsidRPr="007D0D11">
        <w:rPr>
          <w:noProof/>
        </w:rPr>
        <w:t>Greece</w:t>
      </w:r>
      <w:r w:rsidR="00F57166" w:rsidRPr="007D0D11">
        <w:rPr>
          <w:rFonts w:eastAsia="Times New Roman"/>
          <w:noProof/>
        </w:rPr>
        <w:t>.</w:t>
      </w:r>
    </w:p>
    <w:p w14:paraId="730F7702" w14:textId="1596F65F" w:rsidR="00E4759D" w:rsidRDefault="00AB4D48" w:rsidP="00AB4D48">
      <w:pPr>
        <w:pStyle w:val="ManualConsidrant"/>
        <w:rPr>
          <w:noProof/>
          <w:lang w:val="en-IE"/>
        </w:rPr>
      </w:pPr>
      <w:r w:rsidRPr="00AB4D48">
        <w:t>(32)</w:t>
      </w:r>
      <w:r w:rsidRPr="00AB4D48">
        <w:tab/>
      </w:r>
      <w:r w:rsidR="007D0D11" w:rsidRPr="00AB663E">
        <w:rPr>
          <w:noProof/>
          <w:lang w:val="en-IE"/>
        </w:rPr>
        <w:t>Beyon</w:t>
      </w:r>
      <w:r w:rsidR="000B0580" w:rsidRPr="00AB663E">
        <w:rPr>
          <w:noProof/>
          <w:lang w:val="en-IE"/>
        </w:rPr>
        <w:t xml:space="preserve">d the economic and social challenges addressed by the recovery and resilience plan, </w:t>
      </w:r>
      <w:r w:rsidR="00F3744B" w:rsidRPr="00AB663E">
        <w:rPr>
          <w:noProof/>
          <w:lang w:val="en-IE"/>
        </w:rPr>
        <w:t>Greece</w:t>
      </w:r>
      <w:r w:rsidR="000B0580" w:rsidRPr="00AB663E">
        <w:rPr>
          <w:noProof/>
          <w:lang w:val="en-IE"/>
        </w:rPr>
        <w:t xml:space="preserve"> faces a number of additional challenges</w:t>
      </w:r>
      <w:r w:rsidR="00FD3809" w:rsidRPr="00AB663E">
        <w:rPr>
          <w:noProof/>
          <w:lang w:val="en-IE"/>
        </w:rPr>
        <w:t xml:space="preserve"> </w:t>
      </w:r>
      <w:r w:rsidR="000B0580" w:rsidRPr="00AB663E">
        <w:rPr>
          <w:noProof/>
          <w:lang w:val="en-IE"/>
        </w:rPr>
        <w:t>related to</w:t>
      </w:r>
      <w:r w:rsidR="00021089" w:rsidRPr="00AB663E">
        <w:rPr>
          <w:noProof/>
          <w:lang w:val="en-IE"/>
        </w:rPr>
        <w:t xml:space="preserve"> healthcare</w:t>
      </w:r>
      <w:r w:rsidR="001D3883">
        <w:rPr>
          <w:noProof/>
          <w:lang w:val="en-IE"/>
        </w:rPr>
        <w:t xml:space="preserve"> and long-term care</w:t>
      </w:r>
      <w:r w:rsidR="00021089" w:rsidRPr="00AB663E">
        <w:rPr>
          <w:noProof/>
          <w:lang w:val="en-IE"/>
        </w:rPr>
        <w:t xml:space="preserve">, cadastral mapping, energy policy and </w:t>
      </w:r>
      <w:r w:rsidR="00E17588">
        <w:rPr>
          <w:noProof/>
          <w:lang w:val="en-IE"/>
        </w:rPr>
        <w:t>the green transition</w:t>
      </w:r>
      <w:r w:rsidR="000B0580" w:rsidRPr="00AB663E">
        <w:rPr>
          <w:noProof/>
          <w:lang w:val="en-IE"/>
        </w:rPr>
        <w:t xml:space="preserve">. </w:t>
      </w:r>
    </w:p>
    <w:p w14:paraId="335587DB" w14:textId="48E85F25" w:rsidR="00511F24" w:rsidRPr="00AB663E" w:rsidRDefault="00AB4D48" w:rsidP="00AB4D48">
      <w:pPr>
        <w:pStyle w:val="ManualConsidrant"/>
        <w:rPr>
          <w:noProof/>
          <w:lang w:val="en-IE"/>
        </w:rPr>
      </w:pPr>
      <w:r w:rsidRPr="00AB4D48">
        <w:t>(33)</w:t>
      </w:r>
      <w:r w:rsidRPr="00AB4D48">
        <w:tab/>
      </w:r>
      <w:r w:rsidR="00513D4C" w:rsidRPr="00AB663E">
        <w:rPr>
          <w:noProof/>
          <w:lang w:val="en-IE"/>
        </w:rPr>
        <w:t>Public healthcare spending is below the EU average</w:t>
      </w:r>
      <w:r w:rsidR="00D71A71">
        <w:rPr>
          <w:noProof/>
          <w:lang w:val="en-IE"/>
        </w:rPr>
        <w:t>,</w:t>
      </w:r>
      <w:r w:rsidR="00513D4C" w:rsidRPr="00AB663E">
        <w:rPr>
          <w:noProof/>
          <w:lang w:val="en-IE"/>
        </w:rPr>
        <w:t xml:space="preserve"> while the out-of-pocket payments </w:t>
      </w:r>
      <w:r w:rsidR="00D71A71">
        <w:rPr>
          <w:noProof/>
          <w:lang w:val="en-IE"/>
        </w:rPr>
        <w:t xml:space="preserve">made </w:t>
      </w:r>
      <w:r w:rsidR="00513D4C" w:rsidRPr="00AB663E">
        <w:rPr>
          <w:noProof/>
          <w:lang w:val="en-IE"/>
        </w:rPr>
        <w:t xml:space="preserve">by patients in Greece are the second highest in the EU as a share of GDP. The healthcare system is still hospital-centric, with curative care spending focused on hospitalisation. In addition, Greece ranks first among all Member States for public spending on </w:t>
      </w:r>
      <w:r w:rsidR="008C19A5">
        <w:rPr>
          <w:noProof/>
          <w:lang w:val="en-IE"/>
        </w:rPr>
        <w:t>medicines</w:t>
      </w:r>
      <w:r w:rsidR="008C19A5" w:rsidRPr="00AB663E">
        <w:rPr>
          <w:noProof/>
          <w:lang w:val="en-IE"/>
        </w:rPr>
        <w:t xml:space="preserve"> </w:t>
      </w:r>
      <w:r w:rsidR="00513D4C" w:rsidRPr="00AB663E">
        <w:rPr>
          <w:noProof/>
          <w:lang w:val="en-IE"/>
        </w:rPr>
        <w:t xml:space="preserve">as a share </w:t>
      </w:r>
      <w:r w:rsidR="008C19A5">
        <w:rPr>
          <w:noProof/>
          <w:lang w:val="en-IE"/>
        </w:rPr>
        <w:t>of</w:t>
      </w:r>
      <w:r w:rsidR="008C19A5" w:rsidRPr="00AB663E">
        <w:rPr>
          <w:noProof/>
          <w:lang w:val="en-IE"/>
        </w:rPr>
        <w:t xml:space="preserve"> </w:t>
      </w:r>
      <w:r w:rsidR="00513D4C" w:rsidRPr="00AB663E">
        <w:rPr>
          <w:noProof/>
          <w:lang w:val="en-IE"/>
        </w:rPr>
        <w:t xml:space="preserve">GDP. </w:t>
      </w:r>
      <w:r w:rsidR="001D3883">
        <w:rPr>
          <w:noProof/>
          <w:lang w:val="en-IE"/>
        </w:rPr>
        <w:t xml:space="preserve">Public expenditure on </w:t>
      </w:r>
      <w:r w:rsidR="001D3883" w:rsidRPr="009C5BD3">
        <w:rPr>
          <w:noProof/>
          <w:color w:val="000000"/>
          <w:szCs w:val="24"/>
        </w:rPr>
        <w:t xml:space="preserve">long-term and preventive care </w:t>
      </w:r>
      <w:r w:rsidR="001D3883">
        <w:rPr>
          <w:noProof/>
          <w:color w:val="000000"/>
          <w:szCs w:val="24"/>
        </w:rPr>
        <w:t xml:space="preserve">is significantly below the </w:t>
      </w:r>
      <w:r w:rsidR="001D3883" w:rsidRPr="009C5BD3">
        <w:rPr>
          <w:noProof/>
          <w:color w:val="000000"/>
          <w:szCs w:val="24"/>
        </w:rPr>
        <w:t>EU</w:t>
      </w:r>
      <w:r w:rsidR="001D3883">
        <w:rPr>
          <w:noProof/>
          <w:color w:val="000000"/>
          <w:szCs w:val="24"/>
        </w:rPr>
        <w:t xml:space="preserve"> average,</w:t>
      </w:r>
      <w:r w:rsidR="001D3883" w:rsidRPr="009C5BD3">
        <w:rPr>
          <w:noProof/>
          <w:color w:val="000000"/>
          <w:szCs w:val="24"/>
        </w:rPr>
        <w:t xml:space="preserve"> </w:t>
      </w:r>
      <w:r w:rsidR="001D3883">
        <w:rPr>
          <w:noProof/>
          <w:color w:val="000000"/>
          <w:szCs w:val="24"/>
        </w:rPr>
        <w:t xml:space="preserve">and there is </w:t>
      </w:r>
      <w:r w:rsidR="001D3883" w:rsidRPr="009C5BD3">
        <w:rPr>
          <w:noProof/>
          <w:color w:val="000000"/>
          <w:szCs w:val="24"/>
        </w:rPr>
        <w:t xml:space="preserve">no comprehensive national strategy </w:t>
      </w:r>
      <w:r w:rsidR="001D3883">
        <w:rPr>
          <w:noProof/>
          <w:color w:val="000000"/>
          <w:szCs w:val="24"/>
        </w:rPr>
        <w:t xml:space="preserve">for </w:t>
      </w:r>
      <w:r w:rsidR="001D3883" w:rsidRPr="009C5BD3">
        <w:rPr>
          <w:noProof/>
          <w:color w:val="000000"/>
          <w:szCs w:val="24"/>
        </w:rPr>
        <w:t>long-term care in place</w:t>
      </w:r>
      <w:r w:rsidR="001D3883">
        <w:rPr>
          <w:noProof/>
          <w:color w:val="000000"/>
          <w:szCs w:val="24"/>
        </w:rPr>
        <w:t>.</w:t>
      </w:r>
      <w:r w:rsidR="001D3883" w:rsidRPr="00FB794D">
        <w:rPr>
          <w:noProof/>
          <w:szCs w:val="24"/>
          <w:lang w:val="en-IE"/>
        </w:rPr>
        <w:t xml:space="preserve"> </w:t>
      </w:r>
      <w:r w:rsidR="00513D4C" w:rsidRPr="00AB663E">
        <w:rPr>
          <w:noProof/>
          <w:lang w:val="en-IE"/>
        </w:rPr>
        <w:t>To tackle this, Greece is implementing a newly adopted primary healthcare system</w:t>
      </w:r>
      <w:r w:rsidR="008C19A5">
        <w:rPr>
          <w:noProof/>
          <w:lang w:val="en-IE"/>
        </w:rPr>
        <w:t xml:space="preserve"> to</w:t>
      </w:r>
      <w:r w:rsidR="00513D4C" w:rsidRPr="00AB663E">
        <w:rPr>
          <w:noProof/>
          <w:lang w:val="en-IE"/>
        </w:rPr>
        <w:t xml:space="preserve"> reduc</w:t>
      </w:r>
      <w:r w:rsidR="008C19A5">
        <w:rPr>
          <w:noProof/>
          <w:lang w:val="en-IE"/>
        </w:rPr>
        <w:t>e</w:t>
      </w:r>
      <w:r w:rsidR="00513D4C" w:rsidRPr="00AB663E">
        <w:rPr>
          <w:noProof/>
          <w:lang w:val="en-IE"/>
        </w:rPr>
        <w:t xml:space="preserve"> the reliance on hospital care and increase the efficiency of access to healthcare goods and services. The full roll</w:t>
      </w:r>
      <w:r w:rsidR="00DC5BC1">
        <w:rPr>
          <w:noProof/>
          <w:lang w:val="en-IE"/>
        </w:rPr>
        <w:t>-</w:t>
      </w:r>
      <w:r w:rsidR="00513D4C" w:rsidRPr="00AB663E">
        <w:rPr>
          <w:noProof/>
          <w:lang w:val="en-IE"/>
        </w:rPr>
        <w:t xml:space="preserve">out of the primary healthcare reform is hindered by the shortage of family doctors. The </w:t>
      </w:r>
      <w:r w:rsidR="00A15B61">
        <w:rPr>
          <w:noProof/>
          <w:lang w:val="en-IE"/>
        </w:rPr>
        <w:t>number</w:t>
      </w:r>
      <w:r w:rsidR="00A15B61" w:rsidRPr="00AB663E">
        <w:rPr>
          <w:noProof/>
          <w:lang w:val="en-IE"/>
        </w:rPr>
        <w:t xml:space="preserve"> </w:t>
      </w:r>
      <w:r w:rsidR="00513D4C" w:rsidRPr="00AB663E">
        <w:rPr>
          <w:noProof/>
          <w:lang w:val="en-IE"/>
        </w:rPr>
        <w:t>of family doctors is not sufficient to cover the entire population</w:t>
      </w:r>
      <w:r w:rsidR="004D5D51">
        <w:rPr>
          <w:noProof/>
          <w:lang w:val="en-IE"/>
        </w:rPr>
        <w:t>. Sufficient coverage</w:t>
      </w:r>
      <w:r w:rsidR="004D5D51" w:rsidRPr="004D5D51">
        <w:rPr>
          <w:rFonts w:eastAsia="Times New Roman"/>
          <w:noProof/>
          <w:lang w:val="en-IE"/>
        </w:rPr>
        <w:t xml:space="preserve"> </w:t>
      </w:r>
      <w:r w:rsidR="004D5D51" w:rsidRPr="00A77519">
        <w:rPr>
          <w:rFonts w:eastAsia="Times New Roman"/>
          <w:noProof/>
          <w:lang w:val="en-IE"/>
        </w:rPr>
        <w:t>will be necessary for</w:t>
      </w:r>
      <w:r w:rsidR="004D5D51">
        <w:rPr>
          <w:rFonts w:eastAsia="Times New Roman"/>
          <w:noProof/>
          <w:lang w:val="en-IE"/>
        </w:rPr>
        <w:t xml:space="preserve"> </w:t>
      </w:r>
      <w:r w:rsidR="00513D4C" w:rsidRPr="00AB663E">
        <w:rPr>
          <w:noProof/>
          <w:lang w:val="en-IE"/>
        </w:rPr>
        <w:t xml:space="preserve">the full introduction of an effective and comprehensive gatekeeping-based system </w:t>
      </w:r>
      <w:r w:rsidR="004D5D51">
        <w:rPr>
          <w:rFonts w:eastAsia="Times New Roman"/>
          <w:noProof/>
          <w:lang w:val="en-IE"/>
        </w:rPr>
        <w:t>legislated to start</w:t>
      </w:r>
      <w:r w:rsidR="00A77519" w:rsidRPr="00A77519">
        <w:rPr>
          <w:rFonts w:eastAsia="Times New Roman"/>
          <w:noProof/>
          <w:lang w:val="en-IE"/>
        </w:rPr>
        <w:t xml:space="preserve"> from 1 September</w:t>
      </w:r>
      <w:r w:rsidR="00A77519">
        <w:rPr>
          <w:rFonts w:eastAsia="Times New Roman"/>
          <w:noProof/>
          <w:lang w:val="en-IE"/>
        </w:rPr>
        <w:t xml:space="preserve"> 2023</w:t>
      </w:r>
      <w:r w:rsidR="00513D4C" w:rsidRPr="00AB663E">
        <w:rPr>
          <w:noProof/>
          <w:lang w:val="en-IE"/>
        </w:rPr>
        <w:t xml:space="preserve">. To this end, </w:t>
      </w:r>
      <w:r w:rsidR="00A15B61">
        <w:rPr>
          <w:noProof/>
          <w:lang w:val="en-IE"/>
        </w:rPr>
        <w:t>stronger</w:t>
      </w:r>
      <w:r w:rsidR="00A15B61" w:rsidRPr="00AB663E">
        <w:rPr>
          <w:noProof/>
          <w:lang w:val="en-IE"/>
        </w:rPr>
        <w:t xml:space="preserve"> </w:t>
      </w:r>
      <w:r w:rsidR="00884E17" w:rsidRPr="00AB663E">
        <w:rPr>
          <w:noProof/>
          <w:lang w:val="en-IE"/>
        </w:rPr>
        <w:t xml:space="preserve">incentives to </w:t>
      </w:r>
      <w:r w:rsidR="00513D4C" w:rsidRPr="00AB663E">
        <w:rPr>
          <w:noProof/>
          <w:lang w:val="en-IE"/>
        </w:rPr>
        <w:t xml:space="preserve">expand the </w:t>
      </w:r>
      <w:r w:rsidR="00A15B61">
        <w:rPr>
          <w:noProof/>
          <w:lang w:val="en-IE"/>
        </w:rPr>
        <w:t>number</w:t>
      </w:r>
      <w:r w:rsidR="00A15B61" w:rsidRPr="00AB663E">
        <w:rPr>
          <w:noProof/>
          <w:lang w:val="en-IE"/>
        </w:rPr>
        <w:t xml:space="preserve"> </w:t>
      </w:r>
      <w:r w:rsidR="00513D4C" w:rsidRPr="00AB663E">
        <w:rPr>
          <w:noProof/>
          <w:lang w:val="en-IE"/>
        </w:rPr>
        <w:t>of family doctors to achieve full population coverage and population registration will be key to ensuring adequate and equal access to healthcare for the population.</w:t>
      </w:r>
      <w:r w:rsidR="00AE7078" w:rsidRPr="00AE7078">
        <w:rPr>
          <w:rFonts w:ascii="Calibri" w:hAnsi="Calibri" w:cs="Calibri"/>
          <w:noProof/>
          <w:color w:val="FF0000"/>
          <w:sz w:val="20"/>
          <w:szCs w:val="20"/>
          <w:shd w:val="clear" w:color="auto" w:fill="FFFFFF"/>
          <w:lang w:val="en-US"/>
        </w:rPr>
        <w:t xml:space="preserve"> </w:t>
      </w:r>
    </w:p>
    <w:p w14:paraId="7349A769" w14:textId="24616EE7" w:rsidR="003758D4" w:rsidRPr="00E759BC" w:rsidRDefault="00AB4D48" w:rsidP="00AB4D48">
      <w:pPr>
        <w:pStyle w:val="ManualConsidrant"/>
        <w:rPr>
          <w:rFonts w:eastAsia="Times New Roman"/>
          <w:noProof/>
          <w:lang w:val="en-IE"/>
        </w:rPr>
      </w:pPr>
      <w:r w:rsidRPr="00AB4D48">
        <w:t>(34)</w:t>
      </w:r>
      <w:r w:rsidRPr="00AB4D48">
        <w:tab/>
      </w:r>
      <w:r w:rsidR="003758D4" w:rsidRPr="00E759BC">
        <w:rPr>
          <w:noProof/>
        </w:rPr>
        <w:t>The completion of the national cadastre –</w:t>
      </w:r>
      <w:r w:rsidR="00A15B61">
        <w:rPr>
          <w:noProof/>
        </w:rPr>
        <w:t xml:space="preserve"> </w:t>
      </w:r>
      <w:r w:rsidR="003758D4" w:rsidRPr="00E759BC">
        <w:rPr>
          <w:noProof/>
        </w:rPr>
        <w:t>a long-standing project</w:t>
      </w:r>
      <w:r w:rsidR="00CE5663">
        <w:rPr>
          <w:noProof/>
        </w:rPr>
        <w:t xml:space="preserve"> –</w:t>
      </w:r>
      <w:r w:rsidR="00CE5663" w:rsidRPr="00E759BC">
        <w:rPr>
          <w:noProof/>
        </w:rPr>
        <w:t xml:space="preserve"> </w:t>
      </w:r>
      <w:r w:rsidR="003758D4" w:rsidRPr="00E759BC">
        <w:rPr>
          <w:noProof/>
        </w:rPr>
        <w:t xml:space="preserve">will further improve Greece’s business climate. </w:t>
      </w:r>
      <w:r w:rsidR="003758D4" w:rsidRPr="00E759BC">
        <w:rPr>
          <w:noProof/>
          <w:lang w:val="en-IE"/>
        </w:rPr>
        <w:t xml:space="preserve">By </w:t>
      </w:r>
      <w:r w:rsidR="00A15B61">
        <w:rPr>
          <w:noProof/>
          <w:lang w:val="en-IE"/>
        </w:rPr>
        <w:t xml:space="preserve">the </w:t>
      </w:r>
      <w:r w:rsidR="003758D4" w:rsidRPr="00E759BC">
        <w:rPr>
          <w:noProof/>
          <w:lang w:val="en-IE"/>
        </w:rPr>
        <w:t>end</w:t>
      </w:r>
      <w:r w:rsidR="00A15B61">
        <w:rPr>
          <w:noProof/>
          <w:lang w:val="en-IE"/>
        </w:rPr>
        <w:t xml:space="preserve"> of </w:t>
      </w:r>
      <w:r w:rsidR="003758D4" w:rsidRPr="00E759BC">
        <w:rPr>
          <w:noProof/>
          <w:lang w:val="en-IE"/>
        </w:rPr>
        <w:t>May 2023</w:t>
      </w:r>
      <w:r w:rsidR="003758D4" w:rsidRPr="00E759BC">
        <w:rPr>
          <w:noProof/>
        </w:rPr>
        <w:t>, 71% of cadastral mapping ha</w:t>
      </w:r>
      <w:r w:rsidR="006E6A69">
        <w:rPr>
          <w:noProof/>
        </w:rPr>
        <w:t>d</w:t>
      </w:r>
      <w:r w:rsidR="003758D4" w:rsidRPr="00E759BC">
        <w:rPr>
          <w:noProof/>
        </w:rPr>
        <w:t xml:space="preserve"> been completed, and another </w:t>
      </w:r>
      <w:r w:rsidR="36F7B4AB" w:rsidRPr="00E759BC">
        <w:rPr>
          <w:noProof/>
        </w:rPr>
        <w:t>2</w:t>
      </w:r>
      <w:r w:rsidR="5A49CAB2" w:rsidRPr="00E759BC">
        <w:rPr>
          <w:noProof/>
        </w:rPr>
        <w:t>5</w:t>
      </w:r>
      <w:r w:rsidR="003758D4" w:rsidRPr="00E759BC">
        <w:rPr>
          <w:noProof/>
        </w:rPr>
        <w:t>% of property rights ha</w:t>
      </w:r>
      <w:r w:rsidR="006E6A69">
        <w:rPr>
          <w:noProof/>
        </w:rPr>
        <w:t>d</w:t>
      </w:r>
      <w:r w:rsidR="003758D4" w:rsidRPr="00E759BC">
        <w:rPr>
          <w:noProof/>
        </w:rPr>
        <w:t xml:space="preserve"> been collected and are currently being processed. The processing of the collected rights is expected to be completed by </w:t>
      </w:r>
      <w:r w:rsidR="006E6A69">
        <w:rPr>
          <w:noProof/>
        </w:rPr>
        <w:t xml:space="preserve">the </w:t>
      </w:r>
      <w:r w:rsidR="003758D4" w:rsidRPr="00E759BC">
        <w:rPr>
          <w:noProof/>
        </w:rPr>
        <w:t xml:space="preserve">end </w:t>
      </w:r>
      <w:r w:rsidR="006E6A69">
        <w:rPr>
          <w:noProof/>
        </w:rPr>
        <w:t xml:space="preserve">of </w:t>
      </w:r>
      <w:r w:rsidR="003758D4" w:rsidRPr="00E759BC">
        <w:rPr>
          <w:noProof/>
        </w:rPr>
        <w:t xml:space="preserve">2023, which </w:t>
      </w:r>
      <w:r w:rsidR="008E3995" w:rsidRPr="00E759BC">
        <w:rPr>
          <w:noProof/>
        </w:rPr>
        <w:t xml:space="preserve">would complete the cadastre by </w:t>
      </w:r>
      <w:r w:rsidR="003758D4" w:rsidRPr="00E759BC">
        <w:rPr>
          <w:noProof/>
        </w:rPr>
        <w:t xml:space="preserve">the end of the year. </w:t>
      </w:r>
      <w:r w:rsidR="006E6A69">
        <w:rPr>
          <w:noProof/>
        </w:rPr>
        <w:t>On</w:t>
      </w:r>
      <w:r w:rsidR="006E6A69" w:rsidRPr="00E759BC">
        <w:rPr>
          <w:noProof/>
        </w:rPr>
        <w:t xml:space="preserve"> </w:t>
      </w:r>
      <w:r w:rsidR="003758D4" w:rsidRPr="00E759BC">
        <w:rPr>
          <w:noProof/>
        </w:rPr>
        <w:t xml:space="preserve">the transition to the new </w:t>
      </w:r>
      <w:r w:rsidR="006E6A69">
        <w:rPr>
          <w:noProof/>
        </w:rPr>
        <w:t>a</w:t>
      </w:r>
      <w:r w:rsidR="003758D4" w:rsidRPr="00E759BC">
        <w:rPr>
          <w:noProof/>
        </w:rPr>
        <w:t xml:space="preserve">gency </w:t>
      </w:r>
      <w:r w:rsidR="006E6A69">
        <w:rPr>
          <w:noProof/>
        </w:rPr>
        <w:t>‘</w:t>
      </w:r>
      <w:r w:rsidR="003758D4" w:rsidRPr="00E759BC">
        <w:rPr>
          <w:noProof/>
        </w:rPr>
        <w:t>Hellenic Cadastre</w:t>
      </w:r>
      <w:r w:rsidR="006E6A69">
        <w:rPr>
          <w:noProof/>
        </w:rPr>
        <w:t>’</w:t>
      </w:r>
      <w:r w:rsidR="003758D4" w:rsidRPr="00E759BC">
        <w:rPr>
          <w:noProof/>
        </w:rPr>
        <w:t xml:space="preserve">, </w:t>
      </w:r>
      <w:r w:rsidR="00726930" w:rsidRPr="00E759BC">
        <w:rPr>
          <w:noProof/>
        </w:rPr>
        <w:t>1</w:t>
      </w:r>
      <w:r w:rsidR="00726930">
        <w:rPr>
          <w:noProof/>
        </w:rPr>
        <w:t>2</w:t>
      </w:r>
      <w:r w:rsidR="00726930" w:rsidRPr="00E759BC">
        <w:rPr>
          <w:noProof/>
        </w:rPr>
        <w:t xml:space="preserve"> </w:t>
      </w:r>
      <w:r w:rsidR="003758D4" w:rsidRPr="00E759BC">
        <w:rPr>
          <w:noProof/>
        </w:rPr>
        <w:t xml:space="preserve">cadastral offices and </w:t>
      </w:r>
      <w:r w:rsidR="00931E6E" w:rsidRPr="00E759BC">
        <w:rPr>
          <w:noProof/>
        </w:rPr>
        <w:t>4</w:t>
      </w:r>
      <w:r w:rsidR="00726930">
        <w:rPr>
          <w:noProof/>
        </w:rPr>
        <w:t>9</w:t>
      </w:r>
      <w:r w:rsidR="003758D4" w:rsidRPr="00E759BC">
        <w:rPr>
          <w:noProof/>
        </w:rPr>
        <w:t xml:space="preserve"> branches have opened and are operational. The Hellenic Cadastre plans to fully digit</w:t>
      </w:r>
      <w:r w:rsidR="000D44CF" w:rsidRPr="00E759BC">
        <w:rPr>
          <w:noProof/>
        </w:rPr>
        <w:t>al</w:t>
      </w:r>
      <w:r w:rsidR="003758D4" w:rsidRPr="00E759BC">
        <w:rPr>
          <w:noProof/>
        </w:rPr>
        <w:t xml:space="preserve">ise the services to citizens and the Recovery and Resilience Facility provides support for </w:t>
      </w:r>
      <w:r w:rsidR="000D44CF" w:rsidRPr="00E759BC">
        <w:rPr>
          <w:noProof/>
        </w:rPr>
        <w:t>the digitalisation of</w:t>
      </w:r>
      <w:r w:rsidR="003758D4" w:rsidRPr="00E759BC">
        <w:rPr>
          <w:noProof/>
        </w:rPr>
        <w:t xml:space="preserve"> all registrations and deeds of property rights that are currently in paper form.</w:t>
      </w:r>
    </w:p>
    <w:p w14:paraId="6BA85297" w14:textId="559A8808" w:rsidR="00091114" w:rsidRPr="00E759BC" w:rsidRDefault="00AB4D48" w:rsidP="00AB4D48">
      <w:pPr>
        <w:pStyle w:val="ManualConsidrant"/>
        <w:rPr>
          <w:noProof/>
          <w:lang w:val="en-IE"/>
        </w:rPr>
      </w:pPr>
      <w:r w:rsidRPr="00AB4D48">
        <w:t>(35)</w:t>
      </w:r>
      <w:r w:rsidRPr="00AB4D48">
        <w:tab/>
      </w:r>
      <w:r w:rsidR="00656358" w:rsidRPr="00E759BC">
        <w:rPr>
          <w:noProof/>
          <w:lang w:val="en-IE"/>
        </w:rPr>
        <w:t xml:space="preserve">Despite the efforts made by Greece also in the context of the energy crisis, </w:t>
      </w:r>
      <w:r w:rsidR="006A3243" w:rsidRPr="00E759BC">
        <w:rPr>
          <w:noProof/>
          <w:lang w:val="en-IE"/>
        </w:rPr>
        <w:t>Greece remains highly dependent on fossil fuels</w:t>
      </w:r>
      <w:r w:rsidR="00B90701">
        <w:rPr>
          <w:noProof/>
          <w:lang w:val="en-IE"/>
        </w:rPr>
        <w:t>,</w:t>
      </w:r>
      <w:r w:rsidR="006A3243" w:rsidRPr="00E759BC">
        <w:rPr>
          <w:noProof/>
          <w:lang w:val="en-IE"/>
        </w:rPr>
        <w:t xml:space="preserve"> with oil and gas making up 52% and 24% </w:t>
      </w:r>
      <w:r w:rsidR="00656358" w:rsidRPr="00E759BC">
        <w:rPr>
          <w:noProof/>
          <w:lang w:val="en-IE"/>
        </w:rPr>
        <w:t xml:space="preserve">respectively </w:t>
      </w:r>
      <w:r w:rsidR="006A3243" w:rsidRPr="00E759BC">
        <w:rPr>
          <w:noProof/>
          <w:lang w:val="en-IE"/>
        </w:rPr>
        <w:t xml:space="preserve">of its energy mix in 2021. To accelerate decarbonisation efforts, </w:t>
      </w:r>
      <w:r w:rsidR="006A3243" w:rsidRPr="00E759BC">
        <w:rPr>
          <w:rFonts w:eastAsia="Times New Roman"/>
          <w:noProof/>
          <w:lang w:val="en-IE"/>
        </w:rPr>
        <w:t xml:space="preserve">a number of measures could be further pursued that build </w:t>
      </w:r>
      <w:r w:rsidR="00E02203">
        <w:rPr>
          <w:rFonts w:eastAsia="Times New Roman"/>
          <w:noProof/>
          <w:lang w:val="en-IE"/>
        </w:rPr>
        <w:t xml:space="preserve">on </w:t>
      </w:r>
      <w:r w:rsidR="006A3243" w:rsidRPr="00E759BC">
        <w:rPr>
          <w:rFonts w:eastAsia="Times New Roman"/>
          <w:noProof/>
          <w:lang w:val="en-IE"/>
        </w:rPr>
        <w:t>and go beyond the investments and reforms that are part of Greece’s recovery and resilience plan. Greece could accelerate the expansion of renewable energy</w:t>
      </w:r>
      <w:r w:rsidR="00FC30DB" w:rsidRPr="00E759BC">
        <w:rPr>
          <w:rFonts w:eastAsia="Times New Roman"/>
          <w:noProof/>
          <w:lang w:val="en-IE"/>
        </w:rPr>
        <w:t xml:space="preserve"> </w:t>
      </w:r>
      <w:r w:rsidR="00E02203">
        <w:rPr>
          <w:rFonts w:eastAsia="Times New Roman"/>
          <w:noProof/>
          <w:lang w:val="en-IE"/>
        </w:rPr>
        <w:t>by</w:t>
      </w:r>
      <w:r w:rsidR="00E02203" w:rsidRPr="00E759BC">
        <w:rPr>
          <w:rFonts w:eastAsia="Times New Roman"/>
          <w:noProof/>
          <w:lang w:val="en-IE"/>
        </w:rPr>
        <w:t xml:space="preserve"> </w:t>
      </w:r>
      <w:r w:rsidR="00FC30DB" w:rsidRPr="00E759BC">
        <w:rPr>
          <w:rFonts w:eastAsia="Times New Roman"/>
          <w:noProof/>
          <w:lang w:val="en-IE"/>
        </w:rPr>
        <w:t xml:space="preserve">establishing and completing the legal frameworks to promote the development of </w:t>
      </w:r>
      <w:r w:rsidR="00583924" w:rsidRPr="00E759BC">
        <w:rPr>
          <w:rFonts w:eastAsia="Times New Roman"/>
          <w:noProof/>
          <w:lang w:val="en-IE"/>
        </w:rPr>
        <w:t xml:space="preserve">renewable </w:t>
      </w:r>
      <w:r w:rsidR="00FC30DB" w:rsidRPr="00E759BC">
        <w:rPr>
          <w:rFonts w:eastAsia="Times New Roman"/>
          <w:noProof/>
          <w:lang w:val="en-IE"/>
        </w:rPr>
        <w:t xml:space="preserve">hydrogen infrastructure and offshore wind. </w:t>
      </w:r>
      <w:r w:rsidR="00656358" w:rsidRPr="00E759BC">
        <w:rPr>
          <w:rFonts w:eastAsia="Times New Roman"/>
          <w:noProof/>
          <w:lang w:val="en-IE"/>
        </w:rPr>
        <w:t xml:space="preserve">Further efforts are needed to speed up the development of a legislative and regulatory framework for biomethane and </w:t>
      </w:r>
      <w:r w:rsidR="00E02203">
        <w:rPr>
          <w:rFonts w:eastAsia="Times New Roman"/>
          <w:noProof/>
          <w:lang w:val="en-IE"/>
        </w:rPr>
        <w:t>turn</w:t>
      </w:r>
      <w:r w:rsidR="00E02203" w:rsidRPr="00E759BC">
        <w:rPr>
          <w:rFonts w:eastAsia="Times New Roman"/>
          <w:noProof/>
          <w:lang w:val="en-IE"/>
        </w:rPr>
        <w:t xml:space="preserve"> </w:t>
      </w:r>
      <w:r w:rsidR="0066021A" w:rsidRPr="00E759BC">
        <w:rPr>
          <w:rFonts w:eastAsia="Times New Roman"/>
          <w:noProof/>
          <w:lang w:val="en-IE"/>
        </w:rPr>
        <w:t>the available sustainable biomethane potential into actual</w:t>
      </w:r>
      <w:r w:rsidR="00656358" w:rsidRPr="00E759BC">
        <w:rPr>
          <w:rFonts w:eastAsia="Times New Roman"/>
          <w:noProof/>
          <w:lang w:val="en-IE"/>
        </w:rPr>
        <w:t xml:space="preserve"> production capacity to offset natural gas imports</w:t>
      </w:r>
      <w:r w:rsidR="0066021A" w:rsidRPr="00E759BC">
        <w:rPr>
          <w:rFonts w:eastAsia="Times New Roman"/>
          <w:noProof/>
          <w:lang w:val="en-IE"/>
        </w:rPr>
        <w:t>.</w:t>
      </w:r>
    </w:p>
    <w:p w14:paraId="337556FA" w14:textId="73F33DE6" w:rsidR="00091114" w:rsidRPr="00E759BC" w:rsidRDefault="00AB4D48" w:rsidP="00AB4D48">
      <w:pPr>
        <w:pStyle w:val="ManualConsidrant"/>
        <w:rPr>
          <w:noProof/>
          <w:lang w:val="en-IE"/>
        </w:rPr>
      </w:pPr>
      <w:r w:rsidRPr="00AB4D48">
        <w:t>(36)</w:t>
      </w:r>
      <w:r w:rsidRPr="00AB4D48">
        <w:tab/>
      </w:r>
      <w:r w:rsidR="00091114" w:rsidRPr="00E759BC">
        <w:rPr>
          <w:noProof/>
          <w:lang w:val="en-IE"/>
        </w:rPr>
        <w:t>A</w:t>
      </w:r>
      <w:r w:rsidR="00FC30DB" w:rsidRPr="00E759BC">
        <w:rPr>
          <w:noProof/>
          <w:lang w:val="en-IE"/>
        </w:rPr>
        <w:t>s more renewables are integrated, further investments to expand the storage and network capacity will be essential to safeguard the electricity grid’s balance.</w:t>
      </w:r>
      <w:r w:rsidR="00DF334D" w:rsidRPr="00E759BC">
        <w:rPr>
          <w:noProof/>
          <w:lang w:val="en-IE"/>
        </w:rPr>
        <w:t xml:space="preserve"> </w:t>
      </w:r>
      <w:r w:rsidR="008B6063" w:rsidRPr="00E759BC">
        <w:rPr>
          <w:noProof/>
          <w:lang w:val="en-IE"/>
        </w:rPr>
        <w:t xml:space="preserve">Common remuneration schemes and the promotion of behind-the-meter systems could </w:t>
      </w:r>
      <w:r w:rsidR="00C62444" w:rsidRPr="00E759BC">
        <w:rPr>
          <w:noProof/>
          <w:lang w:val="en-IE"/>
        </w:rPr>
        <w:t xml:space="preserve">be important tools to promote the timely and viable expansion of storage capacity. </w:t>
      </w:r>
      <w:r w:rsidR="00DF334D" w:rsidRPr="00E759BC">
        <w:rPr>
          <w:noProof/>
          <w:lang w:val="en-IE"/>
        </w:rPr>
        <w:t xml:space="preserve">To avoid the need for curtailment of renewables, additional electricity interconnections with neighbouring countries could be </w:t>
      </w:r>
      <w:r w:rsidR="00073AD1">
        <w:rPr>
          <w:noProof/>
          <w:lang w:val="en-IE"/>
        </w:rPr>
        <w:t>developed</w:t>
      </w:r>
      <w:r w:rsidR="00DF334D" w:rsidRPr="00E759BC">
        <w:rPr>
          <w:noProof/>
          <w:lang w:val="en-IE"/>
        </w:rPr>
        <w:t xml:space="preserve">. </w:t>
      </w:r>
      <w:r w:rsidR="004B514D">
        <w:rPr>
          <w:rFonts w:eastAsia="Times New Roman"/>
          <w:noProof/>
          <w:lang w:val="en-IE"/>
        </w:rPr>
        <w:t>On</w:t>
      </w:r>
      <w:r w:rsidR="00F76D4E" w:rsidRPr="00E759BC">
        <w:rPr>
          <w:rFonts w:eastAsia="Times New Roman"/>
          <w:noProof/>
          <w:lang w:val="en-IE"/>
        </w:rPr>
        <w:t xml:space="preserve"> the further deployment of </w:t>
      </w:r>
      <w:r w:rsidR="004759D5" w:rsidRPr="00E759BC">
        <w:rPr>
          <w:rFonts w:eastAsia="Times New Roman"/>
          <w:noProof/>
          <w:lang w:val="en-IE"/>
        </w:rPr>
        <w:t>renewable energy sources</w:t>
      </w:r>
      <w:r w:rsidR="00F76D4E" w:rsidRPr="00E759BC">
        <w:rPr>
          <w:rFonts w:eastAsia="Times New Roman"/>
          <w:noProof/>
          <w:lang w:val="en-IE"/>
        </w:rPr>
        <w:t>, it will be important to fully enforce the new legal framework adopted in 2022, which simplifies and accelerates the licen</w:t>
      </w:r>
      <w:r w:rsidR="00073AD1">
        <w:rPr>
          <w:rFonts w:eastAsia="Times New Roman"/>
          <w:noProof/>
          <w:lang w:val="en-IE"/>
        </w:rPr>
        <w:t>s</w:t>
      </w:r>
      <w:r w:rsidR="00F76D4E" w:rsidRPr="00E759BC">
        <w:rPr>
          <w:rFonts w:eastAsia="Times New Roman"/>
          <w:noProof/>
          <w:lang w:val="en-IE"/>
        </w:rPr>
        <w:t>ing process for renewable and storage projects.</w:t>
      </w:r>
      <w:r w:rsidR="00DF334D" w:rsidRPr="00E759BC">
        <w:rPr>
          <w:noProof/>
          <w:lang w:val="en-IE"/>
        </w:rPr>
        <w:t xml:space="preserve"> </w:t>
      </w:r>
      <w:r w:rsidR="00E30CA3" w:rsidRPr="00E759BC">
        <w:rPr>
          <w:noProof/>
          <w:lang w:val="en-IE"/>
        </w:rPr>
        <w:t xml:space="preserve">In addition, promotion of self-consumption schemes, including expanding support for </w:t>
      </w:r>
      <w:r w:rsidR="00AC380E">
        <w:rPr>
          <w:noProof/>
          <w:lang w:val="en-IE"/>
        </w:rPr>
        <w:t xml:space="preserve">the </w:t>
      </w:r>
      <w:r w:rsidR="00E30CA3" w:rsidRPr="00E759BC">
        <w:rPr>
          <w:noProof/>
          <w:lang w:val="en-IE"/>
        </w:rPr>
        <w:t>install</w:t>
      </w:r>
      <w:r w:rsidR="00AC380E">
        <w:rPr>
          <w:noProof/>
          <w:lang w:val="en-IE"/>
        </w:rPr>
        <w:t>ation of</w:t>
      </w:r>
      <w:r w:rsidR="00E30CA3" w:rsidRPr="00E759BC">
        <w:rPr>
          <w:noProof/>
          <w:lang w:val="en-IE"/>
        </w:rPr>
        <w:t xml:space="preserve"> solar photovoltaic systems with batteries, and energy communities could </w:t>
      </w:r>
      <w:r w:rsidR="00AC380E">
        <w:rPr>
          <w:noProof/>
          <w:lang w:val="en-IE"/>
        </w:rPr>
        <w:t>help boost</w:t>
      </w:r>
      <w:r w:rsidR="00E30CA3" w:rsidRPr="00E759BC">
        <w:rPr>
          <w:noProof/>
          <w:lang w:val="en-IE"/>
        </w:rPr>
        <w:t xml:space="preserve"> the social acceptability of renewables deployment. </w:t>
      </w:r>
    </w:p>
    <w:p w14:paraId="379692DB" w14:textId="3FBA9502" w:rsidR="00D21527" w:rsidRPr="00D21527" w:rsidRDefault="00AB4D48" w:rsidP="00AB4D48">
      <w:pPr>
        <w:pStyle w:val="ManualConsidrant"/>
        <w:rPr>
          <w:rFonts w:eastAsia="Times New Roman"/>
          <w:noProof/>
          <w:lang w:val="en-IE"/>
        </w:rPr>
      </w:pPr>
      <w:r w:rsidRPr="00AB4D48">
        <w:t>(37)</w:t>
      </w:r>
      <w:r w:rsidRPr="00AB4D48">
        <w:tab/>
      </w:r>
      <w:r w:rsidR="411A2969" w:rsidRPr="0BB5BD64">
        <w:rPr>
          <w:noProof/>
          <w:lang w:val="en-IE"/>
        </w:rPr>
        <w:t xml:space="preserve">Greece could also expand the scope and ambition of existing energy saving measures and reduce the high level of energy poverty. </w:t>
      </w:r>
      <w:r w:rsidR="00D21527">
        <w:rPr>
          <w:rFonts w:eastAsia="Times New Roman"/>
          <w:noProof/>
          <w:lang w:val="en-IE"/>
        </w:rPr>
        <w:t>Greece</w:t>
      </w:r>
      <w:r w:rsidR="008D29C8">
        <w:rPr>
          <w:rFonts w:eastAsia="Times New Roman"/>
          <w:noProof/>
          <w:lang w:val="en-IE"/>
        </w:rPr>
        <w:t>’</w:t>
      </w:r>
      <w:r w:rsidR="00D21527" w:rsidRPr="00D21527">
        <w:rPr>
          <w:rFonts w:eastAsia="Times New Roman"/>
          <w:noProof/>
          <w:lang w:val="en-IE"/>
        </w:rPr>
        <w:t xml:space="preserve">s consumption of natural gas has dropped by </w:t>
      </w:r>
      <w:r w:rsidR="00D21527">
        <w:rPr>
          <w:rFonts w:eastAsia="Times New Roman"/>
          <w:noProof/>
          <w:lang w:val="en-IE"/>
        </w:rPr>
        <w:t>22</w:t>
      </w:r>
      <w:r w:rsidR="00D21527" w:rsidRPr="00D21527">
        <w:rPr>
          <w:rFonts w:eastAsia="Times New Roman"/>
          <w:noProof/>
          <w:lang w:val="en-IE"/>
        </w:rPr>
        <w:t xml:space="preserve">% in the period </w:t>
      </w:r>
      <w:r w:rsidR="00036F02">
        <w:rPr>
          <w:rFonts w:eastAsia="Times New Roman"/>
          <w:noProof/>
          <w:lang w:val="en-IE"/>
        </w:rPr>
        <w:t xml:space="preserve">between </w:t>
      </w:r>
      <w:r w:rsidR="00D21527" w:rsidRPr="00D21527">
        <w:rPr>
          <w:rFonts w:eastAsia="Times New Roman"/>
          <w:noProof/>
          <w:lang w:val="en-IE"/>
        </w:rPr>
        <w:t>August 2022</w:t>
      </w:r>
      <w:r w:rsidR="008D29C8">
        <w:rPr>
          <w:rFonts w:eastAsia="Times New Roman"/>
          <w:noProof/>
          <w:lang w:val="en-IE"/>
        </w:rPr>
        <w:t xml:space="preserve"> </w:t>
      </w:r>
      <w:r w:rsidR="00036F02">
        <w:rPr>
          <w:rFonts w:eastAsia="Times New Roman"/>
          <w:noProof/>
          <w:lang w:val="en-IE"/>
        </w:rPr>
        <w:t>and</w:t>
      </w:r>
      <w:r w:rsidR="008D29C8">
        <w:rPr>
          <w:rFonts w:eastAsia="Times New Roman"/>
          <w:noProof/>
          <w:lang w:val="en-IE"/>
        </w:rPr>
        <w:t xml:space="preserve"> </w:t>
      </w:r>
      <w:r w:rsidR="00D21527" w:rsidRPr="00D21527">
        <w:rPr>
          <w:rFonts w:eastAsia="Times New Roman"/>
          <w:noProof/>
          <w:lang w:val="en-IE"/>
        </w:rPr>
        <w:t xml:space="preserve">March 2023, compared </w:t>
      </w:r>
      <w:r w:rsidR="00E92E10">
        <w:rPr>
          <w:rFonts w:eastAsia="Times New Roman"/>
          <w:noProof/>
          <w:lang w:val="en-IE"/>
        </w:rPr>
        <w:t>to</w:t>
      </w:r>
      <w:r w:rsidR="00D21527" w:rsidRPr="00D21527">
        <w:rPr>
          <w:rFonts w:eastAsia="Times New Roman"/>
          <w:noProof/>
          <w:lang w:val="en-IE"/>
        </w:rPr>
        <w:t xml:space="preserve"> the average gas consumption over the same period in the </w:t>
      </w:r>
      <w:r w:rsidR="00831118">
        <w:rPr>
          <w:rFonts w:eastAsia="Times New Roman"/>
          <w:noProof/>
          <w:lang w:val="en-IE"/>
        </w:rPr>
        <w:t>preceding</w:t>
      </w:r>
      <w:r w:rsidR="00D21527" w:rsidRPr="00D21527">
        <w:rPr>
          <w:rFonts w:eastAsia="Times New Roman"/>
          <w:noProof/>
          <w:lang w:val="en-IE"/>
        </w:rPr>
        <w:t xml:space="preserve"> 5 years, </w:t>
      </w:r>
      <w:r w:rsidR="00D21527">
        <w:rPr>
          <w:rFonts w:eastAsia="Times New Roman"/>
          <w:noProof/>
          <w:lang w:val="en-IE"/>
        </w:rPr>
        <w:t>above</w:t>
      </w:r>
      <w:r w:rsidR="00D21527" w:rsidRPr="00D21527">
        <w:rPr>
          <w:rFonts w:eastAsia="Times New Roman"/>
          <w:noProof/>
          <w:lang w:val="en-IE"/>
        </w:rPr>
        <w:t xml:space="preserve"> the 15% reduction target. </w:t>
      </w:r>
      <w:r w:rsidR="00D21527">
        <w:rPr>
          <w:rFonts w:eastAsia="Times New Roman"/>
          <w:noProof/>
          <w:lang w:val="en-IE"/>
        </w:rPr>
        <w:t>Greece</w:t>
      </w:r>
      <w:r w:rsidR="00D21527" w:rsidRPr="00D21527">
        <w:rPr>
          <w:rFonts w:eastAsia="Times New Roman"/>
          <w:noProof/>
          <w:lang w:val="en-IE"/>
        </w:rPr>
        <w:t xml:space="preserve"> </w:t>
      </w:r>
      <w:r w:rsidR="00927272">
        <w:rPr>
          <w:rFonts w:eastAsia="Times New Roman"/>
          <w:noProof/>
          <w:lang w:val="en-IE"/>
        </w:rPr>
        <w:t>could</w:t>
      </w:r>
      <w:r w:rsidR="00D21527" w:rsidRPr="00D21527">
        <w:rPr>
          <w:rFonts w:eastAsia="Times New Roman"/>
          <w:noProof/>
          <w:lang w:val="en-IE"/>
        </w:rPr>
        <w:t xml:space="preserve"> </w:t>
      </w:r>
      <w:r w:rsidR="00D21527">
        <w:rPr>
          <w:rFonts w:eastAsia="Times New Roman"/>
          <w:noProof/>
          <w:lang w:val="en-IE"/>
        </w:rPr>
        <w:t>keep pursuing</w:t>
      </w:r>
      <w:r w:rsidR="00D21527" w:rsidRPr="00D21527">
        <w:rPr>
          <w:rFonts w:eastAsia="Times New Roman"/>
          <w:noProof/>
          <w:lang w:val="en-IE"/>
        </w:rPr>
        <w:t xml:space="preserve"> efforts to temporarily reduce gas demand until 31 March 2024</w:t>
      </w:r>
      <w:r w:rsidR="00EA0DAC">
        <w:rPr>
          <w:rStyle w:val="FootnoteReference"/>
          <w:rFonts w:eastAsia="Times New Roman"/>
          <w:noProof/>
          <w:lang w:val="en-IE"/>
        </w:rPr>
        <w:footnoteReference w:id="27"/>
      </w:r>
      <w:r w:rsidR="00D21527" w:rsidRPr="00D21527">
        <w:rPr>
          <w:rFonts w:eastAsia="Times New Roman"/>
          <w:noProof/>
          <w:lang w:val="en-IE"/>
        </w:rPr>
        <w:t>.</w:t>
      </w:r>
    </w:p>
    <w:p w14:paraId="268CB3D3" w14:textId="475C6C7B" w:rsidR="00511F24" w:rsidRPr="00E759BC" w:rsidRDefault="00AB4D48" w:rsidP="00AB4D48">
      <w:pPr>
        <w:pStyle w:val="ManualConsidrant"/>
        <w:rPr>
          <w:noProof/>
          <w:lang w:val="en-IE"/>
        </w:rPr>
      </w:pPr>
      <w:r w:rsidRPr="00AB4D48">
        <w:t>(38)</w:t>
      </w:r>
      <w:r w:rsidRPr="00AB4D48">
        <w:tab/>
      </w:r>
      <w:r w:rsidR="2FD4A118" w:rsidRPr="0BB5BD64">
        <w:rPr>
          <w:noProof/>
          <w:lang w:val="en-IE"/>
        </w:rPr>
        <w:t>Introduc</w:t>
      </w:r>
      <w:r w:rsidR="00B90701">
        <w:rPr>
          <w:noProof/>
          <w:lang w:val="en-IE"/>
        </w:rPr>
        <w:t>ing</w:t>
      </w:r>
      <w:r w:rsidR="2FD4A118" w:rsidRPr="0BB5BD64">
        <w:rPr>
          <w:noProof/>
          <w:lang w:val="en-IE"/>
        </w:rPr>
        <w:t xml:space="preserve"> new financial instruments such as energy efficiency auctions could </w:t>
      </w:r>
      <w:r w:rsidR="2B594BE0" w:rsidRPr="0BB5BD64">
        <w:rPr>
          <w:noProof/>
          <w:lang w:val="en-IE"/>
        </w:rPr>
        <w:t xml:space="preserve">target </w:t>
      </w:r>
      <w:r w:rsidR="2FD4A118" w:rsidRPr="0BB5BD64">
        <w:rPr>
          <w:noProof/>
          <w:lang w:val="en-IE"/>
        </w:rPr>
        <w:t xml:space="preserve">the coverage of existing renovation support programmes </w:t>
      </w:r>
      <w:r w:rsidR="67576AA7" w:rsidRPr="0BB5BD64">
        <w:rPr>
          <w:noProof/>
          <w:lang w:val="en-IE"/>
        </w:rPr>
        <w:t>to</w:t>
      </w:r>
      <w:r w:rsidR="003C1906">
        <w:rPr>
          <w:noProof/>
          <w:lang w:val="en-IE"/>
        </w:rPr>
        <w:t>wards</w:t>
      </w:r>
      <w:r w:rsidR="00AE52BF">
        <w:rPr>
          <w:noProof/>
          <w:lang w:val="en-IE"/>
        </w:rPr>
        <w:t xml:space="preserve"> </w:t>
      </w:r>
      <w:r w:rsidR="2FD4A118" w:rsidRPr="0BB5BD64">
        <w:rPr>
          <w:noProof/>
          <w:lang w:val="en-IE"/>
        </w:rPr>
        <w:t>energy</w:t>
      </w:r>
      <w:r w:rsidR="003C1906">
        <w:rPr>
          <w:noProof/>
          <w:lang w:val="en-IE"/>
        </w:rPr>
        <w:t>-</w:t>
      </w:r>
      <w:r w:rsidR="2FD4A118" w:rsidRPr="0BB5BD64">
        <w:rPr>
          <w:noProof/>
          <w:lang w:val="en-IE"/>
        </w:rPr>
        <w:t xml:space="preserve">poor households more efficiently. </w:t>
      </w:r>
      <w:r w:rsidR="69D3B12F" w:rsidRPr="0BB5BD64">
        <w:rPr>
          <w:noProof/>
          <w:lang w:val="en-IE"/>
        </w:rPr>
        <w:t xml:space="preserve">Greece’s share of smart meters is well behind the EU average (3% compared to 54%, 2021 figures) and could be </w:t>
      </w:r>
      <w:r w:rsidR="00901998">
        <w:rPr>
          <w:noProof/>
          <w:lang w:val="en-IE"/>
        </w:rPr>
        <w:t>increased</w:t>
      </w:r>
      <w:r w:rsidR="69D3B12F" w:rsidRPr="0BB5BD64">
        <w:rPr>
          <w:noProof/>
          <w:lang w:val="en-IE"/>
        </w:rPr>
        <w:t xml:space="preserve"> as it enables consumers to actively participate in the market and support demand-side response. In addition, specific sectors </w:t>
      </w:r>
      <w:r w:rsidR="00901998">
        <w:rPr>
          <w:noProof/>
          <w:lang w:val="en-IE"/>
        </w:rPr>
        <w:t>like</w:t>
      </w:r>
      <w:r w:rsidR="69D3B12F" w:rsidRPr="0BB5BD64">
        <w:rPr>
          <w:noProof/>
          <w:lang w:val="en-IE"/>
        </w:rPr>
        <w:t xml:space="preserve"> transport and water have </w:t>
      </w:r>
      <w:r w:rsidR="00901998">
        <w:rPr>
          <w:noProof/>
          <w:lang w:val="en-IE"/>
        </w:rPr>
        <w:t>considerable</w:t>
      </w:r>
      <w:r w:rsidR="00901998" w:rsidRPr="0BB5BD64">
        <w:rPr>
          <w:noProof/>
          <w:lang w:val="en-IE"/>
        </w:rPr>
        <w:t xml:space="preserve"> </w:t>
      </w:r>
      <w:r w:rsidR="69D3B12F" w:rsidRPr="0BB5BD64">
        <w:rPr>
          <w:noProof/>
          <w:lang w:val="en-IE"/>
        </w:rPr>
        <w:t>scope for energy savings as the</w:t>
      </w:r>
      <w:r w:rsidR="00901998">
        <w:rPr>
          <w:noProof/>
          <w:lang w:val="en-IE"/>
        </w:rPr>
        <w:t>y</w:t>
      </w:r>
      <w:r w:rsidR="69D3B12F" w:rsidRPr="0BB5BD64">
        <w:rPr>
          <w:noProof/>
          <w:lang w:val="en-IE"/>
        </w:rPr>
        <w:t xml:space="preserve"> </w:t>
      </w:r>
      <w:r w:rsidR="00901998">
        <w:rPr>
          <w:noProof/>
          <w:lang w:val="en-IE"/>
        </w:rPr>
        <w:t>are still</w:t>
      </w:r>
      <w:r w:rsidR="00901998" w:rsidRPr="0BB5BD64">
        <w:rPr>
          <w:noProof/>
          <w:lang w:val="en-IE"/>
        </w:rPr>
        <w:t xml:space="preserve"> </w:t>
      </w:r>
      <w:r w:rsidR="411A2969" w:rsidRPr="0BB5BD64">
        <w:rPr>
          <w:noProof/>
          <w:lang w:val="en-IE"/>
        </w:rPr>
        <w:t>heavily reliant on oil</w:t>
      </w:r>
      <w:r w:rsidR="69D3B12F" w:rsidRPr="0BB5BD64">
        <w:rPr>
          <w:noProof/>
          <w:lang w:val="en-IE"/>
        </w:rPr>
        <w:t>.</w:t>
      </w:r>
    </w:p>
    <w:p w14:paraId="7EDB7E70" w14:textId="58C98E14" w:rsidR="004344C5" w:rsidRPr="00311B80" w:rsidRDefault="00AB4D48" w:rsidP="00AB4D48">
      <w:pPr>
        <w:pStyle w:val="ManualConsidrant"/>
        <w:rPr>
          <w:noProof/>
          <w:lang w:val="en-IE"/>
        </w:rPr>
      </w:pPr>
      <w:r w:rsidRPr="00AB4D48">
        <w:t>(39)</w:t>
      </w:r>
      <w:r w:rsidRPr="00AB4D48">
        <w:tab/>
      </w:r>
      <w:r w:rsidR="263DD4EC" w:rsidRPr="00E759BC">
        <w:rPr>
          <w:noProof/>
          <w:lang w:val="en-IE"/>
        </w:rPr>
        <w:t>Labour and skills shortages in sectors and occupations</w:t>
      </w:r>
      <w:r w:rsidR="263DD4EC" w:rsidRPr="00311B80">
        <w:rPr>
          <w:noProof/>
          <w:lang w:val="en-IE"/>
        </w:rPr>
        <w:t xml:space="preserve"> key for the green transition</w:t>
      </w:r>
      <w:r w:rsidR="00831118">
        <w:rPr>
          <w:noProof/>
          <w:lang w:val="en-IE"/>
        </w:rPr>
        <w:t xml:space="preserve">, including manufacturing, deployment and maintenance of </w:t>
      </w:r>
      <w:r w:rsidR="000821FC">
        <w:rPr>
          <w:noProof/>
          <w:lang w:val="en-IE"/>
        </w:rPr>
        <w:t xml:space="preserve">net-zero </w:t>
      </w:r>
      <w:r w:rsidR="00831118">
        <w:rPr>
          <w:noProof/>
          <w:lang w:val="en-IE"/>
        </w:rPr>
        <w:t>technologies, are creating bottlenecks in the tr</w:t>
      </w:r>
      <w:r w:rsidR="00DA4B4C">
        <w:rPr>
          <w:noProof/>
          <w:lang w:val="en-IE"/>
        </w:rPr>
        <w:t>a</w:t>
      </w:r>
      <w:r w:rsidR="00831118">
        <w:rPr>
          <w:noProof/>
          <w:lang w:val="en-IE"/>
        </w:rPr>
        <w:t>nsition</w:t>
      </w:r>
      <w:r w:rsidR="263DD4EC" w:rsidRPr="00311B80">
        <w:rPr>
          <w:noProof/>
          <w:lang w:val="en-IE"/>
        </w:rPr>
        <w:t xml:space="preserve"> to a net-zero economy. High</w:t>
      </w:r>
      <w:r w:rsidR="008E389D">
        <w:rPr>
          <w:noProof/>
          <w:lang w:val="en-IE"/>
        </w:rPr>
        <w:t>-</w:t>
      </w:r>
      <w:r w:rsidR="263DD4EC" w:rsidRPr="00311B80">
        <w:rPr>
          <w:noProof/>
          <w:lang w:val="en-IE"/>
        </w:rPr>
        <w:t>quality education and training systems that respond to changing labour market needs and targeted upskilling and reskilling measures are key to reduc</w:t>
      </w:r>
      <w:r w:rsidR="00B90701">
        <w:rPr>
          <w:noProof/>
          <w:lang w:val="en-IE"/>
        </w:rPr>
        <w:t>ing</w:t>
      </w:r>
      <w:r w:rsidR="263DD4EC" w:rsidRPr="00311B80">
        <w:rPr>
          <w:noProof/>
          <w:lang w:val="en-IE"/>
        </w:rPr>
        <w:t xml:space="preserve"> skills shortages and promot</w:t>
      </w:r>
      <w:r w:rsidR="00B90701">
        <w:rPr>
          <w:noProof/>
          <w:lang w:val="en-IE"/>
        </w:rPr>
        <w:t>ing</w:t>
      </w:r>
      <w:r w:rsidR="263DD4EC" w:rsidRPr="00311B80">
        <w:rPr>
          <w:noProof/>
          <w:lang w:val="en-IE"/>
        </w:rPr>
        <w:t xml:space="preserve"> labour inclusion and reallocation. </w:t>
      </w:r>
      <w:r w:rsidR="00B90701">
        <w:rPr>
          <w:noProof/>
          <w:lang w:val="en-IE"/>
        </w:rPr>
        <w:t>T</w:t>
      </w:r>
      <w:r w:rsidR="003B7E42" w:rsidRPr="00311B80">
        <w:rPr>
          <w:noProof/>
          <w:lang w:val="en-IE"/>
        </w:rPr>
        <w:t>o unlock untapped labour supply</w:t>
      </w:r>
      <w:r w:rsidR="003B7E42">
        <w:rPr>
          <w:noProof/>
          <w:lang w:val="en-IE"/>
        </w:rPr>
        <w:t>,</w:t>
      </w:r>
      <w:r w:rsidR="003B7E42" w:rsidRPr="00311B80">
        <w:rPr>
          <w:noProof/>
          <w:lang w:val="en-IE"/>
        </w:rPr>
        <w:t xml:space="preserve"> </w:t>
      </w:r>
      <w:r w:rsidR="004C5DA1">
        <w:rPr>
          <w:noProof/>
          <w:lang w:val="en-IE"/>
        </w:rPr>
        <w:t>t</w:t>
      </w:r>
      <w:r w:rsidR="004C5DA1" w:rsidRPr="00311B80">
        <w:rPr>
          <w:noProof/>
          <w:lang w:val="en-IE"/>
        </w:rPr>
        <w:t xml:space="preserve">hese </w:t>
      </w:r>
      <w:r w:rsidR="263DD4EC" w:rsidRPr="00311B80">
        <w:rPr>
          <w:noProof/>
          <w:lang w:val="en-IE"/>
        </w:rPr>
        <w:t>measures need to be accessible</w:t>
      </w:r>
      <w:r w:rsidR="004117DA">
        <w:rPr>
          <w:noProof/>
          <w:lang w:val="en-IE"/>
        </w:rPr>
        <w:t>,</w:t>
      </w:r>
      <w:r w:rsidR="263DD4EC" w:rsidRPr="00311B80">
        <w:rPr>
          <w:noProof/>
          <w:lang w:val="en-IE"/>
        </w:rPr>
        <w:t xml:space="preserve"> in particular for individuals and in </w:t>
      </w:r>
      <w:r w:rsidR="003B7E42">
        <w:rPr>
          <w:noProof/>
          <w:lang w:val="en-IE"/>
        </w:rPr>
        <w:t xml:space="preserve">sectors and </w:t>
      </w:r>
      <w:r w:rsidR="263DD4EC" w:rsidRPr="00311B80">
        <w:rPr>
          <w:noProof/>
          <w:lang w:val="en-IE"/>
        </w:rPr>
        <w:t xml:space="preserve">regions most affected by the green transition. </w:t>
      </w:r>
      <w:r w:rsidR="004C5DA1">
        <w:rPr>
          <w:noProof/>
          <w:lang w:val="en-IE"/>
        </w:rPr>
        <w:t xml:space="preserve">In Greece, </w:t>
      </w:r>
      <w:r w:rsidR="00730A36">
        <w:rPr>
          <w:noProof/>
          <w:lang w:val="en-IE"/>
        </w:rPr>
        <w:t xml:space="preserve">green skills </w:t>
      </w:r>
      <w:r w:rsidR="004C5DA1">
        <w:rPr>
          <w:noProof/>
          <w:lang w:val="en-IE"/>
        </w:rPr>
        <w:t xml:space="preserve">shortages are </w:t>
      </w:r>
      <w:r w:rsidR="008D1FA2">
        <w:rPr>
          <w:noProof/>
          <w:lang w:val="en-IE"/>
        </w:rPr>
        <w:t xml:space="preserve">currently </w:t>
      </w:r>
      <w:r w:rsidR="004C5DA1">
        <w:rPr>
          <w:noProof/>
          <w:lang w:val="en-IE"/>
        </w:rPr>
        <w:t xml:space="preserve">most evident in the construction sector, which </w:t>
      </w:r>
      <w:r w:rsidR="004C5DA1" w:rsidRPr="646C49C4">
        <w:rPr>
          <w:rFonts w:eastAsia="Times New Roman"/>
          <w:noProof/>
          <w:color w:val="000000" w:themeColor="text1"/>
          <w:lang w:val="en-IE"/>
        </w:rPr>
        <w:t>is highly relevant for the green transition, and for specific occupations, including plumbers, pipe fitters and electricians.</w:t>
      </w:r>
      <w:r w:rsidR="001D3883">
        <w:rPr>
          <w:rFonts w:eastAsia="Times New Roman"/>
          <w:noProof/>
          <w:color w:val="000000" w:themeColor="text1"/>
          <w:lang w:val="en-IE"/>
        </w:rPr>
        <w:t xml:space="preserve"> </w:t>
      </w:r>
      <w:r w:rsidR="001D3883">
        <w:rPr>
          <w:noProof/>
        </w:rPr>
        <w:t xml:space="preserve">Finally, there remains scope for further action to increase the employability of young people and women. Increasing the </w:t>
      </w:r>
      <w:r w:rsidR="004A0D34">
        <w:rPr>
          <w:noProof/>
        </w:rPr>
        <w:t>administrative</w:t>
      </w:r>
      <w:r w:rsidR="001D3883">
        <w:rPr>
          <w:noProof/>
        </w:rPr>
        <w:t xml:space="preserve"> capacities of public employment services</w:t>
      </w:r>
      <w:r w:rsidR="00631F9F">
        <w:rPr>
          <w:noProof/>
        </w:rPr>
        <w:t xml:space="preserve"> </w:t>
      </w:r>
      <w:r w:rsidR="004C55F6">
        <w:rPr>
          <w:noProof/>
        </w:rPr>
        <w:t xml:space="preserve">while </w:t>
      </w:r>
      <w:r w:rsidR="004A0D34">
        <w:rPr>
          <w:noProof/>
        </w:rPr>
        <w:t>expand</w:t>
      </w:r>
      <w:r w:rsidR="004C55F6">
        <w:rPr>
          <w:noProof/>
        </w:rPr>
        <w:t>ing</w:t>
      </w:r>
      <w:r w:rsidR="004A0D34">
        <w:rPr>
          <w:noProof/>
        </w:rPr>
        <w:t xml:space="preserve"> the use of the </w:t>
      </w:r>
      <w:r w:rsidR="001D3883">
        <w:rPr>
          <w:noProof/>
        </w:rPr>
        <w:t>individualised approach</w:t>
      </w:r>
      <w:r w:rsidR="00631F9F">
        <w:rPr>
          <w:noProof/>
        </w:rPr>
        <w:t xml:space="preserve"> on jobseekers</w:t>
      </w:r>
      <w:r w:rsidR="001D3883">
        <w:rPr>
          <w:noProof/>
        </w:rPr>
        <w:t xml:space="preserve">, has the potential to boost employment outcomes for these groups and support a smooth </w:t>
      </w:r>
      <w:r w:rsidR="00245D79">
        <w:rPr>
          <w:noProof/>
        </w:rPr>
        <w:t>and</w:t>
      </w:r>
      <w:r w:rsidR="001D3883">
        <w:rPr>
          <w:noProof/>
        </w:rPr>
        <w:t xml:space="preserve"> fair transition.</w:t>
      </w:r>
    </w:p>
    <w:p w14:paraId="458E9841" w14:textId="57EDCC75" w:rsidR="001F06CD" w:rsidRPr="00E759BC" w:rsidRDefault="00AB4D48" w:rsidP="00AB4D48">
      <w:pPr>
        <w:pStyle w:val="ManualConsidrant"/>
        <w:rPr>
          <w:noProof/>
          <w:lang w:val="en-IE"/>
        </w:rPr>
      </w:pPr>
      <w:r w:rsidRPr="00AB4D48">
        <w:t>(40)</w:t>
      </w:r>
      <w:r w:rsidRPr="00AB4D48">
        <w:tab/>
      </w:r>
      <w:r w:rsidR="00373387" w:rsidRPr="00311B80">
        <w:rPr>
          <w:noProof/>
          <w:lang w:val="en-IE"/>
        </w:rPr>
        <w:t>In light of the Commission’s assessment, the Council has examined the 202</w:t>
      </w:r>
      <w:r w:rsidR="00B90701">
        <w:rPr>
          <w:noProof/>
          <w:lang w:val="en-IE"/>
        </w:rPr>
        <w:t>3</w:t>
      </w:r>
      <w:r w:rsidR="00373387" w:rsidRPr="00311B80">
        <w:rPr>
          <w:noProof/>
          <w:lang w:val="en-IE"/>
        </w:rPr>
        <w:t xml:space="preserve"> </w:t>
      </w:r>
      <w:r w:rsidR="00373387" w:rsidRPr="00E759BC">
        <w:rPr>
          <w:noProof/>
          <w:lang w:val="en-IE"/>
        </w:rPr>
        <w:t>Stability Programme and its opinion</w:t>
      </w:r>
      <w:r w:rsidR="00943182" w:rsidRPr="00E759BC">
        <w:rPr>
          <w:rStyle w:val="FootnoteReference"/>
          <w:noProof/>
        </w:rPr>
        <w:footnoteReference w:id="28"/>
      </w:r>
      <w:r w:rsidR="00373387" w:rsidRPr="00E759BC">
        <w:rPr>
          <w:noProof/>
          <w:lang w:val="en-IE"/>
        </w:rPr>
        <w:t xml:space="preserve"> is reflected in recommendation (1) below. </w:t>
      </w:r>
    </w:p>
    <w:p w14:paraId="0A73E256" w14:textId="3CDBD100" w:rsidR="00733533" w:rsidRPr="00244B85" w:rsidRDefault="00AB4D48" w:rsidP="00AB4D48">
      <w:pPr>
        <w:pStyle w:val="ManualConsidrant"/>
        <w:rPr>
          <w:rStyle w:val="eop"/>
          <w:noProof/>
          <w:shd w:val="clear" w:color="auto" w:fill="FFFFFF"/>
        </w:rPr>
      </w:pPr>
      <w:r w:rsidRPr="00AB4D48">
        <w:rPr>
          <w:rStyle w:val="eop"/>
        </w:rPr>
        <w:t>(41)</w:t>
      </w:r>
      <w:r w:rsidRPr="00AB4D48">
        <w:rPr>
          <w:rStyle w:val="eop"/>
        </w:rPr>
        <w:tab/>
      </w:r>
      <w:r w:rsidR="00733533" w:rsidRPr="00244B85">
        <w:rPr>
          <w:rStyle w:val="normaltextrun"/>
          <w:noProof/>
          <w:shd w:val="clear" w:color="auto" w:fill="FFFFFF"/>
        </w:rPr>
        <w:t xml:space="preserve">In view of the close interlinkages between the economies of euro area Member States and their collective contribution to the functioning of the Economic and Monetary Union, the Council recommended that euro area Member States </w:t>
      </w:r>
      <w:r w:rsidR="00733533" w:rsidRPr="00244B85">
        <w:rPr>
          <w:rStyle w:val="normaltextrun"/>
          <w:noProof/>
        </w:rPr>
        <w:t xml:space="preserve">take action, including through their recovery and resilience plans, to (i) </w:t>
      </w:r>
      <w:r w:rsidR="00733533" w:rsidRPr="00244B85">
        <w:rPr>
          <w:noProof/>
          <w:lang w:eastAsia="en-IE"/>
        </w:rPr>
        <w:t xml:space="preserve">preserve </w:t>
      </w:r>
      <w:r w:rsidR="00733533" w:rsidRPr="00244B85">
        <w:rPr>
          <w:noProof/>
        </w:rPr>
        <w:t xml:space="preserve">debt sustainability and </w:t>
      </w:r>
      <w:r w:rsidR="00733533" w:rsidRPr="00244B85">
        <w:rPr>
          <w:noProof/>
          <w:lang w:eastAsia="en-IE"/>
        </w:rPr>
        <w:t xml:space="preserve">refrain from broad-based support to aggregate demand in 2023, better target fiscal measures taken to mitigate the impact of high energy prices and </w:t>
      </w:r>
      <w:r w:rsidR="00733533" w:rsidRPr="00244B85">
        <w:rPr>
          <w:noProof/>
        </w:rPr>
        <w:t>reflect on appropriate ways to wind down support as energy price pressures diminish; (ii) sustain high public investment and promote private investment to support the green and digital transition;</w:t>
      </w:r>
      <w:r w:rsidR="00733533" w:rsidRPr="00244B85">
        <w:rPr>
          <w:rStyle w:val="normaltextrun"/>
          <w:noProof/>
        </w:rPr>
        <w:t xml:space="preserve"> </w:t>
      </w:r>
      <w:r w:rsidR="00733533" w:rsidRPr="00244B85">
        <w:rPr>
          <w:rStyle w:val="normaltextrun"/>
          <w:noProof/>
          <w:shd w:val="clear" w:color="auto" w:fill="FFFFFF"/>
        </w:rPr>
        <w:t xml:space="preserve">(iii) </w:t>
      </w:r>
      <w:r w:rsidR="00733533" w:rsidRPr="00244B85">
        <w:rPr>
          <w:noProof/>
          <w:lang w:eastAsia="en-IE"/>
        </w:rPr>
        <w:t>support wage developments that mitigate the loss in purchasing power while limiting second-round effects on inflation, further improve active labour market policies and address skills shortages;</w:t>
      </w:r>
      <w:r w:rsidR="00733533" w:rsidRPr="00244B85">
        <w:rPr>
          <w:rStyle w:val="normaltextrun"/>
          <w:noProof/>
          <w:shd w:val="clear" w:color="auto" w:fill="FFFFFF"/>
        </w:rPr>
        <w:t xml:space="preserve"> (iv) improve the business environment and e</w:t>
      </w:r>
      <w:r w:rsidR="00733533" w:rsidRPr="00244B85">
        <w:rPr>
          <w:noProof/>
          <w:lang w:eastAsia="en-IE"/>
        </w:rPr>
        <w:t xml:space="preserve">nsure that energy support to companies is cost-effective, temporary, targeted to viable firms and that it maintains incentives for the green transition; and (v) </w:t>
      </w:r>
      <w:r w:rsidR="00733533" w:rsidRPr="00244B85">
        <w:rPr>
          <w:noProof/>
        </w:rPr>
        <w:t>preserve macro</w:t>
      </w:r>
      <w:r w:rsidR="00733533">
        <w:rPr>
          <w:noProof/>
        </w:rPr>
        <w:noBreakHyphen/>
      </w:r>
      <w:r w:rsidR="00733533" w:rsidRPr="00244B85">
        <w:rPr>
          <w:noProof/>
        </w:rPr>
        <w:t>financial stability and monitor risks while continuing to work on completing the Banking Union</w:t>
      </w:r>
      <w:r w:rsidR="00733533" w:rsidRPr="00244B85">
        <w:rPr>
          <w:noProof/>
          <w:lang w:eastAsia="en-IE"/>
        </w:rPr>
        <w:t xml:space="preserve">. </w:t>
      </w:r>
      <w:r w:rsidR="00733533" w:rsidRPr="00244B85">
        <w:rPr>
          <w:rStyle w:val="normaltextrun"/>
          <w:noProof/>
          <w:shd w:val="clear" w:color="auto" w:fill="FFFFFF"/>
        </w:rPr>
        <w:t xml:space="preserve">For </w:t>
      </w:r>
      <w:r w:rsidR="00733533">
        <w:rPr>
          <w:noProof/>
        </w:rPr>
        <w:t>Greece</w:t>
      </w:r>
      <w:r w:rsidR="00733533" w:rsidRPr="00244B85">
        <w:rPr>
          <w:noProof/>
          <w:shd w:val="clear" w:color="auto" w:fill="FFFFFF"/>
        </w:rPr>
        <w:t>, recommendations</w:t>
      </w:r>
      <w:r w:rsidR="00733533" w:rsidRPr="005B448E">
        <w:rPr>
          <w:noProof/>
        </w:rPr>
        <w:t xml:space="preserve"> (</w:t>
      </w:r>
      <w:r w:rsidR="009668BF" w:rsidRPr="005B448E">
        <w:rPr>
          <w:noProof/>
        </w:rPr>
        <w:t>1</w:t>
      </w:r>
      <w:r w:rsidR="00733533" w:rsidRPr="005B448E">
        <w:rPr>
          <w:noProof/>
        </w:rPr>
        <w:t>), (</w:t>
      </w:r>
      <w:r w:rsidR="009668BF" w:rsidRPr="005B448E">
        <w:rPr>
          <w:noProof/>
        </w:rPr>
        <w:t>2</w:t>
      </w:r>
      <w:r w:rsidR="00733533" w:rsidRPr="005B448E">
        <w:rPr>
          <w:noProof/>
        </w:rPr>
        <w:t>)</w:t>
      </w:r>
      <w:r w:rsidR="002629D4" w:rsidRPr="005B448E">
        <w:rPr>
          <w:noProof/>
        </w:rPr>
        <w:t>, (3)</w:t>
      </w:r>
      <w:r w:rsidR="00733533" w:rsidRPr="005B448E">
        <w:rPr>
          <w:noProof/>
        </w:rPr>
        <w:t xml:space="preserve"> and (</w:t>
      </w:r>
      <w:r w:rsidR="009668BF" w:rsidRPr="005B448E">
        <w:rPr>
          <w:noProof/>
        </w:rPr>
        <w:t xml:space="preserve">4) </w:t>
      </w:r>
      <w:r w:rsidR="00733533" w:rsidRPr="005B448E">
        <w:rPr>
          <w:noProof/>
        </w:rPr>
        <w:t>contribute to the implementation of the first, second</w:t>
      </w:r>
      <w:r w:rsidR="009668BF" w:rsidRPr="005B448E">
        <w:rPr>
          <w:noProof/>
        </w:rPr>
        <w:t>,</w:t>
      </w:r>
      <w:r w:rsidR="00733533" w:rsidRPr="005B448E">
        <w:rPr>
          <w:noProof/>
        </w:rPr>
        <w:t xml:space="preserve"> </w:t>
      </w:r>
      <w:r w:rsidR="009668BF" w:rsidRPr="005B448E">
        <w:rPr>
          <w:noProof/>
        </w:rPr>
        <w:t>third</w:t>
      </w:r>
      <w:r w:rsidR="00977A5D">
        <w:rPr>
          <w:noProof/>
        </w:rPr>
        <w:t>,</w:t>
      </w:r>
      <w:r w:rsidR="00733533" w:rsidRPr="005B448E">
        <w:rPr>
          <w:noProof/>
        </w:rPr>
        <w:t xml:space="preserve"> </w:t>
      </w:r>
      <w:r w:rsidR="00F85E35" w:rsidRPr="005B448E">
        <w:rPr>
          <w:noProof/>
        </w:rPr>
        <w:t>fourth</w:t>
      </w:r>
      <w:r w:rsidR="00F85E35">
        <w:rPr>
          <w:noProof/>
        </w:rPr>
        <w:t xml:space="preserve"> and fifth euro</w:t>
      </w:r>
      <w:r w:rsidR="00733533" w:rsidRPr="00244B85">
        <w:rPr>
          <w:noProof/>
          <w:shd w:val="clear" w:color="auto" w:fill="FFFFFF"/>
        </w:rPr>
        <w:t xml:space="preserve"> area recommendations.</w:t>
      </w:r>
      <w:r w:rsidR="00733533" w:rsidRPr="00244B85">
        <w:rPr>
          <w:rStyle w:val="eop"/>
          <w:noProof/>
          <w:shd w:val="clear" w:color="auto" w:fill="FFFFFF"/>
        </w:rPr>
        <w:t> </w:t>
      </w:r>
    </w:p>
    <w:p w14:paraId="1ABEC63A" w14:textId="529F1B01" w:rsidR="000D2F80" w:rsidRDefault="00AB4D48" w:rsidP="00AB4D48">
      <w:pPr>
        <w:pStyle w:val="ManualConsidrant"/>
        <w:rPr>
          <w:noProof/>
        </w:rPr>
      </w:pPr>
      <w:r w:rsidRPr="00AB4D48">
        <w:t>(42)</w:t>
      </w:r>
      <w:r w:rsidRPr="00AB4D48">
        <w:tab/>
      </w:r>
      <w:r w:rsidR="000D2F80">
        <w:rPr>
          <w:noProof/>
        </w:rPr>
        <w:t xml:space="preserve">In light of the Commission’s in-depth review and this assessment, the Council has examined the 2023 National Reform Programme and the 2023 Stability Programme. Its recommendations under Article 6 of Regulation (EU) </w:t>
      </w:r>
      <w:r w:rsidR="0058661E">
        <w:rPr>
          <w:noProof/>
          <w:lang w:val="en-IE"/>
        </w:rPr>
        <w:t>No</w:t>
      </w:r>
      <w:r w:rsidR="0058661E">
        <w:rPr>
          <w:noProof/>
        </w:rPr>
        <w:t xml:space="preserve"> </w:t>
      </w:r>
      <w:r w:rsidR="000D2F80">
        <w:rPr>
          <w:noProof/>
        </w:rPr>
        <w:t xml:space="preserve">1176/2011 are reflected in recommendation </w:t>
      </w:r>
      <w:r w:rsidR="00A63FDB">
        <w:rPr>
          <w:noProof/>
        </w:rPr>
        <w:t>(</w:t>
      </w:r>
      <w:r w:rsidR="000D2F80">
        <w:rPr>
          <w:noProof/>
        </w:rPr>
        <w:t>1</w:t>
      </w:r>
      <w:r w:rsidR="00A63FDB">
        <w:rPr>
          <w:noProof/>
        </w:rPr>
        <w:t>)</w:t>
      </w:r>
      <w:r w:rsidR="000D2F80">
        <w:rPr>
          <w:noProof/>
        </w:rPr>
        <w:t xml:space="preserve"> below. Policies referred to in reco</w:t>
      </w:r>
      <w:r w:rsidR="000D2F80" w:rsidRPr="00D703AE">
        <w:rPr>
          <w:noProof/>
        </w:rPr>
        <w:t xml:space="preserve">mmendation </w:t>
      </w:r>
      <w:r w:rsidR="00A63FDB">
        <w:rPr>
          <w:noProof/>
        </w:rPr>
        <w:t>(</w:t>
      </w:r>
      <w:r w:rsidR="000D2F80" w:rsidRPr="00D703AE">
        <w:rPr>
          <w:noProof/>
        </w:rPr>
        <w:t>1</w:t>
      </w:r>
      <w:r w:rsidR="00A63FDB">
        <w:rPr>
          <w:noProof/>
        </w:rPr>
        <w:t>)</w:t>
      </w:r>
      <w:r w:rsidR="000D2F80" w:rsidRPr="00D703AE">
        <w:rPr>
          <w:noProof/>
        </w:rPr>
        <w:t xml:space="preserve"> help address vulnerabilities linked to </w:t>
      </w:r>
      <w:r w:rsidR="00041823">
        <w:rPr>
          <w:noProof/>
        </w:rPr>
        <w:t xml:space="preserve">government debt, </w:t>
      </w:r>
      <w:r w:rsidR="00441C39" w:rsidRPr="00D703AE">
        <w:rPr>
          <w:noProof/>
        </w:rPr>
        <w:t xml:space="preserve">external </w:t>
      </w:r>
      <w:r w:rsidR="00041823">
        <w:rPr>
          <w:noProof/>
        </w:rPr>
        <w:t>position</w:t>
      </w:r>
      <w:r w:rsidR="00F03003" w:rsidRPr="00D703AE">
        <w:rPr>
          <w:noProof/>
        </w:rPr>
        <w:t xml:space="preserve"> and non-performing loans</w:t>
      </w:r>
      <w:r w:rsidR="000D2F80" w:rsidRPr="00D703AE">
        <w:rPr>
          <w:noProof/>
        </w:rPr>
        <w:t>. Recommendation</w:t>
      </w:r>
      <w:r w:rsidR="00F03003" w:rsidRPr="00D703AE">
        <w:rPr>
          <w:noProof/>
        </w:rPr>
        <w:t xml:space="preserve"> </w:t>
      </w:r>
      <w:r w:rsidR="00A63FDB">
        <w:rPr>
          <w:noProof/>
        </w:rPr>
        <w:t>(</w:t>
      </w:r>
      <w:r w:rsidR="00F03003" w:rsidRPr="00D703AE">
        <w:rPr>
          <w:noProof/>
        </w:rPr>
        <w:t>2</w:t>
      </w:r>
      <w:r w:rsidR="00A63FDB">
        <w:rPr>
          <w:noProof/>
        </w:rPr>
        <w:t>)</w:t>
      </w:r>
      <w:r w:rsidR="000D2F80" w:rsidRPr="00D703AE">
        <w:rPr>
          <w:noProof/>
        </w:rPr>
        <w:t xml:space="preserve"> contribute</w:t>
      </w:r>
      <w:r w:rsidR="00F03003" w:rsidRPr="00D703AE">
        <w:rPr>
          <w:noProof/>
        </w:rPr>
        <w:t>s</w:t>
      </w:r>
      <w:r w:rsidR="000D2F80" w:rsidRPr="00D703AE">
        <w:rPr>
          <w:noProof/>
        </w:rPr>
        <w:t xml:space="preserve"> to addressing recommendation </w:t>
      </w:r>
      <w:r w:rsidR="00A63FDB">
        <w:rPr>
          <w:noProof/>
        </w:rPr>
        <w:t>(</w:t>
      </w:r>
      <w:r w:rsidR="000D2F80" w:rsidRPr="00D703AE">
        <w:rPr>
          <w:noProof/>
        </w:rPr>
        <w:t>1</w:t>
      </w:r>
      <w:r w:rsidR="00A63FDB">
        <w:rPr>
          <w:noProof/>
        </w:rPr>
        <w:t>)</w:t>
      </w:r>
      <w:r w:rsidR="000D2F80" w:rsidRPr="00D703AE">
        <w:rPr>
          <w:noProof/>
        </w:rPr>
        <w:t xml:space="preserve">. Policies referred to in recommendation </w:t>
      </w:r>
      <w:r w:rsidR="00A63FDB">
        <w:rPr>
          <w:noProof/>
        </w:rPr>
        <w:t>(</w:t>
      </w:r>
      <w:r w:rsidR="000D2F80" w:rsidRPr="00D703AE">
        <w:rPr>
          <w:noProof/>
        </w:rPr>
        <w:t>1</w:t>
      </w:r>
      <w:r w:rsidR="00A63FDB">
        <w:rPr>
          <w:noProof/>
        </w:rPr>
        <w:t>)</w:t>
      </w:r>
      <w:r w:rsidR="000D2F80" w:rsidRPr="00D703AE">
        <w:rPr>
          <w:noProof/>
        </w:rPr>
        <w:t xml:space="preserve"> </w:t>
      </w:r>
      <w:r w:rsidR="00F03003" w:rsidRPr="00D703AE">
        <w:rPr>
          <w:noProof/>
          <w:lang w:val="en-IE"/>
        </w:rPr>
        <w:t xml:space="preserve">contribute to both addressing imbalances and implementing the recommendations for the euro area, in line with recital </w:t>
      </w:r>
      <w:r w:rsidR="008C6D54">
        <w:rPr>
          <w:noProof/>
        </w:rPr>
        <w:t>41</w:t>
      </w:r>
      <w:r w:rsidR="000D2F80" w:rsidRPr="00D703AE">
        <w:rPr>
          <w:noProof/>
        </w:rPr>
        <w:t>.</w:t>
      </w:r>
    </w:p>
    <w:p w14:paraId="23C74F67" w14:textId="77777777" w:rsidR="00B31A10" w:rsidRDefault="00B31A10" w:rsidP="007A35D4">
      <w:pPr>
        <w:rPr>
          <w:noProof/>
        </w:rPr>
      </w:pPr>
    </w:p>
    <w:p w14:paraId="303DDBF7" w14:textId="77777777" w:rsidR="00CA0B25" w:rsidRPr="00E53A2A" w:rsidRDefault="001B57B6" w:rsidP="005131C7">
      <w:pPr>
        <w:pStyle w:val="Formuledadoption"/>
        <w:rPr>
          <w:noProof/>
        </w:rPr>
      </w:pPr>
      <w:r w:rsidRPr="00E53A2A">
        <w:rPr>
          <w:noProof/>
        </w:rPr>
        <w:t xml:space="preserve">HEREBY </w:t>
      </w:r>
      <w:r w:rsidR="00CA0B25" w:rsidRPr="00E53A2A">
        <w:rPr>
          <w:noProof/>
        </w:rPr>
        <w:t>RECOMMENDS</w:t>
      </w:r>
      <w:r w:rsidR="008F4B99" w:rsidRPr="00E53A2A">
        <w:rPr>
          <w:noProof/>
        </w:rPr>
        <w:t xml:space="preserve"> </w:t>
      </w:r>
      <w:r w:rsidR="00BB2F7D" w:rsidRPr="00E53A2A">
        <w:rPr>
          <w:noProof/>
          <w:szCs w:val="24"/>
          <w:lang w:val="en-IE"/>
        </w:rPr>
        <w:t xml:space="preserve">that </w:t>
      </w:r>
      <w:r w:rsidR="00963681">
        <w:rPr>
          <w:noProof/>
          <w:szCs w:val="24"/>
        </w:rPr>
        <w:t>Greece</w:t>
      </w:r>
      <w:r w:rsidR="00006579" w:rsidRPr="00E53A2A">
        <w:rPr>
          <w:noProof/>
          <w:szCs w:val="24"/>
          <w:lang w:val="en-IE"/>
        </w:rPr>
        <w:t xml:space="preserve"> take action in 202</w:t>
      </w:r>
      <w:r w:rsidR="0048031A">
        <w:rPr>
          <w:noProof/>
          <w:szCs w:val="24"/>
          <w:lang w:val="en-IE"/>
        </w:rPr>
        <w:t>3</w:t>
      </w:r>
      <w:r w:rsidR="00006579" w:rsidRPr="00E53A2A">
        <w:rPr>
          <w:noProof/>
          <w:szCs w:val="24"/>
          <w:lang w:val="en-IE"/>
        </w:rPr>
        <w:t xml:space="preserve"> and 202</w:t>
      </w:r>
      <w:r w:rsidR="0048031A">
        <w:rPr>
          <w:noProof/>
          <w:szCs w:val="24"/>
          <w:lang w:val="en-IE"/>
        </w:rPr>
        <w:t>4</w:t>
      </w:r>
      <w:r w:rsidR="00006579" w:rsidRPr="00E53A2A">
        <w:rPr>
          <w:noProof/>
          <w:szCs w:val="24"/>
          <w:lang w:val="en-IE"/>
        </w:rPr>
        <w:t xml:space="preserve"> to</w:t>
      </w:r>
      <w:r w:rsidR="000374DB">
        <w:rPr>
          <w:noProof/>
          <w:szCs w:val="24"/>
          <w:lang w:val="en-IE"/>
        </w:rPr>
        <w:t>:</w:t>
      </w:r>
    </w:p>
    <w:p w14:paraId="502C5963" w14:textId="19EDCB5B" w:rsidR="00CD5695" w:rsidRPr="00CD5695" w:rsidRDefault="00AB4D48" w:rsidP="00AB4D48">
      <w:pPr>
        <w:pStyle w:val="ManualNumPar1"/>
        <w:rPr>
          <w:noProof/>
        </w:rPr>
      </w:pPr>
      <w:bookmarkStart w:id="5" w:name="_Hlk134782098"/>
      <w:r w:rsidRPr="00AB4D48">
        <w:t>1.</w:t>
      </w:r>
      <w:r w:rsidRPr="00AB4D48">
        <w:tab/>
      </w:r>
      <w:r w:rsidR="00CD5695" w:rsidRPr="00CD5695">
        <w:rPr>
          <w:noProof/>
        </w:rPr>
        <w:t xml:space="preserve">Wind down the energy support measures in force by the end of 2023, using the related savings to reduce the government deficit. Should renewed energy price increases necessitate support measures, ensure that these are targeted </w:t>
      </w:r>
      <w:r w:rsidR="00CD5695" w:rsidRPr="00CD5695">
        <w:rPr>
          <w:noProof/>
          <w:shd w:val="clear" w:color="auto" w:fill="FFFFFF"/>
        </w:rPr>
        <w:t>at protecting vulnerable households and firms,</w:t>
      </w:r>
      <w:r w:rsidR="00CD5695" w:rsidRPr="00CD5695">
        <w:rPr>
          <w:noProof/>
        </w:rPr>
        <w:t xml:space="preserve"> fiscally affordable, and preserve incentives for energy savings. </w:t>
      </w:r>
    </w:p>
    <w:p w14:paraId="506E0FD1" w14:textId="77777777" w:rsidR="00CD5695" w:rsidRPr="00CD5695" w:rsidRDefault="00CD5695" w:rsidP="007A35D4">
      <w:pPr>
        <w:pStyle w:val="Text1"/>
        <w:rPr>
          <w:noProof/>
        </w:rPr>
      </w:pPr>
      <w:r w:rsidRPr="00CD5695">
        <w:rPr>
          <w:noProof/>
        </w:rPr>
        <w:t>Ensure prudent fiscal policy, in particular by limiting the nominal increase in nationally financed net primary expenditure in 2024 to not more than 2.6%.</w:t>
      </w:r>
    </w:p>
    <w:p w14:paraId="2961B180" w14:textId="77777777" w:rsidR="00CD5695" w:rsidRPr="00CD5695" w:rsidRDefault="00CD5695" w:rsidP="007A35D4">
      <w:pPr>
        <w:pStyle w:val="Text1"/>
        <w:rPr>
          <w:noProof/>
        </w:rPr>
      </w:pPr>
      <w:r w:rsidRPr="00CD5695">
        <w:rPr>
          <w:noProof/>
        </w:rPr>
        <w:t xml:space="preserve">Preserve nationally financed public investment and ensure the effective absorption of RRF grants and other EU funds, in particular to foster the green and digital transitions. </w:t>
      </w:r>
      <w:bookmarkStart w:id="6" w:name="_Hlk134464709"/>
    </w:p>
    <w:p w14:paraId="23E3368C" w14:textId="77777777" w:rsidR="00CD5695" w:rsidRPr="00CD5695" w:rsidRDefault="00CD5695" w:rsidP="007A35D4">
      <w:pPr>
        <w:pStyle w:val="Text1"/>
        <w:rPr>
          <w:noProof/>
        </w:rPr>
      </w:pPr>
      <w:r w:rsidRPr="00CD5695">
        <w:rPr>
          <w:noProof/>
        </w:rPr>
        <w:t>For the period beyond 2024, continue to pursue a medium-term fiscal strategy of gradual and sustainable consolidation, combined with investments and reforms conducive to higher sustainable growth, to achieve a prudent medium-term fiscal position</w:t>
      </w:r>
      <w:r w:rsidRPr="00CD5695">
        <w:rPr>
          <w:noProof/>
          <w:lang w:val="en-IE"/>
        </w:rPr>
        <w:t>.</w:t>
      </w:r>
      <w:r w:rsidRPr="00CD5695">
        <w:rPr>
          <w:noProof/>
        </w:rPr>
        <w:t xml:space="preserve"> </w:t>
      </w:r>
      <w:bookmarkEnd w:id="5"/>
      <w:bookmarkEnd w:id="6"/>
    </w:p>
    <w:p w14:paraId="5EB0516E" w14:textId="25B005D6" w:rsidR="003F5E47" w:rsidRDefault="00AF5C4F" w:rsidP="007A35D4">
      <w:pPr>
        <w:pStyle w:val="Text1"/>
        <w:rPr>
          <w:noProof/>
        </w:rPr>
      </w:pPr>
      <w:r w:rsidRPr="00BD7D13">
        <w:rPr>
          <w:noProof/>
        </w:rPr>
        <w:t>Building on reforms undertaken as part of the recovery and resilience plan, improve the investment</w:t>
      </w:r>
      <w:r w:rsidR="0065598C">
        <w:rPr>
          <w:noProof/>
        </w:rPr>
        <w:t xml:space="preserve"> </w:t>
      </w:r>
      <w:r w:rsidRPr="00BD7D13">
        <w:rPr>
          <w:noProof/>
        </w:rPr>
        <w:t>friendliness of the taxation system by introducing an advance tax ruling system,</w:t>
      </w:r>
      <w:r>
        <w:rPr>
          <w:noProof/>
        </w:rPr>
        <w:t xml:space="preserve"> e</w:t>
      </w:r>
      <w:r w:rsidR="00272070">
        <w:rPr>
          <w:noProof/>
        </w:rPr>
        <w:t>nlarge the tax base</w:t>
      </w:r>
      <w:r w:rsidR="00FB18AD">
        <w:rPr>
          <w:noProof/>
        </w:rPr>
        <w:t>, including by reviewing</w:t>
      </w:r>
      <w:r w:rsidR="00272070">
        <w:rPr>
          <w:noProof/>
        </w:rPr>
        <w:t xml:space="preserve"> </w:t>
      </w:r>
      <w:r w:rsidR="007D214B">
        <w:rPr>
          <w:noProof/>
        </w:rPr>
        <w:t>the</w:t>
      </w:r>
      <w:r w:rsidR="006A001A">
        <w:rPr>
          <w:noProof/>
        </w:rPr>
        <w:t xml:space="preserve"> current taxation structure </w:t>
      </w:r>
      <w:r w:rsidR="00FB18AD">
        <w:rPr>
          <w:noProof/>
        </w:rPr>
        <w:t>for the self-employed</w:t>
      </w:r>
      <w:r w:rsidR="00847A2B">
        <w:rPr>
          <w:noProof/>
        </w:rPr>
        <w:t>,</w:t>
      </w:r>
      <w:r w:rsidR="00FB18AD">
        <w:rPr>
          <w:noProof/>
        </w:rPr>
        <w:t xml:space="preserve"> </w:t>
      </w:r>
      <w:r w:rsidR="006A001A">
        <w:rPr>
          <w:noProof/>
        </w:rPr>
        <w:t xml:space="preserve">and </w:t>
      </w:r>
      <w:r w:rsidR="00FB18AD">
        <w:rPr>
          <w:noProof/>
        </w:rPr>
        <w:t>strengthen tax compliance by extending the use of electronic payments</w:t>
      </w:r>
      <w:r w:rsidR="00272070">
        <w:rPr>
          <w:noProof/>
        </w:rPr>
        <w:t xml:space="preserve">. </w:t>
      </w:r>
      <w:r w:rsidR="00FB18AD">
        <w:rPr>
          <w:noProof/>
        </w:rPr>
        <w:t xml:space="preserve">Preserve and </w:t>
      </w:r>
      <w:r w:rsidR="008933BC">
        <w:rPr>
          <w:noProof/>
        </w:rPr>
        <w:t xml:space="preserve">increase </w:t>
      </w:r>
      <w:r w:rsidR="00272070">
        <w:rPr>
          <w:noProof/>
        </w:rPr>
        <w:t>the autonomy of the tax administration authority</w:t>
      </w:r>
      <w:r w:rsidR="007D214B">
        <w:rPr>
          <w:noProof/>
        </w:rPr>
        <w:t xml:space="preserve"> </w:t>
      </w:r>
      <w:r w:rsidR="008933BC">
        <w:rPr>
          <w:noProof/>
        </w:rPr>
        <w:t xml:space="preserve">by </w:t>
      </w:r>
      <w:r w:rsidR="007D214B">
        <w:rPr>
          <w:noProof/>
        </w:rPr>
        <w:t xml:space="preserve">extending its mandate to develop and manage its </w:t>
      </w:r>
      <w:r w:rsidR="00272070">
        <w:rPr>
          <w:noProof/>
        </w:rPr>
        <w:t>information systems</w:t>
      </w:r>
      <w:r w:rsidR="007D214B">
        <w:rPr>
          <w:noProof/>
        </w:rPr>
        <w:t xml:space="preserve"> and human resources</w:t>
      </w:r>
      <w:r w:rsidR="00272070">
        <w:rPr>
          <w:noProof/>
        </w:rPr>
        <w:t>.</w:t>
      </w:r>
      <w:r w:rsidR="00533D4C">
        <w:rPr>
          <w:noProof/>
        </w:rPr>
        <w:t xml:space="preserve"> Safeguard the efficiency of public administration while ensuring it can attract the right skills and preserving consistency with the unified wage grid.</w:t>
      </w:r>
      <w:r w:rsidR="00D91D05">
        <w:rPr>
          <w:noProof/>
        </w:rPr>
        <w:t xml:space="preserve"> </w:t>
      </w:r>
      <w:r w:rsidR="006E4642">
        <w:rPr>
          <w:noProof/>
          <w:lang w:val="en-IE"/>
        </w:rPr>
        <w:t>Pursue the ongoing reduction of</w:t>
      </w:r>
      <w:r w:rsidR="00A47B5C" w:rsidRPr="00B83E14">
        <w:rPr>
          <w:noProof/>
          <w:lang w:val="en-IE"/>
        </w:rPr>
        <w:t xml:space="preserve"> non-performing loans</w:t>
      </w:r>
      <w:r w:rsidR="00A47B5C">
        <w:rPr>
          <w:noProof/>
          <w:lang w:val="en-IE"/>
        </w:rPr>
        <w:t xml:space="preserve"> </w:t>
      </w:r>
      <w:r w:rsidR="00A47B5C" w:rsidRPr="00B83E14">
        <w:rPr>
          <w:noProof/>
          <w:lang w:val="en-IE"/>
        </w:rPr>
        <w:t xml:space="preserve">and </w:t>
      </w:r>
      <w:r w:rsidR="00195887">
        <w:rPr>
          <w:noProof/>
          <w:lang w:val="en-IE"/>
        </w:rPr>
        <w:t xml:space="preserve">further </w:t>
      </w:r>
      <w:r w:rsidR="00A47B5C" w:rsidRPr="00B83E14">
        <w:rPr>
          <w:noProof/>
          <w:lang w:val="en-IE"/>
        </w:rPr>
        <w:t>improv</w:t>
      </w:r>
      <w:r w:rsidR="00A47B5C">
        <w:rPr>
          <w:noProof/>
          <w:lang w:val="en-IE"/>
        </w:rPr>
        <w:t>e</w:t>
      </w:r>
      <w:r w:rsidR="00A47B5C" w:rsidRPr="00B83E14">
        <w:rPr>
          <w:noProof/>
          <w:lang w:val="en-IE"/>
        </w:rPr>
        <w:t xml:space="preserve"> the functioning of the secondary non-performing loans market</w:t>
      </w:r>
      <w:r w:rsidR="00A47B5C">
        <w:rPr>
          <w:noProof/>
          <w:lang w:val="en-IE"/>
        </w:rPr>
        <w:t>.</w:t>
      </w:r>
    </w:p>
    <w:p w14:paraId="2D30C81F" w14:textId="5AB98345" w:rsidR="00BB2F7D" w:rsidRPr="003F5E47" w:rsidRDefault="00AB4D48" w:rsidP="00AB4D48">
      <w:pPr>
        <w:pStyle w:val="ManualNumPar1"/>
        <w:rPr>
          <w:noProof/>
        </w:rPr>
      </w:pPr>
      <w:bookmarkStart w:id="7" w:name="_Hlk134442304"/>
      <w:r w:rsidRPr="00AB4D48">
        <w:t>2.</w:t>
      </w:r>
      <w:r w:rsidRPr="00AB4D48">
        <w:tab/>
      </w:r>
      <w:r w:rsidR="006D04CA" w:rsidRPr="003F5E47">
        <w:rPr>
          <w:noProof/>
        </w:rPr>
        <w:t xml:space="preserve">Maintain the momentum in the steady implementation of </w:t>
      </w:r>
      <w:r w:rsidR="00440651">
        <w:rPr>
          <w:noProof/>
        </w:rPr>
        <w:t>the</w:t>
      </w:r>
      <w:r w:rsidR="006D04CA" w:rsidRPr="003F5E47">
        <w:rPr>
          <w:noProof/>
        </w:rPr>
        <w:t xml:space="preserve"> recovery and resilience plan and swiftly finalise the REPowerEU chapter with a view to rapidly starting its implementation</w:t>
      </w:r>
      <w:bookmarkEnd w:id="7"/>
      <w:r w:rsidR="006D04CA" w:rsidRPr="003F5E47">
        <w:rPr>
          <w:noProof/>
        </w:rPr>
        <w:t>. Ensure continued sufficient administrative capacity in view of the size of the plan. Proceed with the speedy implementation of cohesion policy programmes, in close complementarity and synergy with the recovery and resilience plan.</w:t>
      </w:r>
    </w:p>
    <w:p w14:paraId="437A1AF6" w14:textId="5C94FCF7" w:rsidR="00F45165" w:rsidRPr="00584698" w:rsidRDefault="00AB4D48" w:rsidP="00AB4D48">
      <w:pPr>
        <w:pStyle w:val="ManualNumPar1"/>
        <w:rPr>
          <w:noProof/>
        </w:rPr>
      </w:pPr>
      <w:r w:rsidRPr="00AB4D48">
        <w:t>3.</w:t>
      </w:r>
      <w:r w:rsidRPr="00AB4D48">
        <w:tab/>
      </w:r>
      <w:r w:rsidR="00A74F8D">
        <w:rPr>
          <w:noProof/>
        </w:rPr>
        <w:t>T</w:t>
      </w:r>
      <w:r w:rsidR="00513D4C" w:rsidRPr="00584698">
        <w:rPr>
          <w:noProof/>
        </w:rPr>
        <w:t>o ensur</w:t>
      </w:r>
      <w:r w:rsidR="00A74F8D">
        <w:rPr>
          <w:noProof/>
        </w:rPr>
        <w:t>e</w:t>
      </w:r>
      <w:r w:rsidR="00513D4C" w:rsidRPr="00584698">
        <w:rPr>
          <w:noProof/>
        </w:rPr>
        <w:t xml:space="preserve"> adequate and equal access to healthcare, complete the roll</w:t>
      </w:r>
      <w:r w:rsidR="00DC5BC1">
        <w:rPr>
          <w:noProof/>
        </w:rPr>
        <w:t>-</w:t>
      </w:r>
      <w:r w:rsidR="00513D4C" w:rsidRPr="00584698">
        <w:rPr>
          <w:noProof/>
        </w:rPr>
        <w:t xml:space="preserve">out of the primary healthcare </w:t>
      </w:r>
      <w:r w:rsidR="00A8347A" w:rsidRPr="00584698">
        <w:rPr>
          <w:noProof/>
        </w:rPr>
        <w:t>framework</w:t>
      </w:r>
      <w:r w:rsidR="00210FD2" w:rsidRPr="00584698">
        <w:rPr>
          <w:noProof/>
        </w:rPr>
        <w:t xml:space="preserve"> </w:t>
      </w:r>
      <w:r w:rsidR="00634E43" w:rsidRPr="00584698">
        <w:rPr>
          <w:noProof/>
        </w:rPr>
        <w:t xml:space="preserve">and adopt </w:t>
      </w:r>
      <w:r w:rsidR="008933BC">
        <w:rPr>
          <w:noProof/>
        </w:rPr>
        <w:t>stronger</w:t>
      </w:r>
      <w:r w:rsidR="008933BC" w:rsidRPr="00584698">
        <w:rPr>
          <w:noProof/>
        </w:rPr>
        <w:t xml:space="preserve"> </w:t>
      </w:r>
      <w:r w:rsidR="00EF24BB" w:rsidRPr="00584698">
        <w:rPr>
          <w:noProof/>
        </w:rPr>
        <w:t xml:space="preserve">incentives for </w:t>
      </w:r>
      <w:r w:rsidR="00513D4C" w:rsidRPr="00584698">
        <w:rPr>
          <w:noProof/>
        </w:rPr>
        <w:t xml:space="preserve">the enrolment of </w:t>
      </w:r>
      <w:r w:rsidR="00EF24BB" w:rsidRPr="00584698">
        <w:rPr>
          <w:noProof/>
        </w:rPr>
        <w:t xml:space="preserve">an </w:t>
      </w:r>
      <w:r w:rsidR="00513D4C" w:rsidRPr="00584698">
        <w:rPr>
          <w:noProof/>
        </w:rPr>
        <w:t xml:space="preserve">adequate number of family doctors </w:t>
      </w:r>
      <w:r w:rsidR="008933BC">
        <w:rPr>
          <w:noProof/>
        </w:rPr>
        <w:t xml:space="preserve">in order </w:t>
      </w:r>
      <w:r w:rsidR="00513D4C" w:rsidRPr="00584698">
        <w:rPr>
          <w:noProof/>
        </w:rPr>
        <w:t>to achieve full population coverage and population registration</w:t>
      </w:r>
      <w:r w:rsidR="008933BC">
        <w:rPr>
          <w:noProof/>
        </w:rPr>
        <w:t xml:space="preserve">. </w:t>
      </w:r>
      <w:r w:rsidR="00E17CD7" w:rsidRPr="00584698">
        <w:rPr>
          <w:noProof/>
        </w:rPr>
        <w:t>Finalise</w:t>
      </w:r>
      <w:r w:rsidR="0068169A" w:rsidRPr="00584698">
        <w:rPr>
          <w:noProof/>
        </w:rPr>
        <w:t xml:space="preserve"> cadastre reform</w:t>
      </w:r>
      <w:r w:rsidR="004C1644" w:rsidRPr="00584698">
        <w:rPr>
          <w:noProof/>
        </w:rPr>
        <w:t xml:space="preserve"> by completing cadastral mapping and the </w:t>
      </w:r>
      <w:r w:rsidR="00812645">
        <w:rPr>
          <w:noProof/>
        </w:rPr>
        <w:t>establishment and operation of</w:t>
      </w:r>
      <w:r w:rsidR="004C1644" w:rsidRPr="00584698">
        <w:rPr>
          <w:noProof/>
        </w:rPr>
        <w:t xml:space="preserve"> the Hellenic Cadastre Agency</w:t>
      </w:r>
      <w:r w:rsidR="0068169A" w:rsidRPr="00584698">
        <w:rPr>
          <w:noProof/>
        </w:rPr>
        <w:t>.</w:t>
      </w:r>
    </w:p>
    <w:p w14:paraId="3E693712" w14:textId="12C9A393" w:rsidR="00BB2F7D" w:rsidRPr="00E00BFB" w:rsidRDefault="00AB4D48" w:rsidP="00AB4D48">
      <w:pPr>
        <w:pStyle w:val="ManualNumPar1"/>
        <w:rPr>
          <w:noProof/>
        </w:rPr>
      </w:pPr>
      <w:r w:rsidRPr="00AB4D48">
        <w:t>4.</w:t>
      </w:r>
      <w:r w:rsidRPr="00AB4D48">
        <w:tab/>
      </w:r>
      <w:r w:rsidR="5602EE4C" w:rsidRPr="0BB5BD64">
        <w:rPr>
          <w:noProof/>
        </w:rPr>
        <w:t>Reduce reliance on fossil fuels</w:t>
      </w:r>
      <w:r w:rsidR="5602EE4C">
        <w:rPr>
          <w:noProof/>
        </w:rPr>
        <w:t xml:space="preserve"> </w:t>
      </w:r>
      <w:r w:rsidR="5602EE4C" w:rsidRPr="0BB5BD64">
        <w:rPr>
          <w:noProof/>
        </w:rPr>
        <w:t xml:space="preserve">and </w:t>
      </w:r>
      <w:r w:rsidR="181E4AAC" w:rsidRPr="0BB5BD64">
        <w:rPr>
          <w:noProof/>
        </w:rPr>
        <w:t>further accelerate the</w:t>
      </w:r>
      <w:r w:rsidR="5602EE4C" w:rsidRPr="0BB5BD64">
        <w:rPr>
          <w:noProof/>
        </w:rPr>
        <w:t xml:space="preserve"> diversif</w:t>
      </w:r>
      <w:r w:rsidR="181E4AAC" w:rsidRPr="0BB5BD64">
        <w:rPr>
          <w:noProof/>
        </w:rPr>
        <w:t>ication of</w:t>
      </w:r>
      <w:r w:rsidR="5602EE4C" w:rsidRPr="0BB5BD64">
        <w:rPr>
          <w:noProof/>
        </w:rPr>
        <w:t xml:space="preserve"> energy supply routes. Further expand the deployment of renewable energy </w:t>
      </w:r>
      <w:r w:rsidR="7F0210EB" w:rsidRPr="0BB5BD64">
        <w:rPr>
          <w:noProof/>
        </w:rPr>
        <w:t xml:space="preserve">by completing </w:t>
      </w:r>
      <w:r w:rsidR="00C775E3">
        <w:rPr>
          <w:noProof/>
        </w:rPr>
        <w:t xml:space="preserve">and enforcing </w:t>
      </w:r>
      <w:r w:rsidR="7F0210EB" w:rsidRPr="0BB5BD64">
        <w:rPr>
          <w:noProof/>
        </w:rPr>
        <w:t xml:space="preserve">the </w:t>
      </w:r>
      <w:r w:rsidR="00C775E3">
        <w:rPr>
          <w:noProof/>
        </w:rPr>
        <w:t xml:space="preserve">new </w:t>
      </w:r>
      <w:r w:rsidR="7F0210EB" w:rsidRPr="0BB5BD64">
        <w:rPr>
          <w:noProof/>
        </w:rPr>
        <w:t>legal framework</w:t>
      </w:r>
      <w:r w:rsidR="00C775E3">
        <w:rPr>
          <w:noProof/>
        </w:rPr>
        <w:t>s for the licensing process and</w:t>
      </w:r>
      <w:r w:rsidR="7F0210EB" w:rsidRPr="0BB5BD64">
        <w:rPr>
          <w:noProof/>
        </w:rPr>
        <w:t xml:space="preserve"> for offshore wind farm</w:t>
      </w:r>
      <w:r w:rsidR="00C775E3">
        <w:rPr>
          <w:noProof/>
        </w:rPr>
        <w:t>s</w:t>
      </w:r>
      <w:r w:rsidR="00F61C01">
        <w:rPr>
          <w:noProof/>
        </w:rPr>
        <w:t>,</w:t>
      </w:r>
      <w:r w:rsidR="00740484">
        <w:rPr>
          <w:noProof/>
        </w:rPr>
        <w:t xml:space="preserve"> </w:t>
      </w:r>
      <w:r w:rsidR="660D7A6E" w:rsidRPr="0BB5BD64">
        <w:rPr>
          <w:noProof/>
        </w:rPr>
        <w:t xml:space="preserve">increasing </w:t>
      </w:r>
      <w:r w:rsidR="4BDBD58B" w:rsidRPr="0BB5BD64">
        <w:rPr>
          <w:noProof/>
        </w:rPr>
        <w:t xml:space="preserve">electricity </w:t>
      </w:r>
      <w:r w:rsidR="46BE79EC" w:rsidRPr="0BB5BD64">
        <w:rPr>
          <w:noProof/>
        </w:rPr>
        <w:t xml:space="preserve">network and </w:t>
      </w:r>
      <w:r w:rsidR="660D7A6E" w:rsidRPr="0BB5BD64">
        <w:rPr>
          <w:noProof/>
        </w:rPr>
        <w:t>storage capacity</w:t>
      </w:r>
      <w:r w:rsidR="5B5551EC" w:rsidRPr="0BB5BD64">
        <w:rPr>
          <w:noProof/>
        </w:rPr>
        <w:t>,</w:t>
      </w:r>
      <w:r w:rsidR="7F0210EB" w:rsidRPr="0BB5BD64">
        <w:rPr>
          <w:noProof/>
        </w:rPr>
        <w:t xml:space="preserve"> promoting </w:t>
      </w:r>
      <w:r w:rsidR="00300540">
        <w:rPr>
          <w:noProof/>
        </w:rPr>
        <w:t>the</w:t>
      </w:r>
      <w:r w:rsidR="00300540" w:rsidRPr="0BB5BD64">
        <w:rPr>
          <w:noProof/>
        </w:rPr>
        <w:t xml:space="preserve"> </w:t>
      </w:r>
      <w:r w:rsidR="25AD24DE" w:rsidRPr="0BB5BD64">
        <w:rPr>
          <w:noProof/>
        </w:rPr>
        <w:t>decentralised production of renewable energy</w:t>
      </w:r>
      <w:r w:rsidR="00553DE6">
        <w:rPr>
          <w:noProof/>
        </w:rPr>
        <w:t xml:space="preserve">, </w:t>
      </w:r>
      <w:r w:rsidR="5B5551EC" w:rsidRPr="0BB5BD64">
        <w:rPr>
          <w:noProof/>
        </w:rPr>
        <w:t xml:space="preserve">and </w:t>
      </w:r>
      <w:r w:rsidR="03366A89" w:rsidRPr="0BB5BD64">
        <w:rPr>
          <w:noProof/>
        </w:rPr>
        <w:t>putting in place legislative framework</w:t>
      </w:r>
      <w:r w:rsidR="1233942D" w:rsidRPr="0BB5BD64">
        <w:rPr>
          <w:noProof/>
        </w:rPr>
        <w:t>s</w:t>
      </w:r>
      <w:r w:rsidR="03366A89" w:rsidRPr="0BB5BD64">
        <w:rPr>
          <w:noProof/>
        </w:rPr>
        <w:t xml:space="preserve"> for the </w:t>
      </w:r>
      <w:r w:rsidR="00145060">
        <w:rPr>
          <w:noProof/>
        </w:rPr>
        <w:t>production</w:t>
      </w:r>
      <w:r w:rsidR="00145060" w:rsidRPr="0BB5BD64">
        <w:rPr>
          <w:noProof/>
        </w:rPr>
        <w:t xml:space="preserve"> </w:t>
      </w:r>
      <w:r w:rsidR="5602EE4C" w:rsidRPr="0BB5BD64">
        <w:rPr>
          <w:noProof/>
        </w:rPr>
        <w:t xml:space="preserve">of </w:t>
      </w:r>
      <w:r w:rsidR="77091A2A" w:rsidRPr="0BB5BD64">
        <w:rPr>
          <w:noProof/>
        </w:rPr>
        <w:t xml:space="preserve">renewable </w:t>
      </w:r>
      <w:r w:rsidR="5602EE4C" w:rsidRPr="0BB5BD64">
        <w:rPr>
          <w:noProof/>
        </w:rPr>
        <w:t xml:space="preserve">hydrogen and </w:t>
      </w:r>
      <w:r w:rsidR="03366A89" w:rsidRPr="0BB5BD64">
        <w:rPr>
          <w:noProof/>
        </w:rPr>
        <w:t>biomethane</w:t>
      </w:r>
      <w:r w:rsidR="07AE51FB" w:rsidRPr="0BB5BD64">
        <w:rPr>
          <w:noProof/>
        </w:rPr>
        <w:t>.</w:t>
      </w:r>
      <w:r w:rsidR="4D2098CF" w:rsidRPr="0BB5BD64">
        <w:rPr>
          <w:noProof/>
        </w:rPr>
        <w:t xml:space="preserve"> </w:t>
      </w:r>
      <w:r w:rsidR="5602EE4C">
        <w:rPr>
          <w:noProof/>
        </w:rPr>
        <w:t>S</w:t>
      </w:r>
      <w:r w:rsidR="12F792D2">
        <w:rPr>
          <w:noProof/>
        </w:rPr>
        <w:t>tep</w:t>
      </w:r>
      <w:r w:rsidR="00300540">
        <w:rPr>
          <w:noProof/>
        </w:rPr>
        <w:t xml:space="preserve"> </w:t>
      </w:r>
      <w:r w:rsidR="12F792D2">
        <w:rPr>
          <w:noProof/>
        </w:rPr>
        <w:t xml:space="preserve">up </w:t>
      </w:r>
      <w:r w:rsidR="3D3FC3B4">
        <w:rPr>
          <w:noProof/>
        </w:rPr>
        <w:t xml:space="preserve">the </w:t>
      </w:r>
      <w:r w:rsidR="5602EE4C">
        <w:rPr>
          <w:noProof/>
        </w:rPr>
        <w:t>delivery o</w:t>
      </w:r>
      <w:r w:rsidR="00300540">
        <w:rPr>
          <w:noProof/>
        </w:rPr>
        <w:t>f</w:t>
      </w:r>
      <w:r w:rsidR="5602EE4C">
        <w:rPr>
          <w:noProof/>
        </w:rPr>
        <w:t xml:space="preserve"> </w:t>
      </w:r>
      <w:r w:rsidR="00300540">
        <w:rPr>
          <w:noProof/>
        </w:rPr>
        <w:t xml:space="preserve">measures that improve </w:t>
      </w:r>
      <w:r w:rsidR="5602EE4C">
        <w:rPr>
          <w:noProof/>
        </w:rPr>
        <w:t>energy efficiency, including</w:t>
      </w:r>
      <w:r w:rsidR="5DA5C901">
        <w:rPr>
          <w:noProof/>
        </w:rPr>
        <w:t xml:space="preserve"> </w:t>
      </w:r>
      <w:r w:rsidR="03366A89">
        <w:rPr>
          <w:noProof/>
        </w:rPr>
        <w:t>target</w:t>
      </w:r>
      <w:r w:rsidR="200CFBB5">
        <w:rPr>
          <w:noProof/>
        </w:rPr>
        <w:t>ed measures for</w:t>
      </w:r>
      <w:r w:rsidR="03366A89">
        <w:rPr>
          <w:noProof/>
        </w:rPr>
        <w:t xml:space="preserve"> energy</w:t>
      </w:r>
      <w:r w:rsidR="00300540">
        <w:rPr>
          <w:noProof/>
        </w:rPr>
        <w:t>-</w:t>
      </w:r>
      <w:r w:rsidR="03366A89">
        <w:rPr>
          <w:noProof/>
        </w:rPr>
        <w:t xml:space="preserve">poor households and </w:t>
      </w:r>
      <w:r w:rsidR="00300540">
        <w:rPr>
          <w:noProof/>
        </w:rPr>
        <w:t xml:space="preserve">the </w:t>
      </w:r>
      <w:r w:rsidR="1460F727">
        <w:rPr>
          <w:noProof/>
        </w:rPr>
        <w:t>install</w:t>
      </w:r>
      <w:r w:rsidR="00300540">
        <w:rPr>
          <w:noProof/>
        </w:rPr>
        <w:t>ation of</w:t>
      </w:r>
      <w:r w:rsidR="5602EE4C">
        <w:rPr>
          <w:noProof/>
        </w:rPr>
        <w:t xml:space="preserve"> smart meters, and </w:t>
      </w:r>
      <w:r w:rsidR="12F792D2">
        <w:rPr>
          <w:noProof/>
        </w:rPr>
        <w:t xml:space="preserve">policy efforts aimed at the provision and acquisition of </w:t>
      </w:r>
      <w:r w:rsidR="00A74F8D">
        <w:rPr>
          <w:noProof/>
        </w:rPr>
        <w:t xml:space="preserve">the </w:t>
      </w:r>
      <w:r w:rsidR="12F792D2">
        <w:rPr>
          <w:noProof/>
        </w:rPr>
        <w:t>skills needed for the green transition</w:t>
      </w:r>
      <w:r w:rsidR="000215DE">
        <w:rPr>
          <w:noProof/>
        </w:rPr>
        <w:t>.</w:t>
      </w:r>
      <w:r w:rsidR="00AE7078">
        <w:rPr>
          <w:noProof/>
        </w:rPr>
        <w:t xml:space="preserve"> </w:t>
      </w:r>
      <w:r w:rsidR="00E30D44">
        <w:rPr>
          <w:noProof/>
        </w:rPr>
        <w:t>S</w:t>
      </w:r>
      <w:r w:rsidR="00E30D44" w:rsidRPr="00E30D44">
        <w:rPr>
          <w:noProof/>
        </w:rPr>
        <w:t xml:space="preserve">upport the decarbonisation of the transport sector, </w:t>
      </w:r>
      <w:r w:rsidR="00300540">
        <w:rPr>
          <w:noProof/>
        </w:rPr>
        <w:t xml:space="preserve">in </w:t>
      </w:r>
      <w:r w:rsidR="00E30D44" w:rsidRPr="00E30D44">
        <w:rPr>
          <w:noProof/>
        </w:rPr>
        <w:t xml:space="preserve">particular by promoting electric </w:t>
      </w:r>
      <w:r w:rsidR="00300540">
        <w:rPr>
          <w:noProof/>
        </w:rPr>
        <w:t>vehicles</w:t>
      </w:r>
      <w:r w:rsidR="00E30D44" w:rsidRPr="00E30D44">
        <w:rPr>
          <w:noProof/>
        </w:rPr>
        <w:t>.</w:t>
      </w:r>
      <w:r w:rsidR="00E30D44" w:rsidRPr="00E30D44" w:rsidDel="000215DE">
        <w:rPr>
          <w:noProof/>
        </w:rPr>
        <w:t xml:space="preserve"> </w:t>
      </w:r>
    </w:p>
    <w:p w14:paraId="65727000" w14:textId="77777777" w:rsidR="00D91D05" w:rsidRDefault="00D91D05" w:rsidP="00D91D05">
      <w:pPr>
        <w:pStyle w:val="Text1"/>
        <w:ind w:left="0"/>
        <w:rPr>
          <w:noProof/>
        </w:rPr>
      </w:pPr>
    </w:p>
    <w:p w14:paraId="723F8E42" w14:textId="69256AA9" w:rsidR="00CA0B25" w:rsidRDefault="00245971" w:rsidP="006F5B7D">
      <w:pPr>
        <w:pStyle w:val="Fait"/>
        <w:rPr>
          <w:noProof/>
        </w:rPr>
      </w:pPr>
      <w:r w:rsidRPr="00245971">
        <w:t>Done at Brussels,</w:t>
      </w:r>
    </w:p>
    <w:p w14:paraId="0B416727" w14:textId="77777777" w:rsidR="00CA0B25" w:rsidRDefault="00CA0B25" w:rsidP="006F5B7D">
      <w:pPr>
        <w:pStyle w:val="Institutionquisigne"/>
        <w:rPr>
          <w:noProof/>
        </w:rPr>
      </w:pPr>
      <w:r w:rsidRPr="00CA0B25">
        <w:rPr>
          <w:noProof/>
        </w:rPr>
        <w:tab/>
        <w:t>For the Council</w:t>
      </w:r>
    </w:p>
    <w:p w14:paraId="671EE94E" w14:textId="77777777" w:rsidR="00CA0B25" w:rsidRPr="00CA0B25" w:rsidRDefault="00CA0B25" w:rsidP="00CA0B25">
      <w:pPr>
        <w:pStyle w:val="Personnequisigne"/>
        <w:rPr>
          <w:noProof/>
        </w:rPr>
      </w:pPr>
      <w:r w:rsidRPr="00CA0B25">
        <w:rPr>
          <w:noProof/>
        </w:rPr>
        <w:tab/>
        <w:t>The President</w:t>
      </w:r>
    </w:p>
    <w:sectPr w:rsidR="00CA0B25" w:rsidRPr="00CA0B25" w:rsidSect="00DB31DA">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3EF1" w14:textId="77777777" w:rsidR="00B2540A" w:rsidRDefault="00B2540A" w:rsidP="00CA0B25">
      <w:pPr>
        <w:spacing w:before="0" w:after="0"/>
      </w:pPr>
      <w:r>
        <w:separator/>
      </w:r>
    </w:p>
  </w:endnote>
  <w:endnote w:type="continuationSeparator" w:id="0">
    <w:p w14:paraId="0F3D0EA7" w14:textId="77777777" w:rsidR="00B2540A" w:rsidRDefault="00B2540A" w:rsidP="00CA0B25">
      <w:pPr>
        <w:spacing w:before="0" w:after="0"/>
      </w:pPr>
      <w:r>
        <w:continuationSeparator/>
      </w:r>
    </w:p>
  </w:endnote>
  <w:endnote w:type="continuationNotice" w:id="1">
    <w:p w14:paraId="10608DD2" w14:textId="77777777" w:rsidR="00B2540A" w:rsidRDefault="00B254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C822" w14:textId="3D40CC9C" w:rsidR="00C87318" w:rsidRPr="00DB31DA" w:rsidRDefault="00DB31DA" w:rsidP="00DB31DA">
    <w:pPr>
      <w:pStyle w:val="Footer"/>
      <w:rPr>
        <w:rFonts w:ascii="Arial" w:hAnsi="Arial" w:cs="Arial"/>
        <w:b/>
        <w:sz w:val="48"/>
      </w:rPr>
    </w:pPr>
    <w:r w:rsidRPr="00DB31DA">
      <w:rPr>
        <w:rFonts w:ascii="Arial" w:hAnsi="Arial" w:cs="Arial"/>
        <w:b/>
        <w:sz w:val="48"/>
      </w:rPr>
      <w:t>EN</w:t>
    </w:r>
    <w:r w:rsidRPr="00DB31DA">
      <w:rPr>
        <w:rFonts w:ascii="Arial" w:hAnsi="Arial" w:cs="Arial"/>
        <w:b/>
        <w:sz w:val="48"/>
      </w:rPr>
      <w:tab/>
    </w:r>
    <w:r w:rsidRPr="00DB31DA">
      <w:rPr>
        <w:rFonts w:ascii="Arial" w:hAnsi="Arial" w:cs="Arial"/>
        <w:b/>
        <w:sz w:val="48"/>
      </w:rPr>
      <w:tab/>
    </w:r>
    <w:r w:rsidRPr="00DB31DA">
      <w:tab/>
    </w:r>
    <w:r w:rsidRPr="00DB31D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798B" w14:textId="1FE3F5AD" w:rsidR="00DB31DA" w:rsidRPr="00DB31DA" w:rsidRDefault="00DB31DA" w:rsidP="00DB31DA">
    <w:pPr>
      <w:pStyle w:val="Footer"/>
      <w:rPr>
        <w:rFonts w:ascii="Arial" w:hAnsi="Arial" w:cs="Arial"/>
        <w:b/>
        <w:sz w:val="48"/>
      </w:rPr>
    </w:pPr>
    <w:r w:rsidRPr="00DB31DA">
      <w:rPr>
        <w:rFonts w:ascii="Arial" w:hAnsi="Arial" w:cs="Arial"/>
        <w:b/>
        <w:sz w:val="48"/>
      </w:rPr>
      <w:t>EN</w:t>
    </w:r>
    <w:r w:rsidRPr="00DB31DA">
      <w:rPr>
        <w:rFonts w:ascii="Arial" w:hAnsi="Arial" w:cs="Arial"/>
        <w:b/>
        <w:sz w:val="48"/>
      </w:rPr>
      <w:tab/>
    </w:r>
    <w:r>
      <w:fldChar w:fldCharType="begin"/>
    </w:r>
    <w:r>
      <w:instrText xml:space="preserve"> PAGE  \* MERGEFORMAT </w:instrText>
    </w:r>
    <w:r>
      <w:fldChar w:fldCharType="separate"/>
    </w:r>
    <w:r w:rsidR="006F5B7D">
      <w:rPr>
        <w:noProof/>
      </w:rPr>
      <w:t>13</w:t>
    </w:r>
    <w:r>
      <w:fldChar w:fldCharType="end"/>
    </w:r>
    <w:r>
      <w:tab/>
    </w:r>
    <w:r w:rsidRPr="00DB31DA">
      <w:tab/>
    </w:r>
    <w:r w:rsidRPr="00DB31D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0260" w14:textId="77777777" w:rsidR="00DB31DA" w:rsidRPr="00DB31DA" w:rsidRDefault="00DB31DA" w:rsidP="00DB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D15A" w14:textId="77777777" w:rsidR="00B2540A" w:rsidRDefault="00B2540A" w:rsidP="00CA0B25">
      <w:pPr>
        <w:spacing w:before="0" w:after="0"/>
      </w:pPr>
      <w:r>
        <w:separator/>
      </w:r>
    </w:p>
  </w:footnote>
  <w:footnote w:type="continuationSeparator" w:id="0">
    <w:p w14:paraId="0EC8522F" w14:textId="77777777" w:rsidR="00B2540A" w:rsidRDefault="00B2540A" w:rsidP="00CA0B25">
      <w:pPr>
        <w:spacing w:before="0" w:after="0"/>
      </w:pPr>
      <w:r>
        <w:continuationSeparator/>
      </w:r>
    </w:p>
  </w:footnote>
  <w:footnote w:type="continuationNotice" w:id="1">
    <w:p w14:paraId="0C79E4BA" w14:textId="77777777" w:rsidR="00B2540A" w:rsidRDefault="00B2540A">
      <w:pPr>
        <w:spacing w:before="0" w:after="0"/>
      </w:pPr>
    </w:p>
  </w:footnote>
  <w:footnote w:id="2">
    <w:p w14:paraId="4A64C9C7" w14:textId="77777777" w:rsidR="00B2540A" w:rsidRPr="00494A36" w:rsidRDefault="00B2540A" w:rsidP="007A068C">
      <w:pPr>
        <w:pStyle w:val="FootnoteText"/>
        <w:rPr>
          <w:lang w:val="en-IE"/>
        </w:rPr>
      </w:pPr>
      <w:r w:rsidRPr="0083042A">
        <w:rPr>
          <w:rStyle w:val="FootnoteReference"/>
        </w:rPr>
        <w:footnoteRef/>
      </w:r>
      <w:r w:rsidRPr="00494A36">
        <w:rPr>
          <w:lang w:val="en-IE"/>
        </w:rPr>
        <w:tab/>
        <w:t>OJ L 209, 2.8.1997, p. 1.</w:t>
      </w:r>
    </w:p>
  </w:footnote>
  <w:footnote w:id="3">
    <w:p w14:paraId="179DA239" w14:textId="77777777" w:rsidR="00B2540A" w:rsidRPr="00494A36" w:rsidRDefault="00B2540A" w:rsidP="007A068C">
      <w:pPr>
        <w:pStyle w:val="FootnoteText"/>
        <w:rPr>
          <w:lang w:val="en-IE"/>
        </w:rPr>
      </w:pPr>
      <w:r w:rsidRPr="0083042A">
        <w:rPr>
          <w:rStyle w:val="FootnoteReference"/>
        </w:rPr>
        <w:footnoteRef/>
      </w:r>
      <w:r w:rsidRPr="00494A36">
        <w:rPr>
          <w:lang w:val="en-IE"/>
        </w:rPr>
        <w:tab/>
        <w:t>OJ L 306, 23.11.2011, p. 25.</w:t>
      </w:r>
    </w:p>
  </w:footnote>
  <w:footnote w:id="4">
    <w:p w14:paraId="156530C3" w14:textId="77777777" w:rsidR="00B2540A" w:rsidRDefault="00B2540A" w:rsidP="007A068C">
      <w:pPr>
        <w:pStyle w:val="FootnoteText"/>
      </w:pPr>
      <w:r w:rsidRPr="00495DEB">
        <w:rPr>
          <w:rStyle w:val="FootnoteReference"/>
        </w:rPr>
        <w:footnoteRef/>
      </w:r>
      <w:r>
        <w:tab/>
      </w:r>
      <w:r w:rsidRPr="00416640">
        <w:t xml:space="preserve">Regulation (EU) 2021/241 of the European Parliament and of the Council of 12 February 2021 </w:t>
      </w:r>
      <w:r>
        <w:t>e</w:t>
      </w:r>
      <w:r w:rsidRPr="00416640">
        <w:t>stablishing the Recovery and Resilience Facility (OJ L 57, 18.2.2021, p. 17).</w:t>
      </w:r>
    </w:p>
  </w:footnote>
  <w:footnote w:id="5">
    <w:p w14:paraId="660C6A53" w14:textId="37F0D341" w:rsidR="00B2540A" w:rsidRPr="00814C83" w:rsidRDefault="00B2540A" w:rsidP="007A068C">
      <w:pPr>
        <w:pStyle w:val="FootnoteText"/>
        <w:rPr>
          <w:lang w:val="pt-PT"/>
        </w:rPr>
      </w:pPr>
      <w:r w:rsidRPr="007A068C">
        <w:rPr>
          <w:rStyle w:val="FootnoteReference"/>
        </w:rPr>
        <w:footnoteRef/>
      </w:r>
      <w:r w:rsidR="007A068C">
        <w:rPr>
          <w:lang w:val="pt-PT"/>
        </w:rPr>
        <w:tab/>
      </w:r>
      <w:r w:rsidRPr="00814C83">
        <w:rPr>
          <w:lang w:val="pt-PT"/>
        </w:rPr>
        <w:t>COM(2022) 780 final.</w:t>
      </w:r>
    </w:p>
  </w:footnote>
  <w:footnote w:id="6">
    <w:p w14:paraId="0557E8EB" w14:textId="7490F943" w:rsidR="00B2540A" w:rsidRPr="00814C83" w:rsidRDefault="00B2540A" w:rsidP="007A068C">
      <w:pPr>
        <w:pStyle w:val="FootnoteText"/>
        <w:rPr>
          <w:lang w:val="pt-PT"/>
        </w:rPr>
      </w:pPr>
      <w:r w:rsidRPr="007A068C">
        <w:rPr>
          <w:rStyle w:val="FootnoteReference"/>
        </w:rPr>
        <w:footnoteRef/>
      </w:r>
      <w:r w:rsidR="007A068C">
        <w:rPr>
          <w:lang w:val="pt-PT"/>
        </w:rPr>
        <w:tab/>
      </w:r>
      <w:r w:rsidRPr="00814C83">
        <w:rPr>
          <w:lang w:val="pt-PT"/>
        </w:rPr>
        <w:t xml:space="preserve">COM(2023) 62 final. </w:t>
      </w:r>
    </w:p>
  </w:footnote>
  <w:footnote w:id="7">
    <w:p w14:paraId="188F2F07" w14:textId="35BF84FB" w:rsidR="00B2540A" w:rsidRPr="00814C83" w:rsidRDefault="00B2540A" w:rsidP="007A068C">
      <w:pPr>
        <w:pStyle w:val="FootnoteText"/>
        <w:rPr>
          <w:lang w:val="pt-PT"/>
        </w:rPr>
      </w:pPr>
      <w:r w:rsidRPr="007A068C">
        <w:rPr>
          <w:rStyle w:val="FootnoteReference"/>
        </w:rPr>
        <w:footnoteRef/>
      </w:r>
      <w:r w:rsidR="007A068C">
        <w:rPr>
          <w:lang w:val="pt-PT"/>
        </w:rPr>
        <w:tab/>
      </w:r>
      <w:r w:rsidRPr="00814C83">
        <w:rPr>
          <w:lang w:val="pt-PT"/>
        </w:rPr>
        <w:t xml:space="preserve">COM(2023) 168 final. </w:t>
      </w:r>
    </w:p>
  </w:footnote>
  <w:footnote w:id="8">
    <w:p w14:paraId="480BE719" w14:textId="38F0AECF" w:rsidR="00B2540A" w:rsidRDefault="00B2540A" w:rsidP="007A068C">
      <w:pPr>
        <w:pStyle w:val="FootnoteText"/>
      </w:pPr>
      <w:r w:rsidRPr="007A068C">
        <w:rPr>
          <w:rStyle w:val="FootnoteReference"/>
        </w:rPr>
        <w:footnoteRef/>
      </w:r>
      <w:r w:rsidR="007A068C">
        <w:tab/>
      </w:r>
      <w:r>
        <w:t xml:space="preserve">Regulation (EU) 2023/435 </w:t>
      </w:r>
      <w:r w:rsidRPr="074543A8">
        <w:rPr>
          <w:lang w:val="en-IE"/>
        </w:rPr>
        <w:t xml:space="preserve">of the European Parliament and of the Council </w:t>
      </w:r>
      <w:r>
        <w:t xml:space="preserve">of 27 February 2023 amending Regulation (EU) 2021/241 as regards REPowerEU chapters in recovery and resilience plans and amending Regulations (EU) No 1303/2013, (EU) 2021/1060 and (EU) 2021/1755, and Directive 2003/87/EC </w:t>
      </w:r>
      <w:r>
        <w:rPr>
          <w:lang w:val="en-IE"/>
        </w:rPr>
        <w:t>(OJ L 63, 28.2.2023, p. 1).</w:t>
      </w:r>
    </w:p>
  </w:footnote>
  <w:footnote w:id="9">
    <w:p w14:paraId="0BAD95D5" w14:textId="77777777" w:rsidR="00B2540A" w:rsidRPr="00B31A10" w:rsidRDefault="00B2540A" w:rsidP="007A068C">
      <w:pPr>
        <w:pStyle w:val="FootnoteText"/>
      </w:pPr>
      <w:r w:rsidRPr="00F9537C">
        <w:rPr>
          <w:rStyle w:val="FootnoteReference"/>
        </w:rPr>
        <w:footnoteRef/>
      </w:r>
      <w:r>
        <w:tab/>
      </w:r>
      <w:r w:rsidRPr="00B31A10">
        <w:t>COM(2023) 141 final.</w:t>
      </w:r>
    </w:p>
  </w:footnote>
  <w:footnote w:id="10">
    <w:p w14:paraId="1D59C780" w14:textId="061B1FF1" w:rsidR="00B2540A" w:rsidRPr="00C851E9" w:rsidRDefault="00B2540A" w:rsidP="007A068C">
      <w:pPr>
        <w:pStyle w:val="FootnoteText"/>
        <w:rPr>
          <w:lang w:val="en-IE"/>
        </w:rPr>
      </w:pPr>
      <w:r w:rsidRPr="007A068C">
        <w:rPr>
          <w:rStyle w:val="FootnoteReference"/>
        </w:rPr>
        <w:footnoteRef/>
      </w:r>
      <w:r w:rsidR="007A068C">
        <w:tab/>
      </w:r>
      <w:r w:rsidRPr="00B31A10">
        <w:rPr>
          <w:lang w:val="en-IE"/>
        </w:rPr>
        <w:t>COM(2022) 583 final.</w:t>
      </w:r>
    </w:p>
  </w:footnote>
  <w:footnote w:id="11">
    <w:p w14:paraId="1847390B" w14:textId="77777777" w:rsidR="00B2540A" w:rsidRDefault="00B2540A" w:rsidP="007A068C">
      <w:pPr>
        <w:pStyle w:val="FootnoteText"/>
      </w:pPr>
      <w:r w:rsidRPr="00495DEB">
        <w:rPr>
          <w:rStyle w:val="FootnoteReference"/>
        </w:rPr>
        <w:footnoteRef/>
      </w:r>
      <w:r>
        <w:tab/>
      </w:r>
      <w:r w:rsidRPr="00AD1511">
        <w:t xml:space="preserve">Council Implementing Decision of </w:t>
      </w:r>
      <w:r>
        <w:t>13</w:t>
      </w:r>
      <w:r w:rsidRPr="00AD1511">
        <w:t xml:space="preserve"> July 2021 on the approval of the assessment of the recovery and resilience plan for </w:t>
      </w:r>
      <w:r>
        <w:rPr>
          <w:lang w:val="en-IE"/>
        </w:rPr>
        <w:t>Greece</w:t>
      </w:r>
      <w:r w:rsidRPr="005A7C0C" w:rsidDel="005A7C0C">
        <w:t xml:space="preserve"> </w:t>
      </w:r>
      <w:r>
        <w:t>(ST 10152/</w:t>
      </w:r>
      <w:r w:rsidRPr="00AD1511">
        <w:t>2</w:t>
      </w:r>
      <w:r>
        <w:t>1; ST 10152/</w:t>
      </w:r>
      <w:r w:rsidRPr="00AD1511">
        <w:t>2</w:t>
      </w:r>
      <w:r>
        <w:t>1 ADD 1).</w:t>
      </w:r>
    </w:p>
  </w:footnote>
  <w:footnote w:id="12">
    <w:p w14:paraId="7F640FAB" w14:textId="0EDC3D78" w:rsidR="00B2540A" w:rsidRPr="008F6686" w:rsidRDefault="00B2540A" w:rsidP="007A068C">
      <w:pPr>
        <w:pStyle w:val="FootnoteText"/>
      </w:pPr>
      <w:r w:rsidRPr="00495DEB">
        <w:rPr>
          <w:rStyle w:val="FootnoteReference"/>
        </w:rPr>
        <w:footnoteRef/>
      </w:r>
      <w:r w:rsidRPr="008F6686">
        <w:tab/>
        <w:t>SWD(202</w:t>
      </w:r>
      <w:r>
        <w:t>3</w:t>
      </w:r>
      <w:r w:rsidRPr="008F6686">
        <w:t xml:space="preserve">) </w:t>
      </w:r>
      <w:r w:rsidR="007A068C">
        <w:t>608</w:t>
      </w:r>
      <w:r w:rsidRPr="008F6686">
        <w:t xml:space="preserve"> final.</w:t>
      </w:r>
    </w:p>
  </w:footnote>
  <w:footnote w:id="13">
    <w:p w14:paraId="3CBA078F" w14:textId="77777777" w:rsidR="00B2540A" w:rsidRPr="008F6686" w:rsidRDefault="00B2540A" w:rsidP="007A068C">
      <w:pPr>
        <w:pStyle w:val="FootnoteText"/>
        <w:tabs>
          <w:tab w:val="left" w:pos="709"/>
        </w:tabs>
      </w:pPr>
      <w:r w:rsidRPr="00CC1948">
        <w:rPr>
          <w:rStyle w:val="FootnoteReference"/>
        </w:rPr>
        <w:footnoteRef/>
      </w:r>
      <w:r w:rsidRPr="008F6686">
        <w:tab/>
        <w:t>SWD(202</w:t>
      </w:r>
      <w:r>
        <w:t>3</w:t>
      </w:r>
      <w:r w:rsidRPr="008F6686">
        <w:t xml:space="preserve">) </w:t>
      </w:r>
      <w:r w:rsidR="00A63FDB">
        <w:t>631</w:t>
      </w:r>
      <w:r w:rsidRPr="008F6686">
        <w:t xml:space="preserve"> final.</w:t>
      </w:r>
    </w:p>
  </w:footnote>
  <w:footnote w:id="14">
    <w:p w14:paraId="47C0DD47" w14:textId="6009CAED" w:rsidR="00CD5695" w:rsidRPr="00FB6DB8" w:rsidRDefault="00CD5695" w:rsidP="007A068C">
      <w:pPr>
        <w:pStyle w:val="FootnoteText"/>
        <w:rPr>
          <w:lang w:val="en-IE"/>
        </w:rPr>
      </w:pPr>
      <w:r w:rsidRPr="007A068C">
        <w:rPr>
          <w:rStyle w:val="FootnoteReference"/>
        </w:rPr>
        <w:footnoteRef/>
      </w:r>
      <w:r w:rsidR="007A068C">
        <w:rPr>
          <w:lang w:val="en-IE"/>
        </w:rPr>
        <w:tab/>
      </w:r>
      <w:r w:rsidRPr="00FB6DB8">
        <w:rPr>
          <w:lang w:val="en-IE"/>
        </w:rPr>
        <w:t>Eurostat-Euro Indicators, 47/2023, 21.4.2023</w:t>
      </w:r>
    </w:p>
  </w:footnote>
  <w:footnote w:id="15">
    <w:p w14:paraId="4CF5CEF3" w14:textId="6C67C167" w:rsidR="00CD5695" w:rsidRPr="00F4472A" w:rsidRDefault="00CD5695" w:rsidP="007A068C">
      <w:pPr>
        <w:pStyle w:val="FootnoteText"/>
      </w:pPr>
      <w:r w:rsidRPr="007A068C">
        <w:rPr>
          <w:rStyle w:val="FootnoteReference"/>
        </w:rPr>
        <w:footnoteRef/>
      </w:r>
      <w:r w:rsidR="007A068C">
        <w:tab/>
      </w:r>
      <w:r w:rsidRPr="008775C8">
        <w:t>Council Recommendation of 18 June 2021 delivering a Council opinion on the 2021 Stability Programme of Greece, OJ C 304, 29.7.2021, p. 33.</w:t>
      </w:r>
      <w:r>
        <w:t xml:space="preserve"> </w:t>
      </w:r>
    </w:p>
  </w:footnote>
  <w:footnote w:id="16">
    <w:p w14:paraId="0D11182C" w14:textId="760CA127" w:rsidR="00CD5695" w:rsidRPr="00CD5695" w:rsidRDefault="00CD5695" w:rsidP="007A068C">
      <w:pPr>
        <w:pStyle w:val="FootnoteText"/>
        <w:rPr>
          <w:lang w:val="en-IE"/>
        </w:rPr>
      </w:pPr>
      <w:r w:rsidRPr="007A068C">
        <w:rPr>
          <w:rStyle w:val="FootnoteReference"/>
        </w:rPr>
        <w:footnoteRef/>
      </w:r>
      <w:r w:rsidR="007A068C">
        <w:tab/>
      </w:r>
      <w:r w:rsidRPr="00E807DE">
        <w:rPr>
          <w:lang w:val="en-IE"/>
        </w:rPr>
        <w:t>The fiscal stance is measured as the change in primary expenditure (net of discretionary revenue measures), excluding Covid-19 crisis-related temporary emergency measures but including expenditure financed by non-repayable support (grants) from the Recovery and Resilience Facility and other EU funds, relative to medium-term potential growth. For more details see Box 1 in the Fiscal Statistical Tables.</w:t>
      </w:r>
      <w:r w:rsidRPr="00E807DE">
        <w:t xml:space="preserve">  </w:t>
      </w:r>
    </w:p>
  </w:footnote>
  <w:footnote w:id="17">
    <w:p w14:paraId="63D905EE" w14:textId="1437E955" w:rsidR="00CD5695" w:rsidRPr="00166F81" w:rsidRDefault="00CD5695" w:rsidP="007A068C">
      <w:pPr>
        <w:pStyle w:val="FootnoteText"/>
      </w:pPr>
      <w:r w:rsidRPr="007A068C">
        <w:rPr>
          <w:rStyle w:val="FootnoteReference"/>
        </w:rPr>
        <w:footnoteRef/>
      </w:r>
      <w:r w:rsidR="007A068C">
        <w:tab/>
      </w:r>
      <w:r w:rsidRPr="008775C8">
        <w:t>Other nationally financed capital expenditure provide</w:t>
      </w:r>
      <w:r>
        <w:t>d</w:t>
      </w:r>
      <w:r w:rsidRPr="008775C8">
        <w:t xml:space="preserve"> a </w:t>
      </w:r>
      <w:r>
        <w:t>neutral</w:t>
      </w:r>
      <w:r w:rsidRPr="008775C8">
        <w:t xml:space="preserve"> contribution of 0.</w:t>
      </w:r>
      <w:r>
        <w:t>0</w:t>
      </w:r>
      <w:r w:rsidRPr="008775C8">
        <w:t xml:space="preserve"> percentage points of GDP</w:t>
      </w:r>
    </w:p>
  </w:footnote>
  <w:footnote w:id="18">
    <w:p w14:paraId="17C57346" w14:textId="5C9C3957" w:rsidR="00CD5695" w:rsidRPr="00166F81" w:rsidRDefault="00CD5695" w:rsidP="007A068C">
      <w:pPr>
        <w:pStyle w:val="FootnoteText"/>
      </w:pPr>
      <w:r w:rsidRPr="007A068C">
        <w:rPr>
          <w:rStyle w:val="FootnoteReference"/>
        </w:rPr>
        <w:footnoteRef/>
      </w:r>
      <w:r w:rsidR="007A068C">
        <w:tab/>
      </w:r>
      <w:r w:rsidRPr="00166F81">
        <w:t>The figure represent</w:t>
      </w:r>
      <w:r>
        <w:t>s</w:t>
      </w:r>
      <w:r w:rsidRPr="00166F81">
        <w:t xml:space="preserve"> the level of annual budgetary cost of those measures, including current revenue and expenditure as well as – where relevant – capital expenditure measures.</w:t>
      </w:r>
    </w:p>
  </w:footnote>
  <w:footnote w:id="19">
    <w:p w14:paraId="0CE408EB" w14:textId="6B8A61D6" w:rsidR="00CD5695" w:rsidRPr="00325B16" w:rsidRDefault="00CD5695" w:rsidP="007A068C">
      <w:pPr>
        <w:pStyle w:val="FootnoteText"/>
        <w:rPr>
          <w:i/>
          <w:iCs/>
        </w:rPr>
      </w:pPr>
      <w:r w:rsidRPr="007A068C">
        <w:rPr>
          <w:rStyle w:val="FootnoteReference"/>
        </w:rPr>
        <w:footnoteRef/>
      </w:r>
      <w:r w:rsidR="007A068C">
        <w:tab/>
      </w:r>
      <w:r w:rsidRPr="00166F81">
        <w:t xml:space="preserve">Council Recommendation of 12 July 2022 on the National Reform Programme of </w:t>
      </w:r>
      <w:r>
        <w:t>Greece</w:t>
      </w:r>
      <w:r w:rsidRPr="00166F81">
        <w:t xml:space="preserve"> and delivering a Council opinion on the </w:t>
      </w:r>
      <w:r w:rsidRPr="005D2EA9">
        <w:t>2022 Stability Programme</w:t>
      </w:r>
      <w:r w:rsidRPr="00166F81">
        <w:t xml:space="preserve"> of </w:t>
      </w:r>
      <w:r>
        <w:t>Greece</w:t>
      </w:r>
      <w:r w:rsidRPr="00325B16">
        <w:rPr>
          <w:i/>
          <w:iCs/>
        </w:rPr>
        <w:t xml:space="preserve">, </w:t>
      </w:r>
      <w:r w:rsidRPr="006F0292">
        <w:t>OJ C 334, 1.9.2022, p. 60.</w:t>
      </w:r>
      <w:r w:rsidRPr="00325B16">
        <w:rPr>
          <w:i/>
          <w:iCs/>
        </w:rPr>
        <w:t xml:space="preserve"> </w:t>
      </w:r>
    </w:p>
  </w:footnote>
  <w:footnote w:id="20">
    <w:p w14:paraId="2336D399" w14:textId="3BA66C7D" w:rsidR="00CD5695" w:rsidRPr="00166F81" w:rsidRDefault="00CD5695" w:rsidP="007A068C">
      <w:pPr>
        <w:pStyle w:val="FootnoteText"/>
      </w:pPr>
      <w:r w:rsidRPr="007A068C">
        <w:rPr>
          <w:rStyle w:val="FootnoteReference"/>
        </w:rPr>
        <w:footnoteRef/>
      </w:r>
      <w:r w:rsidR="007A068C">
        <w:tab/>
      </w:r>
      <w:r w:rsidRPr="00166F81">
        <w:t xml:space="preserve">Based on the Commission 2023 spring forecast, the medium-term (10-year average) potential output growth of </w:t>
      </w:r>
      <w:r>
        <w:t>Greece</w:t>
      </w:r>
      <w:r w:rsidRPr="00166F81">
        <w:t xml:space="preserve"> is estimated at </w:t>
      </w:r>
      <w:r>
        <w:t>4.8</w:t>
      </w:r>
      <w:r w:rsidRPr="00166F81">
        <w:t>%</w:t>
      </w:r>
      <w:r>
        <w:t xml:space="preserve"> </w:t>
      </w:r>
      <w:r w:rsidRPr="00C1367D">
        <w:t>in nominal terms</w:t>
      </w:r>
      <w:r w:rsidRPr="00166F81">
        <w:t xml:space="preserve">. </w:t>
      </w:r>
    </w:p>
  </w:footnote>
  <w:footnote w:id="21">
    <w:p w14:paraId="09605F37" w14:textId="6042A3DE" w:rsidR="00CD5695" w:rsidRPr="00166F81" w:rsidRDefault="00CD5695" w:rsidP="007A068C">
      <w:pPr>
        <w:pStyle w:val="FootnoteText"/>
      </w:pPr>
      <w:r w:rsidRPr="007A068C">
        <w:rPr>
          <w:rStyle w:val="FootnoteReference"/>
        </w:rPr>
        <w:footnoteRef/>
      </w:r>
      <w:r w:rsidR="007A068C">
        <w:tab/>
      </w:r>
      <w:r w:rsidRPr="00166F81">
        <w:t xml:space="preserve">Other nationally financed capital expenditure is projected to </w:t>
      </w:r>
      <w:r w:rsidRPr="007616D5">
        <w:t>provide an expansionary contribution of 0.1 percentage point of GDP</w:t>
      </w:r>
    </w:p>
  </w:footnote>
  <w:footnote w:id="22">
    <w:p w14:paraId="51317129" w14:textId="56FF68FD" w:rsidR="00CD5695" w:rsidRPr="003A68F2" w:rsidRDefault="00CD5695" w:rsidP="007A068C">
      <w:pPr>
        <w:pStyle w:val="FootnoteText"/>
      </w:pPr>
      <w:r w:rsidRPr="007A068C">
        <w:rPr>
          <w:rStyle w:val="FootnoteReference"/>
        </w:rPr>
        <w:footnoteRef/>
      </w:r>
      <w:r w:rsidR="007A068C">
        <w:tab/>
      </w:r>
      <w:r>
        <w:t xml:space="preserve">Cf. </w:t>
      </w:r>
      <w:r w:rsidRPr="003A68F2">
        <w:t>Article 5 of Council Regulation (EC) N</w:t>
      </w:r>
      <w:r>
        <w:t>o</w:t>
      </w:r>
      <w:r w:rsidRPr="003A68F2">
        <w:t xml:space="preserve"> 1466/97, which also requires an adjustment of </w:t>
      </w:r>
      <w:r>
        <w:t>more</w:t>
      </w:r>
      <w:r w:rsidRPr="003A68F2">
        <w:t xml:space="preserve"> than 0.5% of GDP for Member States with a </w:t>
      </w:r>
      <w:r>
        <w:t xml:space="preserve">government </w:t>
      </w:r>
      <w:r w:rsidRPr="003A68F2">
        <w:t>debt exceeding 60% of GDP</w:t>
      </w:r>
      <w:r>
        <w:t>,</w:t>
      </w:r>
      <w:r w:rsidRPr="003A68F2">
        <w:t xml:space="preserve"> or with more pronounced debt sustainability risks.</w:t>
      </w:r>
    </w:p>
  </w:footnote>
  <w:footnote w:id="23">
    <w:p w14:paraId="70CF03DD" w14:textId="573B8833" w:rsidR="00CD5695" w:rsidRPr="003A68F2" w:rsidRDefault="00CD5695" w:rsidP="007A068C">
      <w:pPr>
        <w:pStyle w:val="FootnoteText"/>
      </w:pPr>
      <w:r w:rsidRPr="007A068C">
        <w:rPr>
          <w:rStyle w:val="FootnoteReference"/>
        </w:rPr>
        <w:footnoteRef/>
      </w:r>
      <w:r w:rsidR="007A068C">
        <w:tab/>
      </w:r>
      <w:r>
        <w:t>T</w:t>
      </w:r>
      <w:r w:rsidRPr="001C6A33">
        <w:t xml:space="preserve">he Commission estimated that </w:t>
      </w:r>
      <w:r>
        <w:t>Greece</w:t>
      </w:r>
      <w:r w:rsidRPr="001C6A33">
        <w:t xml:space="preserve"> would </w:t>
      </w:r>
      <w:r>
        <w:t xml:space="preserve">not </w:t>
      </w:r>
      <w:r w:rsidRPr="001C6A33">
        <w:t xml:space="preserve">need an increase in the structural primary balance as a share of </w:t>
      </w:r>
      <w:r w:rsidRPr="00AB5D90">
        <w:t xml:space="preserve">GDP </w:t>
      </w:r>
      <w:r w:rsidRPr="001C6A33">
        <w:t>to achieve a plausible debt reduction</w:t>
      </w:r>
      <w:r>
        <w:t xml:space="preserve"> </w:t>
      </w:r>
      <w:r w:rsidRPr="001C6A33">
        <w:t xml:space="preserve">in the medium </w:t>
      </w:r>
      <w:r w:rsidRPr="001A3242">
        <w:t xml:space="preserve">term. </w:t>
      </w:r>
      <w:bookmarkStart w:id="3" w:name="_Hlk134699924"/>
      <w:r w:rsidRPr="001A3242">
        <w:t>This estimate was based on the Commission autumn 2022 forecast</w:t>
      </w:r>
      <w:bookmarkEnd w:id="3"/>
      <w:r w:rsidRPr="001A3242">
        <w:t>. The starting</w:t>
      </w:r>
      <w:r w:rsidRPr="003A68F2">
        <w:t xml:space="preserve"> point for this estimate </w:t>
      </w:r>
      <w:r>
        <w:t>was</w:t>
      </w:r>
      <w:r w:rsidRPr="003A68F2">
        <w:t xml:space="preserve"> the projected government deficit and debt for 2024 which assumed the withdrawal of energy support measures in 2024. </w:t>
      </w:r>
    </w:p>
  </w:footnote>
  <w:footnote w:id="24">
    <w:p w14:paraId="50D42A8C" w14:textId="2F57B7E0" w:rsidR="00CD5695" w:rsidRPr="007616D5" w:rsidRDefault="00CD5695" w:rsidP="007A068C">
      <w:pPr>
        <w:pStyle w:val="FootnoteText"/>
      </w:pPr>
      <w:r w:rsidRPr="007A068C">
        <w:rPr>
          <w:rStyle w:val="FootnoteReference"/>
        </w:rPr>
        <w:footnoteRef/>
      </w:r>
      <w:r w:rsidR="007A068C">
        <w:tab/>
      </w:r>
      <w:r w:rsidRPr="007616D5">
        <w:t>Net primary expenditure is defined as nationally financed expenditure net of discretionary revenues measures and excluding interest expenditure as well as cyclical unemployment expenditure.</w:t>
      </w:r>
    </w:p>
  </w:footnote>
  <w:footnote w:id="25">
    <w:p w14:paraId="76712109" w14:textId="77777777" w:rsidR="00B2540A" w:rsidRDefault="00B2540A" w:rsidP="007A068C">
      <w:pPr>
        <w:pStyle w:val="FootnoteText"/>
      </w:pPr>
      <w:r>
        <w:rPr>
          <w:rStyle w:val="FootnoteReference"/>
        </w:rPr>
        <w:footnoteRef/>
      </w:r>
      <w:r>
        <w:tab/>
        <w:t>Greece submitted its third payment request for grants on 1</w:t>
      </w:r>
      <w:r w:rsidR="00F37B09">
        <w:t>6</w:t>
      </w:r>
      <w:r>
        <w:t xml:space="preserve"> May 2023 and the assessment by the Commission is ongoing.</w:t>
      </w:r>
    </w:p>
  </w:footnote>
  <w:footnote w:id="26">
    <w:p w14:paraId="6D0D50DA" w14:textId="77777777" w:rsidR="00B2540A" w:rsidRDefault="00B2540A" w:rsidP="007A068C">
      <w:pPr>
        <w:pStyle w:val="FootnoteText"/>
      </w:pPr>
      <w:r>
        <w:rPr>
          <w:rStyle w:val="FootnoteReference"/>
        </w:rPr>
        <w:footnoteRef/>
      </w:r>
      <w:r>
        <w:tab/>
        <w:t>For grants the disbursed amounts for non-reimbursable financial support (excl. pre-financing) is EUR 3 436 million and the disbursed amounts for loan support (excl. pre-financing) is EUR 3 690 million.</w:t>
      </w:r>
    </w:p>
  </w:footnote>
  <w:footnote w:id="27">
    <w:p w14:paraId="32E39B54" w14:textId="77777777" w:rsidR="00B2540A" w:rsidRPr="003D2A69" w:rsidRDefault="00B2540A" w:rsidP="007A068C">
      <w:pPr>
        <w:pStyle w:val="FootnoteText"/>
        <w:rPr>
          <w:lang w:val="en-IE"/>
        </w:rPr>
      </w:pPr>
      <w:r>
        <w:rPr>
          <w:rStyle w:val="FootnoteReference"/>
        </w:rPr>
        <w:footnoteRef/>
      </w:r>
      <w:r>
        <w:tab/>
      </w:r>
      <w:hyperlink r:id="rId1" w:history="1">
        <w:r>
          <w:rPr>
            <w:rStyle w:val="Hyperlink"/>
            <w:color w:val="1F497D"/>
          </w:rPr>
          <w:t>Council Regulation (EU) 2022/1369 </w:t>
        </w:r>
      </w:hyperlink>
      <w:r w:rsidRPr="00927272">
        <w:t xml:space="preserve"> </w:t>
      </w:r>
      <w:r>
        <w:t xml:space="preserve">and </w:t>
      </w:r>
      <w:r w:rsidRPr="00927272">
        <w:t>Council Regulation (EU) 2023/706</w:t>
      </w:r>
    </w:p>
  </w:footnote>
  <w:footnote w:id="28">
    <w:p w14:paraId="60CAC127" w14:textId="77777777" w:rsidR="00B2540A" w:rsidRPr="008F6686" w:rsidRDefault="00B2540A" w:rsidP="007A068C">
      <w:pPr>
        <w:pStyle w:val="FootnoteText"/>
      </w:pPr>
      <w:r w:rsidRPr="00F9537C">
        <w:rPr>
          <w:rStyle w:val="FootnoteReference"/>
        </w:rPr>
        <w:footnoteRef/>
      </w:r>
      <w:r>
        <w:tab/>
      </w:r>
      <w:r w:rsidRPr="009D0C7A">
        <w:t>Under Article</w:t>
      </w:r>
      <w:r>
        <w:t>s</w:t>
      </w:r>
      <w:r w:rsidRPr="009D0C7A">
        <w:t xml:space="preserve"> 5(2) </w:t>
      </w:r>
      <w:r>
        <w:t xml:space="preserve">and 9(2) </w:t>
      </w:r>
      <w:r w:rsidRPr="009D0C7A">
        <w:t xml:space="preserve">of Council Regulation (EC) </w:t>
      </w:r>
      <w:r>
        <w:rPr>
          <w:noProof/>
          <w:lang w:val="en-IE"/>
        </w:rPr>
        <w:t>No</w:t>
      </w:r>
      <w:r w:rsidRPr="009D0C7A">
        <w:t xml:space="preserve">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5-21 20:57: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76ECAAF1-101E-415B-BA68-F101DD3C2089"/>
    <w:docVar w:name="LW_COVERPAGE_TYPE" w:val="1"/>
    <w:docVar w:name="LW_CROSSREFERENCE" w:val="{SWD(2023) 608 final}"/>
    <w:docVar w:name="LW_DocType" w:val="COM"/>
    <w:docVar w:name="LW_EMISSION" w:val="24.5.2023"/>
    <w:docVar w:name="LW_EMISSION_ISODATE" w:val="2023-05-24"/>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3"/>
    <w:docVar w:name="LW_REF.INST.NEW" w:val="COM"/>
    <w:docVar w:name="LW_REF.INST.NEW_ADOPTED" w:val="final"/>
    <w:docVar w:name="LW_REF.INST.NEW_TEXT" w:val="(2023)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3 National Reform Programme of Greece and delivering a Council opinion on the 2023 Stability Programme of Greece"/>
    <w:docVar w:name="LW_TYPE.DOC.CP" w:val="COUNCIL RECOMMENDATION"/>
    <w:docVar w:name="LwApiVersions" w:val="LW4CoDe 1.23.2.0; LW 8.0, Build 20211117"/>
  </w:docVars>
  <w:rsids>
    <w:rsidRoot w:val="00CA0B25"/>
    <w:rsid w:val="00000311"/>
    <w:rsid w:val="00000A6B"/>
    <w:rsid w:val="00001232"/>
    <w:rsid w:val="0000370C"/>
    <w:rsid w:val="00004EC6"/>
    <w:rsid w:val="0000510F"/>
    <w:rsid w:val="00006447"/>
    <w:rsid w:val="00006464"/>
    <w:rsid w:val="00006579"/>
    <w:rsid w:val="00006826"/>
    <w:rsid w:val="0000740E"/>
    <w:rsid w:val="00007A9B"/>
    <w:rsid w:val="00007F22"/>
    <w:rsid w:val="000101DF"/>
    <w:rsid w:val="000105B5"/>
    <w:rsid w:val="00010E8F"/>
    <w:rsid w:val="00010F9C"/>
    <w:rsid w:val="0001194B"/>
    <w:rsid w:val="0001198C"/>
    <w:rsid w:val="000122D8"/>
    <w:rsid w:val="00013AB9"/>
    <w:rsid w:val="00013C0A"/>
    <w:rsid w:val="000165A3"/>
    <w:rsid w:val="00016DC7"/>
    <w:rsid w:val="00017F13"/>
    <w:rsid w:val="00020407"/>
    <w:rsid w:val="00020FE8"/>
    <w:rsid w:val="00021089"/>
    <w:rsid w:val="000215DE"/>
    <w:rsid w:val="00021715"/>
    <w:rsid w:val="00022026"/>
    <w:rsid w:val="0002269A"/>
    <w:rsid w:val="0002295F"/>
    <w:rsid w:val="00023A9B"/>
    <w:rsid w:val="0002411D"/>
    <w:rsid w:val="000245D3"/>
    <w:rsid w:val="000245DD"/>
    <w:rsid w:val="00025C48"/>
    <w:rsid w:val="0002609E"/>
    <w:rsid w:val="000263D7"/>
    <w:rsid w:val="00027253"/>
    <w:rsid w:val="00031AD6"/>
    <w:rsid w:val="00031DA2"/>
    <w:rsid w:val="00032E28"/>
    <w:rsid w:val="00032F77"/>
    <w:rsid w:val="00035701"/>
    <w:rsid w:val="00036F02"/>
    <w:rsid w:val="000370D6"/>
    <w:rsid w:val="000374DB"/>
    <w:rsid w:val="000386EA"/>
    <w:rsid w:val="00040FDA"/>
    <w:rsid w:val="00041823"/>
    <w:rsid w:val="00041B32"/>
    <w:rsid w:val="0004272C"/>
    <w:rsid w:val="00043149"/>
    <w:rsid w:val="00043B0C"/>
    <w:rsid w:val="00044986"/>
    <w:rsid w:val="00046491"/>
    <w:rsid w:val="00050447"/>
    <w:rsid w:val="000506F2"/>
    <w:rsid w:val="00050D4F"/>
    <w:rsid w:val="000512B1"/>
    <w:rsid w:val="00051C9A"/>
    <w:rsid w:val="00052189"/>
    <w:rsid w:val="00052B5E"/>
    <w:rsid w:val="00052D21"/>
    <w:rsid w:val="00057790"/>
    <w:rsid w:val="00060355"/>
    <w:rsid w:val="0006037E"/>
    <w:rsid w:val="00062812"/>
    <w:rsid w:val="00062FD6"/>
    <w:rsid w:val="00063304"/>
    <w:rsid w:val="00063E2A"/>
    <w:rsid w:val="00063EF8"/>
    <w:rsid w:val="00065943"/>
    <w:rsid w:val="00065D5D"/>
    <w:rsid w:val="0006725B"/>
    <w:rsid w:val="0007111F"/>
    <w:rsid w:val="00071E31"/>
    <w:rsid w:val="00072591"/>
    <w:rsid w:val="00073AD1"/>
    <w:rsid w:val="00073D05"/>
    <w:rsid w:val="00073F87"/>
    <w:rsid w:val="00075BBC"/>
    <w:rsid w:val="000775A2"/>
    <w:rsid w:val="000810DF"/>
    <w:rsid w:val="00081BC7"/>
    <w:rsid w:val="000821FC"/>
    <w:rsid w:val="00084A34"/>
    <w:rsid w:val="000878D7"/>
    <w:rsid w:val="000905D8"/>
    <w:rsid w:val="00090AFE"/>
    <w:rsid w:val="00091114"/>
    <w:rsid w:val="0009161A"/>
    <w:rsid w:val="000922F1"/>
    <w:rsid w:val="000927D8"/>
    <w:rsid w:val="00092CD6"/>
    <w:rsid w:val="000936AC"/>
    <w:rsid w:val="000939E6"/>
    <w:rsid w:val="0009441C"/>
    <w:rsid w:val="000944D9"/>
    <w:rsid w:val="00094C60"/>
    <w:rsid w:val="0009506B"/>
    <w:rsid w:val="00095791"/>
    <w:rsid w:val="00096500"/>
    <w:rsid w:val="00096B97"/>
    <w:rsid w:val="00096D64"/>
    <w:rsid w:val="0009E06B"/>
    <w:rsid w:val="000A0C54"/>
    <w:rsid w:val="000A2391"/>
    <w:rsid w:val="000A2FA6"/>
    <w:rsid w:val="000A33F7"/>
    <w:rsid w:val="000A3BAC"/>
    <w:rsid w:val="000A4ABF"/>
    <w:rsid w:val="000A61C4"/>
    <w:rsid w:val="000A62EC"/>
    <w:rsid w:val="000A6E56"/>
    <w:rsid w:val="000A72AC"/>
    <w:rsid w:val="000B0580"/>
    <w:rsid w:val="000B0BD8"/>
    <w:rsid w:val="000B0BE9"/>
    <w:rsid w:val="000B0DF6"/>
    <w:rsid w:val="000B17B5"/>
    <w:rsid w:val="000B3503"/>
    <w:rsid w:val="000B383F"/>
    <w:rsid w:val="000B3859"/>
    <w:rsid w:val="000B394B"/>
    <w:rsid w:val="000B4695"/>
    <w:rsid w:val="000B52E8"/>
    <w:rsid w:val="000B5343"/>
    <w:rsid w:val="000B5474"/>
    <w:rsid w:val="000B5678"/>
    <w:rsid w:val="000B7A7D"/>
    <w:rsid w:val="000C03B2"/>
    <w:rsid w:val="000C05B6"/>
    <w:rsid w:val="000C12FB"/>
    <w:rsid w:val="000C217C"/>
    <w:rsid w:val="000C235B"/>
    <w:rsid w:val="000C248B"/>
    <w:rsid w:val="000C4306"/>
    <w:rsid w:val="000C46A1"/>
    <w:rsid w:val="000C6398"/>
    <w:rsid w:val="000C6F6E"/>
    <w:rsid w:val="000C7920"/>
    <w:rsid w:val="000C7E5F"/>
    <w:rsid w:val="000D0476"/>
    <w:rsid w:val="000D1560"/>
    <w:rsid w:val="000D1AA8"/>
    <w:rsid w:val="000D2F80"/>
    <w:rsid w:val="000D44CF"/>
    <w:rsid w:val="000D5FB0"/>
    <w:rsid w:val="000D6412"/>
    <w:rsid w:val="000D79C8"/>
    <w:rsid w:val="000D7A16"/>
    <w:rsid w:val="000E13EA"/>
    <w:rsid w:val="000E2140"/>
    <w:rsid w:val="000E3F61"/>
    <w:rsid w:val="000E7473"/>
    <w:rsid w:val="000E768D"/>
    <w:rsid w:val="000E7B98"/>
    <w:rsid w:val="000E7D9A"/>
    <w:rsid w:val="000ECA4D"/>
    <w:rsid w:val="000F0499"/>
    <w:rsid w:val="000F1E8E"/>
    <w:rsid w:val="000F25EF"/>
    <w:rsid w:val="000F26E3"/>
    <w:rsid w:val="000F2778"/>
    <w:rsid w:val="000F426F"/>
    <w:rsid w:val="000F6389"/>
    <w:rsid w:val="000F659B"/>
    <w:rsid w:val="0010048E"/>
    <w:rsid w:val="001011D3"/>
    <w:rsid w:val="001014BF"/>
    <w:rsid w:val="001016AD"/>
    <w:rsid w:val="001020E9"/>
    <w:rsid w:val="001027EA"/>
    <w:rsid w:val="0010389C"/>
    <w:rsid w:val="00103C02"/>
    <w:rsid w:val="00104902"/>
    <w:rsid w:val="00105705"/>
    <w:rsid w:val="001061C2"/>
    <w:rsid w:val="00106FD8"/>
    <w:rsid w:val="001073E3"/>
    <w:rsid w:val="00110194"/>
    <w:rsid w:val="001106F6"/>
    <w:rsid w:val="00110A09"/>
    <w:rsid w:val="00112186"/>
    <w:rsid w:val="001125B7"/>
    <w:rsid w:val="0011268A"/>
    <w:rsid w:val="00112D06"/>
    <w:rsid w:val="00112DB8"/>
    <w:rsid w:val="00112FC5"/>
    <w:rsid w:val="00113323"/>
    <w:rsid w:val="0011339F"/>
    <w:rsid w:val="00113EF9"/>
    <w:rsid w:val="00114400"/>
    <w:rsid w:val="00114BB0"/>
    <w:rsid w:val="00115EBE"/>
    <w:rsid w:val="001165D9"/>
    <w:rsid w:val="0011682D"/>
    <w:rsid w:val="00116DBC"/>
    <w:rsid w:val="0011760E"/>
    <w:rsid w:val="00120BF4"/>
    <w:rsid w:val="00122852"/>
    <w:rsid w:val="00124628"/>
    <w:rsid w:val="00125E4A"/>
    <w:rsid w:val="00126343"/>
    <w:rsid w:val="001263F5"/>
    <w:rsid w:val="001267B4"/>
    <w:rsid w:val="0012764B"/>
    <w:rsid w:val="0012784F"/>
    <w:rsid w:val="00127DF1"/>
    <w:rsid w:val="0012B062"/>
    <w:rsid w:val="0012FDB7"/>
    <w:rsid w:val="00130874"/>
    <w:rsid w:val="00132301"/>
    <w:rsid w:val="00133D60"/>
    <w:rsid w:val="00135001"/>
    <w:rsid w:val="001357B1"/>
    <w:rsid w:val="00135E77"/>
    <w:rsid w:val="00136F09"/>
    <w:rsid w:val="00136FDF"/>
    <w:rsid w:val="001411A8"/>
    <w:rsid w:val="001417DD"/>
    <w:rsid w:val="00141ECB"/>
    <w:rsid w:val="001427EC"/>
    <w:rsid w:val="001432C2"/>
    <w:rsid w:val="00143AB2"/>
    <w:rsid w:val="00143F22"/>
    <w:rsid w:val="00145060"/>
    <w:rsid w:val="001469B4"/>
    <w:rsid w:val="00146A66"/>
    <w:rsid w:val="00147785"/>
    <w:rsid w:val="00147AB0"/>
    <w:rsid w:val="00147F8A"/>
    <w:rsid w:val="0015079A"/>
    <w:rsid w:val="00150CB9"/>
    <w:rsid w:val="0015175C"/>
    <w:rsid w:val="00151A15"/>
    <w:rsid w:val="00151DEE"/>
    <w:rsid w:val="00152242"/>
    <w:rsid w:val="00152894"/>
    <w:rsid w:val="00152E6B"/>
    <w:rsid w:val="001531F4"/>
    <w:rsid w:val="001541F4"/>
    <w:rsid w:val="0015431C"/>
    <w:rsid w:val="00154D5D"/>
    <w:rsid w:val="00155840"/>
    <w:rsid w:val="00155F1F"/>
    <w:rsid w:val="001573E5"/>
    <w:rsid w:val="00157C25"/>
    <w:rsid w:val="00157F28"/>
    <w:rsid w:val="00160B7A"/>
    <w:rsid w:val="00160D75"/>
    <w:rsid w:val="00160F06"/>
    <w:rsid w:val="00161ED2"/>
    <w:rsid w:val="00162CDF"/>
    <w:rsid w:val="001638E4"/>
    <w:rsid w:val="00163AC9"/>
    <w:rsid w:val="00164526"/>
    <w:rsid w:val="00165839"/>
    <w:rsid w:val="00166006"/>
    <w:rsid w:val="00170018"/>
    <w:rsid w:val="00170193"/>
    <w:rsid w:val="00170C28"/>
    <w:rsid w:val="00172504"/>
    <w:rsid w:val="00172AD3"/>
    <w:rsid w:val="001732CD"/>
    <w:rsid w:val="00173917"/>
    <w:rsid w:val="001749C8"/>
    <w:rsid w:val="00174ED3"/>
    <w:rsid w:val="00176765"/>
    <w:rsid w:val="00177216"/>
    <w:rsid w:val="001816E9"/>
    <w:rsid w:val="001836CA"/>
    <w:rsid w:val="001837C8"/>
    <w:rsid w:val="00184152"/>
    <w:rsid w:val="001842BC"/>
    <w:rsid w:val="00184809"/>
    <w:rsid w:val="0018523B"/>
    <w:rsid w:val="00185C62"/>
    <w:rsid w:val="00185C91"/>
    <w:rsid w:val="00187849"/>
    <w:rsid w:val="00191338"/>
    <w:rsid w:val="00192804"/>
    <w:rsid w:val="00194866"/>
    <w:rsid w:val="001957FA"/>
    <w:rsid w:val="00195887"/>
    <w:rsid w:val="001A290B"/>
    <w:rsid w:val="001A4E74"/>
    <w:rsid w:val="001A67F4"/>
    <w:rsid w:val="001A69FD"/>
    <w:rsid w:val="001A7E78"/>
    <w:rsid w:val="001B04B0"/>
    <w:rsid w:val="001B0520"/>
    <w:rsid w:val="001B1369"/>
    <w:rsid w:val="001B1979"/>
    <w:rsid w:val="001B24E1"/>
    <w:rsid w:val="001B2868"/>
    <w:rsid w:val="001B2BDB"/>
    <w:rsid w:val="001B3FAE"/>
    <w:rsid w:val="001B40E5"/>
    <w:rsid w:val="001B4186"/>
    <w:rsid w:val="001B4263"/>
    <w:rsid w:val="001B427D"/>
    <w:rsid w:val="001B448E"/>
    <w:rsid w:val="001B53A3"/>
    <w:rsid w:val="001B56E2"/>
    <w:rsid w:val="001B57B6"/>
    <w:rsid w:val="001B6EC0"/>
    <w:rsid w:val="001B7CC8"/>
    <w:rsid w:val="001C0839"/>
    <w:rsid w:val="001C0940"/>
    <w:rsid w:val="001C0E58"/>
    <w:rsid w:val="001C17BD"/>
    <w:rsid w:val="001C2E44"/>
    <w:rsid w:val="001C3BC4"/>
    <w:rsid w:val="001C4D0C"/>
    <w:rsid w:val="001C5AD2"/>
    <w:rsid w:val="001C5FF7"/>
    <w:rsid w:val="001C6F09"/>
    <w:rsid w:val="001D05BE"/>
    <w:rsid w:val="001D0C8C"/>
    <w:rsid w:val="001D28B5"/>
    <w:rsid w:val="001D3883"/>
    <w:rsid w:val="001D3C5A"/>
    <w:rsid w:val="001D494D"/>
    <w:rsid w:val="001D502F"/>
    <w:rsid w:val="001D50D9"/>
    <w:rsid w:val="001D543F"/>
    <w:rsid w:val="001D54DF"/>
    <w:rsid w:val="001D67F8"/>
    <w:rsid w:val="001D714F"/>
    <w:rsid w:val="001E16A1"/>
    <w:rsid w:val="001E1AFF"/>
    <w:rsid w:val="001E1E95"/>
    <w:rsid w:val="001E22F2"/>
    <w:rsid w:val="001E2EE0"/>
    <w:rsid w:val="001E32F0"/>
    <w:rsid w:val="001E3EC2"/>
    <w:rsid w:val="001E4357"/>
    <w:rsid w:val="001E441F"/>
    <w:rsid w:val="001E4B6D"/>
    <w:rsid w:val="001E6B57"/>
    <w:rsid w:val="001F0466"/>
    <w:rsid w:val="001F06CD"/>
    <w:rsid w:val="001F15DE"/>
    <w:rsid w:val="001F23DF"/>
    <w:rsid w:val="001F2CB7"/>
    <w:rsid w:val="001F5507"/>
    <w:rsid w:val="001F5BF5"/>
    <w:rsid w:val="001F6E8B"/>
    <w:rsid w:val="001F743C"/>
    <w:rsid w:val="001F76CB"/>
    <w:rsid w:val="001F7770"/>
    <w:rsid w:val="001F7A39"/>
    <w:rsid w:val="00200008"/>
    <w:rsid w:val="0020052A"/>
    <w:rsid w:val="00200930"/>
    <w:rsid w:val="00201F42"/>
    <w:rsid w:val="00202A79"/>
    <w:rsid w:val="00202CFD"/>
    <w:rsid w:val="00204283"/>
    <w:rsid w:val="00204EF1"/>
    <w:rsid w:val="00205486"/>
    <w:rsid w:val="0020610B"/>
    <w:rsid w:val="002061D5"/>
    <w:rsid w:val="00206644"/>
    <w:rsid w:val="00207D4D"/>
    <w:rsid w:val="00210BB8"/>
    <w:rsid w:val="00210FD2"/>
    <w:rsid w:val="00211078"/>
    <w:rsid w:val="0021138C"/>
    <w:rsid w:val="002115A6"/>
    <w:rsid w:val="002116F9"/>
    <w:rsid w:val="00211B0D"/>
    <w:rsid w:val="00212A32"/>
    <w:rsid w:val="00212E08"/>
    <w:rsid w:val="00213136"/>
    <w:rsid w:val="002141DA"/>
    <w:rsid w:val="00214371"/>
    <w:rsid w:val="00215179"/>
    <w:rsid w:val="0021524D"/>
    <w:rsid w:val="00215B50"/>
    <w:rsid w:val="0021620D"/>
    <w:rsid w:val="00216E26"/>
    <w:rsid w:val="002176E0"/>
    <w:rsid w:val="00217D2E"/>
    <w:rsid w:val="002223AA"/>
    <w:rsid w:val="00222908"/>
    <w:rsid w:val="00223783"/>
    <w:rsid w:val="0022380A"/>
    <w:rsid w:val="0022487D"/>
    <w:rsid w:val="00224D32"/>
    <w:rsid w:val="0022587C"/>
    <w:rsid w:val="00225892"/>
    <w:rsid w:val="00225C27"/>
    <w:rsid w:val="002271B3"/>
    <w:rsid w:val="002274C4"/>
    <w:rsid w:val="00227DC7"/>
    <w:rsid w:val="00230555"/>
    <w:rsid w:val="002307A9"/>
    <w:rsid w:val="00230CDA"/>
    <w:rsid w:val="00230E3F"/>
    <w:rsid w:val="0023106F"/>
    <w:rsid w:val="002315D5"/>
    <w:rsid w:val="00232115"/>
    <w:rsid w:val="00232A45"/>
    <w:rsid w:val="002341A0"/>
    <w:rsid w:val="00234AD9"/>
    <w:rsid w:val="002366AD"/>
    <w:rsid w:val="00237400"/>
    <w:rsid w:val="0023795A"/>
    <w:rsid w:val="00240164"/>
    <w:rsid w:val="00242054"/>
    <w:rsid w:val="002438E9"/>
    <w:rsid w:val="002449CB"/>
    <w:rsid w:val="00244E47"/>
    <w:rsid w:val="0024585C"/>
    <w:rsid w:val="00245971"/>
    <w:rsid w:val="00245D79"/>
    <w:rsid w:val="00246650"/>
    <w:rsid w:val="002466E7"/>
    <w:rsid w:val="00246C56"/>
    <w:rsid w:val="00250F96"/>
    <w:rsid w:val="0025119B"/>
    <w:rsid w:val="00252B7A"/>
    <w:rsid w:val="0025301C"/>
    <w:rsid w:val="0025322A"/>
    <w:rsid w:val="002550F2"/>
    <w:rsid w:val="0025546F"/>
    <w:rsid w:val="0025635A"/>
    <w:rsid w:val="00256576"/>
    <w:rsid w:val="0025660A"/>
    <w:rsid w:val="00256ADD"/>
    <w:rsid w:val="0025729B"/>
    <w:rsid w:val="002601C5"/>
    <w:rsid w:val="002629D4"/>
    <w:rsid w:val="00263BD5"/>
    <w:rsid w:val="002641A6"/>
    <w:rsid w:val="00265728"/>
    <w:rsid w:val="002657CF"/>
    <w:rsid w:val="00265A2E"/>
    <w:rsid w:val="002660BA"/>
    <w:rsid w:val="00267DB9"/>
    <w:rsid w:val="00270761"/>
    <w:rsid w:val="00270A0C"/>
    <w:rsid w:val="00272070"/>
    <w:rsid w:val="00272211"/>
    <w:rsid w:val="0027332C"/>
    <w:rsid w:val="002738B7"/>
    <w:rsid w:val="00273A14"/>
    <w:rsid w:val="00274980"/>
    <w:rsid w:val="002759A0"/>
    <w:rsid w:val="002762D1"/>
    <w:rsid w:val="00277414"/>
    <w:rsid w:val="002774CE"/>
    <w:rsid w:val="00277EBE"/>
    <w:rsid w:val="00282CA5"/>
    <w:rsid w:val="00283584"/>
    <w:rsid w:val="00283681"/>
    <w:rsid w:val="0028368C"/>
    <w:rsid w:val="00286AF7"/>
    <w:rsid w:val="002909AD"/>
    <w:rsid w:val="00290DE2"/>
    <w:rsid w:val="00291422"/>
    <w:rsid w:val="002916A6"/>
    <w:rsid w:val="00297063"/>
    <w:rsid w:val="002971EE"/>
    <w:rsid w:val="002979F1"/>
    <w:rsid w:val="002A0B6A"/>
    <w:rsid w:val="002A5064"/>
    <w:rsid w:val="002A5B99"/>
    <w:rsid w:val="002A7F9F"/>
    <w:rsid w:val="002B0305"/>
    <w:rsid w:val="002B04B1"/>
    <w:rsid w:val="002B0F6E"/>
    <w:rsid w:val="002B1EB8"/>
    <w:rsid w:val="002B205D"/>
    <w:rsid w:val="002B2656"/>
    <w:rsid w:val="002B27F2"/>
    <w:rsid w:val="002B3388"/>
    <w:rsid w:val="002B51BA"/>
    <w:rsid w:val="002C0028"/>
    <w:rsid w:val="002C1302"/>
    <w:rsid w:val="002C1DB4"/>
    <w:rsid w:val="002C2C0B"/>
    <w:rsid w:val="002C3AA2"/>
    <w:rsid w:val="002C468F"/>
    <w:rsid w:val="002C48B2"/>
    <w:rsid w:val="002C54B9"/>
    <w:rsid w:val="002C56B3"/>
    <w:rsid w:val="002C5CFE"/>
    <w:rsid w:val="002C6366"/>
    <w:rsid w:val="002D01E2"/>
    <w:rsid w:val="002D0748"/>
    <w:rsid w:val="002D0AA2"/>
    <w:rsid w:val="002D13BE"/>
    <w:rsid w:val="002D278F"/>
    <w:rsid w:val="002D28B4"/>
    <w:rsid w:val="002D2E5B"/>
    <w:rsid w:val="002D337B"/>
    <w:rsid w:val="002D4AD5"/>
    <w:rsid w:val="002D6C58"/>
    <w:rsid w:val="002D7306"/>
    <w:rsid w:val="002E151B"/>
    <w:rsid w:val="002E162A"/>
    <w:rsid w:val="002E22B0"/>
    <w:rsid w:val="002E32C2"/>
    <w:rsid w:val="002E35C0"/>
    <w:rsid w:val="002E413E"/>
    <w:rsid w:val="002E415C"/>
    <w:rsid w:val="002E52B5"/>
    <w:rsid w:val="002E5A33"/>
    <w:rsid w:val="002E6E8F"/>
    <w:rsid w:val="002F0160"/>
    <w:rsid w:val="002F0AA1"/>
    <w:rsid w:val="002F4348"/>
    <w:rsid w:val="002F4AD1"/>
    <w:rsid w:val="002F5813"/>
    <w:rsid w:val="002F59BA"/>
    <w:rsid w:val="002F5AE1"/>
    <w:rsid w:val="002F5B84"/>
    <w:rsid w:val="002F5C8A"/>
    <w:rsid w:val="002F67E1"/>
    <w:rsid w:val="002F6BBF"/>
    <w:rsid w:val="002F732D"/>
    <w:rsid w:val="00300540"/>
    <w:rsid w:val="00300A8F"/>
    <w:rsid w:val="00301B39"/>
    <w:rsid w:val="00301CE4"/>
    <w:rsid w:val="0030229B"/>
    <w:rsid w:val="00302841"/>
    <w:rsid w:val="003028F9"/>
    <w:rsid w:val="003042F0"/>
    <w:rsid w:val="0030470F"/>
    <w:rsid w:val="0030485D"/>
    <w:rsid w:val="00304ACA"/>
    <w:rsid w:val="00304B18"/>
    <w:rsid w:val="00304C36"/>
    <w:rsid w:val="00304D8F"/>
    <w:rsid w:val="00305FC7"/>
    <w:rsid w:val="00307A55"/>
    <w:rsid w:val="00310A21"/>
    <w:rsid w:val="00310BD9"/>
    <w:rsid w:val="00311B80"/>
    <w:rsid w:val="00314997"/>
    <w:rsid w:val="00314DE9"/>
    <w:rsid w:val="0031524F"/>
    <w:rsid w:val="00317C5D"/>
    <w:rsid w:val="0032290A"/>
    <w:rsid w:val="00323787"/>
    <w:rsid w:val="0032533C"/>
    <w:rsid w:val="00325798"/>
    <w:rsid w:val="00325A32"/>
    <w:rsid w:val="00326836"/>
    <w:rsid w:val="003275F6"/>
    <w:rsid w:val="00330236"/>
    <w:rsid w:val="0033142D"/>
    <w:rsid w:val="00332ED4"/>
    <w:rsid w:val="00333AF1"/>
    <w:rsid w:val="003365FC"/>
    <w:rsid w:val="00336C6A"/>
    <w:rsid w:val="003371C3"/>
    <w:rsid w:val="00337594"/>
    <w:rsid w:val="00342427"/>
    <w:rsid w:val="00342DB2"/>
    <w:rsid w:val="003444D5"/>
    <w:rsid w:val="00344D76"/>
    <w:rsid w:val="00344D93"/>
    <w:rsid w:val="003458C8"/>
    <w:rsid w:val="00345A44"/>
    <w:rsid w:val="00346346"/>
    <w:rsid w:val="003472C6"/>
    <w:rsid w:val="003477AD"/>
    <w:rsid w:val="003503A3"/>
    <w:rsid w:val="00351E63"/>
    <w:rsid w:val="0035237D"/>
    <w:rsid w:val="003525EB"/>
    <w:rsid w:val="00355353"/>
    <w:rsid w:val="00355889"/>
    <w:rsid w:val="0035723F"/>
    <w:rsid w:val="00362443"/>
    <w:rsid w:val="0036364C"/>
    <w:rsid w:val="00363ED7"/>
    <w:rsid w:val="00364789"/>
    <w:rsid w:val="00365DFA"/>
    <w:rsid w:val="0036600B"/>
    <w:rsid w:val="003672A6"/>
    <w:rsid w:val="00367380"/>
    <w:rsid w:val="00367DFA"/>
    <w:rsid w:val="00373387"/>
    <w:rsid w:val="003758D4"/>
    <w:rsid w:val="0037691E"/>
    <w:rsid w:val="00376959"/>
    <w:rsid w:val="00377A08"/>
    <w:rsid w:val="003805BC"/>
    <w:rsid w:val="00380727"/>
    <w:rsid w:val="00382410"/>
    <w:rsid w:val="00382790"/>
    <w:rsid w:val="00384EEB"/>
    <w:rsid w:val="00385653"/>
    <w:rsid w:val="00385E08"/>
    <w:rsid w:val="003871E6"/>
    <w:rsid w:val="00390F56"/>
    <w:rsid w:val="00391353"/>
    <w:rsid w:val="00395A6C"/>
    <w:rsid w:val="00395C52"/>
    <w:rsid w:val="00396ACD"/>
    <w:rsid w:val="00397326"/>
    <w:rsid w:val="00397B84"/>
    <w:rsid w:val="003A01DC"/>
    <w:rsid w:val="003A11B8"/>
    <w:rsid w:val="003A1302"/>
    <w:rsid w:val="003A1F28"/>
    <w:rsid w:val="003A2F6F"/>
    <w:rsid w:val="003A3934"/>
    <w:rsid w:val="003A3D44"/>
    <w:rsid w:val="003A78E0"/>
    <w:rsid w:val="003A7E14"/>
    <w:rsid w:val="003B10A4"/>
    <w:rsid w:val="003B1328"/>
    <w:rsid w:val="003B16CA"/>
    <w:rsid w:val="003B25B3"/>
    <w:rsid w:val="003B26B5"/>
    <w:rsid w:val="003B2F24"/>
    <w:rsid w:val="003B3604"/>
    <w:rsid w:val="003B3ACC"/>
    <w:rsid w:val="003B4E12"/>
    <w:rsid w:val="003B5653"/>
    <w:rsid w:val="003B5CE8"/>
    <w:rsid w:val="003B5F0F"/>
    <w:rsid w:val="003B64A7"/>
    <w:rsid w:val="003B715C"/>
    <w:rsid w:val="003B77CF"/>
    <w:rsid w:val="003B7E42"/>
    <w:rsid w:val="003C04C4"/>
    <w:rsid w:val="003C04EE"/>
    <w:rsid w:val="003C1906"/>
    <w:rsid w:val="003C2D8A"/>
    <w:rsid w:val="003C499E"/>
    <w:rsid w:val="003C4DAF"/>
    <w:rsid w:val="003C59F5"/>
    <w:rsid w:val="003C6055"/>
    <w:rsid w:val="003C6699"/>
    <w:rsid w:val="003C6B98"/>
    <w:rsid w:val="003D2A69"/>
    <w:rsid w:val="003D2D50"/>
    <w:rsid w:val="003D2E3D"/>
    <w:rsid w:val="003D488A"/>
    <w:rsid w:val="003D5D64"/>
    <w:rsid w:val="003D6953"/>
    <w:rsid w:val="003E1E08"/>
    <w:rsid w:val="003E3051"/>
    <w:rsid w:val="003E6C30"/>
    <w:rsid w:val="003E7335"/>
    <w:rsid w:val="003E77C4"/>
    <w:rsid w:val="003F0C9B"/>
    <w:rsid w:val="003F0F53"/>
    <w:rsid w:val="003F32FE"/>
    <w:rsid w:val="003F44C4"/>
    <w:rsid w:val="003F55C4"/>
    <w:rsid w:val="003F5B5A"/>
    <w:rsid w:val="003F5E47"/>
    <w:rsid w:val="003F6E9A"/>
    <w:rsid w:val="003F6EB2"/>
    <w:rsid w:val="003F7149"/>
    <w:rsid w:val="003F7BA0"/>
    <w:rsid w:val="0040287F"/>
    <w:rsid w:val="00403708"/>
    <w:rsid w:val="00404841"/>
    <w:rsid w:val="0040494B"/>
    <w:rsid w:val="004050C7"/>
    <w:rsid w:val="00405CFE"/>
    <w:rsid w:val="004077F9"/>
    <w:rsid w:val="00410382"/>
    <w:rsid w:val="004117DA"/>
    <w:rsid w:val="00411CCA"/>
    <w:rsid w:val="00412313"/>
    <w:rsid w:val="00412A76"/>
    <w:rsid w:val="00414163"/>
    <w:rsid w:val="00415149"/>
    <w:rsid w:val="00415C0D"/>
    <w:rsid w:val="004161FA"/>
    <w:rsid w:val="00416A89"/>
    <w:rsid w:val="00420154"/>
    <w:rsid w:val="004217A1"/>
    <w:rsid w:val="00421DE9"/>
    <w:rsid w:val="00422BE6"/>
    <w:rsid w:val="004231A1"/>
    <w:rsid w:val="0042358D"/>
    <w:rsid w:val="00423A50"/>
    <w:rsid w:val="004248F6"/>
    <w:rsid w:val="00424F8A"/>
    <w:rsid w:val="00425CE0"/>
    <w:rsid w:val="00425F7E"/>
    <w:rsid w:val="004275A9"/>
    <w:rsid w:val="00430824"/>
    <w:rsid w:val="00430C1F"/>
    <w:rsid w:val="00431799"/>
    <w:rsid w:val="00431DF0"/>
    <w:rsid w:val="00431FEA"/>
    <w:rsid w:val="00432658"/>
    <w:rsid w:val="0043391B"/>
    <w:rsid w:val="004344C5"/>
    <w:rsid w:val="004348BE"/>
    <w:rsid w:val="004348C5"/>
    <w:rsid w:val="00435EEF"/>
    <w:rsid w:val="00436A5D"/>
    <w:rsid w:val="00437AA5"/>
    <w:rsid w:val="00440651"/>
    <w:rsid w:val="0044089F"/>
    <w:rsid w:val="00440D84"/>
    <w:rsid w:val="00440FD7"/>
    <w:rsid w:val="00441C39"/>
    <w:rsid w:val="00442571"/>
    <w:rsid w:val="00442858"/>
    <w:rsid w:val="00442871"/>
    <w:rsid w:val="00442A42"/>
    <w:rsid w:val="00442E20"/>
    <w:rsid w:val="00442E2C"/>
    <w:rsid w:val="004434BB"/>
    <w:rsid w:val="00443BE1"/>
    <w:rsid w:val="004441FE"/>
    <w:rsid w:val="0044435E"/>
    <w:rsid w:val="00444A77"/>
    <w:rsid w:val="00444CCA"/>
    <w:rsid w:val="00444CCB"/>
    <w:rsid w:val="00446063"/>
    <w:rsid w:val="004469EF"/>
    <w:rsid w:val="00447A6C"/>
    <w:rsid w:val="0045090C"/>
    <w:rsid w:val="00450A5B"/>
    <w:rsid w:val="00450CDB"/>
    <w:rsid w:val="00453172"/>
    <w:rsid w:val="0045561B"/>
    <w:rsid w:val="004558F1"/>
    <w:rsid w:val="00456C19"/>
    <w:rsid w:val="00457A97"/>
    <w:rsid w:val="0046025F"/>
    <w:rsid w:val="00460B1D"/>
    <w:rsid w:val="00460B51"/>
    <w:rsid w:val="00461F87"/>
    <w:rsid w:val="004649F8"/>
    <w:rsid w:val="004656EA"/>
    <w:rsid w:val="00466DCF"/>
    <w:rsid w:val="00471910"/>
    <w:rsid w:val="00471AA8"/>
    <w:rsid w:val="004727DE"/>
    <w:rsid w:val="00472A88"/>
    <w:rsid w:val="0047462B"/>
    <w:rsid w:val="004750A8"/>
    <w:rsid w:val="0047552C"/>
    <w:rsid w:val="0047564F"/>
    <w:rsid w:val="004759D5"/>
    <w:rsid w:val="00476765"/>
    <w:rsid w:val="004775AA"/>
    <w:rsid w:val="00477BAB"/>
    <w:rsid w:val="0048031A"/>
    <w:rsid w:val="00480E3F"/>
    <w:rsid w:val="00482EDF"/>
    <w:rsid w:val="00483BCD"/>
    <w:rsid w:val="0048424E"/>
    <w:rsid w:val="00484B2C"/>
    <w:rsid w:val="00484CEF"/>
    <w:rsid w:val="00484E5E"/>
    <w:rsid w:val="004854D9"/>
    <w:rsid w:val="0048559D"/>
    <w:rsid w:val="00486B54"/>
    <w:rsid w:val="0048731A"/>
    <w:rsid w:val="004876E4"/>
    <w:rsid w:val="00490904"/>
    <w:rsid w:val="00490E75"/>
    <w:rsid w:val="004913BB"/>
    <w:rsid w:val="00492396"/>
    <w:rsid w:val="004926E8"/>
    <w:rsid w:val="00492956"/>
    <w:rsid w:val="00492BAB"/>
    <w:rsid w:val="00492E45"/>
    <w:rsid w:val="0049593D"/>
    <w:rsid w:val="00495DEB"/>
    <w:rsid w:val="00495ECB"/>
    <w:rsid w:val="0049633E"/>
    <w:rsid w:val="004A09D1"/>
    <w:rsid w:val="004A0D34"/>
    <w:rsid w:val="004A1518"/>
    <w:rsid w:val="004A36B0"/>
    <w:rsid w:val="004A49B4"/>
    <w:rsid w:val="004A4A50"/>
    <w:rsid w:val="004A54A9"/>
    <w:rsid w:val="004A7206"/>
    <w:rsid w:val="004A7B2A"/>
    <w:rsid w:val="004A7BFB"/>
    <w:rsid w:val="004B02B7"/>
    <w:rsid w:val="004B153A"/>
    <w:rsid w:val="004B3394"/>
    <w:rsid w:val="004B514D"/>
    <w:rsid w:val="004B545E"/>
    <w:rsid w:val="004B5ED5"/>
    <w:rsid w:val="004B70F0"/>
    <w:rsid w:val="004B726A"/>
    <w:rsid w:val="004C00D7"/>
    <w:rsid w:val="004C1644"/>
    <w:rsid w:val="004C18B6"/>
    <w:rsid w:val="004C2450"/>
    <w:rsid w:val="004C2A19"/>
    <w:rsid w:val="004C43F9"/>
    <w:rsid w:val="004C55F6"/>
    <w:rsid w:val="004C5DA1"/>
    <w:rsid w:val="004C6909"/>
    <w:rsid w:val="004D0BAB"/>
    <w:rsid w:val="004D25B2"/>
    <w:rsid w:val="004D28E5"/>
    <w:rsid w:val="004D2C03"/>
    <w:rsid w:val="004D53F5"/>
    <w:rsid w:val="004D5526"/>
    <w:rsid w:val="004D5722"/>
    <w:rsid w:val="004D58A5"/>
    <w:rsid w:val="004D5D51"/>
    <w:rsid w:val="004D7038"/>
    <w:rsid w:val="004D72A8"/>
    <w:rsid w:val="004E0E89"/>
    <w:rsid w:val="004E19DA"/>
    <w:rsid w:val="004E19F9"/>
    <w:rsid w:val="004E1B54"/>
    <w:rsid w:val="004E1C18"/>
    <w:rsid w:val="004E34A0"/>
    <w:rsid w:val="004E559E"/>
    <w:rsid w:val="004E7CEE"/>
    <w:rsid w:val="004F1480"/>
    <w:rsid w:val="004F25D6"/>
    <w:rsid w:val="004F4089"/>
    <w:rsid w:val="004F4840"/>
    <w:rsid w:val="004F4F92"/>
    <w:rsid w:val="004F5719"/>
    <w:rsid w:val="004F580E"/>
    <w:rsid w:val="004F58A1"/>
    <w:rsid w:val="004F5AF7"/>
    <w:rsid w:val="004F68B0"/>
    <w:rsid w:val="004F761D"/>
    <w:rsid w:val="005016F9"/>
    <w:rsid w:val="00501A2A"/>
    <w:rsid w:val="00501FE9"/>
    <w:rsid w:val="00504265"/>
    <w:rsid w:val="00506F73"/>
    <w:rsid w:val="005074C3"/>
    <w:rsid w:val="00507DDB"/>
    <w:rsid w:val="00510FD7"/>
    <w:rsid w:val="0051159B"/>
    <w:rsid w:val="00511F24"/>
    <w:rsid w:val="00513194"/>
    <w:rsid w:val="005131C7"/>
    <w:rsid w:val="00513D4C"/>
    <w:rsid w:val="00514137"/>
    <w:rsid w:val="00514B8C"/>
    <w:rsid w:val="005151C3"/>
    <w:rsid w:val="005164E4"/>
    <w:rsid w:val="00516E19"/>
    <w:rsid w:val="00517205"/>
    <w:rsid w:val="0051783C"/>
    <w:rsid w:val="00523662"/>
    <w:rsid w:val="00524040"/>
    <w:rsid w:val="00524F83"/>
    <w:rsid w:val="00525581"/>
    <w:rsid w:val="00525B91"/>
    <w:rsid w:val="00530F4E"/>
    <w:rsid w:val="00531417"/>
    <w:rsid w:val="0053182C"/>
    <w:rsid w:val="00532405"/>
    <w:rsid w:val="005332C1"/>
    <w:rsid w:val="00533D4C"/>
    <w:rsid w:val="005346AD"/>
    <w:rsid w:val="00534B89"/>
    <w:rsid w:val="00534D16"/>
    <w:rsid w:val="005350A4"/>
    <w:rsid w:val="0053751B"/>
    <w:rsid w:val="00537C44"/>
    <w:rsid w:val="00540654"/>
    <w:rsid w:val="005410E4"/>
    <w:rsid w:val="00542487"/>
    <w:rsid w:val="00542536"/>
    <w:rsid w:val="00543029"/>
    <w:rsid w:val="0054531C"/>
    <w:rsid w:val="00545C0F"/>
    <w:rsid w:val="00547D5E"/>
    <w:rsid w:val="005503A9"/>
    <w:rsid w:val="0055153B"/>
    <w:rsid w:val="00551A7E"/>
    <w:rsid w:val="00553819"/>
    <w:rsid w:val="00553DE6"/>
    <w:rsid w:val="00553E65"/>
    <w:rsid w:val="00555B2B"/>
    <w:rsid w:val="00556211"/>
    <w:rsid w:val="0055625C"/>
    <w:rsid w:val="00556E5C"/>
    <w:rsid w:val="005578E6"/>
    <w:rsid w:val="005579A7"/>
    <w:rsid w:val="0056043E"/>
    <w:rsid w:val="00561BD3"/>
    <w:rsid w:val="0056226B"/>
    <w:rsid w:val="00562A81"/>
    <w:rsid w:val="00563117"/>
    <w:rsid w:val="00563198"/>
    <w:rsid w:val="00564C6D"/>
    <w:rsid w:val="00566198"/>
    <w:rsid w:val="005661D3"/>
    <w:rsid w:val="00566C42"/>
    <w:rsid w:val="0056739C"/>
    <w:rsid w:val="0056769A"/>
    <w:rsid w:val="00570A39"/>
    <w:rsid w:val="00571304"/>
    <w:rsid w:val="0057222A"/>
    <w:rsid w:val="00572C62"/>
    <w:rsid w:val="00573CC0"/>
    <w:rsid w:val="0057407D"/>
    <w:rsid w:val="00574778"/>
    <w:rsid w:val="00574BB4"/>
    <w:rsid w:val="00577888"/>
    <w:rsid w:val="00577AA9"/>
    <w:rsid w:val="00580846"/>
    <w:rsid w:val="00582050"/>
    <w:rsid w:val="005820F7"/>
    <w:rsid w:val="00582810"/>
    <w:rsid w:val="00583924"/>
    <w:rsid w:val="00584698"/>
    <w:rsid w:val="005856DA"/>
    <w:rsid w:val="0058661E"/>
    <w:rsid w:val="00586FE4"/>
    <w:rsid w:val="00587316"/>
    <w:rsid w:val="0058780D"/>
    <w:rsid w:val="00590D72"/>
    <w:rsid w:val="00590D97"/>
    <w:rsid w:val="0059226F"/>
    <w:rsid w:val="0059242D"/>
    <w:rsid w:val="00592FBE"/>
    <w:rsid w:val="00593C26"/>
    <w:rsid w:val="00593CF0"/>
    <w:rsid w:val="00595540"/>
    <w:rsid w:val="0059575C"/>
    <w:rsid w:val="005961F9"/>
    <w:rsid w:val="00597387"/>
    <w:rsid w:val="00597A5A"/>
    <w:rsid w:val="005A0A4E"/>
    <w:rsid w:val="005A137F"/>
    <w:rsid w:val="005A1BF8"/>
    <w:rsid w:val="005A1C71"/>
    <w:rsid w:val="005A2432"/>
    <w:rsid w:val="005A45B7"/>
    <w:rsid w:val="005A4D87"/>
    <w:rsid w:val="005A5570"/>
    <w:rsid w:val="005A7C0C"/>
    <w:rsid w:val="005B037C"/>
    <w:rsid w:val="005B1CF4"/>
    <w:rsid w:val="005B448E"/>
    <w:rsid w:val="005B4EBD"/>
    <w:rsid w:val="005B5FA6"/>
    <w:rsid w:val="005B67C1"/>
    <w:rsid w:val="005B7AFF"/>
    <w:rsid w:val="005B7D22"/>
    <w:rsid w:val="005C08E4"/>
    <w:rsid w:val="005C25FE"/>
    <w:rsid w:val="005C41F9"/>
    <w:rsid w:val="005C5F9B"/>
    <w:rsid w:val="005C6408"/>
    <w:rsid w:val="005C6716"/>
    <w:rsid w:val="005C6AD2"/>
    <w:rsid w:val="005C7810"/>
    <w:rsid w:val="005D1950"/>
    <w:rsid w:val="005D27F4"/>
    <w:rsid w:val="005D2996"/>
    <w:rsid w:val="005D2F45"/>
    <w:rsid w:val="005D36AF"/>
    <w:rsid w:val="005D36DF"/>
    <w:rsid w:val="005D5D58"/>
    <w:rsid w:val="005D6FE9"/>
    <w:rsid w:val="005D7AE0"/>
    <w:rsid w:val="005E03E1"/>
    <w:rsid w:val="005E0F18"/>
    <w:rsid w:val="005E0F1F"/>
    <w:rsid w:val="005E171A"/>
    <w:rsid w:val="005E2E01"/>
    <w:rsid w:val="005E424C"/>
    <w:rsid w:val="005E4EB7"/>
    <w:rsid w:val="005E5DBE"/>
    <w:rsid w:val="005E6155"/>
    <w:rsid w:val="005E68CD"/>
    <w:rsid w:val="005E6971"/>
    <w:rsid w:val="005E731E"/>
    <w:rsid w:val="005F2FC4"/>
    <w:rsid w:val="005F2FE7"/>
    <w:rsid w:val="005F40EB"/>
    <w:rsid w:val="005F517D"/>
    <w:rsid w:val="005F56B8"/>
    <w:rsid w:val="005F5888"/>
    <w:rsid w:val="005F6F3E"/>
    <w:rsid w:val="005F788B"/>
    <w:rsid w:val="0060097D"/>
    <w:rsid w:val="00600B2C"/>
    <w:rsid w:val="00601974"/>
    <w:rsid w:val="00601D1B"/>
    <w:rsid w:val="006022A2"/>
    <w:rsid w:val="006033F0"/>
    <w:rsid w:val="0060377B"/>
    <w:rsid w:val="00605870"/>
    <w:rsid w:val="00606057"/>
    <w:rsid w:val="00607004"/>
    <w:rsid w:val="00607F0A"/>
    <w:rsid w:val="00610CD4"/>
    <w:rsid w:val="00611F38"/>
    <w:rsid w:val="00614E7F"/>
    <w:rsid w:val="00616058"/>
    <w:rsid w:val="00616B92"/>
    <w:rsid w:val="00616BA2"/>
    <w:rsid w:val="00620E03"/>
    <w:rsid w:val="00621F62"/>
    <w:rsid w:val="00622360"/>
    <w:rsid w:val="006225E6"/>
    <w:rsid w:val="0062339D"/>
    <w:rsid w:val="00623475"/>
    <w:rsid w:val="00623B2F"/>
    <w:rsid w:val="00624581"/>
    <w:rsid w:val="00626273"/>
    <w:rsid w:val="00626C86"/>
    <w:rsid w:val="006301B5"/>
    <w:rsid w:val="006318A7"/>
    <w:rsid w:val="00631E92"/>
    <w:rsid w:val="00631F9F"/>
    <w:rsid w:val="006327BA"/>
    <w:rsid w:val="006332CC"/>
    <w:rsid w:val="0063406B"/>
    <w:rsid w:val="00634E43"/>
    <w:rsid w:val="00636613"/>
    <w:rsid w:val="00636E47"/>
    <w:rsid w:val="00640A3D"/>
    <w:rsid w:val="0064129C"/>
    <w:rsid w:val="00642349"/>
    <w:rsid w:val="00645543"/>
    <w:rsid w:val="00647856"/>
    <w:rsid w:val="00647931"/>
    <w:rsid w:val="00652796"/>
    <w:rsid w:val="00653EFA"/>
    <w:rsid w:val="006546A6"/>
    <w:rsid w:val="00654FC6"/>
    <w:rsid w:val="00655063"/>
    <w:rsid w:val="0065598C"/>
    <w:rsid w:val="00656358"/>
    <w:rsid w:val="00656C96"/>
    <w:rsid w:val="00657317"/>
    <w:rsid w:val="006578AC"/>
    <w:rsid w:val="00657B6B"/>
    <w:rsid w:val="006600AE"/>
    <w:rsid w:val="0066015F"/>
    <w:rsid w:val="0066021A"/>
    <w:rsid w:val="006609C6"/>
    <w:rsid w:val="00660DC7"/>
    <w:rsid w:val="006618D0"/>
    <w:rsid w:val="00661BA3"/>
    <w:rsid w:val="00661C37"/>
    <w:rsid w:val="0066305E"/>
    <w:rsid w:val="006648CB"/>
    <w:rsid w:val="00664C94"/>
    <w:rsid w:val="006654AB"/>
    <w:rsid w:val="006668B0"/>
    <w:rsid w:val="0066766A"/>
    <w:rsid w:val="00667CEC"/>
    <w:rsid w:val="00667F6B"/>
    <w:rsid w:val="00670780"/>
    <w:rsid w:val="00671009"/>
    <w:rsid w:val="006714E9"/>
    <w:rsid w:val="0067191E"/>
    <w:rsid w:val="006730E1"/>
    <w:rsid w:val="006736AA"/>
    <w:rsid w:val="0067502C"/>
    <w:rsid w:val="00675A20"/>
    <w:rsid w:val="00675C17"/>
    <w:rsid w:val="006764C4"/>
    <w:rsid w:val="0068169A"/>
    <w:rsid w:val="00681CF3"/>
    <w:rsid w:val="006825F1"/>
    <w:rsid w:val="00682D74"/>
    <w:rsid w:val="00686F1A"/>
    <w:rsid w:val="00687947"/>
    <w:rsid w:val="006903D3"/>
    <w:rsid w:val="00690A6B"/>
    <w:rsid w:val="00690D8C"/>
    <w:rsid w:val="00691227"/>
    <w:rsid w:val="00692A3C"/>
    <w:rsid w:val="00693A76"/>
    <w:rsid w:val="00694BD3"/>
    <w:rsid w:val="006957F9"/>
    <w:rsid w:val="00695C62"/>
    <w:rsid w:val="00696675"/>
    <w:rsid w:val="00697067"/>
    <w:rsid w:val="006975BE"/>
    <w:rsid w:val="00697C0E"/>
    <w:rsid w:val="006A001A"/>
    <w:rsid w:val="006A1638"/>
    <w:rsid w:val="006A25D5"/>
    <w:rsid w:val="006A2772"/>
    <w:rsid w:val="006A2AFF"/>
    <w:rsid w:val="006A2B59"/>
    <w:rsid w:val="006A3243"/>
    <w:rsid w:val="006A3CCA"/>
    <w:rsid w:val="006A4B7A"/>
    <w:rsid w:val="006A5096"/>
    <w:rsid w:val="006A515B"/>
    <w:rsid w:val="006A57EB"/>
    <w:rsid w:val="006A6D76"/>
    <w:rsid w:val="006A7C5B"/>
    <w:rsid w:val="006B07D2"/>
    <w:rsid w:val="006B12EF"/>
    <w:rsid w:val="006B1DB1"/>
    <w:rsid w:val="006B3862"/>
    <w:rsid w:val="006B4200"/>
    <w:rsid w:val="006B4C6A"/>
    <w:rsid w:val="006B5CAD"/>
    <w:rsid w:val="006B60AD"/>
    <w:rsid w:val="006B789C"/>
    <w:rsid w:val="006C25A9"/>
    <w:rsid w:val="006C2861"/>
    <w:rsid w:val="006C2F08"/>
    <w:rsid w:val="006C3BDA"/>
    <w:rsid w:val="006C3CB9"/>
    <w:rsid w:val="006C3E6D"/>
    <w:rsid w:val="006C5799"/>
    <w:rsid w:val="006C5A12"/>
    <w:rsid w:val="006C5EA7"/>
    <w:rsid w:val="006C79A7"/>
    <w:rsid w:val="006C7B59"/>
    <w:rsid w:val="006D0212"/>
    <w:rsid w:val="006D04CA"/>
    <w:rsid w:val="006D18D0"/>
    <w:rsid w:val="006D198C"/>
    <w:rsid w:val="006D21D3"/>
    <w:rsid w:val="006D247C"/>
    <w:rsid w:val="006D294E"/>
    <w:rsid w:val="006D2C77"/>
    <w:rsid w:val="006D35FF"/>
    <w:rsid w:val="006D367C"/>
    <w:rsid w:val="006D38BC"/>
    <w:rsid w:val="006D3A31"/>
    <w:rsid w:val="006D401C"/>
    <w:rsid w:val="006D52D3"/>
    <w:rsid w:val="006D5583"/>
    <w:rsid w:val="006D61FA"/>
    <w:rsid w:val="006D7745"/>
    <w:rsid w:val="006E1557"/>
    <w:rsid w:val="006E17BE"/>
    <w:rsid w:val="006E20BA"/>
    <w:rsid w:val="006E36F2"/>
    <w:rsid w:val="006E4642"/>
    <w:rsid w:val="006E5BEE"/>
    <w:rsid w:val="006E6A69"/>
    <w:rsid w:val="006E6EAD"/>
    <w:rsid w:val="006E703A"/>
    <w:rsid w:val="006E707B"/>
    <w:rsid w:val="006F032B"/>
    <w:rsid w:val="006F1EA4"/>
    <w:rsid w:val="006F37DD"/>
    <w:rsid w:val="006F399D"/>
    <w:rsid w:val="006F465C"/>
    <w:rsid w:val="006F5B7D"/>
    <w:rsid w:val="006F750C"/>
    <w:rsid w:val="006F7EFE"/>
    <w:rsid w:val="007014CD"/>
    <w:rsid w:val="0070197D"/>
    <w:rsid w:val="00701F43"/>
    <w:rsid w:val="00705C7B"/>
    <w:rsid w:val="00710304"/>
    <w:rsid w:val="00711751"/>
    <w:rsid w:val="00711CDE"/>
    <w:rsid w:val="0071227A"/>
    <w:rsid w:val="007123A1"/>
    <w:rsid w:val="007141CA"/>
    <w:rsid w:val="00716D46"/>
    <w:rsid w:val="007170DF"/>
    <w:rsid w:val="007179C4"/>
    <w:rsid w:val="007205D8"/>
    <w:rsid w:val="00720CE7"/>
    <w:rsid w:val="0072130F"/>
    <w:rsid w:val="00721CBB"/>
    <w:rsid w:val="0072330D"/>
    <w:rsid w:val="00723A6C"/>
    <w:rsid w:val="00723AE4"/>
    <w:rsid w:val="00724806"/>
    <w:rsid w:val="007250E3"/>
    <w:rsid w:val="00726930"/>
    <w:rsid w:val="00726B25"/>
    <w:rsid w:val="0072749E"/>
    <w:rsid w:val="00727793"/>
    <w:rsid w:val="00727966"/>
    <w:rsid w:val="007279AD"/>
    <w:rsid w:val="007279E7"/>
    <w:rsid w:val="00727FEA"/>
    <w:rsid w:val="00730A36"/>
    <w:rsid w:val="0073203C"/>
    <w:rsid w:val="007325C2"/>
    <w:rsid w:val="0073286D"/>
    <w:rsid w:val="00733533"/>
    <w:rsid w:val="00734048"/>
    <w:rsid w:val="00734472"/>
    <w:rsid w:val="00734533"/>
    <w:rsid w:val="00734594"/>
    <w:rsid w:val="00734950"/>
    <w:rsid w:val="00734F37"/>
    <w:rsid w:val="007363B7"/>
    <w:rsid w:val="007372B1"/>
    <w:rsid w:val="007400F7"/>
    <w:rsid w:val="00740345"/>
    <w:rsid w:val="00740484"/>
    <w:rsid w:val="00741198"/>
    <w:rsid w:val="0074143B"/>
    <w:rsid w:val="0074144B"/>
    <w:rsid w:val="00742F6F"/>
    <w:rsid w:val="0074457E"/>
    <w:rsid w:val="00745067"/>
    <w:rsid w:val="007462D6"/>
    <w:rsid w:val="007469D1"/>
    <w:rsid w:val="00746C0D"/>
    <w:rsid w:val="0075091B"/>
    <w:rsid w:val="007515E7"/>
    <w:rsid w:val="007517DB"/>
    <w:rsid w:val="00751E54"/>
    <w:rsid w:val="007522DF"/>
    <w:rsid w:val="00752A58"/>
    <w:rsid w:val="00753045"/>
    <w:rsid w:val="0075368F"/>
    <w:rsid w:val="007537BB"/>
    <w:rsid w:val="0075604E"/>
    <w:rsid w:val="0075626A"/>
    <w:rsid w:val="00756BD5"/>
    <w:rsid w:val="00757C18"/>
    <w:rsid w:val="0076043A"/>
    <w:rsid w:val="007610C1"/>
    <w:rsid w:val="0076125E"/>
    <w:rsid w:val="00761551"/>
    <w:rsid w:val="00762BE6"/>
    <w:rsid w:val="00763882"/>
    <w:rsid w:val="00764B12"/>
    <w:rsid w:val="00764B36"/>
    <w:rsid w:val="007650C1"/>
    <w:rsid w:val="007656A1"/>
    <w:rsid w:val="007658FB"/>
    <w:rsid w:val="007667C8"/>
    <w:rsid w:val="00767893"/>
    <w:rsid w:val="00770C91"/>
    <w:rsid w:val="007714F8"/>
    <w:rsid w:val="007719D6"/>
    <w:rsid w:val="007721A4"/>
    <w:rsid w:val="00774DCB"/>
    <w:rsid w:val="00775892"/>
    <w:rsid w:val="00775B91"/>
    <w:rsid w:val="00777342"/>
    <w:rsid w:val="007800C8"/>
    <w:rsid w:val="0078108E"/>
    <w:rsid w:val="00781646"/>
    <w:rsid w:val="00781ED8"/>
    <w:rsid w:val="00781F98"/>
    <w:rsid w:val="00783336"/>
    <w:rsid w:val="0078342F"/>
    <w:rsid w:val="00783994"/>
    <w:rsid w:val="00783B7E"/>
    <w:rsid w:val="00784A63"/>
    <w:rsid w:val="00785396"/>
    <w:rsid w:val="00785DCD"/>
    <w:rsid w:val="007903D1"/>
    <w:rsid w:val="0079083E"/>
    <w:rsid w:val="007914E5"/>
    <w:rsid w:val="0079155A"/>
    <w:rsid w:val="0079290D"/>
    <w:rsid w:val="007932B6"/>
    <w:rsid w:val="00793399"/>
    <w:rsid w:val="00793D7F"/>
    <w:rsid w:val="00793FDF"/>
    <w:rsid w:val="00794DF7"/>
    <w:rsid w:val="00794F5F"/>
    <w:rsid w:val="00795A5A"/>
    <w:rsid w:val="0079629E"/>
    <w:rsid w:val="00796E48"/>
    <w:rsid w:val="00796FAD"/>
    <w:rsid w:val="007972E7"/>
    <w:rsid w:val="0079736A"/>
    <w:rsid w:val="00797728"/>
    <w:rsid w:val="007A0411"/>
    <w:rsid w:val="007A068C"/>
    <w:rsid w:val="007A0F25"/>
    <w:rsid w:val="007A35D4"/>
    <w:rsid w:val="007A3A70"/>
    <w:rsid w:val="007A4480"/>
    <w:rsid w:val="007A5888"/>
    <w:rsid w:val="007A5925"/>
    <w:rsid w:val="007B054B"/>
    <w:rsid w:val="007B1E8A"/>
    <w:rsid w:val="007B2281"/>
    <w:rsid w:val="007B2E5C"/>
    <w:rsid w:val="007B354A"/>
    <w:rsid w:val="007B37E4"/>
    <w:rsid w:val="007B4C95"/>
    <w:rsid w:val="007B4F01"/>
    <w:rsid w:val="007B67A5"/>
    <w:rsid w:val="007B79BB"/>
    <w:rsid w:val="007C0B1F"/>
    <w:rsid w:val="007C1348"/>
    <w:rsid w:val="007C1A24"/>
    <w:rsid w:val="007C1CC9"/>
    <w:rsid w:val="007C2224"/>
    <w:rsid w:val="007C3756"/>
    <w:rsid w:val="007C3B3C"/>
    <w:rsid w:val="007C478D"/>
    <w:rsid w:val="007C4A4C"/>
    <w:rsid w:val="007C4D83"/>
    <w:rsid w:val="007C5487"/>
    <w:rsid w:val="007D0861"/>
    <w:rsid w:val="007D0D11"/>
    <w:rsid w:val="007D15F2"/>
    <w:rsid w:val="007D1AC1"/>
    <w:rsid w:val="007D1C69"/>
    <w:rsid w:val="007D214B"/>
    <w:rsid w:val="007D2DAA"/>
    <w:rsid w:val="007D4069"/>
    <w:rsid w:val="007D41DB"/>
    <w:rsid w:val="007D4DDE"/>
    <w:rsid w:val="007D5EBA"/>
    <w:rsid w:val="007D7E0B"/>
    <w:rsid w:val="007E010B"/>
    <w:rsid w:val="007E1EBA"/>
    <w:rsid w:val="007E3093"/>
    <w:rsid w:val="007E415C"/>
    <w:rsid w:val="007E4734"/>
    <w:rsid w:val="007E4AEB"/>
    <w:rsid w:val="007E4F9C"/>
    <w:rsid w:val="007E5248"/>
    <w:rsid w:val="007E6E79"/>
    <w:rsid w:val="007E7926"/>
    <w:rsid w:val="007E7FEF"/>
    <w:rsid w:val="007F019F"/>
    <w:rsid w:val="007F0BE3"/>
    <w:rsid w:val="007F42D0"/>
    <w:rsid w:val="007F4D86"/>
    <w:rsid w:val="007F524A"/>
    <w:rsid w:val="007F5441"/>
    <w:rsid w:val="007F5ACF"/>
    <w:rsid w:val="007F6965"/>
    <w:rsid w:val="00800DAD"/>
    <w:rsid w:val="008011B9"/>
    <w:rsid w:val="00801A2D"/>
    <w:rsid w:val="00802FC2"/>
    <w:rsid w:val="008033DD"/>
    <w:rsid w:val="00803EFA"/>
    <w:rsid w:val="00805DAF"/>
    <w:rsid w:val="00805FF6"/>
    <w:rsid w:val="00806029"/>
    <w:rsid w:val="0080616C"/>
    <w:rsid w:val="008102B4"/>
    <w:rsid w:val="00812645"/>
    <w:rsid w:val="00812DD1"/>
    <w:rsid w:val="008134DA"/>
    <w:rsid w:val="0081387B"/>
    <w:rsid w:val="00814C83"/>
    <w:rsid w:val="00815CCE"/>
    <w:rsid w:val="008161CB"/>
    <w:rsid w:val="00816BCC"/>
    <w:rsid w:val="008207C8"/>
    <w:rsid w:val="00820BBA"/>
    <w:rsid w:val="008214F5"/>
    <w:rsid w:val="008218DD"/>
    <w:rsid w:val="0082292B"/>
    <w:rsid w:val="00822E73"/>
    <w:rsid w:val="00823374"/>
    <w:rsid w:val="008262C0"/>
    <w:rsid w:val="0082671F"/>
    <w:rsid w:val="00826B0B"/>
    <w:rsid w:val="00827A41"/>
    <w:rsid w:val="00827F2A"/>
    <w:rsid w:val="00831118"/>
    <w:rsid w:val="00831ADE"/>
    <w:rsid w:val="00831F6F"/>
    <w:rsid w:val="00834228"/>
    <w:rsid w:val="00835C2B"/>
    <w:rsid w:val="008361A8"/>
    <w:rsid w:val="00836673"/>
    <w:rsid w:val="00836D3C"/>
    <w:rsid w:val="0083797C"/>
    <w:rsid w:val="00837C53"/>
    <w:rsid w:val="00841A0D"/>
    <w:rsid w:val="00841AA0"/>
    <w:rsid w:val="008424DA"/>
    <w:rsid w:val="00842DF9"/>
    <w:rsid w:val="00843D07"/>
    <w:rsid w:val="00844613"/>
    <w:rsid w:val="008451F4"/>
    <w:rsid w:val="008469C2"/>
    <w:rsid w:val="00847830"/>
    <w:rsid w:val="00847A2B"/>
    <w:rsid w:val="00851649"/>
    <w:rsid w:val="00852B32"/>
    <w:rsid w:val="00853E64"/>
    <w:rsid w:val="0085410E"/>
    <w:rsid w:val="0085449D"/>
    <w:rsid w:val="00854898"/>
    <w:rsid w:val="008548CA"/>
    <w:rsid w:val="00856E06"/>
    <w:rsid w:val="008572E0"/>
    <w:rsid w:val="00857B9B"/>
    <w:rsid w:val="008610CC"/>
    <w:rsid w:val="008626AF"/>
    <w:rsid w:val="00862AB2"/>
    <w:rsid w:val="00863B65"/>
    <w:rsid w:val="00864250"/>
    <w:rsid w:val="00864E61"/>
    <w:rsid w:val="00865D64"/>
    <w:rsid w:val="00866523"/>
    <w:rsid w:val="00866676"/>
    <w:rsid w:val="00866721"/>
    <w:rsid w:val="00866CF2"/>
    <w:rsid w:val="00867EF2"/>
    <w:rsid w:val="00871072"/>
    <w:rsid w:val="0087127D"/>
    <w:rsid w:val="008716C2"/>
    <w:rsid w:val="00871B6E"/>
    <w:rsid w:val="0087226F"/>
    <w:rsid w:val="008728EA"/>
    <w:rsid w:val="00872AF7"/>
    <w:rsid w:val="00873705"/>
    <w:rsid w:val="00873779"/>
    <w:rsid w:val="00873D5E"/>
    <w:rsid w:val="008740CB"/>
    <w:rsid w:val="008740DA"/>
    <w:rsid w:val="0087674C"/>
    <w:rsid w:val="00876942"/>
    <w:rsid w:val="0087696E"/>
    <w:rsid w:val="00876B95"/>
    <w:rsid w:val="00877C41"/>
    <w:rsid w:val="00877ECB"/>
    <w:rsid w:val="008823C2"/>
    <w:rsid w:val="00882851"/>
    <w:rsid w:val="00883ED1"/>
    <w:rsid w:val="00884E17"/>
    <w:rsid w:val="00886DEF"/>
    <w:rsid w:val="00890DFA"/>
    <w:rsid w:val="00892563"/>
    <w:rsid w:val="00892570"/>
    <w:rsid w:val="008933BC"/>
    <w:rsid w:val="0089528E"/>
    <w:rsid w:val="008954E2"/>
    <w:rsid w:val="00895F74"/>
    <w:rsid w:val="00897CC1"/>
    <w:rsid w:val="008A1B89"/>
    <w:rsid w:val="008A2C1C"/>
    <w:rsid w:val="008A35B3"/>
    <w:rsid w:val="008A4008"/>
    <w:rsid w:val="008A4607"/>
    <w:rsid w:val="008A4963"/>
    <w:rsid w:val="008A5D8A"/>
    <w:rsid w:val="008A68A0"/>
    <w:rsid w:val="008B0956"/>
    <w:rsid w:val="008B1286"/>
    <w:rsid w:val="008B3931"/>
    <w:rsid w:val="008B416A"/>
    <w:rsid w:val="008B44F4"/>
    <w:rsid w:val="008B4F74"/>
    <w:rsid w:val="008B5EDD"/>
    <w:rsid w:val="008B6063"/>
    <w:rsid w:val="008B6B9A"/>
    <w:rsid w:val="008B7A54"/>
    <w:rsid w:val="008C0759"/>
    <w:rsid w:val="008C0BFA"/>
    <w:rsid w:val="008C0DB8"/>
    <w:rsid w:val="008C0F94"/>
    <w:rsid w:val="008C19A5"/>
    <w:rsid w:val="008C2383"/>
    <w:rsid w:val="008C244C"/>
    <w:rsid w:val="008C3672"/>
    <w:rsid w:val="008C5669"/>
    <w:rsid w:val="008C66C3"/>
    <w:rsid w:val="008C6C80"/>
    <w:rsid w:val="008C6D54"/>
    <w:rsid w:val="008C6F16"/>
    <w:rsid w:val="008C76CD"/>
    <w:rsid w:val="008C7B2A"/>
    <w:rsid w:val="008C7F41"/>
    <w:rsid w:val="008D16B2"/>
    <w:rsid w:val="008D1FA2"/>
    <w:rsid w:val="008D29C8"/>
    <w:rsid w:val="008D33C9"/>
    <w:rsid w:val="008D40A8"/>
    <w:rsid w:val="008D4A9F"/>
    <w:rsid w:val="008D4B64"/>
    <w:rsid w:val="008D5374"/>
    <w:rsid w:val="008D6B66"/>
    <w:rsid w:val="008D6BD7"/>
    <w:rsid w:val="008D73D7"/>
    <w:rsid w:val="008D7D99"/>
    <w:rsid w:val="008E0D13"/>
    <w:rsid w:val="008E1E56"/>
    <w:rsid w:val="008E1FFE"/>
    <w:rsid w:val="008E2359"/>
    <w:rsid w:val="008E2499"/>
    <w:rsid w:val="008E262C"/>
    <w:rsid w:val="008E2694"/>
    <w:rsid w:val="008E2835"/>
    <w:rsid w:val="008E389D"/>
    <w:rsid w:val="008E3995"/>
    <w:rsid w:val="008E5D37"/>
    <w:rsid w:val="008E656A"/>
    <w:rsid w:val="008E6FA3"/>
    <w:rsid w:val="008F1774"/>
    <w:rsid w:val="008F1ABC"/>
    <w:rsid w:val="008F219F"/>
    <w:rsid w:val="008F4B99"/>
    <w:rsid w:val="008F6686"/>
    <w:rsid w:val="008F6BB0"/>
    <w:rsid w:val="008F79B0"/>
    <w:rsid w:val="0090063E"/>
    <w:rsid w:val="00900C7B"/>
    <w:rsid w:val="00900D56"/>
    <w:rsid w:val="00900FDE"/>
    <w:rsid w:val="00901998"/>
    <w:rsid w:val="00902612"/>
    <w:rsid w:val="0090320A"/>
    <w:rsid w:val="00904C5E"/>
    <w:rsid w:val="0090673C"/>
    <w:rsid w:val="00906AC9"/>
    <w:rsid w:val="00906D97"/>
    <w:rsid w:val="009111F4"/>
    <w:rsid w:val="0091245F"/>
    <w:rsid w:val="009125A5"/>
    <w:rsid w:val="00913647"/>
    <w:rsid w:val="00915678"/>
    <w:rsid w:val="0091619D"/>
    <w:rsid w:val="00916570"/>
    <w:rsid w:val="00916E5F"/>
    <w:rsid w:val="00920D88"/>
    <w:rsid w:val="009229C2"/>
    <w:rsid w:val="0092392F"/>
    <w:rsid w:val="009239C7"/>
    <w:rsid w:val="00923CC5"/>
    <w:rsid w:val="00924432"/>
    <w:rsid w:val="00924B33"/>
    <w:rsid w:val="00924D36"/>
    <w:rsid w:val="0092543B"/>
    <w:rsid w:val="00925EF9"/>
    <w:rsid w:val="0092699B"/>
    <w:rsid w:val="00927272"/>
    <w:rsid w:val="00927E4F"/>
    <w:rsid w:val="00930652"/>
    <w:rsid w:val="009315EA"/>
    <w:rsid w:val="00931856"/>
    <w:rsid w:val="00931E6E"/>
    <w:rsid w:val="00932CBD"/>
    <w:rsid w:val="00934867"/>
    <w:rsid w:val="00935382"/>
    <w:rsid w:val="009354AA"/>
    <w:rsid w:val="00935D0F"/>
    <w:rsid w:val="009374D3"/>
    <w:rsid w:val="009379F1"/>
    <w:rsid w:val="00940731"/>
    <w:rsid w:val="00942073"/>
    <w:rsid w:val="009429C7"/>
    <w:rsid w:val="00943182"/>
    <w:rsid w:val="0094643E"/>
    <w:rsid w:val="00947102"/>
    <w:rsid w:val="009476D5"/>
    <w:rsid w:val="0094780D"/>
    <w:rsid w:val="00950D2F"/>
    <w:rsid w:val="009510CD"/>
    <w:rsid w:val="00952738"/>
    <w:rsid w:val="00952F4C"/>
    <w:rsid w:val="009530F9"/>
    <w:rsid w:val="00953A80"/>
    <w:rsid w:val="00955032"/>
    <w:rsid w:val="0095657E"/>
    <w:rsid w:val="00960CF3"/>
    <w:rsid w:val="009616B2"/>
    <w:rsid w:val="009633EF"/>
    <w:rsid w:val="00963681"/>
    <w:rsid w:val="009645B0"/>
    <w:rsid w:val="00964D92"/>
    <w:rsid w:val="00965494"/>
    <w:rsid w:val="009665DC"/>
    <w:rsid w:val="009668BF"/>
    <w:rsid w:val="00966944"/>
    <w:rsid w:val="00967436"/>
    <w:rsid w:val="00967DA0"/>
    <w:rsid w:val="00967DB4"/>
    <w:rsid w:val="00971CEF"/>
    <w:rsid w:val="00976DD7"/>
    <w:rsid w:val="00976EFF"/>
    <w:rsid w:val="00977A4F"/>
    <w:rsid w:val="00977A5D"/>
    <w:rsid w:val="00982A29"/>
    <w:rsid w:val="00982D75"/>
    <w:rsid w:val="00983271"/>
    <w:rsid w:val="00984825"/>
    <w:rsid w:val="009848E9"/>
    <w:rsid w:val="00984D24"/>
    <w:rsid w:val="00985605"/>
    <w:rsid w:val="0098592E"/>
    <w:rsid w:val="009862B0"/>
    <w:rsid w:val="00986B02"/>
    <w:rsid w:val="00986DC4"/>
    <w:rsid w:val="00987E21"/>
    <w:rsid w:val="009900F9"/>
    <w:rsid w:val="00990B32"/>
    <w:rsid w:val="009918D6"/>
    <w:rsid w:val="00991E04"/>
    <w:rsid w:val="0099387C"/>
    <w:rsid w:val="00993904"/>
    <w:rsid w:val="00994A07"/>
    <w:rsid w:val="009957C5"/>
    <w:rsid w:val="00995C4A"/>
    <w:rsid w:val="00995DAE"/>
    <w:rsid w:val="00996361"/>
    <w:rsid w:val="009964D3"/>
    <w:rsid w:val="009A2511"/>
    <w:rsid w:val="009A2940"/>
    <w:rsid w:val="009A3F2A"/>
    <w:rsid w:val="009A4135"/>
    <w:rsid w:val="009A5707"/>
    <w:rsid w:val="009A7E88"/>
    <w:rsid w:val="009B0C92"/>
    <w:rsid w:val="009B1380"/>
    <w:rsid w:val="009B13FF"/>
    <w:rsid w:val="009B2B93"/>
    <w:rsid w:val="009B4EF4"/>
    <w:rsid w:val="009B5D72"/>
    <w:rsid w:val="009B7E73"/>
    <w:rsid w:val="009C047A"/>
    <w:rsid w:val="009C3CD3"/>
    <w:rsid w:val="009C3E12"/>
    <w:rsid w:val="009C5416"/>
    <w:rsid w:val="009C5718"/>
    <w:rsid w:val="009C5947"/>
    <w:rsid w:val="009C64D7"/>
    <w:rsid w:val="009C7738"/>
    <w:rsid w:val="009D05B2"/>
    <w:rsid w:val="009D06F9"/>
    <w:rsid w:val="009D0ABD"/>
    <w:rsid w:val="009D1897"/>
    <w:rsid w:val="009D1AE5"/>
    <w:rsid w:val="009D32C4"/>
    <w:rsid w:val="009D396A"/>
    <w:rsid w:val="009D5277"/>
    <w:rsid w:val="009D5906"/>
    <w:rsid w:val="009D5B39"/>
    <w:rsid w:val="009D7B71"/>
    <w:rsid w:val="009E0E13"/>
    <w:rsid w:val="009E0F49"/>
    <w:rsid w:val="009E176F"/>
    <w:rsid w:val="009E2398"/>
    <w:rsid w:val="009E29B8"/>
    <w:rsid w:val="009E2F83"/>
    <w:rsid w:val="009E3038"/>
    <w:rsid w:val="009E3D17"/>
    <w:rsid w:val="009E4B47"/>
    <w:rsid w:val="009E4E2C"/>
    <w:rsid w:val="009E6C41"/>
    <w:rsid w:val="009E7EA8"/>
    <w:rsid w:val="009F107B"/>
    <w:rsid w:val="009F35AF"/>
    <w:rsid w:val="009F4164"/>
    <w:rsid w:val="009F49E8"/>
    <w:rsid w:val="009F5A39"/>
    <w:rsid w:val="009F6447"/>
    <w:rsid w:val="009F7259"/>
    <w:rsid w:val="009F781B"/>
    <w:rsid w:val="009F7F1F"/>
    <w:rsid w:val="00A0058A"/>
    <w:rsid w:val="00A00AAB"/>
    <w:rsid w:val="00A00CCC"/>
    <w:rsid w:val="00A03568"/>
    <w:rsid w:val="00A03DC9"/>
    <w:rsid w:val="00A04ED6"/>
    <w:rsid w:val="00A079DE"/>
    <w:rsid w:val="00A07ADB"/>
    <w:rsid w:val="00A1101A"/>
    <w:rsid w:val="00A11881"/>
    <w:rsid w:val="00A11B53"/>
    <w:rsid w:val="00A136D4"/>
    <w:rsid w:val="00A13F6C"/>
    <w:rsid w:val="00A14442"/>
    <w:rsid w:val="00A149BC"/>
    <w:rsid w:val="00A149CD"/>
    <w:rsid w:val="00A14E84"/>
    <w:rsid w:val="00A154A9"/>
    <w:rsid w:val="00A15B61"/>
    <w:rsid w:val="00A15CA3"/>
    <w:rsid w:val="00A16311"/>
    <w:rsid w:val="00A17335"/>
    <w:rsid w:val="00A177EB"/>
    <w:rsid w:val="00A178A4"/>
    <w:rsid w:val="00A178D2"/>
    <w:rsid w:val="00A17F86"/>
    <w:rsid w:val="00A22CB4"/>
    <w:rsid w:val="00A23246"/>
    <w:rsid w:val="00A252AD"/>
    <w:rsid w:val="00A25DCA"/>
    <w:rsid w:val="00A25E21"/>
    <w:rsid w:val="00A269A2"/>
    <w:rsid w:val="00A26D86"/>
    <w:rsid w:val="00A3236E"/>
    <w:rsid w:val="00A3362C"/>
    <w:rsid w:val="00A35279"/>
    <w:rsid w:val="00A37202"/>
    <w:rsid w:val="00A376ED"/>
    <w:rsid w:val="00A42135"/>
    <w:rsid w:val="00A42AC5"/>
    <w:rsid w:val="00A439CB"/>
    <w:rsid w:val="00A4479A"/>
    <w:rsid w:val="00A45577"/>
    <w:rsid w:val="00A4584A"/>
    <w:rsid w:val="00A45B52"/>
    <w:rsid w:val="00A472FF"/>
    <w:rsid w:val="00A47B5C"/>
    <w:rsid w:val="00A50B55"/>
    <w:rsid w:val="00A51880"/>
    <w:rsid w:val="00A51B6C"/>
    <w:rsid w:val="00A522AD"/>
    <w:rsid w:val="00A55499"/>
    <w:rsid w:val="00A565C7"/>
    <w:rsid w:val="00A56B65"/>
    <w:rsid w:val="00A56BCB"/>
    <w:rsid w:val="00A56E61"/>
    <w:rsid w:val="00A574F8"/>
    <w:rsid w:val="00A60876"/>
    <w:rsid w:val="00A616FE"/>
    <w:rsid w:val="00A6211F"/>
    <w:rsid w:val="00A622F4"/>
    <w:rsid w:val="00A6296E"/>
    <w:rsid w:val="00A63D37"/>
    <w:rsid w:val="00A63E0A"/>
    <w:rsid w:val="00A63FDB"/>
    <w:rsid w:val="00A642A4"/>
    <w:rsid w:val="00A6454B"/>
    <w:rsid w:val="00A64FA7"/>
    <w:rsid w:val="00A6528D"/>
    <w:rsid w:val="00A6575C"/>
    <w:rsid w:val="00A66189"/>
    <w:rsid w:val="00A66D1E"/>
    <w:rsid w:val="00A70B35"/>
    <w:rsid w:val="00A70B7F"/>
    <w:rsid w:val="00A728D2"/>
    <w:rsid w:val="00A73DB6"/>
    <w:rsid w:val="00A74393"/>
    <w:rsid w:val="00A743B7"/>
    <w:rsid w:val="00A74F8D"/>
    <w:rsid w:val="00A76241"/>
    <w:rsid w:val="00A77519"/>
    <w:rsid w:val="00A77780"/>
    <w:rsid w:val="00A8008C"/>
    <w:rsid w:val="00A8012F"/>
    <w:rsid w:val="00A80C2D"/>
    <w:rsid w:val="00A810FD"/>
    <w:rsid w:val="00A819FC"/>
    <w:rsid w:val="00A82D9E"/>
    <w:rsid w:val="00A82E28"/>
    <w:rsid w:val="00A8347A"/>
    <w:rsid w:val="00A8645C"/>
    <w:rsid w:val="00A87719"/>
    <w:rsid w:val="00A87FD6"/>
    <w:rsid w:val="00A9008F"/>
    <w:rsid w:val="00A900DD"/>
    <w:rsid w:val="00A917DE"/>
    <w:rsid w:val="00A91983"/>
    <w:rsid w:val="00A93A1C"/>
    <w:rsid w:val="00A95130"/>
    <w:rsid w:val="00A95F25"/>
    <w:rsid w:val="00A9637A"/>
    <w:rsid w:val="00A97209"/>
    <w:rsid w:val="00AA012C"/>
    <w:rsid w:val="00AA196F"/>
    <w:rsid w:val="00AA1F5C"/>
    <w:rsid w:val="00AA3A25"/>
    <w:rsid w:val="00AA3F6B"/>
    <w:rsid w:val="00AA4BA3"/>
    <w:rsid w:val="00AA4F5D"/>
    <w:rsid w:val="00AB015C"/>
    <w:rsid w:val="00AB1059"/>
    <w:rsid w:val="00AB279E"/>
    <w:rsid w:val="00AB2AD3"/>
    <w:rsid w:val="00AB300C"/>
    <w:rsid w:val="00AB300F"/>
    <w:rsid w:val="00AB3A99"/>
    <w:rsid w:val="00AB49A7"/>
    <w:rsid w:val="00AB4A0E"/>
    <w:rsid w:val="00AB4D48"/>
    <w:rsid w:val="00AB513D"/>
    <w:rsid w:val="00AB5AF7"/>
    <w:rsid w:val="00AB627B"/>
    <w:rsid w:val="00AB663E"/>
    <w:rsid w:val="00AB7715"/>
    <w:rsid w:val="00AB7B7C"/>
    <w:rsid w:val="00AB7B83"/>
    <w:rsid w:val="00AC0946"/>
    <w:rsid w:val="00AC18C8"/>
    <w:rsid w:val="00AC2EFC"/>
    <w:rsid w:val="00AC380E"/>
    <w:rsid w:val="00AC3C8B"/>
    <w:rsid w:val="00AC76A9"/>
    <w:rsid w:val="00AC7B5C"/>
    <w:rsid w:val="00AC7E4E"/>
    <w:rsid w:val="00AD080D"/>
    <w:rsid w:val="00AD162B"/>
    <w:rsid w:val="00AD2C48"/>
    <w:rsid w:val="00AD39A4"/>
    <w:rsid w:val="00AD5050"/>
    <w:rsid w:val="00AD52CF"/>
    <w:rsid w:val="00AD7E6E"/>
    <w:rsid w:val="00AE23D9"/>
    <w:rsid w:val="00AE407B"/>
    <w:rsid w:val="00AE452C"/>
    <w:rsid w:val="00AE4F4C"/>
    <w:rsid w:val="00AE52BF"/>
    <w:rsid w:val="00AE6F84"/>
    <w:rsid w:val="00AE7078"/>
    <w:rsid w:val="00AF255A"/>
    <w:rsid w:val="00AF3BD7"/>
    <w:rsid w:val="00AF4766"/>
    <w:rsid w:val="00AF5C4F"/>
    <w:rsid w:val="00AF5EA3"/>
    <w:rsid w:val="00AF6016"/>
    <w:rsid w:val="00AF74DA"/>
    <w:rsid w:val="00AF7B26"/>
    <w:rsid w:val="00B009C4"/>
    <w:rsid w:val="00B01D05"/>
    <w:rsid w:val="00B03B11"/>
    <w:rsid w:val="00B04F5E"/>
    <w:rsid w:val="00B05804"/>
    <w:rsid w:val="00B06F4D"/>
    <w:rsid w:val="00B06FBA"/>
    <w:rsid w:val="00B079B0"/>
    <w:rsid w:val="00B07AE5"/>
    <w:rsid w:val="00B07C1C"/>
    <w:rsid w:val="00B07CC1"/>
    <w:rsid w:val="00B10E4D"/>
    <w:rsid w:val="00B11342"/>
    <w:rsid w:val="00B11680"/>
    <w:rsid w:val="00B12026"/>
    <w:rsid w:val="00B1202D"/>
    <w:rsid w:val="00B1226E"/>
    <w:rsid w:val="00B1564E"/>
    <w:rsid w:val="00B15D53"/>
    <w:rsid w:val="00B20A8D"/>
    <w:rsid w:val="00B20BBD"/>
    <w:rsid w:val="00B23A69"/>
    <w:rsid w:val="00B2538C"/>
    <w:rsid w:val="00B2540A"/>
    <w:rsid w:val="00B26CED"/>
    <w:rsid w:val="00B3058D"/>
    <w:rsid w:val="00B310FD"/>
    <w:rsid w:val="00B314B9"/>
    <w:rsid w:val="00B31A10"/>
    <w:rsid w:val="00B323FC"/>
    <w:rsid w:val="00B32B3A"/>
    <w:rsid w:val="00B33325"/>
    <w:rsid w:val="00B349DA"/>
    <w:rsid w:val="00B350FC"/>
    <w:rsid w:val="00B35A11"/>
    <w:rsid w:val="00B366A3"/>
    <w:rsid w:val="00B36CEC"/>
    <w:rsid w:val="00B370AC"/>
    <w:rsid w:val="00B405A2"/>
    <w:rsid w:val="00B4236C"/>
    <w:rsid w:val="00B4333C"/>
    <w:rsid w:val="00B435CE"/>
    <w:rsid w:val="00B44839"/>
    <w:rsid w:val="00B449D8"/>
    <w:rsid w:val="00B44BD2"/>
    <w:rsid w:val="00B46BCA"/>
    <w:rsid w:val="00B47037"/>
    <w:rsid w:val="00B4771F"/>
    <w:rsid w:val="00B5034B"/>
    <w:rsid w:val="00B5080F"/>
    <w:rsid w:val="00B50C5E"/>
    <w:rsid w:val="00B51212"/>
    <w:rsid w:val="00B513E1"/>
    <w:rsid w:val="00B51D22"/>
    <w:rsid w:val="00B522B3"/>
    <w:rsid w:val="00B5416E"/>
    <w:rsid w:val="00B54EFC"/>
    <w:rsid w:val="00B56A11"/>
    <w:rsid w:val="00B6133A"/>
    <w:rsid w:val="00B6320B"/>
    <w:rsid w:val="00B63C14"/>
    <w:rsid w:val="00B64656"/>
    <w:rsid w:val="00B651C6"/>
    <w:rsid w:val="00B656AF"/>
    <w:rsid w:val="00B65A4C"/>
    <w:rsid w:val="00B65C36"/>
    <w:rsid w:val="00B65D7A"/>
    <w:rsid w:val="00B678C1"/>
    <w:rsid w:val="00B703F4"/>
    <w:rsid w:val="00B70D98"/>
    <w:rsid w:val="00B71A69"/>
    <w:rsid w:val="00B71C44"/>
    <w:rsid w:val="00B73BF2"/>
    <w:rsid w:val="00B73E91"/>
    <w:rsid w:val="00B744E0"/>
    <w:rsid w:val="00B74BBB"/>
    <w:rsid w:val="00B755E1"/>
    <w:rsid w:val="00B75FE9"/>
    <w:rsid w:val="00B769FC"/>
    <w:rsid w:val="00B76BBD"/>
    <w:rsid w:val="00B7712A"/>
    <w:rsid w:val="00B81337"/>
    <w:rsid w:val="00B8271B"/>
    <w:rsid w:val="00B82C01"/>
    <w:rsid w:val="00B83367"/>
    <w:rsid w:val="00B83F38"/>
    <w:rsid w:val="00B85CD4"/>
    <w:rsid w:val="00B85F22"/>
    <w:rsid w:val="00B85F52"/>
    <w:rsid w:val="00B861D4"/>
    <w:rsid w:val="00B8792A"/>
    <w:rsid w:val="00B90701"/>
    <w:rsid w:val="00B90BEE"/>
    <w:rsid w:val="00B93C45"/>
    <w:rsid w:val="00B93FF8"/>
    <w:rsid w:val="00B94E9A"/>
    <w:rsid w:val="00B95896"/>
    <w:rsid w:val="00B9606D"/>
    <w:rsid w:val="00B97473"/>
    <w:rsid w:val="00B975A7"/>
    <w:rsid w:val="00BA0265"/>
    <w:rsid w:val="00BA3C8F"/>
    <w:rsid w:val="00BA4F17"/>
    <w:rsid w:val="00BA5859"/>
    <w:rsid w:val="00BA5B88"/>
    <w:rsid w:val="00BA6F29"/>
    <w:rsid w:val="00BA724A"/>
    <w:rsid w:val="00BA7698"/>
    <w:rsid w:val="00BA7BC0"/>
    <w:rsid w:val="00BB0ED8"/>
    <w:rsid w:val="00BB1435"/>
    <w:rsid w:val="00BB2F7D"/>
    <w:rsid w:val="00BB36FC"/>
    <w:rsid w:val="00BB46FB"/>
    <w:rsid w:val="00BB4CA1"/>
    <w:rsid w:val="00BB55E4"/>
    <w:rsid w:val="00BB5718"/>
    <w:rsid w:val="00BB6D54"/>
    <w:rsid w:val="00BB768B"/>
    <w:rsid w:val="00BC1044"/>
    <w:rsid w:val="00BC1A72"/>
    <w:rsid w:val="00BC2506"/>
    <w:rsid w:val="00BC2E98"/>
    <w:rsid w:val="00BC335B"/>
    <w:rsid w:val="00BC690E"/>
    <w:rsid w:val="00BC730E"/>
    <w:rsid w:val="00BD104A"/>
    <w:rsid w:val="00BD1490"/>
    <w:rsid w:val="00BD1578"/>
    <w:rsid w:val="00BD2A82"/>
    <w:rsid w:val="00BD2CAD"/>
    <w:rsid w:val="00BD394A"/>
    <w:rsid w:val="00BD3C3C"/>
    <w:rsid w:val="00BD56C9"/>
    <w:rsid w:val="00BD6555"/>
    <w:rsid w:val="00BD6AC1"/>
    <w:rsid w:val="00BD7D13"/>
    <w:rsid w:val="00BE03F1"/>
    <w:rsid w:val="00BE05F2"/>
    <w:rsid w:val="00BE13E4"/>
    <w:rsid w:val="00BE1670"/>
    <w:rsid w:val="00BE2061"/>
    <w:rsid w:val="00BE26B4"/>
    <w:rsid w:val="00BE5EA1"/>
    <w:rsid w:val="00BE6583"/>
    <w:rsid w:val="00BF14BF"/>
    <w:rsid w:val="00BF17AA"/>
    <w:rsid w:val="00BF307A"/>
    <w:rsid w:val="00BF326A"/>
    <w:rsid w:val="00BF366E"/>
    <w:rsid w:val="00BF692A"/>
    <w:rsid w:val="00BF6E56"/>
    <w:rsid w:val="00C0019A"/>
    <w:rsid w:val="00C007AD"/>
    <w:rsid w:val="00C01512"/>
    <w:rsid w:val="00C01A2B"/>
    <w:rsid w:val="00C0314C"/>
    <w:rsid w:val="00C036CD"/>
    <w:rsid w:val="00C0421B"/>
    <w:rsid w:val="00C047D6"/>
    <w:rsid w:val="00C04D85"/>
    <w:rsid w:val="00C10B84"/>
    <w:rsid w:val="00C124F4"/>
    <w:rsid w:val="00C1267A"/>
    <w:rsid w:val="00C15231"/>
    <w:rsid w:val="00C164E1"/>
    <w:rsid w:val="00C16A6E"/>
    <w:rsid w:val="00C17052"/>
    <w:rsid w:val="00C20218"/>
    <w:rsid w:val="00C20F08"/>
    <w:rsid w:val="00C216A7"/>
    <w:rsid w:val="00C21C22"/>
    <w:rsid w:val="00C22542"/>
    <w:rsid w:val="00C247B5"/>
    <w:rsid w:val="00C24810"/>
    <w:rsid w:val="00C249D3"/>
    <w:rsid w:val="00C24A1B"/>
    <w:rsid w:val="00C2547A"/>
    <w:rsid w:val="00C272AA"/>
    <w:rsid w:val="00C27C7B"/>
    <w:rsid w:val="00C30B46"/>
    <w:rsid w:val="00C32304"/>
    <w:rsid w:val="00C324A3"/>
    <w:rsid w:val="00C32844"/>
    <w:rsid w:val="00C34451"/>
    <w:rsid w:val="00C350A0"/>
    <w:rsid w:val="00C356A7"/>
    <w:rsid w:val="00C36EB6"/>
    <w:rsid w:val="00C3731F"/>
    <w:rsid w:val="00C37B36"/>
    <w:rsid w:val="00C403C6"/>
    <w:rsid w:val="00C40806"/>
    <w:rsid w:val="00C41771"/>
    <w:rsid w:val="00C41A06"/>
    <w:rsid w:val="00C4221A"/>
    <w:rsid w:val="00C4258E"/>
    <w:rsid w:val="00C43894"/>
    <w:rsid w:val="00C43A40"/>
    <w:rsid w:val="00C44555"/>
    <w:rsid w:val="00C4511E"/>
    <w:rsid w:val="00C45BD8"/>
    <w:rsid w:val="00C47A0C"/>
    <w:rsid w:val="00C52FC7"/>
    <w:rsid w:val="00C53427"/>
    <w:rsid w:val="00C5344E"/>
    <w:rsid w:val="00C547F0"/>
    <w:rsid w:val="00C551A4"/>
    <w:rsid w:val="00C551DC"/>
    <w:rsid w:val="00C55D0D"/>
    <w:rsid w:val="00C56718"/>
    <w:rsid w:val="00C56C3A"/>
    <w:rsid w:val="00C574E9"/>
    <w:rsid w:val="00C57E07"/>
    <w:rsid w:val="00C60354"/>
    <w:rsid w:val="00C6046C"/>
    <w:rsid w:val="00C60812"/>
    <w:rsid w:val="00C60F39"/>
    <w:rsid w:val="00C614E2"/>
    <w:rsid w:val="00C61862"/>
    <w:rsid w:val="00C62444"/>
    <w:rsid w:val="00C62C34"/>
    <w:rsid w:val="00C63242"/>
    <w:rsid w:val="00C64E9B"/>
    <w:rsid w:val="00C65BB2"/>
    <w:rsid w:val="00C66736"/>
    <w:rsid w:val="00C67818"/>
    <w:rsid w:val="00C67B22"/>
    <w:rsid w:val="00C70903"/>
    <w:rsid w:val="00C72C71"/>
    <w:rsid w:val="00C7384E"/>
    <w:rsid w:val="00C74B70"/>
    <w:rsid w:val="00C75D2E"/>
    <w:rsid w:val="00C76A4C"/>
    <w:rsid w:val="00C775E3"/>
    <w:rsid w:val="00C77912"/>
    <w:rsid w:val="00C80226"/>
    <w:rsid w:val="00C805CF"/>
    <w:rsid w:val="00C80641"/>
    <w:rsid w:val="00C816E5"/>
    <w:rsid w:val="00C8170F"/>
    <w:rsid w:val="00C81D64"/>
    <w:rsid w:val="00C8233A"/>
    <w:rsid w:val="00C82CDE"/>
    <w:rsid w:val="00C831C7"/>
    <w:rsid w:val="00C8329C"/>
    <w:rsid w:val="00C83723"/>
    <w:rsid w:val="00C849D3"/>
    <w:rsid w:val="00C84D52"/>
    <w:rsid w:val="00C85010"/>
    <w:rsid w:val="00C851E9"/>
    <w:rsid w:val="00C85CB6"/>
    <w:rsid w:val="00C86F19"/>
    <w:rsid w:val="00C87318"/>
    <w:rsid w:val="00C8742A"/>
    <w:rsid w:val="00C90543"/>
    <w:rsid w:val="00C91086"/>
    <w:rsid w:val="00C92D30"/>
    <w:rsid w:val="00C932AE"/>
    <w:rsid w:val="00C935EC"/>
    <w:rsid w:val="00C9360A"/>
    <w:rsid w:val="00C948BF"/>
    <w:rsid w:val="00C94EAB"/>
    <w:rsid w:val="00C96D58"/>
    <w:rsid w:val="00C97E75"/>
    <w:rsid w:val="00C9AF1C"/>
    <w:rsid w:val="00CA0B25"/>
    <w:rsid w:val="00CA0DC3"/>
    <w:rsid w:val="00CA1AD6"/>
    <w:rsid w:val="00CA5675"/>
    <w:rsid w:val="00CA5ED1"/>
    <w:rsid w:val="00CA7B71"/>
    <w:rsid w:val="00CB00EE"/>
    <w:rsid w:val="00CB035A"/>
    <w:rsid w:val="00CB0CED"/>
    <w:rsid w:val="00CB177B"/>
    <w:rsid w:val="00CB4DA1"/>
    <w:rsid w:val="00CB4F66"/>
    <w:rsid w:val="00CB50BD"/>
    <w:rsid w:val="00CB5C25"/>
    <w:rsid w:val="00CB5F2D"/>
    <w:rsid w:val="00CB6029"/>
    <w:rsid w:val="00CC1948"/>
    <w:rsid w:val="00CC19B4"/>
    <w:rsid w:val="00CC3A6F"/>
    <w:rsid w:val="00CC7BB6"/>
    <w:rsid w:val="00CD169C"/>
    <w:rsid w:val="00CD41E9"/>
    <w:rsid w:val="00CD5695"/>
    <w:rsid w:val="00CD5A5F"/>
    <w:rsid w:val="00CD5B41"/>
    <w:rsid w:val="00CD5C11"/>
    <w:rsid w:val="00CD6CAF"/>
    <w:rsid w:val="00CD6F53"/>
    <w:rsid w:val="00CD7E22"/>
    <w:rsid w:val="00CE144C"/>
    <w:rsid w:val="00CE1851"/>
    <w:rsid w:val="00CE2067"/>
    <w:rsid w:val="00CE2398"/>
    <w:rsid w:val="00CE34DC"/>
    <w:rsid w:val="00CE36D9"/>
    <w:rsid w:val="00CE376E"/>
    <w:rsid w:val="00CE5663"/>
    <w:rsid w:val="00CE58C7"/>
    <w:rsid w:val="00CE6DCD"/>
    <w:rsid w:val="00CE7AFA"/>
    <w:rsid w:val="00CE7C14"/>
    <w:rsid w:val="00CF0640"/>
    <w:rsid w:val="00CF0D97"/>
    <w:rsid w:val="00CF29A8"/>
    <w:rsid w:val="00CF3D00"/>
    <w:rsid w:val="00CF46E0"/>
    <w:rsid w:val="00CF6C9B"/>
    <w:rsid w:val="00D0024B"/>
    <w:rsid w:val="00D01A9E"/>
    <w:rsid w:val="00D02D6B"/>
    <w:rsid w:val="00D03AF0"/>
    <w:rsid w:val="00D03CE5"/>
    <w:rsid w:val="00D0656F"/>
    <w:rsid w:val="00D069D2"/>
    <w:rsid w:val="00D106EC"/>
    <w:rsid w:val="00D10B2F"/>
    <w:rsid w:val="00D125B1"/>
    <w:rsid w:val="00D13A77"/>
    <w:rsid w:val="00D13AB0"/>
    <w:rsid w:val="00D145E0"/>
    <w:rsid w:val="00D150CC"/>
    <w:rsid w:val="00D15BBA"/>
    <w:rsid w:val="00D15C39"/>
    <w:rsid w:val="00D179EF"/>
    <w:rsid w:val="00D17D47"/>
    <w:rsid w:val="00D20435"/>
    <w:rsid w:val="00D20D96"/>
    <w:rsid w:val="00D21527"/>
    <w:rsid w:val="00D21964"/>
    <w:rsid w:val="00D21FCB"/>
    <w:rsid w:val="00D22340"/>
    <w:rsid w:val="00D22CFF"/>
    <w:rsid w:val="00D24D9B"/>
    <w:rsid w:val="00D25281"/>
    <w:rsid w:val="00D256E3"/>
    <w:rsid w:val="00D25923"/>
    <w:rsid w:val="00D26ABF"/>
    <w:rsid w:val="00D26BAF"/>
    <w:rsid w:val="00D274B1"/>
    <w:rsid w:val="00D30D31"/>
    <w:rsid w:val="00D3102E"/>
    <w:rsid w:val="00D3105D"/>
    <w:rsid w:val="00D31569"/>
    <w:rsid w:val="00D31E47"/>
    <w:rsid w:val="00D31F13"/>
    <w:rsid w:val="00D3290C"/>
    <w:rsid w:val="00D334A3"/>
    <w:rsid w:val="00D348B2"/>
    <w:rsid w:val="00D35AC5"/>
    <w:rsid w:val="00D35C29"/>
    <w:rsid w:val="00D365F5"/>
    <w:rsid w:val="00D37381"/>
    <w:rsid w:val="00D4048E"/>
    <w:rsid w:val="00D4052E"/>
    <w:rsid w:val="00D43C5B"/>
    <w:rsid w:val="00D45756"/>
    <w:rsid w:val="00D461B7"/>
    <w:rsid w:val="00D465FE"/>
    <w:rsid w:val="00D47621"/>
    <w:rsid w:val="00D47758"/>
    <w:rsid w:val="00D50182"/>
    <w:rsid w:val="00D50862"/>
    <w:rsid w:val="00D51ADC"/>
    <w:rsid w:val="00D52C88"/>
    <w:rsid w:val="00D53FA4"/>
    <w:rsid w:val="00D553F6"/>
    <w:rsid w:val="00D55F61"/>
    <w:rsid w:val="00D56AE1"/>
    <w:rsid w:val="00D56B1C"/>
    <w:rsid w:val="00D60B37"/>
    <w:rsid w:val="00D60D0B"/>
    <w:rsid w:val="00D622E5"/>
    <w:rsid w:val="00D64B4B"/>
    <w:rsid w:val="00D66872"/>
    <w:rsid w:val="00D67F13"/>
    <w:rsid w:val="00D703AE"/>
    <w:rsid w:val="00D70F6C"/>
    <w:rsid w:val="00D7141D"/>
    <w:rsid w:val="00D71A71"/>
    <w:rsid w:val="00D7384C"/>
    <w:rsid w:val="00D73B95"/>
    <w:rsid w:val="00D74883"/>
    <w:rsid w:val="00D75444"/>
    <w:rsid w:val="00D75B02"/>
    <w:rsid w:val="00D75E05"/>
    <w:rsid w:val="00D75F57"/>
    <w:rsid w:val="00D7711C"/>
    <w:rsid w:val="00D77F61"/>
    <w:rsid w:val="00D816DB"/>
    <w:rsid w:val="00D81E21"/>
    <w:rsid w:val="00D83BFD"/>
    <w:rsid w:val="00D8436D"/>
    <w:rsid w:val="00D86836"/>
    <w:rsid w:val="00D8713C"/>
    <w:rsid w:val="00D873B3"/>
    <w:rsid w:val="00D90325"/>
    <w:rsid w:val="00D903D1"/>
    <w:rsid w:val="00D9040F"/>
    <w:rsid w:val="00D90A0D"/>
    <w:rsid w:val="00D90AB9"/>
    <w:rsid w:val="00D9123D"/>
    <w:rsid w:val="00D91D05"/>
    <w:rsid w:val="00D922AD"/>
    <w:rsid w:val="00D92AFB"/>
    <w:rsid w:val="00D9324D"/>
    <w:rsid w:val="00D93D5D"/>
    <w:rsid w:val="00D94E81"/>
    <w:rsid w:val="00D9536E"/>
    <w:rsid w:val="00DA2286"/>
    <w:rsid w:val="00DA3506"/>
    <w:rsid w:val="00DA4312"/>
    <w:rsid w:val="00DA44E7"/>
    <w:rsid w:val="00DA4B4C"/>
    <w:rsid w:val="00DA52D0"/>
    <w:rsid w:val="00DA53AD"/>
    <w:rsid w:val="00DA55C6"/>
    <w:rsid w:val="00DA589A"/>
    <w:rsid w:val="00DA676C"/>
    <w:rsid w:val="00DA7448"/>
    <w:rsid w:val="00DB0047"/>
    <w:rsid w:val="00DB0B8E"/>
    <w:rsid w:val="00DB1C94"/>
    <w:rsid w:val="00DB2153"/>
    <w:rsid w:val="00DB2AC8"/>
    <w:rsid w:val="00DB2D40"/>
    <w:rsid w:val="00DB31DA"/>
    <w:rsid w:val="00DB391F"/>
    <w:rsid w:val="00DB3ADC"/>
    <w:rsid w:val="00DB4043"/>
    <w:rsid w:val="00DB4B20"/>
    <w:rsid w:val="00DB5D7A"/>
    <w:rsid w:val="00DB62D8"/>
    <w:rsid w:val="00DB65F9"/>
    <w:rsid w:val="00DB6697"/>
    <w:rsid w:val="00DB7429"/>
    <w:rsid w:val="00DB7B67"/>
    <w:rsid w:val="00DB7D6E"/>
    <w:rsid w:val="00DB7DDE"/>
    <w:rsid w:val="00DC06A4"/>
    <w:rsid w:val="00DC0AA5"/>
    <w:rsid w:val="00DC173F"/>
    <w:rsid w:val="00DC1F1C"/>
    <w:rsid w:val="00DC2664"/>
    <w:rsid w:val="00DC26DE"/>
    <w:rsid w:val="00DC3F28"/>
    <w:rsid w:val="00DC5BC1"/>
    <w:rsid w:val="00DD0174"/>
    <w:rsid w:val="00DD0599"/>
    <w:rsid w:val="00DD0791"/>
    <w:rsid w:val="00DD2028"/>
    <w:rsid w:val="00DD28FC"/>
    <w:rsid w:val="00DD2A90"/>
    <w:rsid w:val="00DD3A9F"/>
    <w:rsid w:val="00DD4E9B"/>
    <w:rsid w:val="00DD55A2"/>
    <w:rsid w:val="00DD58E9"/>
    <w:rsid w:val="00DD5E2D"/>
    <w:rsid w:val="00DD7161"/>
    <w:rsid w:val="00DE0B70"/>
    <w:rsid w:val="00DE318D"/>
    <w:rsid w:val="00DE357C"/>
    <w:rsid w:val="00DE5327"/>
    <w:rsid w:val="00DE6047"/>
    <w:rsid w:val="00DE716D"/>
    <w:rsid w:val="00DE7735"/>
    <w:rsid w:val="00DF0F31"/>
    <w:rsid w:val="00DF1B15"/>
    <w:rsid w:val="00DF288A"/>
    <w:rsid w:val="00DF2D5C"/>
    <w:rsid w:val="00DF334D"/>
    <w:rsid w:val="00DF5D04"/>
    <w:rsid w:val="00DF70B8"/>
    <w:rsid w:val="00DF7749"/>
    <w:rsid w:val="00E00779"/>
    <w:rsid w:val="00E0099E"/>
    <w:rsid w:val="00E00BFB"/>
    <w:rsid w:val="00E0160B"/>
    <w:rsid w:val="00E01668"/>
    <w:rsid w:val="00E02203"/>
    <w:rsid w:val="00E02740"/>
    <w:rsid w:val="00E027B9"/>
    <w:rsid w:val="00E03AD0"/>
    <w:rsid w:val="00E04357"/>
    <w:rsid w:val="00E04517"/>
    <w:rsid w:val="00E0520A"/>
    <w:rsid w:val="00E05528"/>
    <w:rsid w:val="00E0630D"/>
    <w:rsid w:val="00E06F6E"/>
    <w:rsid w:val="00E07235"/>
    <w:rsid w:val="00E07944"/>
    <w:rsid w:val="00E10085"/>
    <w:rsid w:val="00E10D99"/>
    <w:rsid w:val="00E114A4"/>
    <w:rsid w:val="00E12198"/>
    <w:rsid w:val="00E12B97"/>
    <w:rsid w:val="00E13581"/>
    <w:rsid w:val="00E13B3A"/>
    <w:rsid w:val="00E14951"/>
    <w:rsid w:val="00E153E5"/>
    <w:rsid w:val="00E154F8"/>
    <w:rsid w:val="00E15634"/>
    <w:rsid w:val="00E16640"/>
    <w:rsid w:val="00E16A1F"/>
    <w:rsid w:val="00E17588"/>
    <w:rsid w:val="00E17CD7"/>
    <w:rsid w:val="00E20543"/>
    <w:rsid w:val="00E205F8"/>
    <w:rsid w:val="00E20AF8"/>
    <w:rsid w:val="00E213D2"/>
    <w:rsid w:val="00E21A3B"/>
    <w:rsid w:val="00E22972"/>
    <w:rsid w:val="00E248EC"/>
    <w:rsid w:val="00E25E8A"/>
    <w:rsid w:val="00E263D8"/>
    <w:rsid w:val="00E26CBC"/>
    <w:rsid w:val="00E26E67"/>
    <w:rsid w:val="00E30004"/>
    <w:rsid w:val="00E30CA3"/>
    <w:rsid w:val="00E30D44"/>
    <w:rsid w:val="00E31250"/>
    <w:rsid w:val="00E31445"/>
    <w:rsid w:val="00E31934"/>
    <w:rsid w:val="00E31CBF"/>
    <w:rsid w:val="00E324E4"/>
    <w:rsid w:val="00E32A95"/>
    <w:rsid w:val="00E32E3A"/>
    <w:rsid w:val="00E33C9F"/>
    <w:rsid w:val="00E34534"/>
    <w:rsid w:val="00E34958"/>
    <w:rsid w:val="00E34B5B"/>
    <w:rsid w:val="00E3526A"/>
    <w:rsid w:val="00E36F30"/>
    <w:rsid w:val="00E4050A"/>
    <w:rsid w:val="00E41138"/>
    <w:rsid w:val="00E4231F"/>
    <w:rsid w:val="00E43543"/>
    <w:rsid w:val="00E43AEC"/>
    <w:rsid w:val="00E44277"/>
    <w:rsid w:val="00E44B12"/>
    <w:rsid w:val="00E44C6F"/>
    <w:rsid w:val="00E45302"/>
    <w:rsid w:val="00E459F2"/>
    <w:rsid w:val="00E45AD3"/>
    <w:rsid w:val="00E45FC9"/>
    <w:rsid w:val="00E46516"/>
    <w:rsid w:val="00E466F6"/>
    <w:rsid w:val="00E46C45"/>
    <w:rsid w:val="00E4759D"/>
    <w:rsid w:val="00E47A74"/>
    <w:rsid w:val="00E5054D"/>
    <w:rsid w:val="00E532AF"/>
    <w:rsid w:val="00E53A2A"/>
    <w:rsid w:val="00E54264"/>
    <w:rsid w:val="00E547FE"/>
    <w:rsid w:val="00E54C37"/>
    <w:rsid w:val="00E573D5"/>
    <w:rsid w:val="00E577D9"/>
    <w:rsid w:val="00E57AB0"/>
    <w:rsid w:val="00E60311"/>
    <w:rsid w:val="00E6131B"/>
    <w:rsid w:val="00E62390"/>
    <w:rsid w:val="00E632CD"/>
    <w:rsid w:val="00E65077"/>
    <w:rsid w:val="00E6600B"/>
    <w:rsid w:val="00E663CF"/>
    <w:rsid w:val="00E66790"/>
    <w:rsid w:val="00E67847"/>
    <w:rsid w:val="00E71915"/>
    <w:rsid w:val="00E727C7"/>
    <w:rsid w:val="00E72F2E"/>
    <w:rsid w:val="00E73172"/>
    <w:rsid w:val="00E73180"/>
    <w:rsid w:val="00E73A8C"/>
    <w:rsid w:val="00E73BF2"/>
    <w:rsid w:val="00E73CDF"/>
    <w:rsid w:val="00E745DE"/>
    <w:rsid w:val="00E74DEE"/>
    <w:rsid w:val="00E755D2"/>
    <w:rsid w:val="00E759BC"/>
    <w:rsid w:val="00E75DAC"/>
    <w:rsid w:val="00E80BEB"/>
    <w:rsid w:val="00E81E58"/>
    <w:rsid w:val="00E81ED1"/>
    <w:rsid w:val="00E823AE"/>
    <w:rsid w:val="00E827D4"/>
    <w:rsid w:val="00E8391D"/>
    <w:rsid w:val="00E85032"/>
    <w:rsid w:val="00E856FA"/>
    <w:rsid w:val="00E85F34"/>
    <w:rsid w:val="00E8658F"/>
    <w:rsid w:val="00E86B7D"/>
    <w:rsid w:val="00E86F8F"/>
    <w:rsid w:val="00E90E25"/>
    <w:rsid w:val="00E92E10"/>
    <w:rsid w:val="00E936A8"/>
    <w:rsid w:val="00E94483"/>
    <w:rsid w:val="00E95B0E"/>
    <w:rsid w:val="00E95F77"/>
    <w:rsid w:val="00E961C0"/>
    <w:rsid w:val="00E979AB"/>
    <w:rsid w:val="00E97AC0"/>
    <w:rsid w:val="00E97E3B"/>
    <w:rsid w:val="00EA0DAC"/>
    <w:rsid w:val="00EA1D3F"/>
    <w:rsid w:val="00EA3879"/>
    <w:rsid w:val="00EA464C"/>
    <w:rsid w:val="00EA4846"/>
    <w:rsid w:val="00EA48B6"/>
    <w:rsid w:val="00EA49BB"/>
    <w:rsid w:val="00EA4BFC"/>
    <w:rsid w:val="00EA524D"/>
    <w:rsid w:val="00EA53E5"/>
    <w:rsid w:val="00EA5E58"/>
    <w:rsid w:val="00EA6A01"/>
    <w:rsid w:val="00EA6C76"/>
    <w:rsid w:val="00EA72D4"/>
    <w:rsid w:val="00EA7F55"/>
    <w:rsid w:val="00EAADCB"/>
    <w:rsid w:val="00EB004E"/>
    <w:rsid w:val="00EB1087"/>
    <w:rsid w:val="00EB114C"/>
    <w:rsid w:val="00EB16F9"/>
    <w:rsid w:val="00EB17F8"/>
    <w:rsid w:val="00EB1B6E"/>
    <w:rsid w:val="00EB3DEB"/>
    <w:rsid w:val="00EB42CA"/>
    <w:rsid w:val="00EB4502"/>
    <w:rsid w:val="00EB573A"/>
    <w:rsid w:val="00EB58A6"/>
    <w:rsid w:val="00EB60EC"/>
    <w:rsid w:val="00EB6740"/>
    <w:rsid w:val="00EC0493"/>
    <w:rsid w:val="00EC050B"/>
    <w:rsid w:val="00EC19B7"/>
    <w:rsid w:val="00EC1FE8"/>
    <w:rsid w:val="00EC2088"/>
    <w:rsid w:val="00EC39BC"/>
    <w:rsid w:val="00EC3AF4"/>
    <w:rsid w:val="00EC5289"/>
    <w:rsid w:val="00EC6715"/>
    <w:rsid w:val="00ED05C3"/>
    <w:rsid w:val="00ED32C0"/>
    <w:rsid w:val="00ED3593"/>
    <w:rsid w:val="00ED3650"/>
    <w:rsid w:val="00ED518F"/>
    <w:rsid w:val="00ED7848"/>
    <w:rsid w:val="00ED7B88"/>
    <w:rsid w:val="00EE0FAC"/>
    <w:rsid w:val="00EE140B"/>
    <w:rsid w:val="00EE1BD9"/>
    <w:rsid w:val="00EE2183"/>
    <w:rsid w:val="00EE6E1A"/>
    <w:rsid w:val="00EF0223"/>
    <w:rsid w:val="00EF22B1"/>
    <w:rsid w:val="00EF24BB"/>
    <w:rsid w:val="00EF4819"/>
    <w:rsid w:val="00EF4A0D"/>
    <w:rsid w:val="00EF5308"/>
    <w:rsid w:val="00F01483"/>
    <w:rsid w:val="00F01E80"/>
    <w:rsid w:val="00F01F04"/>
    <w:rsid w:val="00F02D72"/>
    <w:rsid w:val="00F03003"/>
    <w:rsid w:val="00F03FB2"/>
    <w:rsid w:val="00F040E2"/>
    <w:rsid w:val="00F04FFC"/>
    <w:rsid w:val="00F058F7"/>
    <w:rsid w:val="00F10687"/>
    <w:rsid w:val="00F117A6"/>
    <w:rsid w:val="00F11A57"/>
    <w:rsid w:val="00F127B3"/>
    <w:rsid w:val="00F12B90"/>
    <w:rsid w:val="00F13AF1"/>
    <w:rsid w:val="00F13E6A"/>
    <w:rsid w:val="00F149CC"/>
    <w:rsid w:val="00F14EBF"/>
    <w:rsid w:val="00F15453"/>
    <w:rsid w:val="00F15699"/>
    <w:rsid w:val="00F15AF4"/>
    <w:rsid w:val="00F20AAA"/>
    <w:rsid w:val="00F20B20"/>
    <w:rsid w:val="00F221E4"/>
    <w:rsid w:val="00F22E87"/>
    <w:rsid w:val="00F2375E"/>
    <w:rsid w:val="00F2387E"/>
    <w:rsid w:val="00F23FF8"/>
    <w:rsid w:val="00F25DE7"/>
    <w:rsid w:val="00F277B8"/>
    <w:rsid w:val="00F278DB"/>
    <w:rsid w:val="00F27A24"/>
    <w:rsid w:val="00F300CC"/>
    <w:rsid w:val="00F32710"/>
    <w:rsid w:val="00F32A25"/>
    <w:rsid w:val="00F334A5"/>
    <w:rsid w:val="00F342A6"/>
    <w:rsid w:val="00F342DB"/>
    <w:rsid w:val="00F355BA"/>
    <w:rsid w:val="00F355EA"/>
    <w:rsid w:val="00F36C3F"/>
    <w:rsid w:val="00F36C7E"/>
    <w:rsid w:val="00F3744B"/>
    <w:rsid w:val="00F37B09"/>
    <w:rsid w:val="00F37DE5"/>
    <w:rsid w:val="00F37E1B"/>
    <w:rsid w:val="00F40241"/>
    <w:rsid w:val="00F41B74"/>
    <w:rsid w:val="00F42DFC"/>
    <w:rsid w:val="00F43564"/>
    <w:rsid w:val="00F43E59"/>
    <w:rsid w:val="00F4476C"/>
    <w:rsid w:val="00F448C5"/>
    <w:rsid w:val="00F45165"/>
    <w:rsid w:val="00F452B1"/>
    <w:rsid w:val="00F458A4"/>
    <w:rsid w:val="00F477B2"/>
    <w:rsid w:val="00F477BC"/>
    <w:rsid w:val="00F4799B"/>
    <w:rsid w:val="00F52ADC"/>
    <w:rsid w:val="00F52D5E"/>
    <w:rsid w:val="00F54CCA"/>
    <w:rsid w:val="00F57166"/>
    <w:rsid w:val="00F619AD"/>
    <w:rsid w:val="00F61C01"/>
    <w:rsid w:val="00F62D0D"/>
    <w:rsid w:val="00F63D90"/>
    <w:rsid w:val="00F63E6D"/>
    <w:rsid w:val="00F65189"/>
    <w:rsid w:val="00F72886"/>
    <w:rsid w:val="00F73182"/>
    <w:rsid w:val="00F73770"/>
    <w:rsid w:val="00F75CB6"/>
    <w:rsid w:val="00F76D4E"/>
    <w:rsid w:val="00F77359"/>
    <w:rsid w:val="00F774D8"/>
    <w:rsid w:val="00F80C33"/>
    <w:rsid w:val="00F84AA5"/>
    <w:rsid w:val="00F84C0E"/>
    <w:rsid w:val="00F84D83"/>
    <w:rsid w:val="00F85E35"/>
    <w:rsid w:val="00F85E57"/>
    <w:rsid w:val="00F86F62"/>
    <w:rsid w:val="00F87A3F"/>
    <w:rsid w:val="00F87BE8"/>
    <w:rsid w:val="00F90288"/>
    <w:rsid w:val="00F917D5"/>
    <w:rsid w:val="00F91A8E"/>
    <w:rsid w:val="00F92064"/>
    <w:rsid w:val="00F9287E"/>
    <w:rsid w:val="00F92A0A"/>
    <w:rsid w:val="00F94D6D"/>
    <w:rsid w:val="00F9500F"/>
    <w:rsid w:val="00F9537C"/>
    <w:rsid w:val="00F9614C"/>
    <w:rsid w:val="00F96165"/>
    <w:rsid w:val="00F96493"/>
    <w:rsid w:val="00F96BB5"/>
    <w:rsid w:val="00FA06CD"/>
    <w:rsid w:val="00FA0808"/>
    <w:rsid w:val="00FA106E"/>
    <w:rsid w:val="00FA18C4"/>
    <w:rsid w:val="00FA1954"/>
    <w:rsid w:val="00FA2B84"/>
    <w:rsid w:val="00FA4684"/>
    <w:rsid w:val="00FA48C9"/>
    <w:rsid w:val="00FA55BC"/>
    <w:rsid w:val="00FA5ECF"/>
    <w:rsid w:val="00FA69B4"/>
    <w:rsid w:val="00FA7691"/>
    <w:rsid w:val="00FA771C"/>
    <w:rsid w:val="00FA7A62"/>
    <w:rsid w:val="00FB00DC"/>
    <w:rsid w:val="00FB18AD"/>
    <w:rsid w:val="00FB1ABE"/>
    <w:rsid w:val="00FB2149"/>
    <w:rsid w:val="00FB2938"/>
    <w:rsid w:val="00FB2AC3"/>
    <w:rsid w:val="00FB2ADE"/>
    <w:rsid w:val="00FB3059"/>
    <w:rsid w:val="00FB4BC7"/>
    <w:rsid w:val="00FB4C67"/>
    <w:rsid w:val="00FB592F"/>
    <w:rsid w:val="00FB5B3A"/>
    <w:rsid w:val="00FC0947"/>
    <w:rsid w:val="00FC11D9"/>
    <w:rsid w:val="00FC2396"/>
    <w:rsid w:val="00FC2EAE"/>
    <w:rsid w:val="00FC30DB"/>
    <w:rsid w:val="00FC4E41"/>
    <w:rsid w:val="00FC53B4"/>
    <w:rsid w:val="00FC56B4"/>
    <w:rsid w:val="00FC6D22"/>
    <w:rsid w:val="00FC6E65"/>
    <w:rsid w:val="00FC7128"/>
    <w:rsid w:val="00FC7D71"/>
    <w:rsid w:val="00FD06AB"/>
    <w:rsid w:val="00FD1053"/>
    <w:rsid w:val="00FD1713"/>
    <w:rsid w:val="00FD1960"/>
    <w:rsid w:val="00FD1DE4"/>
    <w:rsid w:val="00FD3809"/>
    <w:rsid w:val="00FD3E30"/>
    <w:rsid w:val="00FD3F77"/>
    <w:rsid w:val="00FD5597"/>
    <w:rsid w:val="00FD69CE"/>
    <w:rsid w:val="00FD6B84"/>
    <w:rsid w:val="00FE2D45"/>
    <w:rsid w:val="00FE3DB4"/>
    <w:rsid w:val="00FE3E48"/>
    <w:rsid w:val="00FE6540"/>
    <w:rsid w:val="00FE65AA"/>
    <w:rsid w:val="00FE6DFF"/>
    <w:rsid w:val="00FE72EB"/>
    <w:rsid w:val="00FE7DBF"/>
    <w:rsid w:val="00FF0D89"/>
    <w:rsid w:val="00FF1220"/>
    <w:rsid w:val="00FF1F85"/>
    <w:rsid w:val="00FF2ECB"/>
    <w:rsid w:val="00FF2F84"/>
    <w:rsid w:val="00FF368F"/>
    <w:rsid w:val="00FF37BF"/>
    <w:rsid w:val="00FF4D59"/>
    <w:rsid w:val="00FF5DB4"/>
    <w:rsid w:val="00FF5FE5"/>
    <w:rsid w:val="00FF66B7"/>
    <w:rsid w:val="00FF6DAC"/>
    <w:rsid w:val="00FF6E6D"/>
    <w:rsid w:val="010A205B"/>
    <w:rsid w:val="010A5465"/>
    <w:rsid w:val="0116CF81"/>
    <w:rsid w:val="0148E4F4"/>
    <w:rsid w:val="0154B078"/>
    <w:rsid w:val="015DFA4C"/>
    <w:rsid w:val="017A6C63"/>
    <w:rsid w:val="017FABA1"/>
    <w:rsid w:val="0180AAD9"/>
    <w:rsid w:val="0188AFB0"/>
    <w:rsid w:val="018DB6D2"/>
    <w:rsid w:val="01917640"/>
    <w:rsid w:val="01A4211E"/>
    <w:rsid w:val="01BF3402"/>
    <w:rsid w:val="01E6DB4F"/>
    <w:rsid w:val="01FCBEF6"/>
    <w:rsid w:val="01FFC2DF"/>
    <w:rsid w:val="0231BE75"/>
    <w:rsid w:val="02469CCE"/>
    <w:rsid w:val="02476031"/>
    <w:rsid w:val="0248AF23"/>
    <w:rsid w:val="02AA6544"/>
    <w:rsid w:val="02AE47F9"/>
    <w:rsid w:val="02C9F278"/>
    <w:rsid w:val="02DBFD21"/>
    <w:rsid w:val="03191582"/>
    <w:rsid w:val="03231DEF"/>
    <w:rsid w:val="03366A89"/>
    <w:rsid w:val="037094CA"/>
    <w:rsid w:val="0385B61F"/>
    <w:rsid w:val="038BFBFF"/>
    <w:rsid w:val="03942634"/>
    <w:rsid w:val="039EC17A"/>
    <w:rsid w:val="03BF2695"/>
    <w:rsid w:val="03CCDE0F"/>
    <w:rsid w:val="03F90378"/>
    <w:rsid w:val="0439940C"/>
    <w:rsid w:val="0490A8A0"/>
    <w:rsid w:val="04A6355C"/>
    <w:rsid w:val="04B69B4E"/>
    <w:rsid w:val="04C68B27"/>
    <w:rsid w:val="04D36FB3"/>
    <w:rsid w:val="04D51EF7"/>
    <w:rsid w:val="04D88B2D"/>
    <w:rsid w:val="04DE623D"/>
    <w:rsid w:val="04FC2E77"/>
    <w:rsid w:val="0505085B"/>
    <w:rsid w:val="050A5E65"/>
    <w:rsid w:val="0513E260"/>
    <w:rsid w:val="05524C67"/>
    <w:rsid w:val="05568A77"/>
    <w:rsid w:val="055FFDB4"/>
    <w:rsid w:val="0564C8DB"/>
    <w:rsid w:val="0574ED7A"/>
    <w:rsid w:val="0584F186"/>
    <w:rsid w:val="059146B5"/>
    <w:rsid w:val="0598E2CD"/>
    <w:rsid w:val="05BCD3DD"/>
    <w:rsid w:val="05BFB505"/>
    <w:rsid w:val="05C46921"/>
    <w:rsid w:val="05D69EEE"/>
    <w:rsid w:val="05F093B9"/>
    <w:rsid w:val="060A5E1D"/>
    <w:rsid w:val="060B11D4"/>
    <w:rsid w:val="060FF3EC"/>
    <w:rsid w:val="06154B38"/>
    <w:rsid w:val="0622D713"/>
    <w:rsid w:val="0647C003"/>
    <w:rsid w:val="064934C0"/>
    <w:rsid w:val="0649BD78"/>
    <w:rsid w:val="064AAB7F"/>
    <w:rsid w:val="06721376"/>
    <w:rsid w:val="067B985C"/>
    <w:rsid w:val="06837F9A"/>
    <w:rsid w:val="068DB80B"/>
    <w:rsid w:val="06BEBC77"/>
    <w:rsid w:val="070F82AE"/>
    <w:rsid w:val="070FD001"/>
    <w:rsid w:val="07120175"/>
    <w:rsid w:val="071D2B28"/>
    <w:rsid w:val="073A9753"/>
    <w:rsid w:val="074543A8"/>
    <w:rsid w:val="07A6BBFB"/>
    <w:rsid w:val="07AE51FB"/>
    <w:rsid w:val="07F8182B"/>
    <w:rsid w:val="080193F8"/>
    <w:rsid w:val="0814F421"/>
    <w:rsid w:val="083756D0"/>
    <w:rsid w:val="08579160"/>
    <w:rsid w:val="0879D506"/>
    <w:rsid w:val="088D71F9"/>
    <w:rsid w:val="088EC79B"/>
    <w:rsid w:val="08BF3CB0"/>
    <w:rsid w:val="08E2565B"/>
    <w:rsid w:val="09116B8A"/>
    <w:rsid w:val="09171A88"/>
    <w:rsid w:val="0925A812"/>
    <w:rsid w:val="092D120E"/>
    <w:rsid w:val="095C9257"/>
    <w:rsid w:val="098DB528"/>
    <w:rsid w:val="098E201D"/>
    <w:rsid w:val="09904181"/>
    <w:rsid w:val="09C48B92"/>
    <w:rsid w:val="09DD885B"/>
    <w:rsid w:val="09E497E2"/>
    <w:rsid w:val="09E6BD45"/>
    <w:rsid w:val="0A567FA8"/>
    <w:rsid w:val="0A6F1DC4"/>
    <w:rsid w:val="0A7CB34D"/>
    <w:rsid w:val="0A94465F"/>
    <w:rsid w:val="0A995525"/>
    <w:rsid w:val="0ADB4159"/>
    <w:rsid w:val="0AFEA71F"/>
    <w:rsid w:val="0B1F2F2A"/>
    <w:rsid w:val="0B6A23F5"/>
    <w:rsid w:val="0B829922"/>
    <w:rsid w:val="0BB5BD64"/>
    <w:rsid w:val="0C0521EE"/>
    <w:rsid w:val="0C34D45B"/>
    <w:rsid w:val="0C3DF8BF"/>
    <w:rsid w:val="0C5E95D0"/>
    <w:rsid w:val="0C885A29"/>
    <w:rsid w:val="0C886CDC"/>
    <w:rsid w:val="0C943FF4"/>
    <w:rsid w:val="0C9A04ED"/>
    <w:rsid w:val="0C9C3BC4"/>
    <w:rsid w:val="0CA3DC77"/>
    <w:rsid w:val="0CBA6945"/>
    <w:rsid w:val="0CCE2854"/>
    <w:rsid w:val="0D00E232"/>
    <w:rsid w:val="0D2E2BFC"/>
    <w:rsid w:val="0D394843"/>
    <w:rsid w:val="0D3E1E59"/>
    <w:rsid w:val="0D541002"/>
    <w:rsid w:val="0D9097FB"/>
    <w:rsid w:val="0E02CA67"/>
    <w:rsid w:val="0E08DFFA"/>
    <w:rsid w:val="0E52BF8F"/>
    <w:rsid w:val="0E8AF7B9"/>
    <w:rsid w:val="0E930A68"/>
    <w:rsid w:val="0E97F685"/>
    <w:rsid w:val="0EA4E6F8"/>
    <w:rsid w:val="0EB0A18A"/>
    <w:rsid w:val="0EC0227E"/>
    <w:rsid w:val="0ED09ED8"/>
    <w:rsid w:val="0EDEFAD7"/>
    <w:rsid w:val="0F73A2A4"/>
    <w:rsid w:val="0F7533B3"/>
    <w:rsid w:val="0F894507"/>
    <w:rsid w:val="0F90962D"/>
    <w:rsid w:val="0F92B572"/>
    <w:rsid w:val="0FB2AB7E"/>
    <w:rsid w:val="0FB7F990"/>
    <w:rsid w:val="0FC7AB49"/>
    <w:rsid w:val="0FF74C38"/>
    <w:rsid w:val="1003AF72"/>
    <w:rsid w:val="102D33E7"/>
    <w:rsid w:val="1042D33A"/>
    <w:rsid w:val="1049C226"/>
    <w:rsid w:val="10A269A2"/>
    <w:rsid w:val="1123E0EA"/>
    <w:rsid w:val="112867A6"/>
    <w:rsid w:val="113DA2F9"/>
    <w:rsid w:val="114ED7C6"/>
    <w:rsid w:val="115423F4"/>
    <w:rsid w:val="119B3C25"/>
    <w:rsid w:val="11ACBA03"/>
    <w:rsid w:val="11B98546"/>
    <w:rsid w:val="11BAB090"/>
    <w:rsid w:val="11D2D157"/>
    <w:rsid w:val="11E08059"/>
    <w:rsid w:val="11F6A632"/>
    <w:rsid w:val="1214C417"/>
    <w:rsid w:val="1229AE89"/>
    <w:rsid w:val="1233942D"/>
    <w:rsid w:val="1234AE75"/>
    <w:rsid w:val="124422C0"/>
    <w:rsid w:val="125D2D25"/>
    <w:rsid w:val="127B54E9"/>
    <w:rsid w:val="12CFB8C8"/>
    <w:rsid w:val="12F792D2"/>
    <w:rsid w:val="12FBB128"/>
    <w:rsid w:val="131DF71D"/>
    <w:rsid w:val="133B24FA"/>
    <w:rsid w:val="1371C8E9"/>
    <w:rsid w:val="1383EA4C"/>
    <w:rsid w:val="13E6EF1D"/>
    <w:rsid w:val="13F1DA49"/>
    <w:rsid w:val="13F9695D"/>
    <w:rsid w:val="13FA9445"/>
    <w:rsid w:val="1418D4FF"/>
    <w:rsid w:val="1433FF72"/>
    <w:rsid w:val="14344195"/>
    <w:rsid w:val="1444F51F"/>
    <w:rsid w:val="1460F727"/>
    <w:rsid w:val="147764C3"/>
    <w:rsid w:val="147C4C1D"/>
    <w:rsid w:val="14983F2E"/>
    <w:rsid w:val="14BD9D72"/>
    <w:rsid w:val="14C5494A"/>
    <w:rsid w:val="14D65E7A"/>
    <w:rsid w:val="14D83E25"/>
    <w:rsid w:val="14D9D807"/>
    <w:rsid w:val="14FD9C6E"/>
    <w:rsid w:val="1525D117"/>
    <w:rsid w:val="153A7C3B"/>
    <w:rsid w:val="1547157F"/>
    <w:rsid w:val="155C03F8"/>
    <w:rsid w:val="157E2DCE"/>
    <w:rsid w:val="15E94603"/>
    <w:rsid w:val="160D44D4"/>
    <w:rsid w:val="161D32DF"/>
    <w:rsid w:val="164BE617"/>
    <w:rsid w:val="1659C3A7"/>
    <w:rsid w:val="1661B290"/>
    <w:rsid w:val="16B4AA76"/>
    <w:rsid w:val="16C2C44C"/>
    <w:rsid w:val="16E86A25"/>
    <w:rsid w:val="1714124F"/>
    <w:rsid w:val="1723A23F"/>
    <w:rsid w:val="17291664"/>
    <w:rsid w:val="1743EBB9"/>
    <w:rsid w:val="17A969AD"/>
    <w:rsid w:val="17B8EAFC"/>
    <w:rsid w:val="17D8A085"/>
    <w:rsid w:val="17D91B53"/>
    <w:rsid w:val="17DD970D"/>
    <w:rsid w:val="17E827D7"/>
    <w:rsid w:val="17F580EB"/>
    <w:rsid w:val="18059D22"/>
    <w:rsid w:val="181E4AAC"/>
    <w:rsid w:val="18410B47"/>
    <w:rsid w:val="18486BCF"/>
    <w:rsid w:val="185A8CCD"/>
    <w:rsid w:val="185BF483"/>
    <w:rsid w:val="185FE33B"/>
    <w:rsid w:val="18692214"/>
    <w:rsid w:val="186D177F"/>
    <w:rsid w:val="18AB5B35"/>
    <w:rsid w:val="18D0BD1B"/>
    <w:rsid w:val="18F4D9F3"/>
    <w:rsid w:val="1906C7CA"/>
    <w:rsid w:val="1907BA72"/>
    <w:rsid w:val="194BD602"/>
    <w:rsid w:val="1966E9E0"/>
    <w:rsid w:val="199E4922"/>
    <w:rsid w:val="19C138CB"/>
    <w:rsid w:val="19CB46A4"/>
    <w:rsid w:val="19E6949F"/>
    <w:rsid w:val="19EE78F5"/>
    <w:rsid w:val="19FE2A01"/>
    <w:rsid w:val="1A02C162"/>
    <w:rsid w:val="1A4ED03F"/>
    <w:rsid w:val="1A943724"/>
    <w:rsid w:val="1AA1E626"/>
    <w:rsid w:val="1AAEB799"/>
    <w:rsid w:val="1AC924B4"/>
    <w:rsid w:val="1AD92E13"/>
    <w:rsid w:val="1AEC5D7D"/>
    <w:rsid w:val="1B0A351C"/>
    <w:rsid w:val="1B10EA2A"/>
    <w:rsid w:val="1B21050E"/>
    <w:rsid w:val="1B778305"/>
    <w:rsid w:val="1BDA7352"/>
    <w:rsid w:val="1BE75E7B"/>
    <w:rsid w:val="1C4C1BB5"/>
    <w:rsid w:val="1C571303"/>
    <w:rsid w:val="1C8897F6"/>
    <w:rsid w:val="1C905B7D"/>
    <w:rsid w:val="1CB4D87F"/>
    <w:rsid w:val="1CDD09A4"/>
    <w:rsid w:val="1CEB726F"/>
    <w:rsid w:val="1D355FE0"/>
    <w:rsid w:val="1D63FF27"/>
    <w:rsid w:val="1D6A5E01"/>
    <w:rsid w:val="1D7E5224"/>
    <w:rsid w:val="1DAF3F73"/>
    <w:rsid w:val="1DBB7EFF"/>
    <w:rsid w:val="1DCBAE5E"/>
    <w:rsid w:val="1DDED2DC"/>
    <w:rsid w:val="1DE3F04E"/>
    <w:rsid w:val="1DE406FC"/>
    <w:rsid w:val="1DF48EE3"/>
    <w:rsid w:val="1E0486C7"/>
    <w:rsid w:val="1E100C8B"/>
    <w:rsid w:val="1E19BB33"/>
    <w:rsid w:val="1E2108EB"/>
    <w:rsid w:val="1E336B4D"/>
    <w:rsid w:val="1E8ABDA2"/>
    <w:rsid w:val="1E9AAC66"/>
    <w:rsid w:val="1E9BCD49"/>
    <w:rsid w:val="1F02FD36"/>
    <w:rsid w:val="1F0BD591"/>
    <w:rsid w:val="1F0F151A"/>
    <w:rsid w:val="1F167305"/>
    <w:rsid w:val="1F20C1DA"/>
    <w:rsid w:val="1F21D0A8"/>
    <w:rsid w:val="1F25B055"/>
    <w:rsid w:val="1F31769F"/>
    <w:rsid w:val="1F41386F"/>
    <w:rsid w:val="1F79E440"/>
    <w:rsid w:val="1F86CA70"/>
    <w:rsid w:val="1F9ACCE7"/>
    <w:rsid w:val="1FA1EF29"/>
    <w:rsid w:val="1FA54B21"/>
    <w:rsid w:val="1FAFEAFC"/>
    <w:rsid w:val="1FC638F5"/>
    <w:rsid w:val="1FE92933"/>
    <w:rsid w:val="200CFBB5"/>
    <w:rsid w:val="2017E9C5"/>
    <w:rsid w:val="201B3070"/>
    <w:rsid w:val="2045EDA7"/>
    <w:rsid w:val="205BACCF"/>
    <w:rsid w:val="205E0D98"/>
    <w:rsid w:val="20742D9B"/>
    <w:rsid w:val="209B52C1"/>
    <w:rsid w:val="209C86F6"/>
    <w:rsid w:val="20AB1A3E"/>
    <w:rsid w:val="20B408CB"/>
    <w:rsid w:val="20BC9BBE"/>
    <w:rsid w:val="20CD938D"/>
    <w:rsid w:val="20DAE2A5"/>
    <w:rsid w:val="20DF993E"/>
    <w:rsid w:val="20ECE198"/>
    <w:rsid w:val="213AE796"/>
    <w:rsid w:val="213E1C1A"/>
    <w:rsid w:val="2155755F"/>
    <w:rsid w:val="2156CA83"/>
    <w:rsid w:val="217BC60D"/>
    <w:rsid w:val="217C9B9B"/>
    <w:rsid w:val="2183B824"/>
    <w:rsid w:val="2189750F"/>
    <w:rsid w:val="218E29E4"/>
    <w:rsid w:val="21A7C076"/>
    <w:rsid w:val="21CC43A5"/>
    <w:rsid w:val="21F37546"/>
    <w:rsid w:val="22110285"/>
    <w:rsid w:val="221D1371"/>
    <w:rsid w:val="2232B16D"/>
    <w:rsid w:val="2242C3E1"/>
    <w:rsid w:val="22628EFE"/>
    <w:rsid w:val="2274CBDD"/>
    <w:rsid w:val="228CDF42"/>
    <w:rsid w:val="228D04E9"/>
    <w:rsid w:val="22C2CE0B"/>
    <w:rsid w:val="22CBFB40"/>
    <w:rsid w:val="22D3D108"/>
    <w:rsid w:val="230C9CE7"/>
    <w:rsid w:val="2314094A"/>
    <w:rsid w:val="23223E51"/>
    <w:rsid w:val="234EA1BB"/>
    <w:rsid w:val="235E0034"/>
    <w:rsid w:val="2395AE5A"/>
    <w:rsid w:val="23ACD2E6"/>
    <w:rsid w:val="23B3784C"/>
    <w:rsid w:val="23BE478C"/>
    <w:rsid w:val="23D99D8C"/>
    <w:rsid w:val="23D9C407"/>
    <w:rsid w:val="23E6F91E"/>
    <w:rsid w:val="240344BB"/>
    <w:rsid w:val="240C8851"/>
    <w:rsid w:val="241857A1"/>
    <w:rsid w:val="241BF3E2"/>
    <w:rsid w:val="24580844"/>
    <w:rsid w:val="246467BE"/>
    <w:rsid w:val="2478D1BE"/>
    <w:rsid w:val="247ADD4E"/>
    <w:rsid w:val="247E20DB"/>
    <w:rsid w:val="249D39B2"/>
    <w:rsid w:val="252E585D"/>
    <w:rsid w:val="254594C4"/>
    <w:rsid w:val="255E2F8D"/>
    <w:rsid w:val="258DB6B4"/>
    <w:rsid w:val="25AD24DE"/>
    <w:rsid w:val="25E2E148"/>
    <w:rsid w:val="25E32F42"/>
    <w:rsid w:val="25EC8ED2"/>
    <w:rsid w:val="261679EA"/>
    <w:rsid w:val="263DD4EC"/>
    <w:rsid w:val="26596191"/>
    <w:rsid w:val="266EF458"/>
    <w:rsid w:val="268E4741"/>
    <w:rsid w:val="26942E1F"/>
    <w:rsid w:val="269E934C"/>
    <w:rsid w:val="26B24132"/>
    <w:rsid w:val="26E6CBB7"/>
    <w:rsid w:val="26EAB036"/>
    <w:rsid w:val="26F1B2E4"/>
    <w:rsid w:val="26F373FD"/>
    <w:rsid w:val="273F744B"/>
    <w:rsid w:val="2740232A"/>
    <w:rsid w:val="274B197F"/>
    <w:rsid w:val="27630F79"/>
    <w:rsid w:val="2763F219"/>
    <w:rsid w:val="276A05B6"/>
    <w:rsid w:val="279FEDEB"/>
    <w:rsid w:val="27BBA004"/>
    <w:rsid w:val="27C1D530"/>
    <w:rsid w:val="27C629A1"/>
    <w:rsid w:val="27C769BB"/>
    <w:rsid w:val="27D56221"/>
    <w:rsid w:val="27F97358"/>
    <w:rsid w:val="280959F2"/>
    <w:rsid w:val="281702C4"/>
    <w:rsid w:val="281DF20F"/>
    <w:rsid w:val="282EA135"/>
    <w:rsid w:val="284CDF9C"/>
    <w:rsid w:val="285282EC"/>
    <w:rsid w:val="2866EB0F"/>
    <w:rsid w:val="2871D605"/>
    <w:rsid w:val="28889B46"/>
    <w:rsid w:val="28D57F37"/>
    <w:rsid w:val="28EA804D"/>
    <w:rsid w:val="28FC561F"/>
    <w:rsid w:val="2911D1FD"/>
    <w:rsid w:val="2921BE42"/>
    <w:rsid w:val="292EF159"/>
    <w:rsid w:val="2963B057"/>
    <w:rsid w:val="296B95CE"/>
    <w:rsid w:val="29973CC2"/>
    <w:rsid w:val="29CFA14C"/>
    <w:rsid w:val="29D5C885"/>
    <w:rsid w:val="29DFD49B"/>
    <w:rsid w:val="29EA23A0"/>
    <w:rsid w:val="2A05B11C"/>
    <w:rsid w:val="2A496487"/>
    <w:rsid w:val="2A4CFFDE"/>
    <w:rsid w:val="2A4F6B57"/>
    <w:rsid w:val="2A80E688"/>
    <w:rsid w:val="2A982680"/>
    <w:rsid w:val="2AB7A5C1"/>
    <w:rsid w:val="2ACF3DE0"/>
    <w:rsid w:val="2AD28497"/>
    <w:rsid w:val="2AEB2B6B"/>
    <w:rsid w:val="2B094E20"/>
    <w:rsid w:val="2B594BE0"/>
    <w:rsid w:val="2B9A5FF7"/>
    <w:rsid w:val="2B9DC992"/>
    <w:rsid w:val="2BAF1C05"/>
    <w:rsid w:val="2BDF8800"/>
    <w:rsid w:val="2BE7E1BB"/>
    <w:rsid w:val="2BFE56F4"/>
    <w:rsid w:val="2C18A127"/>
    <w:rsid w:val="2C4E5F3B"/>
    <w:rsid w:val="2C4F308C"/>
    <w:rsid w:val="2C57B73B"/>
    <w:rsid w:val="2C638191"/>
    <w:rsid w:val="2C739C36"/>
    <w:rsid w:val="2C76177F"/>
    <w:rsid w:val="2C899BC7"/>
    <w:rsid w:val="2C8B0138"/>
    <w:rsid w:val="2C9BE37E"/>
    <w:rsid w:val="2CA62D53"/>
    <w:rsid w:val="2CB7EF4D"/>
    <w:rsid w:val="2CBA591A"/>
    <w:rsid w:val="2CBAD967"/>
    <w:rsid w:val="2CEA4746"/>
    <w:rsid w:val="2D1F9059"/>
    <w:rsid w:val="2D23BB61"/>
    <w:rsid w:val="2D25C95B"/>
    <w:rsid w:val="2D636317"/>
    <w:rsid w:val="2D6EFEE9"/>
    <w:rsid w:val="2DAB86F4"/>
    <w:rsid w:val="2DB0F513"/>
    <w:rsid w:val="2DCE3028"/>
    <w:rsid w:val="2DD3E62C"/>
    <w:rsid w:val="2DFEB33C"/>
    <w:rsid w:val="2DFFED51"/>
    <w:rsid w:val="2E0032C1"/>
    <w:rsid w:val="2E2E4FC2"/>
    <w:rsid w:val="2E40080E"/>
    <w:rsid w:val="2E829256"/>
    <w:rsid w:val="2E96D753"/>
    <w:rsid w:val="2EA26BF2"/>
    <w:rsid w:val="2EDE1DF0"/>
    <w:rsid w:val="2F1825D1"/>
    <w:rsid w:val="2F58F765"/>
    <w:rsid w:val="2F78B768"/>
    <w:rsid w:val="2F8466B8"/>
    <w:rsid w:val="2FAB817D"/>
    <w:rsid w:val="2FCD58D1"/>
    <w:rsid w:val="2FCDEFEC"/>
    <w:rsid w:val="2FD4A118"/>
    <w:rsid w:val="2FD89E86"/>
    <w:rsid w:val="2FDD84D7"/>
    <w:rsid w:val="2FE699C4"/>
    <w:rsid w:val="2FF1CA1F"/>
    <w:rsid w:val="3013B2E0"/>
    <w:rsid w:val="301A333D"/>
    <w:rsid w:val="304AAE56"/>
    <w:rsid w:val="30655ABB"/>
    <w:rsid w:val="307AB201"/>
    <w:rsid w:val="307DDDDE"/>
    <w:rsid w:val="30980BB7"/>
    <w:rsid w:val="310A28FC"/>
    <w:rsid w:val="311178D7"/>
    <w:rsid w:val="31567A01"/>
    <w:rsid w:val="316B8B5D"/>
    <w:rsid w:val="3173A2DA"/>
    <w:rsid w:val="31858D5B"/>
    <w:rsid w:val="31A55600"/>
    <w:rsid w:val="31A7FE7E"/>
    <w:rsid w:val="31AEDB72"/>
    <w:rsid w:val="31BE93A5"/>
    <w:rsid w:val="31DEE9EB"/>
    <w:rsid w:val="32219C99"/>
    <w:rsid w:val="32262949"/>
    <w:rsid w:val="323E699E"/>
    <w:rsid w:val="323FC10D"/>
    <w:rsid w:val="32465239"/>
    <w:rsid w:val="327E2497"/>
    <w:rsid w:val="32932D28"/>
    <w:rsid w:val="329ED413"/>
    <w:rsid w:val="329FEBEC"/>
    <w:rsid w:val="32A74973"/>
    <w:rsid w:val="32E19B12"/>
    <w:rsid w:val="32EFA288"/>
    <w:rsid w:val="330E44F0"/>
    <w:rsid w:val="33255B15"/>
    <w:rsid w:val="3343374C"/>
    <w:rsid w:val="335BEFF3"/>
    <w:rsid w:val="3364FB9C"/>
    <w:rsid w:val="337B6B48"/>
    <w:rsid w:val="33987C3B"/>
    <w:rsid w:val="339E3544"/>
    <w:rsid w:val="33A41001"/>
    <w:rsid w:val="33EF5EAF"/>
    <w:rsid w:val="33FA7657"/>
    <w:rsid w:val="34041C35"/>
    <w:rsid w:val="341ADCAB"/>
    <w:rsid w:val="341C70DD"/>
    <w:rsid w:val="34657550"/>
    <w:rsid w:val="34A0EDCD"/>
    <w:rsid w:val="34C98082"/>
    <w:rsid w:val="34EF5234"/>
    <w:rsid w:val="351558E5"/>
    <w:rsid w:val="3517FEB3"/>
    <w:rsid w:val="3524E75E"/>
    <w:rsid w:val="352F2A1C"/>
    <w:rsid w:val="353B645E"/>
    <w:rsid w:val="354A7C41"/>
    <w:rsid w:val="356EDF9E"/>
    <w:rsid w:val="35A75825"/>
    <w:rsid w:val="35D35E7E"/>
    <w:rsid w:val="3614CD6A"/>
    <w:rsid w:val="3618E4D9"/>
    <w:rsid w:val="36251C1C"/>
    <w:rsid w:val="362B953B"/>
    <w:rsid w:val="364DC72F"/>
    <w:rsid w:val="3652D68A"/>
    <w:rsid w:val="36F7B4AB"/>
    <w:rsid w:val="371207DC"/>
    <w:rsid w:val="372053C6"/>
    <w:rsid w:val="372F72A0"/>
    <w:rsid w:val="374C7925"/>
    <w:rsid w:val="376D4CD0"/>
    <w:rsid w:val="379B7F21"/>
    <w:rsid w:val="37BB3F99"/>
    <w:rsid w:val="37BE0D7C"/>
    <w:rsid w:val="37CE10FF"/>
    <w:rsid w:val="37CE7619"/>
    <w:rsid w:val="37D6C78D"/>
    <w:rsid w:val="37E11B6B"/>
    <w:rsid w:val="37F19DA3"/>
    <w:rsid w:val="38240BCD"/>
    <w:rsid w:val="382D2AF5"/>
    <w:rsid w:val="382E381F"/>
    <w:rsid w:val="3853AEBE"/>
    <w:rsid w:val="3860AC02"/>
    <w:rsid w:val="387D3048"/>
    <w:rsid w:val="389B526A"/>
    <w:rsid w:val="38A2F421"/>
    <w:rsid w:val="38A6FAC5"/>
    <w:rsid w:val="38B4FEDD"/>
    <w:rsid w:val="38C9A033"/>
    <w:rsid w:val="38C9A92D"/>
    <w:rsid w:val="38D19061"/>
    <w:rsid w:val="38D9321F"/>
    <w:rsid w:val="38F45934"/>
    <w:rsid w:val="391DC734"/>
    <w:rsid w:val="392CF1C4"/>
    <w:rsid w:val="395AA66D"/>
    <w:rsid w:val="396716DE"/>
    <w:rsid w:val="3977CB97"/>
    <w:rsid w:val="397959A6"/>
    <w:rsid w:val="39ABD9AE"/>
    <w:rsid w:val="39D6F898"/>
    <w:rsid w:val="39E093F8"/>
    <w:rsid w:val="39ECFC10"/>
    <w:rsid w:val="39EF9659"/>
    <w:rsid w:val="3A2F5784"/>
    <w:rsid w:val="3A662856"/>
    <w:rsid w:val="3A9EB864"/>
    <w:rsid w:val="3AA8DD6B"/>
    <w:rsid w:val="3ABEEC9F"/>
    <w:rsid w:val="3AFB8AD0"/>
    <w:rsid w:val="3B021138"/>
    <w:rsid w:val="3B184D7F"/>
    <w:rsid w:val="3B268D68"/>
    <w:rsid w:val="3B307A59"/>
    <w:rsid w:val="3B3664C7"/>
    <w:rsid w:val="3B5BE3B8"/>
    <w:rsid w:val="3B8103D1"/>
    <w:rsid w:val="3B89387B"/>
    <w:rsid w:val="3BB3D41F"/>
    <w:rsid w:val="3BCD119A"/>
    <w:rsid w:val="3BE07722"/>
    <w:rsid w:val="3BF189AA"/>
    <w:rsid w:val="3C1FA02D"/>
    <w:rsid w:val="3C26C933"/>
    <w:rsid w:val="3C4DBBAB"/>
    <w:rsid w:val="3C607711"/>
    <w:rsid w:val="3C7FEB3D"/>
    <w:rsid w:val="3CB85F04"/>
    <w:rsid w:val="3CBE7CBE"/>
    <w:rsid w:val="3CEB842D"/>
    <w:rsid w:val="3D07EA0C"/>
    <w:rsid w:val="3D0DD8E8"/>
    <w:rsid w:val="3D1F5747"/>
    <w:rsid w:val="3D2A3D3A"/>
    <w:rsid w:val="3D2AB368"/>
    <w:rsid w:val="3D2F28A4"/>
    <w:rsid w:val="3D3FC3B4"/>
    <w:rsid w:val="3D52AEE2"/>
    <w:rsid w:val="3D5B9EEF"/>
    <w:rsid w:val="3D9CEF11"/>
    <w:rsid w:val="3DC8A7C7"/>
    <w:rsid w:val="3DE64D2B"/>
    <w:rsid w:val="3E2EAB39"/>
    <w:rsid w:val="3E721805"/>
    <w:rsid w:val="3E7DA9D9"/>
    <w:rsid w:val="3E80834C"/>
    <w:rsid w:val="3E8C7995"/>
    <w:rsid w:val="3EAA8C17"/>
    <w:rsid w:val="3EE6B1ED"/>
    <w:rsid w:val="3EF46E80"/>
    <w:rsid w:val="3EF5C1FF"/>
    <w:rsid w:val="3F1F0E22"/>
    <w:rsid w:val="3F48842C"/>
    <w:rsid w:val="3F6D2C43"/>
    <w:rsid w:val="3F7DED6F"/>
    <w:rsid w:val="3FB3A143"/>
    <w:rsid w:val="3FD2BF5B"/>
    <w:rsid w:val="3FDB75D7"/>
    <w:rsid w:val="3FE20F3B"/>
    <w:rsid w:val="3FFFA100"/>
    <w:rsid w:val="4007B6CE"/>
    <w:rsid w:val="400F6F06"/>
    <w:rsid w:val="402B6924"/>
    <w:rsid w:val="40373A8A"/>
    <w:rsid w:val="406AA346"/>
    <w:rsid w:val="408A4FA4"/>
    <w:rsid w:val="4093E60B"/>
    <w:rsid w:val="40A8F5F3"/>
    <w:rsid w:val="40AC4D22"/>
    <w:rsid w:val="40C70BA9"/>
    <w:rsid w:val="40CBA5D8"/>
    <w:rsid w:val="40CE151B"/>
    <w:rsid w:val="40F83555"/>
    <w:rsid w:val="411A2969"/>
    <w:rsid w:val="41371182"/>
    <w:rsid w:val="416A835F"/>
    <w:rsid w:val="4172DE55"/>
    <w:rsid w:val="41969C85"/>
    <w:rsid w:val="419DC5C1"/>
    <w:rsid w:val="41BC4868"/>
    <w:rsid w:val="41CA904E"/>
    <w:rsid w:val="41DA93AD"/>
    <w:rsid w:val="42210D81"/>
    <w:rsid w:val="4228305C"/>
    <w:rsid w:val="4259791B"/>
    <w:rsid w:val="426B94FB"/>
    <w:rsid w:val="426E9969"/>
    <w:rsid w:val="427B2466"/>
    <w:rsid w:val="42A1436A"/>
    <w:rsid w:val="42ECE2EE"/>
    <w:rsid w:val="42EEFE94"/>
    <w:rsid w:val="42FACA9C"/>
    <w:rsid w:val="43857AF2"/>
    <w:rsid w:val="43961F4C"/>
    <w:rsid w:val="43967F38"/>
    <w:rsid w:val="43A9C1C3"/>
    <w:rsid w:val="43D036E0"/>
    <w:rsid w:val="43FE7AFC"/>
    <w:rsid w:val="4431358A"/>
    <w:rsid w:val="44599897"/>
    <w:rsid w:val="44652C87"/>
    <w:rsid w:val="4472378F"/>
    <w:rsid w:val="447A3B3B"/>
    <w:rsid w:val="448C486D"/>
    <w:rsid w:val="44DB8B16"/>
    <w:rsid w:val="44DF7C87"/>
    <w:rsid w:val="44EB64E6"/>
    <w:rsid w:val="450436F0"/>
    <w:rsid w:val="454BF03C"/>
    <w:rsid w:val="4552E50D"/>
    <w:rsid w:val="456C0741"/>
    <w:rsid w:val="4584C774"/>
    <w:rsid w:val="45887DEC"/>
    <w:rsid w:val="45949D75"/>
    <w:rsid w:val="45BD192C"/>
    <w:rsid w:val="45C3D57A"/>
    <w:rsid w:val="45CE5222"/>
    <w:rsid w:val="45D4A98F"/>
    <w:rsid w:val="45D985B6"/>
    <w:rsid w:val="45F8B681"/>
    <w:rsid w:val="462A91FF"/>
    <w:rsid w:val="462B2C90"/>
    <w:rsid w:val="464F876C"/>
    <w:rsid w:val="4650925D"/>
    <w:rsid w:val="46661F51"/>
    <w:rsid w:val="466F06DB"/>
    <w:rsid w:val="4670383A"/>
    <w:rsid w:val="46B27047"/>
    <w:rsid w:val="46BE79EC"/>
    <w:rsid w:val="47266208"/>
    <w:rsid w:val="473893A0"/>
    <w:rsid w:val="473E430E"/>
    <w:rsid w:val="474F702F"/>
    <w:rsid w:val="475E9E58"/>
    <w:rsid w:val="4761FDC5"/>
    <w:rsid w:val="478D9676"/>
    <w:rsid w:val="4793D088"/>
    <w:rsid w:val="47A736E4"/>
    <w:rsid w:val="47AE8073"/>
    <w:rsid w:val="47BFEE6F"/>
    <w:rsid w:val="47D28D65"/>
    <w:rsid w:val="47DA1AFB"/>
    <w:rsid w:val="480C6D42"/>
    <w:rsid w:val="4833D499"/>
    <w:rsid w:val="48544584"/>
    <w:rsid w:val="486B8BB1"/>
    <w:rsid w:val="48A2FBB2"/>
    <w:rsid w:val="48A5D1ED"/>
    <w:rsid w:val="48C9389B"/>
    <w:rsid w:val="48D4769D"/>
    <w:rsid w:val="48E60535"/>
    <w:rsid w:val="48EA2210"/>
    <w:rsid w:val="48ED4356"/>
    <w:rsid w:val="491B90C7"/>
    <w:rsid w:val="49496622"/>
    <w:rsid w:val="494E9830"/>
    <w:rsid w:val="497B2F94"/>
    <w:rsid w:val="4981E713"/>
    <w:rsid w:val="49844294"/>
    <w:rsid w:val="499A9EAB"/>
    <w:rsid w:val="49A24415"/>
    <w:rsid w:val="49DF25FE"/>
    <w:rsid w:val="49FE3D93"/>
    <w:rsid w:val="4A0F4FDD"/>
    <w:rsid w:val="4A4084C3"/>
    <w:rsid w:val="4A5CDF0C"/>
    <w:rsid w:val="4A9D2F86"/>
    <w:rsid w:val="4AAADE88"/>
    <w:rsid w:val="4ACCB229"/>
    <w:rsid w:val="4ADB141D"/>
    <w:rsid w:val="4AE5889D"/>
    <w:rsid w:val="4B0616B5"/>
    <w:rsid w:val="4B13BF8E"/>
    <w:rsid w:val="4B1485E7"/>
    <w:rsid w:val="4B1D5D94"/>
    <w:rsid w:val="4B26BD83"/>
    <w:rsid w:val="4B665D79"/>
    <w:rsid w:val="4B6951CC"/>
    <w:rsid w:val="4B6CDB4B"/>
    <w:rsid w:val="4B713D4B"/>
    <w:rsid w:val="4BBBE1CD"/>
    <w:rsid w:val="4BDBD58B"/>
    <w:rsid w:val="4BDF2206"/>
    <w:rsid w:val="4BDF5173"/>
    <w:rsid w:val="4BE50CD6"/>
    <w:rsid w:val="4C0456BE"/>
    <w:rsid w:val="4C3572C3"/>
    <w:rsid w:val="4C578519"/>
    <w:rsid w:val="4C67B1DC"/>
    <w:rsid w:val="4C894A12"/>
    <w:rsid w:val="4C9D2070"/>
    <w:rsid w:val="4CDC3B16"/>
    <w:rsid w:val="4CDD2054"/>
    <w:rsid w:val="4CEAE72F"/>
    <w:rsid w:val="4CF62679"/>
    <w:rsid w:val="4D0D8D91"/>
    <w:rsid w:val="4D2098CF"/>
    <w:rsid w:val="4D3FE462"/>
    <w:rsid w:val="4D46FF49"/>
    <w:rsid w:val="4D478023"/>
    <w:rsid w:val="4D4F1871"/>
    <w:rsid w:val="4D6B28A0"/>
    <w:rsid w:val="4D9E74C4"/>
    <w:rsid w:val="4DE6BF93"/>
    <w:rsid w:val="4DE85206"/>
    <w:rsid w:val="4DE939D1"/>
    <w:rsid w:val="4DFB5077"/>
    <w:rsid w:val="4E01B05E"/>
    <w:rsid w:val="4E2CA03D"/>
    <w:rsid w:val="4E8A232F"/>
    <w:rsid w:val="4EB058C5"/>
    <w:rsid w:val="4EC8F863"/>
    <w:rsid w:val="4ED0683D"/>
    <w:rsid w:val="4ED12F93"/>
    <w:rsid w:val="4EE3D935"/>
    <w:rsid w:val="4F04A085"/>
    <w:rsid w:val="4F190FF0"/>
    <w:rsid w:val="4F2AB878"/>
    <w:rsid w:val="4F319E07"/>
    <w:rsid w:val="4F36FABF"/>
    <w:rsid w:val="4F56FC01"/>
    <w:rsid w:val="4F5D6571"/>
    <w:rsid w:val="4F889A16"/>
    <w:rsid w:val="4F88C1AF"/>
    <w:rsid w:val="4FA60851"/>
    <w:rsid w:val="4FB59798"/>
    <w:rsid w:val="4FB7E50F"/>
    <w:rsid w:val="4FE52CE0"/>
    <w:rsid w:val="4FE730B1"/>
    <w:rsid w:val="500371DB"/>
    <w:rsid w:val="50105742"/>
    <w:rsid w:val="5016DAA3"/>
    <w:rsid w:val="502F9B07"/>
    <w:rsid w:val="503906D1"/>
    <w:rsid w:val="504152F3"/>
    <w:rsid w:val="50851CFB"/>
    <w:rsid w:val="508963B3"/>
    <w:rsid w:val="50AE9966"/>
    <w:rsid w:val="50C7A505"/>
    <w:rsid w:val="50D8EFD3"/>
    <w:rsid w:val="510B74EB"/>
    <w:rsid w:val="510D0FE2"/>
    <w:rsid w:val="511C2C06"/>
    <w:rsid w:val="515B85B8"/>
    <w:rsid w:val="516F8D0C"/>
    <w:rsid w:val="51CD33E7"/>
    <w:rsid w:val="51E2A41D"/>
    <w:rsid w:val="52132335"/>
    <w:rsid w:val="525B2B20"/>
    <w:rsid w:val="526E6833"/>
    <w:rsid w:val="5274C034"/>
    <w:rsid w:val="527AAC71"/>
    <w:rsid w:val="528FD4F1"/>
    <w:rsid w:val="52AED916"/>
    <w:rsid w:val="52E9DFE8"/>
    <w:rsid w:val="52EAC079"/>
    <w:rsid w:val="5307B565"/>
    <w:rsid w:val="530D2C6D"/>
    <w:rsid w:val="53121680"/>
    <w:rsid w:val="5313B9B9"/>
    <w:rsid w:val="5313E621"/>
    <w:rsid w:val="532039AD"/>
    <w:rsid w:val="533AFE35"/>
    <w:rsid w:val="534A7FC4"/>
    <w:rsid w:val="535E9553"/>
    <w:rsid w:val="536AB186"/>
    <w:rsid w:val="53983D72"/>
    <w:rsid w:val="53C03FE8"/>
    <w:rsid w:val="53C57351"/>
    <w:rsid w:val="53C8F75A"/>
    <w:rsid w:val="53DA1845"/>
    <w:rsid w:val="5407B211"/>
    <w:rsid w:val="542735D0"/>
    <w:rsid w:val="5435F052"/>
    <w:rsid w:val="54760905"/>
    <w:rsid w:val="5496521B"/>
    <w:rsid w:val="5499699F"/>
    <w:rsid w:val="54A19048"/>
    <w:rsid w:val="551A5C52"/>
    <w:rsid w:val="55720BF1"/>
    <w:rsid w:val="558011C5"/>
    <w:rsid w:val="559671CE"/>
    <w:rsid w:val="5599BC4E"/>
    <w:rsid w:val="55B0FABE"/>
    <w:rsid w:val="5602EE4C"/>
    <w:rsid w:val="560EAE27"/>
    <w:rsid w:val="560F1407"/>
    <w:rsid w:val="56550DFD"/>
    <w:rsid w:val="5675E6BC"/>
    <w:rsid w:val="5689B59F"/>
    <w:rsid w:val="56928AFA"/>
    <w:rsid w:val="56935CFC"/>
    <w:rsid w:val="56A84855"/>
    <w:rsid w:val="56C9BE83"/>
    <w:rsid w:val="56D5150E"/>
    <w:rsid w:val="57044D2D"/>
    <w:rsid w:val="5727824F"/>
    <w:rsid w:val="57279173"/>
    <w:rsid w:val="5741BFDC"/>
    <w:rsid w:val="57601062"/>
    <w:rsid w:val="577C5030"/>
    <w:rsid w:val="577EF094"/>
    <w:rsid w:val="57B2B7A4"/>
    <w:rsid w:val="57B7F507"/>
    <w:rsid w:val="57DF17E7"/>
    <w:rsid w:val="57E445CD"/>
    <w:rsid w:val="57F13E5A"/>
    <w:rsid w:val="57F55723"/>
    <w:rsid w:val="57F714B7"/>
    <w:rsid w:val="57F89602"/>
    <w:rsid w:val="581D0C69"/>
    <w:rsid w:val="5844343F"/>
    <w:rsid w:val="5854DAFE"/>
    <w:rsid w:val="5892A9A0"/>
    <w:rsid w:val="58BE57D3"/>
    <w:rsid w:val="58DB4EE0"/>
    <w:rsid w:val="58F5D24D"/>
    <w:rsid w:val="58F861CA"/>
    <w:rsid w:val="58FDC31A"/>
    <w:rsid w:val="59491D37"/>
    <w:rsid w:val="59BC0B69"/>
    <w:rsid w:val="59E08018"/>
    <w:rsid w:val="5A49CAB2"/>
    <w:rsid w:val="5A70A6ED"/>
    <w:rsid w:val="5ADB3017"/>
    <w:rsid w:val="5AEE2219"/>
    <w:rsid w:val="5AF51ABB"/>
    <w:rsid w:val="5B19BB57"/>
    <w:rsid w:val="5B25FC1C"/>
    <w:rsid w:val="5B3AA123"/>
    <w:rsid w:val="5B4E1BB3"/>
    <w:rsid w:val="5B5551EC"/>
    <w:rsid w:val="5B852249"/>
    <w:rsid w:val="5BA1B683"/>
    <w:rsid w:val="5BCE80A8"/>
    <w:rsid w:val="5BDD3E4E"/>
    <w:rsid w:val="5BEEFCDE"/>
    <w:rsid w:val="5C088FFB"/>
    <w:rsid w:val="5C3381AF"/>
    <w:rsid w:val="5C581690"/>
    <w:rsid w:val="5C6FDD3B"/>
    <w:rsid w:val="5C75D23E"/>
    <w:rsid w:val="5C95E422"/>
    <w:rsid w:val="5C97611D"/>
    <w:rsid w:val="5CA975FD"/>
    <w:rsid w:val="5CC2FD61"/>
    <w:rsid w:val="5CCB42CF"/>
    <w:rsid w:val="5CD08D02"/>
    <w:rsid w:val="5CDD15B4"/>
    <w:rsid w:val="5CE161C4"/>
    <w:rsid w:val="5CF45B56"/>
    <w:rsid w:val="5D262957"/>
    <w:rsid w:val="5D558F82"/>
    <w:rsid w:val="5D5D7B51"/>
    <w:rsid w:val="5D92646C"/>
    <w:rsid w:val="5D9BA36D"/>
    <w:rsid w:val="5DA5C901"/>
    <w:rsid w:val="5DA68CE5"/>
    <w:rsid w:val="5DB6C657"/>
    <w:rsid w:val="5DB83E5D"/>
    <w:rsid w:val="5DE92DAA"/>
    <w:rsid w:val="5E0705EA"/>
    <w:rsid w:val="5E096203"/>
    <w:rsid w:val="5E302B99"/>
    <w:rsid w:val="5E427334"/>
    <w:rsid w:val="5E4D5B2F"/>
    <w:rsid w:val="5EA97D68"/>
    <w:rsid w:val="5EACECAC"/>
    <w:rsid w:val="5EAD2285"/>
    <w:rsid w:val="5EFBD274"/>
    <w:rsid w:val="5F208BCD"/>
    <w:rsid w:val="5F39EE19"/>
    <w:rsid w:val="5F7CE3CE"/>
    <w:rsid w:val="5F800242"/>
    <w:rsid w:val="5F84CDF1"/>
    <w:rsid w:val="5FBDCFC5"/>
    <w:rsid w:val="5FBE63BA"/>
    <w:rsid w:val="5FEE5C3B"/>
    <w:rsid w:val="5FF00210"/>
    <w:rsid w:val="5FF22A65"/>
    <w:rsid w:val="602273F4"/>
    <w:rsid w:val="60227A43"/>
    <w:rsid w:val="602B2B97"/>
    <w:rsid w:val="6058C4AE"/>
    <w:rsid w:val="605E5405"/>
    <w:rsid w:val="606023DE"/>
    <w:rsid w:val="606F72B2"/>
    <w:rsid w:val="607522E2"/>
    <w:rsid w:val="60A1C089"/>
    <w:rsid w:val="60B49C72"/>
    <w:rsid w:val="60D100C2"/>
    <w:rsid w:val="60F45C1C"/>
    <w:rsid w:val="60F76ADA"/>
    <w:rsid w:val="61103C60"/>
    <w:rsid w:val="612D9709"/>
    <w:rsid w:val="6135DDCA"/>
    <w:rsid w:val="61386332"/>
    <w:rsid w:val="615F3873"/>
    <w:rsid w:val="61BF28E7"/>
    <w:rsid w:val="61CA9ED4"/>
    <w:rsid w:val="61F9A28A"/>
    <w:rsid w:val="61FCFEC4"/>
    <w:rsid w:val="620715C9"/>
    <w:rsid w:val="622B2B25"/>
    <w:rsid w:val="6235A510"/>
    <w:rsid w:val="6271BBA1"/>
    <w:rsid w:val="627AF1B1"/>
    <w:rsid w:val="62AC6398"/>
    <w:rsid w:val="62C25C77"/>
    <w:rsid w:val="62C7608F"/>
    <w:rsid w:val="62D36BC2"/>
    <w:rsid w:val="62D60137"/>
    <w:rsid w:val="6303049D"/>
    <w:rsid w:val="631B361B"/>
    <w:rsid w:val="631BE15B"/>
    <w:rsid w:val="6334141C"/>
    <w:rsid w:val="6334878B"/>
    <w:rsid w:val="63453BFA"/>
    <w:rsid w:val="63475D55"/>
    <w:rsid w:val="634FFABD"/>
    <w:rsid w:val="636C3D3B"/>
    <w:rsid w:val="637F48EC"/>
    <w:rsid w:val="6381A906"/>
    <w:rsid w:val="638EB8E3"/>
    <w:rsid w:val="63A7A64B"/>
    <w:rsid w:val="640D8C02"/>
    <w:rsid w:val="641217BE"/>
    <w:rsid w:val="6438248F"/>
    <w:rsid w:val="64468E3E"/>
    <w:rsid w:val="646C49C4"/>
    <w:rsid w:val="6484DA93"/>
    <w:rsid w:val="64964DBE"/>
    <w:rsid w:val="64A3A459"/>
    <w:rsid w:val="64BAE008"/>
    <w:rsid w:val="658971B9"/>
    <w:rsid w:val="658E5E56"/>
    <w:rsid w:val="65A846F6"/>
    <w:rsid w:val="65BF5582"/>
    <w:rsid w:val="65DF3DD8"/>
    <w:rsid w:val="65F06945"/>
    <w:rsid w:val="65FB8E8C"/>
    <w:rsid w:val="660D7A6E"/>
    <w:rsid w:val="6618B260"/>
    <w:rsid w:val="66461B37"/>
    <w:rsid w:val="665EE90C"/>
    <w:rsid w:val="666913DA"/>
    <w:rsid w:val="6680DD49"/>
    <w:rsid w:val="6684B75B"/>
    <w:rsid w:val="66AC8BC3"/>
    <w:rsid w:val="66D2F1CD"/>
    <w:rsid w:val="66FA63A3"/>
    <w:rsid w:val="671919AE"/>
    <w:rsid w:val="672E9951"/>
    <w:rsid w:val="67347BB8"/>
    <w:rsid w:val="67423057"/>
    <w:rsid w:val="67576AA7"/>
    <w:rsid w:val="67912BE5"/>
    <w:rsid w:val="67B1E7C6"/>
    <w:rsid w:val="67D35A56"/>
    <w:rsid w:val="67DE5E74"/>
    <w:rsid w:val="680F89C9"/>
    <w:rsid w:val="68163122"/>
    <w:rsid w:val="682A7CC2"/>
    <w:rsid w:val="682DA11D"/>
    <w:rsid w:val="684986FA"/>
    <w:rsid w:val="685CB5D1"/>
    <w:rsid w:val="688ADEC3"/>
    <w:rsid w:val="68B039F7"/>
    <w:rsid w:val="68BA0A85"/>
    <w:rsid w:val="68D6DD7B"/>
    <w:rsid w:val="68FC9E5F"/>
    <w:rsid w:val="6923047F"/>
    <w:rsid w:val="6930961F"/>
    <w:rsid w:val="693DD37D"/>
    <w:rsid w:val="69424885"/>
    <w:rsid w:val="694B88A8"/>
    <w:rsid w:val="6958E76D"/>
    <w:rsid w:val="6959499F"/>
    <w:rsid w:val="6968533D"/>
    <w:rsid w:val="6973A030"/>
    <w:rsid w:val="6974375B"/>
    <w:rsid w:val="69767497"/>
    <w:rsid w:val="6979C9F7"/>
    <w:rsid w:val="697DDF59"/>
    <w:rsid w:val="69836670"/>
    <w:rsid w:val="69A43139"/>
    <w:rsid w:val="69B2F109"/>
    <w:rsid w:val="69C5CCE8"/>
    <w:rsid w:val="69D3B12F"/>
    <w:rsid w:val="69E0454E"/>
    <w:rsid w:val="69E83529"/>
    <w:rsid w:val="6A23561A"/>
    <w:rsid w:val="6A2C0385"/>
    <w:rsid w:val="6A50C796"/>
    <w:rsid w:val="6A830A53"/>
    <w:rsid w:val="6A8E387C"/>
    <w:rsid w:val="6AB0B45F"/>
    <w:rsid w:val="6ABDE68C"/>
    <w:rsid w:val="6AC36457"/>
    <w:rsid w:val="6AD0A777"/>
    <w:rsid w:val="6ADDB1E1"/>
    <w:rsid w:val="6AEA0732"/>
    <w:rsid w:val="6AF6BF96"/>
    <w:rsid w:val="6AFA935D"/>
    <w:rsid w:val="6B0FBCC5"/>
    <w:rsid w:val="6BB5576E"/>
    <w:rsid w:val="6BBDC5FB"/>
    <w:rsid w:val="6BE6B28C"/>
    <w:rsid w:val="6BEF63F1"/>
    <w:rsid w:val="6C01CF74"/>
    <w:rsid w:val="6C6950CB"/>
    <w:rsid w:val="6C932AD1"/>
    <w:rsid w:val="6CE2BE84"/>
    <w:rsid w:val="6CED6FD3"/>
    <w:rsid w:val="6CFF96C3"/>
    <w:rsid w:val="6D5C41DD"/>
    <w:rsid w:val="6D66747E"/>
    <w:rsid w:val="6D6EAE0B"/>
    <w:rsid w:val="6D987496"/>
    <w:rsid w:val="6D9C3D53"/>
    <w:rsid w:val="6DB46E48"/>
    <w:rsid w:val="6DCFC43C"/>
    <w:rsid w:val="6DD1BED8"/>
    <w:rsid w:val="6DD2433E"/>
    <w:rsid w:val="6DFCF48F"/>
    <w:rsid w:val="6DFFFAEF"/>
    <w:rsid w:val="6E3A66E9"/>
    <w:rsid w:val="6E8B9787"/>
    <w:rsid w:val="6EA6CC74"/>
    <w:rsid w:val="6EAB8C0E"/>
    <w:rsid w:val="6EBB9A31"/>
    <w:rsid w:val="6ED04E35"/>
    <w:rsid w:val="6EDF5816"/>
    <w:rsid w:val="6EF05EB4"/>
    <w:rsid w:val="6F0B171D"/>
    <w:rsid w:val="6F492D0A"/>
    <w:rsid w:val="6F4D1FAB"/>
    <w:rsid w:val="6F66FA14"/>
    <w:rsid w:val="6F8F2E1C"/>
    <w:rsid w:val="6FA91015"/>
    <w:rsid w:val="6FB7BF27"/>
    <w:rsid w:val="6FD6387F"/>
    <w:rsid w:val="6FD8933E"/>
    <w:rsid w:val="7021B937"/>
    <w:rsid w:val="704B0D3A"/>
    <w:rsid w:val="7087D972"/>
    <w:rsid w:val="708E4FAE"/>
    <w:rsid w:val="70B7B753"/>
    <w:rsid w:val="70BA3F02"/>
    <w:rsid w:val="70E157E8"/>
    <w:rsid w:val="70E289CE"/>
    <w:rsid w:val="70EC7B54"/>
    <w:rsid w:val="71300859"/>
    <w:rsid w:val="71322F25"/>
    <w:rsid w:val="713D5DAE"/>
    <w:rsid w:val="716011E8"/>
    <w:rsid w:val="718049DB"/>
    <w:rsid w:val="71920A83"/>
    <w:rsid w:val="71AA7CA3"/>
    <w:rsid w:val="71AB612A"/>
    <w:rsid w:val="71DF48EA"/>
    <w:rsid w:val="7236AE91"/>
    <w:rsid w:val="7256B68C"/>
    <w:rsid w:val="726DF4C4"/>
    <w:rsid w:val="7282645E"/>
    <w:rsid w:val="729E9E03"/>
    <w:rsid w:val="72B5AA79"/>
    <w:rsid w:val="72BB2ECC"/>
    <w:rsid w:val="72C88B79"/>
    <w:rsid w:val="72C93450"/>
    <w:rsid w:val="72CAA599"/>
    <w:rsid w:val="72CF3F82"/>
    <w:rsid w:val="7301C764"/>
    <w:rsid w:val="7307AD9F"/>
    <w:rsid w:val="73186F91"/>
    <w:rsid w:val="731D19DE"/>
    <w:rsid w:val="7342BE2D"/>
    <w:rsid w:val="7360EF90"/>
    <w:rsid w:val="7371A844"/>
    <w:rsid w:val="7394D25E"/>
    <w:rsid w:val="739AE456"/>
    <w:rsid w:val="739D568E"/>
    <w:rsid w:val="739FCF3E"/>
    <w:rsid w:val="7414D1BA"/>
    <w:rsid w:val="7417DA80"/>
    <w:rsid w:val="74254551"/>
    <w:rsid w:val="744149E1"/>
    <w:rsid w:val="744E27BA"/>
    <w:rsid w:val="7485391A"/>
    <w:rsid w:val="74A04B74"/>
    <w:rsid w:val="74B6EDDF"/>
    <w:rsid w:val="74D0E569"/>
    <w:rsid w:val="74F655C7"/>
    <w:rsid w:val="750127D7"/>
    <w:rsid w:val="750288D2"/>
    <w:rsid w:val="7516ACC5"/>
    <w:rsid w:val="751A03F1"/>
    <w:rsid w:val="752E7361"/>
    <w:rsid w:val="75371F64"/>
    <w:rsid w:val="7552B8DA"/>
    <w:rsid w:val="75673B8D"/>
    <w:rsid w:val="758C0FB0"/>
    <w:rsid w:val="75BCB7F4"/>
    <w:rsid w:val="75CB3357"/>
    <w:rsid w:val="75D07783"/>
    <w:rsid w:val="75F0AC8F"/>
    <w:rsid w:val="7602B826"/>
    <w:rsid w:val="76054654"/>
    <w:rsid w:val="762A7985"/>
    <w:rsid w:val="762A9CE3"/>
    <w:rsid w:val="766F17B3"/>
    <w:rsid w:val="7679309C"/>
    <w:rsid w:val="767F7D39"/>
    <w:rsid w:val="76939285"/>
    <w:rsid w:val="76A0670C"/>
    <w:rsid w:val="76BE5A5C"/>
    <w:rsid w:val="7703EF78"/>
    <w:rsid w:val="77091A2A"/>
    <w:rsid w:val="770F592A"/>
    <w:rsid w:val="7710060A"/>
    <w:rsid w:val="7724B502"/>
    <w:rsid w:val="7725DBE3"/>
    <w:rsid w:val="7742211C"/>
    <w:rsid w:val="774D9127"/>
    <w:rsid w:val="779C50C2"/>
    <w:rsid w:val="7855021C"/>
    <w:rsid w:val="786D9ADE"/>
    <w:rsid w:val="78B87D08"/>
    <w:rsid w:val="78D72E12"/>
    <w:rsid w:val="790F1662"/>
    <w:rsid w:val="7910C328"/>
    <w:rsid w:val="793B5B8E"/>
    <w:rsid w:val="79A237DB"/>
    <w:rsid w:val="79CECEBB"/>
    <w:rsid w:val="79DC8789"/>
    <w:rsid w:val="79E98CB6"/>
    <w:rsid w:val="79F09201"/>
    <w:rsid w:val="79FCEB8A"/>
    <w:rsid w:val="7A29E90C"/>
    <w:rsid w:val="7A8CD21C"/>
    <w:rsid w:val="7AB3C5CC"/>
    <w:rsid w:val="7ABBC691"/>
    <w:rsid w:val="7AE49570"/>
    <w:rsid w:val="7B04CEF5"/>
    <w:rsid w:val="7B2E5773"/>
    <w:rsid w:val="7B33C7AA"/>
    <w:rsid w:val="7B4519DB"/>
    <w:rsid w:val="7B48D59F"/>
    <w:rsid w:val="7B7BDEF3"/>
    <w:rsid w:val="7B7E80B7"/>
    <w:rsid w:val="7BBF4472"/>
    <w:rsid w:val="7BC1F978"/>
    <w:rsid w:val="7BC64BDC"/>
    <w:rsid w:val="7BE52F64"/>
    <w:rsid w:val="7C19A819"/>
    <w:rsid w:val="7C1B868C"/>
    <w:rsid w:val="7C29F9C4"/>
    <w:rsid w:val="7C4FD921"/>
    <w:rsid w:val="7C55DF3C"/>
    <w:rsid w:val="7C5B2641"/>
    <w:rsid w:val="7CB1803C"/>
    <w:rsid w:val="7CB3FB55"/>
    <w:rsid w:val="7CB54827"/>
    <w:rsid w:val="7CC90F47"/>
    <w:rsid w:val="7CE75E5D"/>
    <w:rsid w:val="7CF1398F"/>
    <w:rsid w:val="7D0A7999"/>
    <w:rsid w:val="7D2908B6"/>
    <w:rsid w:val="7D69F6FA"/>
    <w:rsid w:val="7D950FB0"/>
    <w:rsid w:val="7DB30105"/>
    <w:rsid w:val="7DCF1B56"/>
    <w:rsid w:val="7DE1C5AB"/>
    <w:rsid w:val="7DE1E009"/>
    <w:rsid w:val="7E07E502"/>
    <w:rsid w:val="7E0B08B8"/>
    <w:rsid w:val="7E19CEB5"/>
    <w:rsid w:val="7E1F373F"/>
    <w:rsid w:val="7E24558E"/>
    <w:rsid w:val="7E29B005"/>
    <w:rsid w:val="7E387E0F"/>
    <w:rsid w:val="7E470603"/>
    <w:rsid w:val="7E507648"/>
    <w:rsid w:val="7E51B58B"/>
    <w:rsid w:val="7E6B54E8"/>
    <w:rsid w:val="7E7FB1CC"/>
    <w:rsid w:val="7EB7BA9B"/>
    <w:rsid w:val="7EC30963"/>
    <w:rsid w:val="7EE09B65"/>
    <w:rsid w:val="7F0210EB"/>
    <w:rsid w:val="7F0779D9"/>
    <w:rsid w:val="7F1195C2"/>
    <w:rsid w:val="7F34D17E"/>
    <w:rsid w:val="7F38E853"/>
    <w:rsid w:val="7F3AC93A"/>
    <w:rsid w:val="7F6E4FF9"/>
    <w:rsid w:val="7F89ABA9"/>
    <w:rsid w:val="7F9FE8C7"/>
    <w:rsid w:val="7FA2F30D"/>
    <w:rsid w:val="7FC1F342"/>
    <w:rsid w:val="7FCE2C6D"/>
    <w:rsid w:val="7FD00AB0"/>
    <w:rsid w:val="7FD4FD67"/>
    <w:rsid w:val="7FE67E79"/>
    <w:rsid w:val="7FF1A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2AA92F5"/>
  <w15:docId w15:val="{76D76B5E-3CC1-4F07-84B7-3357879F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5"/>
      </w:numPr>
      <w:contextualSpacing/>
    </w:pPr>
  </w:style>
  <w:style w:type="paragraph" w:styleId="ListNumber2">
    <w:name w:val="List Number 2"/>
    <w:basedOn w:val="Normal"/>
    <w:uiPriority w:val="99"/>
    <w:semiHidden/>
    <w:unhideWhenUsed/>
    <w:rsid w:val="00344D76"/>
    <w:pPr>
      <w:numPr>
        <w:numId w:val="6"/>
      </w:numPr>
      <w:contextualSpacing/>
    </w:pPr>
  </w:style>
  <w:style w:type="paragraph" w:styleId="ListNumber3">
    <w:name w:val="List Number 3"/>
    <w:basedOn w:val="Normal"/>
    <w:uiPriority w:val="99"/>
    <w:semiHidden/>
    <w:unhideWhenUsed/>
    <w:rsid w:val="00344D76"/>
    <w:pPr>
      <w:numPr>
        <w:numId w:val="7"/>
      </w:numPr>
      <w:contextualSpacing/>
    </w:pPr>
  </w:style>
  <w:style w:type="paragraph" w:styleId="ListNumber4">
    <w:name w:val="List Number 4"/>
    <w:basedOn w:val="Normal"/>
    <w:uiPriority w:val="99"/>
    <w:semiHidden/>
    <w:unhideWhenUsed/>
    <w:rsid w:val="00344D7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B5EDD"/>
    <w:rPr>
      <w:b/>
      <w:bCs/>
    </w:rPr>
  </w:style>
  <w:style w:type="character" w:customStyle="1" w:styleId="CommentSubjectChar">
    <w:name w:val="Comment Subject Char"/>
    <w:basedOn w:val="CommentTextChar"/>
    <w:link w:val="CommentSubject"/>
    <w:uiPriority w:val="99"/>
    <w:semiHidden/>
    <w:rsid w:val="008B5EDD"/>
    <w:rPr>
      <w:rFonts w:ascii="Times New Roman" w:hAnsi="Times New Roman" w:cs="Times New Roman"/>
      <w:b/>
      <w:bCs/>
      <w:sz w:val="20"/>
      <w:szCs w:val="20"/>
      <w:lang w:val="en-GB"/>
    </w:rPr>
  </w:style>
  <w:style w:type="character" w:styleId="Hyperlink">
    <w:name w:val="Hyperlink"/>
    <w:basedOn w:val="DefaultParagraphFont"/>
    <w:uiPriority w:val="99"/>
    <w:unhideWhenUsed/>
    <w:rsid w:val="008B5EDD"/>
    <w:rPr>
      <w:color w:val="0000FF" w:themeColor="hyperlink"/>
      <w:u w:val="single"/>
    </w:rPr>
  </w:style>
  <w:style w:type="paragraph" w:styleId="ListParagraph">
    <w:name w:val="List Paragraph"/>
    <w:basedOn w:val="Normal"/>
    <w:uiPriority w:val="34"/>
    <w:qFormat/>
    <w:rsid w:val="00004EC6"/>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rsid w:val="00857B9B"/>
    <w:pPr>
      <w:spacing w:after="0" w:line="240" w:lineRule="auto"/>
    </w:pPr>
    <w:rPr>
      <w:rFonts w:ascii="Times New Roman" w:hAnsi="Times New Roman" w:cs="Times New Roman"/>
      <w:sz w:val="24"/>
      <w:lang w:val="en-GB"/>
    </w:rPr>
  </w:style>
  <w:style w:type="character" w:customStyle="1" w:styleId="UnresolvedMention1">
    <w:name w:val="Unresolved Mention1"/>
    <w:basedOn w:val="DefaultParagraphFont"/>
    <w:uiPriority w:val="99"/>
    <w:unhideWhenUsed/>
    <w:rsid w:val="00D21964"/>
    <w:rPr>
      <w:color w:val="605E5C"/>
      <w:shd w:val="clear" w:color="auto" w:fill="E1DFDD"/>
    </w:rPr>
  </w:style>
  <w:style w:type="character" w:customStyle="1" w:styleId="Mention1">
    <w:name w:val="Mention1"/>
    <w:basedOn w:val="DefaultParagraphFont"/>
    <w:uiPriority w:val="99"/>
    <w:unhideWhenUsed/>
    <w:rsid w:val="00D21964"/>
    <w:rPr>
      <w:color w:val="2B579A"/>
      <w:shd w:val="clear" w:color="auto" w:fill="E1DFDD"/>
    </w:rPr>
  </w:style>
  <w:style w:type="character" w:customStyle="1" w:styleId="normaltextrun">
    <w:name w:val="normaltextrun"/>
    <w:basedOn w:val="DefaultParagraphFont"/>
    <w:rsid w:val="00AE7078"/>
  </w:style>
  <w:style w:type="character" w:customStyle="1" w:styleId="eop">
    <w:name w:val="eop"/>
    <w:basedOn w:val="DefaultParagraphFont"/>
    <w:rsid w:val="00AE7078"/>
  </w:style>
  <w:style w:type="paragraph" w:styleId="Header">
    <w:name w:val="header"/>
    <w:basedOn w:val="Normal"/>
    <w:link w:val="HeaderChar"/>
    <w:uiPriority w:val="99"/>
    <w:unhideWhenUsed/>
    <w:rsid w:val="00DB31DA"/>
    <w:pPr>
      <w:tabs>
        <w:tab w:val="center" w:pos="4535"/>
        <w:tab w:val="right" w:pos="9071"/>
      </w:tabs>
      <w:spacing w:before="0"/>
    </w:pPr>
  </w:style>
  <w:style w:type="character" w:customStyle="1" w:styleId="HeaderChar">
    <w:name w:val="Header Char"/>
    <w:basedOn w:val="DefaultParagraphFont"/>
    <w:link w:val="Header"/>
    <w:uiPriority w:val="99"/>
    <w:rsid w:val="00DB31DA"/>
    <w:rPr>
      <w:rFonts w:ascii="Times New Roman" w:hAnsi="Times New Roman" w:cs="Times New Roman"/>
      <w:sz w:val="24"/>
      <w:lang w:val="en-GB"/>
    </w:rPr>
  </w:style>
  <w:style w:type="paragraph" w:styleId="Footer">
    <w:name w:val="footer"/>
    <w:basedOn w:val="Normal"/>
    <w:link w:val="FooterChar"/>
    <w:uiPriority w:val="99"/>
    <w:unhideWhenUsed/>
    <w:rsid w:val="00DB31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B31D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B31DA"/>
    <w:pPr>
      <w:tabs>
        <w:tab w:val="center" w:pos="7285"/>
        <w:tab w:val="right" w:pos="14003"/>
      </w:tabs>
      <w:spacing w:before="0"/>
    </w:pPr>
  </w:style>
  <w:style w:type="paragraph" w:customStyle="1" w:styleId="FooterLandscape">
    <w:name w:val="FooterLandscape"/>
    <w:basedOn w:val="Normal"/>
    <w:rsid w:val="00DB31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B31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B31DA"/>
    <w:pPr>
      <w:spacing w:before="0"/>
      <w:jc w:val="right"/>
    </w:pPr>
    <w:rPr>
      <w:sz w:val="28"/>
    </w:rPr>
  </w:style>
  <w:style w:type="paragraph" w:customStyle="1" w:styleId="FooterSensitivity">
    <w:name w:val="Footer Sensitivity"/>
    <w:basedOn w:val="Normal"/>
    <w:rsid w:val="00DB31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0024B"/>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94405">
      <w:bodyDiv w:val="1"/>
      <w:marLeft w:val="0"/>
      <w:marRight w:val="0"/>
      <w:marTop w:val="0"/>
      <w:marBottom w:val="0"/>
      <w:divBdr>
        <w:top w:val="none" w:sz="0" w:space="0" w:color="auto"/>
        <w:left w:val="none" w:sz="0" w:space="0" w:color="auto"/>
        <w:bottom w:val="none" w:sz="0" w:space="0" w:color="auto"/>
        <w:right w:val="none" w:sz="0" w:space="0" w:color="auto"/>
      </w:divBdr>
    </w:div>
    <w:div w:id="670572607">
      <w:bodyDiv w:val="1"/>
      <w:marLeft w:val="0"/>
      <w:marRight w:val="0"/>
      <w:marTop w:val="0"/>
      <w:marBottom w:val="0"/>
      <w:divBdr>
        <w:top w:val="none" w:sz="0" w:space="0" w:color="auto"/>
        <w:left w:val="none" w:sz="0" w:space="0" w:color="auto"/>
        <w:bottom w:val="none" w:sz="0" w:space="0" w:color="auto"/>
        <w:right w:val="none" w:sz="0" w:space="0" w:color="auto"/>
      </w:divBdr>
    </w:div>
    <w:div w:id="1104151063">
      <w:bodyDiv w:val="1"/>
      <w:marLeft w:val="0"/>
      <w:marRight w:val="0"/>
      <w:marTop w:val="0"/>
      <w:marBottom w:val="0"/>
      <w:divBdr>
        <w:top w:val="none" w:sz="0" w:space="0" w:color="auto"/>
        <w:left w:val="none" w:sz="0" w:space="0" w:color="auto"/>
        <w:bottom w:val="none" w:sz="0" w:space="0" w:color="auto"/>
        <w:right w:val="none" w:sz="0" w:space="0" w:color="auto"/>
      </w:divBdr>
    </w:div>
    <w:div w:id="1330524931">
      <w:bodyDiv w:val="1"/>
      <w:marLeft w:val="0"/>
      <w:marRight w:val="0"/>
      <w:marTop w:val="0"/>
      <w:marBottom w:val="0"/>
      <w:divBdr>
        <w:top w:val="none" w:sz="0" w:space="0" w:color="auto"/>
        <w:left w:val="none" w:sz="0" w:space="0" w:color="auto"/>
        <w:bottom w:val="none" w:sz="0" w:space="0" w:color="auto"/>
        <w:right w:val="none" w:sz="0" w:space="0" w:color="auto"/>
      </w:divBdr>
    </w:div>
    <w:div w:id="1530801478">
      <w:bodyDiv w:val="1"/>
      <w:marLeft w:val="0"/>
      <w:marRight w:val="0"/>
      <w:marTop w:val="0"/>
      <w:marBottom w:val="0"/>
      <w:divBdr>
        <w:top w:val="none" w:sz="0" w:space="0" w:color="auto"/>
        <w:left w:val="none" w:sz="0" w:space="0" w:color="auto"/>
        <w:bottom w:val="none" w:sz="0" w:space="0" w:color="auto"/>
        <w:right w:val="none" w:sz="0" w:space="0" w:color="auto"/>
      </w:divBdr>
    </w:div>
    <w:div w:id="1536969631">
      <w:bodyDiv w:val="1"/>
      <w:marLeft w:val="0"/>
      <w:marRight w:val="0"/>
      <w:marTop w:val="0"/>
      <w:marBottom w:val="0"/>
      <w:divBdr>
        <w:top w:val="none" w:sz="0" w:space="0" w:color="auto"/>
        <w:left w:val="none" w:sz="0" w:space="0" w:color="auto"/>
        <w:bottom w:val="none" w:sz="0" w:space="0" w:color="auto"/>
        <w:right w:val="none" w:sz="0" w:space="0" w:color="auto"/>
      </w:divBdr>
    </w:div>
    <w:div w:id="17169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2022R1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d23c325-700d-40fa-82c8-eebc198f0ab2">EN</EC_Collab_DocumentLanguage>
    <EC_ARES_TRANSFERRED_BY xmlns="9d23c325-700d-40fa-82c8-eebc198f0ab2" xsi:nil="true"/>
    <EC_ARES_DATE_TRANSFERRED xmlns="9d23c325-700d-40fa-82c8-eebc198f0ab2" xsi:nil="true"/>
    <EC_ARES_NUMBER xmlns="9d23c325-700d-40fa-82c8-eebc198f0ab2">
      <Url xsi:nil="true"/>
      <Description xsi:nil="true"/>
    </EC_ARES_NUMBER>
    <EC_Collab_Reference xmlns="9d23c325-700d-40fa-82c8-eebc198f0ab2" xsi:nil="true"/>
    <EC_Collab_Status xmlns="9d23c325-700d-40fa-82c8-eebc198f0ab2">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3533703895D964F9A76F3E97F8A1C24" ma:contentTypeVersion="5" ma:contentTypeDescription="Create a new document in this library." ma:contentTypeScope="" ma:versionID="be81afbe349d2a130a075f0d902a160f">
  <xsd:schema xmlns:xsd="http://www.w3.org/2001/XMLSchema" xmlns:xs="http://www.w3.org/2001/XMLSchema" xmlns:p="http://schemas.microsoft.com/office/2006/metadata/properties" xmlns:ns2="http://schemas.microsoft.com/sharepoint/v3/fields" xmlns:ns3="9d23c325-700d-40fa-82c8-eebc198f0ab2" xmlns:ns4="b0e4217b-6a25-4bb6-b226-fd0b2189a869" targetNamespace="http://schemas.microsoft.com/office/2006/metadata/properties" ma:root="true" ma:fieldsID="4c1f29c6a9cd69aaf725145ff19aa83a" ns2:_="" ns3:_="" ns4:_="">
    <xsd:import namespace="http://schemas.microsoft.com/sharepoint/v3/fields"/>
    <xsd:import namespace="9d23c325-700d-40fa-82c8-eebc198f0ab2"/>
    <xsd:import namespace="b0e4217b-6a25-4bb6-b226-fd0b2189a869"/>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23c325-700d-40fa-82c8-eebc198f0ab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217b-6a25-4bb6-b226-fd0b2189a86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9677-216F-4EA8-9EF2-3CDB5368CA4E}">
  <ds:schemaRefs>
    <ds:schemaRef ds:uri="http://schemas.microsoft.com/sharepoint/v3/contenttype/forms"/>
  </ds:schemaRefs>
</ds:datastoreItem>
</file>

<file path=customXml/itemProps2.xml><?xml version="1.0" encoding="utf-8"?>
<ds:datastoreItem xmlns:ds="http://schemas.openxmlformats.org/officeDocument/2006/customXml" ds:itemID="{34A2D87B-3DD2-4064-817C-4262C4755B23}">
  <ds:schemaRefs>
    <ds:schemaRef ds:uri="http://schemas.microsoft.com/office/2006/documentManagement/types"/>
    <ds:schemaRef ds:uri="b0e4217b-6a25-4bb6-b226-fd0b2189a869"/>
    <ds:schemaRef ds:uri="http://purl.org/dc/elements/1.1/"/>
    <ds:schemaRef ds:uri="http://schemas.microsoft.com/office/infopath/2007/PartnerControls"/>
    <ds:schemaRef ds:uri="9d23c325-700d-40fa-82c8-eebc198f0ab2"/>
    <ds:schemaRef ds:uri="http://schemas.openxmlformats.org/package/2006/metadata/core-properties"/>
    <ds:schemaRef ds:uri="http://schemas.microsoft.com/sharepoint/v3/field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B92C5A-808A-408D-9AC7-A4475D4E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d23c325-700d-40fa-82c8-eebc198f0ab2"/>
    <ds:schemaRef ds:uri="b0e4217b-6a25-4bb6-b226-fd0b2189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BF49C-CAA4-4789-A468-87AED193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14</Pages>
  <Words>6412</Words>
  <Characters>35719</Characters>
  <Application>Microsoft Office Word</Application>
  <DocSecurity>0</DocSecurity>
  <Lines>549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Post-CG</dc:description>
  <cp:lastModifiedBy>EC CoDe</cp:lastModifiedBy>
  <cp:revision>45</cp:revision>
  <dcterms:created xsi:type="dcterms:W3CDTF">2023-05-21T18:56:00Z</dcterms:created>
  <dcterms:modified xsi:type="dcterms:W3CDTF">2023-05-23T17:48:00Z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0x010100258AA79CEB83498886A3A0868112325000A3533703895D964F9A76F3E97F8A1C24</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2023-02-27T16:49:23Z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c02d7eb0-c71f-4890-869a-1781fd9c287c</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